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5508DE" w:rsidRDefault="00E2776C" w:rsidP="005508DE">
      <w:pPr>
        <w:pStyle w:val="StyleTitle14pt"/>
      </w:pPr>
      <w:bookmarkStart w:id="0" w:name="_Toc440887128"/>
      <w:r w:rsidRPr="005508DE">
        <w:rPr>
          <w:rStyle w:val="TitleChar"/>
          <w:b/>
          <w:snapToGrid w:val="0"/>
          <w:sz w:val="28"/>
        </w:rPr>
        <w:t>5</w:t>
      </w:r>
      <w:r w:rsidR="00433044" w:rsidRPr="005508DE">
        <w:rPr>
          <w:rStyle w:val="TitleChar"/>
          <w:b/>
          <w:snapToGrid w:val="0"/>
          <w:sz w:val="28"/>
        </w:rPr>
        <w:t>.</w:t>
      </w:r>
      <w:r w:rsidR="00753532" w:rsidRPr="005508DE">
        <w:rPr>
          <w:rStyle w:val="TitleChar"/>
          <w:b/>
          <w:snapToGrid w:val="0"/>
          <w:sz w:val="28"/>
        </w:rPr>
        <w:t>0</w:t>
      </w:r>
      <w:r w:rsidRPr="005508DE">
        <w:rPr>
          <w:rStyle w:val="TitleChar"/>
          <w:b/>
          <w:snapToGrid w:val="0"/>
          <w:sz w:val="28"/>
        </w:rPr>
        <w:t>5</w:t>
      </w:r>
      <w:r w:rsidR="00B60939" w:rsidRPr="005508DE">
        <w:rPr>
          <w:rStyle w:val="TitleChar"/>
          <w:b/>
          <w:snapToGrid w:val="0"/>
          <w:sz w:val="28"/>
        </w:rPr>
        <w:tab/>
      </w:r>
      <w:r w:rsidR="00E97F2A" w:rsidRPr="005508DE">
        <w:rPr>
          <w:rStyle w:val="TitleChar"/>
          <w:b/>
          <w:snapToGrid w:val="0"/>
          <w:sz w:val="28"/>
        </w:rPr>
        <w:t>MEPOLIZUMAB</w:t>
      </w:r>
      <w:r w:rsidR="00B60939" w:rsidRPr="005508DE">
        <w:t xml:space="preserve">, </w:t>
      </w:r>
      <w:r w:rsidR="00E97F2A" w:rsidRPr="005508DE">
        <w:t>lyophilised powder for subcutaneous injection</w:t>
      </w:r>
      <w:r w:rsidR="00B60939" w:rsidRPr="005508DE">
        <w:t xml:space="preserve">, </w:t>
      </w:r>
      <w:r w:rsidR="00E97F2A" w:rsidRPr="005508DE">
        <w:t>100 mg</w:t>
      </w:r>
      <w:r w:rsidR="00B60939" w:rsidRPr="005508DE">
        <w:t xml:space="preserve">, </w:t>
      </w:r>
      <w:r w:rsidR="00E97F2A" w:rsidRPr="005508DE">
        <w:t>Nucala</w:t>
      </w:r>
      <w:r w:rsidR="00B60939" w:rsidRPr="005508DE">
        <w:t xml:space="preserve">®, </w:t>
      </w:r>
      <w:r w:rsidR="00E97F2A" w:rsidRPr="005508DE">
        <w:t>GlaxoSmithKline</w:t>
      </w:r>
      <w:r w:rsidR="00B60939" w:rsidRPr="005508DE">
        <w:t>.</w:t>
      </w:r>
      <w:bookmarkEnd w:id="0"/>
    </w:p>
    <w:p w:rsidR="00433044" w:rsidRDefault="00433044" w:rsidP="00281014">
      <w:pPr>
        <w:pStyle w:val="BodyText"/>
      </w:pPr>
    </w:p>
    <w:p w:rsidR="001C09DB" w:rsidRPr="00EC09F6" w:rsidRDefault="001C09DB" w:rsidP="00281014">
      <w:pPr>
        <w:pStyle w:val="BodyText"/>
      </w:pPr>
    </w:p>
    <w:p w:rsidR="00B50DB8" w:rsidRPr="005508DE" w:rsidRDefault="00B50DB8" w:rsidP="005508DE">
      <w:pPr>
        <w:pStyle w:val="Heading1"/>
      </w:pPr>
      <w:bookmarkStart w:id="1" w:name="_Toc440887130"/>
      <w:r w:rsidRPr="005508DE">
        <w:t>Purpose of Application</w:t>
      </w:r>
      <w:bookmarkEnd w:id="1"/>
    </w:p>
    <w:p w:rsidR="00B60939" w:rsidRPr="00EC09F6" w:rsidRDefault="00B60939" w:rsidP="00B60939">
      <w:pPr>
        <w:rPr>
          <w:szCs w:val="22"/>
        </w:rPr>
      </w:pPr>
    </w:p>
    <w:p w:rsidR="002C2775" w:rsidRPr="00EC09F6" w:rsidRDefault="00E2776C" w:rsidP="00986DCF">
      <w:pPr>
        <w:pStyle w:val="ListParagraph"/>
        <w:widowControl/>
        <w:numPr>
          <w:ilvl w:val="1"/>
          <w:numId w:val="2"/>
        </w:numPr>
        <w:rPr>
          <w:szCs w:val="22"/>
        </w:rPr>
      </w:pPr>
      <w:r w:rsidRPr="00EC09F6">
        <w:t xml:space="preserve">The submission requested a </w:t>
      </w:r>
      <w:r w:rsidR="001E238E" w:rsidRPr="00EC09F6">
        <w:t>Section 100</w:t>
      </w:r>
      <w:r w:rsidR="00E97F2A" w:rsidRPr="00EC09F6">
        <w:t xml:space="preserve"> </w:t>
      </w:r>
      <w:r w:rsidRPr="00EC09F6">
        <w:t>(</w:t>
      </w:r>
      <w:r w:rsidR="00E97F2A" w:rsidRPr="00EC09F6">
        <w:t>H</w:t>
      </w:r>
      <w:r w:rsidR="005523A8" w:rsidRPr="00EC09F6">
        <w:t xml:space="preserve">ighly </w:t>
      </w:r>
      <w:r w:rsidR="00E97F2A" w:rsidRPr="00EC09F6">
        <w:t>S</w:t>
      </w:r>
      <w:r w:rsidR="005523A8" w:rsidRPr="00EC09F6">
        <w:t xml:space="preserve">pecialised </w:t>
      </w:r>
      <w:r w:rsidR="00E97F2A" w:rsidRPr="00EC09F6">
        <w:t>D</w:t>
      </w:r>
      <w:r w:rsidR="005523A8" w:rsidRPr="00EC09F6">
        <w:t>rug (HSD)</w:t>
      </w:r>
      <w:r w:rsidRPr="00EC09F6">
        <w:t xml:space="preserve"> Program)</w:t>
      </w:r>
      <w:r w:rsidR="001E238E" w:rsidRPr="00EC09F6">
        <w:t xml:space="preserve"> listing for </w:t>
      </w:r>
      <w:r w:rsidR="00E97F2A" w:rsidRPr="00EC09F6">
        <w:t xml:space="preserve">mepolizumab </w:t>
      </w:r>
      <w:r w:rsidR="001E238E" w:rsidRPr="00EC09F6">
        <w:t xml:space="preserve">for treatment of </w:t>
      </w:r>
      <w:r w:rsidR="00E97F2A" w:rsidRPr="00EC09F6">
        <w:t>severe eosinophilic asthma in patients aged 12 years and over</w:t>
      </w:r>
      <w:r w:rsidR="001E238E" w:rsidRPr="00EC09F6">
        <w:t>.</w:t>
      </w:r>
    </w:p>
    <w:p w:rsidR="004E43B2" w:rsidRDefault="004E43B2" w:rsidP="004B1CB4"/>
    <w:p w:rsidR="005508DE" w:rsidRPr="00EC09F6" w:rsidRDefault="005508DE" w:rsidP="004B1CB4"/>
    <w:p w:rsidR="00B50DB8" w:rsidRPr="00EC09F6" w:rsidRDefault="00B50DB8" w:rsidP="005508DE">
      <w:pPr>
        <w:pStyle w:val="Heading1"/>
      </w:pPr>
      <w:bookmarkStart w:id="2" w:name="_Toc440887131"/>
      <w:r w:rsidRPr="00EC09F6">
        <w:t>Requested listing</w:t>
      </w:r>
      <w:bookmarkEnd w:id="2"/>
    </w:p>
    <w:p w:rsidR="00B60939" w:rsidRPr="00EC09F6" w:rsidRDefault="00B60939" w:rsidP="004B1CB4"/>
    <w:p w:rsidR="00E97F2A" w:rsidRPr="00EC09F6" w:rsidRDefault="005A1305" w:rsidP="00986DCF">
      <w:pPr>
        <w:pStyle w:val="ListParagraph"/>
        <w:widowControl/>
        <w:numPr>
          <w:ilvl w:val="1"/>
          <w:numId w:val="2"/>
        </w:numPr>
        <w:rPr>
          <w:szCs w:val="22"/>
        </w:rPr>
      </w:pPr>
      <w:r w:rsidRPr="00EC09F6">
        <w:rPr>
          <w:szCs w:val="22"/>
        </w:rPr>
        <w:t xml:space="preserve">Proposed </w:t>
      </w:r>
      <w:r w:rsidR="005523A8" w:rsidRPr="00EC09F6">
        <w:rPr>
          <w:szCs w:val="22"/>
        </w:rPr>
        <w:t>P</w:t>
      </w:r>
      <w:r w:rsidRPr="00EC09F6">
        <w:rPr>
          <w:szCs w:val="22"/>
        </w:rPr>
        <w:t>BS listing (abridged):</w:t>
      </w:r>
    </w:p>
    <w:tbl>
      <w:tblPr>
        <w:tblStyle w:val="TableGrid"/>
        <w:tblW w:w="4595" w:type="pct"/>
        <w:tblInd w:w="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Proposed PBS listing (abridged)"/>
      </w:tblPr>
      <w:tblGrid>
        <w:gridCol w:w="1417"/>
        <w:gridCol w:w="2269"/>
        <w:gridCol w:w="566"/>
        <w:gridCol w:w="568"/>
        <w:gridCol w:w="1417"/>
        <w:gridCol w:w="709"/>
        <w:gridCol w:w="1401"/>
      </w:tblGrid>
      <w:tr w:rsidR="00EC09F6" w:rsidRPr="00EC09F6" w:rsidTr="00104078">
        <w:trPr>
          <w:cantSplit/>
          <w:trHeight w:val="20"/>
          <w:tblHeader/>
        </w:trPr>
        <w:tc>
          <w:tcPr>
            <w:tcW w:w="2208" w:type="pct"/>
            <w:gridSpan w:val="2"/>
            <w:tcBorders>
              <w:bottom w:val="single" w:sz="4" w:space="0" w:color="auto"/>
            </w:tcBorders>
            <w:tcMar>
              <w:left w:w="28" w:type="dxa"/>
              <w:right w:w="28" w:type="dxa"/>
            </w:tcMar>
            <w:vAlign w:val="center"/>
          </w:tcPr>
          <w:p w:rsidR="005A1305" w:rsidRPr="00EC09F6" w:rsidRDefault="005A1305" w:rsidP="00E97F2A">
            <w:pPr>
              <w:keepNext/>
              <w:widowControl/>
              <w:jc w:val="left"/>
              <w:rPr>
                <w:rFonts w:ascii="Arial Narrow" w:hAnsi="Arial Narrow"/>
                <w:b/>
                <w:bCs/>
                <w:sz w:val="20"/>
              </w:rPr>
            </w:pPr>
            <w:r w:rsidRPr="00EC09F6">
              <w:rPr>
                <w:rFonts w:ascii="Arial Narrow" w:hAnsi="Arial Narrow"/>
                <w:b/>
                <w:bCs/>
                <w:sz w:val="20"/>
              </w:rPr>
              <w:t>Name, restriction,</w:t>
            </w:r>
          </w:p>
          <w:p w:rsidR="005A1305" w:rsidRPr="00EC09F6" w:rsidRDefault="005A1305" w:rsidP="005A1305">
            <w:pPr>
              <w:keepNext/>
              <w:widowControl/>
              <w:jc w:val="left"/>
              <w:rPr>
                <w:rFonts w:ascii="Arial Narrow" w:hAnsi="Arial Narrow"/>
                <w:b/>
                <w:bCs/>
                <w:sz w:val="20"/>
              </w:rPr>
            </w:pPr>
            <w:r w:rsidRPr="00EC09F6">
              <w:rPr>
                <w:rFonts w:ascii="Arial Narrow" w:hAnsi="Arial Narrow"/>
                <w:b/>
                <w:bCs/>
                <w:sz w:val="20"/>
              </w:rPr>
              <w:t xml:space="preserve">manner of administration and form </w:t>
            </w:r>
          </w:p>
        </w:tc>
        <w:tc>
          <w:tcPr>
            <w:tcW w:w="339" w:type="pct"/>
            <w:tcBorders>
              <w:bottom w:val="single" w:sz="4" w:space="0" w:color="auto"/>
            </w:tcBorders>
            <w:vAlign w:val="center"/>
          </w:tcPr>
          <w:p w:rsidR="005A1305" w:rsidRPr="00EC09F6" w:rsidRDefault="005A1305" w:rsidP="00E97F2A">
            <w:pPr>
              <w:keepNext/>
              <w:widowControl/>
              <w:jc w:val="center"/>
              <w:rPr>
                <w:rFonts w:ascii="Arial Narrow" w:hAnsi="Arial Narrow"/>
                <w:b/>
                <w:bCs/>
                <w:sz w:val="20"/>
              </w:rPr>
            </w:pPr>
            <w:r w:rsidRPr="00EC09F6">
              <w:rPr>
                <w:rFonts w:ascii="Arial Narrow" w:hAnsi="Arial Narrow"/>
                <w:b/>
                <w:bCs/>
                <w:sz w:val="20"/>
              </w:rPr>
              <w:t>Max Qty</w:t>
            </w:r>
          </w:p>
        </w:tc>
        <w:tc>
          <w:tcPr>
            <w:tcW w:w="340" w:type="pct"/>
            <w:tcBorders>
              <w:bottom w:val="single" w:sz="4" w:space="0" w:color="auto"/>
            </w:tcBorders>
            <w:tcMar>
              <w:left w:w="28" w:type="dxa"/>
              <w:right w:w="28" w:type="dxa"/>
            </w:tcMar>
            <w:vAlign w:val="center"/>
          </w:tcPr>
          <w:p w:rsidR="005A1305" w:rsidRPr="00EC09F6" w:rsidRDefault="005A1305" w:rsidP="00E97F2A">
            <w:pPr>
              <w:keepNext/>
              <w:widowControl/>
              <w:jc w:val="center"/>
              <w:rPr>
                <w:rFonts w:ascii="Arial Narrow" w:hAnsi="Arial Narrow"/>
                <w:b/>
                <w:bCs/>
                <w:sz w:val="20"/>
              </w:rPr>
            </w:pPr>
            <w:r w:rsidRPr="00EC09F6">
              <w:rPr>
                <w:rFonts w:ascii="Arial Narrow" w:hAnsi="Arial Narrow"/>
                <w:b/>
                <w:bCs/>
                <w:sz w:val="20"/>
              </w:rPr>
              <w:t>No. of Rpts</w:t>
            </w:r>
          </w:p>
        </w:tc>
        <w:tc>
          <w:tcPr>
            <w:tcW w:w="849" w:type="pct"/>
            <w:tcBorders>
              <w:bottom w:val="single" w:sz="4" w:space="0" w:color="auto"/>
            </w:tcBorders>
            <w:tcMar>
              <w:left w:w="28" w:type="dxa"/>
              <w:right w:w="28" w:type="dxa"/>
            </w:tcMar>
            <w:vAlign w:val="center"/>
          </w:tcPr>
          <w:p w:rsidR="005A1305" w:rsidRPr="00EC09F6" w:rsidRDefault="005A1305" w:rsidP="00E97F2A">
            <w:pPr>
              <w:keepNext/>
              <w:widowControl/>
              <w:jc w:val="center"/>
              <w:rPr>
                <w:rFonts w:ascii="Arial Narrow" w:hAnsi="Arial Narrow"/>
                <w:b/>
                <w:bCs/>
                <w:sz w:val="20"/>
              </w:rPr>
            </w:pPr>
            <w:r w:rsidRPr="00EC09F6">
              <w:rPr>
                <w:rFonts w:ascii="Arial Narrow" w:hAnsi="Arial Narrow"/>
                <w:b/>
                <w:bCs/>
                <w:sz w:val="20"/>
              </w:rPr>
              <w:t>Ex-manufacturer price</w:t>
            </w:r>
          </w:p>
        </w:tc>
        <w:tc>
          <w:tcPr>
            <w:tcW w:w="1264" w:type="pct"/>
            <w:gridSpan w:val="2"/>
            <w:tcBorders>
              <w:bottom w:val="single" w:sz="4" w:space="0" w:color="auto"/>
            </w:tcBorders>
            <w:tcMar>
              <w:left w:w="28" w:type="dxa"/>
              <w:right w:w="28" w:type="dxa"/>
            </w:tcMar>
            <w:vAlign w:val="center"/>
          </w:tcPr>
          <w:p w:rsidR="005A1305" w:rsidRPr="00EC09F6" w:rsidRDefault="005A1305" w:rsidP="00E97F2A">
            <w:pPr>
              <w:keepNext/>
              <w:widowControl/>
              <w:jc w:val="center"/>
              <w:rPr>
                <w:rFonts w:ascii="Arial Narrow" w:hAnsi="Arial Narrow"/>
                <w:b/>
                <w:bCs/>
                <w:sz w:val="20"/>
              </w:rPr>
            </w:pPr>
            <w:r w:rsidRPr="00EC09F6">
              <w:rPr>
                <w:rFonts w:ascii="Arial Narrow" w:hAnsi="Arial Narrow"/>
                <w:b/>
                <w:bCs/>
                <w:sz w:val="20"/>
              </w:rPr>
              <w:t>Proprietary name and manufacturer</w:t>
            </w:r>
          </w:p>
        </w:tc>
      </w:tr>
      <w:tr w:rsidR="00EC09F6" w:rsidRPr="00EC09F6" w:rsidTr="00104078">
        <w:trPr>
          <w:cantSplit/>
          <w:trHeight w:val="20"/>
        </w:trPr>
        <w:tc>
          <w:tcPr>
            <w:tcW w:w="220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1305" w:rsidRPr="00EC09F6" w:rsidRDefault="005A1305" w:rsidP="00E97F2A">
            <w:pPr>
              <w:keepNext/>
              <w:widowControl/>
              <w:jc w:val="left"/>
              <w:rPr>
                <w:rFonts w:ascii="Arial Narrow" w:hAnsi="Arial Narrow"/>
                <w:smallCaps/>
                <w:sz w:val="20"/>
              </w:rPr>
            </w:pPr>
            <w:r w:rsidRPr="00EC09F6">
              <w:rPr>
                <w:rFonts w:ascii="Arial Narrow" w:hAnsi="Arial Narrow"/>
                <w:smallCaps/>
                <w:sz w:val="20"/>
              </w:rPr>
              <w:t>MEPOLIZUMAB</w:t>
            </w:r>
          </w:p>
          <w:p w:rsidR="005A1305" w:rsidRPr="00EC09F6" w:rsidRDefault="005A1305" w:rsidP="005A1305">
            <w:pPr>
              <w:keepNext/>
              <w:widowControl/>
              <w:jc w:val="left"/>
              <w:rPr>
                <w:rFonts w:ascii="Arial Narrow" w:hAnsi="Arial Narrow"/>
                <w:sz w:val="20"/>
              </w:rPr>
            </w:pPr>
            <w:r w:rsidRPr="00EC09F6">
              <w:rPr>
                <w:rFonts w:ascii="Arial Narrow" w:hAnsi="Arial Narrow"/>
                <w:smallCaps/>
                <w:sz w:val="20"/>
              </w:rPr>
              <w:t xml:space="preserve">100 </w:t>
            </w:r>
            <w:r w:rsidRPr="00EC09F6">
              <w:rPr>
                <w:rFonts w:ascii="Arial Narrow" w:hAnsi="Arial Narrow"/>
                <w:sz w:val="20"/>
              </w:rPr>
              <w:t>mg lyophilised powder in a single-use vial for subcutaneous injection</w:t>
            </w:r>
          </w:p>
        </w:tc>
        <w:tc>
          <w:tcPr>
            <w:tcW w:w="339" w:type="pct"/>
            <w:tcBorders>
              <w:top w:val="single" w:sz="4" w:space="0" w:color="auto"/>
              <w:left w:val="single" w:sz="4" w:space="0" w:color="auto"/>
              <w:bottom w:val="single" w:sz="4" w:space="0" w:color="auto"/>
              <w:right w:val="single" w:sz="4" w:space="0" w:color="auto"/>
            </w:tcBorders>
            <w:vAlign w:val="center"/>
          </w:tcPr>
          <w:p w:rsidR="005A1305" w:rsidRPr="00EC09F6" w:rsidRDefault="005A1305" w:rsidP="00E97F2A">
            <w:pPr>
              <w:keepNext/>
              <w:widowControl/>
              <w:jc w:val="center"/>
              <w:rPr>
                <w:rFonts w:ascii="Arial Narrow" w:hAnsi="Arial Narrow"/>
                <w:sz w:val="20"/>
              </w:rPr>
            </w:pPr>
            <w:r w:rsidRPr="00EC09F6">
              <w:rPr>
                <w:rFonts w:ascii="Arial Narrow" w:hAnsi="Arial Narrow"/>
                <w:sz w:val="20"/>
              </w:rPr>
              <w:t>1</w:t>
            </w:r>
          </w:p>
        </w:tc>
        <w:tc>
          <w:tcPr>
            <w:tcW w:w="3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1305" w:rsidRPr="00EC09F6" w:rsidRDefault="005A1305" w:rsidP="00E97F2A">
            <w:pPr>
              <w:keepNext/>
              <w:widowControl/>
              <w:jc w:val="center"/>
              <w:rPr>
                <w:rFonts w:ascii="Arial Narrow" w:hAnsi="Arial Narrow"/>
                <w:sz w:val="20"/>
              </w:rPr>
            </w:pPr>
            <w:r w:rsidRPr="00EC09F6">
              <w:rPr>
                <w:rFonts w:ascii="Arial Narrow" w:hAnsi="Arial Narrow"/>
                <w:sz w:val="20"/>
              </w:rPr>
              <w:t>0</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1305" w:rsidRPr="00EC09F6" w:rsidRDefault="005A1305" w:rsidP="00E97F2A">
            <w:pPr>
              <w:keepNext/>
              <w:widowControl/>
              <w:jc w:val="center"/>
              <w:rPr>
                <w:rFonts w:ascii="Arial Narrow" w:hAnsi="Arial Narrow"/>
                <w:sz w:val="20"/>
              </w:rPr>
            </w:pPr>
            <w:r w:rsidRPr="00EC09F6">
              <w:rPr>
                <w:rFonts w:ascii="Arial Narrow" w:hAnsi="Arial Narrow"/>
                <w:sz w:val="20"/>
              </w:rPr>
              <w:t>$</w:t>
            </w:r>
            <w:r w:rsidR="0024101C">
              <w:rPr>
                <w:rFonts w:ascii="Arial Narrow" w:hAnsi="Arial Narrow"/>
                <w:noProof/>
                <w:color w:val="000000"/>
                <w:sz w:val="20"/>
                <w:highlight w:val="black"/>
              </w:rPr>
              <w:t>'''''''''''''''''''''''</w:t>
            </w:r>
          </w:p>
        </w:tc>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1305" w:rsidRPr="00EC09F6" w:rsidRDefault="005A1305" w:rsidP="00E97F2A">
            <w:pPr>
              <w:keepNext/>
              <w:jc w:val="center"/>
              <w:rPr>
                <w:rFonts w:ascii="Arial Narrow" w:hAnsi="Arial Narrow"/>
                <w:sz w:val="20"/>
              </w:rPr>
            </w:pPr>
            <w:r w:rsidRPr="00EC09F6">
              <w:rPr>
                <w:rFonts w:ascii="Arial Narrow" w:hAnsi="Arial Narrow"/>
                <w:sz w:val="20"/>
              </w:rPr>
              <w:t xml:space="preserve">Nucala </w:t>
            </w:r>
            <w:r w:rsidRPr="00EC09F6">
              <w:rPr>
                <w:rFonts w:ascii="Arial Narrow" w:hAnsi="Arial Narrow"/>
                <w:sz w:val="20"/>
                <w:vertAlign w:val="superscript"/>
              </w:rPr>
              <w:t>®</w:t>
            </w:r>
          </w:p>
        </w:tc>
        <w:tc>
          <w:tcPr>
            <w:tcW w:w="8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1305" w:rsidRPr="00EC09F6" w:rsidRDefault="005A1305" w:rsidP="00E97F2A">
            <w:pPr>
              <w:keepNext/>
              <w:jc w:val="center"/>
              <w:rPr>
                <w:rFonts w:ascii="Arial Narrow" w:hAnsi="Arial Narrow"/>
                <w:sz w:val="20"/>
              </w:rPr>
            </w:pPr>
            <w:r w:rsidRPr="00EC09F6">
              <w:rPr>
                <w:rFonts w:ascii="Arial Narrow" w:hAnsi="Arial Narrow"/>
                <w:sz w:val="20"/>
              </w:rPr>
              <w:t>GlaxoSmithKline</w:t>
            </w:r>
          </w:p>
        </w:tc>
      </w:tr>
      <w:tr w:rsidR="00EC09F6" w:rsidRPr="00EC09F6" w:rsidTr="00104078">
        <w:tblPrEx>
          <w:tblBorders>
            <w:insideH w:val="none" w:sz="0" w:space="0" w:color="auto"/>
            <w:insideV w:val="none" w:sz="0" w:space="0" w:color="auto"/>
          </w:tblBorders>
        </w:tblPrEx>
        <w:trPr>
          <w:cantSplit/>
          <w:trHeight w:val="125"/>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keepNext/>
              <w:widowControl/>
              <w:rPr>
                <w:rFonts w:ascii="Arial Narrow" w:hAnsi="Arial Narrow"/>
                <w:sz w:val="20"/>
                <w:lang w:val="en-GB"/>
              </w:rPr>
            </w:pPr>
            <w:r w:rsidRPr="00EC09F6">
              <w:rPr>
                <w:rFonts w:ascii="Arial Narrow" w:hAnsi="Arial Narrow"/>
                <w:sz w:val="20"/>
                <w:lang w:val="en-GB"/>
              </w:rPr>
              <w:t>Treatment phase</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keepNext/>
              <w:widowControl/>
              <w:rPr>
                <w:rFonts w:ascii="Arial Narrow" w:hAnsi="Arial Narrow"/>
                <w:sz w:val="20"/>
                <w:lang w:val="en-GB"/>
              </w:rPr>
            </w:pPr>
            <w:r w:rsidRPr="00573EB3">
              <w:rPr>
                <w:rFonts w:ascii="Arial Narrow" w:hAnsi="Arial Narrow"/>
                <w:sz w:val="20"/>
                <w:lang w:val="en-GB"/>
              </w:rPr>
              <w:t>Initial treatment</w:t>
            </w:r>
          </w:p>
        </w:tc>
      </w:tr>
      <w:tr w:rsidR="00EC09F6" w:rsidRPr="00EC09F6" w:rsidTr="00104078">
        <w:tblPrEx>
          <w:tblBorders>
            <w:insideH w:val="none" w:sz="0" w:space="0" w:color="auto"/>
            <w:insideV w:val="none" w:sz="0" w:space="0" w:color="auto"/>
          </w:tblBorders>
        </w:tblPrEx>
        <w:trPr>
          <w:cantSplit/>
          <w:trHeight w:val="20"/>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widowControl/>
              <w:ind w:left="720" w:hanging="686"/>
              <w:rPr>
                <w:rFonts w:ascii="Arial Narrow" w:hAnsi="Arial Narrow"/>
                <w:sz w:val="20"/>
                <w:lang w:val="en-GB"/>
              </w:rPr>
            </w:pPr>
            <w:r w:rsidRPr="00EC09F6">
              <w:rPr>
                <w:rFonts w:ascii="Arial Narrow" w:hAnsi="Arial Narrow"/>
                <w:sz w:val="20"/>
                <w:lang w:val="en-GB"/>
              </w:rPr>
              <w:t>Restriction</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widowControl/>
              <w:rPr>
                <w:rFonts w:ascii="Arial Narrow" w:hAnsi="Arial Narrow"/>
                <w:sz w:val="20"/>
                <w:lang w:val="en-GB"/>
              </w:rPr>
            </w:pPr>
            <w:r w:rsidRPr="00573EB3">
              <w:rPr>
                <w:rFonts w:ascii="Arial Narrow" w:hAnsi="Arial Narrow"/>
                <w:sz w:val="20"/>
                <w:lang w:val="en-GB"/>
              </w:rPr>
              <w:t xml:space="preserve">Section 100 HSD </w:t>
            </w:r>
          </w:p>
        </w:tc>
      </w:tr>
      <w:tr w:rsidR="00EC09F6" w:rsidRPr="00EC09F6" w:rsidTr="00104078">
        <w:tblPrEx>
          <w:tblBorders>
            <w:insideH w:val="none" w:sz="0" w:space="0" w:color="auto"/>
            <w:insideV w:val="none" w:sz="0" w:space="0" w:color="auto"/>
          </w:tblBorders>
        </w:tblPrEx>
        <w:trPr>
          <w:cantSplit/>
          <w:trHeight w:val="20"/>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widowControl/>
              <w:ind w:left="720" w:hanging="686"/>
              <w:rPr>
                <w:rFonts w:ascii="Arial Narrow" w:hAnsi="Arial Narrow"/>
                <w:sz w:val="20"/>
                <w:lang w:val="en-GB"/>
              </w:rPr>
            </w:pPr>
            <w:r w:rsidRPr="00EC09F6">
              <w:rPr>
                <w:rFonts w:ascii="Arial Narrow" w:hAnsi="Arial Narrow"/>
                <w:sz w:val="20"/>
                <w:lang w:val="en-GB"/>
              </w:rPr>
              <w:t>Clinical criteria</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widowControl/>
              <w:jc w:val="left"/>
              <w:rPr>
                <w:rFonts w:ascii="Arial Narrow" w:hAnsi="Arial Narrow"/>
                <w:sz w:val="20"/>
                <w:lang w:val="en-GB"/>
              </w:rPr>
            </w:pPr>
            <w:r w:rsidRPr="00573EB3">
              <w:rPr>
                <w:rFonts w:ascii="Arial Narrow" w:hAnsi="Arial Narrow"/>
                <w:sz w:val="20"/>
                <w:lang w:val="en-GB"/>
              </w:rPr>
              <w:t>Patient must be under the same care of the same physician for at least 12 months; AND</w:t>
            </w:r>
          </w:p>
          <w:p w:rsidR="00E97F2A" w:rsidRPr="00573EB3" w:rsidRDefault="00E97F2A" w:rsidP="00573EB3">
            <w:pPr>
              <w:widowControl/>
              <w:jc w:val="left"/>
              <w:rPr>
                <w:rFonts w:ascii="Arial Narrow" w:hAnsi="Arial Narrow"/>
                <w:sz w:val="20"/>
                <w:lang w:val="en-GB"/>
              </w:rPr>
            </w:pPr>
            <w:r w:rsidRPr="00573EB3">
              <w:rPr>
                <w:rFonts w:ascii="Arial Narrow" w:hAnsi="Arial Narrow"/>
                <w:sz w:val="20"/>
                <w:lang w:val="en-GB"/>
              </w:rPr>
              <w:t>Patient must have a diagnosis of asthma confirmed and documented by a respiratory physician, clinical immunologist, allergist or general physician experienced in the management of patients with severe asthma, defined by the following standard clinical features:</w:t>
            </w:r>
          </w:p>
          <w:p w:rsidR="00E97F2A" w:rsidRPr="00EC09F6" w:rsidRDefault="00E97F2A" w:rsidP="00E97F2A">
            <w:pPr>
              <w:widowControl/>
              <w:ind w:left="284"/>
              <w:jc w:val="left"/>
              <w:rPr>
                <w:rFonts w:ascii="Arial Narrow" w:hAnsi="Arial Narrow"/>
                <w:sz w:val="20"/>
                <w:lang w:val="en-GB"/>
              </w:rPr>
            </w:pPr>
            <w:r w:rsidRPr="00EC09F6">
              <w:rPr>
                <w:rFonts w:ascii="Arial Narrow" w:hAnsi="Arial Narrow"/>
                <w:sz w:val="20"/>
                <w:lang w:val="en-GB"/>
              </w:rPr>
              <w:t>(i) FEV</w:t>
            </w:r>
            <w:r w:rsidRPr="00EC09F6">
              <w:rPr>
                <w:rFonts w:ascii="Arial Narrow" w:hAnsi="Arial Narrow"/>
                <w:sz w:val="20"/>
                <w:vertAlign w:val="subscript"/>
                <w:lang w:val="en-GB"/>
              </w:rPr>
              <w:t>1</w:t>
            </w:r>
            <w:r w:rsidRPr="00EC09F6">
              <w:rPr>
                <w:rFonts w:ascii="Arial Narrow" w:hAnsi="Arial Narrow"/>
                <w:sz w:val="20"/>
                <w:lang w:val="en-GB"/>
              </w:rPr>
              <w:t xml:space="preserve"> reversibility greater than or equal to 12% and greater than or equal to 200 mL at baseline within 30 minutes after administration of salbutamol (200 to 400 µg), or</w:t>
            </w:r>
          </w:p>
          <w:p w:rsidR="00E97F2A" w:rsidRPr="00EC09F6" w:rsidRDefault="00E97F2A" w:rsidP="00E97F2A">
            <w:pPr>
              <w:widowControl/>
              <w:ind w:left="284"/>
              <w:jc w:val="left"/>
              <w:rPr>
                <w:rFonts w:ascii="Arial Narrow" w:hAnsi="Arial Narrow"/>
                <w:sz w:val="20"/>
                <w:lang w:val="en-GB"/>
              </w:rPr>
            </w:pPr>
            <w:r w:rsidRPr="00EC09F6">
              <w:rPr>
                <w:rFonts w:ascii="Arial Narrow" w:hAnsi="Arial Narrow"/>
                <w:sz w:val="20"/>
                <w:lang w:val="en-GB"/>
              </w:rPr>
              <w:t>(ii) airway hyper-responsiveness defined as a greater than 20% decline in FEV</w:t>
            </w:r>
            <w:r w:rsidRPr="00EC09F6">
              <w:rPr>
                <w:rFonts w:ascii="Arial Narrow" w:hAnsi="Arial Narrow"/>
                <w:sz w:val="20"/>
                <w:vertAlign w:val="subscript"/>
                <w:lang w:val="en-GB"/>
              </w:rPr>
              <w:t>1</w:t>
            </w:r>
            <w:r w:rsidRPr="00EC09F6">
              <w:rPr>
                <w:rFonts w:ascii="Arial Narrow" w:hAnsi="Arial Narrow"/>
                <w:sz w:val="20"/>
                <w:lang w:val="en-GB"/>
              </w:rPr>
              <w:t xml:space="preserve"> during a direct bronchial provocation test or greater than 15% decline during an indirect bronchial provocation test, or</w:t>
            </w:r>
          </w:p>
          <w:p w:rsidR="00E97F2A" w:rsidRPr="00EC09F6" w:rsidRDefault="00E97F2A" w:rsidP="00E97F2A">
            <w:pPr>
              <w:widowControl/>
              <w:ind w:left="284"/>
              <w:jc w:val="left"/>
              <w:rPr>
                <w:rFonts w:ascii="Arial Narrow" w:hAnsi="Arial Narrow"/>
                <w:sz w:val="20"/>
                <w:lang w:val="en-GB"/>
              </w:rPr>
            </w:pPr>
            <w:r w:rsidRPr="00EC09F6">
              <w:rPr>
                <w:rFonts w:ascii="Arial Narrow" w:hAnsi="Arial Narrow"/>
                <w:sz w:val="20"/>
                <w:lang w:val="en-GB"/>
              </w:rPr>
              <w:t>(iii) PEF variability of greater than 15% between the two highest and two lowest peak expiratory flow rates during 14 days; AND</w:t>
            </w:r>
          </w:p>
          <w:p w:rsidR="00E97F2A" w:rsidRDefault="00E97F2A" w:rsidP="00573EB3">
            <w:pPr>
              <w:widowControl/>
              <w:jc w:val="left"/>
              <w:rPr>
                <w:rFonts w:ascii="Arial Narrow" w:hAnsi="Arial Narrow"/>
                <w:sz w:val="20"/>
                <w:lang w:val="en-GB"/>
              </w:rPr>
            </w:pPr>
            <w:r w:rsidRPr="00573EB3">
              <w:rPr>
                <w:rFonts w:ascii="Arial Narrow" w:hAnsi="Arial Narrow"/>
                <w:sz w:val="20"/>
                <w:lang w:val="en-GB"/>
              </w:rPr>
              <w:t>Patient must have a duration of asthma of at least 1 year; AND</w:t>
            </w:r>
          </w:p>
          <w:p w:rsidR="00A25ECE" w:rsidRPr="00573EB3" w:rsidRDefault="00A25ECE" w:rsidP="00573EB3">
            <w:pPr>
              <w:widowControl/>
              <w:jc w:val="left"/>
              <w:rPr>
                <w:rFonts w:ascii="Arial Narrow" w:hAnsi="Arial Narrow"/>
                <w:sz w:val="20"/>
                <w:lang w:bidi="en-US"/>
              </w:rPr>
            </w:pPr>
            <w:r w:rsidRPr="00A25ECE">
              <w:rPr>
                <w:rFonts w:ascii="Arial Narrow" w:hAnsi="Arial Narrow"/>
                <w:sz w:val="20"/>
                <w:lang w:bidi="en-US"/>
              </w:rPr>
              <w:t>Patient must have forced expiratory volume (FEV1) less than or equal to 80% predicted, documented on 1 or more occasions in the previous 12 months</w:t>
            </w:r>
            <w:r>
              <w:rPr>
                <w:rFonts w:ascii="Arial Narrow" w:hAnsi="Arial Narrow"/>
                <w:sz w:val="20"/>
                <w:lang w:bidi="en-US"/>
              </w:rPr>
              <w:t>; AND</w:t>
            </w:r>
          </w:p>
          <w:p w:rsidR="00E97F2A" w:rsidRPr="00573EB3" w:rsidRDefault="00E97F2A" w:rsidP="00573EB3">
            <w:pPr>
              <w:widowControl/>
              <w:jc w:val="left"/>
              <w:rPr>
                <w:rStyle w:val="TableText1"/>
                <w:sz w:val="20"/>
                <w:lang w:bidi="en-US"/>
              </w:rPr>
            </w:pPr>
            <w:r w:rsidRPr="00573EB3">
              <w:rPr>
                <w:rStyle w:val="TableText1"/>
                <w:sz w:val="20"/>
              </w:rPr>
              <w:t>Patient must have blood eosinophil count ≥ 300</w:t>
            </w:r>
            <w:r w:rsidRPr="00573EB3">
              <w:rPr>
                <w:rStyle w:val="TableText1"/>
                <w:sz w:val="20"/>
                <w:lang w:bidi="en-US"/>
              </w:rPr>
              <w:t xml:space="preserve"> cells μL in the last 6 weeks; AND</w:t>
            </w:r>
          </w:p>
          <w:p w:rsidR="00E97F2A" w:rsidRPr="00573EB3" w:rsidRDefault="00E97F2A" w:rsidP="00573EB3">
            <w:pPr>
              <w:widowControl/>
              <w:jc w:val="left"/>
              <w:rPr>
                <w:rStyle w:val="TableText1"/>
                <w:rFonts w:eastAsiaTheme="minorHAnsi"/>
                <w:sz w:val="20"/>
              </w:rPr>
            </w:pPr>
            <w:r w:rsidRPr="00573EB3">
              <w:rPr>
                <w:rStyle w:val="TableText1"/>
                <w:rFonts w:eastAsiaTheme="minorHAnsi"/>
                <w:sz w:val="20"/>
              </w:rPr>
              <w:t>Patient must have signed a patient acknowledgement indicating they understand and acknowledge that PBS-subsidised treatment will cease if they do not meet the predetermined response criteria for ongoing PBS-subsidised treatment, as outlined in the restriction for continuing treatment; AND</w:t>
            </w:r>
          </w:p>
          <w:p w:rsidR="00E97F2A" w:rsidRPr="00573EB3" w:rsidRDefault="00E97F2A" w:rsidP="00573EB3">
            <w:pPr>
              <w:widowControl/>
              <w:jc w:val="left"/>
              <w:rPr>
                <w:rStyle w:val="TableText1"/>
                <w:sz w:val="20"/>
                <w:lang w:bidi="en-US"/>
              </w:rPr>
            </w:pPr>
            <w:r w:rsidRPr="00573EB3">
              <w:rPr>
                <w:rStyle w:val="TableText1"/>
                <w:rFonts w:eastAsiaTheme="minorHAnsi"/>
                <w:sz w:val="20"/>
              </w:rPr>
              <w:t>Patient must have failed to achieve adequate control with optimised asthma therapy, despite formal assessment of and adherence to correct inhaler technique, which has been documented; AND</w:t>
            </w:r>
          </w:p>
          <w:p w:rsidR="00E97F2A" w:rsidRPr="00573EB3" w:rsidRDefault="00E97F2A" w:rsidP="00573EB3">
            <w:pPr>
              <w:widowControl/>
              <w:jc w:val="left"/>
              <w:rPr>
                <w:rFonts w:ascii="Arial Narrow" w:hAnsi="Arial Narrow"/>
                <w:sz w:val="20"/>
                <w:lang w:val="en-GB"/>
              </w:rPr>
            </w:pPr>
            <w:r w:rsidRPr="00573EB3">
              <w:rPr>
                <w:rStyle w:val="TableText1"/>
                <w:sz w:val="20"/>
              </w:rPr>
              <w:t>Patient must not receive more than 32 weeks of treatment under this restriction.</w:t>
            </w:r>
          </w:p>
        </w:tc>
      </w:tr>
      <w:tr w:rsidR="00E97F2A" w:rsidRPr="00EC09F6" w:rsidTr="00104078">
        <w:tblPrEx>
          <w:tblBorders>
            <w:insideH w:val="none" w:sz="0" w:space="0" w:color="auto"/>
            <w:insideV w:val="none" w:sz="0" w:space="0" w:color="auto"/>
          </w:tblBorders>
        </w:tblPrEx>
        <w:trPr>
          <w:cantSplit/>
          <w:trHeight w:val="147"/>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widowControl/>
              <w:ind w:firstLine="34"/>
              <w:rPr>
                <w:rFonts w:ascii="Arial Narrow" w:hAnsi="Arial Narrow"/>
                <w:sz w:val="20"/>
                <w:lang w:val="en-GB"/>
              </w:rPr>
            </w:pPr>
            <w:r w:rsidRPr="00EC09F6">
              <w:rPr>
                <w:rFonts w:ascii="Arial Narrow" w:hAnsi="Arial Narrow"/>
                <w:sz w:val="20"/>
                <w:lang w:val="en-GB"/>
              </w:rPr>
              <w:t>Population criteria</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widowControl/>
              <w:jc w:val="left"/>
              <w:rPr>
                <w:rFonts w:ascii="Arial Narrow" w:hAnsi="Arial Narrow"/>
                <w:sz w:val="20"/>
                <w:lang w:val="en-GB"/>
              </w:rPr>
            </w:pPr>
            <w:r w:rsidRPr="00573EB3">
              <w:rPr>
                <w:rStyle w:val="TableText1"/>
                <w:sz w:val="20"/>
              </w:rPr>
              <w:t>Patient must be aged 12 years or older</w:t>
            </w:r>
          </w:p>
        </w:tc>
      </w:tr>
      <w:tr w:rsidR="00A25ECE" w:rsidRPr="00EC09F6" w:rsidTr="00104078">
        <w:tblPrEx>
          <w:tblBorders>
            <w:insideH w:val="none" w:sz="0" w:space="0" w:color="auto"/>
            <w:insideV w:val="none" w:sz="0" w:space="0" w:color="auto"/>
          </w:tblBorders>
        </w:tblPrEx>
        <w:trPr>
          <w:cantSplit/>
          <w:trHeight w:val="147"/>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A25ECE" w:rsidRPr="00EC09F6" w:rsidRDefault="00A25ECE" w:rsidP="00E97F2A">
            <w:pPr>
              <w:widowControl/>
              <w:ind w:firstLine="34"/>
              <w:rPr>
                <w:rFonts w:ascii="Arial Narrow" w:hAnsi="Arial Narrow"/>
                <w:sz w:val="20"/>
                <w:lang w:val="en-GB"/>
              </w:rPr>
            </w:pPr>
            <w:r>
              <w:rPr>
                <w:rFonts w:ascii="Arial Narrow" w:hAnsi="Arial Narrow"/>
                <w:sz w:val="20"/>
                <w:lang w:val="en-GB"/>
              </w:rPr>
              <w:t>Treatment criteria</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A25ECE" w:rsidRPr="00573EB3" w:rsidRDefault="00A25ECE" w:rsidP="00573EB3">
            <w:pPr>
              <w:widowControl/>
              <w:jc w:val="left"/>
              <w:rPr>
                <w:rStyle w:val="TableText1"/>
                <w:sz w:val="20"/>
              </w:rPr>
            </w:pPr>
            <w:r w:rsidRPr="00A25ECE">
              <w:rPr>
                <w:rStyle w:val="TableText1"/>
                <w:sz w:val="20"/>
              </w:rPr>
              <w:t>Must be treated by a respiratory physician, clinical immunologist, allergist or general physician experienced in the management of patients with severe asthma.</w:t>
            </w:r>
          </w:p>
        </w:tc>
      </w:tr>
    </w:tbl>
    <w:p w:rsidR="00E97F2A" w:rsidRPr="00EC09F6" w:rsidRDefault="00E97F2A" w:rsidP="00E97F2A"/>
    <w:tbl>
      <w:tblPr>
        <w:tblStyle w:val="TableGrid"/>
        <w:tblW w:w="4596" w:type="pct"/>
        <w:tblInd w:w="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Requested listing"/>
      </w:tblPr>
      <w:tblGrid>
        <w:gridCol w:w="1417"/>
        <w:gridCol w:w="2268"/>
        <w:gridCol w:w="568"/>
        <w:gridCol w:w="566"/>
        <w:gridCol w:w="1418"/>
        <w:gridCol w:w="713"/>
        <w:gridCol w:w="1399"/>
      </w:tblGrid>
      <w:tr w:rsidR="00EC09F6" w:rsidRPr="00EC09F6" w:rsidTr="00104078">
        <w:trPr>
          <w:cantSplit/>
          <w:trHeight w:val="20"/>
          <w:tblHeader/>
        </w:trPr>
        <w:tc>
          <w:tcPr>
            <w:tcW w:w="2207" w:type="pct"/>
            <w:gridSpan w:val="2"/>
            <w:tcBorders>
              <w:bottom w:val="single" w:sz="4" w:space="0" w:color="auto"/>
            </w:tcBorders>
            <w:tcMar>
              <w:left w:w="28" w:type="dxa"/>
              <w:right w:w="28" w:type="dxa"/>
            </w:tcMar>
            <w:vAlign w:val="center"/>
          </w:tcPr>
          <w:p w:rsidR="00E97F2A" w:rsidRPr="00EC09F6" w:rsidRDefault="00E97F2A" w:rsidP="00E97F2A">
            <w:pPr>
              <w:keepNext/>
              <w:widowControl/>
              <w:jc w:val="left"/>
              <w:rPr>
                <w:rFonts w:ascii="Arial Narrow" w:hAnsi="Arial Narrow"/>
                <w:b/>
                <w:bCs/>
                <w:sz w:val="20"/>
              </w:rPr>
            </w:pPr>
            <w:r w:rsidRPr="00EC09F6">
              <w:rPr>
                <w:rFonts w:ascii="Arial Narrow" w:hAnsi="Arial Narrow"/>
                <w:b/>
                <w:bCs/>
                <w:sz w:val="20"/>
              </w:rPr>
              <w:lastRenderedPageBreak/>
              <w:t>Name, restriction,</w:t>
            </w:r>
          </w:p>
          <w:p w:rsidR="00E97F2A" w:rsidRPr="00EC09F6" w:rsidRDefault="00E97F2A" w:rsidP="00E97F2A">
            <w:pPr>
              <w:keepNext/>
              <w:widowControl/>
              <w:jc w:val="left"/>
              <w:rPr>
                <w:rFonts w:ascii="Arial Narrow" w:hAnsi="Arial Narrow"/>
                <w:b/>
                <w:bCs/>
                <w:sz w:val="20"/>
              </w:rPr>
            </w:pPr>
            <w:r w:rsidRPr="00EC09F6">
              <w:rPr>
                <w:rFonts w:ascii="Arial Narrow" w:hAnsi="Arial Narrow"/>
                <w:b/>
                <w:bCs/>
                <w:sz w:val="20"/>
              </w:rPr>
              <w:t xml:space="preserve">manner of administration and form </w:t>
            </w:r>
          </w:p>
        </w:tc>
        <w:tc>
          <w:tcPr>
            <w:tcW w:w="340" w:type="pct"/>
            <w:tcBorders>
              <w:bottom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b/>
                <w:bCs/>
                <w:sz w:val="20"/>
              </w:rPr>
            </w:pPr>
            <w:r w:rsidRPr="00EC09F6">
              <w:rPr>
                <w:rFonts w:ascii="Arial Narrow" w:hAnsi="Arial Narrow"/>
                <w:b/>
                <w:bCs/>
                <w:sz w:val="20"/>
              </w:rPr>
              <w:t>Max Qty</w:t>
            </w:r>
          </w:p>
        </w:tc>
        <w:tc>
          <w:tcPr>
            <w:tcW w:w="339" w:type="pct"/>
            <w:tcBorders>
              <w:bottom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b/>
                <w:bCs/>
                <w:sz w:val="20"/>
              </w:rPr>
            </w:pPr>
            <w:r w:rsidRPr="00EC09F6">
              <w:rPr>
                <w:rFonts w:ascii="Arial Narrow" w:hAnsi="Arial Narrow"/>
                <w:b/>
                <w:bCs/>
                <w:sz w:val="20"/>
              </w:rPr>
              <w:t>No. of Rpts</w:t>
            </w:r>
          </w:p>
        </w:tc>
        <w:tc>
          <w:tcPr>
            <w:tcW w:w="849" w:type="pct"/>
            <w:tcBorders>
              <w:bottom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b/>
                <w:bCs/>
                <w:sz w:val="20"/>
              </w:rPr>
            </w:pPr>
            <w:r w:rsidRPr="00EC09F6">
              <w:rPr>
                <w:rFonts w:ascii="Arial Narrow" w:hAnsi="Arial Narrow"/>
                <w:b/>
                <w:bCs/>
                <w:sz w:val="20"/>
              </w:rPr>
              <w:t>Ex-manufacturer price</w:t>
            </w:r>
          </w:p>
        </w:tc>
        <w:tc>
          <w:tcPr>
            <w:tcW w:w="1265" w:type="pct"/>
            <w:gridSpan w:val="2"/>
            <w:tcBorders>
              <w:bottom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b/>
                <w:bCs/>
                <w:sz w:val="20"/>
              </w:rPr>
            </w:pPr>
            <w:r w:rsidRPr="00EC09F6">
              <w:rPr>
                <w:rFonts w:ascii="Arial Narrow" w:hAnsi="Arial Narrow"/>
                <w:b/>
                <w:bCs/>
                <w:sz w:val="20"/>
              </w:rPr>
              <w:t>Proprietary name and manufacturer</w:t>
            </w:r>
          </w:p>
        </w:tc>
      </w:tr>
      <w:tr w:rsidR="00EC09F6" w:rsidRPr="00EC09F6" w:rsidTr="00104078">
        <w:trPr>
          <w:cantSplit/>
          <w:trHeight w:val="20"/>
        </w:trPr>
        <w:tc>
          <w:tcPr>
            <w:tcW w:w="220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widowControl/>
              <w:jc w:val="left"/>
              <w:rPr>
                <w:rFonts w:ascii="Arial Narrow" w:hAnsi="Arial Narrow"/>
                <w:smallCaps/>
                <w:sz w:val="20"/>
              </w:rPr>
            </w:pPr>
            <w:r w:rsidRPr="00EC09F6">
              <w:rPr>
                <w:rFonts w:ascii="Arial Narrow" w:hAnsi="Arial Narrow"/>
                <w:smallCaps/>
                <w:sz w:val="20"/>
              </w:rPr>
              <w:t>MEPOLIZUMAB</w:t>
            </w:r>
          </w:p>
          <w:p w:rsidR="00E97F2A" w:rsidRPr="00EC09F6" w:rsidRDefault="00E97F2A" w:rsidP="00E97F2A">
            <w:pPr>
              <w:keepNext/>
              <w:widowControl/>
              <w:jc w:val="left"/>
              <w:rPr>
                <w:rFonts w:ascii="Arial Narrow" w:hAnsi="Arial Narrow"/>
                <w:sz w:val="20"/>
              </w:rPr>
            </w:pPr>
            <w:r w:rsidRPr="00EC09F6">
              <w:rPr>
                <w:rFonts w:ascii="Arial Narrow" w:hAnsi="Arial Narrow"/>
                <w:smallCaps/>
                <w:sz w:val="20"/>
              </w:rPr>
              <w:t xml:space="preserve">100 </w:t>
            </w:r>
            <w:r w:rsidRPr="00EC09F6">
              <w:rPr>
                <w:rFonts w:ascii="Arial Narrow" w:hAnsi="Arial Narrow"/>
                <w:sz w:val="20"/>
              </w:rPr>
              <w:t>mg lyophilised powder in a single-use vial for subcutaneous injection</w:t>
            </w:r>
          </w:p>
        </w:tc>
        <w:tc>
          <w:tcPr>
            <w:tcW w:w="3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sz w:val="20"/>
              </w:rPr>
            </w:pPr>
            <w:r w:rsidRPr="00EC09F6">
              <w:rPr>
                <w:rFonts w:ascii="Arial Narrow" w:hAnsi="Arial Narrow"/>
                <w:sz w:val="20"/>
              </w:rPr>
              <w:t>1</w:t>
            </w:r>
          </w:p>
        </w:tc>
        <w:tc>
          <w:tcPr>
            <w:tcW w:w="3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sz w:val="20"/>
              </w:rPr>
            </w:pPr>
            <w:r w:rsidRPr="00EC09F6">
              <w:rPr>
                <w:rFonts w:ascii="Arial Narrow" w:hAnsi="Arial Narrow"/>
                <w:sz w:val="20"/>
              </w:rPr>
              <w:t>0</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widowControl/>
              <w:jc w:val="center"/>
              <w:rPr>
                <w:rFonts w:ascii="Arial Narrow" w:hAnsi="Arial Narrow"/>
                <w:sz w:val="20"/>
              </w:rPr>
            </w:pPr>
            <w:r w:rsidRPr="00EC09F6">
              <w:rPr>
                <w:rFonts w:ascii="Arial Narrow" w:hAnsi="Arial Narrow"/>
                <w:sz w:val="20"/>
              </w:rPr>
              <w:t>$</w:t>
            </w:r>
            <w:r w:rsidR="0024101C">
              <w:rPr>
                <w:rFonts w:ascii="Arial Narrow" w:hAnsi="Arial Narrow"/>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jc w:val="center"/>
              <w:rPr>
                <w:rFonts w:ascii="Arial Narrow" w:hAnsi="Arial Narrow"/>
                <w:sz w:val="20"/>
              </w:rPr>
            </w:pPr>
            <w:r w:rsidRPr="00EC09F6">
              <w:rPr>
                <w:rFonts w:ascii="Arial Narrow" w:hAnsi="Arial Narrow"/>
                <w:sz w:val="20"/>
              </w:rPr>
              <w:t xml:space="preserve">Nucala </w:t>
            </w:r>
            <w:r w:rsidRPr="00EC09F6">
              <w:rPr>
                <w:rFonts w:ascii="Arial Narrow" w:hAnsi="Arial Narrow"/>
                <w:sz w:val="20"/>
                <w:vertAlign w:val="superscript"/>
              </w:rPr>
              <w:t>®</w:t>
            </w:r>
          </w:p>
        </w:tc>
        <w:tc>
          <w:tcPr>
            <w:tcW w:w="8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7F2A" w:rsidRPr="00EC09F6" w:rsidRDefault="00E97F2A" w:rsidP="00E97F2A">
            <w:pPr>
              <w:keepNext/>
              <w:jc w:val="center"/>
              <w:rPr>
                <w:rFonts w:ascii="Arial Narrow" w:hAnsi="Arial Narrow"/>
                <w:sz w:val="20"/>
              </w:rPr>
            </w:pPr>
            <w:r w:rsidRPr="00EC09F6">
              <w:rPr>
                <w:rFonts w:ascii="Arial Narrow" w:hAnsi="Arial Narrow"/>
                <w:sz w:val="20"/>
              </w:rPr>
              <w:t>GlaxoSmithKline</w:t>
            </w:r>
          </w:p>
        </w:tc>
      </w:tr>
      <w:tr w:rsidR="00EC09F6" w:rsidRPr="00EC09F6" w:rsidTr="00104078">
        <w:tblPrEx>
          <w:tblBorders>
            <w:insideH w:val="none" w:sz="0" w:space="0" w:color="auto"/>
            <w:insideV w:val="none" w:sz="0" w:space="0" w:color="auto"/>
          </w:tblBorders>
        </w:tblPrEx>
        <w:trPr>
          <w:cantSplit/>
          <w:trHeight w:val="125"/>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keepNext/>
              <w:widowControl/>
              <w:rPr>
                <w:rFonts w:ascii="Arial Narrow" w:hAnsi="Arial Narrow"/>
                <w:sz w:val="20"/>
                <w:lang w:val="en-GB"/>
              </w:rPr>
            </w:pPr>
            <w:r w:rsidRPr="00EC09F6">
              <w:rPr>
                <w:rFonts w:ascii="Arial Narrow" w:hAnsi="Arial Narrow"/>
                <w:sz w:val="20"/>
                <w:lang w:val="en-GB"/>
              </w:rPr>
              <w:t>Treatment phase</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keepNext/>
              <w:widowControl/>
              <w:rPr>
                <w:rFonts w:ascii="Arial Narrow" w:hAnsi="Arial Narrow"/>
                <w:sz w:val="20"/>
                <w:lang w:val="en-GB"/>
              </w:rPr>
            </w:pPr>
            <w:r w:rsidRPr="00573EB3">
              <w:rPr>
                <w:rFonts w:ascii="Arial Narrow" w:hAnsi="Arial Narrow"/>
                <w:sz w:val="20"/>
                <w:lang w:val="en-GB"/>
              </w:rPr>
              <w:t>Continuing treatment</w:t>
            </w:r>
          </w:p>
        </w:tc>
      </w:tr>
      <w:tr w:rsidR="00EC09F6" w:rsidRPr="00EC09F6" w:rsidTr="00104078">
        <w:tblPrEx>
          <w:tblBorders>
            <w:insideH w:val="none" w:sz="0" w:space="0" w:color="auto"/>
            <w:insideV w:val="none" w:sz="0" w:space="0" w:color="auto"/>
          </w:tblBorders>
        </w:tblPrEx>
        <w:trPr>
          <w:cantSplit/>
          <w:trHeight w:val="20"/>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widowControl/>
              <w:ind w:left="720" w:hanging="686"/>
              <w:rPr>
                <w:rFonts w:ascii="Arial Narrow" w:hAnsi="Arial Narrow"/>
                <w:sz w:val="20"/>
                <w:lang w:val="en-GB"/>
              </w:rPr>
            </w:pPr>
            <w:r w:rsidRPr="00EC09F6">
              <w:rPr>
                <w:rFonts w:ascii="Arial Narrow" w:hAnsi="Arial Narrow"/>
                <w:sz w:val="20"/>
                <w:lang w:val="en-GB"/>
              </w:rPr>
              <w:t>Restriction</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widowControl/>
              <w:rPr>
                <w:rFonts w:ascii="Arial Narrow" w:hAnsi="Arial Narrow"/>
                <w:sz w:val="20"/>
                <w:lang w:val="en-GB"/>
              </w:rPr>
            </w:pPr>
            <w:r w:rsidRPr="00573EB3">
              <w:rPr>
                <w:rFonts w:ascii="Arial Narrow" w:hAnsi="Arial Narrow"/>
                <w:sz w:val="20"/>
                <w:lang w:val="en-GB"/>
              </w:rPr>
              <w:t xml:space="preserve">Section 100 HSD </w:t>
            </w:r>
          </w:p>
        </w:tc>
      </w:tr>
      <w:tr w:rsidR="00EC09F6" w:rsidRPr="00EC09F6" w:rsidTr="00104078">
        <w:tblPrEx>
          <w:tblBorders>
            <w:insideH w:val="none" w:sz="0" w:space="0" w:color="auto"/>
            <w:insideV w:val="none" w:sz="0" w:space="0" w:color="auto"/>
          </w:tblBorders>
        </w:tblPrEx>
        <w:trPr>
          <w:cantSplit/>
          <w:trHeight w:val="20"/>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E97F2A" w:rsidRPr="00EC09F6" w:rsidRDefault="00E97F2A" w:rsidP="00E97F2A">
            <w:pPr>
              <w:widowControl/>
              <w:ind w:left="720" w:hanging="686"/>
              <w:rPr>
                <w:rFonts w:ascii="Arial Narrow" w:hAnsi="Arial Narrow"/>
                <w:sz w:val="20"/>
                <w:lang w:val="en-GB"/>
              </w:rPr>
            </w:pPr>
            <w:r w:rsidRPr="00EC09F6">
              <w:rPr>
                <w:rFonts w:ascii="Arial Narrow" w:hAnsi="Arial Narrow"/>
                <w:sz w:val="20"/>
                <w:lang w:val="en-GB"/>
              </w:rPr>
              <w:t>Clinical criteria</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E97F2A" w:rsidRPr="00573EB3" w:rsidRDefault="00E97F2A" w:rsidP="00573EB3">
            <w:pPr>
              <w:widowControl/>
              <w:jc w:val="left"/>
              <w:rPr>
                <w:rFonts w:ascii="Arial Narrow" w:hAnsi="Arial Narrow"/>
                <w:sz w:val="20"/>
                <w:lang w:val="en-GB"/>
              </w:rPr>
            </w:pPr>
            <w:r w:rsidRPr="00573EB3">
              <w:rPr>
                <w:rFonts w:ascii="Arial Narrow" w:hAnsi="Arial Narrow"/>
                <w:sz w:val="20"/>
                <w:lang w:val="en-GB"/>
              </w:rPr>
              <w:t>Patient must have a documented history of severe eosinophilic asthma; AND</w:t>
            </w:r>
          </w:p>
          <w:p w:rsidR="00E97F2A" w:rsidRPr="00573EB3" w:rsidRDefault="00E97F2A" w:rsidP="00573EB3">
            <w:pPr>
              <w:widowControl/>
              <w:jc w:val="left"/>
              <w:rPr>
                <w:rFonts w:ascii="Arial Narrow" w:hAnsi="Arial Narrow"/>
                <w:sz w:val="20"/>
                <w:lang w:val="en-GB"/>
              </w:rPr>
            </w:pPr>
            <w:r w:rsidRPr="00573EB3">
              <w:rPr>
                <w:rFonts w:ascii="Arial Narrow" w:hAnsi="Arial Narrow"/>
                <w:sz w:val="20"/>
                <w:lang w:val="en-GB"/>
              </w:rPr>
              <w:t>Patient must have demonstrated or sustained an adequate response to treatment with this drug; AND</w:t>
            </w:r>
          </w:p>
          <w:p w:rsidR="00E97F2A" w:rsidRPr="00573EB3" w:rsidRDefault="00E97F2A" w:rsidP="00573EB3">
            <w:pPr>
              <w:widowControl/>
              <w:jc w:val="left"/>
              <w:rPr>
                <w:rFonts w:ascii="Arial Narrow" w:hAnsi="Arial Narrow"/>
                <w:sz w:val="20"/>
                <w:lang w:val="en-GB"/>
              </w:rPr>
            </w:pPr>
            <w:r w:rsidRPr="00573EB3">
              <w:rPr>
                <w:rFonts w:ascii="Arial Narrow" w:hAnsi="Arial Narrow"/>
                <w:sz w:val="20"/>
                <w:lang w:val="en-GB"/>
              </w:rPr>
              <w:t>Patient must not receive more than 32 weeks of treatment under this restriction.</w:t>
            </w:r>
          </w:p>
        </w:tc>
      </w:tr>
      <w:tr w:rsidR="00A25ECE" w:rsidRPr="00EC09F6" w:rsidTr="00104078">
        <w:tblPrEx>
          <w:tblBorders>
            <w:insideH w:val="none" w:sz="0" w:space="0" w:color="auto"/>
            <w:insideV w:val="none" w:sz="0" w:space="0" w:color="auto"/>
          </w:tblBorders>
        </w:tblPrEx>
        <w:trPr>
          <w:cantSplit/>
          <w:trHeight w:val="20"/>
        </w:trPr>
        <w:tc>
          <w:tcPr>
            <w:tcW w:w="849" w:type="pct"/>
            <w:tcBorders>
              <w:top w:val="single" w:sz="4" w:space="0" w:color="auto"/>
              <w:left w:val="single" w:sz="4" w:space="0" w:color="auto"/>
              <w:bottom w:val="single" w:sz="4" w:space="0" w:color="auto"/>
              <w:right w:val="single" w:sz="4" w:space="0" w:color="auto"/>
            </w:tcBorders>
            <w:tcMar>
              <w:left w:w="28" w:type="dxa"/>
              <w:right w:w="28" w:type="dxa"/>
            </w:tcMar>
          </w:tcPr>
          <w:p w:rsidR="00A25ECE" w:rsidRPr="00EC09F6" w:rsidRDefault="00A25ECE" w:rsidP="00E97F2A">
            <w:pPr>
              <w:widowControl/>
              <w:ind w:left="720" w:hanging="686"/>
              <w:rPr>
                <w:rFonts w:ascii="Arial Narrow" w:hAnsi="Arial Narrow"/>
                <w:sz w:val="20"/>
                <w:lang w:val="en-GB"/>
              </w:rPr>
            </w:pPr>
            <w:r>
              <w:rPr>
                <w:rFonts w:ascii="Arial Narrow" w:hAnsi="Arial Narrow"/>
                <w:sz w:val="20"/>
                <w:lang w:val="en-GB"/>
              </w:rPr>
              <w:t>Treatment criteria</w:t>
            </w:r>
          </w:p>
        </w:tc>
        <w:tc>
          <w:tcPr>
            <w:tcW w:w="415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A25ECE" w:rsidRPr="00573EB3" w:rsidRDefault="00A25ECE" w:rsidP="00573EB3">
            <w:pPr>
              <w:widowControl/>
              <w:jc w:val="left"/>
              <w:rPr>
                <w:rFonts w:ascii="Arial Narrow" w:hAnsi="Arial Narrow"/>
                <w:sz w:val="20"/>
                <w:lang w:val="en-GB"/>
              </w:rPr>
            </w:pPr>
            <w:r w:rsidRPr="00A25ECE">
              <w:rPr>
                <w:rFonts w:ascii="Arial Narrow" w:hAnsi="Arial Narrow"/>
                <w:sz w:val="20"/>
                <w:lang w:val="en-GB"/>
              </w:rPr>
              <w:t>Must be treated by a respiratory physician, clinical immunologist, allergist or general physician experienced in the management of patients with severe asthma.</w:t>
            </w:r>
          </w:p>
        </w:tc>
      </w:tr>
    </w:tbl>
    <w:p w:rsidR="00B60939" w:rsidRPr="00EC09F6" w:rsidRDefault="00B60939" w:rsidP="004B1CB4"/>
    <w:p w:rsidR="00687879" w:rsidRPr="00EC09F6" w:rsidRDefault="00687879" w:rsidP="00687879">
      <w:pPr>
        <w:pStyle w:val="ListParagraph"/>
        <w:widowControl/>
        <w:rPr>
          <w:szCs w:val="22"/>
        </w:rPr>
      </w:pPr>
    </w:p>
    <w:p w:rsidR="00687879" w:rsidRPr="003B4EE6" w:rsidRDefault="00687879" w:rsidP="00687879">
      <w:pPr>
        <w:pStyle w:val="ListParagraph"/>
        <w:widowControl/>
        <w:numPr>
          <w:ilvl w:val="1"/>
          <w:numId w:val="2"/>
        </w:numPr>
        <w:rPr>
          <w:szCs w:val="22"/>
        </w:rPr>
      </w:pPr>
      <w:r w:rsidRPr="00EC09F6">
        <w:t xml:space="preserve">In addition, the </w:t>
      </w:r>
      <w:r>
        <w:t>s</w:t>
      </w:r>
      <w:r w:rsidRPr="00EC09F6">
        <w:t>ponsor wishe</w:t>
      </w:r>
      <w:r>
        <w:t>d</w:t>
      </w:r>
      <w:r w:rsidRPr="00EC09F6">
        <w:t xml:space="preserve"> to work with the PBAC to agree on a separate grandfathering restriction for patients currently enrolled in clinical trials. It further proposed that a balance of supply restriction, similar to omalizumab, be drafted post positive recommendation, to account for patients who have received insufficient therapy under the initial treatment restriction to complete a 32-week treatment cycle.</w:t>
      </w:r>
    </w:p>
    <w:p w:rsidR="00687879" w:rsidRDefault="00687879" w:rsidP="00687879">
      <w:pPr>
        <w:pStyle w:val="ListParagraph"/>
        <w:widowControl/>
        <w:rPr>
          <w:szCs w:val="22"/>
        </w:rPr>
      </w:pPr>
    </w:p>
    <w:p w:rsidR="005A1305" w:rsidRPr="00EC09F6" w:rsidRDefault="005A1305" w:rsidP="00986DCF">
      <w:pPr>
        <w:pStyle w:val="ListParagraph"/>
        <w:widowControl/>
        <w:numPr>
          <w:ilvl w:val="1"/>
          <w:numId w:val="2"/>
        </w:numPr>
        <w:rPr>
          <w:szCs w:val="22"/>
        </w:rPr>
      </w:pPr>
      <w:r w:rsidRPr="00EC09F6">
        <w:rPr>
          <w:szCs w:val="22"/>
        </w:rPr>
        <w:t>The submission present</w:t>
      </w:r>
      <w:r w:rsidR="00C037B2" w:rsidRPr="00EC09F6">
        <w:rPr>
          <w:szCs w:val="22"/>
        </w:rPr>
        <w:t>ed</w:t>
      </w:r>
      <w:r w:rsidRPr="00EC09F6">
        <w:rPr>
          <w:szCs w:val="22"/>
        </w:rPr>
        <w:t>:</w:t>
      </w:r>
    </w:p>
    <w:p w:rsidR="005A1305" w:rsidRPr="00EC09F6" w:rsidRDefault="00852D29" w:rsidP="00986DCF">
      <w:pPr>
        <w:pStyle w:val="ListParagraph"/>
        <w:widowControl/>
        <w:numPr>
          <w:ilvl w:val="0"/>
          <w:numId w:val="5"/>
        </w:numPr>
        <w:rPr>
          <w:szCs w:val="22"/>
        </w:rPr>
      </w:pPr>
      <w:r w:rsidRPr="00EC09F6">
        <w:rPr>
          <w:szCs w:val="22"/>
        </w:rPr>
        <w:t>A cost-effectiveness</w:t>
      </w:r>
      <w:r w:rsidR="005A1305" w:rsidRPr="00EC09F6">
        <w:rPr>
          <w:szCs w:val="22"/>
        </w:rPr>
        <w:t xml:space="preserve"> analysis of mepolizumab with standard of care as the main comparator for those patients not eligible for omalizumab but eligible for mepolizumab; and </w:t>
      </w:r>
    </w:p>
    <w:p w:rsidR="002C2775" w:rsidRPr="00EC09F6" w:rsidRDefault="005A1305" w:rsidP="00986DCF">
      <w:pPr>
        <w:pStyle w:val="ListParagraph"/>
        <w:widowControl/>
        <w:numPr>
          <w:ilvl w:val="0"/>
          <w:numId w:val="5"/>
        </w:numPr>
        <w:rPr>
          <w:szCs w:val="22"/>
        </w:rPr>
      </w:pPr>
      <w:r w:rsidRPr="00EC09F6">
        <w:rPr>
          <w:szCs w:val="22"/>
        </w:rPr>
        <w:t>A cost-minimisation analysis of mepolizumab with omalizumab as the main comparator for patients eligible for b</w:t>
      </w:r>
      <w:r w:rsidR="005508DE">
        <w:rPr>
          <w:szCs w:val="22"/>
        </w:rPr>
        <w:t>oth mepolizumab and omalizumab.</w:t>
      </w:r>
    </w:p>
    <w:p w:rsidR="009E363C" w:rsidRDefault="009E363C" w:rsidP="009E363C">
      <w:pPr>
        <w:pStyle w:val="ListParagraph"/>
        <w:ind w:left="709"/>
        <w:rPr>
          <w:i/>
          <w:szCs w:val="22"/>
        </w:rPr>
      </w:pPr>
    </w:p>
    <w:p w:rsidR="009E363C" w:rsidRDefault="009E363C" w:rsidP="00CD08AF">
      <w:pPr>
        <w:pStyle w:val="ListParagraph"/>
        <w:ind w:left="709"/>
        <w:rPr>
          <w:i/>
          <w:szCs w:val="22"/>
        </w:rPr>
      </w:pPr>
      <w:r w:rsidRPr="00434402">
        <w:rPr>
          <w:i/>
          <w:szCs w:val="22"/>
        </w:rPr>
        <w:t>For more detail on PBAC’s view, see section 7 “PBAC outcome”</w:t>
      </w:r>
    </w:p>
    <w:p w:rsidR="009E363C" w:rsidRDefault="009E363C" w:rsidP="009E363C">
      <w:pPr>
        <w:pStyle w:val="ListParagraph"/>
        <w:ind w:left="709"/>
        <w:rPr>
          <w:i/>
          <w:szCs w:val="22"/>
        </w:rPr>
      </w:pPr>
    </w:p>
    <w:p w:rsidR="00F97A78" w:rsidRPr="00EC09F6" w:rsidRDefault="00F97A78" w:rsidP="00A35D16">
      <w:pPr>
        <w:widowControl/>
        <w:rPr>
          <w:szCs w:val="22"/>
        </w:rPr>
      </w:pPr>
    </w:p>
    <w:p w:rsidR="00B50DB8" w:rsidRPr="00EC09F6" w:rsidRDefault="00B50DB8" w:rsidP="005508DE">
      <w:pPr>
        <w:pStyle w:val="Heading1"/>
      </w:pPr>
      <w:bookmarkStart w:id="3" w:name="_Toc440887132"/>
      <w:r w:rsidRPr="00EC09F6">
        <w:t>Background</w:t>
      </w:r>
      <w:bookmarkEnd w:id="3"/>
    </w:p>
    <w:p w:rsidR="00B60939" w:rsidRPr="00EC09F6" w:rsidRDefault="00B60939" w:rsidP="007550BD">
      <w:pPr>
        <w:keepNext/>
        <w:widowControl/>
        <w:rPr>
          <w:szCs w:val="22"/>
        </w:rPr>
      </w:pPr>
    </w:p>
    <w:p w:rsidR="00B60939" w:rsidRPr="00201E94" w:rsidRDefault="001A5F78" w:rsidP="000D3DCF">
      <w:pPr>
        <w:pStyle w:val="ListParagraph"/>
        <w:keepNext/>
        <w:widowControl/>
        <w:numPr>
          <w:ilvl w:val="1"/>
          <w:numId w:val="2"/>
        </w:numPr>
      </w:pPr>
      <w:r w:rsidRPr="00201E94">
        <w:t>The submission was made under TGA/PBAC Parallel Process.</w:t>
      </w:r>
      <w:r w:rsidR="00594BFF" w:rsidRPr="000D3DCF">
        <w:rPr>
          <w:szCs w:val="22"/>
        </w:rPr>
        <w:t xml:space="preserve"> </w:t>
      </w:r>
      <w:r w:rsidR="00576306" w:rsidRPr="000D3DCF">
        <w:rPr>
          <w:szCs w:val="22"/>
        </w:rPr>
        <w:t xml:space="preserve">Mepolizumab was approved for registration in the Australian Register of Therapeutic Goods (ARTG), as an add-on treatment for severe refractory eosinophilic asthma in patients aged 12 years and over, on 25 January 2016. </w:t>
      </w:r>
      <w:r w:rsidR="00B60939" w:rsidRPr="000D3DCF">
        <w:t xml:space="preserve">At the time of </w:t>
      </w:r>
      <w:r w:rsidR="00CB4565" w:rsidRPr="000D3DCF">
        <w:t>evaluation</w:t>
      </w:r>
      <w:r w:rsidR="00B60939" w:rsidRPr="000D3DCF">
        <w:t>,</w:t>
      </w:r>
      <w:r w:rsidR="00852D29" w:rsidRPr="000D3DCF">
        <w:t xml:space="preserve"> the Clinical Evaluation Report</w:t>
      </w:r>
      <w:r w:rsidR="00CB4565" w:rsidRPr="000D3DCF">
        <w:t xml:space="preserve"> and Delegate Overview</w:t>
      </w:r>
      <w:r w:rsidR="00B60939" w:rsidRPr="000D3DCF">
        <w:t xml:space="preserve"> w</w:t>
      </w:r>
      <w:r w:rsidR="00CB4565" w:rsidRPr="000D3DCF">
        <w:t>ere</w:t>
      </w:r>
      <w:r w:rsidR="00B60939" w:rsidRPr="000D3DCF">
        <w:t xml:space="preserve"> available.</w:t>
      </w:r>
    </w:p>
    <w:p w:rsidR="00B60939" w:rsidRPr="00EC09F6" w:rsidRDefault="00B60939" w:rsidP="00B60939">
      <w:pPr>
        <w:pStyle w:val="ListParagraph"/>
        <w:rPr>
          <w:szCs w:val="22"/>
        </w:rPr>
      </w:pPr>
    </w:p>
    <w:p w:rsidR="004F0ED5" w:rsidRPr="00E759E5" w:rsidRDefault="00852D29" w:rsidP="00986DCF">
      <w:pPr>
        <w:pStyle w:val="ListParagraph"/>
        <w:widowControl/>
        <w:numPr>
          <w:ilvl w:val="1"/>
          <w:numId w:val="2"/>
        </w:numPr>
      </w:pPr>
      <w:r w:rsidRPr="00E759E5">
        <w:rPr>
          <w:szCs w:val="22"/>
        </w:rPr>
        <w:t xml:space="preserve">Mepolizumab has not </w:t>
      </w:r>
      <w:r w:rsidR="001A5F78" w:rsidRPr="00E759E5">
        <w:rPr>
          <w:szCs w:val="22"/>
        </w:rPr>
        <w:t xml:space="preserve">previously </w:t>
      </w:r>
      <w:r w:rsidRPr="00E759E5">
        <w:rPr>
          <w:szCs w:val="22"/>
        </w:rPr>
        <w:t>been considered by the PBAC.</w:t>
      </w:r>
    </w:p>
    <w:p w:rsidR="004F0ED5" w:rsidRPr="00E759E5" w:rsidRDefault="004F0ED5" w:rsidP="00062BED">
      <w:pPr>
        <w:pStyle w:val="ListParagraph"/>
      </w:pPr>
    </w:p>
    <w:p w:rsidR="004F0ED5" w:rsidRPr="00E759E5" w:rsidRDefault="004F0ED5" w:rsidP="00986DCF">
      <w:pPr>
        <w:pStyle w:val="ListParagraph"/>
        <w:widowControl/>
        <w:numPr>
          <w:ilvl w:val="1"/>
          <w:numId w:val="2"/>
        </w:numPr>
      </w:pPr>
      <w:r w:rsidRPr="00E759E5">
        <w:t>Omalizumab is a monoclonal antibody that targets immunoglobulin E (IgE) and was listed on the PBS in 2011</w:t>
      </w:r>
      <w:r w:rsidR="00BC14BE" w:rsidRPr="00E759E5">
        <w:t xml:space="preserve"> for severe asthma with evidence of an IgE phenotype</w:t>
      </w:r>
      <w:r w:rsidRPr="00E759E5">
        <w:t xml:space="preserve">. It is the only monoclonal antibody currently listed on the PBS for the treatment of severe refractory asthma. </w:t>
      </w:r>
      <w:r w:rsidR="00062BED" w:rsidRPr="00E759E5">
        <w:t>While m</w:t>
      </w:r>
      <w:r w:rsidRPr="00E759E5">
        <w:t>epolizumab targets the interleukin-5 pathway (i.e. eosinophil-mediated inflammation)</w:t>
      </w:r>
      <w:r w:rsidR="00062BED" w:rsidRPr="00E759E5">
        <w:t xml:space="preserve">, </w:t>
      </w:r>
      <w:r w:rsidRPr="00E759E5">
        <w:t>omalizumab more broadly targets IgE asthma</w:t>
      </w:r>
      <w:r w:rsidR="00062BED" w:rsidRPr="00E759E5">
        <w:t xml:space="preserve"> meaning t</w:t>
      </w:r>
      <w:r w:rsidRPr="00E759E5">
        <w:t xml:space="preserve">here will be overlap between the </w:t>
      </w:r>
      <w:r w:rsidR="00062BED" w:rsidRPr="00E759E5">
        <w:t xml:space="preserve">eligible </w:t>
      </w:r>
      <w:r w:rsidRPr="00E759E5">
        <w:t>populations</w:t>
      </w:r>
      <w:r w:rsidR="00BC14BE" w:rsidRPr="00E759E5">
        <w:t xml:space="preserve"> when both pathways are operating</w:t>
      </w:r>
      <w:r w:rsidR="00062BED" w:rsidRPr="00E759E5">
        <w:t xml:space="preserve">. </w:t>
      </w:r>
      <w:r w:rsidRPr="00E759E5">
        <w:t>Mepolizumab and omalizumab are n</w:t>
      </w:r>
      <w:r w:rsidR="007550BD" w:rsidRPr="00E759E5">
        <w:t>ot intended to be given conc</w:t>
      </w:r>
      <w:r w:rsidR="004A127B" w:rsidRPr="00E759E5">
        <w:t>urrently</w:t>
      </w:r>
      <w:r w:rsidRPr="00E759E5">
        <w:t>.</w:t>
      </w:r>
    </w:p>
    <w:p w:rsidR="001A5F78" w:rsidRPr="00E759E5" w:rsidRDefault="001A5F78" w:rsidP="001A5F78">
      <w:pPr>
        <w:pStyle w:val="ListParagraph"/>
      </w:pPr>
    </w:p>
    <w:p w:rsidR="001A5F78" w:rsidRPr="00E759E5" w:rsidRDefault="001A5F78" w:rsidP="00986DCF">
      <w:pPr>
        <w:pStyle w:val="ListParagraph"/>
        <w:widowControl/>
        <w:numPr>
          <w:ilvl w:val="1"/>
          <w:numId w:val="2"/>
        </w:numPr>
      </w:pPr>
      <w:r w:rsidRPr="00E759E5">
        <w:lastRenderedPageBreak/>
        <w:t xml:space="preserve">At the November 2015 meeting the PBAC recommended </w:t>
      </w:r>
      <w:r w:rsidRPr="00E759E5">
        <w:rPr>
          <w:bCs/>
          <w:iCs/>
          <w:lang w:val="en-GB"/>
        </w:rPr>
        <w:t>expanding the listing of omalizumab for the treatment of severe allergic asthma in patients with a baseline IgE of 30</w:t>
      </w:r>
      <w:r w:rsidRPr="00E759E5">
        <w:rPr>
          <w:bCs/>
          <w:iCs/>
          <w:lang w:val="en-GB"/>
        </w:rPr>
        <w:noBreakHyphen/>
        <w:t>75 IU/mL on the basis that it should be available only under special arrangements under Section 100 (Highly Specialised Drugs Program).</w:t>
      </w:r>
    </w:p>
    <w:p w:rsidR="00503841" w:rsidRPr="00E759E5" w:rsidRDefault="00503841" w:rsidP="00503841">
      <w:pPr>
        <w:pStyle w:val="ListParagraph"/>
      </w:pPr>
    </w:p>
    <w:p w:rsidR="00503841" w:rsidRPr="00E759E5" w:rsidRDefault="00F45906" w:rsidP="00986DCF">
      <w:pPr>
        <w:pStyle w:val="ListParagraph"/>
        <w:widowControl/>
        <w:numPr>
          <w:ilvl w:val="1"/>
          <w:numId w:val="2"/>
        </w:numPr>
        <w:rPr>
          <w:szCs w:val="22"/>
        </w:rPr>
      </w:pPr>
      <w:r w:rsidRPr="00E759E5">
        <w:rPr>
          <w:szCs w:val="22"/>
        </w:rPr>
        <w:t>At the March 2016 meeting, t</w:t>
      </w:r>
      <w:r w:rsidR="00503841" w:rsidRPr="00E759E5">
        <w:rPr>
          <w:szCs w:val="22"/>
        </w:rPr>
        <w:t xml:space="preserve">he PBAC is </w:t>
      </w:r>
      <w:r w:rsidR="007E1B22" w:rsidRPr="00E759E5">
        <w:rPr>
          <w:szCs w:val="22"/>
        </w:rPr>
        <w:t xml:space="preserve">also </w:t>
      </w:r>
      <w:r w:rsidR="00503841" w:rsidRPr="00E759E5">
        <w:rPr>
          <w:szCs w:val="22"/>
        </w:rPr>
        <w:t xml:space="preserve">considering tiotropium, a </w:t>
      </w:r>
      <w:r w:rsidR="00BC14BE" w:rsidRPr="00E759E5">
        <w:rPr>
          <w:szCs w:val="22"/>
        </w:rPr>
        <w:t>Long</w:t>
      </w:r>
      <w:r w:rsidR="00503841" w:rsidRPr="00E759E5">
        <w:rPr>
          <w:szCs w:val="22"/>
        </w:rPr>
        <w:t>-</w:t>
      </w:r>
      <w:r w:rsidR="00BC14BE" w:rsidRPr="00E759E5">
        <w:rPr>
          <w:szCs w:val="22"/>
        </w:rPr>
        <w:t>Acting M</w:t>
      </w:r>
      <w:r w:rsidR="00B22A26" w:rsidRPr="00E759E5">
        <w:rPr>
          <w:szCs w:val="22"/>
        </w:rPr>
        <w:t xml:space="preserve">uscarinic </w:t>
      </w:r>
      <w:r w:rsidR="00BC14BE" w:rsidRPr="00E759E5">
        <w:rPr>
          <w:szCs w:val="22"/>
        </w:rPr>
        <w:t>Anta</w:t>
      </w:r>
      <w:r w:rsidR="00503841" w:rsidRPr="00E759E5">
        <w:rPr>
          <w:szCs w:val="22"/>
        </w:rPr>
        <w:t>gonist</w:t>
      </w:r>
      <w:r w:rsidR="007E1B22" w:rsidRPr="00E759E5">
        <w:rPr>
          <w:szCs w:val="22"/>
        </w:rPr>
        <w:t xml:space="preserve"> (</w:t>
      </w:r>
      <w:r w:rsidR="00B22A26" w:rsidRPr="00E759E5">
        <w:rPr>
          <w:szCs w:val="22"/>
        </w:rPr>
        <w:t>LAMA</w:t>
      </w:r>
      <w:r w:rsidR="007E1B22" w:rsidRPr="00E759E5">
        <w:rPr>
          <w:szCs w:val="22"/>
        </w:rPr>
        <w:t>)</w:t>
      </w:r>
      <w:r w:rsidR="00503841" w:rsidRPr="00E759E5">
        <w:rPr>
          <w:szCs w:val="22"/>
        </w:rPr>
        <w:t xml:space="preserve"> for the</w:t>
      </w:r>
      <w:r w:rsidR="007E1B22" w:rsidRPr="00E759E5">
        <w:rPr>
          <w:szCs w:val="22"/>
        </w:rPr>
        <w:t xml:space="preserve"> treatment of severe asthma</w:t>
      </w:r>
      <w:r w:rsidR="00503841" w:rsidRPr="00E759E5">
        <w:rPr>
          <w:szCs w:val="22"/>
        </w:rPr>
        <w:t xml:space="preserve"> </w:t>
      </w:r>
      <w:r w:rsidR="007E1B22" w:rsidRPr="00E759E5">
        <w:rPr>
          <w:szCs w:val="22"/>
        </w:rPr>
        <w:t>in adults who have experienced at least one severe exacerbation, which has required use of systemic corticosteroids, in the previous 12 months while receiving optimised asthma therapy.</w:t>
      </w:r>
    </w:p>
    <w:p w:rsidR="009E363C" w:rsidRDefault="009E363C" w:rsidP="009E363C">
      <w:pPr>
        <w:pStyle w:val="ListParagraph"/>
        <w:ind w:left="709"/>
        <w:rPr>
          <w:i/>
          <w:szCs w:val="22"/>
        </w:rPr>
      </w:pPr>
    </w:p>
    <w:p w:rsidR="00E2776C" w:rsidRPr="00EC09F6" w:rsidRDefault="00E2776C" w:rsidP="004B1CB4"/>
    <w:p w:rsidR="00B50DB8" w:rsidRPr="00EC09F6" w:rsidRDefault="00B50DB8" w:rsidP="005508DE">
      <w:pPr>
        <w:pStyle w:val="Heading1"/>
      </w:pPr>
      <w:bookmarkStart w:id="4" w:name="_Toc440887133"/>
      <w:r w:rsidRPr="00EC09F6">
        <w:t>Clinical place for the proposed therapy</w:t>
      </w:r>
      <w:bookmarkEnd w:id="4"/>
    </w:p>
    <w:p w:rsidR="00B60939" w:rsidRPr="00EC09F6" w:rsidRDefault="00B60939" w:rsidP="00B60939">
      <w:pPr>
        <w:rPr>
          <w:szCs w:val="22"/>
        </w:rPr>
      </w:pPr>
    </w:p>
    <w:p w:rsidR="00D3284F" w:rsidRPr="00E759E5" w:rsidRDefault="005C3422" w:rsidP="00986DCF">
      <w:pPr>
        <w:pStyle w:val="ListParagraph"/>
        <w:widowControl/>
        <w:numPr>
          <w:ilvl w:val="1"/>
          <w:numId w:val="2"/>
        </w:numPr>
        <w:rPr>
          <w:szCs w:val="22"/>
        </w:rPr>
      </w:pPr>
      <w:r w:rsidRPr="00E759E5">
        <w:t xml:space="preserve">Eosinophilic asthma is a Type 2 T helper driven asthma inflammation which </w:t>
      </w:r>
      <w:r w:rsidR="00D3284F" w:rsidRPr="00E759E5">
        <w:t xml:space="preserve">differs from atopic and allergic asthma in that it </w:t>
      </w:r>
      <w:r w:rsidRPr="00E759E5">
        <w:t xml:space="preserve">is usually later-onset (≥ 20 years), more severe, less allergic and is often refractory to corticosteroid therapy. Patients suffer from persistent symptoms and acute exacerbations despite treatment with high-dose inhaled corticosteroids (ICS) plus additional controller therapy. Some patients </w:t>
      </w:r>
      <w:r w:rsidR="004361D3" w:rsidRPr="00E759E5">
        <w:t>who h</w:t>
      </w:r>
      <w:r w:rsidR="006F510C" w:rsidRPr="00E759E5">
        <w:t>ave eosinophilic asthma</w:t>
      </w:r>
      <w:r w:rsidR="004361D3" w:rsidRPr="00E759E5">
        <w:t xml:space="preserve"> also have allergic asthma</w:t>
      </w:r>
      <w:r w:rsidRPr="00E759E5">
        <w:t>.</w:t>
      </w:r>
      <w:r w:rsidR="00D3284F" w:rsidRPr="00E759E5">
        <w:rPr>
          <w:szCs w:val="22"/>
        </w:rPr>
        <w:t xml:space="preserve"> </w:t>
      </w:r>
    </w:p>
    <w:p w:rsidR="00894489" w:rsidRPr="00E759E5" w:rsidRDefault="00894489" w:rsidP="00894489">
      <w:pPr>
        <w:widowControl/>
        <w:rPr>
          <w:szCs w:val="22"/>
        </w:rPr>
      </w:pPr>
    </w:p>
    <w:p w:rsidR="00B60939" w:rsidRPr="00E759E5" w:rsidRDefault="00402879" w:rsidP="00986DCF">
      <w:pPr>
        <w:pStyle w:val="ListParagraph"/>
        <w:widowControl/>
        <w:numPr>
          <w:ilvl w:val="1"/>
          <w:numId w:val="2"/>
        </w:numPr>
        <w:rPr>
          <w:szCs w:val="22"/>
        </w:rPr>
      </w:pPr>
      <w:r w:rsidRPr="00E759E5">
        <w:t>Mepolizumab is recommended as an add-on therapy for patients with eosinophilic severe asthma. Mepolizumab would be used in combination with standard of care. It is given by subcutaneous</w:t>
      </w:r>
      <w:r w:rsidR="00062BED" w:rsidRPr="00E759E5">
        <w:t xml:space="preserve"> (SC)</w:t>
      </w:r>
      <w:r w:rsidRPr="00E759E5">
        <w:t xml:space="preserve"> injection once every four</w:t>
      </w:r>
      <w:r w:rsidR="00062BED" w:rsidRPr="00E759E5">
        <w:t xml:space="preserve"> weeks</w:t>
      </w:r>
      <w:r w:rsidRPr="00E759E5">
        <w:t>.</w:t>
      </w:r>
    </w:p>
    <w:p w:rsidR="000652E2" w:rsidRPr="00E759E5" w:rsidRDefault="000652E2" w:rsidP="000652E2">
      <w:pPr>
        <w:pStyle w:val="ListParagraph"/>
        <w:rPr>
          <w:szCs w:val="22"/>
        </w:rPr>
      </w:pPr>
    </w:p>
    <w:p w:rsidR="000652E2" w:rsidRDefault="000652E2" w:rsidP="000652E2">
      <w:pPr>
        <w:pStyle w:val="ListParagraph"/>
        <w:widowControl/>
        <w:numPr>
          <w:ilvl w:val="1"/>
          <w:numId w:val="2"/>
        </w:numPr>
        <w:rPr>
          <w:szCs w:val="22"/>
        </w:rPr>
      </w:pPr>
      <w:r w:rsidRPr="00E759E5">
        <w:rPr>
          <w:szCs w:val="22"/>
        </w:rPr>
        <w:t>As shown in the figure below, in patients with eosinophilic asthma who are eligible for omalizumab, mepolizumab provides an additional treatment option. In patients with eosinophilic asthma who aren’t eligible for omalizumab mepolizumab will provide an alternative to standard medical management.</w:t>
      </w:r>
    </w:p>
    <w:p w:rsidR="0029121B" w:rsidRDefault="0029121B" w:rsidP="0029121B">
      <w:pPr>
        <w:rPr>
          <w:szCs w:val="22"/>
        </w:rPr>
      </w:pPr>
    </w:p>
    <w:p w:rsidR="0029121B" w:rsidRDefault="0029121B">
      <w:pPr>
        <w:widowControl/>
        <w:jc w:val="left"/>
        <w:rPr>
          <w:szCs w:val="22"/>
        </w:rPr>
      </w:pPr>
      <w:r>
        <w:rPr>
          <w:szCs w:val="22"/>
        </w:rPr>
        <w:br w:type="page"/>
      </w:r>
    </w:p>
    <w:p w:rsidR="00D3284F" w:rsidRDefault="005508DE" w:rsidP="0029121B">
      <w:pPr>
        <w:ind w:firstLine="720"/>
        <w:rPr>
          <w:rFonts w:ascii="Arial Narrow" w:hAnsi="Arial Narrow"/>
          <w:b/>
          <w:sz w:val="20"/>
          <w:szCs w:val="22"/>
        </w:rPr>
      </w:pPr>
      <w:r w:rsidRPr="0029121B">
        <w:rPr>
          <w:rFonts w:ascii="Arial Narrow" w:hAnsi="Arial Narrow"/>
          <w:b/>
          <w:sz w:val="20"/>
          <w:szCs w:val="22"/>
        </w:rPr>
        <w:lastRenderedPageBreak/>
        <w:t xml:space="preserve">Figure 1: </w:t>
      </w:r>
      <w:r w:rsidR="0094433E" w:rsidRPr="0029121B">
        <w:rPr>
          <w:rFonts w:ascii="Arial Narrow" w:hAnsi="Arial Narrow"/>
          <w:b/>
          <w:sz w:val="20"/>
          <w:szCs w:val="22"/>
        </w:rPr>
        <w:t>Severe asthma treatment pathway</w:t>
      </w:r>
    </w:p>
    <w:p w:rsidR="0029121B" w:rsidRDefault="0029121B" w:rsidP="0029121B">
      <w:pPr>
        <w:ind w:firstLine="720"/>
        <w:rPr>
          <w:rFonts w:ascii="Arial Narrow" w:hAnsi="Arial Narrow"/>
          <w:b/>
          <w:sz w:val="20"/>
          <w:szCs w:val="22"/>
        </w:rPr>
      </w:pPr>
    </w:p>
    <w:p w:rsidR="0029121B" w:rsidRPr="0029121B" w:rsidRDefault="0029121B" w:rsidP="0029121B">
      <w:pPr>
        <w:ind w:firstLine="720"/>
        <w:rPr>
          <w:rFonts w:ascii="Arial Narrow" w:hAnsi="Arial Narrow"/>
          <w:b/>
          <w:sz w:val="20"/>
          <w:szCs w:val="22"/>
        </w:rPr>
      </w:pPr>
    </w:p>
    <w:p w:rsidR="009E363C" w:rsidRDefault="000652E2" w:rsidP="005508DE">
      <w:pPr>
        <w:pStyle w:val="ListParagraph"/>
        <w:widowControl/>
        <w:rPr>
          <w:i/>
          <w:szCs w:val="22"/>
        </w:rPr>
      </w:pPr>
      <w:r w:rsidRPr="001B2883">
        <w:rPr>
          <w:noProof/>
          <w:lang w:eastAsia="en-AU"/>
        </w:rPr>
        <w:drawing>
          <wp:inline distT="0" distB="0" distL="0" distR="0" wp14:anchorId="3444696A" wp14:editId="3F8CC52D">
            <wp:extent cx="5362575" cy="4000500"/>
            <wp:effectExtent l="0" t="0" r="0" b="0"/>
            <wp:docPr id="7" name="Picture 2" title="Severe asthma treatment pathway"/>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srcRect/>
                    <a:stretch>
                      <a:fillRect/>
                    </a:stretch>
                  </pic:blipFill>
                  <pic:spPr bwMode="auto">
                    <a:xfrm>
                      <a:off x="0" y="0"/>
                      <a:ext cx="5360793" cy="3999171"/>
                    </a:xfrm>
                    <a:prstGeom prst="rect">
                      <a:avLst/>
                    </a:prstGeom>
                    <a:noFill/>
                    <a:ln w="9525">
                      <a:noFill/>
                      <a:miter lim="800000"/>
                      <a:headEnd/>
                      <a:tailEnd/>
                    </a:ln>
                    <a:effectLst/>
                  </pic:spPr>
                </pic:pic>
              </a:graphicData>
            </a:graphic>
          </wp:inline>
        </w:drawing>
      </w:r>
      <w:r w:rsidR="0094433E" w:rsidRPr="00427DA3">
        <w:rPr>
          <w:rFonts w:ascii="Arial Narrow" w:hAnsi="Arial Narrow"/>
          <w:sz w:val="18"/>
          <w:szCs w:val="22"/>
        </w:rPr>
        <w:t>Source: Attachment A2 of the submission, p.13 mepolizumab advisory board minutes</w:t>
      </w:r>
    </w:p>
    <w:p w:rsidR="0094433E" w:rsidRDefault="0094433E" w:rsidP="005508DE">
      <w:pPr>
        <w:pStyle w:val="ListParagraph"/>
        <w:widowControl/>
        <w:rPr>
          <w:i/>
          <w:szCs w:val="22"/>
        </w:rPr>
      </w:pPr>
    </w:p>
    <w:p w:rsidR="00F95492" w:rsidRPr="00F95492" w:rsidRDefault="00F95492" w:rsidP="00F95492">
      <w:pPr>
        <w:numPr>
          <w:ilvl w:val="1"/>
          <w:numId w:val="2"/>
        </w:numPr>
        <w:contextualSpacing/>
        <w:rPr>
          <w:bCs/>
          <w:szCs w:val="22"/>
        </w:rPr>
      </w:pPr>
      <w:r w:rsidRPr="00F95492">
        <w:rPr>
          <w:bCs/>
          <w:szCs w:val="22"/>
        </w:rPr>
        <w:t xml:space="preserve">The PBAC received advice from the Thoracic Society of Australia and New Zealand (TSANZ) regarding the clinical distinction between eosinophilic asthma and IgE driven asthma. The PBAC noted the advice that eosinophilic asthma and IgE driven asthma are two distinct phenotypes with different molecular pathways and targeted therapies, and that while there is some overlap between the two asthma phenotypes, there is sufficient distinction to allow recognition and application of different therapies to each phenotype. </w:t>
      </w:r>
    </w:p>
    <w:p w:rsidR="0084351E" w:rsidRPr="00F95492" w:rsidRDefault="0084351E" w:rsidP="009E363C">
      <w:pPr>
        <w:pStyle w:val="ListParagraph"/>
        <w:ind w:left="709"/>
        <w:rPr>
          <w:i/>
          <w:szCs w:val="22"/>
        </w:rPr>
      </w:pPr>
    </w:p>
    <w:p w:rsidR="0084351E" w:rsidRDefault="0084351E" w:rsidP="0084351E">
      <w:pPr>
        <w:pStyle w:val="ListParagraph"/>
        <w:ind w:left="709"/>
        <w:rPr>
          <w:i/>
          <w:szCs w:val="22"/>
        </w:rPr>
      </w:pPr>
      <w:r w:rsidRPr="00F95492">
        <w:rPr>
          <w:i/>
          <w:szCs w:val="22"/>
        </w:rPr>
        <w:t>For more detail on PBAC’s view, see section 7 “PBAC outcome”</w:t>
      </w:r>
    </w:p>
    <w:p w:rsidR="00E2776C" w:rsidRDefault="00E2776C" w:rsidP="002C2775">
      <w:pPr>
        <w:widowControl/>
        <w:rPr>
          <w:szCs w:val="22"/>
        </w:rPr>
      </w:pPr>
    </w:p>
    <w:p w:rsidR="005508DE" w:rsidRPr="00EC09F6" w:rsidRDefault="005508DE" w:rsidP="002C2775">
      <w:pPr>
        <w:widowControl/>
        <w:rPr>
          <w:szCs w:val="22"/>
        </w:rPr>
      </w:pPr>
    </w:p>
    <w:p w:rsidR="00B50DB8" w:rsidRPr="00EC09F6" w:rsidRDefault="00B50DB8" w:rsidP="005508DE">
      <w:pPr>
        <w:pStyle w:val="Heading1"/>
        <w:rPr>
          <w:b w:val="0"/>
        </w:rPr>
      </w:pPr>
      <w:bookmarkStart w:id="5" w:name="_Toc440887134"/>
      <w:r w:rsidRPr="00EC09F6">
        <w:t>Comparator</w:t>
      </w:r>
      <w:bookmarkEnd w:id="5"/>
    </w:p>
    <w:p w:rsidR="00B60939" w:rsidRPr="00EC09F6" w:rsidRDefault="00B60939" w:rsidP="004B1CB4"/>
    <w:p w:rsidR="004F0ED5" w:rsidRPr="00E759E5" w:rsidRDefault="000652E2" w:rsidP="00986DCF">
      <w:pPr>
        <w:pStyle w:val="ListParagraph"/>
        <w:widowControl/>
        <w:numPr>
          <w:ilvl w:val="1"/>
          <w:numId w:val="2"/>
        </w:numPr>
        <w:rPr>
          <w:szCs w:val="22"/>
        </w:rPr>
      </w:pPr>
      <w:r w:rsidRPr="00E759E5">
        <w:t>The proposed PBS population for mepolizumab includes two distinct groups of patients with eosinophilic asthma: those currently eligible for omalizumab (in whom mepolizumab will replace omalizumab) and those who are ineligible for omalizumab (in whom mepolizuma</w:t>
      </w:r>
      <w:r w:rsidR="00BD64DE">
        <w:t>b</w:t>
      </w:r>
      <w:r w:rsidRPr="00E759E5">
        <w:t xml:space="preserve"> adds an additional option to standard medical management). For this reason, t</w:t>
      </w:r>
      <w:r w:rsidR="004F0ED5" w:rsidRPr="00E759E5">
        <w:t>he submission nominated two comparators:</w:t>
      </w:r>
    </w:p>
    <w:p w:rsidR="000652E2" w:rsidRPr="00E759E5" w:rsidRDefault="000652E2" w:rsidP="000652E2">
      <w:pPr>
        <w:pStyle w:val="ListParagraph"/>
        <w:widowControl/>
        <w:rPr>
          <w:szCs w:val="22"/>
        </w:rPr>
      </w:pPr>
    </w:p>
    <w:p w:rsidR="00402879" w:rsidRPr="00E759E5" w:rsidRDefault="000652E2" w:rsidP="009D1864">
      <w:pPr>
        <w:pStyle w:val="ListParagraph"/>
        <w:widowControl/>
        <w:ind w:left="993" w:hanging="284"/>
        <w:rPr>
          <w:szCs w:val="22"/>
        </w:rPr>
      </w:pPr>
      <w:r w:rsidRPr="00E759E5">
        <w:t>1. Placebo/standard of care in</w:t>
      </w:r>
      <w:r w:rsidR="00402879" w:rsidRPr="00E759E5">
        <w:t xml:space="preserve"> patients not </w:t>
      </w:r>
      <w:r w:rsidRPr="00E759E5">
        <w:t xml:space="preserve">currently </w:t>
      </w:r>
      <w:r w:rsidR="00402879" w:rsidRPr="00E759E5">
        <w:t xml:space="preserve">eligible for omalizumab. </w:t>
      </w:r>
    </w:p>
    <w:p w:rsidR="00B60939" w:rsidRPr="00E759E5" w:rsidRDefault="000652E2" w:rsidP="00986DCF">
      <w:pPr>
        <w:pStyle w:val="ListParagraph"/>
        <w:widowControl/>
        <w:numPr>
          <w:ilvl w:val="0"/>
          <w:numId w:val="6"/>
        </w:numPr>
        <w:ind w:left="1004" w:hanging="284"/>
        <w:rPr>
          <w:szCs w:val="22"/>
        </w:rPr>
      </w:pPr>
      <w:r w:rsidRPr="00E759E5">
        <w:t>Omalizumab in</w:t>
      </w:r>
      <w:r w:rsidR="00402879" w:rsidRPr="00E759E5">
        <w:t xml:space="preserve"> patients who are </w:t>
      </w:r>
      <w:r w:rsidRPr="00E759E5">
        <w:t xml:space="preserve">currently </w:t>
      </w:r>
      <w:r w:rsidR="00402879" w:rsidRPr="00E759E5">
        <w:t xml:space="preserve">eligible </w:t>
      </w:r>
      <w:r w:rsidRPr="00E759E5">
        <w:t>for</w:t>
      </w:r>
      <w:r w:rsidR="00402879" w:rsidRPr="00E759E5">
        <w:t xml:space="preserve"> omalizumab. </w:t>
      </w:r>
    </w:p>
    <w:p w:rsidR="00402879" w:rsidRPr="00E759E5" w:rsidRDefault="00402879" w:rsidP="00402879">
      <w:pPr>
        <w:widowControl/>
        <w:ind w:left="720"/>
        <w:rPr>
          <w:szCs w:val="22"/>
        </w:rPr>
      </w:pPr>
    </w:p>
    <w:p w:rsidR="00402879" w:rsidRPr="00E759E5" w:rsidRDefault="00402879" w:rsidP="00402879">
      <w:pPr>
        <w:widowControl/>
        <w:ind w:left="720"/>
        <w:rPr>
          <w:szCs w:val="22"/>
        </w:rPr>
      </w:pPr>
      <w:r w:rsidRPr="00E759E5">
        <w:rPr>
          <w:szCs w:val="22"/>
        </w:rPr>
        <w:t>The comparators were appropriate.</w:t>
      </w:r>
    </w:p>
    <w:p w:rsidR="009E363C" w:rsidRDefault="009E363C" w:rsidP="009E363C">
      <w:pPr>
        <w:pStyle w:val="ListParagraph"/>
        <w:ind w:left="709"/>
        <w:rPr>
          <w:i/>
          <w:szCs w:val="22"/>
        </w:rPr>
      </w:pPr>
    </w:p>
    <w:p w:rsidR="009E363C" w:rsidRDefault="009E363C" w:rsidP="00CD08AF">
      <w:pPr>
        <w:pStyle w:val="ListParagraph"/>
        <w:ind w:left="709"/>
        <w:rPr>
          <w:i/>
          <w:szCs w:val="22"/>
        </w:rPr>
      </w:pPr>
      <w:r w:rsidRPr="00757545">
        <w:rPr>
          <w:i/>
          <w:szCs w:val="22"/>
        </w:rPr>
        <w:t>For more detail on PBAC’s view, see section 7 “PBAC outcome”</w:t>
      </w:r>
    </w:p>
    <w:p w:rsidR="009E363C" w:rsidRDefault="009E363C" w:rsidP="009E363C">
      <w:pPr>
        <w:pStyle w:val="ListParagraph"/>
        <w:ind w:left="709"/>
        <w:rPr>
          <w:i/>
          <w:szCs w:val="22"/>
        </w:rPr>
      </w:pPr>
    </w:p>
    <w:p w:rsidR="00402879" w:rsidRPr="00EC09F6" w:rsidRDefault="00402879" w:rsidP="00402879">
      <w:pPr>
        <w:widowControl/>
        <w:ind w:left="720"/>
        <w:rPr>
          <w:szCs w:val="22"/>
        </w:rPr>
      </w:pPr>
    </w:p>
    <w:p w:rsidR="00B50DB8" w:rsidRPr="00EC09F6" w:rsidRDefault="00BD6CF3" w:rsidP="005508DE">
      <w:pPr>
        <w:pStyle w:val="Heading1"/>
      </w:pPr>
      <w:bookmarkStart w:id="6" w:name="_Toc440887135"/>
      <w:r w:rsidRPr="00EC09F6">
        <w:t>C</w:t>
      </w:r>
      <w:r w:rsidR="00B50DB8" w:rsidRPr="00EC09F6">
        <w:t>onsideration of the evidence</w:t>
      </w:r>
      <w:bookmarkEnd w:id="6"/>
    </w:p>
    <w:p w:rsidR="00B60939" w:rsidRDefault="00B60939" w:rsidP="000D3DCF"/>
    <w:p w:rsidR="00201E94" w:rsidRDefault="00201E94" w:rsidP="000D3DCF">
      <w:pPr>
        <w:pStyle w:val="Heading2"/>
        <w:rPr>
          <w:i/>
        </w:rPr>
      </w:pPr>
      <w:r w:rsidRPr="000D3DCF">
        <w:rPr>
          <w:i/>
        </w:rPr>
        <w:t>Sponsor hearing</w:t>
      </w:r>
    </w:p>
    <w:p w:rsidR="000D3DCF" w:rsidRPr="000D3DCF" w:rsidRDefault="000D3DCF" w:rsidP="000D3DCF"/>
    <w:p w:rsidR="000D3DCF" w:rsidRPr="000D3DCF" w:rsidRDefault="000D3DCF" w:rsidP="000D3DCF">
      <w:pPr>
        <w:numPr>
          <w:ilvl w:val="1"/>
          <w:numId w:val="2"/>
        </w:numPr>
        <w:contextualSpacing/>
        <w:rPr>
          <w:bCs/>
          <w:szCs w:val="22"/>
        </w:rPr>
      </w:pPr>
      <w:r w:rsidRPr="000D3DCF">
        <w:rPr>
          <w:bCs/>
          <w:szCs w:val="22"/>
        </w:rPr>
        <w:t>There was no hearing for this item.</w:t>
      </w:r>
    </w:p>
    <w:p w:rsidR="00201E94" w:rsidRPr="003A49F2" w:rsidRDefault="00201E94" w:rsidP="000D3DCF">
      <w:pPr>
        <w:rPr>
          <w:bCs/>
          <w:szCs w:val="22"/>
          <w:highlight w:val="yellow"/>
        </w:rPr>
      </w:pPr>
    </w:p>
    <w:p w:rsidR="00201E94" w:rsidRDefault="00201E94" w:rsidP="000D3DCF">
      <w:pPr>
        <w:pStyle w:val="Heading2"/>
        <w:rPr>
          <w:i/>
        </w:rPr>
      </w:pPr>
      <w:r w:rsidRPr="000D3DCF">
        <w:rPr>
          <w:i/>
        </w:rPr>
        <w:t>Consumer comments</w:t>
      </w:r>
    </w:p>
    <w:p w:rsidR="000D3DCF" w:rsidRPr="000D3DCF" w:rsidRDefault="000D3DCF" w:rsidP="000D3DCF"/>
    <w:p w:rsidR="000F2918" w:rsidRPr="000F2918" w:rsidRDefault="000F2918" w:rsidP="000F2918">
      <w:pPr>
        <w:numPr>
          <w:ilvl w:val="1"/>
          <w:numId w:val="2"/>
        </w:numPr>
        <w:contextualSpacing/>
        <w:rPr>
          <w:bCs/>
          <w:szCs w:val="22"/>
        </w:rPr>
      </w:pPr>
      <w:r w:rsidRPr="000F2918">
        <w:rPr>
          <w:bCs/>
          <w:szCs w:val="22"/>
        </w:rPr>
        <w:t>The PBAC noted and welcomed the input from individuals (2) and organisations (1) via the Consumer Comments facility on the PBS website.  The comments described a need for new</w:t>
      </w:r>
      <w:r w:rsidR="00217DAA">
        <w:rPr>
          <w:bCs/>
          <w:szCs w:val="22"/>
        </w:rPr>
        <w:t xml:space="preserve"> targeted</w:t>
      </w:r>
      <w:r w:rsidRPr="000F2918">
        <w:rPr>
          <w:bCs/>
          <w:szCs w:val="22"/>
        </w:rPr>
        <w:t xml:space="preserve"> drugs to treat </w:t>
      </w:r>
      <w:r>
        <w:rPr>
          <w:bCs/>
          <w:szCs w:val="22"/>
        </w:rPr>
        <w:t>eosinophilic</w:t>
      </w:r>
      <w:r w:rsidRPr="000F2918">
        <w:rPr>
          <w:bCs/>
          <w:szCs w:val="22"/>
        </w:rPr>
        <w:t xml:space="preserve"> asthma and the potential for mepolizumab to improve quality of life for patients.  </w:t>
      </w:r>
      <w:r w:rsidR="00217DAA">
        <w:rPr>
          <w:bCs/>
          <w:szCs w:val="22"/>
        </w:rPr>
        <w:t>The comment from the National Asthma Council Australia highlighted that for patients with severe asthma and difficult to control symptoms, there are costs to the community in terms of lost productivity, more hospitalisations, formal care costs and reduced quality of life.</w:t>
      </w:r>
    </w:p>
    <w:p w:rsidR="00201E94" w:rsidRPr="003A49F2" w:rsidRDefault="00201E94" w:rsidP="000D3DCF">
      <w:pPr>
        <w:contextualSpacing/>
        <w:rPr>
          <w:bCs/>
          <w:szCs w:val="22"/>
          <w:highlight w:val="yellow"/>
        </w:rPr>
      </w:pPr>
    </w:p>
    <w:p w:rsidR="00B60939" w:rsidRPr="000D3DCF" w:rsidRDefault="00B60939" w:rsidP="002C2775">
      <w:pPr>
        <w:pStyle w:val="Heading2"/>
        <w:rPr>
          <w:i/>
        </w:rPr>
      </w:pPr>
      <w:bookmarkStart w:id="7" w:name="_Toc440887136"/>
      <w:r w:rsidRPr="000D3DCF">
        <w:rPr>
          <w:i/>
        </w:rPr>
        <w:t>Clinical trials</w:t>
      </w:r>
      <w:bookmarkEnd w:id="7"/>
    </w:p>
    <w:p w:rsidR="00B60939" w:rsidRPr="00EC09F6" w:rsidRDefault="00B60939" w:rsidP="00B60939">
      <w:pPr>
        <w:rPr>
          <w:szCs w:val="22"/>
        </w:rPr>
      </w:pPr>
    </w:p>
    <w:p w:rsidR="007F1017" w:rsidRPr="00E759E5" w:rsidRDefault="00862502" w:rsidP="00986DCF">
      <w:pPr>
        <w:pStyle w:val="ListParagraph"/>
        <w:widowControl/>
        <w:numPr>
          <w:ilvl w:val="1"/>
          <w:numId w:val="2"/>
        </w:numPr>
        <w:rPr>
          <w:szCs w:val="22"/>
        </w:rPr>
      </w:pPr>
      <w:r w:rsidRPr="00E759E5">
        <w:t xml:space="preserve">The submission </w:t>
      </w:r>
      <w:r w:rsidR="00C037B2" w:rsidRPr="00E759E5">
        <w:t>presented</w:t>
      </w:r>
      <w:r w:rsidR="00E42160" w:rsidRPr="00E759E5">
        <w:t xml:space="preserve"> a direct comparison</w:t>
      </w:r>
      <w:r w:rsidR="00D702A7" w:rsidRPr="00E759E5">
        <w:t xml:space="preserve"> (against standard of care)</w:t>
      </w:r>
      <w:r w:rsidR="00E42160" w:rsidRPr="00E759E5">
        <w:t xml:space="preserve"> and an indirect comparison</w:t>
      </w:r>
      <w:r w:rsidR="00D702A7" w:rsidRPr="00E759E5">
        <w:t xml:space="preserve"> (against omalizumab)</w:t>
      </w:r>
      <w:r w:rsidR="00E42160" w:rsidRPr="00E759E5">
        <w:t xml:space="preserve">. The direct comparison </w:t>
      </w:r>
      <w:r w:rsidR="00C037B2" w:rsidRPr="00E759E5">
        <w:t>wa</w:t>
      </w:r>
      <w:r w:rsidRPr="00E759E5">
        <w:t xml:space="preserve">s based on </w:t>
      </w:r>
      <w:r w:rsidR="00E42160" w:rsidRPr="00E759E5">
        <w:t xml:space="preserve">three </w:t>
      </w:r>
      <w:r w:rsidRPr="00E759E5">
        <w:t>head-to-head trial</w:t>
      </w:r>
      <w:r w:rsidR="00E42160" w:rsidRPr="00E759E5">
        <w:t>s</w:t>
      </w:r>
      <w:r w:rsidRPr="00E759E5">
        <w:t xml:space="preserve"> </w:t>
      </w:r>
      <w:r w:rsidR="002D766D" w:rsidRPr="00E759E5">
        <w:t>comparing mepolizumab to standard of care</w:t>
      </w:r>
      <w:r w:rsidR="004A01D4" w:rsidRPr="00E759E5">
        <w:t xml:space="preserve"> (Studies 588, 575 and 997)</w:t>
      </w:r>
      <w:r w:rsidR="00C037B2" w:rsidRPr="00E759E5">
        <w:t>. The indirect comparison wa</w:t>
      </w:r>
      <w:r w:rsidR="002D766D" w:rsidRPr="00E759E5">
        <w:t>s based on six head-to-head trials; two comparing mepolizumab to standard of care</w:t>
      </w:r>
      <w:r w:rsidR="00C037B2" w:rsidRPr="00E759E5">
        <w:t xml:space="preserve"> (Studies 588 and 997)</w:t>
      </w:r>
      <w:r w:rsidR="002D766D" w:rsidRPr="00E759E5">
        <w:t xml:space="preserve"> and four comparing omalizumab to standard of care</w:t>
      </w:r>
      <w:r w:rsidR="004A01D4" w:rsidRPr="00E759E5">
        <w:t xml:space="preserve"> (INNOVATE, EXTRA, ETOPA and EXALT).</w:t>
      </w:r>
    </w:p>
    <w:p w:rsidR="00862502" w:rsidRPr="00E759E5" w:rsidRDefault="00862502" w:rsidP="00862502">
      <w:pPr>
        <w:widowControl/>
        <w:rPr>
          <w:szCs w:val="22"/>
        </w:rPr>
      </w:pPr>
    </w:p>
    <w:p w:rsidR="00862502" w:rsidRPr="00E759E5" w:rsidRDefault="00862502" w:rsidP="00986DCF">
      <w:pPr>
        <w:pStyle w:val="ListParagraph"/>
        <w:widowControl/>
        <w:numPr>
          <w:ilvl w:val="1"/>
          <w:numId w:val="2"/>
        </w:numPr>
        <w:rPr>
          <w:szCs w:val="22"/>
        </w:rPr>
      </w:pPr>
      <w:r w:rsidRPr="00E759E5">
        <w:rPr>
          <w:szCs w:val="22"/>
        </w:rPr>
        <w:t xml:space="preserve">Details of the trials presented in the submission are provided in the table below. </w:t>
      </w:r>
      <w:r w:rsidR="00456F01" w:rsidRPr="00E759E5">
        <w:rPr>
          <w:szCs w:val="22"/>
        </w:rPr>
        <w:t>While the submission presented details for the ETOPA study, no relevant efficacy or safety results were presented.</w:t>
      </w:r>
    </w:p>
    <w:p w:rsidR="00862502" w:rsidRPr="00EC09F6" w:rsidRDefault="00862502" w:rsidP="00862502">
      <w:pPr>
        <w:widowControl/>
        <w:rPr>
          <w:szCs w:val="22"/>
        </w:rPr>
      </w:pPr>
    </w:p>
    <w:p w:rsidR="002D766D" w:rsidRPr="00EC09F6" w:rsidRDefault="002D766D" w:rsidP="00AC50E7">
      <w:pPr>
        <w:keepNext/>
        <w:ind w:firstLine="720"/>
        <w:rPr>
          <w:rStyle w:val="CommentReference"/>
        </w:rPr>
      </w:pPr>
      <w:r w:rsidRPr="00EC09F6">
        <w:rPr>
          <w:rStyle w:val="CommentReference"/>
        </w:rPr>
        <w:t xml:space="preserve">Table 1: Trials and associated reports presented in the submission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5529"/>
        <w:gridCol w:w="1824"/>
      </w:tblGrid>
      <w:tr w:rsidR="00EC09F6" w:rsidRPr="00EC09F6" w:rsidTr="00062BED">
        <w:trPr>
          <w:cantSplit/>
          <w:tblHeader/>
        </w:trPr>
        <w:tc>
          <w:tcPr>
            <w:tcW w:w="594" w:type="pct"/>
            <w:vAlign w:val="center"/>
          </w:tcPr>
          <w:p w:rsidR="002D766D" w:rsidRPr="00EC09F6" w:rsidRDefault="00104078" w:rsidP="00AC50E7">
            <w:pPr>
              <w:keepNext/>
              <w:jc w:val="left"/>
              <w:rPr>
                <w:rFonts w:ascii="Arial Narrow" w:hAnsi="Arial Narrow"/>
                <w:b/>
                <w:sz w:val="20"/>
              </w:rPr>
            </w:pPr>
            <w:r w:rsidRPr="00EC09F6">
              <w:rPr>
                <w:rFonts w:ascii="Arial Narrow" w:hAnsi="Arial Narrow"/>
                <w:b/>
                <w:sz w:val="20"/>
              </w:rPr>
              <w:t>Trial</w:t>
            </w:r>
          </w:p>
        </w:tc>
        <w:tc>
          <w:tcPr>
            <w:tcW w:w="3313" w:type="pct"/>
            <w:vAlign w:val="center"/>
          </w:tcPr>
          <w:p w:rsidR="002D766D" w:rsidRPr="00EC09F6" w:rsidRDefault="002D766D" w:rsidP="00AC50E7">
            <w:pPr>
              <w:keepNext/>
              <w:jc w:val="center"/>
              <w:rPr>
                <w:rFonts w:ascii="Arial Narrow" w:hAnsi="Arial Narrow"/>
                <w:b/>
                <w:sz w:val="20"/>
              </w:rPr>
            </w:pPr>
            <w:r w:rsidRPr="00EC09F6">
              <w:rPr>
                <w:rFonts w:ascii="Arial Narrow" w:hAnsi="Arial Narrow"/>
                <w:b/>
                <w:sz w:val="20"/>
              </w:rPr>
              <w:t>Protocol title/Publication title</w:t>
            </w:r>
          </w:p>
        </w:tc>
        <w:tc>
          <w:tcPr>
            <w:tcW w:w="1093" w:type="pct"/>
            <w:vAlign w:val="center"/>
          </w:tcPr>
          <w:p w:rsidR="002D766D" w:rsidRPr="00EC09F6" w:rsidRDefault="002D766D" w:rsidP="00AC50E7">
            <w:pPr>
              <w:keepNext/>
              <w:tabs>
                <w:tab w:val="center" w:pos="1864"/>
                <w:tab w:val="right" w:pos="3729"/>
              </w:tabs>
              <w:jc w:val="left"/>
              <w:rPr>
                <w:rFonts w:ascii="Arial Narrow" w:hAnsi="Arial Narrow"/>
                <w:b/>
                <w:sz w:val="20"/>
              </w:rPr>
            </w:pPr>
            <w:r w:rsidRPr="00EC09F6">
              <w:rPr>
                <w:rFonts w:ascii="Arial Narrow" w:hAnsi="Arial Narrow"/>
                <w:b/>
                <w:sz w:val="20"/>
              </w:rPr>
              <w:t>Publication citation</w:t>
            </w:r>
            <w:r w:rsidRPr="00EC09F6">
              <w:rPr>
                <w:rFonts w:ascii="Arial Narrow" w:hAnsi="Arial Narrow"/>
                <w:b/>
                <w:sz w:val="20"/>
              </w:rPr>
              <w:tab/>
            </w:r>
          </w:p>
        </w:tc>
      </w:tr>
      <w:tr w:rsidR="00EC09F6" w:rsidRPr="00EC09F6" w:rsidTr="002D766D">
        <w:trPr>
          <w:cantSplit/>
        </w:trPr>
        <w:tc>
          <w:tcPr>
            <w:tcW w:w="5000" w:type="pct"/>
            <w:gridSpan w:val="3"/>
          </w:tcPr>
          <w:p w:rsidR="002D766D" w:rsidRPr="00EC09F6" w:rsidRDefault="002D766D" w:rsidP="00AC50E7">
            <w:pPr>
              <w:keepNext/>
              <w:jc w:val="left"/>
              <w:rPr>
                <w:rFonts w:ascii="Arial Narrow" w:hAnsi="Arial Narrow"/>
                <w:b/>
                <w:sz w:val="20"/>
              </w:rPr>
            </w:pPr>
            <w:r w:rsidRPr="00EC09F6">
              <w:rPr>
                <w:rFonts w:ascii="Arial Narrow" w:hAnsi="Arial Narrow"/>
                <w:b/>
                <w:sz w:val="20"/>
              </w:rPr>
              <w:t>Direct randomised trials</w:t>
            </w:r>
          </w:p>
        </w:tc>
      </w:tr>
      <w:tr w:rsidR="00EC09F6" w:rsidRPr="00EC09F6" w:rsidTr="002D766D">
        <w:trPr>
          <w:cantSplit/>
        </w:trPr>
        <w:tc>
          <w:tcPr>
            <w:tcW w:w="5000" w:type="pct"/>
            <w:gridSpan w:val="3"/>
          </w:tcPr>
          <w:p w:rsidR="002D766D" w:rsidRPr="00EC09F6" w:rsidRDefault="002D766D" w:rsidP="00AC50E7">
            <w:pPr>
              <w:keepNext/>
              <w:jc w:val="left"/>
              <w:rPr>
                <w:rFonts w:ascii="Arial Narrow" w:hAnsi="Arial Narrow"/>
                <w:b/>
                <w:sz w:val="20"/>
              </w:rPr>
            </w:pPr>
            <w:r w:rsidRPr="00EC09F6">
              <w:rPr>
                <w:rFonts w:ascii="Arial Narrow" w:hAnsi="Arial Narrow"/>
                <w:b/>
                <w:sz w:val="20"/>
              </w:rPr>
              <w:t>Mepolizumab versus standard of care</w:t>
            </w:r>
          </w:p>
        </w:tc>
      </w:tr>
      <w:tr w:rsidR="00EC09F6" w:rsidRPr="00EC09F6" w:rsidTr="00062BED">
        <w:trPr>
          <w:cantSplit/>
        </w:trPr>
        <w:tc>
          <w:tcPr>
            <w:tcW w:w="594" w:type="pct"/>
          </w:tcPr>
          <w:p w:rsidR="002D766D" w:rsidRPr="00EC09F6" w:rsidRDefault="002D766D" w:rsidP="00AC50E7">
            <w:pPr>
              <w:keepNext/>
              <w:jc w:val="left"/>
              <w:rPr>
                <w:rFonts w:ascii="Arial Narrow" w:hAnsi="Arial Narrow"/>
                <w:sz w:val="20"/>
              </w:rPr>
            </w:pPr>
            <w:r w:rsidRPr="00EC09F6">
              <w:rPr>
                <w:rFonts w:ascii="Arial Narrow" w:hAnsi="Arial Narrow"/>
                <w:sz w:val="20"/>
              </w:rPr>
              <w:t>Study 588</w:t>
            </w:r>
          </w:p>
        </w:tc>
        <w:tc>
          <w:tcPr>
            <w:tcW w:w="3313" w:type="pct"/>
          </w:tcPr>
          <w:p w:rsidR="002D766D" w:rsidRPr="00EC09F6" w:rsidRDefault="002D766D" w:rsidP="00AC50E7">
            <w:pPr>
              <w:keepNext/>
              <w:jc w:val="left"/>
              <w:rPr>
                <w:rFonts w:ascii="Arial Narrow" w:hAnsi="Arial Narrow"/>
                <w:sz w:val="20"/>
              </w:rPr>
            </w:pPr>
            <w:r w:rsidRPr="00EC09F6">
              <w:rPr>
                <w:rFonts w:ascii="Arial Narrow" w:hAnsi="Arial Narrow"/>
                <w:sz w:val="20"/>
              </w:rPr>
              <w:t>MEA115575: A randomized, double-blind, double-dummy, standard of care-controlled, parallel-group, multi-centre study of the efficacy and safety of mepolizumab adjunctive therapy in subjects with severe uncontrolled refractory asthma.</w:t>
            </w:r>
          </w:p>
          <w:p w:rsidR="002D766D" w:rsidRPr="00EC09F6" w:rsidRDefault="002D766D" w:rsidP="00AC50E7">
            <w:pPr>
              <w:keepNext/>
              <w:jc w:val="left"/>
              <w:rPr>
                <w:rFonts w:ascii="Arial Narrow" w:hAnsi="Arial Narrow"/>
                <w:sz w:val="12"/>
                <w:szCs w:val="12"/>
              </w:rPr>
            </w:pPr>
          </w:p>
          <w:p w:rsidR="002D766D" w:rsidRPr="00EC09F6" w:rsidRDefault="002D766D" w:rsidP="00AC50E7">
            <w:pPr>
              <w:keepNext/>
              <w:jc w:val="left"/>
              <w:rPr>
                <w:rFonts w:ascii="Arial Narrow" w:hAnsi="Arial Narrow"/>
                <w:b/>
                <w:sz w:val="20"/>
              </w:rPr>
            </w:pPr>
            <w:r w:rsidRPr="00EC09F6">
              <w:rPr>
                <w:rFonts w:ascii="Arial Narrow" w:hAnsi="Arial Narrow"/>
                <w:sz w:val="20"/>
              </w:rPr>
              <w:t xml:space="preserve">Ortega HG, Liu MC, Pavord ID, </w:t>
            </w:r>
            <w:r w:rsidRPr="00EC09F6">
              <w:rPr>
                <w:rFonts w:ascii="Arial Narrow" w:hAnsi="Arial Narrow"/>
                <w:i/>
                <w:sz w:val="20"/>
              </w:rPr>
              <w:t>et al</w:t>
            </w:r>
            <w:r w:rsidRPr="00EC09F6">
              <w:rPr>
                <w:rFonts w:ascii="Arial Narrow" w:hAnsi="Arial Narrow"/>
                <w:sz w:val="20"/>
              </w:rPr>
              <w:t>. Mepolizumab treatment in patients with severe eosinophilic asthma.</w:t>
            </w:r>
          </w:p>
        </w:tc>
        <w:tc>
          <w:tcPr>
            <w:tcW w:w="1093" w:type="pct"/>
          </w:tcPr>
          <w:p w:rsidR="002D766D" w:rsidRPr="00EC09F6" w:rsidRDefault="002D766D" w:rsidP="00AC50E7">
            <w:pPr>
              <w:keepNext/>
              <w:jc w:val="left"/>
              <w:rPr>
                <w:rFonts w:ascii="Arial Narrow" w:hAnsi="Arial Narrow"/>
                <w:sz w:val="20"/>
              </w:rPr>
            </w:pPr>
            <w:r w:rsidRPr="00EC09F6">
              <w:rPr>
                <w:rFonts w:ascii="Arial Narrow" w:hAnsi="Arial Narrow"/>
                <w:sz w:val="20"/>
              </w:rPr>
              <w:t>10 June 2010</w:t>
            </w:r>
          </w:p>
          <w:p w:rsidR="002D766D" w:rsidRPr="00EC09F6" w:rsidRDefault="002D766D" w:rsidP="00AC50E7">
            <w:pPr>
              <w:keepNext/>
              <w:jc w:val="left"/>
              <w:rPr>
                <w:rFonts w:ascii="Arial Narrow" w:hAnsi="Arial Narrow"/>
                <w:sz w:val="20"/>
              </w:rPr>
            </w:pPr>
          </w:p>
          <w:p w:rsidR="002D766D" w:rsidRPr="00EC09F6" w:rsidRDefault="002D766D" w:rsidP="00AC50E7">
            <w:pPr>
              <w:keepNext/>
              <w:jc w:val="left"/>
              <w:rPr>
                <w:rFonts w:ascii="Arial Narrow" w:hAnsi="Arial Narrow"/>
                <w:sz w:val="20"/>
              </w:rPr>
            </w:pPr>
          </w:p>
          <w:p w:rsidR="002D766D" w:rsidRPr="00EC09F6" w:rsidRDefault="002D766D" w:rsidP="00AC50E7">
            <w:pPr>
              <w:keepNext/>
              <w:jc w:val="left"/>
              <w:rPr>
                <w:rFonts w:ascii="Arial Narrow" w:hAnsi="Arial Narrow"/>
                <w:sz w:val="20"/>
              </w:rPr>
            </w:pPr>
          </w:p>
          <w:p w:rsidR="002D766D" w:rsidRPr="00EC09F6" w:rsidRDefault="002D766D" w:rsidP="00AC50E7">
            <w:pPr>
              <w:keepNext/>
              <w:jc w:val="left"/>
              <w:rPr>
                <w:rFonts w:ascii="Arial Narrow" w:hAnsi="Arial Narrow"/>
                <w:i/>
                <w:sz w:val="12"/>
                <w:szCs w:val="12"/>
              </w:rPr>
            </w:pPr>
          </w:p>
          <w:p w:rsidR="002D766D" w:rsidRPr="00EC09F6" w:rsidRDefault="004F0ED5" w:rsidP="00BC14BE">
            <w:pPr>
              <w:keepNext/>
              <w:jc w:val="left"/>
              <w:rPr>
                <w:rFonts w:ascii="Arial Narrow" w:hAnsi="Arial Narrow"/>
                <w:sz w:val="20"/>
              </w:rPr>
            </w:pPr>
            <w:r w:rsidRPr="00EC09F6">
              <w:rPr>
                <w:rFonts w:ascii="Arial Narrow" w:hAnsi="Arial Narrow"/>
                <w:i/>
                <w:sz w:val="20"/>
              </w:rPr>
              <w:t>NEJM</w:t>
            </w:r>
            <w:r w:rsidR="002D766D" w:rsidRPr="00EC09F6">
              <w:rPr>
                <w:rFonts w:ascii="Arial Narrow" w:hAnsi="Arial Narrow"/>
                <w:i/>
                <w:sz w:val="20"/>
              </w:rPr>
              <w:t>.</w:t>
            </w:r>
            <w:r w:rsidR="002D766D" w:rsidRPr="00EC09F6">
              <w:rPr>
                <w:rFonts w:ascii="Arial Narrow" w:hAnsi="Arial Narrow"/>
                <w:sz w:val="20"/>
              </w:rPr>
              <w:t xml:space="preserve"> 2014; 371 (13): 1</w:t>
            </w:r>
            <w:r w:rsidR="00BC14BE">
              <w:rPr>
                <w:rFonts w:ascii="Arial Narrow" w:hAnsi="Arial Narrow"/>
                <w:sz w:val="20"/>
              </w:rPr>
              <w:t>1</w:t>
            </w:r>
            <w:r w:rsidR="002D766D" w:rsidRPr="00EC09F6">
              <w:rPr>
                <w:rFonts w:ascii="Arial Narrow" w:hAnsi="Arial Narrow"/>
                <w:sz w:val="20"/>
              </w:rPr>
              <w:t>98-1207.</w:t>
            </w:r>
          </w:p>
        </w:tc>
      </w:tr>
      <w:tr w:rsidR="00EC09F6" w:rsidRPr="00EC09F6" w:rsidTr="00062BED">
        <w:trPr>
          <w:cantSplit/>
        </w:trPr>
        <w:tc>
          <w:tcPr>
            <w:tcW w:w="594" w:type="pct"/>
          </w:tcPr>
          <w:p w:rsidR="002D766D" w:rsidRPr="00EC09F6" w:rsidRDefault="002D766D" w:rsidP="00AC50E7">
            <w:pPr>
              <w:jc w:val="left"/>
              <w:rPr>
                <w:rFonts w:ascii="Arial Narrow" w:hAnsi="Arial Narrow"/>
                <w:sz w:val="20"/>
              </w:rPr>
            </w:pPr>
            <w:r w:rsidRPr="00EC09F6">
              <w:rPr>
                <w:rFonts w:ascii="Arial Narrow" w:hAnsi="Arial Narrow"/>
                <w:sz w:val="20"/>
              </w:rPr>
              <w:t>Study 575</w:t>
            </w:r>
          </w:p>
        </w:tc>
        <w:tc>
          <w:tcPr>
            <w:tcW w:w="3313" w:type="pct"/>
          </w:tcPr>
          <w:p w:rsidR="002D766D" w:rsidRPr="00EC09F6" w:rsidRDefault="002D766D" w:rsidP="00AC50E7">
            <w:pPr>
              <w:jc w:val="left"/>
              <w:rPr>
                <w:rFonts w:ascii="Arial Narrow" w:hAnsi="Arial Narrow"/>
                <w:sz w:val="20"/>
              </w:rPr>
            </w:pPr>
            <w:r w:rsidRPr="00EC09F6">
              <w:rPr>
                <w:rFonts w:ascii="Arial Narrow" w:hAnsi="Arial Narrow"/>
                <w:sz w:val="20"/>
              </w:rPr>
              <w:t>MEA115575: A randomized, double-blind, placebo-controlled, parallel group, multicentre study of mepolizumab adjunctive therapy to reduce steroid use in subjects with severe refractory asthma.</w:t>
            </w:r>
          </w:p>
          <w:p w:rsidR="002D766D" w:rsidRPr="00EC09F6" w:rsidRDefault="002D766D" w:rsidP="00AC50E7">
            <w:pPr>
              <w:jc w:val="left"/>
              <w:rPr>
                <w:rFonts w:ascii="Arial Narrow" w:hAnsi="Arial Narrow"/>
                <w:sz w:val="12"/>
                <w:szCs w:val="12"/>
              </w:rPr>
            </w:pPr>
          </w:p>
          <w:p w:rsidR="002D766D" w:rsidRPr="00EC09F6" w:rsidRDefault="002D766D" w:rsidP="00AC50E7">
            <w:pPr>
              <w:jc w:val="left"/>
              <w:rPr>
                <w:rFonts w:ascii="Arial Narrow" w:hAnsi="Arial Narrow"/>
                <w:sz w:val="20"/>
              </w:rPr>
            </w:pPr>
            <w:r w:rsidRPr="00EC09F6">
              <w:rPr>
                <w:rFonts w:ascii="Arial Narrow" w:hAnsi="Arial Narrow"/>
                <w:sz w:val="20"/>
              </w:rPr>
              <w:t xml:space="preserve">Bel EH, Wenzel SE, Thompson PJ, </w:t>
            </w:r>
            <w:r w:rsidRPr="00EC09F6">
              <w:rPr>
                <w:rFonts w:ascii="Arial Narrow" w:hAnsi="Arial Narrow"/>
                <w:i/>
                <w:sz w:val="20"/>
              </w:rPr>
              <w:t>et al</w:t>
            </w:r>
            <w:r w:rsidRPr="00EC09F6">
              <w:rPr>
                <w:rFonts w:ascii="Arial Narrow" w:hAnsi="Arial Narrow"/>
                <w:sz w:val="20"/>
              </w:rPr>
              <w:t xml:space="preserve">. Oral glucocorticoid-sparing effect of mepolizumab in eosinophilic asthma. </w:t>
            </w:r>
          </w:p>
        </w:tc>
        <w:tc>
          <w:tcPr>
            <w:tcW w:w="1093" w:type="pct"/>
          </w:tcPr>
          <w:p w:rsidR="002D766D" w:rsidRPr="00EC09F6" w:rsidRDefault="002D766D" w:rsidP="00AC50E7">
            <w:pPr>
              <w:jc w:val="left"/>
              <w:rPr>
                <w:rFonts w:ascii="Arial Narrow" w:hAnsi="Arial Narrow"/>
                <w:sz w:val="20"/>
              </w:rPr>
            </w:pPr>
            <w:r w:rsidRPr="00EC09F6">
              <w:rPr>
                <w:rFonts w:ascii="Arial Narrow" w:hAnsi="Arial Narrow"/>
                <w:sz w:val="20"/>
              </w:rPr>
              <w:t>22 May 2014</w:t>
            </w:r>
          </w:p>
          <w:p w:rsidR="002D766D" w:rsidRPr="00EC09F6" w:rsidRDefault="002D766D" w:rsidP="00AC50E7">
            <w:pPr>
              <w:jc w:val="left"/>
              <w:rPr>
                <w:rFonts w:ascii="Arial Narrow" w:hAnsi="Arial Narrow"/>
                <w:sz w:val="20"/>
              </w:rPr>
            </w:pPr>
          </w:p>
          <w:p w:rsidR="002D766D" w:rsidRPr="00EC09F6" w:rsidRDefault="002D766D" w:rsidP="00AC50E7">
            <w:pPr>
              <w:jc w:val="left"/>
              <w:rPr>
                <w:rFonts w:ascii="Arial Narrow" w:hAnsi="Arial Narrow"/>
                <w:sz w:val="20"/>
              </w:rPr>
            </w:pPr>
          </w:p>
          <w:p w:rsidR="002D766D" w:rsidRPr="00EC09F6" w:rsidRDefault="002D766D" w:rsidP="00AC50E7">
            <w:pPr>
              <w:jc w:val="left"/>
              <w:rPr>
                <w:rFonts w:ascii="Arial Narrow" w:hAnsi="Arial Narrow"/>
                <w:i/>
                <w:sz w:val="12"/>
                <w:szCs w:val="12"/>
              </w:rPr>
            </w:pPr>
          </w:p>
          <w:p w:rsidR="002D766D" w:rsidRPr="00EC09F6" w:rsidRDefault="004F0ED5" w:rsidP="00BC14BE">
            <w:pPr>
              <w:jc w:val="left"/>
              <w:rPr>
                <w:rFonts w:ascii="Arial Narrow" w:hAnsi="Arial Narrow"/>
                <w:sz w:val="20"/>
              </w:rPr>
            </w:pPr>
            <w:r w:rsidRPr="00EC09F6">
              <w:rPr>
                <w:rFonts w:ascii="Arial Narrow" w:hAnsi="Arial Narrow"/>
                <w:i/>
                <w:sz w:val="20"/>
              </w:rPr>
              <w:t>NEJM</w:t>
            </w:r>
            <w:r w:rsidR="002D766D" w:rsidRPr="00EC09F6">
              <w:rPr>
                <w:rFonts w:ascii="Arial Narrow" w:hAnsi="Arial Narrow"/>
                <w:i/>
                <w:sz w:val="20"/>
              </w:rPr>
              <w:t>.</w:t>
            </w:r>
            <w:r w:rsidR="002D766D" w:rsidRPr="00EC09F6">
              <w:rPr>
                <w:rFonts w:ascii="Arial Narrow" w:hAnsi="Arial Narrow"/>
                <w:sz w:val="20"/>
              </w:rPr>
              <w:t xml:space="preserve"> 2014; 371(13): 1189-1197.</w:t>
            </w:r>
          </w:p>
        </w:tc>
      </w:tr>
      <w:tr w:rsidR="00EC09F6" w:rsidRPr="00EC09F6" w:rsidTr="00062BED">
        <w:trPr>
          <w:cantSplit/>
        </w:trPr>
        <w:tc>
          <w:tcPr>
            <w:tcW w:w="594" w:type="pct"/>
          </w:tcPr>
          <w:p w:rsidR="002D766D" w:rsidRPr="00EC09F6" w:rsidRDefault="002D766D" w:rsidP="00AC50E7">
            <w:pPr>
              <w:jc w:val="left"/>
              <w:rPr>
                <w:rFonts w:ascii="Arial Narrow" w:hAnsi="Arial Narrow"/>
                <w:sz w:val="20"/>
              </w:rPr>
            </w:pPr>
            <w:r w:rsidRPr="00EC09F6">
              <w:rPr>
                <w:rFonts w:ascii="Arial Narrow" w:hAnsi="Arial Narrow"/>
                <w:sz w:val="20"/>
              </w:rPr>
              <w:t>Study 997</w:t>
            </w:r>
          </w:p>
        </w:tc>
        <w:tc>
          <w:tcPr>
            <w:tcW w:w="3313" w:type="pct"/>
          </w:tcPr>
          <w:p w:rsidR="002D766D" w:rsidRPr="00EC09F6" w:rsidRDefault="002D766D" w:rsidP="00AC50E7">
            <w:pPr>
              <w:jc w:val="left"/>
              <w:rPr>
                <w:rFonts w:ascii="Arial Narrow" w:hAnsi="Arial Narrow"/>
                <w:sz w:val="20"/>
              </w:rPr>
            </w:pPr>
            <w:r w:rsidRPr="00EC09F6">
              <w:rPr>
                <w:rFonts w:ascii="Arial Narrow" w:hAnsi="Arial Narrow"/>
                <w:sz w:val="20"/>
              </w:rPr>
              <w:t>A multicentre, randomised, double-blind, standard of care-controlled, parallel group, dose ranging study to determine the effect of mepolizumab on exacerbations rates in subjects with severe uncontrolled refractory asthma.</w:t>
            </w:r>
          </w:p>
          <w:p w:rsidR="002D766D" w:rsidRPr="00EC09F6" w:rsidRDefault="002D766D" w:rsidP="00AC50E7">
            <w:pPr>
              <w:jc w:val="left"/>
              <w:rPr>
                <w:rFonts w:ascii="Arial Narrow" w:hAnsi="Arial Narrow"/>
                <w:sz w:val="12"/>
                <w:szCs w:val="12"/>
              </w:rPr>
            </w:pPr>
          </w:p>
          <w:p w:rsidR="002D766D" w:rsidRPr="00EC09F6" w:rsidRDefault="002D766D" w:rsidP="00AC50E7">
            <w:pPr>
              <w:jc w:val="left"/>
              <w:rPr>
                <w:rFonts w:ascii="Arial Narrow" w:hAnsi="Arial Narrow"/>
                <w:sz w:val="20"/>
              </w:rPr>
            </w:pPr>
            <w:r w:rsidRPr="00EC09F6">
              <w:rPr>
                <w:rFonts w:ascii="Arial Narrow" w:hAnsi="Arial Narrow"/>
                <w:sz w:val="20"/>
              </w:rPr>
              <w:t xml:space="preserve">Pavord ID, Kom S, Howarth P, </w:t>
            </w:r>
            <w:r w:rsidRPr="00EC09F6">
              <w:rPr>
                <w:rFonts w:ascii="Arial Narrow" w:hAnsi="Arial Narrow"/>
                <w:i/>
                <w:sz w:val="20"/>
              </w:rPr>
              <w:t>et al</w:t>
            </w:r>
            <w:r w:rsidRPr="00EC09F6">
              <w:rPr>
                <w:rFonts w:ascii="Arial Narrow" w:hAnsi="Arial Narrow"/>
                <w:sz w:val="20"/>
              </w:rPr>
              <w:t xml:space="preserve">. Mepolizumab for severe eosinophilic asthma (DREAM): a multicentre, double-blind, standard of care-controlled trial. </w:t>
            </w:r>
          </w:p>
        </w:tc>
        <w:tc>
          <w:tcPr>
            <w:tcW w:w="1093" w:type="pct"/>
          </w:tcPr>
          <w:p w:rsidR="002D766D" w:rsidRPr="00EC09F6" w:rsidRDefault="002D766D" w:rsidP="00AC50E7">
            <w:pPr>
              <w:jc w:val="left"/>
              <w:rPr>
                <w:rFonts w:ascii="Arial Narrow" w:hAnsi="Arial Narrow"/>
                <w:sz w:val="20"/>
              </w:rPr>
            </w:pPr>
            <w:r w:rsidRPr="00EC09F6">
              <w:rPr>
                <w:rFonts w:ascii="Arial Narrow" w:hAnsi="Arial Narrow"/>
                <w:sz w:val="20"/>
              </w:rPr>
              <w:t>20 September 2014</w:t>
            </w:r>
          </w:p>
          <w:p w:rsidR="002D766D" w:rsidRPr="00EC09F6" w:rsidRDefault="002D766D" w:rsidP="00AC50E7">
            <w:pPr>
              <w:jc w:val="left"/>
              <w:rPr>
                <w:rFonts w:ascii="Arial Narrow" w:hAnsi="Arial Narrow"/>
                <w:sz w:val="20"/>
              </w:rPr>
            </w:pPr>
          </w:p>
          <w:p w:rsidR="002D766D" w:rsidRPr="00EC09F6" w:rsidRDefault="002D766D" w:rsidP="00AC50E7">
            <w:pPr>
              <w:jc w:val="left"/>
              <w:rPr>
                <w:rFonts w:ascii="Arial Narrow" w:hAnsi="Arial Narrow"/>
                <w:sz w:val="20"/>
              </w:rPr>
            </w:pPr>
          </w:p>
          <w:p w:rsidR="002D766D" w:rsidRPr="00EC09F6" w:rsidRDefault="002D766D" w:rsidP="00AC50E7">
            <w:pPr>
              <w:jc w:val="left"/>
              <w:rPr>
                <w:rFonts w:ascii="Arial Narrow" w:hAnsi="Arial Narrow"/>
                <w:sz w:val="20"/>
              </w:rPr>
            </w:pPr>
          </w:p>
          <w:p w:rsidR="002D766D" w:rsidRPr="00EC09F6" w:rsidRDefault="002D766D" w:rsidP="00AC50E7">
            <w:pPr>
              <w:jc w:val="left"/>
              <w:rPr>
                <w:rFonts w:ascii="Arial Narrow" w:hAnsi="Arial Narrow"/>
                <w:sz w:val="12"/>
                <w:szCs w:val="12"/>
              </w:rPr>
            </w:pPr>
          </w:p>
          <w:p w:rsidR="002D766D" w:rsidRPr="00EC09F6" w:rsidRDefault="002D766D" w:rsidP="00AC50E7">
            <w:pPr>
              <w:jc w:val="left"/>
              <w:rPr>
                <w:rFonts w:ascii="Arial Narrow" w:hAnsi="Arial Narrow"/>
                <w:sz w:val="20"/>
              </w:rPr>
            </w:pPr>
            <w:r w:rsidRPr="00EC09F6">
              <w:rPr>
                <w:rFonts w:ascii="Arial Narrow" w:hAnsi="Arial Narrow"/>
                <w:i/>
                <w:sz w:val="20"/>
              </w:rPr>
              <w:t>Lancet.</w:t>
            </w:r>
            <w:r w:rsidRPr="00EC09F6">
              <w:rPr>
                <w:rFonts w:ascii="Arial Narrow" w:hAnsi="Arial Narrow"/>
                <w:sz w:val="20"/>
              </w:rPr>
              <w:t xml:space="preserve"> 2012; 380(9842): 651-659.</w:t>
            </w:r>
          </w:p>
        </w:tc>
      </w:tr>
      <w:tr w:rsidR="00EC09F6" w:rsidRPr="00EC09F6" w:rsidTr="002D766D">
        <w:trPr>
          <w:cantSplit/>
        </w:trPr>
        <w:tc>
          <w:tcPr>
            <w:tcW w:w="5000" w:type="pct"/>
            <w:gridSpan w:val="3"/>
          </w:tcPr>
          <w:p w:rsidR="002D766D" w:rsidRPr="00EC09F6" w:rsidRDefault="002D766D" w:rsidP="004756C1">
            <w:pPr>
              <w:jc w:val="left"/>
              <w:rPr>
                <w:rFonts w:ascii="Arial Narrow" w:hAnsi="Arial Narrow"/>
                <w:b/>
                <w:sz w:val="20"/>
              </w:rPr>
            </w:pPr>
            <w:r w:rsidRPr="00EC09F6">
              <w:rPr>
                <w:rFonts w:ascii="Arial Narrow" w:hAnsi="Arial Narrow"/>
                <w:b/>
                <w:sz w:val="20"/>
              </w:rPr>
              <w:t>Omalizumab versus standard of care</w:t>
            </w:r>
          </w:p>
        </w:tc>
      </w:tr>
      <w:tr w:rsidR="00EC09F6" w:rsidRPr="00EC09F6" w:rsidTr="00062BED">
        <w:trPr>
          <w:cantSplit/>
        </w:trPr>
        <w:tc>
          <w:tcPr>
            <w:tcW w:w="594" w:type="pct"/>
          </w:tcPr>
          <w:p w:rsidR="002D766D" w:rsidRPr="00EC09F6" w:rsidRDefault="002D766D" w:rsidP="004756C1">
            <w:pPr>
              <w:jc w:val="left"/>
              <w:rPr>
                <w:rFonts w:ascii="Arial Narrow" w:hAnsi="Arial Narrow"/>
                <w:sz w:val="20"/>
              </w:rPr>
            </w:pPr>
            <w:r w:rsidRPr="00EC09F6">
              <w:rPr>
                <w:rFonts w:ascii="Arial Narrow" w:hAnsi="Arial Narrow"/>
                <w:sz w:val="20"/>
              </w:rPr>
              <w:t>INNOVATE</w:t>
            </w:r>
          </w:p>
        </w:tc>
        <w:tc>
          <w:tcPr>
            <w:tcW w:w="3313" w:type="pct"/>
          </w:tcPr>
          <w:p w:rsidR="002D766D" w:rsidRPr="00EC09F6" w:rsidRDefault="002D766D" w:rsidP="004756C1">
            <w:pPr>
              <w:jc w:val="left"/>
              <w:rPr>
                <w:rFonts w:ascii="Arial Narrow" w:hAnsi="Arial Narrow"/>
                <w:sz w:val="20"/>
              </w:rPr>
            </w:pPr>
            <w:r w:rsidRPr="00EC09F6">
              <w:rPr>
                <w:rFonts w:ascii="Arial Narrow" w:hAnsi="Arial Narrow"/>
                <w:sz w:val="20"/>
              </w:rPr>
              <w:t xml:space="preserve">Humbert M, Beasley R, Ayres J, </w:t>
            </w:r>
            <w:r w:rsidRPr="00EC09F6">
              <w:rPr>
                <w:rFonts w:ascii="Arial Narrow" w:hAnsi="Arial Narrow"/>
                <w:i/>
                <w:sz w:val="20"/>
              </w:rPr>
              <w:t>et al</w:t>
            </w:r>
            <w:r w:rsidRPr="00EC09F6">
              <w:rPr>
                <w:rFonts w:ascii="Arial Narrow" w:hAnsi="Arial Narrow"/>
                <w:sz w:val="20"/>
              </w:rPr>
              <w:t>. Benefits of omalizumab as add-on therapy in patients with severe persistent asthma who are inadequately controlled despite best available therapy (GINA 2002 step 4 treatment): INNOVATE.</w:t>
            </w: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sz w:val="20"/>
              </w:rPr>
              <w:t xml:space="preserve">Humbert M, Berger SW, Rapatz G, </w:t>
            </w:r>
            <w:r w:rsidRPr="00EC09F6">
              <w:rPr>
                <w:rFonts w:ascii="Arial Narrow" w:hAnsi="Arial Narrow"/>
                <w:i/>
                <w:sz w:val="20"/>
              </w:rPr>
              <w:t>et al</w:t>
            </w:r>
            <w:r w:rsidRPr="00EC09F6">
              <w:rPr>
                <w:rFonts w:ascii="Arial Narrow" w:hAnsi="Arial Narrow"/>
                <w:sz w:val="20"/>
              </w:rPr>
              <w:t>. Add-on omalizumab improves day-to-day symptoms in inadequately controlled severe persistent allergic asthma.</w:t>
            </w: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sz w:val="20"/>
              </w:rPr>
              <w:t xml:space="preserve">Sthoeger ZM, Eliraz A, Asher I, </w:t>
            </w:r>
            <w:r w:rsidRPr="00EC09F6">
              <w:rPr>
                <w:rFonts w:ascii="Arial Narrow" w:hAnsi="Arial Narrow"/>
                <w:i/>
                <w:sz w:val="20"/>
              </w:rPr>
              <w:t>et al</w:t>
            </w:r>
            <w:r w:rsidRPr="00EC09F6">
              <w:rPr>
                <w:rFonts w:ascii="Arial Narrow" w:hAnsi="Arial Narrow"/>
                <w:sz w:val="20"/>
              </w:rPr>
              <w:t>. The beneficial effects of Xolair® (omalizumab) as add-on therapy in patients with severe persistent asthma who are inadequately controlled despite best available treatment (GINA 2002 step IV) – the Israeli arm of the INNOVATE study.</w:t>
            </w:r>
          </w:p>
        </w:tc>
        <w:tc>
          <w:tcPr>
            <w:tcW w:w="1093" w:type="pct"/>
          </w:tcPr>
          <w:p w:rsidR="002D766D" w:rsidRPr="00EC09F6" w:rsidRDefault="002D766D" w:rsidP="004756C1">
            <w:pPr>
              <w:jc w:val="left"/>
              <w:rPr>
                <w:rFonts w:ascii="Arial Narrow" w:hAnsi="Arial Narrow"/>
                <w:sz w:val="20"/>
              </w:rPr>
            </w:pPr>
            <w:r w:rsidRPr="00EC09F6">
              <w:rPr>
                <w:rFonts w:ascii="Arial Narrow" w:hAnsi="Arial Narrow"/>
                <w:sz w:val="20"/>
              </w:rPr>
              <w:t>Allergy. 2005; 60(3): 309-316.</w:t>
            </w:r>
          </w:p>
          <w:p w:rsidR="002D766D" w:rsidRPr="00EC09F6" w:rsidRDefault="002D766D" w:rsidP="004756C1">
            <w:pPr>
              <w:jc w:val="left"/>
              <w:rPr>
                <w:rFonts w:ascii="Arial Narrow" w:hAnsi="Arial Narrow"/>
                <w:sz w:val="20"/>
              </w:rPr>
            </w:pPr>
          </w:p>
          <w:p w:rsidR="002D766D" w:rsidRPr="00EC09F6" w:rsidRDefault="002D766D" w:rsidP="004756C1">
            <w:pPr>
              <w:jc w:val="left"/>
              <w:rPr>
                <w:rFonts w:ascii="Arial Narrow" w:hAnsi="Arial Narrow"/>
                <w:sz w:val="20"/>
              </w:rPr>
            </w:pPr>
          </w:p>
          <w:p w:rsidR="002D766D" w:rsidRPr="00EC09F6" w:rsidRDefault="002D766D" w:rsidP="004756C1">
            <w:pPr>
              <w:jc w:val="left"/>
              <w:rPr>
                <w:rFonts w:ascii="Arial Narrow" w:hAnsi="Arial Narrow"/>
                <w:i/>
                <w:sz w:val="12"/>
                <w:szCs w:val="12"/>
              </w:rPr>
            </w:pPr>
          </w:p>
          <w:p w:rsidR="002D766D" w:rsidRPr="00EC09F6" w:rsidRDefault="002D766D" w:rsidP="004756C1">
            <w:pPr>
              <w:jc w:val="left"/>
              <w:rPr>
                <w:rFonts w:ascii="Arial Narrow" w:hAnsi="Arial Narrow"/>
                <w:sz w:val="20"/>
              </w:rPr>
            </w:pPr>
            <w:r w:rsidRPr="00EC09F6">
              <w:rPr>
                <w:rFonts w:ascii="Arial Narrow" w:hAnsi="Arial Narrow"/>
                <w:i/>
                <w:sz w:val="20"/>
              </w:rPr>
              <w:t>Allergy.</w:t>
            </w:r>
            <w:r w:rsidRPr="00EC09F6">
              <w:rPr>
                <w:rFonts w:ascii="Arial Narrow" w:hAnsi="Arial Narrow"/>
                <w:sz w:val="20"/>
              </w:rPr>
              <w:t xml:space="preserve"> 2008; 63(5): 592-596.</w:t>
            </w:r>
          </w:p>
          <w:p w:rsidR="002D766D" w:rsidRPr="00EC09F6" w:rsidRDefault="002D766D" w:rsidP="004756C1">
            <w:pPr>
              <w:jc w:val="left"/>
              <w:rPr>
                <w:rFonts w:ascii="Arial Narrow" w:hAnsi="Arial Narrow"/>
                <w:sz w:val="20"/>
              </w:rPr>
            </w:pPr>
          </w:p>
          <w:p w:rsidR="002D766D" w:rsidRPr="00EC09F6" w:rsidRDefault="002D766D" w:rsidP="004756C1">
            <w:pPr>
              <w:jc w:val="left"/>
              <w:rPr>
                <w:rFonts w:ascii="Arial Narrow" w:hAnsi="Arial Narrow"/>
                <w:sz w:val="12"/>
                <w:szCs w:val="12"/>
              </w:rPr>
            </w:pPr>
          </w:p>
          <w:p w:rsidR="002D766D" w:rsidRPr="00EC09F6" w:rsidRDefault="004F0ED5" w:rsidP="004756C1">
            <w:pPr>
              <w:jc w:val="left"/>
              <w:rPr>
                <w:rFonts w:ascii="Arial Narrow" w:hAnsi="Arial Narrow"/>
                <w:sz w:val="20"/>
              </w:rPr>
            </w:pPr>
            <w:r w:rsidRPr="00EC09F6">
              <w:rPr>
                <w:rFonts w:ascii="Arial Narrow" w:hAnsi="Arial Narrow"/>
                <w:bCs/>
                <w:i/>
                <w:sz w:val="20"/>
              </w:rPr>
              <w:t>J Allergy</w:t>
            </w:r>
            <w:r w:rsidRPr="00EC09F6">
              <w:rPr>
                <w:rFonts w:ascii="Arial Narrow" w:hAnsi="Arial Narrow"/>
                <w:i/>
                <w:sz w:val="20"/>
              </w:rPr>
              <w:t> Clin Immunol</w:t>
            </w:r>
            <w:r w:rsidR="002D766D" w:rsidRPr="00EC09F6">
              <w:rPr>
                <w:rFonts w:ascii="Arial Narrow" w:hAnsi="Arial Narrow"/>
                <w:i/>
                <w:sz w:val="20"/>
              </w:rPr>
              <w:t>.</w:t>
            </w:r>
            <w:r w:rsidR="002D766D" w:rsidRPr="00EC09F6">
              <w:rPr>
                <w:rFonts w:ascii="Arial Narrow" w:hAnsi="Arial Narrow"/>
                <w:sz w:val="20"/>
              </w:rPr>
              <w:t xml:space="preserve"> 2007;</w:t>
            </w:r>
            <w:r w:rsidR="00062BED" w:rsidRPr="00EC09F6">
              <w:rPr>
                <w:rFonts w:ascii="Arial Narrow" w:hAnsi="Arial Narrow"/>
                <w:sz w:val="20"/>
              </w:rPr>
              <w:t xml:space="preserve"> </w:t>
            </w:r>
            <w:r w:rsidR="002D766D" w:rsidRPr="00EC09F6">
              <w:rPr>
                <w:rFonts w:ascii="Arial Narrow" w:hAnsi="Arial Narrow"/>
                <w:sz w:val="20"/>
              </w:rPr>
              <w:t>9:</w:t>
            </w:r>
            <w:r w:rsidR="00062BED" w:rsidRPr="00EC09F6">
              <w:rPr>
                <w:rFonts w:ascii="Arial Narrow" w:hAnsi="Arial Narrow"/>
                <w:sz w:val="20"/>
              </w:rPr>
              <w:t xml:space="preserve"> </w:t>
            </w:r>
            <w:r w:rsidR="002D766D" w:rsidRPr="00EC09F6">
              <w:rPr>
                <w:rFonts w:ascii="Arial Narrow" w:hAnsi="Arial Narrow"/>
                <w:sz w:val="20"/>
              </w:rPr>
              <w:t>472-475.</w:t>
            </w:r>
          </w:p>
        </w:tc>
      </w:tr>
      <w:tr w:rsidR="00EC09F6" w:rsidRPr="00EC09F6" w:rsidTr="00062BED">
        <w:trPr>
          <w:cantSplit/>
        </w:trPr>
        <w:tc>
          <w:tcPr>
            <w:tcW w:w="594" w:type="pct"/>
          </w:tcPr>
          <w:p w:rsidR="002D766D" w:rsidRPr="00EC09F6" w:rsidRDefault="002D766D" w:rsidP="004756C1">
            <w:pPr>
              <w:jc w:val="left"/>
              <w:rPr>
                <w:rFonts w:ascii="Arial Narrow" w:hAnsi="Arial Narrow"/>
                <w:sz w:val="20"/>
              </w:rPr>
            </w:pPr>
            <w:r w:rsidRPr="00EC09F6">
              <w:rPr>
                <w:rFonts w:ascii="Arial Narrow" w:hAnsi="Arial Narrow"/>
                <w:sz w:val="20"/>
              </w:rPr>
              <w:t>EXTRA</w:t>
            </w:r>
          </w:p>
        </w:tc>
        <w:tc>
          <w:tcPr>
            <w:tcW w:w="3313" w:type="pct"/>
          </w:tcPr>
          <w:p w:rsidR="002D766D" w:rsidRPr="00EC09F6" w:rsidRDefault="002D766D" w:rsidP="004756C1">
            <w:pPr>
              <w:jc w:val="left"/>
              <w:rPr>
                <w:rFonts w:ascii="Arial Narrow" w:hAnsi="Arial Narrow"/>
                <w:sz w:val="20"/>
              </w:rPr>
            </w:pPr>
            <w:r w:rsidRPr="00EC09F6">
              <w:rPr>
                <w:rFonts w:ascii="Arial Narrow" w:hAnsi="Arial Narrow"/>
                <w:sz w:val="20"/>
              </w:rPr>
              <w:t xml:space="preserve">Hanania NA, Alpan O, Hamilos DL, </w:t>
            </w:r>
            <w:r w:rsidRPr="00EC09F6">
              <w:rPr>
                <w:rFonts w:ascii="Arial Narrow" w:hAnsi="Arial Narrow"/>
                <w:i/>
                <w:sz w:val="20"/>
              </w:rPr>
              <w:t>et al</w:t>
            </w:r>
            <w:r w:rsidRPr="00EC09F6">
              <w:rPr>
                <w:rFonts w:ascii="Arial Narrow" w:hAnsi="Arial Narrow"/>
                <w:sz w:val="20"/>
              </w:rPr>
              <w:t>. Omalizumab in severe allergic asthma inadequately controlled with standard therapy: a randomized trial.</w:t>
            </w: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sz w:val="20"/>
              </w:rPr>
              <w:t xml:space="preserve">Hanania NA, Wnzel S, Rosen K, </w:t>
            </w:r>
            <w:r w:rsidRPr="00EC09F6">
              <w:rPr>
                <w:rFonts w:ascii="Arial Narrow" w:hAnsi="Arial Narrow"/>
                <w:i/>
                <w:sz w:val="20"/>
              </w:rPr>
              <w:t>et al</w:t>
            </w:r>
            <w:r w:rsidRPr="00EC09F6">
              <w:rPr>
                <w:rFonts w:ascii="Arial Narrow" w:hAnsi="Arial Narrow"/>
                <w:sz w:val="20"/>
              </w:rPr>
              <w:t>. Exploring the effects of omalizumab in allergic asthma: an analysis of biomarkers in the EXTRA study.</w:t>
            </w:r>
          </w:p>
        </w:tc>
        <w:tc>
          <w:tcPr>
            <w:tcW w:w="1093" w:type="pct"/>
          </w:tcPr>
          <w:p w:rsidR="002D766D" w:rsidRPr="00EC09F6" w:rsidRDefault="004F0ED5" w:rsidP="004756C1">
            <w:pPr>
              <w:jc w:val="left"/>
              <w:rPr>
                <w:rFonts w:ascii="Arial Narrow" w:hAnsi="Arial Narrow"/>
                <w:sz w:val="20"/>
              </w:rPr>
            </w:pPr>
            <w:r w:rsidRPr="00EC09F6">
              <w:rPr>
                <w:rFonts w:ascii="Arial Narrow" w:hAnsi="Arial Narrow"/>
                <w:sz w:val="20"/>
                <w:shd w:val="clear" w:color="auto" w:fill="FEFEFF"/>
              </w:rPr>
              <w:t>Ann Intern Med</w:t>
            </w:r>
            <w:r w:rsidR="002D766D" w:rsidRPr="00EC09F6">
              <w:rPr>
                <w:rFonts w:ascii="Arial Narrow" w:hAnsi="Arial Narrow"/>
                <w:i/>
                <w:sz w:val="20"/>
              </w:rPr>
              <w:t>.</w:t>
            </w:r>
            <w:r w:rsidR="002D766D" w:rsidRPr="00EC09F6">
              <w:rPr>
                <w:rFonts w:ascii="Arial Narrow" w:hAnsi="Arial Narrow"/>
                <w:sz w:val="20"/>
              </w:rPr>
              <w:t xml:space="preserve"> 2011; 154(9): 573-582.</w:t>
            </w:r>
          </w:p>
          <w:p w:rsidR="004F0ED5" w:rsidRPr="00EC09F6" w:rsidRDefault="004F0ED5" w:rsidP="004756C1">
            <w:pPr>
              <w:jc w:val="left"/>
              <w:rPr>
                <w:rFonts w:ascii="Arial Narrow" w:hAnsi="Arial Narrow"/>
                <w:sz w:val="12"/>
                <w:szCs w:val="12"/>
              </w:rPr>
            </w:pPr>
          </w:p>
          <w:p w:rsidR="002D766D" w:rsidRPr="00EC09F6" w:rsidRDefault="004F0ED5" w:rsidP="004756C1">
            <w:pPr>
              <w:jc w:val="left"/>
              <w:rPr>
                <w:rFonts w:ascii="Arial Narrow" w:hAnsi="Arial Narrow"/>
                <w:sz w:val="20"/>
              </w:rPr>
            </w:pPr>
            <w:r w:rsidRPr="00EC09F6">
              <w:rPr>
                <w:rFonts w:ascii="Arial Narrow" w:hAnsi="Arial Narrow"/>
                <w:i/>
                <w:sz w:val="20"/>
              </w:rPr>
              <w:t>Am J Respir Crit Care Med</w:t>
            </w:r>
            <w:r w:rsidR="002D766D" w:rsidRPr="00EC09F6">
              <w:rPr>
                <w:rFonts w:ascii="Arial Narrow" w:hAnsi="Arial Narrow"/>
                <w:i/>
                <w:sz w:val="20"/>
              </w:rPr>
              <w:t>.</w:t>
            </w:r>
            <w:r w:rsidR="002D766D" w:rsidRPr="00EC09F6">
              <w:rPr>
                <w:rFonts w:ascii="Arial Narrow" w:hAnsi="Arial Narrow"/>
                <w:sz w:val="20"/>
              </w:rPr>
              <w:t xml:space="preserve"> 2013; 187(8): 804-844.</w:t>
            </w:r>
          </w:p>
        </w:tc>
      </w:tr>
      <w:tr w:rsidR="00EC09F6" w:rsidRPr="00EC09F6" w:rsidTr="00062BED">
        <w:trPr>
          <w:cantSplit/>
        </w:trPr>
        <w:tc>
          <w:tcPr>
            <w:tcW w:w="594" w:type="pct"/>
          </w:tcPr>
          <w:p w:rsidR="002D766D" w:rsidRPr="00EC09F6" w:rsidRDefault="002D766D" w:rsidP="004756C1">
            <w:pPr>
              <w:jc w:val="left"/>
              <w:rPr>
                <w:rFonts w:ascii="Arial Narrow" w:hAnsi="Arial Narrow"/>
                <w:sz w:val="20"/>
              </w:rPr>
            </w:pPr>
            <w:r w:rsidRPr="00EC09F6">
              <w:rPr>
                <w:rFonts w:ascii="Arial Narrow" w:hAnsi="Arial Narrow"/>
                <w:sz w:val="20"/>
              </w:rPr>
              <w:t>ETOPA</w:t>
            </w:r>
          </w:p>
        </w:tc>
        <w:tc>
          <w:tcPr>
            <w:tcW w:w="3313" w:type="pct"/>
          </w:tcPr>
          <w:p w:rsidR="002D766D" w:rsidRPr="00EC09F6" w:rsidRDefault="002D766D" w:rsidP="004756C1">
            <w:pPr>
              <w:jc w:val="left"/>
              <w:rPr>
                <w:rFonts w:ascii="Arial Narrow" w:hAnsi="Arial Narrow"/>
                <w:sz w:val="20"/>
              </w:rPr>
            </w:pPr>
            <w:r w:rsidRPr="00EC09F6">
              <w:rPr>
                <w:rFonts w:ascii="Arial Narrow" w:hAnsi="Arial Narrow"/>
                <w:sz w:val="20"/>
              </w:rPr>
              <w:t xml:space="preserve">Niven R, Chung KF, Panahloo Z, </w:t>
            </w:r>
            <w:r w:rsidRPr="00EC09F6">
              <w:rPr>
                <w:rFonts w:ascii="Arial Narrow" w:hAnsi="Arial Narrow"/>
                <w:i/>
                <w:sz w:val="20"/>
              </w:rPr>
              <w:t>et al</w:t>
            </w:r>
            <w:r w:rsidRPr="00EC09F6">
              <w:rPr>
                <w:rFonts w:ascii="Arial Narrow" w:hAnsi="Arial Narrow"/>
                <w:sz w:val="20"/>
              </w:rPr>
              <w:t>. Effectiveness of omalizumab in patients with inadequately controlled severe persistent allergic asthma: and open-label study.</w:t>
            </w: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sz w:val="20"/>
              </w:rPr>
              <w:t xml:space="preserve">Ayres JG, Higgins B, Chilvers ER, </w:t>
            </w:r>
            <w:r w:rsidRPr="00EC09F6">
              <w:rPr>
                <w:rFonts w:ascii="Arial Narrow" w:hAnsi="Arial Narrow"/>
                <w:i/>
                <w:sz w:val="20"/>
              </w:rPr>
              <w:t>et al</w:t>
            </w:r>
            <w:r w:rsidRPr="00EC09F6">
              <w:rPr>
                <w:rFonts w:ascii="Arial Narrow" w:hAnsi="Arial Narrow"/>
                <w:sz w:val="20"/>
              </w:rPr>
              <w:t>. Efficacy and tolerability of anti-immunoglobulin E therapy with omalizumab in patients with poorly controlled (moderate to severe) allergic asthma.</w:t>
            </w:r>
          </w:p>
        </w:tc>
        <w:tc>
          <w:tcPr>
            <w:tcW w:w="1093" w:type="pct"/>
          </w:tcPr>
          <w:p w:rsidR="002D766D" w:rsidRPr="00EC09F6" w:rsidRDefault="002D766D" w:rsidP="004756C1">
            <w:pPr>
              <w:jc w:val="left"/>
              <w:rPr>
                <w:rFonts w:ascii="Arial Narrow" w:hAnsi="Arial Narrow"/>
                <w:sz w:val="20"/>
              </w:rPr>
            </w:pPr>
            <w:r w:rsidRPr="00EC09F6">
              <w:rPr>
                <w:rFonts w:ascii="Arial Narrow" w:hAnsi="Arial Narrow"/>
                <w:i/>
                <w:sz w:val="20"/>
              </w:rPr>
              <w:t>Respir Med.</w:t>
            </w:r>
            <w:r w:rsidRPr="00EC09F6">
              <w:rPr>
                <w:rFonts w:ascii="Arial Narrow" w:hAnsi="Arial Narrow"/>
                <w:sz w:val="20"/>
              </w:rPr>
              <w:t xml:space="preserve"> 2008; 102(10): 1371-1378.</w:t>
            </w:r>
          </w:p>
          <w:p w:rsidR="002D766D" w:rsidRPr="00EC09F6" w:rsidRDefault="002D766D" w:rsidP="004756C1">
            <w:pPr>
              <w:jc w:val="left"/>
              <w:rPr>
                <w:rFonts w:ascii="Arial Narrow" w:hAnsi="Arial Narrow"/>
                <w:sz w:val="20"/>
              </w:rPr>
            </w:pP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i/>
                <w:sz w:val="20"/>
              </w:rPr>
              <w:t>Allergy.</w:t>
            </w:r>
            <w:r w:rsidRPr="00EC09F6">
              <w:rPr>
                <w:rFonts w:ascii="Arial Narrow" w:hAnsi="Arial Narrow"/>
                <w:sz w:val="20"/>
              </w:rPr>
              <w:t xml:space="preserve"> 2004; 59(7): 701-708.</w:t>
            </w:r>
          </w:p>
        </w:tc>
      </w:tr>
      <w:tr w:rsidR="00EC09F6" w:rsidRPr="00EC09F6" w:rsidTr="00062BED">
        <w:trPr>
          <w:cantSplit/>
        </w:trPr>
        <w:tc>
          <w:tcPr>
            <w:tcW w:w="594" w:type="pct"/>
          </w:tcPr>
          <w:p w:rsidR="002D766D" w:rsidRPr="00EC09F6" w:rsidRDefault="002D766D" w:rsidP="004756C1">
            <w:pPr>
              <w:jc w:val="left"/>
              <w:rPr>
                <w:rFonts w:ascii="Arial Narrow" w:hAnsi="Arial Narrow"/>
                <w:sz w:val="20"/>
              </w:rPr>
            </w:pPr>
            <w:r w:rsidRPr="00EC09F6">
              <w:rPr>
                <w:rFonts w:ascii="Arial Narrow" w:hAnsi="Arial Narrow"/>
                <w:sz w:val="20"/>
              </w:rPr>
              <w:t>EXALT</w:t>
            </w:r>
          </w:p>
        </w:tc>
        <w:tc>
          <w:tcPr>
            <w:tcW w:w="3313" w:type="pct"/>
          </w:tcPr>
          <w:p w:rsidR="002D766D" w:rsidRPr="00EC09F6" w:rsidRDefault="002D766D" w:rsidP="004756C1">
            <w:pPr>
              <w:jc w:val="left"/>
              <w:rPr>
                <w:rFonts w:ascii="Arial Narrow" w:hAnsi="Arial Narrow"/>
                <w:sz w:val="20"/>
              </w:rPr>
            </w:pPr>
            <w:r w:rsidRPr="00EC09F6">
              <w:rPr>
                <w:rFonts w:ascii="Arial Narrow" w:hAnsi="Arial Narrow"/>
                <w:sz w:val="20"/>
              </w:rPr>
              <w:t xml:space="preserve">Bousquet J, Siergiejko Z, Swiebocka E, </w:t>
            </w:r>
            <w:r w:rsidRPr="00EC09F6">
              <w:rPr>
                <w:rFonts w:ascii="Arial Narrow" w:hAnsi="Arial Narrow"/>
                <w:i/>
                <w:sz w:val="20"/>
              </w:rPr>
              <w:t>et al</w:t>
            </w:r>
            <w:r w:rsidRPr="00EC09F6">
              <w:rPr>
                <w:rFonts w:ascii="Arial Narrow" w:hAnsi="Arial Narrow"/>
                <w:sz w:val="20"/>
              </w:rPr>
              <w:t xml:space="preserve">. Persistency of response to omalizumab therapy in severe allergic (IgE-mediated) asthma patients. </w:t>
            </w:r>
          </w:p>
          <w:p w:rsidR="002D766D" w:rsidRPr="00EC09F6" w:rsidRDefault="002D766D" w:rsidP="004756C1">
            <w:pPr>
              <w:jc w:val="left"/>
              <w:rPr>
                <w:rFonts w:ascii="Arial Narrow" w:hAnsi="Arial Narrow"/>
                <w:sz w:val="12"/>
                <w:szCs w:val="12"/>
              </w:rPr>
            </w:pPr>
          </w:p>
          <w:p w:rsidR="002D766D" w:rsidRPr="00EC09F6" w:rsidRDefault="002D766D" w:rsidP="004756C1">
            <w:pPr>
              <w:jc w:val="left"/>
              <w:rPr>
                <w:rFonts w:ascii="Arial Narrow" w:hAnsi="Arial Narrow"/>
                <w:sz w:val="20"/>
              </w:rPr>
            </w:pPr>
            <w:r w:rsidRPr="00EC09F6">
              <w:rPr>
                <w:rFonts w:ascii="Arial Narrow" w:hAnsi="Arial Narrow"/>
                <w:sz w:val="20"/>
              </w:rPr>
              <w:t xml:space="preserve">Siergiejko Z, Swiebocka E, Smith N, </w:t>
            </w:r>
            <w:r w:rsidRPr="00EC09F6">
              <w:rPr>
                <w:rFonts w:ascii="Arial Narrow" w:hAnsi="Arial Narrow"/>
                <w:i/>
                <w:sz w:val="20"/>
              </w:rPr>
              <w:t>et al</w:t>
            </w:r>
            <w:r w:rsidRPr="00EC09F6">
              <w:rPr>
                <w:rFonts w:ascii="Arial Narrow" w:hAnsi="Arial Narrow"/>
                <w:sz w:val="20"/>
              </w:rPr>
              <w:t>. Oral corticosteroid sparing with omalizumab in severe allergic (IgE-mediated) asthma patients.</w:t>
            </w:r>
          </w:p>
        </w:tc>
        <w:tc>
          <w:tcPr>
            <w:tcW w:w="1093" w:type="pct"/>
          </w:tcPr>
          <w:p w:rsidR="002D766D" w:rsidRPr="00EC09F6" w:rsidRDefault="002D766D" w:rsidP="004756C1">
            <w:pPr>
              <w:jc w:val="left"/>
              <w:rPr>
                <w:rFonts w:ascii="Arial Narrow" w:hAnsi="Arial Narrow"/>
                <w:sz w:val="20"/>
              </w:rPr>
            </w:pPr>
            <w:r w:rsidRPr="00EC09F6">
              <w:rPr>
                <w:rFonts w:ascii="Arial Narrow" w:hAnsi="Arial Narrow"/>
                <w:i/>
                <w:sz w:val="20"/>
              </w:rPr>
              <w:t>Allergy.</w:t>
            </w:r>
            <w:r w:rsidRPr="00EC09F6">
              <w:rPr>
                <w:rFonts w:ascii="Arial Narrow" w:hAnsi="Arial Narrow"/>
                <w:sz w:val="20"/>
              </w:rPr>
              <w:t xml:space="preserve"> 2011; 66(5): 671-678</w:t>
            </w:r>
          </w:p>
          <w:p w:rsidR="002D766D" w:rsidRPr="00EC09F6" w:rsidRDefault="002D766D" w:rsidP="004756C1">
            <w:pPr>
              <w:jc w:val="left"/>
              <w:rPr>
                <w:rFonts w:ascii="Arial Narrow" w:hAnsi="Arial Narrow"/>
                <w:sz w:val="12"/>
                <w:szCs w:val="12"/>
              </w:rPr>
            </w:pPr>
          </w:p>
          <w:p w:rsidR="002D766D" w:rsidRPr="00EC09F6" w:rsidRDefault="002D766D" w:rsidP="004F0ED5">
            <w:pPr>
              <w:jc w:val="left"/>
              <w:rPr>
                <w:rFonts w:ascii="Arial Narrow" w:hAnsi="Arial Narrow"/>
                <w:sz w:val="20"/>
              </w:rPr>
            </w:pPr>
            <w:r w:rsidRPr="00EC09F6">
              <w:rPr>
                <w:rFonts w:ascii="Arial Narrow" w:hAnsi="Arial Narrow"/>
                <w:i/>
                <w:sz w:val="20"/>
              </w:rPr>
              <w:t>CMR</w:t>
            </w:r>
            <w:r w:rsidR="004F0ED5" w:rsidRPr="00EC09F6">
              <w:rPr>
                <w:rFonts w:ascii="Arial Narrow" w:hAnsi="Arial Narrow"/>
                <w:i/>
                <w:sz w:val="20"/>
              </w:rPr>
              <w:t>O</w:t>
            </w:r>
            <w:r w:rsidRPr="00EC09F6">
              <w:rPr>
                <w:rFonts w:ascii="Arial Narrow" w:hAnsi="Arial Narrow"/>
                <w:i/>
                <w:sz w:val="20"/>
              </w:rPr>
              <w:t>.</w:t>
            </w:r>
            <w:r w:rsidRPr="00EC09F6">
              <w:rPr>
                <w:rFonts w:ascii="Arial Narrow" w:hAnsi="Arial Narrow"/>
                <w:sz w:val="20"/>
              </w:rPr>
              <w:t xml:space="preserve"> 2011; 27(11): 2223-2228.</w:t>
            </w:r>
          </w:p>
        </w:tc>
      </w:tr>
    </w:tbl>
    <w:p w:rsidR="002D766D" w:rsidRPr="00EC09F6" w:rsidRDefault="002D766D" w:rsidP="002D766D">
      <w:pPr>
        <w:pStyle w:val="TableFooter"/>
        <w:ind w:firstLine="720"/>
      </w:pPr>
      <w:r w:rsidRPr="00EC09F6">
        <w:t>Source: Table 15, pp56-57; Tables 55-56, pp157-159 of the submission</w:t>
      </w:r>
    </w:p>
    <w:p w:rsidR="00104078" w:rsidRPr="00EC09F6" w:rsidRDefault="00104078" w:rsidP="002D766D">
      <w:pPr>
        <w:pStyle w:val="TableFooter"/>
        <w:ind w:firstLine="720"/>
      </w:pPr>
      <w:r w:rsidRPr="00EC09F6">
        <w:t>IgE = immunoglobulin E</w:t>
      </w:r>
    </w:p>
    <w:p w:rsidR="00862502" w:rsidRPr="00EC09F6" w:rsidRDefault="00862502" w:rsidP="008F120A">
      <w:pPr>
        <w:widowControl/>
        <w:rPr>
          <w:szCs w:val="22"/>
        </w:rPr>
      </w:pPr>
    </w:p>
    <w:p w:rsidR="00862502" w:rsidRPr="00EC09F6" w:rsidRDefault="008F120A" w:rsidP="00986DCF">
      <w:pPr>
        <w:pStyle w:val="ListParagraph"/>
        <w:widowControl/>
        <w:numPr>
          <w:ilvl w:val="1"/>
          <w:numId w:val="2"/>
        </w:numPr>
        <w:rPr>
          <w:szCs w:val="22"/>
        </w:rPr>
      </w:pPr>
      <w:r w:rsidRPr="00EC09F6">
        <w:rPr>
          <w:szCs w:val="22"/>
        </w:rPr>
        <w:t>The key features of the direct randomised trials are summarised in the table below.</w:t>
      </w:r>
    </w:p>
    <w:p w:rsidR="007F1017" w:rsidRPr="00EC09F6" w:rsidRDefault="007F1017" w:rsidP="007F1017">
      <w:pPr>
        <w:widowControl/>
        <w:rPr>
          <w:szCs w:val="22"/>
        </w:rPr>
      </w:pPr>
    </w:p>
    <w:p w:rsidR="00F04437" w:rsidRDefault="00F04437" w:rsidP="00104078">
      <w:pPr>
        <w:keepNext/>
        <w:ind w:firstLine="720"/>
        <w:rPr>
          <w:rStyle w:val="CommentReference"/>
        </w:rPr>
      </w:pPr>
      <w:r>
        <w:rPr>
          <w:rStyle w:val="CommentReference"/>
        </w:rPr>
        <w:br w:type="page"/>
      </w:r>
    </w:p>
    <w:p w:rsidR="007F1017" w:rsidRPr="00EC09F6" w:rsidRDefault="007F1017" w:rsidP="00104078">
      <w:pPr>
        <w:keepNext/>
        <w:ind w:firstLine="720"/>
        <w:rPr>
          <w:rStyle w:val="CommentReference"/>
        </w:rPr>
      </w:pPr>
      <w:r w:rsidRPr="00EC09F6">
        <w:rPr>
          <w:rStyle w:val="CommentReference"/>
        </w:rPr>
        <w:t xml:space="preserve">Table </w:t>
      </w:r>
      <w:r w:rsidR="00680293" w:rsidRPr="00EC09F6">
        <w:rPr>
          <w:rStyle w:val="CommentReference"/>
        </w:rPr>
        <w:t>2</w:t>
      </w:r>
      <w:r w:rsidRPr="00EC09F6">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425"/>
        <w:gridCol w:w="1138"/>
        <w:gridCol w:w="850"/>
        <w:gridCol w:w="1843"/>
        <w:gridCol w:w="1701"/>
        <w:gridCol w:w="1399"/>
      </w:tblGrid>
      <w:tr w:rsidR="00EC09F6" w:rsidRPr="00EC09F6" w:rsidTr="007550BD">
        <w:trPr>
          <w:cantSplit/>
          <w:tblHeader/>
        </w:trPr>
        <w:tc>
          <w:tcPr>
            <w:tcW w:w="593" w:type="pct"/>
            <w:shd w:val="clear" w:color="auto" w:fill="auto"/>
            <w:vAlign w:val="center"/>
          </w:tcPr>
          <w:p w:rsidR="007F1017" w:rsidRPr="00EC09F6" w:rsidRDefault="007550BD" w:rsidP="00104078">
            <w:pPr>
              <w:keepNext/>
              <w:jc w:val="left"/>
              <w:rPr>
                <w:rFonts w:ascii="Arial Narrow" w:hAnsi="Arial Narrow"/>
                <w:b/>
                <w:sz w:val="20"/>
                <w:lang w:val="en-US"/>
              </w:rPr>
            </w:pPr>
            <w:r w:rsidRPr="00EC09F6">
              <w:rPr>
                <w:rFonts w:ascii="Arial Narrow" w:hAnsi="Arial Narrow"/>
                <w:b/>
                <w:sz w:val="20"/>
                <w:lang w:val="en-US"/>
              </w:rPr>
              <w:t>Trial</w:t>
            </w:r>
          </w:p>
        </w:tc>
        <w:tc>
          <w:tcPr>
            <w:tcW w:w="255" w:type="pct"/>
            <w:shd w:val="clear" w:color="auto" w:fill="auto"/>
            <w:vAlign w:val="center"/>
          </w:tcPr>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N</w:t>
            </w:r>
          </w:p>
        </w:tc>
        <w:tc>
          <w:tcPr>
            <w:tcW w:w="682" w:type="pct"/>
            <w:shd w:val="clear" w:color="auto" w:fill="auto"/>
            <w:vAlign w:val="center"/>
          </w:tcPr>
          <w:p w:rsidR="004A01D4" w:rsidRPr="00EC09F6" w:rsidRDefault="00BF730D" w:rsidP="00104078">
            <w:pPr>
              <w:keepNext/>
              <w:jc w:val="center"/>
              <w:rPr>
                <w:rFonts w:ascii="Arial Narrow" w:hAnsi="Arial Narrow"/>
                <w:b/>
                <w:sz w:val="20"/>
                <w:lang w:val="en-US"/>
              </w:rPr>
            </w:pPr>
            <w:r w:rsidRPr="00EC09F6">
              <w:rPr>
                <w:rFonts w:ascii="Arial Narrow" w:hAnsi="Arial Narrow"/>
                <w:b/>
                <w:sz w:val="20"/>
                <w:lang w:val="en-US"/>
              </w:rPr>
              <w:t>Design/</w:t>
            </w:r>
          </w:p>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duration</w:t>
            </w:r>
          </w:p>
        </w:tc>
        <w:tc>
          <w:tcPr>
            <w:tcW w:w="509" w:type="pct"/>
            <w:shd w:val="clear" w:color="auto" w:fill="auto"/>
            <w:vAlign w:val="center"/>
          </w:tcPr>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Risk of bias</w:t>
            </w:r>
          </w:p>
        </w:tc>
        <w:tc>
          <w:tcPr>
            <w:tcW w:w="1104" w:type="pct"/>
            <w:shd w:val="clear" w:color="auto" w:fill="auto"/>
            <w:vAlign w:val="center"/>
          </w:tcPr>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Patient population</w:t>
            </w:r>
          </w:p>
        </w:tc>
        <w:tc>
          <w:tcPr>
            <w:tcW w:w="1019" w:type="pct"/>
            <w:shd w:val="clear" w:color="auto" w:fill="auto"/>
            <w:vAlign w:val="center"/>
          </w:tcPr>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Outcomes</w:t>
            </w:r>
          </w:p>
        </w:tc>
        <w:tc>
          <w:tcPr>
            <w:tcW w:w="838" w:type="pct"/>
            <w:shd w:val="clear" w:color="auto" w:fill="auto"/>
            <w:vAlign w:val="center"/>
          </w:tcPr>
          <w:p w:rsidR="007F1017" w:rsidRPr="00EC09F6" w:rsidRDefault="007F1017" w:rsidP="00104078">
            <w:pPr>
              <w:keepNext/>
              <w:jc w:val="center"/>
              <w:rPr>
                <w:rFonts w:ascii="Arial Narrow" w:hAnsi="Arial Narrow"/>
                <w:b/>
                <w:sz w:val="20"/>
                <w:lang w:val="en-US"/>
              </w:rPr>
            </w:pPr>
            <w:r w:rsidRPr="00EC09F6">
              <w:rPr>
                <w:rFonts w:ascii="Arial Narrow" w:hAnsi="Arial Narrow"/>
                <w:b/>
                <w:sz w:val="20"/>
                <w:lang w:val="en-US"/>
              </w:rPr>
              <w:t>Use in modelled evaluation</w:t>
            </w:r>
          </w:p>
        </w:tc>
      </w:tr>
      <w:tr w:rsidR="00EC09F6" w:rsidRPr="00EC09F6" w:rsidTr="00104078">
        <w:trPr>
          <w:cantSplit/>
        </w:trPr>
        <w:tc>
          <w:tcPr>
            <w:tcW w:w="5000" w:type="pct"/>
            <w:gridSpan w:val="7"/>
            <w:shd w:val="clear" w:color="auto" w:fill="auto"/>
            <w:vAlign w:val="center"/>
          </w:tcPr>
          <w:p w:rsidR="007F1017" w:rsidRPr="00EC09F6" w:rsidRDefault="00BF730D" w:rsidP="00104078">
            <w:pPr>
              <w:keepNext/>
              <w:jc w:val="left"/>
              <w:rPr>
                <w:rFonts w:ascii="Arial Narrow" w:hAnsi="Arial Narrow"/>
                <w:b/>
                <w:sz w:val="20"/>
                <w:lang w:val="en-US"/>
              </w:rPr>
            </w:pPr>
            <w:r w:rsidRPr="00EC09F6">
              <w:rPr>
                <w:rFonts w:ascii="Arial Narrow" w:hAnsi="Arial Narrow"/>
                <w:b/>
                <w:sz w:val="20"/>
                <w:lang w:val="en-US"/>
              </w:rPr>
              <w:t>Mepolizumab versus standard of care</w:t>
            </w:r>
          </w:p>
        </w:tc>
      </w:tr>
      <w:tr w:rsidR="00EC09F6" w:rsidRPr="00EC09F6" w:rsidTr="007550BD">
        <w:trPr>
          <w:cantSplit/>
        </w:trPr>
        <w:tc>
          <w:tcPr>
            <w:tcW w:w="593" w:type="pct"/>
            <w:shd w:val="clear" w:color="auto" w:fill="auto"/>
            <w:vAlign w:val="center"/>
          </w:tcPr>
          <w:p w:rsidR="007F1017" w:rsidRPr="006A633D" w:rsidRDefault="00BF730D" w:rsidP="00104078">
            <w:pPr>
              <w:keepNext/>
              <w:jc w:val="left"/>
              <w:rPr>
                <w:rFonts w:ascii="Arial Narrow" w:hAnsi="Arial Narrow"/>
                <w:sz w:val="20"/>
                <w:lang w:val="en-US"/>
              </w:rPr>
            </w:pPr>
            <w:r w:rsidRPr="006A633D">
              <w:rPr>
                <w:rFonts w:ascii="Arial Narrow" w:hAnsi="Arial Narrow"/>
                <w:sz w:val="20"/>
                <w:lang w:val="en-US"/>
              </w:rPr>
              <w:t>Study 575</w:t>
            </w:r>
          </w:p>
        </w:tc>
        <w:tc>
          <w:tcPr>
            <w:tcW w:w="255"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135</w:t>
            </w:r>
          </w:p>
        </w:tc>
        <w:tc>
          <w:tcPr>
            <w:tcW w:w="682"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R, DB, MC</w:t>
            </w:r>
          </w:p>
          <w:p w:rsidR="00BF730D" w:rsidRPr="006A633D" w:rsidRDefault="00BF730D" w:rsidP="00104078">
            <w:pPr>
              <w:keepNext/>
              <w:jc w:val="center"/>
              <w:rPr>
                <w:rFonts w:ascii="Arial Narrow" w:hAnsi="Arial Narrow"/>
                <w:sz w:val="20"/>
                <w:lang w:val="en-US"/>
              </w:rPr>
            </w:pPr>
            <w:r w:rsidRPr="006A633D">
              <w:rPr>
                <w:rFonts w:ascii="Arial Narrow" w:hAnsi="Arial Narrow"/>
                <w:sz w:val="20"/>
                <w:lang w:val="en-US"/>
              </w:rPr>
              <w:t>24 weeks</w:t>
            </w:r>
          </w:p>
        </w:tc>
        <w:tc>
          <w:tcPr>
            <w:tcW w:w="509"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Low</w:t>
            </w:r>
          </w:p>
        </w:tc>
        <w:tc>
          <w:tcPr>
            <w:tcW w:w="1104" w:type="pct"/>
            <w:shd w:val="clear" w:color="auto" w:fill="auto"/>
            <w:vAlign w:val="center"/>
          </w:tcPr>
          <w:p w:rsidR="004A01D4" w:rsidRPr="006A633D" w:rsidRDefault="00BF730D" w:rsidP="00104078">
            <w:pPr>
              <w:keepNext/>
              <w:jc w:val="center"/>
              <w:rPr>
                <w:rFonts w:ascii="Arial Narrow" w:hAnsi="Arial Narrow"/>
                <w:sz w:val="20"/>
                <w:lang w:val="en-US"/>
              </w:rPr>
            </w:pPr>
            <w:r w:rsidRPr="006A633D">
              <w:rPr>
                <w:rFonts w:ascii="Arial Narrow" w:hAnsi="Arial Narrow"/>
                <w:sz w:val="20"/>
                <w:lang w:val="en-US"/>
              </w:rPr>
              <w:t xml:space="preserve">Severe, </w:t>
            </w:r>
          </w:p>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eosinophilic asthma</w:t>
            </w:r>
          </w:p>
        </w:tc>
        <w:tc>
          <w:tcPr>
            <w:tcW w:w="1019" w:type="pct"/>
            <w:shd w:val="clear" w:color="auto" w:fill="auto"/>
            <w:vAlign w:val="center"/>
          </w:tcPr>
          <w:p w:rsidR="007F1017" w:rsidRPr="006A633D" w:rsidRDefault="004A01D4" w:rsidP="00104078">
            <w:pPr>
              <w:keepNext/>
              <w:jc w:val="center"/>
              <w:rPr>
                <w:rFonts w:ascii="Arial Narrow" w:hAnsi="Arial Narrow"/>
                <w:sz w:val="20"/>
                <w:lang w:val="en-US"/>
              </w:rPr>
            </w:pPr>
            <w:r w:rsidRPr="006A633D">
              <w:rPr>
                <w:rFonts w:ascii="Arial Narrow" w:hAnsi="Arial Narrow"/>
                <w:sz w:val="20"/>
                <w:lang w:val="en-US"/>
              </w:rPr>
              <w:t>Reduction in OCS dose</w:t>
            </w:r>
          </w:p>
        </w:tc>
        <w:tc>
          <w:tcPr>
            <w:tcW w:w="838"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No</w:t>
            </w:r>
          </w:p>
        </w:tc>
      </w:tr>
      <w:tr w:rsidR="00EC09F6" w:rsidRPr="00EC09F6" w:rsidTr="007550BD">
        <w:trPr>
          <w:cantSplit/>
        </w:trPr>
        <w:tc>
          <w:tcPr>
            <w:tcW w:w="593" w:type="pct"/>
            <w:shd w:val="clear" w:color="auto" w:fill="auto"/>
            <w:vAlign w:val="center"/>
          </w:tcPr>
          <w:p w:rsidR="007F1017" w:rsidRPr="006A633D" w:rsidRDefault="00BF730D" w:rsidP="00104078">
            <w:pPr>
              <w:keepNext/>
              <w:jc w:val="left"/>
              <w:rPr>
                <w:rFonts w:ascii="Arial Narrow" w:hAnsi="Arial Narrow"/>
                <w:sz w:val="20"/>
                <w:lang w:val="en-US"/>
              </w:rPr>
            </w:pPr>
            <w:r w:rsidRPr="006A633D">
              <w:rPr>
                <w:rFonts w:ascii="Arial Narrow" w:hAnsi="Arial Narrow"/>
                <w:sz w:val="20"/>
                <w:lang w:val="en-US"/>
              </w:rPr>
              <w:t>Study 588</w:t>
            </w:r>
          </w:p>
        </w:tc>
        <w:tc>
          <w:tcPr>
            <w:tcW w:w="255"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580</w:t>
            </w:r>
          </w:p>
        </w:tc>
        <w:tc>
          <w:tcPr>
            <w:tcW w:w="682"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R, DB, MC</w:t>
            </w:r>
          </w:p>
          <w:p w:rsidR="00BF730D" w:rsidRPr="006A633D" w:rsidRDefault="00BF730D" w:rsidP="00104078">
            <w:pPr>
              <w:keepNext/>
              <w:jc w:val="center"/>
              <w:rPr>
                <w:rFonts w:ascii="Arial Narrow" w:hAnsi="Arial Narrow"/>
                <w:sz w:val="20"/>
                <w:lang w:val="en-US"/>
              </w:rPr>
            </w:pPr>
            <w:r w:rsidRPr="006A633D">
              <w:rPr>
                <w:rFonts w:ascii="Arial Narrow" w:hAnsi="Arial Narrow"/>
                <w:sz w:val="20"/>
                <w:lang w:val="en-US"/>
              </w:rPr>
              <w:t>32 weeks</w:t>
            </w:r>
          </w:p>
        </w:tc>
        <w:tc>
          <w:tcPr>
            <w:tcW w:w="509" w:type="pct"/>
            <w:shd w:val="clear" w:color="auto" w:fill="auto"/>
            <w:vAlign w:val="center"/>
          </w:tcPr>
          <w:p w:rsidR="007F1017" w:rsidRPr="006A633D" w:rsidRDefault="00B4162B" w:rsidP="00104078">
            <w:pPr>
              <w:keepNext/>
              <w:jc w:val="center"/>
              <w:rPr>
                <w:rFonts w:ascii="Arial Narrow" w:hAnsi="Arial Narrow"/>
                <w:sz w:val="20"/>
                <w:lang w:val="en-US"/>
              </w:rPr>
            </w:pPr>
            <w:r w:rsidRPr="006A633D">
              <w:rPr>
                <w:rFonts w:ascii="Arial Narrow" w:hAnsi="Arial Narrow"/>
                <w:sz w:val="20"/>
                <w:lang w:val="en-US"/>
              </w:rPr>
              <w:t>Low</w:t>
            </w:r>
          </w:p>
        </w:tc>
        <w:tc>
          <w:tcPr>
            <w:tcW w:w="1104"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Severe, uncontrolled, refractory asthma</w:t>
            </w:r>
          </w:p>
        </w:tc>
        <w:tc>
          <w:tcPr>
            <w:tcW w:w="1019" w:type="pct"/>
            <w:shd w:val="clear" w:color="auto" w:fill="auto"/>
            <w:vAlign w:val="center"/>
          </w:tcPr>
          <w:p w:rsidR="007F1017" w:rsidRPr="006A633D" w:rsidRDefault="004A01D4" w:rsidP="00104078">
            <w:pPr>
              <w:keepNext/>
              <w:jc w:val="center"/>
              <w:rPr>
                <w:rFonts w:ascii="Arial Narrow" w:hAnsi="Arial Narrow"/>
                <w:sz w:val="20"/>
                <w:lang w:val="en-US"/>
              </w:rPr>
            </w:pPr>
            <w:r w:rsidRPr="006A633D">
              <w:rPr>
                <w:rFonts w:ascii="Arial Narrow" w:hAnsi="Arial Narrow"/>
                <w:sz w:val="20"/>
                <w:lang w:val="en-US"/>
              </w:rPr>
              <w:t>Rate of exacerbations</w:t>
            </w:r>
          </w:p>
        </w:tc>
        <w:tc>
          <w:tcPr>
            <w:tcW w:w="838" w:type="pct"/>
            <w:shd w:val="clear" w:color="auto" w:fill="auto"/>
            <w:vAlign w:val="center"/>
          </w:tcPr>
          <w:p w:rsidR="001A0827" w:rsidRPr="006A633D" w:rsidRDefault="00BF730D" w:rsidP="00104078">
            <w:pPr>
              <w:keepNext/>
              <w:jc w:val="center"/>
              <w:rPr>
                <w:rFonts w:ascii="Arial Narrow" w:hAnsi="Arial Narrow"/>
                <w:sz w:val="20"/>
                <w:lang w:val="en-US"/>
              </w:rPr>
            </w:pPr>
            <w:r w:rsidRPr="006A633D">
              <w:rPr>
                <w:rFonts w:ascii="Arial Narrow" w:hAnsi="Arial Narrow"/>
                <w:sz w:val="20"/>
                <w:lang w:val="en-US"/>
              </w:rPr>
              <w:t>Yes</w:t>
            </w:r>
            <w:r w:rsidR="001A0827" w:rsidRPr="006A633D">
              <w:rPr>
                <w:rFonts w:ascii="Arial Narrow" w:hAnsi="Arial Narrow"/>
                <w:sz w:val="20"/>
                <w:lang w:val="en-US"/>
              </w:rPr>
              <w:t>, subgroup</w:t>
            </w:r>
          </w:p>
          <w:p w:rsidR="007F1017" w:rsidRPr="006A633D" w:rsidRDefault="00BF730D" w:rsidP="007550BD">
            <w:pPr>
              <w:keepNext/>
              <w:jc w:val="center"/>
              <w:rPr>
                <w:rFonts w:ascii="Arial Narrow" w:hAnsi="Arial Narrow"/>
                <w:sz w:val="20"/>
                <w:lang w:val="en-US"/>
              </w:rPr>
            </w:pPr>
            <w:r w:rsidRPr="006A633D">
              <w:rPr>
                <w:rFonts w:ascii="Arial Narrow" w:hAnsi="Arial Narrow"/>
                <w:sz w:val="20"/>
                <w:lang w:val="en-US"/>
              </w:rPr>
              <w:t xml:space="preserve"> </w:t>
            </w:r>
            <w:r w:rsidR="007550BD" w:rsidRPr="006A633D">
              <w:rPr>
                <w:rFonts w:ascii="Arial Narrow" w:hAnsi="Arial Narrow"/>
                <w:sz w:val="20"/>
                <w:lang w:val="en-US"/>
              </w:rPr>
              <w:t>-</w:t>
            </w:r>
            <w:r w:rsidRPr="006A633D">
              <w:rPr>
                <w:rFonts w:ascii="Arial Narrow" w:hAnsi="Arial Narrow"/>
                <w:sz w:val="20"/>
                <w:lang w:val="en-US"/>
              </w:rPr>
              <w:t xml:space="preserve"> CEA, CMA</w:t>
            </w:r>
          </w:p>
        </w:tc>
      </w:tr>
      <w:tr w:rsidR="00EC09F6" w:rsidRPr="00EC09F6" w:rsidTr="007550BD">
        <w:trPr>
          <w:cantSplit/>
        </w:trPr>
        <w:tc>
          <w:tcPr>
            <w:tcW w:w="593" w:type="pct"/>
            <w:shd w:val="clear" w:color="auto" w:fill="auto"/>
            <w:vAlign w:val="center"/>
          </w:tcPr>
          <w:p w:rsidR="007F1017" w:rsidRPr="006A633D" w:rsidRDefault="00BF730D" w:rsidP="00104078">
            <w:pPr>
              <w:keepNext/>
              <w:jc w:val="left"/>
              <w:rPr>
                <w:rFonts w:ascii="Arial Narrow" w:hAnsi="Arial Narrow"/>
                <w:sz w:val="20"/>
                <w:lang w:val="en-US"/>
              </w:rPr>
            </w:pPr>
            <w:r w:rsidRPr="006A633D">
              <w:rPr>
                <w:rFonts w:ascii="Arial Narrow" w:hAnsi="Arial Narrow"/>
                <w:sz w:val="20"/>
                <w:lang w:val="en-US"/>
              </w:rPr>
              <w:t>Study 997</w:t>
            </w:r>
          </w:p>
        </w:tc>
        <w:tc>
          <w:tcPr>
            <w:tcW w:w="255"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311</w:t>
            </w:r>
          </w:p>
        </w:tc>
        <w:tc>
          <w:tcPr>
            <w:tcW w:w="682"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R, DB, MC</w:t>
            </w:r>
          </w:p>
          <w:p w:rsidR="00BF730D" w:rsidRPr="006A633D" w:rsidRDefault="00BF730D" w:rsidP="00104078">
            <w:pPr>
              <w:keepNext/>
              <w:jc w:val="center"/>
              <w:rPr>
                <w:rFonts w:ascii="Arial Narrow" w:hAnsi="Arial Narrow"/>
                <w:sz w:val="20"/>
                <w:lang w:val="en-US"/>
              </w:rPr>
            </w:pPr>
            <w:r w:rsidRPr="006A633D">
              <w:rPr>
                <w:rFonts w:ascii="Arial Narrow" w:hAnsi="Arial Narrow"/>
                <w:sz w:val="20"/>
                <w:lang w:val="en-US"/>
              </w:rPr>
              <w:t>52 weeks</w:t>
            </w:r>
          </w:p>
        </w:tc>
        <w:tc>
          <w:tcPr>
            <w:tcW w:w="509" w:type="pct"/>
            <w:shd w:val="clear" w:color="auto" w:fill="auto"/>
            <w:vAlign w:val="center"/>
          </w:tcPr>
          <w:p w:rsidR="007F1017" w:rsidRPr="006A633D" w:rsidRDefault="00B4162B" w:rsidP="00104078">
            <w:pPr>
              <w:keepNext/>
              <w:jc w:val="center"/>
              <w:rPr>
                <w:rFonts w:ascii="Arial Narrow" w:hAnsi="Arial Narrow"/>
                <w:sz w:val="20"/>
                <w:lang w:val="en-US"/>
              </w:rPr>
            </w:pPr>
            <w:r w:rsidRPr="006A633D">
              <w:rPr>
                <w:rFonts w:ascii="Arial Narrow" w:hAnsi="Arial Narrow"/>
                <w:sz w:val="20"/>
                <w:lang w:val="en-US"/>
              </w:rPr>
              <w:t>Low</w:t>
            </w:r>
          </w:p>
        </w:tc>
        <w:tc>
          <w:tcPr>
            <w:tcW w:w="1104"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Severe, uncontrolled, refractory asthma</w:t>
            </w:r>
          </w:p>
        </w:tc>
        <w:tc>
          <w:tcPr>
            <w:tcW w:w="1019" w:type="pct"/>
            <w:shd w:val="clear" w:color="auto" w:fill="auto"/>
            <w:vAlign w:val="center"/>
          </w:tcPr>
          <w:p w:rsidR="007F1017" w:rsidRPr="006A633D" w:rsidRDefault="004A01D4" w:rsidP="00104078">
            <w:pPr>
              <w:keepNext/>
              <w:jc w:val="center"/>
              <w:rPr>
                <w:rFonts w:ascii="Arial Narrow" w:hAnsi="Arial Narrow"/>
                <w:sz w:val="20"/>
                <w:lang w:val="en-US"/>
              </w:rPr>
            </w:pPr>
            <w:r w:rsidRPr="006A633D">
              <w:rPr>
                <w:rFonts w:ascii="Arial Narrow" w:hAnsi="Arial Narrow"/>
                <w:sz w:val="20"/>
                <w:lang w:val="en-US"/>
              </w:rPr>
              <w:t>Rate of exacerbations</w:t>
            </w:r>
          </w:p>
        </w:tc>
        <w:tc>
          <w:tcPr>
            <w:tcW w:w="838" w:type="pct"/>
            <w:shd w:val="clear" w:color="auto" w:fill="auto"/>
            <w:vAlign w:val="center"/>
          </w:tcPr>
          <w:p w:rsidR="007F1017" w:rsidRPr="006A633D" w:rsidRDefault="00BF730D" w:rsidP="00104078">
            <w:pPr>
              <w:keepNext/>
              <w:jc w:val="center"/>
              <w:rPr>
                <w:rFonts w:ascii="Arial Narrow" w:hAnsi="Arial Narrow"/>
                <w:sz w:val="20"/>
                <w:lang w:val="en-US"/>
              </w:rPr>
            </w:pPr>
            <w:r w:rsidRPr="006A633D">
              <w:rPr>
                <w:rFonts w:ascii="Arial Narrow" w:hAnsi="Arial Narrow"/>
                <w:sz w:val="20"/>
                <w:lang w:val="en-US"/>
              </w:rPr>
              <w:t>No</w:t>
            </w:r>
          </w:p>
        </w:tc>
      </w:tr>
      <w:tr w:rsidR="00EC09F6" w:rsidRPr="00EC09F6" w:rsidTr="00104078">
        <w:trPr>
          <w:cantSplit/>
        </w:trPr>
        <w:tc>
          <w:tcPr>
            <w:tcW w:w="5000" w:type="pct"/>
            <w:gridSpan w:val="7"/>
            <w:shd w:val="clear" w:color="auto" w:fill="auto"/>
            <w:vAlign w:val="center"/>
          </w:tcPr>
          <w:p w:rsidR="00BF730D" w:rsidRPr="006A633D" w:rsidRDefault="00BF730D" w:rsidP="00BF730D">
            <w:pPr>
              <w:jc w:val="left"/>
              <w:rPr>
                <w:rFonts w:ascii="Arial Narrow" w:hAnsi="Arial Narrow"/>
                <w:b/>
                <w:sz w:val="20"/>
                <w:lang w:val="en-US"/>
              </w:rPr>
            </w:pPr>
            <w:r w:rsidRPr="006A633D">
              <w:rPr>
                <w:rFonts w:ascii="Arial Narrow" w:hAnsi="Arial Narrow"/>
                <w:b/>
                <w:sz w:val="20"/>
                <w:lang w:val="en-US"/>
              </w:rPr>
              <w:t>Omalizumab versus standard of care</w:t>
            </w:r>
          </w:p>
        </w:tc>
      </w:tr>
      <w:tr w:rsidR="00EC09F6" w:rsidRPr="00EC09F6" w:rsidTr="007550BD">
        <w:trPr>
          <w:cantSplit/>
        </w:trPr>
        <w:tc>
          <w:tcPr>
            <w:tcW w:w="593" w:type="pct"/>
            <w:shd w:val="clear" w:color="auto" w:fill="auto"/>
            <w:vAlign w:val="center"/>
          </w:tcPr>
          <w:p w:rsidR="007F1017" w:rsidRPr="006A633D" w:rsidRDefault="00BF730D" w:rsidP="007F1017">
            <w:pPr>
              <w:jc w:val="left"/>
              <w:rPr>
                <w:rFonts w:ascii="Arial Narrow" w:hAnsi="Arial Narrow"/>
                <w:sz w:val="20"/>
                <w:lang w:val="en-US"/>
              </w:rPr>
            </w:pPr>
            <w:r w:rsidRPr="006A633D">
              <w:rPr>
                <w:rFonts w:ascii="Arial Narrow" w:hAnsi="Arial Narrow"/>
                <w:sz w:val="20"/>
                <w:lang w:val="en-US"/>
              </w:rPr>
              <w:t>INNOVATE</w:t>
            </w:r>
          </w:p>
        </w:tc>
        <w:tc>
          <w:tcPr>
            <w:tcW w:w="255"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482</w:t>
            </w:r>
          </w:p>
        </w:tc>
        <w:tc>
          <w:tcPr>
            <w:tcW w:w="682"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R, DB, MC</w:t>
            </w:r>
          </w:p>
          <w:p w:rsidR="00BF730D" w:rsidRPr="006A633D" w:rsidRDefault="00BF730D" w:rsidP="007F1017">
            <w:pPr>
              <w:jc w:val="center"/>
              <w:rPr>
                <w:rFonts w:ascii="Arial Narrow" w:hAnsi="Arial Narrow"/>
                <w:sz w:val="20"/>
                <w:lang w:val="en-US"/>
              </w:rPr>
            </w:pPr>
            <w:r w:rsidRPr="006A633D">
              <w:rPr>
                <w:rFonts w:ascii="Arial Narrow" w:hAnsi="Arial Narrow"/>
                <w:sz w:val="20"/>
                <w:lang w:val="en-US"/>
              </w:rPr>
              <w:t>32 weeks</w:t>
            </w:r>
          </w:p>
        </w:tc>
        <w:tc>
          <w:tcPr>
            <w:tcW w:w="509"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Unclear</w:t>
            </w:r>
          </w:p>
        </w:tc>
        <w:tc>
          <w:tcPr>
            <w:tcW w:w="1104" w:type="pct"/>
            <w:shd w:val="clear" w:color="auto" w:fill="auto"/>
            <w:vAlign w:val="center"/>
          </w:tcPr>
          <w:p w:rsidR="004A01D4" w:rsidRPr="006A633D" w:rsidRDefault="00BF730D" w:rsidP="007F1017">
            <w:pPr>
              <w:jc w:val="center"/>
              <w:rPr>
                <w:rFonts w:ascii="Arial Narrow" w:hAnsi="Arial Narrow"/>
                <w:sz w:val="20"/>
                <w:lang w:val="en-US"/>
              </w:rPr>
            </w:pPr>
            <w:r w:rsidRPr="006A633D">
              <w:rPr>
                <w:rFonts w:ascii="Arial Narrow" w:hAnsi="Arial Narrow"/>
                <w:sz w:val="20"/>
                <w:lang w:val="en-US"/>
              </w:rPr>
              <w:t xml:space="preserve">Severe, persistent, </w:t>
            </w:r>
          </w:p>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allergic asthma</w:t>
            </w:r>
          </w:p>
        </w:tc>
        <w:tc>
          <w:tcPr>
            <w:tcW w:w="1019" w:type="pct"/>
            <w:shd w:val="clear" w:color="auto" w:fill="auto"/>
            <w:vAlign w:val="center"/>
          </w:tcPr>
          <w:p w:rsidR="007F1017" w:rsidRPr="006A633D" w:rsidRDefault="004A01D4" w:rsidP="004A01D4">
            <w:pPr>
              <w:jc w:val="center"/>
              <w:rPr>
                <w:rFonts w:ascii="Arial Narrow" w:hAnsi="Arial Narrow"/>
                <w:sz w:val="20"/>
                <w:lang w:val="en-US"/>
              </w:rPr>
            </w:pPr>
            <w:r w:rsidRPr="006A633D">
              <w:rPr>
                <w:rFonts w:ascii="Arial Narrow" w:hAnsi="Arial Narrow"/>
                <w:sz w:val="20"/>
                <w:lang w:val="en-US"/>
              </w:rPr>
              <w:t>Rate of exacerbations</w:t>
            </w:r>
          </w:p>
        </w:tc>
        <w:tc>
          <w:tcPr>
            <w:tcW w:w="838"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Yes - CMA</w:t>
            </w:r>
          </w:p>
        </w:tc>
      </w:tr>
      <w:tr w:rsidR="00EC09F6" w:rsidRPr="00EC09F6" w:rsidTr="007550BD">
        <w:trPr>
          <w:cantSplit/>
        </w:trPr>
        <w:tc>
          <w:tcPr>
            <w:tcW w:w="593" w:type="pct"/>
            <w:shd w:val="clear" w:color="auto" w:fill="auto"/>
            <w:vAlign w:val="center"/>
          </w:tcPr>
          <w:p w:rsidR="007F1017" w:rsidRPr="006A633D" w:rsidRDefault="00BF730D" w:rsidP="007F1017">
            <w:pPr>
              <w:jc w:val="left"/>
              <w:rPr>
                <w:rFonts w:ascii="Arial Narrow" w:hAnsi="Arial Narrow"/>
                <w:sz w:val="20"/>
                <w:lang w:val="en-US"/>
              </w:rPr>
            </w:pPr>
            <w:r w:rsidRPr="006A633D">
              <w:rPr>
                <w:rFonts w:ascii="Arial Narrow" w:hAnsi="Arial Narrow"/>
                <w:sz w:val="20"/>
                <w:lang w:val="en-US"/>
              </w:rPr>
              <w:t>EXALT</w:t>
            </w:r>
          </w:p>
        </w:tc>
        <w:tc>
          <w:tcPr>
            <w:tcW w:w="255"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408</w:t>
            </w:r>
          </w:p>
        </w:tc>
        <w:tc>
          <w:tcPr>
            <w:tcW w:w="682"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R, OL , MC</w:t>
            </w:r>
          </w:p>
          <w:p w:rsidR="00BF730D" w:rsidRPr="006A633D" w:rsidRDefault="00BF730D" w:rsidP="007F1017">
            <w:pPr>
              <w:jc w:val="center"/>
              <w:rPr>
                <w:rFonts w:ascii="Arial Narrow" w:hAnsi="Arial Narrow"/>
                <w:sz w:val="20"/>
                <w:lang w:val="en-US"/>
              </w:rPr>
            </w:pPr>
            <w:r w:rsidRPr="006A633D">
              <w:rPr>
                <w:rFonts w:ascii="Arial Narrow" w:hAnsi="Arial Narrow"/>
                <w:sz w:val="20"/>
                <w:lang w:val="en-US"/>
              </w:rPr>
              <w:t>32 weeks</w:t>
            </w:r>
          </w:p>
        </w:tc>
        <w:tc>
          <w:tcPr>
            <w:tcW w:w="509"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High</w:t>
            </w:r>
          </w:p>
        </w:tc>
        <w:tc>
          <w:tcPr>
            <w:tcW w:w="1104" w:type="pct"/>
            <w:shd w:val="clear" w:color="auto" w:fill="auto"/>
            <w:vAlign w:val="center"/>
          </w:tcPr>
          <w:p w:rsidR="004A01D4" w:rsidRPr="006A633D" w:rsidRDefault="00BF730D" w:rsidP="007F1017">
            <w:pPr>
              <w:jc w:val="center"/>
              <w:rPr>
                <w:rFonts w:ascii="Arial Narrow" w:hAnsi="Arial Narrow"/>
                <w:sz w:val="20"/>
                <w:lang w:val="en-US"/>
              </w:rPr>
            </w:pPr>
            <w:r w:rsidRPr="006A633D">
              <w:rPr>
                <w:rFonts w:ascii="Arial Narrow" w:hAnsi="Arial Narrow"/>
                <w:sz w:val="20"/>
                <w:lang w:val="en-US"/>
              </w:rPr>
              <w:t xml:space="preserve">Severe, uncontrolled, </w:t>
            </w:r>
          </w:p>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allergic asthma</w:t>
            </w:r>
          </w:p>
        </w:tc>
        <w:tc>
          <w:tcPr>
            <w:tcW w:w="1019" w:type="pct"/>
            <w:shd w:val="clear" w:color="auto" w:fill="auto"/>
            <w:vAlign w:val="center"/>
          </w:tcPr>
          <w:p w:rsidR="007F1017" w:rsidRPr="006A633D" w:rsidRDefault="004A01D4" w:rsidP="004A01D4">
            <w:pPr>
              <w:jc w:val="center"/>
              <w:rPr>
                <w:rFonts w:ascii="Arial Narrow" w:hAnsi="Arial Narrow"/>
                <w:sz w:val="20"/>
                <w:lang w:val="en-US"/>
              </w:rPr>
            </w:pPr>
            <w:r w:rsidRPr="006A633D">
              <w:rPr>
                <w:rFonts w:ascii="Arial Narrow" w:hAnsi="Arial Narrow"/>
                <w:sz w:val="20"/>
                <w:lang w:val="en-US"/>
              </w:rPr>
              <w:t>Persistency rate of response</w:t>
            </w:r>
          </w:p>
        </w:tc>
        <w:tc>
          <w:tcPr>
            <w:tcW w:w="838" w:type="pct"/>
            <w:shd w:val="clear" w:color="auto" w:fill="auto"/>
            <w:vAlign w:val="center"/>
          </w:tcPr>
          <w:p w:rsidR="007F1017" w:rsidRPr="006A633D" w:rsidRDefault="00BF730D" w:rsidP="007F1017">
            <w:pPr>
              <w:jc w:val="center"/>
              <w:rPr>
                <w:rFonts w:ascii="Arial Narrow" w:hAnsi="Arial Narrow"/>
                <w:sz w:val="20"/>
                <w:lang w:val="en-US"/>
              </w:rPr>
            </w:pPr>
            <w:r w:rsidRPr="006A633D">
              <w:rPr>
                <w:rFonts w:ascii="Arial Narrow" w:hAnsi="Arial Narrow"/>
                <w:sz w:val="20"/>
                <w:lang w:val="en-US"/>
              </w:rPr>
              <w:t>No</w:t>
            </w:r>
          </w:p>
        </w:tc>
      </w:tr>
      <w:tr w:rsidR="00EC09F6" w:rsidRPr="00EC09F6" w:rsidTr="007550BD">
        <w:trPr>
          <w:cantSplit/>
        </w:trPr>
        <w:tc>
          <w:tcPr>
            <w:tcW w:w="593" w:type="pct"/>
            <w:shd w:val="clear" w:color="auto" w:fill="auto"/>
            <w:vAlign w:val="center"/>
          </w:tcPr>
          <w:p w:rsidR="00BF730D" w:rsidRPr="006A633D" w:rsidRDefault="00BF730D" w:rsidP="007F1017">
            <w:pPr>
              <w:jc w:val="left"/>
              <w:rPr>
                <w:rFonts w:ascii="Arial Narrow" w:hAnsi="Arial Narrow"/>
                <w:sz w:val="20"/>
                <w:lang w:val="en-US"/>
              </w:rPr>
            </w:pPr>
            <w:r w:rsidRPr="006A633D">
              <w:rPr>
                <w:rFonts w:ascii="Arial Narrow" w:hAnsi="Arial Narrow"/>
                <w:sz w:val="20"/>
                <w:lang w:val="en-US"/>
              </w:rPr>
              <w:t>EXTRA</w:t>
            </w:r>
          </w:p>
        </w:tc>
        <w:tc>
          <w:tcPr>
            <w:tcW w:w="255" w:type="pct"/>
            <w:shd w:val="clear" w:color="auto" w:fill="auto"/>
            <w:vAlign w:val="center"/>
          </w:tcPr>
          <w:p w:rsidR="00BF730D" w:rsidRPr="006A633D" w:rsidRDefault="00BF730D" w:rsidP="007F1017">
            <w:pPr>
              <w:jc w:val="center"/>
              <w:rPr>
                <w:rFonts w:ascii="Arial Narrow" w:hAnsi="Arial Narrow"/>
                <w:sz w:val="20"/>
                <w:lang w:val="en-US"/>
              </w:rPr>
            </w:pPr>
            <w:r w:rsidRPr="006A633D">
              <w:rPr>
                <w:rFonts w:ascii="Arial Narrow" w:hAnsi="Arial Narrow"/>
                <w:sz w:val="20"/>
                <w:lang w:val="en-US"/>
              </w:rPr>
              <w:t>850</w:t>
            </w:r>
          </w:p>
        </w:tc>
        <w:tc>
          <w:tcPr>
            <w:tcW w:w="682" w:type="pct"/>
            <w:shd w:val="clear" w:color="auto" w:fill="auto"/>
            <w:vAlign w:val="center"/>
          </w:tcPr>
          <w:p w:rsidR="00BF730D" w:rsidRPr="006A633D" w:rsidRDefault="00BF730D" w:rsidP="007F1017">
            <w:pPr>
              <w:jc w:val="center"/>
              <w:rPr>
                <w:rFonts w:ascii="Arial Narrow" w:hAnsi="Arial Narrow"/>
                <w:sz w:val="20"/>
                <w:lang w:val="en-US"/>
              </w:rPr>
            </w:pPr>
            <w:r w:rsidRPr="006A633D">
              <w:rPr>
                <w:rFonts w:ascii="Arial Narrow" w:hAnsi="Arial Narrow"/>
                <w:sz w:val="20"/>
                <w:lang w:val="en-US"/>
              </w:rPr>
              <w:t>R, DB, MC</w:t>
            </w:r>
          </w:p>
          <w:p w:rsidR="004A01D4" w:rsidRPr="006A633D" w:rsidRDefault="004A01D4" w:rsidP="007F1017">
            <w:pPr>
              <w:jc w:val="center"/>
              <w:rPr>
                <w:rFonts w:ascii="Arial Narrow" w:hAnsi="Arial Narrow"/>
                <w:sz w:val="20"/>
                <w:lang w:val="en-US"/>
              </w:rPr>
            </w:pPr>
            <w:r w:rsidRPr="006A633D">
              <w:rPr>
                <w:rFonts w:ascii="Arial Narrow" w:hAnsi="Arial Narrow"/>
                <w:sz w:val="20"/>
                <w:lang w:val="en-US"/>
              </w:rPr>
              <w:t>48 weeks</w:t>
            </w:r>
          </w:p>
        </w:tc>
        <w:tc>
          <w:tcPr>
            <w:tcW w:w="509" w:type="pct"/>
            <w:shd w:val="clear" w:color="auto" w:fill="auto"/>
            <w:vAlign w:val="center"/>
          </w:tcPr>
          <w:p w:rsidR="00BF730D" w:rsidRPr="006A633D" w:rsidRDefault="00B4162B" w:rsidP="007F1017">
            <w:pPr>
              <w:jc w:val="center"/>
              <w:rPr>
                <w:rFonts w:ascii="Arial Narrow" w:hAnsi="Arial Narrow"/>
                <w:sz w:val="20"/>
                <w:lang w:val="en-US"/>
              </w:rPr>
            </w:pPr>
            <w:r w:rsidRPr="006A633D">
              <w:rPr>
                <w:rFonts w:ascii="Arial Narrow" w:hAnsi="Arial Narrow"/>
                <w:sz w:val="20"/>
                <w:lang w:val="en-US"/>
              </w:rPr>
              <w:t>Low</w:t>
            </w:r>
          </w:p>
        </w:tc>
        <w:tc>
          <w:tcPr>
            <w:tcW w:w="1104" w:type="pct"/>
            <w:shd w:val="clear" w:color="auto" w:fill="auto"/>
            <w:vAlign w:val="center"/>
          </w:tcPr>
          <w:p w:rsidR="004A01D4" w:rsidRPr="006A633D" w:rsidRDefault="004A01D4" w:rsidP="007F1017">
            <w:pPr>
              <w:jc w:val="center"/>
              <w:rPr>
                <w:rFonts w:ascii="Arial Narrow" w:hAnsi="Arial Narrow"/>
                <w:sz w:val="20"/>
                <w:lang w:val="en-US"/>
              </w:rPr>
            </w:pPr>
            <w:r w:rsidRPr="006A633D">
              <w:rPr>
                <w:rFonts w:ascii="Arial Narrow" w:hAnsi="Arial Narrow"/>
                <w:sz w:val="20"/>
                <w:lang w:val="en-US"/>
              </w:rPr>
              <w:t xml:space="preserve">Severe, uncontrolled, </w:t>
            </w:r>
          </w:p>
          <w:p w:rsidR="00BF730D" w:rsidRPr="006A633D" w:rsidRDefault="004A01D4" w:rsidP="007F1017">
            <w:pPr>
              <w:jc w:val="center"/>
              <w:rPr>
                <w:rFonts w:ascii="Arial Narrow" w:hAnsi="Arial Narrow"/>
                <w:sz w:val="20"/>
                <w:lang w:val="en-US"/>
              </w:rPr>
            </w:pPr>
            <w:r w:rsidRPr="006A633D">
              <w:rPr>
                <w:rFonts w:ascii="Arial Narrow" w:hAnsi="Arial Narrow"/>
                <w:sz w:val="20"/>
                <w:lang w:val="en-US"/>
              </w:rPr>
              <w:t>allergic asthma</w:t>
            </w:r>
          </w:p>
        </w:tc>
        <w:tc>
          <w:tcPr>
            <w:tcW w:w="1019" w:type="pct"/>
            <w:shd w:val="clear" w:color="auto" w:fill="auto"/>
            <w:vAlign w:val="center"/>
          </w:tcPr>
          <w:p w:rsidR="00BF730D" w:rsidRPr="006A633D" w:rsidRDefault="004A01D4" w:rsidP="007F1017">
            <w:pPr>
              <w:jc w:val="center"/>
              <w:rPr>
                <w:rFonts w:ascii="Arial Narrow" w:hAnsi="Arial Narrow"/>
                <w:sz w:val="20"/>
                <w:lang w:val="en-US"/>
              </w:rPr>
            </w:pPr>
            <w:r w:rsidRPr="006A633D">
              <w:rPr>
                <w:rFonts w:ascii="Arial Narrow" w:hAnsi="Arial Narrow"/>
                <w:sz w:val="20"/>
                <w:lang w:val="en-US"/>
              </w:rPr>
              <w:t>Rate of exacerbations</w:t>
            </w:r>
          </w:p>
        </w:tc>
        <w:tc>
          <w:tcPr>
            <w:tcW w:w="838" w:type="pct"/>
            <w:shd w:val="clear" w:color="auto" w:fill="auto"/>
            <w:vAlign w:val="center"/>
          </w:tcPr>
          <w:p w:rsidR="00BF730D" w:rsidRPr="006A633D" w:rsidRDefault="00BF730D" w:rsidP="007F1017">
            <w:pPr>
              <w:jc w:val="center"/>
              <w:rPr>
                <w:rFonts w:ascii="Arial Narrow" w:hAnsi="Arial Narrow"/>
                <w:sz w:val="20"/>
                <w:lang w:val="en-US"/>
              </w:rPr>
            </w:pPr>
            <w:r w:rsidRPr="006A633D">
              <w:rPr>
                <w:rFonts w:ascii="Arial Narrow" w:hAnsi="Arial Narrow"/>
                <w:sz w:val="20"/>
                <w:lang w:val="en-US"/>
              </w:rPr>
              <w:t>No</w:t>
            </w:r>
          </w:p>
        </w:tc>
      </w:tr>
    </w:tbl>
    <w:p w:rsidR="000D35F5" w:rsidRPr="00EC09F6" w:rsidRDefault="000D35F5" w:rsidP="000D35F5">
      <w:pPr>
        <w:pStyle w:val="TableFooter"/>
        <w:ind w:firstLine="720"/>
      </w:pPr>
      <w:r w:rsidRPr="00EC09F6">
        <w:t xml:space="preserve">Source: </w:t>
      </w:r>
      <w:r w:rsidRPr="00EC09F6">
        <w:rPr>
          <w:i/>
        </w:rPr>
        <w:t>Compiled during the evaluation</w:t>
      </w:r>
    </w:p>
    <w:p w:rsidR="007F1017" w:rsidRPr="00EC09F6" w:rsidRDefault="004A01D4" w:rsidP="004A01D4">
      <w:pPr>
        <w:pStyle w:val="TableFooter"/>
        <w:ind w:left="720"/>
      </w:pPr>
      <w:r w:rsidRPr="00EC09F6">
        <w:t xml:space="preserve">CEA = cost-effectiveness analysis; CMA = cost-minimisation analysis; </w:t>
      </w:r>
      <w:r w:rsidR="007F1017" w:rsidRPr="00EC09F6">
        <w:t>DB</w:t>
      </w:r>
      <w:r w:rsidRPr="00EC09F6">
        <w:t xml:space="preserve"> </w:t>
      </w:r>
      <w:r w:rsidR="007F1017" w:rsidRPr="00EC09F6">
        <w:t>=</w:t>
      </w:r>
      <w:r w:rsidRPr="00EC09F6">
        <w:t xml:space="preserve"> </w:t>
      </w:r>
      <w:r w:rsidR="007F1017" w:rsidRPr="00EC09F6">
        <w:t>double blind; MC</w:t>
      </w:r>
      <w:r w:rsidRPr="00EC09F6">
        <w:t xml:space="preserve"> </w:t>
      </w:r>
      <w:r w:rsidR="007F1017" w:rsidRPr="00EC09F6">
        <w:t>=</w:t>
      </w:r>
      <w:r w:rsidRPr="00EC09F6">
        <w:t xml:space="preserve"> </w:t>
      </w:r>
      <w:r w:rsidR="007F1017" w:rsidRPr="00EC09F6">
        <w:t xml:space="preserve">multi-centre; </w:t>
      </w:r>
      <w:r w:rsidR="00104078" w:rsidRPr="00EC09F6">
        <w:t xml:space="preserve">OCS = oral corticosteroid; </w:t>
      </w:r>
      <w:r w:rsidR="007F1017" w:rsidRPr="00EC09F6">
        <w:t>OL</w:t>
      </w:r>
      <w:r w:rsidRPr="00EC09F6">
        <w:t xml:space="preserve"> </w:t>
      </w:r>
      <w:r w:rsidR="007F1017" w:rsidRPr="00EC09F6">
        <w:t>=</w:t>
      </w:r>
      <w:r w:rsidRPr="00EC09F6">
        <w:t xml:space="preserve"> </w:t>
      </w:r>
      <w:r w:rsidR="007F1017" w:rsidRPr="00EC09F6">
        <w:t>open label; R</w:t>
      </w:r>
      <w:r w:rsidRPr="00EC09F6">
        <w:t xml:space="preserve"> </w:t>
      </w:r>
      <w:r w:rsidR="007F1017" w:rsidRPr="00EC09F6">
        <w:t>=</w:t>
      </w:r>
      <w:r w:rsidRPr="00EC09F6">
        <w:t xml:space="preserve"> </w:t>
      </w:r>
      <w:r w:rsidR="007F1017" w:rsidRPr="00EC09F6">
        <w:t>randomised</w:t>
      </w:r>
    </w:p>
    <w:p w:rsidR="001707DC" w:rsidRPr="00EC09F6" w:rsidRDefault="001707DC" w:rsidP="00E22A0D">
      <w:pPr>
        <w:pStyle w:val="TableFooter"/>
        <w:ind w:firstLine="720"/>
      </w:pPr>
    </w:p>
    <w:p w:rsidR="00FB2D52" w:rsidRPr="00EC09F6" w:rsidRDefault="008C021B" w:rsidP="00986DCF">
      <w:pPr>
        <w:pStyle w:val="ListParagraph"/>
        <w:widowControl/>
        <w:numPr>
          <w:ilvl w:val="1"/>
          <w:numId w:val="2"/>
        </w:numPr>
        <w:rPr>
          <w:szCs w:val="22"/>
        </w:rPr>
      </w:pPr>
      <w:r w:rsidRPr="00EC09F6">
        <w:rPr>
          <w:szCs w:val="22"/>
        </w:rPr>
        <w:t>The</w:t>
      </w:r>
      <w:r w:rsidR="00FB2D52" w:rsidRPr="00EC09F6">
        <w:rPr>
          <w:szCs w:val="22"/>
        </w:rPr>
        <w:t xml:space="preserve"> </w:t>
      </w:r>
      <w:r w:rsidRPr="00EC09F6">
        <w:rPr>
          <w:szCs w:val="22"/>
        </w:rPr>
        <w:t xml:space="preserve">patient </w:t>
      </w:r>
      <w:r w:rsidR="00FB2D52" w:rsidRPr="00EC09F6">
        <w:rPr>
          <w:szCs w:val="22"/>
        </w:rPr>
        <w:t xml:space="preserve">populations </w:t>
      </w:r>
      <w:r w:rsidRPr="00EC09F6">
        <w:rPr>
          <w:szCs w:val="22"/>
        </w:rPr>
        <w:t>used in the direct and indirect comparisons and in the economic evaluations and how they compare to the (proposed) PBS restrictions are presented below</w:t>
      </w:r>
      <w:r w:rsidR="001707DC" w:rsidRPr="00EC09F6">
        <w:rPr>
          <w:szCs w:val="22"/>
        </w:rPr>
        <w:t>.</w:t>
      </w:r>
    </w:p>
    <w:p w:rsidR="00FB2D52" w:rsidRPr="00EC09F6" w:rsidRDefault="00FB2D52" w:rsidP="00062BED">
      <w:pPr>
        <w:pStyle w:val="ListParagraph"/>
        <w:widowControl/>
        <w:rPr>
          <w:szCs w:val="22"/>
        </w:rPr>
      </w:pPr>
    </w:p>
    <w:p w:rsidR="00FB2D52" w:rsidRPr="00EC09F6" w:rsidRDefault="00FB2D52" w:rsidP="00062BED">
      <w:pPr>
        <w:ind w:left="720"/>
        <w:rPr>
          <w:rStyle w:val="CommentReference"/>
          <w:b w:val="0"/>
        </w:rPr>
      </w:pPr>
      <w:r w:rsidRPr="00EC09F6">
        <w:rPr>
          <w:rStyle w:val="CommentReference"/>
        </w:rPr>
        <w:t>Table</w:t>
      </w:r>
      <w:r w:rsidR="003C0D47" w:rsidRPr="00EC09F6">
        <w:rPr>
          <w:rStyle w:val="CommentReference"/>
        </w:rPr>
        <w:t xml:space="preserve"> 3</w:t>
      </w:r>
      <w:r w:rsidRPr="00EC09F6">
        <w:rPr>
          <w:rStyle w:val="CommentReference"/>
        </w:rPr>
        <w:t>: Populations used in the direct and indirect comparisons presented in the submission</w:t>
      </w:r>
    </w:p>
    <w:tbl>
      <w:tblPr>
        <w:tblStyle w:val="TableGrid1"/>
        <w:tblW w:w="8363" w:type="dxa"/>
        <w:tblInd w:w="737" w:type="dxa"/>
        <w:tblLayout w:type="fixed"/>
        <w:tblCellMar>
          <w:left w:w="28" w:type="dxa"/>
          <w:right w:w="28" w:type="dxa"/>
        </w:tblCellMar>
        <w:tblLook w:val="04A0" w:firstRow="1" w:lastRow="0" w:firstColumn="1" w:lastColumn="0" w:noHBand="0" w:noVBand="1"/>
        <w:tblCaption w:val="Table 3: Populations used in the direct and indirect comparisons presented in the submission"/>
      </w:tblPr>
      <w:tblGrid>
        <w:gridCol w:w="3119"/>
        <w:gridCol w:w="850"/>
        <w:gridCol w:w="851"/>
        <w:gridCol w:w="1134"/>
        <w:gridCol w:w="567"/>
        <w:gridCol w:w="708"/>
        <w:gridCol w:w="567"/>
        <w:gridCol w:w="567"/>
      </w:tblGrid>
      <w:tr w:rsidR="00EC09F6" w:rsidRPr="00EC09F6" w:rsidTr="007550BD">
        <w:trPr>
          <w:cantSplit/>
          <w:trHeight w:val="132"/>
          <w:tblHeader/>
        </w:trPr>
        <w:tc>
          <w:tcPr>
            <w:tcW w:w="3119" w:type="dxa"/>
            <w:vMerge w:val="restart"/>
            <w:tcMar>
              <w:left w:w="28" w:type="dxa"/>
              <w:right w:w="28" w:type="dxa"/>
            </w:tcMar>
          </w:tcPr>
          <w:p w:rsidR="00FB2D52" w:rsidRPr="00EC09F6" w:rsidRDefault="00FB2D52" w:rsidP="00665CFF">
            <w:pPr>
              <w:keepNext/>
              <w:widowControl/>
              <w:jc w:val="center"/>
              <w:rPr>
                <w:rFonts w:ascii="Arial Narrow" w:hAnsi="Arial Narrow" w:cstheme="minorBidi"/>
                <w:b/>
                <w:sz w:val="20"/>
                <w:lang w:eastAsia="en-AU"/>
              </w:rPr>
            </w:pPr>
          </w:p>
        </w:tc>
        <w:tc>
          <w:tcPr>
            <w:tcW w:w="2835" w:type="dxa"/>
            <w:gridSpan w:val="3"/>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Eosinophils (cells/µL)</w:t>
            </w:r>
          </w:p>
        </w:tc>
        <w:tc>
          <w:tcPr>
            <w:tcW w:w="567" w:type="dxa"/>
            <w:vMerge w:val="restart"/>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Exac</w:t>
            </w:r>
          </w:p>
        </w:tc>
        <w:tc>
          <w:tcPr>
            <w:tcW w:w="708" w:type="dxa"/>
            <w:vMerge w:val="restart"/>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Min IgE (IU/mL)</w:t>
            </w:r>
          </w:p>
        </w:tc>
        <w:tc>
          <w:tcPr>
            <w:tcW w:w="567" w:type="dxa"/>
            <w:vMerge w:val="restart"/>
            <w:tcMar>
              <w:left w:w="28" w:type="dxa"/>
              <w:right w:w="28" w:type="dxa"/>
            </w:tcMar>
            <w:vAlign w:val="center"/>
          </w:tcPr>
          <w:p w:rsidR="00FB2D52" w:rsidRPr="00EC09F6" w:rsidRDefault="00FB2D52" w:rsidP="00CC1104">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 xml:space="preserve">+ve RAST </w:t>
            </w:r>
          </w:p>
        </w:tc>
        <w:tc>
          <w:tcPr>
            <w:tcW w:w="567" w:type="dxa"/>
            <w:vMerge w:val="restart"/>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Econ model</w:t>
            </w:r>
          </w:p>
        </w:tc>
      </w:tr>
      <w:tr w:rsidR="00EC09F6" w:rsidRPr="00EC09F6" w:rsidTr="007550BD">
        <w:trPr>
          <w:cantSplit/>
          <w:trHeight w:val="461"/>
          <w:tblHeader/>
        </w:trPr>
        <w:tc>
          <w:tcPr>
            <w:tcW w:w="3119" w:type="dxa"/>
            <w:vMerge/>
            <w:tcMar>
              <w:left w:w="28" w:type="dxa"/>
              <w:right w:w="28" w:type="dxa"/>
            </w:tcMar>
          </w:tcPr>
          <w:p w:rsidR="00FB2D52" w:rsidRPr="00EC09F6" w:rsidRDefault="00FB2D52" w:rsidP="00665CFF">
            <w:pPr>
              <w:keepNext/>
              <w:widowControl/>
              <w:jc w:val="left"/>
              <w:rPr>
                <w:rFonts w:ascii="Arial Narrow" w:hAnsi="Arial Narrow" w:cstheme="minorBidi"/>
                <w:b/>
                <w:sz w:val="20"/>
                <w:lang w:eastAsia="en-AU"/>
              </w:rPr>
            </w:pPr>
          </w:p>
        </w:tc>
        <w:tc>
          <w:tcPr>
            <w:tcW w:w="850" w:type="dxa"/>
            <w:tcMar>
              <w:left w:w="28" w:type="dxa"/>
              <w:right w:w="28" w:type="dxa"/>
            </w:tcMar>
            <w:vAlign w:val="center"/>
          </w:tcPr>
          <w:p w:rsidR="00FB2D52" w:rsidRPr="00EC09F6" w:rsidRDefault="00FB2D52" w:rsidP="00FB2D52">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 150 in last 6 wks</w:t>
            </w:r>
          </w:p>
        </w:tc>
        <w:tc>
          <w:tcPr>
            <w:tcW w:w="851" w:type="dxa"/>
            <w:tcMar>
              <w:left w:w="28" w:type="dxa"/>
              <w:right w:w="28" w:type="dxa"/>
            </w:tcMar>
            <w:vAlign w:val="center"/>
          </w:tcPr>
          <w:p w:rsidR="00FB2D52" w:rsidRPr="00EC09F6" w:rsidRDefault="00FB2D52" w:rsidP="00FB2D52">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 300 in last 6 wks</w:t>
            </w:r>
          </w:p>
        </w:tc>
        <w:tc>
          <w:tcPr>
            <w:tcW w:w="1134" w:type="dxa"/>
            <w:tcMar>
              <w:left w:w="28" w:type="dxa"/>
              <w:right w:w="28" w:type="dxa"/>
            </w:tcMar>
            <w:vAlign w:val="center"/>
          </w:tcPr>
          <w:p w:rsidR="007550BD" w:rsidRPr="00EC09F6" w:rsidRDefault="00FB2D52" w:rsidP="00FB2D52">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 xml:space="preserve">≥ 300 in </w:t>
            </w:r>
          </w:p>
          <w:p w:rsidR="00FB2D52" w:rsidRPr="00EC09F6" w:rsidRDefault="00FB2D52" w:rsidP="00FB2D52">
            <w:pPr>
              <w:keepNext/>
              <w:widowControl/>
              <w:jc w:val="center"/>
              <w:rPr>
                <w:rFonts w:ascii="Arial Narrow" w:hAnsi="Arial Narrow" w:cstheme="minorBidi"/>
                <w:b/>
                <w:sz w:val="20"/>
                <w:lang w:eastAsia="en-AU"/>
              </w:rPr>
            </w:pPr>
            <w:r w:rsidRPr="00EC09F6">
              <w:rPr>
                <w:rFonts w:ascii="Arial Narrow" w:hAnsi="Arial Narrow" w:cstheme="minorBidi"/>
                <w:b/>
                <w:sz w:val="20"/>
                <w:lang w:eastAsia="en-AU"/>
              </w:rPr>
              <w:t>last 12 mths</w:t>
            </w:r>
          </w:p>
        </w:tc>
        <w:tc>
          <w:tcPr>
            <w:tcW w:w="567" w:type="dxa"/>
            <w:vMerge/>
          </w:tcPr>
          <w:p w:rsidR="00FB2D52" w:rsidRPr="00EC09F6" w:rsidRDefault="00FB2D52" w:rsidP="00665CFF">
            <w:pPr>
              <w:keepNext/>
              <w:widowControl/>
              <w:jc w:val="center"/>
              <w:rPr>
                <w:rFonts w:ascii="Arial Narrow" w:hAnsi="Arial Narrow" w:cstheme="minorBidi"/>
                <w:b/>
                <w:sz w:val="20"/>
                <w:lang w:eastAsia="en-AU"/>
              </w:rPr>
            </w:pPr>
          </w:p>
        </w:tc>
        <w:tc>
          <w:tcPr>
            <w:tcW w:w="708" w:type="dxa"/>
            <w:vMerge/>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p>
        </w:tc>
        <w:tc>
          <w:tcPr>
            <w:tcW w:w="567" w:type="dxa"/>
            <w:vMerge/>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p>
        </w:tc>
        <w:tc>
          <w:tcPr>
            <w:tcW w:w="567" w:type="dxa"/>
            <w:vMerge/>
            <w:tcMar>
              <w:left w:w="28" w:type="dxa"/>
              <w:right w:w="28" w:type="dxa"/>
            </w:tcMar>
            <w:vAlign w:val="center"/>
          </w:tcPr>
          <w:p w:rsidR="00FB2D52" w:rsidRPr="00EC09F6" w:rsidRDefault="00FB2D52" w:rsidP="00665CFF">
            <w:pPr>
              <w:keepNext/>
              <w:widowControl/>
              <w:jc w:val="center"/>
              <w:rPr>
                <w:rFonts w:ascii="Arial Narrow" w:hAnsi="Arial Narrow" w:cstheme="minorBidi"/>
                <w:b/>
                <w:sz w:val="20"/>
                <w:lang w:eastAsia="en-AU"/>
              </w:rPr>
            </w:pPr>
          </w:p>
        </w:tc>
      </w:tr>
      <w:tr w:rsidR="00EC09F6" w:rsidRPr="00EC09F6" w:rsidTr="00062BED">
        <w:trPr>
          <w:cantSplit/>
        </w:trPr>
        <w:tc>
          <w:tcPr>
            <w:tcW w:w="8363" w:type="dxa"/>
            <w:gridSpan w:val="8"/>
            <w:tcMar>
              <w:left w:w="28" w:type="dxa"/>
              <w:right w:w="28" w:type="dxa"/>
            </w:tcMar>
          </w:tcPr>
          <w:p w:rsidR="00FB2D52" w:rsidRPr="00EC09F6" w:rsidRDefault="00FB2D52" w:rsidP="00665CFF">
            <w:pPr>
              <w:keepNext/>
              <w:widowControl/>
              <w:jc w:val="left"/>
              <w:rPr>
                <w:rFonts w:ascii="Arial Narrow" w:hAnsi="Arial Narrow" w:cstheme="minorBidi"/>
                <w:b/>
                <w:sz w:val="20"/>
                <w:lang w:eastAsia="en-AU"/>
              </w:rPr>
            </w:pPr>
            <w:r w:rsidRPr="00EC09F6">
              <w:rPr>
                <w:rFonts w:ascii="Arial Narrow" w:hAnsi="Arial Narrow" w:cstheme="minorBidi"/>
                <w:b/>
                <w:sz w:val="20"/>
                <w:lang w:eastAsia="en-AU"/>
              </w:rPr>
              <w:t>PBS Restrictions</w:t>
            </w:r>
          </w:p>
        </w:tc>
      </w:tr>
      <w:tr w:rsidR="00EC09F6" w:rsidRPr="00EC09F6" w:rsidTr="007550BD">
        <w:trPr>
          <w:cantSplit/>
          <w:trHeight w:val="50"/>
        </w:trPr>
        <w:tc>
          <w:tcPr>
            <w:tcW w:w="3119" w:type="dxa"/>
            <w:tcMar>
              <w:left w:w="28" w:type="dxa"/>
              <w:right w:w="28" w:type="dxa"/>
            </w:tcMar>
          </w:tcPr>
          <w:p w:rsidR="00FB2D52" w:rsidRPr="00EC09F6" w:rsidRDefault="00FB2D52" w:rsidP="007550BD">
            <w:pPr>
              <w:keepNext/>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Mepolizumab</w:t>
            </w:r>
          </w:p>
        </w:tc>
        <w:tc>
          <w:tcPr>
            <w:tcW w:w="850"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851"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1134"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567" w:type="dxa"/>
          </w:tcPr>
          <w:p w:rsidR="00FB2D52" w:rsidRPr="00EC09F6" w:rsidRDefault="00FB2D52" w:rsidP="00665CFF">
            <w:pPr>
              <w:keepNext/>
              <w:widowControl/>
              <w:jc w:val="center"/>
              <w:rPr>
                <w:rFonts w:ascii="Arial Narrow" w:hAnsi="Arial Narrow" w:cstheme="minorBidi"/>
                <w:sz w:val="20"/>
                <w:lang w:eastAsia="en-AU"/>
              </w:rPr>
            </w:pPr>
            <w:r w:rsidRPr="00EC09F6">
              <w:rPr>
                <w:rFonts w:ascii="Arial Narrow" w:hAnsi="Arial Narrow" w:cstheme="minorBidi"/>
                <w:sz w:val="20"/>
                <w:lang w:eastAsia="en-AU"/>
              </w:rPr>
              <w:t>≥ 1</w:t>
            </w:r>
          </w:p>
        </w:tc>
        <w:tc>
          <w:tcPr>
            <w:tcW w:w="708"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r>
      <w:tr w:rsidR="00EC09F6" w:rsidRPr="00EC09F6" w:rsidTr="007550BD">
        <w:trPr>
          <w:cantSplit/>
          <w:trHeight w:val="124"/>
        </w:trPr>
        <w:tc>
          <w:tcPr>
            <w:tcW w:w="3119" w:type="dxa"/>
            <w:tcMar>
              <w:left w:w="28" w:type="dxa"/>
              <w:right w:w="28" w:type="dxa"/>
            </w:tcMar>
          </w:tcPr>
          <w:p w:rsidR="00FB2D52" w:rsidRPr="00EC09F6" w:rsidRDefault="00FB2D52" w:rsidP="007550BD">
            <w:pPr>
              <w:keepNext/>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Omalizumab</w:t>
            </w:r>
          </w:p>
        </w:tc>
        <w:tc>
          <w:tcPr>
            <w:tcW w:w="850"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851"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1134"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c>
          <w:tcPr>
            <w:tcW w:w="567" w:type="dxa"/>
          </w:tcPr>
          <w:p w:rsidR="00FB2D52" w:rsidRPr="00EC09F6" w:rsidRDefault="00FB2D52" w:rsidP="00665CFF">
            <w:pPr>
              <w:keepNext/>
              <w:widowControl/>
              <w:jc w:val="center"/>
              <w:rPr>
                <w:rFonts w:ascii="Arial Narrow" w:hAnsi="Arial Narrow" w:cstheme="minorBidi"/>
                <w:sz w:val="20"/>
                <w:lang w:eastAsia="en-AU"/>
              </w:rPr>
            </w:pPr>
            <w:r w:rsidRPr="00EC09F6">
              <w:rPr>
                <w:rFonts w:ascii="Arial Narrow" w:hAnsi="Arial Narrow" w:cstheme="minorBidi"/>
                <w:sz w:val="20"/>
                <w:lang w:eastAsia="en-AU"/>
              </w:rPr>
              <w:t>≥ 1</w:t>
            </w:r>
          </w:p>
        </w:tc>
        <w:tc>
          <w:tcPr>
            <w:tcW w:w="708"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r w:rsidRPr="00EC09F6">
              <w:rPr>
                <w:rFonts w:ascii="Arial Narrow" w:hAnsi="Arial Narrow" w:cstheme="minorBidi"/>
                <w:sz w:val="20"/>
                <w:lang w:eastAsia="en-AU"/>
              </w:rPr>
              <w:t>76</w:t>
            </w:r>
          </w:p>
        </w:tc>
        <w:tc>
          <w:tcPr>
            <w:tcW w:w="567"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567" w:type="dxa"/>
            <w:tcMar>
              <w:left w:w="28" w:type="dxa"/>
              <w:right w:w="28" w:type="dxa"/>
            </w:tcMar>
          </w:tcPr>
          <w:p w:rsidR="00FB2D52" w:rsidRPr="00EC09F6" w:rsidRDefault="00FB2D52" w:rsidP="00665CFF">
            <w:pPr>
              <w:keepNext/>
              <w:widowControl/>
              <w:jc w:val="center"/>
              <w:rPr>
                <w:rFonts w:ascii="Arial Narrow" w:hAnsi="Arial Narrow" w:cstheme="minorBidi"/>
                <w:sz w:val="20"/>
                <w:lang w:eastAsia="en-AU"/>
              </w:rPr>
            </w:pPr>
          </w:p>
        </w:tc>
      </w:tr>
      <w:tr w:rsidR="00EC09F6" w:rsidRPr="00EC09F6" w:rsidTr="00062BED">
        <w:trPr>
          <w:cantSplit/>
        </w:trPr>
        <w:tc>
          <w:tcPr>
            <w:tcW w:w="8363" w:type="dxa"/>
            <w:gridSpan w:val="8"/>
            <w:tcMar>
              <w:left w:w="28" w:type="dxa"/>
              <w:right w:w="28" w:type="dxa"/>
            </w:tcMar>
          </w:tcPr>
          <w:p w:rsidR="00FB2D52" w:rsidRPr="00EC09F6" w:rsidRDefault="00FB2D52" w:rsidP="00665CFF">
            <w:pPr>
              <w:widowControl/>
              <w:jc w:val="left"/>
              <w:rPr>
                <w:rFonts w:ascii="Arial Narrow" w:hAnsi="Arial Narrow" w:cstheme="minorBidi"/>
                <w:b/>
                <w:sz w:val="20"/>
                <w:lang w:eastAsia="en-AU"/>
              </w:rPr>
            </w:pPr>
            <w:r w:rsidRPr="00EC09F6">
              <w:rPr>
                <w:rFonts w:ascii="Arial Narrow" w:hAnsi="Arial Narrow" w:cstheme="minorBidi"/>
                <w:b/>
                <w:sz w:val="20"/>
                <w:lang w:eastAsia="en-AU"/>
              </w:rPr>
              <w:t>Direct comparison (mepolizumab versus SOC)</w:t>
            </w:r>
          </w:p>
        </w:tc>
      </w:tr>
      <w:tr w:rsidR="00EC09F6" w:rsidRPr="00EC09F6" w:rsidTr="007550BD">
        <w:trPr>
          <w:cantSplit/>
        </w:trPr>
        <w:tc>
          <w:tcPr>
            <w:tcW w:w="3119" w:type="dxa"/>
            <w:tcMar>
              <w:left w:w="28" w:type="dxa"/>
              <w:right w:w="28" w:type="dxa"/>
            </w:tcMar>
          </w:tcPr>
          <w:p w:rsidR="00FB2D52" w:rsidRPr="00EC09F6" w:rsidRDefault="00FB2D52" w:rsidP="00665CFF">
            <w:pPr>
              <w:widowControl/>
              <w:jc w:val="left"/>
              <w:rPr>
                <w:rFonts w:ascii="Arial Narrow" w:hAnsi="Arial Narrow" w:cstheme="minorBidi"/>
                <w:sz w:val="20"/>
                <w:lang w:eastAsia="en-AU"/>
              </w:rPr>
            </w:pPr>
            <w:r w:rsidRPr="00EC09F6">
              <w:rPr>
                <w:rFonts w:ascii="Arial Narrow" w:hAnsi="Arial Narrow" w:cstheme="minorBidi"/>
                <w:sz w:val="20"/>
                <w:lang w:eastAsia="en-AU"/>
              </w:rPr>
              <w:t>Study 588:</w:t>
            </w:r>
          </w:p>
          <w:p w:rsidR="00FB2D52" w:rsidRPr="00EC09F6" w:rsidRDefault="00FB2D52" w:rsidP="007550BD">
            <w:pPr>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ITT pop</w:t>
            </w:r>
            <w:r w:rsidR="007550BD" w:rsidRPr="00EC09F6">
              <w:rPr>
                <w:rFonts w:ascii="Arial Narrow" w:hAnsi="Arial Narrow" w:cstheme="minorBidi"/>
                <w:sz w:val="20"/>
                <w:lang w:eastAsia="en-AU"/>
              </w:rPr>
              <w:t>ulation</w:t>
            </w:r>
          </w:p>
          <w:p w:rsidR="00FB2D52" w:rsidRPr="00EC09F6" w:rsidRDefault="00FB2D52" w:rsidP="007550BD">
            <w:pPr>
              <w:widowControl/>
              <w:ind w:firstLine="114"/>
              <w:jc w:val="left"/>
              <w:rPr>
                <w:rFonts w:ascii="Arial Narrow" w:hAnsi="Arial Narrow" w:cstheme="minorBidi"/>
                <w:b/>
                <w:sz w:val="20"/>
                <w:lang w:eastAsia="en-AU"/>
              </w:rPr>
            </w:pPr>
            <w:r w:rsidRPr="00EC09F6">
              <w:rPr>
                <w:rFonts w:ascii="Arial Narrow" w:hAnsi="Arial Narrow" w:cstheme="minorBidi"/>
                <w:b/>
                <w:sz w:val="20"/>
                <w:lang w:eastAsia="en-AU"/>
              </w:rPr>
              <w:t>Subgroup</w:t>
            </w:r>
          </w:p>
        </w:tc>
        <w:tc>
          <w:tcPr>
            <w:tcW w:w="850"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tc>
        <w:tc>
          <w:tcPr>
            <w:tcW w:w="851"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Y</w:t>
            </w:r>
          </w:p>
        </w:tc>
        <w:tc>
          <w:tcPr>
            <w:tcW w:w="1134"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tc>
        <w:tc>
          <w:tcPr>
            <w:tcW w:w="567" w:type="dxa"/>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2</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 2</w:t>
            </w:r>
          </w:p>
        </w:tc>
        <w:tc>
          <w:tcPr>
            <w:tcW w:w="708"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CEA</w:t>
            </w:r>
          </w:p>
        </w:tc>
      </w:tr>
      <w:tr w:rsidR="00EC09F6" w:rsidRPr="00EC09F6" w:rsidTr="007550BD">
        <w:trPr>
          <w:cantSplit/>
        </w:trPr>
        <w:tc>
          <w:tcPr>
            <w:tcW w:w="3119" w:type="dxa"/>
            <w:tcMar>
              <w:left w:w="28" w:type="dxa"/>
              <w:right w:w="28" w:type="dxa"/>
            </w:tcMar>
          </w:tcPr>
          <w:p w:rsidR="00FB2D52" w:rsidRPr="00EC09F6" w:rsidRDefault="00FB2D52" w:rsidP="00062BED">
            <w:pPr>
              <w:widowControl/>
              <w:jc w:val="left"/>
              <w:rPr>
                <w:rFonts w:ascii="Arial Narrow" w:hAnsi="Arial Narrow" w:cstheme="minorBidi"/>
                <w:sz w:val="20"/>
                <w:lang w:eastAsia="en-AU"/>
              </w:rPr>
            </w:pPr>
            <w:r w:rsidRPr="00EC09F6">
              <w:rPr>
                <w:rFonts w:ascii="Arial Narrow" w:hAnsi="Arial Narrow" w:cstheme="minorBidi"/>
                <w:sz w:val="20"/>
                <w:lang w:eastAsia="en-AU"/>
              </w:rPr>
              <w:t>Study 575:</w:t>
            </w:r>
            <w:r w:rsidR="003935C8" w:rsidRPr="00EC09F6">
              <w:rPr>
                <w:rFonts w:ascii="Arial Narrow" w:hAnsi="Arial Narrow" w:cstheme="minorBidi"/>
                <w:sz w:val="20"/>
                <w:lang w:eastAsia="en-AU"/>
              </w:rPr>
              <w:t xml:space="preserve"> </w:t>
            </w:r>
            <w:r w:rsidRPr="00EC09F6">
              <w:rPr>
                <w:rFonts w:ascii="Arial Narrow" w:hAnsi="Arial Narrow" w:cstheme="minorBidi"/>
                <w:sz w:val="20"/>
                <w:lang w:eastAsia="en-AU"/>
              </w:rPr>
              <w:t>ITT pop</w:t>
            </w:r>
            <w:r w:rsidR="007550BD" w:rsidRPr="00EC09F6">
              <w:rPr>
                <w:rFonts w:ascii="Arial Narrow" w:hAnsi="Arial Narrow" w:cstheme="minorBidi"/>
                <w:sz w:val="20"/>
                <w:lang w:eastAsia="en-AU"/>
              </w:rPr>
              <w:t>ulation</w:t>
            </w:r>
          </w:p>
        </w:tc>
        <w:tc>
          <w:tcPr>
            <w:tcW w:w="850"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851"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1134"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567" w:type="dxa"/>
          </w:tcPr>
          <w:p w:rsidR="00FB2D52" w:rsidRPr="00EC09F6" w:rsidRDefault="00FB2D52" w:rsidP="00665CFF">
            <w:pPr>
              <w:widowControl/>
              <w:jc w:val="center"/>
              <w:rPr>
                <w:rFonts w:ascii="Arial Narrow" w:hAnsi="Arial Narrow" w:cstheme="minorBidi"/>
                <w:sz w:val="20"/>
                <w:lang w:eastAsia="en-AU"/>
              </w:rPr>
            </w:pPr>
          </w:p>
        </w:tc>
        <w:tc>
          <w:tcPr>
            <w:tcW w:w="708"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r>
      <w:tr w:rsidR="00EC09F6" w:rsidRPr="00EC09F6" w:rsidTr="007550BD">
        <w:trPr>
          <w:cantSplit/>
          <w:trHeight w:val="117"/>
        </w:trPr>
        <w:tc>
          <w:tcPr>
            <w:tcW w:w="3119" w:type="dxa"/>
            <w:tcMar>
              <w:left w:w="28" w:type="dxa"/>
              <w:right w:w="28" w:type="dxa"/>
            </w:tcMar>
          </w:tcPr>
          <w:p w:rsidR="00FB2D52" w:rsidRPr="00EC09F6" w:rsidRDefault="00FB2D52" w:rsidP="00062BED">
            <w:pPr>
              <w:widowControl/>
              <w:jc w:val="left"/>
              <w:rPr>
                <w:rFonts w:ascii="Arial Narrow" w:hAnsi="Arial Narrow" w:cstheme="minorBidi"/>
                <w:sz w:val="20"/>
                <w:lang w:eastAsia="en-AU"/>
              </w:rPr>
            </w:pPr>
            <w:r w:rsidRPr="00EC09F6">
              <w:rPr>
                <w:rFonts w:ascii="Arial Narrow" w:hAnsi="Arial Narrow" w:cstheme="minorBidi"/>
                <w:sz w:val="20"/>
                <w:lang w:eastAsia="en-AU"/>
              </w:rPr>
              <w:t>Study 997:</w:t>
            </w:r>
            <w:r w:rsidR="003935C8" w:rsidRPr="00EC09F6">
              <w:rPr>
                <w:rFonts w:ascii="Arial Narrow" w:hAnsi="Arial Narrow" w:cstheme="minorBidi"/>
                <w:sz w:val="20"/>
                <w:lang w:eastAsia="en-AU"/>
              </w:rPr>
              <w:t xml:space="preserve"> </w:t>
            </w:r>
            <w:r w:rsidRPr="00EC09F6">
              <w:rPr>
                <w:rFonts w:ascii="Arial Narrow" w:hAnsi="Arial Narrow" w:cstheme="minorBidi"/>
                <w:sz w:val="20"/>
                <w:lang w:eastAsia="en-AU"/>
              </w:rPr>
              <w:t>Subgroup</w:t>
            </w:r>
          </w:p>
        </w:tc>
        <w:tc>
          <w:tcPr>
            <w:tcW w:w="850"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851"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1134"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567" w:type="dxa"/>
          </w:tcPr>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2</w:t>
            </w:r>
          </w:p>
        </w:tc>
        <w:tc>
          <w:tcPr>
            <w:tcW w:w="708"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r>
      <w:tr w:rsidR="00EC09F6" w:rsidRPr="00EC09F6" w:rsidTr="00062BED">
        <w:trPr>
          <w:cantSplit/>
        </w:trPr>
        <w:tc>
          <w:tcPr>
            <w:tcW w:w="8363" w:type="dxa"/>
            <w:gridSpan w:val="8"/>
            <w:tcMar>
              <w:left w:w="28" w:type="dxa"/>
              <w:right w:w="28" w:type="dxa"/>
            </w:tcMar>
          </w:tcPr>
          <w:p w:rsidR="00FB2D52" w:rsidRPr="00EC09F6" w:rsidRDefault="00FB2D52" w:rsidP="00665CFF">
            <w:pPr>
              <w:widowControl/>
              <w:jc w:val="left"/>
              <w:rPr>
                <w:rFonts w:ascii="Arial Narrow" w:hAnsi="Arial Narrow" w:cstheme="minorBidi"/>
                <w:b/>
                <w:sz w:val="20"/>
                <w:lang w:eastAsia="en-AU"/>
              </w:rPr>
            </w:pPr>
            <w:r w:rsidRPr="00EC09F6">
              <w:rPr>
                <w:rFonts w:ascii="Arial Narrow" w:hAnsi="Arial Narrow" w:cstheme="minorBidi"/>
                <w:b/>
                <w:sz w:val="20"/>
                <w:lang w:eastAsia="en-AU"/>
              </w:rPr>
              <w:t>Indirect comparison (mepolizumab versus omalizumab)</w:t>
            </w:r>
          </w:p>
        </w:tc>
      </w:tr>
      <w:tr w:rsidR="00EC09F6" w:rsidRPr="00EC09F6" w:rsidTr="007550BD">
        <w:trPr>
          <w:cantSplit/>
        </w:trPr>
        <w:tc>
          <w:tcPr>
            <w:tcW w:w="3119" w:type="dxa"/>
            <w:tcMar>
              <w:left w:w="28" w:type="dxa"/>
              <w:right w:w="28" w:type="dxa"/>
            </w:tcMar>
          </w:tcPr>
          <w:p w:rsidR="00FB2D52" w:rsidRPr="00EC09F6" w:rsidRDefault="00FB2D52" w:rsidP="00665CFF">
            <w:pPr>
              <w:widowControl/>
              <w:jc w:val="left"/>
              <w:rPr>
                <w:rFonts w:ascii="Arial Narrow" w:hAnsi="Arial Narrow" w:cstheme="minorBidi"/>
                <w:sz w:val="20"/>
                <w:lang w:eastAsia="en-AU"/>
              </w:rPr>
            </w:pPr>
            <w:r w:rsidRPr="00EC09F6">
              <w:rPr>
                <w:rFonts w:ascii="Arial Narrow" w:hAnsi="Arial Narrow" w:cstheme="minorBidi"/>
                <w:sz w:val="20"/>
                <w:lang w:eastAsia="en-AU"/>
              </w:rPr>
              <w:t>Mepolizumab: Study 588, 100 mg SC</w:t>
            </w:r>
          </w:p>
          <w:p w:rsidR="00FB2D52" w:rsidRPr="00EC09F6" w:rsidRDefault="007550BD" w:rsidP="007550BD">
            <w:pPr>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ITT population</w:t>
            </w:r>
          </w:p>
          <w:p w:rsidR="00FB2D52" w:rsidRPr="00EC09F6" w:rsidRDefault="007550BD" w:rsidP="007550BD">
            <w:pPr>
              <w:widowControl/>
              <w:ind w:firstLine="114"/>
              <w:jc w:val="left"/>
              <w:rPr>
                <w:rFonts w:ascii="Arial Narrow" w:hAnsi="Arial Narrow" w:cstheme="minorBidi"/>
                <w:b/>
                <w:sz w:val="20"/>
                <w:lang w:eastAsia="en-AU"/>
              </w:rPr>
            </w:pPr>
            <w:r w:rsidRPr="00EC09F6">
              <w:rPr>
                <w:rFonts w:ascii="Arial Narrow" w:hAnsi="Arial Narrow" w:cstheme="minorBidi"/>
                <w:b/>
                <w:sz w:val="20"/>
                <w:lang w:eastAsia="en-AU"/>
              </w:rPr>
              <w:t>1</w:t>
            </w:r>
            <w:r w:rsidR="00FB2D52" w:rsidRPr="00EC09F6">
              <w:rPr>
                <w:rFonts w:ascii="Arial Narrow" w:hAnsi="Arial Narrow" w:cstheme="minorBidi"/>
                <w:b/>
                <w:sz w:val="20"/>
                <w:lang w:eastAsia="en-AU"/>
              </w:rPr>
              <w:t>º analysis</w:t>
            </w:r>
          </w:p>
          <w:p w:rsidR="00FB2D52" w:rsidRPr="00EC09F6" w:rsidRDefault="00FB2D52" w:rsidP="007550BD">
            <w:pPr>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2º analysis</w:t>
            </w:r>
          </w:p>
        </w:tc>
        <w:tc>
          <w:tcPr>
            <w:tcW w:w="850"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851"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1134"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567" w:type="dxa"/>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2</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 2</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2</w:t>
            </w:r>
          </w:p>
        </w:tc>
        <w:tc>
          <w:tcPr>
            <w:tcW w:w="708"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30</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30</w:t>
            </w: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p w:rsidR="00FB2D52" w:rsidRPr="00EC09F6" w:rsidRDefault="00FB2D52" w:rsidP="00665CFF">
            <w:pPr>
              <w:widowControl/>
              <w:jc w:val="center"/>
              <w:rPr>
                <w:rFonts w:ascii="Arial Narrow" w:hAnsi="Arial Narrow" w:cstheme="minorBidi"/>
                <w:b/>
                <w:i/>
                <w:sz w:val="20"/>
                <w:lang w:eastAsia="en-AU"/>
              </w:rPr>
            </w:pPr>
            <w:r w:rsidRPr="00EC09F6">
              <w:rPr>
                <w:rFonts w:ascii="Arial Narrow" w:hAnsi="Arial Narrow" w:cstheme="minorBidi"/>
                <w:b/>
                <w:i/>
                <w:sz w:val="20"/>
                <w:lang w:eastAsia="en-AU"/>
              </w:rPr>
              <w:t>CMA</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w:t>
            </w:r>
          </w:p>
        </w:tc>
      </w:tr>
      <w:tr w:rsidR="00EC09F6" w:rsidRPr="00EC09F6" w:rsidTr="007550BD">
        <w:trPr>
          <w:cantSplit/>
        </w:trPr>
        <w:tc>
          <w:tcPr>
            <w:tcW w:w="3119" w:type="dxa"/>
            <w:tcMar>
              <w:left w:w="28" w:type="dxa"/>
              <w:right w:w="28" w:type="dxa"/>
            </w:tcMar>
          </w:tcPr>
          <w:p w:rsidR="00FB2D52" w:rsidRPr="00EC09F6" w:rsidRDefault="00FB2D52" w:rsidP="00665CFF">
            <w:pPr>
              <w:widowControl/>
              <w:jc w:val="left"/>
              <w:rPr>
                <w:rFonts w:ascii="Arial Narrow" w:hAnsi="Arial Narrow" w:cstheme="minorBidi"/>
                <w:sz w:val="20"/>
                <w:lang w:eastAsia="en-AU"/>
              </w:rPr>
            </w:pPr>
            <w:r w:rsidRPr="00EC09F6">
              <w:rPr>
                <w:rFonts w:ascii="Arial Narrow" w:hAnsi="Arial Narrow" w:cstheme="minorBidi"/>
                <w:sz w:val="20"/>
                <w:lang w:eastAsia="en-AU"/>
              </w:rPr>
              <w:t>Omalizumab:</w:t>
            </w:r>
          </w:p>
          <w:p w:rsidR="00FB2D52" w:rsidRPr="00EC09F6" w:rsidRDefault="00FB2D52" w:rsidP="007550BD">
            <w:pPr>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ITT pop</w:t>
            </w:r>
            <w:r w:rsidR="007550BD" w:rsidRPr="00EC09F6">
              <w:rPr>
                <w:rFonts w:ascii="Arial Narrow" w:hAnsi="Arial Narrow" w:cstheme="minorBidi"/>
                <w:sz w:val="20"/>
                <w:lang w:eastAsia="en-AU"/>
              </w:rPr>
              <w:t>ulation</w:t>
            </w:r>
            <w:r w:rsidRPr="00EC09F6">
              <w:rPr>
                <w:rFonts w:ascii="Arial Narrow" w:hAnsi="Arial Narrow" w:cstheme="minorBidi"/>
                <w:sz w:val="20"/>
                <w:lang w:eastAsia="en-AU"/>
              </w:rPr>
              <w:t xml:space="preserve"> (INNOVATE + EXTRA)</w:t>
            </w:r>
          </w:p>
          <w:p w:rsidR="00FB2D52" w:rsidRPr="00EC09F6" w:rsidRDefault="00FB2D52" w:rsidP="007550BD">
            <w:pPr>
              <w:widowControl/>
              <w:ind w:firstLine="114"/>
              <w:jc w:val="left"/>
              <w:rPr>
                <w:rFonts w:ascii="Arial Narrow" w:hAnsi="Arial Narrow" w:cstheme="minorBidi"/>
                <w:sz w:val="20"/>
                <w:lang w:eastAsia="en-AU"/>
              </w:rPr>
            </w:pPr>
            <w:r w:rsidRPr="00EC09F6">
              <w:rPr>
                <w:rFonts w:ascii="Arial Narrow" w:hAnsi="Arial Narrow" w:cstheme="minorBidi"/>
                <w:sz w:val="20"/>
                <w:lang w:eastAsia="en-AU"/>
              </w:rPr>
              <w:t>1º analysis (INNOVATE + EXTRA)</w:t>
            </w:r>
          </w:p>
          <w:p w:rsidR="00FB2D52" w:rsidRPr="00EC09F6" w:rsidRDefault="00FB2D52" w:rsidP="007550BD">
            <w:pPr>
              <w:widowControl/>
              <w:ind w:firstLine="114"/>
              <w:jc w:val="left"/>
              <w:rPr>
                <w:rFonts w:ascii="Arial Narrow" w:hAnsi="Arial Narrow" w:cstheme="minorBidi"/>
                <w:b/>
                <w:sz w:val="20"/>
                <w:lang w:eastAsia="en-AU"/>
              </w:rPr>
            </w:pPr>
            <w:r w:rsidRPr="00EC09F6">
              <w:rPr>
                <w:rFonts w:ascii="Arial Narrow" w:hAnsi="Arial Narrow" w:cstheme="minorBidi"/>
                <w:b/>
                <w:sz w:val="20"/>
                <w:lang w:eastAsia="en-AU"/>
              </w:rPr>
              <w:t>2º analysis (INNOVATE)</w:t>
            </w:r>
          </w:p>
        </w:tc>
        <w:tc>
          <w:tcPr>
            <w:tcW w:w="850"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851"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1134"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tc>
        <w:tc>
          <w:tcPr>
            <w:tcW w:w="567" w:type="dxa"/>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1</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 1</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 2</w:t>
            </w:r>
          </w:p>
        </w:tc>
        <w:tc>
          <w:tcPr>
            <w:tcW w:w="708"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30</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30</w:t>
            </w:r>
          </w:p>
          <w:p w:rsidR="00FB2D52" w:rsidRPr="00EC09F6" w:rsidRDefault="00FB2D52" w:rsidP="00665CFF">
            <w:pPr>
              <w:widowControl/>
              <w:jc w:val="center"/>
              <w:rPr>
                <w:rFonts w:ascii="Arial Narrow" w:hAnsi="Arial Narrow" w:cstheme="minorBidi"/>
                <w:b/>
                <w:sz w:val="20"/>
                <w:lang w:eastAsia="en-AU"/>
              </w:rPr>
            </w:pPr>
            <w:r w:rsidRPr="00EC09F6">
              <w:rPr>
                <w:rFonts w:ascii="Arial Narrow" w:hAnsi="Arial Narrow" w:cstheme="minorBidi"/>
                <w:b/>
                <w:sz w:val="20"/>
                <w:lang w:eastAsia="en-AU"/>
              </w:rPr>
              <w:t>30</w:t>
            </w: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p>
          <w:p w:rsidR="00FB2D52" w:rsidRPr="00EC09F6" w:rsidRDefault="00FB2D52" w:rsidP="00665CFF">
            <w:pPr>
              <w:widowControl/>
              <w:jc w:val="center"/>
              <w:rPr>
                <w:rFonts w:ascii="Arial Narrow" w:hAnsi="Arial Narrow" w:cstheme="minorBidi"/>
                <w:sz w:val="20"/>
                <w:lang w:eastAsia="en-AU"/>
              </w:rPr>
            </w:pPr>
            <w:r w:rsidRPr="00EC09F6">
              <w:rPr>
                <w:rFonts w:ascii="Arial Narrow" w:hAnsi="Arial Narrow" w:cstheme="minorBidi"/>
                <w:sz w:val="20"/>
                <w:lang w:eastAsia="en-AU"/>
              </w:rPr>
              <w:t>Y</w:t>
            </w:r>
            <w:r w:rsidRPr="00EC09F6">
              <w:rPr>
                <w:rFonts w:ascii="Arial Narrow" w:hAnsi="Arial Narrow" w:cstheme="minorBidi"/>
                <w:sz w:val="20"/>
                <w:lang w:eastAsia="en-AU"/>
              </w:rPr>
              <w:br/>
            </w:r>
            <w:r w:rsidRPr="00EC09F6">
              <w:rPr>
                <w:rFonts w:ascii="Arial Narrow" w:hAnsi="Arial Narrow" w:cstheme="minorBidi"/>
                <w:b/>
                <w:sz w:val="20"/>
                <w:lang w:eastAsia="en-AU"/>
              </w:rPr>
              <w:t>Y</w:t>
            </w:r>
          </w:p>
        </w:tc>
        <w:tc>
          <w:tcPr>
            <w:tcW w:w="567" w:type="dxa"/>
            <w:tcMar>
              <w:left w:w="28" w:type="dxa"/>
              <w:right w:w="28" w:type="dxa"/>
            </w:tcMar>
          </w:tcPr>
          <w:p w:rsidR="00FB2D52" w:rsidRPr="00EC09F6" w:rsidRDefault="00FB2D52" w:rsidP="00665CFF">
            <w:pPr>
              <w:widowControl/>
              <w:jc w:val="center"/>
              <w:rPr>
                <w:rFonts w:ascii="Arial Narrow" w:hAnsi="Arial Narrow" w:cstheme="minorBidi"/>
                <w:sz w:val="20"/>
                <w:lang w:eastAsia="en-AU"/>
              </w:rPr>
            </w:pPr>
          </w:p>
          <w:p w:rsidR="00FB2D52" w:rsidRPr="00EC09F6" w:rsidRDefault="00FB2D52" w:rsidP="00665CFF">
            <w:pPr>
              <w:widowControl/>
              <w:jc w:val="center"/>
              <w:rPr>
                <w:rFonts w:ascii="Arial Narrow" w:hAnsi="Arial Narrow" w:cstheme="minorBidi"/>
                <w:i/>
                <w:sz w:val="20"/>
                <w:lang w:eastAsia="en-AU"/>
              </w:rPr>
            </w:pPr>
            <w:r w:rsidRPr="00EC09F6">
              <w:rPr>
                <w:rFonts w:ascii="Arial Narrow" w:hAnsi="Arial Narrow" w:cstheme="minorBidi"/>
                <w:i/>
                <w:sz w:val="20"/>
                <w:lang w:eastAsia="en-AU"/>
              </w:rPr>
              <w:t>-</w:t>
            </w:r>
          </w:p>
          <w:p w:rsidR="00FB2D52" w:rsidRPr="00EC09F6" w:rsidRDefault="00FB2D52" w:rsidP="00665CFF">
            <w:pPr>
              <w:widowControl/>
              <w:jc w:val="center"/>
              <w:rPr>
                <w:rFonts w:ascii="Arial Narrow" w:hAnsi="Arial Narrow" w:cstheme="minorBidi"/>
                <w:i/>
                <w:sz w:val="20"/>
                <w:lang w:eastAsia="en-AU"/>
              </w:rPr>
            </w:pPr>
            <w:r w:rsidRPr="00EC09F6">
              <w:rPr>
                <w:rFonts w:ascii="Arial Narrow" w:hAnsi="Arial Narrow" w:cstheme="minorBidi"/>
                <w:i/>
                <w:sz w:val="20"/>
                <w:lang w:eastAsia="en-AU"/>
              </w:rPr>
              <w:t>-</w:t>
            </w:r>
          </w:p>
          <w:p w:rsidR="00FB2D52" w:rsidRPr="00EC09F6" w:rsidRDefault="00FB2D52" w:rsidP="00665CFF">
            <w:pPr>
              <w:widowControl/>
              <w:jc w:val="center"/>
              <w:rPr>
                <w:rFonts w:ascii="Arial Narrow" w:hAnsi="Arial Narrow" w:cstheme="minorBidi"/>
                <w:b/>
                <w:i/>
                <w:sz w:val="20"/>
                <w:lang w:eastAsia="en-AU"/>
              </w:rPr>
            </w:pPr>
            <w:r w:rsidRPr="00EC09F6">
              <w:rPr>
                <w:rFonts w:ascii="Arial Narrow" w:hAnsi="Arial Narrow" w:cstheme="minorBidi"/>
                <w:b/>
                <w:i/>
                <w:sz w:val="20"/>
                <w:lang w:eastAsia="en-AU"/>
              </w:rPr>
              <w:t>CMA</w:t>
            </w:r>
          </w:p>
        </w:tc>
      </w:tr>
    </w:tbl>
    <w:p w:rsidR="00FB2D52" w:rsidRPr="00EC09F6" w:rsidRDefault="00FB2D52" w:rsidP="00062BED">
      <w:pPr>
        <w:pStyle w:val="TableFooter"/>
        <w:ind w:left="720"/>
      </w:pPr>
      <w:r w:rsidRPr="00EC09F6">
        <w:t xml:space="preserve">Source: </w:t>
      </w:r>
      <w:r w:rsidRPr="00EC09F6">
        <w:rPr>
          <w:i/>
        </w:rPr>
        <w:t>Compiled during evaluation</w:t>
      </w:r>
    </w:p>
    <w:p w:rsidR="00FB2D52" w:rsidRPr="00EC09F6" w:rsidRDefault="00FB2D52" w:rsidP="00062BED">
      <w:pPr>
        <w:pStyle w:val="TableFooter"/>
        <w:ind w:left="720"/>
      </w:pPr>
      <w:r w:rsidRPr="00EC09F6">
        <w:t>CEA = cost-effectiveness analysis; CMA = cost-minimisation analysis; Econ = economic; Exac = exacerbations; IgE</w:t>
      </w:r>
      <w:r w:rsidR="00A44FCA" w:rsidRPr="00EC09F6">
        <w:t> </w:t>
      </w:r>
      <w:r w:rsidRPr="00EC09F6">
        <w:t>=</w:t>
      </w:r>
      <w:r w:rsidR="00A44FCA" w:rsidRPr="00EC09F6">
        <w:t> </w:t>
      </w:r>
      <w:r w:rsidRPr="00EC09F6">
        <w:t>immunoglobulin E; ITT = intention-to-treat; Min = minimum; PBS = Pharmaceutical Benefits Scheme; RAST</w:t>
      </w:r>
      <w:r w:rsidR="00A44FCA" w:rsidRPr="00EC09F6">
        <w:t> </w:t>
      </w:r>
      <w:r w:rsidRPr="00EC09F6">
        <w:t>=</w:t>
      </w:r>
      <w:r w:rsidR="00A44FCA" w:rsidRPr="00EC09F6">
        <w:t> </w:t>
      </w:r>
      <w:r w:rsidRPr="00EC09F6">
        <w:t xml:space="preserve">radioallergosorbent test; SC = subcutaneous; SOC = standard of care; </w:t>
      </w:r>
      <w:r w:rsidR="003C0D47" w:rsidRPr="00EC09F6">
        <w:t xml:space="preserve">wks = weeks; </w:t>
      </w:r>
      <w:r w:rsidRPr="00EC09F6">
        <w:t>Y = yes; +ve = positive; 1º</w:t>
      </w:r>
      <w:r w:rsidR="00A44FCA" w:rsidRPr="00EC09F6">
        <w:t> </w:t>
      </w:r>
      <w:r w:rsidRPr="00EC09F6">
        <w:t>=</w:t>
      </w:r>
      <w:r w:rsidR="00A44FCA" w:rsidRPr="00EC09F6">
        <w:t> </w:t>
      </w:r>
      <w:r w:rsidRPr="00EC09F6">
        <w:t>primary; 2º = secondary</w:t>
      </w:r>
      <w:r w:rsidR="001A0827" w:rsidRPr="00EC09F6">
        <w:t xml:space="preserve">; </w:t>
      </w:r>
      <w:r w:rsidR="001A0827" w:rsidRPr="00EC09F6">
        <w:rPr>
          <w:b/>
        </w:rPr>
        <w:t>Bold</w:t>
      </w:r>
      <w:r w:rsidR="001A0827" w:rsidRPr="00EC09F6">
        <w:t xml:space="preserve"> = data </w:t>
      </w:r>
      <w:r w:rsidR="003C0D47" w:rsidRPr="00EC09F6">
        <w:t xml:space="preserve">used in the </w:t>
      </w:r>
      <w:r w:rsidR="001A0827" w:rsidRPr="00EC09F6">
        <w:t>key analyses</w:t>
      </w:r>
    </w:p>
    <w:p w:rsidR="00FB2D52" w:rsidRPr="00EC09F6" w:rsidRDefault="00FB2D52" w:rsidP="00062BED">
      <w:pPr>
        <w:pStyle w:val="TableFooter"/>
        <w:ind w:left="720"/>
      </w:pPr>
    </w:p>
    <w:p w:rsidR="001A0827" w:rsidRPr="00EC09F6" w:rsidRDefault="003C0D47" w:rsidP="00986DCF">
      <w:pPr>
        <w:pStyle w:val="ListParagraph"/>
        <w:widowControl/>
        <w:numPr>
          <w:ilvl w:val="1"/>
          <w:numId w:val="2"/>
        </w:numPr>
        <w:rPr>
          <w:szCs w:val="22"/>
        </w:rPr>
      </w:pPr>
      <w:r w:rsidRPr="00EC09F6">
        <w:rPr>
          <w:szCs w:val="22"/>
        </w:rPr>
        <w:t>For the direct comparison between mepolizumab and standard of care t</w:t>
      </w:r>
      <w:r w:rsidR="001A0827" w:rsidRPr="00EC09F6">
        <w:rPr>
          <w:szCs w:val="22"/>
        </w:rPr>
        <w:t xml:space="preserve">he submission relied </w:t>
      </w:r>
      <w:r w:rsidRPr="00EC09F6">
        <w:rPr>
          <w:szCs w:val="22"/>
        </w:rPr>
        <w:t xml:space="preserve">on a subgroup analysis from </w:t>
      </w:r>
      <w:r w:rsidR="001A0827" w:rsidRPr="00EC09F6">
        <w:rPr>
          <w:szCs w:val="22"/>
        </w:rPr>
        <w:t>Study 588</w:t>
      </w:r>
      <w:r w:rsidRPr="00EC09F6">
        <w:rPr>
          <w:szCs w:val="22"/>
        </w:rPr>
        <w:t>. Patients</w:t>
      </w:r>
      <w:r w:rsidR="001A0827" w:rsidRPr="00EC09F6">
        <w:rPr>
          <w:szCs w:val="22"/>
        </w:rPr>
        <w:t xml:space="preserve"> matched the proposed </w:t>
      </w:r>
      <w:r w:rsidRPr="00EC09F6">
        <w:rPr>
          <w:szCs w:val="22"/>
        </w:rPr>
        <w:t xml:space="preserve">PBS </w:t>
      </w:r>
      <w:r w:rsidR="001A0827" w:rsidRPr="00EC09F6">
        <w:rPr>
          <w:szCs w:val="22"/>
        </w:rPr>
        <w:t>restriction</w:t>
      </w:r>
      <w:r w:rsidRPr="00EC09F6">
        <w:rPr>
          <w:szCs w:val="22"/>
        </w:rPr>
        <w:t xml:space="preserve"> in terms of eosinophil count but</w:t>
      </w:r>
      <w:r w:rsidR="001A0827" w:rsidRPr="00EC09F6">
        <w:rPr>
          <w:szCs w:val="22"/>
        </w:rPr>
        <w:t xml:space="preserve"> had experienced at least two exacerbations in the last twelve months</w:t>
      </w:r>
      <w:r w:rsidRPr="00EC09F6">
        <w:rPr>
          <w:szCs w:val="22"/>
        </w:rPr>
        <w:t>, rather than one</w:t>
      </w:r>
      <w:r w:rsidR="008A6838" w:rsidRPr="00EC09F6">
        <w:rPr>
          <w:szCs w:val="22"/>
        </w:rPr>
        <w:t>.</w:t>
      </w:r>
      <w:r w:rsidR="001A0827" w:rsidRPr="00EC09F6">
        <w:rPr>
          <w:szCs w:val="22"/>
        </w:rPr>
        <w:t xml:space="preserve"> </w:t>
      </w:r>
    </w:p>
    <w:p w:rsidR="001A0827" w:rsidRPr="00EC09F6" w:rsidRDefault="001A0827" w:rsidP="00062BED">
      <w:pPr>
        <w:pStyle w:val="ListParagraph"/>
        <w:widowControl/>
        <w:rPr>
          <w:szCs w:val="22"/>
        </w:rPr>
      </w:pPr>
    </w:p>
    <w:p w:rsidR="008A6838" w:rsidRPr="00EC09F6" w:rsidRDefault="003C0D47" w:rsidP="00986DCF">
      <w:pPr>
        <w:pStyle w:val="ListParagraph"/>
        <w:widowControl/>
        <w:numPr>
          <w:ilvl w:val="1"/>
          <w:numId w:val="2"/>
        </w:numPr>
        <w:rPr>
          <w:szCs w:val="22"/>
        </w:rPr>
      </w:pPr>
      <w:r w:rsidRPr="00EC09F6">
        <w:rPr>
          <w:szCs w:val="22"/>
        </w:rPr>
        <w:t>For the indirect comparison between mepolizumab and omalizumab t</w:t>
      </w:r>
      <w:r w:rsidR="001A0827" w:rsidRPr="00EC09F6">
        <w:rPr>
          <w:szCs w:val="22"/>
        </w:rPr>
        <w:t xml:space="preserve">he submission relied on a </w:t>
      </w:r>
      <w:r w:rsidR="000F5169" w:rsidRPr="00EC09F6">
        <w:rPr>
          <w:szCs w:val="22"/>
        </w:rPr>
        <w:t xml:space="preserve">subgroup analysis from Study 588 and </w:t>
      </w:r>
      <w:r w:rsidR="004E7672" w:rsidRPr="00EC09F6">
        <w:rPr>
          <w:szCs w:val="22"/>
        </w:rPr>
        <w:t>intention-to-treat (</w:t>
      </w:r>
      <w:r w:rsidR="001A0827" w:rsidRPr="00EC09F6">
        <w:rPr>
          <w:szCs w:val="22"/>
        </w:rPr>
        <w:t>ITT</w:t>
      </w:r>
      <w:r w:rsidR="004E7672" w:rsidRPr="00EC09F6">
        <w:rPr>
          <w:szCs w:val="22"/>
        </w:rPr>
        <w:t>)</w:t>
      </w:r>
      <w:r w:rsidR="001A0827" w:rsidRPr="00EC09F6">
        <w:rPr>
          <w:szCs w:val="22"/>
        </w:rPr>
        <w:t xml:space="preserve"> population</w:t>
      </w:r>
      <w:r w:rsidR="000F5169" w:rsidRPr="00EC09F6">
        <w:rPr>
          <w:szCs w:val="22"/>
        </w:rPr>
        <w:t xml:space="preserve"> analyses for</w:t>
      </w:r>
      <w:r w:rsidR="001A0827" w:rsidRPr="00EC09F6">
        <w:rPr>
          <w:szCs w:val="22"/>
        </w:rPr>
        <w:t xml:space="preserve"> omalizumab</w:t>
      </w:r>
      <w:r w:rsidR="000F5169" w:rsidRPr="00EC09F6">
        <w:rPr>
          <w:szCs w:val="22"/>
        </w:rPr>
        <w:t>. The populations</w:t>
      </w:r>
      <w:r w:rsidR="00F45906" w:rsidRPr="00EC09F6">
        <w:rPr>
          <w:szCs w:val="22"/>
        </w:rPr>
        <w:t xml:space="preserve"> included in the indirect comparison</w:t>
      </w:r>
      <w:r w:rsidR="001A0827" w:rsidRPr="00EC09F6">
        <w:rPr>
          <w:szCs w:val="22"/>
        </w:rPr>
        <w:t xml:space="preserve"> </w:t>
      </w:r>
      <w:r w:rsidR="00F45906" w:rsidRPr="00EC09F6">
        <w:rPr>
          <w:szCs w:val="22"/>
        </w:rPr>
        <w:t>did not precisely match</w:t>
      </w:r>
      <w:r w:rsidR="000F5169" w:rsidRPr="00EC09F6">
        <w:rPr>
          <w:szCs w:val="22"/>
        </w:rPr>
        <w:t xml:space="preserve"> the proposed mepolizumab and current omalizumab PBS restrictions. </w:t>
      </w:r>
      <w:r w:rsidR="003935C8" w:rsidRPr="00EC09F6">
        <w:rPr>
          <w:szCs w:val="22"/>
        </w:rPr>
        <w:t>T</w:t>
      </w:r>
      <w:r w:rsidR="001A0827" w:rsidRPr="00EC09F6">
        <w:rPr>
          <w:szCs w:val="22"/>
        </w:rPr>
        <w:t xml:space="preserve">he key differences were </w:t>
      </w:r>
      <w:r w:rsidR="000F5169" w:rsidRPr="00EC09F6">
        <w:rPr>
          <w:szCs w:val="22"/>
        </w:rPr>
        <w:t xml:space="preserve">lower serum </w:t>
      </w:r>
      <w:r w:rsidR="001A0827" w:rsidRPr="00EC09F6">
        <w:rPr>
          <w:szCs w:val="22"/>
        </w:rPr>
        <w:t xml:space="preserve">IgE </w:t>
      </w:r>
      <w:r w:rsidR="000F5169" w:rsidRPr="00EC09F6">
        <w:rPr>
          <w:szCs w:val="22"/>
        </w:rPr>
        <w:t>levels (≥ 30 IU/mL) in the trials compared to the omalizumab PBS restriction (≥ 76 IU/mL)</w:t>
      </w:r>
      <w:r w:rsidR="00F45906" w:rsidRPr="00EC09F6">
        <w:rPr>
          <w:szCs w:val="22"/>
        </w:rPr>
        <w:t>,</w:t>
      </w:r>
      <w:r w:rsidR="000F5169" w:rsidRPr="00EC09F6">
        <w:rPr>
          <w:szCs w:val="22"/>
        </w:rPr>
        <w:t xml:space="preserve"> </w:t>
      </w:r>
      <w:r w:rsidR="007E1B22" w:rsidRPr="00EC09F6">
        <w:rPr>
          <w:szCs w:val="22"/>
        </w:rPr>
        <w:t>no limits</w:t>
      </w:r>
      <w:r w:rsidR="003935C8" w:rsidRPr="00EC09F6">
        <w:rPr>
          <w:szCs w:val="22"/>
        </w:rPr>
        <w:t xml:space="preserve"> on eosinophil</w:t>
      </w:r>
      <w:r w:rsidR="000F5169" w:rsidRPr="00EC09F6">
        <w:rPr>
          <w:szCs w:val="22"/>
        </w:rPr>
        <w:t xml:space="preserve"> levels </w:t>
      </w:r>
      <w:r w:rsidR="003935C8" w:rsidRPr="00EC09F6">
        <w:rPr>
          <w:szCs w:val="22"/>
        </w:rPr>
        <w:t>in the omalizumab trials</w:t>
      </w:r>
      <w:r w:rsidR="00F45906" w:rsidRPr="00EC09F6">
        <w:rPr>
          <w:szCs w:val="22"/>
        </w:rPr>
        <w:t>, and patients needed to have at least two exacerbations in the last twelve months</w:t>
      </w:r>
      <w:r w:rsidR="001A0827" w:rsidRPr="00EC09F6">
        <w:rPr>
          <w:szCs w:val="22"/>
        </w:rPr>
        <w:t xml:space="preserve">. </w:t>
      </w:r>
    </w:p>
    <w:p w:rsidR="001A0827" w:rsidRPr="00EC09F6" w:rsidRDefault="001A0827" w:rsidP="00062BED">
      <w:pPr>
        <w:pStyle w:val="ListParagraph"/>
        <w:widowControl/>
        <w:rPr>
          <w:szCs w:val="22"/>
        </w:rPr>
      </w:pPr>
    </w:p>
    <w:p w:rsidR="00FB2D52" w:rsidRPr="00EC09F6" w:rsidRDefault="00FB2D52" w:rsidP="00986DCF">
      <w:pPr>
        <w:pStyle w:val="ListParagraph"/>
        <w:widowControl/>
        <w:numPr>
          <w:ilvl w:val="1"/>
          <w:numId w:val="2"/>
        </w:numPr>
        <w:rPr>
          <w:szCs w:val="22"/>
        </w:rPr>
      </w:pPr>
      <w:r w:rsidRPr="00EC09F6">
        <w:rPr>
          <w:szCs w:val="22"/>
        </w:rPr>
        <w:t>The key outcome was the rate of exacerbations. The definitions and time period</w:t>
      </w:r>
      <w:r w:rsidR="000F5169" w:rsidRPr="00EC09F6">
        <w:rPr>
          <w:szCs w:val="22"/>
        </w:rPr>
        <w:t>s for this outcome are prese</w:t>
      </w:r>
      <w:r w:rsidR="008C021B" w:rsidRPr="00EC09F6">
        <w:rPr>
          <w:szCs w:val="22"/>
        </w:rPr>
        <w:t>nted below</w:t>
      </w:r>
      <w:r w:rsidRPr="00EC09F6">
        <w:rPr>
          <w:szCs w:val="22"/>
        </w:rPr>
        <w:t>.</w:t>
      </w:r>
    </w:p>
    <w:p w:rsidR="001707DC" w:rsidRPr="00EC09F6" w:rsidRDefault="001707DC" w:rsidP="00062BED">
      <w:pPr>
        <w:pStyle w:val="PBACHeading1"/>
        <w:numPr>
          <w:ilvl w:val="0"/>
          <w:numId w:val="0"/>
        </w:numPr>
      </w:pPr>
    </w:p>
    <w:p w:rsidR="00CA56F9" w:rsidRPr="00EC09F6" w:rsidRDefault="000F5169" w:rsidP="00062BED">
      <w:pPr>
        <w:keepNext/>
        <w:ind w:left="720"/>
      </w:pPr>
      <w:r w:rsidRPr="00EC09F6">
        <w:rPr>
          <w:rStyle w:val="CommentReference"/>
        </w:rPr>
        <w:t>Table 4</w:t>
      </w:r>
      <w:r w:rsidR="00CA56F9" w:rsidRPr="00EC09F6">
        <w:rPr>
          <w:rStyle w:val="CommentReference"/>
        </w:rPr>
        <w:t xml:space="preserve">: </w:t>
      </w:r>
      <w:r w:rsidR="00252AB2" w:rsidRPr="00EC09F6">
        <w:rPr>
          <w:rStyle w:val="CommentReference"/>
        </w:rPr>
        <w:t>D</w:t>
      </w:r>
      <w:r w:rsidR="00CA56F9" w:rsidRPr="00EC09F6">
        <w:rPr>
          <w:rStyle w:val="CommentReference"/>
        </w:rPr>
        <w:t xml:space="preserve">efinitions of clinically significant exacerbations </w:t>
      </w:r>
      <w:r w:rsidR="00252AB2" w:rsidRPr="00EC09F6">
        <w:rPr>
          <w:rStyle w:val="CommentReference"/>
        </w:rPr>
        <w:t xml:space="preserve">and exacerbation rate time periods </w:t>
      </w:r>
      <w:r w:rsidR="00CA56F9" w:rsidRPr="00EC09F6">
        <w:rPr>
          <w:rStyle w:val="CommentReference"/>
        </w:rPr>
        <w:t>as per the individual trials used in the submission</w:t>
      </w:r>
    </w:p>
    <w:tbl>
      <w:tblPr>
        <w:tblStyle w:val="TableGrid"/>
        <w:tblW w:w="0" w:type="auto"/>
        <w:tblInd w:w="737" w:type="dxa"/>
        <w:tblLook w:val="04A0" w:firstRow="1" w:lastRow="0" w:firstColumn="1" w:lastColumn="0" w:noHBand="0" w:noVBand="1"/>
        <w:tblCaption w:val="Table 4: Definitions of clinically significant exacerbations and exacerbation rate time periods as per the individual trials used in the submission"/>
      </w:tblPr>
      <w:tblGrid>
        <w:gridCol w:w="1134"/>
        <w:gridCol w:w="4536"/>
        <w:gridCol w:w="2676"/>
      </w:tblGrid>
      <w:tr w:rsidR="00EC09F6" w:rsidRPr="00EC09F6" w:rsidTr="00A242F1">
        <w:trPr>
          <w:tblHeader/>
        </w:trPr>
        <w:tc>
          <w:tcPr>
            <w:tcW w:w="1134" w:type="dxa"/>
            <w:tcMar>
              <w:left w:w="28" w:type="dxa"/>
              <w:right w:w="28" w:type="dxa"/>
            </w:tcMar>
          </w:tcPr>
          <w:p w:rsidR="001707DC" w:rsidRPr="00EC09F6" w:rsidRDefault="007550BD" w:rsidP="00062BED">
            <w:pPr>
              <w:pStyle w:val="Tabletext"/>
              <w:rPr>
                <w:b/>
              </w:rPr>
            </w:pPr>
            <w:r w:rsidRPr="00EC09F6">
              <w:rPr>
                <w:b/>
              </w:rPr>
              <w:t>Trial</w:t>
            </w:r>
          </w:p>
        </w:tc>
        <w:tc>
          <w:tcPr>
            <w:tcW w:w="4536" w:type="dxa"/>
            <w:tcMar>
              <w:left w:w="28" w:type="dxa"/>
              <w:right w:w="28" w:type="dxa"/>
            </w:tcMar>
          </w:tcPr>
          <w:p w:rsidR="001707DC" w:rsidRPr="00EC09F6" w:rsidRDefault="001707DC" w:rsidP="00062BED">
            <w:pPr>
              <w:pStyle w:val="Tabletext"/>
            </w:pPr>
            <w:r w:rsidRPr="00EC09F6">
              <w:rPr>
                <w:b/>
              </w:rPr>
              <w:t>Definition of clinically significant exacerbation</w:t>
            </w:r>
          </w:p>
        </w:tc>
        <w:tc>
          <w:tcPr>
            <w:tcW w:w="2676" w:type="dxa"/>
            <w:tcMar>
              <w:left w:w="28" w:type="dxa"/>
              <w:right w:w="28" w:type="dxa"/>
            </w:tcMar>
          </w:tcPr>
          <w:p w:rsidR="001707DC" w:rsidRPr="00EC09F6" w:rsidRDefault="000F5169" w:rsidP="00062BED">
            <w:pPr>
              <w:pStyle w:val="Tabletext"/>
            </w:pPr>
            <w:r w:rsidRPr="00EC09F6">
              <w:rPr>
                <w:b/>
              </w:rPr>
              <w:t>Time period for exacerbation rate</w:t>
            </w:r>
          </w:p>
        </w:tc>
      </w:tr>
      <w:tr w:rsidR="00EC09F6" w:rsidRPr="00EC09F6" w:rsidTr="00252AB2">
        <w:tc>
          <w:tcPr>
            <w:tcW w:w="8346" w:type="dxa"/>
            <w:gridSpan w:val="3"/>
            <w:tcMar>
              <w:left w:w="28" w:type="dxa"/>
              <w:right w:w="28" w:type="dxa"/>
            </w:tcMar>
          </w:tcPr>
          <w:p w:rsidR="001707DC" w:rsidRPr="00EC09F6" w:rsidRDefault="001707DC" w:rsidP="00062BED">
            <w:pPr>
              <w:pStyle w:val="Tabletext"/>
            </w:pPr>
            <w:r w:rsidRPr="00EC09F6">
              <w:rPr>
                <w:b/>
              </w:rPr>
              <w:t>Mepolizumab trials</w:t>
            </w:r>
          </w:p>
        </w:tc>
      </w:tr>
      <w:tr w:rsidR="00EC09F6" w:rsidRPr="00EC09F6" w:rsidTr="00252AB2">
        <w:tc>
          <w:tcPr>
            <w:tcW w:w="1134" w:type="dxa"/>
            <w:tcMar>
              <w:left w:w="28" w:type="dxa"/>
              <w:right w:w="28" w:type="dxa"/>
            </w:tcMar>
            <w:vAlign w:val="center"/>
          </w:tcPr>
          <w:p w:rsidR="001707DC" w:rsidRPr="00EC09F6" w:rsidRDefault="001707DC" w:rsidP="00062BED">
            <w:pPr>
              <w:pStyle w:val="Tabletext"/>
              <w:ind w:firstLine="131"/>
            </w:pPr>
            <w:r w:rsidRPr="00EC09F6">
              <w:rPr>
                <w:lang w:val="en-US"/>
              </w:rPr>
              <w:t>Study 575</w:t>
            </w:r>
          </w:p>
        </w:tc>
        <w:tc>
          <w:tcPr>
            <w:tcW w:w="4536" w:type="dxa"/>
            <w:tcMar>
              <w:left w:w="28" w:type="dxa"/>
              <w:right w:w="28" w:type="dxa"/>
            </w:tcMar>
          </w:tcPr>
          <w:p w:rsidR="001707DC" w:rsidRPr="00EC09F6" w:rsidRDefault="00CA56F9" w:rsidP="00062BED">
            <w:pPr>
              <w:pStyle w:val="Tabletext"/>
            </w:pPr>
            <w:r w:rsidRPr="00EC09F6">
              <w:t>S</w:t>
            </w:r>
            <w:r w:rsidR="001707DC" w:rsidRPr="00EC09F6">
              <w:t>ystemic corticosteroids ± hospitalisation ± ED visits</w:t>
            </w:r>
            <w:r w:rsidR="003935C8" w:rsidRPr="00EC09F6">
              <w:t xml:space="preserve"> </w:t>
            </w:r>
            <w:r w:rsidR="003935C8" w:rsidRPr="00EC09F6">
              <w:rPr>
                <w:vertAlign w:val="superscript"/>
              </w:rPr>
              <w:t>a</w:t>
            </w:r>
            <w:r w:rsidR="001707DC" w:rsidRPr="00EC09F6">
              <w:t xml:space="preserve"> </w:t>
            </w:r>
          </w:p>
        </w:tc>
        <w:tc>
          <w:tcPr>
            <w:tcW w:w="2676" w:type="dxa"/>
            <w:tcMar>
              <w:left w:w="28" w:type="dxa"/>
              <w:right w:w="28" w:type="dxa"/>
            </w:tcMar>
          </w:tcPr>
          <w:p w:rsidR="001707DC" w:rsidRPr="00EC09F6" w:rsidRDefault="000F5169" w:rsidP="00062BED">
            <w:pPr>
              <w:pStyle w:val="Tabletext"/>
            </w:pPr>
            <w:r w:rsidRPr="00EC09F6">
              <w:t>R</w:t>
            </w:r>
            <w:r w:rsidR="001707DC" w:rsidRPr="00EC09F6">
              <w:t>ate per year</w:t>
            </w:r>
          </w:p>
        </w:tc>
      </w:tr>
      <w:tr w:rsidR="00EC09F6" w:rsidRPr="00EC09F6" w:rsidTr="00252AB2">
        <w:tc>
          <w:tcPr>
            <w:tcW w:w="1134" w:type="dxa"/>
            <w:tcMar>
              <w:left w:w="28" w:type="dxa"/>
              <w:right w:w="28" w:type="dxa"/>
            </w:tcMar>
            <w:vAlign w:val="center"/>
          </w:tcPr>
          <w:p w:rsidR="001707DC" w:rsidRPr="00EC09F6" w:rsidRDefault="001707DC" w:rsidP="00062BED">
            <w:pPr>
              <w:pStyle w:val="Tabletext"/>
              <w:ind w:firstLine="131"/>
            </w:pPr>
            <w:r w:rsidRPr="00EC09F6">
              <w:rPr>
                <w:lang w:val="en-US"/>
              </w:rPr>
              <w:t>Study 588</w:t>
            </w:r>
          </w:p>
        </w:tc>
        <w:tc>
          <w:tcPr>
            <w:tcW w:w="4536" w:type="dxa"/>
            <w:tcMar>
              <w:left w:w="28" w:type="dxa"/>
              <w:right w:w="28" w:type="dxa"/>
            </w:tcMar>
          </w:tcPr>
          <w:p w:rsidR="001707DC" w:rsidRPr="00EC09F6" w:rsidRDefault="000F5169" w:rsidP="00062BED">
            <w:pPr>
              <w:pStyle w:val="Tabletext"/>
            </w:pPr>
            <w:r w:rsidRPr="00EC09F6">
              <w:t>Systemic corticosteroids ± hospitalisation ± ED visits</w:t>
            </w:r>
            <w:r w:rsidR="00252AB2" w:rsidRPr="00EC09F6">
              <w:t xml:space="preserve"> </w:t>
            </w:r>
            <w:r w:rsidR="00252AB2" w:rsidRPr="00EC09F6">
              <w:rPr>
                <w:vertAlign w:val="superscript"/>
              </w:rPr>
              <w:t>a</w:t>
            </w:r>
          </w:p>
        </w:tc>
        <w:tc>
          <w:tcPr>
            <w:tcW w:w="2676" w:type="dxa"/>
            <w:tcMar>
              <w:left w:w="28" w:type="dxa"/>
              <w:right w:w="28" w:type="dxa"/>
            </w:tcMar>
          </w:tcPr>
          <w:p w:rsidR="001707DC" w:rsidRPr="00EC09F6" w:rsidRDefault="00252AB2" w:rsidP="00062BED">
            <w:pPr>
              <w:pStyle w:val="Tabletext"/>
            </w:pPr>
            <w:r w:rsidRPr="00EC09F6">
              <w:t>R</w:t>
            </w:r>
            <w:r w:rsidR="001707DC" w:rsidRPr="00EC09F6">
              <w:t xml:space="preserve">ate per </w:t>
            </w:r>
            <w:r w:rsidRPr="00EC09F6">
              <w:t>year</w:t>
            </w:r>
          </w:p>
        </w:tc>
      </w:tr>
      <w:tr w:rsidR="00EC09F6" w:rsidRPr="00EC09F6" w:rsidTr="00252AB2">
        <w:tc>
          <w:tcPr>
            <w:tcW w:w="1134" w:type="dxa"/>
            <w:tcMar>
              <w:left w:w="28" w:type="dxa"/>
              <w:right w:w="28" w:type="dxa"/>
            </w:tcMar>
            <w:vAlign w:val="center"/>
          </w:tcPr>
          <w:p w:rsidR="001707DC" w:rsidRPr="00EC09F6" w:rsidRDefault="001707DC" w:rsidP="00062BED">
            <w:pPr>
              <w:pStyle w:val="Tabletext"/>
              <w:ind w:firstLine="131"/>
            </w:pPr>
            <w:r w:rsidRPr="00EC09F6">
              <w:rPr>
                <w:lang w:val="en-US"/>
              </w:rPr>
              <w:t>Study 997</w:t>
            </w:r>
          </w:p>
        </w:tc>
        <w:tc>
          <w:tcPr>
            <w:tcW w:w="4536" w:type="dxa"/>
            <w:tcMar>
              <w:left w:w="28" w:type="dxa"/>
              <w:right w:w="28" w:type="dxa"/>
            </w:tcMar>
          </w:tcPr>
          <w:p w:rsidR="001707DC" w:rsidRPr="00EC09F6" w:rsidRDefault="00CA56F9" w:rsidP="00062BED">
            <w:pPr>
              <w:pStyle w:val="Tabletext"/>
            </w:pPr>
            <w:r w:rsidRPr="00EC09F6">
              <w:t>O</w:t>
            </w:r>
            <w:r w:rsidR="001707DC" w:rsidRPr="00EC09F6">
              <w:t>ral/systemic corticosteroids ± hospitalisation ± ED visits</w:t>
            </w:r>
            <w:r w:rsidR="003935C8" w:rsidRPr="00EC09F6">
              <w:t xml:space="preserve"> </w:t>
            </w:r>
            <w:r w:rsidR="003935C8" w:rsidRPr="00EC09F6">
              <w:rPr>
                <w:vertAlign w:val="superscript"/>
              </w:rPr>
              <w:t>a</w:t>
            </w:r>
            <w:r w:rsidR="001707DC" w:rsidRPr="00EC09F6">
              <w:t xml:space="preserve"> </w:t>
            </w:r>
          </w:p>
        </w:tc>
        <w:tc>
          <w:tcPr>
            <w:tcW w:w="2676" w:type="dxa"/>
            <w:tcMar>
              <w:left w:w="28" w:type="dxa"/>
              <w:right w:w="28" w:type="dxa"/>
            </w:tcMar>
          </w:tcPr>
          <w:p w:rsidR="001707DC" w:rsidRPr="00EC09F6" w:rsidRDefault="000F5169" w:rsidP="00062BED">
            <w:pPr>
              <w:pStyle w:val="Tabletext"/>
            </w:pPr>
            <w:r w:rsidRPr="00EC09F6">
              <w:t>R</w:t>
            </w:r>
            <w:r w:rsidR="001707DC" w:rsidRPr="00EC09F6">
              <w:t>ate per year</w:t>
            </w:r>
          </w:p>
        </w:tc>
      </w:tr>
      <w:tr w:rsidR="00EC09F6" w:rsidRPr="00EC09F6" w:rsidTr="00252AB2">
        <w:tc>
          <w:tcPr>
            <w:tcW w:w="8346" w:type="dxa"/>
            <w:gridSpan w:val="3"/>
            <w:tcMar>
              <w:left w:w="28" w:type="dxa"/>
              <w:right w:w="28" w:type="dxa"/>
            </w:tcMar>
          </w:tcPr>
          <w:p w:rsidR="001707DC" w:rsidRPr="00EC09F6" w:rsidRDefault="001707DC" w:rsidP="001707DC">
            <w:pPr>
              <w:pStyle w:val="Tabletext"/>
              <w:rPr>
                <w:b/>
              </w:rPr>
            </w:pPr>
            <w:r w:rsidRPr="00EC09F6">
              <w:rPr>
                <w:b/>
              </w:rPr>
              <w:t>Omalizumab trials</w:t>
            </w:r>
            <w:r w:rsidR="003935C8" w:rsidRPr="00EC09F6">
              <w:rPr>
                <w:b/>
              </w:rPr>
              <w:t xml:space="preserve"> used for the indirect comparison</w:t>
            </w:r>
          </w:p>
        </w:tc>
      </w:tr>
      <w:tr w:rsidR="00EC09F6" w:rsidRPr="00EC09F6" w:rsidTr="00252AB2">
        <w:tc>
          <w:tcPr>
            <w:tcW w:w="1134" w:type="dxa"/>
            <w:tcMar>
              <w:left w:w="28" w:type="dxa"/>
              <w:right w:w="28" w:type="dxa"/>
            </w:tcMar>
            <w:vAlign w:val="center"/>
          </w:tcPr>
          <w:p w:rsidR="001707DC" w:rsidRPr="00EC09F6" w:rsidRDefault="001707DC" w:rsidP="00062BED">
            <w:pPr>
              <w:pStyle w:val="Tabletext"/>
              <w:ind w:firstLine="131"/>
            </w:pPr>
            <w:r w:rsidRPr="00EC09F6">
              <w:rPr>
                <w:lang w:val="en-US"/>
              </w:rPr>
              <w:t>INNOVATE</w:t>
            </w:r>
          </w:p>
        </w:tc>
        <w:tc>
          <w:tcPr>
            <w:tcW w:w="4536" w:type="dxa"/>
            <w:tcMar>
              <w:left w:w="28" w:type="dxa"/>
              <w:right w:w="28" w:type="dxa"/>
            </w:tcMar>
          </w:tcPr>
          <w:p w:rsidR="001707DC" w:rsidRPr="00EC09F6" w:rsidRDefault="001707DC" w:rsidP="001707DC">
            <w:pPr>
              <w:pStyle w:val="Tabletext"/>
            </w:pPr>
            <w:r w:rsidRPr="00EC09F6">
              <w:t>Systemic corticosteroids.</w:t>
            </w:r>
          </w:p>
        </w:tc>
        <w:tc>
          <w:tcPr>
            <w:tcW w:w="2676" w:type="dxa"/>
            <w:tcMar>
              <w:left w:w="28" w:type="dxa"/>
              <w:right w:w="28" w:type="dxa"/>
            </w:tcMar>
          </w:tcPr>
          <w:p w:rsidR="001707DC" w:rsidRPr="00EC09F6" w:rsidRDefault="000F5169" w:rsidP="001707DC">
            <w:pPr>
              <w:pStyle w:val="Tabletext"/>
            </w:pPr>
            <w:r w:rsidRPr="00EC09F6">
              <w:t>R</w:t>
            </w:r>
            <w:r w:rsidR="001707DC" w:rsidRPr="00EC09F6">
              <w:t>ate per 24 weeks</w:t>
            </w:r>
          </w:p>
        </w:tc>
      </w:tr>
      <w:tr w:rsidR="00EC09F6" w:rsidRPr="00EC09F6" w:rsidTr="00252AB2">
        <w:tc>
          <w:tcPr>
            <w:tcW w:w="1134" w:type="dxa"/>
            <w:tcMar>
              <w:left w:w="28" w:type="dxa"/>
              <w:right w:w="28" w:type="dxa"/>
            </w:tcMar>
            <w:vAlign w:val="center"/>
          </w:tcPr>
          <w:p w:rsidR="001707DC" w:rsidRPr="00EC09F6" w:rsidRDefault="001707DC" w:rsidP="00062BED">
            <w:pPr>
              <w:pStyle w:val="Tabletext"/>
              <w:ind w:firstLine="131"/>
            </w:pPr>
            <w:r w:rsidRPr="00EC09F6">
              <w:rPr>
                <w:lang w:val="en-US"/>
              </w:rPr>
              <w:t>EXTRA</w:t>
            </w:r>
          </w:p>
        </w:tc>
        <w:tc>
          <w:tcPr>
            <w:tcW w:w="4536" w:type="dxa"/>
            <w:tcMar>
              <w:left w:w="28" w:type="dxa"/>
              <w:right w:w="28" w:type="dxa"/>
            </w:tcMar>
          </w:tcPr>
          <w:p w:rsidR="001707DC" w:rsidRPr="00EC09F6" w:rsidRDefault="001707DC" w:rsidP="00062BED">
            <w:pPr>
              <w:pStyle w:val="Tabletext"/>
            </w:pPr>
            <w:r w:rsidRPr="00EC09F6">
              <w:t>Systemic corticosteroids.</w:t>
            </w:r>
          </w:p>
        </w:tc>
        <w:tc>
          <w:tcPr>
            <w:tcW w:w="2676" w:type="dxa"/>
            <w:tcMar>
              <w:left w:w="28" w:type="dxa"/>
              <w:right w:w="28" w:type="dxa"/>
            </w:tcMar>
          </w:tcPr>
          <w:p w:rsidR="001707DC" w:rsidRPr="00EC09F6" w:rsidRDefault="000F5169" w:rsidP="00062BED">
            <w:pPr>
              <w:pStyle w:val="Tabletext"/>
            </w:pPr>
            <w:r w:rsidRPr="00EC09F6">
              <w:t>R</w:t>
            </w:r>
            <w:r w:rsidR="001707DC" w:rsidRPr="00EC09F6">
              <w:t>ate per patient year</w:t>
            </w:r>
          </w:p>
        </w:tc>
      </w:tr>
    </w:tbl>
    <w:p w:rsidR="001707DC" w:rsidRPr="00594BFF" w:rsidRDefault="001707DC" w:rsidP="00252AB2">
      <w:pPr>
        <w:ind w:left="720"/>
        <w:rPr>
          <w:rFonts w:ascii="Arial Narrow" w:hAnsi="Arial Narrow"/>
          <w:sz w:val="18"/>
          <w:szCs w:val="18"/>
        </w:rPr>
      </w:pPr>
      <w:r w:rsidRPr="00594BFF">
        <w:rPr>
          <w:rFonts w:ascii="Arial Narrow" w:hAnsi="Arial Narrow"/>
          <w:sz w:val="18"/>
          <w:szCs w:val="18"/>
        </w:rPr>
        <w:t xml:space="preserve">Source: Section 4.6.2.1, p34 of Study 588 CSR; Section 4.6.2.1, p38 of Study 997 CSR; </w:t>
      </w:r>
      <w:r w:rsidR="00252AB2" w:rsidRPr="00594BFF">
        <w:rPr>
          <w:rFonts w:ascii="Arial Narrow" w:hAnsi="Arial Narrow"/>
          <w:sz w:val="18"/>
          <w:szCs w:val="18"/>
        </w:rPr>
        <w:t xml:space="preserve">Section 4.6.2.3, p32 of Study 575 CSR; </w:t>
      </w:r>
      <w:r w:rsidRPr="00594BFF">
        <w:rPr>
          <w:rFonts w:ascii="Arial Narrow" w:hAnsi="Arial Narrow"/>
          <w:sz w:val="18"/>
          <w:szCs w:val="18"/>
        </w:rPr>
        <w:t>and individual trial papers</w:t>
      </w:r>
    </w:p>
    <w:p w:rsidR="001707DC" w:rsidRPr="00EC09F6" w:rsidRDefault="00252AB2" w:rsidP="00062BED">
      <w:pPr>
        <w:ind w:firstLine="720"/>
        <w:rPr>
          <w:rFonts w:ascii="Arial Narrow" w:hAnsi="Arial Narrow"/>
          <w:sz w:val="18"/>
          <w:szCs w:val="18"/>
        </w:rPr>
      </w:pPr>
      <w:r w:rsidRPr="00EC09F6">
        <w:rPr>
          <w:rFonts w:ascii="Arial Narrow" w:hAnsi="Arial Narrow"/>
          <w:sz w:val="18"/>
          <w:szCs w:val="18"/>
        </w:rPr>
        <w:t>ED = emergency department; OCS = oral corticosteroid</w:t>
      </w:r>
    </w:p>
    <w:p w:rsidR="003935C8" w:rsidRPr="00EC09F6" w:rsidRDefault="003935C8" w:rsidP="00062BED">
      <w:pPr>
        <w:ind w:firstLine="720"/>
        <w:rPr>
          <w:rFonts w:ascii="Arial Narrow" w:hAnsi="Arial Narrow"/>
          <w:sz w:val="18"/>
          <w:szCs w:val="18"/>
        </w:rPr>
      </w:pPr>
      <w:r w:rsidRPr="00EC09F6">
        <w:rPr>
          <w:rFonts w:ascii="Arial Narrow" w:hAnsi="Arial Narrow"/>
          <w:sz w:val="18"/>
          <w:szCs w:val="18"/>
          <w:vertAlign w:val="superscript"/>
        </w:rPr>
        <w:t>a</w:t>
      </w:r>
      <w:r w:rsidRPr="00EC09F6">
        <w:rPr>
          <w:rFonts w:ascii="Arial Narrow" w:hAnsi="Arial Narrow"/>
          <w:sz w:val="18"/>
          <w:szCs w:val="18"/>
        </w:rPr>
        <w:t xml:space="preserve"> For patients receiving long-term OCS, an exacerbation was at least doubling of the existing maintenance dose for ≥</w:t>
      </w:r>
      <w:r w:rsidR="000F5169" w:rsidRPr="00EC09F6">
        <w:rPr>
          <w:rFonts w:ascii="Arial Narrow" w:hAnsi="Arial Narrow"/>
          <w:sz w:val="18"/>
          <w:szCs w:val="18"/>
        </w:rPr>
        <w:t xml:space="preserve"> </w:t>
      </w:r>
      <w:r w:rsidRPr="00EC09F6">
        <w:rPr>
          <w:rFonts w:ascii="Arial Narrow" w:hAnsi="Arial Narrow"/>
          <w:sz w:val="18"/>
          <w:szCs w:val="18"/>
        </w:rPr>
        <w:t>3 days</w:t>
      </w:r>
    </w:p>
    <w:p w:rsidR="001707DC" w:rsidRPr="00EC09F6" w:rsidRDefault="001707DC" w:rsidP="00062BED">
      <w:pPr>
        <w:pStyle w:val="PBACHeading1"/>
        <w:numPr>
          <w:ilvl w:val="0"/>
          <w:numId w:val="0"/>
        </w:numPr>
        <w:ind w:left="720"/>
      </w:pPr>
    </w:p>
    <w:p w:rsidR="00CA56F9" w:rsidRPr="00EC09F6" w:rsidRDefault="00CA56F9" w:rsidP="00986DCF">
      <w:pPr>
        <w:pStyle w:val="ListParagraph"/>
        <w:widowControl/>
        <w:numPr>
          <w:ilvl w:val="1"/>
          <w:numId w:val="2"/>
        </w:numPr>
        <w:rPr>
          <w:szCs w:val="22"/>
        </w:rPr>
      </w:pPr>
      <w:r w:rsidRPr="00EC09F6">
        <w:rPr>
          <w:szCs w:val="22"/>
        </w:rPr>
        <w:t>The definition</w:t>
      </w:r>
      <w:r w:rsidR="00252AB2" w:rsidRPr="00EC09F6">
        <w:rPr>
          <w:szCs w:val="22"/>
        </w:rPr>
        <w:t>s</w:t>
      </w:r>
      <w:r w:rsidRPr="00EC09F6">
        <w:rPr>
          <w:szCs w:val="22"/>
        </w:rPr>
        <w:t xml:space="preserve"> for clinic</w:t>
      </w:r>
      <w:r w:rsidR="00252AB2" w:rsidRPr="00EC09F6">
        <w:rPr>
          <w:szCs w:val="22"/>
        </w:rPr>
        <w:t xml:space="preserve">ally significant exacerbations </w:t>
      </w:r>
      <w:r w:rsidRPr="00EC09F6">
        <w:rPr>
          <w:szCs w:val="22"/>
        </w:rPr>
        <w:t>differe</w:t>
      </w:r>
      <w:r w:rsidR="00252AB2" w:rsidRPr="00EC09F6">
        <w:rPr>
          <w:szCs w:val="22"/>
        </w:rPr>
        <w:t>d</w:t>
      </w:r>
      <w:r w:rsidRPr="00EC09F6">
        <w:rPr>
          <w:szCs w:val="22"/>
        </w:rPr>
        <w:t xml:space="preserve"> between the trials</w:t>
      </w:r>
      <w:r w:rsidR="00252AB2" w:rsidRPr="00EC09F6">
        <w:rPr>
          <w:szCs w:val="22"/>
        </w:rPr>
        <w:t>;</w:t>
      </w:r>
      <w:r w:rsidRPr="00EC09F6">
        <w:rPr>
          <w:szCs w:val="22"/>
        </w:rPr>
        <w:t xml:space="preserve"> with </w:t>
      </w:r>
      <w:r w:rsidR="00252AB2" w:rsidRPr="00EC09F6">
        <w:rPr>
          <w:szCs w:val="22"/>
        </w:rPr>
        <w:t>t</w:t>
      </w:r>
      <w:r w:rsidRPr="00EC09F6">
        <w:rPr>
          <w:szCs w:val="22"/>
        </w:rPr>
        <w:t xml:space="preserve">he use of systemic corticosteroids </w:t>
      </w:r>
      <w:r w:rsidR="00252AB2" w:rsidRPr="00EC09F6">
        <w:rPr>
          <w:szCs w:val="22"/>
        </w:rPr>
        <w:t xml:space="preserve">the only requirement in </w:t>
      </w:r>
      <w:r w:rsidR="003935C8" w:rsidRPr="00EC09F6">
        <w:rPr>
          <w:szCs w:val="22"/>
        </w:rPr>
        <w:t>the</w:t>
      </w:r>
      <w:r w:rsidRPr="00EC09F6">
        <w:rPr>
          <w:szCs w:val="22"/>
        </w:rPr>
        <w:t xml:space="preserve"> omalizumab trials, compared to the use of systemic corticosteroids and/or hospitalisation and/or emergency department visits </w:t>
      </w:r>
      <w:r w:rsidR="00252AB2" w:rsidRPr="00EC09F6">
        <w:rPr>
          <w:szCs w:val="22"/>
        </w:rPr>
        <w:t>in</w:t>
      </w:r>
      <w:r w:rsidRPr="00EC09F6">
        <w:rPr>
          <w:szCs w:val="22"/>
        </w:rPr>
        <w:t xml:space="preserve"> the mepolizumab trials. Further</w:t>
      </w:r>
      <w:r w:rsidR="00252AB2" w:rsidRPr="00EC09F6">
        <w:rPr>
          <w:szCs w:val="22"/>
        </w:rPr>
        <w:t>,</w:t>
      </w:r>
      <w:r w:rsidRPr="00EC09F6">
        <w:rPr>
          <w:szCs w:val="22"/>
        </w:rPr>
        <w:t xml:space="preserve"> the exacerbation rates were expressed inconsistently </w:t>
      </w:r>
      <w:r w:rsidR="003935C8" w:rsidRPr="00EC09F6">
        <w:rPr>
          <w:szCs w:val="22"/>
        </w:rPr>
        <w:t>between</w:t>
      </w:r>
      <w:r w:rsidRPr="00EC09F6">
        <w:rPr>
          <w:szCs w:val="22"/>
        </w:rPr>
        <w:t xml:space="preserve"> the trials.</w:t>
      </w:r>
    </w:p>
    <w:p w:rsidR="00B60939" w:rsidRPr="00EC09F6" w:rsidRDefault="004A01D4" w:rsidP="00B60939">
      <w:pPr>
        <w:rPr>
          <w:szCs w:val="22"/>
        </w:rPr>
      </w:pPr>
      <w:r w:rsidRPr="00EC09F6">
        <w:tab/>
      </w:r>
    </w:p>
    <w:p w:rsidR="00B60939" w:rsidRPr="00EC09F6" w:rsidRDefault="00B60939" w:rsidP="002C2775">
      <w:pPr>
        <w:pStyle w:val="Heading2"/>
        <w:rPr>
          <w:i/>
        </w:rPr>
      </w:pPr>
      <w:bookmarkStart w:id="8" w:name="_Toc440887137"/>
      <w:r w:rsidRPr="00EC09F6">
        <w:rPr>
          <w:i/>
        </w:rPr>
        <w:t>Comparative effectiveness</w:t>
      </w:r>
      <w:bookmarkEnd w:id="8"/>
    </w:p>
    <w:p w:rsidR="00B60939" w:rsidRPr="00EC09F6" w:rsidRDefault="00B60939" w:rsidP="00B60939">
      <w:pPr>
        <w:rPr>
          <w:szCs w:val="22"/>
        </w:rPr>
      </w:pPr>
    </w:p>
    <w:p w:rsidR="008A6838" w:rsidRPr="00EC09F6" w:rsidRDefault="00642B27" w:rsidP="00062BED">
      <w:pPr>
        <w:pStyle w:val="ListParagraph"/>
        <w:widowControl/>
        <w:rPr>
          <w:szCs w:val="22"/>
          <w:u w:val="single"/>
        </w:rPr>
      </w:pPr>
      <w:r w:rsidRPr="00EC09F6">
        <w:rPr>
          <w:szCs w:val="22"/>
          <w:u w:val="single"/>
        </w:rPr>
        <w:t>Direct comparison of m</w:t>
      </w:r>
      <w:r w:rsidR="008A6838" w:rsidRPr="00EC09F6">
        <w:rPr>
          <w:szCs w:val="22"/>
          <w:u w:val="single"/>
        </w:rPr>
        <w:t xml:space="preserve">epolizumab versus </w:t>
      </w:r>
      <w:r w:rsidRPr="00EC09F6">
        <w:rPr>
          <w:szCs w:val="22"/>
          <w:u w:val="single"/>
        </w:rPr>
        <w:t>s</w:t>
      </w:r>
      <w:r w:rsidR="008A6838" w:rsidRPr="00EC09F6">
        <w:rPr>
          <w:szCs w:val="22"/>
          <w:u w:val="single"/>
        </w:rPr>
        <w:t xml:space="preserve">tandard of </w:t>
      </w:r>
      <w:r w:rsidRPr="00EC09F6">
        <w:rPr>
          <w:szCs w:val="22"/>
          <w:u w:val="single"/>
        </w:rPr>
        <w:t>c</w:t>
      </w:r>
      <w:r w:rsidR="008A6838" w:rsidRPr="00EC09F6">
        <w:rPr>
          <w:szCs w:val="22"/>
          <w:u w:val="single"/>
        </w:rPr>
        <w:t>are</w:t>
      </w:r>
    </w:p>
    <w:p w:rsidR="00642B27" w:rsidRPr="00EC09F6" w:rsidRDefault="00642B27" w:rsidP="00062BED">
      <w:pPr>
        <w:pStyle w:val="ListParagraph"/>
        <w:widowControl/>
        <w:rPr>
          <w:szCs w:val="22"/>
          <w:u w:val="single"/>
        </w:rPr>
      </w:pPr>
    </w:p>
    <w:p w:rsidR="007F1017" w:rsidRPr="00EC09F6" w:rsidRDefault="00484EED" w:rsidP="00986DCF">
      <w:pPr>
        <w:pStyle w:val="ListParagraph"/>
        <w:widowControl/>
        <w:numPr>
          <w:ilvl w:val="1"/>
          <w:numId w:val="2"/>
        </w:numPr>
        <w:rPr>
          <w:szCs w:val="22"/>
        </w:rPr>
      </w:pPr>
      <w:r w:rsidRPr="00EC09F6">
        <w:rPr>
          <w:szCs w:val="22"/>
        </w:rPr>
        <w:t>The submission presented number and frequency of clinically significant exacerbations as the primary efficacy outcome.</w:t>
      </w:r>
      <w:r w:rsidR="00CA56F9" w:rsidRPr="00EC09F6">
        <w:rPr>
          <w:szCs w:val="22"/>
        </w:rPr>
        <w:t xml:space="preserve"> The results for the comparison with standard </w:t>
      </w:r>
      <w:r w:rsidR="008C021B" w:rsidRPr="00EC09F6">
        <w:rPr>
          <w:szCs w:val="22"/>
        </w:rPr>
        <w:t>of care are presented below</w:t>
      </w:r>
      <w:r w:rsidR="00CA56F9" w:rsidRPr="00EC09F6">
        <w:rPr>
          <w:szCs w:val="22"/>
        </w:rPr>
        <w:t>.</w:t>
      </w:r>
    </w:p>
    <w:p w:rsidR="00C06FEC" w:rsidRDefault="00C06FEC">
      <w:pPr>
        <w:widowControl/>
        <w:jc w:val="left"/>
        <w:rPr>
          <w:szCs w:val="22"/>
        </w:rPr>
      </w:pPr>
      <w:r>
        <w:rPr>
          <w:szCs w:val="22"/>
        </w:rPr>
        <w:br w:type="page"/>
      </w:r>
    </w:p>
    <w:p w:rsidR="00484EED" w:rsidRPr="00EC09F6" w:rsidRDefault="00484EED" w:rsidP="00484EED">
      <w:pPr>
        <w:pStyle w:val="ListParagraph"/>
        <w:widowControl/>
        <w:rPr>
          <w:szCs w:val="22"/>
        </w:rPr>
      </w:pPr>
    </w:p>
    <w:p w:rsidR="008137A9" w:rsidRPr="00EC09F6" w:rsidRDefault="008137A9" w:rsidP="00642B27">
      <w:pPr>
        <w:pStyle w:val="TableFooter"/>
        <w:keepNext/>
        <w:ind w:left="720"/>
        <w:rPr>
          <w:rStyle w:val="CommentReference"/>
        </w:rPr>
      </w:pPr>
      <w:r w:rsidRPr="00EC09F6">
        <w:rPr>
          <w:rStyle w:val="CommentReference"/>
        </w:rPr>
        <w:t xml:space="preserve">Table </w:t>
      </w:r>
      <w:r w:rsidR="00642B27" w:rsidRPr="00EC09F6">
        <w:rPr>
          <w:rStyle w:val="CommentReference"/>
        </w:rPr>
        <w:t>5</w:t>
      </w:r>
      <w:r w:rsidRPr="00EC09F6">
        <w:rPr>
          <w:rStyle w:val="CommentReference"/>
        </w:rPr>
        <w:t xml:space="preserve">: Yearly rate of clinically significant exacerbations in the mepolizumab randomised trials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567"/>
        <w:gridCol w:w="1134"/>
        <w:gridCol w:w="567"/>
        <w:gridCol w:w="1134"/>
        <w:gridCol w:w="567"/>
        <w:gridCol w:w="1134"/>
        <w:gridCol w:w="1417"/>
      </w:tblGrid>
      <w:tr w:rsidR="00EC09F6" w:rsidRPr="00EC09F6" w:rsidTr="00642B27">
        <w:trPr>
          <w:trHeight w:val="20"/>
          <w:tblHeader/>
        </w:trPr>
        <w:tc>
          <w:tcPr>
            <w:tcW w:w="1843" w:type="dxa"/>
            <w:vMerge w:val="restart"/>
            <w:shd w:val="clear" w:color="auto" w:fill="auto"/>
            <w:noWrap/>
            <w:vAlign w:val="bottom"/>
            <w:hideMark/>
          </w:tcPr>
          <w:p w:rsidR="008137A9" w:rsidRPr="00EC09F6" w:rsidRDefault="008137A9" w:rsidP="00665CFF">
            <w:pPr>
              <w:pStyle w:val="Tabletext"/>
              <w:rPr>
                <w:lang w:val="en-GB" w:eastAsia="en-GB"/>
              </w:rPr>
            </w:pPr>
          </w:p>
        </w:tc>
        <w:tc>
          <w:tcPr>
            <w:tcW w:w="1701" w:type="dxa"/>
            <w:gridSpan w:val="2"/>
            <w:shd w:val="clear" w:color="auto" w:fill="auto"/>
            <w:vAlign w:val="center"/>
            <w:hideMark/>
          </w:tcPr>
          <w:p w:rsidR="008137A9" w:rsidRPr="00EC09F6" w:rsidRDefault="008137A9" w:rsidP="00665CFF">
            <w:pPr>
              <w:pStyle w:val="Tabletext"/>
              <w:jc w:val="center"/>
              <w:rPr>
                <w:b/>
                <w:bCs/>
                <w:lang w:val="en-GB" w:eastAsia="en-GB"/>
              </w:rPr>
            </w:pPr>
            <w:r w:rsidRPr="00EC09F6">
              <w:rPr>
                <w:b/>
                <w:bCs/>
                <w:lang w:eastAsia="en-GB"/>
              </w:rPr>
              <w:t>MEPO 100 mg SC</w:t>
            </w:r>
          </w:p>
        </w:tc>
        <w:tc>
          <w:tcPr>
            <w:tcW w:w="1701" w:type="dxa"/>
            <w:gridSpan w:val="2"/>
            <w:shd w:val="clear" w:color="auto" w:fill="auto"/>
            <w:vAlign w:val="center"/>
            <w:hideMark/>
          </w:tcPr>
          <w:p w:rsidR="008137A9" w:rsidRPr="00EC09F6" w:rsidRDefault="008137A9" w:rsidP="00665CFF">
            <w:pPr>
              <w:pStyle w:val="Tabletext"/>
              <w:jc w:val="center"/>
              <w:rPr>
                <w:b/>
                <w:bCs/>
                <w:lang w:val="en-GB" w:eastAsia="en-GB"/>
              </w:rPr>
            </w:pPr>
            <w:r w:rsidRPr="00EC09F6">
              <w:rPr>
                <w:b/>
                <w:bCs/>
                <w:lang w:eastAsia="en-GB"/>
              </w:rPr>
              <w:t>MEPO 75 mg IV</w:t>
            </w:r>
          </w:p>
        </w:tc>
        <w:tc>
          <w:tcPr>
            <w:tcW w:w="1701" w:type="dxa"/>
            <w:gridSpan w:val="2"/>
            <w:shd w:val="clear" w:color="auto" w:fill="auto"/>
            <w:vAlign w:val="center"/>
            <w:hideMark/>
          </w:tcPr>
          <w:p w:rsidR="008137A9" w:rsidRPr="00EC09F6" w:rsidRDefault="008137A9" w:rsidP="00665CFF">
            <w:pPr>
              <w:pStyle w:val="Tabletext"/>
              <w:jc w:val="center"/>
              <w:rPr>
                <w:b/>
                <w:bCs/>
                <w:lang w:val="en-GB" w:eastAsia="en-GB"/>
              </w:rPr>
            </w:pPr>
            <w:r w:rsidRPr="00EC09F6">
              <w:rPr>
                <w:b/>
                <w:bCs/>
                <w:lang w:eastAsia="en-GB"/>
              </w:rPr>
              <w:t>SOC</w:t>
            </w:r>
          </w:p>
        </w:tc>
        <w:tc>
          <w:tcPr>
            <w:tcW w:w="1417" w:type="dxa"/>
            <w:vMerge w:val="restart"/>
            <w:shd w:val="clear" w:color="auto" w:fill="auto"/>
            <w:vAlign w:val="center"/>
            <w:hideMark/>
          </w:tcPr>
          <w:p w:rsidR="008137A9" w:rsidRPr="00EC09F6" w:rsidRDefault="008137A9" w:rsidP="00665CFF">
            <w:pPr>
              <w:pStyle w:val="Tabletext"/>
              <w:jc w:val="center"/>
              <w:rPr>
                <w:b/>
                <w:lang w:eastAsia="en-GB"/>
              </w:rPr>
            </w:pPr>
            <w:r w:rsidRPr="00EC09F6">
              <w:rPr>
                <w:b/>
                <w:lang w:eastAsia="en-GB"/>
              </w:rPr>
              <w:t xml:space="preserve">RR, </w:t>
            </w:r>
          </w:p>
          <w:p w:rsidR="008137A9" w:rsidRPr="00EC09F6" w:rsidRDefault="008137A9" w:rsidP="00665CFF">
            <w:pPr>
              <w:pStyle w:val="Tabletext"/>
              <w:jc w:val="center"/>
              <w:rPr>
                <w:b/>
                <w:lang w:eastAsia="en-GB"/>
              </w:rPr>
            </w:pPr>
            <w:r w:rsidRPr="00EC09F6">
              <w:rPr>
                <w:b/>
                <w:lang w:eastAsia="en-GB"/>
              </w:rPr>
              <w:t xml:space="preserve"> (95% CI)</w:t>
            </w:r>
          </w:p>
        </w:tc>
      </w:tr>
      <w:tr w:rsidR="00EC09F6" w:rsidRPr="00EC09F6" w:rsidTr="00642B27">
        <w:trPr>
          <w:trHeight w:val="20"/>
          <w:tblHeader/>
        </w:trPr>
        <w:tc>
          <w:tcPr>
            <w:tcW w:w="1843" w:type="dxa"/>
            <w:vMerge/>
            <w:shd w:val="clear" w:color="auto" w:fill="auto"/>
            <w:vAlign w:val="center"/>
            <w:hideMark/>
          </w:tcPr>
          <w:p w:rsidR="008137A9" w:rsidRPr="00EC09F6" w:rsidRDefault="008137A9" w:rsidP="00665CFF">
            <w:pPr>
              <w:pStyle w:val="Tabletext"/>
              <w:rPr>
                <w:lang w:val="en-GB" w:eastAsia="en-GB"/>
              </w:rPr>
            </w:pPr>
          </w:p>
        </w:tc>
        <w:tc>
          <w:tcPr>
            <w:tcW w:w="567" w:type="dxa"/>
            <w:shd w:val="clear" w:color="auto" w:fill="auto"/>
            <w:vAlign w:val="center"/>
            <w:hideMark/>
          </w:tcPr>
          <w:p w:rsidR="008137A9" w:rsidRPr="00EC09F6" w:rsidRDefault="008137A9" w:rsidP="00665CFF">
            <w:pPr>
              <w:pStyle w:val="Tabletext"/>
              <w:jc w:val="center"/>
              <w:rPr>
                <w:b/>
                <w:lang w:val="en-GB" w:eastAsia="en-GB"/>
              </w:rPr>
            </w:pPr>
            <w:r w:rsidRPr="00EC09F6">
              <w:rPr>
                <w:b/>
                <w:lang w:eastAsia="en-GB"/>
              </w:rPr>
              <w:t>N</w:t>
            </w:r>
          </w:p>
        </w:tc>
        <w:tc>
          <w:tcPr>
            <w:tcW w:w="1134" w:type="dxa"/>
            <w:shd w:val="clear" w:color="auto" w:fill="auto"/>
            <w:vAlign w:val="center"/>
            <w:hideMark/>
          </w:tcPr>
          <w:p w:rsidR="008137A9" w:rsidRPr="00EC09F6" w:rsidRDefault="00642B27" w:rsidP="00CC1104">
            <w:pPr>
              <w:pStyle w:val="Tabletext"/>
              <w:jc w:val="center"/>
              <w:rPr>
                <w:b/>
                <w:lang w:val="en-GB" w:eastAsia="en-GB"/>
              </w:rPr>
            </w:pPr>
            <w:r w:rsidRPr="00EC09F6">
              <w:rPr>
                <w:b/>
                <w:lang w:eastAsia="en-GB"/>
              </w:rPr>
              <w:t>R</w:t>
            </w:r>
            <w:r w:rsidR="008137A9" w:rsidRPr="00EC09F6">
              <w:rPr>
                <w:b/>
                <w:lang w:eastAsia="en-GB"/>
              </w:rPr>
              <w:t>ate/y</w:t>
            </w:r>
            <w:r w:rsidR="00CC1104" w:rsidRPr="00EC09F6">
              <w:rPr>
                <w:b/>
                <w:lang w:eastAsia="en-GB"/>
              </w:rPr>
              <w:t>ear</w:t>
            </w:r>
          </w:p>
        </w:tc>
        <w:tc>
          <w:tcPr>
            <w:tcW w:w="567" w:type="dxa"/>
            <w:shd w:val="clear" w:color="auto" w:fill="auto"/>
            <w:vAlign w:val="center"/>
            <w:hideMark/>
          </w:tcPr>
          <w:p w:rsidR="008137A9" w:rsidRPr="00EC09F6" w:rsidRDefault="008137A9" w:rsidP="00665CFF">
            <w:pPr>
              <w:pStyle w:val="Tabletext"/>
              <w:jc w:val="center"/>
              <w:rPr>
                <w:b/>
                <w:lang w:val="en-GB" w:eastAsia="en-GB"/>
              </w:rPr>
            </w:pPr>
            <w:r w:rsidRPr="00EC09F6">
              <w:rPr>
                <w:b/>
                <w:lang w:eastAsia="en-GB"/>
              </w:rPr>
              <w:t>N</w:t>
            </w:r>
          </w:p>
        </w:tc>
        <w:tc>
          <w:tcPr>
            <w:tcW w:w="1134" w:type="dxa"/>
            <w:shd w:val="clear" w:color="auto" w:fill="auto"/>
            <w:vAlign w:val="center"/>
            <w:hideMark/>
          </w:tcPr>
          <w:p w:rsidR="008137A9" w:rsidRPr="00EC09F6" w:rsidRDefault="00642B27" w:rsidP="00642B27">
            <w:pPr>
              <w:pStyle w:val="Tabletext"/>
              <w:jc w:val="center"/>
              <w:rPr>
                <w:b/>
                <w:lang w:val="en-GB" w:eastAsia="en-GB"/>
              </w:rPr>
            </w:pPr>
            <w:r w:rsidRPr="00EC09F6">
              <w:rPr>
                <w:b/>
                <w:lang w:eastAsia="en-GB"/>
              </w:rPr>
              <w:t>Rate/y</w:t>
            </w:r>
            <w:r w:rsidR="00CC1104" w:rsidRPr="00EC09F6">
              <w:rPr>
                <w:b/>
                <w:lang w:eastAsia="en-GB"/>
              </w:rPr>
              <w:t>ea</w:t>
            </w:r>
            <w:r w:rsidRPr="00EC09F6">
              <w:rPr>
                <w:b/>
                <w:lang w:eastAsia="en-GB"/>
              </w:rPr>
              <w:t>r</w:t>
            </w:r>
          </w:p>
        </w:tc>
        <w:tc>
          <w:tcPr>
            <w:tcW w:w="567" w:type="dxa"/>
            <w:shd w:val="clear" w:color="auto" w:fill="auto"/>
            <w:vAlign w:val="center"/>
            <w:hideMark/>
          </w:tcPr>
          <w:p w:rsidR="008137A9" w:rsidRPr="00EC09F6" w:rsidRDefault="008137A9" w:rsidP="00665CFF">
            <w:pPr>
              <w:pStyle w:val="Tabletext"/>
              <w:jc w:val="center"/>
              <w:rPr>
                <w:b/>
                <w:lang w:val="en-GB" w:eastAsia="en-GB"/>
              </w:rPr>
            </w:pPr>
            <w:r w:rsidRPr="00EC09F6">
              <w:rPr>
                <w:b/>
                <w:lang w:eastAsia="en-GB"/>
              </w:rPr>
              <w:t>N</w:t>
            </w:r>
          </w:p>
        </w:tc>
        <w:tc>
          <w:tcPr>
            <w:tcW w:w="1134" w:type="dxa"/>
            <w:shd w:val="clear" w:color="auto" w:fill="auto"/>
            <w:vAlign w:val="center"/>
            <w:hideMark/>
          </w:tcPr>
          <w:p w:rsidR="008137A9" w:rsidRPr="00EC09F6" w:rsidRDefault="00642B27" w:rsidP="00665CFF">
            <w:pPr>
              <w:pStyle w:val="Tabletext"/>
              <w:jc w:val="center"/>
              <w:rPr>
                <w:b/>
                <w:lang w:val="en-GB" w:eastAsia="en-GB"/>
              </w:rPr>
            </w:pPr>
            <w:r w:rsidRPr="00EC09F6">
              <w:rPr>
                <w:b/>
                <w:lang w:eastAsia="en-GB"/>
              </w:rPr>
              <w:t>Rate/y</w:t>
            </w:r>
            <w:r w:rsidR="00CC1104" w:rsidRPr="00EC09F6">
              <w:rPr>
                <w:b/>
                <w:lang w:eastAsia="en-GB"/>
              </w:rPr>
              <w:t>ea</w:t>
            </w:r>
            <w:r w:rsidR="008137A9" w:rsidRPr="00EC09F6">
              <w:rPr>
                <w:b/>
                <w:lang w:eastAsia="en-GB"/>
              </w:rPr>
              <w:t>r</w:t>
            </w:r>
          </w:p>
        </w:tc>
        <w:tc>
          <w:tcPr>
            <w:tcW w:w="1417" w:type="dxa"/>
            <w:vMerge/>
            <w:shd w:val="clear" w:color="auto" w:fill="auto"/>
            <w:vAlign w:val="center"/>
            <w:hideMark/>
          </w:tcPr>
          <w:p w:rsidR="008137A9" w:rsidRPr="00EC09F6" w:rsidRDefault="008137A9" w:rsidP="00665CFF">
            <w:pPr>
              <w:pStyle w:val="Tabletext"/>
              <w:jc w:val="center"/>
              <w:rPr>
                <w:b/>
                <w:lang w:val="en-GB" w:eastAsia="en-GB"/>
              </w:rPr>
            </w:pPr>
          </w:p>
        </w:tc>
      </w:tr>
      <w:tr w:rsidR="00EC09F6" w:rsidRPr="00EC09F6" w:rsidTr="00642B27">
        <w:trPr>
          <w:trHeight w:val="20"/>
        </w:trPr>
        <w:tc>
          <w:tcPr>
            <w:tcW w:w="8363" w:type="dxa"/>
            <w:gridSpan w:val="8"/>
            <w:shd w:val="clear" w:color="auto" w:fill="auto"/>
            <w:vAlign w:val="center"/>
          </w:tcPr>
          <w:p w:rsidR="008137A9" w:rsidRPr="00EC09F6" w:rsidRDefault="008137A9" w:rsidP="00642B27">
            <w:pPr>
              <w:pStyle w:val="Tabletext"/>
              <w:rPr>
                <w:b/>
                <w:bCs/>
                <w:lang w:eastAsia="en-GB"/>
              </w:rPr>
            </w:pPr>
            <w:r w:rsidRPr="00EC09F6">
              <w:rPr>
                <w:b/>
                <w:bCs/>
                <w:lang w:eastAsia="en-GB"/>
              </w:rPr>
              <w:t>Main analysis: E</w:t>
            </w:r>
            <w:r w:rsidRPr="00EC09F6">
              <w:rPr>
                <w:b/>
                <w:szCs w:val="18"/>
              </w:rPr>
              <w:t>osinophil</w:t>
            </w:r>
            <w:r w:rsidR="00642B27" w:rsidRPr="00EC09F6">
              <w:rPr>
                <w:b/>
                <w:szCs w:val="18"/>
              </w:rPr>
              <w:t>s</w:t>
            </w:r>
            <w:r w:rsidRPr="00EC09F6">
              <w:rPr>
                <w:b/>
                <w:szCs w:val="18"/>
              </w:rPr>
              <w:t xml:space="preserve"> of ≥ 150 cells/µL in the 6 weeks prior to screening</w:t>
            </w:r>
            <w:r w:rsidR="00642B27" w:rsidRPr="00EC09F6">
              <w:rPr>
                <w:b/>
                <w:szCs w:val="18"/>
              </w:rPr>
              <w:t xml:space="preserve"> or </w:t>
            </w:r>
            <w:r w:rsidRPr="00EC09F6">
              <w:rPr>
                <w:b/>
                <w:szCs w:val="18"/>
              </w:rPr>
              <w:t>≥ 300 cells/µL in the 12 months prior to screening</w:t>
            </w:r>
            <w:r w:rsidR="003E0047" w:rsidRPr="00EC09F6">
              <w:rPr>
                <w:b/>
                <w:szCs w:val="18"/>
              </w:rPr>
              <w:t xml:space="preserve"> (</w:t>
            </w:r>
            <w:r w:rsidR="00642B27" w:rsidRPr="00EC09F6">
              <w:rPr>
                <w:b/>
                <w:szCs w:val="18"/>
              </w:rPr>
              <w:t xml:space="preserve">as per </w:t>
            </w:r>
            <w:r w:rsidR="003E0047" w:rsidRPr="00EC09F6">
              <w:rPr>
                <w:b/>
                <w:szCs w:val="18"/>
              </w:rPr>
              <w:t>proposed TGA indication)</w:t>
            </w:r>
          </w:p>
        </w:tc>
      </w:tr>
      <w:tr w:rsidR="00EC09F6" w:rsidRPr="00EC09F6" w:rsidTr="00642B27">
        <w:trPr>
          <w:trHeight w:val="20"/>
        </w:trPr>
        <w:tc>
          <w:tcPr>
            <w:tcW w:w="8363" w:type="dxa"/>
            <w:gridSpan w:val="8"/>
            <w:shd w:val="clear" w:color="auto" w:fill="auto"/>
            <w:vAlign w:val="center"/>
          </w:tcPr>
          <w:p w:rsidR="008137A9" w:rsidRPr="00EC09F6" w:rsidRDefault="008137A9" w:rsidP="00062BED">
            <w:pPr>
              <w:pStyle w:val="Tabletext"/>
              <w:ind w:firstLine="142"/>
              <w:rPr>
                <w:b/>
                <w:lang w:eastAsia="en-GB"/>
              </w:rPr>
            </w:pPr>
            <w:r w:rsidRPr="00EC09F6">
              <w:rPr>
                <w:b/>
                <w:bCs/>
                <w:lang w:eastAsia="en-GB"/>
              </w:rPr>
              <w:t>Trial duration: 24-32 weeks</w:t>
            </w:r>
          </w:p>
        </w:tc>
      </w:tr>
      <w:tr w:rsidR="00EC09F6" w:rsidRPr="00EC09F6" w:rsidTr="00642B27">
        <w:trPr>
          <w:trHeight w:val="20"/>
        </w:trPr>
        <w:tc>
          <w:tcPr>
            <w:tcW w:w="1843" w:type="dxa"/>
            <w:vMerge w:val="restart"/>
            <w:shd w:val="clear" w:color="auto" w:fill="auto"/>
            <w:vAlign w:val="center"/>
            <w:hideMark/>
          </w:tcPr>
          <w:p w:rsidR="008137A9" w:rsidRPr="00EC09F6" w:rsidRDefault="008137A9" w:rsidP="00642B27">
            <w:pPr>
              <w:pStyle w:val="Tabletext"/>
              <w:rPr>
                <w:bCs/>
                <w:lang w:val="en-GB" w:eastAsia="en-GB"/>
              </w:rPr>
            </w:pPr>
            <w:r w:rsidRPr="00EC09F6">
              <w:rPr>
                <w:bCs/>
                <w:lang w:eastAsia="en-GB"/>
              </w:rPr>
              <w:t xml:space="preserve">Study 588 </w:t>
            </w:r>
            <w:r w:rsidR="00642B27" w:rsidRPr="00EC09F6">
              <w:rPr>
                <w:bCs/>
                <w:lang w:eastAsia="en-GB"/>
              </w:rPr>
              <w:t xml:space="preserve">- </w:t>
            </w:r>
            <w:r w:rsidRPr="00EC09F6">
              <w:rPr>
                <w:bCs/>
                <w:lang w:eastAsia="en-GB"/>
              </w:rPr>
              <w:t>ITT</w:t>
            </w:r>
            <w:r w:rsidR="00642B27" w:rsidRPr="00EC09F6">
              <w:rPr>
                <w:bCs/>
                <w:lang w:eastAsia="en-GB"/>
              </w:rPr>
              <w:t xml:space="preserve"> pop</w:t>
            </w:r>
          </w:p>
        </w:tc>
        <w:tc>
          <w:tcPr>
            <w:tcW w:w="56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194</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0.83</w:t>
            </w:r>
          </w:p>
        </w:tc>
        <w:tc>
          <w:tcPr>
            <w:tcW w:w="567" w:type="dxa"/>
            <w:shd w:val="clear" w:color="auto" w:fill="auto"/>
            <w:noWrap/>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1134" w:type="dxa"/>
            <w:shd w:val="clear" w:color="auto" w:fill="auto"/>
            <w:noWrap/>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567" w:type="dxa"/>
            <w:vMerge w:val="restart"/>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191</w:t>
            </w:r>
          </w:p>
        </w:tc>
        <w:tc>
          <w:tcPr>
            <w:tcW w:w="1134" w:type="dxa"/>
            <w:vMerge w:val="restart"/>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1.74</w:t>
            </w:r>
          </w:p>
        </w:tc>
        <w:tc>
          <w:tcPr>
            <w:tcW w:w="141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0.47 (0.35, 0.64)</w:t>
            </w:r>
          </w:p>
        </w:tc>
      </w:tr>
      <w:tr w:rsidR="00EC09F6" w:rsidRPr="00EC09F6" w:rsidTr="00642B27">
        <w:trPr>
          <w:trHeight w:val="20"/>
        </w:trPr>
        <w:tc>
          <w:tcPr>
            <w:tcW w:w="1843" w:type="dxa"/>
            <w:vMerge/>
            <w:shd w:val="clear" w:color="auto" w:fill="auto"/>
            <w:vAlign w:val="center"/>
            <w:hideMark/>
          </w:tcPr>
          <w:p w:rsidR="008137A9" w:rsidRPr="00EC09F6" w:rsidRDefault="008137A9" w:rsidP="00665CFF">
            <w:pPr>
              <w:pStyle w:val="Tabletext"/>
              <w:rPr>
                <w:bCs/>
                <w:lang w:val="en-GB" w:eastAsia="en-GB"/>
              </w:rPr>
            </w:pPr>
          </w:p>
        </w:tc>
        <w:tc>
          <w:tcPr>
            <w:tcW w:w="567" w:type="dxa"/>
            <w:shd w:val="clear" w:color="auto" w:fill="auto"/>
            <w:noWrap/>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56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191</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0.93</w:t>
            </w:r>
          </w:p>
        </w:tc>
        <w:tc>
          <w:tcPr>
            <w:tcW w:w="567" w:type="dxa"/>
            <w:vMerge/>
            <w:shd w:val="clear" w:color="auto" w:fill="auto"/>
            <w:vAlign w:val="center"/>
            <w:hideMark/>
          </w:tcPr>
          <w:p w:rsidR="008137A9" w:rsidRPr="00EC09F6" w:rsidRDefault="008137A9" w:rsidP="00665CFF">
            <w:pPr>
              <w:pStyle w:val="Tabletext"/>
              <w:jc w:val="center"/>
              <w:rPr>
                <w:lang w:val="en-GB" w:eastAsia="en-GB"/>
              </w:rPr>
            </w:pPr>
          </w:p>
        </w:tc>
        <w:tc>
          <w:tcPr>
            <w:tcW w:w="1134" w:type="dxa"/>
            <w:vMerge/>
            <w:shd w:val="clear" w:color="auto" w:fill="auto"/>
            <w:vAlign w:val="center"/>
            <w:hideMark/>
          </w:tcPr>
          <w:p w:rsidR="008137A9" w:rsidRPr="00EC09F6" w:rsidRDefault="008137A9" w:rsidP="00665CFF">
            <w:pPr>
              <w:pStyle w:val="Tabletext"/>
              <w:jc w:val="center"/>
              <w:rPr>
                <w:lang w:val="en-GB" w:eastAsia="en-GB"/>
              </w:rPr>
            </w:pPr>
          </w:p>
        </w:tc>
        <w:tc>
          <w:tcPr>
            <w:tcW w:w="141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0.53 (0.40, 0.72)</w:t>
            </w:r>
          </w:p>
        </w:tc>
      </w:tr>
      <w:tr w:rsidR="00EC09F6" w:rsidRPr="00EC09F6" w:rsidTr="00642B27">
        <w:trPr>
          <w:trHeight w:val="20"/>
        </w:trPr>
        <w:tc>
          <w:tcPr>
            <w:tcW w:w="1843" w:type="dxa"/>
            <w:shd w:val="clear" w:color="auto" w:fill="auto"/>
            <w:vAlign w:val="center"/>
            <w:hideMark/>
          </w:tcPr>
          <w:p w:rsidR="008137A9" w:rsidRPr="00EC09F6" w:rsidRDefault="008137A9" w:rsidP="009C42EF">
            <w:pPr>
              <w:pStyle w:val="Tabletext"/>
              <w:rPr>
                <w:bCs/>
                <w:lang w:val="en-GB" w:eastAsia="en-GB"/>
              </w:rPr>
            </w:pPr>
            <w:r w:rsidRPr="00EC09F6">
              <w:rPr>
                <w:bCs/>
                <w:lang w:eastAsia="en-GB"/>
              </w:rPr>
              <w:t>Study 575</w:t>
            </w:r>
            <w:r w:rsidR="00642B27" w:rsidRPr="00EC09F6">
              <w:rPr>
                <w:bCs/>
                <w:lang w:eastAsia="en-GB"/>
              </w:rPr>
              <w:t xml:space="preserve"> </w:t>
            </w:r>
            <w:r w:rsidR="009C42EF" w:rsidRPr="00EC09F6">
              <w:rPr>
                <w:bCs/>
                <w:lang w:eastAsia="en-GB"/>
              </w:rPr>
              <w:t>-</w:t>
            </w:r>
            <w:r w:rsidRPr="00EC09F6">
              <w:rPr>
                <w:bCs/>
                <w:lang w:eastAsia="en-GB"/>
              </w:rPr>
              <w:t xml:space="preserve"> ITT</w:t>
            </w:r>
            <w:r w:rsidR="00642B27" w:rsidRPr="00EC09F6">
              <w:rPr>
                <w:bCs/>
                <w:lang w:eastAsia="en-GB"/>
              </w:rPr>
              <w:t xml:space="preserve"> pop</w:t>
            </w:r>
          </w:p>
        </w:tc>
        <w:tc>
          <w:tcPr>
            <w:tcW w:w="56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69</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1.44</w:t>
            </w:r>
          </w:p>
        </w:tc>
        <w:tc>
          <w:tcPr>
            <w:tcW w:w="567" w:type="dxa"/>
            <w:shd w:val="clear" w:color="auto" w:fill="auto"/>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val="en-GB" w:eastAsia="en-GB"/>
              </w:rPr>
              <w:t>-</w:t>
            </w:r>
          </w:p>
        </w:tc>
        <w:tc>
          <w:tcPr>
            <w:tcW w:w="56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66</w:t>
            </w:r>
          </w:p>
        </w:tc>
        <w:tc>
          <w:tcPr>
            <w:tcW w:w="1134"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2.12</w:t>
            </w:r>
          </w:p>
        </w:tc>
        <w:tc>
          <w:tcPr>
            <w:tcW w:w="1417" w:type="dxa"/>
            <w:shd w:val="clear" w:color="auto" w:fill="auto"/>
            <w:vAlign w:val="center"/>
            <w:hideMark/>
          </w:tcPr>
          <w:p w:rsidR="008137A9" w:rsidRPr="00EC09F6" w:rsidRDefault="008137A9" w:rsidP="00665CFF">
            <w:pPr>
              <w:pStyle w:val="Tabletext"/>
              <w:jc w:val="center"/>
              <w:rPr>
                <w:lang w:val="en-GB" w:eastAsia="en-GB"/>
              </w:rPr>
            </w:pPr>
            <w:r w:rsidRPr="00EC09F6">
              <w:rPr>
                <w:lang w:eastAsia="en-GB"/>
              </w:rPr>
              <w:t>0.68 (0.47, 0.99)</w:t>
            </w:r>
          </w:p>
        </w:tc>
      </w:tr>
      <w:tr w:rsidR="00EC09F6" w:rsidRPr="00EC09F6" w:rsidTr="00642B27">
        <w:trPr>
          <w:trHeight w:val="20"/>
        </w:trPr>
        <w:tc>
          <w:tcPr>
            <w:tcW w:w="8363" w:type="dxa"/>
            <w:gridSpan w:val="8"/>
            <w:shd w:val="clear" w:color="auto" w:fill="auto"/>
            <w:vAlign w:val="center"/>
          </w:tcPr>
          <w:p w:rsidR="008137A9" w:rsidRPr="00EC09F6" w:rsidRDefault="008137A9" w:rsidP="00062BED">
            <w:pPr>
              <w:pStyle w:val="Tabletext"/>
              <w:ind w:firstLine="142"/>
              <w:rPr>
                <w:b/>
                <w:lang w:eastAsia="en-GB"/>
              </w:rPr>
            </w:pPr>
            <w:r w:rsidRPr="00EC09F6">
              <w:rPr>
                <w:b/>
                <w:bCs/>
                <w:lang w:eastAsia="en-GB"/>
              </w:rPr>
              <w:t>Trial duration: 52 weeks</w:t>
            </w:r>
          </w:p>
        </w:tc>
      </w:tr>
      <w:tr w:rsidR="00EC09F6" w:rsidRPr="00EC09F6" w:rsidTr="00642B27">
        <w:trPr>
          <w:trHeight w:val="20"/>
        </w:trPr>
        <w:tc>
          <w:tcPr>
            <w:tcW w:w="1843" w:type="dxa"/>
            <w:shd w:val="clear" w:color="auto" w:fill="auto"/>
            <w:vAlign w:val="center"/>
            <w:hideMark/>
          </w:tcPr>
          <w:p w:rsidR="008137A9" w:rsidRPr="00A16A18" w:rsidRDefault="008137A9" w:rsidP="008137A9">
            <w:pPr>
              <w:pStyle w:val="Tabletext"/>
              <w:rPr>
                <w:bCs/>
                <w:lang w:val="en-GB" w:eastAsia="en-GB"/>
              </w:rPr>
            </w:pPr>
            <w:r w:rsidRPr="00A16A18">
              <w:rPr>
                <w:bCs/>
                <w:lang w:eastAsia="en-GB"/>
              </w:rPr>
              <w:t>Study 997</w:t>
            </w:r>
            <w:r w:rsidR="00642B27" w:rsidRPr="00A16A18">
              <w:rPr>
                <w:bCs/>
                <w:lang w:eastAsia="en-GB"/>
              </w:rPr>
              <w:t>- S</w:t>
            </w:r>
            <w:r w:rsidRPr="00A16A18">
              <w:rPr>
                <w:bCs/>
                <w:lang w:eastAsia="en-GB"/>
              </w:rPr>
              <w:t>ubgroup</w:t>
            </w:r>
          </w:p>
        </w:tc>
        <w:tc>
          <w:tcPr>
            <w:tcW w:w="567" w:type="dxa"/>
            <w:shd w:val="clear" w:color="auto" w:fill="auto"/>
            <w:noWrap/>
            <w:vAlign w:val="center"/>
            <w:hideMark/>
          </w:tcPr>
          <w:p w:rsidR="008137A9" w:rsidRPr="00A16A18" w:rsidRDefault="008137A9" w:rsidP="00665CFF">
            <w:pPr>
              <w:pStyle w:val="Tabletext"/>
              <w:jc w:val="center"/>
              <w:rPr>
                <w:lang w:val="en-GB" w:eastAsia="en-GB"/>
              </w:rPr>
            </w:pPr>
            <w:r w:rsidRPr="00A16A18">
              <w:rPr>
                <w:lang w:val="en-GB" w:eastAsia="en-GB"/>
              </w:rPr>
              <w:t>-</w:t>
            </w:r>
          </w:p>
        </w:tc>
        <w:tc>
          <w:tcPr>
            <w:tcW w:w="1134" w:type="dxa"/>
            <w:shd w:val="clear" w:color="auto" w:fill="auto"/>
            <w:vAlign w:val="center"/>
            <w:hideMark/>
          </w:tcPr>
          <w:p w:rsidR="008137A9" w:rsidRPr="00A16A18" w:rsidRDefault="008137A9" w:rsidP="00665CFF">
            <w:pPr>
              <w:pStyle w:val="Tabletext"/>
              <w:jc w:val="center"/>
              <w:rPr>
                <w:i/>
                <w:iCs/>
                <w:lang w:val="en-GB" w:eastAsia="en-GB"/>
              </w:rPr>
            </w:pPr>
            <w:r w:rsidRPr="00A16A18">
              <w:rPr>
                <w:i/>
                <w:iCs/>
                <w:lang w:val="en-GB" w:eastAsia="en-GB"/>
              </w:rPr>
              <w:t>-</w:t>
            </w:r>
          </w:p>
        </w:tc>
        <w:tc>
          <w:tcPr>
            <w:tcW w:w="567" w:type="dxa"/>
            <w:shd w:val="clear" w:color="auto" w:fill="auto"/>
            <w:vAlign w:val="center"/>
            <w:hideMark/>
          </w:tcPr>
          <w:p w:rsidR="008137A9" w:rsidRPr="00A16A18" w:rsidRDefault="008137A9" w:rsidP="00665CFF">
            <w:pPr>
              <w:pStyle w:val="Tabletext"/>
              <w:keepNext/>
              <w:jc w:val="center"/>
            </w:pPr>
            <w:r w:rsidRPr="00A16A18">
              <w:t>126</w:t>
            </w:r>
          </w:p>
        </w:tc>
        <w:tc>
          <w:tcPr>
            <w:tcW w:w="1134" w:type="dxa"/>
            <w:shd w:val="clear" w:color="auto" w:fill="auto"/>
            <w:vAlign w:val="center"/>
            <w:hideMark/>
          </w:tcPr>
          <w:p w:rsidR="008137A9" w:rsidRPr="00A16A18" w:rsidRDefault="008137A9" w:rsidP="00665CFF">
            <w:pPr>
              <w:pStyle w:val="Tabletext"/>
              <w:jc w:val="center"/>
            </w:pPr>
            <w:r w:rsidRPr="00A16A18">
              <w:t>1.18</w:t>
            </w:r>
          </w:p>
        </w:tc>
        <w:tc>
          <w:tcPr>
            <w:tcW w:w="567" w:type="dxa"/>
            <w:shd w:val="clear" w:color="auto" w:fill="auto"/>
            <w:vAlign w:val="center"/>
            <w:hideMark/>
          </w:tcPr>
          <w:p w:rsidR="008137A9" w:rsidRPr="00A16A18" w:rsidRDefault="008137A9" w:rsidP="00665CFF">
            <w:pPr>
              <w:pStyle w:val="Tabletext"/>
              <w:keepNext/>
              <w:jc w:val="center"/>
            </w:pPr>
            <w:r w:rsidRPr="00A16A18">
              <w:t>137</w:t>
            </w:r>
          </w:p>
        </w:tc>
        <w:tc>
          <w:tcPr>
            <w:tcW w:w="1134" w:type="dxa"/>
            <w:shd w:val="clear" w:color="auto" w:fill="auto"/>
            <w:vAlign w:val="center"/>
            <w:hideMark/>
          </w:tcPr>
          <w:p w:rsidR="008137A9" w:rsidRPr="00A16A18" w:rsidRDefault="008137A9" w:rsidP="00665CFF">
            <w:pPr>
              <w:pStyle w:val="Tabletext"/>
              <w:jc w:val="center"/>
            </w:pPr>
            <w:r w:rsidRPr="00A16A18">
              <w:t>2.40</w:t>
            </w:r>
          </w:p>
        </w:tc>
        <w:tc>
          <w:tcPr>
            <w:tcW w:w="1417" w:type="dxa"/>
            <w:shd w:val="clear" w:color="auto" w:fill="auto"/>
            <w:vAlign w:val="center"/>
            <w:hideMark/>
          </w:tcPr>
          <w:p w:rsidR="008137A9" w:rsidRPr="00A16A18" w:rsidRDefault="008137A9" w:rsidP="00665CFF">
            <w:pPr>
              <w:pStyle w:val="Tabletext"/>
              <w:jc w:val="center"/>
              <w:rPr>
                <w:lang w:val="en-GB" w:eastAsia="en-GB"/>
              </w:rPr>
            </w:pPr>
            <w:r w:rsidRPr="00A16A18">
              <w:rPr>
                <w:lang w:eastAsia="en-GB"/>
              </w:rPr>
              <w:t>0.49 (0.35, 0.67)</w:t>
            </w:r>
          </w:p>
        </w:tc>
      </w:tr>
      <w:tr w:rsidR="00EC09F6" w:rsidRPr="00EC09F6" w:rsidTr="00642B27">
        <w:trPr>
          <w:trHeight w:val="20"/>
        </w:trPr>
        <w:tc>
          <w:tcPr>
            <w:tcW w:w="8363" w:type="dxa"/>
            <w:gridSpan w:val="8"/>
            <w:shd w:val="clear" w:color="auto" w:fill="auto"/>
            <w:vAlign w:val="center"/>
          </w:tcPr>
          <w:p w:rsidR="008137A9" w:rsidRPr="00A16A18" w:rsidRDefault="008137A9" w:rsidP="00F45906">
            <w:pPr>
              <w:pStyle w:val="Tabletext"/>
              <w:rPr>
                <w:b/>
                <w:i/>
                <w:lang w:eastAsia="en-GB"/>
              </w:rPr>
            </w:pPr>
            <w:r w:rsidRPr="00A16A18">
              <w:rPr>
                <w:b/>
                <w:szCs w:val="18"/>
              </w:rPr>
              <w:t>Subgroup: Eosinophil</w:t>
            </w:r>
            <w:r w:rsidR="00642B27" w:rsidRPr="00A16A18">
              <w:rPr>
                <w:b/>
                <w:szCs w:val="18"/>
              </w:rPr>
              <w:t>s</w:t>
            </w:r>
            <w:r w:rsidRPr="00A16A18">
              <w:rPr>
                <w:b/>
                <w:szCs w:val="18"/>
              </w:rPr>
              <w:t xml:space="preserve"> of ≥ 300 cells/µL in the 6 weeks prior to screening</w:t>
            </w:r>
            <w:r w:rsidR="003E0047" w:rsidRPr="00A16A18">
              <w:rPr>
                <w:b/>
                <w:szCs w:val="18"/>
              </w:rPr>
              <w:t xml:space="preserve"> (</w:t>
            </w:r>
            <w:r w:rsidR="00642B27" w:rsidRPr="00A16A18">
              <w:rPr>
                <w:b/>
                <w:szCs w:val="18"/>
              </w:rPr>
              <w:t xml:space="preserve">per </w:t>
            </w:r>
            <w:r w:rsidR="003E0047" w:rsidRPr="00A16A18">
              <w:rPr>
                <w:b/>
                <w:szCs w:val="18"/>
              </w:rPr>
              <w:t xml:space="preserve">proposed </w:t>
            </w:r>
            <w:r w:rsidR="00642B27" w:rsidRPr="00A16A18">
              <w:rPr>
                <w:b/>
                <w:szCs w:val="18"/>
              </w:rPr>
              <w:t xml:space="preserve">PBS </w:t>
            </w:r>
            <w:r w:rsidR="003E0047" w:rsidRPr="00A16A18">
              <w:rPr>
                <w:b/>
                <w:szCs w:val="18"/>
              </w:rPr>
              <w:t>restriction)</w:t>
            </w:r>
          </w:p>
        </w:tc>
      </w:tr>
      <w:tr w:rsidR="00EC09F6" w:rsidRPr="00EC09F6" w:rsidTr="00642B27">
        <w:trPr>
          <w:trHeight w:val="20"/>
        </w:trPr>
        <w:tc>
          <w:tcPr>
            <w:tcW w:w="1843" w:type="dxa"/>
            <w:vMerge w:val="restart"/>
            <w:shd w:val="clear" w:color="auto" w:fill="auto"/>
            <w:vAlign w:val="center"/>
          </w:tcPr>
          <w:p w:rsidR="008137A9" w:rsidRPr="00A16A18" w:rsidRDefault="00642B27" w:rsidP="008137A9">
            <w:pPr>
              <w:pStyle w:val="Tabletext"/>
              <w:rPr>
                <w:bCs/>
                <w:lang w:eastAsia="en-GB"/>
              </w:rPr>
            </w:pPr>
            <w:r w:rsidRPr="00A16A18">
              <w:rPr>
                <w:bCs/>
                <w:lang w:eastAsia="en-GB"/>
              </w:rPr>
              <w:t>Study 588</w:t>
            </w:r>
            <w:r w:rsidR="009C42EF" w:rsidRPr="00A16A18">
              <w:rPr>
                <w:bCs/>
                <w:lang w:eastAsia="en-GB"/>
              </w:rPr>
              <w:t xml:space="preserve"> </w:t>
            </w:r>
            <w:r w:rsidRPr="00A16A18">
              <w:rPr>
                <w:bCs/>
                <w:lang w:eastAsia="en-GB"/>
              </w:rPr>
              <w:t>-</w:t>
            </w:r>
            <w:r w:rsidR="009C42EF" w:rsidRPr="00A16A18">
              <w:rPr>
                <w:bCs/>
                <w:lang w:eastAsia="en-GB"/>
              </w:rPr>
              <w:t xml:space="preserve"> </w:t>
            </w:r>
            <w:r w:rsidRPr="00A16A18">
              <w:rPr>
                <w:bCs/>
                <w:lang w:eastAsia="en-GB"/>
              </w:rPr>
              <w:t>S</w:t>
            </w:r>
            <w:r w:rsidR="008137A9" w:rsidRPr="00A16A18">
              <w:rPr>
                <w:bCs/>
                <w:lang w:eastAsia="en-GB"/>
              </w:rPr>
              <w:t xml:space="preserve">ubgroup </w:t>
            </w:r>
          </w:p>
        </w:tc>
        <w:tc>
          <w:tcPr>
            <w:tcW w:w="567" w:type="dxa"/>
            <w:shd w:val="clear" w:color="auto" w:fill="auto"/>
            <w:vAlign w:val="center"/>
          </w:tcPr>
          <w:p w:rsidR="008137A9" w:rsidRPr="00A16A18" w:rsidRDefault="008137A9" w:rsidP="00665CFF">
            <w:pPr>
              <w:pStyle w:val="Tabletext"/>
              <w:jc w:val="center"/>
              <w:rPr>
                <w:lang w:eastAsia="en-GB"/>
              </w:rPr>
            </w:pPr>
            <w:r w:rsidRPr="00A16A18">
              <w:rPr>
                <w:lang w:eastAsia="en-GB"/>
              </w:rPr>
              <w:t>100</w:t>
            </w:r>
          </w:p>
        </w:tc>
        <w:tc>
          <w:tcPr>
            <w:tcW w:w="1134" w:type="dxa"/>
            <w:shd w:val="clear" w:color="auto" w:fill="auto"/>
            <w:vAlign w:val="center"/>
          </w:tcPr>
          <w:p w:rsidR="008137A9" w:rsidRPr="00A16A18" w:rsidRDefault="008137A9" w:rsidP="00665CFF">
            <w:pPr>
              <w:pStyle w:val="Tabletext"/>
              <w:jc w:val="center"/>
              <w:rPr>
                <w:lang w:eastAsia="en-GB"/>
              </w:rPr>
            </w:pPr>
            <w:r w:rsidRPr="00A16A18">
              <w:rPr>
                <w:lang w:eastAsia="en-GB"/>
              </w:rPr>
              <w:t>0.71</w:t>
            </w:r>
          </w:p>
        </w:tc>
        <w:tc>
          <w:tcPr>
            <w:tcW w:w="567" w:type="dxa"/>
            <w:shd w:val="clear" w:color="auto" w:fill="auto"/>
            <w:vAlign w:val="center"/>
          </w:tcPr>
          <w:p w:rsidR="008137A9" w:rsidRPr="00A16A18" w:rsidRDefault="008137A9" w:rsidP="00665CFF">
            <w:pPr>
              <w:pStyle w:val="Tabletext"/>
              <w:jc w:val="center"/>
              <w:rPr>
                <w:lang w:val="en-GB" w:eastAsia="en-GB"/>
              </w:rPr>
            </w:pPr>
            <w:r w:rsidRPr="00A16A18">
              <w:rPr>
                <w:lang w:val="en-GB" w:eastAsia="en-GB"/>
              </w:rPr>
              <w:t>-</w:t>
            </w:r>
          </w:p>
        </w:tc>
        <w:tc>
          <w:tcPr>
            <w:tcW w:w="1134" w:type="dxa"/>
            <w:shd w:val="clear" w:color="auto" w:fill="auto"/>
            <w:vAlign w:val="center"/>
          </w:tcPr>
          <w:p w:rsidR="008137A9" w:rsidRPr="00A16A18" w:rsidRDefault="008137A9" w:rsidP="00665CFF">
            <w:pPr>
              <w:pStyle w:val="Tabletext"/>
              <w:jc w:val="center"/>
              <w:rPr>
                <w:lang w:val="en-GB" w:eastAsia="en-GB"/>
              </w:rPr>
            </w:pPr>
            <w:r w:rsidRPr="00A16A18">
              <w:rPr>
                <w:lang w:val="en-GB" w:eastAsia="en-GB"/>
              </w:rPr>
              <w:t>-</w:t>
            </w:r>
          </w:p>
        </w:tc>
        <w:tc>
          <w:tcPr>
            <w:tcW w:w="567" w:type="dxa"/>
            <w:vMerge w:val="restart"/>
            <w:shd w:val="clear" w:color="auto" w:fill="auto"/>
            <w:vAlign w:val="center"/>
          </w:tcPr>
          <w:p w:rsidR="008137A9" w:rsidRPr="00A16A18" w:rsidRDefault="008137A9" w:rsidP="00665CFF">
            <w:pPr>
              <w:pStyle w:val="Tabletext"/>
              <w:jc w:val="center"/>
              <w:rPr>
                <w:lang w:eastAsia="en-GB"/>
              </w:rPr>
            </w:pPr>
            <w:r w:rsidRPr="00A16A18">
              <w:rPr>
                <w:lang w:eastAsia="en-GB"/>
              </w:rPr>
              <w:t>106</w:t>
            </w:r>
          </w:p>
        </w:tc>
        <w:tc>
          <w:tcPr>
            <w:tcW w:w="1134" w:type="dxa"/>
            <w:vMerge w:val="restart"/>
            <w:shd w:val="clear" w:color="auto" w:fill="auto"/>
            <w:vAlign w:val="center"/>
          </w:tcPr>
          <w:p w:rsidR="008137A9" w:rsidRPr="00A16A18" w:rsidRDefault="008137A9" w:rsidP="00665CFF">
            <w:pPr>
              <w:pStyle w:val="Tabletext"/>
              <w:jc w:val="center"/>
              <w:rPr>
                <w:lang w:eastAsia="en-GB"/>
              </w:rPr>
            </w:pPr>
            <w:r w:rsidRPr="00A16A18">
              <w:rPr>
                <w:lang w:eastAsia="en-GB"/>
              </w:rPr>
              <w:t>1.98</w:t>
            </w:r>
          </w:p>
        </w:tc>
        <w:tc>
          <w:tcPr>
            <w:tcW w:w="1417" w:type="dxa"/>
            <w:shd w:val="clear" w:color="auto" w:fill="auto"/>
            <w:vAlign w:val="center"/>
          </w:tcPr>
          <w:p w:rsidR="008137A9" w:rsidRPr="00A16A18" w:rsidRDefault="008137A9" w:rsidP="00665CFF">
            <w:pPr>
              <w:pStyle w:val="Tabletext"/>
              <w:jc w:val="center"/>
              <w:rPr>
                <w:lang w:eastAsia="en-GB"/>
              </w:rPr>
            </w:pPr>
            <w:r w:rsidRPr="00A16A18">
              <w:rPr>
                <w:lang w:eastAsia="en-GB"/>
              </w:rPr>
              <w:t>0.36 (0.24, 0.54)</w:t>
            </w:r>
          </w:p>
        </w:tc>
      </w:tr>
      <w:tr w:rsidR="00EC09F6" w:rsidRPr="00EC09F6" w:rsidTr="00642B27">
        <w:trPr>
          <w:trHeight w:val="20"/>
        </w:trPr>
        <w:tc>
          <w:tcPr>
            <w:tcW w:w="1843" w:type="dxa"/>
            <w:vMerge/>
            <w:shd w:val="clear" w:color="auto" w:fill="auto"/>
            <w:vAlign w:val="center"/>
          </w:tcPr>
          <w:p w:rsidR="008137A9" w:rsidRPr="00A16A18" w:rsidRDefault="008137A9" w:rsidP="00665CFF">
            <w:pPr>
              <w:pStyle w:val="Tabletext"/>
              <w:rPr>
                <w:bCs/>
                <w:lang w:eastAsia="en-GB"/>
              </w:rPr>
            </w:pPr>
          </w:p>
        </w:tc>
        <w:tc>
          <w:tcPr>
            <w:tcW w:w="567" w:type="dxa"/>
            <w:shd w:val="clear" w:color="auto" w:fill="auto"/>
            <w:vAlign w:val="center"/>
          </w:tcPr>
          <w:p w:rsidR="008137A9" w:rsidRPr="00A16A18" w:rsidRDefault="008137A9" w:rsidP="00665CFF">
            <w:pPr>
              <w:pStyle w:val="Tabletext"/>
              <w:jc w:val="center"/>
              <w:rPr>
                <w:lang w:eastAsia="en-GB"/>
              </w:rPr>
            </w:pPr>
            <w:r w:rsidRPr="00A16A18">
              <w:rPr>
                <w:lang w:eastAsia="en-GB"/>
              </w:rPr>
              <w:t>-</w:t>
            </w:r>
          </w:p>
        </w:tc>
        <w:tc>
          <w:tcPr>
            <w:tcW w:w="1134" w:type="dxa"/>
            <w:shd w:val="clear" w:color="auto" w:fill="auto"/>
            <w:vAlign w:val="center"/>
          </w:tcPr>
          <w:p w:rsidR="008137A9" w:rsidRPr="00A16A18" w:rsidRDefault="008137A9" w:rsidP="00665CFF">
            <w:pPr>
              <w:pStyle w:val="Tabletext"/>
              <w:jc w:val="center"/>
              <w:rPr>
                <w:lang w:eastAsia="en-GB"/>
              </w:rPr>
            </w:pPr>
            <w:r w:rsidRPr="00A16A18">
              <w:rPr>
                <w:lang w:eastAsia="en-GB"/>
              </w:rPr>
              <w:t>-</w:t>
            </w:r>
          </w:p>
        </w:tc>
        <w:tc>
          <w:tcPr>
            <w:tcW w:w="567" w:type="dxa"/>
            <w:shd w:val="clear" w:color="auto" w:fill="auto"/>
            <w:vAlign w:val="center"/>
          </w:tcPr>
          <w:p w:rsidR="008137A9" w:rsidRPr="00A16A18" w:rsidRDefault="008137A9" w:rsidP="00665CFF">
            <w:pPr>
              <w:pStyle w:val="Tabletext"/>
              <w:jc w:val="center"/>
              <w:rPr>
                <w:lang w:val="en-GB" w:eastAsia="en-GB"/>
              </w:rPr>
            </w:pPr>
            <w:r w:rsidRPr="00A16A18">
              <w:rPr>
                <w:lang w:val="en-GB" w:eastAsia="en-GB"/>
              </w:rPr>
              <w:t>102</w:t>
            </w:r>
          </w:p>
        </w:tc>
        <w:tc>
          <w:tcPr>
            <w:tcW w:w="1134" w:type="dxa"/>
            <w:shd w:val="clear" w:color="auto" w:fill="auto"/>
            <w:vAlign w:val="center"/>
          </w:tcPr>
          <w:p w:rsidR="008137A9" w:rsidRPr="00A16A18" w:rsidRDefault="008137A9" w:rsidP="00665CFF">
            <w:pPr>
              <w:pStyle w:val="Tabletext"/>
              <w:jc w:val="center"/>
              <w:rPr>
                <w:lang w:val="en-GB" w:eastAsia="en-GB"/>
              </w:rPr>
            </w:pPr>
            <w:r w:rsidRPr="00A16A18">
              <w:rPr>
                <w:lang w:val="en-GB" w:eastAsia="en-GB"/>
              </w:rPr>
              <w:t>0.85</w:t>
            </w:r>
          </w:p>
        </w:tc>
        <w:tc>
          <w:tcPr>
            <w:tcW w:w="567" w:type="dxa"/>
            <w:vMerge/>
            <w:shd w:val="clear" w:color="auto" w:fill="auto"/>
            <w:vAlign w:val="center"/>
          </w:tcPr>
          <w:p w:rsidR="008137A9" w:rsidRPr="00A16A18" w:rsidRDefault="008137A9" w:rsidP="00665CFF">
            <w:pPr>
              <w:pStyle w:val="Tabletext"/>
              <w:jc w:val="center"/>
              <w:rPr>
                <w:lang w:eastAsia="en-GB"/>
              </w:rPr>
            </w:pPr>
          </w:p>
        </w:tc>
        <w:tc>
          <w:tcPr>
            <w:tcW w:w="1134" w:type="dxa"/>
            <w:vMerge/>
            <w:shd w:val="clear" w:color="auto" w:fill="auto"/>
            <w:vAlign w:val="center"/>
          </w:tcPr>
          <w:p w:rsidR="008137A9" w:rsidRPr="00A16A18" w:rsidRDefault="008137A9" w:rsidP="00665CFF">
            <w:pPr>
              <w:pStyle w:val="Tabletext"/>
              <w:jc w:val="center"/>
              <w:rPr>
                <w:lang w:eastAsia="en-GB"/>
              </w:rPr>
            </w:pPr>
          </w:p>
        </w:tc>
        <w:tc>
          <w:tcPr>
            <w:tcW w:w="1417" w:type="dxa"/>
            <w:shd w:val="clear" w:color="auto" w:fill="auto"/>
            <w:vAlign w:val="center"/>
          </w:tcPr>
          <w:p w:rsidR="008137A9" w:rsidRPr="00A16A18" w:rsidRDefault="008137A9" w:rsidP="00665CFF">
            <w:pPr>
              <w:pStyle w:val="Tabletext"/>
              <w:jc w:val="center"/>
              <w:rPr>
                <w:lang w:eastAsia="en-GB"/>
              </w:rPr>
            </w:pPr>
            <w:r w:rsidRPr="00A16A18">
              <w:rPr>
                <w:lang w:eastAsia="en-GB"/>
              </w:rPr>
              <w:t>0.43 (0.29, 0.64)</w:t>
            </w:r>
          </w:p>
        </w:tc>
      </w:tr>
    </w:tbl>
    <w:p w:rsidR="008137A9" w:rsidRPr="00EC09F6" w:rsidRDefault="008137A9" w:rsidP="00642B27">
      <w:pPr>
        <w:pStyle w:val="TableFooter"/>
        <w:ind w:firstLine="720"/>
        <w:rPr>
          <w:i/>
          <w:szCs w:val="18"/>
        </w:rPr>
      </w:pPr>
      <w:r w:rsidRPr="00EC09F6">
        <w:rPr>
          <w:szCs w:val="18"/>
        </w:rPr>
        <w:t xml:space="preserve">Source: Tables 32-33, pp106-107 of the submission; </w:t>
      </w:r>
      <w:r w:rsidRPr="00EC09F6">
        <w:rPr>
          <w:i/>
          <w:szCs w:val="18"/>
        </w:rPr>
        <w:t>and Table 28, p89 of Study 997 CSR</w:t>
      </w:r>
    </w:p>
    <w:p w:rsidR="008137A9" w:rsidRPr="00EC09F6" w:rsidRDefault="008137A9" w:rsidP="00642B27">
      <w:pPr>
        <w:pStyle w:val="TableFooter"/>
        <w:ind w:left="720"/>
        <w:rPr>
          <w:szCs w:val="18"/>
        </w:rPr>
      </w:pPr>
      <w:r w:rsidRPr="00EC09F6">
        <w:rPr>
          <w:szCs w:val="18"/>
        </w:rPr>
        <w:t xml:space="preserve">CI = confidence interval; ITT = intention-to-treat; IV = intravenous; MEPO = mepolizumab; </w:t>
      </w:r>
      <w:r w:rsidR="00642B27" w:rsidRPr="00EC09F6">
        <w:rPr>
          <w:szCs w:val="18"/>
        </w:rPr>
        <w:t xml:space="preserve">PBS = Pharmaceutical Benefits Scheme; </w:t>
      </w:r>
      <w:r w:rsidR="007550BD" w:rsidRPr="00EC09F6">
        <w:rPr>
          <w:szCs w:val="18"/>
        </w:rPr>
        <w:t xml:space="preserve">pop = population; </w:t>
      </w:r>
      <w:r w:rsidRPr="00EC09F6">
        <w:rPr>
          <w:szCs w:val="18"/>
        </w:rPr>
        <w:t>RR = rate ratio; SC = subcutaneous; SOC = standard of care</w:t>
      </w:r>
      <w:r w:rsidR="00642B27" w:rsidRPr="00EC09F6">
        <w:rPr>
          <w:szCs w:val="18"/>
        </w:rPr>
        <w:t>; TGA = Therapeutic Goods Administration</w:t>
      </w:r>
    </w:p>
    <w:p w:rsidR="00CA56F9" w:rsidRPr="00EC09F6" w:rsidRDefault="00CA56F9" w:rsidP="004756C1">
      <w:pPr>
        <w:pStyle w:val="TableFooter"/>
        <w:ind w:left="720"/>
      </w:pPr>
    </w:p>
    <w:p w:rsidR="00CA56F9" w:rsidRPr="00EC09F6" w:rsidRDefault="00CA56F9" w:rsidP="00986DCF">
      <w:pPr>
        <w:pStyle w:val="ListParagraph"/>
        <w:widowControl/>
        <w:numPr>
          <w:ilvl w:val="1"/>
          <w:numId w:val="2"/>
        </w:numPr>
        <w:rPr>
          <w:szCs w:val="22"/>
        </w:rPr>
      </w:pPr>
      <w:r w:rsidRPr="00EC09F6">
        <w:rPr>
          <w:szCs w:val="22"/>
        </w:rPr>
        <w:t xml:space="preserve">The </w:t>
      </w:r>
      <w:r w:rsidR="00642B27" w:rsidRPr="00EC09F6">
        <w:rPr>
          <w:szCs w:val="22"/>
        </w:rPr>
        <w:t>exacerbation rates were</w:t>
      </w:r>
      <w:r w:rsidRPr="00EC09F6">
        <w:rPr>
          <w:szCs w:val="22"/>
        </w:rPr>
        <w:t xml:space="preserve"> significantly lower in the mepolizumab arms of the trials compared to the standard of care arms</w:t>
      </w:r>
      <w:r w:rsidR="003E0047" w:rsidRPr="00EC09F6">
        <w:rPr>
          <w:szCs w:val="22"/>
        </w:rPr>
        <w:t xml:space="preserve"> (ITT population</w:t>
      </w:r>
      <w:r w:rsidR="00642B27" w:rsidRPr="00EC09F6">
        <w:rPr>
          <w:szCs w:val="22"/>
        </w:rPr>
        <w:t>s and subgroup analyses</w:t>
      </w:r>
      <w:r w:rsidR="003E0047" w:rsidRPr="00EC09F6">
        <w:rPr>
          <w:szCs w:val="22"/>
        </w:rPr>
        <w:t>)</w:t>
      </w:r>
      <w:r w:rsidRPr="00EC09F6">
        <w:rPr>
          <w:szCs w:val="22"/>
        </w:rPr>
        <w:t xml:space="preserve">. </w:t>
      </w:r>
    </w:p>
    <w:p w:rsidR="00CA56F9" w:rsidRPr="00EC09F6" w:rsidRDefault="00CA56F9" w:rsidP="00062BED">
      <w:pPr>
        <w:pStyle w:val="ListParagraph"/>
        <w:widowControl/>
        <w:rPr>
          <w:szCs w:val="22"/>
        </w:rPr>
      </w:pPr>
    </w:p>
    <w:p w:rsidR="00CA56F9" w:rsidRPr="00E759E5" w:rsidRDefault="00CA56F9" w:rsidP="00986DCF">
      <w:pPr>
        <w:pStyle w:val="ListParagraph"/>
        <w:widowControl/>
        <w:numPr>
          <w:ilvl w:val="1"/>
          <w:numId w:val="2"/>
        </w:numPr>
        <w:rPr>
          <w:szCs w:val="22"/>
        </w:rPr>
      </w:pPr>
      <w:r w:rsidRPr="00EC09F6">
        <w:rPr>
          <w:szCs w:val="22"/>
        </w:rPr>
        <w:t xml:space="preserve">The submission stated that </w:t>
      </w:r>
      <w:r w:rsidR="001A7204" w:rsidRPr="00EC09F6">
        <w:rPr>
          <w:szCs w:val="22"/>
        </w:rPr>
        <w:t xml:space="preserve">the </w:t>
      </w:r>
      <w:r w:rsidRPr="00EC09F6">
        <w:rPr>
          <w:szCs w:val="22"/>
        </w:rPr>
        <w:t xml:space="preserve">subgroup analysis of patients from Study 588 with a baseline eosinophil count of ≥ 300 cells/µL in the six weeks prior to screening </w:t>
      </w:r>
      <w:r w:rsidRPr="00E759E5">
        <w:rPr>
          <w:szCs w:val="22"/>
        </w:rPr>
        <w:t xml:space="preserve">confirmed that the relative efficacy of mepolizumab was increased. </w:t>
      </w:r>
      <w:r w:rsidR="00961F48" w:rsidRPr="00E759E5">
        <w:rPr>
          <w:szCs w:val="22"/>
        </w:rPr>
        <w:t>B</w:t>
      </w:r>
      <w:r w:rsidRPr="00E759E5">
        <w:rPr>
          <w:szCs w:val="22"/>
        </w:rPr>
        <w:t xml:space="preserve">aseline characteristics for this subgroup </w:t>
      </w:r>
      <w:r w:rsidR="00961F48" w:rsidRPr="00E759E5">
        <w:rPr>
          <w:szCs w:val="22"/>
        </w:rPr>
        <w:t xml:space="preserve">were not provided in the submission </w:t>
      </w:r>
      <w:r w:rsidRPr="00E759E5">
        <w:rPr>
          <w:szCs w:val="22"/>
        </w:rPr>
        <w:t xml:space="preserve">and successful randomisation could not be confirmed. </w:t>
      </w:r>
      <w:r w:rsidR="003935C8" w:rsidRPr="00E759E5">
        <w:rPr>
          <w:szCs w:val="22"/>
        </w:rPr>
        <w:t xml:space="preserve">Further, this analysis was not pre-specified. </w:t>
      </w:r>
      <w:r w:rsidR="00F40F73" w:rsidRPr="00E759E5">
        <w:rPr>
          <w:szCs w:val="22"/>
        </w:rPr>
        <w:t xml:space="preserve">The PSCR (p.1) presented a comparison of patient characteristics for the subgroup, arguing that it was unlikely that randomisation was affected. </w:t>
      </w:r>
      <w:r w:rsidR="00961F48" w:rsidRPr="00E759E5">
        <w:rPr>
          <w:szCs w:val="22"/>
        </w:rPr>
        <w:t>The ESC agreed that this was reasonable.</w:t>
      </w:r>
    </w:p>
    <w:p w:rsidR="008648BE" w:rsidRDefault="008648BE" w:rsidP="00B4507B">
      <w:pPr>
        <w:pStyle w:val="ListParagraph"/>
        <w:rPr>
          <w:szCs w:val="22"/>
        </w:rPr>
      </w:pPr>
    </w:p>
    <w:p w:rsidR="00B4507B" w:rsidRPr="006A633D" w:rsidRDefault="00B4507B" w:rsidP="00B4507B">
      <w:pPr>
        <w:pStyle w:val="ListParagraph"/>
        <w:rPr>
          <w:rFonts w:ascii="Arial Narrow" w:hAnsi="Arial Narrow"/>
          <w:b/>
          <w:sz w:val="20"/>
          <w:szCs w:val="22"/>
        </w:rPr>
      </w:pPr>
      <w:r w:rsidRPr="006A633D">
        <w:rPr>
          <w:rFonts w:ascii="Arial Narrow" w:hAnsi="Arial Narrow"/>
          <w:b/>
          <w:sz w:val="20"/>
          <w:szCs w:val="22"/>
        </w:rPr>
        <w:t>Table 6: Study 588 baseline characteristics of patients with total blood eosinophils ≥300 cells/μL at baseline</w:t>
      </w:r>
    </w:p>
    <w:tbl>
      <w:tblPr>
        <w:tblStyle w:val="TableGrid"/>
        <w:tblW w:w="4524" w:type="pct"/>
        <w:tblInd w:w="817" w:type="dxa"/>
        <w:tblLook w:val="04A0" w:firstRow="1" w:lastRow="0" w:firstColumn="1" w:lastColumn="0" w:noHBand="0" w:noVBand="1"/>
        <w:tblCaption w:val="Table 6: Study 588 baseline characteristics of patients with total blood eosinophils ≥300 cells/μL at baseline"/>
      </w:tblPr>
      <w:tblGrid>
        <w:gridCol w:w="2977"/>
        <w:gridCol w:w="1691"/>
        <w:gridCol w:w="1994"/>
        <w:gridCol w:w="1701"/>
      </w:tblGrid>
      <w:tr w:rsidR="008648BE" w:rsidRPr="006A633D" w:rsidTr="00A242F1">
        <w:trPr>
          <w:tblHeader/>
        </w:trPr>
        <w:tc>
          <w:tcPr>
            <w:tcW w:w="1780" w:type="pct"/>
            <w:shd w:val="clear" w:color="auto" w:fill="D9D9D9" w:themeFill="background1" w:themeFillShade="D9"/>
            <w:vAlign w:val="center"/>
          </w:tcPr>
          <w:p w:rsidR="008648BE" w:rsidRPr="006A633D" w:rsidRDefault="008648BE" w:rsidP="00F46C5E">
            <w:pPr>
              <w:rPr>
                <w:rStyle w:val="TableText1"/>
                <w:sz w:val="20"/>
              </w:rPr>
            </w:pPr>
            <w:r w:rsidRPr="006A633D">
              <w:rPr>
                <w:rStyle w:val="TableText1"/>
                <w:b/>
                <w:sz w:val="20"/>
              </w:rPr>
              <w:t>Baseline characteristic</w:t>
            </w:r>
          </w:p>
        </w:tc>
        <w:tc>
          <w:tcPr>
            <w:tcW w:w="1011" w:type="pct"/>
            <w:shd w:val="clear" w:color="auto" w:fill="D9D9D9" w:themeFill="background1" w:themeFillShade="D9"/>
            <w:vAlign w:val="center"/>
          </w:tcPr>
          <w:p w:rsidR="008648BE" w:rsidRPr="006A633D" w:rsidRDefault="008648BE" w:rsidP="00F46C5E">
            <w:pPr>
              <w:jc w:val="center"/>
              <w:rPr>
                <w:rStyle w:val="TableText1"/>
                <w:b/>
                <w:sz w:val="20"/>
              </w:rPr>
            </w:pPr>
            <w:r w:rsidRPr="006A633D">
              <w:rPr>
                <w:rStyle w:val="TableText1"/>
                <w:b/>
                <w:sz w:val="20"/>
              </w:rPr>
              <w:t>Placebo</w:t>
            </w:r>
          </w:p>
        </w:tc>
        <w:tc>
          <w:tcPr>
            <w:tcW w:w="1192" w:type="pct"/>
            <w:shd w:val="clear" w:color="auto" w:fill="D9D9D9" w:themeFill="background1" w:themeFillShade="D9"/>
            <w:vAlign w:val="center"/>
          </w:tcPr>
          <w:p w:rsidR="008648BE" w:rsidRPr="006A633D" w:rsidRDefault="008648BE" w:rsidP="00F46C5E">
            <w:pPr>
              <w:jc w:val="center"/>
              <w:rPr>
                <w:rStyle w:val="TableText1"/>
                <w:b/>
                <w:sz w:val="20"/>
              </w:rPr>
            </w:pPr>
            <w:r w:rsidRPr="006A633D">
              <w:rPr>
                <w:rStyle w:val="TableText1"/>
                <w:b/>
                <w:sz w:val="20"/>
              </w:rPr>
              <w:t>MEPO 75 mg IV</w:t>
            </w:r>
          </w:p>
        </w:tc>
        <w:tc>
          <w:tcPr>
            <w:tcW w:w="1017" w:type="pct"/>
            <w:shd w:val="clear" w:color="auto" w:fill="D9D9D9" w:themeFill="background1" w:themeFillShade="D9"/>
            <w:vAlign w:val="center"/>
          </w:tcPr>
          <w:p w:rsidR="008648BE" w:rsidRPr="006A633D" w:rsidRDefault="008648BE" w:rsidP="00F46C5E">
            <w:pPr>
              <w:jc w:val="center"/>
              <w:rPr>
                <w:rStyle w:val="TableText1"/>
                <w:b/>
                <w:sz w:val="20"/>
              </w:rPr>
            </w:pPr>
            <w:r w:rsidRPr="006A633D">
              <w:rPr>
                <w:rStyle w:val="TableText1"/>
                <w:b/>
                <w:sz w:val="20"/>
              </w:rPr>
              <w:t>MEPO 100 mg SC</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N</w:t>
            </w:r>
          </w:p>
        </w:tc>
        <w:tc>
          <w:tcPr>
            <w:tcW w:w="1011"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192"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017"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Age, mean (SD) (years)</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 xml:space="preserve"> BMI, mean (SD) (kg/m2) </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Male gender, n (%)</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Race (%)</w:t>
            </w:r>
          </w:p>
        </w:tc>
        <w:tc>
          <w:tcPr>
            <w:tcW w:w="1011" w:type="pct"/>
            <w:vAlign w:val="center"/>
          </w:tcPr>
          <w:p w:rsidR="008648BE" w:rsidRPr="00A16A18" w:rsidRDefault="008648BE" w:rsidP="00F46C5E">
            <w:pPr>
              <w:jc w:val="center"/>
              <w:rPr>
                <w:rStyle w:val="TableText1"/>
                <w:sz w:val="20"/>
              </w:rPr>
            </w:pPr>
          </w:p>
        </w:tc>
        <w:tc>
          <w:tcPr>
            <w:tcW w:w="1192" w:type="pct"/>
            <w:vAlign w:val="center"/>
          </w:tcPr>
          <w:p w:rsidR="008648BE" w:rsidRPr="00A16A18" w:rsidRDefault="008648BE" w:rsidP="00F46C5E">
            <w:pPr>
              <w:jc w:val="center"/>
              <w:rPr>
                <w:rStyle w:val="TableText1"/>
                <w:sz w:val="20"/>
              </w:rPr>
            </w:pPr>
          </w:p>
        </w:tc>
        <w:tc>
          <w:tcPr>
            <w:tcW w:w="1017" w:type="pct"/>
            <w:vAlign w:val="center"/>
          </w:tcPr>
          <w:p w:rsidR="008648BE" w:rsidRPr="00A16A18" w:rsidRDefault="008648BE" w:rsidP="00F46C5E">
            <w:pPr>
              <w:jc w:val="center"/>
              <w:rPr>
                <w:rStyle w:val="TableText1"/>
                <w:sz w:val="20"/>
              </w:rPr>
            </w:pP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White</w:t>
            </w:r>
          </w:p>
        </w:tc>
        <w:tc>
          <w:tcPr>
            <w:tcW w:w="1011"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192"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017"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Asian</w:t>
            </w:r>
          </w:p>
        </w:tc>
        <w:tc>
          <w:tcPr>
            <w:tcW w:w="1011"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192"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017"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 xml:space="preserve">Other  </w:t>
            </w:r>
          </w:p>
        </w:tc>
        <w:tc>
          <w:tcPr>
            <w:tcW w:w="1011"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192"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c>
          <w:tcPr>
            <w:tcW w:w="1017" w:type="pct"/>
            <w:vAlign w:val="center"/>
          </w:tcPr>
          <w:p w:rsidR="008648BE" w:rsidRPr="0024101C" w:rsidRDefault="0024101C" w:rsidP="00F46C5E">
            <w:pPr>
              <w:jc w:val="center"/>
              <w:rPr>
                <w:rStyle w:val="TableText1"/>
                <w:sz w:val="20"/>
                <w:highlight w:val="black"/>
              </w:rPr>
            </w:pPr>
            <w:r>
              <w:rPr>
                <w:rStyle w:val="TableText1"/>
                <w:noProof/>
                <w:color w:val="000000"/>
                <w:sz w:val="20"/>
                <w:highlight w:val="black"/>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Never smoked, n (%)</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Smoked, n (%)</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w:t>
            </w:r>
            <w:r w:rsidR="008648BE" w:rsidRPr="00A16A18">
              <w:rPr>
                <w:rStyle w:val="TableText1"/>
                <w:sz w:val="20"/>
              </w:rPr>
              <w:t xml:space="preserve"> (</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Style w:val="TableText1"/>
                <w:sz w:val="20"/>
              </w:rPr>
            </w:pPr>
            <w:r w:rsidRPr="00A16A18">
              <w:rPr>
                <w:rStyle w:val="TableText1"/>
                <w:sz w:val="20"/>
              </w:rPr>
              <w:t xml:space="preserve">Mean duration of asthma, years </w:t>
            </w:r>
            <w:r w:rsidRPr="00A16A18">
              <w:rPr>
                <w:rFonts w:ascii="Arial Narrow" w:hAnsi="Arial Narrow"/>
                <w:sz w:val="20"/>
              </w:rPr>
              <w:t>(SD)</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Fonts w:ascii="Arial Narrow" w:hAnsi="Arial Narrow"/>
                <w:sz w:val="20"/>
              </w:rPr>
            </w:pPr>
            <w:r w:rsidRPr="00A16A18">
              <w:rPr>
                <w:rFonts w:ascii="Arial Narrow" w:hAnsi="Arial Narrow"/>
                <w:sz w:val="20"/>
              </w:rPr>
              <w:t>Mean exacerbations in the previous year (SD)</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r w:rsidR="008648BE" w:rsidRPr="006A633D" w:rsidTr="008648BE">
        <w:tc>
          <w:tcPr>
            <w:tcW w:w="1780" w:type="pct"/>
            <w:vAlign w:val="center"/>
          </w:tcPr>
          <w:p w:rsidR="008648BE" w:rsidRPr="00A16A18" w:rsidRDefault="008648BE" w:rsidP="00F46C5E">
            <w:pPr>
              <w:rPr>
                <w:rFonts w:ascii="Arial Narrow" w:hAnsi="Arial Narrow"/>
                <w:sz w:val="20"/>
              </w:rPr>
            </w:pPr>
            <w:r w:rsidRPr="00A16A18">
              <w:rPr>
                <w:rStyle w:val="TableText1"/>
                <w:sz w:val="20"/>
              </w:rPr>
              <w:t xml:space="preserve">Pre-bronchodilator % predicted FEV1, mean (SD) </w:t>
            </w:r>
          </w:p>
        </w:tc>
        <w:tc>
          <w:tcPr>
            <w:tcW w:w="1011" w:type="pct"/>
            <w:vAlign w:val="center"/>
          </w:tcPr>
          <w:p w:rsidR="008648BE" w:rsidRPr="00A16A18" w:rsidRDefault="0024101C" w:rsidP="00F46C5E">
            <w:pPr>
              <w:jc w:val="center"/>
              <w:rPr>
                <w:rStyle w:val="TableText1"/>
                <w:sz w:val="20"/>
              </w:rPr>
            </w:pPr>
            <w:r>
              <w:rPr>
                <w:rStyle w:val="TableText1"/>
                <w:noProof/>
                <w:color w:val="000000"/>
                <w:sz w:val="20"/>
                <w:highlight w:val="black"/>
              </w:rPr>
              <w:t>''''''''''</w:t>
            </w:r>
            <w:r w:rsidR="008648BE" w:rsidRPr="00A16A18">
              <w:rPr>
                <w:rStyle w:val="TableText1"/>
                <w:sz w:val="20"/>
              </w:rPr>
              <w:t xml:space="preserve"> (</w:t>
            </w:r>
            <w:r>
              <w:rPr>
                <w:rStyle w:val="TableText1"/>
                <w:noProof/>
                <w:color w:val="000000"/>
                <w:sz w:val="20"/>
                <w:highlight w:val="black"/>
              </w:rPr>
              <w:t>''''''''''''</w:t>
            </w:r>
            <w:r w:rsidR="008648BE" w:rsidRPr="00A16A18">
              <w:rPr>
                <w:rStyle w:val="TableText1"/>
                <w:sz w:val="20"/>
              </w:rPr>
              <w:t>)</w:t>
            </w:r>
          </w:p>
        </w:tc>
        <w:tc>
          <w:tcPr>
            <w:tcW w:w="1192"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c>
          <w:tcPr>
            <w:tcW w:w="1017" w:type="pct"/>
            <w:vAlign w:val="center"/>
          </w:tcPr>
          <w:p w:rsidR="008648BE" w:rsidRPr="00A16A18" w:rsidRDefault="0024101C" w:rsidP="00F46C5E">
            <w:pPr>
              <w:jc w:val="center"/>
              <w:rPr>
                <w:rStyle w:val="TableText1"/>
                <w:sz w:val="20"/>
              </w:rPr>
            </w:pPr>
            <w:r>
              <w:rPr>
                <w:rStyle w:val="TableText1"/>
                <w:noProof/>
                <w:color w:val="000000"/>
                <w:sz w:val="20"/>
                <w:highlight w:val="black"/>
              </w:rPr>
              <w:t xml:space="preserve">'''''''''' </w:t>
            </w:r>
            <w:r w:rsidR="008648BE" w:rsidRPr="00A16A18">
              <w:rPr>
                <w:rStyle w:val="TableText1"/>
                <w:sz w:val="20"/>
              </w:rPr>
              <w:t>(</w:t>
            </w:r>
            <w:r>
              <w:rPr>
                <w:rStyle w:val="TableText1"/>
                <w:noProof/>
                <w:color w:val="000000"/>
                <w:sz w:val="20"/>
                <w:highlight w:val="black"/>
              </w:rPr>
              <w:t>''''''''''''</w:t>
            </w:r>
            <w:r w:rsidR="008648BE" w:rsidRPr="00A16A18">
              <w:rPr>
                <w:rStyle w:val="TableText1"/>
                <w:sz w:val="20"/>
              </w:rPr>
              <w:t>)</w:t>
            </w:r>
          </w:p>
        </w:tc>
      </w:tr>
    </w:tbl>
    <w:p w:rsidR="008648BE" w:rsidRPr="006A633D" w:rsidRDefault="00B4507B" w:rsidP="00B4507B">
      <w:pPr>
        <w:pStyle w:val="ListParagraph"/>
        <w:widowControl/>
        <w:rPr>
          <w:rFonts w:ascii="Arial Narrow" w:hAnsi="Arial Narrow"/>
          <w:sz w:val="18"/>
          <w:szCs w:val="22"/>
        </w:rPr>
      </w:pPr>
      <w:r w:rsidRPr="006A633D">
        <w:rPr>
          <w:rFonts w:ascii="Arial Narrow" w:hAnsi="Arial Narrow"/>
          <w:sz w:val="18"/>
          <w:szCs w:val="22"/>
        </w:rPr>
        <w:t>Source: mepolizumab Pre-Sub-Committee Response, p.1</w:t>
      </w:r>
    </w:p>
    <w:p w:rsidR="00C06FEC" w:rsidRDefault="00C06FEC">
      <w:pPr>
        <w:widowControl/>
        <w:jc w:val="left"/>
        <w:rPr>
          <w:szCs w:val="22"/>
        </w:rPr>
      </w:pPr>
      <w:r>
        <w:rPr>
          <w:szCs w:val="22"/>
        </w:rPr>
        <w:br w:type="page"/>
      </w:r>
    </w:p>
    <w:p w:rsidR="003935C8" w:rsidRPr="006A633D" w:rsidRDefault="003935C8" w:rsidP="00062BED">
      <w:pPr>
        <w:pStyle w:val="ListParagraph"/>
        <w:widowControl/>
        <w:rPr>
          <w:szCs w:val="22"/>
        </w:rPr>
      </w:pPr>
    </w:p>
    <w:p w:rsidR="008A6838" w:rsidRPr="00EC09F6" w:rsidRDefault="008A6838" w:rsidP="00062BED">
      <w:pPr>
        <w:pStyle w:val="ListParagraph"/>
        <w:rPr>
          <w:szCs w:val="22"/>
          <w:u w:val="single"/>
        </w:rPr>
      </w:pPr>
      <w:r w:rsidRPr="00EC09F6">
        <w:rPr>
          <w:szCs w:val="22"/>
          <w:u w:val="single"/>
        </w:rPr>
        <w:t xml:space="preserve">Indirect comparison </w:t>
      </w:r>
      <w:r w:rsidR="001A7204" w:rsidRPr="00EC09F6">
        <w:rPr>
          <w:szCs w:val="22"/>
          <w:u w:val="single"/>
        </w:rPr>
        <w:t xml:space="preserve">of </w:t>
      </w:r>
      <w:r w:rsidRPr="00EC09F6">
        <w:rPr>
          <w:szCs w:val="22"/>
          <w:u w:val="single"/>
        </w:rPr>
        <w:t>mepolizumab versus omalizumab</w:t>
      </w:r>
    </w:p>
    <w:p w:rsidR="001A7204" w:rsidRPr="00EC09F6" w:rsidRDefault="001A7204" w:rsidP="00062BED">
      <w:pPr>
        <w:pStyle w:val="ListParagraph"/>
        <w:rPr>
          <w:szCs w:val="22"/>
          <w:u w:val="single"/>
        </w:rPr>
      </w:pPr>
    </w:p>
    <w:p w:rsidR="00CA56F9" w:rsidRPr="00EC09F6" w:rsidRDefault="00CA56F9" w:rsidP="00986DCF">
      <w:pPr>
        <w:pStyle w:val="ListParagraph"/>
        <w:widowControl/>
        <w:numPr>
          <w:ilvl w:val="1"/>
          <w:numId w:val="2"/>
        </w:numPr>
        <w:rPr>
          <w:szCs w:val="22"/>
        </w:rPr>
      </w:pPr>
      <w:r w:rsidRPr="00EC09F6">
        <w:rPr>
          <w:szCs w:val="22"/>
        </w:rPr>
        <w:t>The results of the indirect comparison between mepolizumab and omalizumab, using standard of care as the common com</w:t>
      </w:r>
      <w:r w:rsidR="001A7204" w:rsidRPr="00EC09F6">
        <w:rPr>
          <w:szCs w:val="22"/>
        </w:rPr>
        <w:t>p</w:t>
      </w:r>
      <w:r w:rsidR="008C021B" w:rsidRPr="00EC09F6">
        <w:rPr>
          <w:szCs w:val="22"/>
        </w:rPr>
        <w:t>arator, are presented below</w:t>
      </w:r>
      <w:r w:rsidRPr="00EC09F6">
        <w:rPr>
          <w:szCs w:val="22"/>
        </w:rPr>
        <w:t>.</w:t>
      </w:r>
    </w:p>
    <w:p w:rsidR="00484EED" w:rsidRPr="00EC09F6" w:rsidRDefault="00484EED" w:rsidP="004756C1">
      <w:pPr>
        <w:pStyle w:val="TableFooter"/>
        <w:ind w:left="720"/>
        <w:rPr>
          <w:sz w:val="22"/>
          <w:szCs w:val="22"/>
        </w:rPr>
      </w:pPr>
    </w:p>
    <w:p w:rsidR="004756C1" w:rsidRPr="00EC09F6" w:rsidRDefault="004756C1" w:rsidP="00104078">
      <w:pPr>
        <w:keepNext/>
        <w:ind w:left="720"/>
        <w:rPr>
          <w:rStyle w:val="CommentReference"/>
        </w:rPr>
      </w:pPr>
      <w:r w:rsidRPr="00EC09F6">
        <w:rPr>
          <w:rStyle w:val="CommentReference"/>
        </w:rPr>
        <w:t xml:space="preserve">Table </w:t>
      </w:r>
      <w:r w:rsidR="00492332">
        <w:rPr>
          <w:rStyle w:val="CommentReference"/>
        </w:rPr>
        <w:t>7</w:t>
      </w:r>
      <w:r w:rsidRPr="00EC09F6">
        <w:rPr>
          <w:rStyle w:val="CommentReference"/>
        </w:rPr>
        <w:t>: Results of the indirect comparison between mepolizumab</w:t>
      </w:r>
      <w:r w:rsidR="0085428D" w:rsidRPr="00EC09F6">
        <w:rPr>
          <w:rStyle w:val="CommentReference"/>
        </w:rPr>
        <w:t xml:space="preserve"> (100mg SC)</w:t>
      </w:r>
      <w:r w:rsidRPr="00EC09F6">
        <w:rPr>
          <w:rStyle w:val="CommentReference"/>
        </w:rPr>
        <w:t xml:space="preserve"> and omalizumab</w:t>
      </w:r>
      <w:r w:rsidR="0085428D" w:rsidRPr="00EC09F6">
        <w:rPr>
          <w:rStyle w:val="CommentReference"/>
        </w:rPr>
        <w:t xml:space="preserve"> (double-blind trials)</w:t>
      </w:r>
      <w:r w:rsidRPr="00EC09F6">
        <w:rPr>
          <w:rStyle w:val="CommentReference"/>
        </w:rPr>
        <w:t xml:space="preserve"> with standard of care as the common comparator - rate of clinically significant exacerbations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991"/>
        <w:gridCol w:w="851"/>
        <w:gridCol w:w="851"/>
        <w:gridCol w:w="850"/>
        <w:gridCol w:w="853"/>
        <w:gridCol w:w="998"/>
        <w:gridCol w:w="966"/>
      </w:tblGrid>
      <w:tr w:rsidR="00EC09F6" w:rsidRPr="00EC09F6" w:rsidTr="00EA15F1">
        <w:trPr>
          <w:cantSplit/>
          <w:tblHeader/>
        </w:trPr>
        <w:tc>
          <w:tcPr>
            <w:tcW w:w="1189"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Heading"/>
              <w:spacing w:before="0" w:after="0"/>
              <w:rPr>
                <w:rFonts w:cs="Arial"/>
              </w:rPr>
            </w:pPr>
          </w:p>
        </w:tc>
        <w:tc>
          <w:tcPr>
            <w:tcW w:w="1614" w:type="pct"/>
            <w:gridSpan w:val="3"/>
            <w:tcBorders>
              <w:top w:val="single" w:sz="4" w:space="0" w:color="auto"/>
              <w:left w:val="nil"/>
              <w:bottom w:val="single" w:sz="4" w:space="0" w:color="auto"/>
              <w:right w:val="doub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MEPO versus SOC</w:t>
            </w:r>
          </w:p>
        </w:tc>
        <w:tc>
          <w:tcPr>
            <w:tcW w:w="1618" w:type="pct"/>
            <w:gridSpan w:val="3"/>
            <w:tcBorders>
              <w:top w:val="single" w:sz="4" w:space="0" w:color="auto"/>
              <w:left w:val="nil"/>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OMAL versus SOC</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Indirect RR</w:t>
            </w:r>
            <w:r w:rsidRPr="00EC09F6">
              <w:rPr>
                <w:rFonts w:cs="Arial"/>
              </w:rPr>
              <w:br/>
              <w:t>(95% CI)</w:t>
            </w:r>
          </w:p>
        </w:tc>
      </w:tr>
      <w:tr w:rsidR="00EC09F6" w:rsidRPr="00EC09F6" w:rsidTr="00EA15F1">
        <w:trPr>
          <w:cantSplit/>
          <w:tblHeader/>
        </w:trPr>
        <w:tc>
          <w:tcPr>
            <w:tcW w:w="1189" w:type="pct"/>
            <w:vMerge/>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Text0"/>
              <w:spacing w:before="0" w:after="0"/>
              <w:rPr>
                <w:rFonts w:cs="Arial"/>
              </w:rPr>
            </w:pP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RR</w:t>
            </w:r>
            <w:r w:rsidRPr="00EC09F6">
              <w:rPr>
                <w:rFonts w:cs="Arial"/>
              </w:rPr>
              <w:br/>
              <w:t>(95% CI)</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MEPO</w:t>
            </w:r>
          </w:p>
          <w:p w:rsidR="004756C1" w:rsidRPr="00EC09F6" w:rsidRDefault="004756C1" w:rsidP="00104078">
            <w:pPr>
              <w:pStyle w:val="TableHeading"/>
              <w:spacing w:before="0" w:after="0"/>
              <w:jc w:val="center"/>
              <w:rPr>
                <w:rFonts w:cs="Arial"/>
              </w:rPr>
            </w:pPr>
            <w:r w:rsidRPr="00EC09F6">
              <w:rPr>
                <w:rFonts w:cs="Arial"/>
              </w:rPr>
              <w:t>Exac</w:t>
            </w:r>
            <w:r w:rsidR="003C1206" w:rsidRPr="00EC09F6">
              <w:rPr>
                <w:rFonts w:cs="Arial"/>
              </w:rPr>
              <w:t xml:space="preserve"> </w:t>
            </w:r>
            <w:r w:rsidRPr="00EC09F6">
              <w:rPr>
                <w:rFonts w:cs="Arial"/>
              </w:rPr>
              <w:t>rate</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SOC</w:t>
            </w:r>
            <w:r w:rsidRPr="00EC09F6">
              <w:rPr>
                <w:rFonts w:cs="Arial"/>
              </w:rPr>
              <w:br/>
              <w:t>Exac rate</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SOC</w:t>
            </w:r>
            <w:r w:rsidRPr="00EC09F6">
              <w:rPr>
                <w:rFonts w:cs="Arial"/>
              </w:rPr>
              <w:br/>
              <w:t>Exac rate</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OMAL</w:t>
            </w:r>
            <w:r w:rsidRPr="00EC09F6">
              <w:rPr>
                <w:rFonts w:cs="Arial"/>
              </w:rPr>
              <w:br/>
              <w:t>Exac rate</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r w:rsidRPr="00EC09F6">
              <w:rPr>
                <w:rFonts w:cs="Arial"/>
              </w:rPr>
              <w:t>RR</w:t>
            </w:r>
            <w:r w:rsidRPr="00EC09F6">
              <w:rPr>
                <w:rFonts w:cs="Arial"/>
              </w:rPr>
              <w:br/>
              <w:t>(95% CI)</w:t>
            </w:r>
          </w:p>
        </w:tc>
        <w:tc>
          <w:tcPr>
            <w:tcW w:w="579" w:type="pct"/>
            <w:vMerge/>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Heading"/>
              <w:spacing w:before="0" w:after="0"/>
              <w:jc w:val="center"/>
              <w:rPr>
                <w:rFonts w:cs="Arial"/>
              </w:rPr>
            </w:pPr>
          </w:p>
        </w:tc>
      </w:tr>
      <w:tr w:rsidR="00EC09F6" w:rsidRPr="00EC09F6" w:rsidTr="00A27431">
        <w:trPr>
          <w:cantSplit/>
        </w:trPr>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A27431" w:rsidRPr="00EC09F6" w:rsidRDefault="00A27431" w:rsidP="00A27431">
            <w:pPr>
              <w:pStyle w:val="TableText0"/>
              <w:spacing w:before="0" w:after="0"/>
              <w:rPr>
                <w:rFonts w:cs="Arial"/>
              </w:rPr>
            </w:pPr>
            <w:r w:rsidRPr="00EC09F6">
              <w:rPr>
                <w:rFonts w:cs="Arial"/>
                <w:b/>
              </w:rPr>
              <w:t>ITT analysis</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Text0"/>
              <w:spacing w:before="0" w:after="0"/>
              <w:rPr>
                <w:rFonts w:cs="Arial"/>
              </w:rPr>
            </w:pPr>
            <w:r w:rsidRPr="00EC09F6">
              <w:rPr>
                <w:rFonts w:cs="Arial"/>
              </w:rPr>
              <w:t>Study 588 (32</w:t>
            </w:r>
            <w:r w:rsidRPr="00EC09F6">
              <w:rPr>
                <w:rFonts w:cs="Arial"/>
                <w:vertAlign w:val="superscript"/>
              </w:rPr>
              <w:t xml:space="preserve"> </w:t>
            </w:r>
            <w:r w:rsidRPr="00EC09F6">
              <w:rPr>
                <w:rFonts w:cs="Arial"/>
              </w:rPr>
              <w:t>weeks)</w:t>
            </w: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 xml:space="preserve">0.47 </w:t>
            </w:r>
          </w:p>
          <w:p w:rsidR="004756C1" w:rsidRPr="00EC09F6" w:rsidRDefault="004756C1" w:rsidP="00104078">
            <w:pPr>
              <w:pStyle w:val="TableText0"/>
              <w:spacing w:before="0" w:after="0"/>
              <w:jc w:val="center"/>
              <w:rPr>
                <w:rFonts w:cs="Arial"/>
              </w:rPr>
            </w:pPr>
            <w:r w:rsidRPr="00EC09F6">
              <w:rPr>
                <w:rFonts w:cs="Arial"/>
              </w:rPr>
              <w:t>(0.35, 0.64)</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0.83</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1.74</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79"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Text0"/>
              <w:spacing w:before="0" w:after="0"/>
              <w:rPr>
                <w:rFonts w:cs="Arial"/>
              </w:rPr>
            </w:pPr>
            <w:r w:rsidRPr="00EC09F6">
              <w:rPr>
                <w:rFonts w:cs="Arial"/>
              </w:rPr>
              <w:t xml:space="preserve">INNOVATE (28 weeks) </w:t>
            </w: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0.91</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0.68</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 xml:space="preserve">0.74 </w:t>
            </w:r>
          </w:p>
          <w:p w:rsidR="004756C1" w:rsidRPr="00EC09F6" w:rsidRDefault="004756C1" w:rsidP="00104078">
            <w:pPr>
              <w:pStyle w:val="TableText0"/>
              <w:spacing w:before="0" w:after="0"/>
              <w:jc w:val="center"/>
              <w:rPr>
                <w:rFonts w:cs="Arial"/>
              </w:rPr>
            </w:pPr>
            <w:r w:rsidRPr="00EC09F6">
              <w:rPr>
                <w:rFonts w:cs="Arial"/>
              </w:rPr>
              <w:t>(0.55, 1.00)</w:t>
            </w:r>
          </w:p>
        </w:tc>
        <w:tc>
          <w:tcPr>
            <w:tcW w:w="579"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Text0"/>
              <w:spacing w:before="0" w:after="0"/>
              <w:rPr>
                <w:rFonts w:cs="Arial"/>
              </w:rPr>
            </w:pPr>
            <w:r w:rsidRPr="00EC09F6">
              <w:rPr>
                <w:rFonts w:cs="Arial"/>
              </w:rPr>
              <w:t>EXTRA (48 weeks)</w:t>
            </w: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0.88</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594BFF" w:rsidRDefault="004756C1" w:rsidP="00104078">
            <w:pPr>
              <w:pStyle w:val="TableText0"/>
              <w:spacing w:before="0" w:after="0"/>
              <w:jc w:val="center"/>
              <w:rPr>
                <w:rFonts w:cs="Arial"/>
              </w:rPr>
            </w:pPr>
            <w:r w:rsidRPr="00594BFF">
              <w:rPr>
                <w:rFonts w:cs="Arial"/>
              </w:rPr>
              <w:t>0.66</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 xml:space="preserve">0.75 </w:t>
            </w:r>
          </w:p>
          <w:p w:rsidR="004756C1" w:rsidRPr="00EC09F6" w:rsidRDefault="004756C1" w:rsidP="00104078">
            <w:pPr>
              <w:pStyle w:val="TableText0"/>
              <w:spacing w:before="0" w:after="0"/>
              <w:jc w:val="center"/>
              <w:rPr>
                <w:rFonts w:cs="Arial"/>
              </w:rPr>
            </w:pPr>
            <w:r w:rsidRPr="00EC09F6">
              <w:rPr>
                <w:rFonts w:cs="Arial"/>
              </w:rPr>
              <w:t>(0.61, 0.92)</w:t>
            </w:r>
          </w:p>
        </w:tc>
        <w:tc>
          <w:tcPr>
            <w:tcW w:w="579"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104078">
            <w:pPr>
              <w:pStyle w:val="TableText0"/>
              <w:spacing w:before="0" w:after="0"/>
              <w:rPr>
                <w:rFonts w:cs="Arial"/>
              </w:rPr>
            </w:pPr>
            <w:r w:rsidRPr="00EC09F6">
              <w:rPr>
                <w:rFonts w:cs="Arial"/>
              </w:rPr>
              <w:t>Pooled</w:t>
            </w: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 xml:space="preserve">0.47 </w:t>
            </w:r>
          </w:p>
          <w:p w:rsidR="004756C1" w:rsidRPr="00EC09F6" w:rsidRDefault="004756C1" w:rsidP="00104078">
            <w:pPr>
              <w:pStyle w:val="TableText0"/>
              <w:spacing w:before="0" w:after="0"/>
              <w:jc w:val="center"/>
              <w:rPr>
                <w:rFonts w:cs="Arial"/>
              </w:rPr>
            </w:pPr>
            <w:r w:rsidRPr="00EC09F6">
              <w:rPr>
                <w:rFonts w:cs="Arial"/>
              </w:rPr>
              <w:t>(0.35, 0.64)</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rPr>
            </w:pPr>
            <w:r w:rsidRPr="00EC09F6">
              <w:rPr>
                <w:rFonts w:cs="Arial"/>
              </w:rPr>
              <w:t xml:space="preserve">0.75 </w:t>
            </w:r>
            <w:r w:rsidR="004A7A47" w:rsidRPr="00EC09F6">
              <w:rPr>
                <w:rFonts w:cs="Arial"/>
                <w:vertAlign w:val="superscript"/>
              </w:rPr>
              <w:t>a</w:t>
            </w:r>
          </w:p>
          <w:p w:rsidR="004756C1" w:rsidRPr="00EC09F6" w:rsidRDefault="004756C1" w:rsidP="00104078">
            <w:pPr>
              <w:pStyle w:val="TableText0"/>
              <w:spacing w:before="0" w:after="0"/>
              <w:jc w:val="center"/>
              <w:rPr>
                <w:rFonts w:cs="Arial"/>
              </w:rPr>
            </w:pPr>
            <w:r w:rsidRPr="00EC09F6">
              <w:rPr>
                <w:rFonts w:cs="Arial"/>
              </w:rPr>
              <w:t>(0.63, 0.88)</w:t>
            </w:r>
          </w:p>
        </w:tc>
        <w:tc>
          <w:tcPr>
            <w:tcW w:w="579"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104078">
            <w:pPr>
              <w:pStyle w:val="TableText0"/>
              <w:spacing w:before="0" w:after="0"/>
              <w:jc w:val="center"/>
              <w:rPr>
                <w:rFonts w:cs="Arial"/>
                <w:b/>
              </w:rPr>
            </w:pPr>
            <w:r w:rsidRPr="00EC09F6">
              <w:rPr>
                <w:rFonts w:cs="Arial"/>
                <w:b/>
              </w:rPr>
              <w:t xml:space="preserve">0.64 </w:t>
            </w:r>
          </w:p>
          <w:p w:rsidR="004756C1" w:rsidRPr="00EC09F6" w:rsidRDefault="004756C1" w:rsidP="00104078">
            <w:pPr>
              <w:pStyle w:val="TableText0"/>
              <w:spacing w:before="0" w:after="0"/>
              <w:jc w:val="center"/>
              <w:rPr>
                <w:rFonts w:cs="Arial"/>
              </w:rPr>
            </w:pPr>
            <w:r w:rsidRPr="00EC09F6">
              <w:rPr>
                <w:rFonts w:cs="Arial"/>
                <w:b/>
              </w:rPr>
              <w:t>(0.45, 0.90)</w:t>
            </w:r>
          </w:p>
        </w:tc>
      </w:tr>
      <w:tr w:rsidR="00EC09F6" w:rsidRPr="00EC09F6" w:rsidTr="004756C1">
        <w:trPr>
          <w:cantSplit/>
        </w:trPr>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4756C1">
            <w:pPr>
              <w:pStyle w:val="TableText0"/>
              <w:spacing w:before="0" w:after="0"/>
              <w:rPr>
                <w:rFonts w:cs="Arial"/>
                <w:b/>
              </w:rPr>
            </w:pPr>
            <w:r w:rsidRPr="00EC09F6">
              <w:rPr>
                <w:rFonts w:cs="Arial"/>
                <w:b/>
              </w:rPr>
              <w:t>Primary analysis (≥ 1 exacerbation overlap population)</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B76BBD">
            <w:pPr>
              <w:pStyle w:val="TableText0"/>
              <w:spacing w:before="0" w:after="0"/>
              <w:rPr>
                <w:rFonts w:cs="Arial"/>
              </w:rPr>
            </w:pPr>
            <w:r w:rsidRPr="00EC09F6">
              <w:rPr>
                <w:rFonts w:cs="Arial"/>
              </w:rPr>
              <w:t xml:space="preserve">Pooled </w:t>
            </w:r>
            <w:r w:rsidR="004A7A47" w:rsidRPr="00EC09F6">
              <w:rPr>
                <w:rFonts w:cs="Arial"/>
                <w:vertAlign w:val="superscript"/>
              </w:rPr>
              <w:t>b</w:t>
            </w:r>
          </w:p>
        </w:tc>
        <w:tc>
          <w:tcPr>
            <w:tcW w:w="594" w:type="pct"/>
            <w:tcBorders>
              <w:top w:val="single" w:sz="4" w:space="0" w:color="auto"/>
              <w:left w:val="single" w:sz="4" w:space="0" w:color="auto"/>
              <w:bottom w:val="single" w:sz="4" w:space="0" w:color="auto"/>
              <w:right w:val="single" w:sz="4" w:space="0" w:color="auto"/>
            </w:tcBorders>
            <w:vAlign w:val="center"/>
          </w:tcPr>
          <w:p w:rsidR="004756C1" w:rsidRPr="0024101C" w:rsidRDefault="0024101C" w:rsidP="004756C1">
            <w:pPr>
              <w:pStyle w:val="TableText0"/>
              <w:spacing w:before="0" w:after="0"/>
              <w:jc w:val="center"/>
              <w:rPr>
                <w:rFonts w:cs="Arial"/>
                <w:highlight w:val="black"/>
              </w:rPr>
            </w:pPr>
            <w:r>
              <w:rPr>
                <w:rFonts w:cs="Arial"/>
                <w:noProof/>
                <w:color w:val="000000"/>
                <w:highlight w:val="black"/>
              </w:rPr>
              <w:t xml:space="preserve">'''''''''' </w:t>
            </w:r>
          </w:p>
          <w:p w:rsidR="004756C1" w:rsidRPr="00EC09F6" w:rsidRDefault="004756C1" w:rsidP="004756C1">
            <w:pPr>
              <w:pStyle w:val="TableText0"/>
              <w:spacing w:before="0" w:after="0"/>
              <w:jc w:val="center"/>
              <w:rPr>
                <w:rFonts w:cs="Arial"/>
              </w:rPr>
            </w:pPr>
            <w:r w:rsidRPr="00EC09F6">
              <w:rPr>
                <w:rFonts w:cs="Arial"/>
              </w:rPr>
              <w:t>(</w:t>
            </w:r>
            <w:r w:rsidR="0024101C">
              <w:rPr>
                <w:rFonts w:cs="Arial"/>
                <w:noProof/>
                <w:color w:val="000000"/>
                <w:highlight w:val="black"/>
              </w:rPr>
              <w:t>''''''''''''' ''''''''''</w:t>
            </w:r>
            <w:r w:rsidRPr="00EC09F6">
              <w:rPr>
                <w:rFonts w:cs="Arial"/>
              </w:rPr>
              <w:t>)</w:t>
            </w:r>
          </w:p>
        </w:tc>
        <w:tc>
          <w:tcPr>
            <w:tcW w:w="510" w:type="pct"/>
            <w:tcBorders>
              <w:top w:val="single" w:sz="4" w:space="0" w:color="auto"/>
              <w:left w:val="single" w:sz="4" w:space="0" w:color="auto"/>
              <w:bottom w:val="single" w:sz="4" w:space="0" w:color="auto"/>
              <w:right w:val="single" w:sz="4" w:space="0" w:color="auto"/>
            </w:tcBorders>
            <w:vAlign w:val="center"/>
          </w:tcPr>
          <w:p w:rsidR="004756C1" w:rsidRPr="00EC09F6" w:rsidRDefault="00EA15F1" w:rsidP="004756C1">
            <w:pPr>
              <w:pStyle w:val="TableText0"/>
              <w:spacing w:before="0" w:after="0"/>
              <w:jc w:val="center"/>
              <w:rPr>
                <w:rFonts w:cs="Arial"/>
              </w:rPr>
            </w:pPr>
            <w:r w:rsidRPr="00EC09F6">
              <w:rPr>
                <w:rFonts w:cs="Arial"/>
              </w:rPr>
              <w:t>NR</w:t>
            </w:r>
          </w:p>
        </w:tc>
        <w:tc>
          <w:tcPr>
            <w:tcW w:w="510" w:type="pct"/>
            <w:tcBorders>
              <w:top w:val="single" w:sz="4" w:space="0" w:color="auto"/>
              <w:left w:val="single" w:sz="4" w:space="0" w:color="auto"/>
              <w:bottom w:val="single" w:sz="4" w:space="0" w:color="auto"/>
              <w:right w:val="double" w:sz="4" w:space="0" w:color="auto"/>
            </w:tcBorders>
            <w:vAlign w:val="center"/>
          </w:tcPr>
          <w:p w:rsidR="004756C1" w:rsidRPr="00EC09F6" w:rsidRDefault="00EA15F1" w:rsidP="004756C1">
            <w:pPr>
              <w:pStyle w:val="TableText0"/>
              <w:spacing w:before="0" w:after="0"/>
              <w:jc w:val="center"/>
              <w:rPr>
                <w:rFonts w:cs="Arial"/>
              </w:rPr>
            </w:pPr>
            <w:r w:rsidRPr="00EC09F6">
              <w:rPr>
                <w:rFonts w:cs="Arial"/>
              </w:rPr>
              <w:t>NR</w:t>
            </w:r>
          </w:p>
        </w:tc>
        <w:tc>
          <w:tcPr>
            <w:tcW w:w="509" w:type="pct"/>
            <w:tcBorders>
              <w:top w:val="single" w:sz="4" w:space="0" w:color="auto"/>
              <w:left w:val="double" w:sz="4" w:space="0" w:color="auto"/>
              <w:bottom w:val="single" w:sz="4" w:space="0" w:color="auto"/>
              <w:right w:val="single" w:sz="4" w:space="0" w:color="auto"/>
            </w:tcBorders>
            <w:vAlign w:val="center"/>
          </w:tcPr>
          <w:p w:rsidR="004756C1" w:rsidRPr="00EC09F6" w:rsidRDefault="004756C1" w:rsidP="004756C1">
            <w:pPr>
              <w:pStyle w:val="TableText0"/>
              <w:spacing w:before="0" w:after="0"/>
              <w:jc w:val="center"/>
              <w:rPr>
                <w:rFonts w:cs="Arial"/>
              </w:rPr>
            </w:pPr>
            <w:r w:rsidRPr="00EC09F6">
              <w:rPr>
                <w:rFonts w:cs="Arial"/>
              </w:rPr>
              <w:t>-</w:t>
            </w:r>
          </w:p>
        </w:tc>
        <w:tc>
          <w:tcPr>
            <w:tcW w:w="511"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4756C1">
            <w:pPr>
              <w:pStyle w:val="TableText0"/>
              <w:spacing w:before="0" w:after="0"/>
              <w:jc w:val="center"/>
              <w:rPr>
                <w:rFonts w:cs="Arial"/>
              </w:rPr>
            </w:pPr>
            <w:r w:rsidRPr="00EC09F6">
              <w:rPr>
                <w:rFonts w:cs="Arial"/>
              </w:rPr>
              <w:t>-</w:t>
            </w:r>
          </w:p>
        </w:tc>
        <w:tc>
          <w:tcPr>
            <w:tcW w:w="598" w:type="pct"/>
            <w:tcBorders>
              <w:top w:val="single" w:sz="4" w:space="0" w:color="auto"/>
              <w:left w:val="single" w:sz="4" w:space="0" w:color="auto"/>
              <w:bottom w:val="single" w:sz="4" w:space="0" w:color="auto"/>
              <w:right w:val="single" w:sz="4" w:space="0" w:color="auto"/>
            </w:tcBorders>
            <w:vAlign w:val="center"/>
          </w:tcPr>
          <w:p w:rsidR="004756C1" w:rsidRPr="00EC09F6" w:rsidRDefault="004756C1" w:rsidP="004756C1">
            <w:pPr>
              <w:pStyle w:val="TableText0"/>
              <w:spacing w:before="0" w:after="0"/>
              <w:jc w:val="center"/>
              <w:rPr>
                <w:rFonts w:cs="Arial"/>
              </w:rPr>
            </w:pPr>
            <w:r w:rsidRPr="00EC09F6">
              <w:rPr>
                <w:rFonts w:cs="Arial"/>
              </w:rPr>
              <w:t>0.75</w:t>
            </w:r>
            <w:r w:rsidR="00103308" w:rsidRPr="00EC09F6">
              <w:rPr>
                <w:rFonts w:cs="Arial"/>
              </w:rPr>
              <w:t xml:space="preserve"> </w:t>
            </w:r>
            <w:r w:rsidR="004A7A47" w:rsidRPr="00EC09F6">
              <w:rPr>
                <w:vertAlign w:val="superscript"/>
              </w:rPr>
              <w:t>a</w:t>
            </w:r>
            <w:r w:rsidRPr="00EC09F6">
              <w:rPr>
                <w:rFonts w:cs="Arial"/>
              </w:rPr>
              <w:t xml:space="preserve"> </w:t>
            </w:r>
          </w:p>
          <w:p w:rsidR="004756C1" w:rsidRPr="00EC09F6" w:rsidRDefault="004756C1" w:rsidP="004756C1">
            <w:pPr>
              <w:pStyle w:val="TableText0"/>
              <w:spacing w:before="0" w:after="0"/>
              <w:jc w:val="center"/>
              <w:rPr>
                <w:rFonts w:cs="Arial"/>
              </w:rPr>
            </w:pPr>
            <w:r w:rsidRPr="00EC09F6">
              <w:rPr>
                <w:rFonts w:cs="Arial"/>
              </w:rPr>
              <w:t>(0.63, 0.88)</w:t>
            </w:r>
          </w:p>
        </w:tc>
        <w:tc>
          <w:tcPr>
            <w:tcW w:w="579" w:type="pct"/>
            <w:tcBorders>
              <w:top w:val="single" w:sz="4" w:space="0" w:color="auto"/>
              <w:left w:val="single" w:sz="4" w:space="0" w:color="auto"/>
              <w:bottom w:val="single" w:sz="4" w:space="0" w:color="auto"/>
              <w:right w:val="single" w:sz="4" w:space="0" w:color="auto"/>
            </w:tcBorders>
            <w:vAlign w:val="center"/>
          </w:tcPr>
          <w:p w:rsidR="004756C1" w:rsidRPr="0024101C" w:rsidRDefault="0024101C" w:rsidP="004756C1">
            <w:pPr>
              <w:pStyle w:val="TableText0"/>
              <w:spacing w:before="0" w:after="0"/>
              <w:jc w:val="center"/>
              <w:rPr>
                <w:rFonts w:cs="Arial"/>
                <w:highlight w:val="black"/>
              </w:rPr>
            </w:pPr>
            <w:r>
              <w:rPr>
                <w:rFonts w:cs="Arial"/>
                <w:noProof/>
                <w:color w:val="000000"/>
                <w:highlight w:val="black"/>
              </w:rPr>
              <w:t xml:space="preserve">'''''''''''' </w:t>
            </w:r>
          </w:p>
          <w:p w:rsidR="004756C1" w:rsidRPr="00EC09F6" w:rsidRDefault="004756C1" w:rsidP="004756C1">
            <w:pPr>
              <w:pStyle w:val="TableText0"/>
              <w:spacing w:before="0" w:after="0"/>
              <w:jc w:val="center"/>
              <w:rPr>
                <w:rFonts w:cs="Arial"/>
              </w:rPr>
            </w:pPr>
            <w:r w:rsidRPr="00EC09F6">
              <w:rPr>
                <w:rFonts w:cs="Arial"/>
              </w:rPr>
              <w:t>(</w:t>
            </w:r>
            <w:r w:rsidR="0024101C">
              <w:rPr>
                <w:rFonts w:cs="Arial"/>
                <w:noProof/>
                <w:color w:val="000000"/>
                <w:highlight w:val="black"/>
              </w:rPr>
              <w:t>''''''''''''' ''''''''''''</w:t>
            </w:r>
            <w:r w:rsidRPr="00EC09F6">
              <w:rPr>
                <w:rFonts w:cs="Arial"/>
              </w:rPr>
              <w:t>)</w:t>
            </w:r>
          </w:p>
        </w:tc>
      </w:tr>
      <w:tr w:rsidR="00EC09F6" w:rsidRPr="00EC09F6" w:rsidTr="004756C1">
        <w:trPr>
          <w:cantSplit/>
        </w:trPr>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4756C1" w:rsidRPr="00EC09F6" w:rsidRDefault="004756C1" w:rsidP="00F45906">
            <w:pPr>
              <w:pStyle w:val="TableText0"/>
              <w:spacing w:before="0" w:after="0"/>
              <w:rPr>
                <w:rFonts w:cs="Arial"/>
                <w:b/>
              </w:rPr>
            </w:pPr>
            <w:r w:rsidRPr="00EC09F6">
              <w:rPr>
                <w:rFonts w:cs="Arial"/>
                <w:b/>
              </w:rPr>
              <w:t>Secondary analysis (≥ 2 exacerbation overlap population)</w:t>
            </w:r>
            <w:r w:rsidR="00A27431" w:rsidRPr="00EC09F6">
              <w:rPr>
                <w:rFonts w:cs="Arial"/>
                <w:b/>
              </w:rPr>
              <w:t xml:space="preserve"> – Excluding</w:t>
            </w:r>
            <w:r w:rsidR="008A6838" w:rsidRPr="00EC09F6">
              <w:rPr>
                <w:rFonts w:cs="Arial"/>
                <w:b/>
              </w:rPr>
              <w:t xml:space="preserve"> EXTRA</w:t>
            </w:r>
          </w:p>
        </w:tc>
      </w:tr>
      <w:tr w:rsidR="00EC09F6" w:rsidRPr="00EC09F6" w:rsidTr="00EA15F1">
        <w:trPr>
          <w:cantSplit/>
        </w:trPr>
        <w:tc>
          <w:tcPr>
            <w:tcW w:w="1189" w:type="pct"/>
            <w:tcBorders>
              <w:top w:val="single" w:sz="4" w:space="0" w:color="auto"/>
              <w:left w:val="single" w:sz="4" w:space="0" w:color="auto"/>
              <w:bottom w:val="single" w:sz="4" w:space="0" w:color="auto"/>
              <w:right w:val="single" w:sz="4" w:space="0" w:color="auto"/>
            </w:tcBorders>
            <w:tcMar>
              <w:right w:w="28" w:type="dxa"/>
            </w:tcMar>
            <w:vAlign w:val="center"/>
          </w:tcPr>
          <w:p w:rsidR="00EA15F1" w:rsidRPr="00EC09F6" w:rsidRDefault="00EA15F1" w:rsidP="004756C1">
            <w:pPr>
              <w:pStyle w:val="TableText0"/>
              <w:spacing w:before="0" w:after="0"/>
              <w:rPr>
                <w:rFonts w:cs="Arial"/>
              </w:rPr>
            </w:pPr>
            <w:r w:rsidRPr="00EC09F6">
              <w:rPr>
                <w:rFonts w:cs="Arial"/>
              </w:rPr>
              <w:t xml:space="preserve">Pooled </w:t>
            </w:r>
            <w:r w:rsidRPr="00EC09F6">
              <w:rPr>
                <w:rFonts w:cs="Arial"/>
                <w:vertAlign w:val="superscript"/>
              </w:rPr>
              <w:t>c</w:t>
            </w:r>
          </w:p>
        </w:tc>
        <w:tc>
          <w:tcPr>
            <w:tcW w:w="594" w:type="pct"/>
            <w:tcBorders>
              <w:top w:val="single" w:sz="4" w:space="0" w:color="auto"/>
              <w:left w:val="single" w:sz="4" w:space="0" w:color="auto"/>
              <w:bottom w:val="single" w:sz="4" w:space="0" w:color="auto"/>
              <w:right w:val="single" w:sz="4" w:space="0" w:color="auto"/>
            </w:tcBorders>
            <w:vAlign w:val="center"/>
          </w:tcPr>
          <w:p w:rsidR="00EA15F1" w:rsidRPr="0024101C" w:rsidRDefault="0024101C" w:rsidP="004756C1">
            <w:pPr>
              <w:pStyle w:val="TableText0"/>
              <w:spacing w:before="0" w:after="0"/>
              <w:jc w:val="center"/>
              <w:rPr>
                <w:rFonts w:cs="Arial"/>
                <w:highlight w:val="black"/>
              </w:rPr>
            </w:pPr>
            <w:r>
              <w:rPr>
                <w:rFonts w:cs="Arial"/>
                <w:noProof/>
                <w:color w:val="000000"/>
                <w:highlight w:val="black"/>
              </w:rPr>
              <w:t xml:space="preserve">''''''''''' </w:t>
            </w:r>
          </w:p>
          <w:p w:rsidR="00EA15F1" w:rsidRPr="00EC09F6" w:rsidRDefault="00EA15F1" w:rsidP="004756C1">
            <w:pPr>
              <w:pStyle w:val="TableText0"/>
              <w:spacing w:before="0" w:after="0"/>
              <w:jc w:val="center"/>
              <w:rPr>
                <w:rFonts w:cs="Arial"/>
              </w:rPr>
            </w:pPr>
            <w:r w:rsidRPr="00EC09F6">
              <w:rPr>
                <w:rFonts w:cs="Arial"/>
              </w:rPr>
              <w:t>(</w:t>
            </w:r>
            <w:r w:rsidR="0024101C">
              <w:rPr>
                <w:rFonts w:cs="Arial"/>
                <w:noProof/>
                <w:color w:val="000000"/>
                <w:highlight w:val="black"/>
              </w:rPr>
              <w:t>'''''''''' ''''''''''</w:t>
            </w:r>
            <w:r w:rsidRPr="00EC09F6">
              <w:rPr>
                <w:rFonts w:cs="Arial"/>
              </w:rPr>
              <w:t>)</w:t>
            </w:r>
          </w:p>
        </w:tc>
        <w:tc>
          <w:tcPr>
            <w:tcW w:w="510" w:type="pct"/>
            <w:tcBorders>
              <w:top w:val="single" w:sz="4" w:space="0" w:color="auto"/>
              <w:left w:val="single" w:sz="4" w:space="0" w:color="auto"/>
              <w:bottom w:val="single" w:sz="4" w:space="0" w:color="auto"/>
              <w:right w:val="single" w:sz="4" w:space="0" w:color="auto"/>
            </w:tcBorders>
            <w:vAlign w:val="center"/>
          </w:tcPr>
          <w:p w:rsidR="00EA15F1" w:rsidRPr="00EC09F6" w:rsidRDefault="00EA15F1" w:rsidP="004756C1">
            <w:pPr>
              <w:pStyle w:val="TableText0"/>
              <w:spacing w:before="0" w:after="0"/>
              <w:jc w:val="center"/>
              <w:rPr>
                <w:rFonts w:cs="Arial"/>
              </w:rPr>
            </w:pPr>
            <w:r w:rsidRPr="00EC09F6">
              <w:rPr>
                <w:rFonts w:cs="Arial"/>
              </w:rPr>
              <w:t>NR</w:t>
            </w:r>
          </w:p>
        </w:tc>
        <w:tc>
          <w:tcPr>
            <w:tcW w:w="510" w:type="pct"/>
            <w:tcBorders>
              <w:top w:val="single" w:sz="4" w:space="0" w:color="auto"/>
              <w:left w:val="single" w:sz="4" w:space="0" w:color="auto"/>
              <w:bottom w:val="single" w:sz="4" w:space="0" w:color="auto"/>
              <w:right w:val="double" w:sz="4" w:space="0" w:color="auto"/>
            </w:tcBorders>
            <w:vAlign w:val="center"/>
          </w:tcPr>
          <w:p w:rsidR="00EA15F1" w:rsidRPr="00EC09F6" w:rsidRDefault="00EA15F1" w:rsidP="004756C1">
            <w:pPr>
              <w:pStyle w:val="TableText0"/>
              <w:spacing w:before="0" w:after="0"/>
              <w:jc w:val="center"/>
              <w:rPr>
                <w:rFonts w:cs="Arial"/>
              </w:rPr>
            </w:pPr>
            <w:r w:rsidRPr="00EC09F6">
              <w:rPr>
                <w:rFonts w:cs="Arial"/>
              </w:rPr>
              <w:t>NR</w:t>
            </w:r>
          </w:p>
        </w:tc>
        <w:tc>
          <w:tcPr>
            <w:tcW w:w="509" w:type="pct"/>
            <w:tcBorders>
              <w:top w:val="single" w:sz="4" w:space="0" w:color="auto"/>
              <w:left w:val="double" w:sz="4" w:space="0" w:color="auto"/>
              <w:bottom w:val="single" w:sz="4" w:space="0" w:color="auto"/>
              <w:right w:val="single" w:sz="4" w:space="0" w:color="auto"/>
            </w:tcBorders>
            <w:vAlign w:val="center"/>
          </w:tcPr>
          <w:p w:rsidR="00EA15F1" w:rsidRPr="00594BFF" w:rsidRDefault="00EA15F1" w:rsidP="006A1B04">
            <w:pPr>
              <w:pStyle w:val="TableText0"/>
              <w:spacing w:before="0" w:after="0"/>
              <w:jc w:val="center"/>
              <w:rPr>
                <w:rFonts w:cs="Arial"/>
              </w:rPr>
            </w:pPr>
            <w:r w:rsidRPr="00594BFF">
              <w:rPr>
                <w:rFonts w:cs="Arial"/>
              </w:rPr>
              <w:t>0.91</w:t>
            </w:r>
          </w:p>
        </w:tc>
        <w:tc>
          <w:tcPr>
            <w:tcW w:w="511" w:type="pct"/>
            <w:tcBorders>
              <w:top w:val="single" w:sz="4" w:space="0" w:color="auto"/>
              <w:left w:val="single" w:sz="4" w:space="0" w:color="auto"/>
              <w:bottom w:val="single" w:sz="4" w:space="0" w:color="auto"/>
              <w:right w:val="single" w:sz="4" w:space="0" w:color="auto"/>
            </w:tcBorders>
            <w:vAlign w:val="center"/>
          </w:tcPr>
          <w:p w:rsidR="00EA15F1" w:rsidRPr="00594BFF" w:rsidRDefault="00EA15F1" w:rsidP="006A1B04">
            <w:pPr>
              <w:pStyle w:val="TableText0"/>
              <w:spacing w:before="0" w:after="0"/>
              <w:jc w:val="center"/>
              <w:rPr>
                <w:rFonts w:cs="Arial"/>
              </w:rPr>
            </w:pPr>
            <w:r w:rsidRPr="00594BFF">
              <w:rPr>
                <w:rFonts w:cs="Arial"/>
              </w:rPr>
              <w:t>0.68</w:t>
            </w:r>
          </w:p>
        </w:tc>
        <w:tc>
          <w:tcPr>
            <w:tcW w:w="598" w:type="pct"/>
            <w:tcBorders>
              <w:top w:val="single" w:sz="4" w:space="0" w:color="auto"/>
              <w:left w:val="single" w:sz="4" w:space="0" w:color="auto"/>
              <w:bottom w:val="single" w:sz="4" w:space="0" w:color="auto"/>
              <w:right w:val="single" w:sz="4" w:space="0" w:color="auto"/>
            </w:tcBorders>
            <w:vAlign w:val="center"/>
          </w:tcPr>
          <w:p w:rsidR="00EA15F1" w:rsidRPr="00EC09F6" w:rsidRDefault="00EA15F1" w:rsidP="004756C1">
            <w:pPr>
              <w:pStyle w:val="TableText0"/>
              <w:spacing w:before="0" w:after="0"/>
              <w:jc w:val="center"/>
              <w:rPr>
                <w:rFonts w:cs="Arial"/>
              </w:rPr>
            </w:pPr>
            <w:r w:rsidRPr="00EC09F6">
              <w:rPr>
                <w:rFonts w:cs="Arial"/>
              </w:rPr>
              <w:t xml:space="preserve">0.74 </w:t>
            </w:r>
          </w:p>
          <w:p w:rsidR="00EA15F1" w:rsidRPr="00EC09F6" w:rsidRDefault="00EA15F1" w:rsidP="004756C1">
            <w:pPr>
              <w:pStyle w:val="TableText0"/>
              <w:spacing w:before="0" w:after="0"/>
              <w:jc w:val="center"/>
              <w:rPr>
                <w:rFonts w:cs="Arial"/>
              </w:rPr>
            </w:pPr>
            <w:r w:rsidRPr="00EC09F6">
              <w:rPr>
                <w:rFonts w:cs="Arial"/>
              </w:rPr>
              <w:t>(0.55, 1.00)</w:t>
            </w:r>
          </w:p>
        </w:tc>
        <w:tc>
          <w:tcPr>
            <w:tcW w:w="579" w:type="pct"/>
            <w:tcBorders>
              <w:top w:val="single" w:sz="4" w:space="0" w:color="auto"/>
              <w:left w:val="single" w:sz="4" w:space="0" w:color="auto"/>
              <w:bottom w:val="single" w:sz="4" w:space="0" w:color="auto"/>
              <w:right w:val="single" w:sz="4" w:space="0" w:color="auto"/>
            </w:tcBorders>
            <w:vAlign w:val="center"/>
          </w:tcPr>
          <w:p w:rsidR="00EA15F1" w:rsidRPr="0024101C" w:rsidRDefault="0024101C" w:rsidP="004756C1">
            <w:pPr>
              <w:pStyle w:val="TableText0"/>
              <w:spacing w:before="0" w:after="0"/>
              <w:jc w:val="center"/>
              <w:rPr>
                <w:rFonts w:cs="Arial"/>
                <w:highlight w:val="black"/>
              </w:rPr>
            </w:pPr>
            <w:r>
              <w:rPr>
                <w:rFonts w:cs="Arial"/>
                <w:noProof/>
                <w:color w:val="000000"/>
                <w:highlight w:val="black"/>
              </w:rPr>
              <w:t xml:space="preserve">'''''''''' </w:t>
            </w:r>
          </w:p>
          <w:p w:rsidR="00EA15F1" w:rsidRPr="00EC09F6" w:rsidRDefault="00EA15F1" w:rsidP="004756C1">
            <w:pPr>
              <w:pStyle w:val="TableText0"/>
              <w:spacing w:before="0" w:after="0"/>
              <w:jc w:val="center"/>
              <w:rPr>
                <w:rFonts w:cs="Arial"/>
              </w:rPr>
            </w:pPr>
            <w:r w:rsidRPr="00EC09F6">
              <w:rPr>
                <w:rFonts w:cs="Arial"/>
              </w:rPr>
              <w:t>(</w:t>
            </w:r>
            <w:r w:rsidR="0024101C">
              <w:rPr>
                <w:rFonts w:cs="Arial"/>
                <w:noProof/>
                <w:color w:val="000000"/>
                <w:highlight w:val="black"/>
              </w:rPr>
              <w:t>''''''''''''' '''''''''''</w:t>
            </w:r>
            <w:r w:rsidRPr="00EC09F6">
              <w:rPr>
                <w:rFonts w:cs="Arial"/>
              </w:rPr>
              <w:t>)</w:t>
            </w:r>
          </w:p>
        </w:tc>
      </w:tr>
    </w:tbl>
    <w:p w:rsidR="004756C1" w:rsidRPr="00EC09F6" w:rsidRDefault="004756C1" w:rsidP="003C1206">
      <w:pPr>
        <w:pStyle w:val="TableFooter"/>
        <w:ind w:left="720"/>
        <w:rPr>
          <w:i/>
        </w:rPr>
      </w:pPr>
      <w:r w:rsidRPr="00EC09F6">
        <w:t xml:space="preserve">Source: Tables 71-72, pp203-204; Tables 73-74, pp206-207; Tables 75-76, pp209-210 of the submission; </w:t>
      </w:r>
      <w:r w:rsidRPr="00EC09F6">
        <w:rPr>
          <w:i/>
        </w:rPr>
        <w:t>Table 6.04, p413 of Study 588 CSR;</w:t>
      </w:r>
      <w:r w:rsidRPr="00EC09F6">
        <w:t xml:space="preserve"> </w:t>
      </w:r>
      <w:r w:rsidRPr="00EC09F6">
        <w:rPr>
          <w:i/>
        </w:rPr>
        <w:t>and individual trial papers</w:t>
      </w:r>
    </w:p>
    <w:p w:rsidR="004756C1" w:rsidRPr="00EC09F6" w:rsidRDefault="004756C1" w:rsidP="003C1206">
      <w:pPr>
        <w:pStyle w:val="TableFooter"/>
        <w:ind w:left="720"/>
      </w:pPr>
      <w:r w:rsidRPr="00EC09F6">
        <w:t xml:space="preserve">CI = confidence interval; </w:t>
      </w:r>
      <w:r w:rsidR="00104078" w:rsidRPr="00EC09F6">
        <w:t xml:space="preserve">Exac = exacerbation; </w:t>
      </w:r>
      <w:r w:rsidRPr="00EC09F6">
        <w:t>MEPO = mepolizumab;</w:t>
      </w:r>
      <w:r w:rsidR="00EA15F1" w:rsidRPr="00EC09F6">
        <w:t xml:space="preserve"> NR = not reported:</w:t>
      </w:r>
      <w:r w:rsidRPr="00EC09F6">
        <w:t xml:space="preserve"> OMAL = omalizumab; RR = rate ratio; SOC = standard of care; </w:t>
      </w:r>
      <w:r w:rsidRPr="00EC09F6">
        <w:rPr>
          <w:b/>
        </w:rPr>
        <w:t>Bold</w:t>
      </w:r>
      <w:r w:rsidRPr="00EC09F6">
        <w:t xml:space="preserve"> = statistically significant result</w:t>
      </w:r>
    </w:p>
    <w:p w:rsidR="004A7A47" w:rsidRPr="00EC09F6" w:rsidRDefault="004A7A47" w:rsidP="004A7A47">
      <w:pPr>
        <w:pStyle w:val="TableFooter"/>
        <w:ind w:firstLine="720"/>
      </w:pPr>
      <w:r w:rsidRPr="00EC09F6">
        <w:rPr>
          <w:vertAlign w:val="superscript"/>
        </w:rPr>
        <w:t>a</w:t>
      </w:r>
      <w:r w:rsidRPr="00EC09F6">
        <w:t xml:space="preserve"> Heterogeneity = 0.931; I</w:t>
      </w:r>
      <w:r w:rsidRPr="00EC09F6">
        <w:rPr>
          <w:vertAlign w:val="superscript"/>
        </w:rPr>
        <w:t>2</w:t>
      </w:r>
      <w:r w:rsidRPr="00EC09F6">
        <w:t xml:space="preserve"> = 0%</w:t>
      </w:r>
    </w:p>
    <w:p w:rsidR="004756C1" w:rsidRPr="00EC09F6" w:rsidRDefault="004A7A47" w:rsidP="00B76BBD">
      <w:pPr>
        <w:pStyle w:val="TableFooter"/>
        <w:ind w:firstLine="720"/>
      </w:pPr>
      <w:r w:rsidRPr="00EC09F6">
        <w:rPr>
          <w:vertAlign w:val="superscript"/>
        </w:rPr>
        <w:t>b</w:t>
      </w:r>
      <w:r w:rsidR="004756C1" w:rsidRPr="00EC09F6">
        <w:t xml:space="preserve"> Study 588 (</w:t>
      </w:r>
      <w:r w:rsidR="004756C1" w:rsidRPr="00EC09F6">
        <w:rPr>
          <w:i/>
        </w:rPr>
        <w:t>post hoc</w:t>
      </w:r>
      <w:r w:rsidR="004756C1" w:rsidRPr="00EC09F6">
        <w:t xml:space="preserve"> subgroup analysis) versus INNOVATE and EXTRA</w:t>
      </w:r>
    </w:p>
    <w:p w:rsidR="004756C1" w:rsidRPr="00EC09F6" w:rsidRDefault="004A7A47" w:rsidP="00104078">
      <w:pPr>
        <w:pStyle w:val="TableFooter"/>
        <w:ind w:firstLine="720"/>
      </w:pPr>
      <w:r w:rsidRPr="00EC09F6">
        <w:rPr>
          <w:vertAlign w:val="superscript"/>
        </w:rPr>
        <w:t>c</w:t>
      </w:r>
      <w:r w:rsidR="004756C1" w:rsidRPr="00EC09F6">
        <w:t xml:space="preserve"> Study 588 (</w:t>
      </w:r>
      <w:r w:rsidR="004756C1" w:rsidRPr="00EC09F6">
        <w:rPr>
          <w:i/>
        </w:rPr>
        <w:t>post hoc</w:t>
      </w:r>
      <w:r w:rsidR="004756C1" w:rsidRPr="00EC09F6">
        <w:t xml:space="preserve"> subgroup analysis) versus INNOVATE</w:t>
      </w:r>
    </w:p>
    <w:p w:rsidR="00CA56F9" w:rsidRPr="00EC09F6" w:rsidRDefault="00CA56F9" w:rsidP="00104078">
      <w:pPr>
        <w:pStyle w:val="TableFooter"/>
        <w:ind w:firstLine="720"/>
      </w:pPr>
    </w:p>
    <w:p w:rsidR="00216FFF" w:rsidRPr="00594BFF" w:rsidRDefault="00CA56F9" w:rsidP="00986DCF">
      <w:pPr>
        <w:pStyle w:val="ListParagraph"/>
        <w:widowControl/>
        <w:numPr>
          <w:ilvl w:val="1"/>
          <w:numId w:val="2"/>
        </w:numPr>
        <w:rPr>
          <w:szCs w:val="22"/>
        </w:rPr>
      </w:pPr>
      <w:r w:rsidRPr="00EC09F6">
        <w:rPr>
          <w:szCs w:val="22"/>
        </w:rPr>
        <w:t>The submission stated that the results of the indirect comparison indicated that patients treated with mepolizumab (100</w:t>
      </w:r>
      <w:r w:rsidR="003935C8" w:rsidRPr="00EC09F6">
        <w:rPr>
          <w:szCs w:val="22"/>
        </w:rPr>
        <w:t> </w:t>
      </w:r>
      <w:r w:rsidRPr="00EC09F6">
        <w:rPr>
          <w:szCs w:val="22"/>
        </w:rPr>
        <w:t xml:space="preserve">mg </w:t>
      </w:r>
      <w:r w:rsidR="007B55D3" w:rsidRPr="00EC09F6">
        <w:rPr>
          <w:szCs w:val="22"/>
        </w:rPr>
        <w:t>subcutaneously (</w:t>
      </w:r>
      <w:r w:rsidRPr="00EC09F6">
        <w:rPr>
          <w:szCs w:val="22"/>
        </w:rPr>
        <w:t>SC</w:t>
      </w:r>
      <w:r w:rsidR="007B55D3" w:rsidRPr="00EC09F6">
        <w:rPr>
          <w:szCs w:val="22"/>
        </w:rPr>
        <w:t>)</w:t>
      </w:r>
      <w:r w:rsidRPr="00EC09F6">
        <w:rPr>
          <w:szCs w:val="22"/>
        </w:rPr>
        <w:t xml:space="preserve">) had a statistically significant reduction in the clinically significant exacerbation rate, compared to those treated with omalizumab (results from double-blind trials only) (rate ratio = 0.64; 95% confidence interval: 0.45, 0.90). </w:t>
      </w:r>
      <w:r w:rsidR="00216FFF" w:rsidRPr="00EC09F6">
        <w:rPr>
          <w:szCs w:val="22"/>
        </w:rPr>
        <w:t>Results from the primary and secondary analyses suggested that there was no statistically significant difference in the rate of clinically significant exacerbations between mepolizumab and omalizumab</w:t>
      </w:r>
      <w:r w:rsidR="00216FFF" w:rsidRPr="00EC09F6">
        <w:rPr>
          <w:i/>
          <w:szCs w:val="22"/>
        </w:rPr>
        <w:t xml:space="preserve">. </w:t>
      </w:r>
      <w:r w:rsidRPr="00594BFF">
        <w:rPr>
          <w:szCs w:val="22"/>
        </w:rPr>
        <w:t>Th</w:t>
      </w:r>
      <w:r w:rsidR="00216FFF" w:rsidRPr="00594BFF">
        <w:rPr>
          <w:szCs w:val="22"/>
        </w:rPr>
        <w:t>e</w:t>
      </w:r>
      <w:r w:rsidRPr="00594BFF">
        <w:rPr>
          <w:szCs w:val="22"/>
        </w:rPr>
        <w:t xml:space="preserve"> </w:t>
      </w:r>
      <w:r w:rsidR="003935C8" w:rsidRPr="00594BFF">
        <w:rPr>
          <w:szCs w:val="22"/>
        </w:rPr>
        <w:t>comparison</w:t>
      </w:r>
      <w:r w:rsidR="00216FFF" w:rsidRPr="00594BFF">
        <w:rPr>
          <w:szCs w:val="22"/>
        </w:rPr>
        <w:t>s</w:t>
      </w:r>
      <w:r w:rsidR="003935C8" w:rsidRPr="00594BFF">
        <w:rPr>
          <w:szCs w:val="22"/>
        </w:rPr>
        <w:t xml:space="preserve"> w</w:t>
      </w:r>
      <w:r w:rsidR="00216FFF" w:rsidRPr="00594BFF">
        <w:rPr>
          <w:szCs w:val="22"/>
        </w:rPr>
        <w:t>ere</w:t>
      </w:r>
      <w:r w:rsidR="003935C8" w:rsidRPr="00594BFF">
        <w:rPr>
          <w:szCs w:val="22"/>
        </w:rPr>
        <w:t xml:space="preserve"> not completely appropriate, as</w:t>
      </w:r>
      <w:r w:rsidR="00216FFF" w:rsidRPr="00594BFF">
        <w:rPr>
          <w:szCs w:val="22"/>
        </w:rPr>
        <w:t>:</w:t>
      </w:r>
    </w:p>
    <w:p w:rsidR="00216FFF" w:rsidRPr="00594BFF" w:rsidRDefault="00216FFF" w:rsidP="00986DCF">
      <w:pPr>
        <w:pStyle w:val="ListParagraph"/>
        <w:widowControl/>
        <w:numPr>
          <w:ilvl w:val="0"/>
          <w:numId w:val="11"/>
        </w:numPr>
        <w:rPr>
          <w:szCs w:val="22"/>
        </w:rPr>
      </w:pPr>
      <w:r w:rsidRPr="00594BFF">
        <w:rPr>
          <w:szCs w:val="22"/>
        </w:rPr>
        <w:t xml:space="preserve">the </w:t>
      </w:r>
      <w:r w:rsidR="003935C8" w:rsidRPr="00594BFF">
        <w:rPr>
          <w:szCs w:val="22"/>
        </w:rPr>
        <w:t xml:space="preserve">mepolizumab and omalizumab </w:t>
      </w:r>
      <w:r w:rsidRPr="00594BFF">
        <w:rPr>
          <w:szCs w:val="22"/>
        </w:rPr>
        <w:t>populations were not completely matched to</w:t>
      </w:r>
      <w:r w:rsidR="004A127B" w:rsidRPr="00594BFF">
        <w:rPr>
          <w:szCs w:val="22"/>
        </w:rPr>
        <w:t xml:space="preserve">: (i) the omalizumab PBS restriction; (ii) the proposed mepolizumab PBS restriction; or (iii) </w:t>
      </w:r>
      <w:r w:rsidRPr="00594BFF">
        <w:rPr>
          <w:szCs w:val="22"/>
        </w:rPr>
        <w:t xml:space="preserve">each other; </w:t>
      </w:r>
    </w:p>
    <w:p w:rsidR="00216FFF" w:rsidRPr="00594BFF" w:rsidRDefault="00216FFF" w:rsidP="00986DCF">
      <w:pPr>
        <w:pStyle w:val="ListParagraph"/>
        <w:widowControl/>
        <w:numPr>
          <w:ilvl w:val="0"/>
          <w:numId w:val="11"/>
        </w:numPr>
        <w:rPr>
          <w:szCs w:val="22"/>
        </w:rPr>
      </w:pPr>
      <w:r w:rsidRPr="00594BFF">
        <w:rPr>
          <w:szCs w:val="22"/>
        </w:rPr>
        <w:t>the definition of clinically significant exacerbation was dissimilar between the mepolizumab and omalizumab trials; and</w:t>
      </w:r>
    </w:p>
    <w:p w:rsidR="00CA56F9" w:rsidRPr="00594BFF" w:rsidRDefault="00216FFF" w:rsidP="00986DCF">
      <w:pPr>
        <w:pStyle w:val="ListParagraph"/>
        <w:widowControl/>
        <w:numPr>
          <w:ilvl w:val="0"/>
          <w:numId w:val="11"/>
        </w:numPr>
        <w:rPr>
          <w:szCs w:val="22"/>
        </w:rPr>
      </w:pPr>
      <w:r w:rsidRPr="00594BFF">
        <w:rPr>
          <w:szCs w:val="22"/>
        </w:rPr>
        <w:t xml:space="preserve">the rates of exacerbations presented were for differing time periods. </w:t>
      </w:r>
    </w:p>
    <w:p w:rsidR="00CA56F9" w:rsidRPr="00EC09F6" w:rsidRDefault="00CA56F9" w:rsidP="00CA56F9">
      <w:pPr>
        <w:rPr>
          <w:i/>
          <w:szCs w:val="22"/>
        </w:rPr>
      </w:pPr>
    </w:p>
    <w:p w:rsidR="00C06FEC" w:rsidRDefault="00C06FEC">
      <w:pPr>
        <w:widowControl/>
        <w:jc w:val="left"/>
        <w:rPr>
          <w:b/>
          <w:i/>
        </w:rPr>
      </w:pPr>
      <w:bookmarkStart w:id="9" w:name="_Toc440887138"/>
      <w:r>
        <w:rPr>
          <w:i/>
        </w:rPr>
        <w:br w:type="page"/>
      </w:r>
    </w:p>
    <w:p w:rsidR="00B60939" w:rsidRPr="00EC09F6" w:rsidRDefault="00B60939" w:rsidP="002C2775">
      <w:pPr>
        <w:pStyle w:val="Heading2"/>
        <w:rPr>
          <w:i/>
        </w:rPr>
      </w:pPr>
      <w:r w:rsidRPr="00EC09F6">
        <w:rPr>
          <w:i/>
        </w:rPr>
        <w:t>Comparative harms</w:t>
      </w:r>
      <w:bookmarkEnd w:id="9"/>
    </w:p>
    <w:p w:rsidR="00B60939" w:rsidRPr="00EC09F6" w:rsidRDefault="00B60939" w:rsidP="00B60939">
      <w:pPr>
        <w:ind w:left="720" w:hanging="720"/>
        <w:rPr>
          <w:szCs w:val="22"/>
        </w:rPr>
      </w:pPr>
    </w:p>
    <w:p w:rsidR="00B60939" w:rsidRPr="00EC09F6" w:rsidRDefault="008C021B" w:rsidP="00986DCF">
      <w:pPr>
        <w:pStyle w:val="ListParagraph"/>
        <w:widowControl/>
        <w:numPr>
          <w:ilvl w:val="1"/>
          <w:numId w:val="2"/>
        </w:numPr>
        <w:rPr>
          <w:szCs w:val="22"/>
        </w:rPr>
      </w:pPr>
      <w:r w:rsidRPr="00EC09F6">
        <w:t>A</w:t>
      </w:r>
      <w:r w:rsidR="00CA56F9" w:rsidRPr="00EC09F6">
        <w:t xml:space="preserve"> summary of the adverse events for mepolizumab, standard of care and omalizumab</w:t>
      </w:r>
      <w:r w:rsidRPr="00EC09F6">
        <w:t xml:space="preserve"> is presented below</w:t>
      </w:r>
      <w:r w:rsidR="00CA56F9" w:rsidRPr="00EC09F6">
        <w:t>.</w:t>
      </w:r>
    </w:p>
    <w:p w:rsidR="00B60939" w:rsidRPr="00EC09F6" w:rsidRDefault="00B60939" w:rsidP="007F1017">
      <w:pPr>
        <w:pStyle w:val="ListParagraph"/>
        <w:ind w:left="0"/>
        <w:rPr>
          <w:szCs w:val="22"/>
        </w:rPr>
      </w:pPr>
    </w:p>
    <w:p w:rsidR="00484EED" w:rsidRPr="00EC09F6" w:rsidRDefault="00484EED" w:rsidP="00104078">
      <w:pPr>
        <w:keepNext/>
        <w:ind w:left="720"/>
        <w:rPr>
          <w:rStyle w:val="CommentReference"/>
        </w:rPr>
      </w:pPr>
      <w:r w:rsidRPr="00EC09F6">
        <w:rPr>
          <w:rStyle w:val="CommentReference"/>
        </w:rPr>
        <w:t xml:space="preserve">Table </w:t>
      </w:r>
      <w:r w:rsidR="00492332">
        <w:rPr>
          <w:rStyle w:val="CommentReference"/>
        </w:rPr>
        <w:t>8</w:t>
      </w:r>
      <w:r w:rsidRPr="00EC09F6">
        <w:rPr>
          <w:rStyle w:val="CommentReference"/>
        </w:rPr>
        <w:t xml:space="preserve">: Summary of adverse events in the mepolizumab and omalizumab randomised trials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7"/>
        <w:gridCol w:w="1700"/>
        <w:gridCol w:w="1557"/>
        <w:gridCol w:w="1561"/>
        <w:gridCol w:w="1559"/>
      </w:tblGrid>
      <w:tr w:rsidR="00EC09F6" w:rsidRPr="00EC09F6" w:rsidTr="00216FFF">
        <w:trPr>
          <w:cantSplit/>
          <w:tblHeader/>
        </w:trPr>
        <w:tc>
          <w:tcPr>
            <w:tcW w:w="1188"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Heading"/>
              <w:spacing w:before="0" w:after="0"/>
              <w:rPr>
                <w:rFonts w:cs="Arial"/>
              </w:rPr>
            </w:pPr>
          </w:p>
        </w:tc>
        <w:tc>
          <w:tcPr>
            <w:tcW w:w="1947" w:type="pct"/>
            <w:gridSpan w:val="2"/>
            <w:tcBorders>
              <w:top w:val="single" w:sz="4" w:space="0" w:color="auto"/>
              <w:left w:val="nil"/>
              <w:bottom w:val="single" w:sz="4" w:space="0" w:color="auto"/>
              <w:right w:val="double" w:sz="4" w:space="0" w:color="auto"/>
            </w:tcBorders>
            <w:vAlign w:val="center"/>
          </w:tcPr>
          <w:p w:rsidR="00216FFF" w:rsidRPr="00EC09F6" w:rsidRDefault="00216FFF" w:rsidP="00104078">
            <w:pPr>
              <w:pStyle w:val="TableHeading"/>
              <w:spacing w:before="0" w:after="0"/>
              <w:jc w:val="center"/>
              <w:rPr>
                <w:rFonts w:cs="Arial"/>
              </w:rPr>
            </w:pPr>
            <w:r w:rsidRPr="00EC09F6">
              <w:rPr>
                <w:rFonts w:cs="Arial"/>
              </w:rPr>
              <w:t>MEPO versus SOC</w:t>
            </w:r>
          </w:p>
        </w:tc>
        <w:tc>
          <w:tcPr>
            <w:tcW w:w="1865" w:type="pct"/>
            <w:gridSpan w:val="2"/>
            <w:tcBorders>
              <w:top w:val="single" w:sz="4" w:space="0" w:color="auto"/>
              <w:left w:val="nil"/>
              <w:bottom w:val="single" w:sz="4" w:space="0" w:color="auto"/>
              <w:right w:val="single" w:sz="4" w:space="0" w:color="auto"/>
            </w:tcBorders>
            <w:vAlign w:val="center"/>
          </w:tcPr>
          <w:p w:rsidR="00216FFF" w:rsidRPr="00EC09F6" w:rsidRDefault="00216FFF" w:rsidP="00104078">
            <w:pPr>
              <w:pStyle w:val="TableHeading"/>
              <w:spacing w:before="0" w:after="0"/>
              <w:jc w:val="center"/>
              <w:rPr>
                <w:rFonts w:cs="Arial"/>
              </w:rPr>
            </w:pPr>
            <w:r w:rsidRPr="00EC09F6">
              <w:rPr>
                <w:rFonts w:cs="Arial"/>
              </w:rPr>
              <w:t>OMAL versus SOC</w:t>
            </w:r>
          </w:p>
        </w:tc>
      </w:tr>
      <w:tr w:rsidR="00EC09F6" w:rsidRPr="00EC09F6" w:rsidTr="00216FFF">
        <w:trPr>
          <w:cantSplit/>
          <w:tblHeader/>
        </w:trPr>
        <w:tc>
          <w:tcPr>
            <w:tcW w:w="1188" w:type="pct"/>
            <w:vMerge/>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Text0"/>
              <w:spacing w:before="0" w:after="0"/>
              <w:rPr>
                <w:rFonts w:cs="Arial"/>
              </w:rPr>
            </w:pP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9A355A">
            <w:pPr>
              <w:pStyle w:val="TableHeading"/>
              <w:spacing w:before="0" w:after="0"/>
              <w:jc w:val="center"/>
              <w:rPr>
                <w:rFonts w:cs="Arial"/>
              </w:rPr>
            </w:pPr>
            <w:r w:rsidRPr="00EC09F6">
              <w:rPr>
                <w:rFonts w:cs="Arial"/>
              </w:rPr>
              <w:t>MEPO 100 mg SC</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104078">
            <w:pPr>
              <w:pStyle w:val="TableHeading"/>
              <w:spacing w:before="0" w:after="0"/>
              <w:jc w:val="center"/>
              <w:rPr>
                <w:rFonts w:cs="Arial"/>
              </w:rPr>
            </w:pPr>
            <w:r w:rsidRPr="00EC09F6">
              <w:rPr>
                <w:rFonts w:cs="Arial"/>
              </w:rPr>
              <w:t>SOC</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104078">
            <w:pPr>
              <w:pStyle w:val="TableHeading"/>
              <w:spacing w:before="0" w:after="0"/>
              <w:jc w:val="center"/>
              <w:rPr>
                <w:rFonts w:cs="Arial"/>
              </w:rPr>
            </w:pPr>
            <w:r w:rsidRPr="00EC09F6">
              <w:rPr>
                <w:rFonts w:cs="Arial"/>
              </w:rPr>
              <w:t>SOC</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Heading"/>
              <w:spacing w:before="0" w:after="0"/>
              <w:jc w:val="center"/>
              <w:rPr>
                <w:rFonts w:cs="Arial"/>
              </w:rPr>
            </w:pPr>
            <w:r w:rsidRPr="00EC09F6">
              <w:rPr>
                <w:rFonts w:cs="Arial"/>
              </w:rPr>
              <w:t>OMAL</w:t>
            </w:r>
          </w:p>
        </w:tc>
      </w:tr>
      <w:tr w:rsidR="00EC09F6" w:rsidRPr="00EC09F6" w:rsidTr="009A355A">
        <w:trPr>
          <w:cantSplit/>
        </w:trPr>
        <w:tc>
          <w:tcPr>
            <w:tcW w:w="5000" w:type="pct"/>
            <w:gridSpan w:val="5"/>
            <w:tcBorders>
              <w:top w:val="single" w:sz="4" w:space="0" w:color="auto"/>
              <w:left w:val="single" w:sz="4" w:space="0" w:color="auto"/>
              <w:bottom w:val="single" w:sz="4" w:space="0" w:color="auto"/>
              <w:right w:val="single" w:sz="4" w:space="0" w:color="auto"/>
            </w:tcBorders>
            <w:tcMar>
              <w:right w:w="28" w:type="dxa"/>
            </w:tcMar>
            <w:vAlign w:val="center"/>
          </w:tcPr>
          <w:p w:rsidR="009A355A" w:rsidRPr="00EC09F6" w:rsidRDefault="00AD0E2E" w:rsidP="00104078">
            <w:pPr>
              <w:pStyle w:val="TableText0"/>
              <w:spacing w:before="0" w:after="0"/>
              <w:rPr>
                <w:rFonts w:cs="Arial"/>
                <w:b/>
              </w:rPr>
            </w:pPr>
            <w:r w:rsidRPr="00EC09F6">
              <w:rPr>
                <w:rFonts w:cs="Arial"/>
                <w:b/>
              </w:rPr>
              <w:t>Any adverse event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Text0"/>
              <w:spacing w:before="0" w:after="0"/>
              <w:rPr>
                <w:rFonts w:cs="Arial"/>
              </w:rPr>
            </w:pPr>
            <w:r w:rsidRPr="00EC09F6">
              <w:rPr>
                <w:rFonts w:cs="Arial"/>
              </w:rPr>
              <w:t>Study 588 (32</w:t>
            </w:r>
            <w:r w:rsidRPr="00EC09F6">
              <w:rPr>
                <w:rFonts w:cs="Arial"/>
                <w:vertAlign w:val="superscript"/>
              </w:rPr>
              <w:t xml:space="preserve"> </w:t>
            </w:r>
            <w:r w:rsidRPr="00EC09F6">
              <w:rPr>
                <w:rFonts w:cs="Arial"/>
              </w:rPr>
              <w:t>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152/194 (78%)</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594BFF" w:rsidRDefault="00216FFF" w:rsidP="00104078">
            <w:pPr>
              <w:pStyle w:val="TableText0"/>
              <w:spacing w:before="0" w:after="0"/>
              <w:jc w:val="center"/>
              <w:rPr>
                <w:rFonts w:cs="Arial"/>
              </w:rPr>
            </w:pPr>
            <w:r w:rsidRPr="00594BFF">
              <w:rPr>
                <w:rFonts w:cs="Arial"/>
              </w:rPr>
              <w:t>158/191 (83%)</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Text0"/>
              <w:spacing w:before="0" w:after="0"/>
              <w:rPr>
                <w:rFonts w:cs="Arial"/>
              </w:rPr>
            </w:pPr>
            <w:r w:rsidRPr="00EC09F6">
              <w:rPr>
                <w:rFonts w:cs="Arial"/>
              </w:rPr>
              <w:t>Study 575 (24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57/69 (83%)</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61/66 (92%)</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i/>
              </w:rPr>
            </w:pPr>
            <w:r w:rsidRPr="00EC09F6">
              <w:rPr>
                <w:rFonts w:cs="Arial"/>
                <w:i/>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i/>
              </w:rPr>
            </w:pPr>
            <w:r w:rsidRPr="00EC09F6">
              <w:rPr>
                <w:rFonts w:cs="Arial"/>
                <w:i/>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Text0"/>
              <w:spacing w:before="0" w:after="0"/>
              <w:rPr>
                <w:rFonts w:cs="Arial"/>
              </w:rPr>
            </w:pPr>
            <w:r w:rsidRPr="00EC09F6">
              <w:rPr>
                <w:rFonts w:cs="Arial"/>
              </w:rPr>
              <w:t xml:space="preserve">INNOVATE (28 weeks) </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i/>
              </w:rPr>
            </w:pPr>
            <w:r w:rsidRPr="00EC09F6">
              <w:rPr>
                <w:rFonts w:cs="Arial"/>
                <w:i/>
              </w:rPr>
              <w:t>159/237 (67%)</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i/>
              </w:rPr>
            </w:pPr>
            <w:r w:rsidRPr="00EC09F6">
              <w:rPr>
                <w:rFonts w:cs="Arial"/>
                <w:i/>
              </w:rPr>
              <w:t>151/245 (62%)</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062BED">
            <w:pPr>
              <w:pStyle w:val="TableText0"/>
              <w:spacing w:before="0" w:after="0"/>
              <w:rPr>
                <w:rFonts w:cs="Arial"/>
              </w:rPr>
            </w:pPr>
            <w:r w:rsidRPr="00EC09F6">
              <w:rPr>
                <w:rFonts w:cs="Arial"/>
              </w:rPr>
              <w:t>EXALT (32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65/128 (51%)</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140/274 (51%)</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104078">
            <w:pPr>
              <w:pStyle w:val="TableText0"/>
              <w:spacing w:before="0" w:after="0"/>
              <w:rPr>
                <w:rFonts w:cs="Arial"/>
              </w:rPr>
            </w:pPr>
            <w:r w:rsidRPr="00EC09F6">
              <w:rPr>
                <w:rFonts w:cs="Arial"/>
              </w:rPr>
              <w:t>EXTRA (48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104078">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594BFF" w:rsidRDefault="00216FFF" w:rsidP="00104078">
            <w:pPr>
              <w:pStyle w:val="TableText0"/>
              <w:spacing w:before="0" w:after="0"/>
              <w:jc w:val="center"/>
              <w:rPr>
                <w:rFonts w:cs="Arial"/>
              </w:rPr>
            </w:pPr>
            <w:r w:rsidRPr="00594BFF">
              <w:rPr>
                <w:rFonts w:cs="Arial"/>
              </w:rPr>
              <w:t>334/420 (80%)</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594BFF" w:rsidRDefault="00216FFF" w:rsidP="00104078">
            <w:pPr>
              <w:pStyle w:val="TableText0"/>
              <w:spacing w:before="0" w:after="0"/>
              <w:jc w:val="center"/>
              <w:rPr>
                <w:rFonts w:cs="Arial"/>
              </w:rPr>
            </w:pPr>
            <w:r w:rsidRPr="00594BFF">
              <w:rPr>
                <w:rFonts w:cs="Arial"/>
              </w:rPr>
              <w:t>344/428 (80%)</w:t>
            </w:r>
          </w:p>
        </w:tc>
      </w:tr>
      <w:tr w:rsidR="00EC09F6" w:rsidRPr="00EC09F6" w:rsidTr="009A355A">
        <w:trPr>
          <w:cantSplit/>
        </w:trPr>
        <w:tc>
          <w:tcPr>
            <w:tcW w:w="5000" w:type="pct"/>
            <w:gridSpan w:val="5"/>
            <w:tcBorders>
              <w:top w:val="single" w:sz="4" w:space="0" w:color="auto"/>
              <w:left w:val="single" w:sz="4" w:space="0" w:color="auto"/>
              <w:bottom w:val="single" w:sz="4" w:space="0" w:color="auto"/>
              <w:right w:val="single" w:sz="4" w:space="0" w:color="auto"/>
            </w:tcBorders>
            <w:tcMar>
              <w:right w:w="28" w:type="dxa"/>
            </w:tcMar>
            <w:vAlign w:val="center"/>
          </w:tcPr>
          <w:p w:rsidR="009A355A" w:rsidRPr="00EC09F6" w:rsidRDefault="00AD0E2E" w:rsidP="00C037B2">
            <w:pPr>
              <w:pStyle w:val="TableText0"/>
              <w:spacing w:before="0" w:after="0"/>
              <w:rPr>
                <w:rFonts w:cs="Arial"/>
                <w:b/>
              </w:rPr>
            </w:pPr>
            <w:r w:rsidRPr="00EC09F6">
              <w:rPr>
                <w:rFonts w:cs="Arial"/>
                <w:b/>
              </w:rPr>
              <w:t>Serious adverse event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Study 588 (32</w:t>
            </w:r>
            <w:r w:rsidRPr="00EC09F6">
              <w:rPr>
                <w:rFonts w:cs="Arial"/>
                <w:vertAlign w:val="superscript"/>
              </w:rPr>
              <w:t xml:space="preserve"> </w:t>
            </w:r>
            <w:r w:rsidRPr="00EC09F6">
              <w:rPr>
                <w:rFonts w:cs="Arial"/>
              </w:rPr>
              <w:t>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16/194 (8%)</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27/191 (14%)</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Study 575 (24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1/69 (1%)</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12/66 (18%)</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 xml:space="preserve">INNOVATE (28 weeks) </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0</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1/245 (&lt; 1%)</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062BED">
            <w:pPr>
              <w:pStyle w:val="TableText0"/>
              <w:spacing w:before="0" w:after="0"/>
              <w:rPr>
                <w:rFonts w:cs="Arial"/>
              </w:rPr>
            </w:pPr>
            <w:r w:rsidRPr="00EC09F6">
              <w:rPr>
                <w:rFonts w:cs="Arial"/>
              </w:rPr>
              <w:t>EXALT (32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11/128 (9%)</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24/274 (9%)</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EXTRA (48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44/420 (11%)</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40/428 (9%)</w:t>
            </w:r>
          </w:p>
        </w:tc>
      </w:tr>
      <w:tr w:rsidR="00EC09F6" w:rsidRPr="00EC09F6" w:rsidTr="009A355A">
        <w:trPr>
          <w:cantSplit/>
        </w:trPr>
        <w:tc>
          <w:tcPr>
            <w:tcW w:w="5000" w:type="pct"/>
            <w:gridSpan w:val="5"/>
            <w:tcBorders>
              <w:top w:val="single" w:sz="4" w:space="0" w:color="auto"/>
              <w:left w:val="single" w:sz="4" w:space="0" w:color="auto"/>
              <w:bottom w:val="single" w:sz="4" w:space="0" w:color="auto"/>
              <w:right w:val="single" w:sz="4" w:space="0" w:color="auto"/>
            </w:tcBorders>
            <w:tcMar>
              <w:right w:w="28" w:type="dxa"/>
            </w:tcMar>
            <w:vAlign w:val="center"/>
          </w:tcPr>
          <w:p w:rsidR="009A355A" w:rsidRPr="00EC09F6" w:rsidRDefault="00AD0E2E" w:rsidP="00C037B2">
            <w:pPr>
              <w:pStyle w:val="TableText0"/>
              <w:spacing w:before="0" w:after="0"/>
              <w:rPr>
                <w:rFonts w:cs="Arial"/>
                <w:b/>
              </w:rPr>
            </w:pPr>
            <w:r w:rsidRPr="00EC09F6">
              <w:rPr>
                <w:rFonts w:cs="Arial"/>
                <w:b/>
              </w:rPr>
              <w:t>Adverse event</w:t>
            </w:r>
            <w:r w:rsidR="009A355A" w:rsidRPr="00EC09F6">
              <w:rPr>
                <w:rFonts w:cs="Arial"/>
                <w:b/>
              </w:rPr>
              <w:t xml:space="preserve"> resulting in withdrawal from trial</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Study 588 (32</w:t>
            </w:r>
            <w:r w:rsidRPr="00EC09F6">
              <w:rPr>
                <w:rFonts w:cs="Arial"/>
                <w:vertAlign w:val="superscript"/>
              </w:rPr>
              <w:t xml:space="preserve"> </w:t>
            </w:r>
            <w:r w:rsidRPr="00EC09F6">
              <w:rPr>
                <w:rFonts w:cs="Arial"/>
              </w:rPr>
              <w:t>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1/194 (&lt; 1%)</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4/191 (2%)</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Study 575 (24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 xml:space="preserve">3/69 (4%) </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3/66 (5%)</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 xml:space="preserve">INNOVATE (28 weeks) </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4/237 (2%)</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11/245 (5%)</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062BED">
            <w:pPr>
              <w:pStyle w:val="TableText0"/>
              <w:spacing w:before="0" w:after="0"/>
              <w:rPr>
                <w:rFonts w:cs="Arial"/>
              </w:rPr>
            </w:pPr>
            <w:r w:rsidRPr="00EC09F6">
              <w:rPr>
                <w:rFonts w:cs="Arial"/>
              </w:rPr>
              <w:t>EXALT (32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4/128 (3%)</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062BED">
            <w:pPr>
              <w:pStyle w:val="TableText0"/>
              <w:spacing w:before="0" w:after="0"/>
              <w:jc w:val="center"/>
              <w:rPr>
                <w:rFonts w:cs="Arial"/>
              </w:rPr>
            </w:pPr>
            <w:r w:rsidRPr="00EC09F6">
              <w:rPr>
                <w:rFonts w:cs="Arial"/>
              </w:rPr>
              <w:t>13/274 (5%)</w:t>
            </w:r>
          </w:p>
        </w:tc>
      </w:tr>
      <w:tr w:rsidR="00EC09F6" w:rsidRPr="00EC09F6" w:rsidTr="00216FFF">
        <w:trPr>
          <w:cantSplit/>
        </w:trPr>
        <w:tc>
          <w:tcPr>
            <w:tcW w:w="1188" w:type="pct"/>
            <w:tcBorders>
              <w:top w:val="single" w:sz="4" w:space="0" w:color="auto"/>
              <w:left w:val="single" w:sz="4" w:space="0" w:color="auto"/>
              <w:bottom w:val="single" w:sz="4" w:space="0" w:color="auto"/>
              <w:right w:val="single" w:sz="4" w:space="0" w:color="auto"/>
            </w:tcBorders>
            <w:tcMar>
              <w:right w:w="28" w:type="dxa"/>
            </w:tcMar>
            <w:vAlign w:val="center"/>
          </w:tcPr>
          <w:p w:rsidR="00216FFF" w:rsidRPr="00EC09F6" w:rsidRDefault="00216FFF" w:rsidP="00C037B2">
            <w:pPr>
              <w:pStyle w:val="TableText0"/>
              <w:spacing w:before="0" w:after="0"/>
              <w:rPr>
                <w:rFonts w:cs="Arial"/>
              </w:rPr>
            </w:pPr>
            <w:r w:rsidRPr="00EC09F6">
              <w:rPr>
                <w:rFonts w:cs="Arial"/>
              </w:rPr>
              <w:t>EXTRA (48 weeks)</w:t>
            </w:r>
          </w:p>
        </w:tc>
        <w:tc>
          <w:tcPr>
            <w:tcW w:w="1016"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1" w:type="pct"/>
            <w:tcBorders>
              <w:top w:val="single" w:sz="4" w:space="0" w:color="auto"/>
              <w:left w:val="single" w:sz="4" w:space="0" w:color="auto"/>
              <w:bottom w:val="single" w:sz="4" w:space="0" w:color="auto"/>
              <w:right w:val="doub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w:t>
            </w:r>
          </w:p>
        </w:tc>
        <w:tc>
          <w:tcPr>
            <w:tcW w:w="933" w:type="pct"/>
            <w:tcBorders>
              <w:top w:val="single" w:sz="4" w:space="0" w:color="auto"/>
              <w:left w:val="doub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10/420 (2%)</w:t>
            </w:r>
          </w:p>
        </w:tc>
        <w:tc>
          <w:tcPr>
            <w:tcW w:w="932" w:type="pct"/>
            <w:tcBorders>
              <w:top w:val="single" w:sz="4" w:space="0" w:color="auto"/>
              <w:left w:val="single" w:sz="4" w:space="0" w:color="auto"/>
              <w:bottom w:val="single" w:sz="4" w:space="0" w:color="auto"/>
              <w:right w:val="single" w:sz="4" w:space="0" w:color="auto"/>
            </w:tcBorders>
            <w:vAlign w:val="center"/>
          </w:tcPr>
          <w:p w:rsidR="00216FFF" w:rsidRPr="00EC09F6" w:rsidRDefault="00216FFF" w:rsidP="00C037B2">
            <w:pPr>
              <w:pStyle w:val="TableText0"/>
              <w:spacing w:before="0" w:after="0"/>
              <w:jc w:val="center"/>
              <w:rPr>
                <w:rFonts w:cs="Arial"/>
              </w:rPr>
            </w:pPr>
            <w:r w:rsidRPr="00EC09F6">
              <w:rPr>
                <w:rFonts w:cs="Arial"/>
              </w:rPr>
              <w:t>16/428 (4%)</w:t>
            </w:r>
          </w:p>
        </w:tc>
      </w:tr>
    </w:tbl>
    <w:p w:rsidR="00484EED" w:rsidRPr="00EC09F6" w:rsidRDefault="00484EED" w:rsidP="00484EED">
      <w:pPr>
        <w:pStyle w:val="TableFooter"/>
        <w:ind w:firstLine="720"/>
      </w:pPr>
      <w:r w:rsidRPr="00EC09F6">
        <w:t>Source: Table 47, p138; Table 83, p221 of the submission</w:t>
      </w:r>
    </w:p>
    <w:p w:rsidR="00484EED" w:rsidRPr="00EC09F6" w:rsidRDefault="00484EED" w:rsidP="00484EED">
      <w:pPr>
        <w:pStyle w:val="TableFooter"/>
        <w:ind w:left="720"/>
      </w:pPr>
      <w:r w:rsidRPr="00EC09F6">
        <w:t>MEPO = mepolizumab; OMAL = omalizumab; SC = subcutaneous; SOC = standard of care</w:t>
      </w:r>
    </w:p>
    <w:p w:rsidR="00CA56F9" w:rsidRPr="00EC09F6" w:rsidRDefault="00CA56F9" w:rsidP="00484EED">
      <w:pPr>
        <w:pStyle w:val="TableFooter"/>
        <w:ind w:firstLine="720"/>
      </w:pPr>
    </w:p>
    <w:p w:rsidR="00CA56F9" w:rsidRPr="00EC09F6" w:rsidRDefault="00CA56F9" w:rsidP="00986DCF">
      <w:pPr>
        <w:pStyle w:val="ListParagraph"/>
        <w:widowControl/>
        <w:numPr>
          <w:ilvl w:val="1"/>
          <w:numId w:val="2"/>
        </w:numPr>
        <w:rPr>
          <w:szCs w:val="22"/>
        </w:rPr>
      </w:pPr>
      <w:r w:rsidRPr="00EC09F6">
        <w:t>The most commonly experienced adverse events with mepolizumab therapy included headache (2</w:t>
      </w:r>
      <w:r w:rsidR="009D1864" w:rsidRPr="00EC09F6">
        <w:t>-</w:t>
      </w:r>
      <w:r w:rsidRPr="00EC09F6">
        <w:t>7% of patients), nausea (0</w:t>
      </w:r>
      <w:r w:rsidR="009D1864" w:rsidRPr="00EC09F6">
        <w:t>-</w:t>
      </w:r>
      <w:r w:rsidRPr="00EC09F6">
        <w:t>5%) and injection site reactions (2</w:t>
      </w:r>
      <w:r w:rsidR="009D1864" w:rsidRPr="00EC09F6">
        <w:t>-</w:t>
      </w:r>
      <w:r w:rsidRPr="00EC09F6">
        <w:t>7%).</w:t>
      </w:r>
    </w:p>
    <w:p w:rsidR="00484EED" w:rsidRPr="00EC09F6" w:rsidRDefault="00484EED" w:rsidP="007F1017">
      <w:pPr>
        <w:pStyle w:val="ListParagraph"/>
        <w:ind w:left="0"/>
        <w:rPr>
          <w:szCs w:val="22"/>
        </w:rPr>
      </w:pPr>
    </w:p>
    <w:p w:rsidR="007F1017" w:rsidRPr="00EC09F6" w:rsidRDefault="007F1017" w:rsidP="009D1864">
      <w:pPr>
        <w:pStyle w:val="Heading2"/>
        <w:keepNext/>
        <w:widowControl/>
        <w:rPr>
          <w:i/>
          <w:szCs w:val="22"/>
        </w:rPr>
      </w:pPr>
      <w:bookmarkStart w:id="10" w:name="_Toc440887139"/>
      <w:r w:rsidRPr="00EC09F6">
        <w:rPr>
          <w:i/>
        </w:rPr>
        <w:t>Benefits/harms</w:t>
      </w:r>
      <w:bookmarkEnd w:id="10"/>
    </w:p>
    <w:p w:rsidR="007F1017" w:rsidRPr="00EC09F6" w:rsidRDefault="007F1017" w:rsidP="009D1864">
      <w:pPr>
        <w:keepNext/>
        <w:widowControl/>
      </w:pPr>
    </w:p>
    <w:p w:rsidR="00EC00C9" w:rsidRPr="00EC09F6" w:rsidRDefault="00EC00C9" w:rsidP="00986DCF">
      <w:pPr>
        <w:pStyle w:val="ListParagraph"/>
        <w:keepNext/>
        <w:widowControl/>
        <w:numPr>
          <w:ilvl w:val="1"/>
          <w:numId w:val="2"/>
        </w:numPr>
        <w:rPr>
          <w:szCs w:val="22"/>
        </w:rPr>
      </w:pPr>
      <w:r w:rsidRPr="00EC09F6">
        <w:rPr>
          <w:szCs w:val="22"/>
        </w:rPr>
        <w:t xml:space="preserve">A summary of the comparative benefits and harms for </w:t>
      </w:r>
      <w:r w:rsidR="00276C72" w:rsidRPr="00EC09F6">
        <w:rPr>
          <w:szCs w:val="22"/>
        </w:rPr>
        <w:t>mepolizumab versus standard of care</w:t>
      </w:r>
      <w:r w:rsidRPr="00EC09F6">
        <w:rPr>
          <w:szCs w:val="22"/>
        </w:rPr>
        <w:t xml:space="preserve"> is presented in the table below.</w:t>
      </w:r>
      <w:r w:rsidR="00410708" w:rsidRPr="00EC09F6">
        <w:rPr>
          <w:szCs w:val="22"/>
        </w:rPr>
        <w:t xml:space="preserve"> </w:t>
      </w:r>
    </w:p>
    <w:p w:rsidR="00162913" w:rsidRPr="00EC09F6" w:rsidRDefault="00162913" w:rsidP="004B1CB4"/>
    <w:p w:rsidR="00372132" w:rsidRPr="00EC09F6" w:rsidRDefault="00372132" w:rsidP="00372132">
      <w:pPr>
        <w:keepNext/>
        <w:ind w:left="720"/>
        <w:rPr>
          <w:rStyle w:val="CommentReference"/>
        </w:rPr>
      </w:pPr>
      <w:r w:rsidRPr="00EC09F6">
        <w:rPr>
          <w:rStyle w:val="CommentReference"/>
        </w:rPr>
        <w:t xml:space="preserve">Table </w:t>
      </w:r>
      <w:r>
        <w:rPr>
          <w:rStyle w:val="CommentReference"/>
        </w:rPr>
        <w:t>9</w:t>
      </w:r>
      <w:r w:rsidRPr="00EC09F6">
        <w:rPr>
          <w:rStyle w:val="CommentReference"/>
        </w:rPr>
        <w:t>: Direct comparison - Summary of comparative benefits and harms for mepolizumab and standard of care (ITT population)</w:t>
      </w:r>
    </w:p>
    <w:tbl>
      <w:tblPr>
        <w:tblStyle w:val="TableGrid"/>
        <w:tblW w:w="4625" w:type="pct"/>
        <w:tblInd w:w="698" w:type="dxa"/>
        <w:tblLayout w:type="fixed"/>
        <w:tblCellMar>
          <w:left w:w="28" w:type="dxa"/>
          <w:right w:w="28" w:type="dxa"/>
        </w:tblCellMar>
        <w:tblLook w:val="04A0" w:firstRow="1" w:lastRow="0" w:firstColumn="1" w:lastColumn="0" w:noHBand="0" w:noVBand="1"/>
        <w:tblCaption w:val="Table 9: Direct comparison - Summary of comparative benefits and harms for mepolizumab and standard of care (ITT population)"/>
      </w:tblPr>
      <w:tblGrid>
        <w:gridCol w:w="1036"/>
        <w:gridCol w:w="139"/>
        <w:gridCol w:w="850"/>
        <w:gridCol w:w="422"/>
        <w:gridCol w:w="459"/>
        <w:gridCol w:w="676"/>
        <w:gridCol w:w="178"/>
        <w:gridCol w:w="1249"/>
        <w:gridCol w:w="27"/>
        <w:gridCol w:w="12"/>
        <w:gridCol w:w="951"/>
        <w:gridCol w:w="7"/>
        <w:gridCol w:w="839"/>
        <w:gridCol w:w="8"/>
        <w:gridCol w:w="139"/>
        <w:gridCol w:w="1410"/>
      </w:tblGrid>
      <w:tr w:rsidR="00372132" w:rsidRPr="00EC09F6" w:rsidTr="00A242F1">
        <w:trPr>
          <w:tblHeader/>
        </w:trPr>
        <w:tc>
          <w:tcPr>
            <w:tcW w:w="5000" w:type="pct"/>
            <w:gridSpan w:val="16"/>
            <w:shd w:val="clear" w:color="auto" w:fill="auto"/>
            <w:vAlign w:val="center"/>
          </w:tcPr>
          <w:p w:rsidR="00372132" w:rsidRPr="005F4FA2" w:rsidRDefault="00372132" w:rsidP="00372132">
            <w:pPr>
              <w:keepNext/>
              <w:rPr>
                <w:rFonts w:ascii="Arial Narrow" w:hAnsi="Arial Narrow"/>
                <w:b/>
                <w:sz w:val="20"/>
                <w:szCs w:val="18"/>
              </w:rPr>
            </w:pPr>
            <w:r w:rsidRPr="005F4FA2">
              <w:rPr>
                <w:rFonts w:ascii="Arial Narrow" w:hAnsi="Arial Narrow"/>
                <w:b/>
                <w:sz w:val="20"/>
                <w:szCs w:val="18"/>
              </w:rPr>
              <w:t>BENEFITS</w:t>
            </w:r>
          </w:p>
        </w:tc>
      </w:tr>
      <w:tr w:rsidR="00372132" w:rsidRPr="00EC09F6" w:rsidTr="00372132">
        <w:trPr>
          <w:trHeight w:val="60"/>
          <w:tblHeader/>
        </w:trPr>
        <w:tc>
          <w:tcPr>
            <w:tcW w:w="617" w:type="pct"/>
            <w:vMerge w:val="restart"/>
            <w:shd w:val="clear" w:color="auto" w:fill="auto"/>
            <w:vAlign w:val="center"/>
          </w:tcPr>
          <w:p w:rsidR="00372132" w:rsidRPr="005F4FA2" w:rsidRDefault="00372132" w:rsidP="00372132">
            <w:pPr>
              <w:keepNext/>
              <w:rPr>
                <w:rFonts w:ascii="Arial Narrow" w:hAnsi="Arial Narrow"/>
                <w:b/>
                <w:sz w:val="20"/>
                <w:szCs w:val="18"/>
              </w:rPr>
            </w:pPr>
          </w:p>
        </w:tc>
        <w:tc>
          <w:tcPr>
            <w:tcW w:w="1113" w:type="pct"/>
            <w:gridSpan w:val="4"/>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MEPO</w:t>
            </w:r>
          </w:p>
        </w:tc>
        <w:tc>
          <w:tcPr>
            <w:tcW w:w="508"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759" w:type="pct"/>
            <w:gridSpan w:val="2"/>
            <w:vMerge w:val="restart"/>
            <w:vAlign w:val="center"/>
          </w:tcPr>
          <w:p w:rsidR="00372132" w:rsidRPr="005F4FA2" w:rsidRDefault="00372132" w:rsidP="00372132">
            <w:pPr>
              <w:keepNext/>
              <w:jc w:val="center"/>
              <w:rPr>
                <w:rFonts w:ascii="Arial Narrow" w:hAnsi="Arial Narrow"/>
                <w:b/>
                <w:sz w:val="20"/>
                <w:szCs w:val="18"/>
                <w:vertAlign w:val="superscript"/>
              </w:rPr>
            </w:pPr>
            <w:r w:rsidRPr="005F4FA2">
              <w:rPr>
                <w:rFonts w:ascii="Arial Narrow" w:hAnsi="Arial Narrow"/>
                <w:b/>
                <w:sz w:val="20"/>
                <w:szCs w:val="18"/>
              </w:rPr>
              <w:t>RR</w:t>
            </w:r>
          </w:p>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(95% CI)</w:t>
            </w:r>
          </w:p>
        </w:tc>
        <w:tc>
          <w:tcPr>
            <w:tcW w:w="1081" w:type="pct"/>
            <w:gridSpan w:val="5"/>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 xml:space="preserve">Percent of patients* </w:t>
            </w:r>
          </w:p>
        </w:tc>
        <w:tc>
          <w:tcPr>
            <w:tcW w:w="921"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RD</w:t>
            </w:r>
          </w:p>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(95% CI)</w:t>
            </w:r>
          </w:p>
        </w:tc>
      </w:tr>
      <w:tr w:rsidR="00372132" w:rsidRPr="00EC09F6" w:rsidTr="00372132">
        <w:trPr>
          <w:trHeight w:val="60"/>
          <w:tblHeader/>
        </w:trPr>
        <w:tc>
          <w:tcPr>
            <w:tcW w:w="617" w:type="pct"/>
            <w:vMerge/>
            <w:tcBorders>
              <w:bottom w:val="single" w:sz="4" w:space="0" w:color="auto"/>
            </w:tcBorders>
            <w:shd w:val="clear" w:color="auto" w:fill="auto"/>
            <w:vAlign w:val="center"/>
          </w:tcPr>
          <w:p w:rsidR="00372132" w:rsidRPr="005F4FA2" w:rsidRDefault="00372132" w:rsidP="00372132">
            <w:pPr>
              <w:keepNext/>
              <w:rPr>
                <w:rFonts w:ascii="Arial Narrow" w:hAnsi="Arial Narrow"/>
                <w:b/>
                <w:sz w:val="20"/>
                <w:szCs w:val="18"/>
              </w:rPr>
            </w:pPr>
          </w:p>
        </w:tc>
        <w:tc>
          <w:tcPr>
            <w:tcW w:w="589" w:type="pct"/>
            <w:gridSpan w:val="2"/>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100 mg SC</w:t>
            </w:r>
          </w:p>
        </w:tc>
        <w:tc>
          <w:tcPr>
            <w:tcW w:w="524" w:type="pct"/>
            <w:gridSpan w:val="2"/>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75 mg IV</w:t>
            </w:r>
          </w:p>
        </w:tc>
        <w:tc>
          <w:tcPr>
            <w:tcW w:w="508" w:type="pct"/>
            <w:gridSpan w:val="2"/>
            <w:vMerge/>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p>
        </w:tc>
        <w:tc>
          <w:tcPr>
            <w:tcW w:w="759" w:type="pct"/>
            <w:gridSpan w:val="2"/>
            <w:vMerge/>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p>
        </w:tc>
        <w:tc>
          <w:tcPr>
            <w:tcW w:w="573" w:type="pct"/>
            <w:gridSpan w:val="2"/>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MEPO</w:t>
            </w:r>
          </w:p>
        </w:tc>
        <w:tc>
          <w:tcPr>
            <w:tcW w:w="508" w:type="pct"/>
            <w:gridSpan w:val="3"/>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921" w:type="pct"/>
            <w:gridSpan w:val="2"/>
            <w:vMerge/>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p>
        </w:tc>
      </w:tr>
      <w:tr w:rsidR="00372132" w:rsidRPr="00EC09F6" w:rsidTr="00372132">
        <w:trPr>
          <w:trHeight w:val="60"/>
        </w:trPr>
        <w:tc>
          <w:tcPr>
            <w:tcW w:w="5000" w:type="pct"/>
            <w:gridSpan w:val="16"/>
            <w:shd w:val="clear" w:color="auto" w:fill="auto"/>
            <w:vAlign w:val="center"/>
          </w:tcPr>
          <w:p w:rsidR="00372132" w:rsidRPr="005F4FA2" w:rsidRDefault="00372132" w:rsidP="00372132">
            <w:pPr>
              <w:keepNext/>
              <w:rPr>
                <w:rFonts w:ascii="Arial Narrow" w:hAnsi="Arial Narrow"/>
                <w:b/>
                <w:sz w:val="20"/>
                <w:szCs w:val="18"/>
              </w:rPr>
            </w:pPr>
            <w:r w:rsidRPr="005F4FA2">
              <w:rPr>
                <w:rFonts w:ascii="Arial Narrow" w:hAnsi="Arial Narrow"/>
                <w:b/>
                <w:sz w:val="20"/>
                <w:szCs w:val="18"/>
              </w:rPr>
              <w:t>Number of patients with exacerbation/s</w:t>
            </w:r>
          </w:p>
        </w:tc>
      </w:tr>
      <w:tr w:rsidR="00372132" w:rsidRPr="00EC09F6" w:rsidTr="00372132">
        <w:trPr>
          <w:trHeight w:val="194"/>
        </w:trPr>
        <w:tc>
          <w:tcPr>
            <w:tcW w:w="617" w:type="pct"/>
            <w:vMerge w:val="restar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588</w:t>
            </w:r>
          </w:p>
        </w:tc>
        <w:tc>
          <w:tcPr>
            <w:tcW w:w="589"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64/194</w:t>
            </w:r>
          </w:p>
        </w:tc>
        <w:tc>
          <w:tcPr>
            <w:tcW w:w="524"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508" w:type="pct"/>
            <w:gridSpan w:val="2"/>
            <w:vMerge w:val="restar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105/191</w:t>
            </w:r>
          </w:p>
        </w:tc>
        <w:tc>
          <w:tcPr>
            <w:tcW w:w="766" w:type="pct"/>
            <w:gridSpan w:val="3"/>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0.60 (0.47, 0.76)</w:t>
            </w:r>
          </w:p>
        </w:tc>
        <w:tc>
          <w:tcPr>
            <w:tcW w:w="566"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33%</w:t>
            </w:r>
          </w:p>
        </w:tc>
        <w:tc>
          <w:tcPr>
            <w:tcW w:w="503" w:type="pct"/>
            <w:gridSpan w:val="2"/>
            <w:vMerge w:val="restar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55%</w:t>
            </w:r>
          </w:p>
        </w:tc>
        <w:tc>
          <w:tcPr>
            <w:tcW w:w="926" w:type="pct"/>
            <w:gridSpan w:val="3"/>
            <w:vAlign w:val="center"/>
          </w:tcPr>
          <w:p w:rsidR="00372132" w:rsidRPr="005F4FA2" w:rsidRDefault="00372132" w:rsidP="00372132">
            <w:pPr>
              <w:keepNext/>
              <w:jc w:val="center"/>
              <w:rPr>
                <w:rFonts w:ascii="Arial Narrow" w:hAnsi="Arial Narrow"/>
                <w:b/>
                <w:sz w:val="20"/>
                <w:lang w:val="en-US"/>
              </w:rPr>
            </w:pPr>
            <w:r w:rsidRPr="005F4FA2">
              <w:rPr>
                <w:rFonts w:ascii="Arial Narrow" w:hAnsi="Arial Narrow"/>
                <w:b/>
                <w:sz w:val="20"/>
                <w:lang w:val="en-US"/>
              </w:rPr>
              <w:t>-0.22 (-0.32, -0.12)</w:t>
            </w:r>
          </w:p>
        </w:tc>
      </w:tr>
      <w:tr w:rsidR="00372132" w:rsidRPr="00EC09F6" w:rsidTr="00372132">
        <w:trPr>
          <w:trHeight w:val="194"/>
        </w:trPr>
        <w:tc>
          <w:tcPr>
            <w:tcW w:w="617" w:type="pct"/>
            <w:vMerge/>
            <w:shd w:val="clear" w:color="auto" w:fill="auto"/>
            <w:vAlign w:val="center"/>
          </w:tcPr>
          <w:p w:rsidR="00372132" w:rsidRPr="005F4FA2" w:rsidRDefault="00372132" w:rsidP="00372132">
            <w:pPr>
              <w:keepNext/>
              <w:rPr>
                <w:rFonts w:ascii="Arial Narrow" w:hAnsi="Arial Narrow"/>
                <w:sz w:val="20"/>
                <w:szCs w:val="18"/>
              </w:rPr>
            </w:pPr>
          </w:p>
        </w:tc>
        <w:tc>
          <w:tcPr>
            <w:tcW w:w="589"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524"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70/191</w:t>
            </w:r>
          </w:p>
        </w:tc>
        <w:tc>
          <w:tcPr>
            <w:tcW w:w="508" w:type="pct"/>
            <w:gridSpan w:val="2"/>
            <w:vMerge/>
            <w:vAlign w:val="center"/>
          </w:tcPr>
          <w:p w:rsidR="00372132" w:rsidRPr="005F4FA2" w:rsidRDefault="00372132" w:rsidP="00372132">
            <w:pPr>
              <w:keepNext/>
              <w:jc w:val="center"/>
              <w:rPr>
                <w:rFonts w:ascii="Arial Narrow" w:hAnsi="Arial Narrow"/>
                <w:sz w:val="20"/>
                <w:szCs w:val="18"/>
              </w:rPr>
            </w:pPr>
          </w:p>
        </w:tc>
        <w:tc>
          <w:tcPr>
            <w:tcW w:w="766" w:type="pct"/>
            <w:gridSpan w:val="3"/>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0.67 (0.53, 0.84)</w:t>
            </w:r>
          </w:p>
        </w:tc>
        <w:tc>
          <w:tcPr>
            <w:tcW w:w="566"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37%</w:t>
            </w:r>
          </w:p>
        </w:tc>
        <w:tc>
          <w:tcPr>
            <w:tcW w:w="503" w:type="pct"/>
            <w:gridSpan w:val="2"/>
            <w:vMerge/>
            <w:vAlign w:val="center"/>
          </w:tcPr>
          <w:p w:rsidR="00372132" w:rsidRPr="005F4FA2" w:rsidRDefault="00372132" w:rsidP="00372132">
            <w:pPr>
              <w:keepNext/>
              <w:jc w:val="center"/>
              <w:rPr>
                <w:rFonts w:ascii="Arial Narrow" w:hAnsi="Arial Narrow"/>
                <w:sz w:val="20"/>
                <w:szCs w:val="18"/>
              </w:rPr>
            </w:pPr>
          </w:p>
        </w:tc>
        <w:tc>
          <w:tcPr>
            <w:tcW w:w="926" w:type="pct"/>
            <w:gridSpan w:val="3"/>
            <w:vAlign w:val="center"/>
          </w:tcPr>
          <w:p w:rsidR="00372132" w:rsidRPr="005F4FA2" w:rsidRDefault="00372132" w:rsidP="00372132">
            <w:pPr>
              <w:keepNext/>
              <w:jc w:val="center"/>
              <w:rPr>
                <w:rFonts w:ascii="Arial Narrow" w:hAnsi="Arial Narrow"/>
                <w:b/>
                <w:sz w:val="20"/>
                <w:lang w:val="en-US"/>
              </w:rPr>
            </w:pPr>
            <w:r w:rsidRPr="005F4FA2">
              <w:rPr>
                <w:rFonts w:ascii="Arial Narrow" w:hAnsi="Arial Narrow"/>
                <w:b/>
                <w:sz w:val="20"/>
                <w:lang w:val="en-US"/>
              </w:rPr>
              <w:t>-0.18 (-0.28, -0.09)</w:t>
            </w:r>
          </w:p>
        </w:tc>
      </w:tr>
      <w:tr w:rsidR="00372132" w:rsidRPr="00EC09F6" w:rsidTr="00372132">
        <w:tc>
          <w:tcPr>
            <w:tcW w:w="617" w:type="pct"/>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575</w:t>
            </w:r>
          </w:p>
        </w:tc>
        <w:tc>
          <w:tcPr>
            <w:tcW w:w="589"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29/69</w:t>
            </w:r>
          </w:p>
        </w:tc>
        <w:tc>
          <w:tcPr>
            <w:tcW w:w="524"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508"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45/66</w:t>
            </w:r>
          </w:p>
        </w:tc>
        <w:tc>
          <w:tcPr>
            <w:tcW w:w="766" w:type="pct"/>
            <w:gridSpan w:val="3"/>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0.62 (0.45, 0.85)</w:t>
            </w:r>
          </w:p>
        </w:tc>
        <w:tc>
          <w:tcPr>
            <w:tcW w:w="566"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42%</w:t>
            </w:r>
          </w:p>
        </w:tc>
        <w:tc>
          <w:tcPr>
            <w:tcW w:w="503"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68%</w:t>
            </w:r>
          </w:p>
        </w:tc>
        <w:tc>
          <w:tcPr>
            <w:tcW w:w="926" w:type="pct"/>
            <w:gridSpan w:val="3"/>
            <w:tcBorders>
              <w:bottom w:val="single" w:sz="4" w:space="0" w:color="auto"/>
            </w:tcBorders>
            <w:vAlign w:val="center"/>
          </w:tcPr>
          <w:p w:rsidR="00372132" w:rsidRPr="005F4FA2" w:rsidRDefault="00372132" w:rsidP="00372132">
            <w:pPr>
              <w:keepNext/>
              <w:jc w:val="center"/>
              <w:rPr>
                <w:rFonts w:ascii="Arial Narrow" w:hAnsi="Arial Narrow"/>
                <w:b/>
                <w:sz w:val="20"/>
                <w:lang w:val="en-US"/>
              </w:rPr>
            </w:pPr>
            <w:r w:rsidRPr="005F4FA2">
              <w:rPr>
                <w:rFonts w:ascii="Arial Narrow" w:hAnsi="Arial Narrow"/>
                <w:b/>
                <w:sz w:val="20"/>
                <w:lang w:val="en-US"/>
              </w:rPr>
              <w:t>-0.26 (-0.42, -0.10)</w:t>
            </w:r>
          </w:p>
        </w:tc>
      </w:tr>
      <w:tr w:rsidR="00372132" w:rsidRPr="00EC09F6" w:rsidTr="00372132">
        <w:tc>
          <w:tcPr>
            <w:tcW w:w="617" w:type="pct"/>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997</w:t>
            </w:r>
          </w:p>
        </w:tc>
        <w:tc>
          <w:tcPr>
            <w:tcW w:w="589"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524"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70/153</w:t>
            </w:r>
          </w:p>
        </w:tc>
        <w:tc>
          <w:tcPr>
            <w:tcW w:w="508"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104/155</w:t>
            </w:r>
          </w:p>
        </w:tc>
        <w:tc>
          <w:tcPr>
            <w:tcW w:w="766" w:type="pct"/>
            <w:gridSpan w:val="3"/>
            <w:tcBorders>
              <w:bottom w:val="single" w:sz="4" w:space="0" w:color="auto"/>
            </w:tcBorders>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0.68 (0.56, 0.84)</w:t>
            </w:r>
          </w:p>
        </w:tc>
        <w:tc>
          <w:tcPr>
            <w:tcW w:w="566"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46%</w:t>
            </w:r>
          </w:p>
        </w:tc>
        <w:tc>
          <w:tcPr>
            <w:tcW w:w="503"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67%</w:t>
            </w:r>
          </w:p>
        </w:tc>
        <w:tc>
          <w:tcPr>
            <w:tcW w:w="926" w:type="pct"/>
            <w:gridSpan w:val="3"/>
            <w:tcBorders>
              <w:bottom w:val="single" w:sz="4" w:space="0" w:color="auto"/>
            </w:tcBorders>
            <w:vAlign w:val="center"/>
          </w:tcPr>
          <w:p w:rsidR="00372132" w:rsidRPr="005F4FA2" w:rsidRDefault="00372132" w:rsidP="00372132">
            <w:pPr>
              <w:keepNext/>
              <w:jc w:val="center"/>
              <w:rPr>
                <w:rFonts w:ascii="Arial Narrow" w:hAnsi="Arial Narrow"/>
                <w:b/>
                <w:sz w:val="20"/>
                <w:lang w:val="en-US"/>
              </w:rPr>
            </w:pPr>
            <w:r w:rsidRPr="005F4FA2">
              <w:rPr>
                <w:rFonts w:ascii="Arial Narrow" w:hAnsi="Arial Narrow"/>
                <w:b/>
                <w:sz w:val="20"/>
                <w:lang w:val="en-US"/>
              </w:rPr>
              <w:t>-0.21 (-0.32, -0.11)</w:t>
            </w:r>
          </w:p>
        </w:tc>
      </w:tr>
      <w:tr w:rsidR="00372132" w:rsidRPr="00EC09F6" w:rsidTr="00372132">
        <w:tc>
          <w:tcPr>
            <w:tcW w:w="5000" w:type="pct"/>
            <w:gridSpan w:val="16"/>
            <w:tcBorders>
              <w:top w:val="double" w:sz="4" w:space="0" w:color="auto"/>
            </w:tcBorders>
            <w:shd w:val="clear" w:color="auto" w:fill="auto"/>
            <w:vAlign w:val="center"/>
          </w:tcPr>
          <w:p w:rsidR="00372132" w:rsidRPr="005F4FA2" w:rsidRDefault="00372132" w:rsidP="00372132">
            <w:pPr>
              <w:keepNext/>
              <w:rPr>
                <w:rFonts w:ascii="Arial Narrow" w:hAnsi="Arial Narrow"/>
                <w:b/>
                <w:sz w:val="20"/>
                <w:szCs w:val="18"/>
              </w:rPr>
            </w:pPr>
            <w:r w:rsidRPr="005F4FA2">
              <w:rPr>
                <w:rFonts w:ascii="Arial Narrow" w:hAnsi="Arial Narrow"/>
                <w:b/>
                <w:sz w:val="20"/>
                <w:szCs w:val="18"/>
              </w:rPr>
              <w:t>HARMS</w:t>
            </w:r>
          </w:p>
        </w:tc>
      </w:tr>
      <w:tr w:rsidR="00372132" w:rsidRPr="00EC09F6" w:rsidTr="00372132">
        <w:trPr>
          <w:trHeight w:val="70"/>
        </w:trPr>
        <w:tc>
          <w:tcPr>
            <w:tcW w:w="700" w:type="pct"/>
            <w:gridSpan w:val="2"/>
            <w:vMerge w:val="restart"/>
            <w:shd w:val="clear" w:color="auto" w:fill="auto"/>
            <w:vAlign w:val="center"/>
          </w:tcPr>
          <w:p w:rsidR="00372132" w:rsidRPr="005F4FA2" w:rsidRDefault="00372132" w:rsidP="00372132">
            <w:pPr>
              <w:keepNext/>
              <w:rPr>
                <w:rFonts w:ascii="Arial Narrow" w:hAnsi="Arial Narrow"/>
                <w:b/>
                <w:sz w:val="20"/>
                <w:szCs w:val="18"/>
              </w:rPr>
            </w:pPr>
          </w:p>
        </w:tc>
        <w:tc>
          <w:tcPr>
            <w:tcW w:w="757"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MEPO</w:t>
            </w:r>
          </w:p>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100 mg SC</w:t>
            </w:r>
          </w:p>
        </w:tc>
        <w:tc>
          <w:tcPr>
            <w:tcW w:w="675"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849"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RR</w:t>
            </w:r>
          </w:p>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(95% CI)</w:t>
            </w:r>
          </w:p>
        </w:tc>
        <w:tc>
          <w:tcPr>
            <w:tcW w:w="1179" w:type="pct"/>
            <w:gridSpan w:val="7"/>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 xml:space="preserve">Percent of patients* </w:t>
            </w:r>
          </w:p>
        </w:tc>
        <w:tc>
          <w:tcPr>
            <w:tcW w:w="839" w:type="pct"/>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RD</w:t>
            </w:r>
          </w:p>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(95% CI)</w:t>
            </w:r>
          </w:p>
        </w:tc>
      </w:tr>
      <w:tr w:rsidR="00372132" w:rsidRPr="00EC09F6" w:rsidTr="00372132">
        <w:trPr>
          <w:trHeight w:val="78"/>
        </w:trPr>
        <w:tc>
          <w:tcPr>
            <w:tcW w:w="700" w:type="pct"/>
            <w:gridSpan w:val="2"/>
            <w:vMerge/>
            <w:shd w:val="clear" w:color="auto" w:fill="auto"/>
            <w:vAlign w:val="center"/>
          </w:tcPr>
          <w:p w:rsidR="00372132" w:rsidRPr="005F4FA2" w:rsidRDefault="00372132" w:rsidP="00372132">
            <w:pPr>
              <w:keepNext/>
              <w:rPr>
                <w:rFonts w:ascii="Arial Narrow" w:hAnsi="Arial Narrow"/>
                <w:b/>
                <w:sz w:val="20"/>
                <w:szCs w:val="18"/>
              </w:rPr>
            </w:pPr>
          </w:p>
        </w:tc>
        <w:tc>
          <w:tcPr>
            <w:tcW w:w="757" w:type="pct"/>
            <w:gridSpan w:val="2"/>
            <w:vMerge/>
            <w:vAlign w:val="center"/>
          </w:tcPr>
          <w:p w:rsidR="00372132" w:rsidRPr="005F4FA2" w:rsidRDefault="00372132" w:rsidP="00372132">
            <w:pPr>
              <w:keepNext/>
              <w:jc w:val="center"/>
              <w:rPr>
                <w:rFonts w:ascii="Arial Narrow" w:hAnsi="Arial Narrow"/>
                <w:b/>
                <w:sz w:val="20"/>
                <w:szCs w:val="18"/>
              </w:rPr>
            </w:pPr>
          </w:p>
        </w:tc>
        <w:tc>
          <w:tcPr>
            <w:tcW w:w="675" w:type="pct"/>
            <w:gridSpan w:val="2"/>
            <w:vMerge/>
            <w:vAlign w:val="center"/>
          </w:tcPr>
          <w:p w:rsidR="00372132" w:rsidRPr="005F4FA2" w:rsidRDefault="00372132" w:rsidP="00372132">
            <w:pPr>
              <w:keepNext/>
              <w:jc w:val="center"/>
              <w:rPr>
                <w:rFonts w:ascii="Arial Narrow" w:hAnsi="Arial Narrow"/>
                <w:b/>
                <w:sz w:val="20"/>
                <w:szCs w:val="18"/>
              </w:rPr>
            </w:pPr>
          </w:p>
        </w:tc>
        <w:tc>
          <w:tcPr>
            <w:tcW w:w="849" w:type="pct"/>
            <w:gridSpan w:val="2"/>
            <w:vMerge/>
            <w:vAlign w:val="center"/>
          </w:tcPr>
          <w:p w:rsidR="00372132" w:rsidRPr="005F4FA2" w:rsidRDefault="00372132" w:rsidP="00372132">
            <w:pPr>
              <w:keepNext/>
              <w:jc w:val="center"/>
              <w:rPr>
                <w:rFonts w:ascii="Arial Narrow" w:hAnsi="Arial Narrow"/>
                <w:b/>
                <w:sz w:val="20"/>
                <w:szCs w:val="18"/>
              </w:rPr>
            </w:pPr>
          </w:p>
        </w:tc>
        <w:tc>
          <w:tcPr>
            <w:tcW w:w="593" w:type="pct"/>
            <w:gridSpan w:val="4"/>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MEPO</w:t>
            </w:r>
          </w:p>
        </w:tc>
        <w:tc>
          <w:tcPr>
            <w:tcW w:w="587" w:type="pct"/>
            <w:gridSpan w:val="3"/>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839" w:type="pct"/>
            <w:vMerge/>
            <w:vAlign w:val="center"/>
          </w:tcPr>
          <w:p w:rsidR="00372132" w:rsidRPr="005F4FA2" w:rsidRDefault="00372132" w:rsidP="00372132">
            <w:pPr>
              <w:keepNext/>
              <w:jc w:val="center"/>
              <w:rPr>
                <w:rFonts w:ascii="Arial Narrow" w:hAnsi="Arial Narrow"/>
                <w:b/>
                <w:sz w:val="20"/>
                <w:szCs w:val="18"/>
              </w:rPr>
            </w:pPr>
          </w:p>
        </w:tc>
      </w:tr>
      <w:tr w:rsidR="00372132" w:rsidRPr="00EC09F6" w:rsidTr="00372132">
        <w:tc>
          <w:tcPr>
            <w:tcW w:w="5000" w:type="pct"/>
            <w:gridSpan w:val="16"/>
            <w:shd w:val="clear" w:color="auto" w:fill="auto"/>
            <w:vAlign w:val="center"/>
          </w:tcPr>
          <w:p w:rsidR="00372132" w:rsidRPr="005F4FA2" w:rsidRDefault="00372132" w:rsidP="00372132">
            <w:pPr>
              <w:keepNext/>
              <w:rPr>
                <w:rFonts w:ascii="Arial Narrow" w:hAnsi="Arial Narrow"/>
                <w:b/>
                <w:sz w:val="20"/>
                <w:szCs w:val="18"/>
              </w:rPr>
            </w:pPr>
            <w:r w:rsidRPr="005F4FA2">
              <w:rPr>
                <w:rFonts w:ascii="Arial Narrow" w:hAnsi="Arial Narrow"/>
                <w:b/>
                <w:sz w:val="20"/>
                <w:szCs w:val="18"/>
              </w:rPr>
              <w:t>Headache (number of patients)</w:t>
            </w:r>
          </w:p>
        </w:tc>
      </w:tr>
      <w:tr w:rsidR="00372132" w:rsidRPr="00EC09F6" w:rsidTr="00372132">
        <w:tc>
          <w:tcPr>
            <w:tcW w:w="700" w:type="pct"/>
            <w:gridSpan w:val="2"/>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575</w:t>
            </w:r>
          </w:p>
        </w:tc>
        <w:tc>
          <w:tcPr>
            <w:tcW w:w="75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5/69</w:t>
            </w:r>
          </w:p>
        </w:tc>
        <w:tc>
          <w:tcPr>
            <w:tcW w:w="675"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3/66</w:t>
            </w:r>
          </w:p>
        </w:tc>
        <w:tc>
          <w:tcPr>
            <w:tcW w:w="849"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1.59 (0.40, 6.41)</w:t>
            </w:r>
          </w:p>
        </w:tc>
        <w:tc>
          <w:tcPr>
            <w:tcW w:w="589"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w:t>
            </w:r>
          </w:p>
        </w:tc>
        <w:tc>
          <w:tcPr>
            <w:tcW w:w="590" w:type="pct"/>
            <w:gridSpan w:val="4"/>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5%</w:t>
            </w:r>
          </w:p>
        </w:tc>
        <w:tc>
          <w:tcPr>
            <w:tcW w:w="839"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0.03 (-0.05, 0.11)</w:t>
            </w:r>
          </w:p>
        </w:tc>
      </w:tr>
      <w:tr w:rsidR="00372132" w:rsidRPr="00EC09F6" w:rsidTr="00372132">
        <w:tc>
          <w:tcPr>
            <w:tcW w:w="5000" w:type="pct"/>
            <w:gridSpan w:val="16"/>
            <w:shd w:val="clear" w:color="auto" w:fill="auto"/>
            <w:vAlign w:val="center"/>
          </w:tcPr>
          <w:p w:rsidR="00372132" w:rsidRPr="005F4FA2" w:rsidRDefault="00372132" w:rsidP="00372132">
            <w:pPr>
              <w:keepNext/>
              <w:rPr>
                <w:rFonts w:ascii="Arial Narrow" w:hAnsi="Arial Narrow"/>
                <w:b/>
                <w:sz w:val="20"/>
                <w:szCs w:val="18"/>
              </w:rPr>
            </w:pPr>
            <w:r w:rsidRPr="005F4FA2">
              <w:rPr>
                <w:rFonts w:ascii="Arial Narrow" w:hAnsi="Arial Narrow"/>
                <w:b/>
                <w:sz w:val="20"/>
                <w:szCs w:val="18"/>
              </w:rPr>
              <w:t>Anxiety (number of patients)</w:t>
            </w:r>
          </w:p>
        </w:tc>
      </w:tr>
      <w:tr w:rsidR="00372132" w:rsidRPr="00EC09F6" w:rsidTr="00372132">
        <w:tc>
          <w:tcPr>
            <w:tcW w:w="700" w:type="pct"/>
            <w:gridSpan w:val="2"/>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575</w:t>
            </w:r>
          </w:p>
        </w:tc>
        <w:tc>
          <w:tcPr>
            <w:tcW w:w="75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2/69</w:t>
            </w:r>
          </w:p>
        </w:tc>
        <w:tc>
          <w:tcPr>
            <w:tcW w:w="675"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w:t>
            </w:r>
          </w:p>
        </w:tc>
        <w:tc>
          <w:tcPr>
            <w:tcW w:w="849"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589"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3%</w:t>
            </w:r>
          </w:p>
        </w:tc>
        <w:tc>
          <w:tcPr>
            <w:tcW w:w="590" w:type="pct"/>
            <w:gridSpan w:val="4"/>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w:t>
            </w:r>
          </w:p>
        </w:tc>
        <w:tc>
          <w:tcPr>
            <w:tcW w:w="839"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0.03 (-0.01, 0.07)</w:t>
            </w:r>
          </w:p>
        </w:tc>
      </w:tr>
      <w:tr w:rsidR="00372132" w:rsidRPr="00EC09F6" w:rsidTr="00372132">
        <w:tc>
          <w:tcPr>
            <w:tcW w:w="5000" w:type="pct"/>
            <w:gridSpan w:val="16"/>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b/>
                <w:sz w:val="20"/>
                <w:szCs w:val="18"/>
              </w:rPr>
              <w:t>Injection site reaction (number of patients)</w:t>
            </w:r>
          </w:p>
        </w:tc>
      </w:tr>
      <w:tr w:rsidR="00372132" w:rsidRPr="00EC09F6" w:rsidTr="00372132">
        <w:tc>
          <w:tcPr>
            <w:tcW w:w="700" w:type="pct"/>
            <w:gridSpan w:val="2"/>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588</w:t>
            </w:r>
          </w:p>
        </w:tc>
        <w:tc>
          <w:tcPr>
            <w:tcW w:w="75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14/194</w:t>
            </w:r>
          </w:p>
        </w:tc>
        <w:tc>
          <w:tcPr>
            <w:tcW w:w="675"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6/191</w:t>
            </w:r>
          </w:p>
        </w:tc>
        <w:tc>
          <w:tcPr>
            <w:tcW w:w="849"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2.30 (0.90, 5.85)</w:t>
            </w:r>
          </w:p>
        </w:tc>
        <w:tc>
          <w:tcPr>
            <w:tcW w:w="589"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w:t>
            </w:r>
          </w:p>
        </w:tc>
        <w:tc>
          <w:tcPr>
            <w:tcW w:w="590" w:type="pct"/>
            <w:gridSpan w:val="4"/>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3%</w:t>
            </w:r>
          </w:p>
        </w:tc>
        <w:tc>
          <w:tcPr>
            <w:tcW w:w="839"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0.04 (-0.00, 0.09)</w:t>
            </w:r>
          </w:p>
        </w:tc>
      </w:tr>
    </w:tbl>
    <w:p w:rsidR="00372132" w:rsidRPr="00EC09F6" w:rsidRDefault="00372132" w:rsidP="00372132">
      <w:pPr>
        <w:pStyle w:val="TableFooter"/>
        <w:ind w:left="720"/>
      </w:pPr>
      <w:r w:rsidRPr="00EC09F6">
        <w:t>* Duration of exposure: Study 588 = 32 weeks; Study 575 = 24 weeks; Study 997 = 52 weeks</w:t>
      </w:r>
    </w:p>
    <w:p w:rsidR="00372132" w:rsidRPr="00EC09F6" w:rsidRDefault="00372132" w:rsidP="00372132">
      <w:pPr>
        <w:pStyle w:val="TableFooter"/>
        <w:ind w:firstLine="720"/>
      </w:pPr>
      <w:r w:rsidRPr="00EC09F6">
        <w:t xml:space="preserve">Source: Tables 31-33, pp105-107; Table 50, pp142-143 of the submission; </w:t>
      </w:r>
      <w:r w:rsidRPr="00EC09F6">
        <w:rPr>
          <w:i/>
          <w:szCs w:val="18"/>
        </w:rPr>
        <w:t xml:space="preserve">Table 28, p89; </w:t>
      </w:r>
      <w:r w:rsidRPr="00EC09F6">
        <w:rPr>
          <w:i/>
        </w:rPr>
        <w:t xml:space="preserve">Table 6.01, p415 of Study 997 CSR; </w:t>
      </w:r>
    </w:p>
    <w:p w:rsidR="00372132" w:rsidRPr="00EC09F6" w:rsidRDefault="00372132" w:rsidP="00372132">
      <w:pPr>
        <w:pStyle w:val="TableFooter"/>
        <w:ind w:left="720"/>
        <w:rPr>
          <w:szCs w:val="18"/>
        </w:rPr>
      </w:pPr>
      <w:r w:rsidRPr="00EC09F6">
        <w:rPr>
          <w:i/>
        </w:rPr>
        <w:t xml:space="preserve">and calculated during evaluation </w:t>
      </w:r>
    </w:p>
    <w:p w:rsidR="00372132" w:rsidRPr="00EC09F6" w:rsidRDefault="00372132" w:rsidP="00372132">
      <w:pPr>
        <w:pStyle w:val="TableFooter"/>
        <w:ind w:left="720"/>
      </w:pPr>
      <w:r w:rsidRPr="00EC09F6">
        <w:t xml:space="preserve">CI = confidence interval; ITT = intention-to-treat; IV = intravenous; MEPO = mepolizumab; RD = risk difference; RR = relative risk; SC = subcutaneous; SOC = standard of care; </w:t>
      </w:r>
      <w:r w:rsidRPr="00EC09F6">
        <w:rPr>
          <w:b/>
        </w:rPr>
        <w:t>Bold</w:t>
      </w:r>
      <w:r w:rsidRPr="00EC09F6">
        <w:t xml:space="preserve"> = statistically significant result</w:t>
      </w:r>
    </w:p>
    <w:p w:rsidR="00B76BBD" w:rsidRPr="00EC09F6" w:rsidRDefault="00B76BBD" w:rsidP="00B76BBD">
      <w:pPr>
        <w:pStyle w:val="TableFooter"/>
        <w:ind w:firstLine="720"/>
        <w:rPr>
          <w:sz w:val="22"/>
          <w:szCs w:val="22"/>
        </w:rPr>
      </w:pPr>
    </w:p>
    <w:p w:rsidR="00484553" w:rsidRPr="00EC09F6" w:rsidRDefault="00484553" w:rsidP="00986DCF">
      <w:pPr>
        <w:pStyle w:val="ListParagraph"/>
        <w:widowControl/>
        <w:numPr>
          <w:ilvl w:val="1"/>
          <w:numId w:val="2"/>
        </w:numPr>
        <w:rPr>
          <w:szCs w:val="22"/>
        </w:rPr>
      </w:pPr>
      <w:r w:rsidRPr="00EC09F6">
        <w:t>On the basis of the direct comparison evidence presented by the submission, for every 100 patients treated with mepolizumab in comparison to standard of care:</w:t>
      </w:r>
    </w:p>
    <w:p w:rsidR="00484553" w:rsidRPr="00EC09F6" w:rsidRDefault="00484553" w:rsidP="00986DCF">
      <w:pPr>
        <w:pStyle w:val="ListParagraph"/>
        <w:widowControl/>
        <w:numPr>
          <w:ilvl w:val="0"/>
          <w:numId w:val="1"/>
        </w:numPr>
        <w:ind w:left="993" w:hanging="284"/>
      </w:pPr>
      <w:r w:rsidRPr="00EC09F6">
        <w:t xml:space="preserve">Approximately 22 </w:t>
      </w:r>
      <w:r w:rsidR="00E51EE1" w:rsidRPr="00EC09F6">
        <w:t>fewer</w:t>
      </w:r>
      <w:r w:rsidRPr="00EC09F6">
        <w:t xml:space="preserve"> patients would have </w:t>
      </w:r>
      <w:r w:rsidR="00E51EE1" w:rsidRPr="00EC09F6">
        <w:t xml:space="preserve">a clinically significant exacerbation </w:t>
      </w:r>
      <w:r w:rsidRPr="00EC09F6">
        <w:t xml:space="preserve">over a </w:t>
      </w:r>
      <w:r w:rsidR="00E51EE1" w:rsidRPr="00EC09F6">
        <w:t>m</w:t>
      </w:r>
      <w:r w:rsidRPr="00EC09F6">
        <w:t>axi</w:t>
      </w:r>
      <w:r w:rsidR="00E51EE1" w:rsidRPr="00EC09F6">
        <w:t>mum</w:t>
      </w:r>
      <w:r w:rsidRPr="00EC09F6">
        <w:t xml:space="preserve"> duration of exposure of </w:t>
      </w:r>
      <w:r w:rsidR="00E51EE1" w:rsidRPr="00EC09F6">
        <w:t>32 weeks.</w:t>
      </w:r>
    </w:p>
    <w:p w:rsidR="00701204" w:rsidRPr="00EC09F6" w:rsidRDefault="00701204" w:rsidP="00986DCF">
      <w:pPr>
        <w:pStyle w:val="ListParagraph"/>
        <w:widowControl/>
        <w:numPr>
          <w:ilvl w:val="0"/>
          <w:numId w:val="1"/>
        </w:numPr>
        <w:ind w:left="993" w:hanging="284"/>
      </w:pPr>
      <w:r w:rsidRPr="00EC09F6">
        <w:t>There are no differences in adverse events.</w:t>
      </w:r>
    </w:p>
    <w:p w:rsidR="00276C72" w:rsidRPr="00EC09F6" w:rsidRDefault="00276C72" w:rsidP="00276C72">
      <w:pPr>
        <w:widowControl/>
        <w:ind w:left="709"/>
      </w:pPr>
    </w:p>
    <w:p w:rsidR="00276C72" w:rsidRPr="00EC09F6" w:rsidRDefault="00276C72" w:rsidP="00986DCF">
      <w:pPr>
        <w:pStyle w:val="ListParagraph"/>
        <w:widowControl/>
        <w:numPr>
          <w:ilvl w:val="1"/>
          <w:numId w:val="2"/>
        </w:numPr>
        <w:rPr>
          <w:szCs w:val="22"/>
        </w:rPr>
      </w:pPr>
      <w:r w:rsidRPr="00EC09F6">
        <w:rPr>
          <w:szCs w:val="22"/>
        </w:rPr>
        <w:t xml:space="preserve">A summary of the comparative benefits and harms for mepolizumab versus omalizumab, with standard of care as the common comparator </w:t>
      </w:r>
      <w:r w:rsidR="005523A8" w:rsidRPr="00EC09F6">
        <w:rPr>
          <w:szCs w:val="22"/>
        </w:rPr>
        <w:t xml:space="preserve">is presented </w:t>
      </w:r>
      <w:r w:rsidRPr="00EC09F6">
        <w:rPr>
          <w:szCs w:val="22"/>
        </w:rPr>
        <w:t xml:space="preserve">below. </w:t>
      </w:r>
    </w:p>
    <w:p w:rsidR="00B62715" w:rsidRPr="00EC09F6" w:rsidRDefault="00B62715" w:rsidP="00B62715"/>
    <w:p w:rsidR="00372132" w:rsidRPr="00EC09F6" w:rsidRDefault="00372132" w:rsidP="00372132">
      <w:pPr>
        <w:keepNext/>
        <w:ind w:left="720"/>
        <w:rPr>
          <w:rStyle w:val="CommentReference"/>
        </w:rPr>
      </w:pPr>
      <w:r w:rsidRPr="00EC09F6">
        <w:rPr>
          <w:rStyle w:val="CommentReference"/>
        </w:rPr>
        <w:t xml:space="preserve">Table </w:t>
      </w:r>
      <w:r>
        <w:rPr>
          <w:rStyle w:val="CommentReference"/>
        </w:rPr>
        <w:t>10</w:t>
      </w:r>
      <w:r w:rsidRPr="00EC09F6">
        <w:rPr>
          <w:rStyle w:val="CommentReference"/>
        </w:rPr>
        <w:t xml:space="preserve">: Indirect comparison - Summary of comparative benefits and harms for mepolizumab and omalizumab </w:t>
      </w:r>
    </w:p>
    <w:tbl>
      <w:tblPr>
        <w:tblStyle w:val="TableGrid"/>
        <w:tblW w:w="4621" w:type="pct"/>
        <w:tblInd w:w="705" w:type="dxa"/>
        <w:tblLayout w:type="fixed"/>
        <w:tblCellMar>
          <w:left w:w="28" w:type="dxa"/>
          <w:right w:w="28" w:type="dxa"/>
        </w:tblCellMar>
        <w:tblLook w:val="04A0" w:firstRow="1" w:lastRow="0" w:firstColumn="1" w:lastColumn="0" w:noHBand="0" w:noVBand="1"/>
        <w:tblCaption w:val="Table 10: Indirect comparison - Summary of comparative benefits and harms for mepolizumab and omalizumab "/>
      </w:tblPr>
      <w:tblGrid>
        <w:gridCol w:w="1169"/>
        <w:gridCol w:w="139"/>
        <w:gridCol w:w="601"/>
        <w:gridCol w:w="710"/>
        <w:gridCol w:w="106"/>
        <w:gridCol w:w="712"/>
        <w:gridCol w:w="143"/>
        <w:gridCol w:w="853"/>
        <w:gridCol w:w="344"/>
        <w:gridCol w:w="500"/>
        <w:gridCol w:w="292"/>
        <w:gridCol w:w="710"/>
        <w:gridCol w:w="416"/>
        <w:gridCol w:w="311"/>
        <w:gridCol w:w="1389"/>
      </w:tblGrid>
      <w:tr w:rsidR="00372132" w:rsidRPr="00EC09F6" w:rsidTr="00A242F1">
        <w:trPr>
          <w:tblHeader/>
        </w:trPr>
        <w:tc>
          <w:tcPr>
            <w:tcW w:w="5000" w:type="pct"/>
            <w:gridSpan w:val="15"/>
            <w:shd w:val="clear" w:color="auto" w:fill="auto"/>
            <w:vAlign w:val="center"/>
          </w:tcPr>
          <w:p w:rsidR="00372132" w:rsidRPr="00EC09F6" w:rsidRDefault="00372132" w:rsidP="00372132">
            <w:pPr>
              <w:keepNext/>
              <w:rPr>
                <w:rFonts w:ascii="Arial Narrow" w:hAnsi="Arial Narrow"/>
                <w:b/>
                <w:sz w:val="20"/>
                <w:szCs w:val="18"/>
              </w:rPr>
            </w:pPr>
            <w:r w:rsidRPr="00EC09F6">
              <w:rPr>
                <w:rFonts w:ascii="Arial Narrow" w:hAnsi="Arial Narrow"/>
                <w:b/>
                <w:sz w:val="20"/>
                <w:szCs w:val="18"/>
              </w:rPr>
              <w:t xml:space="preserve">BENEFITS </w:t>
            </w:r>
          </w:p>
        </w:tc>
      </w:tr>
      <w:tr w:rsidR="00372132" w:rsidRPr="00EC09F6" w:rsidTr="00372132">
        <w:trPr>
          <w:trHeight w:val="192"/>
        </w:trPr>
        <w:tc>
          <w:tcPr>
            <w:tcW w:w="779" w:type="pct"/>
            <w:gridSpan w:val="2"/>
            <w:tcBorders>
              <w:bottom w:val="single" w:sz="4" w:space="0" w:color="auto"/>
            </w:tcBorders>
            <w:shd w:val="clear" w:color="auto" w:fill="auto"/>
            <w:vAlign w:val="center"/>
          </w:tcPr>
          <w:p w:rsidR="00372132" w:rsidRPr="00EC09F6" w:rsidRDefault="00372132" w:rsidP="00372132">
            <w:pPr>
              <w:keepNext/>
              <w:rPr>
                <w:rFonts w:ascii="Arial Narrow" w:hAnsi="Arial Narrow"/>
                <w:sz w:val="20"/>
                <w:szCs w:val="18"/>
              </w:rPr>
            </w:pPr>
          </w:p>
        </w:tc>
        <w:tc>
          <w:tcPr>
            <w:tcW w:w="844" w:type="pct"/>
            <w:gridSpan w:val="3"/>
            <w:tcBorders>
              <w:bottom w:val="single" w:sz="4" w:space="0" w:color="auto"/>
            </w:tcBorders>
            <w:vAlign w:val="center"/>
          </w:tcPr>
          <w:p w:rsidR="00372132" w:rsidRPr="00EC09F6" w:rsidRDefault="00372132" w:rsidP="00372132">
            <w:pPr>
              <w:keepNext/>
              <w:jc w:val="center"/>
              <w:rPr>
                <w:rFonts w:ascii="Arial Narrow" w:hAnsi="Arial Narrow"/>
                <w:b/>
                <w:sz w:val="20"/>
                <w:szCs w:val="18"/>
              </w:rPr>
            </w:pPr>
            <w:r w:rsidRPr="00EC09F6">
              <w:rPr>
                <w:rFonts w:ascii="Arial Narrow" w:hAnsi="Arial Narrow"/>
                <w:b/>
                <w:sz w:val="20"/>
                <w:szCs w:val="18"/>
              </w:rPr>
              <w:t>RR (95% CI)</w:t>
            </w:r>
          </w:p>
        </w:tc>
        <w:tc>
          <w:tcPr>
            <w:tcW w:w="509" w:type="pct"/>
            <w:gridSpan w:val="2"/>
            <w:tcBorders>
              <w:bottom w:val="single" w:sz="4" w:space="0" w:color="auto"/>
            </w:tcBorders>
            <w:vAlign w:val="center"/>
          </w:tcPr>
          <w:p w:rsidR="00372132" w:rsidRPr="00EC09F6" w:rsidRDefault="00372132" w:rsidP="00372132">
            <w:pPr>
              <w:keepNext/>
              <w:jc w:val="center"/>
              <w:rPr>
                <w:rFonts w:ascii="Arial Narrow" w:hAnsi="Arial Narrow"/>
                <w:b/>
                <w:sz w:val="20"/>
                <w:szCs w:val="18"/>
              </w:rPr>
            </w:pPr>
            <w:r w:rsidRPr="00EC09F6">
              <w:rPr>
                <w:rFonts w:ascii="Arial Narrow" w:hAnsi="Arial Narrow"/>
                <w:b/>
                <w:sz w:val="20"/>
                <w:szCs w:val="18"/>
              </w:rPr>
              <w:t>MEPO</w:t>
            </w:r>
          </w:p>
        </w:tc>
        <w:tc>
          <w:tcPr>
            <w:tcW w:w="508" w:type="pct"/>
            <w:tcBorders>
              <w:bottom w:val="single" w:sz="4" w:space="0" w:color="auto"/>
            </w:tcBorders>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b/>
                <w:sz w:val="20"/>
                <w:szCs w:val="18"/>
              </w:rPr>
              <w:t>SOC</w:t>
            </w:r>
          </w:p>
        </w:tc>
        <w:tc>
          <w:tcPr>
            <w:tcW w:w="503" w:type="pct"/>
            <w:gridSpan w:val="2"/>
            <w:tcBorders>
              <w:bottom w:val="single" w:sz="4" w:space="0" w:color="auto"/>
            </w:tcBorders>
            <w:vAlign w:val="center"/>
          </w:tcPr>
          <w:p w:rsidR="00372132" w:rsidRPr="00EC09F6" w:rsidRDefault="00372132" w:rsidP="00372132">
            <w:pPr>
              <w:keepNext/>
              <w:jc w:val="center"/>
              <w:rPr>
                <w:rFonts w:ascii="Arial Narrow" w:hAnsi="Arial Narrow"/>
                <w:b/>
                <w:sz w:val="20"/>
                <w:szCs w:val="18"/>
              </w:rPr>
            </w:pPr>
            <w:r w:rsidRPr="00EC09F6">
              <w:rPr>
                <w:rFonts w:ascii="Arial Narrow" w:hAnsi="Arial Narrow"/>
                <w:b/>
                <w:sz w:val="20"/>
                <w:szCs w:val="18"/>
              </w:rPr>
              <w:t>OMAL</w:t>
            </w:r>
          </w:p>
        </w:tc>
        <w:tc>
          <w:tcPr>
            <w:tcW w:w="845" w:type="pct"/>
            <w:gridSpan w:val="3"/>
            <w:tcBorders>
              <w:bottom w:val="single" w:sz="4" w:space="0" w:color="auto"/>
            </w:tcBorders>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b/>
                <w:sz w:val="20"/>
                <w:szCs w:val="18"/>
              </w:rPr>
              <w:t>RR (95% CI)</w:t>
            </w:r>
          </w:p>
        </w:tc>
        <w:tc>
          <w:tcPr>
            <w:tcW w:w="1013" w:type="pct"/>
            <w:gridSpan w:val="2"/>
            <w:tcBorders>
              <w:bottom w:val="single" w:sz="4" w:space="0" w:color="auto"/>
            </w:tcBorders>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b/>
                <w:sz w:val="20"/>
                <w:szCs w:val="18"/>
              </w:rPr>
              <w:t>Indirect RR (95% CI)</w:t>
            </w:r>
          </w:p>
        </w:tc>
      </w:tr>
      <w:tr w:rsidR="00372132" w:rsidRPr="00EC09F6" w:rsidTr="00372132">
        <w:tc>
          <w:tcPr>
            <w:tcW w:w="5000" w:type="pct"/>
            <w:gridSpan w:val="15"/>
            <w:tcBorders>
              <w:top w:val="single" w:sz="4" w:space="0" w:color="auto"/>
            </w:tcBorders>
            <w:shd w:val="clear" w:color="auto" w:fill="auto"/>
            <w:vAlign w:val="center"/>
          </w:tcPr>
          <w:p w:rsidR="00372132" w:rsidRPr="00EC09F6" w:rsidRDefault="00372132" w:rsidP="00372132">
            <w:pPr>
              <w:keepNext/>
              <w:rPr>
                <w:rFonts w:ascii="Arial Narrow" w:hAnsi="Arial Narrow"/>
                <w:b/>
                <w:sz w:val="20"/>
                <w:szCs w:val="18"/>
              </w:rPr>
            </w:pPr>
            <w:r w:rsidRPr="00EC09F6">
              <w:rPr>
                <w:rFonts w:ascii="Arial Narrow" w:hAnsi="Arial Narrow"/>
                <w:b/>
                <w:sz w:val="20"/>
                <w:szCs w:val="18"/>
              </w:rPr>
              <w:t>Rate of clinically significant exacerbations</w:t>
            </w:r>
          </w:p>
        </w:tc>
      </w:tr>
      <w:tr w:rsidR="00372132" w:rsidRPr="00EC09F6" w:rsidTr="00372132">
        <w:tc>
          <w:tcPr>
            <w:tcW w:w="779" w:type="pct"/>
            <w:gridSpan w:val="2"/>
            <w:shd w:val="clear" w:color="auto" w:fill="auto"/>
            <w:vAlign w:val="center"/>
          </w:tcPr>
          <w:p w:rsidR="00372132" w:rsidRPr="00EC09F6" w:rsidRDefault="00372132" w:rsidP="00372132">
            <w:pPr>
              <w:keepNext/>
              <w:rPr>
                <w:rFonts w:ascii="Arial Narrow" w:hAnsi="Arial Narrow"/>
                <w:sz w:val="20"/>
                <w:szCs w:val="18"/>
              </w:rPr>
            </w:pPr>
            <w:r w:rsidRPr="00EC09F6">
              <w:rPr>
                <w:rFonts w:ascii="Arial Narrow" w:hAnsi="Arial Narrow"/>
                <w:sz w:val="20"/>
                <w:szCs w:val="18"/>
              </w:rPr>
              <w:t xml:space="preserve">Study 588 </w:t>
            </w:r>
            <w:r w:rsidRPr="00EC09F6">
              <w:rPr>
                <w:rFonts w:ascii="Arial Narrow" w:hAnsi="Arial Narrow"/>
                <w:sz w:val="20"/>
                <w:szCs w:val="18"/>
                <w:vertAlign w:val="superscript"/>
              </w:rPr>
              <w:t>a</w:t>
            </w:r>
          </w:p>
        </w:tc>
        <w:tc>
          <w:tcPr>
            <w:tcW w:w="844"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0.47 (0.35, 0.64)</w:t>
            </w:r>
          </w:p>
        </w:tc>
        <w:tc>
          <w:tcPr>
            <w:tcW w:w="509"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0.83</w:t>
            </w:r>
          </w:p>
        </w:tc>
        <w:tc>
          <w:tcPr>
            <w:tcW w:w="508" w:type="pct"/>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1.74</w:t>
            </w:r>
          </w:p>
        </w:tc>
        <w:tc>
          <w:tcPr>
            <w:tcW w:w="50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845"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101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r>
      <w:tr w:rsidR="00372132" w:rsidRPr="00EC09F6" w:rsidTr="00372132">
        <w:tc>
          <w:tcPr>
            <w:tcW w:w="779" w:type="pct"/>
            <w:gridSpan w:val="2"/>
            <w:shd w:val="clear" w:color="auto" w:fill="auto"/>
            <w:vAlign w:val="center"/>
          </w:tcPr>
          <w:p w:rsidR="00372132" w:rsidRPr="00EC09F6" w:rsidRDefault="00372132" w:rsidP="00372132">
            <w:pPr>
              <w:keepNext/>
              <w:rPr>
                <w:rFonts w:ascii="Arial Narrow" w:hAnsi="Arial Narrow"/>
                <w:sz w:val="20"/>
                <w:szCs w:val="18"/>
              </w:rPr>
            </w:pPr>
            <w:r w:rsidRPr="00EC09F6">
              <w:rPr>
                <w:rFonts w:ascii="Arial Narrow" w:hAnsi="Arial Narrow"/>
                <w:sz w:val="20"/>
                <w:szCs w:val="18"/>
              </w:rPr>
              <w:t xml:space="preserve">INNOVATE </w:t>
            </w:r>
            <w:r w:rsidRPr="00EC09F6">
              <w:rPr>
                <w:rFonts w:ascii="Arial Narrow" w:hAnsi="Arial Narrow"/>
                <w:sz w:val="20"/>
                <w:szCs w:val="18"/>
                <w:vertAlign w:val="superscript"/>
              </w:rPr>
              <w:t>b</w:t>
            </w:r>
          </w:p>
        </w:tc>
        <w:tc>
          <w:tcPr>
            <w:tcW w:w="844"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509"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508" w:type="pct"/>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0.91</w:t>
            </w:r>
          </w:p>
        </w:tc>
        <w:tc>
          <w:tcPr>
            <w:tcW w:w="50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0.68</w:t>
            </w:r>
          </w:p>
        </w:tc>
        <w:tc>
          <w:tcPr>
            <w:tcW w:w="845"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0.74 (0.55, 1.00)</w:t>
            </w:r>
          </w:p>
        </w:tc>
        <w:tc>
          <w:tcPr>
            <w:tcW w:w="101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r>
      <w:tr w:rsidR="00372132" w:rsidRPr="00EC09F6" w:rsidTr="00372132">
        <w:tc>
          <w:tcPr>
            <w:tcW w:w="779" w:type="pct"/>
            <w:gridSpan w:val="2"/>
            <w:shd w:val="clear" w:color="auto" w:fill="auto"/>
            <w:vAlign w:val="center"/>
          </w:tcPr>
          <w:p w:rsidR="00372132" w:rsidRPr="00EC09F6" w:rsidRDefault="00372132" w:rsidP="00372132">
            <w:pPr>
              <w:keepNext/>
              <w:rPr>
                <w:rFonts w:ascii="Arial Narrow" w:hAnsi="Arial Narrow"/>
                <w:sz w:val="20"/>
                <w:szCs w:val="18"/>
              </w:rPr>
            </w:pPr>
            <w:r w:rsidRPr="00EC09F6">
              <w:rPr>
                <w:rFonts w:ascii="Arial Narrow" w:hAnsi="Arial Narrow"/>
                <w:sz w:val="20"/>
                <w:szCs w:val="18"/>
              </w:rPr>
              <w:t xml:space="preserve">EXTRA </w:t>
            </w:r>
            <w:r w:rsidRPr="00EC09F6">
              <w:rPr>
                <w:rFonts w:ascii="Arial Narrow" w:hAnsi="Arial Narrow"/>
                <w:sz w:val="20"/>
                <w:szCs w:val="18"/>
                <w:vertAlign w:val="superscript"/>
              </w:rPr>
              <w:t>c</w:t>
            </w:r>
          </w:p>
        </w:tc>
        <w:tc>
          <w:tcPr>
            <w:tcW w:w="844"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509"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c>
          <w:tcPr>
            <w:tcW w:w="508" w:type="pct"/>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0.88</w:t>
            </w:r>
          </w:p>
        </w:tc>
        <w:tc>
          <w:tcPr>
            <w:tcW w:w="50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0.66</w:t>
            </w:r>
          </w:p>
        </w:tc>
        <w:tc>
          <w:tcPr>
            <w:tcW w:w="845" w:type="pct"/>
            <w:gridSpan w:val="3"/>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0.75 (0.61, 0.92)</w:t>
            </w:r>
          </w:p>
        </w:tc>
        <w:tc>
          <w:tcPr>
            <w:tcW w:w="1013" w:type="pct"/>
            <w:gridSpan w:val="2"/>
            <w:vAlign w:val="center"/>
          </w:tcPr>
          <w:p w:rsidR="00372132" w:rsidRPr="00EC09F6" w:rsidRDefault="00372132" w:rsidP="00372132">
            <w:pPr>
              <w:keepNext/>
              <w:jc w:val="center"/>
              <w:rPr>
                <w:rFonts w:ascii="Arial Narrow" w:hAnsi="Arial Narrow"/>
                <w:sz w:val="20"/>
                <w:szCs w:val="18"/>
              </w:rPr>
            </w:pPr>
            <w:r w:rsidRPr="00EC09F6">
              <w:rPr>
                <w:rFonts w:ascii="Arial Narrow" w:hAnsi="Arial Narrow"/>
                <w:sz w:val="20"/>
                <w:szCs w:val="18"/>
              </w:rPr>
              <w:t>-</w:t>
            </w:r>
          </w:p>
        </w:tc>
      </w:tr>
      <w:tr w:rsidR="00372132" w:rsidRPr="00EC09F6" w:rsidTr="00372132">
        <w:tc>
          <w:tcPr>
            <w:tcW w:w="5000" w:type="pct"/>
            <w:gridSpan w:val="15"/>
            <w:tcBorders>
              <w:top w:val="single" w:sz="4" w:space="0" w:color="auto"/>
              <w:bottom w:val="single" w:sz="4" w:space="0" w:color="auto"/>
            </w:tcBorders>
            <w:shd w:val="clear" w:color="auto" w:fill="auto"/>
            <w:vAlign w:val="center"/>
          </w:tcPr>
          <w:p w:rsidR="00372132" w:rsidRPr="00EC09F6" w:rsidRDefault="00372132" w:rsidP="00372132">
            <w:pPr>
              <w:keepNext/>
              <w:rPr>
                <w:rFonts w:ascii="Arial Narrow" w:hAnsi="Arial Narrow"/>
                <w:b/>
                <w:sz w:val="20"/>
                <w:szCs w:val="18"/>
              </w:rPr>
            </w:pPr>
            <w:r w:rsidRPr="00EC09F6">
              <w:rPr>
                <w:rFonts w:ascii="Arial Narrow" w:hAnsi="Arial Narrow"/>
                <w:b/>
                <w:sz w:val="20"/>
                <w:szCs w:val="18"/>
              </w:rPr>
              <w:t xml:space="preserve">Primary analysis (≥ 1 exacerbation overlap population): Rate of clinically significant exacerbations  </w:t>
            </w:r>
          </w:p>
        </w:tc>
      </w:tr>
      <w:tr w:rsidR="00372132" w:rsidRPr="00EC09F6" w:rsidTr="00372132">
        <w:tc>
          <w:tcPr>
            <w:tcW w:w="779" w:type="pct"/>
            <w:gridSpan w:val="2"/>
            <w:tcBorders>
              <w:bottom w:val="single" w:sz="4" w:space="0" w:color="auto"/>
            </w:tcBorders>
            <w:shd w:val="clear" w:color="auto" w:fill="auto"/>
            <w:vAlign w:val="center"/>
          </w:tcPr>
          <w:p w:rsidR="00372132" w:rsidRPr="00EC09F6" w:rsidRDefault="00372132" w:rsidP="00372132">
            <w:pPr>
              <w:keepNext/>
              <w:rPr>
                <w:rFonts w:ascii="Arial Narrow" w:hAnsi="Arial Narrow"/>
                <w:sz w:val="20"/>
                <w:szCs w:val="18"/>
              </w:rPr>
            </w:pPr>
            <w:r w:rsidRPr="00EC09F6">
              <w:rPr>
                <w:rFonts w:ascii="Arial Narrow" w:hAnsi="Arial Narrow"/>
                <w:sz w:val="20"/>
                <w:szCs w:val="18"/>
              </w:rPr>
              <w:t xml:space="preserve">Pooled </w:t>
            </w:r>
            <w:r w:rsidRPr="00EC09F6">
              <w:rPr>
                <w:rFonts w:ascii="Arial Narrow" w:hAnsi="Arial Narrow"/>
                <w:sz w:val="20"/>
                <w:szCs w:val="18"/>
                <w:vertAlign w:val="superscript"/>
              </w:rPr>
              <w:t>d</w:t>
            </w:r>
          </w:p>
        </w:tc>
        <w:tc>
          <w:tcPr>
            <w:tcW w:w="844" w:type="pct"/>
            <w:gridSpan w:val="3"/>
            <w:tcBorders>
              <w:bottom w:val="single" w:sz="4" w:space="0" w:color="auto"/>
            </w:tcBorders>
            <w:shd w:val="clear" w:color="auto" w:fill="auto"/>
            <w:vAlign w:val="center"/>
          </w:tcPr>
          <w:p w:rsidR="00372132" w:rsidRPr="00EC09F6" w:rsidRDefault="00FF6A83" w:rsidP="00372132">
            <w:pPr>
              <w:keepNext/>
              <w:jc w:val="center"/>
              <w:rPr>
                <w:rFonts w:ascii="Arial Narrow" w:hAnsi="Arial Narrow"/>
                <w:sz w:val="20"/>
                <w:szCs w:val="18"/>
              </w:rPr>
            </w:pPr>
            <w:r>
              <w:rPr>
                <w:rFonts w:ascii="Arial Narrow" w:hAnsi="Arial Narrow"/>
                <w:noProof/>
                <w:color w:val="000000"/>
                <w:sz w:val="20"/>
                <w:szCs w:val="18"/>
                <w:highlight w:val="black"/>
              </w:rPr>
              <w:t>'''''''''''</w:t>
            </w:r>
            <w:r w:rsidR="00372132" w:rsidRPr="00EC09F6">
              <w:rPr>
                <w:rFonts w:ascii="Arial Narrow" w:hAnsi="Arial Narrow"/>
                <w:sz w:val="20"/>
                <w:szCs w:val="18"/>
              </w:rPr>
              <w:t xml:space="preserve"> (</w:t>
            </w:r>
            <w:r>
              <w:rPr>
                <w:rFonts w:ascii="Arial Narrow" w:hAnsi="Arial Narrow"/>
                <w:noProof/>
                <w:color w:val="000000"/>
                <w:sz w:val="20"/>
                <w:szCs w:val="18"/>
                <w:highlight w:val="black"/>
              </w:rPr>
              <w:t>''''''''''</w:t>
            </w:r>
            <w:r w:rsidR="00372132" w:rsidRPr="005F4FA2">
              <w:rPr>
                <w:rFonts w:ascii="Arial Narrow" w:hAnsi="Arial Narrow"/>
                <w:sz w:val="20"/>
                <w:szCs w:val="18"/>
              </w:rPr>
              <w:t xml:space="preserve">, </w:t>
            </w:r>
            <w:r>
              <w:rPr>
                <w:rFonts w:ascii="Arial Narrow" w:hAnsi="Arial Narrow"/>
                <w:noProof/>
                <w:color w:val="000000"/>
                <w:sz w:val="20"/>
                <w:szCs w:val="18"/>
                <w:highlight w:val="black"/>
              </w:rPr>
              <w:t>'''''''''''</w:t>
            </w:r>
            <w:r w:rsidR="00372132" w:rsidRPr="00EC09F6">
              <w:rPr>
                <w:rFonts w:ascii="Arial Narrow" w:hAnsi="Arial Narrow"/>
                <w:sz w:val="20"/>
                <w:szCs w:val="18"/>
              </w:rPr>
              <w:t>)</w:t>
            </w:r>
          </w:p>
        </w:tc>
        <w:tc>
          <w:tcPr>
            <w:tcW w:w="1520" w:type="pct"/>
            <w:gridSpan w:val="5"/>
            <w:tcBorders>
              <w:bottom w:val="single" w:sz="4" w:space="0" w:color="auto"/>
            </w:tcBorders>
            <w:shd w:val="clear" w:color="auto" w:fill="auto"/>
            <w:vAlign w:val="center"/>
          </w:tcPr>
          <w:p w:rsidR="00372132" w:rsidRPr="00EC09F6" w:rsidRDefault="00372132" w:rsidP="00372132">
            <w:pPr>
              <w:keepNext/>
              <w:jc w:val="center"/>
              <w:rPr>
                <w:rFonts w:ascii="Arial Narrow" w:hAnsi="Arial Narrow"/>
                <w:sz w:val="20"/>
                <w:szCs w:val="18"/>
              </w:rPr>
            </w:pPr>
          </w:p>
        </w:tc>
        <w:tc>
          <w:tcPr>
            <w:tcW w:w="845" w:type="pct"/>
            <w:gridSpan w:val="3"/>
            <w:tcBorders>
              <w:bottom w:val="single" w:sz="4" w:space="0" w:color="auto"/>
            </w:tcBorders>
            <w:vAlign w:val="center"/>
          </w:tcPr>
          <w:p w:rsidR="00372132" w:rsidRPr="00EC09F6" w:rsidRDefault="00372132" w:rsidP="00372132">
            <w:pPr>
              <w:keepNext/>
              <w:jc w:val="center"/>
              <w:rPr>
                <w:rFonts w:ascii="Arial Narrow" w:hAnsi="Arial Narrow"/>
                <w:sz w:val="20"/>
                <w:szCs w:val="18"/>
              </w:rPr>
            </w:pPr>
            <w:r w:rsidRPr="005F4FA2">
              <w:rPr>
                <w:rFonts w:ascii="Arial Narrow" w:hAnsi="Arial Narrow"/>
                <w:sz w:val="20"/>
                <w:szCs w:val="18"/>
              </w:rPr>
              <w:t>0.75</w:t>
            </w:r>
            <w:r w:rsidRPr="00EC09F6">
              <w:rPr>
                <w:rFonts w:ascii="Arial Narrow" w:hAnsi="Arial Narrow"/>
                <w:sz w:val="20"/>
                <w:szCs w:val="18"/>
              </w:rPr>
              <w:t xml:space="preserve"> (</w:t>
            </w:r>
            <w:r w:rsidRPr="005F4FA2">
              <w:rPr>
                <w:rFonts w:ascii="Arial Narrow" w:hAnsi="Arial Narrow"/>
                <w:sz w:val="20"/>
                <w:szCs w:val="18"/>
              </w:rPr>
              <w:t>0.63, 0.88</w:t>
            </w:r>
            <w:r w:rsidRPr="00EC09F6">
              <w:rPr>
                <w:rFonts w:ascii="Arial Narrow" w:hAnsi="Arial Narrow"/>
                <w:sz w:val="20"/>
                <w:szCs w:val="18"/>
              </w:rPr>
              <w:t>)</w:t>
            </w:r>
          </w:p>
        </w:tc>
        <w:tc>
          <w:tcPr>
            <w:tcW w:w="1013" w:type="pct"/>
            <w:gridSpan w:val="2"/>
            <w:tcBorders>
              <w:bottom w:val="single" w:sz="4" w:space="0" w:color="auto"/>
            </w:tcBorders>
            <w:vAlign w:val="center"/>
          </w:tcPr>
          <w:p w:rsidR="00372132" w:rsidRPr="00EC09F6" w:rsidRDefault="00FF6A83" w:rsidP="00372132">
            <w:pPr>
              <w:keepNext/>
              <w:jc w:val="center"/>
              <w:rPr>
                <w:rFonts w:ascii="Arial Narrow" w:hAnsi="Arial Narrow"/>
                <w:sz w:val="20"/>
                <w:szCs w:val="18"/>
              </w:rPr>
            </w:pPr>
            <w:r>
              <w:rPr>
                <w:rFonts w:ascii="Arial Narrow" w:hAnsi="Arial Narrow"/>
                <w:noProof/>
                <w:color w:val="000000"/>
                <w:sz w:val="20"/>
                <w:szCs w:val="18"/>
                <w:highlight w:val="black"/>
              </w:rPr>
              <w:t>''''''''''''</w:t>
            </w:r>
            <w:r w:rsidR="00372132" w:rsidRPr="00EC09F6">
              <w:rPr>
                <w:rFonts w:ascii="Arial Narrow" w:hAnsi="Arial Narrow"/>
                <w:sz w:val="20"/>
                <w:szCs w:val="18"/>
              </w:rPr>
              <w:t xml:space="preserve"> (</w:t>
            </w:r>
            <w:r>
              <w:rPr>
                <w:rFonts w:ascii="Arial Narrow" w:hAnsi="Arial Narrow"/>
                <w:noProof/>
                <w:color w:val="000000"/>
                <w:sz w:val="20"/>
                <w:szCs w:val="18"/>
                <w:highlight w:val="black"/>
              </w:rPr>
              <w:t>''''''''''</w:t>
            </w:r>
            <w:r w:rsidR="00372132" w:rsidRPr="005F4FA2">
              <w:rPr>
                <w:rFonts w:ascii="Arial Narrow" w:hAnsi="Arial Narrow"/>
                <w:sz w:val="20"/>
                <w:szCs w:val="18"/>
              </w:rPr>
              <w:t xml:space="preserve">, </w:t>
            </w:r>
            <w:r>
              <w:rPr>
                <w:rFonts w:ascii="Arial Narrow" w:hAnsi="Arial Narrow"/>
                <w:noProof/>
                <w:color w:val="000000"/>
                <w:sz w:val="20"/>
                <w:szCs w:val="18"/>
                <w:highlight w:val="black"/>
              </w:rPr>
              <w:t>''''''''''</w:t>
            </w:r>
            <w:r w:rsidR="00372132" w:rsidRPr="00EC09F6">
              <w:rPr>
                <w:rFonts w:ascii="Arial Narrow" w:hAnsi="Arial Narrow"/>
                <w:sz w:val="20"/>
                <w:szCs w:val="18"/>
              </w:rPr>
              <w:t>)</w:t>
            </w:r>
          </w:p>
        </w:tc>
      </w:tr>
      <w:tr w:rsidR="00372132" w:rsidRPr="00EC09F6" w:rsidTr="00372132">
        <w:tc>
          <w:tcPr>
            <w:tcW w:w="5000" w:type="pct"/>
            <w:gridSpan w:val="15"/>
            <w:tcBorders>
              <w:top w:val="double" w:sz="4" w:space="0" w:color="auto"/>
            </w:tcBorders>
            <w:shd w:val="clear" w:color="auto" w:fill="auto"/>
            <w:vAlign w:val="center"/>
          </w:tcPr>
          <w:p w:rsidR="00372132" w:rsidRPr="00EC09F6" w:rsidRDefault="00372132" w:rsidP="00372132">
            <w:pPr>
              <w:keepNext/>
              <w:rPr>
                <w:rFonts w:ascii="Arial Narrow" w:hAnsi="Arial Narrow"/>
                <w:b/>
                <w:sz w:val="20"/>
                <w:szCs w:val="18"/>
              </w:rPr>
            </w:pPr>
            <w:r w:rsidRPr="00EC09F6">
              <w:rPr>
                <w:rFonts w:ascii="Arial Narrow" w:hAnsi="Arial Narrow"/>
                <w:b/>
                <w:sz w:val="20"/>
                <w:szCs w:val="18"/>
              </w:rPr>
              <w:t>HARMS</w:t>
            </w:r>
          </w:p>
        </w:tc>
      </w:tr>
      <w:tr w:rsidR="00372132" w:rsidRPr="005F4FA2" w:rsidTr="00372132">
        <w:trPr>
          <w:trHeight w:val="105"/>
        </w:trPr>
        <w:tc>
          <w:tcPr>
            <w:tcW w:w="696" w:type="pct"/>
            <w:vMerge w:val="restart"/>
            <w:shd w:val="clear" w:color="auto" w:fill="auto"/>
            <w:vAlign w:val="center"/>
          </w:tcPr>
          <w:p w:rsidR="00372132" w:rsidRPr="00EC09F6" w:rsidRDefault="00372132" w:rsidP="00372132">
            <w:pPr>
              <w:keepNext/>
              <w:rPr>
                <w:rFonts w:ascii="Arial Narrow" w:hAnsi="Arial Narrow"/>
                <w:sz w:val="20"/>
                <w:szCs w:val="18"/>
              </w:rPr>
            </w:pPr>
          </w:p>
        </w:tc>
        <w:tc>
          <w:tcPr>
            <w:tcW w:w="441"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 xml:space="preserve">MEPO </w:t>
            </w:r>
            <w:r w:rsidRPr="005F4FA2">
              <w:rPr>
                <w:rFonts w:ascii="Arial Narrow" w:hAnsi="Arial Narrow"/>
                <w:b/>
                <w:sz w:val="20"/>
                <w:szCs w:val="18"/>
                <w:vertAlign w:val="superscript"/>
              </w:rPr>
              <w:t>e</w:t>
            </w:r>
          </w:p>
        </w:tc>
        <w:tc>
          <w:tcPr>
            <w:tcW w:w="423" w:type="pct"/>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487" w:type="pct"/>
            <w:gridSpan w:val="2"/>
            <w:vMerge w:val="restar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OMAL</w:t>
            </w:r>
          </w:p>
        </w:tc>
        <w:tc>
          <w:tcPr>
            <w:tcW w:w="798" w:type="pct"/>
            <w:gridSpan w:val="3"/>
            <w:vMerge w:val="restar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b/>
                <w:sz w:val="20"/>
                <w:szCs w:val="18"/>
              </w:rPr>
              <w:t>Rel. R (95% CI)</w:t>
            </w:r>
          </w:p>
        </w:tc>
        <w:tc>
          <w:tcPr>
            <w:tcW w:w="1328" w:type="pct"/>
            <w:gridSpan w:val="5"/>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 xml:space="preserve">Percent of patients* </w:t>
            </w:r>
          </w:p>
        </w:tc>
        <w:tc>
          <w:tcPr>
            <w:tcW w:w="827" w:type="pct"/>
            <w:vMerge w:val="restar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b/>
                <w:sz w:val="20"/>
                <w:szCs w:val="18"/>
              </w:rPr>
              <w:t>RD (95% CI)</w:t>
            </w:r>
          </w:p>
        </w:tc>
      </w:tr>
      <w:tr w:rsidR="00372132" w:rsidRPr="005F4FA2" w:rsidTr="00372132">
        <w:trPr>
          <w:trHeight w:val="70"/>
        </w:trPr>
        <w:tc>
          <w:tcPr>
            <w:tcW w:w="696" w:type="pct"/>
            <w:vMerge/>
            <w:shd w:val="clear" w:color="auto" w:fill="auto"/>
            <w:vAlign w:val="center"/>
          </w:tcPr>
          <w:p w:rsidR="00372132" w:rsidRPr="005F4FA2" w:rsidRDefault="00372132" w:rsidP="00372132">
            <w:pPr>
              <w:keepNext/>
              <w:rPr>
                <w:rFonts w:ascii="Arial Narrow" w:hAnsi="Arial Narrow"/>
                <w:sz w:val="20"/>
                <w:szCs w:val="18"/>
              </w:rPr>
            </w:pPr>
          </w:p>
        </w:tc>
        <w:tc>
          <w:tcPr>
            <w:tcW w:w="441" w:type="pct"/>
            <w:gridSpan w:val="2"/>
            <w:vMerge/>
            <w:vAlign w:val="center"/>
          </w:tcPr>
          <w:p w:rsidR="00372132" w:rsidRPr="005F4FA2" w:rsidRDefault="00372132" w:rsidP="00372132">
            <w:pPr>
              <w:keepNext/>
              <w:jc w:val="center"/>
              <w:rPr>
                <w:rFonts w:ascii="Arial Narrow" w:hAnsi="Arial Narrow"/>
                <w:b/>
                <w:sz w:val="20"/>
                <w:szCs w:val="18"/>
              </w:rPr>
            </w:pPr>
          </w:p>
        </w:tc>
        <w:tc>
          <w:tcPr>
            <w:tcW w:w="423" w:type="pct"/>
            <w:vMerge/>
            <w:vAlign w:val="center"/>
          </w:tcPr>
          <w:p w:rsidR="00372132" w:rsidRPr="005F4FA2" w:rsidRDefault="00372132" w:rsidP="00372132">
            <w:pPr>
              <w:keepNext/>
              <w:jc w:val="center"/>
              <w:rPr>
                <w:rFonts w:ascii="Arial Narrow" w:hAnsi="Arial Narrow"/>
                <w:b/>
                <w:sz w:val="20"/>
                <w:szCs w:val="18"/>
              </w:rPr>
            </w:pPr>
          </w:p>
        </w:tc>
        <w:tc>
          <w:tcPr>
            <w:tcW w:w="487" w:type="pct"/>
            <w:gridSpan w:val="2"/>
            <w:vMerge/>
            <w:vAlign w:val="center"/>
          </w:tcPr>
          <w:p w:rsidR="00372132" w:rsidRPr="005F4FA2" w:rsidRDefault="00372132" w:rsidP="00372132">
            <w:pPr>
              <w:keepNext/>
              <w:jc w:val="center"/>
              <w:rPr>
                <w:rFonts w:ascii="Arial Narrow" w:hAnsi="Arial Narrow"/>
                <w:b/>
                <w:sz w:val="20"/>
                <w:szCs w:val="18"/>
              </w:rPr>
            </w:pPr>
          </w:p>
        </w:tc>
        <w:tc>
          <w:tcPr>
            <w:tcW w:w="798" w:type="pct"/>
            <w:gridSpan w:val="3"/>
            <w:vMerge/>
            <w:vAlign w:val="center"/>
          </w:tcPr>
          <w:p w:rsidR="00372132" w:rsidRPr="005F4FA2" w:rsidRDefault="00372132" w:rsidP="00372132">
            <w:pPr>
              <w:keepNext/>
              <w:jc w:val="center"/>
              <w:rPr>
                <w:rFonts w:ascii="Arial Narrow" w:hAnsi="Arial Narrow"/>
                <w:b/>
                <w:sz w:val="20"/>
                <w:szCs w:val="18"/>
              </w:rPr>
            </w:pPr>
          </w:p>
        </w:tc>
        <w:tc>
          <w:tcPr>
            <w:tcW w:w="472" w:type="pct"/>
            <w:gridSpan w:val="2"/>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MEPO</w:t>
            </w:r>
          </w:p>
        </w:tc>
        <w:tc>
          <w:tcPr>
            <w:tcW w:w="423" w:type="pct"/>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SOC</w:t>
            </w:r>
          </w:p>
        </w:tc>
        <w:tc>
          <w:tcPr>
            <w:tcW w:w="433" w:type="pct"/>
            <w:gridSpan w:val="2"/>
            <w:vAlign w:val="center"/>
          </w:tcPr>
          <w:p w:rsidR="00372132" w:rsidRPr="005F4FA2" w:rsidRDefault="00372132" w:rsidP="00372132">
            <w:pPr>
              <w:keepNext/>
              <w:jc w:val="center"/>
              <w:rPr>
                <w:rFonts w:ascii="Arial Narrow" w:hAnsi="Arial Narrow"/>
                <w:b/>
                <w:sz w:val="20"/>
                <w:szCs w:val="18"/>
              </w:rPr>
            </w:pPr>
            <w:r w:rsidRPr="005F4FA2">
              <w:rPr>
                <w:rFonts w:ascii="Arial Narrow" w:hAnsi="Arial Narrow"/>
                <w:b/>
                <w:sz w:val="20"/>
                <w:szCs w:val="18"/>
              </w:rPr>
              <w:t>OMAL</w:t>
            </w:r>
          </w:p>
        </w:tc>
        <w:tc>
          <w:tcPr>
            <w:tcW w:w="827" w:type="pct"/>
            <w:vMerge/>
            <w:vAlign w:val="center"/>
          </w:tcPr>
          <w:p w:rsidR="00372132" w:rsidRPr="005F4FA2" w:rsidRDefault="00372132" w:rsidP="00372132">
            <w:pPr>
              <w:keepNext/>
              <w:jc w:val="center"/>
              <w:rPr>
                <w:rFonts w:ascii="Arial Narrow" w:hAnsi="Arial Narrow"/>
                <w:b/>
                <w:sz w:val="20"/>
                <w:szCs w:val="18"/>
              </w:rPr>
            </w:pPr>
          </w:p>
        </w:tc>
      </w:tr>
      <w:tr w:rsidR="00372132" w:rsidRPr="005F4FA2" w:rsidTr="00372132">
        <w:tc>
          <w:tcPr>
            <w:tcW w:w="5000" w:type="pct"/>
            <w:gridSpan w:val="15"/>
            <w:shd w:val="clear" w:color="auto" w:fill="auto"/>
            <w:vAlign w:val="center"/>
          </w:tcPr>
          <w:p w:rsidR="00372132" w:rsidRPr="005F4FA2" w:rsidRDefault="00372132" w:rsidP="00372132">
            <w:pPr>
              <w:keepNext/>
              <w:jc w:val="left"/>
              <w:rPr>
                <w:rFonts w:ascii="Arial Narrow" w:hAnsi="Arial Narrow"/>
                <w:b/>
                <w:sz w:val="20"/>
                <w:szCs w:val="18"/>
              </w:rPr>
            </w:pPr>
            <w:r w:rsidRPr="005F4FA2">
              <w:rPr>
                <w:rFonts w:ascii="Arial Narrow" w:hAnsi="Arial Narrow"/>
                <w:b/>
                <w:sz w:val="20"/>
                <w:szCs w:val="18"/>
              </w:rPr>
              <w:t>Any adverse event (number of patients)</w:t>
            </w:r>
          </w:p>
        </w:tc>
      </w:tr>
      <w:tr w:rsidR="00372132" w:rsidRPr="005F4FA2" w:rsidTr="00372132">
        <w:tc>
          <w:tcPr>
            <w:tcW w:w="696" w:type="pc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588</w:t>
            </w:r>
          </w:p>
        </w:tc>
        <w:tc>
          <w:tcPr>
            <w:tcW w:w="441"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152/194</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158/191</w:t>
            </w:r>
          </w:p>
        </w:tc>
        <w:tc>
          <w:tcPr>
            <w:tcW w:w="48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798"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0.95 (0.86, 1.05)</w:t>
            </w:r>
          </w:p>
        </w:tc>
        <w:tc>
          <w:tcPr>
            <w:tcW w:w="472"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78%</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83%</w:t>
            </w:r>
          </w:p>
        </w:tc>
        <w:tc>
          <w:tcPr>
            <w:tcW w:w="433"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827"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-0.04 (-0.12, 0.04)</w:t>
            </w:r>
          </w:p>
        </w:tc>
      </w:tr>
      <w:tr w:rsidR="00372132" w:rsidRPr="005F4FA2" w:rsidTr="00372132">
        <w:tc>
          <w:tcPr>
            <w:tcW w:w="696" w:type="pc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INNOVATE</w:t>
            </w:r>
          </w:p>
        </w:tc>
        <w:tc>
          <w:tcPr>
            <w:tcW w:w="441" w:type="pct"/>
            <w:gridSpan w:val="2"/>
            <w:vAlign w:val="center"/>
          </w:tcPr>
          <w:p w:rsidR="00372132" w:rsidRPr="005F4FA2" w:rsidRDefault="00372132" w:rsidP="00372132">
            <w:pPr>
              <w:keepNext/>
              <w:jc w:val="center"/>
              <w:rPr>
                <w:rFonts w:ascii="Arial Narrow" w:hAnsi="Arial Narrow"/>
                <w:sz w:val="20"/>
                <w:szCs w:val="18"/>
              </w:rPr>
            </w:pP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179/237</w:t>
            </w:r>
          </w:p>
        </w:tc>
        <w:tc>
          <w:tcPr>
            <w:tcW w:w="48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177/245</w:t>
            </w:r>
          </w:p>
        </w:tc>
        <w:tc>
          <w:tcPr>
            <w:tcW w:w="798"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0.96 (0.86, 1.06)</w:t>
            </w:r>
          </w:p>
        </w:tc>
        <w:tc>
          <w:tcPr>
            <w:tcW w:w="472"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76%</w:t>
            </w:r>
          </w:p>
        </w:tc>
        <w:tc>
          <w:tcPr>
            <w:tcW w:w="433"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72%</w:t>
            </w:r>
          </w:p>
        </w:tc>
        <w:tc>
          <w:tcPr>
            <w:tcW w:w="827"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-0.03 (-0.11, 0.05)</w:t>
            </w:r>
          </w:p>
        </w:tc>
      </w:tr>
      <w:tr w:rsidR="00372132" w:rsidRPr="005F4FA2" w:rsidTr="00372132">
        <w:tc>
          <w:tcPr>
            <w:tcW w:w="2047" w:type="pct"/>
            <w:gridSpan w:val="6"/>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 xml:space="preserve">Indirect comparison: </w:t>
            </w:r>
          </w:p>
        </w:tc>
        <w:tc>
          <w:tcPr>
            <w:tcW w:w="798" w:type="pct"/>
            <w:gridSpan w:val="3"/>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0.99 (0.86, 1.15)</w:t>
            </w:r>
          </w:p>
        </w:tc>
        <w:tc>
          <w:tcPr>
            <w:tcW w:w="1328" w:type="pct"/>
            <w:gridSpan w:val="5"/>
            <w:tcBorders>
              <w:bottom w:val="single" w:sz="4" w:space="0" w:color="auto"/>
            </w:tcBorders>
            <w:shd w:val="clear" w:color="auto" w:fill="auto"/>
            <w:vAlign w:val="center"/>
          </w:tcPr>
          <w:p w:rsidR="00372132" w:rsidRPr="005F4FA2" w:rsidRDefault="00372132" w:rsidP="00372132">
            <w:pPr>
              <w:keepNext/>
              <w:jc w:val="center"/>
              <w:rPr>
                <w:rFonts w:ascii="Arial Narrow" w:hAnsi="Arial Narrow"/>
                <w:sz w:val="20"/>
                <w:szCs w:val="18"/>
              </w:rPr>
            </w:pPr>
          </w:p>
        </w:tc>
        <w:tc>
          <w:tcPr>
            <w:tcW w:w="827"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-0.01 (-0.12, 0.10)</w:t>
            </w:r>
          </w:p>
        </w:tc>
      </w:tr>
      <w:tr w:rsidR="00372132" w:rsidRPr="005F4FA2" w:rsidTr="00372132">
        <w:tc>
          <w:tcPr>
            <w:tcW w:w="5000" w:type="pct"/>
            <w:gridSpan w:val="15"/>
            <w:shd w:val="clear" w:color="auto" w:fill="auto"/>
            <w:vAlign w:val="center"/>
          </w:tcPr>
          <w:p w:rsidR="00372132" w:rsidRPr="005F4FA2" w:rsidRDefault="00372132" w:rsidP="00372132">
            <w:pPr>
              <w:keepNext/>
              <w:jc w:val="left"/>
              <w:rPr>
                <w:rFonts w:ascii="Arial Narrow" w:hAnsi="Arial Narrow"/>
                <w:b/>
                <w:sz w:val="20"/>
                <w:szCs w:val="18"/>
              </w:rPr>
            </w:pPr>
            <w:r w:rsidRPr="005F4FA2">
              <w:rPr>
                <w:rFonts w:ascii="Arial Narrow" w:hAnsi="Arial Narrow"/>
                <w:b/>
                <w:sz w:val="20"/>
                <w:szCs w:val="18"/>
              </w:rPr>
              <w:t>Any serious, drug-related adverse event (number of patients)</w:t>
            </w:r>
          </w:p>
        </w:tc>
      </w:tr>
      <w:tr w:rsidR="00372132" w:rsidRPr="005F4FA2" w:rsidTr="00372132">
        <w:tc>
          <w:tcPr>
            <w:tcW w:w="696" w:type="pc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588</w:t>
            </w:r>
          </w:p>
        </w:tc>
        <w:tc>
          <w:tcPr>
            <w:tcW w:w="441"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1/194</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1/191</w:t>
            </w:r>
          </w:p>
        </w:tc>
        <w:tc>
          <w:tcPr>
            <w:tcW w:w="48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798"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0.98 (0.06, 15.63)</w:t>
            </w:r>
          </w:p>
        </w:tc>
        <w:tc>
          <w:tcPr>
            <w:tcW w:w="472"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&lt; 1%</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&lt; 1%</w:t>
            </w:r>
          </w:p>
        </w:tc>
        <w:tc>
          <w:tcPr>
            <w:tcW w:w="433" w:type="pct"/>
            <w:gridSpan w:val="2"/>
            <w:vAlign w:val="center"/>
          </w:tcPr>
          <w:p w:rsidR="00372132" w:rsidRPr="005F4FA2" w:rsidRDefault="00372132" w:rsidP="00372132">
            <w:pPr>
              <w:keepNext/>
              <w:jc w:val="center"/>
              <w:rPr>
                <w:rFonts w:ascii="Arial Narrow" w:hAnsi="Arial Narrow"/>
                <w:sz w:val="20"/>
                <w:szCs w:val="18"/>
              </w:rPr>
            </w:pPr>
          </w:p>
        </w:tc>
        <w:tc>
          <w:tcPr>
            <w:tcW w:w="827"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0.00 (-0.01, 0.01)</w:t>
            </w:r>
          </w:p>
        </w:tc>
      </w:tr>
      <w:tr w:rsidR="00372132" w:rsidRPr="005F4FA2" w:rsidTr="00372132">
        <w:tc>
          <w:tcPr>
            <w:tcW w:w="696" w:type="pc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INNOVATE</w:t>
            </w:r>
          </w:p>
        </w:tc>
        <w:tc>
          <w:tcPr>
            <w:tcW w:w="441"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w:t>
            </w:r>
          </w:p>
        </w:tc>
        <w:tc>
          <w:tcPr>
            <w:tcW w:w="48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1/245</w:t>
            </w:r>
          </w:p>
        </w:tc>
        <w:tc>
          <w:tcPr>
            <w:tcW w:w="798"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NE</w:t>
            </w:r>
          </w:p>
        </w:tc>
        <w:tc>
          <w:tcPr>
            <w:tcW w:w="472"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w:t>
            </w:r>
          </w:p>
        </w:tc>
        <w:tc>
          <w:tcPr>
            <w:tcW w:w="433"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&lt; 1</w:t>
            </w:r>
          </w:p>
        </w:tc>
        <w:tc>
          <w:tcPr>
            <w:tcW w:w="827"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0.00 (-0.00, 0.01)</w:t>
            </w:r>
          </w:p>
        </w:tc>
      </w:tr>
      <w:tr w:rsidR="00372132" w:rsidRPr="005F4FA2" w:rsidTr="00372132">
        <w:tc>
          <w:tcPr>
            <w:tcW w:w="2047" w:type="pct"/>
            <w:gridSpan w:val="6"/>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 xml:space="preserve">Indirect comparison: </w:t>
            </w:r>
          </w:p>
        </w:tc>
        <w:tc>
          <w:tcPr>
            <w:tcW w:w="798" w:type="pct"/>
            <w:gridSpan w:val="3"/>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NE</w:t>
            </w:r>
          </w:p>
        </w:tc>
        <w:tc>
          <w:tcPr>
            <w:tcW w:w="1328" w:type="pct"/>
            <w:gridSpan w:val="5"/>
            <w:tcBorders>
              <w:bottom w:val="single" w:sz="4" w:space="0" w:color="auto"/>
            </w:tcBorders>
            <w:shd w:val="clear" w:color="auto" w:fill="auto"/>
            <w:vAlign w:val="center"/>
          </w:tcPr>
          <w:p w:rsidR="00372132" w:rsidRPr="005F4FA2" w:rsidRDefault="00372132" w:rsidP="00372132">
            <w:pPr>
              <w:keepNext/>
              <w:jc w:val="center"/>
              <w:rPr>
                <w:rFonts w:ascii="Arial Narrow" w:hAnsi="Arial Narrow"/>
                <w:sz w:val="20"/>
                <w:szCs w:val="18"/>
              </w:rPr>
            </w:pPr>
          </w:p>
        </w:tc>
        <w:tc>
          <w:tcPr>
            <w:tcW w:w="827"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0.00 (-0.01, 0.01)</w:t>
            </w:r>
          </w:p>
        </w:tc>
      </w:tr>
      <w:tr w:rsidR="00372132" w:rsidRPr="005F4FA2" w:rsidTr="00372132">
        <w:tc>
          <w:tcPr>
            <w:tcW w:w="5000" w:type="pct"/>
            <w:gridSpan w:val="15"/>
            <w:shd w:val="clear" w:color="auto" w:fill="auto"/>
            <w:vAlign w:val="center"/>
          </w:tcPr>
          <w:p w:rsidR="00372132" w:rsidRPr="005F4FA2" w:rsidRDefault="00372132" w:rsidP="00372132">
            <w:pPr>
              <w:keepNext/>
              <w:jc w:val="left"/>
              <w:rPr>
                <w:rFonts w:ascii="Arial Narrow" w:hAnsi="Arial Narrow"/>
                <w:b/>
                <w:sz w:val="20"/>
                <w:szCs w:val="18"/>
              </w:rPr>
            </w:pPr>
            <w:r w:rsidRPr="005F4FA2">
              <w:rPr>
                <w:rFonts w:ascii="Arial Narrow" w:hAnsi="Arial Narrow"/>
                <w:b/>
                <w:sz w:val="20"/>
                <w:szCs w:val="18"/>
              </w:rPr>
              <w:t>Adverse events resulting in withdrawal from trial</w:t>
            </w:r>
          </w:p>
        </w:tc>
      </w:tr>
      <w:tr w:rsidR="00372132" w:rsidRPr="005F4FA2" w:rsidTr="00372132">
        <w:tc>
          <w:tcPr>
            <w:tcW w:w="696" w:type="pct"/>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Study 588</w:t>
            </w:r>
          </w:p>
        </w:tc>
        <w:tc>
          <w:tcPr>
            <w:tcW w:w="441"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1/194</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4/191</w:t>
            </w:r>
          </w:p>
        </w:tc>
        <w:tc>
          <w:tcPr>
            <w:tcW w:w="487"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798" w:type="pct"/>
            <w:gridSpan w:val="3"/>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0.25 (0.03, 2.18)</w:t>
            </w:r>
          </w:p>
        </w:tc>
        <w:tc>
          <w:tcPr>
            <w:tcW w:w="472"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&lt; 1%</w:t>
            </w:r>
          </w:p>
        </w:tc>
        <w:tc>
          <w:tcPr>
            <w:tcW w:w="423"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w:t>
            </w:r>
          </w:p>
        </w:tc>
        <w:tc>
          <w:tcPr>
            <w:tcW w:w="433" w:type="pct"/>
            <w:gridSpan w:val="2"/>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827" w:type="pct"/>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-0.02 (-0.04, 0.01)</w:t>
            </w:r>
          </w:p>
        </w:tc>
      </w:tr>
      <w:tr w:rsidR="00372132" w:rsidRPr="005F4FA2" w:rsidTr="00372132">
        <w:tc>
          <w:tcPr>
            <w:tcW w:w="696" w:type="pct"/>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INNOVATE</w:t>
            </w:r>
          </w:p>
        </w:tc>
        <w:tc>
          <w:tcPr>
            <w:tcW w:w="441"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423"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4/237</w:t>
            </w:r>
          </w:p>
        </w:tc>
        <w:tc>
          <w:tcPr>
            <w:tcW w:w="487"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11/245</w:t>
            </w:r>
          </w:p>
        </w:tc>
        <w:tc>
          <w:tcPr>
            <w:tcW w:w="798" w:type="pct"/>
            <w:gridSpan w:val="3"/>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2.66 (0.86, 8.24)</w:t>
            </w:r>
          </w:p>
        </w:tc>
        <w:tc>
          <w:tcPr>
            <w:tcW w:w="472"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w:t>
            </w:r>
          </w:p>
        </w:tc>
        <w:tc>
          <w:tcPr>
            <w:tcW w:w="423"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2%</w:t>
            </w:r>
          </w:p>
        </w:tc>
        <w:tc>
          <w:tcPr>
            <w:tcW w:w="433" w:type="pct"/>
            <w:gridSpan w:val="2"/>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5%</w:t>
            </w:r>
          </w:p>
        </w:tc>
        <w:tc>
          <w:tcPr>
            <w:tcW w:w="827"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0.03 (-0.00, 0.06)</w:t>
            </w:r>
          </w:p>
        </w:tc>
      </w:tr>
      <w:tr w:rsidR="00372132" w:rsidRPr="005F4FA2" w:rsidTr="00372132">
        <w:tc>
          <w:tcPr>
            <w:tcW w:w="2047" w:type="pct"/>
            <w:gridSpan w:val="6"/>
            <w:tcBorders>
              <w:bottom w:val="single" w:sz="4" w:space="0" w:color="auto"/>
            </w:tcBorders>
            <w:shd w:val="clear" w:color="auto" w:fill="auto"/>
            <w:vAlign w:val="center"/>
          </w:tcPr>
          <w:p w:rsidR="00372132" w:rsidRPr="005F4FA2" w:rsidRDefault="00372132" w:rsidP="00372132">
            <w:pPr>
              <w:keepNext/>
              <w:rPr>
                <w:rFonts w:ascii="Arial Narrow" w:hAnsi="Arial Narrow"/>
                <w:sz w:val="20"/>
                <w:szCs w:val="18"/>
              </w:rPr>
            </w:pPr>
            <w:r w:rsidRPr="005F4FA2">
              <w:rPr>
                <w:rFonts w:ascii="Arial Narrow" w:hAnsi="Arial Narrow"/>
                <w:sz w:val="20"/>
                <w:szCs w:val="18"/>
              </w:rPr>
              <w:t xml:space="preserve">Indirect comparison: </w:t>
            </w:r>
          </w:p>
        </w:tc>
        <w:tc>
          <w:tcPr>
            <w:tcW w:w="798" w:type="pct"/>
            <w:gridSpan w:val="3"/>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0.09 (0.01, 1.06)</w:t>
            </w:r>
          </w:p>
        </w:tc>
        <w:tc>
          <w:tcPr>
            <w:tcW w:w="1328" w:type="pct"/>
            <w:gridSpan w:val="5"/>
            <w:tcBorders>
              <w:bottom w:val="single" w:sz="4" w:space="0" w:color="auto"/>
            </w:tcBorders>
            <w:shd w:val="clear" w:color="auto" w:fill="auto"/>
            <w:vAlign w:val="center"/>
          </w:tcPr>
          <w:p w:rsidR="00372132" w:rsidRPr="005F4FA2" w:rsidRDefault="00372132" w:rsidP="00372132">
            <w:pPr>
              <w:keepNext/>
              <w:jc w:val="center"/>
              <w:rPr>
                <w:rFonts w:ascii="Arial Narrow" w:hAnsi="Arial Narrow"/>
                <w:sz w:val="20"/>
                <w:szCs w:val="18"/>
              </w:rPr>
            </w:pPr>
          </w:p>
        </w:tc>
        <w:tc>
          <w:tcPr>
            <w:tcW w:w="827" w:type="pct"/>
            <w:tcBorders>
              <w:bottom w:val="single" w:sz="4" w:space="0" w:color="auto"/>
            </w:tcBorders>
            <w:vAlign w:val="center"/>
          </w:tcPr>
          <w:p w:rsidR="00372132" w:rsidRPr="005F4FA2" w:rsidRDefault="00372132" w:rsidP="00372132">
            <w:pPr>
              <w:keepNext/>
              <w:jc w:val="center"/>
              <w:rPr>
                <w:rFonts w:ascii="Arial Narrow" w:hAnsi="Arial Narrow"/>
                <w:sz w:val="20"/>
                <w:szCs w:val="18"/>
              </w:rPr>
            </w:pPr>
            <w:r w:rsidRPr="005F4FA2">
              <w:rPr>
                <w:rFonts w:ascii="Arial Narrow" w:hAnsi="Arial Narrow"/>
                <w:sz w:val="20"/>
                <w:szCs w:val="18"/>
              </w:rPr>
              <w:t>-0.05 (-0.09, -0.01)</w:t>
            </w:r>
          </w:p>
        </w:tc>
      </w:tr>
    </w:tbl>
    <w:p w:rsidR="00372132" w:rsidRPr="005F4FA2" w:rsidRDefault="00372132" w:rsidP="00372132">
      <w:pPr>
        <w:pStyle w:val="TableFooter"/>
        <w:ind w:left="720"/>
      </w:pPr>
      <w:r w:rsidRPr="005F4FA2">
        <w:t>* Duration of exposure: Study 588 = 32 weeks; INNOVATE = 24 weeks; EXTRA = 48 weeks</w:t>
      </w:r>
    </w:p>
    <w:p w:rsidR="00372132" w:rsidRPr="00EC09F6" w:rsidRDefault="00372132" w:rsidP="00372132">
      <w:pPr>
        <w:pStyle w:val="TableFooter"/>
        <w:ind w:left="720"/>
        <w:rPr>
          <w:i/>
        </w:rPr>
      </w:pPr>
      <w:r w:rsidRPr="005F4FA2">
        <w:t xml:space="preserve">Source: Tables 71-72, pp203-204; Tables 73-74, pp206-207; Tables 75-76, pp209-210; Table 83, p221 of the submission; </w:t>
      </w:r>
      <w:r w:rsidRPr="005F4FA2">
        <w:rPr>
          <w:i/>
        </w:rPr>
        <w:t>Table 6.04, p413 of Study 588 CSR;</w:t>
      </w:r>
      <w:r w:rsidRPr="005F4FA2">
        <w:t xml:space="preserve"> </w:t>
      </w:r>
      <w:r w:rsidRPr="005F4FA2">
        <w:rPr>
          <w:i/>
        </w:rPr>
        <w:t>Table 43, p107 of Study 588 CSR; and</w:t>
      </w:r>
      <w:r w:rsidRPr="00EC09F6">
        <w:rPr>
          <w:i/>
        </w:rPr>
        <w:t xml:space="preserve"> individual trial papers</w:t>
      </w:r>
    </w:p>
    <w:p w:rsidR="00372132" w:rsidRPr="00EC09F6" w:rsidRDefault="00372132" w:rsidP="00372132">
      <w:pPr>
        <w:pStyle w:val="TableFooter"/>
        <w:ind w:left="720"/>
      </w:pPr>
      <w:r w:rsidRPr="00EC09F6">
        <w:t>CI = confidence interval; MEPO = mepolizumab; NE = not estimable; OMAL = omalizumab; RD = risk difference; Rel. R = relative risk; RR = rate ratio; SC = subcutaneous; SOC = standard of care</w:t>
      </w:r>
    </w:p>
    <w:p w:rsidR="00372132" w:rsidRPr="00EC09F6" w:rsidRDefault="00372132" w:rsidP="00372132">
      <w:pPr>
        <w:pStyle w:val="TableFooter"/>
        <w:ind w:firstLine="720"/>
      </w:pPr>
      <w:r w:rsidRPr="00EC09F6">
        <w:rPr>
          <w:vertAlign w:val="superscript"/>
        </w:rPr>
        <w:t xml:space="preserve">a </w:t>
      </w:r>
      <w:r w:rsidRPr="00EC09F6">
        <w:t>Exacerbation rate per year</w:t>
      </w:r>
    </w:p>
    <w:p w:rsidR="00372132" w:rsidRPr="00EC09F6" w:rsidRDefault="00372132" w:rsidP="00372132">
      <w:pPr>
        <w:pStyle w:val="TableFooter"/>
        <w:ind w:firstLine="720"/>
      </w:pPr>
      <w:r w:rsidRPr="00EC09F6">
        <w:rPr>
          <w:vertAlign w:val="superscript"/>
        </w:rPr>
        <w:t xml:space="preserve">b </w:t>
      </w:r>
      <w:r w:rsidRPr="00EC09F6">
        <w:t>Exacerbation rate per 24 weeks</w:t>
      </w:r>
    </w:p>
    <w:p w:rsidR="00372132" w:rsidRPr="00EC09F6" w:rsidRDefault="00372132" w:rsidP="00372132">
      <w:pPr>
        <w:pStyle w:val="TableFooter"/>
        <w:ind w:firstLine="720"/>
      </w:pPr>
      <w:r w:rsidRPr="00EC09F6">
        <w:rPr>
          <w:vertAlign w:val="superscript"/>
        </w:rPr>
        <w:t>c</w:t>
      </w:r>
      <w:r w:rsidRPr="00EC09F6">
        <w:t xml:space="preserve"> Exacerbation rate per 48 weeks</w:t>
      </w:r>
    </w:p>
    <w:p w:rsidR="00372132" w:rsidRPr="00EC09F6" w:rsidRDefault="00372132" w:rsidP="00372132">
      <w:pPr>
        <w:pStyle w:val="TableFooter"/>
        <w:ind w:firstLine="720"/>
      </w:pPr>
      <w:r w:rsidRPr="00EC09F6">
        <w:rPr>
          <w:vertAlign w:val="superscript"/>
        </w:rPr>
        <w:t>d</w:t>
      </w:r>
      <w:r w:rsidRPr="00EC09F6">
        <w:t xml:space="preserve"> Study 588 (</w:t>
      </w:r>
      <w:r w:rsidRPr="00EC09F6">
        <w:rPr>
          <w:i/>
        </w:rPr>
        <w:t>post hoc</w:t>
      </w:r>
      <w:r w:rsidRPr="00EC09F6">
        <w:t xml:space="preserve"> subgroup analysis) versus INNOVATE and EXTRA</w:t>
      </w:r>
    </w:p>
    <w:p w:rsidR="00372132" w:rsidRPr="00EC09F6" w:rsidRDefault="00372132" w:rsidP="00372132">
      <w:pPr>
        <w:pStyle w:val="TableFooter"/>
        <w:ind w:firstLine="720"/>
      </w:pPr>
      <w:r w:rsidRPr="00EC09F6">
        <w:rPr>
          <w:vertAlign w:val="superscript"/>
        </w:rPr>
        <w:t xml:space="preserve">e </w:t>
      </w:r>
      <w:r w:rsidRPr="00EC09F6">
        <w:t>Patients who received mepolizumab 100 mg SC</w:t>
      </w:r>
    </w:p>
    <w:p w:rsidR="0036338D" w:rsidRPr="00EC09F6" w:rsidRDefault="0036338D" w:rsidP="0036338D">
      <w:pPr>
        <w:pStyle w:val="ListParagraph"/>
        <w:ind w:left="993"/>
        <w:rPr>
          <w:szCs w:val="22"/>
        </w:rPr>
      </w:pPr>
    </w:p>
    <w:p w:rsidR="00B60939" w:rsidRPr="00EC09F6" w:rsidRDefault="00B60939" w:rsidP="002C2775">
      <w:pPr>
        <w:pStyle w:val="Heading2"/>
        <w:rPr>
          <w:i/>
        </w:rPr>
      </w:pPr>
      <w:bookmarkStart w:id="11" w:name="_Toc440887140"/>
      <w:r w:rsidRPr="00EC09F6">
        <w:rPr>
          <w:i/>
        </w:rPr>
        <w:t>Clinical claim</w:t>
      </w:r>
      <w:bookmarkEnd w:id="11"/>
    </w:p>
    <w:p w:rsidR="00B60939" w:rsidRPr="00EC09F6" w:rsidRDefault="00B60939" w:rsidP="00B60939">
      <w:pPr>
        <w:ind w:left="720" w:hanging="720"/>
        <w:rPr>
          <w:szCs w:val="22"/>
        </w:rPr>
      </w:pPr>
    </w:p>
    <w:p w:rsidR="00701204" w:rsidRPr="00E759E5" w:rsidRDefault="00701204" w:rsidP="00062BED">
      <w:pPr>
        <w:pStyle w:val="ListParagraph"/>
        <w:widowControl/>
        <w:rPr>
          <w:szCs w:val="22"/>
          <w:u w:val="single"/>
        </w:rPr>
      </w:pPr>
      <w:r w:rsidRPr="00E759E5">
        <w:rPr>
          <w:szCs w:val="22"/>
          <w:u w:val="single"/>
        </w:rPr>
        <w:t>Mepolizumab versus standard of care</w:t>
      </w:r>
    </w:p>
    <w:p w:rsidR="009A355A" w:rsidRPr="00E759E5" w:rsidRDefault="009A355A" w:rsidP="009A355A">
      <w:pPr>
        <w:pStyle w:val="ListParagraph"/>
        <w:widowControl/>
        <w:rPr>
          <w:szCs w:val="22"/>
        </w:rPr>
      </w:pPr>
    </w:p>
    <w:p w:rsidR="000772E7" w:rsidRPr="00E759E5" w:rsidRDefault="000772E7" w:rsidP="00986DCF">
      <w:pPr>
        <w:pStyle w:val="ListParagraph"/>
        <w:widowControl/>
        <w:numPr>
          <w:ilvl w:val="1"/>
          <w:numId w:val="2"/>
        </w:numPr>
        <w:rPr>
          <w:szCs w:val="22"/>
        </w:rPr>
      </w:pPr>
      <w:r w:rsidRPr="00E759E5">
        <w:t xml:space="preserve">The submission described mepolizumab as superior in terms of comparative effectiveness and non-inferior in terms of comparative safety over standard of care.  </w:t>
      </w:r>
    </w:p>
    <w:p w:rsidR="000772E7" w:rsidRPr="00E759E5" w:rsidRDefault="00434402" w:rsidP="000772E7">
      <w:pPr>
        <w:ind w:left="720"/>
      </w:pPr>
      <w:r>
        <w:t>The following issues made</w:t>
      </w:r>
      <w:r w:rsidR="00DC3A6F">
        <w:t xml:space="preserve"> t</w:t>
      </w:r>
      <w:r w:rsidR="000772E7" w:rsidRPr="00E759E5">
        <w:t xml:space="preserve">he claim of non-inferior comparative safety </w:t>
      </w:r>
      <w:r>
        <w:t>uncertain</w:t>
      </w:r>
      <w:r w:rsidR="000772E7" w:rsidRPr="00E759E5">
        <w:t>:</w:t>
      </w:r>
    </w:p>
    <w:p w:rsidR="000772E7" w:rsidRPr="00E759E5" w:rsidRDefault="000772E7" w:rsidP="00986DCF">
      <w:pPr>
        <w:pStyle w:val="ListParagraph"/>
        <w:numPr>
          <w:ilvl w:val="0"/>
          <w:numId w:val="3"/>
        </w:numPr>
      </w:pPr>
      <w:r w:rsidRPr="00E759E5">
        <w:t xml:space="preserve">the pivotal mepolizumab trials were of moderate lengths (24 to 52 weeks), limiting the availability of long-term safety information; and </w:t>
      </w:r>
    </w:p>
    <w:p w:rsidR="000772E7" w:rsidRPr="00E759E5" w:rsidRDefault="000772E7" w:rsidP="00986DCF">
      <w:pPr>
        <w:pStyle w:val="ListParagraph"/>
        <w:numPr>
          <w:ilvl w:val="0"/>
          <w:numId w:val="3"/>
        </w:numPr>
      </w:pPr>
      <w:r w:rsidRPr="00E759E5">
        <w:t xml:space="preserve">up to </w:t>
      </w:r>
      <w:r w:rsidR="002033EC">
        <w:t>6</w:t>
      </w:r>
      <w:r w:rsidRPr="00E759E5">
        <w:t xml:space="preserve">% of patients developed anti-mepolizumab antibodies, the long-term effects of which </w:t>
      </w:r>
      <w:r w:rsidR="00961F48" w:rsidRPr="00E759E5">
        <w:t xml:space="preserve">in treatment of asthma </w:t>
      </w:r>
      <w:r w:rsidRPr="00E759E5">
        <w:t>are unknown.</w:t>
      </w:r>
      <w:r w:rsidR="00781D04" w:rsidRPr="00E759E5">
        <w:t xml:space="preserve"> The PSCR (p.3) stated that in most circumstances anti-drug antibodies are of no clinical significance (Barossa, 2007). </w:t>
      </w:r>
      <w:r w:rsidR="009C265E" w:rsidRPr="00E759E5">
        <w:t>The PSCR (p.2) also stated that mepolizumab has been tested for up to 12 years in patients with hypereosinophilic syndromes.</w:t>
      </w:r>
    </w:p>
    <w:p w:rsidR="00B43D43" w:rsidRPr="00E759E5" w:rsidRDefault="00B43D43" w:rsidP="000772E7">
      <w:pPr>
        <w:ind w:left="720"/>
      </w:pPr>
    </w:p>
    <w:p w:rsidR="000772E7" w:rsidRPr="00E759E5" w:rsidRDefault="000772E7" w:rsidP="00986DCF">
      <w:pPr>
        <w:pStyle w:val="ListParagraph"/>
        <w:widowControl/>
        <w:numPr>
          <w:ilvl w:val="1"/>
          <w:numId w:val="2"/>
        </w:numPr>
        <w:rPr>
          <w:szCs w:val="22"/>
        </w:rPr>
      </w:pPr>
      <w:r w:rsidRPr="00E759E5">
        <w:t xml:space="preserve">Additionally, although the submission identified and attempted to address the differences between the proposed PBS population and the mepolizumab trial populations through post hoc subgroup analyses, there was no comparison between the trial population and Australian patients with severe eosinophilic asthma </w:t>
      </w:r>
      <w:r w:rsidR="00FB2D52" w:rsidRPr="00E759E5">
        <w:t>provided</w:t>
      </w:r>
      <w:r w:rsidR="00701204" w:rsidRPr="00E759E5">
        <w:t xml:space="preserve"> in the submission</w:t>
      </w:r>
      <w:r w:rsidR="00C037B2" w:rsidRPr="00E759E5">
        <w:t>. It was</w:t>
      </w:r>
      <w:r w:rsidRPr="00E759E5">
        <w:t xml:space="preserve"> therefore </w:t>
      </w:r>
      <w:r w:rsidR="00D702A7" w:rsidRPr="00E759E5">
        <w:t>not clear that</w:t>
      </w:r>
      <w:r w:rsidRPr="00E759E5">
        <w:t xml:space="preserve"> the effects of mepolizumab on the trial populations would be replicated in Australian patients.</w:t>
      </w:r>
    </w:p>
    <w:p w:rsidR="00C60F99" w:rsidRPr="00E759E5" w:rsidRDefault="00C60F99" w:rsidP="00961F48">
      <w:pPr>
        <w:pStyle w:val="ListParagraph"/>
        <w:widowControl/>
        <w:rPr>
          <w:szCs w:val="22"/>
        </w:rPr>
      </w:pPr>
    </w:p>
    <w:p w:rsidR="00C60F99" w:rsidRPr="00E759E5" w:rsidRDefault="00C60F99" w:rsidP="00986DCF">
      <w:pPr>
        <w:pStyle w:val="ListParagraph"/>
        <w:widowControl/>
        <w:numPr>
          <w:ilvl w:val="1"/>
          <w:numId w:val="2"/>
        </w:numPr>
        <w:rPr>
          <w:szCs w:val="22"/>
        </w:rPr>
      </w:pPr>
      <w:r w:rsidRPr="00E759E5">
        <w:rPr>
          <w:szCs w:val="22"/>
        </w:rPr>
        <w:t>The ESC considered that the submission’s claim of superior comparative effectiveness and non-inferior comparative safety over standard of care was reasonable.</w:t>
      </w:r>
    </w:p>
    <w:p w:rsidR="00DC3A6F" w:rsidRPr="00E24058" w:rsidRDefault="00DC3A6F" w:rsidP="00DC3A6F">
      <w:pPr>
        <w:widowControl/>
        <w:rPr>
          <w:szCs w:val="22"/>
        </w:rPr>
      </w:pPr>
    </w:p>
    <w:p w:rsidR="00DC3A6F" w:rsidRPr="00DC3A6F" w:rsidRDefault="00DC3A6F" w:rsidP="00DC3A6F">
      <w:pPr>
        <w:pStyle w:val="ListParagraph"/>
        <w:widowControl/>
        <w:numPr>
          <w:ilvl w:val="1"/>
          <w:numId w:val="2"/>
        </w:numPr>
        <w:jc w:val="left"/>
        <w:rPr>
          <w:bCs/>
        </w:rPr>
      </w:pPr>
      <w:r w:rsidRPr="00DC3A6F">
        <w:rPr>
          <w:bCs/>
          <w:szCs w:val="22"/>
        </w:rPr>
        <w:t>The PBAC considered that the claim of superior comparative effectiveness</w:t>
      </w:r>
      <w:r>
        <w:rPr>
          <w:bCs/>
          <w:szCs w:val="22"/>
        </w:rPr>
        <w:t xml:space="preserve"> over standard of care</w:t>
      </w:r>
      <w:r w:rsidRPr="00DC3A6F">
        <w:rPr>
          <w:bCs/>
          <w:szCs w:val="22"/>
        </w:rPr>
        <w:t xml:space="preserve"> was reasonable.</w:t>
      </w:r>
    </w:p>
    <w:p w:rsidR="00DC3A6F" w:rsidRPr="00DC3A6F" w:rsidRDefault="00DC3A6F" w:rsidP="00DC3A6F">
      <w:pPr>
        <w:pStyle w:val="ListParagraph"/>
        <w:widowControl/>
        <w:jc w:val="left"/>
        <w:rPr>
          <w:bCs/>
          <w:szCs w:val="22"/>
        </w:rPr>
      </w:pPr>
    </w:p>
    <w:p w:rsidR="00DC3A6F" w:rsidRPr="00DC3A6F" w:rsidRDefault="00DC3A6F" w:rsidP="00DC3A6F">
      <w:pPr>
        <w:pStyle w:val="ListParagraph"/>
        <w:widowControl/>
        <w:numPr>
          <w:ilvl w:val="1"/>
          <w:numId w:val="2"/>
        </w:numPr>
        <w:rPr>
          <w:szCs w:val="22"/>
        </w:rPr>
      </w:pPr>
      <w:r w:rsidRPr="00DC3A6F">
        <w:rPr>
          <w:szCs w:val="22"/>
        </w:rPr>
        <w:t>The PBAC considered that the claim of non-inferior comparative safety</w:t>
      </w:r>
      <w:r>
        <w:rPr>
          <w:szCs w:val="22"/>
        </w:rPr>
        <w:t xml:space="preserve"> over standard of care</w:t>
      </w:r>
      <w:r w:rsidRPr="00DC3A6F">
        <w:rPr>
          <w:szCs w:val="22"/>
        </w:rPr>
        <w:t xml:space="preserve"> was reasonable.</w:t>
      </w:r>
    </w:p>
    <w:p w:rsidR="000772E7" w:rsidRPr="00E759E5" w:rsidRDefault="000772E7" w:rsidP="000772E7"/>
    <w:p w:rsidR="00701204" w:rsidRPr="00E759E5" w:rsidRDefault="00701204" w:rsidP="000772E7">
      <w:pPr>
        <w:ind w:left="720"/>
        <w:rPr>
          <w:u w:val="single"/>
        </w:rPr>
      </w:pPr>
      <w:r w:rsidRPr="00E759E5">
        <w:rPr>
          <w:u w:val="single"/>
        </w:rPr>
        <w:t>Mepolizumab versus omalizumab</w:t>
      </w:r>
    </w:p>
    <w:p w:rsidR="009A355A" w:rsidRPr="00E759E5" w:rsidRDefault="009A355A" w:rsidP="000772E7">
      <w:pPr>
        <w:ind w:left="720"/>
        <w:rPr>
          <w:szCs w:val="22"/>
        </w:rPr>
      </w:pPr>
    </w:p>
    <w:p w:rsidR="000772E7" w:rsidRPr="00E759E5" w:rsidRDefault="000772E7" w:rsidP="00986DCF">
      <w:pPr>
        <w:pStyle w:val="ListParagraph"/>
        <w:widowControl/>
        <w:numPr>
          <w:ilvl w:val="1"/>
          <w:numId w:val="2"/>
        </w:numPr>
        <w:rPr>
          <w:szCs w:val="22"/>
        </w:rPr>
      </w:pPr>
      <w:r w:rsidRPr="00E759E5">
        <w:t xml:space="preserve">The submission described mepolizumab as non-inferior in terms of comparative effectiveness and non-inferior in terms of comparative safety over omalizumab for patients eligible for both medications.  </w:t>
      </w:r>
    </w:p>
    <w:p w:rsidR="000772E7" w:rsidRPr="00E759E5" w:rsidRDefault="000772E7" w:rsidP="000772E7">
      <w:pPr>
        <w:ind w:left="720"/>
      </w:pPr>
      <w:r w:rsidRPr="00E759E5">
        <w:t xml:space="preserve">The claim </w:t>
      </w:r>
      <w:r w:rsidR="005523A8" w:rsidRPr="00E759E5">
        <w:t>of non-inferior</w:t>
      </w:r>
      <w:r w:rsidRPr="00E759E5">
        <w:t xml:space="preserve"> effectiveness </w:t>
      </w:r>
      <w:r w:rsidR="00701204" w:rsidRPr="00E759E5">
        <w:t xml:space="preserve">might not be </w:t>
      </w:r>
      <w:r w:rsidRPr="00E759E5">
        <w:t>adequately supported as:</w:t>
      </w:r>
    </w:p>
    <w:p w:rsidR="00701204" w:rsidRPr="00E759E5" w:rsidRDefault="009A355A" w:rsidP="00986DCF">
      <w:pPr>
        <w:pStyle w:val="ListParagraph"/>
        <w:widowControl/>
        <w:numPr>
          <w:ilvl w:val="0"/>
          <w:numId w:val="10"/>
        </w:numPr>
        <w:ind w:left="1077" w:hanging="357"/>
        <w:rPr>
          <w:szCs w:val="22"/>
        </w:rPr>
      </w:pPr>
      <w:r w:rsidRPr="00E759E5">
        <w:rPr>
          <w:szCs w:val="22"/>
        </w:rPr>
        <w:t>t</w:t>
      </w:r>
      <w:r w:rsidR="00701204" w:rsidRPr="00E759E5">
        <w:rPr>
          <w:szCs w:val="22"/>
        </w:rPr>
        <w:t xml:space="preserve">he analysis was an indirect comparison </w:t>
      </w:r>
      <w:r w:rsidRPr="00E759E5">
        <w:rPr>
          <w:szCs w:val="22"/>
        </w:rPr>
        <w:t xml:space="preserve">in which </w:t>
      </w:r>
      <w:r w:rsidR="00701204" w:rsidRPr="00E759E5">
        <w:rPr>
          <w:szCs w:val="22"/>
        </w:rPr>
        <w:t xml:space="preserve">the mepolizumab and omalizumab </w:t>
      </w:r>
      <w:r w:rsidR="001737A2" w:rsidRPr="00E759E5">
        <w:rPr>
          <w:szCs w:val="22"/>
        </w:rPr>
        <w:t xml:space="preserve">populations </w:t>
      </w:r>
      <w:r w:rsidR="00701204" w:rsidRPr="00E759E5">
        <w:rPr>
          <w:szCs w:val="22"/>
        </w:rPr>
        <w:t>were not completely matched to</w:t>
      </w:r>
      <w:r w:rsidR="001737A2" w:rsidRPr="00E759E5">
        <w:rPr>
          <w:szCs w:val="22"/>
        </w:rPr>
        <w:t>: (i)</w:t>
      </w:r>
      <w:r w:rsidR="00701204" w:rsidRPr="00E759E5">
        <w:rPr>
          <w:szCs w:val="22"/>
        </w:rPr>
        <w:t xml:space="preserve"> the omalizumab</w:t>
      </w:r>
      <w:r w:rsidR="001737A2" w:rsidRPr="00E759E5">
        <w:rPr>
          <w:szCs w:val="22"/>
        </w:rPr>
        <w:t xml:space="preserve"> PBS </w:t>
      </w:r>
      <w:r w:rsidR="00701204" w:rsidRPr="00E759E5">
        <w:rPr>
          <w:szCs w:val="22"/>
        </w:rPr>
        <w:t>restriction</w:t>
      </w:r>
      <w:r w:rsidR="001737A2" w:rsidRPr="00E759E5">
        <w:rPr>
          <w:szCs w:val="22"/>
        </w:rPr>
        <w:t xml:space="preserve">; (ii) the proposed mepolizumab PBS restriction; </w:t>
      </w:r>
      <w:r w:rsidR="00701204" w:rsidRPr="00E759E5">
        <w:rPr>
          <w:szCs w:val="22"/>
        </w:rPr>
        <w:t>or</w:t>
      </w:r>
      <w:r w:rsidR="001737A2" w:rsidRPr="00E759E5">
        <w:rPr>
          <w:szCs w:val="22"/>
        </w:rPr>
        <w:t xml:space="preserve"> (iii)</w:t>
      </w:r>
      <w:r w:rsidR="00701204" w:rsidRPr="00E759E5">
        <w:rPr>
          <w:szCs w:val="22"/>
        </w:rPr>
        <w:t xml:space="preserve"> each other.</w:t>
      </w:r>
    </w:p>
    <w:p w:rsidR="00701204" w:rsidRPr="00E759E5" w:rsidRDefault="009A355A" w:rsidP="00986DCF">
      <w:pPr>
        <w:pStyle w:val="ListParagraph"/>
        <w:widowControl/>
        <w:numPr>
          <w:ilvl w:val="0"/>
          <w:numId w:val="10"/>
        </w:numPr>
        <w:ind w:left="1077" w:hanging="357"/>
      </w:pPr>
      <w:r w:rsidRPr="00E759E5">
        <w:rPr>
          <w:szCs w:val="22"/>
        </w:rPr>
        <w:t>t</w:t>
      </w:r>
      <w:r w:rsidR="00701204" w:rsidRPr="00E759E5">
        <w:rPr>
          <w:szCs w:val="22"/>
        </w:rPr>
        <w:t>he definition of clinically significant exacerbation was dissimilar between the mepolizumab and omalizumab trials.</w:t>
      </w:r>
    </w:p>
    <w:p w:rsidR="009A355A" w:rsidRPr="00E759E5" w:rsidRDefault="009A355A" w:rsidP="00986DCF">
      <w:pPr>
        <w:pStyle w:val="ListParagraph"/>
        <w:widowControl/>
        <w:numPr>
          <w:ilvl w:val="0"/>
          <w:numId w:val="10"/>
        </w:numPr>
        <w:ind w:left="1077" w:hanging="357"/>
        <w:rPr>
          <w:szCs w:val="22"/>
        </w:rPr>
      </w:pPr>
      <w:r w:rsidRPr="00E759E5">
        <w:rPr>
          <w:szCs w:val="22"/>
        </w:rPr>
        <w:t xml:space="preserve">the rates of exacerbations presented were for differing time periods. </w:t>
      </w:r>
    </w:p>
    <w:p w:rsidR="00B43D43" w:rsidRPr="00E759E5" w:rsidRDefault="00B43D43" w:rsidP="00B43D43">
      <w:pPr>
        <w:ind w:left="720"/>
      </w:pPr>
    </w:p>
    <w:p w:rsidR="00B43D43" w:rsidRPr="00E759E5" w:rsidRDefault="00B43D43" w:rsidP="00986DCF">
      <w:pPr>
        <w:pStyle w:val="ListParagraph"/>
        <w:widowControl/>
        <w:numPr>
          <w:ilvl w:val="1"/>
          <w:numId w:val="2"/>
        </w:numPr>
        <w:rPr>
          <w:szCs w:val="22"/>
        </w:rPr>
      </w:pPr>
      <w:r w:rsidRPr="00E759E5">
        <w:t xml:space="preserve">The claim of non-inferior comparative safety </w:t>
      </w:r>
      <w:r w:rsidR="00FA3E20">
        <w:t>may be</w:t>
      </w:r>
      <w:r w:rsidR="00FA3E20" w:rsidRPr="00E759E5">
        <w:t xml:space="preserve"> </w:t>
      </w:r>
      <w:r w:rsidR="008874A8" w:rsidRPr="00E759E5">
        <w:t>difficult to interpret</w:t>
      </w:r>
      <w:r w:rsidRPr="00E759E5">
        <w:t xml:space="preserve"> as:</w:t>
      </w:r>
    </w:p>
    <w:p w:rsidR="00B43D43" w:rsidRPr="00E759E5" w:rsidRDefault="00B43D43" w:rsidP="00986DCF">
      <w:pPr>
        <w:pStyle w:val="ListParagraph"/>
        <w:numPr>
          <w:ilvl w:val="0"/>
          <w:numId w:val="9"/>
        </w:numPr>
        <w:ind w:left="1077" w:hanging="357"/>
      </w:pPr>
      <w:r w:rsidRPr="00E759E5">
        <w:t xml:space="preserve">the omalizumab trials presented only limited safety information making </w:t>
      </w:r>
      <w:r w:rsidR="00753532" w:rsidRPr="00E759E5">
        <w:t>the comparison</w:t>
      </w:r>
      <w:r w:rsidRPr="00E759E5">
        <w:t xml:space="preserve"> of adverse events difficult.</w:t>
      </w:r>
    </w:p>
    <w:p w:rsidR="00B43D43" w:rsidRPr="00E759E5" w:rsidRDefault="00B43D43" w:rsidP="00B43D43">
      <w:pPr>
        <w:ind w:left="720"/>
      </w:pPr>
    </w:p>
    <w:p w:rsidR="003408AB" w:rsidRPr="00E759E5" w:rsidRDefault="003408AB" w:rsidP="00986DCF">
      <w:pPr>
        <w:pStyle w:val="ListParagraph"/>
        <w:widowControl/>
        <w:numPr>
          <w:ilvl w:val="1"/>
          <w:numId w:val="2"/>
        </w:numPr>
        <w:rPr>
          <w:szCs w:val="22"/>
        </w:rPr>
      </w:pPr>
      <w:r w:rsidRPr="00E759E5">
        <w:rPr>
          <w:szCs w:val="22"/>
        </w:rPr>
        <w:t xml:space="preserve">The ESC considered that the submission’s claim of non-inferior comparative effectiveness and non-inferior comparative safety over omalizumab </w:t>
      </w:r>
      <w:r w:rsidR="00961F48" w:rsidRPr="00E759E5">
        <w:rPr>
          <w:szCs w:val="22"/>
        </w:rPr>
        <w:t>appeared to be</w:t>
      </w:r>
      <w:r w:rsidRPr="00E759E5">
        <w:rPr>
          <w:szCs w:val="22"/>
        </w:rPr>
        <w:t xml:space="preserve"> reasonable.</w:t>
      </w:r>
    </w:p>
    <w:p w:rsidR="00BB7A92" w:rsidRPr="00E24058" w:rsidRDefault="00BB7A92" w:rsidP="00BB7A92">
      <w:pPr>
        <w:widowControl/>
        <w:rPr>
          <w:szCs w:val="22"/>
        </w:rPr>
      </w:pPr>
    </w:p>
    <w:p w:rsidR="00BB7A92" w:rsidRPr="00BB7A92" w:rsidRDefault="00BB7A92" w:rsidP="00BB7A92">
      <w:pPr>
        <w:pStyle w:val="ListParagraph"/>
        <w:widowControl/>
        <w:numPr>
          <w:ilvl w:val="1"/>
          <w:numId w:val="2"/>
        </w:numPr>
        <w:jc w:val="left"/>
        <w:rPr>
          <w:bCs/>
        </w:rPr>
      </w:pPr>
      <w:r w:rsidRPr="00BB7A92">
        <w:rPr>
          <w:bCs/>
          <w:szCs w:val="22"/>
        </w:rPr>
        <w:t>The PBAC considered that the claim of non-inferior comparative effectiveness with omalizumab was reasonable.</w:t>
      </w:r>
    </w:p>
    <w:p w:rsidR="00BB7A92" w:rsidRPr="00BB7A92" w:rsidRDefault="00BB7A92" w:rsidP="00BB7A92">
      <w:pPr>
        <w:pStyle w:val="ListParagraph"/>
        <w:widowControl/>
        <w:jc w:val="left"/>
        <w:rPr>
          <w:bCs/>
          <w:szCs w:val="22"/>
        </w:rPr>
      </w:pPr>
    </w:p>
    <w:p w:rsidR="00BB7A92" w:rsidRPr="00BB7A92" w:rsidRDefault="00BB7A92" w:rsidP="00BB7A92">
      <w:pPr>
        <w:pStyle w:val="ListParagraph"/>
        <w:widowControl/>
        <w:numPr>
          <w:ilvl w:val="1"/>
          <w:numId w:val="2"/>
        </w:numPr>
        <w:rPr>
          <w:szCs w:val="22"/>
        </w:rPr>
      </w:pPr>
      <w:r w:rsidRPr="00BB7A92">
        <w:rPr>
          <w:szCs w:val="22"/>
        </w:rPr>
        <w:t>The PBAC considered that the claim of non-inferior comparative safety with omalizumab was reasonable.</w:t>
      </w:r>
    </w:p>
    <w:p w:rsidR="00201E94" w:rsidRPr="00201E94" w:rsidRDefault="00201E94" w:rsidP="00961F48"/>
    <w:p w:rsidR="00B60939" w:rsidRPr="00EC09F6" w:rsidRDefault="00B60939" w:rsidP="002C2775">
      <w:pPr>
        <w:pStyle w:val="Heading2"/>
        <w:rPr>
          <w:i/>
        </w:rPr>
      </w:pPr>
      <w:bookmarkStart w:id="12" w:name="_Toc440887141"/>
      <w:r w:rsidRPr="00EC09F6">
        <w:rPr>
          <w:i/>
        </w:rPr>
        <w:t>Economic analysis</w:t>
      </w:r>
      <w:bookmarkEnd w:id="12"/>
      <w:r w:rsidR="00491B3A" w:rsidRPr="00EC09F6">
        <w:rPr>
          <w:i/>
        </w:rPr>
        <w:t xml:space="preserve"> </w:t>
      </w:r>
    </w:p>
    <w:p w:rsidR="00B60939" w:rsidRPr="00EC09F6" w:rsidRDefault="00B60939" w:rsidP="00B60939">
      <w:pPr>
        <w:ind w:left="720" w:hanging="720"/>
        <w:rPr>
          <w:szCs w:val="22"/>
        </w:rPr>
      </w:pPr>
    </w:p>
    <w:p w:rsidR="00202EE3" w:rsidRPr="00E759E5" w:rsidRDefault="00202EE3" w:rsidP="00986DCF">
      <w:pPr>
        <w:pStyle w:val="ListParagraph"/>
        <w:widowControl/>
        <w:numPr>
          <w:ilvl w:val="1"/>
          <w:numId w:val="2"/>
        </w:numPr>
        <w:rPr>
          <w:szCs w:val="22"/>
        </w:rPr>
      </w:pPr>
      <w:r w:rsidRPr="00E759E5">
        <w:rPr>
          <w:szCs w:val="22"/>
        </w:rPr>
        <w:t>The submission presented two economic analyses:</w:t>
      </w:r>
    </w:p>
    <w:p w:rsidR="00202EE3" w:rsidRPr="00E759E5" w:rsidRDefault="002305F1" w:rsidP="002305F1">
      <w:pPr>
        <w:widowControl/>
        <w:ind w:firstLine="720"/>
        <w:rPr>
          <w:szCs w:val="22"/>
        </w:rPr>
      </w:pPr>
      <w:r w:rsidRPr="00E759E5">
        <w:rPr>
          <w:szCs w:val="22"/>
        </w:rPr>
        <w:t xml:space="preserve">1. A </w:t>
      </w:r>
      <w:r w:rsidR="00202EE3" w:rsidRPr="00E759E5">
        <w:rPr>
          <w:szCs w:val="22"/>
        </w:rPr>
        <w:t>cost-effectiveness analysis versus standard of care</w:t>
      </w:r>
      <w:r w:rsidRPr="00E759E5">
        <w:rPr>
          <w:szCs w:val="22"/>
        </w:rPr>
        <w:t>; and</w:t>
      </w:r>
    </w:p>
    <w:p w:rsidR="00202EE3" w:rsidRPr="00E759E5" w:rsidRDefault="002305F1" w:rsidP="002305F1">
      <w:pPr>
        <w:widowControl/>
        <w:rPr>
          <w:szCs w:val="22"/>
        </w:rPr>
      </w:pPr>
      <w:r w:rsidRPr="00E759E5">
        <w:rPr>
          <w:szCs w:val="22"/>
        </w:rPr>
        <w:t xml:space="preserve"> </w:t>
      </w:r>
      <w:r w:rsidRPr="00E759E5">
        <w:rPr>
          <w:szCs w:val="22"/>
        </w:rPr>
        <w:tab/>
        <w:t>2. A c</w:t>
      </w:r>
      <w:r w:rsidR="00202EE3" w:rsidRPr="00E759E5">
        <w:rPr>
          <w:szCs w:val="22"/>
        </w:rPr>
        <w:t>ost-minimisation analysis versus omalizumab</w:t>
      </w:r>
      <w:r w:rsidRPr="00E759E5">
        <w:rPr>
          <w:szCs w:val="22"/>
        </w:rPr>
        <w:t>.</w:t>
      </w:r>
    </w:p>
    <w:p w:rsidR="00202EE3" w:rsidRPr="00E759E5" w:rsidRDefault="00202EE3" w:rsidP="00062BED">
      <w:pPr>
        <w:widowControl/>
        <w:ind w:left="720"/>
        <w:rPr>
          <w:szCs w:val="22"/>
        </w:rPr>
      </w:pPr>
      <w:r w:rsidRPr="00E759E5">
        <w:rPr>
          <w:szCs w:val="22"/>
        </w:rPr>
        <w:t xml:space="preserve">The submission then used </w:t>
      </w:r>
      <w:r w:rsidR="002305F1" w:rsidRPr="00E759E5">
        <w:rPr>
          <w:szCs w:val="22"/>
        </w:rPr>
        <w:t>population utilisation</w:t>
      </w:r>
      <w:r w:rsidRPr="00E759E5">
        <w:rPr>
          <w:szCs w:val="22"/>
        </w:rPr>
        <w:t xml:space="preserve"> to derive a weighted </w:t>
      </w:r>
      <w:r w:rsidR="002305F1" w:rsidRPr="00E759E5">
        <w:rPr>
          <w:szCs w:val="22"/>
        </w:rPr>
        <w:t>dispensed price for maximum quantity (DPMQ)</w:t>
      </w:r>
      <w:r w:rsidRPr="00E759E5">
        <w:rPr>
          <w:szCs w:val="22"/>
        </w:rPr>
        <w:t xml:space="preserve">. </w:t>
      </w:r>
    </w:p>
    <w:p w:rsidR="00202EE3" w:rsidRPr="00E759E5" w:rsidRDefault="00202EE3" w:rsidP="00062BED">
      <w:pPr>
        <w:widowControl/>
        <w:ind w:left="720"/>
        <w:rPr>
          <w:szCs w:val="22"/>
        </w:rPr>
      </w:pPr>
    </w:p>
    <w:p w:rsidR="00202EE3" w:rsidRPr="00E759E5" w:rsidRDefault="00202EE3" w:rsidP="00062BED">
      <w:pPr>
        <w:pStyle w:val="ListParagraph"/>
        <w:widowControl/>
        <w:rPr>
          <w:szCs w:val="22"/>
          <w:u w:val="single"/>
        </w:rPr>
      </w:pPr>
      <w:r w:rsidRPr="00E759E5">
        <w:rPr>
          <w:szCs w:val="22"/>
          <w:u w:val="single"/>
        </w:rPr>
        <w:t>Cost-effectiveness analysis</w:t>
      </w:r>
    </w:p>
    <w:p w:rsidR="002305F1" w:rsidRPr="00E759E5" w:rsidRDefault="002305F1" w:rsidP="00062BED">
      <w:pPr>
        <w:pStyle w:val="ListParagraph"/>
        <w:widowControl/>
        <w:rPr>
          <w:szCs w:val="22"/>
          <w:u w:val="single"/>
        </w:rPr>
      </w:pPr>
    </w:p>
    <w:p w:rsidR="00B60939" w:rsidRPr="00E759E5" w:rsidRDefault="004451AB" w:rsidP="00986DCF">
      <w:pPr>
        <w:pStyle w:val="ListParagraph"/>
        <w:widowControl/>
        <w:numPr>
          <w:ilvl w:val="1"/>
          <w:numId w:val="2"/>
        </w:numPr>
        <w:rPr>
          <w:szCs w:val="22"/>
        </w:rPr>
      </w:pPr>
      <w:r w:rsidRPr="00E759E5">
        <w:t>The cost-effectiveness analysis of mepolizumab versus standard of care was based on the direct evidence and the claim of clinical superiority.</w:t>
      </w:r>
      <w:r w:rsidR="00701204" w:rsidRPr="00E759E5">
        <w:t xml:space="preserve"> The submission presented a Markov</w:t>
      </w:r>
      <w:r w:rsidR="002305F1" w:rsidRPr="00E759E5">
        <w:t xml:space="preserve"> model with six health states: (i</w:t>
      </w:r>
      <w:r w:rsidR="00701204" w:rsidRPr="00E759E5">
        <w:t>)</w:t>
      </w:r>
      <w:r w:rsidR="002305F1" w:rsidRPr="00E759E5">
        <w:t xml:space="preserve"> mepolizumab first 32 weeks; (ii) mepolizumab </w:t>
      </w:r>
      <w:r w:rsidR="002C0F63" w:rsidRPr="00E759E5">
        <w:t>r</w:t>
      </w:r>
      <w:r w:rsidR="002305F1" w:rsidRPr="00E759E5">
        <w:t>esponders; (iii) s</w:t>
      </w:r>
      <w:r w:rsidR="00701204" w:rsidRPr="00E759E5">
        <w:t>tan</w:t>
      </w:r>
      <w:r w:rsidR="002305F1" w:rsidRPr="00E759E5">
        <w:t>dard of care first 32 weeks; (iv</w:t>
      </w:r>
      <w:r w:rsidR="00701204" w:rsidRPr="00E759E5">
        <w:t xml:space="preserve">) </w:t>
      </w:r>
      <w:r w:rsidR="002305F1" w:rsidRPr="00E759E5">
        <w:t>s</w:t>
      </w:r>
      <w:r w:rsidR="00701204" w:rsidRPr="00E759E5">
        <w:t>tandard of care</w:t>
      </w:r>
      <w:r w:rsidR="002305F1" w:rsidRPr="00E759E5">
        <w:t xml:space="preserve"> beyond 32 weeks; (v</w:t>
      </w:r>
      <w:r w:rsidR="00701204" w:rsidRPr="00E759E5">
        <w:t xml:space="preserve">) asthma-related death; and </w:t>
      </w:r>
      <w:r w:rsidR="002305F1" w:rsidRPr="00E759E5">
        <w:t>(vi</w:t>
      </w:r>
      <w:r w:rsidR="00701204" w:rsidRPr="00E759E5">
        <w:t>) all-cause mortality.</w:t>
      </w:r>
    </w:p>
    <w:p w:rsidR="00701204" w:rsidRPr="00E759E5" w:rsidRDefault="00701204" w:rsidP="00062BED">
      <w:pPr>
        <w:pStyle w:val="ListParagraph"/>
        <w:widowControl/>
        <w:rPr>
          <w:szCs w:val="22"/>
        </w:rPr>
      </w:pPr>
    </w:p>
    <w:p w:rsidR="002E79CF" w:rsidRPr="00E759E5" w:rsidRDefault="00701204" w:rsidP="00986DCF">
      <w:pPr>
        <w:pStyle w:val="ListParagraph"/>
        <w:widowControl/>
        <w:numPr>
          <w:ilvl w:val="1"/>
          <w:numId w:val="2"/>
        </w:numPr>
        <w:rPr>
          <w:szCs w:val="22"/>
        </w:rPr>
      </w:pPr>
      <w:r w:rsidRPr="00E759E5">
        <w:t xml:space="preserve">In the model, continuation criteria were applied at 32 weeks, and were defined as a requirement to demonstrate a reduction of </w:t>
      </w:r>
      <w:r w:rsidR="000B0FE6" w:rsidRPr="00E759E5">
        <w:t>at least</w:t>
      </w:r>
      <w:r w:rsidRPr="00E759E5">
        <w:t xml:space="preserve"> 0.5 </w:t>
      </w:r>
      <w:r w:rsidR="002305F1" w:rsidRPr="00E759E5">
        <w:t xml:space="preserve">in </w:t>
      </w:r>
      <w:r w:rsidR="00C53194" w:rsidRPr="00E759E5">
        <w:t xml:space="preserve">the </w:t>
      </w:r>
      <w:r w:rsidR="009D1864" w:rsidRPr="00E759E5">
        <w:t>A</w:t>
      </w:r>
      <w:r w:rsidR="002305F1" w:rsidRPr="00E759E5">
        <w:t xml:space="preserve">sthma </w:t>
      </w:r>
      <w:r w:rsidR="009D1864" w:rsidRPr="00E759E5">
        <w:t>c</w:t>
      </w:r>
      <w:r w:rsidR="002305F1" w:rsidRPr="00E759E5">
        <w:t xml:space="preserve">ontrol </w:t>
      </w:r>
      <w:r w:rsidR="009D1864" w:rsidRPr="00E759E5">
        <w:t>q</w:t>
      </w:r>
      <w:r w:rsidR="002305F1" w:rsidRPr="00E759E5">
        <w:t>uestionnaire (ACQ-</w:t>
      </w:r>
      <w:r w:rsidRPr="00E759E5">
        <w:t>5</w:t>
      </w:r>
      <w:r w:rsidR="002305F1" w:rsidRPr="00E759E5">
        <w:t>)</w:t>
      </w:r>
      <w:r w:rsidRPr="00E759E5">
        <w:t xml:space="preserve"> score as compared to baseline</w:t>
      </w:r>
      <w:r w:rsidR="00E078FC" w:rsidRPr="00E759E5">
        <w:t xml:space="preserve"> (this is consistent with the continuation criteria in the proposed restriction)</w:t>
      </w:r>
      <w:r w:rsidRPr="00E759E5">
        <w:t xml:space="preserve">. </w:t>
      </w:r>
      <w:r w:rsidR="002E79CF" w:rsidRPr="00E759E5">
        <w:t xml:space="preserve">The ESC </w:t>
      </w:r>
      <w:r w:rsidR="00850A88" w:rsidRPr="00E759E5">
        <w:t>noted</w:t>
      </w:r>
      <w:r w:rsidR="002E79CF" w:rsidRPr="00E759E5">
        <w:t xml:space="preserve"> that if this continuation criterion </w:t>
      </w:r>
      <w:r w:rsidR="00850A88" w:rsidRPr="00E759E5">
        <w:t>was</w:t>
      </w:r>
      <w:r w:rsidR="002E79CF" w:rsidRPr="00E759E5">
        <w:t xml:space="preserve"> not </w:t>
      </w:r>
      <w:r w:rsidR="00850A88" w:rsidRPr="00E759E5">
        <w:t xml:space="preserve">effectively </w:t>
      </w:r>
      <w:r w:rsidR="002E79CF" w:rsidRPr="00E759E5">
        <w:t xml:space="preserve">applied in practice, the ICER </w:t>
      </w:r>
      <w:r w:rsidR="00850A88" w:rsidRPr="00E759E5">
        <w:t xml:space="preserve">would be higher than estimated in the submission (assuming that </w:t>
      </w:r>
      <w:r w:rsidR="002E79CF" w:rsidRPr="00E759E5">
        <w:t>patients not meeting this criterion have higher exacerbation rates than patients who do meet this criterion</w:t>
      </w:r>
      <w:r w:rsidR="00850A88" w:rsidRPr="00E759E5">
        <w:t>)</w:t>
      </w:r>
      <w:r w:rsidR="002E79CF" w:rsidRPr="00E759E5">
        <w:t xml:space="preserve">. </w:t>
      </w:r>
    </w:p>
    <w:p w:rsidR="002E79CF" w:rsidRPr="00E759E5" w:rsidRDefault="002E79CF" w:rsidP="002E79CF">
      <w:pPr>
        <w:pStyle w:val="ListParagraph"/>
      </w:pPr>
    </w:p>
    <w:p w:rsidR="002E79CF" w:rsidRPr="00E759E5" w:rsidRDefault="00701204" w:rsidP="00986DCF">
      <w:pPr>
        <w:pStyle w:val="ListParagraph"/>
        <w:widowControl/>
        <w:numPr>
          <w:ilvl w:val="1"/>
          <w:numId w:val="2"/>
        </w:numPr>
        <w:rPr>
          <w:szCs w:val="22"/>
        </w:rPr>
      </w:pPr>
      <w:r w:rsidRPr="00E759E5">
        <w:t xml:space="preserve">Patients receiving mepolizumab who failed to meet the requirement </w:t>
      </w:r>
      <w:r w:rsidR="002C0F63" w:rsidRPr="00E759E5">
        <w:t xml:space="preserve">would </w:t>
      </w:r>
      <w:r w:rsidRPr="00E759E5">
        <w:t xml:space="preserve">transition to the </w:t>
      </w:r>
      <w:r w:rsidR="002C0F63" w:rsidRPr="00E759E5">
        <w:t>‘</w:t>
      </w:r>
      <w:r w:rsidRPr="00E759E5">
        <w:t>standard of care beyond 32 weeks</w:t>
      </w:r>
      <w:r w:rsidR="002C0F63" w:rsidRPr="00E759E5">
        <w:t>’</w:t>
      </w:r>
      <w:r w:rsidRPr="00E759E5">
        <w:t xml:space="preserve"> health state. These patients immediately incurred standard of care associated exacerbation rates and health status. </w:t>
      </w:r>
    </w:p>
    <w:p w:rsidR="002E79CF" w:rsidRPr="00E759E5" w:rsidRDefault="002E79CF" w:rsidP="002E79CF">
      <w:pPr>
        <w:pStyle w:val="ListParagraph"/>
      </w:pPr>
    </w:p>
    <w:p w:rsidR="002E79CF" w:rsidRPr="00E759E5" w:rsidRDefault="00701204" w:rsidP="00986DCF">
      <w:pPr>
        <w:pStyle w:val="ListParagraph"/>
        <w:widowControl/>
        <w:numPr>
          <w:ilvl w:val="1"/>
          <w:numId w:val="2"/>
        </w:numPr>
        <w:rPr>
          <w:szCs w:val="22"/>
        </w:rPr>
      </w:pPr>
      <w:r w:rsidRPr="00E759E5">
        <w:t>Post application of the continuation criteria at 32 weeks, it was assumed that a small proportion of patients discontinued mepolizumab treatment (</w:t>
      </w:r>
      <w:r w:rsidR="0024101C">
        <w:rPr>
          <w:noProof/>
          <w:color w:val="000000"/>
          <w:highlight w:val="black"/>
        </w:rPr>
        <w:t>''''''''''</w:t>
      </w:r>
      <w:r w:rsidRPr="00E759E5">
        <w:t xml:space="preserve">% per four-week cycle), transitioning to the </w:t>
      </w:r>
      <w:r w:rsidR="002C0F63" w:rsidRPr="00E759E5">
        <w:t>‘</w:t>
      </w:r>
      <w:r w:rsidRPr="00E759E5">
        <w:t>standard of care beyond 32 weeks</w:t>
      </w:r>
      <w:r w:rsidR="002C0F63" w:rsidRPr="00E759E5">
        <w:t>’</w:t>
      </w:r>
      <w:r w:rsidRPr="00E759E5">
        <w:t xml:space="preserve"> health state. </w:t>
      </w:r>
      <w:r w:rsidR="00850A88" w:rsidRPr="00E759E5">
        <w:t xml:space="preserve">The ESC noted that </w:t>
      </w:r>
      <w:r w:rsidR="002E79CF" w:rsidRPr="00E759E5">
        <w:t>if in practice patients remain</w:t>
      </w:r>
      <w:r w:rsidR="00850A88" w:rsidRPr="00E759E5">
        <w:t>ed</w:t>
      </w:r>
      <w:r w:rsidR="002E79CF" w:rsidRPr="00E759E5">
        <w:t xml:space="preserve"> on treatment despite not meeting the continuation criterion, the ICER </w:t>
      </w:r>
      <w:r w:rsidR="00850A88" w:rsidRPr="00E759E5">
        <w:t>would be higher than estimated in the submission.</w:t>
      </w:r>
    </w:p>
    <w:p w:rsidR="002E79CF" w:rsidRPr="00E759E5" w:rsidRDefault="002E79CF" w:rsidP="002E79CF">
      <w:pPr>
        <w:pStyle w:val="ListParagraph"/>
      </w:pPr>
    </w:p>
    <w:p w:rsidR="00701204" w:rsidRPr="00E759E5" w:rsidRDefault="00701204" w:rsidP="00986DCF">
      <w:pPr>
        <w:pStyle w:val="ListParagraph"/>
        <w:widowControl/>
        <w:numPr>
          <w:ilvl w:val="1"/>
          <w:numId w:val="2"/>
        </w:numPr>
        <w:rPr>
          <w:szCs w:val="22"/>
        </w:rPr>
      </w:pPr>
      <w:r w:rsidRPr="00E759E5">
        <w:t>The submission assumed that all patients would discontinue mepolizumab treatment after ten year</w:t>
      </w:r>
      <w:r w:rsidR="002305F1" w:rsidRPr="00E759E5">
        <w:t>s</w:t>
      </w:r>
      <w:r w:rsidRPr="00E759E5">
        <w:t xml:space="preserve">. Patients could experience an exacerbation in </w:t>
      </w:r>
      <w:r w:rsidR="002305F1" w:rsidRPr="00E759E5">
        <w:t xml:space="preserve">all asthma-related </w:t>
      </w:r>
      <w:r w:rsidRPr="00E759E5">
        <w:t>health state</w:t>
      </w:r>
      <w:r w:rsidR="002305F1" w:rsidRPr="00E759E5">
        <w:t>s; the rate</w:t>
      </w:r>
      <w:r w:rsidRPr="00E759E5">
        <w:t xml:space="preserve"> depended on treatment received. </w:t>
      </w:r>
    </w:p>
    <w:p w:rsidR="002E79CF" w:rsidRPr="00E759E5" w:rsidRDefault="002E79CF" w:rsidP="002E79CF">
      <w:pPr>
        <w:pStyle w:val="ListParagraph"/>
        <w:rPr>
          <w:szCs w:val="22"/>
        </w:rPr>
      </w:pPr>
    </w:p>
    <w:p w:rsidR="002E79CF" w:rsidRPr="00E759E5" w:rsidRDefault="002E79CF" w:rsidP="00986DCF">
      <w:pPr>
        <w:pStyle w:val="ListParagraph"/>
        <w:widowControl/>
        <w:numPr>
          <w:ilvl w:val="1"/>
          <w:numId w:val="2"/>
        </w:numPr>
        <w:rPr>
          <w:szCs w:val="22"/>
        </w:rPr>
      </w:pPr>
      <w:r w:rsidRPr="00E759E5">
        <w:rPr>
          <w:szCs w:val="22"/>
        </w:rPr>
        <w:t xml:space="preserve">A </w:t>
      </w:r>
      <w:r w:rsidR="00B15C68" w:rsidRPr="00E759E5">
        <w:rPr>
          <w:szCs w:val="22"/>
        </w:rPr>
        <w:t>rate</w:t>
      </w:r>
      <w:r w:rsidRPr="00E759E5">
        <w:rPr>
          <w:szCs w:val="22"/>
        </w:rPr>
        <w:t xml:space="preserve"> of </w:t>
      </w:r>
      <w:r w:rsidR="008B3E61" w:rsidRPr="00E759E5">
        <w:rPr>
          <w:szCs w:val="22"/>
        </w:rPr>
        <w:t>1.13</w:t>
      </w:r>
      <w:r w:rsidRPr="00E759E5">
        <w:rPr>
          <w:szCs w:val="22"/>
        </w:rPr>
        <w:t xml:space="preserve">% for </w:t>
      </w:r>
      <w:r w:rsidR="00B15C68" w:rsidRPr="00E759E5">
        <w:rPr>
          <w:szCs w:val="22"/>
        </w:rPr>
        <w:t xml:space="preserve">mortality following an exacerbation requiring </w:t>
      </w:r>
      <w:r w:rsidRPr="00E759E5">
        <w:rPr>
          <w:szCs w:val="22"/>
        </w:rPr>
        <w:t>hospitalis</w:t>
      </w:r>
      <w:r w:rsidR="00B15C68" w:rsidRPr="00E759E5">
        <w:rPr>
          <w:szCs w:val="22"/>
        </w:rPr>
        <w:t>ation</w:t>
      </w:r>
      <w:r w:rsidRPr="00E759E5">
        <w:rPr>
          <w:szCs w:val="22"/>
        </w:rPr>
        <w:t xml:space="preserve"> was derived from a relevant published study, but a mortality probability of 0.43% for non-hospitalised exacerbations was derived from calculations using data from disparate sources. The </w:t>
      </w:r>
      <w:r w:rsidR="00850A88" w:rsidRPr="00E759E5">
        <w:rPr>
          <w:szCs w:val="22"/>
        </w:rPr>
        <w:t>ESC considered that the magnitude of difference between these mortality estimates (i</w:t>
      </w:r>
      <w:r w:rsidR="00492332" w:rsidRPr="00E759E5">
        <w:rPr>
          <w:szCs w:val="22"/>
        </w:rPr>
        <w:t>.</w:t>
      </w:r>
      <w:r w:rsidR="00850A88" w:rsidRPr="00E759E5">
        <w:rPr>
          <w:szCs w:val="22"/>
        </w:rPr>
        <w:t>e</w:t>
      </w:r>
      <w:r w:rsidR="00492332" w:rsidRPr="00E759E5">
        <w:rPr>
          <w:szCs w:val="22"/>
        </w:rPr>
        <w:t>.</w:t>
      </w:r>
      <w:r w:rsidR="00850A88" w:rsidRPr="00E759E5">
        <w:rPr>
          <w:szCs w:val="22"/>
        </w:rPr>
        <w:t xml:space="preserve"> risk of mortality is </w:t>
      </w:r>
      <w:r w:rsidR="00C7387A" w:rsidRPr="00E759E5">
        <w:rPr>
          <w:szCs w:val="22"/>
        </w:rPr>
        <w:t>more than</w:t>
      </w:r>
      <w:r w:rsidR="00850A88" w:rsidRPr="00E759E5">
        <w:rPr>
          <w:szCs w:val="22"/>
        </w:rPr>
        <w:t xml:space="preserve"> doubled if an exacerbation requires hospitalisation compared to exacerbation without hospitalisation) </w:t>
      </w:r>
      <w:r w:rsidRPr="00E759E5">
        <w:rPr>
          <w:szCs w:val="22"/>
        </w:rPr>
        <w:t>appear</w:t>
      </w:r>
      <w:r w:rsidR="00850A88" w:rsidRPr="00E759E5">
        <w:rPr>
          <w:szCs w:val="22"/>
        </w:rPr>
        <w:t>ed</w:t>
      </w:r>
      <w:r w:rsidRPr="00E759E5">
        <w:rPr>
          <w:szCs w:val="22"/>
        </w:rPr>
        <w:t xml:space="preserve"> infeasible, and a review of similar parameter estimates from published asthma cost-effectiveness models should have been presented to demonstrate feasibility.</w:t>
      </w:r>
    </w:p>
    <w:p w:rsidR="002305F1" w:rsidRPr="00EC09F6" w:rsidRDefault="002305F1" w:rsidP="002305F1">
      <w:pPr>
        <w:pStyle w:val="ListParagraph"/>
        <w:rPr>
          <w:szCs w:val="22"/>
        </w:rPr>
      </w:pPr>
    </w:p>
    <w:p w:rsidR="002305F1" w:rsidRPr="00EC09F6" w:rsidRDefault="002305F1" w:rsidP="00986DCF">
      <w:pPr>
        <w:pStyle w:val="ListParagraph"/>
        <w:widowControl/>
        <w:numPr>
          <w:ilvl w:val="1"/>
          <w:numId w:val="2"/>
        </w:numPr>
        <w:rPr>
          <w:szCs w:val="22"/>
        </w:rPr>
      </w:pPr>
      <w:r w:rsidRPr="00EC09F6">
        <w:rPr>
          <w:szCs w:val="22"/>
        </w:rPr>
        <w:t>The model structure is presented in the table below.</w:t>
      </w:r>
    </w:p>
    <w:p w:rsidR="00275C5A" w:rsidRPr="00EC09F6" w:rsidRDefault="00275C5A" w:rsidP="00275C5A">
      <w:pPr>
        <w:widowControl/>
        <w:rPr>
          <w:szCs w:val="22"/>
        </w:rPr>
      </w:pPr>
    </w:p>
    <w:p w:rsidR="00275C5A" w:rsidRPr="00EC09F6" w:rsidRDefault="00275C5A" w:rsidP="00104078">
      <w:pPr>
        <w:keepNext/>
        <w:ind w:firstLine="720"/>
        <w:rPr>
          <w:rStyle w:val="CommentReference"/>
        </w:rPr>
      </w:pPr>
      <w:r w:rsidRPr="00EC09F6">
        <w:rPr>
          <w:rStyle w:val="CommentReference"/>
        </w:rPr>
        <w:t xml:space="preserve">Table </w:t>
      </w:r>
      <w:r w:rsidR="002305F1" w:rsidRPr="00EC09F6">
        <w:rPr>
          <w:rStyle w:val="CommentReference"/>
        </w:rPr>
        <w:t>1</w:t>
      </w:r>
      <w:r w:rsidR="00492332">
        <w:rPr>
          <w:rStyle w:val="CommentReference"/>
        </w:rPr>
        <w:t>1</w:t>
      </w:r>
      <w:r w:rsidRPr="00EC09F6">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4"/>
        <w:gridCol w:w="5651"/>
      </w:tblGrid>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b/>
                <w:sz w:val="20"/>
              </w:rPr>
            </w:pPr>
            <w:r w:rsidRPr="00EC09F6">
              <w:rPr>
                <w:rFonts w:ascii="Arial Narrow" w:hAnsi="Arial Narrow"/>
                <w:b/>
                <w:sz w:val="20"/>
              </w:rPr>
              <w:t>Component</w:t>
            </w:r>
          </w:p>
        </w:tc>
        <w:tc>
          <w:tcPr>
            <w:tcW w:w="3386" w:type="pct"/>
            <w:shd w:val="clear" w:color="auto" w:fill="auto"/>
            <w:vAlign w:val="center"/>
          </w:tcPr>
          <w:p w:rsidR="00275C5A" w:rsidRPr="00EC09F6" w:rsidRDefault="00275C5A" w:rsidP="00104078">
            <w:pPr>
              <w:keepNext/>
              <w:jc w:val="center"/>
              <w:rPr>
                <w:rFonts w:ascii="Arial Narrow" w:hAnsi="Arial Narrow"/>
                <w:b/>
                <w:sz w:val="20"/>
              </w:rPr>
            </w:pPr>
            <w:r w:rsidRPr="00EC09F6">
              <w:rPr>
                <w:rFonts w:ascii="Arial Narrow" w:hAnsi="Arial Narrow"/>
                <w:b/>
                <w:sz w:val="20"/>
              </w:rPr>
              <w:t>Summary</w:t>
            </w:r>
          </w:p>
        </w:tc>
      </w:tr>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sz w:val="20"/>
              </w:rPr>
            </w:pPr>
            <w:r w:rsidRPr="00EC09F6">
              <w:rPr>
                <w:rFonts w:ascii="Arial Narrow" w:hAnsi="Arial Narrow"/>
                <w:sz w:val="20"/>
              </w:rPr>
              <w:t>Time horizon</w:t>
            </w:r>
          </w:p>
        </w:tc>
        <w:tc>
          <w:tcPr>
            <w:tcW w:w="3386" w:type="pct"/>
            <w:shd w:val="clear" w:color="auto" w:fill="auto"/>
            <w:vAlign w:val="center"/>
          </w:tcPr>
          <w:p w:rsidR="00275C5A" w:rsidRPr="00EC09F6" w:rsidRDefault="000772E7" w:rsidP="006014F4">
            <w:pPr>
              <w:keepNext/>
              <w:jc w:val="left"/>
              <w:rPr>
                <w:rFonts w:ascii="Arial Narrow" w:hAnsi="Arial Narrow"/>
                <w:sz w:val="20"/>
              </w:rPr>
            </w:pPr>
            <w:r w:rsidRPr="00EC09F6">
              <w:rPr>
                <w:rFonts w:ascii="Arial Narrow" w:hAnsi="Arial Narrow"/>
                <w:sz w:val="20"/>
              </w:rPr>
              <w:t>Lifetime horizon in the model base</w:t>
            </w:r>
            <w:r w:rsidR="006014F4" w:rsidRPr="00EC09F6">
              <w:rPr>
                <w:rFonts w:ascii="Arial Narrow" w:hAnsi="Arial Narrow"/>
                <w:sz w:val="20"/>
              </w:rPr>
              <w:t xml:space="preserve"> </w:t>
            </w:r>
            <w:r w:rsidRPr="00EC09F6">
              <w:rPr>
                <w:rFonts w:ascii="Arial Narrow" w:hAnsi="Arial Narrow"/>
                <w:sz w:val="20"/>
              </w:rPr>
              <w:t>case versus 32 weeks in Study 588.</w:t>
            </w:r>
          </w:p>
        </w:tc>
      </w:tr>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sz w:val="20"/>
              </w:rPr>
            </w:pPr>
            <w:r w:rsidRPr="00EC09F6">
              <w:rPr>
                <w:rFonts w:ascii="Arial Narrow" w:hAnsi="Arial Narrow"/>
                <w:sz w:val="20"/>
              </w:rPr>
              <w:t>Outcomes</w:t>
            </w:r>
          </w:p>
        </w:tc>
        <w:tc>
          <w:tcPr>
            <w:tcW w:w="3386" w:type="pct"/>
            <w:shd w:val="clear" w:color="auto" w:fill="auto"/>
            <w:vAlign w:val="center"/>
          </w:tcPr>
          <w:p w:rsidR="00275C5A" w:rsidRPr="00EC09F6" w:rsidRDefault="000772E7" w:rsidP="00104078">
            <w:pPr>
              <w:keepNext/>
              <w:jc w:val="left"/>
              <w:rPr>
                <w:rFonts w:ascii="Arial Narrow" w:hAnsi="Arial Narrow"/>
                <w:sz w:val="20"/>
              </w:rPr>
            </w:pPr>
            <w:r w:rsidRPr="00EC09F6">
              <w:rPr>
                <w:rFonts w:ascii="Arial Narrow" w:hAnsi="Arial Narrow"/>
                <w:sz w:val="20"/>
              </w:rPr>
              <w:t>Life years</w:t>
            </w:r>
            <w:r w:rsidR="004A7A47" w:rsidRPr="00EC09F6">
              <w:rPr>
                <w:rFonts w:ascii="Arial Narrow" w:hAnsi="Arial Narrow"/>
                <w:sz w:val="20"/>
              </w:rPr>
              <w:t xml:space="preserve"> gained</w:t>
            </w:r>
            <w:r w:rsidRPr="00EC09F6">
              <w:rPr>
                <w:rFonts w:ascii="Arial Narrow" w:hAnsi="Arial Narrow"/>
                <w:sz w:val="20"/>
              </w:rPr>
              <w:t xml:space="preserve"> (LY</w:t>
            </w:r>
            <w:r w:rsidR="004A7A47" w:rsidRPr="00EC09F6">
              <w:rPr>
                <w:rFonts w:ascii="Arial Narrow" w:hAnsi="Arial Narrow"/>
                <w:sz w:val="20"/>
              </w:rPr>
              <w:t>G</w:t>
            </w:r>
            <w:r w:rsidRPr="00EC09F6">
              <w:rPr>
                <w:rFonts w:ascii="Arial Narrow" w:hAnsi="Arial Narrow"/>
                <w:sz w:val="20"/>
              </w:rPr>
              <w:t>) and quality-adjusted life years (QALY).</w:t>
            </w:r>
          </w:p>
        </w:tc>
      </w:tr>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sz w:val="20"/>
              </w:rPr>
            </w:pPr>
            <w:r w:rsidRPr="00EC09F6">
              <w:rPr>
                <w:rFonts w:ascii="Arial Narrow" w:hAnsi="Arial Narrow"/>
                <w:sz w:val="20"/>
              </w:rPr>
              <w:t>Methods used to generate results</w:t>
            </w:r>
          </w:p>
        </w:tc>
        <w:tc>
          <w:tcPr>
            <w:tcW w:w="3386" w:type="pct"/>
            <w:shd w:val="clear" w:color="auto" w:fill="auto"/>
            <w:vAlign w:val="center"/>
          </w:tcPr>
          <w:p w:rsidR="00275C5A" w:rsidRPr="00EC09F6" w:rsidRDefault="000772E7" w:rsidP="00104078">
            <w:pPr>
              <w:keepNext/>
              <w:jc w:val="left"/>
              <w:rPr>
                <w:rFonts w:ascii="Arial Narrow" w:hAnsi="Arial Narrow"/>
                <w:sz w:val="20"/>
              </w:rPr>
            </w:pPr>
            <w:r w:rsidRPr="00EC09F6">
              <w:rPr>
                <w:rFonts w:ascii="Arial Narrow" w:hAnsi="Arial Narrow"/>
                <w:sz w:val="20"/>
              </w:rPr>
              <w:t>Markov model that used a cohort expected value analysis.</w:t>
            </w:r>
          </w:p>
        </w:tc>
      </w:tr>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sz w:val="20"/>
              </w:rPr>
            </w:pPr>
            <w:r w:rsidRPr="00EC09F6">
              <w:rPr>
                <w:rFonts w:ascii="Arial Narrow" w:hAnsi="Arial Narrow"/>
                <w:sz w:val="20"/>
              </w:rPr>
              <w:t>Health states</w:t>
            </w:r>
          </w:p>
        </w:tc>
        <w:tc>
          <w:tcPr>
            <w:tcW w:w="3386" w:type="pct"/>
            <w:shd w:val="clear" w:color="auto" w:fill="auto"/>
            <w:vAlign w:val="center"/>
          </w:tcPr>
          <w:p w:rsidR="00275C5A" w:rsidRPr="00EC09F6" w:rsidRDefault="000772E7" w:rsidP="00104078">
            <w:pPr>
              <w:keepNext/>
              <w:jc w:val="left"/>
              <w:rPr>
                <w:rFonts w:ascii="Arial Narrow" w:hAnsi="Arial Narrow"/>
                <w:sz w:val="20"/>
              </w:rPr>
            </w:pPr>
            <w:r w:rsidRPr="00EC09F6">
              <w:rPr>
                <w:rFonts w:ascii="Arial Narrow" w:hAnsi="Arial Narrow"/>
                <w:sz w:val="20"/>
              </w:rPr>
              <w:t>Four asthma related health states; two mortality health states.</w:t>
            </w:r>
          </w:p>
        </w:tc>
      </w:tr>
      <w:tr w:rsidR="00EC09F6" w:rsidRPr="00EC09F6" w:rsidTr="00CC1104">
        <w:tc>
          <w:tcPr>
            <w:tcW w:w="1614" w:type="pct"/>
            <w:shd w:val="clear" w:color="auto" w:fill="auto"/>
            <w:vAlign w:val="center"/>
          </w:tcPr>
          <w:p w:rsidR="00275C5A" w:rsidRPr="00EC09F6" w:rsidRDefault="00275C5A" w:rsidP="00104078">
            <w:pPr>
              <w:keepNext/>
              <w:jc w:val="left"/>
              <w:rPr>
                <w:rFonts w:ascii="Arial Narrow" w:hAnsi="Arial Narrow"/>
                <w:sz w:val="20"/>
              </w:rPr>
            </w:pPr>
            <w:r w:rsidRPr="00EC09F6">
              <w:rPr>
                <w:rFonts w:ascii="Arial Narrow" w:hAnsi="Arial Narrow"/>
                <w:sz w:val="20"/>
              </w:rPr>
              <w:t>Cycle length</w:t>
            </w:r>
          </w:p>
        </w:tc>
        <w:tc>
          <w:tcPr>
            <w:tcW w:w="3386" w:type="pct"/>
            <w:shd w:val="clear" w:color="auto" w:fill="auto"/>
            <w:vAlign w:val="center"/>
          </w:tcPr>
          <w:p w:rsidR="00275C5A" w:rsidRPr="00EC09F6" w:rsidRDefault="000772E7" w:rsidP="00104078">
            <w:pPr>
              <w:keepNext/>
              <w:jc w:val="left"/>
              <w:rPr>
                <w:rFonts w:ascii="Arial Narrow" w:hAnsi="Arial Narrow"/>
                <w:sz w:val="20"/>
              </w:rPr>
            </w:pPr>
            <w:r w:rsidRPr="00EC09F6">
              <w:rPr>
                <w:rFonts w:ascii="Arial Narrow" w:hAnsi="Arial Narrow"/>
                <w:sz w:val="20"/>
              </w:rPr>
              <w:t>Four weeks</w:t>
            </w:r>
          </w:p>
        </w:tc>
      </w:tr>
    </w:tbl>
    <w:p w:rsidR="00275C5A" w:rsidRPr="00EC09F6" w:rsidRDefault="00503841" w:rsidP="005D044D">
      <w:pPr>
        <w:pStyle w:val="TableFooter"/>
        <w:ind w:firstLine="720"/>
      </w:pPr>
      <w:r w:rsidRPr="00EC09F6">
        <w:t xml:space="preserve">Source: </w:t>
      </w:r>
      <w:r w:rsidRPr="00EC09F6">
        <w:rPr>
          <w:i/>
        </w:rPr>
        <w:t>C</w:t>
      </w:r>
      <w:r w:rsidR="00275C5A" w:rsidRPr="00EC09F6">
        <w:rPr>
          <w:i/>
        </w:rPr>
        <w:t>ompiled during the evaluation</w:t>
      </w:r>
    </w:p>
    <w:p w:rsidR="00275C5A" w:rsidRPr="00EC09F6" w:rsidRDefault="00275C5A" w:rsidP="00275C5A">
      <w:pPr>
        <w:widowControl/>
        <w:rPr>
          <w:szCs w:val="22"/>
        </w:rPr>
      </w:pPr>
    </w:p>
    <w:p w:rsidR="00275C5A" w:rsidRPr="00EC09F6" w:rsidRDefault="00276C72" w:rsidP="00986DCF">
      <w:pPr>
        <w:pStyle w:val="ListParagraph"/>
        <w:widowControl/>
        <w:numPr>
          <w:ilvl w:val="1"/>
          <w:numId w:val="2"/>
        </w:numPr>
        <w:rPr>
          <w:szCs w:val="22"/>
        </w:rPr>
      </w:pPr>
      <w:r w:rsidRPr="00EC09F6">
        <w:t>A</w:t>
      </w:r>
      <w:r w:rsidR="00D110BD" w:rsidRPr="00EC09F6">
        <w:t xml:space="preserve"> summary of the key drivers of the </w:t>
      </w:r>
      <w:r w:rsidRPr="00EC09F6">
        <w:t xml:space="preserve">cost-effectiveness </w:t>
      </w:r>
      <w:r w:rsidR="00D110BD" w:rsidRPr="00EC09F6">
        <w:t xml:space="preserve">model </w:t>
      </w:r>
      <w:r w:rsidRPr="00EC09F6">
        <w:t xml:space="preserve">are presented </w:t>
      </w:r>
      <w:r w:rsidR="00D110BD" w:rsidRPr="00EC09F6">
        <w:t>below.</w:t>
      </w:r>
    </w:p>
    <w:p w:rsidR="00275C5A" w:rsidRPr="00EC09F6" w:rsidRDefault="00275C5A" w:rsidP="00275C5A">
      <w:pPr>
        <w:widowControl/>
        <w:rPr>
          <w:szCs w:val="22"/>
        </w:rPr>
      </w:pPr>
    </w:p>
    <w:p w:rsidR="00D110BD" w:rsidRPr="00EC09F6" w:rsidRDefault="00D110BD" w:rsidP="00104078">
      <w:pPr>
        <w:keepNext/>
        <w:ind w:firstLine="720"/>
        <w:rPr>
          <w:rStyle w:val="CommentReference"/>
        </w:rPr>
      </w:pPr>
      <w:r w:rsidRPr="00EC09F6">
        <w:rPr>
          <w:rStyle w:val="CommentReference"/>
        </w:rPr>
        <w:t xml:space="preserve">Table </w:t>
      </w:r>
      <w:r w:rsidR="002305F1" w:rsidRPr="00EC09F6">
        <w:rPr>
          <w:rStyle w:val="CommentReference"/>
        </w:rPr>
        <w:t>1</w:t>
      </w:r>
      <w:r w:rsidR="00492332">
        <w:rPr>
          <w:rStyle w:val="CommentReference"/>
        </w:rPr>
        <w:t>2</w:t>
      </w:r>
      <w:r w:rsidRPr="00EC09F6">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827"/>
        <w:gridCol w:w="2250"/>
      </w:tblGrid>
      <w:tr w:rsidR="00EC09F6" w:rsidRPr="00EC09F6" w:rsidTr="00CC1104">
        <w:trPr>
          <w:tblHeader/>
        </w:trPr>
        <w:tc>
          <w:tcPr>
            <w:tcW w:w="1359" w:type="pct"/>
            <w:shd w:val="clear" w:color="auto" w:fill="auto"/>
            <w:vAlign w:val="center"/>
          </w:tcPr>
          <w:p w:rsidR="00D110BD" w:rsidRPr="00EC09F6" w:rsidRDefault="00D110BD" w:rsidP="00104078">
            <w:pPr>
              <w:keepNext/>
              <w:jc w:val="left"/>
              <w:rPr>
                <w:rFonts w:ascii="Arial Narrow" w:hAnsi="Arial Narrow"/>
                <w:b/>
                <w:sz w:val="20"/>
                <w:lang w:val="en-US"/>
              </w:rPr>
            </w:pPr>
            <w:r w:rsidRPr="00EC09F6">
              <w:rPr>
                <w:rFonts w:ascii="Arial Narrow" w:hAnsi="Arial Narrow"/>
                <w:b/>
                <w:sz w:val="20"/>
                <w:lang w:val="en-US"/>
              </w:rPr>
              <w:t>Description</w:t>
            </w:r>
          </w:p>
        </w:tc>
        <w:tc>
          <w:tcPr>
            <w:tcW w:w="2293" w:type="pct"/>
            <w:shd w:val="clear" w:color="auto" w:fill="auto"/>
            <w:vAlign w:val="center"/>
          </w:tcPr>
          <w:p w:rsidR="00D110BD" w:rsidRPr="00EC09F6" w:rsidRDefault="00D110BD" w:rsidP="00104078">
            <w:pPr>
              <w:keepNext/>
              <w:jc w:val="center"/>
              <w:rPr>
                <w:rFonts w:ascii="Arial Narrow" w:hAnsi="Arial Narrow"/>
                <w:b/>
                <w:sz w:val="20"/>
                <w:lang w:val="en-US"/>
              </w:rPr>
            </w:pPr>
            <w:r w:rsidRPr="00EC09F6">
              <w:rPr>
                <w:rFonts w:ascii="Arial Narrow" w:hAnsi="Arial Narrow"/>
                <w:b/>
                <w:sz w:val="20"/>
                <w:lang w:val="en-US"/>
              </w:rPr>
              <w:t>Method/Value</w:t>
            </w:r>
          </w:p>
        </w:tc>
        <w:tc>
          <w:tcPr>
            <w:tcW w:w="1348" w:type="pct"/>
            <w:shd w:val="clear" w:color="auto" w:fill="auto"/>
            <w:vAlign w:val="center"/>
          </w:tcPr>
          <w:p w:rsidR="00D110BD" w:rsidRPr="00EC09F6" w:rsidRDefault="00D110BD" w:rsidP="00104078">
            <w:pPr>
              <w:keepNext/>
              <w:jc w:val="center"/>
              <w:rPr>
                <w:rFonts w:ascii="Arial Narrow" w:hAnsi="Arial Narrow"/>
                <w:b/>
                <w:sz w:val="20"/>
                <w:lang w:val="en-US"/>
              </w:rPr>
            </w:pPr>
            <w:r w:rsidRPr="00EC09F6">
              <w:rPr>
                <w:rFonts w:ascii="Arial Narrow" w:hAnsi="Arial Narrow"/>
                <w:b/>
                <w:sz w:val="20"/>
                <w:lang w:val="en-US"/>
              </w:rPr>
              <w:t>Impact</w:t>
            </w:r>
          </w:p>
        </w:tc>
      </w:tr>
      <w:tr w:rsidR="00EC09F6" w:rsidRPr="00EC09F6" w:rsidTr="00CC1104">
        <w:tc>
          <w:tcPr>
            <w:tcW w:w="1359" w:type="pct"/>
            <w:shd w:val="clear" w:color="auto" w:fill="auto"/>
            <w:vAlign w:val="center"/>
          </w:tcPr>
          <w:p w:rsidR="00D110BD" w:rsidRPr="006A633D" w:rsidRDefault="00D110BD" w:rsidP="00104078">
            <w:pPr>
              <w:keepNext/>
              <w:jc w:val="left"/>
              <w:rPr>
                <w:rFonts w:ascii="Arial Narrow" w:hAnsi="Arial Narrow"/>
                <w:sz w:val="20"/>
                <w:lang w:val="en-US"/>
              </w:rPr>
            </w:pPr>
            <w:r w:rsidRPr="006A633D">
              <w:rPr>
                <w:rFonts w:ascii="Arial Narrow" w:hAnsi="Arial Narrow"/>
                <w:sz w:val="20"/>
                <w:lang w:val="en-US"/>
              </w:rPr>
              <w:t>Time horizon</w:t>
            </w:r>
          </w:p>
        </w:tc>
        <w:tc>
          <w:tcPr>
            <w:tcW w:w="2293"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Lifetime</w:t>
            </w:r>
            <w:r w:rsidR="00D110BD" w:rsidRPr="006A633D">
              <w:rPr>
                <w:rFonts w:ascii="Arial Narrow" w:hAnsi="Arial Narrow"/>
                <w:sz w:val="20"/>
                <w:lang w:val="en-US"/>
              </w:rPr>
              <w:t xml:space="preserve">; assumed from </w:t>
            </w:r>
            <w:r w:rsidRPr="006A633D">
              <w:rPr>
                <w:rFonts w:ascii="Arial Narrow" w:hAnsi="Arial Narrow"/>
                <w:sz w:val="20"/>
                <w:lang w:val="en-US"/>
              </w:rPr>
              <w:t>32 week</w:t>
            </w:r>
            <w:r w:rsidR="00D110BD" w:rsidRPr="006A633D">
              <w:rPr>
                <w:rFonts w:ascii="Arial Narrow" w:hAnsi="Arial Narrow"/>
                <w:sz w:val="20"/>
                <w:lang w:val="en-US"/>
              </w:rPr>
              <w:t xml:space="preserve"> trial duration</w:t>
            </w:r>
          </w:p>
        </w:tc>
        <w:tc>
          <w:tcPr>
            <w:tcW w:w="1348"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Moderate (favour</w:t>
            </w:r>
            <w:r w:rsidR="00202EE3" w:rsidRPr="006A633D">
              <w:rPr>
                <w:rFonts w:ascii="Arial Narrow" w:hAnsi="Arial Narrow"/>
                <w:sz w:val="20"/>
                <w:lang w:val="en-US"/>
              </w:rPr>
              <w:t>ed</w:t>
            </w:r>
            <w:r w:rsidRPr="006A633D">
              <w:rPr>
                <w:rFonts w:ascii="Arial Narrow" w:hAnsi="Arial Narrow"/>
                <w:sz w:val="20"/>
                <w:lang w:val="en-US"/>
              </w:rPr>
              <w:t xml:space="preserve">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Time horizon</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The MEPO group gains additional QALYs to around age 120 years.</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Low (favoured MEPO)</w:t>
            </w:r>
          </w:p>
        </w:tc>
      </w:tr>
      <w:tr w:rsidR="00EC09F6" w:rsidRPr="00EC09F6" w:rsidTr="00CC1104">
        <w:tc>
          <w:tcPr>
            <w:tcW w:w="1359" w:type="pct"/>
            <w:shd w:val="clear" w:color="auto" w:fill="auto"/>
            <w:vAlign w:val="center"/>
          </w:tcPr>
          <w:p w:rsidR="00D110BD" w:rsidRPr="006A633D" w:rsidRDefault="00276C72" w:rsidP="00104078">
            <w:pPr>
              <w:keepNext/>
              <w:jc w:val="left"/>
              <w:rPr>
                <w:rFonts w:ascii="Arial Narrow" w:hAnsi="Arial Narrow"/>
                <w:sz w:val="20"/>
                <w:lang w:val="en-US"/>
              </w:rPr>
            </w:pPr>
            <w:r w:rsidRPr="006A633D">
              <w:rPr>
                <w:rFonts w:ascii="Arial Narrow" w:hAnsi="Arial Narrow"/>
                <w:sz w:val="20"/>
                <w:lang w:val="en-US"/>
              </w:rPr>
              <w:t>Use of ACQ-5 score in CC</w:t>
            </w:r>
          </w:p>
        </w:tc>
        <w:tc>
          <w:tcPr>
            <w:tcW w:w="2293"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Change of &gt; 0.5 from baseline required</w:t>
            </w:r>
          </w:p>
        </w:tc>
        <w:tc>
          <w:tcPr>
            <w:tcW w:w="1348"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High (favour</w:t>
            </w:r>
            <w:r w:rsidR="00202EE3" w:rsidRPr="006A633D">
              <w:rPr>
                <w:rFonts w:ascii="Arial Narrow" w:hAnsi="Arial Narrow"/>
                <w:sz w:val="20"/>
                <w:lang w:val="en-US"/>
              </w:rPr>
              <w:t>ed</w:t>
            </w:r>
            <w:r w:rsidRPr="006A633D">
              <w:rPr>
                <w:rFonts w:ascii="Arial Narrow" w:hAnsi="Arial Narrow"/>
                <w:sz w:val="20"/>
                <w:lang w:val="en-US"/>
              </w:rPr>
              <w:t xml:space="preserve"> MEPO)</w:t>
            </w:r>
          </w:p>
        </w:tc>
      </w:tr>
      <w:tr w:rsidR="00EC09F6" w:rsidRPr="00EC09F6" w:rsidTr="00CC1104">
        <w:tc>
          <w:tcPr>
            <w:tcW w:w="1359" w:type="pct"/>
            <w:shd w:val="clear" w:color="auto" w:fill="auto"/>
            <w:vAlign w:val="center"/>
          </w:tcPr>
          <w:p w:rsidR="00803255" w:rsidRPr="006A633D" w:rsidRDefault="00803255" w:rsidP="00104078">
            <w:pPr>
              <w:keepNext/>
              <w:jc w:val="left"/>
              <w:rPr>
                <w:rFonts w:ascii="Arial Narrow" w:hAnsi="Arial Narrow"/>
                <w:sz w:val="20"/>
                <w:lang w:val="en-US"/>
              </w:rPr>
            </w:pPr>
            <w:r w:rsidRPr="006A633D">
              <w:rPr>
                <w:rFonts w:ascii="Arial Narrow" w:hAnsi="Arial Narrow"/>
                <w:sz w:val="20"/>
                <w:lang w:val="en-US"/>
              </w:rPr>
              <w:t>Population included</w:t>
            </w:r>
          </w:p>
        </w:tc>
        <w:tc>
          <w:tcPr>
            <w:tcW w:w="2293" w:type="pct"/>
            <w:shd w:val="clear" w:color="auto" w:fill="auto"/>
            <w:vAlign w:val="center"/>
          </w:tcPr>
          <w:p w:rsidR="00803255" w:rsidRPr="006A633D" w:rsidRDefault="00803255" w:rsidP="00202EE3">
            <w:pPr>
              <w:keepNext/>
              <w:jc w:val="left"/>
              <w:rPr>
                <w:rFonts w:ascii="Arial Narrow" w:hAnsi="Arial Narrow"/>
                <w:sz w:val="20"/>
                <w:lang w:val="en-US"/>
              </w:rPr>
            </w:pPr>
            <w:r w:rsidRPr="006A633D">
              <w:rPr>
                <w:rFonts w:ascii="Arial Narrow" w:hAnsi="Arial Narrow"/>
                <w:sz w:val="20"/>
                <w:lang w:val="en-US"/>
              </w:rPr>
              <w:t>Use of post hoc subgroup from Study 588</w:t>
            </w:r>
          </w:p>
        </w:tc>
        <w:tc>
          <w:tcPr>
            <w:tcW w:w="1348" w:type="pct"/>
            <w:shd w:val="clear" w:color="auto" w:fill="auto"/>
            <w:vAlign w:val="center"/>
          </w:tcPr>
          <w:p w:rsidR="00803255" w:rsidRPr="006A633D" w:rsidRDefault="00803255" w:rsidP="00202EE3">
            <w:pPr>
              <w:keepNext/>
              <w:jc w:val="left"/>
              <w:rPr>
                <w:rFonts w:ascii="Arial Narrow" w:hAnsi="Arial Narrow"/>
                <w:sz w:val="20"/>
                <w:lang w:val="en-US"/>
              </w:rPr>
            </w:pPr>
            <w:r w:rsidRPr="006A633D">
              <w:rPr>
                <w:rFonts w:ascii="Arial Narrow" w:hAnsi="Arial Narrow"/>
                <w:sz w:val="20"/>
                <w:lang w:val="en-US"/>
              </w:rPr>
              <w:t>Moderate (favoured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571B02" w:rsidP="002E79CF">
            <w:pPr>
              <w:keepNext/>
              <w:jc w:val="left"/>
              <w:rPr>
                <w:rFonts w:ascii="Arial Narrow" w:hAnsi="Arial Narrow"/>
                <w:sz w:val="20"/>
                <w:lang w:val="en-US"/>
              </w:rPr>
            </w:pPr>
            <w:r w:rsidRPr="006A633D">
              <w:rPr>
                <w:rFonts w:ascii="Arial Narrow" w:hAnsi="Arial Narrow"/>
                <w:sz w:val="20"/>
                <w:lang w:val="en-US"/>
              </w:rPr>
              <w:t>Intervention</w:t>
            </w:r>
            <w:r w:rsidR="002E79CF" w:rsidRPr="006A633D">
              <w:rPr>
                <w:rFonts w:ascii="Arial Narrow" w:hAnsi="Arial Narrow"/>
                <w:sz w:val="20"/>
                <w:lang w:val="en-US"/>
              </w:rPr>
              <w:t xml:space="preserve"> costs</w:t>
            </w:r>
            <w:r w:rsidRPr="006A633D">
              <w:rPr>
                <w:rFonts w:ascii="Arial Narrow" w:hAnsi="Arial Narrow"/>
                <w:sz w:val="20"/>
                <w:lang w:val="en-US"/>
              </w:rPr>
              <w:t xml:space="preserve"> for ICS/LABA</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571B02">
            <w:pPr>
              <w:keepNext/>
              <w:jc w:val="left"/>
              <w:rPr>
                <w:rFonts w:ascii="Arial Narrow" w:hAnsi="Arial Narrow"/>
                <w:sz w:val="20"/>
                <w:lang w:val="en-US"/>
              </w:rPr>
            </w:pPr>
            <w:r w:rsidRPr="006A633D">
              <w:rPr>
                <w:rFonts w:ascii="Arial Narrow" w:hAnsi="Arial Narrow"/>
                <w:sz w:val="20"/>
                <w:lang w:val="en-US"/>
              </w:rPr>
              <w:t xml:space="preserve">Model error: costs </w:t>
            </w:r>
            <w:r w:rsidR="00571B02" w:rsidRPr="006A633D">
              <w:rPr>
                <w:rFonts w:ascii="Arial Narrow" w:hAnsi="Arial Narrow"/>
                <w:sz w:val="20"/>
                <w:lang w:val="en-US"/>
              </w:rPr>
              <w:t>applied inconsistently and inappropriately for the two treatment arms</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High (favoured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Respiratory specialist cost</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Underestimated</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Low (favoured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Exacerbation-related mortality</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High mortality rate for non-hospitalised exacerbations</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Moderate (favoured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Exacerbation types</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Aggregate percentages do not align with exacerbation data by treatment group</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Low (favoured MEPO)</w:t>
            </w:r>
          </w:p>
        </w:tc>
      </w:tr>
      <w:tr w:rsidR="00EC09F6" w:rsidRPr="00EC09F6" w:rsidTr="00CC1104">
        <w:tc>
          <w:tcPr>
            <w:tcW w:w="1359" w:type="pct"/>
            <w:shd w:val="clear" w:color="auto" w:fill="auto"/>
            <w:vAlign w:val="center"/>
          </w:tcPr>
          <w:p w:rsidR="00D110BD" w:rsidRPr="006A633D" w:rsidRDefault="00276C72" w:rsidP="00104078">
            <w:pPr>
              <w:keepNext/>
              <w:jc w:val="left"/>
              <w:rPr>
                <w:rFonts w:ascii="Arial Narrow" w:hAnsi="Arial Narrow"/>
                <w:sz w:val="20"/>
                <w:lang w:val="en-US"/>
              </w:rPr>
            </w:pPr>
            <w:r w:rsidRPr="006A633D">
              <w:rPr>
                <w:rFonts w:ascii="Arial Narrow" w:hAnsi="Arial Narrow"/>
                <w:sz w:val="20"/>
                <w:lang w:val="en-US"/>
              </w:rPr>
              <w:t>Utilities</w:t>
            </w:r>
          </w:p>
        </w:tc>
        <w:tc>
          <w:tcPr>
            <w:tcW w:w="2293"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Derived from SGRQ scores</w:t>
            </w:r>
          </w:p>
        </w:tc>
        <w:tc>
          <w:tcPr>
            <w:tcW w:w="1348" w:type="pct"/>
            <w:shd w:val="clear" w:color="auto" w:fill="auto"/>
            <w:vAlign w:val="center"/>
          </w:tcPr>
          <w:p w:rsidR="00D110BD" w:rsidRPr="006A633D" w:rsidRDefault="00276C72" w:rsidP="00062BED">
            <w:pPr>
              <w:keepNext/>
              <w:jc w:val="left"/>
              <w:rPr>
                <w:rFonts w:ascii="Arial Narrow" w:hAnsi="Arial Narrow"/>
                <w:sz w:val="20"/>
                <w:lang w:val="en-US"/>
              </w:rPr>
            </w:pPr>
            <w:r w:rsidRPr="006A633D">
              <w:rPr>
                <w:rFonts w:ascii="Arial Narrow" w:hAnsi="Arial Narrow"/>
                <w:sz w:val="20"/>
                <w:lang w:val="en-US"/>
              </w:rPr>
              <w:t>High (favour</w:t>
            </w:r>
            <w:r w:rsidR="00202EE3" w:rsidRPr="006A633D">
              <w:rPr>
                <w:rFonts w:ascii="Arial Narrow" w:hAnsi="Arial Narrow"/>
                <w:sz w:val="20"/>
                <w:lang w:val="en-US"/>
              </w:rPr>
              <w:t>ed</w:t>
            </w:r>
            <w:r w:rsidRPr="006A633D">
              <w:rPr>
                <w:rFonts w:ascii="Arial Narrow" w:hAnsi="Arial Narrow"/>
                <w:sz w:val="20"/>
                <w:lang w:val="en-US"/>
              </w:rPr>
              <w:t xml:space="preserve"> MEPO)</w:t>
            </w:r>
          </w:p>
        </w:tc>
      </w:tr>
      <w:tr w:rsidR="002E79CF" w:rsidTr="002E79CF">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Utilities</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Exacerbation duration 28 days; trial data durations: non-hospitalized exacerbation 10 to 13 days; hospitalized exacerbation 21 days.</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E79CF" w:rsidRPr="006A633D" w:rsidRDefault="002E79CF" w:rsidP="002E79CF">
            <w:pPr>
              <w:keepNext/>
              <w:jc w:val="left"/>
              <w:rPr>
                <w:rFonts w:ascii="Arial Narrow" w:hAnsi="Arial Narrow"/>
                <w:sz w:val="20"/>
                <w:lang w:val="en-US"/>
              </w:rPr>
            </w:pPr>
            <w:r w:rsidRPr="006A633D">
              <w:rPr>
                <w:rFonts w:ascii="Arial Narrow" w:hAnsi="Arial Narrow"/>
                <w:sz w:val="20"/>
                <w:lang w:val="en-US"/>
              </w:rPr>
              <w:t>Low (favoured MEPO)</w:t>
            </w:r>
          </w:p>
        </w:tc>
      </w:tr>
    </w:tbl>
    <w:p w:rsidR="00D110BD" w:rsidRPr="00916B1F" w:rsidRDefault="00503841" w:rsidP="005D044D">
      <w:pPr>
        <w:pStyle w:val="TableFooter"/>
        <w:ind w:firstLine="720"/>
      </w:pPr>
      <w:r w:rsidRPr="00916B1F">
        <w:t>Source: C</w:t>
      </w:r>
      <w:r w:rsidR="00D110BD" w:rsidRPr="00916B1F">
        <w:t>ompiled during the evaluation</w:t>
      </w:r>
    </w:p>
    <w:p w:rsidR="00276C72" w:rsidRPr="00EC09F6" w:rsidRDefault="00503841" w:rsidP="00276C72">
      <w:pPr>
        <w:pStyle w:val="TableFooter"/>
        <w:ind w:left="720"/>
      </w:pPr>
      <w:r w:rsidRPr="00EC09F6">
        <w:t>ACQ-5 = Asthma control q</w:t>
      </w:r>
      <w:r w:rsidR="00276C72" w:rsidRPr="00EC09F6">
        <w:t>uestionnaire; CC = continuing criteria; MEPO = m</w:t>
      </w:r>
      <w:r w:rsidRPr="00EC09F6">
        <w:t>epolizumab; SGRQ = St George’s respiratory q</w:t>
      </w:r>
      <w:r w:rsidR="00276C72" w:rsidRPr="00EC09F6">
        <w:t>uestionnaire</w:t>
      </w:r>
    </w:p>
    <w:p w:rsidR="00D110BD" w:rsidRPr="00EC09F6" w:rsidRDefault="00D110BD" w:rsidP="00275C5A">
      <w:pPr>
        <w:widowControl/>
        <w:rPr>
          <w:szCs w:val="22"/>
        </w:rPr>
      </w:pPr>
    </w:p>
    <w:p w:rsidR="002305F1" w:rsidRPr="00E759E5" w:rsidRDefault="00FF37DC" w:rsidP="00986DCF">
      <w:pPr>
        <w:pStyle w:val="ListParagraph"/>
        <w:widowControl/>
        <w:numPr>
          <w:ilvl w:val="1"/>
          <w:numId w:val="2"/>
        </w:numPr>
        <w:rPr>
          <w:szCs w:val="22"/>
        </w:rPr>
      </w:pPr>
      <w:r w:rsidRPr="00E759E5">
        <w:rPr>
          <w:szCs w:val="22"/>
        </w:rPr>
        <w:t xml:space="preserve">St George’s </w:t>
      </w:r>
      <w:r w:rsidR="009D1864" w:rsidRPr="00E759E5">
        <w:rPr>
          <w:szCs w:val="22"/>
        </w:rPr>
        <w:t>r</w:t>
      </w:r>
      <w:r w:rsidRPr="00E759E5">
        <w:rPr>
          <w:szCs w:val="22"/>
        </w:rPr>
        <w:t xml:space="preserve">espiratory </w:t>
      </w:r>
      <w:r w:rsidR="009D1864" w:rsidRPr="00E759E5">
        <w:rPr>
          <w:szCs w:val="22"/>
        </w:rPr>
        <w:t>q</w:t>
      </w:r>
      <w:r w:rsidRPr="00E759E5">
        <w:rPr>
          <w:szCs w:val="22"/>
        </w:rPr>
        <w:t>uestionnaire (</w:t>
      </w:r>
      <w:r w:rsidR="0075049E" w:rsidRPr="00E759E5">
        <w:rPr>
          <w:szCs w:val="22"/>
        </w:rPr>
        <w:t>SGRQ</w:t>
      </w:r>
      <w:r w:rsidRPr="00E759E5">
        <w:rPr>
          <w:szCs w:val="22"/>
        </w:rPr>
        <w:t>)</w:t>
      </w:r>
      <w:r w:rsidR="0075049E" w:rsidRPr="00E759E5">
        <w:rPr>
          <w:szCs w:val="22"/>
        </w:rPr>
        <w:t xml:space="preserve"> scores captured in Study 588 were converted to </w:t>
      </w:r>
      <w:r w:rsidRPr="00E759E5">
        <w:rPr>
          <w:szCs w:val="22"/>
        </w:rPr>
        <w:t>Euroqol 5-dimension 3-level instrument (</w:t>
      </w:r>
      <w:r w:rsidR="0075049E" w:rsidRPr="00E759E5">
        <w:rPr>
          <w:szCs w:val="22"/>
        </w:rPr>
        <w:t>EQ-5D-3L</w:t>
      </w:r>
      <w:r w:rsidRPr="00E759E5">
        <w:rPr>
          <w:szCs w:val="22"/>
        </w:rPr>
        <w:t>)</w:t>
      </w:r>
      <w:r w:rsidR="0075049E" w:rsidRPr="00E759E5">
        <w:rPr>
          <w:szCs w:val="22"/>
        </w:rPr>
        <w:t xml:space="preserve"> utility values using a mapping algorithm, as described in Starkie (2011). The algorithm had precision issues, meaning it </w:t>
      </w:r>
      <w:r w:rsidR="00914308" w:rsidRPr="00E759E5">
        <w:rPr>
          <w:szCs w:val="22"/>
        </w:rPr>
        <w:t xml:space="preserve">might </w:t>
      </w:r>
      <w:r w:rsidR="0075049E" w:rsidRPr="00E759E5">
        <w:rPr>
          <w:szCs w:val="22"/>
        </w:rPr>
        <w:t>have been more appropriate to use EQ-5D</w:t>
      </w:r>
      <w:r w:rsidR="009B4B76" w:rsidRPr="00E759E5">
        <w:rPr>
          <w:szCs w:val="22"/>
        </w:rPr>
        <w:t>-3L</w:t>
      </w:r>
      <w:r w:rsidR="0075049E" w:rsidRPr="00E759E5">
        <w:rPr>
          <w:szCs w:val="22"/>
        </w:rPr>
        <w:t xml:space="preserve"> scores obtained from Study 997 in the base</w:t>
      </w:r>
      <w:r w:rsidRPr="00E759E5">
        <w:rPr>
          <w:szCs w:val="22"/>
        </w:rPr>
        <w:t xml:space="preserve"> </w:t>
      </w:r>
      <w:r w:rsidR="0075049E" w:rsidRPr="00E759E5">
        <w:rPr>
          <w:szCs w:val="22"/>
        </w:rPr>
        <w:t>case.</w:t>
      </w:r>
    </w:p>
    <w:p w:rsidR="002E79CF" w:rsidRPr="00E759E5" w:rsidRDefault="002E79CF" w:rsidP="00564872">
      <w:pPr>
        <w:pStyle w:val="ListParagraph"/>
        <w:widowControl/>
        <w:rPr>
          <w:szCs w:val="22"/>
        </w:rPr>
      </w:pPr>
    </w:p>
    <w:p w:rsidR="002E79CF" w:rsidRPr="00E759E5" w:rsidRDefault="002E79CF" w:rsidP="00986DCF">
      <w:pPr>
        <w:pStyle w:val="ListParagraph"/>
        <w:widowControl/>
        <w:numPr>
          <w:ilvl w:val="1"/>
          <w:numId w:val="2"/>
        </w:numPr>
        <w:snapToGrid w:val="0"/>
      </w:pPr>
      <w:r w:rsidRPr="00E759E5">
        <w:t xml:space="preserve">The </w:t>
      </w:r>
      <w:r w:rsidR="004D776B">
        <w:t xml:space="preserve">choice of MBS </w:t>
      </w:r>
      <w:r w:rsidRPr="00E759E5">
        <w:t>item 105 ($</w:t>
      </w:r>
      <w:r w:rsidR="0024101C">
        <w:rPr>
          <w:noProof/>
          <w:color w:val="000000"/>
          <w:highlight w:val="black"/>
        </w:rPr>
        <w:t>''''''''''''''</w:t>
      </w:r>
      <w:r w:rsidRPr="00E759E5">
        <w:t>) does not fit with usual physician practice: Initial Item 110 ($</w:t>
      </w:r>
      <w:r w:rsidR="0024101C">
        <w:rPr>
          <w:noProof/>
          <w:color w:val="000000"/>
          <w:highlight w:val="black"/>
        </w:rPr>
        <w:t>''''''''''''''''''</w:t>
      </w:r>
      <w:r w:rsidRPr="00E759E5">
        <w:t>) and subsequently Item 116 ($</w:t>
      </w:r>
      <w:r w:rsidR="0024101C">
        <w:rPr>
          <w:noProof/>
          <w:color w:val="000000"/>
          <w:highlight w:val="black"/>
        </w:rPr>
        <w:t>''''''''''''</w:t>
      </w:r>
      <w:r w:rsidRPr="00E759E5">
        <w:t>) should have been used. The total cost difference is $</w:t>
      </w:r>
      <w:r w:rsidR="0024101C">
        <w:rPr>
          <w:noProof/>
          <w:color w:val="000000"/>
          <w:highlight w:val="black"/>
        </w:rPr>
        <w:t>'''''''''</w:t>
      </w:r>
      <w:r w:rsidRPr="00E759E5">
        <w:t>.</w:t>
      </w:r>
    </w:p>
    <w:p w:rsidR="002E79CF" w:rsidRPr="00E759E5" w:rsidRDefault="002E79CF" w:rsidP="002E79CF">
      <w:pPr>
        <w:widowControl/>
      </w:pPr>
    </w:p>
    <w:p w:rsidR="002E79CF" w:rsidRPr="00E759E5" w:rsidRDefault="002E79CF" w:rsidP="00986DCF">
      <w:pPr>
        <w:pStyle w:val="ListParagraph"/>
        <w:widowControl/>
        <w:numPr>
          <w:ilvl w:val="1"/>
          <w:numId w:val="2"/>
        </w:numPr>
        <w:snapToGrid w:val="0"/>
      </w:pPr>
      <w:r w:rsidRPr="00E759E5">
        <w:t xml:space="preserve">Aggregate exacerbation rates and by treatment group are presented below. It </w:t>
      </w:r>
      <w:r w:rsidR="003411ED" w:rsidRPr="00E759E5">
        <w:t>wa</w:t>
      </w:r>
      <w:r w:rsidRPr="00E759E5">
        <w:t>s not clear where the value for hospitalised exacerbations was derived</w:t>
      </w:r>
      <w:r w:rsidR="003411ED" w:rsidRPr="00E759E5">
        <w:t xml:space="preserve"> from</w:t>
      </w:r>
      <w:r w:rsidRPr="00E759E5">
        <w:t>.</w:t>
      </w:r>
    </w:p>
    <w:p w:rsidR="0029121B" w:rsidRDefault="0029121B">
      <w:pPr>
        <w:widowControl/>
        <w:jc w:val="left"/>
        <w:rPr>
          <w:szCs w:val="22"/>
        </w:rPr>
      </w:pPr>
      <w:r>
        <w:rPr>
          <w:szCs w:val="22"/>
        </w:rPr>
        <w:br w:type="page"/>
      </w:r>
    </w:p>
    <w:p w:rsidR="002305F1" w:rsidRPr="006A633D" w:rsidRDefault="002305F1" w:rsidP="002305F1">
      <w:pPr>
        <w:pStyle w:val="ListParagraph"/>
        <w:widowControl/>
        <w:rPr>
          <w:szCs w:val="22"/>
        </w:rPr>
      </w:pPr>
    </w:p>
    <w:p w:rsidR="008F2F0E" w:rsidRPr="006A633D" w:rsidRDefault="008F2F0E" w:rsidP="002305F1">
      <w:pPr>
        <w:pStyle w:val="ListParagraph"/>
        <w:widowControl/>
        <w:rPr>
          <w:rFonts w:ascii="Arial Narrow" w:hAnsi="Arial Narrow"/>
          <w:b/>
          <w:sz w:val="20"/>
          <w:szCs w:val="22"/>
        </w:rPr>
      </w:pPr>
      <w:r w:rsidRPr="006A633D">
        <w:rPr>
          <w:rFonts w:ascii="Arial Narrow" w:hAnsi="Arial Narrow"/>
          <w:b/>
          <w:sz w:val="20"/>
          <w:szCs w:val="22"/>
        </w:rPr>
        <w:t xml:space="preserve">Table </w:t>
      </w:r>
      <w:r w:rsidR="00492332" w:rsidRPr="006A633D">
        <w:rPr>
          <w:rFonts w:ascii="Arial Narrow" w:hAnsi="Arial Narrow"/>
          <w:b/>
          <w:sz w:val="20"/>
          <w:szCs w:val="22"/>
        </w:rPr>
        <w:t>13</w:t>
      </w:r>
      <w:r w:rsidRPr="006A633D">
        <w:rPr>
          <w:rFonts w:ascii="Arial Narrow" w:hAnsi="Arial Narrow"/>
          <w:b/>
          <w:sz w:val="20"/>
          <w:szCs w:val="22"/>
        </w:rPr>
        <w:t xml:space="preserve">: </w:t>
      </w:r>
      <w:r w:rsidR="003B7955" w:rsidRPr="006A633D">
        <w:rPr>
          <w:rFonts w:ascii="Arial Narrow" w:hAnsi="Arial Narrow"/>
          <w:b/>
          <w:sz w:val="20"/>
          <w:szCs w:val="22"/>
        </w:rPr>
        <w:t xml:space="preserve">Summary of health outcomes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701"/>
        <w:gridCol w:w="2693"/>
      </w:tblGrid>
      <w:tr w:rsidR="003411ED" w:rsidRPr="006A633D" w:rsidTr="00564872">
        <w:trPr>
          <w:trHeight w:val="20"/>
        </w:trPr>
        <w:tc>
          <w:tcPr>
            <w:tcW w:w="1441"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jc w:val="center"/>
              <w:rPr>
                <w:rFonts w:ascii="Arial Narrow" w:hAnsi="Arial Narrow" w:cs="Times New Roman"/>
                <w:b/>
                <w:bCs/>
                <w:color w:val="222222"/>
                <w:sz w:val="20"/>
                <w:lang w:val="en-GB" w:eastAsia="en-GB"/>
              </w:rPr>
            </w:pPr>
            <w:r w:rsidRPr="006A633D">
              <w:rPr>
                <w:rFonts w:ascii="Arial Narrow" w:hAnsi="Arial Narrow" w:cs="Times New Roman"/>
                <w:b/>
                <w:bCs/>
                <w:color w:val="222222"/>
                <w:sz w:val="20"/>
                <w:lang w:eastAsia="en-GB"/>
              </w:rPr>
              <w:t>Exacerbations requiring:</w:t>
            </w:r>
          </w:p>
        </w:tc>
        <w:tc>
          <w:tcPr>
            <w:tcW w:w="932"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
                <w:color w:val="222222"/>
                <w:sz w:val="20"/>
                <w:lang w:val="en-GB" w:eastAsia="en-GB"/>
              </w:rPr>
            </w:pPr>
            <w:r w:rsidRPr="006A633D">
              <w:rPr>
                <w:rFonts w:ascii="Arial Narrow" w:hAnsi="Arial Narrow" w:cs="Times New Roman"/>
                <w:b/>
                <w:color w:val="222222"/>
                <w:sz w:val="20"/>
                <w:lang w:eastAsia="en-GB"/>
              </w:rPr>
              <w:t>As per model</w:t>
            </w:r>
          </w:p>
        </w:tc>
        <w:tc>
          <w:tcPr>
            <w:tcW w:w="1017"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
                <w:iCs/>
                <w:color w:val="222222"/>
                <w:sz w:val="20"/>
                <w:lang w:val="en-GB" w:eastAsia="en-GB"/>
              </w:rPr>
            </w:pPr>
            <w:r w:rsidRPr="006A633D">
              <w:rPr>
                <w:rFonts w:ascii="Arial Narrow" w:hAnsi="Arial Narrow" w:cs="Times New Roman"/>
                <w:b/>
                <w:iCs/>
                <w:color w:val="222222"/>
                <w:sz w:val="20"/>
                <w:lang w:eastAsia="en-GB"/>
              </w:rPr>
              <w:t>For those on SOC</w:t>
            </w:r>
          </w:p>
        </w:tc>
        <w:tc>
          <w:tcPr>
            <w:tcW w:w="1610"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
                <w:iCs/>
                <w:color w:val="222222"/>
                <w:sz w:val="20"/>
                <w:lang w:val="en-GB" w:eastAsia="en-GB"/>
              </w:rPr>
            </w:pPr>
            <w:r w:rsidRPr="006A633D">
              <w:rPr>
                <w:rFonts w:ascii="Arial Narrow" w:hAnsi="Arial Narrow" w:cs="Times New Roman"/>
                <w:b/>
                <w:iCs/>
                <w:color w:val="222222"/>
                <w:sz w:val="20"/>
                <w:lang w:eastAsia="en-GB"/>
              </w:rPr>
              <w:t>For those on MEPO 100 mg SC</w:t>
            </w:r>
          </w:p>
        </w:tc>
      </w:tr>
      <w:tr w:rsidR="003411ED" w:rsidRPr="006A633D" w:rsidTr="00564872">
        <w:trPr>
          <w:trHeight w:val="20"/>
        </w:trPr>
        <w:tc>
          <w:tcPr>
            <w:tcW w:w="1441"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Cs/>
                <w:color w:val="222222"/>
                <w:sz w:val="20"/>
                <w:lang w:val="en-GB" w:eastAsia="en-GB"/>
              </w:rPr>
            </w:pPr>
            <w:r w:rsidRPr="006A633D">
              <w:rPr>
                <w:rFonts w:ascii="Arial Narrow" w:hAnsi="Arial Narrow" w:cs="Times New Roman"/>
                <w:bCs/>
                <w:color w:val="222222"/>
                <w:sz w:val="20"/>
                <w:lang w:eastAsia="en-GB"/>
              </w:rPr>
              <w:t>OCS</w:t>
            </w:r>
            <w:r w:rsidR="00770104" w:rsidRPr="006A633D">
              <w:rPr>
                <w:rFonts w:ascii="Arial Narrow" w:hAnsi="Arial Narrow" w:cs="Times New Roman"/>
                <w:bCs/>
                <w:color w:val="222222"/>
                <w:sz w:val="20"/>
                <w:lang w:eastAsia="en-GB"/>
              </w:rPr>
              <w:t xml:space="preserve"> burst</w:t>
            </w:r>
          </w:p>
        </w:tc>
        <w:tc>
          <w:tcPr>
            <w:tcW w:w="932"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color w:val="222222"/>
                <w:sz w:val="20"/>
                <w:lang w:val="en-GB" w:eastAsia="en-GB"/>
              </w:rPr>
            </w:pPr>
            <w:r>
              <w:rPr>
                <w:rFonts w:ascii="Arial Narrow" w:hAnsi="Arial Narrow" w:cs="Times New Roman"/>
                <w:noProof/>
                <w:color w:val="000000"/>
                <w:sz w:val="20"/>
                <w:highlight w:val="black"/>
                <w:lang w:eastAsia="en-GB"/>
              </w:rPr>
              <w:t>''''''''''</w:t>
            </w:r>
            <w:r w:rsidR="003411ED" w:rsidRPr="00E200DF">
              <w:rPr>
                <w:rFonts w:ascii="Arial Narrow" w:hAnsi="Arial Narrow" w:cs="Times New Roman"/>
                <w:color w:val="222222"/>
                <w:sz w:val="20"/>
                <w:lang w:eastAsia="en-GB"/>
              </w:rPr>
              <w:t>%</w:t>
            </w:r>
          </w:p>
        </w:tc>
        <w:tc>
          <w:tcPr>
            <w:tcW w:w="1017"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c>
          <w:tcPr>
            <w:tcW w:w="1610"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r>
      <w:tr w:rsidR="003411ED" w:rsidRPr="006A633D" w:rsidTr="00564872">
        <w:trPr>
          <w:trHeight w:val="20"/>
        </w:trPr>
        <w:tc>
          <w:tcPr>
            <w:tcW w:w="1441"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Cs/>
                <w:color w:val="222222"/>
                <w:sz w:val="20"/>
                <w:lang w:val="en-GB" w:eastAsia="en-GB"/>
              </w:rPr>
            </w:pPr>
            <w:r w:rsidRPr="006A633D">
              <w:rPr>
                <w:rFonts w:ascii="Arial Narrow" w:hAnsi="Arial Narrow" w:cs="Times New Roman"/>
                <w:bCs/>
                <w:color w:val="222222"/>
                <w:sz w:val="20"/>
                <w:lang w:eastAsia="en-GB"/>
              </w:rPr>
              <w:t>ED visit</w:t>
            </w:r>
          </w:p>
        </w:tc>
        <w:tc>
          <w:tcPr>
            <w:tcW w:w="932"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color w:val="222222"/>
                <w:sz w:val="20"/>
                <w:lang w:val="en-GB" w:eastAsia="en-GB"/>
              </w:rPr>
            </w:pPr>
            <w:r>
              <w:rPr>
                <w:rFonts w:ascii="Arial Narrow" w:hAnsi="Arial Narrow" w:cs="Times New Roman"/>
                <w:noProof/>
                <w:color w:val="000000"/>
                <w:sz w:val="20"/>
                <w:highlight w:val="black"/>
                <w:lang w:eastAsia="en-GB"/>
              </w:rPr>
              <w:t>'''''''</w:t>
            </w:r>
            <w:r w:rsidR="003411ED" w:rsidRPr="00E200DF">
              <w:rPr>
                <w:rFonts w:ascii="Arial Narrow" w:hAnsi="Arial Narrow" w:cs="Times New Roman"/>
                <w:color w:val="222222"/>
                <w:sz w:val="20"/>
                <w:lang w:eastAsia="en-GB"/>
              </w:rPr>
              <w:t>%</w:t>
            </w:r>
          </w:p>
        </w:tc>
        <w:tc>
          <w:tcPr>
            <w:tcW w:w="1017"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c>
          <w:tcPr>
            <w:tcW w:w="1610"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r>
      <w:tr w:rsidR="003411ED" w:rsidRPr="006A633D" w:rsidTr="00564872">
        <w:trPr>
          <w:trHeight w:val="20"/>
        </w:trPr>
        <w:tc>
          <w:tcPr>
            <w:tcW w:w="1441" w:type="pct"/>
            <w:tcBorders>
              <w:top w:val="single" w:sz="4" w:space="0" w:color="auto"/>
              <w:left w:val="single" w:sz="4" w:space="0" w:color="auto"/>
              <w:bottom w:val="single" w:sz="4" w:space="0" w:color="auto"/>
              <w:right w:val="single" w:sz="4" w:space="0" w:color="auto"/>
            </w:tcBorders>
            <w:vAlign w:val="center"/>
            <w:hideMark/>
          </w:tcPr>
          <w:p w:rsidR="003411ED" w:rsidRPr="006A633D" w:rsidRDefault="003411ED">
            <w:pPr>
              <w:snapToGrid w:val="0"/>
              <w:rPr>
                <w:rFonts w:ascii="Arial Narrow" w:hAnsi="Arial Narrow" w:cs="Times New Roman"/>
                <w:bCs/>
                <w:color w:val="222222"/>
                <w:sz w:val="20"/>
                <w:lang w:val="en-GB" w:eastAsia="en-GB"/>
              </w:rPr>
            </w:pPr>
            <w:r w:rsidRPr="006A633D">
              <w:rPr>
                <w:rFonts w:ascii="Arial Narrow" w:hAnsi="Arial Narrow" w:cs="Times New Roman"/>
                <w:bCs/>
                <w:color w:val="222222"/>
                <w:sz w:val="20"/>
                <w:lang w:eastAsia="en-GB"/>
              </w:rPr>
              <w:t>Hospitalisation</w:t>
            </w:r>
          </w:p>
        </w:tc>
        <w:tc>
          <w:tcPr>
            <w:tcW w:w="932"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color w:val="222222"/>
                <w:sz w:val="20"/>
                <w:lang w:val="en-GB" w:eastAsia="en-GB"/>
              </w:rPr>
            </w:pPr>
            <w:r>
              <w:rPr>
                <w:rFonts w:ascii="Arial Narrow" w:hAnsi="Arial Narrow" w:cs="Times New Roman"/>
                <w:noProof/>
                <w:color w:val="000000"/>
                <w:sz w:val="20"/>
                <w:highlight w:val="black"/>
                <w:lang w:eastAsia="en-GB"/>
              </w:rPr>
              <w:t>'''''''''''</w:t>
            </w:r>
            <w:r w:rsidR="003411ED" w:rsidRPr="00E200DF">
              <w:rPr>
                <w:rFonts w:ascii="Arial Narrow" w:hAnsi="Arial Narrow" w:cs="Times New Roman"/>
                <w:color w:val="222222"/>
                <w:sz w:val="20"/>
                <w:lang w:eastAsia="en-GB"/>
              </w:rPr>
              <w:t>%</w:t>
            </w:r>
          </w:p>
        </w:tc>
        <w:tc>
          <w:tcPr>
            <w:tcW w:w="1017"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c>
          <w:tcPr>
            <w:tcW w:w="1610" w:type="pct"/>
            <w:tcBorders>
              <w:top w:val="single" w:sz="4" w:space="0" w:color="auto"/>
              <w:left w:val="single" w:sz="4" w:space="0" w:color="auto"/>
              <w:bottom w:val="single" w:sz="4" w:space="0" w:color="auto"/>
              <w:right w:val="single" w:sz="4" w:space="0" w:color="auto"/>
            </w:tcBorders>
            <w:vAlign w:val="center"/>
            <w:hideMark/>
          </w:tcPr>
          <w:p w:rsidR="003411ED" w:rsidRPr="00E200DF" w:rsidRDefault="0024101C">
            <w:pPr>
              <w:snapToGrid w:val="0"/>
              <w:jc w:val="center"/>
              <w:rPr>
                <w:rFonts w:ascii="Arial Narrow" w:hAnsi="Arial Narrow" w:cs="Times New Roman"/>
                <w:iCs/>
                <w:color w:val="222222"/>
                <w:sz w:val="20"/>
                <w:lang w:val="en-GB" w:eastAsia="en-GB"/>
              </w:rPr>
            </w:pPr>
            <w:r>
              <w:rPr>
                <w:rFonts w:ascii="Arial Narrow" w:hAnsi="Arial Narrow" w:cs="Times New Roman"/>
                <w:iCs/>
                <w:noProof/>
                <w:color w:val="000000"/>
                <w:sz w:val="20"/>
                <w:highlight w:val="black"/>
                <w:lang w:eastAsia="en-GB"/>
              </w:rPr>
              <w:t>'''''''</w:t>
            </w:r>
            <w:r w:rsidR="003411ED" w:rsidRPr="00E200DF">
              <w:rPr>
                <w:rFonts w:ascii="Arial Narrow" w:hAnsi="Arial Narrow" w:cs="Times New Roman"/>
                <w:iCs/>
                <w:color w:val="222222"/>
                <w:sz w:val="20"/>
                <w:lang w:eastAsia="en-GB"/>
              </w:rPr>
              <w:t>%</w:t>
            </w:r>
          </w:p>
        </w:tc>
      </w:tr>
    </w:tbl>
    <w:p w:rsidR="003411ED" w:rsidRPr="006A633D" w:rsidRDefault="002153B3" w:rsidP="002305F1">
      <w:pPr>
        <w:pStyle w:val="ListParagraph"/>
        <w:widowControl/>
        <w:rPr>
          <w:rFonts w:ascii="Arial Narrow" w:hAnsi="Arial Narrow"/>
          <w:sz w:val="18"/>
          <w:szCs w:val="22"/>
        </w:rPr>
      </w:pPr>
      <w:r w:rsidRPr="006A633D">
        <w:rPr>
          <w:rFonts w:ascii="Arial Narrow" w:hAnsi="Arial Narrow"/>
          <w:sz w:val="18"/>
          <w:szCs w:val="22"/>
        </w:rPr>
        <w:t>Source:</w:t>
      </w:r>
      <w:r w:rsidR="00026AED" w:rsidRPr="006A633D">
        <w:rPr>
          <w:rFonts w:ascii="Arial Narrow" w:hAnsi="Arial Narrow"/>
          <w:sz w:val="18"/>
          <w:szCs w:val="22"/>
        </w:rPr>
        <w:t xml:space="preserve"> </w:t>
      </w:r>
      <w:r w:rsidR="008E0196" w:rsidRPr="006A633D">
        <w:rPr>
          <w:rFonts w:ascii="Arial Narrow" w:hAnsi="Arial Narrow"/>
          <w:sz w:val="18"/>
          <w:szCs w:val="22"/>
        </w:rPr>
        <w:t>Compiled by evaluators from Attachment D3, Table 6.01 of Study 588 CSR</w:t>
      </w:r>
    </w:p>
    <w:p w:rsidR="002153B3" w:rsidRPr="00EC09F6" w:rsidRDefault="002153B3" w:rsidP="002305F1">
      <w:pPr>
        <w:pStyle w:val="ListParagraph"/>
        <w:widowControl/>
        <w:rPr>
          <w:szCs w:val="22"/>
        </w:rPr>
      </w:pPr>
    </w:p>
    <w:p w:rsidR="00D110BD" w:rsidRPr="00EC09F6" w:rsidRDefault="00276C72" w:rsidP="00986DCF">
      <w:pPr>
        <w:pStyle w:val="ListParagraph"/>
        <w:widowControl/>
        <w:numPr>
          <w:ilvl w:val="1"/>
          <w:numId w:val="2"/>
        </w:numPr>
        <w:rPr>
          <w:szCs w:val="22"/>
        </w:rPr>
      </w:pPr>
      <w:r w:rsidRPr="00EC09F6">
        <w:rPr>
          <w:szCs w:val="22"/>
        </w:rPr>
        <w:t xml:space="preserve">The </w:t>
      </w:r>
      <w:r w:rsidR="00202EE3" w:rsidRPr="00EC09F6">
        <w:rPr>
          <w:szCs w:val="22"/>
        </w:rPr>
        <w:t>results of the economic model are presented in the table below</w:t>
      </w:r>
      <w:r w:rsidRPr="00EC09F6">
        <w:rPr>
          <w:szCs w:val="22"/>
        </w:rPr>
        <w:t>.</w:t>
      </w:r>
    </w:p>
    <w:p w:rsidR="00276C72" w:rsidRPr="00EC09F6" w:rsidRDefault="00276C72" w:rsidP="00276C72">
      <w:pPr>
        <w:pStyle w:val="ListParagraph"/>
        <w:widowControl/>
        <w:rPr>
          <w:szCs w:val="22"/>
        </w:rPr>
      </w:pPr>
    </w:p>
    <w:p w:rsidR="004451AB" w:rsidRPr="00EC09F6" w:rsidRDefault="00D110BD" w:rsidP="00104078">
      <w:pPr>
        <w:keepNext/>
        <w:ind w:firstLine="720"/>
        <w:rPr>
          <w:rStyle w:val="CommentReference"/>
        </w:rPr>
      </w:pPr>
      <w:r w:rsidRPr="00EC09F6">
        <w:rPr>
          <w:rStyle w:val="CommentReference"/>
        </w:rPr>
        <w:t xml:space="preserve">Table </w:t>
      </w:r>
      <w:r w:rsidR="002305F1" w:rsidRPr="00EC09F6">
        <w:rPr>
          <w:rStyle w:val="CommentReference"/>
        </w:rPr>
        <w:t>1</w:t>
      </w:r>
      <w:r w:rsidR="00492332">
        <w:rPr>
          <w:rStyle w:val="CommentReference"/>
        </w:rPr>
        <w:t>4</w:t>
      </w:r>
      <w:r w:rsidR="004451AB" w:rsidRPr="00EC09F6">
        <w:rPr>
          <w:rStyle w:val="CommentReference"/>
        </w:rPr>
        <w:t xml:space="preserve">: Results of the economic evaluation – </w:t>
      </w:r>
      <w:r w:rsidR="001B119B" w:rsidRPr="00EC09F6">
        <w:rPr>
          <w:rStyle w:val="CommentReference"/>
        </w:rPr>
        <w:t>per patient</w:t>
      </w:r>
    </w:p>
    <w:tbl>
      <w:tblPr>
        <w:tblW w:w="4594" w:type="pct"/>
        <w:tblInd w:w="737" w:type="dxa"/>
        <w:tblCellMar>
          <w:left w:w="0" w:type="dxa"/>
          <w:right w:w="0" w:type="dxa"/>
        </w:tblCellMar>
        <w:tblLook w:val="04A0" w:firstRow="1" w:lastRow="0" w:firstColumn="1" w:lastColumn="0" w:noHBand="0" w:noVBand="1"/>
      </w:tblPr>
      <w:tblGrid>
        <w:gridCol w:w="3546"/>
        <w:gridCol w:w="1601"/>
        <w:gridCol w:w="1601"/>
        <w:gridCol w:w="1597"/>
      </w:tblGrid>
      <w:tr w:rsidR="00EC09F6" w:rsidRPr="00EC09F6" w:rsidTr="004451AB">
        <w:trPr>
          <w:trHeight w:val="99"/>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rPr>
                <w:rStyle w:val="TableText1"/>
                <w:b/>
                <w:sz w:val="20"/>
                <w:szCs w:val="20"/>
              </w:rPr>
            </w:pPr>
            <w:r w:rsidRPr="00EC09F6">
              <w:rPr>
                <w:rStyle w:val="TableText1"/>
                <w:b/>
                <w:sz w:val="20"/>
                <w:szCs w:val="20"/>
              </w:rPr>
              <w:t> </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jc w:val="center"/>
              <w:rPr>
                <w:rStyle w:val="TableText1"/>
                <w:b/>
                <w:sz w:val="20"/>
                <w:szCs w:val="20"/>
              </w:rPr>
            </w:pPr>
            <w:r w:rsidRPr="00EC09F6">
              <w:rPr>
                <w:rStyle w:val="TableText1"/>
                <w:b/>
                <w:sz w:val="20"/>
                <w:szCs w:val="20"/>
              </w:rPr>
              <w:t>Mepolizumab</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jc w:val="center"/>
              <w:rPr>
                <w:rStyle w:val="TableText1"/>
                <w:b/>
                <w:sz w:val="20"/>
                <w:szCs w:val="20"/>
              </w:rPr>
            </w:pPr>
            <w:r w:rsidRPr="00EC09F6">
              <w:rPr>
                <w:rStyle w:val="TableText1"/>
                <w:b/>
                <w:sz w:val="20"/>
                <w:szCs w:val="20"/>
              </w:rPr>
              <w:t>Standard of care</w:t>
            </w:r>
          </w:p>
        </w:tc>
        <w:tc>
          <w:tcPr>
            <w:tcW w:w="95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jc w:val="center"/>
              <w:rPr>
                <w:rStyle w:val="TableText1"/>
                <w:b/>
                <w:sz w:val="20"/>
                <w:szCs w:val="20"/>
              </w:rPr>
            </w:pPr>
            <w:r w:rsidRPr="00EC09F6">
              <w:rPr>
                <w:rStyle w:val="TableText1"/>
                <w:b/>
                <w:sz w:val="20"/>
                <w:szCs w:val="20"/>
              </w:rPr>
              <w:t>Increment</w:t>
            </w:r>
          </w:p>
        </w:tc>
      </w:tr>
      <w:tr w:rsidR="00EC09F6" w:rsidRPr="00EC09F6" w:rsidTr="004451AB">
        <w:trPr>
          <w:trHeight w:val="50"/>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4451AB" w:rsidRPr="00EC09F6" w:rsidRDefault="004451AB" w:rsidP="00104078">
            <w:pPr>
              <w:keepNext/>
              <w:jc w:val="left"/>
              <w:rPr>
                <w:rStyle w:val="TableText1"/>
                <w:sz w:val="20"/>
              </w:rPr>
            </w:pPr>
            <w:r w:rsidRPr="00EC09F6">
              <w:rPr>
                <w:rStyle w:val="TableText1"/>
                <w:sz w:val="20"/>
              </w:rPr>
              <w:t>Total costs</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4451AB" w:rsidRPr="00EC09F6" w:rsidRDefault="00CF3523" w:rsidP="00CF3523">
            <w:pPr>
              <w:pStyle w:val="TableNotes"/>
              <w:keepNext/>
              <w:spacing w:after="0" w:line="240" w:lineRule="auto"/>
              <w:jc w:val="right"/>
              <w:rPr>
                <w:rStyle w:val="TableText1"/>
                <w:sz w:val="20"/>
                <w:szCs w:val="20"/>
              </w:rPr>
            </w:pPr>
            <w:r w:rsidRPr="00EC09F6">
              <w:rPr>
                <w:rStyle w:val="TableText1"/>
                <w:sz w:val="20"/>
                <w:szCs w:val="20"/>
              </w:rPr>
              <w:t>$</w:t>
            </w:r>
            <w:r w:rsidR="0024101C">
              <w:rPr>
                <w:rStyle w:val="TableText1"/>
                <w:noProof/>
                <w:color w:val="000000"/>
                <w:sz w:val="20"/>
                <w:szCs w:val="20"/>
                <w:highlight w:val="black"/>
              </w:rPr>
              <w:t>''''''''''''''''</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4451AB" w:rsidRPr="00EC09F6" w:rsidRDefault="00CF3523" w:rsidP="00CF3523">
            <w:pPr>
              <w:pStyle w:val="TableNotes"/>
              <w:keepNext/>
              <w:spacing w:after="0" w:line="240" w:lineRule="auto"/>
              <w:jc w:val="right"/>
              <w:rPr>
                <w:rStyle w:val="TableText1"/>
                <w:sz w:val="20"/>
                <w:szCs w:val="20"/>
              </w:rPr>
            </w:pPr>
            <w:r w:rsidRPr="00EC09F6">
              <w:rPr>
                <w:rStyle w:val="TableText1"/>
                <w:sz w:val="20"/>
                <w:szCs w:val="20"/>
              </w:rPr>
              <w:t>$62,27</w:t>
            </w:r>
            <w:r w:rsidR="004451AB" w:rsidRPr="00EC09F6">
              <w:rPr>
                <w:rStyle w:val="TableText1"/>
                <w:sz w:val="20"/>
                <w:szCs w:val="20"/>
              </w:rPr>
              <w:t>0</w:t>
            </w:r>
          </w:p>
        </w:tc>
        <w:tc>
          <w:tcPr>
            <w:tcW w:w="95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4451AB" w:rsidRPr="00EC09F6" w:rsidRDefault="00CF3523" w:rsidP="00CF3523">
            <w:pPr>
              <w:pStyle w:val="TableNotes"/>
              <w:keepNext/>
              <w:spacing w:after="0" w:line="240" w:lineRule="auto"/>
              <w:jc w:val="right"/>
              <w:rPr>
                <w:rStyle w:val="TableText1"/>
                <w:sz w:val="20"/>
                <w:szCs w:val="20"/>
              </w:rPr>
            </w:pPr>
            <w:r w:rsidRPr="00EC09F6">
              <w:rPr>
                <w:rStyle w:val="TableText1"/>
                <w:sz w:val="20"/>
                <w:szCs w:val="20"/>
              </w:rPr>
              <w:t>$</w:t>
            </w:r>
            <w:r w:rsidR="0024101C">
              <w:rPr>
                <w:rStyle w:val="TableText1"/>
                <w:noProof/>
                <w:color w:val="000000"/>
                <w:sz w:val="20"/>
                <w:szCs w:val="20"/>
                <w:highlight w:val="black"/>
              </w:rPr>
              <w:t>'''''''''''''''''</w:t>
            </w:r>
          </w:p>
        </w:tc>
      </w:tr>
      <w:tr w:rsidR="00EC09F6" w:rsidRPr="00EC09F6" w:rsidTr="004451AB">
        <w:trPr>
          <w:trHeight w:val="50"/>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rPr>
                <w:rStyle w:val="TableText1"/>
                <w:sz w:val="20"/>
                <w:szCs w:val="20"/>
              </w:rPr>
            </w:pPr>
            <w:r w:rsidRPr="00EC09F6">
              <w:rPr>
                <w:rStyle w:val="TableText1"/>
                <w:sz w:val="20"/>
                <w:szCs w:val="20"/>
              </w:rPr>
              <w:t>Total LYG</w:t>
            </w:r>
            <w:r w:rsidR="00CF3523" w:rsidRPr="00EC09F6">
              <w:rPr>
                <w:rStyle w:val="TableText1"/>
                <w:sz w:val="20"/>
                <w:szCs w:val="20"/>
              </w:rPr>
              <w:t>: undiscounted</w:t>
            </w:r>
          </w:p>
          <w:p w:rsidR="00CF3523" w:rsidRPr="00EC09F6" w:rsidRDefault="00CF3523" w:rsidP="001B119B">
            <w:pPr>
              <w:pStyle w:val="TableNotes"/>
              <w:keepNext/>
              <w:spacing w:after="0" w:line="240" w:lineRule="auto"/>
              <w:ind w:left="-28" w:firstLine="851"/>
              <w:rPr>
                <w:rStyle w:val="TableText1"/>
                <w:sz w:val="20"/>
                <w:szCs w:val="20"/>
              </w:rPr>
            </w:pPr>
            <w:r w:rsidRPr="00EC09F6">
              <w:rPr>
                <w:rStyle w:val="TableText1"/>
                <w:sz w:val="20"/>
                <w:szCs w:val="20"/>
              </w:rPr>
              <w:t>discounted</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F3523" w:rsidRPr="00EC09F6" w:rsidRDefault="00CF3523" w:rsidP="00104078">
            <w:pPr>
              <w:keepNext/>
              <w:jc w:val="center"/>
              <w:rPr>
                <w:rFonts w:ascii="Arial Narrow" w:hAnsi="Arial Narrow" w:cs="Calibri"/>
                <w:sz w:val="20"/>
              </w:rPr>
            </w:pPr>
            <w:r w:rsidRPr="00EC09F6">
              <w:rPr>
                <w:rFonts w:ascii="Arial Narrow" w:hAnsi="Arial Narrow" w:cs="Calibri"/>
                <w:sz w:val="20"/>
              </w:rPr>
              <w:t>30.39</w:t>
            </w:r>
          </w:p>
          <w:p w:rsidR="004451AB" w:rsidRPr="00EC09F6" w:rsidRDefault="004451AB" w:rsidP="00104078">
            <w:pPr>
              <w:keepNext/>
              <w:jc w:val="center"/>
              <w:rPr>
                <w:rFonts w:ascii="Arial Narrow" w:hAnsi="Arial Narrow" w:cs="Calibri"/>
                <w:sz w:val="20"/>
              </w:rPr>
            </w:pPr>
            <w:r w:rsidRPr="00EC09F6">
              <w:rPr>
                <w:rFonts w:ascii="Arial Narrow" w:hAnsi="Arial Narrow" w:cs="Calibri"/>
                <w:sz w:val="20"/>
              </w:rPr>
              <w:t>14</w:t>
            </w:r>
            <w:r w:rsidR="00CF3523" w:rsidRPr="00EC09F6">
              <w:rPr>
                <w:rFonts w:ascii="Arial Narrow" w:hAnsi="Arial Narrow" w:cs="Calibri"/>
                <w:sz w:val="20"/>
              </w:rPr>
              <w:t>.</w:t>
            </w:r>
            <w:r w:rsidRPr="00EC09F6">
              <w:rPr>
                <w:rFonts w:ascii="Arial Narrow" w:hAnsi="Arial Narrow" w:cs="Calibri"/>
                <w:sz w:val="20"/>
              </w:rPr>
              <w:t>86</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F3523" w:rsidRPr="00EC09F6" w:rsidRDefault="00CF3523" w:rsidP="00104078">
            <w:pPr>
              <w:keepNext/>
              <w:jc w:val="center"/>
              <w:rPr>
                <w:rFonts w:ascii="Arial Narrow" w:hAnsi="Arial Narrow" w:cs="Calibri"/>
                <w:sz w:val="20"/>
              </w:rPr>
            </w:pPr>
            <w:r w:rsidRPr="00EC09F6">
              <w:rPr>
                <w:rFonts w:ascii="Arial Narrow" w:hAnsi="Arial Narrow" w:cs="Calibri"/>
                <w:sz w:val="20"/>
              </w:rPr>
              <w:t>29.87</w:t>
            </w:r>
          </w:p>
          <w:p w:rsidR="004451AB" w:rsidRPr="00EC09F6" w:rsidRDefault="004451AB" w:rsidP="00104078">
            <w:pPr>
              <w:keepNext/>
              <w:jc w:val="center"/>
              <w:rPr>
                <w:rFonts w:ascii="Arial Narrow" w:hAnsi="Arial Narrow" w:cs="Calibri"/>
                <w:sz w:val="20"/>
              </w:rPr>
            </w:pPr>
            <w:r w:rsidRPr="00EC09F6">
              <w:rPr>
                <w:rFonts w:ascii="Arial Narrow" w:hAnsi="Arial Narrow" w:cs="Calibri"/>
                <w:sz w:val="20"/>
              </w:rPr>
              <w:t>14</w:t>
            </w:r>
            <w:r w:rsidR="00CF3523" w:rsidRPr="00EC09F6">
              <w:rPr>
                <w:rFonts w:ascii="Arial Narrow" w:hAnsi="Arial Narrow" w:cs="Calibri"/>
                <w:sz w:val="20"/>
              </w:rPr>
              <w:t>.</w:t>
            </w:r>
            <w:r w:rsidRPr="00EC09F6">
              <w:rPr>
                <w:rFonts w:ascii="Arial Narrow" w:hAnsi="Arial Narrow" w:cs="Calibri"/>
                <w:sz w:val="20"/>
              </w:rPr>
              <w:t>63</w:t>
            </w:r>
          </w:p>
        </w:tc>
        <w:tc>
          <w:tcPr>
            <w:tcW w:w="95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F3523" w:rsidRPr="00EC09F6" w:rsidRDefault="00CF3523" w:rsidP="00104078">
            <w:pPr>
              <w:keepNext/>
              <w:jc w:val="center"/>
              <w:rPr>
                <w:rFonts w:ascii="Arial Narrow" w:hAnsi="Arial Narrow" w:cs="Calibri"/>
                <w:sz w:val="20"/>
              </w:rPr>
            </w:pPr>
            <w:r w:rsidRPr="00EC09F6">
              <w:rPr>
                <w:rFonts w:ascii="Arial Narrow" w:hAnsi="Arial Narrow" w:cs="Calibri"/>
                <w:sz w:val="20"/>
              </w:rPr>
              <w:t>0.52</w:t>
            </w:r>
          </w:p>
          <w:p w:rsidR="004451AB" w:rsidRPr="00EC09F6" w:rsidRDefault="00CF3523" w:rsidP="00104078">
            <w:pPr>
              <w:keepNext/>
              <w:jc w:val="center"/>
              <w:rPr>
                <w:rFonts w:ascii="Arial Narrow" w:hAnsi="Arial Narrow" w:cs="Calibri"/>
                <w:sz w:val="20"/>
              </w:rPr>
            </w:pPr>
            <w:r w:rsidRPr="00EC09F6">
              <w:rPr>
                <w:rFonts w:ascii="Arial Narrow" w:hAnsi="Arial Narrow" w:cs="Calibri"/>
                <w:sz w:val="20"/>
              </w:rPr>
              <w:t>0.</w:t>
            </w:r>
            <w:r w:rsidR="004451AB" w:rsidRPr="00EC09F6">
              <w:rPr>
                <w:rFonts w:ascii="Arial Narrow" w:hAnsi="Arial Narrow" w:cs="Calibri"/>
                <w:sz w:val="20"/>
              </w:rPr>
              <w:t>23</w:t>
            </w:r>
          </w:p>
        </w:tc>
      </w:tr>
      <w:tr w:rsidR="00EC09F6" w:rsidRPr="00EC09F6" w:rsidTr="004451AB">
        <w:trPr>
          <w:trHeight w:val="50"/>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rPr>
                <w:rStyle w:val="TableText1"/>
                <w:sz w:val="20"/>
                <w:szCs w:val="20"/>
              </w:rPr>
            </w:pPr>
            <w:r w:rsidRPr="00EC09F6">
              <w:rPr>
                <w:rStyle w:val="TableText1"/>
                <w:sz w:val="20"/>
                <w:szCs w:val="20"/>
              </w:rPr>
              <w:t>Total QALYs</w:t>
            </w:r>
            <w:r w:rsidR="001B119B" w:rsidRPr="00EC09F6">
              <w:rPr>
                <w:rStyle w:val="TableText1"/>
                <w:sz w:val="20"/>
                <w:szCs w:val="20"/>
              </w:rPr>
              <w:t>: discounted</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CF3523">
            <w:pPr>
              <w:keepNext/>
              <w:jc w:val="center"/>
              <w:rPr>
                <w:rFonts w:ascii="Arial Narrow" w:hAnsi="Arial Narrow" w:cs="Calibri"/>
                <w:sz w:val="20"/>
              </w:rPr>
            </w:pPr>
            <w:r w:rsidRPr="00EC09F6">
              <w:rPr>
                <w:rFonts w:ascii="Arial Narrow" w:hAnsi="Arial Narrow" w:cs="Calibri"/>
                <w:sz w:val="20"/>
              </w:rPr>
              <w:t>10</w:t>
            </w:r>
            <w:r w:rsidR="00CF3523" w:rsidRPr="00EC09F6">
              <w:rPr>
                <w:rFonts w:ascii="Arial Narrow" w:hAnsi="Arial Narrow" w:cs="Calibri"/>
                <w:sz w:val="20"/>
              </w:rPr>
              <w:t>.</w:t>
            </w:r>
            <w:r w:rsidRPr="00EC09F6">
              <w:rPr>
                <w:rFonts w:ascii="Arial Narrow" w:hAnsi="Arial Narrow" w:cs="Calibri"/>
                <w:sz w:val="20"/>
              </w:rPr>
              <w:t>87</w:t>
            </w:r>
          </w:p>
        </w:tc>
        <w:tc>
          <w:tcPr>
            <w:tcW w:w="95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CF3523">
            <w:pPr>
              <w:keepNext/>
              <w:jc w:val="center"/>
              <w:rPr>
                <w:rFonts w:ascii="Arial Narrow" w:hAnsi="Arial Narrow" w:cs="Calibri"/>
                <w:sz w:val="20"/>
              </w:rPr>
            </w:pPr>
            <w:r w:rsidRPr="00EC09F6">
              <w:rPr>
                <w:rFonts w:ascii="Arial Narrow" w:hAnsi="Arial Narrow" w:cs="Calibri"/>
                <w:sz w:val="20"/>
              </w:rPr>
              <w:t>10</w:t>
            </w:r>
            <w:r w:rsidR="00CF3523" w:rsidRPr="00EC09F6">
              <w:rPr>
                <w:rFonts w:ascii="Arial Narrow" w:hAnsi="Arial Narrow" w:cs="Calibri"/>
                <w:sz w:val="20"/>
              </w:rPr>
              <w:t>.</w:t>
            </w:r>
            <w:r w:rsidRPr="00EC09F6">
              <w:rPr>
                <w:rFonts w:ascii="Arial Narrow" w:hAnsi="Arial Narrow" w:cs="Calibri"/>
                <w:sz w:val="20"/>
              </w:rPr>
              <w:t>34</w:t>
            </w:r>
          </w:p>
        </w:tc>
        <w:tc>
          <w:tcPr>
            <w:tcW w:w="95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CF3523" w:rsidP="00104078">
            <w:pPr>
              <w:keepNext/>
              <w:jc w:val="center"/>
              <w:rPr>
                <w:rFonts w:ascii="Arial Narrow" w:hAnsi="Arial Narrow" w:cs="Calibri"/>
                <w:sz w:val="20"/>
              </w:rPr>
            </w:pPr>
            <w:r w:rsidRPr="00EC09F6">
              <w:rPr>
                <w:rFonts w:ascii="Arial Narrow" w:hAnsi="Arial Narrow" w:cs="Calibri"/>
                <w:sz w:val="20"/>
              </w:rPr>
              <w:t>0.</w:t>
            </w:r>
            <w:r w:rsidR="004451AB" w:rsidRPr="00EC09F6">
              <w:rPr>
                <w:rFonts w:ascii="Arial Narrow" w:hAnsi="Arial Narrow" w:cs="Calibri"/>
                <w:sz w:val="20"/>
              </w:rPr>
              <w:t>53</w:t>
            </w:r>
          </w:p>
        </w:tc>
      </w:tr>
      <w:tr w:rsidR="00EC09F6" w:rsidRPr="00EC09F6" w:rsidTr="004451AB">
        <w:trPr>
          <w:trHeight w:val="50"/>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rPr>
                <w:rStyle w:val="TableText1"/>
                <w:sz w:val="20"/>
                <w:szCs w:val="20"/>
              </w:rPr>
            </w:pPr>
            <w:r w:rsidRPr="00EC09F6">
              <w:rPr>
                <w:rStyle w:val="TableText1"/>
                <w:sz w:val="20"/>
                <w:szCs w:val="20"/>
              </w:rPr>
              <w:t>Incremental cost per LY</w:t>
            </w:r>
            <w:r w:rsidR="00CF3523" w:rsidRPr="00EC09F6">
              <w:rPr>
                <w:rStyle w:val="TableText1"/>
                <w:sz w:val="20"/>
                <w:szCs w:val="20"/>
              </w:rPr>
              <w:t>G: undiscounted</w:t>
            </w:r>
          </w:p>
          <w:p w:rsidR="00CF3523" w:rsidRPr="00EC09F6" w:rsidRDefault="00CF3523" w:rsidP="001B119B">
            <w:pPr>
              <w:pStyle w:val="TableNotes"/>
              <w:keepNext/>
              <w:spacing w:after="0" w:line="240" w:lineRule="auto"/>
              <w:ind w:firstLine="1957"/>
              <w:rPr>
                <w:rStyle w:val="TableText1"/>
                <w:sz w:val="20"/>
                <w:szCs w:val="20"/>
              </w:rPr>
            </w:pPr>
            <w:r w:rsidRPr="00EC09F6">
              <w:rPr>
                <w:rStyle w:val="TableText1"/>
                <w:sz w:val="20"/>
                <w:szCs w:val="20"/>
              </w:rPr>
              <w:t>discounted</w:t>
            </w:r>
          </w:p>
        </w:tc>
        <w:tc>
          <w:tcPr>
            <w:tcW w:w="2875"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1B119B" w:rsidRPr="00EC09F6" w:rsidRDefault="001B119B" w:rsidP="00104078">
            <w:pPr>
              <w:keepNext/>
              <w:jc w:val="right"/>
              <w:rPr>
                <w:rFonts w:ascii="Arial Narrow" w:hAnsi="Arial Narrow" w:cs="Calibri"/>
                <w:sz w:val="20"/>
              </w:rPr>
            </w:pPr>
            <w:r w:rsidRPr="00EC09F6">
              <w:rPr>
                <w:rFonts w:ascii="Arial Narrow" w:hAnsi="Arial Narrow" w:cs="Calibri"/>
                <w:sz w:val="20"/>
              </w:rPr>
              <w:t>$</w:t>
            </w:r>
            <w:r w:rsidR="0024101C">
              <w:rPr>
                <w:rFonts w:ascii="Arial Narrow" w:hAnsi="Arial Narrow" w:cs="Calibri"/>
                <w:noProof/>
                <w:color w:val="000000"/>
                <w:sz w:val="20"/>
                <w:highlight w:val="black"/>
              </w:rPr>
              <w:t>'''''''''''''''</w:t>
            </w:r>
          </w:p>
          <w:p w:rsidR="004451AB" w:rsidRPr="00EC09F6" w:rsidRDefault="004451AB" w:rsidP="00104078">
            <w:pPr>
              <w:keepNext/>
              <w:jc w:val="right"/>
              <w:rPr>
                <w:rFonts w:ascii="Arial Narrow" w:hAnsi="Arial Narrow" w:cs="Calibri"/>
                <w:sz w:val="20"/>
              </w:rPr>
            </w:pPr>
            <w:r w:rsidRPr="00EC09F6">
              <w:rPr>
                <w:rFonts w:ascii="Arial Narrow" w:hAnsi="Arial Narrow" w:cs="Calibri"/>
                <w:sz w:val="20"/>
              </w:rPr>
              <w:t>$</w:t>
            </w:r>
            <w:r w:rsidR="0024101C">
              <w:rPr>
                <w:rFonts w:ascii="Arial Narrow" w:hAnsi="Arial Narrow" w:cs="Calibri"/>
                <w:noProof/>
                <w:color w:val="000000"/>
                <w:sz w:val="20"/>
                <w:highlight w:val="black"/>
              </w:rPr>
              <w:t>''''''''''''''''''''</w:t>
            </w:r>
          </w:p>
        </w:tc>
      </w:tr>
      <w:tr w:rsidR="00EC09F6" w:rsidRPr="00EC09F6" w:rsidTr="004451AB">
        <w:trPr>
          <w:trHeight w:val="100"/>
        </w:trPr>
        <w:tc>
          <w:tcPr>
            <w:tcW w:w="21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rPr>
                <w:rStyle w:val="TableText1"/>
                <w:b/>
                <w:sz w:val="20"/>
                <w:szCs w:val="20"/>
              </w:rPr>
            </w:pPr>
            <w:r w:rsidRPr="00EC09F6">
              <w:rPr>
                <w:rStyle w:val="TableText1"/>
                <w:b/>
                <w:sz w:val="20"/>
                <w:szCs w:val="20"/>
              </w:rPr>
              <w:t>Incremental cost per QALY</w:t>
            </w:r>
            <w:r w:rsidR="001B119B" w:rsidRPr="00EC09F6">
              <w:rPr>
                <w:rStyle w:val="TableText1"/>
                <w:b/>
                <w:sz w:val="20"/>
                <w:szCs w:val="20"/>
              </w:rPr>
              <w:t>: discounted</w:t>
            </w:r>
          </w:p>
        </w:tc>
        <w:tc>
          <w:tcPr>
            <w:tcW w:w="2875"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451AB" w:rsidRPr="00EC09F6" w:rsidRDefault="004451AB" w:rsidP="00104078">
            <w:pPr>
              <w:pStyle w:val="TableNotes"/>
              <w:keepNext/>
              <w:spacing w:after="0" w:line="240" w:lineRule="auto"/>
              <w:jc w:val="right"/>
              <w:rPr>
                <w:rStyle w:val="TableText1"/>
                <w:b/>
                <w:sz w:val="20"/>
                <w:szCs w:val="20"/>
              </w:rPr>
            </w:pPr>
            <w:r w:rsidRPr="00EC09F6">
              <w:rPr>
                <w:rStyle w:val="TableText1"/>
                <w:b/>
                <w:sz w:val="20"/>
                <w:szCs w:val="20"/>
              </w:rPr>
              <w:t>$</w:t>
            </w:r>
            <w:r w:rsidR="0024101C">
              <w:rPr>
                <w:rStyle w:val="TableText1"/>
                <w:b/>
                <w:noProof/>
                <w:color w:val="000000"/>
                <w:sz w:val="20"/>
                <w:szCs w:val="20"/>
                <w:highlight w:val="black"/>
              </w:rPr>
              <w:t>''''''''''''</w:t>
            </w:r>
          </w:p>
        </w:tc>
      </w:tr>
    </w:tbl>
    <w:p w:rsidR="004451AB" w:rsidRPr="00EC09F6" w:rsidRDefault="004451AB" w:rsidP="004451AB">
      <w:pPr>
        <w:pStyle w:val="TableFooter"/>
        <w:ind w:firstLine="720"/>
      </w:pPr>
      <w:r w:rsidRPr="00EC09F6">
        <w:t>Source: Table 153, p344 of the submission</w:t>
      </w:r>
    </w:p>
    <w:p w:rsidR="004451AB" w:rsidRPr="00EC09F6" w:rsidRDefault="004451AB" w:rsidP="004451AB">
      <w:pPr>
        <w:pStyle w:val="TableFooter"/>
        <w:ind w:firstLine="720"/>
      </w:pPr>
      <w:r w:rsidRPr="00EC09F6">
        <w:t>LYG = life year</w:t>
      </w:r>
      <w:r w:rsidR="00FF37DC" w:rsidRPr="00EC09F6">
        <w:t xml:space="preserve"> gained</w:t>
      </w:r>
      <w:r w:rsidRPr="00EC09F6">
        <w:t>; QALY = quality-adjusted life year</w:t>
      </w:r>
    </w:p>
    <w:p w:rsidR="00D110BD" w:rsidRPr="00EC09F6" w:rsidRDefault="00D110BD" w:rsidP="00D110BD">
      <w:pPr>
        <w:widowControl/>
        <w:rPr>
          <w:szCs w:val="22"/>
        </w:rPr>
      </w:pPr>
    </w:p>
    <w:p w:rsidR="00FC09B9" w:rsidRPr="00E759E5" w:rsidRDefault="00202EE3" w:rsidP="00986DCF">
      <w:pPr>
        <w:pStyle w:val="ListParagraph"/>
        <w:widowControl/>
        <w:numPr>
          <w:ilvl w:val="1"/>
          <w:numId w:val="2"/>
        </w:numPr>
        <w:rPr>
          <w:szCs w:val="22"/>
        </w:rPr>
      </w:pPr>
      <w:r w:rsidRPr="00E759E5">
        <w:rPr>
          <w:szCs w:val="22"/>
        </w:rPr>
        <w:t xml:space="preserve">The economic model estimated an incremental cost-effectiveness ratio (ICER) of </w:t>
      </w:r>
      <w:r w:rsidR="0029121B">
        <w:rPr>
          <w:szCs w:val="22"/>
        </w:rPr>
        <w:t xml:space="preserve">$45,000 - $75,000 </w:t>
      </w:r>
      <w:r w:rsidRPr="00E759E5">
        <w:rPr>
          <w:szCs w:val="22"/>
        </w:rPr>
        <w:t xml:space="preserve">per quality-adjusted life year (QALY) gained. </w:t>
      </w:r>
      <w:r w:rsidR="00FC09B9" w:rsidRPr="00E759E5">
        <w:t xml:space="preserve">The estimated ICER </w:t>
      </w:r>
      <w:r w:rsidRPr="00E759E5">
        <w:t xml:space="preserve">could </w:t>
      </w:r>
      <w:r w:rsidR="00FC09B9" w:rsidRPr="00E759E5">
        <w:t>be unreliable due to:</w:t>
      </w:r>
    </w:p>
    <w:p w:rsidR="00FC09B9" w:rsidRPr="00E759E5" w:rsidRDefault="00FC09B9" w:rsidP="00986DCF">
      <w:pPr>
        <w:pStyle w:val="ListParagraph"/>
        <w:numPr>
          <w:ilvl w:val="0"/>
          <w:numId w:val="7"/>
        </w:numPr>
      </w:pPr>
      <w:r w:rsidRPr="00E759E5">
        <w:t>extrapolation of exacerbation rates from Week 16 to 32 of Study 588 to the life</w:t>
      </w:r>
      <w:r w:rsidR="001737A2" w:rsidRPr="00E759E5">
        <w:t xml:space="preserve"> duration</w:t>
      </w:r>
      <w:r w:rsidRPr="00E759E5">
        <w:t xml:space="preserve"> of the model</w:t>
      </w:r>
      <w:r w:rsidR="00CF3523" w:rsidRPr="00E759E5">
        <w:t xml:space="preserve"> </w:t>
      </w:r>
      <w:r w:rsidR="00096D3C" w:rsidRPr="00E759E5">
        <w:t>might have been unreliable</w:t>
      </w:r>
      <w:r w:rsidRPr="00E759E5">
        <w:t xml:space="preserve">; and </w:t>
      </w:r>
    </w:p>
    <w:p w:rsidR="00FC09B9" w:rsidRPr="00E759E5" w:rsidRDefault="00FC09B9" w:rsidP="00986DCF">
      <w:pPr>
        <w:pStyle w:val="ListParagraph"/>
        <w:numPr>
          <w:ilvl w:val="0"/>
          <w:numId w:val="7"/>
        </w:numPr>
      </w:pPr>
      <w:r w:rsidRPr="00E759E5">
        <w:t xml:space="preserve">the use of </w:t>
      </w:r>
      <w:r w:rsidR="001737A2" w:rsidRPr="00E759E5">
        <w:t xml:space="preserve">a modelled algorithm to convert </w:t>
      </w:r>
      <w:r w:rsidRPr="00E759E5">
        <w:t xml:space="preserve">SGRQ scores to </w:t>
      </w:r>
      <w:r w:rsidR="001737A2" w:rsidRPr="00E759E5">
        <w:t>EQ-5D-3L</w:t>
      </w:r>
      <w:r w:rsidRPr="00E759E5">
        <w:t xml:space="preserve"> utility values.</w:t>
      </w:r>
    </w:p>
    <w:p w:rsidR="00FC09B9" w:rsidRPr="00E759E5" w:rsidRDefault="00FC09B9" w:rsidP="00FC09B9"/>
    <w:p w:rsidR="00F46C5E" w:rsidRPr="00E759E5" w:rsidRDefault="00F46C5E" w:rsidP="00986DCF">
      <w:pPr>
        <w:pStyle w:val="ListParagraph"/>
        <w:widowControl/>
        <w:numPr>
          <w:ilvl w:val="1"/>
          <w:numId w:val="2"/>
        </w:numPr>
        <w:snapToGrid w:val="0"/>
      </w:pPr>
      <w:r w:rsidRPr="00E759E5">
        <w:t xml:space="preserve">The </w:t>
      </w:r>
      <w:r w:rsidR="008F486F" w:rsidRPr="00E759E5">
        <w:t>‘</w:t>
      </w:r>
      <w:r w:rsidRPr="00E759E5">
        <w:t>no continuation criteria</w:t>
      </w:r>
      <w:r w:rsidR="008F486F" w:rsidRPr="00E759E5">
        <w:t>’</w:t>
      </w:r>
      <w:r w:rsidRPr="00E759E5">
        <w:t xml:space="preserve"> sensitivity analysis is not a true analysis of no continuation criteria because</w:t>
      </w:r>
      <w:r w:rsidR="00026AED" w:rsidRPr="00E759E5">
        <w:t xml:space="preserve"> for this sensitivity analysis it is</w:t>
      </w:r>
      <w:r w:rsidRPr="00E759E5">
        <w:t xml:space="preserve"> </w:t>
      </w:r>
      <w:r w:rsidR="00026AED" w:rsidRPr="00E759E5">
        <w:t>assumed</w:t>
      </w:r>
      <w:r w:rsidR="008F486F" w:rsidRPr="00E759E5">
        <w:t xml:space="preserve"> that</w:t>
      </w:r>
      <w:r w:rsidRPr="00E759E5">
        <w:t xml:space="preserve"> all patients meet the</w:t>
      </w:r>
      <w:r w:rsidR="008F486F" w:rsidRPr="00E759E5">
        <w:t xml:space="preserve"> requirement for a</w:t>
      </w:r>
      <w:r w:rsidRPr="00E759E5">
        <w:t xml:space="preserve"> 0.5 </w:t>
      </w:r>
      <w:r w:rsidR="008F486F" w:rsidRPr="00E759E5">
        <w:t xml:space="preserve">reduction in ACQ-5 score at 32 weeks. </w:t>
      </w:r>
      <w:r w:rsidR="00026AED" w:rsidRPr="00E759E5">
        <w:t>In reality, the additional patients receiving treatment under a ‘no continuation criteria’ scenario would have worse performance because they did not respond to treatment.</w:t>
      </w:r>
      <w:r w:rsidRPr="00E759E5">
        <w:t xml:space="preserve"> </w:t>
      </w:r>
    </w:p>
    <w:p w:rsidR="00F46C5E" w:rsidRPr="00E759E5" w:rsidRDefault="00F46C5E" w:rsidP="00F46C5E">
      <w:pPr>
        <w:widowControl/>
      </w:pPr>
    </w:p>
    <w:p w:rsidR="00F46C5E" w:rsidRPr="00E759E5" w:rsidRDefault="00F46C5E" w:rsidP="00986DCF">
      <w:pPr>
        <w:pStyle w:val="ListParagraph"/>
        <w:widowControl/>
        <w:numPr>
          <w:ilvl w:val="1"/>
          <w:numId w:val="2"/>
        </w:numPr>
        <w:snapToGrid w:val="0"/>
      </w:pPr>
      <w:r w:rsidRPr="00E759E5">
        <w:t xml:space="preserve">In most of the sensitivity analyses in which patients remain longer in the treatment state (e.g. higher percentage of patients continuing treatment, zero discontinuation rate, no continuation criterion), the ICER increases. This is because the exacerbation rates in the SOC arm decrease after 16 weeks (in aggregate from </w:t>
      </w:r>
      <w:r w:rsidR="0024101C">
        <w:rPr>
          <w:noProof/>
          <w:color w:val="000000"/>
          <w:highlight w:val="black"/>
        </w:rPr>
        <w:t>''''''</w:t>
      </w:r>
      <w:r w:rsidRPr="00E759E5">
        <w:t xml:space="preserve">% to </w:t>
      </w:r>
      <w:r w:rsidR="0024101C">
        <w:rPr>
          <w:noProof/>
          <w:color w:val="000000"/>
          <w:highlight w:val="black"/>
        </w:rPr>
        <w:t>'''''''</w:t>
      </w:r>
      <w:r w:rsidRPr="00E759E5">
        <w:t xml:space="preserve">%). This means MEPO is more cost-effective in the first 32 weeks than in the period after 32 weeks, after the application of the continuation criterion. </w:t>
      </w:r>
    </w:p>
    <w:p w:rsidR="00F46C5E" w:rsidRPr="00E759E5" w:rsidRDefault="00F46C5E" w:rsidP="00F46C5E">
      <w:pPr>
        <w:widowControl/>
      </w:pPr>
    </w:p>
    <w:p w:rsidR="00F46C5E" w:rsidRPr="00E759E5" w:rsidRDefault="00F46C5E" w:rsidP="00986DCF">
      <w:pPr>
        <w:pStyle w:val="ListParagraph"/>
        <w:widowControl/>
        <w:numPr>
          <w:ilvl w:val="1"/>
          <w:numId w:val="2"/>
        </w:numPr>
        <w:snapToGrid w:val="0"/>
      </w:pPr>
      <w:r w:rsidRPr="00E759E5">
        <w:t xml:space="preserve">The ICER decreases in the longer treatment duration sensitivity analysis because the SOC intervention costs are applied to all SOC patients who are alive and not experiencing an exacerbation. MEPO intervention costs are only applied to MEPO patients on treatment, which is a small proportion by year 10. </w:t>
      </w:r>
    </w:p>
    <w:p w:rsidR="00F46C5E" w:rsidRPr="00E759E5" w:rsidRDefault="00F46C5E" w:rsidP="00F46C5E">
      <w:pPr>
        <w:widowControl/>
      </w:pPr>
    </w:p>
    <w:p w:rsidR="00F46C5E" w:rsidRPr="00E759E5" w:rsidRDefault="00F46C5E" w:rsidP="00986DCF">
      <w:pPr>
        <w:pStyle w:val="ListParagraph"/>
        <w:widowControl/>
        <w:numPr>
          <w:ilvl w:val="1"/>
          <w:numId w:val="2"/>
        </w:numPr>
        <w:snapToGrid w:val="0"/>
      </w:pPr>
      <w:r w:rsidRPr="00E759E5">
        <w:t xml:space="preserve">A fundamental model error is that the </w:t>
      </w:r>
      <w:r w:rsidR="003E6E68" w:rsidRPr="00E759E5">
        <w:t xml:space="preserve">intervention </w:t>
      </w:r>
      <w:r w:rsidRPr="00E759E5">
        <w:t xml:space="preserve">costs </w:t>
      </w:r>
      <w:r w:rsidR="003E6E68" w:rsidRPr="00E759E5">
        <w:t xml:space="preserve">were </w:t>
      </w:r>
      <w:r w:rsidRPr="00E759E5">
        <w:t xml:space="preserve">applied </w:t>
      </w:r>
      <w:r w:rsidR="003E6E68" w:rsidRPr="00E759E5">
        <w:t>inconsistently and inappropriately for the two treatment arms:</w:t>
      </w:r>
    </w:p>
    <w:p w:rsidR="003E6E68" w:rsidRPr="00E759E5" w:rsidRDefault="003E6E68" w:rsidP="00986DCF">
      <w:pPr>
        <w:pStyle w:val="ListParagraph"/>
        <w:widowControl/>
        <w:numPr>
          <w:ilvl w:val="1"/>
          <w:numId w:val="12"/>
        </w:numPr>
        <w:ind w:left="993" w:hanging="284"/>
        <w:rPr>
          <w:color w:val="222222"/>
          <w:szCs w:val="24"/>
          <w:lang w:val="en-GB" w:eastAsia="en-GB"/>
        </w:rPr>
      </w:pPr>
      <w:r w:rsidRPr="00E759E5">
        <w:rPr>
          <w:color w:val="222222"/>
          <w:szCs w:val="24"/>
          <w:lang w:val="en-GB" w:eastAsia="en-GB"/>
        </w:rPr>
        <w:t xml:space="preserve">For mepolizumab, patients would receive LABA/ICS when they were also on mepolizumab treatment. As soon as patients discontinued mepolizumab treatment they also discontinued LABA/ICS treatment. </w:t>
      </w:r>
    </w:p>
    <w:p w:rsidR="003E6E68" w:rsidRPr="00E759E5" w:rsidRDefault="003E6E68" w:rsidP="00986DCF">
      <w:pPr>
        <w:pStyle w:val="ListParagraph"/>
        <w:widowControl/>
        <w:numPr>
          <w:ilvl w:val="1"/>
          <w:numId w:val="12"/>
        </w:numPr>
        <w:ind w:left="993" w:hanging="284"/>
        <w:rPr>
          <w:color w:val="222222"/>
          <w:szCs w:val="24"/>
          <w:lang w:val="en-GB" w:eastAsia="en-GB"/>
        </w:rPr>
      </w:pPr>
      <w:r w:rsidRPr="00E759E5">
        <w:rPr>
          <w:color w:val="222222"/>
          <w:szCs w:val="24"/>
          <w:lang w:val="en-GB" w:eastAsia="en-GB"/>
        </w:rPr>
        <w:t>For standard of care arm, patients would receive LABA/ICS for ten years.</w:t>
      </w:r>
    </w:p>
    <w:p w:rsidR="003E6E68" w:rsidRDefault="003E6E68" w:rsidP="003E6E68">
      <w:pPr>
        <w:pStyle w:val="ListParagraph"/>
        <w:widowControl/>
        <w:snapToGrid w:val="0"/>
        <w:rPr>
          <w:color w:val="222222"/>
          <w:szCs w:val="24"/>
          <w:lang w:val="en-GB" w:eastAsia="en-GB"/>
        </w:rPr>
      </w:pPr>
      <w:r w:rsidRPr="00E759E5">
        <w:rPr>
          <w:color w:val="222222"/>
          <w:szCs w:val="24"/>
          <w:lang w:val="en-GB" w:eastAsia="en-GB"/>
        </w:rPr>
        <w:t xml:space="preserve">LABA/ICS costs should not have been included in the intervention costs. This favoured mepolizumab. </w:t>
      </w:r>
    </w:p>
    <w:p w:rsidR="00F95492" w:rsidRDefault="00F95492" w:rsidP="003E6E68">
      <w:pPr>
        <w:pStyle w:val="ListParagraph"/>
        <w:widowControl/>
        <w:snapToGrid w:val="0"/>
        <w:rPr>
          <w:color w:val="222222"/>
          <w:szCs w:val="24"/>
          <w:lang w:val="en-GB" w:eastAsia="en-GB"/>
        </w:rPr>
      </w:pPr>
    </w:p>
    <w:p w:rsidR="00F95492" w:rsidRDefault="00F95492" w:rsidP="00F95492">
      <w:pPr>
        <w:pStyle w:val="ListParagraph"/>
        <w:widowControl/>
        <w:numPr>
          <w:ilvl w:val="1"/>
          <w:numId w:val="2"/>
        </w:numPr>
        <w:snapToGrid w:val="0"/>
      </w:pPr>
      <w:r>
        <w:t>The Pre-PBAC Response (p.3) accepted that there was an error in the application of LABA/ICS costs and accepted the recalculation of treatment costs, noting that this increased the ICER to</w:t>
      </w:r>
      <w:r w:rsidR="00D557A6">
        <w:t>45,000/QALY - $75,000/QALY.</w:t>
      </w:r>
      <w:r>
        <w:t xml:space="preserve">. </w:t>
      </w:r>
    </w:p>
    <w:p w:rsidR="00F95492" w:rsidRPr="00E759E5" w:rsidRDefault="00F95492" w:rsidP="003E6E68">
      <w:pPr>
        <w:pStyle w:val="ListParagraph"/>
        <w:widowControl/>
        <w:snapToGrid w:val="0"/>
        <w:rPr>
          <w:color w:val="222222"/>
          <w:szCs w:val="24"/>
          <w:lang w:val="en-GB" w:eastAsia="en-GB"/>
        </w:rPr>
      </w:pPr>
    </w:p>
    <w:p w:rsidR="0075049E" w:rsidRPr="00E759E5" w:rsidRDefault="0075049E" w:rsidP="00986DCF">
      <w:pPr>
        <w:pStyle w:val="ListParagraph"/>
        <w:widowControl/>
        <w:numPr>
          <w:ilvl w:val="1"/>
          <w:numId w:val="2"/>
        </w:numPr>
        <w:rPr>
          <w:szCs w:val="22"/>
        </w:rPr>
      </w:pPr>
      <w:r w:rsidRPr="00E759E5">
        <w:rPr>
          <w:szCs w:val="22"/>
        </w:rPr>
        <w:t>Sensitivity analyses are presented below</w:t>
      </w:r>
      <w:r w:rsidR="00F46C5E" w:rsidRPr="00E759E5">
        <w:rPr>
          <w:szCs w:val="22"/>
        </w:rPr>
        <w:t xml:space="preserve"> for the ESC’s respecified base case where the LABA/ICS costs were excluded from the intervention costs as it was considered that all patients would have continued background treatment with LABA/ICS</w:t>
      </w:r>
      <w:r w:rsidRPr="00E759E5">
        <w:rPr>
          <w:szCs w:val="22"/>
        </w:rPr>
        <w:t>.</w:t>
      </w:r>
    </w:p>
    <w:p w:rsidR="0075049E" w:rsidRDefault="0075049E" w:rsidP="00FC09B9">
      <w:pPr>
        <w:rPr>
          <w:i/>
        </w:rPr>
      </w:pPr>
    </w:p>
    <w:p w:rsidR="00F46C5E" w:rsidRDefault="00F46C5E" w:rsidP="00F46C5E">
      <w:pPr>
        <w:keepNext/>
        <w:ind w:firstLine="720"/>
        <w:rPr>
          <w:rStyle w:val="CommentReference"/>
          <w:rFonts w:eastAsiaTheme="majorEastAsia" w:cstheme="majorBidi"/>
          <w:b w:val="0"/>
          <w:lang w:bidi="en-US"/>
        </w:rPr>
      </w:pPr>
      <w:r>
        <w:rPr>
          <w:rStyle w:val="CommentReference"/>
        </w:rPr>
        <w:t>Table 1</w:t>
      </w:r>
      <w:r w:rsidR="00492332">
        <w:rPr>
          <w:rStyle w:val="CommentReference"/>
        </w:rPr>
        <w:t>5</w:t>
      </w:r>
      <w:r>
        <w:rPr>
          <w:rStyle w:val="CommentReference"/>
        </w:rPr>
        <w:t xml:space="preserve">: Results of key sensitivity analyses – per </w:t>
      </w:r>
      <w:r w:rsidRPr="00A8455D">
        <w:rPr>
          <w:rStyle w:val="CommentReference"/>
        </w:rPr>
        <w:t xml:space="preserve">patient: </w:t>
      </w:r>
      <w:r w:rsidRPr="00A8455D">
        <w:rPr>
          <w:rStyle w:val="CommentReference"/>
          <w:i/>
        </w:rPr>
        <w:t>Analyses re-run with error in model corrected</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1"/>
        <w:gridCol w:w="427"/>
        <w:gridCol w:w="846"/>
        <w:gridCol w:w="856"/>
        <w:gridCol w:w="420"/>
        <w:gridCol w:w="856"/>
        <w:gridCol w:w="420"/>
        <w:gridCol w:w="1283"/>
        <w:gridCol w:w="846"/>
        <w:gridCol w:w="714"/>
        <w:gridCol w:w="845"/>
      </w:tblGrid>
      <w:tr w:rsidR="00F46C5E" w:rsidTr="00F46C5E">
        <w:trPr>
          <w:cantSplit/>
          <w:trHeight w:val="217"/>
          <w:tblHeader/>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rPr>
                <w:rFonts w:ascii="Arial Narrow" w:hAnsi="Arial Narrow"/>
                <w:b/>
                <w:sz w:val="20"/>
              </w:rPr>
            </w:pPr>
            <w:r>
              <w:rPr>
                <w:rFonts w:ascii="Arial Narrow" w:hAnsi="Arial Narrow"/>
                <w:b/>
                <w:sz w:val="20"/>
              </w:rPr>
              <w:t>Sensitivity analyses</w:t>
            </w:r>
          </w:p>
        </w:tc>
        <w:tc>
          <w:tcPr>
            <w:tcW w:w="506"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right"/>
              <w:rPr>
                <w:rFonts w:ascii="Arial Narrow" w:hAnsi="Arial Narrow"/>
                <w:b/>
                <w:sz w:val="20"/>
              </w:rPr>
            </w:pPr>
            <w:r>
              <w:rPr>
                <w:rFonts w:ascii="Arial Narrow" w:hAnsi="Arial Narrow"/>
                <w:b/>
                <w:sz w:val="20"/>
              </w:rPr>
              <w:t>Δ costs</w:t>
            </w:r>
          </w:p>
        </w:tc>
        <w:tc>
          <w:tcPr>
            <w:tcW w:w="427"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center"/>
              <w:rPr>
                <w:rFonts w:ascii="Arial Narrow" w:hAnsi="Arial Narrow"/>
                <w:b/>
                <w:sz w:val="20"/>
              </w:rPr>
            </w:pPr>
            <w:r>
              <w:rPr>
                <w:rFonts w:ascii="Arial Narrow" w:hAnsi="Arial Narrow"/>
                <w:b/>
                <w:sz w:val="20"/>
              </w:rPr>
              <w:t>Δ QALY</w:t>
            </w:r>
          </w:p>
        </w:tc>
        <w:tc>
          <w:tcPr>
            <w:tcW w:w="505"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right"/>
              <w:rPr>
                <w:rFonts w:ascii="Arial Narrow" w:hAnsi="Arial Narrow"/>
                <w:b/>
                <w:sz w:val="20"/>
              </w:rPr>
            </w:pPr>
            <w:r>
              <w:rPr>
                <w:rFonts w:ascii="Arial Narrow" w:hAnsi="Arial Narrow"/>
                <w:b/>
                <w:sz w:val="20"/>
              </w:rPr>
              <w:t>ICER</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rPr>
                <w:rFonts w:ascii="Arial Narrow" w:hAnsi="Arial Narrow"/>
                <w:b/>
                <w:sz w:val="20"/>
              </w:rPr>
            </w:pPr>
            <w:r>
              <w:rPr>
                <w:rFonts w:ascii="Arial Narrow" w:hAnsi="Arial Narrow"/>
                <w:b/>
                <w:sz w:val="20"/>
              </w:rPr>
              <w:t>Base case</w:t>
            </w:r>
          </w:p>
        </w:tc>
        <w:tc>
          <w:tcPr>
            <w:tcW w:w="506"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right"/>
              <w:rPr>
                <w:rFonts w:ascii="Arial Narrow" w:hAnsi="Arial Narrow"/>
                <w:b/>
                <w:sz w:val="20"/>
              </w:rPr>
            </w:pPr>
            <w:r>
              <w:rPr>
                <w:rStyle w:val="TableText1"/>
                <w:sz w:val="20"/>
              </w:rPr>
              <w:t>$</w:t>
            </w:r>
            <w:r w:rsidR="0024101C">
              <w:rPr>
                <w:rStyle w:val="TableText1"/>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center"/>
              <w:rPr>
                <w:rFonts w:ascii="Arial Narrow" w:hAnsi="Arial Narrow"/>
                <w:b/>
                <w:sz w:val="20"/>
              </w:rPr>
            </w:pPr>
            <w:r>
              <w:rPr>
                <w:rFonts w:ascii="Arial Narrow" w:hAnsi="Arial Narrow" w:cs="Calibri"/>
                <w:b/>
                <w:color w:val="000000"/>
                <w:sz w:val="20"/>
              </w:rPr>
              <w:t>0.53</w:t>
            </w:r>
          </w:p>
        </w:tc>
        <w:tc>
          <w:tcPr>
            <w:tcW w:w="505" w:type="pct"/>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jc w:val="right"/>
              <w:rPr>
                <w:rFonts w:ascii="Arial Narrow" w:hAnsi="Arial Narrow"/>
                <w:b/>
                <w:sz w:val="20"/>
              </w:rPr>
            </w:pPr>
            <w:r>
              <w:rPr>
                <w:rStyle w:val="TableText1"/>
                <w:sz w:val="20"/>
              </w:rPr>
              <w:t>$</w:t>
            </w:r>
            <w:r w:rsidR="0024101C">
              <w:rPr>
                <w:rStyle w:val="TableText1"/>
                <w:noProof/>
                <w:color w:val="000000"/>
                <w:sz w:val="20"/>
                <w:highlight w:val="black"/>
              </w:rPr>
              <w:t>''''''''''''''''</w:t>
            </w:r>
          </w:p>
        </w:tc>
      </w:tr>
      <w:tr w:rsidR="00F46C5E" w:rsidTr="00F46C5E">
        <w:trPr>
          <w:cantSplit/>
          <w:trHeight w:val="270"/>
        </w:trPr>
        <w:tc>
          <w:tcPr>
            <w:tcW w:w="3562" w:type="pct"/>
            <w:gridSpan w:val="8"/>
            <w:tcBorders>
              <w:top w:val="single" w:sz="4" w:space="0" w:color="auto"/>
              <w:left w:val="single" w:sz="4" w:space="0" w:color="auto"/>
              <w:bottom w:val="single" w:sz="4" w:space="0" w:color="auto"/>
              <w:right w:val="single" w:sz="4" w:space="0" w:color="auto"/>
            </w:tcBorders>
            <w:vAlign w:val="center"/>
          </w:tcPr>
          <w:p w:rsidR="00F46C5E" w:rsidRPr="00692CAA" w:rsidRDefault="00F46C5E" w:rsidP="00F46C5E">
            <w:pPr>
              <w:keepNext/>
              <w:rPr>
                <w:rFonts w:ascii="Arial Narrow" w:hAnsi="Arial Narrow"/>
                <w:sz w:val="20"/>
              </w:rPr>
            </w:pPr>
            <w:r w:rsidRPr="00692CAA">
              <w:rPr>
                <w:rFonts w:ascii="Arial Narrow" w:hAnsi="Arial Narrow"/>
                <w:sz w:val="20"/>
              </w:rPr>
              <w:t xml:space="preserve">Error corrected and </w:t>
            </w:r>
            <w:r>
              <w:rPr>
                <w:rFonts w:ascii="Arial Narrow" w:hAnsi="Arial Narrow"/>
                <w:sz w:val="20"/>
              </w:rPr>
              <w:t>LABA/ICS</w:t>
            </w:r>
            <w:r w:rsidRPr="00692CAA">
              <w:rPr>
                <w:rFonts w:ascii="Arial Narrow" w:hAnsi="Arial Narrow"/>
                <w:sz w:val="20"/>
              </w:rPr>
              <w:t xml:space="preserve"> costs not double counted in treatment or SOC arms</w:t>
            </w:r>
            <w:r>
              <w:rPr>
                <w:rFonts w:ascii="Arial Narrow" w:hAnsi="Arial Narrow"/>
                <w:sz w:val="20"/>
              </w:rPr>
              <w:t xml:space="preserve"> </w:t>
            </w:r>
            <w:r w:rsidRPr="001B5E26">
              <w:rPr>
                <w:rFonts w:ascii="Arial Narrow" w:hAnsi="Arial Narrow"/>
                <w:sz w:val="20"/>
                <w:vertAlign w:val="superscript"/>
              </w:rPr>
              <w:t>a</w:t>
            </w:r>
          </w:p>
        </w:tc>
        <w:tc>
          <w:tcPr>
            <w:tcW w:w="506" w:type="pc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keepNext/>
              <w:jc w:val="center"/>
              <w:rPr>
                <w:rFonts w:ascii="Arial Narrow" w:hAnsi="Arial Narrow"/>
                <w:i/>
                <w:sz w:val="20"/>
              </w:rPr>
            </w:pPr>
            <w:r w:rsidRPr="00692CAA">
              <w:rPr>
                <w:rFonts w:ascii="Arial Narrow" w:hAnsi="Arial Narrow"/>
                <w:i/>
                <w:sz w:val="20"/>
              </w:rPr>
              <w:t>0.53</w:t>
            </w:r>
          </w:p>
        </w:tc>
        <w:tc>
          <w:tcPr>
            <w:tcW w:w="505" w:type="pc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Height w:val="481"/>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rPr>
                <w:rFonts w:ascii="Arial Narrow" w:hAnsi="Arial Narrow"/>
                <w:sz w:val="20"/>
              </w:rPr>
            </w:pPr>
            <w:r>
              <w:rPr>
                <w:rFonts w:ascii="Arial Narrow" w:hAnsi="Arial Narrow"/>
                <w:sz w:val="20"/>
              </w:rPr>
              <w:t>Patient population (base case = eosinophil ≥ 300 mg in last 6 weeks)</w:t>
            </w:r>
          </w:p>
          <w:p w:rsidR="00F46C5E" w:rsidRDefault="00F46C5E" w:rsidP="00F46C5E">
            <w:pPr>
              <w:keepNext/>
              <w:ind w:left="114"/>
              <w:jc w:val="left"/>
              <w:rPr>
                <w:rFonts w:ascii="Arial Narrow" w:hAnsi="Arial Narrow"/>
                <w:sz w:val="20"/>
              </w:rPr>
            </w:pPr>
            <w:r>
              <w:rPr>
                <w:rFonts w:ascii="Arial Narrow" w:hAnsi="Arial Narrow"/>
                <w:sz w:val="20"/>
              </w:rPr>
              <w:t>ITT population (eosinophil ≥ 150 in last 6 weeks or ≥ 300 mg in last 12 months)</w:t>
            </w:r>
          </w:p>
        </w:tc>
        <w:tc>
          <w:tcPr>
            <w:tcW w:w="506" w:type="pct"/>
            <w:tcBorders>
              <w:top w:val="single" w:sz="4" w:space="0" w:color="auto"/>
              <w:left w:val="single" w:sz="4" w:space="0" w:color="auto"/>
              <w:bottom w:val="single" w:sz="4" w:space="0" w:color="auto"/>
              <w:right w:val="single" w:sz="4" w:space="0" w:color="auto"/>
            </w:tcBorders>
            <w:vAlign w:val="bottom"/>
            <w:hideMark/>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vAlign w:val="bottom"/>
            <w:hideMark/>
          </w:tcPr>
          <w:p w:rsidR="00F46C5E" w:rsidRPr="00692CAA" w:rsidRDefault="00F46C5E" w:rsidP="00F46C5E">
            <w:pPr>
              <w:keepNext/>
              <w:jc w:val="center"/>
              <w:rPr>
                <w:rFonts w:ascii="Arial Narrow" w:hAnsi="Arial Narrow"/>
                <w:i/>
                <w:sz w:val="20"/>
              </w:rPr>
            </w:pPr>
            <w:r w:rsidRPr="00692CAA">
              <w:rPr>
                <w:rFonts w:ascii="Arial Narrow" w:hAnsi="Arial Narrow"/>
                <w:i/>
                <w:sz w:val="20"/>
              </w:rPr>
              <w:t>0.35</w:t>
            </w:r>
          </w:p>
        </w:tc>
        <w:tc>
          <w:tcPr>
            <w:tcW w:w="505" w:type="pct"/>
            <w:tcBorders>
              <w:top w:val="single" w:sz="4" w:space="0" w:color="auto"/>
              <w:left w:val="single" w:sz="4" w:space="0" w:color="auto"/>
              <w:bottom w:val="single" w:sz="4" w:space="0" w:color="auto"/>
              <w:right w:val="single" w:sz="4" w:space="0" w:color="auto"/>
            </w:tcBorders>
            <w:vAlign w:val="bottom"/>
            <w:hideMark/>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rPr>
                <w:rFonts w:ascii="Arial Narrow" w:hAnsi="Arial Narrow"/>
                <w:sz w:val="20"/>
              </w:rPr>
            </w:pPr>
            <w:r>
              <w:rPr>
                <w:rFonts w:ascii="Arial Narrow" w:hAnsi="Arial Narrow"/>
                <w:sz w:val="20"/>
              </w:rPr>
              <w:t>Time horizon (base case = lifetime)</w:t>
            </w:r>
          </w:p>
          <w:p w:rsidR="00F46C5E" w:rsidRDefault="00F46C5E" w:rsidP="00F46C5E">
            <w:pPr>
              <w:keepNext/>
              <w:ind w:firstLine="142"/>
              <w:rPr>
                <w:rFonts w:ascii="Arial Narrow" w:hAnsi="Arial Narrow"/>
                <w:sz w:val="20"/>
              </w:rPr>
            </w:pPr>
            <w:r>
              <w:rPr>
                <w:rFonts w:ascii="Arial Narrow" w:hAnsi="Arial Narrow"/>
                <w:sz w:val="20"/>
              </w:rPr>
              <w:t>10 years</w:t>
            </w:r>
          </w:p>
          <w:p w:rsidR="00F46C5E" w:rsidRDefault="00F46C5E" w:rsidP="00F46C5E">
            <w:pPr>
              <w:keepNext/>
              <w:ind w:firstLine="142"/>
              <w:rPr>
                <w:rFonts w:ascii="Arial Narrow" w:hAnsi="Arial Narrow"/>
                <w:sz w:val="20"/>
              </w:rPr>
            </w:pPr>
            <w:r>
              <w:rPr>
                <w:rFonts w:ascii="Arial Narrow" w:hAnsi="Arial Narrow"/>
                <w:sz w:val="20"/>
              </w:rPr>
              <w:t>30 years</w:t>
            </w:r>
          </w:p>
        </w:tc>
        <w:tc>
          <w:tcPr>
            <w:tcW w:w="506"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right"/>
              <w:rPr>
                <w:rFonts w:ascii="Arial Narrow" w:hAnsi="Arial Narrow"/>
                <w:i/>
                <w:sz w:val="20"/>
              </w:rPr>
            </w:pP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center"/>
              <w:rPr>
                <w:rFonts w:ascii="Arial Narrow" w:hAnsi="Arial Narrow"/>
                <w:i/>
                <w:sz w:val="20"/>
              </w:rPr>
            </w:pPr>
          </w:p>
          <w:p w:rsidR="00F46C5E" w:rsidRPr="00692CAA" w:rsidRDefault="00F46C5E" w:rsidP="00F46C5E">
            <w:pPr>
              <w:keepNext/>
              <w:jc w:val="center"/>
              <w:rPr>
                <w:rFonts w:ascii="Arial Narrow" w:hAnsi="Arial Narrow"/>
                <w:i/>
                <w:sz w:val="20"/>
              </w:rPr>
            </w:pPr>
            <w:r w:rsidRPr="00692CAA">
              <w:rPr>
                <w:rFonts w:ascii="Arial Narrow" w:hAnsi="Arial Narrow"/>
                <w:i/>
                <w:sz w:val="20"/>
              </w:rPr>
              <w:t>0.43</w:t>
            </w:r>
          </w:p>
          <w:p w:rsidR="00F46C5E" w:rsidRPr="00692CAA" w:rsidRDefault="00F46C5E" w:rsidP="00F46C5E">
            <w:pPr>
              <w:keepNext/>
              <w:jc w:val="center"/>
              <w:rPr>
                <w:rFonts w:ascii="Arial Narrow" w:hAnsi="Arial Narrow"/>
                <w:i/>
                <w:sz w:val="20"/>
              </w:rPr>
            </w:pPr>
            <w:r w:rsidRPr="00692CAA">
              <w:rPr>
                <w:rFonts w:ascii="Arial Narrow" w:hAnsi="Arial Narrow"/>
                <w:i/>
                <w:sz w:val="20"/>
              </w:rPr>
              <w:t>0.52</w:t>
            </w:r>
          </w:p>
        </w:tc>
        <w:tc>
          <w:tcPr>
            <w:tcW w:w="505"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right"/>
              <w:rPr>
                <w:rFonts w:ascii="Arial Narrow" w:hAnsi="Arial Narrow"/>
                <w:i/>
                <w:sz w:val="20"/>
              </w:rPr>
            </w:pP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keepNext/>
              <w:rPr>
                <w:rFonts w:ascii="Arial Narrow" w:hAnsi="Arial Narrow"/>
                <w:sz w:val="20"/>
              </w:rPr>
            </w:pPr>
            <w:r>
              <w:rPr>
                <w:rFonts w:ascii="Arial Narrow" w:hAnsi="Arial Narrow"/>
                <w:sz w:val="20"/>
              </w:rPr>
              <w:t>Treatment duration (base case = 10 years)</w:t>
            </w:r>
          </w:p>
          <w:p w:rsidR="00F46C5E" w:rsidRDefault="00F46C5E" w:rsidP="00F46C5E">
            <w:pPr>
              <w:keepNext/>
              <w:ind w:firstLine="142"/>
              <w:rPr>
                <w:rFonts w:ascii="Arial Narrow" w:hAnsi="Arial Narrow"/>
                <w:sz w:val="20"/>
              </w:rPr>
            </w:pPr>
            <w:r>
              <w:rPr>
                <w:rFonts w:ascii="Arial Narrow" w:hAnsi="Arial Narrow"/>
                <w:sz w:val="20"/>
              </w:rPr>
              <w:t xml:space="preserve">5 years </w:t>
            </w:r>
          </w:p>
          <w:p w:rsidR="00F46C5E" w:rsidRDefault="00F46C5E" w:rsidP="00F46C5E">
            <w:pPr>
              <w:keepNext/>
              <w:ind w:firstLine="142"/>
              <w:rPr>
                <w:rFonts w:ascii="Arial Narrow" w:hAnsi="Arial Narrow"/>
                <w:sz w:val="20"/>
              </w:rPr>
            </w:pPr>
            <w:r>
              <w:rPr>
                <w:rFonts w:ascii="Arial Narrow" w:hAnsi="Arial Narrow"/>
                <w:sz w:val="20"/>
              </w:rPr>
              <w:t>20 years</w:t>
            </w:r>
          </w:p>
        </w:tc>
        <w:tc>
          <w:tcPr>
            <w:tcW w:w="506"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right"/>
              <w:rPr>
                <w:rFonts w:ascii="Arial Narrow" w:hAnsi="Arial Narrow"/>
                <w:i/>
                <w:sz w:val="20"/>
              </w:rPr>
            </w:pP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center"/>
              <w:rPr>
                <w:rFonts w:ascii="Arial Narrow" w:hAnsi="Arial Narrow"/>
                <w:i/>
                <w:sz w:val="20"/>
              </w:rPr>
            </w:pPr>
          </w:p>
          <w:p w:rsidR="00F46C5E" w:rsidRPr="00692CAA" w:rsidRDefault="00F46C5E" w:rsidP="00F46C5E">
            <w:pPr>
              <w:keepNext/>
              <w:jc w:val="center"/>
              <w:rPr>
                <w:rFonts w:ascii="Arial Narrow" w:hAnsi="Arial Narrow"/>
                <w:i/>
                <w:sz w:val="20"/>
              </w:rPr>
            </w:pPr>
            <w:r w:rsidRPr="00692CAA">
              <w:rPr>
                <w:rFonts w:ascii="Arial Narrow" w:hAnsi="Arial Narrow"/>
                <w:i/>
                <w:sz w:val="20"/>
              </w:rPr>
              <w:t>0.39</w:t>
            </w:r>
          </w:p>
          <w:p w:rsidR="00F46C5E" w:rsidRPr="00692CAA" w:rsidRDefault="00F46C5E" w:rsidP="00F46C5E">
            <w:pPr>
              <w:keepNext/>
              <w:jc w:val="center"/>
              <w:rPr>
                <w:rFonts w:ascii="Arial Narrow" w:hAnsi="Arial Narrow"/>
                <w:i/>
                <w:sz w:val="20"/>
              </w:rPr>
            </w:pPr>
            <w:r w:rsidRPr="00692CAA">
              <w:rPr>
                <w:rFonts w:ascii="Arial Narrow" w:hAnsi="Arial Narrow"/>
                <w:i/>
                <w:sz w:val="20"/>
              </w:rPr>
              <w:t>0.62</w:t>
            </w:r>
          </w:p>
        </w:tc>
        <w:tc>
          <w:tcPr>
            <w:tcW w:w="505"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keepNext/>
              <w:jc w:val="right"/>
              <w:rPr>
                <w:rFonts w:ascii="Arial Narrow" w:hAnsi="Arial Narrow"/>
                <w:i/>
                <w:sz w:val="20"/>
              </w:rPr>
            </w:pP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Pr="00627788" w:rsidRDefault="00F46C5E" w:rsidP="00F46C5E">
            <w:pPr>
              <w:rPr>
                <w:rFonts w:ascii="Arial Narrow" w:hAnsi="Arial Narrow"/>
                <w:sz w:val="20"/>
              </w:rPr>
            </w:pPr>
            <w:r w:rsidRPr="00627788">
              <w:rPr>
                <w:rFonts w:ascii="Arial Narrow" w:hAnsi="Arial Narrow"/>
                <w:sz w:val="20"/>
              </w:rPr>
              <w:t>% mepolizumab patients continuing treatment (base case = 0.60)</w:t>
            </w:r>
          </w:p>
          <w:p w:rsidR="00F46C5E" w:rsidRPr="00627788" w:rsidRDefault="00F46C5E" w:rsidP="00F46C5E">
            <w:pPr>
              <w:ind w:firstLine="142"/>
              <w:rPr>
                <w:rFonts w:ascii="Arial Narrow" w:hAnsi="Arial Narrow"/>
                <w:sz w:val="20"/>
              </w:rPr>
            </w:pPr>
            <w:r w:rsidRPr="00627788">
              <w:rPr>
                <w:rFonts w:ascii="Arial Narrow" w:hAnsi="Arial Narrow"/>
                <w:sz w:val="20"/>
              </w:rPr>
              <w:t xml:space="preserve">0.53 </w:t>
            </w:r>
          </w:p>
          <w:p w:rsidR="00F46C5E" w:rsidRPr="00627788" w:rsidRDefault="00F46C5E" w:rsidP="00F46C5E">
            <w:pPr>
              <w:ind w:firstLine="142"/>
              <w:rPr>
                <w:rFonts w:ascii="Arial Narrow" w:hAnsi="Arial Narrow"/>
                <w:sz w:val="20"/>
              </w:rPr>
            </w:pPr>
            <w:r w:rsidRPr="00627788">
              <w:rPr>
                <w:rFonts w:ascii="Arial Narrow" w:hAnsi="Arial Narrow"/>
                <w:sz w:val="20"/>
              </w:rPr>
              <w:t>0.67</w:t>
            </w:r>
          </w:p>
        </w:tc>
        <w:tc>
          <w:tcPr>
            <w:tcW w:w="506"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r w:rsidRPr="00692CAA">
              <w:rPr>
                <w:rFonts w:ascii="Arial Narrow" w:hAnsi="Arial Narrow"/>
                <w:i/>
                <w:sz w:val="20"/>
              </w:rPr>
              <w:t>0.48</w:t>
            </w:r>
          </w:p>
          <w:p w:rsidR="00F46C5E" w:rsidRPr="00692CAA" w:rsidRDefault="00F46C5E" w:rsidP="00F46C5E">
            <w:pPr>
              <w:jc w:val="center"/>
              <w:rPr>
                <w:rFonts w:ascii="Arial Narrow" w:hAnsi="Arial Narrow"/>
                <w:i/>
                <w:sz w:val="20"/>
              </w:rPr>
            </w:pPr>
            <w:r w:rsidRPr="00692CAA">
              <w:rPr>
                <w:rFonts w:ascii="Arial Narrow" w:hAnsi="Arial Narrow"/>
                <w:i/>
                <w:sz w:val="20"/>
              </w:rPr>
              <w:t>0.58</w:t>
            </w:r>
          </w:p>
        </w:tc>
        <w:tc>
          <w:tcPr>
            <w:tcW w:w="505"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Pr="00627788" w:rsidRDefault="00F46C5E" w:rsidP="00F46C5E">
            <w:pPr>
              <w:rPr>
                <w:rFonts w:ascii="Arial Narrow" w:hAnsi="Arial Narrow"/>
                <w:sz w:val="20"/>
              </w:rPr>
            </w:pPr>
            <w:r w:rsidRPr="00627788">
              <w:rPr>
                <w:rFonts w:ascii="Arial Narrow" w:hAnsi="Arial Narrow"/>
                <w:sz w:val="20"/>
              </w:rPr>
              <w:t xml:space="preserve">Mepolizumab discontinuation rate (base case = </w:t>
            </w:r>
            <w:r w:rsidR="0024101C">
              <w:rPr>
                <w:rFonts w:ascii="Arial Narrow" w:hAnsi="Arial Narrow"/>
                <w:noProof/>
                <w:color w:val="000000"/>
                <w:sz w:val="20"/>
                <w:highlight w:val="black"/>
              </w:rPr>
              <w:t>'''''''''''''''</w:t>
            </w:r>
            <w:r w:rsidRPr="00627788">
              <w:rPr>
                <w:rFonts w:ascii="Arial Narrow" w:hAnsi="Arial Narrow"/>
                <w:sz w:val="20"/>
              </w:rPr>
              <w:t>)</w:t>
            </w:r>
          </w:p>
          <w:p w:rsidR="00F46C5E" w:rsidRPr="00627788" w:rsidRDefault="00F46C5E" w:rsidP="00F46C5E">
            <w:pPr>
              <w:ind w:firstLine="142"/>
              <w:rPr>
                <w:rFonts w:ascii="Arial Narrow" w:hAnsi="Arial Narrow"/>
                <w:sz w:val="20"/>
              </w:rPr>
            </w:pPr>
            <w:r w:rsidRPr="00627788">
              <w:rPr>
                <w:rFonts w:ascii="Arial Narrow" w:hAnsi="Arial Narrow"/>
                <w:sz w:val="20"/>
              </w:rPr>
              <w:t>0.0000</w:t>
            </w:r>
          </w:p>
          <w:p w:rsidR="00F46C5E" w:rsidRPr="00627788" w:rsidRDefault="00F46C5E" w:rsidP="00F46C5E">
            <w:pPr>
              <w:ind w:firstLine="142"/>
              <w:rPr>
                <w:rFonts w:ascii="Arial Narrow" w:hAnsi="Arial Narrow"/>
                <w:sz w:val="20"/>
              </w:rPr>
            </w:pPr>
            <w:r w:rsidRPr="00627788">
              <w:rPr>
                <w:rFonts w:ascii="Arial Narrow" w:hAnsi="Arial Narrow"/>
                <w:sz w:val="20"/>
              </w:rPr>
              <w:t>0.0098</w:t>
            </w:r>
          </w:p>
        </w:tc>
        <w:tc>
          <w:tcPr>
            <w:tcW w:w="506"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r w:rsidRPr="00692CAA">
              <w:rPr>
                <w:rFonts w:ascii="Arial Narrow" w:hAnsi="Arial Narrow"/>
                <w:i/>
                <w:sz w:val="20"/>
              </w:rPr>
              <w:t>0.78</w:t>
            </w:r>
          </w:p>
          <w:p w:rsidR="00F46C5E" w:rsidRPr="00692CAA" w:rsidRDefault="00F46C5E" w:rsidP="00F46C5E">
            <w:pPr>
              <w:jc w:val="center"/>
              <w:rPr>
                <w:rFonts w:ascii="Arial Narrow" w:hAnsi="Arial Narrow"/>
                <w:i/>
                <w:sz w:val="20"/>
              </w:rPr>
            </w:pPr>
            <w:r w:rsidRPr="00692CAA">
              <w:rPr>
                <w:rFonts w:ascii="Arial Narrow" w:hAnsi="Arial Narrow"/>
                <w:i/>
                <w:sz w:val="20"/>
              </w:rPr>
              <w:t>0.52</w:t>
            </w:r>
          </w:p>
        </w:tc>
        <w:tc>
          <w:tcPr>
            <w:tcW w:w="505"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single" w:sz="4" w:space="0" w:color="auto"/>
              <w:right w:val="single" w:sz="4" w:space="0" w:color="auto"/>
            </w:tcBorders>
            <w:vAlign w:val="center"/>
            <w:hideMark/>
          </w:tcPr>
          <w:p w:rsidR="00F46C5E" w:rsidRPr="00627788" w:rsidRDefault="00F46C5E" w:rsidP="00F46C5E">
            <w:pPr>
              <w:rPr>
                <w:rFonts w:ascii="Arial Narrow" w:hAnsi="Arial Narrow"/>
                <w:sz w:val="20"/>
              </w:rPr>
            </w:pPr>
            <w:r w:rsidRPr="00627788">
              <w:rPr>
                <w:rFonts w:ascii="Arial Narrow" w:hAnsi="Arial Narrow"/>
                <w:sz w:val="20"/>
              </w:rPr>
              <w:t>Continuation criteria (base case = ACQ-5 score change of &gt; 0.5)</w:t>
            </w:r>
          </w:p>
          <w:p w:rsidR="00F46C5E" w:rsidRPr="00627788" w:rsidRDefault="00F46C5E" w:rsidP="00F46C5E">
            <w:pPr>
              <w:ind w:firstLine="142"/>
              <w:rPr>
                <w:rFonts w:ascii="Arial Narrow" w:hAnsi="Arial Narrow"/>
                <w:i/>
                <w:sz w:val="20"/>
              </w:rPr>
            </w:pPr>
            <w:r w:rsidRPr="00627788">
              <w:rPr>
                <w:rFonts w:ascii="Arial Narrow" w:hAnsi="Arial Narrow"/>
                <w:i/>
                <w:sz w:val="20"/>
              </w:rPr>
              <w:t>None</w:t>
            </w:r>
          </w:p>
          <w:p w:rsidR="00F46C5E" w:rsidRPr="00627788" w:rsidRDefault="00F46C5E" w:rsidP="00F46C5E">
            <w:pPr>
              <w:ind w:firstLine="142"/>
              <w:rPr>
                <w:rFonts w:ascii="Arial Narrow" w:hAnsi="Arial Narrow"/>
                <w:sz w:val="20"/>
              </w:rPr>
            </w:pPr>
            <w:r w:rsidRPr="00627788">
              <w:rPr>
                <w:rFonts w:ascii="Arial Narrow" w:hAnsi="Arial Narrow"/>
                <w:sz w:val="20"/>
              </w:rPr>
              <w:t>ACQ-5 score change of ≥ 1.5</w:t>
            </w:r>
          </w:p>
        </w:tc>
        <w:tc>
          <w:tcPr>
            <w:tcW w:w="506"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center"/>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r w:rsidRPr="00692CAA">
              <w:rPr>
                <w:rFonts w:ascii="Arial Narrow" w:hAnsi="Arial Narrow"/>
                <w:i/>
                <w:sz w:val="20"/>
              </w:rPr>
              <w:t>0.61</w:t>
            </w:r>
          </w:p>
          <w:p w:rsidR="00F46C5E" w:rsidRPr="00692CAA" w:rsidRDefault="00F46C5E" w:rsidP="00F46C5E">
            <w:pPr>
              <w:jc w:val="center"/>
              <w:rPr>
                <w:rFonts w:ascii="Arial Narrow" w:hAnsi="Arial Narrow"/>
                <w:i/>
                <w:sz w:val="20"/>
              </w:rPr>
            </w:pPr>
            <w:r w:rsidRPr="00692CAA">
              <w:rPr>
                <w:rFonts w:ascii="Arial Narrow" w:hAnsi="Arial Narrow"/>
                <w:i/>
                <w:sz w:val="20"/>
              </w:rPr>
              <w:t>0.76</w:t>
            </w:r>
          </w:p>
        </w:tc>
        <w:tc>
          <w:tcPr>
            <w:tcW w:w="505" w:type="pct"/>
            <w:tcBorders>
              <w:top w:val="single" w:sz="4" w:space="0" w:color="auto"/>
              <w:left w:val="single" w:sz="4" w:space="0" w:color="auto"/>
              <w:bottom w:val="single" w:sz="4" w:space="0" w:color="auto"/>
              <w:right w:val="single" w:sz="4" w:space="0" w:color="auto"/>
            </w:tcBorders>
          </w:tcPr>
          <w:p w:rsidR="00F46C5E" w:rsidRPr="00692CAA" w:rsidRDefault="00F46C5E" w:rsidP="00F46C5E">
            <w:pPr>
              <w:jc w:val="center"/>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Pr>
        <w:tc>
          <w:tcPr>
            <w:tcW w:w="3562" w:type="pct"/>
            <w:gridSpan w:val="8"/>
            <w:tcBorders>
              <w:top w:val="single" w:sz="4" w:space="0" w:color="auto"/>
              <w:left w:val="single" w:sz="4" w:space="0" w:color="auto"/>
              <w:bottom w:val="nil"/>
              <w:right w:val="single" w:sz="4" w:space="0" w:color="auto"/>
            </w:tcBorders>
            <w:vAlign w:val="center"/>
            <w:hideMark/>
          </w:tcPr>
          <w:p w:rsidR="00F46C5E" w:rsidRDefault="00F46C5E" w:rsidP="00F46C5E">
            <w:pPr>
              <w:rPr>
                <w:rFonts w:ascii="Arial Narrow" w:hAnsi="Arial Narrow"/>
                <w:i/>
                <w:sz w:val="20"/>
              </w:rPr>
            </w:pPr>
            <w:r>
              <w:rPr>
                <w:rFonts w:ascii="Arial Narrow" w:hAnsi="Arial Narrow"/>
                <w:i/>
                <w:sz w:val="20"/>
              </w:rPr>
              <w:t>Asthma-related deaths:</w:t>
            </w:r>
          </w:p>
        </w:tc>
        <w:tc>
          <w:tcPr>
            <w:tcW w:w="506" w:type="pct"/>
            <w:tcBorders>
              <w:top w:val="single" w:sz="4" w:space="0" w:color="auto"/>
              <w:left w:val="single" w:sz="4" w:space="0" w:color="auto"/>
              <w:bottom w:val="nil"/>
              <w:right w:val="single" w:sz="4" w:space="0" w:color="auto"/>
            </w:tcBorders>
          </w:tcPr>
          <w:p w:rsidR="00F46C5E" w:rsidRPr="00692CAA" w:rsidRDefault="00F46C5E" w:rsidP="00F46C5E">
            <w:pPr>
              <w:jc w:val="center"/>
              <w:rPr>
                <w:rFonts w:ascii="Arial Narrow" w:hAnsi="Arial Narrow"/>
                <w:i/>
                <w:sz w:val="20"/>
              </w:rPr>
            </w:pPr>
          </w:p>
        </w:tc>
        <w:tc>
          <w:tcPr>
            <w:tcW w:w="427" w:type="pct"/>
            <w:tcBorders>
              <w:top w:val="single" w:sz="4" w:space="0" w:color="auto"/>
              <w:left w:val="single" w:sz="4" w:space="0" w:color="auto"/>
              <w:bottom w:val="nil"/>
              <w:right w:val="single" w:sz="4" w:space="0" w:color="auto"/>
            </w:tcBorders>
          </w:tcPr>
          <w:p w:rsidR="00F46C5E" w:rsidRPr="00692CAA" w:rsidRDefault="00F46C5E" w:rsidP="00F46C5E">
            <w:pPr>
              <w:jc w:val="center"/>
              <w:rPr>
                <w:rFonts w:ascii="Arial Narrow" w:hAnsi="Arial Narrow"/>
                <w:i/>
                <w:sz w:val="20"/>
              </w:rPr>
            </w:pPr>
          </w:p>
        </w:tc>
        <w:tc>
          <w:tcPr>
            <w:tcW w:w="505" w:type="pct"/>
            <w:tcBorders>
              <w:top w:val="single" w:sz="4" w:space="0" w:color="auto"/>
              <w:left w:val="single" w:sz="4" w:space="0" w:color="auto"/>
              <w:bottom w:val="nil"/>
              <w:right w:val="single" w:sz="4" w:space="0" w:color="auto"/>
            </w:tcBorders>
          </w:tcPr>
          <w:p w:rsidR="00F46C5E" w:rsidRPr="00692CAA" w:rsidRDefault="00F46C5E" w:rsidP="00F46C5E">
            <w:pPr>
              <w:jc w:val="center"/>
              <w:rPr>
                <w:rFonts w:ascii="Arial Narrow" w:hAnsi="Arial Narrow"/>
                <w:i/>
                <w:sz w:val="20"/>
              </w:rPr>
            </w:pPr>
          </w:p>
        </w:tc>
      </w:tr>
      <w:tr w:rsidR="00F46C5E" w:rsidTr="00F46C5E">
        <w:trPr>
          <w:cantSplit/>
          <w:trHeight w:val="30"/>
        </w:trPr>
        <w:tc>
          <w:tcPr>
            <w:tcW w:w="763" w:type="pct"/>
            <w:gridSpan w:val="2"/>
            <w:tcBorders>
              <w:top w:val="nil"/>
              <w:left w:val="single" w:sz="4" w:space="0" w:color="auto"/>
              <w:bottom w:val="nil"/>
              <w:right w:val="nil"/>
            </w:tcBorders>
            <w:vAlign w:val="center"/>
          </w:tcPr>
          <w:p w:rsidR="00F46C5E" w:rsidRDefault="00F46C5E" w:rsidP="00F46C5E">
            <w:pPr>
              <w:keepNext/>
              <w:jc w:val="left"/>
              <w:rPr>
                <w:rFonts w:ascii="Arial Narrow" w:hAnsi="Arial Narrow"/>
                <w:sz w:val="20"/>
              </w:rPr>
            </w:pPr>
          </w:p>
        </w:tc>
        <w:tc>
          <w:tcPr>
            <w:tcW w:w="1018"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Exac + OCS burst</w:t>
            </w:r>
          </w:p>
        </w:tc>
        <w:tc>
          <w:tcPr>
            <w:tcW w:w="763"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Exac + ED visit</w:t>
            </w:r>
          </w:p>
        </w:tc>
        <w:tc>
          <w:tcPr>
            <w:tcW w:w="1018" w:type="pct"/>
            <w:gridSpan w:val="2"/>
            <w:tcBorders>
              <w:top w:val="nil"/>
              <w:left w:val="nil"/>
              <w:bottom w:val="nil"/>
              <w:right w:val="single" w:sz="4" w:space="0" w:color="auto"/>
            </w:tcBorders>
            <w:vAlign w:val="center"/>
            <w:hideMark/>
          </w:tcPr>
          <w:p w:rsidR="00F46C5E" w:rsidRDefault="00F46C5E" w:rsidP="00F46C5E">
            <w:pPr>
              <w:keepNext/>
              <w:jc w:val="center"/>
              <w:rPr>
                <w:rFonts w:ascii="Arial Narrow" w:hAnsi="Arial Narrow"/>
                <w:sz w:val="20"/>
              </w:rPr>
            </w:pPr>
            <w:r>
              <w:rPr>
                <w:rFonts w:ascii="Arial Narrow" w:hAnsi="Arial Narrow"/>
                <w:sz w:val="20"/>
              </w:rPr>
              <w:t>Exac + hospital</w:t>
            </w:r>
          </w:p>
        </w:tc>
        <w:tc>
          <w:tcPr>
            <w:tcW w:w="506" w:type="pct"/>
            <w:vMerge w:val="restart"/>
            <w:tcBorders>
              <w:top w:val="nil"/>
              <w:left w:val="single" w:sz="4" w:space="0" w:color="auto"/>
              <w:bottom w:val="nil"/>
              <w:right w:val="single" w:sz="4" w:space="0" w:color="auto"/>
            </w:tcBorders>
            <w:vAlign w:val="bottom"/>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vMerge w:val="restart"/>
            <w:tcBorders>
              <w:top w:val="nil"/>
              <w:left w:val="single" w:sz="4" w:space="0" w:color="auto"/>
              <w:bottom w:val="nil"/>
              <w:right w:val="single" w:sz="4" w:space="0" w:color="auto"/>
            </w:tcBorders>
            <w:vAlign w:val="bottom"/>
          </w:tcPr>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r w:rsidRPr="00692CAA">
              <w:rPr>
                <w:rFonts w:ascii="Arial Narrow" w:hAnsi="Arial Narrow"/>
                <w:i/>
                <w:sz w:val="20"/>
              </w:rPr>
              <w:t>0.51</w:t>
            </w:r>
          </w:p>
          <w:p w:rsidR="00F46C5E" w:rsidRPr="00692CAA" w:rsidRDefault="00F46C5E" w:rsidP="00F46C5E">
            <w:pPr>
              <w:keepNext/>
              <w:jc w:val="center"/>
              <w:rPr>
                <w:rFonts w:ascii="Arial Narrow" w:hAnsi="Arial Narrow"/>
                <w:i/>
                <w:sz w:val="20"/>
              </w:rPr>
            </w:pPr>
            <w:r w:rsidRPr="00692CAA">
              <w:rPr>
                <w:rFonts w:ascii="Arial Narrow" w:hAnsi="Arial Narrow"/>
                <w:i/>
                <w:sz w:val="20"/>
              </w:rPr>
              <w:t>0.55</w:t>
            </w:r>
          </w:p>
        </w:tc>
        <w:tc>
          <w:tcPr>
            <w:tcW w:w="505" w:type="pct"/>
            <w:vMerge w:val="restart"/>
            <w:tcBorders>
              <w:top w:val="nil"/>
              <w:left w:val="single" w:sz="4" w:space="0" w:color="auto"/>
              <w:bottom w:val="nil"/>
              <w:right w:val="single" w:sz="4" w:space="0" w:color="auto"/>
            </w:tcBorders>
            <w:vAlign w:val="bottom"/>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Height w:val="30"/>
        </w:trPr>
        <w:tc>
          <w:tcPr>
            <w:tcW w:w="763" w:type="pct"/>
            <w:gridSpan w:val="2"/>
            <w:tcBorders>
              <w:top w:val="nil"/>
              <w:left w:val="single" w:sz="4" w:space="0" w:color="auto"/>
              <w:bottom w:val="nil"/>
              <w:right w:val="nil"/>
            </w:tcBorders>
            <w:vAlign w:val="center"/>
            <w:hideMark/>
          </w:tcPr>
          <w:p w:rsidR="00F46C5E" w:rsidRDefault="00F46C5E" w:rsidP="00F46C5E">
            <w:pPr>
              <w:keepNext/>
              <w:jc w:val="left"/>
              <w:rPr>
                <w:rFonts w:ascii="Arial Narrow" w:hAnsi="Arial Narrow"/>
                <w:sz w:val="20"/>
              </w:rPr>
            </w:pPr>
            <w:r>
              <w:rPr>
                <w:rFonts w:ascii="Arial Narrow" w:hAnsi="Arial Narrow"/>
                <w:sz w:val="20"/>
              </w:rPr>
              <w:t xml:space="preserve">Base case </w:t>
            </w:r>
          </w:p>
        </w:tc>
        <w:tc>
          <w:tcPr>
            <w:tcW w:w="1018"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0.0043</w:t>
            </w:r>
          </w:p>
        </w:tc>
        <w:tc>
          <w:tcPr>
            <w:tcW w:w="763"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0.0043</w:t>
            </w:r>
          </w:p>
        </w:tc>
        <w:tc>
          <w:tcPr>
            <w:tcW w:w="1018" w:type="pct"/>
            <w:gridSpan w:val="2"/>
            <w:tcBorders>
              <w:top w:val="nil"/>
              <w:left w:val="nil"/>
              <w:bottom w:val="nil"/>
              <w:right w:val="single" w:sz="4" w:space="0" w:color="auto"/>
            </w:tcBorders>
            <w:vAlign w:val="center"/>
            <w:hideMark/>
          </w:tcPr>
          <w:p w:rsidR="00F46C5E" w:rsidRDefault="00F46C5E" w:rsidP="00F46C5E">
            <w:pPr>
              <w:keepNext/>
              <w:jc w:val="center"/>
              <w:rPr>
                <w:rFonts w:ascii="Arial Narrow" w:hAnsi="Arial Narrow"/>
                <w:sz w:val="20"/>
              </w:rPr>
            </w:pPr>
            <w:r>
              <w:rPr>
                <w:rFonts w:ascii="Arial Narrow" w:hAnsi="Arial Narrow"/>
                <w:sz w:val="20"/>
              </w:rPr>
              <w:t>0.0113</w:t>
            </w: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505" w:type="pct"/>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r>
      <w:tr w:rsidR="00F46C5E" w:rsidTr="00F46C5E">
        <w:trPr>
          <w:cantSplit/>
          <w:trHeight w:val="30"/>
        </w:trPr>
        <w:tc>
          <w:tcPr>
            <w:tcW w:w="763" w:type="pct"/>
            <w:gridSpan w:val="2"/>
            <w:tcBorders>
              <w:top w:val="nil"/>
              <w:left w:val="single" w:sz="4" w:space="0" w:color="auto"/>
              <w:bottom w:val="nil"/>
              <w:right w:val="nil"/>
            </w:tcBorders>
            <w:vAlign w:val="center"/>
            <w:hideMark/>
          </w:tcPr>
          <w:p w:rsidR="00F46C5E" w:rsidRDefault="00F46C5E" w:rsidP="00A242F1">
            <w:pPr>
              <w:keepNext/>
              <w:jc w:val="left"/>
              <w:rPr>
                <w:rFonts w:ascii="Arial Narrow" w:hAnsi="Arial Narrow"/>
                <w:sz w:val="20"/>
              </w:rPr>
            </w:pPr>
            <w:r>
              <w:rPr>
                <w:rFonts w:ascii="Arial Narrow" w:hAnsi="Arial Narrow"/>
                <w:sz w:val="20"/>
              </w:rPr>
              <w:t xml:space="preserve">Lower 95% CI </w:t>
            </w:r>
          </w:p>
        </w:tc>
        <w:tc>
          <w:tcPr>
            <w:tcW w:w="1018"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0.0039</w:t>
            </w:r>
          </w:p>
        </w:tc>
        <w:tc>
          <w:tcPr>
            <w:tcW w:w="763"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0.0039</w:t>
            </w:r>
          </w:p>
        </w:tc>
        <w:tc>
          <w:tcPr>
            <w:tcW w:w="1018" w:type="pct"/>
            <w:gridSpan w:val="2"/>
            <w:tcBorders>
              <w:top w:val="nil"/>
              <w:left w:val="nil"/>
              <w:bottom w:val="nil"/>
              <w:right w:val="single" w:sz="4" w:space="0" w:color="auto"/>
            </w:tcBorders>
            <w:vAlign w:val="center"/>
            <w:hideMark/>
          </w:tcPr>
          <w:p w:rsidR="00F46C5E" w:rsidRDefault="00F46C5E" w:rsidP="00F46C5E">
            <w:pPr>
              <w:keepNext/>
              <w:jc w:val="center"/>
              <w:rPr>
                <w:rFonts w:ascii="Arial Narrow" w:hAnsi="Arial Narrow"/>
                <w:sz w:val="20"/>
              </w:rPr>
            </w:pPr>
            <w:r>
              <w:rPr>
                <w:rFonts w:ascii="Arial Narrow" w:hAnsi="Arial Narrow"/>
                <w:sz w:val="20"/>
              </w:rPr>
              <w:t>0.0090</w:t>
            </w: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505" w:type="pct"/>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r>
      <w:tr w:rsidR="00F46C5E" w:rsidTr="00F46C5E">
        <w:trPr>
          <w:cantSplit/>
          <w:trHeight w:val="103"/>
        </w:trPr>
        <w:tc>
          <w:tcPr>
            <w:tcW w:w="763" w:type="pct"/>
            <w:gridSpan w:val="2"/>
            <w:tcBorders>
              <w:top w:val="nil"/>
              <w:left w:val="single" w:sz="4" w:space="0" w:color="auto"/>
              <w:bottom w:val="nil"/>
              <w:right w:val="nil"/>
            </w:tcBorders>
            <w:vAlign w:val="center"/>
            <w:hideMark/>
          </w:tcPr>
          <w:p w:rsidR="00F46C5E" w:rsidRDefault="00A242F1" w:rsidP="00A242F1">
            <w:pPr>
              <w:keepNext/>
              <w:jc w:val="left"/>
              <w:rPr>
                <w:rFonts w:ascii="Arial Narrow" w:hAnsi="Arial Narrow"/>
                <w:sz w:val="20"/>
              </w:rPr>
            </w:pPr>
            <w:r>
              <w:rPr>
                <w:rFonts w:ascii="Arial Narrow" w:hAnsi="Arial Narrow"/>
                <w:sz w:val="20"/>
              </w:rPr>
              <w:t>Upper 95% CI</w:t>
            </w:r>
          </w:p>
        </w:tc>
        <w:tc>
          <w:tcPr>
            <w:tcW w:w="1018"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0.0047</w:t>
            </w:r>
          </w:p>
        </w:tc>
        <w:tc>
          <w:tcPr>
            <w:tcW w:w="763" w:type="pct"/>
            <w:gridSpan w:val="2"/>
            <w:tcBorders>
              <w:top w:val="nil"/>
              <w:left w:val="nil"/>
              <w:bottom w:val="nil"/>
              <w:right w:val="nil"/>
            </w:tcBorders>
            <w:vAlign w:val="center"/>
            <w:hideMark/>
          </w:tcPr>
          <w:p w:rsidR="00F46C5E" w:rsidRDefault="00F46C5E" w:rsidP="00F46C5E">
            <w:pPr>
              <w:keepNext/>
              <w:jc w:val="center"/>
              <w:rPr>
                <w:rFonts w:ascii="Arial Narrow" w:hAnsi="Arial Narrow"/>
                <w:sz w:val="20"/>
              </w:rPr>
            </w:pPr>
            <w:r>
              <w:rPr>
                <w:rFonts w:ascii="Arial Narrow" w:hAnsi="Arial Narrow"/>
                <w:sz w:val="20"/>
              </w:rPr>
              <w:t>0.0047</w:t>
            </w:r>
          </w:p>
        </w:tc>
        <w:tc>
          <w:tcPr>
            <w:tcW w:w="1018" w:type="pct"/>
            <w:gridSpan w:val="2"/>
            <w:tcBorders>
              <w:top w:val="nil"/>
              <w:left w:val="nil"/>
              <w:bottom w:val="nil"/>
              <w:right w:val="single" w:sz="4" w:space="0" w:color="auto"/>
            </w:tcBorders>
            <w:vAlign w:val="center"/>
            <w:hideMark/>
          </w:tcPr>
          <w:p w:rsidR="00F46C5E" w:rsidRDefault="00F46C5E" w:rsidP="00F46C5E">
            <w:pPr>
              <w:keepNext/>
              <w:jc w:val="center"/>
              <w:rPr>
                <w:rFonts w:ascii="Arial Narrow" w:hAnsi="Arial Narrow"/>
                <w:sz w:val="20"/>
              </w:rPr>
            </w:pPr>
            <w:r>
              <w:rPr>
                <w:rFonts w:ascii="Arial Narrow" w:hAnsi="Arial Narrow"/>
                <w:sz w:val="20"/>
              </w:rPr>
              <w:t>0.0140</w:t>
            </w: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0" w:type="auto"/>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c>
          <w:tcPr>
            <w:tcW w:w="505" w:type="pct"/>
            <w:vMerge/>
            <w:tcBorders>
              <w:top w:val="nil"/>
              <w:left w:val="single" w:sz="4" w:space="0" w:color="auto"/>
              <w:bottom w:val="nil"/>
              <w:right w:val="single" w:sz="4" w:space="0" w:color="auto"/>
            </w:tcBorders>
            <w:vAlign w:val="center"/>
            <w:hideMark/>
          </w:tcPr>
          <w:p w:rsidR="00F46C5E" w:rsidRPr="00692CAA" w:rsidRDefault="00F46C5E" w:rsidP="00F46C5E">
            <w:pPr>
              <w:widowControl/>
              <w:jc w:val="left"/>
              <w:rPr>
                <w:rFonts w:ascii="Arial Narrow" w:hAnsi="Arial Narrow"/>
                <w:i/>
                <w:sz w:val="20"/>
              </w:rPr>
            </w:pPr>
          </w:p>
        </w:tc>
      </w:tr>
      <w:tr w:rsidR="00F46C5E" w:rsidTr="00F46C5E">
        <w:trPr>
          <w:cantSplit/>
          <w:trHeight w:val="119"/>
        </w:trPr>
        <w:tc>
          <w:tcPr>
            <w:tcW w:w="763" w:type="pct"/>
            <w:gridSpan w:val="2"/>
            <w:tcBorders>
              <w:top w:val="nil"/>
              <w:left w:val="single" w:sz="4" w:space="0" w:color="auto"/>
              <w:bottom w:val="nil"/>
              <w:right w:val="nil"/>
            </w:tcBorders>
            <w:vAlign w:val="center"/>
          </w:tcPr>
          <w:p w:rsidR="00F46C5E" w:rsidRPr="001B5E26" w:rsidRDefault="00F46C5E" w:rsidP="00F46C5E">
            <w:pPr>
              <w:keepNext/>
              <w:jc w:val="left"/>
              <w:rPr>
                <w:rFonts w:ascii="Arial Narrow" w:hAnsi="Arial Narrow"/>
                <w:i/>
                <w:sz w:val="20"/>
              </w:rPr>
            </w:pPr>
            <w:r w:rsidRPr="001B5E26">
              <w:rPr>
                <w:rFonts w:ascii="Arial Narrow" w:hAnsi="Arial Narrow"/>
                <w:i/>
                <w:sz w:val="20"/>
              </w:rPr>
              <w:t>In ED and hosp</w:t>
            </w:r>
          </w:p>
        </w:tc>
        <w:tc>
          <w:tcPr>
            <w:tcW w:w="1018" w:type="pct"/>
            <w:gridSpan w:val="2"/>
            <w:tcBorders>
              <w:top w:val="nil"/>
              <w:left w:val="nil"/>
              <w:bottom w:val="nil"/>
              <w:right w:val="nil"/>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0.0000</w:t>
            </w:r>
          </w:p>
        </w:tc>
        <w:tc>
          <w:tcPr>
            <w:tcW w:w="763" w:type="pct"/>
            <w:gridSpan w:val="2"/>
            <w:tcBorders>
              <w:top w:val="nil"/>
              <w:left w:val="nil"/>
              <w:bottom w:val="nil"/>
              <w:right w:val="nil"/>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0.0043</w:t>
            </w:r>
          </w:p>
        </w:tc>
        <w:tc>
          <w:tcPr>
            <w:tcW w:w="1018" w:type="pct"/>
            <w:gridSpan w:val="2"/>
            <w:tcBorders>
              <w:top w:val="nil"/>
              <w:left w:val="nil"/>
              <w:bottom w:val="nil"/>
              <w:right w:val="single" w:sz="4" w:space="0" w:color="auto"/>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0.0113</w:t>
            </w:r>
          </w:p>
        </w:tc>
        <w:tc>
          <w:tcPr>
            <w:tcW w:w="0" w:type="auto"/>
            <w:tcBorders>
              <w:top w:val="nil"/>
              <w:left w:val="single" w:sz="4" w:space="0" w:color="auto"/>
              <w:bottom w:val="nil"/>
              <w:right w:val="single" w:sz="4" w:space="0" w:color="auto"/>
            </w:tcBorders>
            <w:vAlign w:val="center"/>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0" w:type="auto"/>
            <w:tcBorders>
              <w:top w:val="nil"/>
              <w:left w:val="single" w:sz="4" w:space="0" w:color="auto"/>
              <w:bottom w:val="nil"/>
              <w:right w:val="single" w:sz="4" w:space="0" w:color="auto"/>
            </w:tcBorders>
            <w:vAlign w:val="center"/>
          </w:tcPr>
          <w:p w:rsidR="00F46C5E" w:rsidRPr="00692CAA" w:rsidRDefault="00F46C5E" w:rsidP="00F46C5E">
            <w:pPr>
              <w:keepNext/>
              <w:jc w:val="center"/>
              <w:rPr>
                <w:rFonts w:ascii="Arial Narrow" w:hAnsi="Arial Narrow"/>
                <w:i/>
                <w:sz w:val="20"/>
              </w:rPr>
            </w:pPr>
            <w:r w:rsidRPr="00692CAA">
              <w:rPr>
                <w:rFonts w:ascii="Arial Narrow" w:hAnsi="Arial Narrow"/>
                <w:i/>
                <w:sz w:val="20"/>
              </w:rPr>
              <w:t>0.43</w:t>
            </w:r>
          </w:p>
        </w:tc>
        <w:tc>
          <w:tcPr>
            <w:tcW w:w="505" w:type="pct"/>
            <w:tcBorders>
              <w:top w:val="nil"/>
              <w:left w:val="single" w:sz="4" w:space="0" w:color="auto"/>
              <w:bottom w:val="nil"/>
              <w:right w:val="single" w:sz="4" w:space="0" w:color="auto"/>
            </w:tcBorders>
            <w:vAlign w:val="center"/>
          </w:tcPr>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Height w:val="119"/>
        </w:trPr>
        <w:tc>
          <w:tcPr>
            <w:tcW w:w="763" w:type="pct"/>
            <w:gridSpan w:val="2"/>
            <w:tcBorders>
              <w:top w:val="nil"/>
              <w:left w:val="single" w:sz="4" w:space="0" w:color="auto"/>
              <w:bottom w:val="single" w:sz="4" w:space="0" w:color="auto"/>
              <w:right w:val="nil"/>
            </w:tcBorders>
            <w:vAlign w:val="center"/>
          </w:tcPr>
          <w:p w:rsidR="00F46C5E" w:rsidRPr="001B5E26" w:rsidRDefault="00F46C5E" w:rsidP="00A242F1">
            <w:pPr>
              <w:keepNext/>
              <w:jc w:val="left"/>
              <w:rPr>
                <w:rFonts w:ascii="Arial Narrow" w:hAnsi="Arial Narrow"/>
                <w:i/>
                <w:sz w:val="20"/>
              </w:rPr>
            </w:pPr>
            <w:r w:rsidRPr="001B5E26">
              <w:rPr>
                <w:rFonts w:ascii="Arial Narrow" w:hAnsi="Arial Narrow"/>
                <w:i/>
                <w:sz w:val="20"/>
              </w:rPr>
              <w:t xml:space="preserve">Only for hospital </w:t>
            </w:r>
          </w:p>
        </w:tc>
        <w:tc>
          <w:tcPr>
            <w:tcW w:w="1018" w:type="pct"/>
            <w:gridSpan w:val="2"/>
            <w:tcBorders>
              <w:top w:val="nil"/>
              <w:left w:val="nil"/>
              <w:bottom w:val="single" w:sz="4" w:space="0" w:color="auto"/>
              <w:right w:val="nil"/>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0.0000</w:t>
            </w:r>
          </w:p>
        </w:tc>
        <w:tc>
          <w:tcPr>
            <w:tcW w:w="763" w:type="pct"/>
            <w:gridSpan w:val="2"/>
            <w:tcBorders>
              <w:top w:val="nil"/>
              <w:left w:val="nil"/>
              <w:bottom w:val="single" w:sz="4" w:space="0" w:color="auto"/>
              <w:right w:val="nil"/>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0.0000</w:t>
            </w:r>
          </w:p>
        </w:tc>
        <w:tc>
          <w:tcPr>
            <w:tcW w:w="1018" w:type="pct"/>
            <w:gridSpan w:val="2"/>
            <w:tcBorders>
              <w:top w:val="nil"/>
              <w:left w:val="nil"/>
              <w:bottom w:val="single" w:sz="4" w:space="0" w:color="auto"/>
              <w:right w:val="single" w:sz="4" w:space="0" w:color="auto"/>
            </w:tcBorders>
            <w:vAlign w:val="center"/>
          </w:tcPr>
          <w:p w:rsidR="00F46C5E" w:rsidRPr="001B5E26" w:rsidRDefault="00F46C5E" w:rsidP="00F46C5E">
            <w:pPr>
              <w:keepNext/>
              <w:jc w:val="center"/>
              <w:rPr>
                <w:rFonts w:ascii="Arial Narrow" w:hAnsi="Arial Narrow"/>
                <w:i/>
                <w:sz w:val="20"/>
              </w:rPr>
            </w:pPr>
            <w:r w:rsidRPr="001B5E26">
              <w:rPr>
                <w:rFonts w:ascii="Arial Narrow" w:hAnsi="Arial Narrow"/>
                <w:i/>
                <w:sz w:val="20"/>
              </w:rPr>
              <w:t>0.0113</w:t>
            </w:r>
          </w:p>
        </w:tc>
        <w:tc>
          <w:tcPr>
            <w:tcW w:w="0" w:type="auto"/>
            <w:tcBorders>
              <w:top w:val="nil"/>
              <w:left w:val="single" w:sz="4" w:space="0" w:color="auto"/>
              <w:bottom w:val="single" w:sz="4" w:space="0" w:color="auto"/>
              <w:right w:val="single" w:sz="4" w:space="0" w:color="auto"/>
            </w:tcBorders>
            <w:vAlign w:val="center"/>
          </w:tcPr>
          <w:p w:rsidR="00F46C5E" w:rsidRPr="00692CAA" w:rsidRDefault="00F46C5E" w:rsidP="00F46C5E">
            <w:pPr>
              <w:keepNext/>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0" w:type="auto"/>
            <w:tcBorders>
              <w:top w:val="nil"/>
              <w:left w:val="single" w:sz="4" w:space="0" w:color="auto"/>
              <w:bottom w:val="single" w:sz="4" w:space="0" w:color="auto"/>
              <w:right w:val="single" w:sz="4" w:space="0" w:color="auto"/>
            </w:tcBorders>
            <w:vAlign w:val="center"/>
          </w:tcPr>
          <w:p w:rsidR="00F46C5E" w:rsidRPr="00692CAA" w:rsidRDefault="00F46C5E" w:rsidP="00F46C5E">
            <w:pPr>
              <w:keepNext/>
              <w:jc w:val="center"/>
              <w:rPr>
                <w:rFonts w:ascii="Arial Narrow" w:hAnsi="Arial Narrow"/>
                <w:i/>
                <w:sz w:val="20"/>
              </w:rPr>
            </w:pPr>
            <w:r w:rsidRPr="00692CAA">
              <w:rPr>
                <w:rFonts w:ascii="Arial Narrow" w:hAnsi="Arial Narrow"/>
                <w:i/>
                <w:sz w:val="20"/>
              </w:rPr>
              <w:t>0.42</w:t>
            </w:r>
          </w:p>
        </w:tc>
        <w:tc>
          <w:tcPr>
            <w:tcW w:w="505" w:type="pct"/>
            <w:tcBorders>
              <w:top w:val="nil"/>
              <w:left w:val="single" w:sz="4" w:space="0" w:color="auto"/>
              <w:bottom w:val="single" w:sz="4" w:space="0" w:color="auto"/>
              <w:right w:val="single" w:sz="4" w:space="0" w:color="auto"/>
            </w:tcBorders>
            <w:vAlign w:val="center"/>
          </w:tcPr>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Height w:val="30"/>
        </w:trPr>
        <w:tc>
          <w:tcPr>
            <w:tcW w:w="3562" w:type="pct"/>
            <w:gridSpan w:val="8"/>
            <w:tcBorders>
              <w:top w:val="single" w:sz="4" w:space="0" w:color="auto"/>
              <w:left w:val="single" w:sz="4" w:space="0" w:color="auto"/>
              <w:bottom w:val="nil"/>
              <w:right w:val="single" w:sz="4" w:space="0" w:color="auto"/>
            </w:tcBorders>
            <w:vAlign w:val="center"/>
            <w:hideMark/>
          </w:tcPr>
          <w:p w:rsidR="00F46C5E" w:rsidRDefault="00F46C5E" w:rsidP="00F46C5E">
            <w:pPr>
              <w:jc w:val="left"/>
              <w:rPr>
                <w:rFonts w:ascii="Arial Narrow" w:hAnsi="Arial Narrow"/>
                <w:sz w:val="20"/>
              </w:rPr>
            </w:pPr>
            <w:r>
              <w:rPr>
                <w:rFonts w:ascii="Arial Narrow" w:hAnsi="Arial Narrow"/>
                <w:sz w:val="20"/>
              </w:rPr>
              <w:t>Utilities (SGRQ replaced with EQ-5D scores from Study 977):</w:t>
            </w:r>
          </w:p>
        </w:tc>
        <w:tc>
          <w:tcPr>
            <w:tcW w:w="506" w:type="pct"/>
            <w:vMerge w:val="restar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c>
          <w:tcPr>
            <w:tcW w:w="427" w:type="pct"/>
            <w:vMerge w:val="restar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p>
          <w:p w:rsidR="00F46C5E" w:rsidRPr="00692CAA" w:rsidRDefault="00F46C5E" w:rsidP="00F46C5E">
            <w:pPr>
              <w:jc w:val="center"/>
              <w:rPr>
                <w:rFonts w:ascii="Arial Narrow" w:hAnsi="Arial Narrow"/>
                <w:i/>
                <w:sz w:val="20"/>
              </w:rPr>
            </w:pPr>
            <w:r w:rsidRPr="00692CAA">
              <w:rPr>
                <w:rFonts w:ascii="Arial Narrow" w:hAnsi="Arial Narrow"/>
                <w:i/>
                <w:sz w:val="20"/>
              </w:rPr>
              <w:t>0.38</w:t>
            </w:r>
          </w:p>
        </w:tc>
        <w:tc>
          <w:tcPr>
            <w:tcW w:w="505" w:type="pct"/>
            <w:vMerge w:val="restart"/>
            <w:tcBorders>
              <w:top w:val="single" w:sz="4" w:space="0" w:color="auto"/>
              <w:left w:val="single" w:sz="4" w:space="0" w:color="auto"/>
              <w:bottom w:val="single" w:sz="4" w:space="0" w:color="auto"/>
              <w:right w:val="single" w:sz="4" w:space="0" w:color="auto"/>
            </w:tcBorders>
            <w:vAlign w:val="bottom"/>
          </w:tcPr>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p>
          <w:p w:rsidR="00F46C5E" w:rsidRPr="00692CAA" w:rsidRDefault="00F46C5E" w:rsidP="00F46C5E">
            <w:pPr>
              <w:jc w:val="right"/>
              <w:rPr>
                <w:rFonts w:ascii="Arial Narrow" w:hAnsi="Arial Narrow"/>
                <w:i/>
                <w:sz w:val="20"/>
              </w:rPr>
            </w:pPr>
            <w:r w:rsidRPr="00692CAA">
              <w:rPr>
                <w:rFonts w:ascii="Arial Narrow" w:hAnsi="Arial Narrow"/>
                <w:i/>
                <w:sz w:val="20"/>
              </w:rPr>
              <w:t>$</w:t>
            </w:r>
            <w:r w:rsidR="0024101C">
              <w:rPr>
                <w:rFonts w:ascii="Arial Narrow" w:hAnsi="Arial Narrow"/>
                <w:i/>
                <w:noProof/>
                <w:color w:val="000000"/>
                <w:sz w:val="20"/>
                <w:highlight w:val="black"/>
              </w:rPr>
              <w:t>'''''''''''''''''''</w:t>
            </w:r>
          </w:p>
        </w:tc>
      </w:tr>
      <w:tr w:rsidR="00F46C5E" w:rsidTr="00F46C5E">
        <w:trPr>
          <w:cantSplit/>
          <w:trHeight w:val="30"/>
        </w:trPr>
        <w:tc>
          <w:tcPr>
            <w:tcW w:w="508" w:type="pct"/>
            <w:tcBorders>
              <w:top w:val="nil"/>
              <w:left w:val="single" w:sz="4" w:space="0" w:color="auto"/>
              <w:bottom w:val="nil"/>
              <w:right w:val="nil"/>
            </w:tcBorders>
            <w:vAlign w:val="center"/>
          </w:tcPr>
          <w:p w:rsidR="00F46C5E" w:rsidRDefault="00F46C5E" w:rsidP="00F46C5E">
            <w:pPr>
              <w:jc w:val="left"/>
              <w:rPr>
                <w:rFonts w:ascii="Arial Narrow" w:hAnsi="Arial Narrow"/>
                <w:sz w:val="20"/>
              </w:rPr>
            </w:pPr>
          </w:p>
        </w:tc>
        <w:tc>
          <w:tcPr>
            <w:tcW w:w="761" w:type="pct"/>
            <w:gridSpan w:val="2"/>
            <w:tcBorders>
              <w:top w:val="nil"/>
              <w:left w:val="nil"/>
              <w:bottom w:val="nil"/>
              <w:right w:val="nil"/>
            </w:tcBorders>
            <w:vAlign w:val="center"/>
            <w:hideMark/>
          </w:tcPr>
          <w:p w:rsidR="00F46C5E" w:rsidRDefault="00F46C5E" w:rsidP="00F46C5E">
            <w:pPr>
              <w:jc w:val="center"/>
              <w:rPr>
                <w:rFonts w:ascii="Arial Narrow" w:hAnsi="Arial Narrow"/>
                <w:sz w:val="20"/>
              </w:rPr>
            </w:pPr>
            <w:r>
              <w:rPr>
                <w:rFonts w:ascii="Arial Narrow" w:hAnsi="Arial Narrow"/>
                <w:sz w:val="20"/>
              </w:rPr>
              <w:t>MEPO ≤ 32 wks</w:t>
            </w:r>
          </w:p>
        </w:tc>
        <w:tc>
          <w:tcPr>
            <w:tcW w:w="763" w:type="pct"/>
            <w:gridSpan w:val="2"/>
            <w:tcBorders>
              <w:top w:val="nil"/>
              <w:left w:val="nil"/>
              <w:bottom w:val="nil"/>
              <w:right w:val="nil"/>
            </w:tcBorders>
            <w:vAlign w:val="center"/>
            <w:hideMark/>
          </w:tcPr>
          <w:p w:rsidR="00F46C5E" w:rsidRDefault="00F46C5E" w:rsidP="00F46C5E">
            <w:pPr>
              <w:jc w:val="center"/>
              <w:rPr>
                <w:rFonts w:ascii="Arial Narrow" w:hAnsi="Arial Narrow"/>
                <w:sz w:val="20"/>
              </w:rPr>
            </w:pPr>
            <w:r>
              <w:rPr>
                <w:rFonts w:ascii="Arial Narrow" w:hAnsi="Arial Narrow"/>
                <w:sz w:val="20"/>
              </w:rPr>
              <w:t>SOC ≤ 32 wks</w:t>
            </w:r>
          </w:p>
        </w:tc>
        <w:tc>
          <w:tcPr>
            <w:tcW w:w="763" w:type="pct"/>
            <w:gridSpan w:val="2"/>
            <w:tcBorders>
              <w:top w:val="nil"/>
              <w:left w:val="nil"/>
              <w:bottom w:val="nil"/>
              <w:right w:val="nil"/>
            </w:tcBorders>
            <w:vAlign w:val="center"/>
            <w:hideMark/>
          </w:tcPr>
          <w:p w:rsidR="00F46C5E" w:rsidRDefault="00F46C5E" w:rsidP="00F46C5E">
            <w:pPr>
              <w:jc w:val="center"/>
              <w:rPr>
                <w:rFonts w:ascii="Arial Narrow" w:hAnsi="Arial Narrow"/>
                <w:sz w:val="20"/>
              </w:rPr>
            </w:pPr>
            <w:r>
              <w:rPr>
                <w:rFonts w:ascii="Arial Narrow" w:hAnsi="Arial Narrow"/>
                <w:sz w:val="20"/>
              </w:rPr>
              <w:t>MEPO &gt; 32 wks</w:t>
            </w:r>
          </w:p>
        </w:tc>
        <w:tc>
          <w:tcPr>
            <w:tcW w:w="767" w:type="pct"/>
            <w:tcBorders>
              <w:top w:val="nil"/>
              <w:left w:val="nil"/>
              <w:bottom w:val="nil"/>
              <w:right w:val="single" w:sz="4" w:space="0" w:color="auto"/>
            </w:tcBorders>
            <w:vAlign w:val="center"/>
            <w:hideMark/>
          </w:tcPr>
          <w:p w:rsidR="00F46C5E" w:rsidRDefault="00F46C5E" w:rsidP="00F46C5E">
            <w:pPr>
              <w:jc w:val="center"/>
              <w:rPr>
                <w:rFonts w:ascii="Arial Narrow" w:hAnsi="Arial Narrow"/>
                <w:sz w:val="20"/>
              </w:rPr>
            </w:pPr>
            <w:r>
              <w:rPr>
                <w:rFonts w:ascii="Arial Narrow" w:hAnsi="Arial Narrow"/>
                <w:sz w:val="20"/>
              </w:rPr>
              <w:t>SOC &gt; 32 wks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r>
      <w:tr w:rsidR="00F46C5E" w:rsidTr="00F46C5E">
        <w:trPr>
          <w:cantSplit/>
          <w:trHeight w:val="50"/>
        </w:trPr>
        <w:tc>
          <w:tcPr>
            <w:tcW w:w="508" w:type="pct"/>
            <w:tcBorders>
              <w:top w:val="nil"/>
              <w:left w:val="single" w:sz="4" w:space="0" w:color="auto"/>
              <w:bottom w:val="nil"/>
              <w:right w:val="nil"/>
            </w:tcBorders>
            <w:vAlign w:val="center"/>
            <w:hideMark/>
          </w:tcPr>
          <w:p w:rsidR="00F46C5E" w:rsidRDefault="00F46C5E" w:rsidP="00F46C5E">
            <w:pPr>
              <w:jc w:val="left"/>
              <w:rPr>
                <w:rFonts w:ascii="Arial Narrow" w:hAnsi="Arial Narrow"/>
                <w:sz w:val="20"/>
              </w:rPr>
            </w:pPr>
            <w:r>
              <w:rPr>
                <w:rFonts w:ascii="Arial Narrow" w:hAnsi="Arial Narrow"/>
                <w:sz w:val="20"/>
              </w:rPr>
              <w:t>Base case</w:t>
            </w:r>
          </w:p>
        </w:tc>
        <w:tc>
          <w:tcPr>
            <w:tcW w:w="761" w:type="pct"/>
            <w:gridSpan w:val="2"/>
            <w:tcBorders>
              <w:top w:val="nil"/>
              <w:left w:val="nil"/>
              <w:bottom w:val="nil"/>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3" w:type="pct"/>
            <w:gridSpan w:val="2"/>
            <w:tcBorders>
              <w:top w:val="nil"/>
              <w:left w:val="nil"/>
              <w:bottom w:val="nil"/>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3" w:type="pct"/>
            <w:gridSpan w:val="2"/>
            <w:tcBorders>
              <w:top w:val="nil"/>
              <w:left w:val="nil"/>
              <w:bottom w:val="nil"/>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7" w:type="pct"/>
            <w:tcBorders>
              <w:top w:val="nil"/>
              <w:left w:val="nil"/>
              <w:bottom w:val="nil"/>
              <w:right w:val="single" w:sz="4" w:space="0" w:color="auto"/>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r>
      <w:tr w:rsidR="00F46C5E" w:rsidTr="00F46C5E">
        <w:trPr>
          <w:cantSplit/>
          <w:trHeight w:val="50"/>
        </w:trPr>
        <w:tc>
          <w:tcPr>
            <w:tcW w:w="508" w:type="pct"/>
            <w:tcBorders>
              <w:top w:val="nil"/>
              <w:left w:val="single" w:sz="4" w:space="0" w:color="auto"/>
              <w:bottom w:val="single" w:sz="4" w:space="0" w:color="auto"/>
              <w:right w:val="nil"/>
            </w:tcBorders>
            <w:vAlign w:val="center"/>
            <w:hideMark/>
          </w:tcPr>
          <w:p w:rsidR="00F46C5E" w:rsidRDefault="00F46C5E" w:rsidP="00F46C5E">
            <w:pPr>
              <w:jc w:val="left"/>
              <w:rPr>
                <w:rFonts w:ascii="Arial Narrow" w:hAnsi="Arial Narrow"/>
                <w:sz w:val="20"/>
              </w:rPr>
            </w:pPr>
            <w:r>
              <w:rPr>
                <w:rFonts w:ascii="Arial Narrow" w:hAnsi="Arial Narrow"/>
                <w:sz w:val="20"/>
              </w:rPr>
              <w:t>EQ-5D-3L</w:t>
            </w:r>
          </w:p>
        </w:tc>
        <w:tc>
          <w:tcPr>
            <w:tcW w:w="761" w:type="pct"/>
            <w:gridSpan w:val="2"/>
            <w:tcBorders>
              <w:top w:val="nil"/>
              <w:left w:val="nil"/>
              <w:bottom w:val="single" w:sz="4" w:space="0" w:color="auto"/>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3" w:type="pct"/>
            <w:gridSpan w:val="2"/>
            <w:tcBorders>
              <w:top w:val="nil"/>
              <w:left w:val="nil"/>
              <w:bottom w:val="single" w:sz="4" w:space="0" w:color="auto"/>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3" w:type="pct"/>
            <w:gridSpan w:val="2"/>
            <w:tcBorders>
              <w:top w:val="nil"/>
              <w:left w:val="nil"/>
              <w:bottom w:val="single" w:sz="4" w:space="0" w:color="auto"/>
              <w:right w:val="nil"/>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767" w:type="pct"/>
            <w:tcBorders>
              <w:top w:val="nil"/>
              <w:left w:val="nil"/>
              <w:bottom w:val="single" w:sz="4" w:space="0" w:color="auto"/>
              <w:right w:val="single" w:sz="4" w:space="0" w:color="auto"/>
            </w:tcBorders>
            <w:vAlign w:val="center"/>
            <w:hideMark/>
          </w:tcPr>
          <w:p w:rsidR="00F46C5E" w:rsidRPr="0024101C" w:rsidRDefault="0024101C" w:rsidP="00F46C5E">
            <w:pPr>
              <w:jc w:val="center"/>
              <w:rPr>
                <w:rFonts w:ascii="Arial Narrow" w:hAnsi="Arial Narrow"/>
                <w:sz w:val="20"/>
                <w:highlight w:val="black"/>
              </w:rPr>
            </w:pPr>
            <w:r>
              <w:rPr>
                <w:rFonts w:ascii="Arial Narrow" w:hAnsi="Arial Narrow"/>
                <w:noProof/>
                <w:color w:val="000000"/>
                <w:sz w:val="20"/>
                <w:highlight w:val="black"/>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46C5E" w:rsidRDefault="00F46C5E" w:rsidP="00F46C5E">
            <w:pPr>
              <w:widowControl/>
              <w:jc w:val="left"/>
              <w:rPr>
                <w:rFonts w:ascii="Arial Narrow" w:hAnsi="Arial Narrow"/>
                <w:sz w:val="20"/>
              </w:rPr>
            </w:pPr>
          </w:p>
        </w:tc>
      </w:tr>
    </w:tbl>
    <w:p w:rsidR="00F46C5E" w:rsidRDefault="00F46C5E" w:rsidP="00F46C5E">
      <w:pPr>
        <w:pStyle w:val="TableFooter"/>
        <w:ind w:left="720"/>
      </w:pPr>
      <w:r>
        <w:t>Source: Tables 154-155, p345-347 of the submission; and Section D.1Workbook_Australian_MEPO model_30.10.2015.xlsm</w:t>
      </w:r>
    </w:p>
    <w:p w:rsidR="00F46C5E" w:rsidRDefault="00F46C5E" w:rsidP="00F46C5E">
      <w:pPr>
        <w:pStyle w:val="TableFooter"/>
        <w:ind w:left="720"/>
      </w:pPr>
      <w:r>
        <w:t>ACQ-5 = Asthma control questionnaire; CI = confidence interval; ED = emergency department; EQ-5D = Euroqol 5-dimension instrument; EQ-5D-3L = Euroqol 5-dimension 3-level instrument; Exac = exacerbation; ICER = incremental cost-effectiveness ratio; ITT = intention-to-treat; MEPO = mepolizumab; OCS = oral corticosteroid; QALY = quality-adjusted life year; SGRQ = St George’s respiratory questionnaire; SOC = standard of care; wks = weeks</w:t>
      </w:r>
    </w:p>
    <w:p w:rsidR="00F46C5E" w:rsidRPr="001B5E26" w:rsidRDefault="00F46C5E" w:rsidP="00F46C5E">
      <w:pPr>
        <w:pStyle w:val="TableFooter"/>
        <w:ind w:left="720"/>
        <w:rPr>
          <w:i/>
        </w:rPr>
      </w:pPr>
      <w:r w:rsidRPr="001B5E26">
        <w:rPr>
          <w:i/>
          <w:vertAlign w:val="superscript"/>
        </w:rPr>
        <w:t xml:space="preserve">a </w:t>
      </w:r>
      <w:r w:rsidRPr="001B5E26">
        <w:rPr>
          <w:i/>
        </w:rPr>
        <w:t>The LABA/ICS costs were double counted in the base case, assuming that all patients would receive this as a background therapy and it was added when the patients would receive the intervention</w:t>
      </w:r>
      <w:r>
        <w:rPr>
          <w:i/>
        </w:rPr>
        <w:t xml:space="preserve"> (i.e. mepolizumab + SOC or SOC)</w:t>
      </w:r>
      <w:r w:rsidRPr="001B5E26">
        <w:rPr>
          <w:i/>
        </w:rPr>
        <w:t xml:space="preserve">. </w:t>
      </w:r>
    </w:p>
    <w:p w:rsidR="00F46C5E" w:rsidRDefault="00F46C5E" w:rsidP="00F46C5E">
      <w:pPr>
        <w:pStyle w:val="TableFooter"/>
        <w:ind w:left="720"/>
      </w:pPr>
    </w:p>
    <w:p w:rsidR="00F95492" w:rsidRPr="00736423" w:rsidRDefault="00F95492" w:rsidP="00F95492">
      <w:pPr>
        <w:pStyle w:val="ListParagraph"/>
        <w:widowControl/>
        <w:numPr>
          <w:ilvl w:val="1"/>
          <w:numId w:val="2"/>
        </w:numPr>
        <w:rPr>
          <w:szCs w:val="22"/>
        </w:rPr>
      </w:pPr>
      <w:r>
        <w:rPr>
          <w:szCs w:val="22"/>
        </w:rPr>
        <w:t xml:space="preserve">The Pre-PBAC Response (p.3) presented a revised base case ICER of </w:t>
      </w:r>
      <w:r w:rsidR="00011FDE">
        <w:rPr>
          <w:szCs w:val="22"/>
        </w:rPr>
        <w:t xml:space="preserve">$45,000/QALY - $75,000/QALY </w:t>
      </w:r>
      <w:r>
        <w:rPr>
          <w:szCs w:val="22"/>
        </w:rPr>
        <w:t xml:space="preserve">applying </w:t>
      </w:r>
      <w:r w:rsidRPr="00736423">
        <w:rPr>
          <w:szCs w:val="22"/>
        </w:rPr>
        <w:t xml:space="preserve">exacerbation related mortality derived from a </w:t>
      </w:r>
      <w:r>
        <w:rPr>
          <w:szCs w:val="22"/>
        </w:rPr>
        <w:t>“</w:t>
      </w:r>
      <w:r w:rsidRPr="00736423">
        <w:rPr>
          <w:szCs w:val="22"/>
        </w:rPr>
        <w:t>conservative interpretation of OMA’s economic mode</w:t>
      </w:r>
      <w:r>
        <w:rPr>
          <w:szCs w:val="22"/>
        </w:rPr>
        <w:t>l</w:t>
      </w:r>
      <w:r w:rsidRPr="00736423">
        <w:rPr>
          <w:szCs w:val="22"/>
        </w:rPr>
        <w:t xml:space="preserve"> (application of 1.13% morality risk across all exacerbation types) and correction of ICS/LABA costing error</w:t>
      </w:r>
      <w:r>
        <w:rPr>
          <w:szCs w:val="22"/>
        </w:rPr>
        <w:t>”.</w:t>
      </w:r>
    </w:p>
    <w:p w:rsidR="00F95492" w:rsidRPr="00F95492" w:rsidRDefault="00F95492" w:rsidP="00F95492">
      <w:pPr>
        <w:pStyle w:val="ListParagraph"/>
        <w:widowControl/>
        <w:rPr>
          <w:szCs w:val="22"/>
        </w:rPr>
      </w:pPr>
    </w:p>
    <w:p w:rsidR="00564872" w:rsidRPr="00E759E5" w:rsidRDefault="008C021B" w:rsidP="00986DCF">
      <w:pPr>
        <w:pStyle w:val="ListParagraph"/>
        <w:widowControl/>
        <w:numPr>
          <w:ilvl w:val="1"/>
          <w:numId w:val="2"/>
        </w:numPr>
        <w:rPr>
          <w:szCs w:val="22"/>
        </w:rPr>
      </w:pPr>
      <w:r w:rsidRPr="00E759E5">
        <w:t xml:space="preserve">The results of the sensitivity analyses indicated that the model was most reactive to the population (eosinophil count as per the proposed TGA indication compared </w:t>
      </w:r>
      <w:r w:rsidR="002A447E" w:rsidRPr="00E759E5">
        <w:t xml:space="preserve">to as per the proposed </w:t>
      </w:r>
      <w:r w:rsidRPr="00E759E5">
        <w:t>PBS restriction), source of utility values, continuation criteria and asthma-related deaths.</w:t>
      </w:r>
    </w:p>
    <w:p w:rsidR="00FC09B9" w:rsidRPr="00E759E5" w:rsidRDefault="00FC09B9" w:rsidP="00062BED">
      <w:pPr>
        <w:pStyle w:val="ListParagraph"/>
        <w:ind w:left="1080"/>
        <w:rPr>
          <w:szCs w:val="22"/>
        </w:rPr>
      </w:pPr>
    </w:p>
    <w:p w:rsidR="00202EE3" w:rsidRPr="00E759E5" w:rsidRDefault="00202EE3" w:rsidP="00062BED">
      <w:pPr>
        <w:pStyle w:val="ListParagraph"/>
        <w:widowControl/>
        <w:rPr>
          <w:szCs w:val="22"/>
          <w:u w:val="single"/>
        </w:rPr>
      </w:pPr>
      <w:r w:rsidRPr="00E759E5">
        <w:rPr>
          <w:szCs w:val="22"/>
          <w:u w:val="single"/>
        </w:rPr>
        <w:t>Cost-minimisation analysis</w:t>
      </w:r>
    </w:p>
    <w:p w:rsidR="00F9220B" w:rsidRPr="00E759E5" w:rsidRDefault="00F9220B" w:rsidP="00062BED">
      <w:pPr>
        <w:pStyle w:val="ListParagraph"/>
        <w:widowControl/>
        <w:rPr>
          <w:szCs w:val="22"/>
          <w:u w:val="single"/>
        </w:rPr>
      </w:pPr>
    </w:p>
    <w:p w:rsidR="004451AB" w:rsidRPr="00E759E5" w:rsidRDefault="004451AB" w:rsidP="00986DCF">
      <w:pPr>
        <w:pStyle w:val="ListParagraph"/>
        <w:widowControl/>
        <w:numPr>
          <w:ilvl w:val="1"/>
          <w:numId w:val="2"/>
        </w:numPr>
        <w:rPr>
          <w:szCs w:val="22"/>
        </w:rPr>
      </w:pPr>
      <w:r w:rsidRPr="00E759E5">
        <w:t>The cost-minimisation analysis of mepolizumab versus omalizumab was based on the indirect evidence and the claim of clinical non-inferiority.</w:t>
      </w:r>
    </w:p>
    <w:p w:rsidR="004451AB" w:rsidRPr="00E759E5" w:rsidRDefault="004451AB" w:rsidP="004451AB">
      <w:pPr>
        <w:pStyle w:val="ListParagraph"/>
      </w:pPr>
    </w:p>
    <w:p w:rsidR="00A86E8B" w:rsidRPr="00E759E5" w:rsidRDefault="00A86E8B" w:rsidP="00986DCF">
      <w:pPr>
        <w:pStyle w:val="ListParagraph"/>
        <w:widowControl/>
        <w:numPr>
          <w:ilvl w:val="1"/>
          <w:numId w:val="2"/>
        </w:numPr>
        <w:rPr>
          <w:szCs w:val="22"/>
        </w:rPr>
      </w:pPr>
      <w:r w:rsidRPr="00E759E5">
        <w:t xml:space="preserve">The equi-effective doses </w:t>
      </w:r>
      <w:r w:rsidR="00C037B2" w:rsidRPr="00E759E5">
        <w:t>were</w:t>
      </w:r>
      <w:r w:rsidRPr="00E759E5">
        <w:t xml:space="preserve"> estimated </w:t>
      </w:r>
      <w:r w:rsidR="00C037B2" w:rsidRPr="00E759E5">
        <w:t xml:space="preserve">in the submission </w:t>
      </w:r>
      <w:r w:rsidRPr="00E759E5">
        <w:t xml:space="preserve">as </w:t>
      </w:r>
      <w:r w:rsidR="004451AB" w:rsidRPr="00E759E5">
        <w:t xml:space="preserve">mepolizumab 100 </w:t>
      </w:r>
      <w:r w:rsidRPr="00E759E5">
        <w:t xml:space="preserve">mg </w:t>
      </w:r>
      <w:r w:rsidR="00F9220B" w:rsidRPr="00E759E5">
        <w:t>SC</w:t>
      </w:r>
      <w:r w:rsidR="004451AB" w:rsidRPr="00E759E5">
        <w:t xml:space="preserve"> every four weeks and omalizumab </w:t>
      </w:r>
      <w:r w:rsidR="0024101C">
        <w:rPr>
          <w:noProof/>
          <w:color w:val="000000"/>
          <w:highlight w:val="black"/>
        </w:rPr>
        <w:t>''''''''''</w:t>
      </w:r>
      <w:r w:rsidR="004451AB" w:rsidRPr="00E759E5">
        <w:t xml:space="preserve"> mg </w:t>
      </w:r>
      <w:r w:rsidR="00F9220B" w:rsidRPr="00E759E5">
        <w:t>SC</w:t>
      </w:r>
      <w:r w:rsidR="004451AB" w:rsidRPr="00E759E5">
        <w:t xml:space="preserve"> every four weeks. The submission incorrectly used utilisation data to calculate the equi-effective dose. Using </w:t>
      </w:r>
      <w:r w:rsidR="00F9220B" w:rsidRPr="00E759E5">
        <w:t>baseline characteristics from the INNOVATE trial, which was used in the indirect comparison</w:t>
      </w:r>
      <w:r w:rsidR="004451AB" w:rsidRPr="00E759E5">
        <w:t xml:space="preserve">, the equi-effective dose of omalizumab was </w:t>
      </w:r>
      <w:r w:rsidR="0024101C">
        <w:rPr>
          <w:noProof/>
          <w:color w:val="000000"/>
          <w:highlight w:val="black"/>
        </w:rPr>
        <w:t>'''''''''</w:t>
      </w:r>
      <w:r w:rsidR="005523A8" w:rsidRPr="00E759E5">
        <w:t> </w:t>
      </w:r>
      <w:r w:rsidR="004451AB" w:rsidRPr="00E759E5">
        <w:t xml:space="preserve">mg </w:t>
      </w:r>
      <w:r w:rsidR="00F9220B" w:rsidRPr="00E759E5">
        <w:t>SC</w:t>
      </w:r>
      <w:r w:rsidR="004451AB" w:rsidRPr="00E759E5">
        <w:t xml:space="preserve"> eve</w:t>
      </w:r>
      <w:bookmarkStart w:id="13" w:name="_GoBack"/>
      <w:bookmarkEnd w:id="13"/>
      <w:r w:rsidR="004451AB" w:rsidRPr="00E759E5">
        <w:t>ry four weeks.</w:t>
      </w:r>
      <w:r w:rsidRPr="00E759E5">
        <w:t xml:space="preserve"> </w:t>
      </w:r>
      <w:r w:rsidR="003F7F92" w:rsidRPr="00E759E5">
        <w:t xml:space="preserve">Although the PSCR (p.3) argued that “it is inappropriate to base the equi-effective dose of MEPO vs. OMA on OMA dosing from studies that do not reflect actual OMA efficacy or usage on the PBS”, </w:t>
      </w:r>
      <w:r w:rsidR="00D206EC" w:rsidRPr="00E759E5">
        <w:t>the ESC agreed with the Commentary, noting that preferred data source for the estimation of equi-effective doses is the clinical trial data. The submission’s deviation from the preferred approach was not well justified.</w:t>
      </w:r>
    </w:p>
    <w:p w:rsidR="004451AB" w:rsidRPr="00594BFF" w:rsidRDefault="004451AB" w:rsidP="004451AB">
      <w:pPr>
        <w:pStyle w:val="ListParagraph"/>
        <w:rPr>
          <w:szCs w:val="22"/>
        </w:rPr>
      </w:pPr>
    </w:p>
    <w:p w:rsidR="00E434C4" w:rsidRPr="00EC09F6" w:rsidRDefault="00E434C4" w:rsidP="00104078">
      <w:pPr>
        <w:keepNext/>
        <w:rPr>
          <w:rStyle w:val="CommentReference"/>
        </w:rPr>
      </w:pPr>
      <w:r w:rsidRPr="00EC09F6">
        <w:rPr>
          <w:rStyle w:val="CommentReference"/>
        </w:rPr>
        <w:tab/>
        <w:t xml:space="preserve">Table </w:t>
      </w:r>
      <w:r w:rsidR="00F9220B" w:rsidRPr="00EC09F6">
        <w:rPr>
          <w:rStyle w:val="CommentReference"/>
        </w:rPr>
        <w:t>1</w:t>
      </w:r>
      <w:r w:rsidR="00492332">
        <w:rPr>
          <w:rStyle w:val="CommentReference"/>
        </w:rPr>
        <w:t>6</w:t>
      </w:r>
      <w:r w:rsidRPr="00EC09F6">
        <w:rPr>
          <w:rStyle w:val="CommentReference"/>
        </w:rPr>
        <w:t>: Cost-minimisation analysis for mepolizumab and omalizumab</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852"/>
        <w:gridCol w:w="712"/>
        <w:gridCol w:w="1473"/>
        <w:gridCol w:w="1970"/>
      </w:tblGrid>
      <w:tr w:rsidR="00EC09F6" w:rsidRPr="00EC09F6" w:rsidTr="00F9220B">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p>
        </w:tc>
        <w:tc>
          <w:tcPr>
            <w:tcW w:w="657" w:type="pct"/>
            <w:shd w:val="clear" w:color="auto" w:fill="auto"/>
            <w:noWrap/>
            <w:tcMar>
              <w:left w:w="28" w:type="dxa"/>
              <w:right w:w="28" w:type="dxa"/>
            </w:tcMar>
            <w:vAlign w:val="center"/>
            <w:hideMark/>
          </w:tcPr>
          <w:p w:rsidR="00E434C4" w:rsidRPr="00EC09F6" w:rsidRDefault="00E434C4" w:rsidP="00F9220B">
            <w:pPr>
              <w:pStyle w:val="Tabletext"/>
              <w:keepNext/>
              <w:jc w:val="center"/>
              <w:rPr>
                <w:rStyle w:val="TableText1"/>
                <w:b/>
                <w:sz w:val="20"/>
              </w:rPr>
            </w:pPr>
            <w:r w:rsidRPr="00EC09F6">
              <w:rPr>
                <w:rStyle w:val="TableText1"/>
                <w:b/>
                <w:sz w:val="20"/>
              </w:rPr>
              <w:t>AEMP</w:t>
            </w:r>
          </w:p>
        </w:tc>
        <w:tc>
          <w:tcPr>
            <w:tcW w:w="513" w:type="pct"/>
            <w:shd w:val="clear" w:color="auto" w:fill="auto"/>
            <w:noWrap/>
            <w:tcMar>
              <w:left w:w="28" w:type="dxa"/>
              <w:right w:w="28" w:type="dxa"/>
            </w:tcMar>
            <w:vAlign w:val="center"/>
            <w:hideMark/>
          </w:tcPr>
          <w:p w:rsidR="00E434C4" w:rsidRPr="00EC09F6" w:rsidRDefault="00E434C4" w:rsidP="00F9220B">
            <w:pPr>
              <w:pStyle w:val="Tabletext"/>
              <w:keepNext/>
              <w:jc w:val="center"/>
              <w:rPr>
                <w:rStyle w:val="TableText1"/>
                <w:b/>
                <w:sz w:val="20"/>
              </w:rPr>
            </w:pPr>
            <w:r w:rsidRPr="00EC09F6">
              <w:rPr>
                <w:rStyle w:val="TableText1"/>
                <w:b/>
                <w:sz w:val="20"/>
              </w:rPr>
              <w:t>Cost/mg</w:t>
            </w:r>
          </w:p>
        </w:tc>
        <w:tc>
          <w:tcPr>
            <w:tcW w:w="1090" w:type="pct"/>
            <w:shd w:val="clear" w:color="auto" w:fill="auto"/>
            <w:noWrap/>
            <w:tcMar>
              <w:left w:w="28" w:type="dxa"/>
              <w:right w:w="28" w:type="dxa"/>
            </w:tcMar>
            <w:vAlign w:val="center"/>
            <w:hideMark/>
          </w:tcPr>
          <w:p w:rsidR="00E434C4" w:rsidRPr="00EC09F6" w:rsidRDefault="00E434C4" w:rsidP="00F9220B">
            <w:pPr>
              <w:pStyle w:val="Tabletext"/>
              <w:keepNext/>
              <w:jc w:val="center"/>
              <w:rPr>
                <w:rStyle w:val="TableText1"/>
                <w:b/>
                <w:sz w:val="20"/>
              </w:rPr>
            </w:pPr>
            <w:r w:rsidRPr="00EC09F6">
              <w:rPr>
                <w:rStyle w:val="TableText1"/>
                <w:b/>
                <w:sz w:val="20"/>
              </w:rPr>
              <w:t>Submission</w:t>
            </w:r>
          </w:p>
        </w:tc>
        <w:tc>
          <w:tcPr>
            <w:tcW w:w="1118" w:type="pct"/>
            <w:shd w:val="clear" w:color="auto" w:fill="auto"/>
            <w:noWrap/>
            <w:tcMar>
              <w:left w:w="28" w:type="dxa"/>
              <w:right w:w="28" w:type="dxa"/>
            </w:tcMar>
            <w:vAlign w:val="bottom"/>
            <w:hideMark/>
          </w:tcPr>
          <w:p w:rsidR="00AA389D" w:rsidRPr="00EC09F6" w:rsidRDefault="00F9220B" w:rsidP="00104078">
            <w:pPr>
              <w:pStyle w:val="Tabletext"/>
              <w:keepNext/>
              <w:jc w:val="center"/>
              <w:rPr>
                <w:rStyle w:val="TableText1"/>
                <w:b/>
                <w:i/>
                <w:sz w:val="20"/>
              </w:rPr>
            </w:pPr>
            <w:r w:rsidRPr="00EC09F6">
              <w:rPr>
                <w:rStyle w:val="TableText1"/>
                <w:b/>
                <w:i/>
                <w:sz w:val="20"/>
              </w:rPr>
              <w:t>E</w:t>
            </w:r>
            <w:r w:rsidR="00AA389D" w:rsidRPr="00EC09F6">
              <w:rPr>
                <w:rStyle w:val="TableText1"/>
                <w:b/>
                <w:i/>
                <w:sz w:val="20"/>
              </w:rPr>
              <w:t xml:space="preserve">qui-effective dose from </w:t>
            </w:r>
          </w:p>
          <w:p w:rsidR="00E434C4" w:rsidRPr="00EC09F6" w:rsidRDefault="00AA389D" w:rsidP="00AA389D">
            <w:pPr>
              <w:pStyle w:val="Tabletext"/>
              <w:keepNext/>
              <w:jc w:val="center"/>
              <w:rPr>
                <w:rStyle w:val="TableText1"/>
                <w:b/>
                <w:i/>
                <w:sz w:val="20"/>
              </w:rPr>
            </w:pPr>
            <w:r w:rsidRPr="00EC09F6">
              <w:rPr>
                <w:rStyle w:val="TableText1"/>
                <w:b/>
                <w:i/>
                <w:sz w:val="20"/>
              </w:rPr>
              <w:t>c</w:t>
            </w:r>
            <w:r w:rsidR="00E434C4" w:rsidRPr="00EC09F6">
              <w:rPr>
                <w:rStyle w:val="TableText1"/>
                <w:b/>
                <w:i/>
                <w:sz w:val="20"/>
              </w:rPr>
              <w:t>linical trial data</w:t>
            </w:r>
          </w:p>
        </w:tc>
      </w:tr>
      <w:tr w:rsidR="00EC09F6" w:rsidRPr="00EC09F6" w:rsidTr="00E434C4">
        <w:trPr>
          <w:trHeight w:val="170"/>
        </w:trPr>
        <w:tc>
          <w:tcPr>
            <w:tcW w:w="5000" w:type="pct"/>
            <w:gridSpan w:val="5"/>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b/>
                <w:sz w:val="20"/>
              </w:rPr>
              <w:t>Omalizumab</w:t>
            </w:r>
          </w:p>
        </w:tc>
      </w:tr>
      <w:tr w:rsidR="00EC09F6" w:rsidRPr="00EC09F6" w:rsidTr="00E434C4">
        <w:trPr>
          <w:trHeight w:val="170"/>
        </w:trPr>
        <w:tc>
          <w:tcPr>
            <w:tcW w:w="5000" w:type="pct"/>
            <w:gridSpan w:val="5"/>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 xml:space="preserve">AEMP (PBS item 10109C): </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 xml:space="preserve">  150 mg/mL</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right"/>
              <w:rPr>
                <w:rStyle w:val="TableText1"/>
                <w:sz w:val="20"/>
              </w:rPr>
            </w:pPr>
            <w:r w:rsidRPr="00EC09F6">
              <w:rPr>
                <w:rStyle w:val="TableText1"/>
                <w:sz w:val="20"/>
              </w:rPr>
              <w:t>$410</w:t>
            </w:r>
          </w:p>
        </w:tc>
        <w:tc>
          <w:tcPr>
            <w:tcW w:w="513" w:type="pct"/>
            <w:vMerge w:val="restart"/>
            <w:shd w:val="clear" w:color="auto" w:fill="auto"/>
            <w:noWrap/>
            <w:tcMar>
              <w:left w:w="28" w:type="dxa"/>
              <w:right w:w="28" w:type="dxa"/>
            </w:tcMar>
            <w:vAlign w:val="center"/>
            <w:hideMark/>
          </w:tcPr>
          <w:p w:rsidR="00E434C4" w:rsidRPr="00EC09F6" w:rsidRDefault="00E434C4" w:rsidP="00104078">
            <w:pPr>
              <w:pStyle w:val="Tabletext"/>
              <w:keepNext/>
              <w:jc w:val="right"/>
              <w:rPr>
                <w:rStyle w:val="TableText1"/>
                <w:sz w:val="20"/>
              </w:rPr>
            </w:pPr>
            <w:r w:rsidRPr="00EC09F6">
              <w:rPr>
                <w:rStyle w:val="TableText1"/>
                <w:sz w:val="20"/>
              </w:rPr>
              <w:t>$2.73</w:t>
            </w:r>
          </w:p>
        </w:tc>
        <w:tc>
          <w:tcPr>
            <w:tcW w:w="1090"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1118"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 xml:space="preserve">  75 mg/0.5 mL</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right"/>
              <w:rPr>
                <w:rStyle w:val="TableText1"/>
                <w:sz w:val="20"/>
              </w:rPr>
            </w:pPr>
            <w:r w:rsidRPr="00EC09F6">
              <w:rPr>
                <w:rStyle w:val="TableText1"/>
                <w:sz w:val="20"/>
              </w:rPr>
              <w:t>$205</w:t>
            </w:r>
          </w:p>
        </w:tc>
        <w:tc>
          <w:tcPr>
            <w:tcW w:w="513" w:type="pct"/>
            <w:vMerge/>
            <w:tcMar>
              <w:left w:w="28" w:type="dxa"/>
              <w:right w:w="28" w:type="dxa"/>
            </w:tcMar>
            <w:vAlign w:val="center"/>
            <w:hideMark/>
          </w:tcPr>
          <w:p w:rsidR="00E434C4" w:rsidRPr="00EC09F6" w:rsidRDefault="00E434C4" w:rsidP="00104078">
            <w:pPr>
              <w:pStyle w:val="Tabletext"/>
              <w:keepNext/>
              <w:jc w:val="right"/>
              <w:rPr>
                <w:rStyle w:val="TableText1"/>
                <w:sz w:val="20"/>
              </w:rPr>
            </w:pPr>
          </w:p>
        </w:tc>
        <w:tc>
          <w:tcPr>
            <w:tcW w:w="1090"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1118"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Average monthly dose per patient</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513"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1090" w:type="pct"/>
            <w:shd w:val="clear" w:color="auto" w:fill="auto"/>
            <w:noWrap/>
            <w:tcMar>
              <w:left w:w="28" w:type="dxa"/>
              <w:right w:w="28" w:type="dxa"/>
            </w:tcMar>
            <w:vAlign w:val="bottom"/>
            <w:hideMark/>
          </w:tcPr>
          <w:p w:rsidR="00E434C4" w:rsidRPr="00EC09F6" w:rsidRDefault="0024101C" w:rsidP="00104078">
            <w:pPr>
              <w:pStyle w:val="Tabletext"/>
              <w:keepNext/>
              <w:jc w:val="center"/>
              <w:rPr>
                <w:rStyle w:val="TableText1"/>
                <w:sz w:val="20"/>
              </w:rPr>
            </w:pPr>
            <w:r>
              <w:rPr>
                <w:rStyle w:val="TableText1"/>
                <w:noProof/>
                <w:color w:val="000000"/>
                <w:sz w:val="20"/>
                <w:highlight w:val="black"/>
              </w:rPr>
              <w:t>''''''''''</w:t>
            </w:r>
            <w:r w:rsidR="00E434C4" w:rsidRPr="00EC09F6">
              <w:rPr>
                <w:rStyle w:val="TableText1"/>
                <w:sz w:val="20"/>
              </w:rPr>
              <w:t xml:space="preserve"> mg</w:t>
            </w:r>
          </w:p>
        </w:tc>
        <w:tc>
          <w:tcPr>
            <w:tcW w:w="1118" w:type="pct"/>
            <w:shd w:val="clear" w:color="auto" w:fill="auto"/>
            <w:noWrap/>
            <w:tcMar>
              <w:left w:w="28" w:type="dxa"/>
              <w:right w:w="28" w:type="dxa"/>
            </w:tcMar>
            <w:vAlign w:val="bottom"/>
            <w:hideMark/>
          </w:tcPr>
          <w:p w:rsidR="00E434C4" w:rsidRPr="00EC09F6" w:rsidRDefault="0024101C" w:rsidP="00104078">
            <w:pPr>
              <w:pStyle w:val="Tabletext"/>
              <w:keepNext/>
              <w:jc w:val="center"/>
              <w:rPr>
                <w:rStyle w:val="TableText1"/>
                <w:i/>
                <w:sz w:val="20"/>
              </w:rPr>
            </w:pPr>
            <w:r>
              <w:rPr>
                <w:rStyle w:val="TableText1"/>
                <w:i/>
                <w:noProof/>
                <w:color w:val="000000"/>
                <w:sz w:val="20"/>
                <w:highlight w:val="black"/>
              </w:rPr>
              <w:t>'''''''''</w:t>
            </w:r>
            <w:r w:rsidR="00E434C4" w:rsidRPr="00EC09F6">
              <w:rPr>
                <w:rStyle w:val="TableText1"/>
                <w:i/>
                <w:sz w:val="20"/>
              </w:rPr>
              <w:t xml:space="preserve"> mg</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Average monthly cost</w:t>
            </w:r>
            <w:r w:rsidR="00AA389D" w:rsidRPr="00EC09F6">
              <w:rPr>
                <w:rStyle w:val="TableText1"/>
                <w:sz w:val="20"/>
              </w:rPr>
              <w:t xml:space="preserve"> (AEMP)</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513"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1090" w:type="pct"/>
            <w:shd w:val="clear" w:color="auto" w:fill="auto"/>
            <w:noWrap/>
            <w:tcMar>
              <w:left w:w="28" w:type="dxa"/>
              <w:right w:w="28" w:type="dxa"/>
            </w:tcMar>
            <w:vAlign w:val="bottom"/>
            <w:hideMark/>
          </w:tcPr>
          <w:p w:rsidR="00E434C4" w:rsidRPr="00EC09F6" w:rsidRDefault="00E434C4" w:rsidP="00104078">
            <w:pPr>
              <w:pStyle w:val="Tabletext"/>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1118" w:type="pct"/>
            <w:shd w:val="clear" w:color="auto" w:fill="auto"/>
            <w:noWrap/>
            <w:tcMar>
              <w:left w:w="28" w:type="dxa"/>
              <w:right w:w="28" w:type="dxa"/>
            </w:tcMar>
            <w:vAlign w:val="bottom"/>
            <w:hideMark/>
          </w:tcPr>
          <w:p w:rsidR="00E434C4" w:rsidRPr="00594BFF" w:rsidRDefault="00E434C4" w:rsidP="00104078">
            <w:pPr>
              <w:pStyle w:val="Tabletext"/>
              <w:keepNext/>
              <w:jc w:val="right"/>
              <w:rPr>
                <w:rStyle w:val="TableText1"/>
                <w:sz w:val="20"/>
              </w:rPr>
            </w:pPr>
            <w:r w:rsidRPr="00594BFF">
              <w:rPr>
                <w:rStyle w:val="TableText1"/>
                <w:sz w:val="20"/>
              </w:rPr>
              <w:t>$</w:t>
            </w:r>
            <w:r w:rsidR="0024101C">
              <w:rPr>
                <w:rStyle w:val="TableText1"/>
                <w:noProof/>
                <w:color w:val="000000"/>
                <w:sz w:val="20"/>
                <w:highlight w:val="black"/>
              </w:rPr>
              <w:t>''''''''''''''''</w:t>
            </w:r>
          </w:p>
        </w:tc>
      </w:tr>
      <w:tr w:rsidR="00EC09F6" w:rsidRPr="00EC09F6" w:rsidTr="00E434C4">
        <w:trPr>
          <w:trHeight w:val="170"/>
        </w:trPr>
        <w:tc>
          <w:tcPr>
            <w:tcW w:w="5000" w:type="pct"/>
            <w:gridSpan w:val="5"/>
            <w:shd w:val="clear" w:color="auto" w:fill="auto"/>
            <w:noWrap/>
            <w:tcMar>
              <w:left w:w="28" w:type="dxa"/>
              <w:right w:w="28" w:type="dxa"/>
            </w:tcMar>
            <w:vAlign w:val="bottom"/>
            <w:hideMark/>
          </w:tcPr>
          <w:p w:rsidR="00E434C4" w:rsidRPr="00594BFF" w:rsidRDefault="00E434C4" w:rsidP="00104078">
            <w:pPr>
              <w:pStyle w:val="Tabletext"/>
              <w:keepNext/>
              <w:rPr>
                <w:rStyle w:val="TableText1"/>
                <w:sz w:val="20"/>
              </w:rPr>
            </w:pPr>
            <w:r w:rsidRPr="00594BFF">
              <w:rPr>
                <w:rStyle w:val="TableText1"/>
                <w:b/>
                <w:sz w:val="20"/>
              </w:rPr>
              <w:t>Mepolizumab</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Monthly dose per patient</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513"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2208" w:type="pct"/>
            <w:gridSpan w:val="2"/>
            <w:shd w:val="clear" w:color="auto" w:fill="auto"/>
            <w:noWrap/>
            <w:tcMar>
              <w:left w:w="28" w:type="dxa"/>
              <w:right w:w="28" w:type="dxa"/>
            </w:tcMar>
            <w:vAlign w:val="bottom"/>
            <w:hideMark/>
          </w:tcPr>
          <w:p w:rsidR="00E434C4" w:rsidRPr="00594BFF" w:rsidRDefault="00E434C4" w:rsidP="00104078">
            <w:pPr>
              <w:pStyle w:val="Tabletext"/>
              <w:keepNext/>
              <w:jc w:val="center"/>
              <w:rPr>
                <w:rStyle w:val="TableText1"/>
                <w:sz w:val="20"/>
              </w:rPr>
            </w:pPr>
            <w:r w:rsidRPr="00E200DF">
              <w:rPr>
                <w:rStyle w:val="TableText1"/>
                <w:sz w:val="20"/>
              </w:rPr>
              <w:t>100</w:t>
            </w:r>
            <w:r w:rsidRPr="00594BFF">
              <w:rPr>
                <w:rStyle w:val="TableText1"/>
                <w:sz w:val="20"/>
              </w:rPr>
              <w:t xml:space="preserve"> mg</w:t>
            </w:r>
          </w:p>
        </w:tc>
      </w:tr>
      <w:tr w:rsidR="00EC09F6" w:rsidRPr="00EC09F6" w:rsidTr="00E434C4">
        <w:trPr>
          <w:trHeight w:val="170"/>
        </w:trPr>
        <w:tc>
          <w:tcPr>
            <w:tcW w:w="1621" w:type="pct"/>
            <w:shd w:val="clear" w:color="auto" w:fill="auto"/>
            <w:noWrap/>
            <w:tcMar>
              <w:left w:w="28" w:type="dxa"/>
              <w:right w:w="28" w:type="dxa"/>
            </w:tcMar>
            <w:vAlign w:val="bottom"/>
            <w:hideMark/>
          </w:tcPr>
          <w:p w:rsidR="00E434C4" w:rsidRPr="00EC09F6" w:rsidRDefault="00E434C4" w:rsidP="00104078">
            <w:pPr>
              <w:pStyle w:val="Tabletext"/>
              <w:keepNext/>
              <w:rPr>
                <w:rStyle w:val="TableText1"/>
                <w:sz w:val="20"/>
              </w:rPr>
            </w:pPr>
            <w:r w:rsidRPr="00EC09F6">
              <w:rPr>
                <w:rStyle w:val="TableText1"/>
                <w:sz w:val="20"/>
              </w:rPr>
              <w:t>Average monthly cost (AEMP/public hospital)</w:t>
            </w:r>
          </w:p>
        </w:tc>
        <w:tc>
          <w:tcPr>
            <w:tcW w:w="657"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513" w:type="pct"/>
            <w:shd w:val="clear" w:color="auto" w:fill="auto"/>
            <w:noWrap/>
            <w:tcMar>
              <w:left w:w="28" w:type="dxa"/>
              <w:right w:w="28" w:type="dxa"/>
            </w:tcMar>
            <w:vAlign w:val="bottom"/>
            <w:hideMark/>
          </w:tcPr>
          <w:p w:rsidR="00E434C4" w:rsidRPr="00EC09F6" w:rsidRDefault="00E434C4" w:rsidP="00104078">
            <w:pPr>
              <w:pStyle w:val="Tabletext"/>
              <w:keepNext/>
              <w:jc w:val="center"/>
              <w:rPr>
                <w:rStyle w:val="TableText1"/>
                <w:sz w:val="20"/>
              </w:rPr>
            </w:pPr>
            <w:r w:rsidRPr="00EC09F6">
              <w:rPr>
                <w:rStyle w:val="TableText1"/>
                <w:sz w:val="20"/>
              </w:rPr>
              <w:t>-</w:t>
            </w:r>
          </w:p>
        </w:tc>
        <w:tc>
          <w:tcPr>
            <w:tcW w:w="1090" w:type="pct"/>
            <w:shd w:val="clear" w:color="auto" w:fill="auto"/>
            <w:noWrap/>
            <w:tcMar>
              <w:left w:w="28" w:type="dxa"/>
              <w:right w:w="28" w:type="dxa"/>
            </w:tcMar>
            <w:vAlign w:val="bottom"/>
            <w:hideMark/>
          </w:tcPr>
          <w:p w:rsidR="00E434C4" w:rsidRPr="00EC09F6" w:rsidRDefault="00E434C4" w:rsidP="00104078">
            <w:pPr>
              <w:pStyle w:val="Tabletext"/>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1118" w:type="pct"/>
            <w:shd w:val="clear" w:color="auto" w:fill="auto"/>
            <w:noWrap/>
            <w:tcMar>
              <w:left w:w="28" w:type="dxa"/>
              <w:right w:w="28" w:type="dxa"/>
            </w:tcMar>
            <w:vAlign w:val="bottom"/>
            <w:hideMark/>
          </w:tcPr>
          <w:p w:rsidR="00E434C4" w:rsidRPr="00594BFF" w:rsidRDefault="00E434C4" w:rsidP="00104078">
            <w:pPr>
              <w:pStyle w:val="Tabletext"/>
              <w:keepNext/>
              <w:jc w:val="right"/>
              <w:rPr>
                <w:rStyle w:val="TableText1"/>
                <w:sz w:val="20"/>
              </w:rPr>
            </w:pPr>
            <w:r w:rsidRPr="00594BFF">
              <w:rPr>
                <w:rStyle w:val="TableText1"/>
                <w:sz w:val="20"/>
              </w:rPr>
              <w:t>$</w:t>
            </w:r>
            <w:r w:rsidR="0024101C">
              <w:rPr>
                <w:rStyle w:val="TableText1"/>
                <w:noProof/>
                <w:color w:val="000000"/>
                <w:sz w:val="20"/>
                <w:highlight w:val="black"/>
              </w:rPr>
              <w:t>'''''''''''''''</w:t>
            </w:r>
          </w:p>
        </w:tc>
      </w:tr>
    </w:tbl>
    <w:p w:rsidR="00E434C4" w:rsidRPr="00EC09F6" w:rsidRDefault="00E434C4" w:rsidP="00E434C4">
      <w:pPr>
        <w:keepNext/>
        <w:ind w:firstLine="720"/>
        <w:rPr>
          <w:rStyle w:val="CommentReference"/>
          <w:b w:val="0"/>
          <w:i/>
          <w:sz w:val="18"/>
          <w:szCs w:val="18"/>
        </w:rPr>
      </w:pPr>
      <w:r w:rsidRPr="00EC09F6">
        <w:rPr>
          <w:rStyle w:val="CommentReference"/>
          <w:b w:val="0"/>
          <w:sz w:val="18"/>
          <w:szCs w:val="18"/>
        </w:rPr>
        <w:t>Source: Tables 160</w:t>
      </w:r>
      <w:r w:rsidR="00061477" w:rsidRPr="00EC09F6">
        <w:rPr>
          <w:rStyle w:val="CommentReference"/>
          <w:b w:val="0"/>
          <w:sz w:val="18"/>
          <w:szCs w:val="18"/>
        </w:rPr>
        <w:t>-</w:t>
      </w:r>
      <w:r w:rsidRPr="00EC09F6">
        <w:rPr>
          <w:rStyle w:val="CommentReference"/>
          <w:b w:val="0"/>
          <w:sz w:val="18"/>
          <w:szCs w:val="18"/>
        </w:rPr>
        <w:t xml:space="preserve">161, p352 of the submission; and </w:t>
      </w:r>
      <w:r w:rsidRPr="00EC09F6">
        <w:rPr>
          <w:rStyle w:val="CommentReference"/>
          <w:b w:val="0"/>
          <w:i/>
          <w:sz w:val="18"/>
          <w:szCs w:val="18"/>
        </w:rPr>
        <w:t>calculated during evaluation</w:t>
      </w:r>
    </w:p>
    <w:p w:rsidR="00E434C4" w:rsidRPr="00EC09F6" w:rsidRDefault="00E434C4" w:rsidP="00E434C4">
      <w:pPr>
        <w:keepNext/>
        <w:ind w:firstLine="720"/>
        <w:rPr>
          <w:rStyle w:val="CommentReference"/>
          <w:b w:val="0"/>
          <w:sz w:val="18"/>
          <w:szCs w:val="18"/>
        </w:rPr>
      </w:pPr>
      <w:r w:rsidRPr="00EC09F6">
        <w:rPr>
          <w:rStyle w:val="CommentReference"/>
          <w:b w:val="0"/>
          <w:sz w:val="18"/>
          <w:szCs w:val="18"/>
        </w:rPr>
        <w:t>AEMP = approved ex-manufacturer price; PBS = Pharmaceutical Benefits Scheme</w:t>
      </w:r>
    </w:p>
    <w:p w:rsidR="00E434C4" w:rsidRPr="00EC09F6" w:rsidRDefault="00E434C4" w:rsidP="00E434C4">
      <w:pPr>
        <w:keepNext/>
        <w:ind w:firstLine="720"/>
        <w:rPr>
          <w:rStyle w:val="CommentReference"/>
          <w:b w:val="0"/>
          <w:sz w:val="18"/>
          <w:szCs w:val="18"/>
        </w:rPr>
      </w:pPr>
    </w:p>
    <w:p w:rsidR="00FC09B9" w:rsidRPr="00EC09F6" w:rsidRDefault="00FC09B9" w:rsidP="00986DCF">
      <w:pPr>
        <w:pStyle w:val="ListParagraph"/>
        <w:widowControl/>
        <w:numPr>
          <w:ilvl w:val="1"/>
          <w:numId w:val="2"/>
        </w:numPr>
        <w:rPr>
          <w:szCs w:val="22"/>
        </w:rPr>
      </w:pPr>
      <w:r w:rsidRPr="00EC09F6">
        <w:t>A weighted analysis u</w:t>
      </w:r>
      <w:r w:rsidR="00500588" w:rsidRPr="00EC09F6">
        <w:t>sing</w:t>
      </w:r>
      <w:r w:rsidRPr="00EC09F6">
        <w:t xml:space="preserve"> tr</w:t>
      </w:r>
      <w:r w:rsidR="00202EE3" w:rsidRPr="00EC09F6">
        <w:t>i</w:t>
      </w:r>
      <w:r w:rsidRPr="00EC09F6">
        <w:t>al data</w:t>
      </w:r>
      <w:r w:rsidR="00AE2B01" w:rsidRPr="00EC09F6">
        <w:t xml:space="preserve"> from the IDEAL S</w:t>
      </w:r>
      <w:r w:rsidR="00F9220B" w:rsidRPr="00EC09F6">
        <w:t>tudy</w:t>
      </w:r>
      <w:r w:rsidRPr="00EC09F6">
        <w:t>,</w:t>
      </w:r>
      <w:r w:rsidR="008C021B" w:rsidRPr="00EC09F6">
        <w:t xml:space="preserve"> rather than</w:t>
      </w:r>
      <w:r w:rsidR="00500588" w:rsidRPr="00EC09F6">
        <w:t xml:space="preserve"> utilisation data, </w:t>
      </w:r>
      <w:r w:rsidRPr="00EC09F6">
        <w:t xml:space="preserve">was used to calculate the </w:t>
      </w:r>
      <w:r w:rsidR="00500588" w:rsidRPr="00EC09F6">
        <w:t>DPMQ</w:t>
      </w:r>
      <w:r w:rsidRPr="00EC09F6">
        <w:t xml:space="preserve"> of mepolizumab.</w:t>
      </w:r>
      <w:r w:rsidR="00F9220B" w:rsidRPr="00EC09F6">
        <w:t xml:space="preserve"> The I</w:t>
      </w:r>
      <w:r w:rsidR="00AE2B01" w:rsidRPr="00EC09F6">
        <w:t>DEAL S</w:t>
      </w:r>
      <w:r w:rsidR="00500588" w:rsidRPr="00EC09F6">
        <w:t>tudy wa</w:t>
      </w:r>
      <w:r w:rsidR="00F9220B" w:rsidRPr="00EC09F6">
        <w:t xml:space="preserve">s an unpublished cross-sectional </w:t>
      </w:r>
      <w:r w:rsidR="00EA15F1" w:rsidRPr="00EC09F6">
        <w:t xml:space="preserve">international </w:t>
      </w:r>
      <w:r w:rsidR="00F9220B" w:rsidRPr="00EC09F6">
        <w:t xml:space="preserve">study that </w:t>
      </w:r>
      <w:r w:rsidR="00500588" w:rsidRPr="00EC09F6">
        <w:t>aimed</w:t>
      </w:r>
      <w:r w:rsidR="00F9220B" w:rsidRPr="00EC09F6">
        <w:t xml:space="preserve"> to describe the baseline patient and disease characteristics of the severe asthma population</w:t>
      </w:r>
      <w:r w:rsidR="00500588" w:rsidRPr="00EC09F6">
        <w:t xml:space="preserve"> that was determined </w:t>
      </w:r>
      <w:r w:rsidR="009D1864" w:rsidRPr="00EC09F6">
        <w:t>as having met</w:t>
      </w:r>
      <w:r w:rsidR="00500588" w:rsidRPr="00EC09F6">
        <w:t xml:space="preserve"> eligibility criteria for biologic treatment.</w:t>
      </w:r>
    </w:p>
    <w:p w:rsidR="00FC09B9" w:rsidRPr="00EC09F6" w:rsidRDefault="00FC09B9" w:rsidP="00FC09B9">
      <w:pPr>
        <w:pStyle w:val="ListParagraph"/>
        <w:widowControl/>
      </w:pPr>
    </w:p>
    <w:p w:rsidR="00FC09B9" w:rsidRPr="00EC09F6" w:rsidRDefault="00FC09B9" w:rsidP="00104078">
      <w:pPr>
        <w:keepNext/>
        <w:widowControl/>
        <w:ind w:firstLine="720"/>
        <w:rPr>
          <w:rStyle w:val="CommentReference"/>
        </w:rPr>
      </w:pPr>
      <w:r w:rsidRPr="00EC09F6">
        <w:rPr>
          <w:rStyle w:val="CommentReference"/>
        </w:rPr>
        <w:t xml:space="preserve">Table </w:t>
      </w:r>
      <w:r w:rsidR="00AE2B01" w:rsidRPr="00EC09F6">
        <w:rPr>
          <w:rStyle w:val="CommentReference"/>
        </w:rPr>
        <w:t>1</w:t>
      </w:r>
      <w:r w:rsidR="00492332">
        <w:rPr>
          <w:rStyle w:val="CommentReference"/>
        </w:rPr>
        <w:t>7</w:t>
      </w:r>
      <w:r w:rsidRPr="00EC09F6">
        <w:rPr>
          <w:rStyle w:val="CommentReference"/>
        </w:rPr>
        <w:t>: Weighted DPMQ for mepolizumab</w:t>
      </w:r>
    </w:p>
    <w:tbl>
      <w:tblPr>
        <w:tblStyle w:val="TableGrid"/>
        <w:tblW w:w="0" w:type="auto"/>
        <w:tblInd w:w="737" w:type="dxa"/>
        <w:tblLook w:val="04A0" w:firstRow="1" w:lastRow="0" w:firstColumn="1" w:lastColumn="0" w:noHBand="0" w:noVBand="1"/>
        <w:tblCaption w:val="Table 17: Weighted DPMQ for mepolizumab"/>
      </w:tblPr>
      <w:tblGrid>
        <w:gridCol w:w="2977"/>
        <w:gridCol w:w="1940"/>
        <w:gridCol w:w="895"/>
        <w:gridCol w:w="1276"/>
        <w:gridCol w:w="1258"/>
      </w:tblGrid>
      <w:tr w:rsidR="00EC09F6" w:rsidRPr="00EC09F6" w:rsidTr="00A242F1">
        <w:trPr>
          <w:tblHeader/>
        </w:trPr>
        <w:tc>
          <w:tcPr>
            <w:tcW w:w="2977" w:type="dxa"/>
            <w:tcMar>
              <w:left w:w="28" w:type="dxa"/>
              <w:right w:w="28" w:type="dxa"/>
            </w:tcMar>
          </w:tcPr>
          <w:p w:rsidR="00FC09B9" w:rsidRPr="00EC09F6" w:rsidRDefault="00FC09B9" w:rsidP="00104078">
            <w:pPr>
              <w:keepNext/>
              <w:widowControl/>
              <w:jc w:val="left"/>
              <w:rPr>
                <w:rFonts w:ascii="Arial Narrow" w:hAnsi="Arial Narrow"/>
                <w:b/>
                <w:sz w:val="20"/>
              </w:rPr>
            </w:pPr>
          </w:p>
        </w:tc>
        <w:tc>
          <w:tcPr>
            <w:tcW w:w="1940" w:type="dxa"/>
            <w:tcMar>
              <w:left w:w="28" w:type="dxa"/>
              <w:right w:w="28" w:type="dxa"/>
            </w:tcMar>
            <w:vAlign w:val="center"/>
          </w:tcPr>
          <w:p w:rsidR="00FC09B9" w:rsidRPr="00EC09F6" w:rsidRDefault="00FC09B9" w:rsidP="00104078">
            <w:pPr>
              <w:keepNext/>
              <w:widowControl/>
              <w:jc w:val="center"/>
              <w:rPr>
                <w:rFonts w:ascii="Arial Narrow" w:hAnsi="Arial Narrow"/>
                <w:b/>
                <w:sz w:val="20"/>
              </w:rPr>
            </w:pPr>
            <w:r w:rsidRPr="00EC09F6">
              <w:rPr>
                <w:rFonts w:ascii="Arial Narrow" w:hAnsi="Arial Narrow"/>
                <w:b/>
                <w:sz w:val="20"/>
              </w:rPr>
              <w:t>Price</w:t>
            </w:r>
          </w:p>
        </w:tc>
        <w:tc>
          <w:tcPr>
            <w:tcW w:w="895" w:type="dxa"/>
            <w:tcMar>
              <w:left w:w="28" w:type="dxa"/>
              <w:right w:w="28" w:type="dxa"/>
            </w:tcMar>
            <w:vAlign w:val="center"/>
          </w:tcPr>
          <w:p w:rsidR="00FC09B9" w:rsidRPr="00EC09F6" w:rsidRDefault="00FC09B9" w:rsidP="00104078">
            <w:pPr>
              <w:keepNext/>
              <w:widowControl/>
              <w:jc w:val="center"/>
              <w:rPr>
                <w:rFonts w:ascii="Arial Narrow" w:hAnsi="Arial Narrow"/>
                <w:b/>
                <w:sz w:val="20"/>
              </w:rPr>
            </w:pPr>
            <w:r w:rsidRPr="00EC09F6">
              <w:rPr>
                <w:rFonts w:ascii="Arial Narrow" w:hAnsi="Arial Narrow"/>
                <w:b/>
                <w:sz w:val="20"/>
              </w:rPr>
              <w:t>Proportion</w:t>
            </w:r>
          </w:p>
        </w:tc>
        <w:tc>
          <w:tcPr>
            <w:tcW w:w="1276" w:type="dxa"/>
            <w:tcMar>
              <w:left w:w="28" w:type="dxa"/>
              <w:right w:w="28" w:type="dxa"/>
            </w:tcMar>
          </w:tcPr>
          <w:p w:rsidR="00FC09B9" w:rsidRPr="00EC09F6" w:rsidRDefault="00FC09B9" w:rsidP="00104078">
            <w:pPr>
              <w:keepNext/>
              <w:widowControl/>
              <w:jc w:val="center"/>
              <w:rPr>
                <w:rFonts w:ascii="Arial Narrow" w:hAnsi="Arial Narrow"/>
                <w:b/>
                <w:sz w:val="20"/>
              </w:rPr>
            </w:pPr>
            <w:r w:rsidRPr="00EC09F6">
              <w:rPr>
                <w:rFonts w:ascii="Arial Narrow" w:hAnsi="Arial Narrow"/>
                <w:b/>
                <w:sz w:val="20"/>
              </w:rPr>
              <w:t>Weighted DPMQ (Public)</w:t>
            </w:r>
          </w:p>
        </w:tc>
        <w:tc>
          <w:tcPr>
            <w:tcW w:w="1258" w:type="dxa"/>
            <w:tcMar>
              <w:left w:w="28" w:type="dxa"/>
              <w:right w:w="28" w:type="dxa"/>
            </w:tcMar>
          </w:tcPr>
          <w:p w:rsidR="00FC09B9" w:rsidRPr="00EC09F6" w:rsidRDefault="00FC09B9" w:rsidP="00104078">
            <w:pPr>
              <w:keepNext/>
              <w:widowControl/>
              <w:jc w:val="center"/>
              <w:rPr>
                <w:rFonts w:ascii="Arial Narrow" w:hAnsi="Arial Narrow"/>
                <w:b/>
                <w:sz w:val="20"/>
              </w:rPr>
            </w:pPr>
            <w:r w:rsidRPr="00EC09F6">
              <w:rPr>
                <w:rFonts w:ascii="Arial Narrow" w:hAnsi="Arial Narrow"/>
                <w:b/>
                <w:sz w:val="20"/>
              </w:rPr>
              <w:t>Weighted DPMQ (Private)</w:t>
            </w:r>
          </w:p>
        </w:tc>
      </w:tr>
      <w:tr w:rsidR="00EC09F6" w:rsidRPr="00EC09F6" w:rsidTr="001B119B">
        <w:tc>
          <w:tcPr>
            <w:tcW w:w="2977" w:type="dxa"/>
            <w:tcMar>
              <w:left w:w="28" w:type="dxa"/>
              <w:right w:w="28" w:type="dxa"/>
            </w:tcMar>
            <w:vAlign w:val="center"/>
          </w:tcPr>
          <w:p w:rsidR="00FC09B9" w:rsidRPr="00EC09F6" w:rsidRDefault="00FC09B9" w:rsidP="001B119B">
            <w:pPr>
              <w:keepNext/>
              <w:widowControl/>
              <w:jc w:val="left"/>
              <w:rPr>
                <w:rFonts w:ascii="Arial Narrow" w:hAnsi="Arial Narrow"/>
                <w:sz w:val="20"/>
              </w:rPr>
            </w:pPr>
            <w:r w:rsidRPr="00EC09F6">
              <w:rPr>
                <w:rFonts w:ascii="Arial Narrow" w:hAnsi="Arial Narrow"/>
                <w:sz w:val="20"/>
              </w:rPr>
              <w:t xml:space="preserve">Cost-minimised price versus </w:t>
            </w:r>
            <w:r w:rsidR="001B119B" w:rsidRPr="00EC09F6">
              <w:rPr>
                <w:rFonts w:ascii="Arial Narrow" w:hAnsi="Arial Narrow"/>
                <w:sz w:val="20"/>
              </w:rPr>
              <w:t>OMAL</w:t>
            </w:r>
          </w:p>
        </w:tc>
        <w:tc>
          <w:tcPr>
            <w:tcW w:w="1940" w:type="dxa"/>
            <w:tcMar>
              <w:left w:w="28" w:type="dxa"/>
              <w:right w:w="28" w:type="dxa"/>
            </w:tcMar>
          </w:tcPr>
          <w:p w:rsidR="00FC09B9" w:rsidRPr="00EC09F6" w:rsidRDefault="001B119B" w:rsidP="00104078">
            <w:pPr>
              <w:keepNext/>
              <w:widowControl/>
              <w:jc w:val="center"/>
              <w:rPr>
                <w:rFonts w:ascii="Arial Narrow" w:hAnsi="Arial Narrow"/>
                <w:sz w:val="20"/>
              </w:rPr>
            </w:pPr>
            <w:r w:rsidRPr="00EC09F6">
              <w:rPr>
                <w:rFonts w:ascii="Arial Narrow" w:hAnsi="Arial Narrow"/>
                <w:sz w:val="20"/>
              </w:rPr>
              <w:t xml:space="preserve">a) </w:t>
            </w:r>
            <w:r w:rsidR="0024101C">
              <w:rPr>
                <w:rFonts w:ascii="Arial Narrow" w:hAnsi="Arial Narrow"/>
                <w:noProof/>
                <w:color w:val="000000"/>
                <w:sz w:val="20"/>
                <w:highlight w:val="black"/>
              </w:rPr>
              <w:t>'''''''''</w:t>
            </w:r>
            <w:r w:rsidRPr="00EC09F6">
              <w:rPr>
                <w:rFonts w:ascii="Arial Narrow" w:hAnsi="Arial Narrow"/>
                <w:sz w:val="20"/>
              </w:rPr>
              <w:t xml:space="preserve"> mg </w:t>
            </w:r>
            <w:r w:rsidRPr="00EC09F6">
              <w:rPr>
                <w:rFonts w:ascii="Arial Narrow" w:hAnsi="Arial Narrow"/>
                <w:sz w:val="20"/>
                <w:vertAlign w:val="superscript"/>
              </w:rPr>
              <w:t>a</w:t>
            </w:r>
            <w:r w:rsidRPr="00EC09F6">
              <w:rPr>
                <w:rFonts w:ascii="Arial Narrow" w:hAnsi="Arial Narrow"/>
                <w:sz w:val="20"/>
              </w:rPr>
              <w:t>:</w:t>
            </w:r>
            <w:r w:rsidR="004A7A47" w:rsidRPr="00EC09F6">
              <w:rPr>
                <w:rFonts w:ascii="Arial Narrow" w:hAnsi="Arial Narrow"/>
                <w:sz w:val="20"/>
              </w:rPr>
              <w:t xml:space="preserve"> </w:t>
            </w:r>
            <w:r w:rsidR="00FC09B9" w:rsidRPr="00EC09F6">
              <w:rPr>
                <w:rFonts w:ascii="Arial Narrow" w:hAnsi="Arial Narrow"/>
                <w:sz w:val="20"/>
              </w:rPr>
              <w:t>$</w:t>
            </w:r>
            <w:r w:rsidR="0024101C">
              <w:rPr>
                <w:rFonts w:ascii="Arial Narrow" w:hAnsi="Arial Narrow"/>
                <w:noProof/>
                <w:color w:val="000000"/>
                <w:sz w:val="20"/>
                <w:highlight w:val="black"/>
              </w:rPr>
              <w:t>''''''''''''''''''''''</w:t>
            </w:r>
          </w:p>
          <w:p w:rsidR="00FC09B9" w:rsidRPr="00EC09F6" w:rsidRDefault="001B119B" w:rsidP="00104078">
            <w:pPr>
              <w:keepNext/>
              <w:widowControl/>
              <w:jc w:val="center"/>
              <w:rPr>
                <w:rFonts w:ascii="Arial Narrow" w:hAnsi="Arial Narrow"/>
                <w:i/>
                <w:sz w:val="20"/>
              </w:rPr>
            </w:pPr>
            <w:r w:rsidRPr="00EC09F6">
              <w:rPr>
                <w:rFonts w:ascii="Arial Narrow" w:hAnsi="Arial Narrow"/>
                <w:i/>
                <w:sz w:val="20"/>
              </w:rPr>
              <w:t>b</w:t>
            </w:r>
            <w:r w:rsidRPr="00594BFF">
              <w:rPr>
                <w:rFonts w:ascii="Arial Narrow" w:hAnsi="Arial Narrow"/>
                <w:sz w:val="20"/>
              </w:rPr>
              <w:t xml:space="preserve">) </w:t>
            </w:r>
            <w:r w:rsidR="0024101C">
              <w:rPr>
                <w:rFonts w:ascii="Arial Narrow" w:hAnsi="Arial Narrow"/>
                <w:noProof/>
                <w:color w:val="000000"/>
                <w:sz w:val="20"/>
                <w:highlight w:val="black"/>
              </w:rPr>
              <w:t>'''''''''</w:t>
            </w:r>
            <w:r w:rsidRPr="00594BFF">
              <w:rPr>
                <w:rFonts w:ascii="Arial Narrow" w:hAnsi="Arial Narrow"/>
                <w:sz w:val="20"/>
              </w:rPr>
              <w:t xml:space="preserve"> mg </w:t>
            </w:r>
            <w:r w:rsidRPr="00594BFF">
              <w:rPr>
                <w:rFonts w:ascii="Arial Narrow" w:hAnsi="Arial Narrow"/>
                <w:sz w:val="20"/>
                <w:vertAlign w:val="superscript"/>
              </w:rPr>
              <w:t>b</w:t>
            </w:r>
            <w:r w:rsidRPr="00594BFF">
              <w:rPr>
                <w:rFonts w:ascii="Arial Narrow" w:hAnsi="Arial Narrow"/>
                <w:sz w:val="20"/>
              </w:rPr>
              <w:t>:</w:t>
            </w:r>
            <w:r w:rsidR="004A7A47" w:rsidRPr="00594BFF">
              <w:rPr>
                <w:rFonts w:ascii="Arial Narrow" w:hAnsi="Arial Narrow"/>
                <w:sz w:val="20"/>
              </w:rPr>
              <w:t xml:space="preserve"> </w:t>
            </w:r>
            <w:r w:rsidR="00FC09B9" w:rsidRPr="00594BFF">
              <w:rPr>
                <w:rFonts w:ascii="Arial Narrow" w:hAnsi="Arial Narrow"/>
                <w:sz w:val="20"/>
              </w:rPr>
              <w:t>$</w:t>
            </w:r>
            <w:r w:rsidR="0024101C">
              <w:rPr>
                <w:rFonts w:ascii="Arial Narrow" w:hAnsi="Arial Narrow"/>
                <w:noProof/>
                <w:color w:val="000000"/>
                <w:sz w:val="20"/>
                <w:highlight w:val="black"/>
              </w:rPr>
              <w:t>'''''''''''''''</w:t>
            </w:r>
          </w:p>
        </w:tc>
        <w:tc>
          <w:tcPr>
            <w:tcW w:w="895" w:type="dxa"/>
            <w:tcMar>
              <w:left w:w="28" w:type="dxa"/>
              <w:right w:w="28" w:type="dxa"/>
            </w:tcMar>
            <w:vAlign w:val="center"/>
          </w:tcPr>
          <w:p w:rsidR="00FC09B9" w:rsidRPr="00EC09F6" w:rsidRDefault="0024101C" w:rsidP="00104078">
            <w:pPr>
              <w:keepNext/>
              <w:widowControl/>
              <w:jc w:val="center"/>
              <w:rPr>
                <w:rFonts w:ascii="Arial Narrow" w:hAnsi="Arial Narrow"/>
                <w:sz w:val="20"/>
              </w:rPr>
            </w:pPr>
            <w:r>
              <w:rPr>
                <w:rFonts w:ascii="Arial Narrow" w:hAnsi="Arial Narrow"/>
                <w:noProof/>
                <w:color w:val="000000"/>
                <w:sz w:val="20"/>
                <w:highlight w:val="black"/>
              </w:rPr>
              <w:t>''''''</w:t>
            </w:r>
            <w:r w:rsidR="00FC09B9" w:rsidRPr="00EC09F6">
              <w:rPr>
                <w:rFonts w:ascii="Arial Narrow" w:hAnsi="Arial Narrow"/>
                <w:sz w:val="20"/>
              </w:rPr>
              <w:t>%</w:t>
            </w:r>
          </w:p>
        </w:tc>
        <w:tc>
          <w:tcPr>
            <w:tcW w:w="1276" w:type="dxa"/>
            <w:vMerge w:val="restart"/>
            <w:tcMar>
              <w:left w:w="28" w:type="dxa"/>
              <w:right w:w="28" w:type="dxa"/>
            </w:tcMar>
            <w:vAlign w:val="center"/>
          </w:tcPr>
          <w:p w:rsidR="00FC09B9" w:rsidRPr="00594BFF" w:rsidRDefault="001B119B" w:rsidP="00104078">
            <w:pPr>
              <w:keepNext/>
              <w:widowControl/>
              <w:jc w:val="center"/>
              <w:rPr>
                <w:rFonts w:ascii="Arial Narrow" w:hAnsi="Arial Narrow"/>
                <w:sz w:val="20"/>
              </w:rPr>
            </w:pPr>
            <w:r w:rsidRPr="00594BFF">
              <w:rPr>
                <w:rFonts w:ascii="Arial Narrow" w:hAnsi="Arial Narrow"/>
                <w:sz w:val="20"/>
              </w:rPr>
              <w:t xml:space="preserve">a) </w:t>
            </w:r>
            <w:r w:rsidR="00FC09B9" w:rsidRPr="00594BFF">
              <w:rPr>
                <w:rFonts w:ascii="Arial Narrow" w:hAnsi="Arial Narrow"/>
                <w:sz w:val="20"/>
              </w:rPr>
              <w:t>$</w:t>
            </w:r>
            <w:r w:rsidR="0024101C">
              <w:rPr>
                <w:rFonts w:ascii="Arial Narrow" w:hAnsi="Arial Narrow"/>
                <w:noProof/>
                <w:color w:val="000000"/>
                <w:sz w:val="20"/>
                <w:highlight w:val="black"/>
              </w:rPr>
              <w:t>'''''''''''''''''''</w:t>
            </w:r>
          </w:p>
          <w:p w:rsidR="00FC09B9" w:rsidRPr="00594BFF" w:rsidRDefault="001B119B" w:rsidP="00104078">
            <w:pPr>
              <w:keepNext/>
              <w:widowControl/>
              <w:jc w:val="center"/>
              <w:rPr>
                <w:rFonts w:ascii="Arial Narrow" w:hAnsi="Arial Narrow"/>
                <w:sz w:val="20"/>
              </w:rPr>
            </w:pPr>
            <w:r w:rsidRPr="00594BFF">
              <w:rPr>
                <w:rFonts w:ascii="Arial Narrow" w:hAnsi="Arial Narrow"/>
                <w:sz w:val="20"/>
              </w:rPr>
              <w:t xml:space="preserve">b) </w:t>
            </w:r>
            <w:r w:rsidR="00FC09B9" w:rsidRPr="00594BFF">
              <w:rPr>
                <w:rFonts w:ascii="Arial Narrow" w:hAnsi="Arial Narrow"/>
                <w:sz w:val="20"/>
              </w:rPr>
              <w:t>$</w:t>
            </w:r>
            <w:r w:rsidR="0024101C">
              <w:rPr>
                <w:rFonts w:ascii="Arial Narrow" w:hAnsi="Arial Narrow"/>
                <w:noProof/>
                <w:color w:val="000000"/>
                <w:sz w:val="20"/>
                <w:highlight w:val="black"/>
              </w:rPr>
              <w:t>''''''''''''''''</w:t>
            </w:r>
          </w:p>
        </w:tc>
        <w:tc>
          <w:tcPr>
            <w:tcW w:w="1258" w:type="dxa"/>
            <w:vMerge w:val="restart"/>
            <w:tcMar>
              <w:left w:w="28" w:type="dxa"/>
              <w:right w:w="28" w:type="dxa"/>
            </w:tcMar>
            <w:vAlign w:val="center"/>
          </w:tcPr>
          <w:p w:rsidR="00FC09B9" w:rsidRPr="00594BFF" w:rsidRDefault="001B119B" w:rsidP="00104078">
            <w:pPr>
              <w:keepNext/>
              <w:widowControl/>
              <w:jc w:val="center"/>
              <w:rPr>
                <w:rFonts w:ascii="Arial Narrow" w:hAnsi="Arial Narrow"/>
                <w:sz w:val="20"/>
              </w:rPr>
            </w:pPr>
            <w:r w:rsidRPr="00594BFF">
              <w:rPr>
                <w:rFonts w:ascii="Arial Narrow" w:hAnsi="Arial Narrow"/>
                <w:sz w:val="20"/>
              </w:rPr>
              <w:t xml:space="preserve">a) </w:t>
            </w:r>
            <w:r w:rsidR="00FC09B9" w:rsidRPr="00594BFF">
              <w:rPr>
                <w:rFonts w:ascii="Arial Narrow" w:hAnsi="Arial Narrow"/>
                <w:sz w:val="20"/>
              </w:rPr>
              <w:t>$</w:t>
            </w:r>
            <w:r w:rsidR="0024101C">
              <w:rPr>
                <w:rFonts w:ascii="Arial Narrow" w:hAnsi="Arial Narrow"/>
                <w:noProof/>
                <w:color w:val="000000"/>
                <w:sz w:val="20"/>
                <w:highlight w:val="black"/>
              </w:rPr>
              <w:t>'''''''''''''''''''''''</w:t>
            </w:r>
            <w:r w:rsidR="00FC09B9" w:rsidRPr="00594BFF">
              <w:rPr>
                <w:rFonts w:ascii="Arial Narrow" w:hAnsi="Arial Narrow"/>
                <w:sz w:val="20"/>
              </w:rPr>
              <w:t xml:space="preserve"> </w:t>
            </w:r>
            <w:r w:rsidRPr="00594BFF">
              <w:rPr>
                <w:rFonts w:ascii="Arial Narrow" w:hAnsi="Arial Narrow"/>
                <w:sz w:val="20"/>
                <w:vertAlign w:val="superscript"/>
              </w:rPr>
              <w:t>c</w:t>
            </w:r>
          </w:p>
          <w:p w:rsidR="00FC09B9" w:rsidRPr="00594BFF" w:rsidRDefault="001B119B" w:rsidP="00104078">
            <w:pPr>
              <w:keepNext/>
              <w:widowControl/>
              <w:jc w:val="center"/>
              <w:rPr>
                <w:rFonts w:ascii="Arial Narrow" w:hAnsi="Arial Narrow"/>
                <w:sz w:val="20"/>
              </w:rPr>
            </w:pPr>
            <w:r w:rsidRPr="00594BFF">
              <w:rPr>
                <w:rFonts w:ascii="Arial Narrow" w:hAnsi="Arial Narrow"/>
                <w:sz w:val="20"/>
              </w:rPr>
              <w:t xml:space="preserve">b) </w:t>
            </w:r>
            <w:r w:rsidR="00FC09B9" w:rsidRPr="00594BFF">
              <w:rPr>
                <w:rFonts w:ascii="Arial Narrow" w:hAnsi="Arial Narrow"/>
                <w:sz w:val="20"/>
              </w:rPr>
              <w:t>$</w:t>
            </w:r>
            <w:r w:rsidR="0024101C">
              <w:rPr>
                <w:rFonts w:ascii="Arial Narrow" w:hAnsi="Arial Narrow"/>
                <w:noProof/>
                <w:color w:val="000000"/>
                <w:sz w:val="20"/>
                <w:highlight w:val="black"/>
              </w:rPr>
              <w:t>''''''''''''''''</w:t>
            </w:r>
          </w:p>
        </w:tc>
      </w:tr>
      <w:tr w:rsidR="00EC09F6" w:rsidRPr="00EC09F6" w:rsidTr="001B119B">
        <w:tc>
          <w:tcPr>
            <w:tcW w:w="2977" w:type="dxa"/>
            <w:tcMar>
              <w:left w:w="28" w:type="dxa"/>
              <w:right w:w="28" w:type="dxa"/>
            </w:tcMar>
          </w:tcPr>
          <w:p w:rsidR="00FC09B9" w:rsidRPr="00EC09F6" w:rsidRDefault="00FC09B9" w:rsidP="001B119B">
            <w:pPr>
              <w:keepNext/>
              <w:widowControl/>
              <w:jc w:val="left"/>
              <w:rPr>
                <w:rFonts w:ascii="Arial Narrow" w:hAnsi="Arial Narrow"/>
                <w:sz w:val="20"/>
              </w:rPr>
            </w:pPr>
            <w:r w:rsidRPr="00EC09F6">
              <w:rPr>
                <w:rFonts w:ascii="Arial Narrow" w:hAnsi="Arial Narrow"/>
                <w:sz w:val="20"/>
              </w:rPr>
              <w:t xml:space="preserve">Cost-effective price versus </w:t>
            </w:r>
            <w:r w:rsidR="001B119B" w:rsidRPr="00EC09F6">
              <w:rPr>
                <w:rFonts w:ascii="Arial Narrow" w:hAnsi="Arial Narrow"/>
                <w:sz w:val="20"/>
              </w:rPr>
              <w:t>SOC</w:t>
            </w:r>
          </w:p>
        </w:tc>
        <w:tc>
          <w:tcPr>
            <w:tcW w:w="1940" w:type="dxa"/>
            <w:tcMar>
              <w:left w:w="28" w:type="dxa"/>
              <w:right w:w="28" w:type="dxa"/>
            </w:tcMar>
          </w:tcPr>
          <w:p w:rsidR="00FC09B9" w:rsidRPr="00EC09F6" w:rsidRDefault="00FC09B9" w:rsidP="00104078">
            <w:pPr>
              <w:keepNext/>
              <w:widowControl/>
              <w:jc w:val="center"/>
              <w:rPr>
                <w:rFonts w:ascii="Arial Narrow" w:hAnsi="Arial Narrow"/>
                <w:sz w:val="20"/>
              </w:rPr>
            </w:pPr>
            <w:r w:rsidRPr="00EC09F6">
              <w:rPr>
                <w:rFonts w:ascii="Arial Narrow" w:hAnsi="Arial Narrow"/>
                <w:sz w:val="20"/>
              </w:rPr>
              <w:t>$</w:t>
            </w:r>
            <w:r w:rsidR="0024101C">
              <w:rPr>
                <w:rFonts w:ascii="Arial Narrow" w:hAnsi="Arial Narrow"/>
                <w:noProof/>
                <w:color w:val="000000"/>
                <w:sz w:val="20"/>
                <w:highlight w:val="black"/>
              </w:rPr>
              <w:t>'''''''''''''''</w:t>
            </w:r>
          </w:p>
        </w:tc>
        <w:tc>
          <w:tcPr>
            <w:tcW w:w="895" w:type="dxa"/>
            <w:tcMar>
              <w:left w:w="28" w:type="dxa"/>
              <w:right w:w="28" w:type="dxa"/>
            </w:tcMar>
          </w:tcPr>
          <w:p w:rsidR="00FC09B9" w:rsidRPr="00EC09F6" w:rsidRDefault="0024101C" w:rsidP="00104078">
            <w:pPr>
              <w:keepNext/>
              <w:widowControl/>
              <w:jc w:val="center"/>
              <w:rPr>
                <w:rFonts w:ascii="Arial Narrow" w:hAnsi="Arial Narrow"/>
                <w:sz w:val="20"/>
              </w:rPr>
            </w:pPr>
            <w:r>
              <w:rPr>
                <w:rFonts w:ascii="Arial Narrow" w:hAnsi="Arial Narrow"/>
                <w:noProof/>
                <w:color w:val="000000"/>
                <w:sz w:val="20"/>
                <w:highlight w:val="black"/>
              </w:rPr>
              <w:t>''''''</w:t>
            </w:r>
            <w:r w:rsidR="00FC09B9" w:rsidRPr="00EC09F6">
              <w:rPr>
                <w:rFonts w:ascii="Arial Narrow" w:hAnsi="Arial Narrow"/>
                <w:sz w:val="20"/>
              </w:rPr>
              <w:t>%</w:t>
            </w:r>
          </w:p>
        </w:tc>
        <w:tc>
          <w:tcPr>
            <w:tcW w:w="1276" w:type="dxa"/>
            <w:vMerge/>
            <w:tcMar>
              <w:left w:w="28" w:type="dxa"/>
              <w:right w:w="28" w:type="dxa"/>
            </w:tcMar>
          </w:tcPr>
          <w:p w:rsidR="00FC09B9" w:rsidRPr="00EC09F6" w:rsidRDefault="00FC09B9" w:rsidP="00104078">
            <w:pPr>
              <w:keepNext/>
              <w:widowControl/>
              <w:rPr>
                <w:rFonts w:ascii="Arial Narrow" w:hAnsi="Arial Narrow"/>
                <w:sz w:val="20"/>
              </w:rPr>
            </w:pPr>
          </w:p>
        </w:tc>
        <w:tc>
          <w:tcPr>
            <w:tcW w:w="1258" w:type="dxa"/>
            <w:vMerge/>
            <w:tcMar>
              <w:left w:w="28" w:type="dxa"/>
              <w:right w:w="28" w:type="dxa"/>
            </w:tcMar>
          </w:tcPr>
          <w:p w:rsidR="00FC09B9" w:rsidRPr="00EC09F6" w:rsidRDefault="00FC09B9" w:rsidP="00104078">
            <w:pPr>
              <w:keepNext/>
              <w:widowControl/>
              <w:rPr>
                <w:rFonts w:ascii="Arial Narrow" w:hAnsi="Arial Narrow"/>
                <w:sz w:val="20"/>
              </w:rPr>
            </w:pPr>
          </w:p>
        </w:tc>
      </w:tr>
    </w:tbl>
    <w:p w:rsidR="00FC09B9" w:rsidRPr="00EC09F6" w:rsidRDefault="00FC09B9" w:rsidP="00FC09B9">
      <w:pPr>
        <w:widowControl/>
        <w:ind w:firstLine="720"/>
        <w:rPr>
          <w:rFonts w:ascii="Arial Narrow" w:hAnsi="Arial Narrow"/>
          <w:sz w:val="18"/>
          <w:szCs w:val="18"/>
        </w:rPr>
      </w:pPr>
      <w:r w:rsidRPr="00EC09F6">
        <w:rPr>
          <w:rFonts w:ascii="Arial Narrow" w:hAnsi="Arial Narrow"/>
          <w:sz w:val="18"/>
          <w:szCs w:val="18"/>
        </w:rPr>
        <w:t>Source: Tables 162-163, pp353-354 of the submission</w:t>
      </w:r>
    </w:p>
    <w:p w:rsidR="00FC09B9" w:rsidRPr="00EC09F6" w:rsidRDefault="00FC09B9" w:rsidP="00FC09B9">
      <w:pPr>
        <w:widowControl/>
        <w:ind w:firstLine="720"/>
        <w:rPr>
          <w:rFonts w:ascii="Arial Narrow" w:hAnsi="Arial Narrow"/>
          <w:sz w:val="18"/>
          <w:szCs w:val="18"/>
        </w:rPr>
      </w:pPr>
      <w:r w:rsidRPr="00EC09F6">
        <w:rPr>
          <w:rFonts w:ascii="Arial Narrow" w:hAnsi="Arial Narrow"/>
          <w:sz w:val="18"/>
          <w:szCs w:val="18"/>
        </w:rPr>
        <w:t>DPMQ = dispensed price for maximum quantity</w:t>
      </w:r>
      <w:r w:rsidR="001B119B" w:rsidRPr="00EC09F6">
        <w:rPr>
          <w:rFonts w:ascii="Arial Narrow" w:hAnsi="Arial Narrow"/>
          <w:sz w:val="18"/>
          <w:szCs w:val="18"/>
        </w:rPr>
        <w:t>; OMAL = omalizumab; SOC = standard of care</w:t>
      </w:r>
    </w:p>
    <w:p w:rsidR="001B119B" w:rsidRPr="00EC09F6" w:rsidRDefault="00FC09B9" w:rsidP="00FC09B9">
      <w:pPr>
        <w:widowControl/>
        <w:ind w:firstLine="720"/>
        <w:rPr>
          <w:rFonts w:ascii="Arial Narrow" w:hAnsi="Arial Narrow"/>
          <w:sz w:val="18"/>
          <w:szCs w:val="18"/>
        </w:rPr>
      </w:pPr>
      <w:r w:rsidRPr="00EC09F6">
        <w:rPr>
          <w:rFonts w:ascii="Arial Narrow" w:hAnsi="Arial Narrow"/>
          <w:sz w:val="18"/>
          <w:szCs w:val="18"/>
          <w:vertAlign w:val="superscript"/>
        </w:rPr>
        <w:t>a</w:t>
      </w:r>
      <w:r w:rsidRPr="00EC09F6">
        <w:rPr>
          <w:rFonts w:ascii="Arial Narrow" w:hAnsi="Arial Narrow"/>
          <w:sz w:val="18"/>
          <w:szCs w:val="18"/>
        </w:rPr>
        <w:t xml:space="preserve"> </w:t>
      </w:r>
      <w:r w:rsidR="001B119B" w:rsidRPr="00EC09F6">
        <w:rPr>
          <w:rFonts w:ascii="Arial Narrow" w:hAnsi="Arial Narrow"/>
          <w:sz w:val="18"/>
          <w:szCs w:val="18"/>
        </w:rPr>
        <w:t>Equi-effective dose of omalizumab as estimated in the submission</w:t>
      </w:r>
    </w:p>
    <w:p w:rsidR="001B119B" w:rsidRPr="00EC09F6" w:rsidRDefault="001B119B" w:rsidP="00FC09B9">
      <w:pPr>
        <w:widowControl/>
        <w:ind w:firstLine="720"/>
        <w:rPr>
          <w:rFonts w:ascii="Arial Narrow" w:hAnsi="Arial Narrow"/>
          <w:sz w:val="18"/>
          <w:szCs w:val="18"/>
        </w:rPr>
      </w:pPr>
      <w:r w:rsidRPr="00EC09F6">
        <w:rPr>
          <w:rFonts w:ascii="Arial Narrow" w:hAnsi="Arial Narrow"/>
          <w:sz w:val="18"/>
          <w:szCs w:val="18"/>
          <w:vertAlign w:val="superscript"/>
        </w:rPr>
        <w:t>b</w:t>
      </w:r>
      <w:r w:rsidRPr="00EC09F6">
        <w:rPr>
          <w:rFonts w:ascii="Arial Narrow" w:hAnsi="Arial Narrow"/>
          <w:sz w:val="18"/>
          <w:szCs w:val="18"/>
        </w:rPr>
        <w:t xml:space="preserve"> Equi-effective dose of omalizumab as estimated by using the INNOVATE trial</w:t>
      </w:r>
    </w:p>
    <w:p w:rsidR="00FC09B9" w:rsidRPr="00EC09F6" w:rsidRDefault="001B119B" w:rsidP="00FC09B9">
      <w:pPr>
        <w:widowControl/>
        <w:ind w:firstLine="720"/>
        <w:rPr>
          <w:rFonts w:ascii="Arial Narrow" w:hAnsi="Arial Narrow"/>
          <w:sz w:val="18"/>
          <w:szCs w:val="18"/>
        </w:rPr>
      </w:pPr>
      <w:r w:rsidRPr="00EC09F6">
        <w:rPr>
          <w:rFonts w:ascii="Arial Narrow" w:hAnsi="Arial Narrow"/>
          <w:sz w:val="18"/>
          <w:szCs w:val="18"/>
          <w:vertAlign w:val="superscript"/>
        </w:rPr>
        <w:t>c</w:t>
      </w:r>
      <w:r w:rsidRPr="00EC09F6">
        <w:rPr>
          <w:rFonts w:ascii="Arial Narrow" w:hAnsi="Arial Narrow"/>
          <w:sz w:val="18"/>
          <w:szCs w:val="18"/>
        </w:rPr>
        <w:t xml:space="preserve"> </w:t>
      </w:r>
      <w:r w:rsidR="00FC09B9" w:rsidRPr="00EC09F6">
        <w:rPr>
          <w:rFonts w:ascii="Arial Narrow" w:hAnsi="Arial Narrow"/>
          <w:sz w:val="18"/>
          <w:szCs w:val="18"/>
        </w:rPr>
        <w:t>Addition of $</w:t>
      </w:r>
      <w:r w:rsidR="0024101C">
        <w:rPr>
          <w:rFonts w:ascii="Arial Narrow" w:hAnsi="Arial Narrow"/>
          <w:noProof/>
          <w:color w:val="000000"/>
          <w:sz w:val="18"/>
          <w:szCs w:val="18"/>
          <w:highlight w:val="black"/>
        </w:rPr>
        <w:t>'''''''''''</w:t>
      </w:r>
      <w:r w:rsidR="00FC09B9" w:rsidRPr="00EC09F6">
        <w:rPr>
          <w:rFonts w:ascii="Arial Narrow" w:hAnsi="Arial Narrow"/>
          <w:sz w:val="18"/>
          <w:szCs w:val="18"/>
        </w:rPr>
        <w:t xml:space="preserve"> dispensing fee</w:t>
      </w:r>
      <w:r w:rsidRPr="00EC09F6">
        <w:rPr>
          <w:rFonts w:ascii="Arial Narrow" w:hAnsi="Arial Narrow"/>
          <w:sz w:val="18"/>
          <w:szCs w:val="18"/>
        </w:rPr>
        <w:t xml:space="preserve"> (</w:t>
      </w:r>
      <w:r w:rsidRPr="00EC09F6">
        <w:rPr>
          <w:rFonts w:ascii="Arial Narrow" w:hAnsi="Arial Narrow"/>
          <w:i/>
          <w:sz w:val="18"/>
          <w:szCs w:val="18"/>
        </w:rPr>
        <w:t>corrected private DPMQ = $</w:t>
      </w:r>
      <w:r w:rsidR="0024101C">
        <w:rPr>
          <w:rFonts w:ascii="Arial Narrow" w:hAnsi="Arial Narrow"/>
          <w:i/>
          <w:noProof/>
          <w:color w:val="000000"/>
          <w:sz w:val="18"/>
          <w:szCs w:val="18"/>
          <w:highlight w:val="black"/>
        </w:rPr>
        <w:t>'''''''''''''''''''''</w:t>
      </w:r>
      <w:r w:rsidRPr="00EC09F6">
        <w:rPr>
          <w:rFonts w:ascii="Arial Narrow" w:hAnsi="Arial Narrow"/>
          <w:sz w:val="18"/>
          <w:szCs w:val="18"/>
        </w:rPr>
        <w:t>)</w:t>
      </w:r>
    </w:p>
    <w:p w:rsidR="00FC09B9" w:rsidRPr="00EC09F6" w:rsidRDefault="00FC09B9" w:rsidP="00FC09B9">
      <w:pPr>
        <w:pStyle w:val="ListParagraph"/>
        <w:widowControl/>
      </w:pPr>
    </w:p>
    <w:p w:rsidR="00FC09B9" w:rsidRPr="00594BFF" w:rsidRDefault="00FC09B9" w:rsidP="00986DCF">
      <w:pPr>
        <w:pStyle w:val="ListParagraph"/>
        <w:widowControl/>
        <w:numPr>
          <w:ilvl w:val="1"/>
          <w:numId w:val="2"/>
        </w:numPr>
        <w:rPr>
          <w:szCs w:val="22"/>
        </w:rPr>
      </w:pPr>
      <w:r w:rsidRPr="00594BFF">
        <w:rPr>
          <w:szCs w:val="22"/>
        </w:rPr>
        <w:t xml:space="preserve">Calculations for the weighted price of mepolizumab </w:t>
      </w:r>
      <w:r w:rsidR="00AA389D" w:rsidRPr="00594BFF">
        <w:rPr>
          <w:szCs w:val="22"/>
        </w:rPr>
        <w:t>we</w:t>
      </w:r>
      <w:r w:rsidRPr="00594BFF">
        <w:rPr>
          <w:szCs w:val="22"/>
        </w:rPr>
        <w:t>re not appropriate as:</w:t>
      </w:r>
    </w:p>
    <w:p w:rsidR="001B119B" w:rsidRPr="00594BFF" w:rsidRDefault="001B119B" w:rsidP="00986DCF">
      <w:pPr>
        <w:pStyle w:val="ListParagraph"/>
        <w:widowControl/>
        <w:numPr>
          <w:ilvl w:val="0"/>
          <w:numId w:val="4"/>
        </w:numPr>
        <w:rPr>
          <w:szCs w:val="22"/>
        </w:rPr>
      </w:pPr>
      <w:r w:rsidRPr="00594BFF">
        <w:rPr>
          <w:szCs w:val="22"/>
        </w:rPr>
        <w:t xml:space="preserve">when the </w:t>
      </w:r>
      <w:r w:rsidR="00AA125C" w:rsidRPr="00594BFF">
        <w:rPr>
          <w:szCs w:val="22"/>
        </w:rPr>
        <w:t>tria</w:t>
      </w:r>
      <w:r w:rsidR="00753532" w:rsidRPr="00594BFF">
        <w:rPr>
          <w:szCs w:val="22"/>
        </w:rPr>
        <w:t>l</w:t>
      </w:r>
      <w:r w:rsidR="00E06D8F" w:rsidRPr="00594BFF">
        <w:rPr>
          <w:szCs w:val="22"/>
        </w:rPr>
        <w:t>-based</w:t>
      </w:r>
      <w:r w:rsidR="00AA125C" w:rsidRPr="00594BFF">
        <w:rPr>
          <w:szCs w:val="22"/>
        </w:rPr>
        <w:t xml:space="preserve"> equi-effective d</w:t>
      </w:r>
      <w:r w:rsidRPr="00594BFF">
        <w:rPr>
          <w:szCs w:val="22"/>
        </w:rPr>
        <w:t>ose of omalizumab w</w:t>
      </w:r>
      <w:r w:rsidR="001737A2" w:rsidRPr="00594BFF">
        <w:rPr>
          <w:szCs w:val="22"/>
        </w:rPr>
        <w:t>as</w:t>
      </w:r>
      <w:r w:rsidRPr="00594BFF">
        <w:rPr>
          <w:szCs w:val="22"/>
        </w:rPr>
        <w:t xml:space="preserve"> used</w:t>
      </w:r>
      <w:r w:rsidR="00AA125C" w:rsidRPr="00594BFF">
        <w:rPr>
          <w:szCs w:val="22"/>
        </w:rPr>
        <w:t>, the weighted prices of mepolizumab were calculated as</w:t>
      </w:r>
      <w:r w:rsidRPr="00594BFF">
        <w:rPr>
          <w:szCs w:val="22"/>
        </w:rPr>
        <w:t xml:space="preserve"> $</w:t>
      </w:r>
      <w:r w:rsidR="0024101C">
        <w:rPr>
          <w:noProof/>
          <w:color w:val="000000"/>
          <w:szCs w:val="22"/>
          <w:highlight w:val="black"/>
        </w:rPr>
        <w:t>''''''''''''''''''</w:t>
      </w:r>
      <w:r w:rsidRPr="00594BFF">
        <w:rPr>
          <w:szCs w:val="22"/>
        </w:rPr>
        <w:t xml:space="preserve"> (</w:t>
      </w:r>
      <w:r w:rsidR="00AA125C" w:rsidRPr="00594BFF">
        <w:rPr>
          <w:szCs w:val="22"/>
        </w:rPr>
        <w:t>approved ex-manufacturer price (AEMP)/</w:t>
      </w:r>
      <w:r w:rsidRPr="00594BFF">
        <w:rPr>
          <w:szCs w:val="22"/>
        </w:rPr>
        <w:t>public DPMQ) and $</w:t>
      </w:r>
      <w:r w:rsidR="0024101C">
        <w:rPr>
          <w:noProof/>
          <w:color w:val="000000"/>
          <w:szCs w:val="22"/>
          <w:highlight w:val="black"/>
        </w:rPr>
        <w:t>''''''''''''''''</w:t>
      </w:r>
      <w:r w:rsidRPr="00594BFF">
        <w:rPr>
          <w:szCs w:val="22"/>
        </w:rPr>
        <w:t xml:space="preserve"> (private DPMQ); </w:t>
      </w:r>
    </w:p>
    <w:p w:rsidR="00FC09B9" w:rsidRPr="00594BFF" w:rsidRDefault="00500588" w:rsidP="00986DCF">
      <w:pPr>
        <w:pStyle w:val="ListParagraph"/>
        <w:widowControl/>
        <w:numPr>
          <w:ilvl w:val="0"/>
          <w:numId w:val="4"/>
        </w:numPr>
        <w:rPr>
          <w:szCs w:val="22"/>
        </w:rPr>
      </w:pPr>
      <w:r w:rsidRPr="00594BFF">
        <w:rPr>
          <w:szCs w:val="22"/>
        </w:rPr>
        <w:t>t</w:t>
      </w:r>
      <w:r w:rsidR="00FC09B9" w:rsidRPr="00594BFF">
        <w:rPr>
          <w:szCs w:val="22"/>
        </w:rPr>
        <w:t xml:space="preserve">he </w:t>
      </w:r>
      <w:r w:rsidRPr="00594BFF">
        <w:rPr>
          <w:szCs w:val="22"/>
        </w:rPr>
        <w:t>estimated comparator proportions</w:t>
      </w:r>
      <w:r w:rsidR="00FC09B9" w:rsidRPr="00594BFF">
        <w:rPr>
          <w:szCs w:val="22"/>
        </w:rPr>
        <w:t xml:space="preserve"> might not </w:t>
      </w:r>
      <w:r w:rsidRPr="00594BFF">
        <w:rPr>
          <w:szCs w:val="22"/>
        </w:rPr>
        <w:t xml:space="preserve">have </w:t>
      </w:r>
      <w:r w:rsidR="00FC09B9" w:rsidRPr="00594BFF">
        <w:rPr>
          <w:szCs w:val="22"/>
        </w:rPr>
        <w:t>be</w:t>
      </w:r>
      <w:r w:rsidRPr="00594BFF">
        <w:rPr>
          <w:szCs w:val="22"/>
        </w:rPr>
        <w:t>en</w:t>
      </w:r>
      <w:r w:rsidR="00FC09B9" w:rsidRPr="00594BFF">
        <w:rPr>
          <w:szCs w:val="22"/>
        </w:rPr>
        <w:t xml:space="preserve"> accurate as trial</w:t>
      </w:r>
      <w:r w:rsidR="007B55D3" w:rsidRPr="00594BFF">
        <w:rPr>
          <w:szCs w:val="22"/>
        </w:rPr>
        <w:t xml:space="preserve"> data</w:t>
      </w:r>
      <w:r w:rsidR="00FC09B9" w:rsidRPr="00594BFF">
        <w:rPr>
          <w:szCs w:val="22"/>
        </w:rPr>
        <w:t>, rather than utilisation data</w:t>
      </w:r>
      <w:r w:rsidRPr="00594BFF">
        <w:rPr>
          <w:szCs w:val="22"/>
        </w:rPr>
        <w:t>,</w:t>
      </w:r>
      <w:r w:rsidR="00FC09B9" w:rsidRPr="00594BFF">
        <w:rPr>
          <w:szCs w:val="22"/>
        </w:rPr>
        <w:t xml:space="preserve"> was used;</w:t>
      </w:r>
      <w:r w:rsidR="001B119B" w:rsidRPr="00594BFF">
        <w:rPr>
          <w:szCs w:val="22"/>
        </w:rPr>
        <w:t xml:space="preserve"> and</w:t>
      </w:r>
    </w:p>
    <w:p w:rsidR="00FC09B9" w:rsidRPr="006C7139" w:rsidRDefault="00500588" w:rsidP="00986DCF">
      <w:pPr>
        <w:pStyle w:val="ListParagraph"/>
        <w:widowControl/>
        <w:numPr>
          <w:ilvl w:val="0"/>
          <w:numId w:val="4"/>
        </w:numPr>
        <w:rPr>
          <w:szCs w:val="22"/>
        </w:rPr>
      </w:pPr>
      <w:r w:rsidRPr="00594BFF">
        <w:rPr>
          <w:szCs w:val="22"/>
        </w:rPr>
        <w:t>t</w:t>
      </w:r>
      <w:r w:rsidR="00FC09B9" w:rsidRPr="00594BFF">
        <w:rPr>
          <w:szCs w:val="22"/>
        </w:rPr>
        <w:t>he addition of a $</w:t>
      </w:r>
      <w:r w:rsidR="0024101C">
        <w:rPr>
          <w:noProof/>
          <w:color w:val="000000"/>
          <w:szCs w:val="22"/>
          <w:highlight w:val="black"/>
        </w:rPr>
        <w:t>''''''''''''</w:t>
      </w:r>
      <w:r w:rsidR="00FC09B9" w:rsidRPr="00594BFF">
        <w:rPr>
          <w:szCs w:val="22"/>
        </w:rPr>
        <w:t xml:space="preserve"> dispensing fee to the public price to calculate the private price for a S</w:t>
      </w:r>
      <w:r w:rsidR="005523A8" w:rsidRPr="00594BFF">
        <w:rPr>
          <w:szCs w:val="22"/>
        </w:rPr>
        <w:t xml:space="preserve">ection </w:t>
      </w:r>
      <w:r w:rsidR="00FC09B9" w:rsidRPr="00594BFF">
        <w:rPr>
          <w:szCs w:val="22"/>
        </w:rPr>
        <w:t xml:space="preserve">100 medication was not correct – the corrected private DPMQ </w:t>
      </w:r>
      <w:r w:rsidR="00AA389D" w:rsidRPr="006C7139">
        <w:rPr>
          <w:szCs w:val="22"/>
        </w:rPr>
        <w:t>would be</w:t>
      </w:r>
      <w:r w:rsidR="001B119B" w:rsidRPr="006C7139">
        <w:rPr>
          <w:szCs w:val="22"/>
        </w:rPr>
        <w:t xml:space="preserve"> $</w:t>
      </w:r>
      <w:r w:rsidR="0024101C">
        <w:rPr>
          <w:noProof/>
          <w:color w:val="000000"/>
          <w:szCs w:val="22"/>
          <w:highlight w:val="black"/>
        </w:rPr>
        <w:t>''''''''''''''''''''</w:t>
      </w:r>
      <w:r w:rsidR="001B119B" w:rsidRPr="006C7139">
        <w:rPr>
          <w:szCs w:val="22"/>
        </w:rPr>
        <w:t>.</w:t>
      </w:r>
    </w:p>
    <w:p w:rsidR="00FC09B9" w:rsidRPr="006C7139" w:rsidRDefault="00FC09B9" w:rsidP="00FC09B9">
      <w:pPr>
        <w:widowControl/>
        <w:rPr>
          <w:szCs w:val="22"/>
        </w:rPr>
      </w:pPr>
    </w:p>
    <w:p w:rsidR="00FC09B9" w:rsidRPr="006C7139" w:rsidRDefault="00FC09B9" w:rsidP="00FC09B9">
      <w:pPr>
        <w:pStyle w:val="Heading2"/>
        <w:rPr>
          <w:szCs w:val="22"/>
        </w:rPr>
      </w:pPr>
      <w:bookmarkStart w:id="14" w:name="_Toc440887142"/>
      <w:r w:rsidRPr="006C7139">
        <w:t>Drug cost/patient/year: $</w:t>
      </w:r>
      <w:bookmarkEnd w:id="14"/>
      <w:r w:rsidR="0024101C">
        <w:rPr>
          <w:noProof/>
          <w:color w:val="000000"/>
          <w:highlight w:val="black"/>
        </w:rPr>
        <w:t>'''''''''''''''''''''</w:t>
      </w:r>
    </w:p>
    <w:p w:rsidR="00FC09B9" w:rsidRPr="006C7139" w:rsidRDefault="00FC09B9" w:rsidP="00FC09B9">
      <w:pPr>
        <w:pStyle w:val="ListParagraph"/>
        <w:widowControl/>
        <w:rPr>
          <w:szCs w:val="22"/>
        </w:rPr>
      </w:pPr>
    </w:p>
    <w:p w:rsidR="00B60939" w:rsidRPr="006C7139" w:rsidRDefault="004451AB" w:rsidP="00986DCF">
      <w:pPr>
        <w:pStyle w:val="ListParagraph"/>
        <w:widowControl/>
        <w:numPr>
          <w:ilvl w:val="1"/>
          <w:numId w:val="2"/>
        </w:numPr>
        <w:rPr>
          <w:szCs w:val="22"/>
        </w:rPr>
      </w:pPr>
      <w:r w:rsidRPr="006C7139">
        <w:rPr>
          <w:szCs w:val="22"/>
        </w:rPr>
        <w:t xml:space="preserve">The cost of mepolizumab per </w:t>
      </w:r>
      <w:r w:rsidR="00E434C4" w:rsidRPr="006C7139">
        <w:rPr>
          <w:szCs w:val="22"/>
        </w:rPr>
        <w:t xml:space="preserve">patient per </w:t>
      </w:r>
      <w:r w:rsidRPr="006C7139">
        <w:rPr>
          <w:szCs w:val="22"/>
        </w:rPr>
        <w:t>month is</w:t>
      </w:r>
      <w:r w:rsidR="00E434C4" w:rsidRPr="006C7139">
        <w:rPr>
          <w:szCs w:val="22"/>
        </w:rPr>
        <w:t xml:space="preserve"> $</w:t>
      </w:r>
      <w:r w:rsidR="0024101C">
        <w:rPr>
          <w:noProof/>
          <w:color w:val="000000"/>
          <w:szCs w:val="22"/>
          <w:highlight w:val="black"/>
        </w:rPr>
        <w:t>'''''''''''''</w:t>
      </w:r>
      <w:r w:rsidR="00E434C4" w:rsidRPr="006C7139">
        <w:rPr>
          <w:szCs w:val="22"/>
        </w:rPr>
        <w:t>, and $</w:t>
      </w:r>
      <w:r w:rsidR="0024101C">
        <w:rPr>
          <w:noProof/>
          <w:color w:val="000000"/>
          <w:szCs w:val="22"/>
          <w:highlight w:val="black"/>
        </w:rPr>
        <w:t>''''''''''''''''''</w:t>
      </w:r>
      <w:r w:rsidR="00E434C4" w:rsidRPr="006C7139">
        <w:rPr>
          <w:szCs w:val="22"/>
        </w:rPr>
        <w:t xml:space="preserve"> </w:t>
      </w:r>
      <w:r w:rsidR="00C25D9C" w:rsidRPr="006C7139">
        <w:rPr>
          <w:szCs w:val="22"/>
        </w:rPr>
        <w:t>per</w:t>
      </w:r>
      <w:r w:rsidR="00E434C4" w:rsidRPr="006C7139">
        <w:rPr>
          <w:szCs w:val="22"/>
        </w:rPr>
        <w:t xml:space="preserve"> patient per year</w:t>
      </w:r>
      <w:r w:rsidR="00C25D9C" w:rsidRPr="006C7139">
        <w:rPr>
          <w:szCs w:val="22"/>
        </w:rPr>
        <w:t xml:space="preserve">. </w:t>
      </w:r>
      <w:r w:rsidR="00E434C4" w:rsidRPr="006C7139">
        <w:rPr>
          <w:szCs w:val="22"/>
        </w:rPr>
        <w:t>Mepolizumab is given every four weeks and the submission assumed 13</w:t>
      </w:r>
      <w:r w:rsidR="007E1B22" w:rsidRPr="006C7139">
        <w:rPr>
          <w:szCs w:val="22"/>
        </w:rPr>
        <w:t> </w:t>
      </w:r>
      <w:r w:rsidR="00E434C4" w:rsidRPr="006C7139">
        <w:rPr>
          <w:szCs w:val="22"/>
        </w:rPr>
        <w:t>doses per year. Initial treatment is 32 weeks. Patients who meet the continuation crit</w:t>
      </w:r>
      <w:r w:rsidR="00654B9D">
        <w:rPr>
          <w:szCs w:val="22"/>
        </w:rPr>
        <w:t>eria receive further treatment.</w:t>
      </w:r>
    </w:p>
    <w:p w:rsidR="00E434C4" w:rsidRPr="006C7139" w:rsidRDefault="00E434C4" w:rsidP="00E434C4">
      <w:pPr>
        <w:widowControl/>
        <w:rPr>
          <w:szCs w:val="22"/>
        </w:rPr>
      </w:pPr>
    </w:p>
    <w:p w:rsidR="00B60939" w:rsidRPr="006C7139" w:rsidRDefault="00B60939" w:rsidP="002C2775">
      <w:pPr>
        <w:pStyle w:val="Heading2"/>
      </w:pPr>
      <w:bookmarkStart w:id="15" w:name="_Toc440887143"/>
      <w:r w:rsidRPr="006C7139">
        <w:t>Estimated PBS usage &amp; financial implications</w:t>
      </w:r>
      <w:bookmarkEnd w:id="15"/>
    </w:p>
    <w:p w:rsidR="00B60939" w:rsidRPr="00F977ED" w:rsidRDefault="00B60939" w:rsidP="00B60939">
      <w:pPr>
        <w:ind w:left="720" w:hanging="720"/>
        <w:rPr>
          <w:szCs w:val="22"/>
        </w:rPr>
      </w:pPr>
    </w:p>
    <w:p w:rsidR="00682C25" w:rsidRPr="00682C25" w:rsidRDefault="00F977ED" w:rsidP="00CD08AF">
      <w:pPr>
        <w:pStyle w:val="PBACHeading1"/>
        <w:numPr>
          <w:ilvl w:val="1"/>
          <w:numId w:val="2"/>
        </w:numPr>
        <w:rPr>
          <w:b w:val="0"/>
        </w:rPr>
      </w:pPr>
      <w:r w:rsidRPr="00F977ED">
        <w:rPr>
          <w:b w:val="0"/>
          <w:bCs/>
        </w:rPr>
        <w:t>The submission was considered by DUSC.</w:t>
      </w:r>
      <w:r>
        <w:rPr>
          <w:bCs/>
        </w:rPr>
        <w:t xml:space="preserve"> </w:t>
      </w:r>
    </w:p>
    <w:p w:rsidR="00682C25" w:rsidRDefault="00682C25" w:rsidP="00682C25">
      <w:pPr>
        <w:pStyle w:val="PBACHeading1"/>
        <w:numPr>
          <w:ilvl w:val="0"/>
          <w:numId w:val="0"/>
        </w:numPr>
        <w:rPr>
          <w:b w:val="0"/>
        </w:rPr>
      </w:pPr>
    </w:p>
    <w:p w:rsidR="00682C25" w:rsidRPr="00EC09F6" w:rsidRDefault="00682C25" w:rsidP="00682C25">
      <w:pPr>
        <w:pStyle w:val="ListParagraph"/>
        <w:widowControl/>
        <w:numPr>
          <w:ilvl w:val="1"/>
          <w:numId w:val="2"/>
        </w:numPr>
        <w:rPr>
          <w:szCs w:val="22"/>
        </w:rPr>
      </w:pPr>
      <w:r w:rsidRPr="00EC09F6">
        <w:t>The submission used both epidemiological and market share approaches to estimate the expected utilisation of mepolizumab:</w:t>
      </w:r>
    </w:p>
    <w:p w:rsidR="00682C25" w:rsidRPr="00EC09F6" w:rsidRDefault="00682C25" w:rsidP="00682C25">
      <w:pPr>
        <w:pStyle w:val="ListParagraph"/>
        <w:numPr>
          <w:ilvl w:val="0"/>
          <w:numId w:val="17"/>
        </w:numPr>
        <w:ind w:left="1077" w:hanging="357"/>
      </w:pPr>
      <w:r w:rsidRPr="00EC09F6">
        <w:t>A market share approach was used for patients eligible for both mepolizumab and omalizumab, and in whom mepolizumab would replace omalizumab;</w:t>
      </w:r>
    </w:p>
    <w:p w:rsidR="00682C25" w:rsidRPr="00EC09F6" w:rsidRDefault="00682C25" w:rsidP="00682C25">
      <w:pPr>
        <w:pStyle w:val="ListParagraph"/>
        <w:numPr>
          <w:ilvl w:val="0"/>
          <w:numId w:val="16"/>
        </w:numPr>
        <w:ind w:left="1077" w:hanging="357"/>
      </w:pPr>
      <w:r w:rsidRPr="00EC09F6">
        <w:t>An epidemiological approach was used for patients eligible for both mepolizumab and omalizumab, and in whom mepolizumab would not replace omalizumab; and</w:t>
      </w:r>
    </w:p>
    <w:p w:rsidR="00682C25" w:rsidRPr="00EC09F6" w:rsidRDefault="00682C25" w:rsidP="00682C25">
      <w:pPr>
        <w:pStyle w:val="ListParagraph"/>
        <w:numPr>
          <w:ilvl w:val="0"/>
          <w:numId w:val="16"/>
        </w:numPr>
        <w:ind w:left="1077" w:hanging="357"/>
      </w:pPr>
      <w:r w:rsidRPr="00EC09F6">
        <w:t xml:space="preserve">An epidemiological approach was used for patients eligible for mepolizumab only. </w:t>
      </w:r>
    </w:p>
    <w:p w:rsidR="00682C25" w:rsidRPr="00EC09F6" w:rsidRDefault="00682C25" w:rsidP="00682C25">
      <w:pPr>
        <w:pStyle w:val="ListParagraph"/>
        <w:rPr>
          <w:szCs w:val="22"/>
        </w:rPr>
      </w:pPr>
    </w:p>
    <w:p w:rsidR="00682C25" w:rsidRPr="00EC09F6" w:rsidRDefault="00682C25" w:rsidP="00682C25">
      <w:pPr>
        <w:pStyle w:val="ListParagraph"/>
        <w:widowControl/>
        <w:numPr>
          <w:ilvl w:val="1"/>
          <w:numId w:val="2"/>
        </w:numPr>
        <w:rPr>
          <w:szCs w:val="22"/>
        </w:rPr>
      </w:pPr>
      <w:r w:rsidRPr="00EC09F6">
        <w:rPr>
          <w:szCs w:val="22"/>
        </w:rPr>
        <w:t xml:space="preserve">The population in whom mepolizumab would replace omalizumab was calculated using DUSC utilisation data and clinical criteria from the IDEAL Study. The epidemiological approach first calculated the number of patients with severe, uncontrolled asthma who were compliant with </w:t>
      </w:r>
      <w:r w:rsidRPr="00EC09F6">
        <w:t>inhaled corticosteroids/long-acting beta agonists</w:t>
      </w:r>
      <w:r w:rsidRPr="00EC09F6">
        <w:rPr>
          <w:szCs w:val="22"/>
        </w:rPr>
        <w:t xml:space="preserve"> (ICS/LABA) therapy, using predominantly Australian data sources. IDEAL Study data was then used to ascertain the number eligible for mepolizumab. </w:t>
      </w:r>
    </w:p>
    <w:p w:rsidR="00682C25" w:rsidRPr="00EC09F6" w:rsidRDefault="00682C25" w:rsidP="00682C25">
      <w:pPr>
        <w:pStyle w:val="ListParagraph"/>
        <w:widowControl/>
        <w:rPr>
          <w:szCs w:val="22"/>
        </w:rPr>
      </w:pPr>
    </w:p>
    <w:p w:rsidR="00682C25" w:rsidRPr="00EC09F6" w:rsidRDefault="00682C25" w:rsidP="00682C25">
      <w:pPr>
        <w:pStyle w:val="ListParagraph"/>
        <w:widowControl/>
        <w:numPr>
          <w:ilvl w:val="1"/>
          <w:numId w:val="2"/>
        </w:numPr>
        <w:rPr>
          <w:szCs w:val="22"/>
        </w:rPr>
      </w:pPr>
      <w:r w:rsidRPr="00EC09F6">
        <w:rPr>
          <w:szCs w:val="22"/>
        </w:rPr>
        <w:t>Uptake rates were assumed for all populations.</w:t>
      </w:r>
    </w:p>
    <w:p w:rsidR="00682C25" w:rsidRPr="00EC09F6" w:rsidRDefault="00682C25" w:rsidP="00682C25">
      <w:pPr>
        <w:widowControl/>
        <w:rPr>
          <w:szCs w:val="22"/>
        </w:rPr>
      </w:pPr>
    </w:p>
    <w:p w:rsidR="00682C25" w:rsidRPr="00EC09F6" w:rsidRDefault="00682C25" w:rsidP="00682C25">
      <w:pPr>
        <w:keepNext/>
        <w:ind w:firstLine="709"/>
        <w:rPr>
          <w:rStyle w:val="CommentReference"/>
        </w:rPr>
      </w:pPr>
      <w:r w:rsidRPr="00EC09F6">
        <w:rPr>
          <w:rStyle w:val="CommentReference"/>
        </w:rPr>
        <w:t>Table 1</w:t>
      </w:r>
      <w:r w:rsidR="0084351E">
        <w:rPr>
          <w:rStyle w:val="CommentReference"/>
        </w:rPr>
        <w:t>8</w:t>
      </w:r>
      <w:r w:rsidRPr="00EC09F6">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2"/>
        <w:gridCol w:w="1133"/>
        <w:gridCol w:w="1134"/>
        <w:gridCol w:w="1134"/>
        <w:gridCol w:w="1134"/>
        <w:gridCol w:w="1120"/>
      </w:tblGrid>
      <w:tr w:rsidR="00682C25" w:rsidRPr="00EC09F6" w:rsidTr="00F804CD">
        <w:trPr>
          <w:cantSplit/>
          <w:tblHeader/>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b/>
                <w:sz w:val="20"/>
              </w:rPr>
            </w:pPr>
          </w:p>
        </w:tc>
        <w:tc>
          <w:tcPr>
            <w:tcW w:w="679" w:type="pct"/>
            <w:shd w:val="clear" w:color="auto" w:fill="auto"/>
            <w:vAlign w:val="center"/>
          </w:tcPr>
          <w:p w:rsidR="00682C25" w:rsidRPr="00EC09F6" w:rsidRDefault="00682C25" w:rsidP="00F804CD">
            <w:pPr>
              <w:keepNext/>
              <w:jc w:val="center"/>
              <w:rPr>
                <w:rFonts w:ascii="Arial Narrow" w:hAnsi="Arial Narrow"/>
                <w:b/>
                <w:sz w:val="20"/>
              </w:rPr>
            </w:pPr>
            <w:r w:rsidRPr="00EC09F6">
              <w:rPr>
                <w:rFonts w:ascii="Arial Narrow" w:hAnsi="Arial Narrow"/>
                <w:b/>
                <w:sz w:val="20"/>
              </w:rPr>
              <w:t>Year 1</w:t>
            </w:r>
          </w:p>
        </w:tc>
        <w:tc>
          <w:tcPr>
            <w:tcW w:w="679" w:type="pct"/>
            <w:shd w:val="clear" w:color="auto" w:fill="auto"/>
            <w:vAlign w:val="center"/>
          </w:tcPr>
          <w:p w:rsidR="00682C25" w:rsidRPr="00EC09F6" w:rsidRDefault="00682C25" w:rsidP="00F804CD">
            <w:pPr>
              <w:keepNext/>
              <w:jc w:val="center"/>
              <w:rPr>
                <w:rFonts w:ascii="Arial Narrow" w:hAnsi="Arial Narrow"/>
                <w:b/>
                <w:sz w:val="20"/>
              </w:rPr>
            </w:pPr>
            <w:r w:rsidRPr="00EC09F6">
              <w:rPr>
                <w:rFonts w:ascii="Arial Narrow" w:hAnsi="Arial Narrow"/>
                <w:b/>
                <w:sz w:val="20"/>
              </w:rPr>
              <w:t>Year 2</w:t>
            </w:r>
          </w:p>
        </w:tc>
        <w:tc>
          <w:tcPr>
            <w:tcW w:w="679" w:type="pct"/>
            <w:shd w:val="clear" w:color="auto" w:fill="auto"/>
            <w:vAlign w:val="center"/>
          </w:tcPr>
          <w:p w:rsidR="00682C25" w:rsidRPr="00EC09F6" w:rsidRDefault="00682C25" w:rsidP="00F804CD">
            <w:pPr>
              <w:keepNext/>
              <w:jc w:val="center"/>
              <w:rPr>
                <w:rFonts w:ascii="Arial Narrow" w:hAnsi="Arial Narrow"/>
                <w:b/>
                <w:sz w:val="20"/>
              </w:rPr>
            </w:pPr>
            <w:r w:rsidRPr="00EC09F6">
              <w:rPr>
                <w:rFonts w:ascii="Arial Narrow" w:hAnsi="Arial Narrow"/>
                <w:b/>
                <w:sz w:val="20"/>
              </w:rPr>
              <w:t>Year 3</w:t>
            </w:r>
          </w:p>
        </w:tc>
        <w:tc>
          <w:tcPr>
            <w:tcW w:w="679" w:type="pct"/>
            <w:shd w:val="clear" w:color="auto" w:fill="auto"/>
            <w:vAlign w:val="center"/>
          </w:tcPr>
          <w:p w:rsidR="00682C25" w:rsidRPr="00EC09F6" w:rsidRDefault="00682C25" w:rsidP="00F804CD">
            <w:pPr>
              <w:keepNext/>
              <w:jc w:val="center"/>
              <w:rPr>
                <w:rFonts w:ascii="Arial Narrow" w:hAnsi="Arial Narrow"/>
                <w:b/>
                <w:sz w:val="20"/>
              </w:rPr>
            </w:pPr>
            <w:r w:rsidRPr="00EC09F6">
              <w:rPr>
                <w:rFonts w:ascii="Arial Narrow" w:hAnsi="Arial Narrow"/>
                <w:b/>
                <w:sz w:val="20"/>
              </w:rPr>
              <w:t>Year 4</w:t>
            </w:r>
          </w:p>
        </w:tc>
        <w:tc>
          <w:tcPr>
            <w:tcW w:w="671" w:type="pct"/>
            <w:shd w:val="clear" w:color="auto" w:fill="auto"/>
            <w:vAlign w:val="center"/>
          </w:tcPr>
          <w:p w:rsidR="00682C25" w:rsidRPr="00EC09F6" w:rsidRDefault="00682C25" w:rsidP="00F804CD">
            <w:pPr>
              <w:keepNext/>
              <w:jc w:val="center"/>
              <w:rPr>
                <w:rFonts w:ascii="Arial Narrow" w:hAnsi="Arial Narrow"/>
                <w:b/>
                <w:sz w:val="20"/>
              </w:rPr>
            </w:pPr>
            <w:r w:rsidRPr="00EC09F6">
              <w:rPr>
                <w:rFonts w:ascii="Arial Narrow" w:hAnsi="Arial Narrow"/>
                <w:b/>
                <w:sz w:val="20"/>
              </w:rPr>
              <w:t>Year 5</w:t>
            </w:r>
          </w:p>
        </w:tc>
      </w:tr>
      <w:tr w:rsidR="00682C25" w:rsidRPr="00EC09F6" w:rsidTr="00F804CD">
        <w:trPr>
          <w:cantSplit/>
        </w:trPr>
        <w:tc>
          <w:tcPr>
            <w:tcW w:w="5000" w:type="pct"/>
            <w:gridSpan w:val="6"/>
            <w:shd w:val="clear" w:color="auto" w:fill="auto"/>
            <w:vAlign w:val="center"/>
          </w:tcPr>
          <w:p w:rsidR="00682C25" w:rsidRPr="00EC09F6" w:rsidRDefault="00682C25" w:rsidP="00F804CD">
            <w:pPr>
              <w:keepNext/>
              <w:jc w:val="left"/>
              <w:rPr>
                <w:rFonts w:ascii="Arial Narrow" w:hAnsi="Arial Narrow"/>
                <w:b/>
                <w:bCs/>
                <w:sz w:val="20"/>
              </w:rPr>
            </w:pPr>
            <w:r w:rsidRPr="00EC09F6">
              <w:rPr>
                <w:rFonts w:ascii="Arial Narrow" w:hAnsi="Arial Narrow"/>
                <w:b/>
                <w:bCs/>
                <w:sz w:val="20"/>
              </w:rPr>
              <w:t>Estimated extent of use</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Patients eligible for MEPO</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1"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Uptake</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p>
        </w:tc>
        <w:tc>
          <w:tcPr>
            <w:tcW w:w="671" w:type="pct"/>
            <w:shd w:val="clear" w:color="auto" w:fill="auto"/>
            <w:vAlign w:val="center"/>
          </w:tcPr>
          <w:p w:rsidR="00682C25" w:rsidRPr="00EC09F6" w:rsidRDefault="00682C25" w:rsidP="00F804CD">
            <w:pPr>
              <w:keepNext/>
              <w:jc w:val="center"/>
              <w:rPr>
                <w:rFonts w:ascii="Arial Narrow" w:hAnsi="Arial Narrow"/>
                <w:bCs/>
                <w:sz w:val="20"/>
              </w:rPr>
            </w:pP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ind w:left="256" w:hanging="142"/>
              <w:jc w:val="left"/>
              <w:rPr>
                <w:rFonts w:ascii="Arial Narrow" w:hAnsi="Arial Narrow"/>
                <w:sz w:val="20"/>
              </w:rPr>
            </w:pPr>
            <w:r w:rsidRPr="00EC09F6">
              <w:rPr>
                <w:rFonts w:ascii="Arial Narrow" w:hAnsi="Arial Narrow"/>
                <w:sz w:val="20"/>
              </w:rPr>
              <w:t>eligible for MEPO and OMAL, treated with OMAL</w:t>
            </w:r>
          </w:p>
          <w:p w:rsidR="00682C25" w:rsidRPr="00EC09F6" w:rsidRDefault="00682C25" w:rsidP="00F804CD">
            <w:pPr>
              <w:keepNext/>
              <w:tabs>
                <w:tab w:val="left" w:pos="142"/>
              </w:tabs>
              <w:ind w:left="256"/>
              <w:jc w:val="left"/>
              <w:rPr>
                <w:rFonts w:ascii="Arial Narrow" w:hAnsi="Arial Narrow"/>
                <w:sz w:val="20"/>
              </w:rPr>
            </w:pPr>
            <w:r w:rsidRPr="00EC09F6">
              <w:rPr>
                <w:rFonts w:ascii="Arial Narrow" w:hAnsi="Arial Narrow"/>
                <w:sz w:val="20"/>
              </w:rPr>
              <w:t>not treated with OMAL</w:t>
            </w:r>
          </w:p>
        </w:tc>
        <w:tc>
          <w:tcPr>
            <w:tcW w:w="679" w:type="pct"/>
            <w:shd w:val="clear" w:color="auto" w:fill="auto"/>
            <w:vAlign w:val="bottom"/>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10%</w:t>
            </w:r>
          </w:p>
          <w:p w:rsidR="00682C25" w:rsidRPr="00EC09F6" w:rsidRDefault="00682C25" w:rsidP="00F804CD">
            <w:pPr>
              <w:keepNext/>
              <w:jc w:val="center"/>
              <w:rPr>
                <w:rFonts w:ascii="Arial Narrow" w:hAnsi="Arial Narrow"/>
                <w:bCs/>
                <w:sz w:val="20"/>
              </w:rPr>
            </w:pPr>
            <w:r w:rsidRPr="00EC09F6">
              <w:rPr>
                <w:rFonts w:ascii="Arial Narrow" w:hAnsi="Arial Narrow"/>
                <w:bCs/>
                <w:sz w:val="20"/>
              </w:rPr>
              <w:t>1%</w:t>
            </w:r>
          </w:p>
        </w:tc>
        <w:tc>
          <w:tcPr>
            <w:tcW w:w="679" w:type="pct"/>
            <w:shd w:val="clear" w:color="auto" w:fill="auto"/>
            <w:vAlign w:val="bottom"/>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20%</w:t>
            </w:r>
          </w:p>
          <w:p w:rsidR="00682C25" w:rsidRPr="00EC09F6" w:rsidRDefault="00682C25" w:rsidP="00F804CD">
            <w:pPr>
              <w:keepNext/>
              <w:jc w:val="center"/>
              <w:rPr>
                <w:rFonts w:ascii="Arial Narrow" w:hAnsi="Arial Narrow"/>
                <w:bCs/>
                <w:sz w:val="20"/>
              </w:rPr>
            </w:pPr>
            <w:r w:rsidRPr="00EC09F6">
              <w:rPr>
                <w:rFonts w:ascii="Arial Narrow" w:hAnsi="Arial Narrow"/>
                <w:bCs/>
                <w:sz w:val="20"/>
              </w:rPr>
              <w:t>1%</w:t>
            </w:r>
          </w:p>
        </w:tc>
        <w:tc>
          <w:tcPr>
            <w:tcW w:w="679" w:type="pct"/>
            <w:shd w:val="clear" w:color="auto" w:fill="auto"/>
            <w:vAlign w:val="bottom"/>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20%</w:t>
            </w:r>
          </w:p>
          <w:p w:rsidR="00682C25" w:rsidRPr="00EC09F6" w:rsidRDefault="00682C25" w:rsidP="00F804CD">
            <w:pPr>
              <w:keepNext/>
              <w:jc w:val="center"/>
              <w:rPr>
                <w:rFonts w:ascii="Arial Narrow" w:hAnsi="Arial Narrow"/>
                <w:bCs/>
                <w:sz w:val="20"/>
              </w:rPr>
            </w:pPr>
            <w:r w:rsidRPr="00EC09F6">
              <w:rPr>
                <w:rFonts w:ascii="Arial Narrow" w:hAnsi="Arial Narrow"/>
                <w:bCs/>
                <w:sz w:val="20"/>
              </w:rPr>
              <w:t>1%</w:t>
            </w:r>
          </w:p>
        </w:tc>
        <w:tc>
          <w:tcPr>
            <w:tcW w:w="679" w:type="pct"/>
            <w:shd w:val="clear" w:color="auto" w:fill="auto"/>
            <w:vAlign w:val="bottom"/>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20%</w:t>
            </w:r>
          </w:p>
          <w:p w:rsidR="00682C25" w:rsidRPr="00EC09F6" w:rsidRDefault="00682C25" w:rsidP="00F804CD">
            <w:pPr>
              <w:keepNext/>
              <w:jc w:val="center"/>
              <w:rPr>
                <w:rFonts w:ascii="Arial Narrow" w:hAnsi="Arial Narrow"/>
                <w:bCs/>
                <w:sz w:val="20"/>
              </w:rPr>
            </w:pPr>
            <w:r w:rsidRPr="00EC09F6">
              <w:rPr>
                <w:rFonts w:ascii="Arial Narrow" w:hAnsi="Arial Narrow"/>
                <w:bCs/>
                <w:sz w:val="20"/>
              </w:rPr>
              <w:t>1%</w:t>
            </w:r>
          </w:p>
        </w:tc>
        <w:tc>
          <w:tcPr>
            <w:tcW w:w="671" w:type="pct"/>
            <w:shd w:val="clear" w:color="auto" w:fill="auto"/>
            <w:vAlign w:val="bottom"/>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20%</w:t>
            </w:r>
          </w:p>
          <w:p w:rsidR="00682C25" w:rsidRPr="00EC09F6" w:rsidRDefault="00682C25" w:rsidP="00F804CD">
            <w:pPr>
              <w:keepNext/>
              <w:jc w:val="center"/>
              <w:rPr>
                <w:rFonts w:ascii="Arial Narrow" w:hAnsi="Arial Narrow"/>
                <w:bCs/>
                <w:sz w:val="20"/>
              </w:rPr>
            </w:pPr>
            <w:r w:rsidRPr="00EC09F6">
              <w:rPr>
                <w:rFonts w:ascii="Arial Narrow" w:hAnsi="Arial Narrow"/>
                <w:bCs/>
                <w:sz w:val="20"/>
              </w:rPr>
              <w:t>1%</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ind w:firstLine="114"/>
              <w:jc w:val="left"/>
              <w:rPr>
                <w:rFonts w:ascii="Arial Narrow" w:hAnsi="Arial Narrow"/>
                <w:sz w:val="20"/>
              </w:rPr>
            </w:pPr>
            <w:r w:rsidRPr="00EC09F6">
              <w:rPr>
                <w:rFonts w:ascii="Arial Narrow" w:hAnsi="Arial Narrow"/>
                <w:sz w:val="20"/>
              </w:rPr>
              <w:t>eligible for MEPO only</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p>
        </w:tc>
        <w:tc>
          <w:tcPr>
            <w:tcW w:w="671"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Patients initiating MEPO</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EC09F6" w:rsidRDefault="00682C25" w:rsidP="00F804CD">
            <w:pPr>
              <w:keepNext/>
              <w:jc w:val="center"/>
              <w:rPr>
                <w:rFonts w:ascii="Arial Narrow" w:hAnsi="Arial Narrow"/>
                <w:bCs/>
                <w:sz w:val="20"/>
              </w:rPr>
            </w:pPr>
            <w:r w:rsidRPr="00EC09F6">
              <w:rPr>
                <w:rFonts w:ascii="Arial Narrow" w:hAnsi="Arial Narrow"/>
                <w:bCs/>
                <w:sz w:val="20"/>
              </w:rPr>
              <w:t>2</w:t>
            </w:r>
            <w:r w:rsidR="0024101C">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1"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Patients meeting CC</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1"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Patients continuing MEPO</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1"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682C25" w:rsidRPr="00EC09F6" w:rsidTr="00F804CD">
        <w:trPr>
          <w:cantSplit/>
        </w:trPr>
        <w:tc>
          <w:tcPr>
            <w:tcW w:w="1613" w:type="pct"/>
            <w:shd w:val="clear" w:color="auto" w:fill="auto"/>
            <w:vAlign w:val="center"/>
          </w:tcPr>
          <w:p w:rsidR="00682C25" w:rsidRPr="00EC09F6" w:rsidRDefault="00682C25" w:rsidP="00F804CD">
            <w:pPr>
              <w:keepNext/>
              <w:tabs>
                <w:tab w:val="left" w:pos="142"/>
              </w:tabs>
              <w:jc w:val="left"/>
              <w:rPr>
                <w:rFonts w:ascii="Arial Narrow" w:hAnsi="Arial Narrow"/>
                <w:sz w:val="20"/>
              </w:rPr>
            </w:pPr>
            <w:r w:rsidRPr="00EC09F6">
              <w:rPr>
                <w:rFonts w:ascii="Arial Narrow" w:hAnsi="Arial Narrow"/>
                <w:sz w:val="20"/>
              </w:rPr>
              <w:t>Total MEPO prescriptions</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1" w:type="pct"/>
            <w:shd w:val="clear" w:color="auto" w:fill="auto"/>
            <w:vAlign w:val="center"/>
          </w:tcPr>
          <w:p w:rsidR="00682C25" w:rsidRPr="0024101C" w:rsidRDefault="0024101C" w:rsidP="00F804CD">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682C25" w:rsidRPr="00EC09F6" w:rsidTr="00F804CD">
        <w:trPr>
          <w:cantSplit/>
        </w:trPr>
        <w:tc>
          <w:tcPr>
            <w:tcW w:w="5000" w:type="pct"/>
            <w:gridSpan w:val="6"/>
            <w:shd w:val="clear" w:color="auto" w:fill="auto"/>
            <w:vAlign w:val="center"/>
          </w:tcPr>
          <w:p w:rsidR="00682C25" w:rsidRPr="00EC09F6" w:rsidRDefault="00682C25" w:rsidP="00F804CD">
            <w:pPr>
              <w:jc w:val="left"/>
              <w:rPr>
                <w:rFonts w:ascii="Arial Narrow" w:hAnsi="Arial Narrow"/>
                <w:b/>
                <w:bCs/>
                <w:sz w:val="20"/>
              </w:rPr>
            </w:pPr>
            <w:r w:rsidRPr="00EC09F6">
              <w:rPr>
                <w:rFonts w:ascii="Arial Narrow" w:hAnsi="Arial Narrow"/>
                <w:b/>
                <w:bCs/>
                <w:sz w:val="20"/>
              </w:rPr>
              <w:t>Estimated net cost to PBS/RPBS/MBS</w:t>
            </w:r>
          </w:p>
        </w:tc>
      </w:tr>
      <w:tr w:rsidR="00682C25" w:rsidRPr="00EC09F6" w:rsidTr="00F804CD">
        <w:trPr>
          <w:cantSplit/>
        </w:trPr>
        <w:tc>
          <w:tcPr>
            <w:tcW w:w="1613" w:type="pct"/>
            <w:shd w:val="clear" w:color="auto" w:fill="auto"/>
            <w:vAlign w:val="center"/>
          </w:tcPr>
          <w:p w:rsidR="00682C25" w:rsidRPr="00EC09F6" w:rsidRDefault="00682C25" w:rsidP="00F804CD">
            <w:pPr>
              <w:tabs>
                <w:tab w:val="left" w:pos="142"/>
              </w:tabs>
              <w:jc w:val="left"/>
              <w:rPr>
                <w:rFonts w:ascii="Arial Narrow" w:hAnsi="Arial Narrow"/>
                <w:sz w:val="20"/>
              </w:rPr>
            </w:pPr>
            <w:r w:rsidRPr="00EC09F6">
              <w:rPr>
                <w:rFonts w:ascii="Arial Narrow" w:hAnsi="Arial Narrow"/>
                <w:sz w:val="19"/>
                <w:szCs w:val="19"/>
              </w:rPr>
              <w:t>Net cost to PBS/RPBS</w:t>
            </w:r>
          </w:p>
        </w:tc>
        <w:tc>
          <w:tcPr>
            <w:tcW w:w="679" w:type="pct"/>
            <w:shd w:val="clear" w:color="auto" w:fill="auto"/>
            <w:vAlign w:val="center"/>
          </w:tcPr>
          <w:p w:rsidR="00682C25" w:rsidRPr="00EC09F6" w:rsidRDefault="00682C25" w:rsidP="00F804CD">
            <w:pPr>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679" w:type="pct"/>
            <w:shd w:val="clear" w:color="auto" w:fill="auto"/>
            <w:vAlign w:val="center"/>
          </w:tcPr>
          <w:p w:rsidR="00682C25" w:rsidRPr="00EC09F6" w:rsidRDefault="00682C25" w:rsidP="00F804CD">
            <w:pPr>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679" w:type="pct"/>
            <w:shd w:val="clear" w:color="auto" w:fill="auto"/>
            <w:vAlign w:val="center"/>
          </w:tcPr>
          <w:p w:rsidR="00682C25" w:rsidRPr="00EC09F6" w:rsidRDefault="00682C25" w:rsidP="00F804CD">
            <w:pPr>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679" w:type="pct"/>
            <w:shd w:val="clear" w:color="auto" w:fill="auto"/>
            <w:vAlign w:val="center"/>
          </w:tcPr>
          <w:p w:rsidR="00682C25" w:rsidRPr="00EC09F6" w:rsidRDefault="00682C25" w:rsidP="00F804CD">
            <w:pPr>
              <w:keepNext/>
              <w:jc w:val="right"/>
              <w:rPr>
                <w:rStyle w:val="TableText1"/>
                <w:sz w:val="20"/>
              </w:rPr>
            </w:pPr>
            <w:r w:rsidRPr="00EC09F6">
              <w:rPr>
                <w:rStyle w:val="TableText1"/>
                <w:sz w:val="20"/>
              </w:rPr>
              <w:t>$</w:t>
            </w:r>
            <w:r w:rsidR="0024101C">
              <w:rPr>
                <w:rStyle w:val="TableText1"/>
                <w:noProof/>
                <w:color w:val="000000"/>
                <w:sz w:val="20"/>
                <w:highlight w:val="black"/>
              </w:rPr>
              <w:t>'''''''''''''''''''''''</w:t>
            </w:r>
          </w:p>
        </w:tc>
        <w:tc>
          <w:tcPr>
            <w:tcW w:w="671" w:type="pct"/>
            <w:shd w:val="clear" w:color="auto" w:fill="auto"/>
            <w:vAlign w:val="center"/>
          </w:tcPr>
          <w:p w:rsidR="00682C25" w:rsidRPr="00EC09F6" w:rsidRDefault="00682C25" w:rsidP="00F804CD">
            <w:pPr>
              <w:keepNext/>
              <w:jc w:val="right"/>
              <w:rPr>
                <w:rStyle w:val="TableText1"/>
                <w:sz w:val="20"/>
              </w:rPr>
            </w:pPr>
            <w:r w:rsidRPr="00EC09F6">
              <w:rPr>
                <w:rStyle w:val="TableText1"/>
                <w:sz w:val="20"/>
              </w:rPr>
              <w:t>$</w:t>
            </w:r>
            <w:r w:rsidR="0024101C">
              <w:rPr>
                <w:rStyle w:val="TableText1"/>
                <w:noProof/>
                <w:color w:val="000000"/>
                <w:sz w:val="20"/>
                <w:highlight w:val="black"/>
              </w:rPr>
              <w:t>''''''''''''''''''''''''''</w:t>
            </w:r>
          </w:p>
        </w:tc>
      </w:tr>
      <w:tr w:rsidR="00682C25" w:rsidRPr="00EC09F6" w:rsidTr="00F804CD">
        <w:trPr>
          <w:cantSplit/>
        </w:trPr>
        <w:tc>
          <w:tcPr>
            <w:tcW w:w="1613" w:type="pct"/>
            <w:shd w:val="clear" w:color="auto" w:fill="auto"/>
            <w:vAlign w:val="center"/>
          </w:tcPr>
          <w:p w:rsidR="00682C25" w:rsidRPr="00EC09F6" w:rsidRDefault="00682C25" w:rsidP="00F804CD">
            <w:pPr>
              <w:tabs>
                <w:tab w:val="left" w:pos="142"/>
              </w:tabs>
              <w:jc w:val="left"/>
              <w:rPr>
                <w:rFonts w:ascii="Arial Narrow" w:hAnsi="Arial Narrow"/>
                <w:sz w:val="20"/>
              </w:rPr>
            </w:pPr>
            <w:r w:rsidRPr="00EC09F6">
              <w:rPr>
                <w:rFonts w:ascii="Arial Narrow" w:hAnsi="Arial Narrow"/>
                <w:sz w:val="19"/>
                <w:szCs w:val="19"/>
              </w:rPr>
              <w:t>Net cost to MBS</w:t>
            </w:r>
          </w:p>
        </w:tc>
        <w:tc>
          <w:tcPr>
            <w:tcW w:w="679" w:type="pct"/>
            <w:shd w:val="clear" w:color="auto" w:fill="auto"/>
            <w:vAlign w:val="center"/>
          </w:tcPr>
          <w:p w:rsidR="00682C25" w:rsidRPr="00EC09F6" w:rsidRDefault="00682C25" w:rsidP="00F804CD">
            <w:pPr>
              <w:jc w:val="right"/>
              <w:rPr>
                <w:rFonts w:ascii="Arial Narrow" w:hAnsi="Arial Narrow"/>
                <w:bCs/>
                <w:sz w:val="20"/>
              </w:rPr>
            </w:pPr>
            <w:r w:rsidRPr="00EC09F6">
              <w:rPr>
                <w:rFonts w:ascii="Arial Narrow" w:hAnsi="Arial Narrow"/>
                <w:bCs/>
                <w:sz w:val="20"/>
              </w:rPr>
              <w:t>$</w:t>
            </w:r>
            <w:r w:rsidR="0024101C">
              <w:rPr>
                <w:rFonts w:ascii="Arial Narrow" w:hAnsi="Arial Narrow"/>
                <w:bCs/>
                <w:noProof/>
                <w:color w:val="000000"/>
                <w:sz w:val="20"/>
                <w:highlight w:val="black"/>
              </w:rPr>
              <w:t>''''''''''''''''</w:t>
            </w:r>
          </w:p>
        </w:tc>
        <w:tc>
          <w:tcPr>
            <w:tcW w:w="679" w:type="pct"/>
            <w:shd w:val="clear" w:color="auto" w:fill="auto"/>
            <w:vAlign w:val="center"/>
          </w:tcPr>
          <w:p w:rsidR="00682C25" w:rsidRPr="00EC09F6" w:rsidRDefault="00682C25" w:rsidP="00F804CD">
            <w:pPr>
              <w:jc w:val="right"/>
              <w:rPr>
                <w:rFonts w:ascii="Arial Narrow" w:hAnsi="Arial Narrow"/>
                <w:bCs/>
                <w:sz w:val="20"/>
              </w:rPr>
            </w:pPr>
            <w:r w:rsidRPr="00EC09F6">
              <w:rPr>
                <w:rFonts w:ascii="Arial Narrow" w:hAnsi="Arial Narrow"/>
                <w:bCs/>
                <w:sz w:val="20"/>
              </w:rPr>
              <w:t>$</w:t>
            </w:r>
            <w:r w:rsidR="0024101C">
              <w:rPr>
                <w:rFonts w:ascii="Arial Narrow" w:hAnsi="Arial Narrow"/>
                <w:bCs/>
                <w:noProof/>
                <w:color w:val="000000"/>
                <w:sz w:val="20"/>
                <w:highlight w:val="black"/>
              </w:rPr>
              <w:t>''''''''''''''''</w:t>
            </w:r>
          </w:p>
        </w:tc>
        <w:tc>
          <w:tcPr>
            <w:tcW w:w="679" w:type="pct"/>
            <w:shd w:val="clear" w:color="auto" w:fill="auto"/>
            <w:vAlign w:val="center"/>
          </w:tcPr>
          <w:p w:rsidR="00682C25" w:rsidRPr="00EC09F6" w:rsidRDefault="00682C25" w:rsidP="00F804CD">
            <w:pPr>
              <w:jc w:val="right"/>
              <w:rPr>
                <w:rFonts w:ascii="Arial Narrow" w:hAnsi="Arial Narrow"/>
                <w:bCs/>
                <w:sz w:val="20"/>
              </w:rPr>
            </w:pPr>
            <w:r w:rsidRPr="00EC09F6">
              <w:rPr>
                <w:rFonts w:ascii="Arial Narrow" w:hAnsi="Arial Narrow"/>
                <w:bCs/>
                <w:sz w:val="20"/>
              </w:rPr>
              <w:t>$</w:t>
            </w:r>
            <w:r w:rsidR="0024101C">
              <w:rPr>
                <w:rFonts w:ascii="Arial Narrow" w:hAnsi="Arial Narrow"/>
                <w:bCs/>
                <w:noProof/>
                <w:color w:val="000000"/>
                <w:sz w:val="20"/>
                <w:highlight w:val="black"/>
              </w:rPr>
              <w:t>''''''''''''''''</w:t>
            </w:r>
          </w:p>
        </w:tc>
        <w:tc>
          <w:tcPr>
            <w:tcW w:w="679" w:type="pct"/>
            <w:shd w:val="clear" w:color="auto" w:fill="auto"/>
            <w:vAlign w:val="center"/>
          </w:tcPr>
          <w:p w:rsidR="00682C25" w:rsidRPr="00EC09F6" w:rsidRDefault="00682C25" w:rsidP="00F804CD">
            <w:pPr>
              <w:jc w:val="right"/>
              <w:rPr>
                <w:rFonts w:ascii="Arial Narrow" w:hAnsi="Arial Narrow"/>
                <w:bCs/>
                <w:sz w:val="20"/>
              </w:rPr>
            </w:pPr>
            <w:r w:rsidRPr="00EC09F6">
              <w:rPr>
                <w:rFonts w:ascii="Arial Narrow" w:hAnsi="Arial Narrow"/>
                <w:bCs/>
                <w:sz w:val="20"/>
              </w:rPr>
              <w:t>$</w:t>
            </w:r>
            <w:r w:rsidR="0024101C">
              <w:rPr>
                <w:rFonts w:ascii="Arial Narrow" w:hAnsi="Arial Narrow"/>
                <w:bCs/>
                <w:noProof/>
                <w:color w:val="000000"/>
                <w:sz w:val="20"/>
                <w:highlight w:val="black"/>
              </w:rPr>
              <w:t>''''''''''''''''</w:t>
            </w:r>
          </w:p>
        </w:tc>
        <w:tc>
          <w:tcPr>
            <w:tcW w:w="671" w:type="pct"/>
            <w:shd w:val="clear" w:color="auto" w:fill="auto"/>
            <w:vAlign w:val="center"/>
          </w:tcPr>
          <w:p w:rsidR="00682C25" w:rsidRPr="00EC09F6" w:rsidRDefault="00682C25" w:rsidP="00F804CD">
            <w:pPr>
              <w:jc w:val="right"/>
              <w:rPr>
                <w:rFonts w:ascii="Arial Narrow" w:hAnsi="Arial Narrow"/>
                <w:bCs/>
                <w:sz w:val="20"/>
              </w:rPr>
            </w:pPr>
            <w:r w:rsidRPr="00EC09F6">
              <w:rPr>
                <w:rFonts w:ascii="Arial Narrow" w:hAnsi="Arial Narrow"/>
                <w:bCs/>
                <w:sz w:val="20"/>
              </w:rPr>
              <w:t>$</w:t>
            </w:r>
            <w:r w:rsidR="0024101C">
              <w:rPr>
                <w:rFonts w:ascii="Arial Narrow" w:hAnsi="Arial Narrow"/>
                <w:bCs/>
                <w:noProof/>
                <w:color w:val="000000"/>
                <w:sz w:val="20"/>
                <w:highlight w:val="black"/>
              </w:rPr>
              <w:t>'''''''''''''''''</w:t>
            </w:r>
          </w:p>
        </w:tc>
      </w:tr>
      <w:tr w:rsidR="00682C25" w:rsidRPr="00EC09F6" w:rsidTr="00F804CD">
        <w:trPr>
          <w:cantSplit/>
        </w:trPr>
        <w:tc>
          <w:tcPr>
            <w:tcW w:w="5000" w:type="pct"/>
            <w:gridSpan w:val="6"/>
            <w:shd w:val="clear" w:color="auto" w:fill="auto"/>
            <w:vAlign w:val="center"/>
          </w:tcPr>
          <w:p w:rsidR="00682C25" w:rsidRPr="00EC09F6" w:rsidRDefault="00682C25" w:rsidP="00F804CD">
            <w:pPr>
              <w:jc w:val="left"/>
              <w:rPr>
                <w:rFonts w:ascii="Arial Narrow" w:hAnsi="Arial Narrow"/>
                <w:b/>
                <w:sz w:val="20"/>
              </w:rPr>
            </w:pPr>
            <w:r w:rsidRPr="00EC09F6">
              <w:rPr>
                <w:rFonts w:ascii="Arial Narrow" w:hAnsi="Arial Narrow"/>
                <w:b/>
                <w:sz w:val="20"/>
              </w:rPr>
              <w:t>Estimated total net cost (submission base case; mepolizumab DPMQ $</w:t>
            </w:r>
            <w:r w:rsidR="0024101C">
              <w:rPr>
                <w:rFonts w:ascii="Arial Narrow" w:hAnsi="Arial Narrow"/>
                <w:b/>
                <w:noProof/>
                <w:color w:val="000000"/>
                <w:sz w:val="20"/>
                <w:highlight w:val="black"/>
              </w:rPr>
              <w:t>''''''''''''''''''</w:t>
            </w:r>
            <w:r w:rsidRPr="00EC09F6">
              <w:rPr>
                <w:rFonts w:ascii="Arial Narrow" w:hAnsi="Arial Narrow"/>
                <w:b/>
                <w:sz w:val="20"/>
              </w:rPr>
              <w:t>)</w:t>
            </w:r>
          </w:p>
        </w:tc>
      </w:tr>
      <w:tr w:rsidR="00682C25" w:rsidRPr="00EC09F6" w:rsidTr="00F804CD">
        <w:trPr>
          <w:cantSplit/>
        </w:trPr>
        <w:tc>
          <w:tcPr>
            <w:tcW w:w="1613" w:type="pct"/>
            <w:shd w:val="clear" w:color="auto" w:fill="auto"/>
            <w:vAlign w:val="center"/>
          </w:tcPr>
          <w:p w:rsidR="00682C25" w:rsidRPr="00EC09F6" w:rsidRDefault="00682C25" w:rsidP="00F804CD">
            <w:pPr>
              <w:tabs>
                <w:tab w:val="left" w:pos="142"/>
              </w:tabs>
              <w:jc w:val="left"/>
              <w:rPr>
                <w:rFonts w:ascii="Arial Narrow" w:hAnsi="Arial Narrow"/>
                <w:b/>
                <w:sz w:val="20"/>
              </w:rPr>
            </w:pPr>
            <w:r w:rsidRPr="00EC09F6">
              <w:rPr>
                <w:rFonts w:ascii="Arial Narrow" w:hAnsi="Arial Narrow"/>
                <w:b/>
                <w:bCs/>
                <w:sz w:val="20"/>
              </w:rPr>
              <w:t>Net cost to PBS/RPBS/MBS</w:t>
            </w:r>
          </w:p>
        </w:tc>
        <w:tc>
          <w:tcPr>
            <w:tcW w:w="679" w:type="pct"/>
            <w:shd w:val="clear" w:color="auto" w:fill="auto"/>
            <w:vAlign w:val="center"/>
          </w:tcPr>
          <w:p w:rsidR="00682C25" w:rsidRPr="00EC09F6" w:rsidRDefault="00682C25" w:rsidP="00F804CD">
            <w:pPr>
              <w:keepNext/>
              <w:jc w:val="right"/>
              <w:rPr>
                <w:rFonts w:ascii="Arial Narrow" w:hAnsi="Arial Narrow"/>
                <w:b/>
                <w:sz w:val="20"/>
              </w:rPr>
            </w:pPr>
            <w:r w:rsidRPr="00EC09F6">
              <w:rPr>
                <w:rFonts w:ascii="Arial Narrow" w:hAnsi="Arial Narrow"/>
                <w:b/>
                <w:sz w:val="20"/>
              </w:rPr>
              <w:t>$</w:t>
            </w:r>
            <w:r w:rsidR="0024101C">
              <w:rPr>
                <w:rFonts w:ascii="Arial Narrow" w:hAnsi="Arial Narrow"/>
                <w:b/>
                <w:noProof/>
                <w:color w:val="000000"/>
                <w:sz w:val="20"/>
                <w:highlight w:val="black"/>
              </w:rPr>
              <w:t>''''''''''''''''''''</w:t>
            </w:r>
          </w:p>
        </w:tc>
        <w:tc>
          <w:tcPr>
            <w:tcW w:w="679" w:type="pct"/>
            <w:shd w:val="clear" w:color="auto" w:fill="auto"/>
            <w:vAlign w:val="center"/>
          </w:tcPr>
          <w:p w:rsidR="00682C25" w:rsidRPr="00EC09F6" w:rsidRDefault="00682C25" w:rsidP="00F804CD">
            <w:pPr>
              <w:keepNext/>
              <w:jc w:val="right"/>
              <w:rPr>
                <w:rFonts w:ascii="Arial Narrow" w:hAnsi="Arial Narrow"/>
                <w:b/>
                <w:sz w:val="20"/>
              </w:rPr>
            </w:pPr>
            <w:r w:rsidRPr="00EC09F6">
              <w:rPr>
                <w:rFonts w:ascii="Arial Narrow" w:hAnsi="Arial Narrow"/>
                <w:b/>
                <w:sz w:val="20"/>
              </w:rPr>
              <w:t>$</w:t>
            </w:r>
            <w:r w:rsidR="0024101C">
              <w:rPr>
                <w:rFonts w:ascii="Arial Narrow" w:hAnsi="Arial Narrow"/>
                <w:b/>
                <w:noProof/>
                <w:color w:val="000000"/>
                <w:sz w:val="20"/>
                <w:highlight w:val="black"/>
              </w:rPr>
              <w:t>''''''''''''''''''</w:t>
            </w:r>
          </w:p>
        </w:tc>
        <w:tc>
          <w:tcPr>
            <w:tcW w:w="679" w:type="pct"/>
            <w:shd w:val="clear" w:color="auto" w:fill="auto"/>
            <w:vAlign w:val="center"/>
          </w:tcPr>
          <w:p w:rsidR="00682C25" w:rsidRPr="00EC09F6" w:rsidRDefault="00682C25" w:rsidP="00F804CD">
            <w:pPr>
              <w:keepNext/>
              <w:jc w:val="right"/>
              <w:rPr>
                <w:rFonts w:ascii="Arial Narrow" w:hAnsi="Arial Narrow"/>
                <w:b/>
                <w:sz w:val="20"/>
              </w:rPr>
            </w:pPr>
            <w:r w:rsidRPr="00EC09F6">
              <w:rPr>
                <w:rFonts w:ascii="Arial Narrow" w:hAnsi="Arial Narrow"/>
                <w:b/>
                <w:sz w:val="20"/>
              </w:rPr>
              <w:t>$</w:t>
            </w:r>
            <w:r w:rsidR="0024101C">
              <w:rPr>
                <w:rFonts w:ascii="Arial Narrow" w:hAnsi="Arial Narrow"/>
                <w:b/>
                <w:noProof/>
                <w:color w:val="000000"/>
                <w:sz w:val="20"/>
                <w:highlight w:val="black"/>
              </w:rPr>
              <w:t>''''''''''''''''''</w:t>
            </w:r>
          </w:p>
        </w:tc>
        <w:tc>
          <w:tcPr>
            <w:tcW w:w="679" w:type="pct"/>
            <w:shd w:val="clear" w:color="auto" w:fill="auto"/>
            <w:vAlign w:val="center"/>
          </w:tcPr>
          <w:p w:rsidR="00682C25" w:rsidRPr="00EC09F6" w:rsidRDefault="00682C25" w:rsidP="00F804CD">
            <w:pPr>
              <w:keepNext/>
              <w:jc w:val="right"/>
              <w:rPr>
                <w:rFonts w:ascii="Arial Narrow" w:hAnsi="Arial Narrow"/>
                <w:b/>
                <w:sz w:val="20"/>
              </w:rPr>
            </w:pPr>
            <w:r w:rsidRPr="00EC09F6">
              <w:rPr>
                <w:rFonts w:ascii="Arial Narrow" w:hAnsi="Arial Narrow"/>
                <w:b/>
                <w:sz w:val="20"/>
              </w:rPr>
              <w:t>$</w:t>
            </w:r>
            <w:r w:rsidR="0024101C">
              <w:rPr>
                <w:rFonts w:ascii="Arial Narrow" w:hAnsi="Arial Narrow"/>
                <w:b/>
                <w:noProof/>
                <w:color w:val="000000"/>
                <w:sz w:val="20"/>
                <w:highlight w:val="black"/>
              </w:rPr>
              <w:t>''''''''''''''''''''</w:t>
            </w:r>
          </w:p>
        </w:tc>
        <w:tc>
          <w:tcPr>
            <w:tcW w:w="671" w:type="pct"/>
            <w:shd w:val="clear" w:color="auto" w:fill="auto"/>
            <w:vAlign w:val="center"/>
          </w:tcPr>
          <w:p w:rsidR="00682C25" w:rsidRPr="00EC09F6" w:rsidRDefault="00682C25" w:rsidP="00F804CD">
            <w:pPr>
              <w:keepNext/>
              <w:jc w:val="right"/>
              <w:rPr>
                <w:rFonts w:ascii="Arial Narrow" w:hAnsi="Arial Narrow"/>
                <w:b/>
                <w:sz w:val="20"/>
              </w:rPr>
            </w:pPr>
            <w:r w:rsidRPr="00EC09F6">
              <w:rPr>
                <w:rFonts w:ascii="Arial Narrow" w:hAnsi="Arial Narrow"/>
                <w:b/>
                <w:sz w:val="20"/>
              </w:rPr>
              <w:t>$</w:t>
            </w:r>
            <w:r w:rsidR="0024101C">
              <w:rPr>
                <w:rFonts w:ascii="Arial Narrow" w:hAnsi="Arial Narrow"/>
                <w:b/>
                <w:noProof/>
                <w:color w:val="000000"/>
                <w:sz w:val="20"/>
                <w:highlight w:val="black"/>
              </w:rPr>
              <w:t>''''''''''''''''''</w:t>
            </w:r>
          </w:p>
        </w:tc>
      </w:tr>
      <w:tr w:rsidR="00682C25" w:rsidRPr="00EC09F6" w:rsidTr="00F804CD">
        <w:trPr>
          <w:cantSplit/>
        </w:trPr>
        <w:tc>
          <w:tcPr>
            <w:tcW w:w="5000" w:type="pct"/>
            <w:gridSpan w:val="6"/>
            <w:shd w:val="clear" w:color="auto" w:fill="auto"/>
            <w:vAlign w:val="center"/>
          </w:tcPr>
          <w:p w:rsidR="00682C25" w:rsidRPr="00427DA3" w:rsidRDefault="00682C25" w:rsidP="00F804CD">
            <w:pPr>
              <w:jc w:val="left"/>
              <w:rPr>
                <w:rFonts w:ascii="Arial Narrow" w:hAnsi="Arial Narrow"/>
                <w:b/>
                <w:bCs/>
                <w:sz w:val="20"/>
              </w:rPr>
            </w:pPr>
            <w:r w:rsidRPr="00427DA3">
              <w:rPr>
                <w:rFonts w:ascii="Arial Narrow" w:hAnsi="Arial Narrow"/>
                <w:b/>
                <w:sz w:val="20"/>
              </w:rPr>
              <w:t>Estimated total net cost</w:t>
            </w:r>
            <w:r w:rsidRPr="00427DA3">
              <w:rPr>
                <w:rFonts w:ascii="Arial Narrow" w:hAnsi="Arial Narrow"/>
                <w:sz w:val="18"/>
                <w:szCs w:val="18"/>
              </w:rPr>
              <w:t xml:space="preserve"> (</w:t>
            </w:r>
            <w:r w:rsidRPr="00427DA3">
              <w:rPr>
                <w:rFonts w:ascii="Arial Narrow" w:hAnsi="Arial Narrow"/>
                <w:b/>
                <w:sz w:val="18"/>
                <w:szCs w:val="18"/>
              </w:rPr>
              <w:t>mepolizumab DPMQ calculated by evaluation $</w:t>
            </w:r>
            <w:r w:rsidR="0024101C">
              <w:rPr>
                <w:rFonts w:ascii="Arial Narrow" w:hAnsi="Arial Narrow"/>
                <w:b/>
                <w:noProof/>
                <w:color w:val="000000"/>
                <w:sz w:val="18"/>
                <w:szCs w:val="18"/>
                <w:highlight w:val="black"/>
              </w:rPr>
              <w:t>'''''''''''''''</w:t>
            </w:r>
            <w:r w:rsidRPr="00427DA3">
              <w:rPr>
                <w:rFonts w:ascii="Arial Narrow" w:hAnsi="Arial Narrow"/>
                <w:b/>
                <w:sz w:val="18"/>
                <w:szCs w:val="18"/>
              </w:rPr>
              <w:t>)</w:t>
            </w:r>
          </w:p>
        </w:tc>
      </w:tr>
      <w:tr w:rsidR="00682C25" w:rsidRPr="00EC09F6" w:rsidTr="00F804CD">
        <w:trPr>
          <w:cantSplit/>
          <w:trHeight w:val="159"/>
        </w:trPr>
        <w:tc>
          <w:tcPr>
            <w:tcW w:w="1613" w:type="pct"/>
            <w:shd w:val="clear" w:color="auto" w:fill="auto"/>
          </w:tcPr>
          <w:p w:rsidR="00682C25" w:rsidRPr="00427DA3" w:rsidRDefault="00682C25" w:rsidP="00F804CD">
            <w:pPr>
              <w:tabs>
                <w:tab w:val="left" w:pos="142"/>
              </w:tabs>
              <w:jc w:val="left"/>
              <w:rPr>
                <w:rFonts w:ascii="Arial Narrow" w:hAnsi="Arial Narrow"/>
                <w:b/>
                <w:bCs/>
                <w:sz w:val="20"/>
              </w:rPr>
            </w:pPr>
            <w:r w:rsidRPr="00427DA3">
              <w:rPr>
                <w:rFonts w:ascii="Arial Narrow" w:hAnsi="Arial Narrow"/>
                <w:sz w:val="20"/>
              </w:rPr>
              <w:t>Net cost to PBS/RPBS/MBS</w:t>
            </w:r>
          </w:p>
        </w:tc>
        <w:tc>
          <w:tcPr>
            <w:tcW w:w="679" w:type="pct"/>
            <w:shd w:val="clear" w:color="auto" w:fill="auto"/>
            <w:vAlign w:val="bottom"/>
          </w:tcPr>
          <w:p w:rsidR="00682C25" w:rsidRPr="00427DA3" w:rsidRDefault="00682C25" w:rsidP="00F804CD">
            <w:pPr>
              <w:keepNext/>
              <w:jc w:val="right"/>
              <w:rPr>
                <w:rFonts w:ascii="Arial Narrow" w:hAnsi="Arial Narrow"/>
                <w:b/>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682C25" w:rsidRPr="00427DA3" w:rsidRDefault="00682C25" w:rsidP="00F804CD">
            <w:pPr>
              <w:keepNext/>
              <w:jc w:val="right"/>
              <w:rPr>
                <w:rFonts w:ascii="Arial Narrow" w:hAnsi="Arial Narrow"/>
                <w:b/>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682C25" w:rsidRPr="00427DA3" w:rsidRDefault="00682C25" w:rsidP="00F804CD">
            <w:pPr>
              <w:keepNext/>
              <w:jc w:val="right"/>
              <w:rPr>
                <w:rFonts w:ascii="Arial Narrow" w:hAnsi="Arial Narrow"/>
                <w:b/>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682C25" w:rsidRPr="00427DA3" w:rsidRDefault="00682C25" w:rsidP="00F804CD">
            <w:pPr>
              <w:keepNext/>
              <w:jc w:val="right"/>
              <w:rPr>
                <w:rFonts w:ascii="Arial Narrow" w:hAnsi="Arial Narrow"/>
                <w:b/>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1" w:type="pct"/>
            <w:shd w:val="clear" w:color="auto" w:fill="auto"/>
            <w:vAlign w:val="bottom"/>
          </w:tcPr>
          <w:p w:rsidR="00682C25" w:rsidRPr="00427DA3" w:rsidRDefault="00682C25" w:rsidP="00F804CD">
            <w:pPr>
              <w:keepNext/>
              <w:jc w:val="right"/>
              <w:rPr>
                <w:rFonts w:ascii="Arial Narrow" w:hAnsi="Arial Narrow"/>
                <w:b/>
                <w:sz w:val="20"/>
              </w:rPr>
            </w:pPr>
            <w:r w:rsidRPr="00427DA3">
              <w:rPr>
                <w:rFonts w:ascii="Arial Narrow" w:hAnsi="Arial Narrow"/>
                <w:sz w:val="20"/>
              </w:rPr>
              <w:t>$</w:t>
            </w:r>
            <w:r w:rsidR="0024101C">
              <w:rPr>
                <w:rFonts w:ascii="Arial Narrow" w:hAnsi="Arial Narrow"/>
                <w:noProof/>
                <w:color w:val="000000"/>
                <w:sz w:val="20"/>
                <w:highlight w:val="black"/>
              </w:rPr>
              <w:t>''''''''''''''''''''''''''</w:t>
            </w:r>
          </w:p>
        </w:tc>
      </w:tr>
    </w:tbl>
    <w:p w:rsidR="00682C25" w:rsidRPr="00EC09F6" w:rsidRDefault="00682C25" w:rsidP="00682C25">
      <w:pPr>
        <w:pStyle w:val="TableFooter"/>
        <w:ind w:firstLine="720"/>
        <w:rPr>
          <w:szCs w:val="18"/>
        </w:rPr>
      </w:pPr>
      <w:r w:rsidRPr="00EC09F6">
        <w:rPr>
          <w:szCs w:val="18"/>
        </w:rPr>
        <w:t>Source: Table 177, p374; Table 190, p389 of the submission</w:t>
      </w:r>
    </w:p>
    <w:p w:rsidR="00682C25" w:rsidRDefault="00682C25" w:rsidP="00682C25">
      <w:pPr>
        <w:pStyle w:val="TableFooter"/>
        <w:ind w:left="720"/>
        <w:rPr>
          <w:szCs w:val="18"/>
        </w:rPr>
      </w:pPr>
      <w:r w:rsidRPr="00EC09F6">
        <w:rPr>
          <w:szCs w:val="18"/>
        </w:rPr>
        <w:t>AEMP = approved ex-manufacturer price; CC = continuation criteria; MBS = Medicare Benefits Schedule; MEPO = mepolizumab; OMAL = omalizumab; PBS</w:t>
      </w:r>
      <w:r w:rsidRPr="00EC09F6">
        <w:t> </w:t>
      </w:r>
      <w:r w:rsidRPr="00EC09F6">
        <w:rPr>
          <w:szCs w:val="18"/>
        </w:rPr>
        <w:t>=</w:t>
      </w:r>
      <w:r w:rsidRPr="00EC09F6">
        <w:t> </w:t>
      </w:r>
      <w:r w:rsidRPr="00EC09F6">
        <w:rPr>
          <w:szCs w:val="18"/>
        </w:rPr>
        <w:t>Pharmaceutical Benefits Scheme; RPBS = Repatriation Pharmaceutical Benefits Scheme</w:t>
      </w:r>
    </w:p>
    <w:p w:rsidR="00011FDE" w:rsidRDefault="00011FDE" w:rsidP="00682C25">
      <w:pPr>
        <w:pStyle w:val="TableFooter"/>
        <w:ind w:left="720"/>
        <w:rPr>
          <w:szCs w:val="18"/>
        </w:rPr>
      </w:pPr>
    </w:p>
    <w:p w:rsidR="00011FDE" w:rsidRPr="00276857" w:rsidRDefault="00011FDE" w:rsidP="00682C25">
      <w:pPr>
        <w:pStyle w:val="TableFooter"/>
        <w:ind w:left="720"/>
        <w:rPr>
          <w:rFonts w:ascii="Arial" w:hAnsi="Arial"/>
          <w:sz w:val="22"/>
          <w:szCs w:val="22"/>
        </w:rPr>
      </w:pPr>
      <w:r w:rsidRPr="00276857">
        <w:rPr>
          <w:rFonts w:ascii="Arial" w:hAnsi="Arial"/>
          <w:sz w:val="22"/>
          <w:szCs w:val="22"/>
        </w:rPr>
        <w:t>The redacted table above shows that at year 5, the estimated number of patients would be 10,000 – 50,000 and the net cost to PBS would be less than $10 million.</w:t>
      </w:r>
    </w:p>
    <w:p w:rsidR="00682C25" w:rsidRPr="00EC09F6" w:rsidRDefault="00682C25" w:rsidP="00682C25">
      <w:pPr>
        <w:widowControl/>
        <w:rPr>
          <w:szCs w:val="22"/>
        </w:rPr>
      </w:pPr>
    </w:p>
    <w:p w:rsidR="00682C25" w:rsidRPr="00682C25" w:rsidRDefault="00682C25" w:rsidP="00682C25">
      <w:pPr>
        <w:pStyle w:val="ListParagraph"/>
        <w:widowControl/>
        <w:numPr>
          <w:ilvl w:val="1"/>
          <w:numId w:val="2"/>
        </w:numPr>
        <w:rPr>
          <w:szCs w:val="22"/>
        </w:rPr>
      </w:pPr>
      <w:r w:rsidRPr="00682C25">
        <w:rPr>
          <w:szCs w:val="22"/>
        </w:rPr>
        <w:t>The submission estimated that the addition of mepolizumab to the PBS/RPBS would cost the government $</w:t>
      </w:r>
      <w:r w:rsidR="0024101C">
        <w:rPr>
          <w:noProof/>
          <w:color w:val="000000"/>
          <w:szCs w:val="22"/>
          <w:highlight w:val="black"/>
        </w:rPr>
        <w:t>'''''''</w:t>
      </w:r>
      <w:r w:rsidRPr="00682C25">
        <w:rPr>
          <w:szCs w:val="22"/>
        </w:rPr>
        <w:t xml:space="preserve"> million in Year 5 of listing.  When the DPMQ is adjusted to reflect the evaluation’s recalculation of the equi-effective dose (see 6.35, above), the estimated total net cost of mepolizumab is $</w:t>
      </w:r>
      <w:r w:rsidR="0024101C">
        <w:rPr>
          <w:noProof/>
          <w:color w:val="000000"/>
          <w:szCs w:val="22"/>
          <w:highlight w:val="black"/>
        </w:rPr>
        <w:t>''''''''''</w:t>
      </w:r>
      <w:r w:rsidRPr="00682C25">
        <w:rPr>
          <w:szCs w:val="22"/>
        </w:rPr>
        <w:t xml:space="preserve"> million in year 5 of listing.</w:t>
      </w:r>
    </w:p>
    <w:p w:rsidR="00682C25" w:rsidRPr="00682C25" w:rsidRDefault="00682C25" w:rsidP="00682C25">
      <w:pPr>
        <w:pStyle w:val="ListParagraph"/>
        <w:widowControl/>
        <w:rPr>
          <w:szCs w:val="22"/>
        </w:rPr>
      </w:pPr>
    </w:p>
    <w:p w:rsidR="00682C25" w:rsidRPr="00682C25" w:rsidRDefault="00682C25" w:rsidP="00682C25">
      <w:pPr>
        <w:pStyle w:val="ListParagraph"/>
        <w:widowControl/>
        <w:numPr>
          <w:ilvl w:val="1"/>
          <w:numId w:val="2"/>
        </w:numPr>
        <w:rPr>
          <w:szCs w:val="22"/>
        </w:rPr>
      </w:pPr>
      <w:r w:rsidRPr="00682C25">
        <w:t>The</w:t>
      </w:r>
      <w:r w:rsidR="00E028E7">
        <w:t xml:space="preserve"> Commentary stated that the</w:t>
      </w:r>
      <w:r w:rsidRPr="00682C25">
        <w:t xml:space="preserve"> estimated financial impact of mepolizumab may be greater or less given that: </w:t>
      </w:r>
    </w:p>
    <w:p w:rsidR="00682C25" w:rsidRPr="00682C25" w:rsidRDefault="00682C25" w:rsidP="00682C25">
      <w:pPr>
        <w:pStyle w:val="ListParagraph"/>
        <w:numPr>
          <w:ilvl w:val="0"/>
          <w:numId w:val="14"/>
        </w:numPr>
        <w:ind w:left="1080"/>
      </w:pPr>
      <w:r w:rsidRPr="00682C25">
        <w:t>the clinical criteria (e.g. eosinophil levels), derived from patients in the IDEAL Study, might not be representative of the Australian severe asthma population;</w:t>
      </w:r>
    </w:p>
    <w:p w:rsidR="00682C25" w:rsidRPr="00682C25" w:rsidRDefault="00682C25" w:rsidP="00682C25">
      <w:pPr>
        <w:pStyle w:val="ListParagraph"/>
        <w:numPr>
          <w:ilvl w:val="0"/>
          <w:numId w:val="14"/>
        </w:numPr>
        <w:ind w:left="1080"/>
      </w:pPr>
      <w:r w:rsidRPr="00682C25">
        <w:rPr>
          <w:szCs w:val="24"/>
        </w:rPr>
        <w:t xml:space="preserve">the proportion of patients treated with an ICS/LABA combination product (35% from 2008-2009 Bettering the </w:t>
      </w:r>
      <w:r w:rsidR="0026063A">
        <w:rPr>
          <w:szCs w:val="24"/>
        </w:rPr>
        <w:t>E</w:t>
      </w:r>
      <w:r w:rsidR="0026063A" w:rsidRPr="00682C25">
        <w:rPr>
          <w:szCs w:val="24"/>
        </w:rPr>
        <w:t xml:space="preserve">valuation </w:t>
      </w:r>
      <w:r w:rsidR="0026063A">
        <w:rPr>
          <w:szCs w:val="24"/>
        </w:rPr>
        <w:t>A</w:t>
      </w:r>
      <w:r w:rsidR="0026063A" w:rsidRPr="00682C25">
        <w:rPr>
          <w:szCs w:val="24"/>
        </w:rPr>
        <w:t xml:space="preserve">nd </w:t>
      </w:r>
      <w:r w:rsidR="0026063A">
        <w:rPr>
          <w:szCs w:val="24"/>
        </w:rPr>
        <w:t>C</w:t>
      </w:r>
      <w:r w:rsidR="0026063A" w:rsidRPr="00682C25">
        <w:rPr>
          <w:szCs w:val="24"/>
        </w:rPr>
        <w:t xml:space="preserve">are </w:t>
      </w:r>
      <w:r w:rsidRPr="00682C25">
        <w:rPr>
          <w:szCs w:val="24"/>
        </w:rPr>
        <w:t xml:space="preserve">of </w:t>
      </w:r>
      <w:r w:rsidR="0026063A">
        <w:rPr>
          <w:szCs w:val="24"/>
        </w:rPr>
        <w:t>H</w:t>
      </w:r>
      <w:r w:rsidR="0026063A" w:rsidRPr="00682C25">
        <w:rPr>
          <w:szCs w:val="24"/>
        </w:rPr>
        <w:t xml:space="preserve">ealth </w:t>
      </w:r>
      <w:r w:rsidRPr="00682C25">
        <w:rPr>
          <w:szCs w:val="24"/>
        </w:rPr>
        <w:t>(BEACH) general practice data might not be accurate. More recent data from an Australian study (Reddel 2015) suggested up to 49.6% of asthma patients had used an ICS/LABA inhaler in the past 12 months;</w:t>
      </w:r>
    </w:p>
    <w:p w:rsidR="00682C25" w:rsidRPr="00682C25" w:rsidRDefault="00682C25" w:rsidP="00682C25">
      <w:pPr>
        <w:pStyle w:val="ListParagraph"/>
        <w:numPr>
          <w:ilvl w:val="0"/>
          <w:numId w:val="14"/>
        </w:numPr>
        <w:ind w:left="1080"/>
      </w:pPr>
      <w:r w:rsidRPr="00682C25">
        <w:rPr>
          <w:szCs w:val="24"/>
        </w:rPr>
        <w:t>uptake rates were assumed;</w:t>
      </w:r>
    </w:p>
    <w:p w:rsidR="00682C25" w:rsidRPr="00682C25" w:rsidRDefault="00682C25" w:rsidP="00682C25">
      <w:pPr>
        <w:pStyle w:val="ListParagraph"/>
        <w:numPr>
          <w:ilvl w:val="0"/>
          <w:numId w:val="14"/>
        </w:numPr>
        <w:ind w:left="1080"/>
      </w:pPr>
      <w:r w:rsidRPr="00682C25">
        <w:rPr>
          <w:szCs w:val="24"/>
        </w:rPr>
        <w:t>the proportion of patients meeting the continuation criteria (</w:t>
      </w:r>
      <w:r w:rsidR="0024101C">
        <w:rPr>
          <w:noProof/>
          <w:color w:val="000000"/>
          <w:szCs w:val="24"/>
          <w:highlight w:val="black"/>
        </w:rPr>
        <w:t>''''''''''</w:t>
      </w:r>
      <w:r w:rsidRPr="00682C25">
        <w:rPr>
          <w:szCs w:val="24"/>
        </w:rPr>
        <w:t>%), derived from Study 588, might not reflect Australian rates; and</w:t>
      </w:r>
    </w:p>
    <w:p w:rsidR="00682C25" w:rsidRPr="00682C25" w:rsidRDefault="00682C25" w:rsidP="00682C25">
      <w:pPr>
        <w:pStyle w:val="ListParagraph"/>
        <w:numPr>
          <w:ilvl w:val="0"/>
          <w:numId w:val="14"/>
        </w:numPr>
        <w:ind w:left="1080"/>
      </w:pPr>
      <w:r w:rsidRPr="00682C25">
        <w:rPr>
          <w:szCs w:val="24"/>
        </w:rPr>
        <w:t>discontinuation rates, derived from the extension study (</w:t>
      </w:r>
      <w:r w:rsidR="0024101C">
        <w:rPr>
          <w:noProof/>
          <w:color w:val="000000"/>
          <w:szCs w:val="24"/>
          <w:highlight w:val="black"/>
        </w:rPr>
        <w:t>'''''''''''</w:t>
      </w:r>
      <w:r w:rsidRPr="00682C25">
        <w:rPr>
          <w:szCs w:val="24"/>
        </w:rPr>
        <w:t>%), Study 661, might not reflect rates in the Australian population.</w:t>
      </w:r>
    </w:p>
    <w:p w:rsidR="00682C25" w:rsidRPr="00EC09F6" w:rsidRDefault="00682C25" w:rsidP="00682C25">
      <w:pPr>
        <w:rPr>
          <w:i/>
        </w:rPr>
      </w:pPr>
    </w:p>
    <w:p w:rsidR="00682C25" w:rsidRDefault="00682C25" w:rsidP="00682C25">
      <w:pPr>
        <w:pStyle w:val="ListParagraph"/>
        <w:widowControl/>
        <w:numPr>
          <w:ilvl w:val="1"/>
          <w:numId w:val="2"/>
        </w:numPr>
        <w:rPr>
          <w:b/>
        </w:rPr>
      </w:pPr>
      <w:r w:rsidRPr="00EC09F6">
        <w:rPr>
          <w:szCs w:val="22"/>
        </w:rPr>
        <w:t>Sensitivity analyses suggested that the financial estimates were sensitive to the percentage of patients on optimised high-dose ICS/LABA therapy and the uptake rates of mepolizumab.</w:t>
      </w:r>
    </w:p>
    <w:p w:rsidR="00682C25" w:rsidRPr="00682C25" w:rsidRDefault="00682C25" w:rsidP="00682C25">
      <w:pPr>
        <w:pStyle w:val="PBACHeading1"/>
        <w:numPr>
          <w:ilvl w:val="0"/>
          <w:numId w:val="0"/>
        </w:numPr>
        <w:ind w:left="720"/>
        <w:rPr>
          <w:b w:val="0"/>
        </w:rPr>
      </w:pPr>
    </w:p>
    <w:p w:rsidR="00CD08AF" w:rsidRPr="00CD08AF" w:rsidRDefault="00CD08AF" w:rsidP="00CD08AF">
      <w:pPr>
        <w:pStyle w:val="PBACHeading1"/>
        <w:numPr>
          <w:ilvl w:val="1"/>
          <w:numId w:val="2"/>
        </w:numPr>
        <w:rPr>
          <w:b w:val="0"/>
        </w:rPr>
      </w:pPr>
      <w:r w:rsidRPr="00CD08AF">
        <w:rPr>
          <w:b w:val="0"/>
        </w:rPr>
        <w:t xml:space="preserve">While DUSC did not agree with all of the submission’s inputs to the financial model, the total estimate of use over the five years may be reasonable. However, DUSC considered the Year 1 estimates presented in the submission </w:t>
      </w:r>
      <w:r w:rsidR="003C7367">
        <w:rPr>
          <w:b w:val="0"/>
        </w:rPr>
        <w:t>to be</w:t>
      </w:r>
      <w:r w:rsidR="003C7367" w:rsidRPr="00CD08AF">
        <w:rPr>
          <w:b w:val="0"/>
        </w:rPr>
        <w:t xml:space="preserve"> </w:t>
      </w:r>
      <w:r w:rsidRPr="00CD08AF">
        <w:rPr>
          <w:b w:val="0"/>
        </w:rPr>
        <w:t xml:space="preserve">under-estimated. The main issues </w:t>
      </w:r>
      <w:r w:rsidR="002E3E0F">
        <w:rPr>
          <w:b w:val="0"/>
        </w:rPr>
        <w:t>we</w:t>
      </w:r>
      <w:r w:rsidR="002E3E0F" w:rsidRPr="00CD08AF">
        <w:rPr>
          <w:b w:val="0"/>
        </w:rPr>
        <w:t>re</w:t>
      </w:r>
      <w:r w:rsidRPr="00CD08AF">
        <w:rPr>
          <w:b w:val="0"/>
        </w:rPr>
        <w:t>:</w:t>
      </w:r>
    </w:p>
    <w:p w:rsidR="00CD08AF" w:rsidRDefault="00CD08AF" w:rsidP="00276857">
      <w:pPr>
        <w:pStyle w:val="ListParagraph"/>
        <w:numPr>
          <w:ilvl w:val="0"/>
          <w:numId w:val="24"/>
        </w:numPr>
        <w:rPr>
          <w:szCs w:val="22"/>
        </w:rPr>
      </w:pPr>
      <w:r w:rsidRPr="00CD08AF">
        <w:rPr>
          <w:szCs w:val="22"/>
        </w:rPr>
        <w:t xml:space="preserve">The population clinical criteria, derived from the IDEAL study, might not be representative of the Australian severe asthma population. </w:t>
      </w:r>
    </w:p>
    <w:p w:rsidR="00CD08AF" w:rsidRDefault="00CD08AF" w:rsidP="00276857">
      <w:pPr>
        <w:pStyle w:val="ListParagraph"/>
        <w:numPr>
          <w:ilvl w:val="0"/>
          <w:numId w:val="24"/>
        </w:numPr>
        <w:rPr>
          <w:szCs w:val="22"/>
        </w:rPr>
      </w:pPr>
      <w:r w:rsidRPr="00CD08AF">
        <w:rPr>
          <w:szCs w:val="22"/>
        </w:rPr>
        <w:t xml:space="preserve">DUSC considered it more straightforward to use a prevalence only approach for estimating PBS usage and financial implications of mepolizumab. </w:t>
      </w:r>
    </w:p>
    <w:p w:rsidR="00CD08AF" w:rsidRDefault="00CD08AF" w:rsidP="00276857">
      <w:pPr>
        <w:pStyle w:val="ListParagraph"/>
        <w:numPr>
          <w:ilvl w:val="0"/>
          <w:numId w:val="24"/>
        </w:numPr>
        <w:rPr>
          <w:szCs w:val="22"/>
        </w:rPr>
      </w:pPr>
      <w:r w:rsidRPr="00CD08AF">
        <w:rPr>
          <w:szCs w:val="22"/>
        </w:rPr>
        <w:t>The proportion of patients treated with an inhaled corticosteroid/long acting beta agonist (ICS/LABA) combination product (35%), might be underestimated. DUSC considered the Reddel (2015) estimate for patients using an ICS/LABA therapy (49.6%) as more appropriate than the 2008-2009 BEACH general practice data.</w:t>
      </w:r>
    </w:p>
    <w:p w:rsidR="00CD08AF" w:rsidRPr="00CD08AF" w:rsidRDefault="00CD08AF" w:rsidP="00276857">
      <w:pPr>
        <w:pStyle w:val="ListParagraph"/>
        <w:numPr>
          <w:ilvl w:val="0"/>
          <w:numId w:val="24"/>
        </w:numPr>
        <w:rPr>
          <w:szCs w:val="22"/>
        </w:rPr>
      </w:pPr>
      <w:r w:rsidRPr="00CD08AF">
        <w:rPr>
          <w:szCs w:val="22"/>
        </w:rPr>
        <w:t>DUSC considered the application of a continuation rate of 80% for mepolizumab would be a more appropriate estimate, consistent with the omalizumab continuation rate in practice.</w:t>
      </w:r>
    </w:p>
    <w:p w:rsidR="00CD08AF" w:rsidRDefault="00CD08AF" w:rsidP="00CD08AF">
      <w:pPr>
        <w:pStyle w:val="BodyText"/>
        <w:rPr>
          <w:b/>
          <w:szCs w:val="22"/>
        </w:rPr>
      </w:pPr>
    </w:p>
    <w:p w:rsidR="0084351E" w:rsidRDefault="0084351E" w:rsidP="0084351E">
      <w:pPr>
        <w:pStyle w:val="ListParagraph"/>
        <w:numPr>
          <w:ilvl w:val="1"/>
          <w:numId w:val="2"/>
        </w:numPr>
        <w:rPr>
          <w:szCs w:val="22"/>
        </w:rPr>
      </w:pPr>
      <w:r>
        <w:rPr>
          <w:szCs w:val="22"/>
        </w:rPr>
        <w:t>Presented below are r</w:t>
      </w:r>
      <w:r w:rsidRPr="0084351E">
        <w:rPr>
          <w:szCs w:val="22"/>
        </w:rPr>
        <w:t>evised estimates as provided by DUSC</w:t>
      </w:r>
      <w:r>
        <w:rPr>
          <w:szCs w:val="22"/>
        </w:rPr>
        <w:t xml:space="preserve"> which:</w:t>
      </w:r>
    </w:p>
    <w:p w:rsidR="0084351E" w:rsidRPr="0084351E" w:rsidRDefault="0084351E" w:rsidP="0084351E">
      <w:pPr>
        <w:pStyle w:val="ListParagraph"/>
        <w:numPr>
          <w:ilvl w:val="0"/>
          <w:numId w:val="24"/>
        </w:numPr>
        <w:jc w:val="left"/>
      </w:pPr>
      <w:r w:rsidRPr="0084351E">
        <w:t>use a prevalence only approach;</w:t>
      </w:r>
    </w:p>
    <w:p w:rsidR="0084351E" w:rsidRPr="0084351E" w:rsidRDefault="0084351E" w:rsidP="0084351E">
      <w:pPr>
        <w:pStyle w:val="ListParagraph"/>
        <w:numPr>
          <w:ilvl w:val="0"/>
          <w:numId w:val="24"/>
        </w:numPr>
        <w:jc w:val="left"/>
      </w:pPr>
      <w:r w:rsidRPr="0084351E">
        <w:t>use a higher estimate of asthma patients treated with ICS/LABA combination from the Reddel (2015)</w:t>
      </w:r>
      <w:r w:rsidR="00687879">
        <w:rPr>
          <w:rStyle w:val="FootnoteReference"/>
        </w:rPr>
        <w:footnoteReference w:id="1"/>
      </w:r>
      <w:r w:rsidRPr="0084351E">
        <w:t xml:space="preserve"> study;</w:t>
      </w:r>
    </w:p>
    <w:p w:rsidR="0084351E" w:rsidRPr="0084351E" w:rsidRDefault="0084351E" w:rsidP="0084351E">
      <w:pPr>
        <w:pStyle w:val="ListParagraph"/>
        <w:numPr>
          <w:ilvl w:val="0"/>
          <w:numId w:val="24"/>
        </w:numPr>
        <w:jc w:val="left"/>
      </w:pPr>
      <w:r w:rsidRPr="0084351E">
        <w:t>use a grouped cohort of patients with eosinophils ≥ 300 cells/mL and therefore eligible for mepolizumab (33.5%) instead of three separate cohorts;</w:t>
      </w:r>
    </w:p>
    <w:p w:rsidR="0084351E" w:rsidRPr="0084351E" w:rsidRDefault="0084351E" w:rsidP="0084351E">
      <w:pPr>
        <w:pStyle w:val="ListParagraph"/>
        <w:numPr>
          <w:ilvl w:val="0"/>
          <w:numId w:val="24"/>
        </w:numPr>
        <w:jc w:val="left"/>
      </w:pPr>
      <w:r w:rsidRPr="0084351E">
        <w:t>use an uptake rate of 2%; and</w:t>
      </w:r>
    </w:p>
    <w:p w:rsidR="0084351E" w:rsidRPr="0084351E" w:rsidRDefault="0084351E" w:rsidP="0084351E">
      <w:pPr>
        <w:pStyle w:val="ListParagraph"/>
        <w:numPr>
          <w:ilvl w:val="0"/>
          <w:numId w:val="24"/>
        </w:numPr>
        <w:jc w:val="left"/>
      </w:pPr>
      <w:r w:rsidRPr="0084351E">
        <w:t>use a continuation rate of 80% based on omalizumab continuation rate</w:t>
      </w:r>
      <w:bookmarkStart w:id="16" w:name="_Ref443480638"/>
      <w:r w:rsidRPr="0084351E">
        <w:rPr>
          <w:rStyle w:val="FootnoteReference"/>
          <w:i/>
          <w:szCs w:val="22"/>
        </w:rPr>
        <w:footnoteReference w:id="2"/>
      </w:r>
      <w:bookmarkEnd w:id="16"/>
      <w:r w:rsidRPr="0084351E">
        <w:t>.</w:t>
      </w:r>
    </w:p>
    <w:p w:rsidR="0084351E" w:rsidRDefault="0084351E" w:rsidP="00CD08AF">
      <w:pPr>
        <w:pStyle w:val="BodyText"/>
        <w:rPr>
          <w:b/>
          <w:szCs w:val="22"/>
        </w:rPr>
      </w:pPr>
    </w:p>
    <w:p w:rsidR="00F977ED" w:rsidRPr="00BD004C" w:rsidRDefault="00F977ED" w:rsidP="00F567CF">
      <w:pPr>
        <w:ind w:firstLine="709"/>
        <w:rPr>
          <w:rFonts w:ascii="Arial Narrow" w:hAnsi="Arial Narrow"/>
          <w:szCs w:val="22"/>
        </w:rPr>
      </w:pPr>
      <w:r w:rsidRPr="00BD004C">
        <w:rPr>
          <w:rFonts w:ascii="Arial Narrow" w:hAnsi="Arial Narrow"/>
          <w:b/>
          <w:sz w:val="20"/>
        </w:rPr>
        <w:t xml:space="preserve">Table </w:t>
      </w:r>
      <w:r w:rsidR="0084351E">
        <w:rPr>
          <w:rFonts w:ascii="Arial Narrow" w:hAnsi="Arial Narrow"/>
          <w:b/>
          <w:sz w:val="20"/>
        </w:rPr>
        <w:t>19</w:t>
      </w:r>
      <w:r w:rsidRPr="00BD004C">
        <w:rPr>
          <w:rFonts w:ascii="Arial Narrow" w:hAnsi="Arial Narrow"/>
          <w:b/>
          <w:sz w:val="20"/>
        </w:rPr>
        <w:t>: Net financial implications</w:t>
      </w:r>
    </w:p>
    <w:tbl>
      <w:tblPr>
        <w:tblW w:w="460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1"/>
        <w:gridCol w:w="1275"/>
        <w:gridCol w:w="1273"/>
        <w:gridCol w:w="1136"/>
        <w:gridCol w:w="1131"/>
        <w:gridCol w:w="1136"/>
      </w:tblGrid>
      <w:tr w:rsidR="00F567CF" w:rsidRPr="00BD004C" w:rsidTr="00F567CF">
        <w:trPr>
          <w:cantSplit/>
          <w:trHeight w:val="260"/>
          <w:tblHeader/>
        </w:trPr>
        <w:tc>
          <w:tcPr>
            <w:tcW w:w="1442" w:type="pct"/>
            <w:shd w:val="clear" w:color="auto" w:fill="auto"/>
            <w:vAlign w:val="center"/>
          </w:tcPr>
          <w:p w:rsidR="00F977ED" w:rsidRPr="00BD004C" w:rsidRDefault="00F977ED" w:rsidP="00F804CD">
            <w:pPr>
              <w:keepNext/>
              <w:tabs>
                <w:tab w:val="left" w:pos="142"/>
              </w:tabs>
              <w:jc w:val="left"/>
              <w:rPr>
                <w:rFonts w:ascii="Arial Narrow" w:hAnsi="Arial Narrow"/>
                <w:b/>
                <w:sz w:val="20"/>
              </w:rPr>
            </w:pPr>
          </w:p>
        </w:tc>
        <w:tc>
          <w:tcPr>
            <w:tcW w:w="763" w:type="pct"/>
            <w:shd w:val="clear" w:color="auto" w:fill="auto"/>
            <w:vAlign w:val="center"/>
          </w:tcPr>
          <w:p w:rsidR="00F977ED" w:rsidRPr="00BD004C" w:rsidRDefault="00F977ED" w:rsidP="00F804CD">
            <w:pPr>
              <w:keepNext/>
              <w:jc w:val="center"/>
              <w:rPr>
                <w:rFonts w:ascii="Arial Narrow" w:hAnsi="Arial Narrow"/>
                <w:b/>
                <w:sz w:val="20"/>
              </w:rPr>
            </w:pPr>
            <w:r w:rsidRPr="00BD004C">
              <w:rPr>
                <w:rFonts w:ascii="Arial Narrow" w:hAnsi="Arial Narrow"/>
                <w:b/>
                <w:sz w:val="20"/>
              </w:rPr>
              <w:t>Year 1</w:t>
            </w:r>
          </w:p>
        </w:tc>
        <w:tc>
          <w:tcPr>
            <w:tcW w:w="761" w:type="pct"/>
            <w:shd w:val="clear" w:color="auto" w:fill="auto"/>
            <w:vAlign w:val="center"/>
          </w:tcPr>
          <w:p w:rsidR="00F977ED" w:rsidRPr="00BD004C" w:rsidRDefault="00F977ED" w:rsidP="00F804CD">
            <w:pPr>
              <w:keepNext/>
              <w:jc w:val="center"/>
              <w:rPr>
                <w:rFonts w:ascii="Arial Narrow" w:hAnsi="Arial Narrow"/>
                <w:b/>
                <w:sz w:val="20"/>
              </w:rPr>
            </w:pPr>
            <w:r w:rsidRPr="00BD004C">
              <w:rPr>
                <w:rFonts w:ascii="Arial Narrow" w:hAnsi="Arial Narrow"/>
                <w:b/>
                <w:sz w:val="20"/>
              </w:rPr>
              <w:t>Year 2</w:t>
            </w:r>
          </w:p>
        </w:tc>
        <w:tc>
          <w:tcPr>
            <w:tcW w:w="679" w:type="pct"/>
            <w:shd w:val="clear" w:color="auto" w:fill="auto"/>
            <w:vAlign w:val="center"/>
          </w:tcPr>
          <w:p w:rsidR="00F977ED" w:rsidRPr="00BD004C" w:rsidRDefault="00F977ED" w:rsidP="00F804CD">
            <w:pPr>
              <w:keepNext/>
              <w:jc w:val="center"/>
              <w:rPr>
                <w:rFonts w:ascii="Arial Narrow" w:hAnsi="Arial Narrow"/>
                <w:b/>
                <w:sz w:val="20"/>
              </w:rPr>
            </w:pPr>
            <w:r w:rsidRPr="00BD004C">
              <w:rPr>
                <w:rFonts w:ascii="Arial Narrow" w:hAnsi="Arial Narrow"/>
                <w:b/>
                <w:sz w:val="20"/>
              </w:rPr>
              <w:t>Year 3</w:t>
            </w:r>
          </w:p>
        </w:tc>
        <w:tc>
          <w:tcPr>
            <w:tcW w:w="676" w:type="pct"/>
            <w:shd w:val="clear" w:color="auto" w:fill="auto"/>
            <w:vAlign w:val="center"/>
          </w:tcPr>
          <w:p w:rsidR="00F977ED" w:rsidRPr="00BD004C" w:rsidRDefault="00F977ED" w:rsidP="00F804CD">
            <w:pPr>
              <w:keepNext/>
              <w:jc w:val="center"/>
              <w:rPr>
                <w:rFonts w:ascii="Arial Narrow" w:hAnsi="Arial Narrow"/>
                <w:b/>
                <w:sz w:val="20"/>
              </w:rPr>
            </w:pPr>
            <w:r w:rsidRPr="00BD004C">
              <w:rPr>
                <w:rFonts w:ascii="Arial Narrow" w:hAnsi="Arial Narrow"/>
                <w:b/>
                <w:sz w:val="20"/>
              </w:rPr>
              <w:t>Year 4</w:t>
            </w:r>
          </w:p>
        </w:tc>
        <w:tc>
          <w:tcPr>
            <w:tcW w:w="679" w:type="pct"/>
            <w:shd w:val="clear" w:color="auto" w:fill="auto"/>
            <w:vAlign w:val="center"/>
          </w:tcPr>
          <w:p w:rsidR="00F977ED" w:rsidRPr="00BD004C" w:rsidRDefault="00F977ED" w:rsidP="00F804CD">
            <w:pPr>
              <w:keepNext/>
              <w:jc w:val="center"/>
              <w:rPr>
                <w:rFonts w:ascii="Arial Narrow" w:hAnsi="Arial Narrow"/>
                <w:b/>
                <w:sz w:val="20"/>
              </w:rPr>
            </w:pPr>
            <w:r w:rsidRPr="00BD004C">
              <w:rPr>
                <w:rFonts w:ascii="Arial Narrow" w:hAnsi="Arial Narrow"/>
                <w:b/>
                <w:sz w:val="20"/>
              </w:rPr>
              <w:t>Year 5</w:t>
            </w:r>
          </w:p>
        </w:tc>
      </w:tr>
      <w:tr w:rsidR="00F567CF" w:rsidRPr="00BD004C" w:rsidTr="00F567CF">
        <w:trPr>
          <w:cantSplit/>
          <w:trHeight w:val="260"/>
          <w:tblHeader/>
        </w:trPr>
        <w:tc>
          <w:tcPr>
            <w:tcW w:w="5000" w:type="pct"/>
            <w:gridSpan w:val="6"/>
            <w:shd w:val="clear" w:color="auto" w:fill="auto"/>
            <w:vAlign w:val="center"/>
          </w:tcPr>
          <w:p w:rsidR="00F977ED" w:rsidRPr="00BD004C" w:rsidRDefault="00F977ED" w:rsidP="00F804CD">
            <w:pPr>
              <w:keepNext/>
              <w:jc w:val="left"/>
              <w:rPr>
                <w:rFonts w:ascii="Arial Narrow" w:hAnsi="Arial Narrow"/>
                <w:b/>
                <w:sz w:val="20"/>
              </w:rPr>
            </w:pPr>
            <w:r w:rsidRPr="00BD004C">
              <w:rPr>
                <w:rFonts w:ascii="Arial Narrow" w:hAnsi="Arial Narrow"/>
                <w:b/>
                <w:sz w:val="20"/>
              </w:rPr>
              <w:t>Estimated total net cost (Submission base case; mepolizumab DPMQ $</w:t>
            </w:r>
            <w:r w:rsidR="0024101C">
              <w:rPr>
                <w:rFonts w:ascii="Arial Narrow" w:hAnsi="Arial Narrow"/>
                <w:b/>
                <w:noProof/>
                <w:color w:val="000000"/>
                <w:sz w:val="20"/>
                <w:highlight w:val="black"/>
              </w:rPr>
              <w:t>'''''''''''''''''</w:t>
            </w:r>
            <w:r w:rsidRPr="00BD004C">
              <w:rPr>
                <w:rFonts w:ascii="Arial Narrow" w:hAnsi="Arial Narrow"/>
                <w:b/>
                <w:sz w:val="20"/>
              </w:rPr>
              <w:t>)</w:t>
            </w:r>
          </w:p>
        </w:tc>
      </w:tr>
      <w:tr w:rsidR="00F567CF" w:rsidRPr="00BD004C" w:rsidTr="00F567CF">
        <w:trPr>
          <w:cantSplit/>
          <w:trHeight w:val="260"/>
          <w:tblHeader/>
        </w:trPr>
        <w:tc>
          <w:tcPr>
            <w:tcW w:w="1442" w:type="pct"/>
            <w:shd w:val="clear" w:color="auto" w:fill="auto"/>
            <w:vAlign w:val="center"/>
          </w:tcPr>
          <w:p w:rsidR="00F977ED" w:rsidRPr="00BD004C" w:rsidRDefault="00F977ED" w:rsidP="00F804CD">
            <w:pPr>
              <w:tabs>
                <w:tab w:val="left" w:pos="142"/>
              </w:tabs>
              <w:jc w:val="left"/>
              <w:rPr>
                <w:rFonts w:ascii="Arial Narrow" w:hAnsi="Arial Narrow"/>
                <w:b/>
                <w:sz w:val="20"/>
              </w:rPr>
            </w:pPr>
            <w:r w:rsidRPr="00BD004C">
              <w:rPr>
                <w:rFonts w:ascii="Arial Narrow" w:hAnsi="Arial Narrow"/>
                <w:b/>
                <w:bCs/>
                <w:sz w:val="20"/>
              </w:rPr>
              <w:t>Net cost to PBS/RPBS/MBS</w:t>
            </w:r>
          </w:p>
        </w:tc>
        <w:tc>
          <w:tcPr>
            <w:tcW w:w="763" w:type="pct"/>
            <w:shd w:val="clear" w:color="auto" w:fill="auto"/>
            <w:vAlign w:val="center"/>
          </w:tcPr>
          <w:p w:rsidR="00F977ED" w:rsidRPr="00BD004C" w:rsidRDefault="00F977ED" w:rsidP="00F804CD">
            <w:pPr>
              <w:keepNext/>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761" w:type="pct"/>
            <w:shd w:val="clear" w:color="auto" w:fill="auto"/>
            <w:vAlign w:val="center"/>
          </w:tcPr>
          <w:p w:rsidR="00F977ED" w:rsidRPr="00BD004C" w:rsidRDefault="00F977ED" w:rsidP="00F804CD">
            <w:pPr>
              <w:keepNext/>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center"/>
          </w:tcPr>
          <w:p w:rsidR="00F977ED" w:rsidRPr="00BD004C" w:rsidRDefault="00F977ED" w:rsidP="00F804CD">
            <w:pPr>
              <w:keepNext/>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6" w:type="pct"/>
            <w:shd w:val="clear" w:color="auto" w:fill="auto"/>
            <w:vAlign w:val="center"/>
          </w:tcPr>
          <w:p w:rsidR="00F977ED" w:rsidRPr="00BD004C" w:rsidRDefault="00F977ED" w:rsidP="00F804CD">
            <w:pPr>
              <w:keepNext/>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center"/>
          </w:tcPr>
          <w:p w:rsidR="00F977ED" w:rsidRPr="00BD004C" w:rsidRDefault="00F977ED" w:rsidP="00F804CD">
            <w:pPr>
              <w:keepNext/>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r>
      <w:tr w:rsidR="00F567CF" w:rsidRPr="00BD004C" w:rsidTr="00F567CF">
        <w:trPr>
          <w:cantSplit/>
          <w:trHeight w:val="260"/>
        </w:trPr>
        <w:tc>
          <w:tcPr>
            <w:tcW w:w="5000" w:type="pct"/>
            <w:gridSpan w:val="6"/>
            <w:shd w:val="clear" w:color="auto" w:fill="auto"/>
            <w:vAlign w:val="center"/>
          </w:tcPr>
          <w:p w:rsidR="00F977ED" w:rsidRPr="00BD004C" w:rsidRDefault="00F977ED" w:rsidP="00F804CD">
            <w:pPr>
              <w:jc w:val="left"/>
              <w:rPr>
                <w:rFonts w:ascii="Arial Narrow" w:hAnsi="Arial Narrow"/>
                <w:b/>
                <w:bCs/>
                <w:sz w:val="20"/>
              </w:rPr>
            </w:pPr>
            <w:r w:rsidRPr="00BD004C">
              <w:rPr>
                <w:rFonts w:ascii="Arial Narrow" w:hAnsi="Arial Narrow"/>
                <w:b/>
                <w:bCs/>
                <w:sz w:val="20"/>
              </w:rPr>
              <w:t>Estimated net cost to PBS/RPBS (MEPO DPMQ $</w:t>
            </w:r>
            <w:r w:rsidR="0024101C">
              <w:rPr>
                <w:rFonts w:ascii="Arial Narrow" w:hAnsi="Arial Narrow"/>
                <w:b/>
                <w:bCs/>
                <w:noProof/>
                <w:color w:val="000000"/>
                <w:sz w:val="20"/>
                <w:highlight w:val="black"/>
              </w:rPr>
              <w:t>''''''''''''</w:t>
            </w:r>
            <w:r w:rsidRPr="00BD004C">
              <w:rPr>
                <w:rFonts w:ascii="Arial Narrow" w:hAnsi="Arial Narrow"/>
                <w:b/>
                <w:bCs/>
                <w:sz w:val="20"/>
              </w:rPr>
              <w:t>) (COM.15)</w:t>
            </w:r>
          </w:p>
        </w:tc>
      </w:tr>
      <w:tr w:rsidR="00F567CF" w:rsidRPr="00BD004C" w:rsidTr="00F567CF">
        <w:trPr>
          <w:cantSplit/>
          <w:trHeight w:val="260"/>
        </w:trPr>
        <w:tc>
          <w:tcPr>
            <w:tcW w:w="1442" w:type="pct"/>
            <w:shd w:val="clear" w:color="auto" w:fill="auto"/>
            <w:vAlign w:val="center"/>
          </w:tcPr>
          <w:p w:rsidR="00F977ED" w:rsidRPr="00BD004C" w:rsidRDefault="00F977ED" w:rsidP="00F804CD">
            <w:pPr>
              <w:tabs>
                <w:tab w:val="left" w:pos="142"/>
              </w:tabs>
              <w:jc w:val="left"/>
              <w:rPr>
                <w:rFonts w:ascii="Arial Narrow" w:hAnsi="Arial Narrow"/>
                <w:sz w:val="20"/>
              </w:rPr>
            </w:pPr>
            <w:r w:rsidRPr="00BD004C">
              <w:rPr>
                <w:rFonts w:ascii="Arial Narrow" w:hAnsi="Arial Narrow"/>
                <w:sz w:val="20"/>
              </w:rPr>
              <w:t>Net cost to PBS/RPBS</w:t>
            </w:r>
          </w:p>
        </w:tc>
        <w:tc>
          <w:tcPr>
            <w:tcW w:w="763" w:type="pct"/>
            <w:shd w:val="clear" w:color="auto" w:fill="auto"/>
            <w:vAlign w:val="bottom"/>
          </w:tcPr>
          <w:p w:rsidR="00F977ED" w:rsidRPr="00BD004C" w:rsidRDefault="00F977ED" w:rsidP="00F804CD">
            <w:pPr>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761" w:type="pct"/>
            <w:shd w:val="clear" w:color="auto" w:fill="auto"/>
            <w:vAlign w:val="bottom"/>
          </w:tcPr>
          <w:p w:rsidR="00F977ED" w:rsidRPr="00BD004C" w:rsidRDefault="00F977ED" w:rsidP="00F804CD">
            <w:pPr>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F977ED" w:rsidRPr="00BD004C" w:rsidRDefault="00F977ED" w:rsidP="00F804CD">
            <w:pPr>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6" w:type="pct"/>
            <w:shd w:val="clear" w:color="auto" w:fill="auto"/>
            <w:vAlign w:val="bottom"/>
          </w:tcPr>
          <w:p w:rsidR="00F977ED" w:rsidRPr="00BD004C" w:rsidRDefault="00F977ED" w:rsidP="00F804CD">
            <w:pPr>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F977ED" w:rsidRPr="00BD004C" w:rsidRDefault="00F977ED" w:rsidP="00F804CD">
            <w:pPr>
              <w:jc w:val="center"/>
              <w:rPr>
                <w:rFonts w:ascii="Arial Narrow" w:hAnsi="Arial Narrow"/>
                <w:sz w:val="20"/>
              </w:rPr>
            </w:pPr>
            <w:r w:rsidRPr="00BD004C">
              <w:rPr>
                <w:rFonts w:ascii="Arial Narrow" w:hAnsi="Arial Narrow"/>
                <w:sz w:val="20"/>
              </w:rPr>
              <w:t>$</w:t>
            </w:r>
            <w:r w:rsidR="0024101C">
              <w:rPr>
                <w:rFonts w:ascii="Arial Narrow" w:hAnsi="Arial Narrow"/>
                <w:noProof/>
                <w:color w:val="000000"/>
                <w:sz w:val="20"/>
                <w:highlight w:val="black"/>
              </w:rPr>
              <w:t>'''''''''''''''''''''''''</w:t>
            </w:r>
          </w:p>
        </w:tc>
      </w:tr>
      <w:tr w:rsidR="00F567CF" w:rsidRPr="00BD004C" w:rsidTr="00F567CF">
        <w:trPr>
          <w:cantSplit/>
          <w:trHeight w:val="260"/>
        </w:trPr>
        <w:tc>
          <w:tcPr>
            <w:tcW w:w="5000" w:type="pct"/>
            <w:gridSpan w:val="6"/>
            <w:shd w:val="clear" w:color="auto" w:fill="auto"/>
            <w:vAlign w:val="center"/>
          </w:tcPr>
          <w:p w:rsidR="00F977ED" w:rsidRPr="00427DA3" w:rsidRDefault="00F977ED" w:rsidP="00F804CD">
            <w:pPr>
              <w:jc w:val="left"/>
              <w:rPr>
                <w:rFonts w:ascii="Arial Narrow" w:hAnsi="Arial Narrow"/>
                <w:b/>
                <w:sz w:val="20"/>
              </w:rPr>
            </w:pPr>
            <w:r w:rsidRPr="00427DA3">
              <w:rPr>
                <w:rFonts w:ascii="Arial Narrow" w:hAnsi="Arial Narrow"/>
                <w:b/>
                <w:sz w:val="20"/>
              </w:rPr>
              <w:t>Estimated net cost to PBS/RPBS (MEPO DPMQ $</w:t>
            </w:r>
            <w:r w:rsidR="0024101C">
              <w:rPr>
                <w:rFonts w:ascii="Arial Narrow" w:hAnsi="Arial Narrow"/>
                <w:b/>
                <w:noProof/>
                <w:color w:val="000000"/>
                <w:sz w:val="20"/>
                <w:highlight w:val="black"/>
              </w:rPr>
              <w:t>''''''''''''</w:t>
            </w:r>
            <w:r w:rsidRPr="00427DA3">
              <w:rPr>
                <w:rFonts w:ascii="Arial Narrow" w:hAnsi="Arial Narrow"/>
                <w:b/>
                <w:sz w:val="20"/>
              </w:rPr>
              <w:t>) (DUSC re-estimates)</w:t>
            </w:r>
          </w:p>
        </w:tc>
      </w:tr>
      <w:tr w:rsidR="00F567CF" w:rsidRPr="00BD004C" w:rsidTr="00F567CF">
        <w:trPr>
          <w:cantSplit/>
          <w:trHeight w:val="260"/>
        </w:trPr>
        <w:tc>
          <w:tcPr>
            <w:tcW w:w="1442" w:type="pct"/>
            <w:shd w:val="clear" w:color="auto" w:fill="auto"/>
            <w:vAlign w:val="center"/>
          </w:tcPr>
          <w:p w:rsidR="00F977ED" w:rsidRPr="00427DA3" w:rsidRDefault="00F977ED" w:rsidP="00F804CD">
            <w:pPr>
              <w:tabs>
                <w:tab w:val="left" w:pos="142"/>
              </w:tabs>
              <w:jc w:val="left"/>
              <w:rPr>
                <w:rFonts w:ascii="Arial Narrow" w:hAnsi="Arial Narrow"/>
                <w:sz w:val="20"/>
              </w:rPr>
            </w:pPr>
            <w:r w:rsidRPr="00427DA3">
              <w:rPr>
                <w:rFonts w:ascii="Arial Narrow" w:hAnsi="Arial Narrow"/>
                <w:sz w:val="20"/>
              </w:rPr>
              <w:t xml:space="preserve">Net cost to PBS/RPBS </w:t>
            </w:r>
          </w:p>
        </w:tc>
        <w:tc>
          <w:tcPr>
            <w:tcW w:w="763" w:type="pct"/>
            <w:shd w:val="clear" w:color="auto" w:fill="auto"/>
            <w:vAlign w:val="bottom"/>
          </w:tcPr>
          <w:p w:rsidR="00F977ED" w:rsidRPr="00427DA3" w:rsidRDefault="00F977ED" w:rsidP="00F804CD">
            <w:pPr>
              <w:jc w:val="center"/>
              <w:rPr>
                <w:rFonts w:ascii="Arial Narrow" w:hAnsi="Arial Narrow"/>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761" w:type="pct"/>
            <w:shd w:val="clear" w:color="auto" w:fill="auto"/>
            <w:vAlign w:val="bottom"/>
          </w:tcPr>
          <w:p w:rsidR="00F977ED" w:rsidRPr="00427DA3" w:rsidRDefault="00F977ED" w:rsidP="00F804CD">
            <w:pPr>
              <w:jc w:val="center"/>
              <w:rPr>
                <w:rFonts w:ascii="Arial Narrow" w:hAnsi="Arial Narrow"/>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F977ED" w:rsidRPr="00427DA3" w:rsidRDefault="00F977ED" w:rsidP="00F804CD">
            <w:pPr>
              <w:jc w:val="center"/>
              <w:rPr>
                <w:rFonts w:ascii="Arial Narrow" w:hAnsi="Arial Narrow"/>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6" w:type="pct"/>
            <w:shd w:val="clear" w:color="auto" w:fill="auto"/>
            <w:vAlign w:val="bottom"/>
          </w:tcPr>
          <w:p w:rsidR="00F977ED" w:rsidRPr="00427DA3" w:rsidRDefault="00F977ED" w:rsidP="00F804CD">
            <w:pPr>
              <w:jc w:val="center"/>
              <w:rPr>
                <w:rFonts w:ascii="Arial Narrow" w:hAnsi="Arial Narrow"/>
                <w:sz w:val="20"/>
              </w:rPr>
            </w:pPr>
            <w:r w:rsidRPr="00427DA3">
              <w:rPr>
                <w:rFonts w:ascii="Arial Narrow" w:hAnsi="Arial Narrow"/>
                <w:sz w:val="20"/>
              </w:rPr>
              <w:t>$</w:t>
            </w:r>
            <w:r w:rsidR="0024101C">
              <w:rPr>
                <w:rFonts w:ascii="Arial Narrow" w:hAnsi="Arial Narrow"/>
                <w:noProof/>
                <w:color w:val="000000"/>
                <w:sz w:val="20"/>
                <w:highlight w:val="black"/>
              </w:rPr>
              <w:t>''''''''''''''''''''''</w:t>
            </w:r>
          </w:p>
        </w:tc>
        <w:tc>
          <w:tcPr>
            <w:tcW w:w="679" w:type="pct"/>
            <w:shd w:val="clear" w:color="auto" w:fill="auto"/>
            <w:vAlign w:val="bottom"/>
          </w:tcPr>
          <w:p w:rsidR="00F977ED" w:rsidRPr="00427DA3" w:rsidRDefault="00F977ED" w:rsidP="00F804CD">
            <w:pPr>
              <w:jc w:val="center"/>
              <w:rPr>
                <w:rFonts w:ascii="Arial Narrow" w:hAnsi="Arial Narrow"/>
                <w:sz w:val="20"/>
              </w:rPr>
            </w:pPr>
            <w:r w:rsidRPr="00427DA3">
              <w:rPr>
                <w:rFonts w:ascii="Arial Narrow" w:hAnsi="Arial Narrow"/>
                <w:sz w:val="20"/>
              </w:rPr>
              <w:t>$</w:t>
            </w:r>
            <w:r w:rsidR="0024101C">
              <w:rPr>
                <w:rFonts w:ascii="Arial Narrow" w:hAnsi="Arial Narrow"/>
                <w:noProof/>
                <w:color w:val="000000"/>
                <w:sz w:val="20"/>
                <w:highlight w:val="black"/>
              </w:rPr>
              <w:t>'''''''''''''''''''''''''</w:t>
            </w:r>
          </w:p>
        </w:tc>
      </w:tr>
    </w:tbl>
    <w:p w:rsidR="00F977ED" w:rsidRPr="00BD004C" w:rsidRDefault="00F977ED" w:rsidP="00F567CF">
      <w:pPr>
        <w:ind w:firstLine="720"/>
        <w:rPr>
          <w:rFonts w:ascii="Arial Narrow" w:hAnsi="Arial Narrow"/>
          <w:sz w:val="18"/>
          <w:szCs w:val="18"/>
        </w:rPr>
      </w:pPr>
      <w:r w:rsidRPr="00BD004C">
        <w:rPr>
          <w:rFonts w:ascii="Arial Narrow" w:hAnsi="Arial Narrow"/>
          <w:sz w:val="18"/>
          <w:szCs w:val="18"/>
        </w:rPr>
        <w:t xml:space="preserve">Source: </w:t>
      </w:r>
      <w:r w:rsidR="00687879" w:rsidRPr="00687879">
        <w:rPr>
          <w:rFonts w:ascii="Arial Narrow" w:hAnsi="Arial Narrow"/>
          <w:sz w:val="18"/>
          <w:szCs w:val="18"/>
        </w:rPr>
        <w:t>Table 6, 5.05.DUSC ADV.8</w:t>
      </w:r>
      <w:r w:rsidR="00687879">
        <w:rPr>
          <w:rFonts w:ascii="Arial Narrow" w:hAnsi="Arial Narrow"/>
          <w:sz w:val="18"/>
          <w:szCs w:val="18"/>
        </w:rPr>
        <w:t>,</w:t>
      </w:r>
      <w:r w:rsidR="00687879" w:rsidRPr="00687879">
        <w:rPr>
          <w:rFonts w:ascii="Arial Narrow" w:hAnsi="Arial Narrow"/>
          <w:sz w:val="18"/>
          <w:szCs w:val="18"/>
        </w:rPr>
        <w:t xml:space="preserve"> m</w:t>
      </w:r>
      <w:r w:rsidRPr="00BD004C">
        <w:rPr>
          <w:rFonts w:ascii="Arial Narrow" w:hAnsi="Arial Narrow"/>
          <w:sz w:val="18"/>
          <w:szCs w:val="18"/>
        </w:rPr>
        <w:t>odified from table 16; 5.05.COM.15</w:t>
      </w:r>
    </w:p>
    <w:p w:rsidR="00F977ED" w:rsidRDefault="00F977ED" w:rsidP="00F567CF">
      <w:pPr>
        <w:ind w:firstLine="720"/>
        <w:rPr>
          <w:rFonts w:ascii="Arial Narrow" w:hAnsi="Arial Narrow"/>
          <w:sz w:val="18"/>
          <w:szCs w:val="18"/>
        </w:rPr>
      </w:pPr>
      <w:r w:rsidRPr="00BD004C">
        <w:rPr>
          <w:rFonts w:ascii="Arial Narrow" w:hAnsi="Arial Narrow"/>
          <w:sz w:val="18"/>
          <w:szCs w:val="18"/>
        </w:rPr>
        <w:t>MEPO = mepolizumab</w:t>
      </w:r>
    </w:p>
    <w:p w:rsidR="00276857" w:rsidRDefault="00276857" w:rsidP="00F567CF">
      <w:pPr>
        <w:ind w:firstLine="720"/>
        <w:rPr>
          <w:rFonts w:ascii="Arial Narrow" w:hAnsi="Arial Narrow"/>
          <w:sz w:val="18"/>
          <w:szCs w:val="18"/>
        </w:rPr>
      </w:pPr>
    </w:p>
    <w:p w:rsidR="00276857" w:rsidRPr="00276857" w:rsidRDefault="00276857" w:rsidP="00276857">
      <w:pPr>
        <w:pStyle w:val="TableFooter"/>
        <w:ind w:left="720"/>
        <w:rPr>
          <w:rFonts w:ascii="Arial" w:hAnsi="Arial"/>
          <w:sz w:val="22"/>
          <w:szCs w:val="22"/>
        </w:rPr>
      </w:pPr>
      <w:r w:rsidRPr="00276857">
        <w:rPr>
          <w:rFonts w:ascii="Arial" w:hAnsi="Arial"/>
          <w:sz w:val="22"/>
          <w:szCs w:val="22"/>
        </w:rPr>
        <w:t>The redacted table above shows that the net cost to PBS would be less than $10 million.</w:t>
      </w:r>
    </w:p>
    <w:p w:rsidR="00F977ED" w:rsidRDefault="00F977ED" w:rsidP="00CD08AF">
      <w:pPr>
        <w:pStyle w:val="BodyText"/>
        <w:rPr>
          <w:b/>
          <w:szCs w:val="22"/>
        </w:rPr>
      </w:pPr>
    </w:p>
    <w:p w:rsidR="00F95492" w:rsidRPr="00427DA3" w:rsidRDefault="00F95492" w:rsidP="00CD08AF">
      <w:pPr>
        <w:pStyle w:val="ListParagraph"/>
        <w:numPr>
          <w:ilvl w:val="1"/>
          <w:numId w:val="2"/>
        </w:numPr>
        <w:rPr>
          <w:szCs w:val="22"/>
        </w:rPr>
      </w:pPr>
      <w:r w:rsidRPr="00E317D5">
        <w:rPr>
          <w:szCs w:val="22"/>
        </w:rPr>
        <w:t>The Pre-PBAC Resp</w:t>
      </w:r>
      <w:r>
        <w:rPr>
          <w:szCs w:val="22"/>
        </w:rPr>
        <w:t>o</w:t>
      </w:r>
      <w:r w:rsidRPr="00E317D5">
        <w:rPr>
          <w:szCs w:val="22"/>
        </w:rPr>
        <w:t>nse (p.3) accepted m</w:t>
      </w:r>
      <w:r>
        <w:rPr>
          <w:szCs w:val="22"/>
        </w:rPr>
        <w:t>o</w:t>
      </w:r>
      <w:r w:rsidRPr="00E317D5">
        <w:rPr>
          <w:szCs w:val="22"/>
        </w:rPr>
        <w:t xml:space="preserve">st </w:t>
      </w:r>
      <w:r>
        <w:rPr>
          <w:szCs w:val="22"/>
        </w:rPr>
        <w:t>o</w:t>
      </w:r>
      <w:r w:rsidRPr="00E317D5">
        <w:rPr>
          <w:szCs w:val="22"/>
        </w:rPr>
        <w:t>f DUSC’s c</w:t>
      </w:r>
      <w:r>
        <w:rPr>
          <w:szCs w:val="22"/>
        </w:rPr>
        <w:t>o</w:t>
      </w:r>
      <w:r w:rsidRPr="00E317D5">
        <w:rPr>
          <w:szCs w:val="22"/>
        </w:rPr>
        <w:t xml:space="preserve">mments </w:t>
      </w:r>
      <w:r>
        <w:rPr>
          <w:szCs w:val="22"/>
        </w:rPr>
        <w:t>regarding the structure and in</w:t>
      </w:r>
      <w:r w:rsidRPr="00E317D5">
        <w:rPr>
          <w:szCs w:val="22"/>
        </w:rPr>
        <w:t>puts t</w:t>
      </w:r>
      <w:r>
        <w:rPr>
          <w:szCs w:val="22"/>
        </w:rPr>
        <w:t>o</w:t>
      </w:r>
      <w:r w:rsidRPr="00E317D5">
        <w:rPr>
          <w:szCs w:val="22"/>
        </w:rPr>
        <w:t xml:space="preserve"> the financial m</w:t>
      </w:r>
      <w:r>
        <w:rPr>
          <w:szCs w:val="22"/>
        </w:rPr>
        <w:t>o</w:t>
      </w:r>
      <w:r w:rsidRPr="00E317D5">
        <w:rPr>
          <w:szCs w:val="22"/>
        </w:rPr>
        <w:t>del, h</w:t>
      </w:r>
      <w:r>
        <w:rPr>
          <w:szCs w:val="22"/>
        </w:rPr>
        <w:t>o</w:t>
      </w:r>
      <w:r w:rsidRPr="00E317D5">
        <w:rPr>
          <w:szCs w:val="22"/>
        </w:rPr>
        <w:t>wever the sp</w:t>
      </w:r>
      <w:r>
        <w:rPr>
          <w:szCs w:val="22"/>
        </w:rPr>
        <w:t>o</w:t>
      </w:r>
      <w:r w:rsidRPr="00E317D5">
        <w:rPr>
          <w:szCs w:val="22"/>
        </w:rPr>
        <w:t>ns</w:t>
      </w:r>
      <w:r>
        <w:rPr>
          <w:szCs w:val="22"/>
        </w:rPr>
        <w:t>o</w:t>
      </w:r>
      <w:r w:rsidRPr="00E317D5">
        <w:rPr>
          <w:szCs w:val="22"/>
        </w:rPr>
        <w:t>r d</w:t>
      </w:r>
      <w:r>
        <w:rPr>
          <w:szCs w:val="22"/>
        </w:rPr>
        <w:t>id</w:t>
      </w:r>
      <w:r w:rsidRPr="00E317D5">
        <w:rPr>
          <w:szCs w:val="22"/>
        </w:rPr>
        <w:t xml:space="preserve"> n</w:t>
      </w:r>
      <w:r>
        <w:rPr>
          <w:szCs w:val="22"/>
        </w:rPr>
        <w:t>o</w:t>
      </w:r>
      <w:r w:rsidRPr="00E317D5">
        <w:rPr>
          <w:szCs w:val="22"/>
        </w:rPr>
        <w:t xml:space="preserve">t accept the application </w:t>
      </w:r>
      <w:r>
        <w:rPr>
          <w:szCs w:val="22"/>
        </w:rPr>
        <w:t>o</w:t>
      </w:r>
      <w:r w:rsidRPr="00E317D5">
        <w:rPr>
          <w:szCs w:val="22"/>
        </w:rPr>
        <w:t xml:space="preserve">f </w:t>
      </w:r>
      <w:r>
        <w:rPr>
          <w:szCs w:val="22"/>
        </w:rPr>
        <w:t>o</w:t>
      </w:r>
      <w:r w:rsidRPr="00E317D5">
        <w:rPr>
          <w:szCs w:val="22"/>
        </w:rPr>
        <w:t>malizumab’s real w</w:t>
      </w:r>
      <w:r>
        <w:rPr>
          <w:szCs w:val="22"/>
        </w:rPr>
        <w:t>o</w:t>
      </w:r>
      <w:r w:rsidRPr="00E317D5">
        <w:rPr>
          <w:szCs w:val="22"/>
        </w:rPr>
        <w:t>rld c</w:t>
      </w:r>
      <w:r>
        <w:rPr>
          <w:szCs w:val="22"/>
        </w:rPr>
        <w:t>o</w:t>
      </w:r>
      <w:r w:rsidRPr="00E317D5">
        <w:rPr>
          <w:szCs w:val="22"/>
        </w:rPr>
        <w:t>nt</w:t>
      </w:r>
      <w:r>
        <w:rPr>
          <w:szCs w:val="22"/>
        </w:rPr>
        <w:t>i</w:t>
      </w:r>
      <w:r w:rsidRPr="00E317D5">
        <w:rPr>
          <w:szCs w:val="22"/>
        </w:rPr>
        <w:t>n</w:t>
      </w:r>
      <w:r>
        <w:rPr>
          <w:szCs w:val="22"/>
        </w:rPr>
        <w:t>uat</w:t>
      </w:r>
      <w:r w:rsidRPr="00E317D5">
        <w:rPr>
          <w:szCs w:val="22"/>
        </w:rPr>
        <w:t>i</w:t>
      </w:r>
      <w:r>
        <w:rPr>
          <w:szCs w:val="22"/>
        </w:rPr>
        <w:t>o</w:t>
      </w:r>
      <w:r w:rsidRPr="00E317D5">
        <w:rPr>
          <w:szCs w:val="22"/>
        </w:rPr>
        <w:t xml:space="preserve">n rate </w:t>
      </w:r>
      <w:r>
        <w:rPr>
          <w:szCs w:val="22"/>
        </w:rPr>
        <w:t>o</w:t>
      </w:r>
      <w:r w:rsidR="005D17C7">
        <w:rPr>
          <w:szCs w:val="22"/>
        </w:rPr>
        <w:t xml:space="preserve">f 80%, as the sponsor claimed that this should be treatment specific. </w:t>
      </w:r>
    </w:p>
    <w:p w:rsidR="00F95492" w:rsidRDefault="00F95492" w:rsidP="00CD08AF">
      <w:pPr>
        <w:pStyle w:val="BodyText"/>
        <w:rPr>
          <w:b/>
          <w:szCs w:val="22"/>
        </w:rPr>
      </w:pPr>
    </w:p>
    <w:p w:rsidR="00F977ED" w:rsidRPr="00BD004C" w:rsidRDefault="00F977ED" w:rsidP="00F977ED">
      <w:pPr>
        <w:rPr>
          <w:b/>
          <w:szCs w:val="22"/>
        </w:rPr>
      </w:pPr>
      <w:r w:rsidRPr="00BD004C">
        <w:rPr>
          <w:b/>
          <w:szCs w:val="22"/>
        </w:rPr>
        <w:t xml:space="preserve">Quality </w:t>
      </w:r>
      <w:r>
        <w:rPr>
          <w:b/>
          <w:szCs w:val="22"/>
        </w:rPr>
        <w:t>U</w:t>
      </w:r>
      <w:r w:rsidRPr="00BD004C">
        <w:rPr>
          <w:b/>
          <w:szCs w:val="22"/>
        </w:rPr>
        <w:t>se of Medicines</w:t>
      </w:r>
    </w:p>
    <w:p w:rsidR="00CD08AF" w:rsidRPr="00CD08AF" w:rsidRDefault="00CD08AF" w:rsidP="00F977ED">
      <w:pPr>
        <w:pStyle w:val="BodyText"/>
        <w:rPr>
          <w:i/>
          <w:szCs w:val="22"/>
        </w:rPr>
      </w:pPr>
    </w:p>
    <w:p w:rsidR="00CD08AF" w:rsidRDefault="00F567CF" w:rsidP="00CD08AF">
      <w:pPr>
        <w:pStyle w:val="ListParagraph"/>
        <w:numPr>
          <w:ilvl w:val="1"/>
          <w:numId w:val="2"/>
        </w:numPr>
        <w:rPr>
          <w:szCs w:val="22"/>
        </w:rPr>
      </w:pPr>
      <w:r>
        <w:rPr>
          <w:szCs w:val="22"/>
        </w:rPr>
        <w:t>DUSC considered that s</w:t>
      </w:r>
      <w:r w:rsidR="00CD08AF" w:rsidRPr="00CD08AF">
        <w:rPr>
          <w:szCs w:val="22"/>
        </w:rPr>
        <w:t>ystemic corticosteroids can reduce the blood eosinophil count in patients, which may affect the eligibility of</w:t>
      </w:r>
      <w:r w:rsidR="00CD08AF">
        <w:rPr>
          <w:szCs w:val="22"/>
        </w:rPr>
        <w:t xml:space="preserve"> some patients for mepolizumab.</w:t>
      </w:r>
    </w:p>
    <w:p w:rsidR="00CD08AF" w:rsidRPr="00CD08AF" w:rsidRDefault="00CD08AF" w:rsidP="00CD08AF">
      <w:pPr>
        <w:rPr>
          <w:szCs w:val="22"/>
        </w:rPr>
      </w:pPr>
    </w:p>
    <w:p w:rsidR="00CD08AF" w:rsidRPr="00CD08AF" w:rsidRDefault="00CD08AF" w:rsidP="00CD08AF">
      <w:pPr>
        <w:pStyle w:val="ListParagraph"/>
        <w:numPr>
          <w:ilvl w:val="1"/>
          <w:numId w:val="2"/>
        </w:numPr>
        <w:rPr>
          <w:szCs w:val="22"/>
        </w:rPr>
      </w:pPr>
      <w:r w:rsidRPr="00CD08AF">
        <w:rPr>
          <w:szCs w:val="22"/>
        </w:rPr>
        <w:t>The requested restriction details that a patient must be under the same care of the same physician for at least 12 months. DUSC considered this may affect equity for rural patients due to reduced access to physicians.</w:t>
      </w:r>
    </w:p>
    <w:p w:rsidR="00C037B2" w:rsidRPr="0079755F" w:rsidRDefault="004E0F68" w:rsidP="0079755F">
      <w:pPr>
        <w:pStyle w:val="BodyText"/>
        <w:rPr>
          <w:b/>
          <w:szCs w:val="22"/>
        </w:rPr>
      </w:pPr>
      <w:r w:rsidRPr="00E759E5">
        <w:rPr>
          <w:szCs w:val="22"/>
        </w:rPr>
        <w:t xml:space="preserve"> </w:t>
      </w:r>
    </w:p>
    <w:p w:rsidR="00C037B2" w:rsidRPr="006C7139" w:rsidRDefault="00C037B2" w:rsidP="00C037B2">
      <w:pPr>
        <w:pStyle w:val="Heading2"/>
        <w:rPr>
          <w:szCs w:val="22"/>
        </w:rPr>
      </w:pPr>
      <w:bookmarkStart w:id="17" w:name="_Toc440887145"/>
      <w:r w:rsidRPr="006C7139">
        <w:t>Financial Management – Risk Sharing Arrangements</w:t>
      </w:r>
      <w:bookmarkEnd w:id="17"/>
    </w:p>
    <w:p w:rsidR="00C037B2" w:rsidRPr="00EC09F6" w:rsidRDefault="00C037B2" w:rsidP="00C037B2">
      <w:pPr>
        <w:pStyle w:val="ListParagraph"/>
        <w:widowControl/>
        <w:rPr>
          <w:szCs w:val="22"/>
        </w:rPr>
      </w:pPr>
    </w:p>
    <w:p w:rsidR="007366C8" w:rsidRPr="00EC09F6" w:rsidRDefault="007366C8" w:rsidP="00986DCF">
      <w:pPr>
        <w:pStyle w:val="ListParagraph"/>
        <w:widowControl/>
        <w:numPr>
          <w:ilvl w:val="1"/>
          <w:numId w:val="2"/>
        </w:numPr>
        <w:rPr>
          <w:szCs w:val="22"/>
        </w:rPr>
      </w:pPr>
      <w:r w:rsidRPr="00EC09F6">
        <w:t>The Sponsor intends to request a Special Price Arrangement during price negotiations, should mepolizumab receive a positive recommendation from PBAC.</w:t>
      </w:r>
    </w:p>
    <w:p w:rsidR="003B4EE6" w:rsidRPr="003B4EE6" w:rsidRDefault="003B4EE6" w:rsidP="003B4EE6">
      <w:pPr>
        <w:widowControl/>
        <w:rPr>
          <w:szCs w:val="22"/>
        </w:rPr>
      </w:pPr>
    </w:p>
    <w:p w:rsidR="009E363C" w:rsidRPr="006A633D" w:rsidRDefault="00E759E5" w:rsidP="006A633D">
      <w:pPr>
        <w:pStyle w:val="ListParagraph"/>
        <w:ind w:left="709"/>
        <w:rPr>
          <w:i/>
          <w:szCs w:val="22"/>
        </w:rPr>
      </w:pPr>
      <w:r w:rsidRPr="00757545">
        <w:rPr>
          <w:i/>
          <w:szCs w:val="22"/>
        </w:rPr>
        <w:t>For more detail on PBAC’s view, see section 7 “PBAC outcome”</w:t>
      </w:r>
    </w:p>
    <w:p w:rsidR="00A14062" w:rsidRDefault="00A14062" w:rsidP="009E363C">
      <w:pPr>
        <w:widowControl/>
        <w:spacing w:after="200" w:line="276" w:lineRule="auto"/>
        <w:jc w:val="left"/>
        <w:rPr>
          <w:bCs/>
          <w:szCs w:val="22"/>
        </w:rPr>
      </w:pPr>
    </w:p>
    <w:p w:rsidR="00A14062" w:rsidRPr="006A633D" w:rsidRDefault="00A14062" w:rsidP="005508DE">
      <w:pPr>
        <w:pStyle w:val="Heading1"/>
        <w:rPr>
          <w:b w:val="0"/>
          <w:bCs/>
        </w:rPr>
      </w:pPr>
      <w:r w:rsidRPr="006A633D">
        <w:rPr>
          <w:bCs/>
        </w:rPr>
        <w:t>PBAC Outcome</w:t>
      </w:r>
    </w:p>
    <w:p w:rsidR="00A14062" w:rsidRPr="006A633D" w:rsidRDefault="00A14062" w:rsidP="00A14062">
      <w:pPr>
        <w:contextualSpacing/>
        <w:rPr>
          <w:b/>
          <w:bCs/>
          <w:szCs w:val="22"/>
          <w:lang w:val="en-GB"/>
        </w:rPr>
      </w:pPr>
    </w:p>
    <w:p w:rsidR="00A14062" w:rsidRPr="003C33F9" w:rsidRDefault="00A14062" w:rsidP="00A14062">
      <w:pPr>
        <w:numPr>
          <w:ilvl w:val="1"/>
          <w:numId w:val="2"/>
        </w:numPr>
        <w:contextualSpacing/>
        <w:rPr>
          <w:bCs/>
          <w:szCs w:val="22"/>
          <w:lang w:val="en-GB"/>
        </w:rPr>
      </w:pPr>
      <w:r w:rsidRPr="006A633D">
        <w:rPr>
          <w:bCs/>
          <w:szCs w:val="22"/>
          <w:lang w:val="en-GB"/>
        </w:rPr>
        <w:t>The PBAC re</w:t>
      </w:r>
      <w:r w:rsidR="006A633D" w:rsidRPr="006A633D">
        <w:rPr>
          <w:bCs/>
          <w:szCs w:val="22"/>
          <w:lang w:val="en-GB"/>
        </w:rPr>
        <w:t>jected</w:t>
      </w:r>
      <w:r w:rsidRPr="006A633D">
        <w:rPr>
          <w:bCs/>
          <w:szCs w:val="22"/>
          <w:lang w:val="en-GB"/>
        </w:rPr>
        <w:t xml:space="preserve"> the listing of </w:t>
      </w:r>
      <w:r w:rsidR="006A633D" w:rsidRPr="006A633D">
        <w:rPr>
          <w:bCs/>
          <w:szCs w:val="22"/>
          <w:lang w:val="en-GB"/>
        </w:rPr>
        <w:t>mepolizumab</w:t>
      </w:r>
      <w:r w:rsidR="00BD64DE">
        <w:rPr>
          <w:bCs/>
          <w:szCs w:val="22"/>
          <w:lang w:val="en-GB"/>
        </w:rPr>
        <w:t xml:space="preserve"> on the basis of high and uncertain cost-effectiveness in the comparison with </w:t>
      </w:r>
      <w:r w:rsidR="00860697">
        <w:rPr>
          <w:bCs/>
          <w:szCs w:val="22"/>
          <w:lang w:val="en-GB"/>
        </w:rPr>
        <w:t>standard of care</w:t>
      </w:r>
      <w:r w:rsidR="00BD64DE">
        <w:rPr>
          <w:bCs/>
          <w:szCs w:val="22"/>
          <w:lang w:val="en-GB"/>
        </w:rPr>
        <w:t xml:space="preserve">, and inappropriate equi-effective doses proposed in the cost-minimisation </w:t>
      </w:r>
      <w:r w:rsidR="004777B5">
        <w:rPr>
          <w:bCs/>
          <w:szCs w:val="22"/>
          <w:lang w:val="en-GB"/>
        </w:rPr>
        <w:t xml:space="preserve">analysis </w:t>
      </w:r>
      <w:r w:rsidR="00860697">
        <w:rPr>
          <w:bCs/>
          <w:szCs w:val="22"/>
          <w:lang w:val="en-GB"/>
        </w:rPr>
        <w:t>against</w:t>
      </w:r>
      <w:r w:rsidR="00BD64DE" w:rsidRPr="003C33F9">
        <w:rPr>
          <w:bCs/>
          <w:szCs w:val="22"/>
          <w:lang w:val="en-GB"/>
        </w:rPr>
        <w:t xml:space="preserve"> omalizumab</w:t>
      </w:r>
      <w:r w:rsidRPr="003C33F9">
        <w:rPr>
          <w:bCs/>
          <w:szCs w:val="22"/>
          <w:lang w:val="en-GB"/>
        </w:rPr>
        <w:t>.</w:t>
      </w:r>
    </w:p>
    <w:p w:rsidR="003C33F9" w:rsidRPr="003C33F9" w:rsidRDefault="003C33F9" w:rsidP="003C33F9">
      <w:pPr>
        <w:pStyle w:val="PBACHeading1"/>
        <w:numPr>
          <w:ilvl w:val="0"/>
          <w:numId w:val="0"/>
        </w:numPr>
        <w:ind w:left="720" w:hanging="720"/>
        <w:rPr>
          <w:b w:val="0"/>
          <w:lang w:val="en-GB"/>
        </w:rPr>
      </w:pPr>
    </w:p>
    <w:p w:rsidR="003C33F9" w:rsidRPr="003C33F9" w:rsidRDefault="003C33F9" w:rsidP="003C33F9">
      <w:pPr>
        <w:numPr>
          <w:ilvl w:val="1"/>
          <w:numId w:val="2"/>
        </w:numPr>
        <w:contextualSpacing/>
        <w:rPr>
          <w:lang w:val="en-GB"/>
        </w:rPr>
      </w:pPr>
      <w:r w:rsidRPr="003C33F9">
        <w:rPr>
          <w:lang w:val="en-GB"/>
        </w:rPr>
        <w:t xml:space="preserve">The PBAC accepted that mepolizumab had a clinical place in the treatment of eosinophilic asthma, </w:t>
      </w:r>
      <w:r w:rsidR="00860697">
        <w:rPr>
          <w:lang w:val="en-GB"/>
        </w:rPr>
        <w:t>noting advice received from the TSANZ</w:t>
      </w:r>
      <w:r w:rsidR="00633351">
        <w:rPr>
          <w:lang w:val="en-GB"/>
        </w:rPr>
        <w:t xml:space="preserve"> clarifying that </w:t>
      </w:r>
      <w:r w:rsidR="00633351" w:rsidRPr="00F95492">
        <w:rPr>
          <w:bCs/>
          <w:szCs w:val="22"/>
        </w:rPr>
        <w:t xml:space="preserve">there is sufficient distinction to allow recognition and application of different therapies to </w:t>
      </w:r>
      <w:r w:rsidR="00633351">
        <w:rPr>
          <w:bCs/>
          <w:szCs w:val="22"/>
        </w:rPr>
        <w:t>this distinct asthma</w:t>
      </w:r>
      <w:r w:rsidR="00633351" w:rsidRPr="00F95492">
        <w:rPr>
          <w:bCs/>
          <w:szCs w:val="22"/>
        </w:rPr>
        <w:t xml:space="preserve"> phenotype</w:t>
      </w:r>
      <w:r w:rsidRPr="003C33F9">
        <w:rPr>
          <w:lang w:val="en-GB"/>
        </w:rPr>
        <w:t xml:space="preserve">. </w:t>
      </w:r>
    </w:p>
    <w:p w:rsidR="00A14062" w:rsidRPr="00C4408E" w:rsidRDefault="00A14062" w:rsidP="00A14062">
      <w:pPr>
        <w:ind w:left="720"/>
        <w:contextualSpacing/>
        <w:rPr>
          <w:bCs/>
          <w:szCs w:val="22"/>
          <w:lang w:val="en-GB"/>
        </w:rPr>
      </w:pPr>
    </w:p>
    <w:p w:rsidR="00A14062" w:rsidRPr="00C4408E" w:rsidRDefault="00860697" w:rsidP="00A14062">
      <w:pPr>
        <w:numPr>
          <w:ilvl w:val="1"/>
          <w:numId w:val="2"/>
        </w:numPr>
        <w:contextualSpacing/>
        <w:rPr>
          <w:bCs/>
          <w:szCs w:val="22"/>
          <w:lang w:val="en-GB"/>
        </w:rPr>
      </w:pPr>
      <w:r w:rsidRPr="00C4408E">
        <w:rPr>
          <w:bCs/>
          <w:szCs w:val="22"/>
          <w:lang w:val="en-GB"/>
        </w:rPr>
        <w:t>The PBAC did not agree with the submission’s method of estimating the equi-effective doses for mepolizumab and omalizumab, which derived the omalizumab dose from utilisation data rather than using the trial based dose</w:t>
      </w:r>
      <w:r w:rsidR="00E11B99">
        <w:rPr>
          <w:bCs/>
          <w:szCs w:val="22"/>
          <w:lang w:val="en-GB"/>
        </w:rPr>
        <w:t>s</w:t>
      </w:r>
      <w:r w:rsidRPr="00C4408E">
        <w:rPr>
          <w:bCs/>
          <w:szCs w:val="22"/>
          <w:lang w:val="en-GB"/>
        </w:rPr>
        <w:t xml:space="preserve">. </w:t>
      </w:r>
      <w:r w:rsidR="008849FB">
        <w:rPr>
          <w:bCs/>
          <w:szCs w:val="22"/>
          <w:lang w:val="en-GB"/>
        </w:rPr>
        <w:t xml:space="preserve">The omalizumab dose of </w:t>
      </w:r>
      <w:r w:rsidR="00FA6B68">
        <w:rPr>
          <w:bCs/>
          <w:noProof/>
          <w:color w:val="000000"/>
          <w:szCs w:val="22"/>
          <w:highlight w:val="black"/>
          <w:lang w:val="en-GB"/>
        </w:rPr>
        <w:t>'''''''''</w:t>
      </w:r>
      <w:r w:rsidR="008849FB">
        <w:rPr>
          <w:bCs/>
          <w:szCs w:val="22"/>
          <w:lang w:val="en-GB"/>
        </w:rPr>
        <w:t> mg from the utilisation data was substantially larger than the</w:t>
      </w:r>
      <w:r w:rsidR="00FA6B68">
        <w:rPr>
          <w:bCs/>
          <w:noProof/>
          <w:color w:val="000000"/>
          <w:szCs w:val="22"/>
          <w:highlight w:val="black"/>
          <w:lang w:val="en-GB"/>
        </w:rPr>
        <w:t xml:space="preserve"> ''''''''''</w:t>
      </w:r>
      <w:r w:rsidR="008849FB">
        <w:rPr>
          <w:bCs/>
          <w:szCs w:val="22"/>
          <w:lang w:val="en-GB"/>
        </w:rPr>
        <w:t xml:space="preserve"> mg derived from the clinical trial data, and the PBAC noted that the submission’s deviation from the preferred approach resulted in a substantial</w:t>
      </w:r>
      <w:r w:rsidR="00947B6E">
        <w:rPr>
          <w:bCs/>
          <w:szCs w:val="22"/>
          <w:lang w:val="en-GB"/>
        </w:rPr>
        <w:t xml:space="preserve"> increase in </w:t>
      </w:r>
      <w:r w:rsidR="003B2F3C">
        <w:rPr>
          <w:bCs/>
          <w:szCs w:val="22"/>
          <w:lang w:val="en-GB"/>
        </w:rPr>
        <w:t>the price of mepolizumab estimated</w:t>
      </w:r>
      <w:r w:rsidR="008849FB">
        <w:rPr>
          <w:bCs/>
          <w:szCs w:val="22"/>
          <w:lang w:val="en-GB"/>
        </w:rPr>
        <w:t>.</w:t>
      </w:r>
    </w:p>
    <w:p w:rsidR="00A14062" w:rsidRPr="00C4408E" w:rsidRDefault="00A14062" w:rsidP="00A14062">
      <w:pPr>
        <w:ind w:left="720"/>
        <w:contextualSpacing/>
        <w:rPr>
          <w:bCs/>
          <w:szCs w:val="22"/>
          <w:lang w:val="en-GB"/>
        </w:rPr>
      </w:pPr>
    </w:p>
    <w:p w:rsidR="00860697" w:rsidRPr="00C4408E" w:rsidRDefault="00500084" w:rsidP="00A14062">
      <w:pPr>
        <w:numPr>
          <w:ilvl w:val="1"/>
          <w:numId w:val="2"/>
        </w:numPr>
        <w:contextualSpacing/>
        <w:rPr>
          <w:bCs/>
          <w:szCs w:val="22"/>
          <w:lang w:val="en-GB"/>
        </w:rPr>
      </w:pPr>
      <w:r w:rsidRPr="00C4408E">
        <w:rPr>
          <w:bCs/>
          <w:szCs w:val="22"/>
          <w:lang w:val="en-GB"/>
        </w:rPr>
        <w:t xml:space="preserve">The PBAC </w:t>
      </w:r>
      <w:r w:rsidR="00860697" w:rsidRPr="00C4408E">
        <w:rPr>
          <w:bCs/>
          <w:szCs w:val="22"/>
          <w:lang w:val="en-GB"/>
        </w:rPr>
        <w:t>considered the following with regard to the requested restriction:</w:t>
      </w:r>
    </w:p>
    <w:p w:rsidR="00860697" w:rsidRPr="00860697" w:rsidRDefault="00500084" w:rsidP="00860697">
      <w:pPr>
        <w:pStyle w:val="ListParagraph"/>
        <w:numPr>
          <w:ilvl w:val="0"/>
          <w:numId w:val="14"/>
        </w:numPr>
        <w:ind w:left="1080"/>
        <w:rPr>
          <w:bCs/>
          <w:szCs w:val="22"/>
          <w:lang w:val="en-GB"/>
        </w:rPr>
      </w:pPr>
      <w:r w:rsidRPr="00C4408E">
        <w:rPr>
          <w:bCs/>
          <w:szCs w:val="22"/>
          <w:lang w:val="en-GB"/>
        </w:rPr>
        <w:t>the restriction</w:t>
      </w:r>
      <w:r w:rsidRPr="00860697">
        <w:rPr>
          <w:bCs/>
          <w:szCs w:val="22"/>
          <w:lang w:val="en-GB"/>
        </w:rPr>
        <w:t xml:space="preserve"> for mepolizumab should stipulate that it would not be permitted for use</w:t>
      </w:r>
      <w:r w:rsidR="00BB6F67">
        <w:rPr>
          <w:bCs/>
          <w:szCs w:val="22"/>
          <w:lang w:val="en-GB"/>
        </w:rPr>
        <w:t xml:space="preserve"> in combination with omalizumab;</w:t>
      </w:r>
    </w:p>
    <w:p w:rsidR="00A14062" w:rsidRPr="00357157" w:rsidRDefault="00860697" w:rsidP="00860697">
      <w:pPr>
        <w:pStyle w:val="ListParagraph"/>
        <w:numPr>
          <w:ilvl w:val="0"/>
          <w:numId w:val="14"/>
        </w:numPr>
        <w:ind w:left="1080"/>
        <w:rPr>
          <w:bCs/>
          <w:szCs w:val="22"/>
          <w:lang w:val="en-GB"/>
        </w:rPr>
      </w:pPr>
      <w:r w:rsidRPr="00860697">
        <w:rPr>
          <w:bCs/>
          <w:szCs w:val="22"/>
          <w:lang w:val="en-GB"/>
        </w:rPr>
        <w:t>the</w:t>
      </w:r>
      <w:r w:rsidR="00500084" w:rsidRPr="00860697">
        <w:rPr>
          <w:bCs/>
          <w:szCs w:val="22"/>
          <w:lang w:val="en-GB"/>
        </w:rPr>
        <w:t xml:space="preserve"> </w:t>
      </w:r>
      <w:r w:rsidRPr="00357157">
        <w:rPr>
          <w:bCs/>
          <w:szCs w:val="22"/>
          <w:lang w:val="en-GB"/>
        </w:rPr>
        <w:t>definition of failure to optimised therapy be consistent with omalizumab</w:t>
      </w:r>
      <w:r w:rsidR="00BB6F67" w:rsidRPr="00357157">
        <w:rPr>
          <w:bCs/>
          <w:szCs w:val="22"/>
          <w:lang w:val="en-GB"/>
        </w:rPr>
        <w:t>.</w:t>
      </w:r>
    </w:p>
    <w:p w:rsidR="00A14062" w:rsidRPr="00357157" w:rsidRDefault="00A14062" w:rsidP="00A14062">
      <w:pPr>
        <w:ind w:left="720"/>
        <w:contextualSpacing/>
        <w:rPr>
          <w:bCs/>
          <w:szCs w:val="22"/>
          <w:lang w:val="en-GB"/>
        </w:rPr>
      </w:pPr>
    </w:p>
    <w:p w:rsidR="00A14062" w:rsidRPr="00357157" w:rsidRDefault="00DF215A" w:rsidP="00A14062">
      <w:pPr>
        <w:numPr>
          <w:ilvl w:val="1"/>
          <w:numId w:val="2"/>
        </w:numPr>
        <w:contextualSpacing/>
        <w:rPr>
          <w:bCs/>
          <w:szCs w:val="22"/>
          <w:lang w:val="en-GB"/>
        </w:rPr>
      </w:pPr>
      <w:r w:rsidRPr="00357157">
        <w:rPr>
          <w:bCs/>
          <w:szCs w:val="22"/>
          <w:lang w:val="en-GB"/>
        </w:rPr>
        <w:t xml:space="preserve">The PBAC accepted </w:t>
      </w:r>
      <w:r w:rsidR="008F3316" w:rsidRPr="00357157">
        <w:rPr>
          <w:bCs/>
          <w:szCs w:val="22"/>
          <w:lang w:val="en-GB"/>
        </w:rPr>
        <w:t>SOC</w:t>
      </w:r>
      <w:r w:rsidRPr="00357157">
        <w:rPr>
          <w:bCs/>
          <w:szCs w:val="22"/>
          <w:lang w:val="en-GB"/>
        </w:rPr>
        <w:t xml:space="preserve"> and omalizumab as appropriate comparators.</w:t>
      </w:r>
    </w:p>
    <w:p w:rsidR="00A14062" w:rsidRPr="00357157" w:rsidRDefault="00A14062" w:rsidP="00A14062">
      <w:pPr>
        <w:ind w:left="720"/>
        <w:contextualSpacing/>
        <w:rPr>
          <w:bCs/>
          <w:szCs w:val="22"/>
          <w:lang w:val="en-GB"/>
        </w:rPr>
      </w:pPr>
    </w:p>
    <w:p w:rsidR="00A14062" w:rsidRPr="00357157" w:rsidRDefault="00F804CD" w:rsidP="00A14062">
      <w:pPr>
        <w:numPr>
          <w:ilvl w:val="1"/>
          <w:numId w:val="2"/>
        </w:numPr>
        <w:contextualSpacing/>
        <w:rPr>
          <w:bCs/>
          <w:szCs w:val="22"/>
          <w:lang w:val="en-GB"/>
        </w:rPr>
      </w:pPr>
      <w:r w:rsidRPr="00357157">
        <w:rPr>
          <w:bCs/>
          <w:szCs w:val="22"/>
          <w:lang w:val="en-GB"/>
        </w:rPr>
        <w:t xml:space="preserve">The PBAC </w:t>
      </w:r>
      <w:r w:rsidR="008F3316" w:rsidRPr="00357157">
        <w:rPr>
          <w:bCs/>
          <w:szCs w:val="22"/>
          <w:lang w:val="en-GB"/>
        </w:rPr>
        <w:t>considered that the</w:t>
      </w:r>
      <w:r w:rsidR="00357157" w:rsidRPr="00357157">
        <w:rPr>
          <w:bCs/>
          <w:szCs w:val="22"/>
          <w:lang w:val="en-GB"/>
        </w:rPr>
        <w:t xml:space="preserve"> clinical</w:t>
      </w:r>
      <w:r w:rsidR="008F3316" w:rsidRPr="00357157">
        <w:rPr>
          <w:bCs/>
          <w:szCs w:val="22"/>
          <w:lang w:val="en-GB"/>
        </w:rPr>
        <w:t xml:space="preserve"> comparison of mepolizumab versus SOC was reasonably reliable, noting </w:t>
      </w:r>
      <w:r w:rsidRPr="00357157">
        <w:rPr>
          <w:bCs/>
          <w:szCs w:val="22"/>
          <w:lang w:val="en-GB"/>
        </w:rPr>
        <w:t>the three direct</w:t>
      </w:r>
      <w:r w:rsidR="00357157" w:rsidRPr="00357157">
        <w:rPr>
          <w:bCs/>
          <w:szCs w:val="22"/>
          <w:lang w:val="en-GB"/>
        </w:rPr>
        <w:t xml:space="preserve"> clinical</w:t>
      </w:r>
      <w:r w:rsidRPr="00357157">
        <w:rPr>
          <w:bCs/>
          <w:szCs w:val="22"/>
          <w:lang w:val="en-GB"/>
        </w:rPr>
        <w:t xml:space="preserve"> trials of mepolizumab versus </w:t>
      </w:r>
      <w:r w:rsidR="008F3316" w:rsidRPr="00357157">
        <w:rPr>
          <w:bCs/>
          <w:szCs w:val="22"/>
          <w:lang w:val="en-GB"/>
        </w:rPr>
        <w:t>SOC</w:t>
      </w:r>
      <w:r w:rsidRPr="00357157">
        <w:rPr>
          <w:bCs/>
          <w:szCs w:val="22"/>
          <w:lang w:val="en-GB"/>
        </w:rPr>
        <w:t>. The PBAC considered the indirect comparison of mepolizumab versus omalizumab</w:t>
      </w:r>
      <w:r w:rsidR="00DF46AF">
        <w:rPr>
          <w:bCs/>
          <w:szCs w:val="22"/>
          <w:lang w:val="en-GB"/>
        </w:rPr>
        <w:t>, using standard of care as the common reference,</w:t>
      </w:r>
      <w:r w:rsidRPr="00357157">
        <w:rPr>
          <w:bCs/>
          <w:szCs w:val="22"/>
          <w:lang w:val="en-GB"/>
        </w:rPr>
        <w:t xml:space="preserve"> to be substantially more uncertain due to</w:t>
      </w:r>
      <w:r w:rsidR="00357157" w:rsidRPr="00357157">
        <w:rPr>
          <w:bCs/>
          <w:szCs w:val="22"/>
          <w:lang w:val="en-GB"/>
        </w:rPr>
        <w:t xml:space="preserve"> differences in the trials, including</w:t>
      </w:r>
      <w:r w:rsidRPr="00357157">
        <w:rPr>
          <w:bCs/>
          <w:szCs w:val="22"/>
          <w:lang w:val="en-GB"/>
        </w:rPr>
        <w:t xml:space="preserve"> time period</w:t>
      </w:r>
      <w:r w:rsidR="00DF46AF">
        <w:rPr>
          <w:bCs/>
          <w:szCs w:val="22"/>
          <w:lang w:val="en-GB"/>
        </w:rPr>
        <w:t>s over which exacerbations rates were reported</w:t>
      </w:r>
      <w:r w:rsidR="00DF215A" w:rsidRPr="00357157">
        <w:rPr>
          <w:bCs/>
          <w:szCs w:val="22"/>
          <w:lang w:val="en-GB"/>
        </w:rPr>
        <w:t xml:space="preserve"> and p</w:t>
      </w:r>
      <w:r w:rsidR="00357157" w:rsidRPr="00357157">
        <w:rPr>
          <w:bCs/>
          <w:szCs w:val="22"/>
          <w:lang w:val="en-GB"/>
        </w:rPr>
        <w:t>lacebo event rates</w:t>
      </w:r>
      <w:r w:rsidR="00DF215A" w:rsidRPr="00357157">
        <w:rPr>
          <w:bCs/>
          <w:szCs w:val="22"/>
          <w:lang w:val="en-GB"/>
        </w:rPr>
        <w:t xml:space="preserve">. </w:t>
      </w:r>
    </w:p>
    <w:p w:rsidR="00200A6D" w:rsidRPr="00357157" w:rsidRDefault="00200A6D" w:rsidP="00200A6D">
      <w:pPr>
        <w:contextualSpacing/>
        <w:rPr>
          <w:bCs/>
          <w:szCs w:val="22"/>
          <w:lang w:val="en-GB"/>
        </w:rPr>
      </w:pPr>
    </w:p>
    <w:p w:rsidR="008E55E3" w:rsidRPr="00357157" w:rsidRDefault="008E55E3" w:rsidP="008E55E3">
      <w:pPr>
        <w:pStyle w:val="ListParagraph"/>
        <w:widowControl/>
        <w:numPr>
          <w:ilvl w:val="1"/>
          <w:numId w:val="2"/>
        </w:numPr>
        <w:jc w:val="left"/>
        <w:rPr>
          <w:szCs w:val="22"/>
        </w:rPr>
      </w:pPr>
      <w:r w:rsidRPr="00357157">
        <w:rPr>
          <w:bCs/>
          <w:szCs w:val="22"/>
        </w:rPr>
        <w:t xml:space="preserve">The PBAC considered that the claim of superior comparative effectiveness and </w:t>
      </w:r>
      <w:r w:rsidRPr="00357157">
        <w:rPr>
          <w:szCs w:val="22"/>
        </w:rPr>
        <w:t xml:space="preserve">non-inferior comparative safety </w:t>
      </w:r>
      <w:r w:rsidR="000347F5" w:rsidRPr="00357157">
        <w:rPr>
          <w:szCs w:val="22"/>
        </w:rPr>
        <w:t>to</w:t>
      </w:r>
      <w:r w:rsidRPr="00357157">
        <w:rPr>
          <w:szCs w:val="22"/>
        </w:rPr>
        <w:t xml:space="preserve"> standard of care was reasonable.</w:t>
      </w:r>
    </w:p>
    <w:p w:rsidR="008E55E3" w:rsidRPr="008E55E3" w:rsidRDefault="008E55E3" w:rsidP="008E55E3">
      <w:pPr>
        <w:pStyle w:val="ListParagraph"/>
        <w:rPr>
          <w:szCs w:val="22"/>
        </w:rPr>
      </w:pPr>
    </w:p>
    <w:p w:rsidR="008E55E3" w:rsidRPr="0093662B" w:rsidRDefault="008E55E3" w:rsidP="008E55E3">
      <w:pPr>
        <w:pStyle w:val="ListParagraph"/>
        <w:widowControl/>
        <w:numPr>
          <w:ilvl w:val="1"/>
          <w:numId w:val="2"/>
        </w:numPr>
        <w:jc w:val="left"/>
        <w:rPr>
          <w:szCs w:val="22"/>
        </w:rPr>
      </w:pPr>
      <w:r w:rsidRPr="00BB7A92">
        <w:rPr>
          <w:bCs/>
          <w:szCs w:val="22"/>
        </w:rPr>
        <w:t xml:space="preserve">The PBAC considered that the claim of non-inferior comparative effectiveness </w:t>
      </w:r>
      <w:r>
        <w:rPr>
          <w:bCs/>
          <w:szCs w:val="22"/>
        </w:rPr>
        <w:t>and</w:t>
      </w:r>
      <w:r w:rsidRPr="00BB7A92">
        <w:rPr>
          <w:szCs w:val="22"/>
        </w:rPr>
        <w:t xml:space="preserve"> non-inferior comparative safety </w:t>
      </w:r>
      <w:r w:rsidR="000347F5">
        <w:rPr>
          <w:szCs w:val="22"/>
        </w:rPr>
        <w:t>to</w:t>
      </w:r>
      <w:r w:rsidRPr="00BB7A92">
        <w:rPr>
          <w:szCs w:val="22"/>
        </w:rPr>
        <w:t xml:space="preserve"> omalizumab</w:t>
      </w:r>
      <w:r w:rsidR="00721056">
        <w:rPr>
          <w:szCs w:val="22"/>
        </w:rPr>
        <w:t xml:space="preserve"> was reasonable, noting </w:t>
      </w:r>
      <w:r w:rsidR="0093662B">
        <w:rPr>
          <w:szCs w:val="22"/>
        </w:rPr>
        <w:t xml:space="preserve">uncertainties with </w:t>
      </w:r>
      <w:r w:rsidR="0093662B" w:rsidRPr="0093662B">
        <w:rPr>
          <w:szCs w:val="22"/>
        </w:rPr>
        <w:t>the indirect comparison.</w:t>
      </w:r>
    </w:p>
    <w:p w:rsidR="008E55E3" w:rsidRPr="0093662B" w:rsidRDefault="008E55E3" w:rsidP="008E55E3">
      <w:pPr>
        <w:pStyle w:val="ListParagraph"/>
        <w:widowControl/>
        <w:rPr>
          <w:szCs w:val="22"/>
        </w:rPr>
      </w:pPr>
    </w:p>
    <w:p w:rsidR="00A14062" w:rsidRPr="0093662B" w:rsidRDefault="00F804CD" w:rsidP="00A14062">
      <w:pPr>
        <w:numPr>
          <w:ilvl w:val="1"/>
          <w:numId w:val="2"/>
        </w:numPr>
        <w:contextualSpacing/>
        <w:rPr>
          <w:bCs/>
          <w:szCs w:val="22"/>
          <w:lang w:val="en-GB"/>
        </w:rPr>
      </w:pPr>
      <w:r w:rsidRPr="0093662B">
        <w:rPr>
          <w:bCs/>
          <w:szCs w:val="22"/>
          <w:lang w:val="en-GB"/>
        </w:rPr>
        <w:t xml:space="preserve">The PBAC agreed with the ESC’s view that </w:t>
      </w:r>
      <w:r w:rsidR="006E00CA" w:rsidRPr="0093662B">
        <w:rPr>
          <w:bCs/>
          <w:szCs w:val="22"/>
          <w:lang w:val="en-GB"/>
        </w:rPr>
        <w:t xml:space="preserve">several </w:t>
      </w:r>
      <w:r w:rsidR="00E54762" w:rsidRPr="0093662B">
        <w:rPr>
          <w:bCs/>
          <w:szCs w:val="22"/>
          <w:lang w:val="en-GB"/>
        </w:rPr>
        <w:t xml:space="preserve">assumptions and </w:t>
      </w:r>
      <w:r w:rsidR="006E00CA" w:rsidRPr="0093662B">
        <w:rPr>
          <w:bCs/>
          <w:szCs w:val="22"/>
          <w:lang w:val="en-GB"/>
        </w:rPr>
        <w:t xml:space="preserve">inputs into </w:t>
      </w:r>
      <w:r w:rsidRPr="0093662B">
        <w:rPr>
          <w:bCs/>
          <w:szCs w:val="22"/>
          <w:lang w:val="en-GB"/>
        </w:rPr>
        <w:t xml:space="preserve">the </w:t>
      </w:r>
      <w:r w:rsidR="00897F9B" w:rsidRPr="0093662B">
        <w:rPr>
          <w:bCs/>
          <w:szCs w:val="22"/>
          <w:lang w:val="en-GB"/>
        </w:rPr>
        <w:t xml:space="preserve">economic model in the cost-effectiveness analysis versus </w:t>
      </w:r>
      <w:r w:rsidR="006E00CA" w:rsidRPr="0093662B">
        <w:rPr>
          <w:bCs/>
          <w:szCs w:val="22"/>
          <w:lang w:val="en-GB"/>
        </w:rPr>
        <w:t>SOC</w:t>
      </w:r>
      <w:r w:rsidR="00897F9B" w:rsidRPr="0093662B">
        <w:rPr>
          <w:bCs/>
          <w:szCs w:val="22"/>
          <w:lang w:val="en-GB"/>
        </w:rPr>
        <w:t xml:space="preserve"> </w:t>
      </w:r>
      <w:r w:rsidRPr="0093662B">
        <w:rPr>
          <w:bCs/>
          <w:szCs w:val="22"/>
          <w:lang w:val="en-GB"/>
        </w:rPr>
        <w:t>highly favoured mepolizumab</w:t>
      </w:r>
      <w:r w:rsidR="006E00CA" w:rsidRPr="0093662B">
        <w:rPr>
          <w:bCs/>
          <w:szCs w:val="22"/>
          <w:lang w:val="en-GB"/>
        </w:rPr>
        <w:t>,</w:t>
      </w:r>
      <w:r w:rsidRPr="0093662B">
        <w:rPr>
          <w:bCs/>
          <w:szCs w:val="22"/>
          <w:lang w:val="en-GB"/>
        </w:rPr>
        <w:t xml:space="preserve"> </w:t>
      </w:r>
      <w:r w:rsidR="00E54762" w:rsidRPr="0093662B">
        <w:rPr>
          <w:bCs/>
          <w:szCs w:val="22"/>
          <w:lang w:val="en-GB"/>
        </w:rPr>
        <w:t xml:space="preserve">including the source of the </w:t>
      </w:r>
      <w:r w:rsidR="007F5DE6" w:rsidRPr="0093662B">
        <w:rPr>
          <w:bCs/>
          <w:szCs w:val="22"/>
          <w:lang w:val="en-GB"/>
        </w:rPr>
        <w:t>utilities</w:t>
      </w:r>
      <w:r w:rsidR="00E54762" w:rsidRPr="0093662B">
        <w:rPr>
          <w:bCs/>
          <w:szCs w:val="22"/>
          <w:lang w:val="en-GB"/>
        </w:rPr>
        <w:t>,</w:t>
      </w:r>
      <w:r w:rsidR="00FC4672">
        <w:rPr>
          <w:bCs/>
          <w:szCs w:val="22"/>
          <w:lang w:val="en-GB"/>
        </w:rPr>
        <w:t xml:space="preserve"> use of ACQ-5 score in the continuation criteria, and the error in the model regarding intervention costs for ICS/LABA (corrected by the ESC).</w:t>
      </w:r>
      <w:r w:rsidR="008849FB" w:rsidRPr="0093662B">
        <w:rPr>
          <w:bCs/>
          <w:szCs w:val="22"/>
          <w:lang w:val="en-GB"/>
        </w:rPr>
        <w:t xml:space="preserve"> </w:t>
      </w:r>
      <w:r w:rsidR="00F85418" w:rsidRPr="0093662B">
        <w:rPr>
          <w:bCs/>
          <w:szCs w:val="22"/>
          <w:lang w:val="en-GB"/>
        </w:rPr>
        <w:t>The PBAC noted that the ESC’s revised base case, corrected for errors, was</w:t>
      </w:r>
      <w:r w:rsidR="007D3E6C">
        <w:rPr>
          <w:bCs/>
          <w:szCs w:val="22"/>
          <w:lang w:val="en-GB"/>
        </w:rPr>
        <w:t xml:space="preserve"> $45,000/QALY - $75,000/QALY</w:t>
      </w:r>
      <w:r w:rsidR="0093662B">
        <w:rPr>
          <w:bCs/>
          <w:szCs w:val="22"/>
          <w:lang w:val="en-GB"/>
        </w:rPr>
        <w:t xml:space="preserve">. The Pre-PBAC Response </w:t>
      </w:r>
      <w:r w:rsidR="00E84C82">
        <w:rPr>
          <w:bCs/>
          <w:szCs w:val="22"/>
          <w:lang w:val="en-GB"/>
        </w:rPr>
        <w:t xml:space="preserve">accepted the corrected errors, and further applied a 1.13% </w:t>
      </w:r>
      <w:r w:rsidR="00E84C82">
        <w:rPr>
          <w:szCs w:val="22"/>
        </w:rPr>
        <w:t>mor</w:t>
      </w:r>
      <w:r w:rsidR="00E84C82" w:rsidRPr="00736423">
        <w:rPr>
          <w:szCs w:val="22"/>
        </w:rPr>
        <w:t>t</w:t>
      </w:r>
      <w:r w:rsidR="00E84C82">
        <w:rPr>
          <w:szCs w:val="22"/>
        </w:rPr>
        <w:t>alit</w:t>
      </w:r>
      <w:r w:rsidR="00E84C82" w:rsidRPr="00736423">
        <w:rPr>
          <w:szCs w:val="22"/>
        </w:rPr>
        <w:t>y risk across all exacerbation types</w:t>
      </w:r>
      <w:r w:rsidR="00E84C82">
        <w:rPr>
          <w:szCs w:val="22"/>
        </w:rPr>
        <w:t xml:space="preserve"> (as opposed to the original model which applied a 1.13% mortality risk following an exacerbation requiring hospitalisation and a 0.43% mortality risk following an exacerbation requiring an ED visit or OCS burst)</w:t>
      </w:r>
      <w:r w:rsidR="00611096">
        <w:rPr>
          <w:szCs w:val="22"/>
        </w:rPr>
        <w:t xml:space="preserve"> </w:t>
      </w:r>
      <w:r w:rsidR="00E84C82">
        <w:rPr>
          <w:szCs w:val="22"/>
        </w:rPr>
        <w:t>which reduced the sponsor’s base case ICER to</w:t>
      </w:r>
      <w:r w:rsidR="007D3E6C">
        <w:rPr>
          <w:szCs w:val="22"/>
        </w:rPr>
        <w:t xml:space="preserve"> </w:t>
      </w:r>
      <w:r w:rsidR="007D3E6C">
        <w:rPr>
          <w:bCs/>
          <w:szCs w:val="22"/>
          <w:lang w:val="en-GB"/>
        </w:rPr>
        <w:t>$45,000/QALY - $75,000/QALY</w:t>
      </w:r>
      <w:r w:rsidR="00611530">
        <w:rPr>
          <w:szCs w:val="22"/>
        </w:rPr>
        <w:t>, however the PBAC</w:t>
      </w:r>
      <w:r w:rsidR="001D2D8F">
        <w:rPr>
          <w:szCs w:val="22"/>
        </w:rPr>
        <w:t xml:space="preserve"> considered that the model could not be relied upon</w:t>
      </w:r>
      <w:r w:rsidR="00611530">
        <w:rPr>
          <w:szCs w:val="22"/>
        </w:rPr>
        <w:t xml:space="preserve"> given the substantial variation</w:t>
      </w:r>
      <w:r w:rsidR="00950951">
        <w:rPr>
          <w:szCs w:val="22"/>
        </w:rPr>
        <w:t xml:space="preserve"> in the outputs.</w:t>
      </w:r>
    </w:p>
    <w:p w:rsidR="00A14062" w:rsidRPr="00E308C0" w:rsidRDefault="00A14062" w:rsidP="00E308C0">
      <w:pPr>
        <w:ind w:left="720"/>
        <w:contextualSpacing/>
        <w:rPr>
          <w:bCs/>
          <w:szCs w:val="22"/>
          <w:lang w:val="en-GB"/>
        </w:rPr>
      </w:pPr>
    </w:p>
    <w:p w:rsidR="00A14062" w:rsidRPr="00E308C0" w:rsidRDefault="00E308C0" w:rsidP="00A14062">
      <w:pPr>
        <w:numPr>
          <w:ilvl w:val="1"/>
          <w:numId w:val="2"/>
        </w:numPr>
        <w:contextualSpacing/>
        <w:rPr>
          <w:bCs/>
          <w:szCs w:val="22"/>
          <w:lang w:val="en-GB"/>
        </w:rPr>
      </w:pPr>
      <w:r w:rsidRPr="00E308C0">
        <w:rPr>
          <w:bCs/>
          <w:szCs w:val="22"/>
          <w:lang w:val="en-GB"/>
        </w:rPr>
        <w:t xml:space="preserve">The PBAC agreed with the DUSC’s estimates of the financial implications, noting that </w:t>
      </w:r>
      <w:r>
        <w:rPr>
          <w:bCs/>
          <w:szCs w:val="22"/>
          <w:lang w:val="en-GB"/>
        </w:rPr>
        <w:t xml:space="preserve">although </w:t>
      </w:r>
      <w:r w:rsidRPr="00E308C0">
        <w:rPr>
          <w:bCs/>
          <w:szCs w:val="22"/>
          <w:lang w:val="en-GB"/>
        </w:rPr>
        <w:t>the</w:t>
      </w:r>
      <w:r>
        <w:rPr>
          <w:bCs/>
          <w:szCs w:val="22"/>
          <w:lang w:val="en-GB"/>
        </w:rPr>
        <w:t xml:space="preserve"> DUSC considered Year 1 estimates to be underestimated, </w:t>
      </w:r>
      <w:r w:rsidR="00D311CD">
        <w:rPr>
          <w:bCs/>
          <w:szCs w:val="22"/>
          <w:lang w:val="en-GB"/>
        </w:rPr>
        <w:t xml:space="preserve">the DUSC considered </w:t>
      </w:r>
      <w:r>
        <w:rPr>
          <w:bCs/>
          <w:szCs w:val="22"/>
          <w:lang w:val="en-GB"/>
        </w:rPr>
        <w:t>the</w:t>
      </w:r>
      <w:r w:rsidRPr="00E308C0">
        <w:rPr>
          <w:bCs/>
          <w:szCs w:val="22"/>
          <w:lang w:val="en-GB"/>
        </w:rPr>
        <w:t xml:space="preserve"> total estimate of use over </w:t>
      </w:r>
      <w:r>
        <w:rPr>
          <w:bCs/>
          <w:szCs w:val="22"/>
          <w:lang w:val="en-GB"/>
        </w:rPr>
        <w:t>f</w:t>
      </w:r>
      <w:r w:rsidRPr="00E308C0">
        <w:rPr>
          <w:bCs/>
          <w:szCs w:val="22"/>
          <w:lang w:val="en-GB"/>
        </w:rPr>
        <w:t xml:space="preserve">ive years </w:t>
      </w:r>
      <w:r>
        <w:rPr>
          <w:bCs/>
          <w:szCs w:val="22"/>
          <w:lang w:val="en-GB"/>
        </w:rPr>
        <w:t xml:space="preserve">may be </w:t>
      </w:r>
      <w:r w:rsidRPr="00E308C0">
        <w:rPr>
          <w:bCs/>
          <w:szCs w:val="22"/>
          <w:lang w:val="en-GB"/>
        </w:rPr>
        <w:t>reasonable</w:t>
      </w:r>
      <w:r>
        <w:rPr>
          <w:bCs/>
          <w:szCs w:val="22"/>
          <w:lang w:val="en-GB"/>
        </w:rPr>
        <w:t>.</w:t>
      </w:r>
    </w:p>
    <w:p w:rsidR="00A14062" w:rsidRPr="00860697" w:rsidRDefault="00A14062" w:rsidP="00A14062">
      <w:pPr>
        <w:ind w:left="720"/>
        <w:contextualSpacing/>
        <w:rPr>
          <w:bCs/>
          <w:szCs w:val="22"/>
          <w:lang w:val="en-GB"/>
        </w:rPr>
      </w:pPr>
    </w:p>
    <w:p w:rsidR="00A14062" w:rsidRPr="00860697" w:rsidRDefault="00860697" w:rsidP="00A14062">
      <w:pPr>
        <w:numPr>
          <w:ilvl w:val="1"/>
          <w:numId w:val="2"/>
        </w:numPr>
        <w:contextualSpacing/>
        <w:rPr>
          <w:bCs/>
          <w:szCs w:val="22"/>
          <w:lang w:val="en-GB"/>
        </w:rPr>
      </w:pPr>
      <w:r w:rsidRPr="00860697">
        <w:rPr>
          <w:bCs/>
          <w:szCs w:val="22"/>
          <w:lang w:val="en-GB"/>
        </w:rPr>
        <w:t xml:space="preserve">The PBAC </w:t>
      </w:r>
      <w:r w:rsidR="00CD3FC3">
        <w:rPr>
          <w:bCs/>
          <w:szCs w:val="22"/>
          <w:lang w:val="en-GB"/>
        </w:rPr>
        <w:t>proposed</w:t>
      </w:r>
      <w:r w:rsidRPr="00860697">
        <w:rPr>
          <w:bCs/>
          <w:szCs w:val="22"/>
          <w:lang w:val="en-GB"/>
        </w:rPr>
        <w:t xml:space="preserve"> that a pragmatic </w:t>
      </w:r>
      <w:r w:rsidR="00CD3FC3">
        <w:rPr>
          <w:bCs/>
          <w:szCs w:val="22"/>
          <w:lang w:val="en-GB"/>
        </w:rPr>
        <w:t>approach</w:t>
      </w:r>
      <w:r w:rsidRPr="00860697">
        <w:rPr>
          <w:bCs/>
          <w:szCs w:val="22"/>
          <w:lang w:val="en-GB"/>
        </w:rPr>
        <w:t xml:space="preserve"> forward would be a minor resubmission presenting a cost-minimisation against omalizumab using the trial based equi-effective doses. </w:t>
      </w:r>
      <w:r w:rsidR="004C5B27">
        <w:rPr>
          <w:bCs/>
          <w:szCs w:val="22"/>
          <w:lang w:val="en-GB"/>
        </w:rPr>
        <w:t>Should a resubmission wish to present a cost-effective analysis, this would need to be provided as a major submission to allow for evaluation.</w:t>
      </w:r>
    </w:p>
    <w:p w:rsidR="00A14062" w:rsidRPr="006A633D" w:rsidRDefault="00A14062" w:rsidP="00A14062">
      <w:pPr>
        <w:ind w:left="720"/>
        <w:contextualSpacing/>
        <w:rPr>
          <w:bCs/>
          <w:szCs w:val="22"/>
          <w:lang w:val="en-GB"/>
        </w:rPr>
      </w:pPr>
    </w:p>
    <w:p w:rsidR="00A14062" w:rsidRPr="006A633D" w:rsidRDefault="00A14062" w:rsidP="000D3DCF">
      <w:pPr>
        <w:numPr>
          <w:ilvl w:val="1"/>
          <w:numId w:val="2"/>
        </w:numPr>
        <w:contextualSpacing/>
        <w:rPr>
          <w:b/>
          <w:bCs/>
          <w:szCs w:val="22"/>
          <w:lang w:val="en-GB"/>
        </w:rPr>
      </w:pPr>
      <w:r w:rsidRPr="006A633D">
        <w:rPr>
          <w:bCs/>
          <w:szCs w:val="22"/>
          <w:lang w:val="en-GB"/>
        </w:rPr>
        <w:t>The PBAC noted that this submission is eligible for an Independent Review.</w:t>
      </w:r>
    </w:p>
    <w:p w:rsidR="00A14062" w:rsidRPr="00EA0EDA" w:rsidRDefault="00A14062" w:rsidP="00A14062">
      <w:pPr>
        <w:rPr>
          <w:b/>
          <w:szCs w:val="22"/>
          <w:highlight w:val="yellow"/>
          <w:lang w:val="en-GB"/>
        </w:rPr>
      </w:pPr>
    </w:p>
    <w:p w:rsidR="00A14062" w:rsidRPr="000D3DCF" w:rsidRDefault="00A14062" w:rsidP="00A14062">
      <w:pPr>
        <w:rPr>
          <w:b/>
          <w:bCs/>
          <w:szCs w:val="22"/>
          <w:lang w:val="en-GB"/>
        </w:rPr>
      </w:pPr>
    </w:p>
    <w:p w:rsidR="00A14062" w:rsidRPr="000D3DCF" w:rsidRDefault="00A14062" w:rsidP="00A14062">
      <w:pPr>
        <w:rPr>
          <w:b/>
          <w:bCs/>
          <w:szCs w:val="22"/>
          <w:lang w:val="en-GB"/>
        </w:rPr>
      </w:pPr>
      <w:r w:rsidRPr="000D3DCF">
        <w:rPr>
          <w:b/>
          <w:bCs/>
          <w:szCs w:val="22"/>
          <w:lang w:val="en-GB"/>
        </w:rPr>
        <w:t>Outcome:</w:t>
      </w:r>
    </w:p>
    <w:p w:rsidR="00A14062" w:rsidRDefault="00A14062" w:rsidP="00A14062">
      <w:pPr>
        <w:rPr>
          <w:bCs/>
          <w:szCs w:val="22"/>
          <w:lang w:val="en-GB"/>
        </w:rPr>
      </w:pPr>
      <w:r w:rsidRPr="000D3DCF">
        <w:rPr>
          <w:bCs/>
          <w:szCs w:val="22"/>
          <w:lang w:val="en-GB"/>
        </w:rPr>
        <w:t>Rejected</w:t>
      </w:r>
    </w:p>
    <w:p w:rsidR="00363D53" w:rsidRDefault="00363D53" w:rsidP="00A14062">
      <w:pPr>
        <w:rPr>
          <w:bCs/>
          <w:szCs w:val="22"/>
          <w:lang w:val="en-GB"/>
        </w:rPr>
      </w:pPr>
    </w:p>
    <w:p w:rsidR="0029121B" w:rsidRDefault="0029121B" w:rsidP="0029121B">
      <w:pPr>
        <w:pStyle w:val="Heading1"/>
      </w:pPr>
      <w:r w:rsidRPr="00632206">
        <w:t>Context for Decision</w:t>
      </w:r>
    </w:p>
    <w:p w:rsidR="0029121B" w:rsidRDefault="0029121B" w:rsidP="0029121B">
      <w:pPr>
        <w:ind w:left="720"/>
      </w:pPr>
    </w:p>
    <w:p w:rsidR="0029121B" w:rsidRDefault="0029121B" w:rsidP="0029121B">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9121B" w:rsidRDefault="0029121B" w:rsidP="0029121B">
      <w:pPr>
        <w:ind w:left="720"/>
      </w:pPr>
    </w:p>
    <w:p w:rsidR="0029121B" w:rsidRDefault="0029121B" w:rsidP="0029121B">
      <w:pPr>
        <w:pStyle w:val="Heading1"/>
      </w:pPr>
      <w:r w:rsidRPr="00451386">
        <w:t>Sponsor’s Comment</w:t>
      </w:r>
    </w:p>
    <w:p w:rsidR="0029121B" w:rsidRDefault="0029121B" w:rsidP="00A14062">
      <w:pPr>
        <w:rPr>
          <w:bCs/>
          <w:szCs w:val="22"/>
          <w:lang w:val="en-GB"/>
        </w:rPr>
      </w:pPr>
    </w:p>
    <w:p w:rsidR="00A14062" w:rsidRDefault="00F07959" w:rsidP="00267D9C">
      <w:pPr>
        <w:widowControl/>
        <w:ind w:left="709"/>
        <w:rPr>
          <w:bCs/>
          <w:szCs w:val="22"/>
        </w:rPr>
      </w:pPr>
      <w:r w:rsidRPr="00C61D76">
        <w:t xml:space="preserve">GSK is disappointed with the outcome and is reviewing the PBAC recommendation to inform a resubmission. GSK is committed to working with the PBAC and the Department to ensure severe asthma patients can </w:t>
      </w:r>
      <w:r>
        <w:t>access</w:t>
      </w:r>
      <w:r w:rsidRPr="00C61D76">
        <w:t xml:space="preserve"> mepolizumab through the PBS</w:t>
      </w:r>
      <w:r w:rsidR="00B54370">
        <w:rPr>
          <w:b/>
          <w:bCs/>
          <w:szCs w:val="22"/>
        </w:rPr>
        <w:t>.</w:t>
      </w:r>
    </w:p>
    <w:sectPr w:rsidR="00A14062" w:rsidSect="00062BED">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83" w:rsidRDefault="00FF6A83" w:rsidP="00124A51">
      <w:r>
        <w:separator/>
      </w:r>
    </w:p>
  </w:endnote>
  <w:endnote w:type="continuationSeparator" w:id="0">
    <w:p w:rsidR="00FF6A83" w:rsidRDefault="00FF6A8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News Gothic MT">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1C" w:rsidRDefault="00241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86385"/>
      <w:docPartObj>
        <w:docPartGallery w:val="Page Numbers (Bottom of Page)"/>
        <w:docPartUnique/>
      </w:docPartObj>
    </w:sdtPr>
    <w:sdtEndPr>
      <w:rPr>
        <w:noProof/>
        <w:sz w:val="20"/>
      </w:rPr>
    </w:sdtEndPr>
    <w:sdtContent>
      <w:p w:rsidR="00372132" w:rsidRPr="005508DE" w:rsidRDefault="00372132">
        <w:pPr>
          <w:pStyle w:val="Footer"/>
          <w:jc w:val="center"/>
          <w:rPr>
            <w:sz w:val="24"/>
          </w:rPr>
        </w:pPr>
      </w:p>
      <w:p w:rsidR="00372132" w:rsidRPr="00F04437" w:rsidRDefault="00372132" w:rsidP="000D3DCF">
        <w:pPr>
          <w:pStyle w:val="Footer"/>
          <w:jc w:val="center"/>
          <w:rPr>
            <w:sz w:val="20"/>
          </w:rPr>
        </w:pPr>
        <w:r w:rsidRPr="005508DE">
          <w:fldChar w:fldCharType="begin"/>
        </w:r>
        <w:r w:rsidRPr="005508DE">
          <w:instrText xml:space="preserve"> PAGE   \* MERGEFORMAT </w:instrText>
        </w:r>
        <w:r w:rsidRPr="005508DE">
          <w:fldChar w:fldCharType="separate"/>
        </w:r>
        <w:r w:rsidR="00234287">
          <w:rPr>
            <w:noProof/>
          </w:rPr>
          <w:t>20</w:t>
        </w:r>
        <w:r w:rsidRPr="005508DE">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1C" w:rsidRDefault="00241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83" w:rsidRDefault="00FF6A83" w:rsidP="00124A51">
      <w:r>
        <w:separator/>
      </w:r>
    </w:p>
  </w:footnote>
  <w:footnote w:type="continuationSeparator" w:id="0">
    <w:p w:rsidR="00FF6A83" w:rsidRDefault="00FF6A83" w:rsidP="00124A51">
      <w:r>
        <w:continuationSeparator/>
      </w:r>
    </w:p>
  </w:footnote>
  <w:footnote w:id="1">
    <w:p w:rsidR="00372132" w:rsidRDefault="00372132" w:rsidP="00687879">
      <w:pPr>
        <w:pStyle w:val="FootnoteText"/>
        <w:jc w:val="left"/>
      </w:pPr>
      <w:r w:rsidRPr="00687879">
        <w:rPr>
          <w:rStyle w:val="FootnoteReference"/>
        </w:rPr>
        <w:footnoteRef/>
      </w:r>
      <w:r w:rsidRPr="00687879">
        <w:rPr>
          <w:rStyle w:val="FootnoteReference"/>
        </w:rPr>
        <w:t xml:space="preserve"> </w:t>
      </w:r>
      <w:r w:rsidRPr="00A42995">
        <w:rPr>
          <w:rFonts w:ascii="Arial" w:hAnsi="Arial" w:cs="Arial"/>
        </w:rPr>
        <w:t>Reddel et al. Asthma control in Australia: a cross-sectional web-based survey in a nationally representative population. Med J Aust 2015; 202 (9): 492-496.</w:t>
      </w:r>
    </w:p>
  </w:footnote>
  <w:footnote w:id="2">
    <w:p w:rsidR="00372132" w:rsidRPr="007F3462" w:rsidRDefault="00372132" w:rsidP="0084351E">
      <w:pPr>
        <w:pStyle w:val="FootnoteText"/>
        <w:jc w:val="left"/>
        <w:rPr>
          <w:rFonts w:ascii="Arial" w:hAnsi="Arial" w:cs="Arial"/>
        </w:rPr>
      </w:pPr>
      <w:r w:rsidRPr="007F3462">
        <w:rPr>
          <w:rStyle w:val="FootnoteReference"/>
          <w:rFonts w:ascii="Arial" w:hAnsi="Arial" w:cs="Arial"/>
        </w:rPr>
        <w:footnoteRef/>
      </w:r>
      <w:r w:rsidRPr="007F3462">
        <w:rPr>
          <w:rFonts w:ascii="Arial" w:hAnsi="Arial" w:cs="Arial"/>
        </w:rPr>
        <w:t xml:space="preserve"> Public release document, DUSC utilisation analysis, June 2014. Found at: http://www.pbs.gov.au/industry/listing/participants/public-release-docs/omalizumab/omalizumab-24-month-review.pdf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1C" w:rsidRDefault="00241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32" w:rsidRPr="00DF217D" w:rsidRDefault="00372132" w:rsidP="00BD64DE">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372132" w:rsidRPr="00BD64DE" w:rsidRDefault="00372132" w:rsidP="00BD6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1C" w:rsidRDefault="00241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754604"/>
    <w:multiLevelType w:val="hybridMultilevel"/>
    <w:tmpl w:val="6EFC3B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592132"/>
    <w:multiLevelType w:val="hybridMultilevel"/>
    <w:tmpl w:val="807C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9D37C8"/>
    <w:multiLevelType w:val="hybridMultilevel"/>
    <w:tmpl w:val="6E4CB2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2A17D2A"/>
    <w:multiLevelType w:val="hybridMultilevel"/>
    <w:tmpl w:val="0DBAE53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5CB5C93"/>
    <w:multiLevelType w:val="hybridMultilevel"/>
    <w:tmpl w:val="5796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4F35B0"/>
    <w:multiLevelType w:val="hybridMultilevel"/>
    <w:tmpl w:val="C86418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B3A658C"/>
    <w:multiLevelType w:val="hybridMultilevel"/>
    <w:tmpl w:val="EC8432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C1001EA"/>
    <w:multiLevelType w:val="hybridMultilevel"/>
    <w:tmpl w:val="1E841B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290510A"/>
    <w:multiLevelType w:val="hybridMultilevel"/>
    <w:tmpl w:val="467EBA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4D910258"/>
    <w:multiLevelType w:val="multilevel"/>
    <w:tmpl w:val="16041D7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2C05900"/>
    <w:multiLevelType w:val="hybridMultilevel"/>
    <w:tmpl w:val="289E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D25F30"/>
    <w:multiLevelType w:val="hybridMultilevel"/>
    <w:tmpl w:val="0D78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206F1F"/>
    <w:multiLevelType w:val="hybridMultilevel"/>
    <w:tmpl w:val="A5CAE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2300DD7"/>
    <w:multiLevelType w:val="hybridMultilevel"/>
    <w:tmpl w:val="6C10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CC3CA5"/>
    <w:multiLevelType w:val="hybridMultilevel"/>
    <w:tmpl w:val="81587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6854A2C"/>
    <w:multiLevelType w:val="hybridMultilevel"/>
    <w:tmpl w:val="9B2A4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A177DF"/>
    <w:multiLevelType w:val="hybridMultilevel"/>
    <w:tmpl w:val="FDAEC8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nsid w:val="742D42FE"/>
    <w:multiLevelType w:val="hybridMultilevel"/>
    <w:tmpl w:val="2286BF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4D033C"/>
    <w:multiLevelType w:val="multilevel"/>
    <w:tmpl w:val="C4F226A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B123D3C"/>
    <w:multiLevelType w:val="hybridMultilevel"/>
    <w:tmpl w:val="1AA443B2"/>
    <w:lvl w:ilvl="0" w:tplc="4E707D30">
      <w:start w:val="2"/>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5"/>
  </w:num>
  <w:num w:numId="3">
    <w:abstractNumId w:val="12"/>
  </w:num>
  <w:num w:numId="4">
    <w:abstractNumId w:val="19"/>
  </w:num>
  <w:num w:numId="5">
    <w:abstractNumId w:val="7"/>
  </w:num>
  <w:num w:numId="6">
    <w:abstractNumId w:val="26"/>
  </w:num>
  <w:num w:numId="7">
    <w:abstractNumId w:val="11"/>
  </w:num>
  <w:num w:numId="8">
    <w:abstractNumId w:val="24"/>
  </w:num>
  <w:num w:numId="9">
    <w:abstractNumId w:val="3"/>
  </w:num>
  <w:num w:numId="10">
    <w:abstractNumId w:val="13"/>
  </w:num>
  <w:num w:numId="11">
    <w:abstractNumId w:val="21"/>
  </w:num>
  <w:num w:numId="12">
    <w:abstractNumId w:val="8"/>
  </w:num>
  <w:num w:numId="13">
    <w:abstractNumId w:val="16"/>
  </w:num>
  <w:num w:numId="14">
    <w:abstractNumId w:val="10"/>
  </w:num>
  <w:num w:numId="15">
    <w:abstractNumId w:val="9"/>
  </w:num>
  <w:num w:numId="16">
    <w:abstractNumId w:val="6"/>
  </w:num>
  <w:num w:numId="17">
    <w:abstractNumId w:val="15"/>
  </w:num>
  <w:num w:numId="18">
    <w:abstractNumId w:val="22"/>
  </w:num>
  <w:num w:numId="19">
    <w:abstractNumId w:val="17"/>
  </w:num>
  <w:num w:numId="20">
    <w:abstractNumId w:val="2"/>
  </w:num>
  <w:num w:numId="21">
    <w:abstractNumId w:val="0"/>
  </w:num>
  <w:num w:numId="22">
    <w:abstractNumId w:val="5"/>
  </w:num>
  <w:num w:numId="23">
    <w:abstractNumId w:val="20"/>
  </w:num>
  <w:num w:numId="24">
    <w:abstractNumId w:val="23"/>
  </w:num>
  <w:num w:numId="25">
    <w:abstractNumId w:val="18"/>
  </w:num>
  <w:num w:numId="26">
    <w:abstractNumId w:val="14"/>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07"/>
    <w:rsid w:val="00000790"/>
    <w:rsid w:val="0000110B"/>
    <w:rsid w:val="000020AC"/>
    <w:rsid w:val="0000265F"/>
    <w:rsid w:val="00002816"/>
    <w:rsid w:val="00003499"/>
    <w:rsid w:val="00005713"/>
    <w:rsid w:val="00010B17"/>
    <w:rsid w:val="00010B1B"/>
    <w:rsid w:val="00011C27"/>
    <w:rsid w:val="00011E3A"/>
    <w:rsid w:val="00011F20"/>
    <w:rsid w:val="00011FDE"/>
    <w:rsid w:val="00013247"/>
    <w:rsid w:val="00014EAC"/>
    <w:rsid w:val="00015886"/>
    <w:rsid w:val="00015B9C"/>
    <w:rsid w:val="00015BE5"/>
    <w:rsid w:val="000162EF"/>
    <w:rsid w:val="00016F91"/>
    <w:rsid w:val="00017BF4"/>
    <w:rsid w:val="00021C0B"/>
    <w:rsid w:val="0002225F"/>
    <w:rsid w:val="00023763"/>
    <w:rsid w:val="0002521C"/>
    <w:rsid w:val="00026AED"/>
    <w:rsid w:val="00027402"/>
    <w:rsid w:val="00033F7D"/>
    <w:rsid w:val="000347F5"/>
    <w:rsid w:val="00040895"/>
    <w:rsid w:val="000424BF"/>
    <w:rsid w:val="00043C37"/>
    <w:rsid w:val="00045145"/>
    <w:rsid w:val="00045CA7"/>
    <w:rsid w:val="00052F6D"/>
    <w:rsid w:val="00053BB3"/>
    <w:rsid w:val="000546D7"/>
    <w:rsid w:val="00060E7D"/>
    <w:rsid w:val="00061477"/>
    <w:rsid w:val="00062BED"/>
    <w:rsid w:val="00063FFF"/>
    <w:rsid w:val="00064EEF"/>
    <w:rsid w:val="000652E2"/>
    <w:rsid w:val="00065CCE"/>
    <w:rsid w:val="00067669"/>
    <w:rsid w:val="00070B53"/>
    <w:rsid w:val="00071248"/>
    <w:rsid w:val="000720B9"/>
    <w:rsid w:val="0007217C"/>
    <w:rsid w:val="00074F8D"/>
    <w:rsid w:val="0007648F"/>
    <w:rsid w:val="000772E7"/>
    <w:rsid w:val="000812CA"/>
    <w:rsid w:val="0008152B"/>
    <w:rsid w:val="00087C26"/>
    <w:rsid w:val="00090C7E"/>
    <w:rsid w:val="0009141E"/>
    <w:rsid w:val="00096D3C"/>
    <w:rsid w:val="000A1D06"/>
    <w:rsid w:val="000A56AE"/>
    <w:rsid w:val="000B0FE6"/>
    <w:rsid w:val="000B2D48"/>
    <w:rsid w:val="000C0DFA"/>
    <w:rsid w:val="000C19C3"/>
    <w:rsid w:val="000C4B0D"/>
    <w:rsid w:val="000C6C9F"/>
    <w:rsid w:val="000C7878"/>
    <w:rsid w:val="000D154B"/>
    <w:rsid w:val="000D1BFC"/>
    <w:rsid w:val="000D277A"/>
    <w:rsid w:val="000D35F5"/>
    <w:rsid w:val="000D3DCF"/>
    <w:rsid w:val="000D483A"/>
    <w:rsid w:val="000D4E09"/>
    <w:rsid w:val="000D7557"/>
    <w:rsid w:val="000E0F77"/>
    <w:rsid w:val="000E49B3"/>
    <w:rsid w:val="000F2918"/>
    <w:rsid w:val="000F4BB8"/>
    <w:rsid w:val="000F4BC4"/>
    <w:rsid w:val="000F5169"/>
    <w:rsid w:val="000F53D6"/>
    <w:rsid w:val="000F60B6"/>
    <w:rsid w:val="000F7127"/>
    <w:rsid w:val="00100F8A"/>
    <w:rsid w:val="00103308"/>
    <w:rsid w:val="00104078"/>
    <w:rsid w:val="00106714"/>
    <w:rsid w:val="00106A28"/>
    <w:rsid w:val="00107E91"/>
    <w:rsid w:val="00110270"/>
    <w:rsid w:val="0011032E"/>
    <w:rsid w:val="00111023"/>
    <w:rsid w:val="00111932"/>
    <w:rsid w:val="00112E30"/>
    <w:rsid w:val="0011348B"/>
    <w:rsid w:val="00113CC0"/>
    <w:rsid w:val="00114202"/>
    <w:rsid w:val="0011526F"/>
    <w:rsid w:val="001202F7"/>
    <w:rsid w:val="00121654"/>
    <w:rsid w:val="00121799"/>
    <w:rsid w:val="001222FC"/>
    <w:rsid w:val="001232FC"/>
    <w:rsid w:val="00123BF6"/>
    <w:rsid w:val="00124A51"/>
    <w:rsid w:val="00126621"/>
    <w:rsid w:val="001301E9"/>
    <w:rsid w:val="00137645"/>
    <w:rsid w:val="0014015A"/>
    <w:rsid w:val="00140E99"/>
    <w:rsid w:val="00140F4C"/>
    <w:rsid w:val="0014405D"/>
    <w:rsid w:val="00145540"/>
    <w:rsid w:val="001456B0"/>
    <w:rsid w:val="00151ECE"/>
    <w:rsid w:val="00157130"/>
    <w:rsid w:val="00162913"/>
    <w:rsid w:val="00163EFF"/>
    <w:rsid w:val="001661FB"/>
    <w:rsid w:val="001679AC"/>
    <w:rsid w:val="00167B21"/>
    <w:rsid w:val="001707DC"/>
    <w:rsid w:val="00170B46"/>
    <w:rsid w:val="001719BD"/>
    <w:rsid w:val="00172434"/>
    <w:rsid w:val="001737A2"/>
    <w:rsid w:val="00174AD2"/>
    <w:rsid w:val="0017629B"/>
    <w:rsid w:val="00176A20"/>
    <w:rsid w:val="00180FF6"/>
    <w:rsid w:val="0018299F"/>
    <w:rsid w:val="00184082"/>
    <w:rsid w:val="00184AF0"/>
    <w:rsid w:val="001873D3"/>
    <w:rsid w:val="0018752F"/>
    <w:rsid w:val="00190336"/>
    <w:rsid w:val="00190367"/>
    <w:rsid w:val="0019221C"/>
    <w:rsid w:val="0019242E"/>
    <w:rsid w:val="00193EE2"/>
    <w:rsid w:val="00195222"/>
    <w:rsid w:val="00195699"/>
    <w:rsid w:val="00197371"/>
    <w:rsid w:val="001975D8"/>
    <w:rsid w:val="001A0827"/>
    <w:rsid w:val="001A2396"/>
    <w:rsid w:val="001A46A3"/>
    <w:rsid w:val="001A5E36"/>
    <w:rsid w:val="001A5F78"/>
    <w:rsid w:val="001A7204"/>
    <w:rsid w:val="001B119B"/>
    <w:rsid w:val="001B3126"/>
    <w:rsid w:val="001B3443"/>
    <w:rsid w:val="001B5EF2"/>
    <w:rsid w:val="001C09DB"/>
    <w:rsid w:val="001C4F2E"/>
    <w:rsid w:val="001C6702"/>
    <w:rsid w:val="001C6CCC"/>
    <w:rsid w:val="001C6E66"/>
    <w:rsid w:val="001D12A8"/>
    <w:rsid w:val="001D2D8F"/>
    <w:rsid w:val="001D3D9C"/>
    <w:rsid w:val="001D42B0"/>
    <w:rsid w:val="001D51C6"/>
    <w:rsid w:val="001D5DED"/>
    <w:rsid w:val="001D7F49"/>
    <w:rsid w:val="001E1987"/>
    <w:rsid w:val="001E1FC3"/>
    <w:rsid w:val="001E238E"/>
    <w:rsid w:val="001E2B1E"/>
    <w:rsid w:val="001E52EB"/>
    <w:rsid w:val="001E62DD"/>
    <w:rsid w:val="001E740C"/>
    <w:rsid w:val="001F1235"/>
    <w:rsid w:val="001F1CB3"/>
    <w:rsid w:val="001F27BE"/>
    <w:rsid w:val="001F2D18"/>
    <w:rsid w:val="001F31AF"/>
    <w:rsid w:val="001F3C03"/>
    <w:rsid w:val="001F4E59"/>
    <w:rsid w:val="001F6C0E"/>
    <w:rsid w:val="001F7361"/>
    <w:rsid w:val="001F7C48"/>
    <w:rsid w:val="00200A6D"/>
    <w:rsid w:val="00200C00"/>
    <w:rsid w:val="00201E94"/>
    <w:rsid w:val="00201FD9"/>
    <w:rsid w:val="002023B9"/>
    <w:rsid w:val="002028CA"/>
    <w:rsid w:val="00202EE3"/>
    <w:rsid w:val="002033EC"/>
    <w:rsid w:val="0020385F"/>
    <w:rsid w:val="00205380"/>
    <w:rsid w:val="00205B59"/>
    <w:rsid w:val="002068BE"/>
    <w:rsid w:val="00206DE1"/>
    <w:rsid w:val="00206F02"/>
    <w:rsid w:val="00207021"/>
    <w:rsid w:val="00207533"/>
    <w:rsid w:val="00207D00"/>
    <w:rsid w:val="002105C1"/>
    <w:rsid w:val="00213365"/>
    <w:rsid w:val="00214823"/>
    <w:rsid w:val="002153B3"/>
    <w:rsid w:val="00215C84"/>
    <w:rsid w:val="00216FFF"/>
    <w:rsid w:val="00217DAA"/>
    <w:rsid w:val="00223B49"/>
    <w:rsid w:val="002245B9"/>
    <w:rsid w:val="00224DD4"/>
    <w:rsid w:val="002305F1"/>
    <w:rsid w:val="002309CC"/>
    <w:rsid w:val="00231FC4"/>
    <w:rsid w:val="00234287"/>
    <w:rsid w:val="002343B5"/>
    <w:rsid w:val="0024101C"/>
    <w:rsid w:val="002420E0"/>
    <w:rsid w:val="00243B33"/>
    <w:rsid w:val="0024648E"/>
    <w:rsid w:val="0025145D"/>
    <w:rsid w:val="00252AB2"/>
    <w:rsid w:val="00254DCF"/>
    <w:rsid w:val="0025534B"/>
    <w:rsid w:val="00255BB7"/>
    <w:rsid w:val="00257651"/>
    <w:rsid w:val="002605B2"/>
    <w:rsid w:val="0026063A"/>
    <w:rsid w:val="00262A87"/>
    <w:rsid w:val="00262F75"/>
    <w:rsid w:val="00266455"/>
    <w:rsid w:val="00267D9C"/>
    <w:rsid w:val="00271892"/>
    <w:rsid w:val="00272221"/>
    <w:rsid w:val="00274430"/>
    <w:rsid w:val="00274CB3"/>
    <w:rsid w:val="00275C5A"/>
    <w:rsid w:val="0027610B"/>
    <w:rsid w:val="00276857"/>
    <w:rsid w:val="00276C72"/>
    <w:rsid w:val="00281014"/>
    <w:rsid w:val="00286812"/>
    <w:rsid w:val="00286EDB"/>
    <w:rsid w:val="00287714"/>
    <w:rsid w:val="0029121B"/>
    <w:rsid w:val="00293388"/>
    <w:rsid w:val="00296D4D"/>
    <w:rsid w:val="00297DE0"/>
    <w:rsid w:val="002A14AB"/>
    <w:rsid w:val="002A447E"/>
    <w:rsid w:val="002A6528"/>
    <w:rsid w:val="002B1C1F"/>
    <w:rsid w:val="002B3E85"/>
    <w:rsid w:val="002B432F"/>
    <w:rsid w:val="002B6665"/>
    <w:rsid w:val="002B6CCE"/>
    <w:rsid w:val="002C0D3A"/>
    <w:rsid w:val="002C0F63"/>
    <w:rsid w:val="002C1032"/>
    <w:rsid w:val="002C180E"/>
    <w:rsid w:val="002C2775"/>
    <w:rsid w:val="002C27C1"/>
    <w:rsid w:val="002C4EE4"/>
    <w:rsid w:val="002D1051"/>
    <w:rsid w:val="002D4710"/>
    <w:rsid w:val="002D57F3"/>
    <w:rsid w:val="002D6005"/>
    <w:rsid w:val="002D766D"/>
    <w:rsid w:val="002E04A8"/>
    <w:rsid w:val="002E3E0F"/>
    <w:rsid w:val="002E79CF"/>
    <w:rsid w:val="002F472F"/>
    <w:rsid w:val="002F79E3"/>
    <w:rsid w:val="002F7AF0"/>
    <w:rsid w:val="00301017"/>
    <w:rsid w:val="003045A6"/>
    <w:rsid w:val="003045F7"/>
    <w:rsid w:val="0030786C"/>
    <w:rsid w:val="0031031A"/>
    <w:rsid w:val="00310981"/>
    <w:rsid w:val="00310C71"/>
    <w:rsid w:val="00311320"/>
    <w:rsid w:val="00315498"/>
    <w:rsid w:val="00322E86"/>
    <w:rsid w:val="00324515"/>
    <w:rsid w:val="00325540"/>
    <w:rsid w:val="00325E2A"/>
    <w:rsid w:val="003261B2"/>
    <w:rsid w:val="00327C25"/>
    <w:rsid w:val="0033165B"/>
    <w:rsid w:val="0033185A"/>
    <w:rsid w:val="00334CAA"/>
    <w:rsid w:val="00334FEA"/>
    <w:rsid w:val="003366C9"/>
    <w:rsid w:val="003371B0"/>
    <w:rsid w:val="00340156"/>
    <w:rsid w:val="00340606"/>
    <w:rsid w:val="003408AB"/>
    <w:rsid w:val="003411ED"/>
    <w:rsid w:val="00342642"/>
    <w:rsid w:val="003448F4"/>
    <w:rsid w:val="003455F6"/>
    <w:rsid w:val="003469F5"/>
    <w:rsid w:val="00351453"/>
    <w:rsid w:val="00352877"/>
    <w:rsid w:val="0035620E"/>
    <w:rsid w:val="00357157"/>
    <w:rsid w:val="00357F3B"/>
    <w:rsid w:val="00357F54"/>
    <w:rsid w:val="0036197F"/>
    <w:rsid w:val="0036338D"/>
    <w:rsid w:val="00363564"/>
    <w:rsid w:val="00363D53"/>
    <w:rsid w:val="00372132"/>
    <w:rsid w:val="00372527"/>
    <w:rsid w:val="003746A6"/>
    <w:rsid w:val="00374F3B"/>
    <w:rsid w:val="003803FC"/>
    <w:rsid w:val="00381129"/>
    <w:rsid w:val="0038125D"/>
    <w:rsid w:val="00382810"/>
    <w:rsid w:val="0038281C"/>
    <w:rsid w:val="0038365C"/>
    <w:rsid w:val="00383DE8"/>
    <w:rsid w:val="003842CD"/>
    <w:rsid w:val="00386E3E"/>
    <w:rsid w:val="00386FE4"/>
    <w:rsid w:val="00387EF8"/>
    <w:rsid w:val="00390267"/>
    <w:rsid w:val="00390414"/>
    <w:rsid w:val="00391BCE"/>
    <w:rsid w:val="003935B7"/>
    <w:rsid w:val="003935C8"/>
    <w:rsid w:val="00393731"/>
    <w:rsid w:val="00394053"/>
    <w:rsid w:val="0039537E"/>
    <w:rsid w:val="00396FD0"/>
    <w:rsid w:val="003A1A7A"/>
    <w:rsid w:val="003A22FD"/>
    <w:rsid w:val="003A6C01"/>
    <w:rsid w:val="003A7187"/>
    <w:rsid w:val="003B12FD"/>
    <w:rsid w:val="003B1CAD"/>
    <w:rsid w:val="003B2F3C"/>
    <w:rsid w:val="003B38CB"/>
    <w:rsid w:val="003B4EE6"/>
    <w:rsid w:val="003B5F56"/>
    <w:rsid w:val="003B7955"/>
    <w:rsid w:val="003B7BCC"/>
    <w:rsid w:val="003C0D47"/>
    <w:rsid w:val="003C1206"/>
    <w:rsid w:val="003C33F9"/>
    <w:rsid w:val="003C57B5"/>
    <w:rsid w:val="003C7367"/>
    <w:rsid w:val="003D07C9"/>
    <w:rsid w:val="003D0CDF"/>
    <w:rsid w:val="003D1828"/>
    <w:rsid w:val="003D2422"/>
    <w:rsid w:val="003D341E"/>
    <w:rsid w:val="003D485C"/>
    <w:rsid w:val="003D4EFC"/>
    <w:rsid w:val="003D5389"/>
    <w:rsid w:val="003D6530"/>
    <w:rsid w:val="003E0047"/>
    <w:rsid w:val="003E6E68"/>
    <w:rsid w:val="003F3639"/>
    <w:rsid w:val="003F4156"/>
    <w:rsid w:val="003F520F"/>
    <w:rsid w:val="003F6448"/>
    <w:rsid w:val="003F7F92"/>
    <w:rsid w:val="00402879"/>
    <w:rsid w:val="00404E5C"/>
    <w:rsid w:val="00410708"/>
    <w:rsid w:val="00410EC7"/>
    <w:rsid w:val="00414476"/>
    <w:rsid w:val="00420B9F"/>
    <w:rsid w:val="00421F63"/>
    <w:rsid w:val="00427DA3"/>
    <w:rsid w:val="004319F8"/>
    <w:rsid w:val="00433044"/>
    <w:rsid w:val="00434402"/>
    <w:rsid w:val="004359E1"/>
    <w:rsid w:val="004361D3"/>
    <w:rsid w:val="00437DD1"/>
    <w:rsid w:val="004405D4"/>
    <w:rsid w:val="00441B62"/>
    <w:rsid w:val="00443D8B"/>
    <w:rsid w:val="004443A7"/>
    <w:rsid w:val="0044440E"/>
    <w:rsid w:val="004451AB"/>
    <w:rsid w:val="004464EB"/>
    <w:rsid w:val="004502F0"/>
    <w:rsid w:val="004511BA"/>
    <w:rsid w:val="00455D45"/>
    <w:rsid w:val="00456F01"/>
    <w:rsid w:val="004603DC"/>
    <w:rsid w:val="00461590"/>
    <w:rsid w:val="0046201E"/>
    <w:rsid w:val="00464449"/>
    <w:rsid w:val="00464595"/>
    <w:rsid w:val="00464CD2"/>
    <w:rsid w:val="004672E7"/>
    <w:rsid w:val="004747A3"/>
    <w:rsid w:val="004756C1"/>
    <w:rsid w:val="00476699"/>
    <w:rsid w:val="004777B5"/>
    <w:rsid w:val="00482DB8"/>
    <w:rsid w:val="00484553"/>
    <w:rsid w:val="00484EED"/>
    <w:rsid w:val="00486110"/>
    <w:rsid w:val="004867E2"/>
    <w:rsid w:val="00490C8F"/>
    <w:rsid w:val="00491B3A"/>
    <w:rsid w:val="00492332"/>
    <w:rsid w:val="00492CFD"/>
    <w:rsid w:val="00495227"/>
    <w:rsid w:val="004962D2"/>
    <w:rsid w:val="004A01D4"/>
    <w:rsid w:val="004A039D"/>
    <w:rsid w:val="004A0DA1"/>
    <w:rsid w:val="004A127B"/>
    <w:rsid w:val="004A58F6"/>
    <w:rsid w:val="004A6597"/>
    <w:rsid w:val="004A76F3"/>
    <w:rsid w:val="004A7A47"/>
    <w:rsid w:val="004B18FA"/>
    <w:rsid w:val="004B1CB4"/>
    <w:rsid w:val="004B2F18"/>
    <w:rsid w:val="004B3DDB"/>
    <w:rsid w:val="004B44FD"/>
    <w:rsid w:val="004B5CFC"/>
    <w:rsid w:val="004B756B"/>
    <w:rsid w:val="004B79E9"/>
    <w:rsid w:val="004C18C9"/>
    <w:rsid w:val="004C464F"/>
    <w:rsid w:val="004C4AED"/>
    <w:rsid w:val="004C5B27"/>
    <w:rsid w:val="004C6A04"/>
    <w:rsid w:val="004C725A"/>
    <w:rsid w:val="004C76D4"/>
    <w:rsid w:val="004D4C1D"/>
    <w:rsid w:val="004D741A"/>
    <w:rsid w:val="004D776B"/>
    <w:rsid w:val="004E0EB8"/>
    <w:rsid w:val="004E0F68"/>
    <w:rsid w:val="004E20AA"/>
    <w:rsid w:val="004E2141"/>
    <w:rsid w:val="004E2ADC"/>
    <w:rsid w:val="004E3217"/>
    <w:rsid w:val="004E34DA"/>
    <w:rsid w:val="004E43B2"/>
    <w:rsid w:val="004E4F89"/>
    <w:rsid w:val="004E6678"/>
    <w:rsid w:val="004E7672"/>
    <w:rsid w:val="004E7B74"/>
    <w:rsid w:val="004F0ED5"/>
    <w:rsid w:val="004F1D02"/>
    <w:rsid w:val="004F2679"/>
    <w:rsid w:val="004F2731"/>
    <w:rsid w:val="004F36C4"/>
    <w:rsid w:val="004F7865"/>
    <w:rsid w:val="00500084"/>
    <w:rsid w:val="00500588"/>
    <w:rsid w:val="00500C2A"/>
    <w:rsid w:val="00503841"/>
    <w:rsid w:val="00506928"/>
    <w:rsid w:val="00507768"/>
    <w:rsid w:val="005133FF"/>
    <w:rsid w:val="005152B5"/>
    <w:rsid w:val="005153EE"/>
    <w:rsid w:val="00517DA2"/>
    <w:rsid w:val="00521319"/>
    <w:rsid w:val="005216DC"/>
    <w:rsid w:val="005227F4"/>
    <w:rsid w:val="00523C28"/>
    <w:rsid w:val="005253AC"/>
    <w:rsid w:val="00525CD3"/>
    <w:rsid w:val="005272DF"/>
    <w:rsid w:val="00534DEC"/>
    <w:rsid w:val="00534E3A"/>
    <w:rsid w:val="0053698A"/>
    <w:rsid w:val="00537125"/>
    <w:rsid w:val="00543702"/>
    <w:rsid w:val="00544409"/>
    <w:rsid w:val="00544EA5"/>
    <w:rsid w:val="005465B8"/>
    <w:rsid w:val="00547EB6"/>
    <w:rsid w:val="005508DE"/>
    <w:rsid w:val="005523A8"/>
    <w:rsid w:val="00552BD3"/>
    <w:rsid w:val="00554BCA"/>
    <w:rsid w:val="00555109"/>
    <w:rsid w:val="005557DD"/>
    <w:rsid w:val="005558F6"/>
    <w:rsid w:val="00561413"/>
    <w:rsid w:val="00562913"/>
    <w:rsid w:val="00564872"/>
    <w:rsid w:val="0056696F"/>
    <w:rsid w:val="00567075"/>
    <w:rsid w:val="00571B02"/>
    <w:rsid w:val="00573EB3"/>
    <w:rsid w:val="00575D8D"/>
    <w:rsid w:val="00576306"/>
    <w:rsid w:val="00576972"/>
    <w:rsid w:val="00576F55"/>
    <w:rsid w:val="005801C7"/>
    <w:rsid w:val="005814CD"/>
    <w:rsid w:val="00583699"/>
    <w:rsid w:val="0058558A"/>
    <w:rsid w:val="0059052F"/>
    <w:rsid w:val="00594BFF"/>
    <w:rsid w:val="00595716"/>
    <w:rsid w:val="00597591"/>
    <w:rsid w:val="005A1305"/>
    <w:rsid w:val="005A1BEE"/>
    <w:rsid w:val="005A7887"/>
    <w:rsid w:val="005B19F0"/>
    <w:rsid w:val="005B411D"/>
    <w:rsid w:val="005B4EC7"/>
    <w:rsid w:val="005B5857"/>
    <w:rsid w:val="005B700D"/>
    <w:rsid w:val="005C1B83"/>
    <w:rsid w:val="005C237D"/>
    <w:rsid w:val="005C3422"/>
    <w:rsid w:val="005C346B"/>
    <w:rsid w:val="005C522B"/>
    <w:rsid w:val="005C5C9F"/>
    <w:rsid w:val="005C64A1"/>
    <w:rsid w:val="005D044D"/>
    <w:rsid w:val="005D17C7"/>
    <w:rsid w:val="005D18AD"/>
    <w:rsid w:val="005E1075"/>
    <w:rsid w:val="005E11F5"/>
    <w:rsid w:val="005E36C5"/>
    <w:rsid w:val="005E3F54"/>
    <w:rsid w:val="005E73C0"/>
    <w:rsid w:val="005E7E8A"/>
    <w:rsid w:val="005F1872"/>
    <w:rsid w:val="005F2706"/>
    <w:rsid w:val="005F5C70"/>
    <w:rsid w:val="005F6A8F"/>
    <w:rsid w:val="006014F4"/>
    <w:rsid w:val="006029A9"/>
    <w:rsid w:val="00602BB0"/>
    <w:rsid w:val="00607669"/>
    <w:rsid w:val="0060788A"/>
    <w:rsid w:val="00611096"/>
    <w:rsid w:val="00611530"/>
    <w:rsid w:val="006124B1"/>
    <w:rsid w:val="00612927"/>
    <w:rsid w:val="00612B00"/>
    <w:rsid w:val="00612F97"/>
    <w:rsid w:val="006139F0"/>
    <w:rsid w:val="00615EF8"/>
    <w:rsid w:val="00616802"/>
    <w:rsid w:val="0061707D"/>
    <w:rsid w:val="00617E12"/>
    <w:rsid w:val="00621477"/>
    <w:rsid w:val="00625861"/>
    <w:rsid w:val="00626B76"/>
    <w:rsid w:val="00631D6B"/>
    <w:rsid w:val="00633351"/>
    <w:rsid w:val="0063479F"/>
    <w:rsid w:val="006364A1"/>
    <w:rsid w:val="006367F0"/>
    <w:rsid w:val="006370E3"/>
    <w:rsid w:val="00637BFD"/>
    <w:rsid w:val="00642B27"/>
    <w:rsid w:val="006471CC"/>
    <w:rsid w:val="00647ACE"/>
    <w:rsid w:val="00647EEC"/>
    <w:rsid w:val="0065079F"/>
    <w:rsid w:val="006536C3"/>
    <w:rsid w:val="00653DE0"/>
    <w:rsid w:val="00654B9D"/>
    <w:rsid w:val="00655A86"/>
    <w:rsid w:val="00655CB3"/>
    <w:rsid w:val="0066153A"/>
    <w:rsid w:val="00661E40"/>
    <w:rsid w:val="00662D41"/>
    <w:rsid w:val="00664885"/>
    <w:rsid w:val="00665CFF"/>
    <w:rsid w:val="00665D96"/>
    <w:rsid w:val="00666187"/>
    <w:rsid w:val="00666C7B"/>
    <w:rsid w:val="00672EC7"/>
    <w:rsid w:val="00674E42"/>
    <w:rsid w:val="00675719"/>
    <w:rsid w:val="00680293"/>
    <w:rsid w:val="00681AFD"/>
    <w:rsid w:val="00682112"/>
    <w:rsid w:val="00682C25"/>
    <w:rsid w:val="00684377"/>
    <w:rsid w:val="00686577"/>
    <w:rsid w:val="006872BA"/>
    <w:rsid w:val="006877C1"/>
    <w:rsid w:val="00687879"/>
    <w:rsid w:val="00691638"/>
    <w:rsid w:val="006917D7"/>
    <w:rsid w:val="00692954"/>
    <w:rsid w:val="00694F44"/>
    <w:rsid w:val="006A1B04"/>
    <w:rsid w:val="006A2639"/>
    <w:rsid w:val="006A452C"/>
    <w:rsid w:val="006A4B5F"/>
    <w:rsid w:val="006A633D"/>
    <w:rsid w:val="006B2866"/>
    <w:rsid w:val="006B40DD"/>
    <w:rsid w:val="006B709D"/>
    <w:rsid w:val="006C2893"/>
    <w:rsid w:val="006C2A8E"/>
    <w:rsid w:val="006C2C76"/>
    <w:rsid w:val="006C5241"/>
    <w:rsid w:val="006C6535"/>
    <w:rsid w:val="006C7139"/>
    <w:rsid w:val="006D0334"/>
    <w:rsid w:val="006D3C7D"/>
    <w:rsid w:val="006D57EE"/>
    <w:rsid w:val="006D5D5F"/>
    <w:rsid w:val="006D7A4A"/>
    <w:rsid w:val="006E00CA"/>
    <w:rsid w:val="006E0E29"/>
    <w:rsid w:val="006E3657"/>
    <w:rsid w:val="006E3C3D"/>
    <w:rsid w:val="006F24EE"/>
    <w:rsid w:val="006F510C"/>
    <w:rsid w:val="006F56DA"/>
    <w:rsid w:val="006F60E0"/>
    <w:rsid w:val="006F63A5"/>
    <w:rsid w:val="00701204"/>
    <w:rsid w:val="0070276E"/>
    <w:rsid w:val="00702F77"/>
    <w:rsid w:val="00702F8F"/>
    <w:rsid w:val="00710B6D"/>
    <w:rsid w:val="00710D80"/>
    <w:rsid w:val="00711A36"/>
    <w:rsid w:val="007172AD"/>
    <w:rsid w:val="00721056"/>
    <w:rsid w:val="0072416F"/>
    <w:rsid w:val="00724EC0"/>
    <w:rsid w:val="00731738"/>
    <w:rsid w:val="00731E97"/>
    <w:rsid w:val="00735035"/>
    <w:rsid w:val="00735328"/>
    <w:rsid w:val="007366C8"/>
    <w:rsid w:val="0073685B"/>
    <w:rsid w:val="00740048"/>
    <w:rsid w:val="0075049E"/>
    <w:rsid w:val="00753532"/>
    <w:rsid w:val="00753DE8"/>
    <w:rsid w:val="007550BD"/>
    <w:rsid w:val="00757493"/>
    <w:rsid w:val="00757545"/>
    <w:rsid w:val="00761792"/>
    <w:rsid w:val="00770104"/>
    <w:rsid w:val="007742CF"/>
    <w:rsid w:val="00774B1F"/>
    <w:rsid w:val="0077659F"/>
    <w:rsid w:val="00781D04"/>
    <w:rsid w:val="00782A24"/>
    <w:rsid w:val="00782BC3"/>
    <w:rsid w:val="007843A3"/>
    <w:rsid w:val="007847E2"/>
    <w:rsid w:val="00784944"/>
    <w:rsid w:val="00787343"/>
    <w:rsid w:val="0079755F"/>
    <w:rsid w:val="007A0A12"/>
    <w:rsid w:val="007A12EF"/>
    <w:rsid w:val="007A345F"/>
    <w:rsid w:val="007A41B4"/>
    <w:rsid w:val="007A6B66"/>
    <w:rsid w:val="007B233B"/>
    <w:rsid w:val="007B251D"/>
    <w:rsid w:val="007B3D08"/>
    <w:rsid w:val="007B42BF"/>
    <w:rsid w:val="007B4DE8"/>
    <w:rsid w:val="007B55D3"/>
    <w:rsid w:val="007B77D1"/>
    <w:rsid w:val="007C0C39"/>
    <w:rsid w:val="007C361D"/>
    <w:rsid w:val="007C56F5"/>
    <w:rsid w:val="007D0B38"/>
    <w:rsid w:val="007D3E6C"/>
    <w:rsid w:val="007D7184"/>
    <w:rsid w:val="007E03AF"/>
    <w:rsid w:val="007E1B22"/>
    <w:rsid w:val="007E2659"/>
    <w:rsid w:val="007E3E20"/>
    <w:rsid w:val="007E3FFE"/>
    <w:rsid w:val="007E58C1"/>
    <w:rsid w:val="007E6C91"/>
    <w:rsid w:val="007E6F8A"/>
    <w:rsid w:val="007F0B98"/>
    <w:rsid w:val="007F1017"/>
    <w:rsid w:val="007F26C5"/>
    <w:rsid w:val="007F272B"/>
    <w:rsid w:val="007F4A3F"/>
    <w:rsid w:val="007F5DE6"/>
    <w:rsid w:val="007F7BAE"/>
    <w:rsid w:val="008000B0"/>
    <w:rsid w:val="0080012A"/>
    <w:rsid w:val="00803255"/>
    <w:rsid w:val="00805142"/>
    <w:rsid w:val="00807A8B"/>
    <w:rsid w:val="008112E6"/>
    <w:rsid w:val="00812149"/>
    <w:rsid w:val="008137A9"/>
    <w:rsid w:val="00813D23"/>
    <w:rsid w:val="00815BF1"/>
    <w:rsid w:val="0081626E"/>
    <w:rsid w:val="008166EF"/>
    <w:rsid w:val="0082047E"/>
    <w:rsid w:val="00822572"/>
    <w:rsid w:val="00824755"/>
    <w:rsid w:val="00824C0C"/>
    <w:rsid w:val="008264EB"/>
    <w:rsid w:val="008268B4"/>
    <w:rsid w:val="008331F5"/>
    <w:rsid w:val="00833B05"/>
    <w:rsid w:val="008359C2"/>
    <w:rsid w:val="0083750B"/>
    <w:rsid w:val="00840CA2"/>
    <w:rsid w:val="008419FE"/>
    <w:rsid w:val="00842163"/>
    <w:rsid w:val="0084337B"/>
    <w:rsid w:val="0084351E"/>
    <w:rsid w:val="008435D4"/>
    <w:rsid w:val="00844930"/>
    <w:rsid w:val="00845379"/>
    <w:rsid w:val="00846910"/>
    <w:rsid w:val="00850A88"/>
    <w:rsid w:val="00852D29"/>
    <w:rsid w:val="0085428D"/>
    <w:rsid w:val="00856E9A"/>
    <w:rsid w:val="008604A5"/>
    <w:rsid w:val="00860697"/>
    <w:rsid w:val="00862502"/>
    <w:rsid w:val="008648BE"/>
    <w:rsid w:val="008653FF"/>
    <w:rsid w:val="008719C1"/>
    <w:rsid w:val="00871A77"/>
    <w:rsid w:val="00873FFE"/>
    <w:rsid w:val="008809A8"/>
    <w:rsid w:val="00880A60"/>
    <w:rsid w:val="00882216"/>
    <w:rsid w:val="00882874"/>
    <w:rsid w:val="00883787"/>
    <w:rsid w:val="008849FB"/>
    <w:rsid w:val="008863F1"/>
    <w:rsid w:val="00886F31"/>
    <w:rsid w:val="008874A8"/>
    <w:rsid w:val="00890A03"/>
    <w:rsid w:val="00892DA3"/>
    <w:rsid w:val="00894489"/>
    <w:rsid w:val="00894576"/>
    <w:rsid w:val="0089462C"/>
    <w:rsid w:val="008963A5"/>
    <w:rsid w:val="00897F9B"/>
    <w:rsid w:val="008A3C3E"/>
    <w:rsid w:val="008A6838"/>
    <w:rsid w:val="008A79DE"/>
    <w:rsid w:val="008B0660"/>
    <w:rsid w:val="008B1515"/>
    <w:rsid w:val="008B219F"/>
    <w:rsid w:val="008B2510"/>
    <w:rsid w:val="008B3E61"/>
    <w:rsid w:val="008B61FD"/>
    <w:rsid w:val="008B6A84"/>
    <w:rsid w:val="008B6D8A"/>
    <w:rsid w:val="008B7AB7"/>
    <w:rsid w:val="008B7D7E"/>
    <w:rsid w:val="008C021B"/>
    <w:rsid w:val="008C370C"/>
    <w:rsid w:val="008C3F5C"/>
    <w:rsid w:val="008C6002"/>
    <w:rsid w:val="008C6EE2"/>
    <w:rsid w:val="008C7ECB"/>
    <w:rsid w:val="008D1C28"/>
    <w:rsid w:val="008D1FAB"/>
    <w:rsid w:val="008D2615"/>
    <w:rsid w:val="008D2D83"/>
    <w:rsid w:val="008D43ED"/>
    <w:rsid w:val="008D498D"/>
    <w:rsid w:val="008D68D7"/>
    <w:rsid w:val="008D69C4"/>
    <w:rsid w:val="008E0196"/>
    <w:rsid w:val="008E1B9E"/>
    <w:rsid w:val="008E1D44"/>
    <w:rsid w:val="008E55E3"/>
    <w:rsid w:val="008E5EC5"/>
    <w:rsid w:val="008E68DE"/>
    <w:rsid w:val="008E7144"/>
    <w:rsid w:val="008E7225"/>
    <w:rsid w:val="008F120A"/>
    <w:rsid w:val="008F13F1"/>
    <w:rsid w:val="008F2F0E"/>
    <w:rsid w:val="008F3316"/>
    <w:rsid w:val="008F486F"/>
    <w:rsid w:val="008F48EB"/>
    <w:rsid w:val="008F4F0B"/>
    <w:rsid w:val="008F6B25"/>
    <w:rsid w:val="008F6D02"/>
    <w:rsid w:val="008F7938"/>
    <w:rsid w:val="009025A8"/>
    <w:rsid w:val="009042C4"/>
    <w:rsid w:val="009055F9"/>
    <w:rsid w:val="009062A5"/>
    <w:rsid w:val="00906316"/>
    <w:rsid w:val="00911272"/>
    <w:rsid w:val="00912CA0"/>
    <w:rsid w:val="00912FE0"/>
    <w:rsid w:val="00914308"/>
    <w:rsid w:val="00916B1F"/>
    <w:rsid w:val="00916D81"/>
    <w:rsid w:val="009200DC"/>
    <w:rsid w:val="00930E4F"/>
    <w:rsid w:val="00931CA4"/>
    <w:rsid w:val="009325D2"/>
    <w:rsid w:val="00935943"/>
    <w:rsid w:val="0093662B"/>
    <w:rsid w:val="0094024A"/>
    <w:rsid w:val="00940B89"/>
    <w:rsid w:val="009410E4"/>
    <w:rsid w:val="0094433E"/>
    <w:rsid w:val="00946D80"/>
    <w:rsid w:val="00947B6E"/>
    <w:rsid w:val="00950951"/>
    <w:rsid w:val="00952D30"/>
    <w:rsid w:val="0095729E"/>
    <w:rsid w:val="00961F48"/>
    <w:rsid w:val="00962CB9"/>
    <w:rsid w:val="009634B7"/>
    <w:rsid w:val="00964312"/>
    <w:rsid w:val="00965943"/>
    <w:rsid w:val="00966368"/>
    <w:rsid w:val="009666E3"/>
    <w:rsid w:val="009705FD"/>
    <w:rsid w:val="009713F0"/>
    <w:rsid w:val="00980088"/>
    <w:rsid w:val="00981851"/>
    <w:rsid w:val="00983E57"/>
    <w:rsid w:val="00985656"/>
    <w:rsid w:val="00986DCF"/>
    <w:rsid w:val="00996B1A"/>
    <w:rsid w:val="009A355A"/>
    <w:rsid w:val="009A6E7C"/>
    <w:rsid w:val="009B0E08"/>
    <w:rsid w:val="009B1CA1"/>
    <w:rsid w:val="009B3E26"/>
    <w:rsid w:val="009B4552"/>
    <w:rsid w:val="009B4B76"/>
    <w:rsid w:val="009B4B93"/>
    <w:rsid w:val="009C0006"/>
    <w:rsid w:val="009C265E"/>
    <w:rsid w:val="009C3A12"/>
    <w:rsid w:val="009C42EF"/>
    <w:rsid w:val="009C4C0C"/>
    <w:rsid w:val="009C5321"/>
    <w:rsid w:val="009D1864"/>
    <w:rsid w:val="009D2062"/>
    <w:rsid w:val="009D2C60"/>
    <w:rsid w:val="009D42C8"/>
    <w:rsid w:val="009D44E1"/>
    <w:rsid w:val="009D5B91"/>
    <w:rsid w:val="009D6A38"/>
    <w:rsid w:val="009D7772"/>
    <w:rsid w:val="009E1D3F"/>
    <w:rsid w:val="009E363C"/>
    <w:rsid w:val="009E4C07"/>
    <w:rsid w:val="009E4DB0"/>
    <w:rsid w:val="009E5572"/>
    <w:rsid w:val="009F2C6C"/>
    <w:rsid w:val="009F4016"/>
    <w:rsid w:val="009F4411"/>
    <w:rsid w:val="009F5860"/>
    <w:rsid w:val="009F760E"/>
    <w:rsid w:val="00A0071D"/>
    <w:rsid w:val="00A01703"/>
    <w:rsid w:val="00A0331F"/>
    <w:rsid w:val="00A03D43"/>
    <w:rsid w:val="00A04380"/>
    <w:rsid w:val="00A10A1A"/>
    <w:rsid w:val="00A121AF"/>
    <w:rsid w:val="00A1260B"/>
    <w:rsid w:val="00A12DAC"/>
    <w:rsid w:val="00A13948"/>
    <w:rsid w:val="00A14062"/>
    <w:rsid w:val="00A1440E"/>
    <w:rsid w:val="00A15FE2"/>
    <w:rsid w:val="00A16A18"/>
    <w:rsid w:val="00A20857"/>
    <w:rsid w:val="00A20CEB"/>
    <w:rsid w:val="00A242F1"/>
    <w:rsid w:val="00A2466F"/>
    <w:rsid w:val="00A25ECE"/>
    <w:rsid w:val="00A27431"/>
    <w:rsid w:val="00A27AEC"/>
    <w:rsid w:val="00A27EFE"/>
    <w:rsid w:val="00A27F31"/>
    <w:rsid w:val="00A30AF4"/>
    <w:rsid w:val="00A328BB"/>
    <w:rsid w:val="00A3307D"/>
    <w:rsid w:val="00A33EEC"/>
    <w:rsid w:val="00A34FD2"/>
    <w:rsid w:val="00A35D16"/>
    <w:rsid w:val="00A37D56"/>
    <w:rsid w:val="00A4379D"/>
    <w:rsid w:val="00A43C59"/>
    <w:rsid w:val="00A44301"/>
    <w:rsid w:val="00A44FCA"/>
    <w:rsid w:val="00A50ECD"/>
    <w:rsid w:val="00A52729"/>
    <w:rsid w:val="00A5354F"/>
    <w:rsid w:val="00A53675"/>
    <w:rsid w:val="00A54CA7"/>
    <w:rsid w:val="00A54E1C"/>
    <w:rsid w:val="00A550CE"/>
    <w:rsid w:val="00A5626B"/>
    <w:rsid w:val="00A56B6A"/>
    <w:rsid w:val="00A578DC"/>
    <w:rsid w:val="00A637F0"/>
    <w:rsid w:val="00A63A51"/>
    <w:rsid w:val="00A650E2"/>
    <w:rsid w:val="00A6725B"/>
    <w:rsid w:val="00A715B2"/>
    <w:rsid w:val="00A80D1D"/>
    <w:rsid w:val="00A82767"/>
    <w:rsid w:val="00A82D6D"/>
    <w:rsid w:val="00A86E8B"/>
    <w:rsid w:val="00A91FDB"/>
    <w:rsid w:val="00A9278B"/>
    <w:rsid w:val="00A929CF"/>
    <w:rsid w:val="00A93072"/>
    <w:rsid w:val="00A93074"/>
    <w:rsid w:val="00A94B58"/>
    <w:rsid w:val="00A959D8"/>
    <w:rsid w:val="00AA09F0"/>
    <w:rsid w:val="00AA0DB5"/>
    <w:rsid w:val="00AA125C"/>
    <w:rsid w:val="00AA27C3"/>
    <w:rsid w:val="00AA389D"/>
    <w:rsid w:val="00AA57A9"/>
    <w:rsid w:val="00AA7A8F"/>
    <w:rsid w:val="00AB042A"/>
    <w:rsid w:val="00AB2D34"/>
    <w:rsid w:val="00AB3430"/>
    <w:rsid w:val="00AB5472"/>
    <w:rsid w:val="00AB7CFA"/>
    <w:rsid w:val="00AC05DB"/>
    <w:rsid w:val="00AC1579"/>
    <w:rsid w:val="00AC4E42"/>
    <w:rsid w:val="00AC50E7"/>
    <w:rsid w:val="00AC57D7"/>
    <w:rsid w:val="00AD0E2E"/>
    <w:rsid w:val="00AD112D"/>
    <w:rsid w:val="00AD3534"/>
    <w:rsid w:val="00AD39EB"/>
    <w:rsid w:val="00AD424E"/>
    <w:rsid w:val="00AD612A"/>
    <w:rsid w:val="00AD7617"/>
    <w:rsid w:val="00AE0179"/>
    <w:rsid w:val="00AE2B01"/>
    <w:rsid w:val="00AE2E24"/>
    <w:rsid w:val="00AE3029"/>
    <w:rsid w:val="00AE7F63"/>
    <w:rsid w:val="00AF1BBC"/>
    <w:rsid w:val="00AF203B"/>
    <w:rsid w:val="00AF4F37"/>
    <w:rsid w:val="00AF5DC1"/>
    <w:rsid w:val="00B005F3"/>
    <w:rsid w:val="00B04638"/>
    <w:rsid w:val="00B132E5"/>
    <w:rsid w:val="00B14BDD"/>
    <w:rsid w:val="00B14F3D"/>
    <w:rsid w:val="00B15C68"/>
    <w:rsid w:val="00B1783E"/>
    <w:rsid w:val="00B22A26"/>
    <w:rsid w:val="00B22A5C"/>
    <w:rsid w:val="00B24BEC"/>
    <w:rsid w:val="00B24D6E"/>
    <w:rsid w:val="00B31434"/>
    <w:rsid w:val="00B35E5C"/>
    <w:rsid w:val="00B4162B"/>
    <w:rsid w:val="00B419F2"/>
    <w:rsid w:val="00B42851"/>
    <w:rsid w:val="00B43D43"/>
    <w:rsid w:val="00B4507B"/>
    <w:rsid w:val="00B45523"/>
    <w:rsid w:val="00B47EF7"/>
    <w:rsid w:val="00B50CAB"/>
    <w:rsid w:val="00B50DB8"/>
    <w:rsid w:val="00B53905"/>
    <w:rsid w:val="00B54370"/>
    <w:rsid w:val="00B5439C"/>
    <w:rsid w:val="00B54B5B"/>
    <w:rsid w:val="00B5562E"/>
    <w:rsid w:val="00B57000"/>
    <w:rsid w:val="00B60939"/>
    <w:rsid w:val="00B60AFD"/>
    <w:rsid w:val="00B62715"/>
    <w:rsid w:val="00B6272C"/>
    <w:rsid w:val="00B62DDB"/>
    <w:rsid w:val="00B63EBD"/>
    <w:rsid w:val="00B64588"/>
    <w:rsid w:val="00B65982"/>
    <w:rsid w:val="00B70B4D"/>
    <w:rsid w:val="00B74EAA"/>
    <w:rsid w:val="00B76BBD"/>
    <w:rsid w:val="00B76CEE"/>
    <w:rsid w:val="00B818A4"/>
    <w:rsid w:val="00B83ACE"/>
    <w:rsid w:val="00B852C7"/>
    <w:rsid w:val="00B8649C"/>
    <w:rsid w:val="00B92D0B"/>
    <w:rsid w:val="00B94945"/>
    <w:rsid w:val="00B960BF"/>
    <w:rsid w:val="00B974AF"/>
    <w:rsid w:val="00B97E33"/>
    <w:rsid w:val="00BA0CD4"/>
    <w:rsid w:val="00BA0E62"/>
    <w:rsid w:val="00BA0F6C"/>
    <w:rsid w:val="00BA36E1"/>
    <w:rsid w:val="00BA45BB"/>
    <w:rsid w:val="00BA6252"/>
    <w:rsid w:val="00BA64C2"/>
    <w:rsid w:val="00BB09FC"/>
    <w:rsid w:val="00BB0E4B"/>
    <w:rsid w:val="00BB433A"/>
    <w:rsid w:val="00BB507F"/>
    <w:rsid w:val="00BB6F67"/>
    <w:rsid w:val="00BB7405"/>
    <w:rsid w:val="00BB7A92"/>
    <w:rsid w:val="00BC07D7"/>
    <w:rsid w:val="00BC14BE"/>
    <w:rsid w:val="00BC48B1"/>
    <w:rsid w:val="00BD2CE3"/>
    <w:rsid w:val="00BD63CF"/>
    <w:rsid w:val="00BD64DE"/>
    <w:rsid w:val="00BD6CF3"/>
    <w:rsid w:val="00BD72E2"/>
    <w:rsid w:val="00BE2180"/>
    <w:rsid w:val="00BE362E"/>
    <w:rsid w:val="00BE4275"/>
    <w:rsid w:val="00BE4365"/>
    <w:rsid w:val="00BF0834"/>
    <w:rsid w:val="00BF17CD"/>
    <w:rsid w:val="00BF2433"/>
    <w:rsid w:val="00BF2A78"/>
    <w:rsid w:val="00BF3A46"/>
    <w:rsid w:val="00BF421F"/>
    <w:rsid w:val="00BF55AB"/>
    <w:rsid w:val="00BF61C9"/>
    <w:rsid w:val="00BF6DD4"/>
    <w:rsid w:val="00BF6F22"/>
    <w:rsid w:val="00BF730D"/>
    <w:rsid w:val="00C037B2"/>
    <w:rsid w:val="00C06FEC"/>
    <w:rsid w:val="00C121A2"/>
    <w:rsid w:val="00C1752A"/>
    <w:rsid w:val="00C20051"/>
    <w:rsid w:val="00C2090A"/>
    <w:rsid w:val="00C21526"/>
    <w:rsid w:val="00C2292C"/>
    <w:rsid w:val="00C23031"/>
    <w:rsid w:val="00C23A54"/>
    <w:rsid w:val="00C24852"/>
    <w:rsid w:val="00C25418"/>
    <w:rsid w:val="00C25D9C"/>
    <w:rsid w:val="00C27A31"/>
    <w:rsid w:val="00C31649"/>
    <w:rsid w:val="00C32A57"/>
    <w:rsid w:val="00C331DA"/>
    <w:rsid w:val="00C35383"/>
    <w:rsid w:val="00C3582C"/>
    <w:rsid w:val="00C373C9"/>
    <w:rsid w:val="00C40385"/>
    <w:rsid w:val="00C418B0"/>
    <w:rsid w:val="00C434E9"/>
    <w:rsid w:val="00C4408E"/>
    <w:rsid w:val="00C45AD0"/>
    <w:rsid w:val="00C53194"/>
    <w:rsid w:val="00C56EC8"/>
    <w:rsid w:val="00C6023B"/>
    <w:rsid w:val="00C60F99"/>
    <w:rsid w:val="00C65576"/>
    <w:rsid w:val="00C65791"/>
    <w:rsid w:val="00C66165"/>
    <w:rsid w:val="00C6710E"/>
    <w:rsid w:val="00C722E0"/>
    <w:rsid w:val="00C7387A"/>
    <w:rsid w:val="00C741E8"/>
    <w:rsid w:val="00C750C8"/>
    <w:rsid w:val="00C75818"/>
    <w:rsid w:val="00C758AC"/>
    <w:rsid w:val="00C806D1"/>
    <w:rsid w:val="00C80A2F"/>
    <w:rsid w:val="00C8213F"/>
    <w:rsid w:val="00C83CF7"/>
    <w:rsid w:val="00C8484C"/>
    <w:rsid w:val="00C84FB2"/>
    <w:rsid w:val="00C86A75"/>
    <w:rsid w:val="00C8797A"/>
    <w:rsid w:val="00C938CF"/>
    <w:rsid w:val="00C93BFF"/>
    <w:rsid w:val="00CA5245"/>
    <w:rsid w:val="00CA56F9"/>
    <w:rsid w:val="00CA7B09"/>
    <w:rsid w:val="00CB2E91"/>
    <w:rsid w:val="00CB4565"/>
    <w:rsid w:val="00CB5B1A"/>
    <w:rsid w:val="00CC1104"/>
    <w:rsid w:val="00CC697D"/>
    <w:rsid w:val="00CD08AF"/>
    <w:rsid w:val="00CD271E"/>
    <w:rsid w:val="00CD373C"/>
    <w:rsid w:val="00CD3FC3"/>
    <w:rsid w:val="00CD5312"/>
    <w:rsid w:val="00CD6ADC"/>
    <w:rsid w:val="00CE39DF"/>
    <w:rsid w:val="00CE45CC"/>
    <w:rsid w:val="00CE5306"/>
    <w:rsid w:val="00CE6274"/>
    <w:rsid w:val="00CE6B7B"/>
    <w:rsid w:val="00CF255E"/>
    <w:rsid w:val="00CF3523"/>
    <w:rsid w:val="00CF456B"/>
    <w:rsid w:val="00CF5A22"/>
    <w:rsid w:val="00CF5E0E"/>
    <w:rsid w:val="00D00128"/>
    <w:rsid w:val="00D0262E"/>
    <w:rsid w:val="00D05493"/>
    <w:rsid w:val="00D05C4A"/>
    <w:rsid w:val="00D07F06"/>
    <w:rsid w:val="00D110BD"/>
    <w:rsid w:val="00D12A66"/>
    <w:rsid w:val="00D15B73"/>
    <w:rsid w:val="00D161AD"/>
    <w:rsid w:val="00D17D6C"/>
    <w:rsid w:val="00D206EC"/>
    <w:rsid w:val="00D2115B"/>
    <w:rsid w:val="00D2272A"/>
    <w:rsid w:val="00D26F30"/>
    <w:rsid w:val="00D311CD"/>
    <w:rsid w:val="00D31CCE"/>
    <w:rsid w:val="00D325A1"/>
    <w:rsid w:val="00D3284F"/>
    <w:rsid w:val="00D33055"/>
    <w:rsid w:val="00D33BAF"/>
    <w:rsid w:val="00D357FF"/>
    <w:rsid w:val="00D50E32"/>
    <w:rsid w:val="00D52DA1"/>
    <w:rsid w:val="00D5318A"/>
    <w:rsid w:val="00D54574"/>
    <w:rsid w:val="00D554BD"/>
    <w:rsid w:val="00D557A6"/>
    <w:rsid w:val="00D61064"/>
    <w:rsid w:val="00D619FD"/>
    <w:rsid w:val="00D65E7D"/>
    <w:rsid w:val="00D702A7"/>
    <w:rsid w:val="00D73A34"/>
    <w:rsid w:val="00D76A44"/>
    <w:rsid w:val="00D84282"/>
    <w:rsid w:val="00D92BDB"/>
    <w:rsid w:val="00D93242"/>
    <w:rsid w:val="00D93753"/>
    <w:rsid w:val="00DA16A1"/>
    <w:rsid w:val="00DA1B76"/>
    <w:rsid w:val="00DA4C36"/>
    <w:rsid w:val="00DA653E"/>
    <w:rsid w:val="00DA77A5"/>
    <w:rsid w:val="00DB2A84"/>
    <w:rsid w:val="00DB3705"/>
    <w:rsid w:val="00DB6028"/>
    <w:rsid w:val="00DC10B7"/>
    <w:rsid w:val="00DC154F"/>
    <w:rsid w:val="00DC3A6F"/>
    <w:rsid w:val="00DC5501"/>
    <w:rsid w:val="00DC6C39"/>
    <w:rsid w:val="00DC709C"/>
    <w:rsid w:val="00DD2FA2"/>
    <w:rsid w:val="00DD3F28"/>
    <w:rsid w:val="00DD3F2A"/>
    <w:rsid w:val="00DD4537"/>
    <w:rsid w:val="00DD4E15"/>
    <w:rsid w:val="00DE0FBE"/>
    <w:rsid w:val="00DE2500"/>
    <w:rsid w:val="00DE4FCB"/>
    <w:rsid w:val="00DF215A"/>
    <w:rsid w:val="00DF2D17"/>
    <w:rsid w:val="00DF46AF"/>
    <w:rsid w:val="00DF5D2B"/>
    <w:rsid w:val="00E00841"/>
    <w:rsid w:val="00E028E7"/>
    <w:rsid w:val="00E055B8"/>
    <w:rsid w:val="00E06D8F"/>
    <w:rsid w:val="00E078FC"/>
    <w:rsid w:val="00E10149"/>
    <w:rsid w:val="00E11B99"/>
    <w:rsid w:val="00E14B18"/>
    <w:rsid w:val="00E16372"/>
    <w:rsid w:val="00E16D89"/>
    <w:rsid w:val="00E200DF"/>
    <w:rsid w:val="00E20ED6"/>
    <w:rsid w:val="00E21358"/>
    <w:rsid w:val="00E2249B"/>
    <w:rsid w:val="00E22A0D"/>
    <w:rsid w:val="00E2577B"/>
    <w:rsid w:val="00E2771E"/>
    <w:rsid w:val="00E2776C"/>
    <w:rsid w:val="00E308C0"/>
    <w:rsid w:val="00E37569"/>
    <w:rsid w:val="00E41418"/>
    <w:rsid w:val="00E41E30"/>
    <w:rsid w:val="00E42160"/>
    <w:rsid w:val="00E434C4"/>
    <w:rsid w:val="00E43D70"/>
    <w:rsid w:val="00E43EB8"/>
    <w:rsid w:val="00E4485C"/>
    <w:rsid w:val="00E4570B"/>
    <w:rsid w:val="00E47B2C"/>
    <w:rsid w:val="00E50512"/>
    <w:rsid w:val="00E51560"/>
    <w:rsid w:val="00E51EDA"/>
    <w:rsid w:val="00E51EE1"/>
    <w:rsid w:val="00E54762"/>
    <w:rsid w:val="00E55424"/>
    <w:rsid w:val="00E55BB5"/>
    <w:rsid w:val="00E56486"/>
    <w:rsid w:val="00E5719D"/>
    <w:rsid w:val="00E6044C"/>
    <w:rsid w:val="00E61C09"/>
    <w:rsid w:val="00E6206A"/>
    <w:rsid w:val="00E62CF7"/>
    <w:rsid w:val="00E64D9E"/>
    <w:rsid w:val="00E65E79"/>
    <w:rsid w:val="00E67416"/>
    <w:rsid w:val="00E718B6"/>
    <w:rsid w:val="00E72847"/>
    <w:rsid w:val="00E73581"/>
    <w:rsid w:val="00E759E5"/>
    <w:rsid w:val="00E81CE7"/>
    <w:rsid w:val="00E82994"/>
    <w:rsid w:val="00E83BDF"/>
    <w:rsid w:val="00E84C82"/>
    <w:rsid w:val="00E864BF"/>
    <w:rsid w:val="00E86A42"/>
    <w:rsid w:val="00E91B1E"/>
    <w:rsid w:val="00E94EB3"/>
    <w:rsid w:val="00E97F2A"/>
    <w:rsid w:val="00EA15DF"/>
    <w:rsid w:val="00EA15F1"/>
    <w:rsid w:val="00EA3773"/>
    <w:rsid w:val="00EA3864"/>
    <w:rsid w:val="00EA4326"/>
    <w:rsid w:val="00EA50DE"/>
    <w:rsid w:val="00EA5C1C"/>
    <w:rsid w:val="00EA5C7E"/>
    <w:rsid w:val="00EA7A1C"/>
    <w:rsid w:val="00EB15B6"/>
    <w:rsid w:val="00EB2461"/>
    <w:rsid w:val="00EB4916"/>
    <w:rsid w:val="00EC00C9"/>
    <w:rsid w:val="00EC09F6"/>
    <w:rsid w:val="00EC0B69"/>
    <w:rsid w:val="00EC2E1B"/>
    <w:rsid w:val="00EC34B1"/>
    <w:rsid w:val="00ED14FF"/>
    <w:rsid w:val="00ED1AA9"/>
    <w:rsid w:val="00ED2EA3"/>
    <w:rsid w:val="00EE02C8"/>
    <w:rsid w:val="00EE02FA"/>
    <w:rsid w:val="00EE07D3"/>
    <w:rsid w:val="00EE48D2"/>
    <w:rsid w:val="00EE4B22"/>
    <w:rsid w:val="00EF0F23"/>
    <w:rsid w:val="00EF44B3"/>
    <w:rsid w:val="00EF7087"/>
    <w:rsid w:val="00F04437"/>
    <w:rsid w:val="00F04FCF"/>
    <w:rsid w:val="00F05C92"/>
    <w:rsid w:val="00F067A2"/>
    <w:rsid w:val="00F071E4"/>
    <w:rsid w:val="00F07959"/>
    <w:rsid w:val="00F102F4"/>
    <w:rsid w:val="00F1132D"/>
    <w:rsid w:val="00F14999"/>
    <w:rsid w:val="00F24837"/>
    <w:rsid w:val="00F2575F"/>
    <w:rsid w:val="00F25D5C"/>
    <w:rsid w:val="00F315C5"/>
    <w:rsid w:val="00F32121"/>
    <w:rsid w:val="00F3351B"/>
    <w:rsid w:val="00F33DE9"/>
    <w:rsid w:val="00F35843"/>
    <w:rsid w:val="00F3619A"/>
    <w:rsid w:val="00F40F73"/>
    <w:rsid w:val="00F45906"/>
    <w:rsid w:val="00F46BA9"/>
    <w:rsid w:val="00F46C5E"/>
    <w:rsid w:val="00F46CB6"/>
    <w:rsid w:val="00F50765"/>
    <w:rsid w:val="00F50D26"/>
    <w:rsid w:val="00F52771"/>
    <w:rsid w:val="00F5358C"/>
    <w:rsid w:val="00F5507D"/>
    <w:rsid w:val="00F55E73"/>
    <w:rsid w:val="00F567CF"/>
    <w:rsid w:val="00F57086"/>
    <w:rsid w:val="00F60092"/>
    <w:rsid w:val="00F605AC"/>
    <w:rsid w:val="00F60AF5"/>
    <w:rsid w:val="00F61C9A"/>
    <w:rsid w:val="00F637C4"/>
    <w:rsid w:val="00F669CC"/>
    <w:rsid w:val="00F6716C"/>
    <w:rsid w:val="00F71A5C"/>
    <w:rsid w:val="00F720B7"/>
    <w:rsid w:val="00F72EBE"/>
    <w:rsid w:val="00F7354B"/>
    <w:rsid w:val="00F7377D"/>
    <w:rsid w:val="00F74660"/>
    <w:rsid w:val="00F74D80"/>
    <w:rsid w:val="00F76E50"/>
    <w:rsid w:val="00F804CD"/>
    <w:rsid w:val="00F8090C"/>
    <w:rsid w:val="00F80E5D"/>
    <w:rsid w:val="00F82607"/>
    <w:rsid w:val="00F84E9E"/>
    <w:rsid w:val="00F851CE"/>
    <w:rsid w:val="00F85418"/>
    <w:rsid w:val="00F87766"/>
    <w:rsid w:val="00F9220B"/>
    <w:rsid w:val="00F92AEB"/>
    <w:rsid w:val="00F95492"/>
    <w:rsid w:val="00F95E9E"/>
    <w:rsid w:val="00F977ED"/>
    <w:rsid w:val="00F97A78"/>
    <w:rsid w:val="00FA0E08"/>
    <w:rsid w:val="00FA24E7"/>
    <w:rsid w:val="00FA3E20"/>
    <w:rsid w:val="00FA6B68"/>
    <w:rsid w:val="00FA70CC"/>
    <w:rsid w:val="00FB0005"/>
    <w:rsid w:val="00FB2D52"/>
    <w:rsid w:val="00FB2FCB"/>
    <w:rsid w:val="00FB37FC"/>
    <w:rsid w:val="00FB567F"/>
    <w:rsid w:val="00FB7830"/>
    <w:rsid w:val="00FC09B9"/>
    <w:rsid w:val="00FC1074"/>
    <w:rsid w:val="00FC1884"/>
    <w:rsid w:val="00FC20B7"/>
    <w:rsid w:val="00FC4672"/>
    <w:rsid w:val="00FC5AF2"/>
    <w:rsid w:val="00FC7E0A"/>
    <w:rsid w:val="00FD0F19"/>
    <w:rsid w:val="00FD1548"/>
    <w:rsid w:val="00FD2100"/>
    <w:rsid w:val="00FD255A"/>
    <w:rsid w:val="00FD446D"/>
    <w:rsid w:val="00FD5C4E"/>
    <w:rsid w:val="00FE183E"/>
    <w:rsid w:val="00FE1D69"/>
    <w:rsid w:val="00FE283E"/>
    <w:rsid w:val="00FE2E56"/>
    <w:rsid w:val="00FF0971"/>
    <w:rsid w:val="00FF0DEA"/>
    <w:rsid w:val="00FF11B0"/>
    <w:rsid w:val="00FF3484"/>
    <w:rsid w:val="00FF37DC"/>
    <w:rsid w:val="00FF3DCF"/>
    <w:rsid w:val="00FF5AA3"/>
    <w:rsid w:val="00FF6A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B2D52"/>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5508DE"/>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PBACHeading1"/>
    <w:next w:val="Normal"/>
    <w:link w:val="TitleChar"/>
    <w:rsid w:val="005508DE"/>
    <w:pPr>
      <w:numPr>
        <w:numId w:val="0"/>
      </w:numPr>
      <w:ind w:left="720" w:hanging="720"/>
    </w:pPr>
  </w:style>
  <w:style w:type="character" w:customStyle="1" w:styleId="TitleChar">
    <w:name w:val="Title Char"/>
    <w:basedOn w:val="DefaultParagraphFont"/>
    <w:link w:val="Title"/>
    <w:rsid w:val="005508D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Superscript">
    <w:name w:val="Superscript"/>
    <w:basedOn w:val="DefaultParagraphFont"/>
    <w:uiPriority w:val="1"/>
    <w:qFormat/>
    <w:rsid w:val="00490C8F"/>
    <w:rPr>
      <w:rFonts w:ascii="Candara" w:hAnsi="Candara"/>
      <w:sz w:val="24"/>
      <w:vertAlign w:val="superscript"/>
    </w:rPr>
  </w:style>
  <w:style w:type="character" w:customStyle="1" w:styleId="TableText1">
    <w:name w:val="Table Text"/>
    <w:basedOn w:val="DefaultParagraphFont"/>
    <w:uiPriority w:val="4"/>
    <w:qFormat/>
    <w:rsid w:val="00490C8F"/>
    <w:rPr>
      <w:rFonts w:ascii="Arial Narrow" w:hAnsi="Arial Narrow"/>
      <w:sz w:val="24"/>
    </w:rPr>
  </w:style>
  <w:style w:type="paragraph" w:customStyle="1" w:styleId="TableBodyText">
    <w:name w:val="Table Body Text"/>
    <w:basedOn w:val="Normal"/>
    <w:link w:val="TableBodyTextChar"/>
    <w:qFormat/>
    <w:rsid w:val="00490C8F"/>
    <w:pPr>
      <w:keepLines/>
      <w:spacing w:before="40" w:after="40"/>
      <w:jc w:val="left"/>
    </w:pPr>
    <w:rPr>
      <w:rFonts w:ascii="Tahoma" w:hAnsi="Tahoma" w:cs="Times New Roman"/>
      <w:snapToGrid/>
      <w:sz w:val="16"/>
      <w:lang w:val="en-US"/>
    </w:rPr>
  </w:style>
  <w:style w:type="character" w:customStyle="1" w:styleId="TableBodyTextChar">
    <w:name w:val="Table Body Text Char"/>
    <w:basedOn w:val="DefaultParagraphFont"/>
    <w:link w:val="TableBodyText"/>
    <w:rsid w:val="00490C8F"/>
    <w:rPr>
      <w:rFonts w:ascii="Tahoma" w:hAnsi="Tahoma"/>
      <w:sz w:val="16"/>
      <w:lang w:val="en-US" w:eastAsia="en-US"/>
    </w:rPr>
  </w:style>
  <w:style w:type="paragraph" w:customStyle="1" w:styleId="Tableheaderrow">
    <w:name w:val="Table header row"/>
    <w:basedOn w:val="Normal"/>
    <w:link w:val="TableheaderrowChar"/>
    <w:rsid w:val="004672E7"/>
    <w:pPr>
      <w:keepNext/>
      <w:keepLines/>
      <w:widowControl/>
      <w:spacing w:before="40" w:after="60"/>
      <w:jc w:val="left"/>
    </w:pPr>
    <w:rPr>
      <w:rFonts w:ascii="Arial Narrow" w:hAnsi="Arial Narrow"/>
      <w:b/>
      <w:bCs/>
      <w:snapToGrid/>
      <w:sz w:val="20"/>
      <w:lang w:eastAsia="en-AU"/>
    </w:rPr>
  </w:style>
  <w:style w:type="character" w:customStyle="1" w:styleId="TableheaderrowChar">
    <w:name w:val="Table header row Char"/>
    <w:link w:val="Tableheaderrow"/>
    <w:locked/>
    <w:rsid w:val="004672E7"/>
    <w:rPr>
      <w:rFonts w:ascii="Arial Narrow" w:hAnsi="Arial Narrow" w:cs="Arial"/>
      <w:b/>
      <w:bCs/>
    </w:rPr>
  </w:style>
  <w:style w:type="character" w:styleId="PlaceholderText">
    <w:name w:val="Placeholder Text"/>
    <w:basedOn w:val="DefaultParagraphFont"/>
    <w:uiPriority w:val="99"/>
    <w:semiHidden/>
    <w:rsid w:val="00324515"/>
    <w:rPr>
      <w:color w:val="808080"/>
    </w:rPr>
  </w:style>
  <w:style w:type="paragraph" w:customStyle="1" w:styleId="TableNotes">
    <w:name w:val="Table Notes"/>
    <w:basedOn w:val="Normal"/>
    <w:link w:val="TableNotesChar"/>
    <w:uiPriority w:val="6"/>
    <w:qFormat/>
    <w:rsid w:val="00A01703"/>
    <w:pPr>
      <w:widowControl/>
      <w:spacing w:after="240" w:line="276" w:lineRule="auto"/>
      <w:contextualSpacing/>
      <w:jc w:val="left"/>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A01703"/>
    <w:rPr>
      <w:rFonts w:ascii="Arial Narrow" w:eastAsiaTheme="majorEastAsia" w:hAnsi="Arial Narrow" w:cstheme="majorBidi"/>
      <w:sz w:val="16"/>
      <w:szCs w:val="22"/>
      <w:lang w:eastAsia="en-US" w:bidi="en-US"/>
    </w:rPr>
  </w:style>
  <w:style w:type="paragraph" w:customStyle="1" w:styleId="CaptiomSub">
    <w:name w:val="Captiom Sub"/>
    <w:basedOn w:val="Normal"/>
    <w:rsid w:val="000C0DFA"/>
    <w:pPr>
      <w:widowControl/>
      <w:spacing w:after="120"/>
      <w:jc w:val="left"/>
    </w:pPr>
    <w:rPr>
      <w:rFonts w:ascii="News Gothic MT" w:hAnsi="News Gothic MT" w:cs="Times New Roman"/>
      <w:b/>
      <w:snapToGrid/>
      <w:sz w:val="20"/>
      <w:szCs w:val="24"/>
      <w:lang w:val="en-US"/>
    </w:rPr>
  </w:style>
  <w:style w:type="table" w:customStyle="1" w:styleId="GridTable1Light-Accent11">
    <w:name w:val="Grid Table 1 Light - Accent 11"/>
    <w:basedOn w:val="TableNormal"/>
    <w:uiPriority w:val="46"/>
    <w:rsid w:val="001D51C6"/>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ListParagraphChar">
    <w:name w:val="List Paragraph Char"/>
    <w:aliases w:val="BulletPoints Char"/>
    <w:basedOn w:val="DefaultParagraphFont"/>
    <w:link w:val="ListParagraph"/>
    <w:uiPriority w:val="34"/>
    <w:rsid w:val="001D51C6"/>
    <w:rPr>
      <w:rFonts w:ascii="Arial" w:hAnsi="Arial" w:cs="Arial"/>
      <w:snapToGrid w:val="0"/>
      <w:sz w:val="22"/>
      <w:lang w:eastAsia="en-US"/>
    </w:rPr>
  </w:style>
  <w:style w:type="table" w:customStyle="1" w:styleId="Submissionstandard">
    <w:name w:val="Submission standard"/>
    <w:basedOn w:val="TableNormal"/>
    <w:uiPriority w:val="99"/>
    <w:qFormat/>
    <w:rsid w:val="00F5277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TableLeft">
    <w:name w:val="Table Left"/>
    <w:basedOn w:val="Normal"/>
    <w:link w:val="TableLeftChar"/>
    <w:uiPriority w:val="5"/>
    <w:qFormat/>
    <w:rsid w:val="00F52771"/>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locked/>
    <w:rsid w:val="00F52771"/>
    <w:rPr>
      <w:rFonts w:ascii="Arial Narrow" w:eastAsiaTheme="majorEastAsia" w:hAnsi="Arial Narrow" w:cstheme="majorBidi"/>
      <w:szCs w:val="22"/>
      <w:lang w:eastAsia="en-US" w:bidi="en-US"/>
    </w:rPr>
  </w:style>
  <w:style w:type="character" w:customStyle="1" w:styleId="TableTextChar0">
    <w:name w:val="TableText Char"/>
    <w:basedOn w:val="DefaultParagraphFont"/>
    <w:link w:val="TableText0"/>
    <w:locked/>
    <w:rsid w:val="00E5719D"/>
    <w:rPr>
      <w:rFonts w:ascii="Arial Narrow" w:hAnsi="Arial Narrow" w:cs="Arial Narrow"/>
      <w:lang w:eastAsia="en-US"/>
    </w:rPr>
  </w:style>
  <w:style w:type="character" w:styleId="FollowedHyperlink">
    <w:name w:val="FollowedHyperlink"/>
    <w:basedOn w:val="DefaultParagraphFont"/>
    <w:semiHidden/>
    <w:unhideWhenUsed/>
    <w:rsid w:val="004E34DA"/>
    <w:rPr>
      <w:color w:val="800080" w:themeColor="followedHyperlink"/>
      <w:u w:val="single"/>
    </w:rPr>
  </w:style>
  <w:style w:type="table" w:customStyle="1" w:styleId="TableGrid1">
    <w:name w:val="Table Grid1"/>
    <w:basedOn w:val="TableNormal"/>
    <w:next w:val="TableGrid"/>
    <w:uiPriority w:val="59"/>
    <w:rsid w:val="003D65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08DE"/>
    <w:rPr>
      <w:rFonts w:ascii="Arial" w:hAnsi="Arial" w:cs="Arial"/>
      <w:b/>
      <w:snapToGrid w:val="0"/>
      <w:sz w:val="22"/>
      <w:szCs w:val="22"/>
      <w:lang w:eastAsia="en-US"/>
    </w:rPr>
  </w:style>
  <w:style w:type="character" w:customStyle="1" w:styleId="Heading3Char">
    <w:name w:val="Heading 3 Char"/>
    <w:basedOn w:val="DefaultParagraphFont"/>
    <w:link w:val="Heading3"/>
    <w:rsid w:val="00BD72E2"/>
    <w:rPr>
      <w:rFonts w:ascii="Arial" w:hAnsi="Arial" w:cs="Arial"/>
      <w:snapToGrid w:val="0"/>
      <w:sz w:val="22"/>
      <w:u w:val="single"/>
      <w:lang w:eastAsia="en-US"/>
    </w:rPr>
  </w:style>
  <w:style w:type="character" w:customStyle="1" w:styleId="Heading4Char">
    <w:name w:val="Heading 4 Char"/>
    <w:basedOn w:val="DefaultParagraphFont"/>
    <w:link w:val="Heading4"/>
    <w:rsid w:val="00BD72E2"/>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D72E2"/>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D72E2"/>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D255A"/>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rsid w:val="0084351E"/>
    <w:rPr>
      <w:rFonts w:ascii="Times New Roman" w:hAnsi="Times New Roman" w:cs="Times New Roman"/>
      <w:sz w:val="20"/>
    </w:rPr>
  </w:style>
  <w:style w:type="character" w:customStyle="1" w:styleId="FootnoteTextChar">
    <w:name w:val="Footnote Text Char"/>
    <w:basedOn w:val="DefaultParagraphFont"/>
    <w:link w:val="FootnoteText"/>
    <w:rsid w:val="0084351E"/>
    <w:rPr>
      <w:snapToGrid w:val="0"/>
      <w:lang w:eastAsia="en-US"/>
    </w:rPr>
  </w:style>
  <w:style w:type="character" w:styleId="FootnoteReference">
    <w:name w:val="footnote reference"/>
    <w:basedOn w:val="DefaultParagraphFont"/>
    <w:rsid w:val="0084351E"/>
    <w:rPr>
      <w:vertAlign w:val="superscript"/>
    </w:rPr>
  </w:style>
  <w:style w:type="paragraph" w:styleId="EndnoteText">
    <w:name w:val="endnote text"/>
    <w:basedOn w:val="Normal"/>
    <w:link w:val="EndnoteTextChar"/>
    <w:semiHidden/>
    <w:unhideWhenUsed/>
    <w:rsid w:val="00687879"/>
    <w:rPr>
      <w:sz w:val="20"/>
    </w:rPr>
  </w:style>
  <w:style w:type="character" w:customStyle="1" w:styleId="EndnoteTextChar">
    <w:name w:val="Endnote Text Char"/>
    <w:basedOn w:val="DefaultParagraphFont"/>
    <w:link w:val="EndnoteText"/>
    <w:semiHidden/>
    <w:rsid w:val="00687879"/>
    <w:rPr>
      <w:rFonts w:ascii="Arial" w:hAnsi="Arial" w:cs="Arial"/>
      <w:snapToGrid w:val="0"/>
      <w:lang w:eastAsia="en-US"/>
    </w:rPr>
  </w:style>
  <w:style w:type="character" w:styleId="EndnoteReference">
    <w:name w:val="endnote reference"/>
    <w:basedOn w:val="DefaultParagraphFont"/>
    <w:semiHidden/>
    <w:unhideWhenUsed/>
    <w:rsid w:val="00687879"/>
    <w:rPr>
      <w:vertAlign w:val="superscript"/>
    </w:rPr>
  </w:style>
  <w:style w:type="paragraph" w:customStyle="1" w:styleId="StyleTitle14pt">
    <w:name w:val="Style Title + 14 pt"/>
    <w:basedOn w:val="Title"/>
    <w:rsid w:val="005508DE"/>
    <w:pPr>
      <w:outlineLvl w:val="0"/>
    </w:pPr>
    <w:rPr>
      <w:bCs/>
      <w:sz w:val="28"/>
    </w:rPr>
  </w:style>
  <w:style w:type="paragraph" w:styleId="ListBullet2">
    <w:name w:val="List Bullet 2"/>
    <w:basedOn w:val="Normal"/>
    <w:uiPriority w:val="99"/>
    <w:semiHidden/>
    <w:unhideWhenUsed/>
    <w:rsid w:val="0029121B"/>
    <w:pPr>
      <w:widowControl/>
      <w:numPr>
        <w:numId w:val="33"/>
      </w:numPr>
      <w:spacing w:after="200" w:line="276" w:lineRule="auto"/>
      <w:contextualSpacing/>
      <w:jc w:val="left"/>
    </w:pPr>
    <w:rPr>
      <w:rFonts w:ascii="Times New Roman" w:eastAsiaTheme="minorHAnsi" w:hAnsi="Times New Roman" w:cstheme="minorBidi"/>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B2D52"/>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5508DE"/>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PBACHeading1"/>
    <w:next w:val="Normal"/>
    <w:link w:val="TitleChar"/>
    <w:rsid w:val="005508DE"/>
    <w:pPr>
      <w:numPr>
        <w:numId w:val="0"/>
      </w:numPr>
      <w:ind w:left="720" w:hanging="720"/>
    </w:pPr>
  </w:style>
  <w:style w:type="character" w:customStyle="1" w:styleId="TitleChar">
    <w:name w:val="Title Char"/>
    <w:basedOn w:val="DefaultParagraphFont"/>
    <w:link w:val="Title"/>
    <w:rsid w:val="005508D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Superscript">
    <w:name w:val="Superscript"/>
    <w:basedOn w:val="DefaultParagraphFont"/>
    <w:uiPriority w:val="1"/>
    <w:qFormat/>
    <w:rsid w:val="00490C8F"/>
    <w:rPr>
      <w:rFonts w:ascii="Candara" w:hAnsi="Candara"/>
      <w:sz w:val="24"/>
      <w:vertAlign w:val="superscript"/>
    </w:rPr>
  </w:style>
  <w:style w:type="character" w:customStyle="1" w:styleId="TableText1">
    <w:name w:val="Table Text"/>
    <w:basedOn w:val="DefaultParagraphFont"/>
    <w:uiPriority w:val="4"/>
    <w:qFormat/>
    <w:rsid w:val="00490C8F"/>
    <w:rPr>
      <w:rFonts w:ascii="Arial Narrow" w:hAnsi="Arial Narrow"/>
      <w:sz w:val="24"/>
    </w:rPr>
  </w:style>
  <w:style w:type="paragraph" w:customStyle="1" w:styleId="TableBodyText">
    <w:name w:val="Table Body Text"/>
    <w:basedOn w:val="Normal"/>
    <w:link w:val="TableBodyTextChar"/>
    <w:qFormat/>
    <w:rsid w:val="00490C8F"/>
    <w:pPr>
      <w:keepLines/>
      <w:spacing w:before="40" w:after="40"/>
      <w:jc w:val="left"/>
    </w:pPr>
    <w:rPr>
      <w:rFonts w:ascii="Tahoma" w:hAnsi="Tahoma" w:cs="Times New Roman"/>
      <w:snapToGrid/>
      <w:sz w:val="16"/>
      <w:lang w:val="en-US"/>
    </w:rPr>
  </w:style>
  <w:style w:type="character" w:customStyle="1" w:styleId="TableBodyTextChar">
    <w:name w:val="Table Body Text Char"/>
    <w:basedOn w:val="DefaultParagraphFont"/>
    <w:link w:val="TableBodyText"/>
    <w:rsid w:val="00490C8F"/>
    <w:rPr>
      <w:rFonts w:ascii="Tahoma" w:hAnsi="Tahoma"/>
      <w:sz w:val="16"/>
      <w:lang w:val="en-US" w:eastAsia="en-US"/>
    </w:rPr>
  </w:style>
  <w:style w:type="paragraph" w:customStyle="1" w:styleId="Tableheaderrow">
    <w:name w:val="Table header row"/>
    <w:basedOn w:val="Normal"/>
    <w:link w:val="TableheaderrowChar"/>
    <w:rsid w:val="004672E7"/>
    <w:pPr>
      <w:keepNext/>
      <w:keepLines/>
      <w:widowControl/>
      <w:spacing w:before="40" w:after="60"/>
      <w:jc w:val="left"/>
    </w:pPr>
    <w:rPr>
      <w:rFonts w:ascii="Arial Narrow" w:hAnsi="Arial Narrow"/>
      <w:b/>
      <w:bCs/>
      <w:snapToGrid/>
      <w:sz w:val="20"/>
      <w:lang w:eastAsia="en-AU"/>
    </w:rPr>
  </w:style>
  <w:style w:type="character" w:customStyle="1" w:styleId="TableheaderrowChar">
    <w:name w:val="Table header row Char"/>
    <w:link w:val="Tableheaderrow"/>
    <w:locked/>
    <w:rsid w:val="004672E7"/>
    <w:rPr>
      <w:rFonts w:ascii="Arial Narrow" w:hAnsi="Arial Narrow" w:cs="Arial"/>
      <w:b/>
      <w:bCs/>
    </w:rPr>
  </w:style>
  <w:style w:type="character" w:styleId="PlaceholderText">
    <w:name w:val="Placeholder Text"/>
    <w:basedOn w:val="DefaultParagraphFont"/>
    <w:uiPriority w:val="99"/>
    <w:semiHidden/>
    <w:rsid w:val="00324515"/>
    <w:rPr>
      <w:color w:val="808080"/>
    </w:rPr>
  </w:style>
  <w:style w:type="paragraph" w:customStyle="1" w:styleId="TableNotes">
    <w:name w:val="Table Notes"/>
    <w:basedOn w:val="Normal"/>
    <w:link w:val="TableNotesChar"/>
    <w:uiPriority w:val="6"/>
    <w:qFormat/>
    <w:rsid w:val="00A01703"/>
    <w:pPr>
      <w:widowControl/>
      <w:spacing w:after="240" w:line="276" w:lineRule="auto"/>
      <w:contextualSpacing/>
      <w:jc w:val="left"/>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A01703"/>
    <w:rPr>
      <w:rFonts w:ascii="Arial Narrow" w:eastAsiaTheme="majorEastAsia" w:hAnsi="Arial Narrow" w:cstheme="majorBidi"/>
      <w:sz w:val="16"/>
      <w:szCs w:val="22"/>
      <w:lang w:eastAsia="en-US" w:bidi="en-US"/>
    </w:rPr>
  </w:style>
  <w:style w:type="paragraph" w:customStyle="1" w:styleId="CaptiomSub">
    <w:name w:val="Captiom Sub"/>
    <w:basedOn w:val="Normal"/>
    <w:rsid w:val="000C0DFA"/>
    <w:pPr>
      <w:widowControl/>
      <w:spacing w:after="120"/>
      <w:jc w:val="left"/>
    </w:pPr>
    <w:rPr>
      <w:rFonts w:ascii="News Gothic MT" w:hAnsi="News Gothic MT" w:cs="Times New Roman"/>
      <w:b/>
      <w:snapToGrid/>
      <w:sz w:val="20"/>
      <w:szCs w:val="24"/>
      <w:lang w:val="en-US"/>
    </w:rPr>
  </w:style>
  <w:style w:type="table" w:customStyle="1" w:styleId="GridTable1Light-Accent11">
    <w:name w:val="Grid Table 1 Light - Accent 11"/>
    <w:basedOn w:val="TableNormal"/>
    <w:uiPriority w:val="46"/>
    <w:rsid w:val="001D51C6"/>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ListParagraphChar">
    <w:name w:val="List Paragraph Char"/>
    <w:aliases w:val="BulletPoints Char"/>
    <w:basedOn w:val="DefaultParagraphFont"/>
    <w:link w:val="ListParagraph"/>
    <w:uiPriority w:val="34"/>
    <w:rsid w:val="001D51C6"/>
    <w:rPr>
      <w:rFonts w:ascii="Arial" w:hAnsi="Arial" w:cs="Arial"/>
      <w:snapToGrid w:val="0"/>
      <w:sz w:val="22"/>
      <w:lang w:eastAsia="en-US"/>
    </w:rPr>
  </w:style>
  <w:style w:type="table" w:customStyle="1" w:styleId="Submissionstandard">
    <w:name w:val="Submission standard"/>
    <w:basedOn w:val="TableNormal"/>
    <w:uiPriority w:val="99"/>
    <w:qFormat/>
    <w:rsid w:val="00F5277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TableLeft">
    <w:name w:val="Table Left"/>
    <w:basedOn w:val="Normal"/>
    <w:link w:val="TableLeftChar"/>
    <w:uiPriority w:val="5"/>
    <w:qFormat/>
    <w:rsid w:val="00F52771"/>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locked/>
    <w:rsid w:val="00F52771"/>
    <w:rPr>
      <w:rFonts w:ascii="Arial Narrow" w:eastAsiaTheme="majorEastAsia" w:hAnsi="Arial Narrow" w:cstheme="majorBidi"/>
      <w:szCs w:val="22"/>
      <w:lang w:eastAsia="en-US" w:bidi="en-US"/>
    </w:rPr>
  </w:style>
  <w:style w:type="character" w:customStyle="1" w:styleId="TableTextChar0">
    <w:name w:val="TableText Char"/>
    <w:basedOn w:val="DefaultParagraphFont"/>
    <w:link w:val="TableText0"/>
    <w:locked/>
    <w:rsid w:val="00E5719D"/>
    <w:rPr>
      <w:rFonts w:ascii="Arial Narrow" w:hAnsi="Arial Narrow" w:cs="Arial Narrow"/>
      <w:lang w:eastAsia="en-US"/>
    </w:rPr>
  </w:style>
  <w:style w:type="character" w:styleId="FollowedHyperlink">
    <w:name w:val="FollowedHyperlink"/>
    <w:basedOn w:val="DefaultParagraphFont"/>
    <w:semiHidden/>
    <w:unhideWhenUsed/>
    <w:rsid w:val="004E34DA"/>
    <w:rPr>
      <w:color w:val="800080" w:themeColor="followedHyperlink"/>
      <w:u w:val="single"/>
    </w:rPr>
  </w:style>
  <w:style w:type="table" w:customStyle="1" w:styleId="TableGrid1">
    <w:name w:val="Table Grid1"/>
    <w:basedOn w:val="TableNormal"/>
    <w:next w:val="TableGrid"/>
    <w:uiPriority w:val="59"/>
    <w:rsid w:val="003D65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08DE"/>
    <w:rPr>
      <w:rFonts w:ascii="Arial" w:hAnsi="Arial" w:cs="Arial"/>
      <w:b/>
      <w:snapToGrid w:val="0"/>
      <w:sz w:val="22"/>
      <w:szCs w:val="22"/>
      <w:lang w:eastAsia="en-US"/>
    </w:rPr>
  </w:style>
  <w:style w:type="character" w:customStyle="1" w:styleId="Heading3Char">
    <w:name w:val="Heading 3 Char"/>
    <w:basedOn w:val="DefaultParagraphFont"/>
    <w:link w:val="Heading3"/>
    <w:rsid w:val="00BD72E2"/>
    <w:rPr>
      <w:rFonts w:ascii="Arial" w:hAnsi="Arial" w:cs="Arial"/>
      <w:snapToGrid w:val="0"/>
      <w:sz w:val="22"/>
      <w:u w:val="single"/>
      <w:lang w:eastAsia="en-US"/>
    </w:rPr>
  </w:style>
  <w:style w:type="character" w:customStyle="1" w:styleId="Heading4Char">
    <w:name w:val="Heading 4 Char"/>
    <w:basedOn w:val="DefaultParagraphFont"/>
    <w:link w:val="Heading4"/>
    <w:rsid w:val="00BD72E2"/>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D72E2"/>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D72E2"/>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D255A"/>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rsid w:val="0084351E"/>
    <w:rPr>
      <w:rFonts w:ascii="Times New Roman" w:hAnsi="Times New Roman" w:cs="Times New Roman"/>
      <w:sz w:val="20"/>
    </w:rPr>
  </w:style>
  <w:style w:type="character" w:customStyle="1" w:styleId="FootnoteTextChar">
    <w:name w:val="Footnote Text Char"/>
    <w:basedOn w:val="DefaultParagraphFont"/>
    <w:link w:val="FootnoteText"/>
    <w:rsid w:val="0084351E"/>
    <w:rPr>
      <w:snapToGrid w:val="0"/>
      <w:lang w:eastAsia="en-US"/>
    </w:rPr>
  </w:style>
  <w:style w:type="character" w:styleId="FootnoteReference">
    <w:name w:val="footnote reference"/>
    <w:basedOn w:val="DefaultParagraphFont"/>
    <w:rsid w:val="0084351E"/>
    <w:rPr>
      <w:vertAlign w:val="superscript"/>
    </w:rPr>
  </w:style>
  <w:style w:type="paragraph" w:styleId="EndnoteText">
    <w:name w:val="endnote text"/>
    <w:basedOn w:val="Normal"/>
    <w:link w:val="EndnoteTextChar"/>
    <w:semiHidden/>
    <w:unhideWhenUsed/>
    <w:rsid w:val="00687879"/>
    <w:rPr>
      <w:sz w:val="20"/>
    </w:rPr>
  </w:style>
  <w:style w:type="character" w:customStyle="1" w:styleId="EndnoteTextChar">
    <w:name w:val="Endnote Text Char"/>
    <w:basedOn w:val="DefaultParagraphFont"/>
    <w:link w:val="EndnoteText"/>
    <w:semiHidden/>
    <w:rsid w:val="00687879"/>
    <w:rPr>
      <w:rFonts w:ascii="Arial" w:hAnsi="Arial" w:cs="Arial"/>
      <w:snapToGrid w:val="0"/>
      <w:lang w:eastAsia="en-US"/>
    </w:rPr>
  </w:style>
  <w:style w:type="character" w:styleId="EndnoteReference">
    <w:name w:val="endnote reference"/>
    <w:basedOn w:val="DefaultParagraphFont"/>
    <w:semiHidden/>
    <w:unhideWhenUsed/>
    <w:rsid w:val="00687879"/>
    <w:rPr>
      <w:vertAlign w:val="superscript"/>
    </w:rPr>
  </w:style>
  <w:style w:type="paragraph" w:customStyle="1" w:styleId="StyleTitle14pt">
    <w:name w:val="Style Title + 14 pt"/>
    <w:basedOn w:val="Title"/>
    <w:rsid w:val="005508DE"/>
    <w:pPr>
      <w:outlineLvl w:val="0"/>
    </w:pPr>
    <w:rPr>
      <w:bCs/>
      <w:sz w:val="28"/>
    </w:rPr>
  </w:style>
  <w:style w:type="paragraph" w:styleId="ListBullet2">
    <w:name w:val="List Bullet 2"/>
    <w:basedOn w:val="Normal"/>
    <w:uiPriority w:val="99"/>
    <w:semiHidden/>
    <w:unhideWhenUsed/>
    <w:rsid w:val="0029121B"/>
    <w:pPr>
      <w:widowControl/>
      <w:numPr>
        <w:numId w:val="33"/>
      </w:numPr>
      <w:spacing w:after="200" w:line="276" w:lineRule="auto"/>
      <w:contextualSpacing/>
      <w:jc w:val="left"/>
    </w:pPr>
    <w:rPr>
      <w:rFonts w:ascii="Times New Roman" w:eastAsiaTheme="minorHAnsi" w:hAnsi="Times New Roman"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9106">
      <w:bodyDiv w:val="1"/>
      <w:marLeft w:val="0"/>
      <w:marRight w:val="0"/>
      <w:marTop w:val="0"/>
      <w:marBottom w:val="0"/>
      <w:divBdr>
        <w:top w:val="none" w:sz="0" w:space="0" w:color="auto"/>
        <w:left w:val="none" w:sz="0" w:space="0" w:color="auto"/>
        <w:bottom w:val="none" w:sz="0" w:space="0" w:color="auto"/>
        <w:right w:val="none" w:sz="0" w:space="0" w:color="auto"/>
      </w:divBdr>
    </w:div>
    <w:div w:id="158278352">
      <w:bodyDiv w:val="1"/>
      <w:marLeft w:val="0"/>
      <w:marRight w:val="0"/>
      <w:marTop w:val="0"/>
      <w:marBottom w:val="0"/>
      <w:divBdr>
        <w:top w:val="none" w:sz="0" w:space="0" w:color="auto"/>
        <w:left w:val="none" w:sz="0" w:space="0" w:color="auto"/>
        <w:bottom w:val="none" w:sz="0" w:space="0" w:color="auto"/>
        <w:right w:val="none" w:sz="0" w:space="0" w:color="auto"/>
      </w:divBdr>
    </w:div>
    <w:div w:id="420378369">
      <w:bodyDiv w:val="1"/>
      <w:marLeft w:val="0"/>
      <w:marRight w:val="0"/>
      <w:marTop w:val="0"/>
      <w:marBottom w:val="0"/>
      <w:divBdr>
        <w:top w:val="none" w:sz="0" w:space="0" w:color="auto"/>
        <w:left w:val="none" w:sz="0" w:space="0" w:color="auto"/>
        <w:bottom w:val="none" w:sz="0" w:space="0" w:color="auto"/>
        <w:right w:val="none" w:sz="0" w:space="0" w:color="auto"/>
      </w:divBdr>
    </w:div>
    <w:div w:id="463043615">
      <w:bodyDiv w:val="1"/>
      <w:marLeft w:val="0"/>
      <w:marRight w:val="0"/>
      <w:marTop w:val="0"/>
      <w:marBottom w:val="0"/>
      <w:divBdr>
        <w:top w:val="none" w:sz="0" w:space="0" w:color="auto"/>
        <w:left w:val="none" w:sz="0" w:space="0" w:color="auto"/>
        <w:bottom w:val="none" w:sz="0" w:space="0" w:color="auto"/>
        <w:right w:val="none" w:sz="0" w:space="0" w:color="auto"/>
      </w:divBdr>
    </w:div>
    <w:div w:id="477384541">
      <w:bodyDiv w:val="1"/>
      <w:marLeft w:val="0"/>
      <w:marRight w:val="0"/>
      <w:marTop w:val="0"/>
      <w:marBottom w:val="0"/>
      <w:divBdr>
        <w:top w:val="none" w:sz="0" w:space="0" w:color="auto"/>
        <w:left w:val="none" w:sz="0" w:space="0" w:color="auto"/>
        <w:bottom w:val="none" w:sz="0" w:space="0" w:color="auto"/>
        <w:right w:val="none" w:sz="0" w:space="0" w:color="auto"/>
      </w:divBdr>
    </w:div>
    <w:div w:id="668141637">
      <w:bodyDiv w:val="1"/>
      <w:marLeft w:val="0"/>
      <w:marRight w:val="0"/>
      <w:marTop w:val="0"/>
      <w:marBottom w:val="0"/>
      <w:divBdr>
        <w:top w:val="none" w:sz="0" w:space="0" w:color="auto"/>
        <w:left w:val="none" w:sz="0" w:space="0" w:color="auto"/>
        <w:bottom w:val="none" w:sz="0" w:space="0" w:color="auto"/>
        <w:right w:val="none" w:sz="0" w:space="0" w:color="auto"/>
      </w:divBdr>
    </w:div>
    <w:div w:id="862868324">
      <w:bodyDiv w:val="1"/>
      <w:marLeft w:val="0"/>
      <w:marRight w:val="0"/>
      <w:marTop w:val="0"/>
      <w:marBottom w:val="0"/>
      <w:divBdr>
        <w:top w:val="none" w:sz="0" w:space="0" w:color="auto"/>
        <w:left w:val="none" w:sz="0" w:space="0" w:color="auto"/>
        <w:bottom w:val="none" w:sz="0" w:space="0" w:color="auto"/>
        <w:right w:val="none" w:sz="0" w:space="0" w:color="auto"/>
      </w:divBdr>
    </w:div>
    <w:div w:id="932516220">
      <w:bodyDiv w:val="1"/>
      <w:marLeft w:val="0"/>
      <w:marRight w:val="0"/>
      <w:marTop w:val="0"/>
      <w:marBottom w:val="0"/>
      <w:divBdr>
        <w:top w:val="none" w:sz="0" w:space="0" w:color="auto"/>
        <w:left w:val="none" w:sz="0" w:space="0" w:color="auto"/>
        <w:bottom w:val="none" w:sz="0" w:space="0" w:color="auto"/>
        <w:right w:val="none" w:sz="0" w:space="0" w:color="auto"/>
      </w:divBdr>
    </w:div>
    <w:div w:id="1150749809">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169564372">
      <w:bodyDiv w:val="1"/>
      <w:marLeft w:val="0"/>
      <w:marRight w:val="0"/>
      <w:marTop w:val="0"/>
      <w:marBottom w:val="0"/>
      <w:divBdr>
        <w:top w:val="none" w:sz="0" w:space="0" w:color="auto"/>
        <w:left w:val="none" w:sz="0" w:space="0" w:color="auto"/>
        <w:bottom w:val="none" w:sz="0" w:space="0" w:color="auto"/>
        <w:right w:val="none" w:sz="0" w:space="0" w:color="auto"/>
      </w:divBdr>
    </w:div>
    <w:div w:id="1554803637">
      <w:bodyDiv w:val="1"/>
      <w:marLeft w:val="0"/>
      <w:marRight w:val="0"/>
      <w:marTop w:val="0"/>
      <w:marBottom w:val="0"/>
      <w:divBdr>
        <w:top w:val="none" w:sz="0" w:space="0" w:color="auto"/>
        <w:left w:val="none" w:sz="0" w:space="0" w:color="auto"/>
        <w:bottom w:val="none" w:sz="0" w:space="0" w:color="auto"/>
        <w:right w:val="none" w:sz="0" w:space="0" w:color="auto"/>
      </w:divBdr>
    </w:div>
    <w:div w:id="1608149830">
      <w:bodyDiv w:val="1"/>
      <w:marLeft w:val="0"/>
      <w:marRight w:val="0"/>
      <w:marTop w:val="0"/>
      <w:marBottom w:val="0"/>
      <w:divBdr>
        <w:top w:val="none" w:sz="0" w:space="0" w:color="auto"/>
        <w:left w:val="none" w:sz="0" w:space="0" w:color="auto"/>
        <w:bottom w:val="none" w:sz="0" w:space="0" w:color="auto"/>
        <w:right w:val="none" w:sz="0" w:space="0" w:color="auto"/>
      </w:divBdr>
    </w:div>
    <w:div w:id="1873761181">
      <w:bodyDiv w:val="1"/>
      <w:marLeft w:val="0"/>
      <w:marRight w:val="0"/>
      <w:marTop w:val="0"/>
      <w:marBottom w:val="0"/>
      <w:divBdr>
        <w:top w:val="none" w:sz="0" w:space="0" w:color="auto"/>
        <w:left w:val="none" w:sz="0" w:space="0" w:color="auto"/>
        <w:bottom w:val="none" w:sz="0" w:space="0" w:color="auto"/>
        <w:right w:val="none" w:sz="0" w:space="0" w:color="auto"/>
      </w:divBdr>
    </w:div>
    <w:div w:id="2014448943">
      <w:bodyDiv w:val="1"/>
      <w:marLeft w:val="0"/>
      <w:marRight w:val="0"/>
      <w:marTop w:val="0"/>
      <w:marBottom w:val="0"/>
      <w:divBdr>
        <w:top w:val="none" w:sz="0" w:space="0" w:color="auto"/>
        <w:left w:val="none" w:sz="0" w:space="0" w:color="auto"/>
        <w:bottom w:val="none" w:sz="0" w:space="0" w:color="auto"/>
        <w:right w:val="none" w:sz="0" w:space="0" w:color="auto"/>
      </w:divBdr>
    </w:div>
    <w:div w:id="20288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36DD-8BA3-4744-8AE6-B448EDCC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9024</Words>
  <Characters>52049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2016-07-04T06:47:00Z</dcterms:created>
  <dcterms:modified xsi:type="dcterms:W3CDTF">2016-07-04T06:49:00Z</dcterms:modified>
</cp:coreProperties>
</file>