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6A4D74" w:rsidRDefault="00FF7331" w:rsidP="008F4262">
      <w:pPr>
        <w:pStyle w:val="Title"/>
        <w:widowControl/>
        <w:ind w:left="720" w:hanging="720"/>
        <w:jc w:val="left"/>
      </w:pPr>
      <w:bookmarkStart w:id="0" w:name="_Toc440964218"/>
      <w:r w:rsidRPr="006A4D74">
        <w:t>7.07</w:t>
      </w:r>
      <w:r w:rsidR="00B60939" w:rsidRPr="006A4D74">
        <w:tab/>
      </w:r>
      <w:r w:rsidR="00B03C46" w:rsidRPr="006A4D74">
        <w:t>ocriplasmin</w:t>
      </w:r>
      <w:r w:rsidR="006A4D74">
        <w:br/>
      </w:r>
      <w:proofErr w:type="spellStart"/>
      <w:r w:rsidR="00B03C46" w:rsidRPr="006A4D74">
        <w:rPr>
          <w:caps w:val="0"/>
        </w:rPr>
        <w:t>intravitreal</w:t>
      </w:r>
      <w:proofErr w:type="spellEnd"/>
      <w:r w:rsidR="00B03C46" w:rsidRPr="006A4D74">
        <w:rPr>
          <w:caps w:val="0"/>
        </w:rPr>
        <w:t xml:space="preserve"> injection</w:t>
      </w:r>
      <w:r w:rsidR="00B60939" w:rsidRPr="006A4D74">
        <w:rPr>
          <w:caps w:val="0"/>
        </w:rPr>
        <w:t xml:space="preserve">, </w:t>
      </w:r>
      <w:r w:rsidR="00B03C46" w:rsidRPr="006A4D74">
        <w:rPr>
          <w:caps w:val="0"/>
        </w:rPr>
        <w:t>0.5</w:t>
      </w:r>
      <w:r w:rsidR="00F81B39" w:rsidRPr="006A4D74">
        <w:rPr>
          <w:rFonts w:hint="eastAsia"/>
          <w:caps w:val="0"/>
        </w:rPr>
        <w:t> </w:t>
      </w:r>
      <w:r w:rsidR="00B03C46" w:rsidRPr="006A4D74">
        <w:rPr>
          <w:caps w:val="0"/>
        </w:rPr>
        <w:t>mg/2</w:t>
      </w:r>
      <w:r w:rsidR="00F81B39" w:rsidRPr="006A4D74">
        <w:rPr>
          <w:rFonts w:hint="eastAsia"/>
          <w:caps w:val="0"/>
        </w:rPr>
        <w:t> </w:t>
      </w:r>
      <w:r w:rsidR="00B03C46" w:rsidRPr="006A4D74">
        <w:rPr>
          <w:caps w:val="0"/>
        </w:rPr>
        <w:t>mL</w:t>
      </w:r>
      <w:r w:rsidR="00B60939" w:rsidRPr="006A4D74">
        <w:rPr>
          <w:caps w:val="0"/>
        </w:rPr>
        <w:t xml:space="preserve">, </w:t>
      </w:r>
      <w:r w:rsidR="006A4D74" w:rsidRPr="006A4D74">
        <w:rPr>
          <w:caps w:val="0"/>
        </w:rPr>
        <w:br/>
      </w:r>
      <w:proofErr w:type="spellStart"/>
      <w:r w:rsidR="00B03C46" w:rsidRPr="006A4D74">
        <w:rPr>
          <w:caps w:val="0"/>
        </w:rPr>
        <w:t>Jetrea</w:t>
      </w:r>
      <w:proofErr w:type="spellEnd"/>
      <w:r w:rsidR="00B60939" w:rsidRPr="006A4D74">
        <w:rPr>
          <w:caps w:val="0"/>
        </w:rPr>
        <w:t xml:space="preserve">®, </w:t>
      </w:r>
      <w:r w:rsidR="00B03C46" w:rsidRPr="006A4D74">
        <w:rPr>
          <w:caps w:val="0"/>
        </w:rPr>
        <w:t>Alcon</w:t>
      </w:r>
      <w:r w:rsidR="00B60939" w:rsidRPr="006A4D74">
        <w:rPr>
          <w:caps w:val="0"/>
        </w:rPr>
        <w:t>.</w:t>
      </w:r>
      <w:bookmarkEnd w:id="0"/>
    </w:p>
    <w:p w:rsidR="00F338FF" w:rsidRDefault="00F338FF" w:rsidP="008F4262">
      <w:pPr>
        <w:widowControl/>
      </w:pPr>
    </w:p>
    <w:p w:rsidR="005F3AF3" w:rsidRPr="006D6EC7" w:rsidRDefault="005F3AF3" w:rsidP="008F4262">
      <w:pPr>
        <w:widowControl/>
      </w:pPr>
    </w:p>
    <w:p w:rsidR="00F338FF" w:rsidRPr="009E3C8D" w:rsidRDefault="00F338FF" w:rsidP="009E3C8D">
      <w:pPr>
        <w:pStyle w:val="PBACheading1"/>
        <w:numPr>
          <w:ilvl w:val="0"/>
          <w:numId w:val="7"/>
        </w:numPr>
      </w:pPr>
      <w:bookmarkStart w:id="1" w:name="_Toc440964220"/>
      <w:r w:rsidRPr="009E3C8D">
        <w:t>Purpose of Application</w:t>
      </w:r>
      <w:bookmarkEnd w:id="1"/>
    </w:p>
    <w:p w:rsidR="00B60939" w:rsidRPr="00882085" w:rsidRDefault="00B60939" w:rsidP="008F4262">
      <w:pPr>
        <w:widowControl/>
        <w:rPr>
          <w:szCs w:val="22"/>
        </w:rPr>
      </w:pPr>
    </w:p>
    <w:p w:rsidR="00B60939" w:rsidRPr="00E23349" w:rsidRDefault="001E238E" w:rsidP="008F4262">
      <w:pPr>
        <w:pStyle w:val="ListParagraph"/>
        <w:widowControl/>
        <w:numPr>
          <w:ilvl w:val="1"/>
          <w:numId w:val="1"/>
        </w:numPr>
        <w:rPr>
          <w:szCs w:val="22"/>
        </w:rPr>
      </w:pPr>
      <w:r w:rsidRPr="00E23349">
        <w:t xml:space="preserve">Authority </w:t>
      </w:r>
      <w:proofErr w:type="gramStart"/>
      <w:r w:rsidRPr="00E23349">
        <w:t>Required</w:t>
      </w:r>
      <w:proofErr w:type="gramEnd"/>
      <w:r w:rsidRPr="00E23349">
        <w:t xml:space="preserve"> listing for </w:t>
      </w:r>
      <w:proofErr w:type="spellStart"/>
      <w:r w:rsidR="00B03C46" w:rsidRPr="00E23349">
        <w:t>ocriplasmin</w:t>
      </w:r>
      <w:proofErr w:type="spellEnd"/>
      <w:r w:rsidRPr="00E23349">
        <w:t xml:space="preserve"> for treatment of </w:t>
      </w:r>
      <w:proofErr w:type="spellStart"/>
      <w:r w:rsidR="00B03C46" w:rsidRPr="00E23349">
        <w:t>vitreomacular</w:t>
      </w:r>
      <w:proofErr w:type="spellEnd"/>
      <w:r w:rsidR="00B03C46" w:rsidRPr="00E23349">
        <w:t xml:space="preserve"> traction </w:t>
      </w:r>
      <w:r w:rsidR="00F649D9" w:rsidRPr="00E23349">
        <w:t xml:space="preserve">(VMT) </w:t>
      </w:r>
      <w:r w:rsidR="00B03C46" w:rsidRPr="00E23349">
        <w:t xml:space="preserve">excluding patients with </w:t>
      </w:r>
      <w:proofErr w:type="spellStart"/>
      <w:r w:rsidR="00B03C46" w:rsidRPr="00E23349">
        <w:t>epiretinal</w:t>
      </w:r>
      <w:proofErr w:type="spellEnd"/>
      <w:r w:rsidR="00B03C46" w:rsidRPr="00E23349">
        <w:t xml:space="preserve"> membrane </w:t>
      </w:r>
      <w:r w:rsidR="00F649D9" w:rsidRPr="00E23349">
        <w:t xml:space="preserve">(ERM) </w:t>
      </w:r>
      <w:r w:rsidR="00B03C46" w:rsidRPr="00E23349">
        <w:t>or adhesion diameter &gt;1500</w:t>
      </w:r>
      <w:r w:rsidR="00CE7846" w:rsidRPr="00E23349">
        <w:t> </w:t>
      </w:r>
      <w:r w:rsidR="00B03C46" w:rsidRPr="00E23349">
        <w:t>µm</w:t>
      </w:r>
      <w:r w:rsidRPr="00E23349">
        <w:t>.</w:t>
      </w:r>
      <w:r w:rsidR="00DD2072" w:rsidRPr="00E23349">
        <w:t xml:space="preserve">  The first </w:t>
      </w:r>
      <w:r w:rsidR="00F649D9" w:rsidRPr="00E23349">
        <w:t xml:space="preserve">and only previous </w:t>
      </w:r>
      <w:r w:rsidR="00DD2072" w:rsidRPr="00E23349">
        <w:t xml:space="preserve">submission was </w:t>
      </w:r>
      <w:r w:rsidR="00B03C46" w:rsidRPr="00E23349">
        <w:t>a</w:t>
      </w:r>
      <w:r w:rsidR="00F81B39" w:rsidRPr="00E23349">
        <w:t>n integrated</w:t>
      </w:r>
      <w:r w:rsidR="00B03C46" w:rsidRPr="00E23349">
        <w:t xml:space="preserve"> co-dependent </w:t>
      </w:r>
      <w:r w:rsidR="00CE7846" w:rsidRPr="00E23349">
        <w:t>submission</w:t>
      </w:r>
      <w:r w:rsidR="00B03C46" w:rsidRPr="00E23349">
        <w:t xml:space="preserve"> considered in November 2014</w:t>
      </w:r>
      <w:r w:rsidR="00DD2072" w:rsidRPr="00E23349">
        <w:t>.</w:t>
      </w:r>
    </w:p>
    <w:p w:rsidR="00B60939" w:rsidRPr="00E23349" w:rsidRDefault="00B60939" w:rsidP="008F4262">
      <w:pPr>
        <w:widowControl/>
      </w:pPr>
    </w:p>
    <w:p w:rsidR="001B6188" w:rsidRPr="00E23349" w:rsidRDefault="001B6188" w:rsidP="008F4262">
      <w:pPr>
        <w:widowControl/>
      </w:pPr>
    </w:p>
    <w:p w:rsidR="00F338FF" w:rsidRPr="00E23349" w:rsidRDefault="00F338FF" w:rsidP="008F4262">
      <w:pPr>
        <w:pStyle w:val="PBACheading1"/>
        <w:numPr>
          <w:ilvl w:val="0"/>
          <w:numId w:val="7"/>
        </w:numPr>
      </w:pPr>
      <w:bookmarkStart w:id="2" w:name="_Toc440964221"/>
      <w:r w:rsidRPr="00E23349">
        <w:t>Requested listing</w:t>
      </w:r>
      <w:bookmarkEnd w:id="2"/>
    </w:p>
    <w:p w:rsidR="00B60939" w:rsidRPr="00E23349" w:rsidRDefault="00B60939" w:rsidP="008F4262">
      <w:pPr>
        <w:widowControl/>
      </w:pPr>
    </w:p>
    <w:p w:rsidR="00617E12" w:rsidRPr="00E23349" w:rsidRDefault="00D15B8A" w:rsidP="008F4262">
      <w:pPr>
        <w:pStyle w:val="ListParagraph"/>
        <w:widowControl/>
        <w:numPr>
          <w:ilvl w:val="1"/>
          <w:numId w:val="1"/>
        </w:numPr>
        <w:rPr>
          <w:szCs w:val="22"/>
        </w:rPr>
      </w:pPr>
      <w:r w:rsidRPr="00E23349">
        <w:t>The requested PBS listing is presented below.</w:t>
      </w:r>
    </w:p>
    <w:p w:rsidR="00497F45" w:rsidRPr="00E23349" w:rsidRDefault="00497F45" w:rsidP="008F4262">
      <w:pPr>
        <w:widowControl/>
        <w:rPr>
          <w:szCs w:val="22"/>
        </w:rPr>
      </w:pPr>
    </w:p>
    <w:p w:rsidR="00497F45" w:rsidRPr="00E23349" w:rsidRDefault="00497F45" w:rsidP="008F4262">
      <w:pPr>
        <w:pStyle w:val="ListParagraph"/>
        <w:widowControl/>
        <w:numPr>
          <w:ilvl w:val="1"/>
          <w:numId w:val="1"/>
        </w:numPr>
        <w:rPr>
          <w:szCs w:val="22"/>
        </w:rPr>
      </w:pPr>
      <w:r w:rsidRPr="00E23349">
        <w:rPr>
          <w:szCs w:val="22"/>
        </w:rPr>
        <w:t xml:space="preserve">The basis for </w:t>
      </w:r>
      <w:r w:rsidR="00F81B39" w:rsidRPr="00E23349">
        <w:rPr>
          <w:szCs w:val="22"/>
        </w:rPr>
        <w:t xml:space="preserve">the </w:t>
      </w:r>
      <w:r w:rsidRPr="00E23349">
        <w:rPr>
          <w:szCs w:val="22"/>
        </w:rPr>
        <w:t xml:space="preserve">requested listing was a cost-utility analysis comparing </w:t>
      </w:r>
      <w:proofErr w:type="spellStart"/>
      <w:r w:rsidRPr="00E23349">
        <w:rPr>
          <w:szCs w:val="22"/>
        </w:rPr>
        <w:t>ocriplasmin</w:t>
      </w:r>
      <w:proofErr w:type="spellEnd"/>
      <w:r w:rsidRPr="00E23349">
        <w:rPr>
          <w:szCs w:val="22"/>
        </w:rPr>
        <w:t xml:space="preserve"> (±</w:t>
      </w:r>
      <w:proofErr w:type="spellStart"/>
      <w:r w:rsidRPr="00E23349">
        <w:rPr>
          <w:szCs w:val="22"/>
        </w:rPr>
        <w:t>vitrectomy</w:t>
      </w:r>
      <w:proofErr w:type="spellEnd"/>
      <w:r w:rsidRPr="00E23349">
        <w:rPr>
          <w:szCs w:val="22"/>
        </w:rPr>
        <w:t>) to watchful waiting (±</w:t>
      </w:r>
      <w:proofErr w:type="spellStart"/>
      <w:r w:rsidRPr="00E23349">
        <w:rPr>
          <w:szCs w:val="22"/>
        </w:rPr>
        <w:t>vitrectomy</w:t>
      </w:r>
      <w:proofErr w:type="spellEnd"/>
      <w:r w:rsidRPr="00E23349">
        <w:rPr>
          <w:szCs w:val="22"/>
        </w:rPr>
        <w:t>)</w:t>
      </w:r>
      <w:r w:rsidRPr="00E23349">
        <w:rPr>
          <w:color w:val="0066FF"/>
          <w:szCs w:val="22"/>
        </w:rPr>
        <w:t>.</w:t>
      </w:r>
    </w:p>
    <w:p w:rsidR="00497F45" w:rsidRPr="00E23349" w:rsidRDefault="00497F45" w:rsidP="008F4262">
      <w:pPr>
        <w:widowControl/>
      </w:pPr>
    </w:p>
    <w:p w:rsidR="00497F45" w:rsidRPr="00E23349" w:rsidRDefault="00497F45" w:rsidP="008F4262">
      <w:pPr>
        <w:pStyle w:val="ListParagraph"/>
        <w:widowControl/>
        <w:numPr>
          <w:ilvl w:val="1"/>
          <w:numId w:val="1"/>
        </w:numPr>
        <w:rPr>
          <w:szCs w:val="22"/>
        </w:rPr>
      </w:pPr>
      <w:r w:rsidRPr="00E23349">
        <w:t xml:space="preserve">Five new clinical criteria </w:t>
      </w:r>
      <w:r w:rsidR="00C6136E" w:rsidRPr="00E23349">
        <w:t>were</w:t>
      </w:r>
      <w:r w:rsidRPr="00E23349">
        <w:t xml:space="preserve"> added to the requested restriction.  The first two additional criteria exclude patients with (</w:t>
      </w:r>
      <w:proofErr w:type="spellStart"/>
      <w:r w:rsidRPr="00E23349">
        <w:t>i</w:t>
      </w:r>
      <w:proofErr w:type="spellEnd"/>
      <w:r w:rsidRPr="00E23349">
        <w:t>) an adhesion diameter &gt;1500</w:t>
      </w:r>
      <w:r w:rsidR="00F81B39" w:rsidRPr="00E23349">
        <w:t> </w:t>
      </w:r>
      <w:r w:rsidRPr="00E23349">
        <w:t xml:space="preserve">µm and/or (ii) an </w:t>
      </w:r>
      <w:proofErr w:type="spellStart"/>
      <w:r w:rsidRPr="00E23349">
        <w:t>epiretinal</w:t>
      </w:r>
      <w:proofErr w:type="spellEnd"/>
      <w:r w:rsidRPr="00E23349">
        <w:t xml:space="preserve"> membrane, which the re-submission argue</w:t>
      </w:r>
      <w:r w:rsidR="00C6136E" w:rsidRPr="00E23349">
        <w:t>d</w:t>
      </w:r>
      <w:r w:rsidRPr="00E23349">
        <w:t xml:space="preserve"> </w:t>
      </w:r>
      <w:r w:rsidR="00C6136E" w:rsidRPr="00E23349">
        <w:t>we</w:t>
      </w:r>
      <w:r w:rsidRPr="00E23349">
        <w:t xml:space="preserve">re negative treatment effect modifiers.  The three other additional criteria </w:t>
      </w:r>
      <w:r w:rsidR="00C6136E" w:rsidRPr="00E23349">
        <w:t>we</w:t>
      </w:r>
      <w:r w:rsidRPr="00E23349">
        <w:t>re designed to align the requested restriction with the inclusion/exclusion c</w:t>
      </w:r>
      <w:r w:rsidR="00F81B39" w:rsidRPr="00E23349">
        <w:t>riteria of the trial evidence.</w:t>
      </w:r>
    </w:p>
    <w:p w:rsidR="00497F45" w:rsidRPr="00E23349" w:rsidRDefault="00497F45" w:rsidP="008F4262">
      <w:pPr>
        <w:widowControl/>
      </w:pPr>
    </w:p>
    <w:p w:rsidR="00497F45" w:rsidRPr="00E23349" w:rsidRDefault="00497F45" w:rsidP="008F4262">
      <w:pPr>
        <w:pStyle w:val="ListParagraph"/>
        <w:widowControl/>
        <w:numPr>
          <w:ilvl w:val="1"/>
          <w:numId w:val="1"/>
        </w:numPr>
        <w:rPr>
          <w:szCs w:val="22"/>
        </w:rPr>
      </w:pPr>
      <w:r w:rsidRPr="00E23349">
        <w:t xml:space="preserve">The requested effective price (DPMQ) </w:t>
      </w:r>
      <w:r w:rsidR="00C6136E" w:rsidRPr="00E23349">
        <w:t>was</w:t>
      </w:r>
      <w:r w:rsidRPr="00E23349">
        <w:t xml:space="preserve"> reduced from $</w:t>
      </w:r>
      <w:r w:rsidR="0017165E">
        <w:rPr>
          <w:noProof/>
          <w:color w:val="000000"/>
          <w:highlight w:val="black"/>
        </w:rPr>
        <w:t>'''''''''''''''</w:t>
      </w:r>
      <w:r w:rsidRPr="00E23349">
        <w:t xml:space="preserve"> to $</w:t>
      </w:r>
      <w:r w:rsidR="0017165E">
        <w:rPr>
          <w:noProof/>
          <w:color w:val="000000"/>
          <w:highlight w:val="black"/>
        </w:rPr>
        <w:t>''''''''''''''''''''</w:t>
      </w:r>
      <w:r w:rsidRPr="00E23349">
        <w:t xml:space="preserve"> under a proposed special pricing arrangement with a published price of $</w:t>
      </w:r>
      <w:r w:rsidR="0017165E">
        <w:rPr>
          <w:noProof/>
          <w:color w:val="000000"/>
          <w:highlight w:val="black"/>
        </w:rPr>
        <w:t>''''''''''''</w:t>
      </w:r>
      <w:r w:rsidRPr="00E23349">
        <w:t>.</w:t>
      </w:r>
    </w:p>
    <w:p w:rsidR="00517553" w:rsidRPr="00E23349" w:rsidRDefault="00517553" w:rsidP="008F4262">
      <w:pPr>
        <w:widowControl/>
        <w:rPr>
          <w:szCs w:val="22"/>
        </w:rPr>
      </w:pPr>
    </w:p>
    <w:p w:rsidR="00517553" w:rsidRPr="00E23349" w:rsidRDefault="00517553" w:rsidP="008F4262">
      <w:pPr>
        <w:pStyle w:val="ListParagraph"/>
        <w:widowControl/>
        <w:numPr>
          <w:ilvl w:val="1"/>
          <w:numId w:val="1"/>
        </w:numPr>
        <w:rPr>
          <w:szCs w:val="22"/>
        </w:rPr>
      </w:pPr>
      <w:r w:rsidRPr="00E23349">
        <w:rPr>
          <w:szCs w:val="22"/>
        </w:rPr>
        <w:t xml:space="preserve">The PSCR stated that PBAC may wish to consider excluding </w:t>
      </w:r>
      <w:r w:rsidR="00325F90" w:rsidRPr="00E23349">
        <w:rPr>
          <w:szCs w:val="22"/>
        </w:rPr>
        <w:t>patients</w:t>
      </w:r>
      <w:r w:rsidRPr="00E23349">
        <w:rPr>
          <w:szCs w:val="22"/>
        </w:rPr>
        <w:t xml:space="preserve"> with a macular hole. The ESC considered </w:t>
      </w:r>
      <w:r w:rsidR="00325F90" w:rsidRPr="00E23349">
        <w:rPr>
          <w:szCs w:val="22"/>
        </w:rPr>
        <w:t xml:space="preserve">that the data weakly </w:t>
      </w:r>
      <w:r w:rsidRPr="00E23349">
        <w:rPr>
          <w:szCs w:val="22"/>
        </w:rPr>
        <w:t>suggest</w:t>
      </w:r>
      <w:r w:rsidR="00325F90" w:rsidRPr="00E23349">
        <w:rPr>
          <w:szCs w:val="22"/>
        </w:rPr>
        <w:t>ed</w:t>
      </w:r>
      <w:r w:rsidRPr="00E23349">
        <w:rPr>
          <w:szCs w:val="22"/>
        </w:rPr>
        <w:t xml:space="preserve"> that </w:t>
      </w:r>
      <w:r w:rsidR="00325F90" w:rsidRPr="00E23349">
        <w:rPr>
          <w:szCs w:val="22"/>
        </w:rPr>
        <w:t xml:space="preserve">patients </w:t>
      </w:r>
      <w:r w:rsidRPr="00E23349">
        <w:rPr>
          <w:szCs w:val="22"/>
        </w:rPr>
        <w:t xml:space="preserve">with an established </w:t>
      </w:r>
      <w:r w:rsidR="00325F90" w:rsidRPr="00E23349">
        <w:rPr>
          <w:szCs w:val="22"/>
        </w:rPr>
        <w:t xml:space="preserve">macular </w:t>
      </w:r>
      <w:r w:rsidRPr="00E23349">
        <w:rPr>
          <w:szCs w:val="22"/>
        </w:rPr>
        <w:t xml:space="preserve">hole </w:t>
      </w:r>
      <w:r w:rsidR="00325F90" w:rsidRPr="00E23349">
        <w:rPr>
          <w:szCs w:val="22"/>
        </w:rPr>
        <w:t>would be</w:t>
      </w:r>
      <w:r w:rsidRPr="00E23349">
        <w:rPr>
          <w:szCs w:val="22"/>
        </w:rPr>
        <w:t xml:space="preserve"> more likely to go on to require surgery regardless of treatment with </w:t>
      </w:r>
      <w:proofErr w:type="spellStart"/>
      <w:r w:rsidRPr="00E23349">
        <w:rPr>
          <w:szCs w:val="22"/>
        </w:rPr>
        <w:t>ocriplasmin</w:t>
      </w:r>
      <w:proofErr w:type="spellEnd"/>
      <w:r w:rsidRPr="00E23349">
        <w:rPr>
          <w:szCs w:val="22"/>
        </w:rPr>
        <w:t>.</w:t>
      </w:r>
    </w:p>
    <w:p w:rsidR="00517553" w:rsidRPr="00E23349" w:rsidRDefault="00517553" w:rsidP="008F4262">
      <w:pPr>
        <w:widowControl/>
        <w:rPr>
          <w:szCs w:val="22"/>
        </w:rPr>
      </w:pPr>
    </w:p>
    <w:p w:rsidR="00517553" w:rsidRPr="00E23349" w:rsidRDefault="00D719AC" w:rsidP="008F4262">
      <w:pPr>
        <w:pStyle w:val="ListParagraph"/>
        <w:widowControl/>
        <w:numPr>
          <w:ilvl w:val="1"/>
          <w:numId w:val="1"/>
        </w:numPr>
        <w:rPr>
          <w:szCs w:val="22"/>
        </w:rPr>
      </w:pPr>
      <w:r w:rsidRPr="00E23349">
        <w:rPr>
          <w:szCs w:val="22"/>
        </w:rPr>
        <w:t xml:space="preserve">The ESC noted the clinical criteria </w:t>
      </w:r>
      <w:r w:rsidR="008C39B2" w:rsidRPr="00E23349">
        <w:rPr>
          <w:szCs w:val="22"/>
        </w:rPr>
        <w:t xml:space="preserve">proposed </w:t>
      </w:r>
      <w:r w:rsidRPr="00E23349">
        <w:rPr>
          <w:szCs w:val="22"/>
        </w:rPr>
        <w:t xml:space="preserve">in the </w:t>
      </w:r>
      <w:r w:rsidR="008C39B2" w:rsidRPr="00E23349">
        <w:rPr>
          <w:szCs w:val="22"/>
        </w:rPr>
        <w:t>re-</w:t>
      </w:r>
      <w:r w:rsidRPr="00E23349">
        <w:rPr>
          <w:szCs w:val="22"/>
        </w:rPr>
        <w:t>submission</w:t>
      </w:r>
      <w:r w:rsidR="008C39B2" w:rsidRPr="00E23349">
        <w:rPr>
          <w:szCs w:val="22"/>
        </w:rPr>
        <w:t>:</w:t>
      </w:r>
      <w:r w:rsidRPr="00E23349">
        <w:rPr>
          <w:szCs w:val="22"/>
        </w:rPr>
        <w:t xml:space="preserve"> </w:t>
      </w:r>
      <w:r w:rsidR="008C39B2" w:rsidRPr="00E23349">
        <w:rPr>
          <w:szCs w:val="22"/>
        </w:rPr>
        <w:t>“</w:t>
      </w:r>
      <w:r w:rsidRPr="00E23349">
        <w:rPr>
          <w:szCs w:val="22"/>
        </w:rPr>
        <w:t>Patient must be symptomatic with severe/intolerable symptoms</w:t>
      </w:r>
      <w:r w:rsidR="008C39B2" w:rsidRPr="00E23349">
        <w:rPr>
          <w:szCs w:val="22"/>
        </w:rPr>
        <w:t>”</w:t>
      </w:r>
      <w:r w:rsidRPr="00E23349">
        <w:rPr>
          <w:szCs w:val="22"/>
        </w:rPr>
        <w:t xml:space="preserve">. The ESC was concerned that symptoms were </w:t>
      </w:r>
      <w:r w:rsidR="008C39B2" w:rsidRPr="00E23349">
        <w:rPr>
          <w:szCs w:val="22"/>
        </w:rPr>
        <w:t xml:space="preserve">not </w:t>
      </w:r>
      <w:r w:rsidRPr="00E23349">
        <w:rPr>
          <w:szCs w:val="22"/>
        </w:rPr>
        <w:t>defined and may be difficult to assess and that OCT may be used for screening rather than diagnostic purposes in practice. The ESC considered that the Secretariat</w:t>
      </w:r>
      <w:r w:rsidR="008C39B2" w:rsidRPr="00E23349">
        <w:rPr>
          <w:szCs w:val="22"/>
        </w:rPr>
        <w:t>-</w:t>
      </w:r>
      <w:r w:rsidRPr="00E23349">
        <w:rPr>
          <w:szCs w:val="22"/>
        </w:rPr>
        <w:t xml:space="preserve">suggested criteria of </w:t>
      </w:r>
      <w:r w:rsidR="008C39B2" w:rsidRPr="00E23349">
        <w:rPr>
          <w:szCs w:val="22"/>
        </w:rPr>
        <w:t>“</w:t>
      </w:r>
      <w:r w:rsidRPr="00E23349">
        <w:rPr>
          <w:szCs w:val="22"/>
        </w:rPr>
        <w:t>Patient must be symptomatic</w:t>
      </w:r>
      <w:r w:rsidR="008C39B2" w:rsidRPr="00E23349">
        <w:rPr>
          <w:szCs w:val="22"/>
        </w:rPr>
        <w:t>”</w:t>
      </w:r>
      <w:r w:rsidRPr="00E23349">
        <w:rPr>
          <w:szCs w:val="22"/>
        </w:rPr>
        <w:t xml:space="preserve"> as appropriate.</w:t>
      </w:r>
    </w:p>
    <w:p w:rsidR="00D719AC" w:rsidRPr="00E23349" w:rsidRDefault="00D719AC" w:rsidP="008F4262">
      <w:pPr>
        <w:widowControl/>
        <w:rPr>
          <w:szCs w:val="22"/>
        </w:rPr>
      </w:pPr>
    </w:p>
    <w:p w:rsidR="004D20A7" w:rsidRPr="00E23349" w:rsidRDefault="00056D47" w:rsidP="008F4262">
      <w:pPr>
        <w:pStyle w:val="ListParagraph"/>
        <w:widowControl/>
        <w:numPr>
          <w:ilvl w:val="1"/>
          <w:numId w:val="1"/>
        </w:numPr>
        <w:rPr>
          <w:szCs w:val="22"/>
        </w:rPr>
      </w:pPr>
      <w:r w:rsidRPr="00E23349">
        <w:rPr>
          <w:szCs w:val="22"/>
        </w:rPr>
        <w:t>The presence of ERM was</w:t>
      </w:r>
      <w:r w:rsidR="00B750B2" w:rsidRPr="00E23349">
        <w:rPr>
          <w:szCs w:val="22"/>
        </w:rPr>
        <w:t xml:space="preserve"> part of the exclusion criteria of the OASIS trial, but </w:t>
      </w:r>
      <w:r w:rsidR="003F078C" w:rsidRPr="00E23349">
        <w:rPr>
          <w:szCs w:val="22"/>
        </w:rPr>
        <w:t xml:space="preserve">the ESC noted that patients with ERM were </w:t>
      </w:r>
      <w:r w:rsidR="00AF1BB7" w:rsidRPr="00E23349">
        <w:rPr>
          <w:szCs w:val="22"/>
        </w:rPr>
        <w:t xml:space="preserve">recruited into </w:t>
      </w:r>
      <w:r w:rsidR="003F078C" w:rsidRPr="00E23349">
        <w:rPr>
          <w:szCs w:val="22"/>
        </w:rPr>
        <w:t xml:space="preserve">this trial. </w:t>
      </w:r>
      <w:r w:rsidRPr="00E23349">
        <w:rPr>
          <w:szCs w:val="22"/>
        </w:rPr>
        <w:t xml:space="preserve"> </w:t>
      </w:r>
      <w:r w:rsidR="003F078C" w:rsidRPr="00E23349">
        <w:rPr>
          <w:szCs w:val="22"/>
        </w:rPr>
        <w:t xml:space="preserve">The ESC was concerned that even with the inclusion of clinical criteria ‘Patient must not have an </w:t>
      </w:r>
      <w:proofErr w:type="spellStart"/>
      <w:r w:rsidR="003F078C" w:rsidRPr="00E23349">
        <w:rPr>
          <w:szCs w:val="22"/>
        </w:rPr>
        <w:t>epiretinal</w:t>
      </w:r>
      <w:proofErr w:type="spellEnd"/>
      <w:r w:rsidR="003F078C" w:rsidRPr="00E23349">
        <w:rPr>
          <w:szCs w:val="22"/>
        </w:rPr>
        <w:t xml:space="preserve"> membrane (ERM) attached to the </w:t>
      </w:r>
      <w:proofErr w:type="spellStart"/>
      <w:r w:rsidR="003F078C" w:rsidRPr="00E23349">
        <w:rPr>
          <w:szCs w:val="22"/>
        </w:rPr>
        <w:t>vitreomacular</w:t>
      </w:r>
      <w:proofErr w:type="spellEnd"/>
      <w:r w:rsidR="003F078C" w:rsidRPr="00E23349">
        <w:rPr>
          <w:szCs w:val="22"/>
        </w:rPr>
        <w:t xml:space="preserve"> traction (VMT)’, there remains a risk of leakage of treatment of patients with ERM. </w:t>
      </w:r>
    </w:p>
    <w:p w:rsidR="00497F45" w:rsidRPr="00F81B39" w:rsidRDefault="00497F45" w:rsidP="008F4262">
      <w:pPr>
        <w:widowControl/>
        <w:rPr>
          <w:szCs w:val="22"/>
        </w:rPr>
      </w:pPr>
    </w:p>
    <w:p w:rsidR="00147A1C" w:rsidRDefault="00147A1C" w:rsidP="008F4262">
      <w:pPr>
        <w:pStyle w:val="ListParagraph"/>
        <w:widowControl/>
        <w:numPr>
          <w:ilvl w:val="1"/>
          <w:numId w:val="1"/>
        </w:numPr>
        <w:rPr>
          <w:szCs w:val="22"/>
        </w:rPr>
      </w:pPr>
      <w:r w:rsidRPr="00552722">
        <w:rPr>
          <w:szCs w:val="22"/>
        </w:rPr>
        <w:t xml:space="preserve">Suggestions and additions </w:t>
      </w:r>
      <w:r>
        <w:rPr>
          <w:szCs w:val="22"/>
        </w:rPr>
        <w:t>by the Secretariat are</w:t>
      </w:r>
      <w:r w:rsidRPr="00552722">
        <w:rPr>
          <w:szCs w:val="22"/>
        </w:rPr>
        <w:t xml:space="preserve"> in</w:t>
      </w:r>
      <w:r w:rsidRPr="00552722">
        <w:rPr>
          <w:i/>
          <w:szCs w:val="22"/>
        </w:rPr>
        <w:t xml:space="preserve"> </w:t>
      </w:r>
      <w:r>
        <w:rPr>
          <w:i/>
          <w:szCs w:val="22"/>
        </w:rPr>
        <w:t>italics</w:t>
      </w:r>
      <w:r w:rsidRPr="00552722">
        <w:rPr>
          <w:i/>
          <w:szCs w:val="22"/>
        </w:rPr>
        <w:t xml:space="preserve"> </w:t>
      </w:r>
      <w:r w:rsidRPr="00552722">
        <w:rPr>
          <w:szCs w:val="22"/>
        </w:rPr>
        <w:t xml:space="preserve">and </w:t>
      </w:r>
      <w:r>
        <w:rPr>
          <w:szCs w:val="22"/>
        </w:rPr>
        <w:t>deletions are in</w:t>
      </w:r>
      <w:r w:rsidRPr="00552722">
        <w:rPr>
          <w:szCs w:val="22"/>
        </w:rPr>
        <w:t xml:space="preserve"> </w:t>
      </w:r>
      <w:r w:rsidRPr="00552722">
        <w:rPr>
          <w:strike/>
          <w:szCs w:val="22"/>
        </w:rPr>
        <w:t>strikethrough</w:t>
      </w:r>
      <w:r w:rsidRPr="00552722">
        <w:rPr>
          <w:szCs w:val="22"/>
        </w:rPr>
        <w:t>.</w:t>
      </w:r>
    </w:p>
    <w:p w:rsidR="00147A1C" w:rsidRDefault="00147A1C" w:rsidP="008F4262">
      <w:pPr>
        <w:widowControl/>
        <w:rPr>
          <w:szCs w:val="22"/>
        </w:rPr>
      </w:pPr>
    </w:p>
    <w:tbl>
      <w:tblPr>
        <w:tblW w:w="8363" w:type="dxa"/>
        <w:tblInd w:w="817" w:type="dxa"/>
        <w:tblLayout w:type="fixed"/>
        <w:tblLook w:val="0000" w:firstRow="0" w:lastRow="0" w:firstColumn="0" w:lastColumn="0" w:noHBand="0" w:noVBand="0"/>
      </w:tblPr>
      <w:tblGrid>
        <w:gridCol w:w="2552"/>
        <w:gridCol w:w="709"/>
        <w:gridCol w:w="567"/>
        <w:gridCol w:w="850"/>
        <w:gridCol w:w="1701"/>
        <w:gridCol w:w="1276"/>
        <w:gridCol w:w="708"/>
      </w:tblGrid>
      <w:tr w:rsidR="00147A1C" w:rsidRPr="00260CE3" w:rsidTr="00701164">
        <w:trPr>
          <w:cantSplit/>
          <w:trHeight w:val="471"/>
        </w:trPr>
        <w:tc>
          <w:tcPr>
            <w:tcW w:w="3261" w:type="dxa"/>
            <w:gridSpan w:val="2"/>
            <w:tcBorders>
              <w:bottom w:val="single" w:sz="4" w:space="0" w:color="auto"/>
            </w:tcBorders>
          </w:tcPr>
          <w:p w:rsidR="00147A1C" w:rsidRPr="00260CE3" w:rsidRDefault="00147A1C" w:rsidP="008F4262">
            <w:pPr>
              <w:keepNext/>
              <w:widowControl/>
              <w:ind w:left="-108"/>
              <w:rPr>
                <w:rFonts w:ascii="Arial Narrow" w:hAnsi="Arial Narrow"/>
                <w:sz w:val="20"/>
              </w:rPr>
            </w:pPr>
            <w:r w:rsidRPr="00260CE3">
              <w:rPr>
                <w:rFonts w:ascii="Arial Narrow" w:hAnsi="Arial Narrow"/>
                <w:sz w:val="20"/>
              </w:rPr>
              <w:lastRenderedPageBreak/>
              <w:t>Name, Restriction,</w:t>
            </w:r>
          </w:p>
          <w:p w:rsidR="00147A1C" w:rsidRPr="00260CE3" w:rsidRDefault="00147A1C" w:rsidP="008F4262">
            <w:pPr>
              <w:keepNext/>
              <w:widowControl/>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147A1C" w:rsidRPr="00260CE3" w:rsidRDefault="00147A1C" w:rsidP="008F4262">
            <w:pPr>
              <w:keepNext/>
              <w:widowControl/>
              <w:ind w:left="-108"/>
              <w:rPr>
                <w:rFonts w:ascii="Arial Narrow" w:hAnsi="Arial Narrow"/>
                <w:sz w:val="20"/>
              </w:rPr>
            </w:pPr>
            <w:r w:rsidRPr="00260CE3">
              <w:rPr>
                <w:rFonts w:ascii="Arial Narrow" w:hAnsi="Arial Narrow"/>
                <w:sz w:val="20"/>
              </w:rPr>
              <w:t>Max.</w:t>
            </w:r>
          </w:p>
          <w:p w:rsidR="00147A1C" w:rsidRPr="00260CE3" w:rsidRDefault="00147A1C" w:rsidP="008F4262">
            <w:pPr>
              <w:keepNext/>
              <w:widowControl/>
              <w:ind w:left="-108"/>
              <w:rPr>
                <w:rFonts w:ascii="Arial Narrow" w:hAnsi="Arial Narrow"/>
                <w:sz w:val="20"/>
              </w:rPr>
            </w:pPr>
            <w:proofErr w:type="spellStart"/>
            <w:r w:rsidRPr="00260CE3">
              <w:rPr>
                <w:rFonts w:ascii="Arial Narrow" w:hAnsi="Arial Narrow"/>
                <w:sz w:val="20"/>
              </w:rPr>
              <w:t>Qty</w:t>
            </w:r>
            <w:proofErr w:type="spellEnd"/>
          </w:p>
        </w:tc>
        <w:tc>
          <w:tcPr>
            <w:tcW w:w="850" w:type="dxa"/>
            <w:tcBorders>
              <w:bottom w:val="single" w:sz="4" w:space="0" w:color="auto"/>
            </w:tcBorders>
          </w:tcPr>
          <w:p w:rsidR="00147A1C" w:rsidRPr="00260CE3" w:rsidRDefault="00147A1C" w:rsidP="008F4262">
            <w:pPr>
              <w:keepNext/>
              <w:widowControl/>
              <w:ind w:left="-108"/>
              <w:rPr>
                <w:rFonts w:ascii="Arial Narrow" w:hAnsi="Arial Narrow"/>
                <w:sz w:val="20"/>
              </w:rPr>
            </w:pPr>
            <w:r w:rsidRPr="00260CE3">
              <w:rPr>
                <w:rFonts w:ascii="Arial Narrow" w:hAnsi="Arial Narrow"/>
                <w:sz w:val="20"/>
              </w:rPr>
              <w:t>№.of</w:t>
            </w:r>
          </w:p>
          <w:p w:rsidR="00147A1C" w:rsidRPr="00260CE3" w:rsidRDefault="00147A1C" w:rsidP="008F4262">
            <w:pPr>
              <w:keepNext/>
              <w:widowControl/>
              <w:ind w:left="-108"/>
              <w:rPr>
                <w:rFonts w:ascii="Arial Narrow" w:hAnsi="Arial Narrow"/>
                <w:sz w:val="20"/>
              </w:rPr>
            </w:pPr>
            <w:proofErr w:type="spellStart"/>
            <w:r w:rsidRPr="00260CE3">
              <w:rPr>
                <w:rFonts w:ascii="Arial Narrow" w:hAnsi="Arial Narrow"/>
                <w:sz w:val="20"/>
              </w:rPr>
              <w:t>Rpts</w:t>
            </w:r>
            <w:proofErr w:type="spellEnd"/>
          </w:p>
        </w:tc>
        <w:tc>
          <w:tcPr>
            <w:tcW w:w="1701" w:type="dxa"/>
            <w:tcBorders>
              <w:bottom w:val="single" w:sz="4" w:space="0" w:color="auto"/>
            </w:tcBorders>
          </w:tcPr>
          <w:p w:rsidR="00147A1C" w:rsidRPr="00260CE3" w:rsidRDefault="00147A1C" w:rsidP="008F4262">
            <w:pPr>
              <w:keepNext/>
              <w:widowControl/>
              <w:ind w:left="-108"/>
              <w:rPr>
                <w:rFonts w:ascii="Arial Narrow" w:hAnsi="Arial Narrow"/>
                <w:sz w:val="20"/>
              </w:rPr>
            </w:pPr>
            <w:r w:rsidRPr="00260CE3">
              <w:rPr>
                <w:rFonts w:ascii="Arial Narrow" w:hAnsi="Arial Narrow"/>
                <w:sz w:val="20"/>
              </w:rPr>
              <w:t xml:space="preserve">Dispensed Price for Max. </w:t>
            </w:r>
            <w:proofErr w:type="spellStart"/>
            <w:r w:rsidRPr="00260CE3">
              <w:rPr>
                <w:rFonts w:ascii="Arial Narrow" w:hAnsi="Arial Narrow"/>
                <w:sz w:val="20"/>
              </w:rPr>
              <w:t>Qty</w:t>
            </w:r>
            <w:proofErr w:type="spellEnd"/>
          </w:p>
        </w:tc>
        <w:tc>
          <w:tcPr>
            <w:tcW w:w="1984" w:type="dxa"/>
            <w:gridSpan w:val="2"/>
            <w:tcBorders>
              <w:bottom w:val="single" w:sz="4" w:space="0" w:color="auto"/>
            </w:tcBorders>
          </w:tcPr>
          <w:p w:rsidR="00147A1C" w:rsidRPr="00260CE3" w:rsidRDefault="00147A1C" w:rsidP="008F4262">
            <w:pPr>
              <w:keepNext/>
              <w:widowControl/>
              <w:rPr>
                <w:rFonts w:ascii="Arial Narrow" w:hAnsi="Arial Narrow"/>
                <w:sz w:val="20"/>
                <w:lang w:val="fr-FR"/>
              </w:rPr>
            </w:pPr>
            <w:r w:rsidRPr="00260CE3">
              <w:rPr>
                <w:rFonts w:ascii="Arial Narrow" w:hAnsi="Arial Narrow"/>
                <w:sz w:val="20"/>
              </w:rPr>
              <w:t>Proprietary Name and Manufacturer</w:t>
            </w:r>
          </w:p>
        </w:tc>
      </w:tr>
      <w:tr w:rsidR="00147A1C" w:rsidRPr="00260CE3" w:rsidTr="00701164">
        <w:trPr>
          <w:cantSplit/>
          <w:trHeight w:val="577"/>
        </w:trPr>
        <w:tc>
          <w:tcPr>
            <w:tcW w:w="3261" w:type="dxa"/>
            <w:gridSpan w:val="2"/>
          </w:tcPr>
          <w:p w:rsidR="00147A1C" w:rsidRPr="00260CE3" w:rsidRDefault="00147A1C" w:rsidP="008F4262">
            <w:pPr>
              <w:keepNext/>
              <w:widowControl/>
              <w:ind w:left="-108"/>
              <w:rPr>
                <w:rFonts w:ascii="Arial Narrow" w:hAnsi="Arial Narrow"/>
                <w:sz w:val="20"/>
              </w:rPr>
            </w:pPr>
            <w:r>
              <w:rPr>
                <w:rFonts w:ascii="Arial Narrow" w:hAnsi="Arial Narrow"/>
                <w:smallCaps/>
                <w:sz w:val="20"/>
              </w:rPr>
              <w:t>OCRIPLASMIN</w:t>
            </w:r>
          </w:p>
          <w:p w:rsidR="00147A1C" w:rsidRPr="00260CE3" w:rsidRDefault="008C39B2" w:rsidP="008F4262">
            <w:pPr>
              <w:keepNext/>
              <w:widowControl/>
              <w:ind w:left="-108"/>
              <w:rPr>
                <w:rFonts w:ascii="Arial Narrow" w:hAnsi="Arial Narrow"/>
                <w:sz w:val="20"/>
              </w:rPr>
            </w:pPr>
            <w:r>
              <w:rPr>
                <w:rFonts w:ascii="Arial Narrow" w:hAnsi="Arial Narrow"/>
                <w:sz w:val="20"/>
              </w:rPr>
              <w:t>0.5 </w:t>
            </w:r>
            <w:r w:rsidR="00147A1C">
              <w:rPr>
                <w:rFonts w:ascii="Arial Narrow" w:hAnsi="Arial Narrow"/>
                <w:sz w:val="20"/>
              </w:rPr>
              <w:t>mg/ 0.2</w:t>
            </w:r>
            <w:r>
              <w:rPr>
                <w:rFonts w:ascii="Arial Narrow" w:hAnsi="Arial Narrow"/>
                <w:sz w:val="20"/>
              </w:rPr>
              <w:t> </w:t>
            </w:r>
            <w:r w:rsidR="00147A1C">
              <w:rPr>
                <w:rFonts w:ascii="Arial Narrow" w:hAnsi="Arial Narrow"/>
                <w:sz w:val="20"/>
              </w:rPr>
              <w:t>mL injection, 1x 0.2</w:t>
            </w:r>
            <w:r>
              <w:rPr>
                <w:rFonts w:ascii="Arial Narrow" w:hAnsi="Arial Narrow"/>
                <w:sz w:val="20"/>
              </w:rPr>
              <w:t> </w:t>
            </w:r>
            <w:r w:rsidR="00147A1C">
              <w:rPr>
                <w:rFonts w:ascii="Arial Narrow" w:hAnsi="Arial Narrow"/>
                <w:sz w:val="20"/>
              </w:rPr>
              <w:t>mL vial</w:t>
            </w:r>
          </w:p>
        </w:tc>
        <w:tc>
          <w:tcPr>
            <w:tcW w:w="567" w:type="dxa"/>
          </w:tcPr>
          <w:p w:rsidR="00147A1C" w:rsidRPr="00260CE3" w:rsidRDefault="00147A1C" w:rsidP="008F4262">
            <w:pPr>
              <w:keepNext/>
              <w:widowControl/>
              <w:ind w:left="-108"/>
              <w:rPr>
                <w:rFonts w:ascii="Arial Narrow" w:hAnsi="Arial Narrow"/>
                <w:sz w:val="20"/>
              </w:rPr>
            </w:pPr>
          </w:p>
          <w:p w:rsidR="00147A1C" w:rsidRPr="00260CE3" w:rsidRDefault="00147A1C" w:rsidP="008F4262">
            <w:pPr>
              <w:keepNext/>
              <w:widowControl/>
              <w:ind w:left="-108"/>
              <w:rPr>
                <w:rFonts w:ascii="Arial Narrow" w:hAnsi="Arial Narrow"/>
                <w:sz w:val="20"/>
              </w:rPr>
            </w:pPr>
            <w:r>
              <w:rPr>
                <w:rFonts w:ascii="Arial Narrow" w:hAnsi="Arial Narrow"/>
                <w:sz w:val="20"/>
              </w:rPr>
              <w:t>1</w:t>
            </w:r>
          </w:p>
        </w:tc>
        <w:tc>
          <w:tcPr>
            <w:tcW w:w="850" w:type="dxa"/>
          </w:tcPr>
          <w:p w:rsidR="00147A1C" w:rsidRPr="00260CE3" w:rsidRDefault="00147A1C" w:rsidP="008F4262">
            <w:pPr>
              <w:keepNext/>
              <w:widowControl/>
              <w:ind w:left="-108"/>
              <w:rPr>
                <w:rFonts w:ascii="Arial Narrow" w:hAnsi="Arial Narrow"/>
                <w:sz w:val="20"/>
              </w:rPr>
            </w:pPr>
          </w:p>
          <w:p w:rsidR="00147A1C" w:rsidRPr="00260CE3" w:rsidRDefault="00147A1C" w:rsidP="008F4262">
            <w:pPr>
              <w:keepNext/>
              <w:widowControl/>
              <w:ind w:left="-108"/>
              <w:rPr>
                <w:rFonts w:ascii="Arial Narrow" w:hAnsi="Arial Narrow"/>
                <w:sz w:val="20"/>
              </w:rPr>
            </w:pPr>
            <w:r>
              <w:rPr>
                <w:rFonts w:ascii="Arial Narrow" w:hAnsi="Arial Narrow"/>
                <w:sz w:val="20"/>
              </w:rPr>
              <w:t>0</w:t>
            </w:r>
          </w:p>
        </w:tc>
        <w:tc>
          <w:tcPr>
            <w:tcW w:w="1701" w:type="dxa"/>
          </w:tcPr>
          <w:p w:rsidR="00147A1C" w:rsidRPr="00260CE3" w:rsidRDefault="00147A1C" w:rsidP="008F4262">
            <w:pPr>
              <w:keepNext/>
              <w:widowControl/>
              <w:ind w:left="-108"/>
              <w:rPr>
                <w:rFonts w:ascii="Arial Narrow" w:hAnsi="Arial Narrow"/>
                <w:sz w:val="20"/>
              </w:rPr>
            </w:pPr>
          </w:p>
          <w:p w:rsidR="00147A1C" w:rsidRPr="00260CE3" w:rsidRDefault="00147A1C" w:rsidP="008F4262">
            <w:pPr>
              <w:keepNext/>
              <w:widowControl/>
              <w:ind w:left="-108"/>
              <w:rPr>
                <w:rFonts w:ascii="Arial Narrow" w:hAnsi="Arial Narrow"/>
                <w:sz w:val="20"/>
              </w:rPr>
            </w:pPr>
            <w:r w:rsidRPr="00260CE3">
              <w:rPr>
                <w:rFonts w:ascii="Arial Narrow" w:hAnsi="Arial Narrow"/>
                <w:sz w:val="20"/>
              </w:rPr>
              <w:t>$</w:t>
            </w:r>
            <w:r w:rsidR="0017165E">
              <w:rPr>
                <w:rFonts w:ascii="Arial Narrow" w:hAnsi="Arial Narrow"/>
                <w:noProof/>
                <w:color w:val="000000"/>
                <w:sz w:val="20"/>
                <w:highlight w:val="black"/>
              </w:rPr>
              <w:t>''''''''''''''''''''''</w:t>
            </w:r>
          </w:p>
        </w:tc>
        <w:tc>
          <w:tcPr>
            <w:tcW w:w="1276" w:type="dxa"/>
          </w:tcPr>
          <w:p w:rsidR="00147A1C" w:rsidRPr="00851838" w:rsidRDefault="00147A1C" w:rsidP="008F4262">
            <w:pPr>
              <w:keepNext/>
              <w:widowControl/>
              <w:rPr>
                <w:rFonts w:ascii="Arial Narrow" w:hAnsi="Arial Narrow"/>
                <w:sz w:val="20"/>
              </w:rPr>
            </w:pPr>
            <w:proofErr w:type="spellStart"/>
            <w:r w:rsidRPr="00851838">
              <w:rPr>
                <w:rFonts w:ascii="Arial Narrow" w:hAnsi="Arial Narrow"/>
                <w:sz w:val="20"/>
              </w:rPr>
              <w:t>Jetrea</w:t>
            </w:r>
            <w:proofErr w:type="spellEnd"/>
          </w:p>
        </w:tc>
        <w:tc>
          <w:tcPr>
            <w:tcW w:w="708" w:type="dxa"/>
          </w:tcPr>
          <w:p w:rsidR="00147A1C" w:rsidRPr="00260CE3" w:rsidRDefault="00147A1C" w:rsidP="008F4262">
            <w:pPr>
              <w:keepNext/>
              <w:widowControl/>
              <w:rPr>
                <w:rFonts w:ascii="Arial Narrow" w:hAnsi="Arial Narrow"/>
                <w:sz w:val="20"/>
              </w:rPr>
            </w:pPr>
            <w:r>
              <w:rPr>
                <w:rFonts w:ascii="Arial Narrow" w:hAnsi="Arial Narrow"/>
                <w:sz w:val="20"/>
              </w:rPr>
              <w:t>Alcon</w:t>
            </w:r>
          </w:p>
        </w:tc>
      </w:tr>
      <w:tr w:rsidR="00147A1C" w:rsidRPr="00260CE3" w:rsidTr="00701164">
        <w:trPr>
          <w:cantSplit/>
          <w:trHeight w:val="360"/>
        </w:trPr>
        <w:tc>
          <w:tcPr>
            <w:tcW w:w="8363" w:type="dxa"/>
            <w:gridSpan w:val="7"/>
            <w:tcBorders>
              <w:bottom w:val="single" w:sz="4" w:space="0" w:color="auto"/>
            </w:tcBorders>
          </w:tcPr>
          <w:p w:rsidR="00147A1C" w:rsidRPr="00260CE3" w:rsidRDefault="00147A1C" w:rsidP="008F4262">
            <w:pPr>
              <w:widowControl/>
              <w:rPr>
                <w:rFonts w:ascii="Arial Narrow" w:hAnsi="Arial Narrow"/>
                <w:sz w:val="20"/>
              </w:rPr>
            </w:pPr>
          </w:p>
        </w:tc>
      </w:tr>
      <w:tr w:rsidR="00147A1C" w:rsidRPr="00260CE3" w:rsidTr="00701164">
        <w:trPr>
          <w:cantSplit/>
          <w:trHeight w:val="360"/>
        </w:trPr>
        <w:tc>
          <w:tcPr>
            <w:tcW w:w="2552" w:type="dxa"/>
            <w:tcBorders>
              <w:top w:val="single" w:sz="4" w:space="0" w:color="auto"/>
              <w:left w:val="single" w:sz="4" w:space="0" w:color="auto"/>
              <w:bottom w:val="single" w:sz="4" w:space="0" w:color="auto"/>
              <w:right w:val="single" w:sz="4" w:space="0" w:color="auto"/>
            </w:tcBorders>
          </w:tcPr>
          <w:p w:rsidR="00147A1C" w:rsidRPr="00260CE3" w:rsidRDefault="00147A1C" w:rsidP="008F4262">
            <w:pPr>
              <w:widowControl/>
              <w:rPr>
                <w:rFonts w:ascii="Arial Narrow" w:hAnsi="Arial Narrow"/>
                <w:b/>
                <w:sz w:val="20"/>
              </w:rPr>
            </w:pPr>
            <w:r w:rsidRPr="00260CE3">
              <w:rPr>
                <w:rFonts w:ascii="Arial Narrow" w:hAnsi="Arial Narrow"/>
                <w:b/>
                <w:sz w:val="20"/>
              </w:rPr>
              <w:t>Category / Program</w:t>
            </w:r>
          </w:p>
        </w:tc>
        <w:tc>
          <w:tcPr>
            <w:tcW w:w="5811" w:type="dxa"/>
            <w:gridSpan w:val="6"/>
            <w:tcBorders>
              <w:top w:val="single" w:sz="4" w:space="0" w:color="auto"/>
              <w:left w:val="single" w:sz="4" w:space="0" w:color="auto"/>
              <w:bottom w:val="single" w:sz="4" w:space="0" w:color="auto"/>
              <w:right w:val="single" w:sz="4" w:space="0" w:color="auto"/>
            </w:tcBorders>
          </w:tcPr>
          <w:p w:rsidR="00147A1C" w:rsidRPr="00260CE3" w:rsidRDefault="00147A1C" w:rsidP="008F4262">
            <w:pPr>
              <w:widowControl/>
              <w:rPr>
                <w:rFonts w:ascii="Arial Narrow" w:hAnsi="Arial Narrow"/>
                <w:sz w:val="20"/>
              </w:rPr>
            </w:pPr>
            <w:r w:rsidRPr="00260CE3">
              <w:rPr>
                <w:rFonts w:ascii="Arial Narrow" w:hAnsi="Arial Narrow"/>
                <w:sz w:val="20"/>
              </w:rPr>
              <w:t>GENERAL – General Schedule (Code GE)</w:t>
            </w:r>
          </w:p>
        </w:tc>
      </w:tr>
      <w:tr w:rsidR="00147A1C" w:rsidRPr="00260CE3" w:rsidTr="00701164">
        <w:trPr>
          <w:cantSplit/>
          <w:trHeight w:val="360"/>
        </w:trPr>
        <w:tc>
          <w:tcPr>
            <w:tcW w:w="2552" w:type="dxa"/>
            <w:tcBorders>
              <w:top w:val="single" w:sz="4" w:space="0" w:color="auto"/>
              <w:left w:val="single" w:sz="4" w:space="0" w:color="auto"/>
              <w:bottom w:val="single" w:sz="4" w:space="0" w:color="auto"/>
              <w:right w:val="single" w:sz="4" w:space="0" w:color="auto"/>
            </w:tcBorders>
          </w:tcPr>
          <w:p w:rsidR="00147A1C" w:rsidRPr="00260CE3" w:rsidRDefault="00147A1C" w:rsidP="008F4262">
            <w:pPr>
              <w:widowControl/>
              <w:rPr>
                <w:rFonts w:ascii="Arial Narrow" w:hAnsi="Arial Narrow"/>
                <w:b/>
                <w:sz w:val="20"/>
              </w:rPr>
            </w:pPr>
            <w:r w:rsidRPr="00260CE3">
              <w:rPr>
                <w:rFonts w:ascii="Arial Narrow" w:hAnsi="Arial Narrow"/>
                <w:b/>
                <w:sz w:val="20"/>
              </w:rPr>
              <w:t>Prescriber type:</w:t>
            </w:r>
          </w:p>
        </w:tc>
        <w:tc>
          <w:tcPr>
            <w:tcW w:w="5811" w:type="dxa"/>
            <w:gridSpan w:val="6"/>
            <w:tcBorders>
              <w:top w:val="single" w:sz="4" w:space="0" w:color="auto"/>
              <w:left w:val="single" w:sz="4" w:space="0" w:color="auto"/>
              <w:bottom w:val="single" w:sz="4" w:space="0" w:color="auto"/>
              <w:right w:val="single" w:sz="4" w:space="0" w:color="auto"/>
            </w:tcBorders>
          </w:tcPr>
          <w:p w:rsidR="00147A1C" w:rsidRPr="00260CE3" w:rsidRDefault="00864799" w:rsidP="008F4262">
            <w:pPr>
              <w:widowControl/>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00147A1C" w:rsidRPr="00260CE3">
              <w:rPr>
                <w:rFonts w:ascii="Arial Narrow" w:hAnsi="Arial Narrow"/>
                <w:sz w:val="20"/>
              </w:rPr>
              <w:instrText xml:space="preserve"> FORMCHECKBOX </w:instrText>
            </w:r>
            <w:r w:rsidR="007E32FA">
              <w:rPr>
                <w:rFonts w:ascii="Arial Narrow" w:hAnsi="Arial Narrow"/>
                <w:sz w:val="20"/>
              </w:rPr>
            </w:r>
            <w:r w:rsidR="007E32FA">
              <w:rPr>
                <w:rFonts w:ascii="Arial Narrow" w:hAnsi="Arial Narrow"/>
                <w:sz w:val="20"/>
              </w:rPr>
              <w:fldChar w:fldCharType="separate"/>
            </w:r>
            <w:r w:rsidRPr="00260CE3">
              <w:rPr>
                <w:rFonts w:ascii="Arial Narrow" w:hAnsi="Arial Narrow"/>
                <w:sz w:val="20"/>
              </w:rPr>
              <w:fldChar w:fldCharType="end"/>
            </w:r>
            <w:r w:rsidR="00147A1C"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sidR="00147A1C">
              <w:rPr>
                <w:rFonts w:ascii="Arial Narrow" w:hAnsi="Arial Narrow"/>
                <w:sz w:val="20"/>
              </w:rPr>
              <w:instrText xml:space="preserve"> FORMCHECKBOX </w:instrText>
            </w:r>
            <w:r w:rsidR="007E32FA">
              <w:rPr>
                <w:rFonts w:ascii="Arial Narrow" w:hAnsi="Arial Narrow"/>
                <w:sz w:val="20"/>
              </w:rPr>
            </w:r>
            <w:r w:rsidR="007E32FA">
              <w:rPr>
                <w:rFonts w:ascii="Arial Narrow" w:hAnsi="Arial Narrow"/>
                <w:sz w:val="20"/>
              </w:rPr>
              <w:fldChar w:fldCharType="separate"/>
            </w:r>
            <w:r>
              <w:rPr>
                <w:rFonts w:ascii="Arial Narrow" w:hAnsi="Arial Narrow"/>
                <w:sz w:val="20"/>
              </w:rPr>
              <w:fldChar w:fldCharType="end"/>
            </w:r>
            <w:r w:rsidR="00147A1C"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00147A1C" w:rsidRPr="00260CE3">
              <w:rPr>
                <w:rFonts w:ascii="Arial Narrow" w:hAnsi="Arial Narrow"/>
                <w:sz w:val="20"/>
              </w:rPr>
              <w:instrText xml:space="preserve"> FORMCHECKBOX </w:instrText>
            </w:r>
            <w:r w:rsidR="007E32FA">
              <w:rPr>
                <w:rFonts w:ascii="Arial Narrow" w:hAnsi="Arial Narrow"/>
                <w:sz w:val="20"/>
              </w:rPr>
            </w:r>
            <w:r w:rsidR="007E32FA">
              <w:rPr>
                <w:rFonts w:ascii="Arial Narrow" w:hAnsi="Arial Narrow"/>
                <w:sz w:val="20"/>
              </w:rPr>
              <w:fldChar w:fldCharType="separate"/>
            </w:r>
            <w:r w:rsidRPr="00260CE3">
              <w:rPr>
                <w:rFonts w:ascii="Arial Narrow" w:hAnsi="Arial Narrow"/>
                <w:sz w:val="20"/>
              </w:rPr>
              <w:fldChar w:fldCharType="end"/>
            </w:r>
            <w:r w:rsidR="00147A1C"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00147A1C" w:rsidRPr="00260CE3">
              <w:rPr>
                <w:rFonts w:ascii="Arial Narrow" w:hAnsi="Arial Narrow"/>
                <w:sz w:val="20"/>
              </w:rPr>
              <w:instrText xml:space="preserve"> FORMCHECKBOX </w:instrText>
            </w:r>
            <w:r w:rsidR="007E32FA">
              <w:rPr>
                <w:rFonts w:ascii="Arial Narrow" w:hAnsi="Arial Narrow"/>
                <w:sz w:val="20"/>
              </w:rPr>
            </w:r>
            <w:r w:rsidR="007E32FA">
              <w:rPr>
                <w:rFonts w:ascii="Arial Narrow" w:hAnsi="Arial Narrow"/>
                <w:sz w:val="20"/>
              </w:rPr>
              <w:fldChar w:fldCharType="separate"/>
            </w:r>
            <w:r w:rsidRPr="00260CE3">
              <w:rPr>
                <w:rFonts w:ascii="Arial Narrow" w:hAnsi="Arial Narrow"/>
                <w:sz w:val="20"/>
              </w:rPr>
              <w:fldChar w:fldCharType="end"/>
            </w:r>
            <w:r w:rsidR="00147A1C" w:rsidRPr="00260CE3">
              <w:rPr>
                <w:rFonts w:ascii="Arial Narrow" w:hAnsi="Arial Narrow"/>
                <w:sz w:val="20"/>
              </w:rPr>
              <w:t>Optometrists</w:t>
            </w:r>
          </w:p>
          <w:p w:rsidR="00147A1C" w:rsidRPr="00260CE3" w:rsidRDefault="00864799" w:rsidP="008F4262">
            <w:pPr>
              <w:widowControl/>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00147A1C" w:rsidRPr="00260CE3">
              <w:rPr>
                <w:rFonts w:ascii="Arial Narrow" w:hAnsi="Arial Narrow"/>
                <w:sz w:val="20"/>
              </w:rPr>
              <w:instrText xml:space="preserve"> FORMCHECKBOX </w:instrText>
            </w:r>
            <w:r w:rsidR="007E32FA">
              <w:rPr>
                <w:rFonts w:ascii="Arial Narrow" w:hAnsi="Arial Narrow"/>
                <w:sz w:val="20"/>
              </w:rPr>
            </w:r>
            <w:r w:rsidR="007E32FA">
              <w:rPr>
                <w:rFonts w:ascii="Arial Narrow" w:hAnsi="Arial Narrow"/>
                <w:sz w:val="20"/>
              </w:rPr>
              <w:fldChar w:fldCharType="separate"/>
            </w:r>
            <w:r w:rsidRPr="00260CE3">
              <w:rPr>
                <w:rFonts w:ascii="Arial Narrow" w:hAnsi="Arial Narrow"/>
                <w:sz w:val="20"/>
              </w:rPr>
              <w:fldChar w:fldCharType="end"/>
            </w:r>
            <w:r w:rsidR="00147A1C" w:rsidRPr="00260CE3">
              <w:rPr>
                <w:rFonts w:ascii="Arial Narrow" w:hAnsi="Arial Narrow"/>
                <w:sz w:val="20"/>
              </w:rPr>
              <w:t>Midwives</w:t>
            </w:r>
          </w:p>
        </w:tc>
      </w:tr>
      <w:tr w:rsidR="00147A1C" w:rsidRPr="00260CE3" w:rsidTr="00701164">
        <w:trPr>
          <w:cantSplit/>
          <w:trHeight w:val="360"/>
        </w:trPr>
        <w:tc>
          <w:tcPr>
            <w:tcW w:w="2552" w:type="dxa"/>
            <w:tcBorders>
              <w:top w:val="single" w:sz="4" w:space="0" w:color="auto"/>
              <w:left w:val="single" w:sz="4" w:space="0" w:color="auto"/>
              <w:bottom w:val="single" w:sz="4" w:space="0" w:color="auto"/>
              <w:right w:val="single" w:sz="4" w:space="0" w:color="auto"/>
            </w:tcBorders>
          </w:tcPr>
          <w:p w:rsidR="00147A1C" w:rsidRPr="00260CE3" w:rsidRDefault="00147A1C" w:rsidP="008F4262">
            <w:pPr>
              <w:widowControl/>
              <w:rPr>
                <w:rFonts w:ascii="Arial Narrow" w:hAnsi="Arial Narrow"/>
                <w:b/>
                <w:sz w:val="20"/>
              </w:rPr>
            </w:pPr>
            <w:proofErr w:type="spellStart"/>
            <w:r w:rsidRPr="00260CE3">
              <w:rPr>
                <w:rFonts w:ascii="Arial Narrow" w:hAnsi="Arial Narrow"/>
                <w:b/>
                <w:sz w:val="20"/>
              </w:rPr>
              <w:t>Episodicity</w:t>
            </w:r>
            <w:proofErr w:type="spellEnd"/>
            <w:r w:rsidRPr="00260CE3">
              <w:rPr>
                <w:rFonts w:ascii="Arial Narrow" w:hAnsi="Arial Narrow"/>
                <w:b/>
                <w:sz w:val="20"/>
              </w:rPr>
              <w:t>:</w:t>
            </w:r>
          </w:p>
        </w:tc>
        <w:tc>
          <w:tcPr>
            <w:tcW w:w="5811" w:type="dxa"/>
            <w:gridSpan w:val="6"/>
            <w:tcBorders>
              <w:top w:val="single" w:sz="4" w:space="0" w:color="auto"/>
              <w:left w:val="single" w:sz="4" w:space="0" w:color="auto"/>
              <w:bottom w:val="single" w:sz="4" w:space="0" w:color="auto"/>
              <w:right w:val="single" w:sz="4" w:space="0" w:color="auto"/>
            </w:tcBorders>
          </w:tcPr>
          <w:p w:rsidR="00147A1C" w:rsidRPr="00260CE3" w:rsidRDefault="00147A1C" w:rsidP="008F4262">
            <w:pPr>
              <w:widowControl/>
              <w:rPr>
                <w:rFonts w:ascii="Arial Narrow" w:hAnsi="Arial Narrow"/>
                <w:sz w:val="20"/>
              </w:rPr>
            </w:pPr>
            <w:r>
              <w:rPr>
                <w:rFonts w:ascii="Arial Narrow" w:hAnsi="Arial Narrow"/>
                <w:sz w:val="20"/>
              </w:rPr>
              <w:t>-</w:t>
            </w:r>
          </w:p>
        </w:tc>
      </w:tr>
      <w:tr w:rsidR="00147A1C" w:rsidRPr="00260CE3" w:rsidTr="00701164">
        <w:trPr>
          <w:cantSplit/>
          <w:trHeight w:val="360"/>
        </w:trPr>
        <w:tc>
          <w:tcPr>
            <w:tcW w:w="2552" w:type="dxa"/>
            <w:tcBorders>
              <w:top w:val="single" w:sz="4" w:space="0" w:color="auto"/>
              <w:left w:val="single" w:sz="4" w:space="0" w:color="auto"/>
              <w:bottom w:val="single" w:sz="4" w:space="0" w:color="auto"/>
              <w:right w:val="single" w:sz="4" w:space="0" w:color="auto"/>
            </w:tcBorders>
          </w:tcPr>
          <w:p w:rsidR="00147A1C" w:rsidRPr="00260CE3" w:rsidRDefault="00147A1C" w:rsidP="008F4262">
            <w:pPr>
              <w:widowControl/>
              <w:rPr>
                <w:rFonts w:ascii="Arial Narrow" w:hAnsi="Arial Narrow"/>
                <w:b/>
                <w:sz w:val="20"/>
              </w:rPr>
            </w:pPr>
            <w:r w:rsidRPr="00260CE3">
              <w:rPr>
                <w:rFonts w:ascii="Arial Narrow" w:hAnsi="Arial Narrow"/>
                <w:b/>
                <w:sz w:val="20"/>
              </w:rPr>
              <w:t>Severity:</w:t>
            </w:r>
          </w:p>
        </w:tc>
        <w:tc>
          <w:tcPr>
            <w:tcW w:w="5811" w:type="dxa"/>
            <w:gridSpan w:val="6"/>
            <w:tcBorders>
              <w:top w:val="single" w:sz="4" w:space="0" w:color="auto"/>
              <w:left w:val="single" w:sz="4" w:space="0" w:color="auto"/>
              <w:bottom w:val="single" w:sz="4" w:space="0" w:color="auto"/>
              <w:right w:val="single" w:sz="4" w:space="0" w:color="auto"/>
            </w:tcBorders>
          </w:tcPr>
          <w:p w:rsidR="00147A1C" w:rsidRPr="00260CE3" w:rsidRDefault="00147A1C" w:rsidP="008F4262">
            <w:pPr>
              <w:widowControl/>
              <w:rPr>
                <w:rFonts w:ascii="Arial Narrow" w:hAnsi="Arial Narrow"/>
                <w:sz w:val="20"/>
              </w:rPr>
            </w:pPr>
            <w:r>
              <w:rPr>
                <w:rFonts w:ascii="Arial Narrow" w:hAnsi="Arial Narrow"/>
                <w:sz w:val="20"/>
              </w:rPr>
              <w:t>-</w:t>
            </w:r>
          </w:p>
        </w:tc>
      </w:tr>
      <w:tr w:rsidR="00147A1C" w:rsidRPr="00260CE3" w:rsidTr="00701164">
        <w:trPr>
          <w:cantSplit/>
          <w:trHeight w:val="360"/>
        </w:trPr>
        <w:tc>
          <w:tcPr>
            <w:tcW w:w="2552" w:type="dxa"/>
            <w:tcBorders>
              <w:top w:val="single" w:sz="4" w:space="0" w:color="auto"/>
              <w:left w:val="single" w:sz="4" w:space="0" w:color="auto"/>
              <w:bottom w:val="single" w:sz="4" w:space="0" w:color="auto"/>
              <w:right w:val="single" w:sz="4" w:space="0" w:color="auto"/>
            </w:tcBorders>
          </w:tcPr>
          <w:p w:rsidR="00147A1C" w:rsidRPr="00260CE3" w:rsidRDefault="00147A1C" w:rsidP="008F4262">
            <w:pPr>
              <w:widowControl/>
              <w:rPr>
                <w:rFonts w:ascii="Arial Narrow" w:hAnsi="Arial Narrow"/>
                <w:b/>
                <w:sz w:val="20"/>
              </w:rPr>
            </w:pPr>
            <w:r w:rsidRPr="00260CE3">
              <w:rPr>
                <w:rFonts w:ascii="Arial Narrow" w:hAnsi="Arial Narrow"/>
                <w:b/>
                <w:sz w:val="20"/>
              </w:rPr>
              <w:t>Condition:</w:t>
            </w:r>
          </w:p>
        </w:tc>
        <w:tc>
          <w:tcPr>
            <w:tcW w:w="5811" w:type="dxa"/>
            <w:gridSpan w:val="6"/>
            <w:tcBorders>
              <w:top w:val="single" w:sz="4" w:space="0" w:color="auto"/>
              <w:left w:val="single" w:sz="4" w:space="0" w:color="auto"/>
              <w:bottom w:val="single" w:sz="4" w:space="0" w:color="auto"/>
              <w:right w:val="single" w:sz="4" w:space="0" w:color="auto"/>
            </w:tcBorders>
          </w:tcPr>
          <w:p w:rsidR="00147A1C" w:rsidRPr="00260CE3" w:rsidRDefault="00147A1C" w:rsidP="008F4262">
            <w:pPr>
              <w:widowControl/>
              <w:rPr>
                <w:rFonts w:ascii="Arial Narrow" w:hAnsi="Arial Narrow"/>
                <w:sz w:val="20"/>
              </w:rPr>
            </w:pPr>
            <w:proofErr w:type="spellStart"/>
            <w:r w:rsidRPr="00A8554C">
              <w:rPr>
                <w:rFonts w:ascii="Arial Narrow" w:hAnsi="Arial Narrow"/>
                <w:sz w:val="20"/>
              </w:rPr>
              <w:t>Vitreomacular</w:t>
            </w:r>
            <w:proofErr w:type="spellEnd"/>
            <w:r w:rsidRPr="00A8554C">
              <w:rPr>
                <w:rFonts w:ascii="Arial Narrow" w:hAnsi="Arial Narrow"/>
                <w:sz w:val="20"/>
              </w:rPr>
              <w:t xml:space="preserve"> traction</w:t>
            </w:r>
            <w:r>
              <w:rPr>
                <w:rFonts w:ascii="Arial Narrow" w:hAnsi="Arial Narrow"/>
                <w:sz w:val="20"/>
              </w:rPr>
              <w:t xml:space="preserve"> </w:t>
            </w:r>
            <w:r>
              <w:rPr>
                <w:rFonts w:ascii="Arial Narrow" w:hAnsi="Arial Narrow"/>
                <w:i/>
                <w:sz w:val="20"/>
              </w:rPr>
              <w:t xml:space="preserve">syndrome </w:t>
            </w:r>
            <w:r w:rsidRPr="005705A5">
              <w:rPr>
                <w:rFonts w:ascii="Arial Narrow" w:hAnsi="Arial Narrow"/>
                <w:strike/>
                <w:sz w:val="20"/>
              </w:rPr>
              <w:t xml:space="preserve">including those with  </w:t>
            </w:r>
            <w:r>
              <w:rPr>
                <w:rFonts w:ascii="Arial Narrow" w:hAnsi="Arial Narrow"/>
                <w:strike/>
                <w:sz w:val="20"/>
              </w:rPr>
              <w:t>FTMH</w:t>
            </w:r>
          </w:p>
        </w:tc>
      </w:tr>
      <w:tr w:rsidR="00147A1C" w:rsidRPr="00260CE3" w:rsidTr="00701164">
        <w:trPr>
          <w:cantSplit/>
          <w:trHeight w:val="360"/>
        </w:trPr>
        <w:tc>
          <w:tcPr>
            <w:tcW w:w="2552" w:type="dxa"/>
            <w:tcBorders>
              <w:top w:val="single" w:sz="4" w:space="0" w:color="auto"/>
              <w:left w:val="single" w:sz="4" w:space="0" w:color="auto"/>
              <w:bottom w:val="single" w:sz="4" w:space="0" w:color="auto"/>
              <w:right w:val="single" w:sz="4" w:space="0" w:color="auto"/>
            </w:tcBorders>
          </w:tcPr>
          <w:p w:rsidR="00147A1C" w:rsidRPr="00AE058A" w:rsidRDefault="00147A1C" w:rsidP="008F4262">
            <w:pPr>
              <w:widowControl/>
              <w:rPr>
                <w:rFonts w:ascii="Arial Narrow" w:hAnsi="Arial Narrow"/>
                <w:i/>
                <w:sz w:val="20"/>
              </w:rPr>
            </w:pPr>
            <w:r w:rsidRPr="00260CE3">
              <w:rPr>
                <w:rFonts w:ascii="Arial Narrow" w:hAnsi="Arial Narrow"/>
                <w:b/>
                <w:sz w:val="20"/>
              </w:rPr>
              <w:t>PBS Indication:</w:t>
            </w:r>
          </w:p>
        </w:tc>
        <w:tc>
          <w:tcPr>
            <w:tcW w:w="5811" w:type="dxa"/>
            <w:gridSpan w:val="6"/>
            <w:tcBorders>
              <w:top w:val="single" w:sz="4" w:space="0" w:color="auto"/>
              <w:left w:val="single" w:sz="4" w:space="0" w:color="auto"/>
              <w:bottom w:val="single" w:sz="4" w:space="0" w:color="auto"/>
              <w:right w:val="single" w:sz="4" w:space="0" w:color="auto"/>
            </w:tcBorders>
          </w:tcPr>
          <w:p w:rsidR="00147A1C" w:rsidRPr="00260CE3" w:rsidRDefault="00147A1C" w:rsidP="008F4262">
            <w:pPr>
              <w:widowControl/>
              <w:rPr>
                <w:rFonts w:ascii="Arial Narrow" w:hAnsi="Arial Narrow"/>
                <w:sz w:val="20"/>
              </w:rPr>
            </w:pPr>
            <w:proofErr w:type="spellStart"/>
            <w:r w:rsidRPr="00A8554C">
              <w:rPr>
                <w:rFonts w:ascii="Arial Narrow" w:hAnsi="Arial Narrow"/>
                <w:sz w:val="20"/>
              </w:rPr>
              <w:t>Vitreomacular</w:t>
            </w:r>
            <w:proofErr w:type="spellEnd"/>
            <w:r w:rsidRPr="00A8554C">
              <w:rPr>
                <w:rFonts w:ascii="Arial Narrow" w:hAnsi="Arial Narrow"/>
                <w:sz w:val="20"/>
              </w:rPr>
              <w:t xml:space="preserve"> traction</w:t>
            </w:r>
            <w:r>
              <w:rPr>
                <w:rFonts w:ascii="Arial Narrow" w:hAnsi="Arial Narrow"/>
                <w:sz w:val="20"/>
              </w:rPr>
              <w:t xml:space="preserve"> </w:t>
            </w:r>
            <w:r>
              <w:rPr>
                <w:rFonts w:ascii="Arial Narrow" w:hAnsi="Arial Narrow"/>
                <w:i/>
                <w:sz w:val="20"/>
              </w:rPr>
              <w:t>syndrome</w:t>
            </w:r>
            <w:r>
              <w:rPr>
                <w:rFonts w:ascii="Arial Narrow" w:hAnsi="Arial Narrow"/>
                <w:sz w:val="20"/>
              </w:rPr>
              <w:t xml:space="preserve"> </w:t>
            </w:r>
            <w:r w:rsidRPr="005705A5">
              <w:rPr>
                <w:rFonts w:ascii="Arial Narrow" w:hAnsi="Arial Narrow"/>
                <w:strike/>
                <w:sz w:val="20"/>
              </w:rPr>
              <w:t xml:space="preserve">including those with  </w:t>
            </w:r>
            <w:r>
              <w:rPr>
                <w:rFonts w:ascii="Arial Narrow" w:hAnsi="Arial Narrow"/>
                <w:strike/>
                <w:sz w:val="20"/>
              </w:rPr>
              <w:t>FTMH</w:t>
            </w:r>
          </w:p>
        </w:tc>
      </w:tr>
      <w:tr w:rsidR="00147A1C" w:rsidRPr="00260CE3" w:rsidTr="00701164">
        <w:trPr>
          <w:cantSplit/>
          <w:trHeight w:val="360"/>
        </w:trPr>
        <w:tc>
          <w:tcPr>
            <w:tcW w:w="2552" w:type="dxa"/>
            <w:tcBorders>
              <w:top w:val="single" w:sz="4" w:space="0" w:color="auto"/>
              <w:left w:val="single" w:sz="4" w:space="0" w:color="auto"/>
              <w:bottom w:val="single" w:sz="4" w:space="0" w:color="auto"/>
              <w:right w:val="single" w:sz="4" w:space="0" w:color="auto"/>
            </w:tcBorders>
          </w:tcPr>
          <w:p w:rsidR="00147A1C" w:rsidRPr="00CD28F3" w:rsidRDefault="00147A1C" w:rsidP="008F4262">
            <w:pPr>
              <w:widowControl/>
              <w:rPr>
                <w:rFonts w:ascii="Arial Narrow" w:hAnsi="Arial Narrow"/>
                <w:i/>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5811" w:type="dxa"/>
            <w:gridSpan w:val="6"/>
            <w:tcBorders>
              <w:top w:val="single" w:sz="4" w:space="0" w:color="auto"/>
              <w:left w:val="single" w:sz="4" w:space="0" w:color="auto"/>
              <w:bottom w:val="single" w:sz="4" w:space="0" w:color="auto"/>
              <w:right w:val="single" w:sz="4" w:space="0" w:color="auto"/>
            </w:tcBorders>
          </w:tcPr>
          <w:p w:rsidR="00147A1C" w:rsidRPr="00106BCF" w:rsidRDefault="00864799" w:rsidP="008F4262">
            <w:pPr>
              <w:widowControl/>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00147A1C" w:rsidRPr="00106BCF">
              <w:rPr>
                <w:rFonts w:ascii="Arial Narrow" w:hAnsi="Arial Narrow"/>
                <w:sz w:val="20"/>
              </w:rPr>
              <w:instrText xml:space="preserve"> FORMCHECKBOX </w:instrText>
            </w:r>
            <w:r w:rsidR="007E32FA">
              <w:rPr>
                <w:rFonts w:ascii="Arial Narrow" w:hAnsi="Arial Narrow"/>
                <w:sz w:val="20"/>
              </w:rPr>
            </w:r>
            <w:r w:rsidR="007E32FA">
              <w:rPr>
                <w:rFonts w:ascii="Arial Narrow" w:hAnsi="Arial Narrow"/>
                <w:sz w:val="20"/>
              </w:rPr>
              <w:fldChar w:fldCharType="separate"/>
            </w:r>
            <w:r w:rsidRPr="00106BCF">
              <w:rPr>
                <w:rFonts w:ascii="Arial Narrow" w:hAnsi="Arial Narrow"/>
                <w:sz w:val="20"/>
              </w:rPr>
              <w:fldChar w:fldCharType="end"/>
            </w:r>
            <w:r w:rsidR="00147A1C" w:rsidRPr="00106BCF">
              <w:rPr>
                <w:rFonts w:ascii="Arial Narrow" w:hAnsi="Arial Narrow"/>
                <w:sz w:val="20"/>
              </w:rPr>
              <w:t>Restricted benefit</w:t>
            </w:r>
          </w:p>
          <w:p w:rsidR="00147A1C" w:rsidRPr="00106BCF" w:rsidRDefault="00864799" w:rsidP="008F4262">
            <w:pPr>
              <w:widowControl/>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sidR="00147A1C">
              <w:rPr>
                <w:rFonts w:ascii="Arial Narrow" w:hAnsi="Arial Narrow"/>
                <w:sz w:val="20"/>
              </w:rPr>
              <w:instrText xml:space="preserve"> FORMCHECKBOX </w:instrText>
            </w:r>
            <w:r w:rsidR="007E32FA">
              <w:rPr>
                <w:rFonts w:ascii="Arial Narrow" w:hAnsi="Arial Narrow"/>
                <w:sz w:val="20"/>
              </w:rPr>
            </w:r>
            <w:r w:rsidR="007E32FA">
              <w:rPr>
                <w:rFonts w:ascii="Arial Narrow" w:hAnsi="Arial Narrow"/>
                <w:sz w:val="20"/>
              </w:rPr>
              <w:fldChar w:fldCharType="separate"/>
            </w:r>
            <w:r>
              <w:rPr>
                <w:rFonts w:ascii="Arial Narrow" w:hAnsi="Arial Narrow"/>
                <w:sz w:val="20"/>
              </w:rPr>
              <w:fldChar w:fldCharType="end"/>
            </w:r>
            <w:r w:rsidR="00147A1C" w:rsidRPr="00106BCF">
              <w:rPr>
                <w:rFonts w:ascii="Arial Narrow" w:hAnsi="Arial Narrow"/>
                <w:sz w:val="20"/>
              </w:rPr>
              <w:t>Authority Required - In Writing</w:t>
            </w:r>
          </w:p>
          <w:p w:rsidR="00147A1C" w:rsidRPr="00106BCF" w:rsidRDefault="00864799" w:rsidP="008F4262">
            <w:pPr>
              <w:widowControl/>
              <w:rPr>
                <w:rFonts w:ascii="Arial Narrow" w:hAnsi="Arial Narrow"/>
                <w:sz w:val="20"/>
              </w:rPr>
            </w:pPr>
            <w:r>
              <w:rPr>
                <w:rFonts w:ascii="Arial Narrow" w:hAnsi="Arial Narrow"/>
                <w:sz w:val="20"/>
              </w:rPr>
              <w:fldChar w:fldCharType="begin">
                <w:ffData>
                  <w:name w:val="Check3"/>
                  <w:enabled/>
                  <w:calcOnExit w:val="0"/>
                  <w:checkBox>
                    <w:sizeAuto/>
                    <w:default w:val="1"/>
                  </w:checkBox>
                </w:ffData>
              </w:fldChar>
            </w:r>
            <w:bookmarkStart w:id="3" w:name="Check3"/>
            <w:r w:rsidR="00147A1C">
              <w:rPr>
                <w:rFonts w:ascii="Arial Narrow" w:hAnsi="Arial Narrow"/>
                <w:sz w:val="20"/>
              </w:rPr>
              <w:instrText xml:space="preserve"> FORMCHECKBOX </w:instrText>
            </w:r>
            <w:r w:rsidR="007E32FA">
              <w:rPr>
                <w:rFonts w:ascii="Arial Narrow" w:hAnsi="Arial Narrow"/>
                <w:sz w:val="20"/>
              </w:rPr>
            </w:r>
            <w:r w:rsidR="007E32FA">
              <w:rPr>
                <w:rFonts w:ascii="Arial Narrow" w:hAnsi="Arial Narrow"/>
                <w:sz w:val="20"/>
              </w:rPr>
              <w:fldChar w:fldCharType="separate"/>
            </w:r>
            <w:r>
              <w:rPr>
                <w:rFonts w:ascii="Arial Narrow" w:hAnsi="Arial Narrow"/>
                <w:sz w:val="20"/>
              </w:rPr>
              <w:fldChar w:fldCharType="end"/>
            </w:r>
            <w:bookmarkEnd w:id="3"/>
            <w:r w:rsidR="00147A1C" w:rsidRPr="00106BCF">
              <w:rPr>
                <w:rFonts w:ascii="Arial Narrow" w:hAnsi="Arial Narrow"/>
                <w:sz w:val="20"/>
              </w:rPr>
              <w:t>Authority Required - Telephone</w:t>
            </w:r>
          </w:p>
          <w:p w:rsidR="00147A1C" w:rsidRPr="00106BCF" w:rsidRDefault="00864799" w:rsidP="008F4262">
            <w:pPr>
              <w:widowControl/>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sidR="00147A1C">
              <w:rPr>
                <w:rFonts w:ascii="Arial Narrow" w:hAnsi="Arial Narrow"/>
                <w:sz w:val="20"/>
              </w:rPr>
              <w:instrText xml:space="preserve"> FORMCHECKBOX </w:instrText>
            </w:r>
            <w:r w:rsidR="007E32FA">
              <w:rPr>
                <w:rFonts w:ascii="Arial Narrow" w:hAnsi="Arial Narrow"/>
                <w:sz w:val="20"/>
              </w:rPr>
            </w:r>
            <w:r w:rsidR="007E32FA">
              <w:rPr>
                <w:rFonts w:ascii="Arial Narrow" w:hAnsi="Arial Narrow"/>
                <w:sz w:val="20"/>
              </w:rPr>
              <w:fldChar w:fldCharType="separate"/>
            </w:r>
            <w:r>
              <w:rPr>
                <w:rFonts w:ascii="Arial Narrow" w:hAnsi="Arial Narrow"/>
                <w:sz w:val="20"/>
              </w:rPr>
              <w:fldChar w:fldCharType="end"/>
            </w:r>
            <w:r w:rsidR="00147A1C" w:rsidRPr="00106BCF">
              <w:rPr>
                <w:rFonts w:ascii="Arial Narrow" w:hAnsi="Arial Narrow"/>
                <w:sz w:val="20"/>
              </w:rPr>
              <w:t xml:space="preserve">Authority Required </w:t>
            </w:r>
            <w:r w:rsidR="00147A1C" w:rsidRPr="004332FE">
              <w:rPr>
                <w:rFonts w:ascii="Arial Narrow" w:hAnsi="Arial Narrow"/>
                <w:sz w:val="20"/>
              </w:rPr>
              <w:t>-</w:t>
            </w:r>
            <w:r w:rsidR="00147A1C" w:rsidRPr="00106BCF">
              <w:rPr>
                <w:rFonts w:ascii="Arial Narrow" w:hAnsi="Arial Narrow"/>
                <w:sz w:val="20"/>
              </w:rPr>
              <w:t xml:space="preserve"> Emergency</w:t>
            </w:r>
          </w:p>
          <w:p w:rsidR="00147A1C" w:rsidRPr="00106BCF" w:rsidRDefault="00864799" w:rsidP="008F4262">
            <w:pPr>
              <w:widowControl/>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bookmarkStart w:id="4" w:name="Check5"/>
            <w:r w:rsidR="00147A1C">
              <w:rPr>
                <w:rFonts w:ascii="Arial Narrow" w:hAnsi="Arial Narrow"/>
                <w:sz w:val="20"/>
              </w:rPr>
              <w:instrText xml:space="preserve"> FORMCHECKBOX </w:instrText>
            </w:r>
            <w:r w:rsidR="007E32FA">
              <w:rPr>
                <w:rFonts w:ascii="Arial Narrow" w:hAnsi="Arial Narrow"/>
                <w:sz w:val="20"/>
              </w:rPr>
            </w:r>
            <w:r w:rsidR="007E32FA">
              <w:rPr>
                <w:rFonts w:ascii="Arial Narrow" w:hAnsi="Arial Narrow"/>
                <w:sz w:val="20"/>
              </w:rPr>
              <w:fldChar w:fldCharType="separate"/>
            </w:r>
            <w:r>
              <w:rPr>
                <w:rFonts w:ascii="Arial Narrow" w:hAnsi="Arial Narrow"/>
                <w:sz w:val="20"/>
              </w:rPr>
              <w:fldChar w:fldCharType="end"/>
            </w:r>
            <w:bookmarkEnd w:id="4"/>
            <w:r w:rsidR="00147A1C" w:rsidRPr="00106BCF">
              <w:rPr>
                <w:rFonts w:ascii="Arial Narrow" w:hAnsi="Arial Narrow"/>
                <w:sz w:val="20"/>
              </w:rPr>
              <w:t>Authority Required - Electronic</w:t>
            </w:r>
          </w:p>
          <w:p w:rsidR="00147A1C" w:rsidRPr="00260CE3" w:rsidRDefault="00864799" w:rsidP="008F4262">
            <w:pPr>
              <w:widowControl/>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00147A1C" w:rsidRPr="00106BCF">
              <w:rPr>
                <w:rFonts w:ascii="Arial Narrow" w:hAnsi="Arial Narrow"/>
                <w:sz w:val="20"/>
              </w:rPr>
              <w:instrText xml:space="preserve"> FORMCHECKBOX </w:instrText>
            </w:r>
            <w:r w:rsidR="007E32FA">
              <w:rPr>
                <w:rFonts w:ascii="Arial Narrow" w:hAnsi="Arial Narrow"/>
                <w:sz w:val="20"/>
              </w:rPr>
            </w:r>
            <w:r w:rsidR="007E32FA">
              <w:rPr>
                <w:rFonts w:ascii="Arial Narrow" w:hAnsi="Arial Narrow"/>
                <w:sz w:val="20"/>
              </w:rPr>
              <w:fldChar w:fldCharType="separate"/>
            </w:r>
            <w:r w:rsidRPr="00106BCF">
              <w:rPr>
                <w:rFonts w:ascii="Arial Narrow" w:hAnsi="Arial Narrow"/>
                <w:sz w:val="20"/>
              </w:rPr>
              <w:fldChar w:fldCharType="end"/>
            </w:r>
            <w:r w:rsidR="00147A1C" w:rsidRPr="00106BCF">
              <w:rPr>
                <w:rFonts w:ascii="Arial Narrow" w:hAnsi="Arial Narrow"/>
                <w:sz w:val="20"/>
              </w:rPr>
              <w:t>Streamlined</w:t>
            </w:r>
          </w:p>
        </w:tc>
      </w:tr>
      <w:tr w:rsidR="00147A1C" w:rsidRPr="00260CE3" w:rsidTr="00701164">
        <w:trPr>
          <w:cantSplit/>
          <w:trHeight w:val="360"/>
        </w:trPr>
        <w:tc>
          <w:tcPr>
            <w:tcW w:w="2552" w:type="dxa"/>
            <w:tcBorders>
              <w:top w:val="single" w:sz="4" w:space="0" w:color="auto"/>
              <w:left w:val="single" w:sz="4" w:space="0" w:color="auto"/>
              <w:bottom w:val="single" w:sz="4" w:space="0" w:color="auto"/>
              <w:right w:val="single" w:sz="4" w:space="0" w:color="auto"/>
            </w:tcBorders>
          </w:tcPr>
          <w:p w:rsidR="00147A1C" w:rsidRPr="00D8289A" w:rsidRDefault="00147A1C" w:rsidP="008F4262">
            <w:pPr>
              <w:widowControl/>
              <w:rPr>
                <w:rFonts w:ascii="Arial Narrow" w:hAnsi="Arial Narrow"/>
                <w:b/>
                <w:sz w:val="20"/>
              </w:rPr>
            </w:pPr>
            <w:r w:rsidRPr="00260CE3">
              <w:rPr>
                <w:rFonts w:ascii="Arial Narrow" w:hAnsi="Arial Narrow"/>
                <w:b/>
                <w:sz w:val="20"/>
              </w:rPr>
              <w:t>Treatment criteria:</w:t>
            </w:r>
          </w:p>
        </w:tc>
        <w:tc>
          <w:tcPr>
            <w:tcW w:w="5811" w:type="dxa"/>
            <w:gridSpan w:val="6"/>
            <w:tcBorders>
              <w:top w:val="single" w:sz="4" w:space="0" w:color="auto"/>
              <w:left w:val="single" w:sz="4" w:space="0" w:color="auto"/>
              <w:bottom w:val="single" w:sz="4" w:space="0" w:color="auto"/>
              <w:right w:val="single" w:sz="4" w:space="0" w:color="auto"/>
            </w:tcBorders>
          </w:tcPr>
          <w:p w:rsidR="00147A1C" w:rsidRPr="00260CE3" w:rsidRDefault="00147A1C" w:rsidP="008F4262">
            <w:pPr>
              <w:widowControl/>
              <w:rPr>
                <w:rFonts w:ascii="Arial Narrow" w:hAnsi="Arial Narrow"/>
                <w:sz w:val="20"/>
              </w:rPr>
            </w:pPr>
            <w:r w:rsidRPr="00D8289A">
              <w:rPr>
                <w:rFonts w:ascii="Arial Narrow" w:hAnsi="Arial Narrow"/>
                <w:sz w:val="20"/>
              </w:rPr>
              <w:t>Must be treated by an ophthalmologist</w:t>
            </w:r>
          </w:p>
        </w:tc>
      </w:tr>
      <w:tr w:rsidR="00147A1C" w:rsidRPr="00260CE3" w:rsidTr="00701164">
        <w:trPr>
          <w:cantSplit/>
          <w:trHeight w:val="360"/>
        </w:trPr>
        <w:tc>
          <w:tcPr>
            <w:tcW w:w="2552" w:type="dxa"/>
            <w:tcBorders>
              <w:top w:val="single" w:sz="4" w:space="0" w:color="auto"/>
              <w:left w:val="single" w:sz="4" w:space="0" w:color="auto"/>
              <w:bottom w:val="single" w:sz="4" w:space="0" w:color="auto"/>
              <w:right w:val="single" w:sz="4" w:space="0" w:color="auto"/>
            </w:tcBorders>
          </w:tcPr>
          <w:p w:rsidR="00147A1C" w:rsidRPr="00260CE3" w:rsidRDefault="00147A1C" w:rsidP="008F4262">
            <w:pPr>
              <w:widowControl/>
              <w:rPr>
                <w:rFonts w:ascii="Arial Narrow" w:hAnsi="Arial Narrow"/>
                <w:sz w:val="20"/>
              </w:rPr>
            </w:pPr>
            <w:r w:rsidRPr="00260CE3">
              <w:rPr>
                <w:rFonts w:ascii="Arial Narrow" w:hAnsi="Arial Narrow"/>
                <w:b/>
                <w:sz w:val="20"/>
              </w:rPr>
              <w:t>Clinical criteria:</w:t>
            </w:r>
          </w:p>
        </w:tc>
        <w:tc>
          <w:tcPr>
            <w:tcW w:w="5811" w:type="dxa"/>
            <w:gridSpan w:val="6"/>
            <w:tcBorders>
              <w:top w:val="single" w:sz="4" w:space="0" w:color="auto"/>
              <w:left w:val="single" w:sz="4" w:space="0" w:color="auto"/>
              <w:bottom w:val="single" w:sz="4" w:space="0" w:color="auto"/>
              <w:right w:val="single" w:sz="4" w:space="0" w:color="auto"/>
            </w:tcBorders>
          </w:tcPr>
          <w:p w:rsidR="006F4C32" w:rsidRDefault="006F4C32" w:rsidP="008F4262">
            <w:pPr>
              <w:widowControl/>
              <w:rPr>
                <w:rFonts w:ascii="Arial Narrow" w:hAnsi="Arial Narrow"/>
                <w:sz w:val="20"/>
              </w:rPr>
            </w:pPr>
            <w:r w:rsidRPr="00D8289A">
              <w:rPr>
                <w:rFonts w:ascii="Arial Narrow" w:hAnsi="Arial Narrow"/>
                <w:sz w:val="20"/>
              </w:rPr>
              <w:t xml:space="preserve">The condition must be confirmed by ocular coherence tomography </w:t>
            </w:r>
          </w:p>
          <w:p w:rsidR="006F4C32" w:rsidRDefault="006F4C32" w:rsidP="008F4262">
            <w:pPr>
              <w:widowControl/>
              <w:rPr>
                <w:rFonts w:ascii="Arial Narrow" w:hAnsi="Arial Narrow"/>
                <w:sz w:val="20"/>
              </w:rPr>
            </w:pPr>
            <w:r>
              <w:rPr>
                <w:rFonts w:ascii="Arial Narrow" w:hAnsi="Arial Narrow"/>
                <w:sz w:val="20"/>
              </w:rPr>
              <w:t>AND</w:t>
            </w:r>
          </w:p>
          <w:p w:rsidR="006F4C32" w:rsidRPr="00260CE3" w:rsidRDefault="006F4C32" w:rsidP="008F4262">
            <w:pPr>
              <w:widowControl/>
              <w:rPr>
                <w:rFonts w:ascii="Arial Narrow" w:hAnsi="Arial Narrow"/>
                <w:sz w:val="20"/>
              </w:rPr>
            </w:pPr>
            <w:r w:rsidRPr="00D8289A">
              <w:rPr>
                <w:rFonts w:ascii="Arial Narrow" w:hAnsi="Arial Narrow"/>
                <w:sz w:val="20"/>
              </w:rPr>
              <w:t xml:space="preserve">The condition must have an </w:t>
            </w:r>
            <w:proofErr w:type="spellStart"/>
            <w:r w:rsidRPr="00217D2E">
              <w:rPr>
                <w:rFonts w:ascii="Arial Narrow" w:hAnsi="Arial Narrow"/>
                <w:i/>
                <w:sz w:val="20"/>
              </w:rPr>
              <w:t>vitreomacular</w:t>
            </w:r>
            <w:proofErr w:type="spellEnd"/>
            <w:r w:rsidRPr="00217D2E">
              <w:rPr>
                <w:rFonts w:ascii="Arial Narrow" w:hAnsi="Arial Narrow"/>
                <w:sz w:val="20"/>
              </w:rPr>
              <w:t xml:space="preserve"> </w:t>
            </w:r>
            <w:r w:rsidRPr="00D8289A">
              <w:rPr>
                <w:rFonts w:ascii="Arial Narrow" w:hAnsi="Arial Narrow"/>
                <w:sz w:val="20"/>
              </w:rPr>
              <w:t xml:space="preserve">adhesion diameter </w:t>
            </w:r>
            <w:r w:rsidRPr="00217D2E">
              <w:rPr>
                <w:rFonts w:ascii="Arial Narrow" w:hAnsi="Arial Narrow"/>
                <w:i/>
                <w:sz w:val="20"/>
              </w:rPr>
              <w:t xml:space="preserve">less than or equal to </w:t>
            </w:r>
            <w:r w:rsidRPr="00D8289A">
              <w:rPr>
                <w:rFonts w:ascii="Arial Narrow" w:hAnsi="Arial Narrow"/>
                <w:sz w:val="20"/>
              </w:rPr>
              <w:t>1500</w:t>
            </w:r>
            <w:r>
              <w:rPr>
                <w:rFonts w:ascii="Arial Narrow" w:hAnsi="Arial Narrow"/>
                <w:sz w:val="20"/>
              </w:rPr>
              <w:t xml:space="preserve"> </w:t>
            </w:r>
            <w:r w:rsidRPr="00217D2E">
              <w:rPr>
                <w:rFonts w:ascii="Arial Narrow" w:hAnsi="Arial Narrow"/>
                <w:i/>
                <w:sz w:val="20"/>
              </w:rPr>
              <w:t>micrometres</w:t>
            </w:r>
            <w:r>
              <w:rPr>
                <w:rFonts w:ascii="Arial Narrow" w:hAnsi="Arial Narrow"/>
                <w:i/>
                <w:sz w:val="20"/>
              </w:rPr>
              <w:t xml:space="preserve"> as determined by ocular coherence tomography</w:t>
            </w:r>
            <w:r w:rsidRPr="00D8289A">
              <w:rPr>
                <w:rFonts w:ascii="Arial Narrow" w:hAnsi="Arial Narrow"/>
                <w:sz w:val="20"/>
              </w:rPr>
              <w:t xml:space="preserve"> </w:t>
            </w:r>
            <w:r w:rsidRPr="00BF37A0">
              <w:rPr>
                <w:rFonts w:ascii="Arial Narrow" w:hAnsi="Arial Narrow"/>
                <w:strike/>
                <w:sz w:val="20"/>
              </w:rPr>
              <w:t>µm (as determined by OCT)</w:t>
            </w:r>
          </w:p>
          <w:p w:rsidR="006F4C32" w:rsidRDefault="006F4C32" w:rsidP="008F4262">
            <w:pPr>
              <w:widowControl/>
              <w:rPr>
                <w:rFonts w:ascii="Arial Narrow" w:hAnsi="Arial Narrow"/>
                <w:sz w:val="20"/>
              </w:rPr>
            </w:pPr>
            <w:r>
              <w:rPr>
                <w:rFonts w:ascii="Arial Narrow" w:hAnsi="Arial Narrow"/>
                <w:sz w:val="20"/>
              </w:rPr>
              <w:t>AND</w:t>
            </w:r>
          </w:p>
          <w:p w:rsidR="006F4C32" w:rsidRPr="00260CE3" w:rsidRDefault="006F4C32" w:rsidP="008F4262">
            <w:pPr>
              <w:widowControl/>
              <w:rPr>
                <w:rFonts w:ascii="Arial Narrow" w:hAnsi="Arial Narrow"/>
                <w:sz w:val="20"/>
              </w:rPr>
            </w:pPr>
            <w:r w:rsidRPr="00D8289A">
              <w:rPr>
                <w:rFonts w:ascii="Arial Narrow" w:hAnsi="Arial Narrow"/>
                <w:sz w:val="20"/>
              </w:rPr>
              <w:t xml:space="preserve">Patient must not have an </w:t>
            </w:r>
            <w:proofErr w:type="spellStart"/>
            <w:r w:rsidRPr="00D8289A">
              <w:rPr>
                <w:rFonts w:ascii="Arial Narrow" w:hAnsi="Arial Narrow"/>
                <w:sz w:val="20"/>
              </w:rPr>
              <w:t>epiretinal</w:t>
            </w:r>
            <w:proofErr w:type="spellEnd"/>
            <w:r w:rsidRPr="00D8289A">
              <w:rPr>
                <w:rFonts w:ascii="Arial Narrow" w:hAnsi="Arial Narrow"/>
                <w:sz w:val="20"/>
              </w:rPr>
              <w:t xml:space="preserve"> membrane (ERM) attached to the </w:t>
            </w:r>
            <w:proofErr w:type="spellStart"/>
            <w:r>
              <w:rPr>
                <w:rFonts w:ascii="Arial Narrow" w:hAnsi="Arial Narrow"/>
                <w:i/>
                <w:sz w:val="20"/>
              </w:rPr>
              <w:t>v</w:t>
            </w:r>
            <w:r w:rsidRPr="00217D2E">
              <w:rPr>
                <w:rFonts w:ascii="Arial Narrow" w:hAnsi="Arial Narrow"/>
                <w:i/>
                <w:sz w:val="20"/>
              </w:rPr>
              <w:t>itreomacular</w:t>
            </w:r>
            <w:proofErr w:type="spellEnd"/>
            <w:r w:rsidRPr="00217D2E">
              <w:rPr>
                <w:rFonts w:ascii="Arial Narrow" w:hAnsi="Arial Narrow"/>
                <w:i/>
                <w:sz w:val="20"/>
              </w:rPr>
              <w:t xml:space="preserve"> traction </w:t>
            </w:r>
            <w:r>
              <w:rPr>
                <w:rFonts w:ascii="Arial Narrow" w:hAnsi="Arial Narrow"/>
                <w:i/>
                <w:sz w:val="20"/>
              </w:rPr>
              <w:t>(</w:t>
            </w:r>
            <w:r w:rsidRPr="00D8289A">
              <w:rPr>
                <w:rFonts w:ascii="Arial Narrow" w:hAnsi="Arial Narrow"/>
                <w:sz w:val="20"/>
              </w:rPr>
              <w:t>VMT</w:t>
            </w:r>
            <w:r>
              <w:rPr>
                <w:rFonts w:ascii="Arial Narrow" w:hAnsi="Arial Narrow"/>
                <w:sz w:val="20"/>
              </w:rPr>
              <w:t>)</w:t>
            </w:r>
          </w:p>
          <w:p w:rsidR="006F4C32" w:rsidRDefault="006F4C32" w:rsidP="008F4262">
            <w:pPr>
              <w:widowControl/>
              <w:rPr>
                <w:rFonts w:ascii="Arial Narrow" w:hAnsi="Arial Narrow"/>
                <w:sz w:val="20"/>
              </w:rPr>
            </w:pPr>
            <w:r>
              <w:rPr>
                <w:rFonts w:ascii="Arial Narrow" w:hAnsi="Arial Narrow"/>
                <w:sz w:val="20"/>
              </w:rPr>
              <w:t>AND</w:t>
            </w:r>
          </w:p>
          <w:p w:rsidR="00147A1C" w:rsidRPr="00217D2E" w:rsidRDefault="00147A1C" w:rsidP="008F4262">
            <w:pPr>
              <w:widowControl/>
              <w:rPr>
                <w:rFonts w:ascii="Arial Narrow" w:hAnsi="Arial Narrow"/>
                <w:i/>
                <w:sz w:val="20"/>
              </w:rPr>
            </w:pPr>
            <w:r w:rsidRPr="00217D2E">
              <w:rPr>
                <w:rFonts w:ascii="Arial Narrow" w:hAnsi="Arial Narrow"/>
                <w:i/>
                <w:sz w:val="20"/>
              </w:rPr>
              <w:t xml:space="preserve">The patient must have visual impairment due to </w:t>
            </w:r>
            <w:proofErr w:type="spellStart"/>
            <w:r>
              <w:rPr>
                <w:rFonts w:ascii="Arial Narrow" w:hAnsi="Arial Narrow"/>
                <w:i/>
                <w:sz w:val="20"/>
              </w:rPr>
              <w:t>v</w:t>
            </w:r>
            <w:r w:rsidRPr="00217D2E">
              <w:rPr>
                <w:rFonts w:ascii="Arial Narrow" w:hAnsi="Arial Narrow"/>
                <w:i/>
                <w:sz w:val="20"/>
              </w:rPr>
              <w:t>itreomacular</w:t>
            </w:r>
            <w:proofErr w:type="spellEnd"/>
            <w:r w:rsidRPr="00217D2E">
              <w:rPr>
                <w:rFonts w:ascii="Arial Narrow" w:hAnsi="Arial Narrow"/>
                <w:i/>
                <w:sz w:val="20"/>
              </w:rPr>
              <w:t xml:space="preserve"> traction (VMT) without </w:t>
            </w:r>
            <w:r>
              <w:rPr>
                <w:rFonts w:ascii="Arial Narrow" w:hAnsi="Arial Narrow"/>
                <w:i/>
                <w:sz w:val="20"/>
              </w:rPr>
              <w:t xml:space="preserve">a </w:t>
            </w:r>
            <w:r w:rsidRPr="00217D2E">
              <w:rPr>
                <w:rFonts w:ascii="Arial Narrow" w:hAnsi="Arial Narrow"/>
                <w:i/>
                <w:sz w:val="20"/>
              </w:rPr>
              <w:t>full thickness macular hole</w:t>
            </w:r>
            <w:r>
              <w:rPr>
                <w:rFonts w:ascii="Arial Narrow" w:hAnsi="Arial Narrow"/>
                <w:i/>
                <w:sz w:val="20"/>
              </w:rPr>
              <w:t xml:space="preserve"> (FTMH)</w:t>
            </w:r>
          </w:p>
          <w:p w:rsidR="00147A1C" w:rsidRPr="00217D2E" w:rsidRDefault="00147A1C" w:rsidP="008F4262">
            <w:pPr>
              <w:widowControl/>
              <w:rPr>
                <w:rFonts w:ascii="Arial Narrow" w:hAnsi="Arial Narrow"/>
                <w:i/>
                <w:sz w:val="20"/>
              </w:rPr>
            </w:pPr>
            <w:r w:rsidRPr="00217D2E">
              <w:rPr>
                <w:rFonts w:ascii="Arial Narrow" w:hAnsi="Arial Narrow"/>
                <w:i/>
                <w:sz w:val="20"/>
              </w:rPr>
              <w:t xml:space="preserve">OR </w:t>
            </w:r>
          </w:p>
          <w:p w:rsidR="00147A1C" w:rsidRPr="00217D2E" w:rsidRDefault="00147A1C" w:rsidP="008F4262">
            <w:pPr>
              <w:widowControl/>
              <w:rPr>
                <w:rFonts w:ascii="Arial Narrow" w:hAnsi="Arial Narrow"/>
                <w:i/>
                <w:sz w:val="20"/>
              </w:rPr>
            </w:pPr>
            <w:r w:rsidRPr="00217D2E">
              <w:rPr>
                <w:rFonts w:ascii="Arial Narrow" w:hAnsi="Arial Narrow"/>
                <w:i/>
                <w:sz w:val="20"/>
              </w:rPr>
              <w:t xml:space="preserve">The patient must have visual impairment due to </w:t>
            </w:r>
            <w:proofErr w:type="spellStart"/>
            <w:r>
              <w:rPr>
                <w:rFonts w:ascii="Arial Narrow" w:hAnsi="Arial Narrow"/>
                <w:i/>
                <w:sz w:val="20"/>
              </w:rPr>
              <w:t>v</w:t>
            </w:r>
            <w:r w:rsidRPr="00217D2E">
              <w:rPr>
                <w:rFonts w:ascii="Arial Narrow" w:hAnsi="Arial Narrow"/>
                <w:i/>
                <w:sz w:val="20"/>
              </w:rPr>
              <w:t>itreomacular</w:t>
            </w:r>
            <w:proofErr w:type="spellEnd"/>
            <w:r w:rsidRPr="00217D2E">
              <w:rPr>
                <w:rFonts w:ascii="Arial Narrow" w:hAnsi="Arial Narrow"/>
                <w:i/>
                <w:sz w:val="20"/>
              </w:rPr>
              <w:t xml:space="preserve"> traction (VMT) with a full thickness macular hole </w:t>
            </w:r>
            <w:r>
              <w:rPr>
                <w:rFonts w:ascii="Arial Narrow" w:hAnsi="Arial Narrow"/>
                <w:i/>
                <w:sz w:val="20"/>
              </w:rPr>
              <w:t>(FTMH)</w:t>
            </w:r>
            <w:r w:rsidRPr="00217D2E">
              <w:rPr>
                <w:rFonts w:ascii="Arial Narrow" w:hAnsi="Arial Narrow"/>
                <w:i/>
                <w:sz w:val="20"/>
              </w:rPr>
              <w:t xml:space="preserve"> of a diameter of less than or equal to 400 micrometres</w:t>
            </w:r>
            <w:r w:rsidR="008C39B2">
              <w:rPr>
                <w:rFonts w:ascii="Arial Narrow" w:hAnsi="Arial Narrow"/>
                <w:i/>
                <w:sz w:val="20"/>
              </w:rPr>
              <w:t xml:space="preserve"> as determined by ocular coherence tomography</w:t>
            </w:r>
          </w:p>
          <w:p w:rsidR="00147A1C" w:rsidRPr="00217D2E" w:rsidRDefault="00147A1C" w:rsidP="008F4262">
            <w:pPr>
              <w:widowControl/>
              <w:rPr>
                <w:rFonts w:ascii="Arial Narrow" w:hAnsi="Arial Narrow"/>
                <w:i/>
                <w:sz w:val="20"/>
              </w:rPr>
            </w:pPr>
            <w:r w:rsidRPr="00217D2E">
              <w:rPr>
                <w:rFonts w:ascii="Arial Narrow" w:hAnsi="Arial Narrow"/>
                <w:i/>
                <w:sz w:val="20"/>
              </w:rPr>
              <w:t>AND</w:t>
            </w:r>
          </w:p>
          <w:p w:rsidR="00147A1C" w:rsidRPr="00217D2E" w:rsidRDefault="00147A1C" w:rsidP="008F4262">
            <w:pPr>
              <w:widowControl/>
              <w:rPr>
                <w:rFonts w:ascii="Arial Narrow" w:hAnsi="Arial Narrow"/>
                <w:strike/>
                <w:sz w:val="20"/>
              </w:rPr>
            </w:pPr>
            <w:r w:rsidRPr="00217D2E">
              <w:rPr>
                <w:rFonts w:ascii="Arial Narrow" w:hAnsi="Arial Narrow"/>
                <w:strike/>
                <w:sz w:val="20"/>
              </w:rPr>
              <w:t>The macular hole, if applicable, must have traction present and be of a diameter ≤400 µm (as determined by OCT)</w:t>
            </w:r>
          </w:p>
          <w:p w:rsidR="00147A1C" w:rsidRDefault="006F4C32" w:rsidP="008F4262">
            <w:pPr>
              <w:widowControl/>
              <w:rPr>
                <w:rFonts w:ascii="Arial Narrow" w:hAnsi="Arial Narrow"/>
                <w:sz w:val="20"/>
              </w:rPr>
            </w:pPr>
            <w:r>
              <w:rPr>
                <w:rFonts w:ascii="Arial Narrow" w:hAnsi="Arial Narrow"/>
                <w:sz w:val="20"/>
              </w:rPr>
              <w:t>AND</w:t>
            </w:r>
          </w:p>
          <w:p w:rsidR="00147A1C" w:rsidRPr="00A50AB1" w:rsidRDefault="00147A1C" w:rsidP="008F4262">
            <w:pPr>
              <w:widowControl/>
              <w:rPr>
                <w:rFonts w:ascii="Arial Narrow" w:hAnsi="Arial Narrow"/>
                <w:strike/>
                <w:sz w:val="20"/>
              </w:rPr>
            </w:pPr>
            <w:r w:rsidRPr="00A50AB1">
              <w:rPr>
                <w:rFonts w:ascii="Arial Narrow" w:hAnsi="Arial Narrow"/>
                <w:i/>
                <w:sz w:val="20"/>
              </w:rPr>
              <w:t xml:space="preserve">The condition must be previously untreated </w:t>
            </w:r>
            <w:r w:rsidRPr="006B58F6">
              <w:rPr>
                <w:rFonts w:ascii="Arial Narrow" w:hAnsi="Arial Narrow"/>
                <w:i/>
                <w:sz w:val="20"/>
              </w:rPr>
              <w:t>in the eye proposed for treatment</w:t>
            </w:r>
            <w:r w:rsidRPr="00A50AB1">
              <w:rPr>
                <w:rFonts w:ascii="Arial Narrow" w:hAnsi="Arial Narrow"/>
                <w:sz w:val="20"/>
              </w:rPr>
              <w:t xml:space="preserve"> </w:t>
            </w:r>
            <w:r w:rsidRPr="00A50AB1">
              <w:rPr>
                <w:rFonts w:ascii="Arial Narrow" w:hAnsi="Arial Narrow"/>
                <w:strike/>
                <w:sz w:val="20"/>
              </w:rPr>
              <w:t xml:space="preserve">Patient must not have received prior treatment with </w:t>
            </w:r>
            <w:proofErr w:type="spellStart"/>
            <w:r w:rsidRPr="00A50AB1">
              <w:rPr>
                <w:rFonts w:ascii="Arial Narrow" w:hAnsi="Arial Narrow"/>
                <w:strike/>
                <w:sz w:val="20"/>
              </w:rPr>
              <w:t>ocriplasmin</w:t>
            </w:r>
            <w:proofErr w:type="spellEnd"/>
            <w:r w:rsidRPr="00A50AB1">
              <w:rPr>
                <w:rFonts w:ascii="Arial Narrow" w:hAnsi="Arial Narrow"/>
                <w:strike/>
                <w:sz w:val="20"/>
              </w:rPr>
              <w:t xml:space="preserve"> in the same eye</w:t>
            </w:r>
          </w:p>
          <w:p w:rsidR="00147A1C" w:rsidRDefault="00147A1C" w:rsidP="008F4262">
            <w:pPr>
              <w:widowControl/>
              <w:rPr>
                <w:rFonts w:ascii="Arial Narrow" w:hAnsi="Arial Narrow"/>
                <w:sz w:val="20"/>
              </w:rPr>
            </w:pPr>
            <w:r>
              <w:rPr>
                <w:rFonts w:ascii="Arial Narrow" w:hAnsi="Arial Narrow"/>
                <w:sz w:val="20"/>
              </w:rPr>
              <w:t>AND</w:t>
            </w:r>
          </w:p>
          <w:p w:rsidR="00147A1C" w:rsidRDefault="00147A1C" w:rsidP="008F4262">
            <w:pPr>
              <w:widowControl/>
              <w:rPr>
                <w:rFonts w:ascii="Arial Narrow" w:hAnsi="Arial Narrow"/>
                <w:sz w:val="20"/>
              </w:rPr>
            </w:pPr>
            <w:r w:rsidRPr="00A50AB1">
              <w:rPr>
                <w:rFonts w:ascii="Arial Narrow" w:hAnsi="Arial Narrow"/>
                <w:sz w:val="20"/>
              </w:rPr>
              <w:t xml:space="preserve">Patient must not have received prior </w:t>
            </w:r>
            <w:proofErr w:type="spellStart"/>
            <w:r w:rsidRPr="00A50AB1">
              <w:rPr>
                <w:rFonts w:ascii="Arial Narrow" w:hAnsi="Arial Narrow"/>
                <w:sz w:val="20"/>
              </w:rPr>
              <w:t>vitrectomy</w:t>
            </w:r>
            <w:proofErr w:type="spellEnd"/>
            <w:r w:rsidRPr="00A50AB1">
              <w:rPr>
                <w:rFonts w:ascii="Arial Narrow" w:hAnsi="Arial Narrow"/>
                <w:sz w:val="20"/>
              </w:rPr>
              <w:t xml:space="preserve"> </w:t>
            </w:r>
            <w:r w:rsidRPr="006B58F6">
              <w:rPr>
                <w:rFonts w:ascii="Arial Narrow" w:hAnsi="Arial Narrow"/>
                <w:i/>
                <w:sz w:val="20"/>
              </w:rPr>
              <w:t>in the eye proposed for treatment</w:t>
            </w:r>
            <w:r w:rsidRPr="00A50AB1">
              <w:rPr>
                <w:rFonts w:ascii="Arial Narrow" w:hAnsi="Arial Narrow"/>
                <w:sz w:val="20"/>
              </w:rPr>
              <w:t xml:space="preserve"> </w:t>
            </w:r>
            <w:r w:rsidRPr="006B58F6">
              <w:rPr>
                <w:rFonts w:ascii="Arial Narrow" w:hAnsi="Arial Narrow"/>
                <w:strike/>
                <w:sz w:val="20"/>
              </w:rPr>
              <w:t>in the same eye</w:t>
            </w:r>
          </w:p>
          <w:p w:rsidR="00147A1C" w:rsidRDefault="00147A1C" w:rsidP="008F4262">
            <w:pPr>
              <w:widowControl/>
              <w:rPr>
                <w:rFonts w:ascii="Arial Narrow" w:hAnsi="Arial Narrow"/>
                <w:sz w:val="20"/>
              </w:rPr>
            </w:pPr>
            <w:r>
              <w:rPr>
                <w:rFonts w:ascii="Arial Narrow" w:hAnsi="Arial Narrow"/>
                <w:sz w:val="20"/>
              </w:rPr>
              <w:t xml:space="preserve">AND </w:t>
            </w:r>
          </w:p>
          <w:p w:rsidR="00147A1C" w:rsidRDefault="00147A1C" w:rsidP="008F4262">
            <w:pPr>
              <w:widowControl/>
              <w:rPr>
                <w:rFonts w:ascii="Arial Narrow" w:hAnsi="Arial Narrow"/>
                <w:sz w:val="20"/>
              </w:rPr>
            </w:pPr>
            <w:r w:rsidRPr="00D8289A">
              <w:rPr>
                <w:rFonts w:ascii="Arial Narrow" w:hAnsi="Arial Narrow"/>
                <w:sz w:val="20"/>
              </w:rPr>
              <w:t xml:space="preserve">Patient must be symptomatic </w:t>
            </w:r>
            <w:r w:rsidRPr="006B58F6">
              <w:rPr>
                <w:rFonts w:ascii="Arial Narrow" w:hAnsi="Arial Narrow"/>
                <w:strike/>
                <w:sz w:val="20"/>
              </w:rPr>
              <w:t>with severe/intolerable symptoms</w:t>
            </w:r>
          </w:p>
          <w:p w:rsidR="00147A1C" w:rsidRDefault="00147A1C" w:rsidP="008F4262">
            <w:pPr>
              <w:widowControl/>
              <w:rPr>
                <w:rFonts w:ascii="Arial Narrow" w:hAnsi="Arial Narrow"/>
                <w:sz w:val="20"/>
              </w:rPr>
            </w:pPr>
            <w:r>
              <w:rPr>
                <w:rFonts w:ascii="Arial Narrow" w:hAnsi="Arial Narrow"/>
                <w:sz w:val="20"/>
              </w:rPr>
              <w:t xml:space="preserve">AND </w:t>
            </w:r>
          </w:p>
          <w:p w:rsidR="00147A1C" w:rsidRPr="00260CE3" w:rsidRDefault="00147A1C" w:rsidP="008F4262">
            <w:pPr>
              <w:widowControl/>
              <w:rPr>
                <w:rFonts w:ascii="Arial Narrow" w:hAnsi="Arial Narrow"/>
                <w:sz w:val="20"/>
              </w:rPr>
            </w:pPr>
            <w:r w:rsidRPr="000717E5">
              <w:rPr>
                <w:rFonts w:ascii="Arial Narrow" w:hAnsi="Arial Narrow"/>
                <w:i/>
                <w:sz w:val="20"/>
              </w:rPr>
              <w:t>Patient must have documented visual impairment defined as a best corrected visual acuity score of approximate Snellen equivalent 20/25 or worse in the eye proposed for treatment</w:t>
            </w:r>
            <w:r>
              <w:rPr>
                <w:rFonts w:ascii="Arial Narrow" w:hAnsi="Arial Narrow"/>
                <w:sz w:val="20"/>
              </w:rPr>
              <w:t xml:space="preserve"> </w:t>
            </w:r>
            <w:r w:rsidRPr="006B58F6">
              <w:rPr>
                <w:rFonts w:ascii="Arial Narrow" w:hAnsi="Arial Narrow"/>
                <w:strike/>
                <w:sz w:val="20"/>
              </w:rPr>
              <w:t>Patient must have a baseline BCVA of 20/25 or worse in the study eye</w:t>
            </w:r>
          </w:p>
        </w:tc>
      </w:tr>
      <w:tr w:rsidR="00147A1C" w:rsidRPr="00260CE3" w:rsidTr="00701164">
        <w:trPr>
          <w:cantSplit/>
          <w:trHeight w:val="2181"/>
        </w:trPr>
        <w:tc>
          <w:tcPr>
            <w:tcW w:w="2552" w:type="dxa"/>
            <w:tcBorders>
              <w:top w:val="single" w:sz="4" w:space="0" w:color="auto"/>
              <w:left w:val="single" w:sz="4" w:space="0" w:color="auto"/>
              <w:bottom w:val="single" w:sz="4" w:space="0" w:color="auto"/>
              <w:right w:val="single" w:sz="4" w:space="0" w:color="auto"/>
            </w:tcBorders>
          </w:tcPr>
          <w:p w:rsidR="00147A1C" w:rsidRPr="00260CE3" w:rsidRDefault="00147A1C" w:rsidP="008F4262">
            <w:pPr>
              <w:widowControl/>
              <w:rPr>
                <w:rFonts w:ascii="Arial Narrow" w:hAnsi="Arial Narrow"/>
                <w:b/>
                <w:sz w:val="20"/>
              </w:rPr>
            </w:pPr>
            <w:r>
              <w:rPr>
                <w:rFonts w:ascii="Arial Narrow" w:hAnsi="Arial Narrow"/>
                <w:b/>
                <w:sz w:val="20"/>
              </w:rPr>
              <w:lastRenderedPageBreak/>
              <w:t>Prescriber Instructions</w:t>
            </w:r>
          </w:p>
        </w:tc>
        <w:tc>
          <w:tcPr>
            <w:tcW w:w="5811" w:type="dxa"/>
            <w:gridSpan w:val="6"/>
            <w:tcBorders>
              <w:top w:val="single" w:sz="4" w:space="0" w:color="auto"/>
              <w:left w:val="single" w:sz="4" w:space="0" w:color="auto"/>
              <w:bottom w:val="single" w:sz="4" w:space="0" w:color="auto"/>
              <w:right w:val="single" w:sz="4" w:space="0" w:color="auto"/>
            </w:tcBorders>
          </w:tcPr>
          <w:p w:rsidR="00147A1C" w:rsidRPr="005E31A5" w:rsidRDefault="00147A1C" w:rsidP="008F4262">
            <w:pPr>
              <w:pStyle w:val="Default"/>
              <w:rPr>
                <w:rFonts w:ascii="Arial Narrow" w:hAnsi="Arial Narrow"/>
                <w:i/>
                <w:sz w:val="20"/>
                <w:szCs w:val="20"/>
              </w:rPr>
            </w:pPr>
            <w:r w:rsidRPr="005E31A5">
              <w:rPr>
                <w:rFonts w:ascii="Arial Narrow" w:hAnsi="Arial Narrow"/>
                <w:i/>
                <w:sz w:val="20"/>
                <w:szCs w:val="20"/>
              </w:rPr>
              <w:t xml:space="preserve">The authority application for each eye must be made in writing or by telephone. </w:t>
            </w:r>
          </w:p>
          <w:p w:rsidR="00147A1C" w:rsidRPr="005E31A5" w:rsidRDefault="00147A1C" w:rsidP="008F4262">
            <w:pPr>
              <w:pStyle w:val="Default"/>
              <w:rPr>
                <w:rFonts w:ascii="Arial Narrow" w:hAnsi="Arial Narrow"/>
                <w:i/>
                <w:sz w:val="20"/>
                <w:szCs w:val="20"/>
              </w:rPr>
            </w:pPr>
            <w:r w:rsidRPr="005E31A5">
              <w:rPr>
                <w:rFonts w:ascii="Arial Narrow" w:hAnsi="Arial Narrow"/>
                <w:i/>
                <w:sz w:val="20"/>
                <w:szCs w:val="20"/>
              </w:rPr>
              <w:t xml:space="preserve">A written application must include: </w:t>
            </w:r>
          </w:p>
          <w:p w:rsidR="00147A1C" w:rsidRPr="005E31A5" w:rsidRDefault="00147A1C" w:rsidP="008F4262">
            <w:pPr>
              <w:pStyle w:val="Default"/>
              <w:rPr>
                <w:rFonts w:ascii="Arial Narrow" w:hAnsi="Arial Narrow"/>
                <w:i/>
                <w:sz w:val="20"/>
                <w:szCs w:val="20"/>
              </w:rPr>
            </w:pPr>
            <w:r w:rsidRPr="005E31A5">
              <w:rPr>
                <w:rFonts w:ascii="Arial Narrow" w:hAnsi="Arial Narrow"/>
                <w:i/>
                <w:sz w:val="20"/>
                <w:szCs w:val="20"/>
              </w:rPr>
              <w:t xml:space="preserve">a) a completed authority prescription form; </w:t>
            </w:r>
          </w:p>
          <w:p w:rsidR="00147A1C" w:rsidRPr="005E31A5" w:rsidRDefault="00147A1C" w:rsidP="008F4262">
            <w:pPr>
              <w:pStyle w:val="Default"/>
              <w:rPr>
                <w:rFonts w:ascii="Arial Narrow" w:hAnsi="Arial Narrow"/>
                <w:i/>
                <w:sz w:val="20"/>
                <w:szCs w:val="20"/>
              </w:rPr>
            </w:pPr>
            <w:r w:rsidRPr="005E31A5">
              <w:rPr>
                <w:rFonts w:ascii="Arial Narrow" w:hAnsi="Arial Narrow"/>
                <w:i/>
                <w:sz w:val="20"/>
                <w:szCs w:val="20"/>
              </w:rPr>
              <w:t xml:space="preserve">b) a completed </w:t>
            </w:r>
            <w:r>
              <w:rPr>
                <w:rFonts w:ascii="Arial Narrow" w:hAnsi="Arial Narrow"/>
                <w:i/>
                <w:sz w:val="20"/>
                <w:szCs w:val="20"/>
              </w:rPr>
              <w:t>[name to be determined]</w:t>
            </w:r>
            <w:r w:rsidRPr="005E31A5">
              <w:rPr>
                <w:rFonts w:ascii="Arial Narrow" w:hAnsi="Arial Narrow"/>
                <w:i/>
                <w:sz w:val="20"/>
                <w:szCs w:val="20"/>
              </w:rPr>
              <w:t xml:space="preserve"> - PBS Supporting Information Form; and </w:t>
            </w:r>
          </w:p>
          <w:p w:rsidR="00147A1C" w:rsidRPr="005E31A5" w:rsidRDefault="00147A1C" w:rsidP="008F4262">
            <w:pPr>
              <w:pStyle w:val="Default"/>
              <w:rPr>
                <w:rFonts w:ascii="Arial Narrow" w:hAnsi="Arial Narrow"/>
                <w:i/>
                <w:sz w:val="20"/>
                <w:szCs w:val="20"/>
              </w:rPr>
            </w:pPr>
            <w:r w:rsidRPr="005E31A5">
              <w:rPr>
                <w:rFonts w:ascii="Arial Narrow" w:hAnsi="Arial Narrow"/>
                <w:i/>
                <w:sz w:val="20"/>
                <w:szCs w:val="20"/>
              </w:rPr>
              <w:t xml:space="preserve">c) </w:t>
            </w:r>
            <w:proofErr w:type="gramStart"/>
            <w:r w:rsidRPr="005E31A5">
              <w:rPr>
                <w:rFonts w:ascii="Arial Narrow" w:hAnsi="Arial Narrow"/>
                <w:i/>
                <w:sz w:val="20"/>
                <w:szCs w:val="20"/>
              </w:rPr>
              <w:t>a</w:t>
            </w:r>
            <w:proofErr w:type="gramEnd"/>
            <w:r w:rsidRPr="005E31A5">
              <w:rPr>
                <w:rFonts w:ascii="Arial Narrow" w:hAnsi="Arial Narrow"/>
                <w:i/>
                <w:sz w:val="20"/>
                <w:szCs w:val="20"/>
              </w:rPr>
              <w:t xml:space="preserve"> copy of the optical coherence tomography</w:t>
            </w:r>
            <w:r>
              <w:rPr>
                <w:rFonts w:ascii="Arial Narrow" w:hAnsi="Arial Narrow"/>
                <w:i/>
                <w:sz w:val="20"/>
                <w:szCs w:val="20"/>
              </w:rPr>
              <w:t xml:space="preserve"> (OCT) report</w:t>
            </w:r>
            <w:r w:rsidRPr="005E31A5">
              <w:rPr>
                <w:rFonts w:ascii="Arial Narrow" w:hAnsi="Arial Narrow"/>
                <w:i/>
                <w:sz w:val="20"/>
                <w:szCs w:val="20"/>
              </w:rPr>
              <w:t xml:space="preserve">. </w:t>
            </w:r>
          </w:p>
          <w:p w:rsidR="00147A1C" w:rsidRPr="00D142C8" w:rsidDel="00BD21A7" w:rsidRDefault="00147A1C" w:rsidP="008F4262">
            <w:pPr>
              <w:widowControl/>
              <w:rPr>
                <w:rFonts w:ascii="Arial Narrow" w:hAnsi="Arial Narrow"/>
                <w:i/>
                <w:sz w:val="20"/>
              </w:rPr>
            </w:pPr>
            <w:r w:rsidRPr="005E31A5">
              <w:rPr>
                <w:rFonts w:ascii="Arial Narrow" w:hAnsi="Arial Narrow"/>
                <w:i/>
                <w:sz w:val="20"/>
              </w:rPr>
              <w:t xml:space="preserve">A telephone application must be made following submission by facsimile of a copy of a completed </w:t>
            </w:r>
            <w:r>
              <w:rPr>
                <w:rFonts w:ascii="Arial Narrow" w:hAnsi="Arial Narrow"/>
                <w:i/>
                <w:sz w:val="20"/>
              </w:rPr>
              <w:t>[name to be determined]</w:t>
            </w:r>
            <w:r w:rsidRPr="005E31A5">
              <w:rPr>
                <w:rFonts w:ascii="Arial Narrow" w:hAnsi="Arial Narrow"/>
                <w:i/>
                <w:sz w:val="20"/>
              </w:rPr>
              <w:t xml:space="preserve"> - PBS Supporting Information Form and a copy of the </w:t>
            </w:r>
            <w:r>
              <w:rPr>
                <w:rFonts w:ascii="Arial Narrow" w:hAnsi="Arial Narrow"/>
                <w:i/>
                <w:sz w:val="20"/>
              </w:rPr>
              <w:t>OCT report</w:t>
            </w:r>
            <w:r w:rsidRPr="005E31A5">
              <w:rPr>
                <w:rFonts w:ascii="Arial Narrow" w:hAnsi="Arial Narrow"/>
                <w:i/>
                <w:sz w:val="20"/>
              </w:rPr>
              <w:t>. The original documentation must be submitted to the Chief Executive Medicare by post after the application has been authorised.</w:t>
            </w:r>
          </w:p>
        </w:tc>
      </w:tr>
      <w:tr w:rsidR="00147A1C" w:rsidRPr="00260CE3" w:rsidTr="00701164">
        <w:trPr>
          <w:cantSplit/>
          <w:trHeight w:val="3500"/>
        </w:trPr>
        <w:tc>
          <w:tcPr>
            <w:tcW w:w="2552" w:type="dxa"/>
            <w:tcBorders>
              <w:top w:val="single" w:sz="4" w:space="0" w:color="auto"/>
              <w:left w:val="single" w:sz="4" w:space="0" w:color="auto"/>
              <w:bottom w:val="single" w:sz="4" w:space="0" w:color="auto"/>
              <w:right w:val="single" w:sz="4" w:space="0" w:color="auto"/>
            </w:tcBorders>
          </w:tcPr>
          <w:p w:rsidR="00147A1C" w:rsidRPr="00260CE3" w:rsidRDefault="00147A1C" w:rsidP="008F4262">
            <w:pPr>
              <w:widowControl/>
              <w:rPr>
                <w:rFonts w:ascii="Arial Narrow" w:hAnsi="Arial Narrow"/>
                <w:i/>
                <w:sz w:val="20"/>
              </w:rPr>
            </w:pPr>
            <w:r w:rsidRPr="00260CE3">
              <w:rPr>
                <w:rFonts w:ascii="Arial Narrow" w:hAnsi="Arial Narrow"/>
                <w:b/>
                <w:sz w:val="20"/>
              </w:rPr>
              <w:t>Administrative Advice</w:t>
            </w:r>
          </w:p>
        </w:tc>
        <w:tc>
          <w:tcPr>
            <w:tcW w:w="5811" w:type="dxa"/>
            <w:gridSpan w:val="6"/>
            <w:tcBorders>
              <w:top w:val="single" w:sz="4" w:space="0" w:color="auto"/>
              <w:left w:val="single" w:sz="4" w:space="0" w:color="auto"/>
              <w:bottom w:val="single" w:sz="4" w:space="0" w:color="auto"/>
              <w:right w:val="single" w:sz="4" w:space="0" w:color="auto"/>
            </w:tcBorders>
          </w:tcPr>
          <w:p w:rsidR="00147A1C" w:rsidRPr="005E31A5" w:rsidRDefault="00147A1C" w:rsidP="008F4262">
            <w:pPr>
              <w:widowControl/>
              <w:rPr>
                <w:rFonts w:ascii="Arial Narrow" w:hAnsi="Arial Narrow"/>
                <w:i/>
                <w:sz w:val="20"/>
              </w:rPr>
            </w:pPr>
            <w:r w:rsidRPr="005E31A5">
              <w:rPr>
                <w:rFonts w:ascii="Arial Narrow" w:hAnsi="Arial Narrow"/>
                <w:i/>
                <w:sz w:val="20"/>
              </w:rPr>
              <w:t>Any queries concerning the arrangements to prescribe may be directed to the Department of Human Services on 1800 700 270 (hours of operation 8 a.m. to 5 p.m. EST Monday to Friday). Prescribing information (including Authority Application forms and other relevant documentation as applicable) is available on the Department of Human Services website at www.humanservices.gov.au Applications for authority to prescribe should be forwarded to: Department of Human Services Prior Written Approval of Complex Drugs Reply Paid 9826 HOBART TAS 7001</w:t>
            </w:r>
          </w:p>
          <w:p w:rsidR="00147A1C" w:rsidRPr="005E31A5" w:rsidRDefault="00147A1C" w:rsidP="008F4262">
            <w:pPr>
              <w:widowControl/>
              <w:rPr>
                <w:rFonts w:ascii="Arial Narrow" w:hAnsi="Arial Narrow"/>
                <w:i/>
                <w:sz w:val="20"/>
              </w:rPr>
            </w:pPr>
          </w:p>
          <w:p w:rsidR="00147A1C" w:rsidRPr="005E31A5" w:rsidRDefault="00147A1C" w:rsidP="008F4262">
            <w:pPr>
              <w:widowControl/>
              <w:rPr>
                <w:rFonts w:ascii="Arial Narrow" w:hAnsi="Arial Narrow"/>
                <w:i/>
                <w:sz w:val="20"/>
              </w:rPr>
            </w:pPr>
            <w:r w:rsidRPr="005E31A5">
              <w:rPr>
                <w:rFonts w:ascii="Arial Narrow" w:hAnsi="Arial Narrow"/>
                <w:i/>
                <w:sz w:val="20"/>
              </w:rPr>
              <w:t>The first authority application may be faxed to the Department of Human Services on 1300 093 177 (hours of operation 8 a.m. to 5 p.m. EST Monday to Friday). The Department will then contact the prescriber by telephone.</w:t>
            </w:r>
          </w:p>
          <w:p w:rsidR="00147A1C" w:rsidRDefault="00147A1C" w:rsidP="008F4262">
            <w:pPr>
              <w:widowControl/>
              <w:rPr>
                <w:rFonts w:ascii="Arial Narrow" w:hAnsi="Arial Narrow"/>
                <w:i/>
                <w:sz w:val="20"/>
              </w:rPr>
            </w:pPr>
          </w:p>
          <w:p w:rsidR="00147A1C" w:rsidRPr="005E31A5" w:rsidRDefault="00147A1C" w:rsidP="008F4262">
            <w:pPr>
              <w:widowControl/>
              <w:rPr>
                <w:rFonts w:ascii="Arial Narrow" w:hAnsi="Arial Narrow"/>
                <w:i/>
                <w:sz w:val="20"/>
              </w:rPr>
            </w:pPr>
            <w:r w:rsidRPr="005E31A5">
              <w:rPr>
                <w:rFonts w:ascii="Arial Narrow" w:hAnsi="Arial Narrow"/>
                <w:i/>
                <w:sz w:val="20"/>
              </w:rPr>
              <w:t>No increase in the maximum quantity or number of units may be authorised.</w:t>
            </w:r>
          </w:p>
          <w:p w:rsidR="00147A1C" w:rsidRDefault="00147A1C" w:rsidP="008F4262">
            <w:pPr>
              <w:widowControl/>
              <w:rPr>
                <w:rFonts w:ascii="Arial Narrow" w:hAnsi="Arial Narrow"/>
                <w:i/>
                <w:sz w:val="20"/>
              </w:rPr>
            </w:pPr>
            <w:r w:rsidRPr="005E31A5">
              <w:rPr>
                <w:rFonts w:ascii="Arial Narrow" w:hAnsi="Arial Narrow"/>
                <w:i/>
                <w:sz w:val="20"/>
              </w:rPr>
              <w:t>No increase in the maximum number of repeats may be authorised.</w:t>
            </w:r>
          </w:p>
          <w:p w:rsidR="00147A1C" w:rsidRPr="008C39B2" w:rsidRDefault="00147A1C" w:rsidP="008F4262">
            <w:pPr>
              <w:widowControl/>
              <w:rPr>
                <w:rFonts w:ascii="Arial Narrow" w:hAnsi="Arial Narrow"/>
                <w:i/>
                <w:sz w:val="20"/>
              </w:rPr>
            </w:pPr>
            <w:r w:rsidRPr="005E31A5">
              <w:rPr>
                <w:rFonts w:ascii="Arial Narrow" w:hAnsi="Arial Narrow"/>
                <w:i/>
                <w:sz w:val="20"/>
              </w:rPr>
              <w:t>Special Pricing Arrangements apply.</w:t>
            </w:r>
          </w:p>
        </w:tc>
      </w:tr>
    </w:tbl>
    <w:p w:rsidR="00035D87" w:rsidRDefault="00035D87" w:rsidP="008F4262">
      <w:pPr>
        <w:widowControl/>
        <w:rPr>
          <w:i/>
          <w:szCs w:val="22"/>
        </w:rPr>
      </w:pPr>
    </w:p>
    <w:p w:rsidR="00035D87" w:rsidRDefault="00035D87" w:rsidP="008F4262">
      <w:pPr>
        <w:pStyle w:val="BodyText"/>
        <w:widowControl/>
        <w:ind w:firstLine="720"/>
        <w:rPr>
          <w:szCs w:val="22"/>
        </w:rPr>
      </w:pPr>
      <w:r w:rsidRPr="00FF7F2D">
        <w:rPr>
          <w:i/>
          <w:szCs w:val="22"/>
        </w:rPr>
        <w:t>For more detail on PBAC’s view, see section 7 “PBAC outcome”</w:t>
      </w:r>
      <w:r w:rsidR="00DC185F">
        <w:rPr>
          <w:i/>
          <w:szCs w:val="22"/>
        </w:rPr>
        <w:t>.</w:t>
      </w:r>
    </w:p>
    <w:p w:rsidR="00035D87" w:rsidRPr="00882085" w:rsidRDefault="00035D87" w:rsidP="008F4262">
      <w:pPr>
        <w:widowControl/>
      </w:pPr>
    </w:p>
    <w:p w:rsidR="001B6188" w:rsidRPr="00517553" w:rsidRDefault="001B6188" w:rsidP="008F4262">
      <w:pPr>
        <w:widowControl/>
      </w:pPr>
    </w:p>
    <w:p w:rsidR="00F338FF" w:rsidRPr="00517553" w:rsidRDefault="00F338FF" w:rsidP="008F4262">
      <w:pPr>
        <w:pStyle w:val="PBACheading1"/>
      </w:pPr>
      <w:bookmarkStart w:id="5" w:name="_Toc440964222"/>
      <w:r w:rsidRPr="00517553">
        <w:t>Background</w:t>
      </w:r>
      <w:bookmarkEnd w:id="5"/>
    </w:p>
    <w:p w:rsidR="00B60939" w:rsidRPr="00517553" w:rsidRDefault="00B60939" w:rsidP="008F4262">
      <w:pPr>
        <w:widowControl/>
        <w:rPr>
          <w:szCs w:val="22"/>
        </w:rPr>
      </w:pPr>
    </w:p>
    <w:p w:rsidR="00B60939" w:rsidRPr="00FF7F2D" w:rsidRDefault="00B60939" w:rsidP="008F4262">
      <w:pPr>
        <w:pStyle w:val="ListParagraph"/>
        <w:widowControl/>
        <w:numPr>
          <w:ilvl w:val="1"/>
          <w:numId w:val="1"/>
        </w:numPr>
        <w:rPr>
          <w:szCs w:val="22"/>
        </w:rPr>
      </w:pPr>
      <w:r w:rsidRPr="00FF7F2D">
        <w:rPr>
          <w:szCs w:val="22"/>
        </w:rPr>
        <w:t xml:space="preserve">TGA status: </w:t>
      </w:r>
      <w:proofErr w:type="spellStart"/>
      <w:r w:rsidR="0039371F" w:rsidRPr="00FF7F2D">
        <w:rPr>
          <w:szCs w:val="22"/>
        </w:rPr>
        <w:t>Ocriplasmin</w:t>
      </w:r>
      <w:proofErr w:type="spellEnd"/>
      <w:r w:rsidRPr="00FF7F2D">
        <w:rPr>
          <w:szCs w:val="22"/>
        </w:rPr>
        <w:t xml:space="preserve"> was TGA registered on </w:t>
      </w:r>
      <w:r w:rsidR="0039371F" w:rsidRPr="00FF7F2D">
        <w:rPr>
          <w:szCs w:val="22"/>
        </w:rPr>
        <w:t>2/11/2015</w:t>
      </w:r>
      <w:r w:rsidRPr="00FF7F2D">
        <w:rPr>
          <w:szCs w:val="22"/>
        </w:rPr>
        <w:t xml:space="preserve"> for </w:t>
      </w:r>
      <w:r w:rsidR="0039371F" w:rsidRPr="00FF7F2D">
        <w:rPr>
          <w:szCs w:val="22"/>
        </w:rPr>
        <w:t xml:space="preserve">the treatment of </w:t>
      </w:r>
      <w:proofErr w:type="spellStart"/>
      <w:r w:rsidR="0039371F" w:rsidRPr="00FF7F2D">
        <w:rPr>
          <w:szCs w:val="22"/>
        </w:rPr>
        <w:t>vitreomacular</w:t>
      </w:r>
      <w:proofErr w:type="spellEnd"/>
      <w:r w:rsidR="0039371F" w:rsidRPr="00FF7F2D">
        <w:rPr>
          <w:szCs w:val="22"/>
        </w:rPr>
        <w:t xml:space="preserve"> traction (VMT), including when associated with macular hole of diameter less than or equal to 400 microns</w:t>
      </w:r>
      <w:r w:rsidR="00F81B39" w:rsidRPr="00FF7F2D">
        <w:rPr>
          <w:szCs w:val="22"/>
        </w:rPr>
        <w:t>.</w:t>
      </w:r>
    </w:p>
    <w:p w:rsidR="00B60939" w:rsidRPr="00517553" w:rsidRDefault="00B60939" w:rsidP="008F4262">
      <w:pPr>
        <w:widowControl/>
      </w:pPr>
    </w:p>
    <w:p w:rsidR="00B60939" w:rsidRPr="00517553" w:rsidRDefault="00AF1BB7" w:rsidP="008F4262">
      <w:pPr>
        <w:pStyle w:val="ListParagraph"/>
        <w:widowControl/>
        <w:numPr>
          <w:ilvl w:val="1"/>
          <w:numId w:val="1"/>
        </w:numPr>
        <w:rPr>
          <w:szCs w:val="22"/>
        </w:rPr>
      </w:pPr>
      <w:r>
        <w:rPr>
          <w:szCs w:val="22"/>
        </w:rPr>
        <w:t>The PBAC and M</w:t>
      </w:r>
      <w:r w:rsidR="0039371F" w:rsidRPr="00517553">
        <w:rPr>
          <w:szCs w:val="22"/>
        </w:rPr>
        <w:t>S</w:t>
      </w:r>
      <w:r>
        <w:rPr>
          <w:szCs w:val="22"/>
        </w:rPr>
        <w:t>A</w:t>
      </w:r>
      <w:r w:rsidR="0039371F" w:rsidRPr="00517553">
        <w:rPr>
          <w:szCs w:val="22"/>
        </w:rPr>
        <w:t xml:space="preserve">C </w:t>
      </w:r>
      <w:r w:rsidR="008A36B5" w:rsidRPr="00517553">
        <w:rPr>
          <w:szCs w:val="22"/>
        </w:rPr>
        <w:t xml:space="preserve">previously </w:t>
      </w:r>
      <w:r w:rsidR="0039371F" w:rsidRPr="00517553">
        <w:rPr>
          <w:szCs w:val="22"/>
        </w:rPr>
        <w:t xml:space="preserve">considered </w:t>
      </w:r>
      <w:proofErr w:type="spellStart"/>
      <w:r w:rsidR="0039371F" w:rsidRPr="00517553">
        <w:rPr>
          <w:szCs w:val="22"/>
        </w:rPr>
        <w:t>ocriplasmin</w:t>
      </w:r>
      <w:proofErr w:type="spellEnd"/>
      <w:r w:rsidR="0039371F" w:rsidRPr="00517553">
        <w:rPr>
          <w:szCs w:val="22"/>
        </w:rPr>
        <w:t xml:space="preserve"> and ocular coherence tomography (OCT) </w:t>
      </w:r>
      <w:r w:rsidR="008A36B5" w:rsidRPr="00517553">
        <w:rPr>
          <w:szCs w:val="22"/>
        </w:rPr>
        <w:t>based on an integrated</w:t>
      </w:r>
      <w:r w:rsidR="0039371F" w:rsidRPr="00517553">
        <w:rPr>
          <w:szCs w:val="22"/>
        </w:rPr>
        <w:t xml:space="preserve"> co-dependent </w:t>
      </w:r>
      <w:r w:rsidR="008A36B5" w:rsidRPr="00517553">
        <w:rPr>
          <w:szCs w:val="22"/>
        </w:rPr>
        <w:t>submission</w:t>
      </w:r>
      <w:r w:rsidR="0039371F" w:rsidRPr="00517553">
        <w:rPr>
          <w:szCs w:val="22"/>
        </w:rPr>
        <w:t xml:space="preserve"> (</w:t>
      </w:r>
      <w:r w:rsidR="008A36B5" w:rsidRPr="00517553">
        <w:rPr>
          <w:szCs w:val="22"/>
        </w:rPr>
        <w:t xml:space="preserve">MSAC </w:t>
      </w:r>
      <w:r w:rsidR="0039371F" w:rsidRPr="00517553">
        <w:rPr>
          <w:szCs w:val="22"/>
        </w:rPr>
        <w:t xml:space="preserve">application no.1370) in November 2014.  The PBAC rejected the submission for </w:t>
      </w:r>
      <w:proofErr w:type="spellStart"/>
      <w:r w:rsidR="0039371F" w:rsidRPr="00517553">
        <w:rPr>
          <w:szCs w:val="22"/>
        </w:rPr>
        <w:t>ocriplasmin</w:t>
      </w:r>
      <w:proofErr w:type="spellEnd"/>
      <w:r w:rsidR="0039371F" w:rsidRPr="00517553">
        <w:rPr>
          <w:szCs w:val="22"/>
        </w:rPr>
        <w:t xml:space="preserve"> on the basis of </w:t>
      </w:r>
      <w:r w:rsidR="0039371F" w:rsidRPr="00517553">
        <w:t xml:space="preserve">that cost-effectiveness of </w:t>
      </w:r>
      <w:proofErr w:type="spellStart"/>
      <w:r w:rsidR="0039371F" w:rsidRPr="00517553">
        <w:t>ocriplasmin</w:t>
      </w:r>
      <w:proofErr w:type="spellEnd"/>
      <w:r w:rsidR="0039371F" w:rsidRPr="00517553">
        <w:t xml:space="preserve"> is highly uncertain because it remains unclear how effective </w:t>
      </w:r>
      <w:proofErr w:type="spellStart"/>
      <w:r w:rsidR="0039371F" w:rsidRPr="00517553">
        <w:t>ocriplasmin</w:t>
      </w:r>
      <w:proofErr w:type="spellEnd"/>
      <w:r w:rsidR="0039371F" w:rsidRPr="00517553">
        <w:t xml:space="preserve"> is with regard to the patient-relevant outcomes of</w:t>
      </w:r>
      <w:r w:rsidR="0039371F" w:rsidRPr="00997B2C">
        <w:t xml:space="preserve"> improving visual function and of preventing rather than delaying </w:t>
      </w:r>
      <w:proofErr w:type="spellStart"/>
      <w:r w:rsidR="0039371F" w:rsidRPr="00997B2C">
        <w:t>vitrectomy</w:t>
      </w:r>
      <w:proofErr w:type="spellEnd"/>
      <w:r w:rsidR="0039371F" w:rsidRPr="00997B2C">
        <w:t xml:space="preserve"> in the long-term,</w:t>
      </w:r>
      <w:r w:rsidR="0039371F" w:rsidRPr="00517553">
        <w:t xml:space="preserve"> and considered the modelled evaluation did not provide a suitable basis for decision-making.  MSAC deferred the application for </w:t>
      </w:r>
      <w:r w:rsidR="008A36B5" w:rsidRPr="00517553">
        <w:t>OCT</w:t>
      </w:r>
      <w:r w:rsidR="0039371F" w:rsidRPr="00517553">
        <w:t xml:space="preserve"> until such time as the PBAC makes a positive recommendation regarding the corresponding PBS listing of </w:t>
      </w:r>
      <w:proofErr w:type="spellStart"/>
      <w:r w:rsidR="0039371F" w:rsidRPr="00517553">
        <w:t>ocriplasmin</w:t>
      </w:r>
      <w:proofErr w:type="spellEnd"/>
      <w:r w:rsidR="0039371F" w:rsidRPr="00517553">
        <w:t xml:space="preserve">.  MSAC advised that, if PBAC subsequently decides to recommend to the Minister that </w:t>
      </w:r>
      <w:proofErr w:type="spellStart"/>
      <w:r w:rsidR="0039371F" w:rsidRPr="00517553">
        <w:t>ocriplasmin</w:t>
      </w:r>
      <w:proofErr w:type="spellEnd"/>
      <w:r w:rsidR="0039371F" w:rsidRPr="00517553">
        <w:t xml:space="preserve"> be listed on the PBS for treatment of VMT, then MSAC would support an expedited process </w:t>
      </w:r>
      <w:r w:rsidR="00147A1C" w:rsidRPr="00517553">
        <w:t xml:space="preserve">of </w:t>
      </w:r>
      <w:r w:rsidR="0039371F" w:rsidRPr="00517553">
        <w:t>reconsideration.</w:t>
      </w:r>
      <w:r w:rsidR="0039371F" w:rsidRPr="00517553">
        <w:rPr>
          <w:szCs w:val="22"/>
        </w:rPr>
        <w:t xml:space="preserve"> </w:t>
      </w:r>
      <w:r w:rsidR="00F81B39" w:rsidRPr="00517553">
        <w:rPr>
          <w:szCs w:val="22"/>
        </w:rPr>
        <w:t xml:space="preserve"> A coordinated co-dependent submission has been lodged for the 31 March, 1 April 2016 MSAC meeting</w:t>
      </w:r>
      <w:r w:rsidR="001547AB">
        <w:rPr>
          <w:szCs w:val="22"/>
        </w:rPr>
        <w:t>.</w:t>
      </w:r>
    </w:p>
    <w:p w:rsidR="00B60939" w:rsidRPr="00517553" w:rsidRDefault="00B60939" w:rsidP="008F4262">
      <w:pPr>
        <w:widowControl/>
      </w:pPr>
    </w:p>
    <w:p w:rsidR="001D112E" w:rsidRPr="00517553" w:rsidRDefault="00AE4B49" w:rsidP="008F4262">
      <w:pPr>
        <w:pStyle w:val="ListParagraph"/>
        <w:widowControl/>
        <w:numPr>
          <w:ilvl w:val="1"/>
          <w:numId w:val="1"/>
        </w:numPr>
        <w:rPr>
          <w:szCs w:val="22"/>
        </w:rPr>
      </w:pPr>
      <w:r w:rsidRPr="00517553">
        <w:lastRenderedPageBreak/>
        <w:t>A summary of the previous and current submissions is presented below</w:t>
      </w:r>
      <w:r w:rsidR="00E469F4" w:rsidRPr="00517553">
        <w:t>.</w:t>
      </w:r>
    </w:p>
    <w:p w:rsidR="001D112E" w:rsidRPr="00517553" w:rsidRDefault="001D112E" w:rsidP="008F4262">
      <w:pPr>
        <w:widowControl/>
      </w:pPr>
    </w:p>
    <w:p w:rsidR="001D112E" w:rsidRPr="00517553" w:rsidRDefault="001D112E" w:rsidP="008F4262">
      <w:pPr>
        <w:widowControl/>
        <w:ind w:firstLine="720"/>
        <w:rPr>
          <w:rStyle w:val="CommentReference"/>
        </w:rPr>
      </w:pPr>
      <w:r w:rsidRPr="00517553">
        <w:rPr>
          <w:rStyle w:val="CommentReference"/>
        </w:rPr>
        <w:t>Summary of the previous and current submission</w:t>
      </w:r>
      <w:r w:rsidR="002A29D8" w:rsidRPr="00517553">
        <w:rPr>
          <w:rStyle w:val="CommentReference"/>
        </w:rPr>
        <w:t>s</w:t>
      </w:r>
    </w:p>
    <w:tbl>
      <w:tblPr>
        <w:tblW w:w="844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34"/>
        <w:gridCol w:w="4678"/>
        <w:gridCol w:w="2631"/>
      </w:tblGrid>
      <w:tr w:rsidR="001D112E" w:rsidRPr="00517553" w:rsidTr="00331724">
        <w:trPr>
          <w:trHeight w:val="220"/>
          <w:tblHeader/>
        </w:trPr>
        <w:tc>
          <w:tcPr>
            <w:tcW w:w="1134" w:type="dxa"/>
          </w:tcPr>
          <w:p w:rsidR="001D112E" w:rsidRPr="00517553" w:rsidRDefault="001D112E" w:rsidP="008F4262">
            <w:pPr>
              <w:widowControl/>
              <w:jc w:val="left"/>
              <w:rPr>
                <w:rFonts w:ascii="Arial Narrow" w:hAnsi="Arial Narrow"/>
                <w:sz w:val="19"/>
                <w:szCs w:val="19"/>
              </w:rPr>
            </w:pPr>
          </w:p>
        </w:tc>
        <w:tc>
          <w:tcPr>
            <w:tcW w:w="4678" w:type="dxa"/>
            <w:vAlign w:val="center"/>
          </w:tcPr>
          <w:p w:rsidR="001D112E" w:rsidRPr="00517553" w:rsidRDefault="006C4341" w:rsidP="008F4262">
            <w:pPr>
              <w:widowControl/>
              <w:jc w:val="center"/>
              <w:rPr>
                <w:rFonts w:ascii="Arial Narrow" w:hAnsi="Arial Narrow"/>
                <w:b/>
                <w:sz w:val="19"/>
                <w:szCs w:val="19"/>
              </w:rPr>
            </w:pPr>
            <w:proofErr w:type="spellStart"/>
            <w:r w:rsidRPr="00517553">
              <w:rPr>
                <w:rFonts w:ascii="Arial Narrow" w:hAnsi="Arial Narrow"/>
                <w:b/>
                <w:sz w:val="19"/>
                <w:szCs w:val="19"/>
              </w:rPr>
              <w:t>Ocriplasmin</w:t>
            </w:r>
            <w:proofErr w:type="spellEnd"/>
            <w:r w:rsidRPr="00517553">
              <w:rPr>
                <w:rFonts w:ascii="Arial Narrow" w:hAnsi="Arial Narrow"/>
                <w:b/>
                <w:sz w:val="19"/>
                <w:szCs w:val="19"/>
              </w:rPr>
              <w:t xml:space="preserve"> November 2014</w:t>
            </w:r>
          </w:p>
        </w:tc>
        <w:tc>
          <w:tcPr>
            <w:tcW w:w="2631" w:type="dxa"/>
            <w:vAlign w:val="center"/>
          </w:tcPr>
          <w:p w:rsidR="001D112E" w:rsidRPr="00517553" w:rsidRDefault="001D112E" w:rsidP="008F4262">
            <w:pPr>
              <w:widowControl/>
              <w:jc w:val="center"/>
              <w:rPr>
                <w:rFonts w:ascii="Arial Narrow" w:hAnsi="Arial Narrow"/>
                <w:b/>
                <w:sz w:val="19"/>
                <w:szCs w:val="19"/>
              </w:rPr>
            </w:pPr>
            <w:r w:rsidRPr="00517553">
              <w:rPr>
                <w:rFonts w:ascii="Arial Narrow" w:hAnsi="Arial Narrow"/>
                <w:b/>
                <w:sz w:val="19"/>
                <w:szCs w:val="19"/>
              </w:rPr>
              <w:t>Current submission</w:t>
            </w:r>
          </w:p>
        </w:tc>
      </w:tr>
      <w:tr w:rsidR="001D112E" w:rsidRPr="00517553" w:rsidTr="00331724">
        <w:trPr>
          <w:trHeight w:val="794"/>
        </w:trPr>
        <w:tc>
          <w:tcPr>
            <w:tcW w:w="1134" w:type="dxa"/>
          </w:tcPr>
          <w:p w:rsidR="001D112E" w:rsidRPr="00517553" w:rsidRDefault="001D112E" w:rsidP="008F4262">
            <w:pPr>
              <w:widowControl/>
              <w:jc w:val="left"/>
              <w:rPr>
                <w:rFonts w:ascii="Arial Narrow" w:hAnsi="Arial Narrow"/>
                <w:sz w:val="19"/>
                <w:szCs w:val="19"/>
              </w:rPr>
            </w:pPr>
            <w:r w:rsidRPr="00517553">
              <w:rPr>
                <w:rFonts w:ascii="Arial Narrow" w:hAnsi="Arial Narrow"/>
                <w:sz w:val="19"/>
                <w:szCs w:val="19"/>
              </w:rPr>
              <w:t>Requested PBS listing</w:t>
            </w:r>
          </w:p>
        </w:tc>
        <w:tc>
          <w:tcPr>
            <w:tcW w:w="4678" w:type="dxa"/>
          </w:tcPr>
          <w:p w:rsidR="001D112E" w:rsidRPr="00517553" w:rsidRDefault="006C4341" w:rsidP="008F4262">
            <w:pPr>
              <w:pStyle w:val="ListParagraph"/>
              <w:widowControl/>
              <w:numPr>
                <w:ilvl w:val="0"/>
                <w:numId w:val="3"/>
              </w:numPr>
              <w:ind w:left="114" w:hanging="114"/>
              <w:jc w:val="left"/>
              <w:rPr>
                <w:rFonts w:ascii="Arial Narrow" w:hAnsi="Arial Narrow"/>
                <w:b/>
                <w:sz w:val="19"/>
                <w:szCs w:val="19"/>
              </w:rPr>
            </w:pPr>
            <w:proofErr w:type="spellStart"/>
            <w:r w:rsidRPr="00517553">
              <w:rPr>
                <w:rFonts w:ascii="Arial Narrow" w:hAnsi="Arial Narrow"/>
                <w:sz w:val="19"/>
                <w:szCs w:val="19"/>
              </w:rPr>
              <w:t>Vitreomacular</w:t>
            </w:r>
            <w:proofErr w:type="spellEnd"/>
            <w:r w:rsidRPr="00517553">
              <w:rPr>
                <w:rFonts w:ascii="Arial Narrow" w:hAnsi="Arial Narrow"/>
                <w:sz w:val="19"/>
                <w:szCs w:val="19"/>
              </w:rPr>
              <w:t xml:space="preserve"> traction (VMT)</w:t>
            </w:r>
            <w:r w:rsidR="00331724" w:rsidRPr="00517553">
              <w:rPr>
                <w:rFonts w:ascii="Arial Narrow" w:hAnsi="Arial Narrow"/>
                <w:sz w:val="19"/>
                <w:szCs w:val="19"/>
              </w:rPr>
              <w:t xml:space="preserve"> including those with macular hole.</w:t>
            </w:r>
          </w:p>
          <w:p w:rsidR="001D112E" w:rsidRPr="00517553" w:rsidRDefault="001D112E" w:rsidP="008F4262">
            <w:pPr>
              <w:widowControl/>
              <w:jc w:val="left"/>
              <w:rPr>
                <w:rFonts w:ascii="Arial Narrow" w:hAnsi="Arial Narrow"/>
                <w:b/>
                <w:sz w:val="19"/>
                <w:szCs w:val="19"/>
              </w:rPr>
            </w:pPr>
            <w:r w:rsidRPr="00517553">
              <w:rPr>
                <w:rFonts w:ascii="Arial Narrow" w:hAnsi="Arial Narrow"/>
                <w:b/>
                <w:sz w:val="19"/>
                <w:szCs w:val="19"/>
              </w:rPr>
              <w:t xml:space="preserve">PBAC Comment: </w:t>
            </w:r>
            <w:r w:rsidR="00331724" w:rsidRPr="00517553">
              <w:rPr>
                <w:rFonts w:ascii="Arial Narrow" w:hAnsi="Arial Narrow"/>
                <w:sz w:val="19"/>
                <w:szCs w:val="19"/>
              </w:rPr>
              <w:t>The PBAC noted the requested restriction was consistent with the populations in the trials however some exclusion criteria (visual acuity and comorbidities such as AMD) were not included (Paragraph 7.2)</w:t>
            </w:r>
            <w:r w:rsidRPr="00517553">
              <w:rPr>
                <w:rFonts w:ascii="Arial Narrow" w:hAnsi="Arial Narrow"/>
                <w:color w:val="0000FF"/>
                <w:sz w:val="19"/>
                <w:szCs w:val="19"/>
              </w:rPr>
              <w:t>.</w:t>
            </w:r>
          </w:p>
        </w:tc>
        <w:tc>
          <w:tcPr>
            <w:tcW w:w="2631" w:type="dxa"/>
          </w:tcPr>
          <w:p w:rsidR="001D112E" w:rsidRPr="00517553" w:rsidRDefault="006C4341" w:rsidP="008F4262">
            <w:pPr>
              <w:pStyle w:val="ListParagraph"/>
              <w:widowControl/>
              <w:numPr>
                <w:ilvl w:val="0"/>
                <w:numId w:val="3"/>
              </w:numPr>
              <w:ind w:left="114" w:hanging="114"/>
              <w:jc w:val="left"/>
              <w:rPr>
                <w:rFonts w:ascii="Arial Narrow" w:hAnsi="Arial Narrow"/>
                <w:sz w:val="19"/>
                <w:szCs w:val="19"/>
              </w:rPr>
            </w:pPr>
            <w:proofErr w:type="spellStart"/>
            <w:r w:rsidRPr="00517553">
              <w:rPr>
                <w:rFonts w:ascii="Arial Narrow" w:hAnsi="Arial Narrow"/>
                <w:sz w:val="19"/>
                <w:szCs w:val="19"/>
              </w:rPr>
              <w:t>Vitreomacul</w:t>
            </w:r>
            <w:r w:rsidR="0027164E" w:rsidRPr="00517553">
              <w:rPr>
                <w:rFonts w:ascii="Arial Narrow" w:hAnsi="Arial Narrow"/>
                <w:sz w:val="19"/>
                <w:szCs w:val="19"/>
              </w:rPr>
              <w:t>ar</w:t>
            </w:r>
            <w:proofErr w:type="spellEnd"/>
            <w:r w:rsidRPr="00517553">
              <w:rPr>
                <w:rFonts w:ascii="Arial Narrow" w:hAnsi="Arial Narrow"/>
                <w:sz w:val="19"/>
                <w:szCs w:val="19"/>
              </w:rPr>
              <w:t xml:space="preserve"> traction (VMT) </w:t>
            </w:r>
            <w:r w:rsidR="00331724" w:rsidRPr="00517553">
              <w:rPr>
                <w:rFonts w:ascii="Arial Narrow" w:hAnsi="Arial Narrow"/>
                <w:sz w:val="19"/>
                <w:szCs w:val="19"/>
              </w:rPr>
              <w:t xml:space="preserve">including those with macular hole, </w:t>
            </w:r>
            <w:r w:rsidRPr="00517553">
              <w:rPr>
                <w:rFonts w:ascii="Arial Narrow" w:hAnsi="Arial Narrow"/>
                <w:sz w:val="19"/>
                <w:szCs w:val="19"/>
              </w:rPr>
              <w:t xml:space="preserve">excluding </w:t>
            </w:r>
            <w:proofErr w:type="spellStart"/>
            <w:r w:rsidRPr="00517553">
              <w:rPr>
                <w:rFonts w:ascii="Arial Narrow" w:hAnsi="Arial Narrow"/>
                <w:sz w:val="19"/>
                <w:szCs w:val="19"/>
              </w:rPr>
              <w:t>epiretinal</w:t>
            </w:r>
            <w:proofErr w:type="spellEnd"/>
            <w:r w:rsidRPr="00517553">
              <w:rPr>
                <w:rFonts w:ascii="Arial Narrow" w:hAnsi="Arial Narrow"/>
                <w:sz w:val="19"/>
                <w:szCs w:val="19"/>
              </w:rPr>
              <w:t xml:space="preserve"> membrane</w:t>
            </w:r>
            <w:r w:rsidR="00331724" w:rsidRPr="00517553">
              <w:rPr>
                <w:rFonts w:ascii="Arial Narrow" w:hAnsi="Arial Narrow"/>
                <w:sz w:val="19"/>
                <w:szCs w:val="19"/>
              </w:rPr>
              <w:t xml:space="preserve"> (ERM),</w:t>
            </w:r>
            <w:r w:rsidRPr="00517553">
              <w:rPr>
                <w:rFonts w:ascii="Arial Narrow" w:hAnsi="Arial Narrow"/>
                <w:sz w:val="19"/>
                <w:szCs w:val="19"/>
              </w:rPr>
              <w:t xml:space="preserve"> adhesion diameter &gt;1500µm</w:t>
            </w:r>
            <w:r w:rsidR="00331724" w:rsidRPr="00517553">
              <w:rPr>
                <w:rFonts w:ascii="Arial Narrow" w:hAnsi="Arial Narrow"/>
                <w:sz w:val="19"/>
                <w:szCs w:val="19"/>
              </w:rPr>
              <w:t>, BCVA better than 20/25.</w:t>
            </w:r>
          </w:p>
        </w:tc>
      </w:tr>
      <w:tr w:rsidR="001D112E" w:rsidRPr="00517553" w:rsidTr="00331724">
        <w:trPr>
          <w:trHeight w:val="422"/>
        </w:trPr>
        <w:tc>
          <w:tcPr>
            <w:tcW w:w="1134" w:type="dxa"/>
          </w:tcPr>
          <w:p w:rsidR="001D112E" w:rsidRPr="00517553" w:rsidRDefault="001D112E" w:rsidP="008F4262">
            <w:pPr>
              <w:widowControl/>
              <w:jc w:val="left"/>
              <w:rPr>
                <w:rFonts w:ascii="Arial Narrow" w:hAnsi="Arial Narrow"/>
                <w:sz w:val="19"/>
                <w:szCs w:val="19"/>
              </w:rPr>
            </w:pPr>
            <w:r w:rsidRPr="00517553">
              <w:rPr>
                <w:rFonts w:ascii="Arial Narrow" w:hAnsi="Arial Narrow"/>
                <w:sz w:val="19"/>
                <w:szCs w:val="19"/>
              </w:rPr>
              <w:t>Requested price</w:t>
            </w:r>
          </w:p>
        </w:tc>
        <w:tc>
          <w:tcPr>
            <w:tcW w:w="4678" w:type="dxa"/>
          </w:tcPr>
          <w:p w:rsidR="001D112E" w:rsidRPr="00517553" w:rsidRDefault="00331724" w:rsidP="008F4262">
            <w:pPr>
              <w:pStyle w:val="ListParagraph"/>
              <w:widowControl/>
              <w:numPr>
                <w:ilvl w:val="0"/>
                <w:numId w:val="3"/>
              </w:numPr>
              <w:ind w:left="114" w:hanging="114"/>
              <w:jc w:val="left"/>
              <w:rPr>
                <w:rFonts w:ascii="Arial Narrow" w:hAnsi="Arial Narrow"/>
                <w:sz w:val="19"/>
                <w:szCs w:val="19"/>
              </w:rPr>
            </w:pPr>
            <w:r w:rsidRPr="00517553">
              <w:rPr>
                <w:rFonts w:ascii="Arial Narrow" w:hAnsi="Arial Narrow"/>
                <w:sz w:val="19"/>
                <w:szCs w:val="19"/>
              </w:rPr>
              <w:t>Requested DPMQ = $</w:t>
            </w:r>
            <w:r w:rsidR="0017165E">
              <w:rPr>
                <w:rFonts w:ascii="Arial Narrow" w:hAnsi="Arial Narrow"/>
                <w:noProof/>
                <w:color w:val="000000"/>
                <w:sz w:val="19"/>
                <w:szCs w:val="19"/>
                <w:highlight w:val="black"/>
              </w:rPr>
              <w:t>''''''''''''''</w:t>
            </w:r>
            <w:r w:rsidR="001D112E" w:rsidRPr="001547AB">
              <w:rPr>
                <w:rFonts w:ascii="Arial Narrow" w:hAnsi="Arial Narrow"/>
                <w:sz w:val="19"/>
                <w:szCs w:val="19"/>
              </w:rPr>
              <w:t>.</w:t>
            </w:r>
          </w:p>
        </w:tc>
        <w:tc>
          <w:tcPr>
            <w:tcW w:w="2631" w:type="dxa"/>
          </w:tcPr>
          <w:p w:rsidR="001D112E" w:rsidRPr="00517553" w:rsidRDefault="00331724" w:rsidP="008F4262">
            <w:pPr>
              <w:pStyle w:val="ListParagraph"/>
              <w:widowControl/>
              <w:numPr>
                <w:ilvl w:val="0"/>
                <w:numId w:val="3"/>
              </w:numPr>
              <w:ind w:left="114" w:hanging="114"/>
              <w:jc w:val="left"/>
              <w:rPr>
                <w:rFonts w:ascii="Arial Narrow" w:hAnsi="Arial Narrow"/>
                <w:sz w:val="19"/>
                <w:szCs w:val="19"/>
              </w:rPr>
            </w:pPr>
            <w:r w:rsidRPr="00517553">
              <w:rPr>
                <w:rFonts w:ascii="Arial Narrow" w:hAnsi="Arial Narrow"/>
                <w:sz w:val="19"/>
                <w:szCs w:val="19"/>
              </w:rPr>
              <w:t>R</w:t>
            </w:r>
            <w:r w:rsidR="001D112E" w:rsidRPr="00517553">
              <w:rPr>
                <w:rFonts w:ascii="Arial Narrow" w:hAnsi="Arial Narrow"/>
                <w:sz w:val="19"/>
                <w:szCs w:val="19"/>
              </w:rPr>
              <w:t>equested DPMQ</w:t>
            </w:r>
            <w:r w:rsidRPr="00517553">
              <w:rPr>
                <w:rFonts w:ascii="Arial Narrow" w:hAnsi="Arial Narrow"/>
                <w:sz w:val="19"/>
                <w:szCs w:val="19"/>
              </w:rPr>
              <w:t xml:space="preserve"> = $</w:t>
            </w:r>
            <w:r w:rsidR="0017165E">
              <w:rPr>
                <w:rFonts w:ascii="Arial Narrow" w:hAnsi="Arial Narrow"/>
                <w:noProof/>
                <w:color w:val="000000"/>
                <w:sz w:val="19"/>
                <w:szCs w:val="19"/>
                <w:highlight w:val="black"/>
              </w:rPr>
              <w:t>''''''''''''''''''</w:t>
            </w:r>
            <w:r w:rsidRPr="00517553">
              <w:rPr>
                <w:rFonts w:ascii="Arial Narrow" w:hAnsi="Arial Narrow"/>
                <w:sz w:val="19"/>
                <w:szCs w:val="19"/>
              </w:rPr>
              <w:t>,</w:t>
            </w:r>
            <w:r w:rsidR="001D112E" w:rsidRPr="00517553">
              <w:rPr>
                <w:rFonts w:ascii="Arial Narrow" w:hAnsi="Arial Narrow"/>
                <w:sz w:val="19"/>
                <w:szCs w:val="19"/>
              </w:rPr>
              <w:t xml:space="preserve"> effective price </w:t>
            </w:r>
            <w:r w:rsidRPr="00517553">
              <w:rPr>
                <w:rFonts w:ascii="Arial Narrow" w:hAnsi="Arial Narrow"/>
                <w:sz w:val="19"/>
                <w:szCs w:val="19"/>
              </w:rPr>
              <w:t>=$</w:t>
            </w:r>
            <w:r w:rsidR="0017165E">
              <w:rPr>
                <w:rFonts w:ascii="Arial Narrow" w:hAnsi="Arial Narrow"/>
                <w:noProof/>
                <w:color w:val="000000"/>
                <w:sz w:val="19"/>
                <w:szCs w:val="19"/>
                <w:highlight w:val="black"/>
              </w:rPr>
              <w:t>''''''''''''</w:t>
            </w:r>
            <w:r w:rsidR="001D112E" w:rsidRPr="00517553">
              <w:rPr>
                <w:rFonts w:ascii="Arial Narrow" w:hAnsi="Arial Narrow"/>
                <w:sz w:val="19"/>
                <w:szCs w:val="19"/>
              </w:rPr>
              <w:t>.</w:t>
            </w:r>
          </w:p>
        </w:tc>
      </w:tr>
      <w:tr w:rsidR="001D112E" w:rsidRPr="00517553" w:rsidTr="00331724">
        <w:trPr>
          <w:trHeight w:val="642"/>
        </w:trPr>
        <w:tc>
          <w:tcPr>
            <w:tcW w:w="1134" w:type="dxa"/>
          </w:tcPr>
          <w:p w:rsidR="001D112E" w:rsidRPr="00517553" w:rsidRDefault="001D112E" w:rsidP="008F4262">
            <w:pPr>
              <w:widowControl/>
              <w:jc w:val="left"/>
              <w:rPr>
                <w:rFonts w:ascii="Arial Narrow" w:hAnsi="Arial Narrow"/>
                <w:sz w:val="19"/>
                <w:szCs w:val="19"/>
              </w:rPr>
            </w:pPr>
            <w:r w:rsidRPr="00517553">
              <w:rPr>
                <w:rFonts w:ascii="Arial Narrow" w:hAnsi="Arial Narrow"/>
                <w:sz w:val="19"/>
                <w:szCs w:val="19"/>
              </w:rPr>
              <w:t>Main comparator</w:t>
            </w:r>
          </w:p>
        </w:tc>
        <w:tc>
          <w:tcPr>
            <w:tcW w:w="4678" w:type="dxa"/>
          </w:tcPr>
          <w:p w:rsidR="001D112E" w:rsidRPr="00517553" w:rsidRDefault="00626B9D" w:rsidP="008F4262">
            <w:pPr>
              <w:pStyle w:val="ListParagraph"/>
              <w:widowControl/>
              <w:numPr>
                <w:ilvl w:val="0"/>
                <w:numId w:val="3"/>
              </w:numPr>
              <w:ind w:left="114" w:hanging="114"/>
              <w:jc w:val="left"/>
              <w:rPr>
                <w:rFonts w:ascii="Arial Narrow" w:hAnsi="Arial Narrow"/>
                <w:sz w:val="19"/>
                <w:szCs w:val="19"/>
              </w:rPr>
            </w:pPr>
            <w:r w:rsidRPr="00517553">
              <w:rPr>
                <w:rFonts w:ascii="Arial Narrow" w:hAnsi="Arial Narrow"/>
                <w:sz w:val="19"/>
                <w:szCs w:val="19"/>
              </w:rPr>
              <w:t xml:space="preserve">Watchful waiting ± </w:t>
            </w:r>
            <w:proofErr w:type="spellStart"/>
            <w:r w:rsidRPr="00517553">
              <w:rPr>
                <w:rFonts w:ascii="Arial Narrow" w:hAnsi="Arial Narrow"/>
                <w:sz w:val="19"/>
                <w:szCs w:val="19"/>
              </w:rPr>
              <w:t>vitrectomy</w:t>
            </w:r>
            <w:proofErr w:type="spellEnd"/>
            <w:r w:rsidRPr="00517553">
              <w:rPr>
                <w:rFonts w:ascii="Arial Narrow" w:hAnsi="Arial Narrow"/>
                <w:sz w:val="19"/>
                <w:szCs w:val="19"/>
              </w:rPr>
              <w:t>.</w:t>
            </w:r>
          </w:p>
          <w:p w:rsidR="001D112E" w:rsidRPr="00517553" w:rsidRDefault="001D112E" w:rsidP="008F4262">
            <w:pPr>
              <w:widowControl/>
              <w:jc w:val="left"/>
              <w:rPr>
                <w:rFonts w:ascii="Arial Narrow" w:hAnsi="Arial Narrow"/>
                <w:sz w:val="19"/>
                <w:szCs w:val="19"/>
              </w:rPr>
            </w:pPr>
            <w:r w:rsidRPr="00517553">
              <w:rPr>
                <w:rFonts w:ascii="Arial Narrow" w:hAnsi="Arial Narrow"/>
                <w:b/>
                <w:sz w:val="19"/>
                <w:szCs w:val="19"/>
              </w:rPr>
              <w:t>PBAC Comment:</w:t>
            </w:r>
            <w:r w:rsidRPr="00517553">
              <w:rPr>
                <w:rFonts w:ascii="Arial Narrow" w:hAnsi="Arial Narrow"/>
                <w:sz w:val="19"/>
                <w:szCs w:val="19"/>
              </w:rPr>
              <w:t xml:space="preserve"> </w:t>
            </w:r>
            <w:r w:rsidR="00626B9D" w:rsidRPr="00517553">
              <w:rPr>
                <w:rFonts w:ascii="Arial Narrow" w:hAnsi="Arial Narrow"/>
                <w:sz w:val="19"/>
                <w:szCs w:val="19"/>
              </w:rPr>
              <w:t>The PBAC considered the comparator appropriate (Paragraphs 5.2 and 7.4)</w:t>
            </w:r>
            <w:r w:rsidRPr="00517553">
              <w:rPr>
                <w:rFonts w:ascii="Arial Narrow" w:hAnsi="Arial Narrow"/>
                <w:sz w:val="19"/>
                <w:szCs w:val="19"/>
              </w:rPr>
              <w:t>.</w:t>
            </w:r>
          </w:p>
        </w:tc>
        <w:tc>
          <w:tcPr>
            <w:tcW w:w="2631" w:type="dxa"/>
          </w:tcPr>
          <w:p w:rsidR="001D112E" w:rsidRPr="00517553" w:rsidRDefault="00626B9D" w:rsidP="008F4262">
            <w:pPr>
              <w:pStyle w:val="ListParagraph"/>
              <w:widowControl/>
              <w:numPr>
                <w:ilvl w:val="0"/>
                <w:numId w:val="3"/>
              </w:numPr>
              <w:ind w:left="114" w:hanging="114"/>
              <w:jc w:val="left"/>
              <w:rPr>
                <w:rFonts w:ascii="Arial Narrow" w:hAnsi="Arial Narrow"/>
                <w:sz w:val="19"/>
                <w:szCs w:val="19"/>
              </w:rPr>
            </w:pPr>
            <w:r w:rsidRPr="00517553">
              <w:rPr>
                <w:rFonts w:ascii="Arial Narrow" w:hAnsi="Arial Narrow"/>
                <w:sz w:val="19"/>
                <w:szCs w:val="19"/>
              </w:rPr>
              <w:t xml:space="preserve">Watchful waiting ± </w:t>
            </w:r>
            <w:proofErr w:type="spellStart"/>
            <w:r w:rsidRPr="00517553">
              <w:rPr>
                <w:rFonts w:ascii="Arial Narrow" w:hAnsi="Arial Narrow"/>
                <w:sz w:val="19"/>
                <w:szCs w:val="19"/>
              </w:rPr>
              <w:t>vitrectomy</w:t>
            </w:r>
            <w:proofErr w:type="spellEnd"/>
            <w:r w:rsidRPr="00517553">
              <w:rPr>
                <w:rFonts w:ascii="Arial Narrow" w:hAnsi="Arial Narrow"/>
                <w:sz w:val="19"/>
                <w:szCs w:val="19"/>
              </w:rPr>
              <w:t>.</w:t>
            </w:r>
          </w:p>
        </w:tc>
      </w:tr>
      <w:tr w:rsidR="001D112E" w:rsidRPr="00517553" w:rsidTr="00331724">
        <w:trPr>
          <w:trHeight w:val="860"/>
        </w:trPr>
        <w:tc>
          <w:tcPr>
            <w:tcW w:w="1134" w:type="dxa"/>
          </w:tcPr>
          <w:p w:rsidR="001D112E" w:rsidRPr="00517553" w:rsidRDefault="001D112E" w:rsidP="008F4262">
            <w:pPr>
              <w:widowControl/>
              <w:jc w:val="left"/>
              <w:rPr>
                <w:rFonts w:ascii="Arial Narrow" w:hAnsi="Arial Narrow"/>
                <w:sz w:val="19"/>
                <w:szCs w:val="19"/>
              </w:rPr>
            </w:pPr>
            <w:r w:rsidRPr="00517553">
              <w:rPr>
                <w:rFonts w:ascii="Arial Narrow" w:hAnsi="Arial Narrow"/>
                <w:sz w:val="19"/>
                <w:szCs w:val="19"/>
              </w:rPr>
              <w:t>Clinical evidence</w:t>
            </w:r>
          </w:p>
        </w:tc>
        <w:tc>
          <w:tcPr>
            <w:tcW w:w="4678" w:type="dxa"/>
          </w:tcPr>
          <w:p w:rsidR="001D112E" w:rsidRPr="00517553" w:rsidRDefault="00626B9D" w:rsidP="008F4262">
            <w:pPr>
              <w:pStyle w:val="ListParagraph"/>
              <w:widowControl/>
              <w:numPr>
                <w:ilvl w:val="0"/>
                <w:numId w:val="3"/>
              </w:numPr>
              <w:ind w:left="114" w:hanging="114"/>
              <w:jc w:val="left"/>
              <w:rPr>
                <w:rFonts w:ascii="Arial Narrow" w:hAnsi="Arial Narrow"/>
                <w:sz w:val="19"/>
                <w:szCs w:val="19"/>
              </w:rPr>
            </w:pPr>
            <w:r w:rsidRPr="00517553">
              <w:rPr>
                <w:rFonts w:ascii="Arial Narrow" w:hAnsi="Arial Narrow"/>
                <w:sz w:val="19"/>
                <w:szCs w:val="19"/>
              </w:rPr>
              <w:t xml:space="preserve">Two RCTs: TG-MV-006 (N=326) and </w:t>
            </w:r>
            <w:r w:rsidR="00064591">
              <w:rPr>
                <w:rFonts w:ascii="Arial Narrow" w:hAnsi="Arial Narrow"/>
                <w:sz w:val="19"/>
                <w:szCs w:val="19"/>
              </w:rPr>
              <w:t>TG-MV</w:t>
            </w:r>
            <w:r w:rsidRPr="00517553">
              <w:rPr>
                <w:rFonts w:ascii="Arial Narrow" w:hAnsi="Arial Narrow"/>
                <w:sz w:val="19"/>
                <w:szCs w:val="19"/>
              </w:rPr>
              <w:t>-007 (N=326)</w:t>
            </w:r>
            <w:r w:rsidR="001D112E" w:rsidRPr="00517553">
              <w:rPr>
                <w:rFonts w:ascii="Arial Narrow" w:hAnsi="Arial Narrow"/>
                <w:sz w:val="19"/>
                <w:szCs w:val="19"/>
              </w:rPr>
              <w:t>.</w:t>
            </w:r>
          </w:p>
          <w:p w:rsidR="001D112E" w:rsidRPr="00517553" w:rsidRDefault="001D112E" w:rsidP="008F4262">
            <w:pPr>
              <w:widowControl/>
              <w:jc w:val="left"/>
              <w:rPr>
                <w:rFonts w:ascii="Arial Narrow" w:hAnsi="Arial Narrow"/>
                <w:sz w:val="19"/>
                <w:szCs w:val="19"/>
              </w:rPr>
            </w:pPr>
            <w:r w:rsidRPr="00517553">
              <w:rPr>
                <w:rFonts w:ascii="Arial Narrow" w:hAnsi="Arial Narrow"/>
                <w:b/>
                <w:sz w:val="19"/>
                <w:szCs w:val="19"/>
              </w:rPr>
              <w:t>PBAC Comment:</w:t>
            </w:r>
            <w:r w:rsidRPr="00517553">
              <w:rPr>
                <w:rFonts w:ascii="Arial Narrow" w:hAnsi="Arial Narrow"/>
                <w:sz w:val="19"/>
                <w:szCs w:val="19"/>
              </w:rPr>
              <w:t xml:space="preserve"> </w:t>
            </w:r>
            <w:r w:rsidR="00626B9D" w:rsidRPr="00517553">
              <w:rPr>
                <w:rFonts w:ascii="Arial Narrow" w:hAnsi="Arial Narrow"/>
                <w:sz w:val="19"/>
                <w:szCs w:val="19"/>
              </w:rPr>
              <w:t>The risk of bias was low and patients enrolled were considered to be broadly representative of those for whom listing is sought (Paragraph 6.6)</w:t>
            </w:r>
            <w:r w:rsidRPr="00517553">
              <w:rPr>
                <w:rFonts w:ascii="Arial Narrow" w:hAnsi="Arial Narrow"/>
                <w:sz w:val="19"/>
                <w:szCs w:val="19"/>
              </w:rPr>
              <w:t>.</w:t>
            </w:r>
          </w:p>
        </w:tc>
        <w:tc>
          <w:tcPr>
            <w:tcW w:w="2631" w:type="dxa"/>
          </w:tcPr>
          <w:p w:rsidR="001D112E" w:rsidRPr="00517553" w:rsidRDefault="0027164E" w:rsidP="008F4262">
            <w:pPr>
              <w:pStyle w:val="ListParagraph"/>
              <w:widowControl/>
              <w:numPr>
                <w:ilvl w:val="0"/>
                <w:numId w:val="3"/>
              </w:numPr>
              <w:ind w:left="114" w:hanging="114"/>
              <w:jc w:val="left"/>
              <w:rPr>
                <w:rFonts w:ascii="Arial Narrow" w:hAnsi="Arial Narrow"/>
                <w:sz w:val="19"/>
                <w:szCs w:val="19"/>
              </w:rPr>
            </w:pPr>
            <w:r w:rsidRPr="00517553">
              <w:rPr>
                <w:rFonts w:ascii="Arial Narrow" w:hAnsi="Arial Narrow"/>
                <w:sz w:val="19"/>
                <w:szCs w:val="19"/>
              </w:rPr>
              <w:t>T</w:t>
            </w:r>
            <w:r w:rsidR="00626B9D" w:rsidRPr="00517553">
              <w:rPr>
                <w:rFonts w:ascii="Arial Narrow" w:hAnsi="Arial Narrow"/>
                <w:sz w:val="19"/>
                <w:szCs w:val="19"/>
              </w:rPr>
              <w:t>hree RCTs: TG-MV-006 (N=326), TG-MV-007 (N=326) and OASIS (n=220).</w:t>
            </w:r>
          </w:p>
        </w:tc>
      </w:tr>
      <w:tr w:rsidR="001D112E" w:rsidRPr="00517553" w:rsidTr="00331724">
        <w:trPr>
          <w:trHeight w:val="1064"/>
        </w:trPr>
        <w:tc>
          <w:tcPr>
            <w:tcW w:w="1134" w:type="dxa"/>
          </w:tcPr>
          <w:p w:rsidR="001D112E" w:rsidRPr="00517553" w:rsidRDefault="001D112E" w:rsidP="008F4262">
            <w:pPr>
              <w:widowControl/>
              <w:jc w:val="left"/>
              <w:rPr>
                <w:rFonts w:ascii="Arial Narrow" w:hAnsi="Arial Narrow"/>
                <w:sz w:val="19"/>
                <w:szCs w:val="19"/>
              </w:rPr>
            </w:pPr>
            <w:r w:rsidRPr="00517553">
              <w:rPr>
                <w:rFonts w:ascii="Arial Narrow" w:hAnsi="Arial Narrow"/>
                <w:sz w:val="19"/>
                <w:szCs w:val="19"/>
              </w:rPr>
              <w:t>Key effectiveness data</w:t>
            </w:r>
          </w:p>
        </w:tc>
        <w:tc>
          <w:tcPr>
            <w:tcW w:w="4678" w:type="dxa"/>
          </w:tcPr>
          <w:p w:rsidR="001D112E" w:rsidRPr="00517553" w:rsidRDefault="008408C1" w:rsidP="008F4262">
            <w:pPr>
              <w:pStyle w:val="ListParagraph"/>
              <w:widowControl/>
              <w:numPr>
                <w:ilvl w:val="0"/>
                <w:numId w:val="3"/>
              </w:numPr>
              <w:ind w:left="114" w:hanging="114"/>
              <w:jc w:val="left"/>
              <w:rPr>
                <w:rFonts w:ascii="Arial Narrow" w:hAnsi="Arial Narrow"/>
                <w:sz w:val="19"/>
                <w:szCs w:val="19"/>
              </w:rPr>
            </w:pPr>
            <w:r w:rsidRPr="00517553">
              <w:rPr>
                <w:rFonts w:ascii="Arial Narrow" w:hAnsi="Arial Narrow"/>
                <w:sz w:val="19"/>
                <w:szCs w:val="19"/>
              </w:rPr>
              <w:t xml:space="preserve">Non-surgical VMT resolution at Day 28 favoured </w:t>
            </w:r>
            <w:proofErr w:type="spellStart"/>
            <w:r w:rsidRPr="00517553">
              <w:rPr>
                <w:rFonts w:ascii="Arial Narrow" w:hAnsi="Arial Narrow"/>
                <w:sz w:val="19"/>
                <w:szCs w:val="19"/>
              </w:rPr>
              <w:t>ocriplasmin</w:t>
            </w:r>
            <w:proofErr w:type="spellEnd"/>
            <w:r w:rsidRPr="00517553">
              <w:rPr>
                <w:rFonts w:ascii="Arial Narrow" w:hAnsi="Arial Narrow"/>
                <w:sz w:val="19"/>
                <w:szCs w:val="19"/>
              </w:rPr>
              <w:t xml:space="preserve"> (RD=0.17, 95%</w:t>
            </w:r>
            <w:r w:rsidR="0027164E" w:rsidRPr="00517553">
              <w:rPr>
                <w:rFonts w:ascii="Arial Narrow" w:hAnsi="Arial Narrow"/>
                <w:sz w:val="19"/>
                <w:szCs w:val="19"/>
              </w:rPr>
              <w:t xml:space="preserve"> </w:t>
            </w:r>
            <w:r w:rsidRPr="00517553">
              <w:rPr>
                <w:rFonts w:ascii="Arial Narrow" w:hAnsi="Arial Narrow"/>
                <w:sz w:val="19"/>
                <w:szCs w:val="19"/>
              </w:rPr>
              <w:t xml:space="preserve">CI: 0.12, 0.23); there was a small change in patient-relevant secondary outcome of </w:t>
            </w:r>
            <w:proofErr w:type="spellStart"/>
            <w:r w:rsidRPr="00517553">
              <w:rPr>
                <w:rFonts w:ascii="Arial Narrow" w:hAnsi="Arial Narrow"/>
                <w:sz w:val="19"/>
                <w:szCs w:val="19"/>
              </w:rPr>
              <w:t>vitrectomy</w:t>
            </w:r>
            <w:proofErr w:type="spellEnd"/>
            <w:r w:rsidRPr="00517553">
              <w:rPr>
                <w:rFonts w:ascii="Arial Narrow" w:hAnsi="Arial Narrow"/>
                <w:sz w:val="19"/>
                <w:szCs w:val="19"/>
              </w:rPr>
              <w:t xml:space="preserve"> at 6 months (RD</w:t>
            </w:r>
            <w:r w:rsidR="00CC5403" w:rsidRPr="00517553">
              <w:rPr>
                <w:rFonts w:ascii="Arial Narrow" w:hAnsi="Arial Narrow"/>
                <w:sz w:val="19"/>
                <w:szCs w:val="19"/>
              </w:rPr>
              <w:t>=-0.08, 95%</w:t>
            </w:r>
            <w:r w:rsidR="0027164E" w:rsidRPr="00517553">
              <w:rPr>
                <w:rFonts w:ascii="Arial Narrow" w:hAnsi="Arial Narrow"/>
                <w:sz w:val="19"/>
                <w:szCs w:val="19"/>
              </w:rPr>
              <w:t xml:space="preserve"> </w:t>
            </w:r>
            <w:r w:rsidR="00CC5403" w:rsidRPr="00517553">
              <w:rPr>
                <w:rFonts w:ascii="Arial Narrow" w:hAnsi="Arial Narrow"/>
                <w:sz w:val="19"/>
                <w:szCs w:val="19"/>
              </w:rPr>
              <w:t>CI: -0.16, -0.01</w:t>
            </w:r>
            <w:r w:rsidRPr="00517553">
              <w:rPr>
                <w:rFonts w:ascii="Arial Narrow" w:hAnsi="Arial Narrow"/>
                <w:sz w:val="19"/>
                <w:szCs w:val="19"/>
              </w:rPr>
              <w:t>) but no change in BCVA at 6 months (Mean difference=1.11, 95%</w:t>
            </w:r>
            <w:r w:rsidR="0027164E" w:rsidRPr="00517553">
              <w:rPr>
                <w:rFonts w:ascii="Arial Narrow" w:hAnsi="Arial Narrow"/>
                <w:sz w:val="19"/>
                <w:szCs w:val="19"/>
              </w:rPr>
              <w:t xml:space="preserve"> </w:t>
            </w:r>
            <w:r w:rsidRPr="00517553">
              <w:rPr>
                <w:rFonts w:ascii="Arial Narrow" w:hAnsi="Arial Narrow"/>
                <w:sz w:val="19"/>
                <w:szCs w:val="19"/>
              </w:rPr>
              <w:t>CI: -0.64, 2.85)</w:t>
            </w:r>
            <w:r w:rsidR="001D112E" w:rsidRPr="00517553">
              <w:rPr>
                <w:rFonts w:ascii="Arial Narrow" w:hAnsi="Arial Narrow"/>
                <w:sz w:val="19"/>
                <w:szCs w:val="19"/>
              </w:rPr>
              <w:t>.</w:t>
            </w:r>
          </w:p>
          <w:p w:rsidR="001D112E" w:rsidRPr="00517553" w:rsidRDefault="001D112E" w:rsidP="008F4262">
            <w:pPr>
              <w:widowControl/>
              <w:jc w:val="left"/>
              <w:rPr>
                <w:rFonts w:ascii="Arial Narrow" w:hAnsi="Arial Narrow"/>
                <w:sz w:val="19"/>
                <w:szCs w:val="19"/>
              </w:rPr>
            </w:pPr>
            <w:r w:rsidRPr="00517553">
              <w:rPr>
                <w:rFonts w:ascii="Arial Narrow" w:hAnsi="Arial Narrow"/>
                <w:b/>
                <w:sz w:val="19"/>
                <w:szCs w:val="19"/>
              </w:rPr>
              <w:t>PBAC Comment:</w:t>
            </w:r>
            <w:r w:rsidRPr="00517553">
              <w:rPr>
                <w:rFonts w:ascii="Arial Narrow" w:hAnsi="Arial Narrow"/>
                <w:sz w:val="19"/>
                <w:szCs w:val="19"/>
              </w:rPr>
              <w:t xml:space="preserve"> </w:t>
            </w:r>
            <w:r w:rsidR="00CC5403" w:rsidRPr="00517553">
              <w:rPr>
                <w:rFonts w:ascii="Arial Narrow" w:hAnsi="Arial Narrow"/>
                <w:sz w:val="19"/>
                <w:szCs w:val="19"/>
              </w:rPr>
              <w:t xml:space="preserve">The PBAC noted the primary outcome may be a reasonable surrogate for patient relevant outcomes of visual acuity, visual disturbance and </w:t>
            </w:r>
            <w:proofErr w:type="spellStart"/>
            <w:proofErr w:type="gramStart"/>
            <w:r w:rsidR="00CC5403" w:rsidRPr="00517553">
              <w:rPr>
                <w:rFonts w:ascii="Arial Narrow" w:hAnsi="Arial Narrow"/>
                <w:sz w:val="19"/>
                <w:szCs w:val="19"/>
              </w:rPr>
              <w:t>vitrectomy</w:t>
            </w:r>
            <w:proofErr w:type="spellEnd"/>
            <w:r w:rsidR="00CC5403" w:rsidRPr="00517553">
              <w:rPr>
                <w:rFonts w:ascii="Arial Narrow" w:hAnsi="Arial Narrow"/>
                <w:sz w:val="19"/>
                <w:szCs w:val="19"/>
              </w:rPr>
              <w:t>,</w:t>
            </w:r>
            <w:proofErr w:type="gramEnd"/>
            <w:r w:rsidR="00CC5403" w:rsidRPr="00517553">
              <w:rPr>
                <w:rFonts w:ascii="Arial Narrow" w:hAnsi="Arial Narrow"/>
                <w:sz w:val="19"/>
                <w:szCs w:val="19"/>
              </w:rPr>
              <w:t xml:space="preserve"> </w:t>
            </w:r>
            <w:r w:rsidR="009C5D6C" w:rsidRPr="00517553">
              <w:rPr>
                <w:rFonts w:ascii="Arial Narrow" w:hAnsi="Arial Narrow"/>
                <w:sz w:val="19"/>
                <w:szCs w:val="19"/>
              </w:rPr>
              <w:t>however</w:t>
            </w:r>
            <w:r w:rsidR="00CC5403" w:rsidRPr="00517553">
              <w:rPr>
                <w:rFonts w:ascii="Arial Narrow" w:hAnsi="Arial Narrow"/>
                <w:sz w:val="19"/>
                <w:szCs w:val="19"/>
              </w:rPr>
              <w:t xml:space="preserve"> </w:t>
            </w:r>
            <w:r w:rsidR="009C5D6C" w:rsidRPr="00517553">
              <w:rPr>
                <w:rFonts w:ascii="Arial Narrow" w:hAnsi="Arial Narrow"/>
                <w:sz w:val="19"/>
                <w:szCs w:val="19"/>
              </w:rPr>
              <w:t>the potential</w:t>
            </w:r>
            <w:r w:rsidR="00CC5403" w:rsidRPr="00517553">
              <w:rPr>
                <w:rFonts w:ascii="Arial Narrow" w:hAnsi="Arial Narrow"/>
                <w:sz w:val="19"/>
                <w:szCs w:val="19"/>
              </w:rPr>
              <w:t xml:space="preserve"> relationship was not presented.  </w:t>
            </w:r>
            <w:r w:rsidR="009C5D6C" w:rsidRPr="00517553">
              <w:rPr>
                <w:rFonts w:ascii="Arial Narrow" w:hAnsi="Arial Narrow"/>
                <w:sz w:val="19"/>
                <w:szCs w:val="19"/>
              </w:rPr>
              <w:t>The PBAC also noted t</w:t>
            </w:r>
            <w:r w:rsidR="00CC5403" w:rsidRPr="00517553">
              <w:rPr>
                <w:rFonts w:ascii="Arial Narrow" w:hAnsi="Arial Narrow"/>
                <w:sz w:val="19"/>
                <w:szCs w:val="19"/>
              </w:rPr>
              <w:t xml:space="preserve">hat successful non-surgical VMT resolution at Day 28 did not appear to reliably predict avoidance of </w:t>
            </w:r>
            <w:proofErr w:type="spellStart"/>
            <w:r w:rsidR="00CC5403" w:rsidRPr="00517553">
              <w:rPr>
                <w:rFonts w:ascii="Arial Narrow" w:hAnsi="Arial Narrow"/>
                <w:sz w:val="19"/>
                <w:szCs w:val="19"/>
              </w:rPr>
              <w:t>vitrectomy</w:t>
            </w:r>
            <w:proofErr w:type="spellEnd"/>
            <w:r w:rsidR="00CC5403" w:rsidRPr="00517553">
              <w:rPr>
                <w:rFonts w:ascii="Arial Narrow" w:hAnsi="Arial Narrow"/>
                <w:sz w:val="19"/>
                <w:szCs w:val="19"/>
              </w:rPr>
              <w:t xml:space="preserve"> at 6 months</w:t>
            </w:r>
            <w:r w:rsidRPr="00517553">
              <w:rPr>
                <w:rFonts w:ascii="Arial Narrow" w:hAnsi="Arial Narrow"/>
                <w:sz w:val="19"/>
                <w:szCs w:val="19"/>
              </w:rPr>
              <w:t>.</w:t>
            </w:r>
            <w:r w:rsidR="00CC5403" w:rsidRPr="00517553">
              <w:rPr>
                <w:rFonts w:ascii="Arial Narrow" w:hAnsi="Arial Narrow"/>
                <w:sz w:val="19"/>
                <w:szCs w:val="19"/>
              </w:rPr>
              <w:t xml:space="preserve">  Overall, the PBAC considered it remained unclear how effective </w:t>
            </w:r>
            <w:proofErr w:type="spellStart"/>
            <w:r w:rsidR="00CC5403" w:rsidRPr="00517553">
              <w:rPr>
                <w:rFonts w:ascii="Arial Narrow" w:hAnsi="Arial Narrow"/>
                <w:sz w:val="19"/>
                <w:szCs w:val="19"/>
              </w:rPr>
              <w:t>ocriplasmin</w:t>
            </w:r>
            <w:proofErr w:type="spellEnd"/>
            <w:r w:rsidR="00CC5403" w:rsidRPr="00517553">
              <w:rPr>
                <w:rFonts w:ascii="Arial Narrow" w:hAnsi="Arial Narrow"/>
                <w:sz w:val="19"/>
                <w:szCs w:val="19"/>
              </w:rPr>
              <w:t xml:space="preserve"> is with respect to the patient relevant outcomes of improving visual function and of preventing rather than delaying </w:t>
            </w:r>
            <w:proofErr w:type="spellStart"/>
            <w:r w:rsidR="00CC5403" w:rsidRPr="00517553">
              <w:rPr>
                <w:rFonts w:ascii="Arial Narrow" w:hAnsi="Arial Narrow"/>
                <w:sz w:val="19"/>
                <w:szCs w:val="19"/>
              </w:rPr>
              <w:t>vitrectomy</w:t>
            </w:r>
            <w:proofErr w:type="spellEnd"/>
            <w:r w:rsidR="009C5D6C" w:rsidRPr="00517553">
              <w:rPr>
                <w:rFonts w:ascii="Arial Narrow" w:hAnsi="Arial Narrow"/>
                <w:sz w:val="19"/>
                <w:szCs w:val="19"/>
              </w:rPr>
              <w:t xml:space="preserve"> (Paragraphs 7.5 and 7.6)</w:t>
            </w:r>
            <w:r w:rsidR="00CC5403" w:rsidRPr="00517553">
              <w:rPr>
                <w:rFonts w:ascii="Arial Narrow" w:hAnsi="Arial Narrow"/>
                <w:sz w:val="19"/>
                <w:szCs w:val="19"/>
              </w:rPr>
              <w:t>.</w:t>
            </w:r>
          </w:p>
        </w:tc>
        <w:tc>
          <w:tcPr>
            <w:tcW w:w="2631" w:type="dxa"/>
          </w:tcPr>
          <w:p w:rsidR="001D112E" w:rsidRPr="00517553" w:rsidRDefault="009C5D6C" w:rsidP="008F4262">
            <w:pPr>
              <w:pStyle w:val="ListParagraph"/>
              <w:widowControl/>
              <w:numPr>
                <w:ilvl w:val="0"/>
                <w:numId w:val="3"/>
              </w:numPr>
              <w:ind w:left="114" w:hanging="114"/>
              <w:jc w:val="left"/>
              <w:rPr>
                <w:rFonts w:ascii="Arial Narrow" w:hAnsi="Arial Narrow"/>
                <w:sz w:val="19"/>
                <w:szCs w:val="19"/>
              </w:rPr>
            </w:pPr>
            <w:r w:rsidRPr="00517553">
              <w:rPr>
                <w:rFonts w:ascii="Arial Narrow" w:hAnsi="Arial Narrow"/>
                <w:sz w:val="19"/>
                <w:szCs w:val="19"/>
              </w:rPr>
              <w:t>Non-surgical VMT resolution at Day 28 (RD=0.23, 95%</w:t>
            </w:r>
            <w:r w:rsidR="0027164E" w:rsidRPr="00517553">
              <w:rPr>
                <w:rFonts w:ascii="Arial Narrow" w:hAnsi="Arial Narrow"/>
                <w:sz w:val="19"/>
                <w:szCs w:val="19"/>
              </w:rPr>
              <w:t xml:space="preserve"> </w:t>
            </w:r>
            <w:r w:rsidRPr="00517553">
              <w:rPr>
                <w:rFonts w:ascii="Arial Narrow" w:hAnsi="Arial Narrow"/>
                <w:sz w:val="19"/>
                <w:szCs w:val="19"/>
              </w:rPr>
              <w:t xml:space="preserve">CI: 0.11, 0.35). No difference in </w:t>
            </w:r>
            <w:proofErr w:type="spellStart"/>
            <w:r w:rsidRPr="00517553">
              <w:rPr>
                <w:rFonts w:ascii="Arial Narrow" w:hAnsi="Arial Narrow"/>
                <w:sz w:val="19"/>
                <w:szCs w:val="19"/>
              </w:rPr>
              <w:t>vitrectomy</w:t>
            </w:r>
            <w:proofErr w:type="spellEnd"/>
            <w:r w:rsidRPr="00517553">
              <w:rPr>
                <w:rFonts w:ascii="Arial Narrow" w:hAnsi="Arial Narrow"/>
                <w:sz w:val="19"/>
                <w:szCs w:val="19"/>
              </w:rPr>
              <w:t xml:space="preserve"> at 6 months (RD=-0.09, 95%</w:t>
            </w:r>
            <w:r w:rsidR="0027164E" w:rsidRPr="00517553">
              <w:rPr>
                <w:rFonts w:ascii="Arial Narrow" w:hAnsi="Arial Narrow"/>
                <w:sz w:val="19"/>
                <w:szCs w:val="19"/>
              </w:rPr>
              <w:t xml:space="preserve"> </w:t>
            </w:r>
            <w:r w:rsidRPr="00517553">
              <w:rPr>
                <w:rFonts w:ascii="Arial Narrow" w:hAnsi="Arial Narrow"/>
                <w:sz w:val="19"/>
                <w:szCs w:val="19"/>
              </w:rPr>
              <w:t>CI: -0.23, 0.04) or at 24 months (RD=-0.11, 95%</w:t>
            </w:r>
            <w:r w:rsidR="0027164E" w:rsidRPr="00517553">
              <w:rPr>
                <w:rFonts w:ascii="Arial Narrow" w:hAnsi="Arial Narrow"/>
                <w:sz w:val="19"/>
                <w:szCs w:val="19"/>
              </w:rPr>
              <w:t xml:space="preserve"> </w:t>
            </w:r>
            <w:r w:rsidRPr="00517553">
              <w:rPr>
                <w:rFonts w:ascii="Arial Narrow" w:hAnsi="Arial Narrow"/>
                <w:sz w:val="19"/>
                <w:szCs w:val="19"/>
              </w:rPr>
              <w:t>CI: -0.24, 0.03)</w:t>
            </w:r>
            <w:r w:rsidR="0028004E" w:rsidRPr="00517553">
              <w:rPr>
                <w:rFonts w:ascii="Arial Narrow" w:hAnsi="Arial Narrow"/>
                <w:sz w:val="19"/>
                <w:szCs w:val="19"/>
              </w:rPr>
              <w:t>. No difference in change in BCVA at 6 months (mean difference =1.32, 95%</w:t>
            </w:r>
            <w:r w:rsidR="0027164E" w:rsidRPr="00517553">
              <w:rPr>
                <w:rFonts w:ascii="Arial Narrow" w:hAnsi="Arial Narrow"/>
                <w:sz w:val="19"/>
                <w:szCs w:val="19"/>
              </w:rPr>
              <w:t xml:space="preserve"> </w:t>
            </w:r>
            <w:r w:rsidR="0028004E" w:rsidRPr="00517553">
              <w:rPr>
                <w:rFonts w:ascii="Arial Narrow" w:hAnsi="Arial Narrow"/>
                <w:sz w:val="19"/>
                <w:szCs w:val="19"/>
              </w:rPr>
              <w:t xml:space="preserve">CI: </w:t>
            </w:r>
            <w:r w:rsidR="0027164E" w:rsidRPr="00517553">
              <w:rPr>
                <w:rFonts w:ascii="Arial Narrow" w:hAnsi="Arial Narrow"/>
                <w:sz w:val="19"/>
                <w:szCs w:val="19"/>
              </w:rPr>
              <w:br/>
            </w:r>
            <w:r w:rsidR="0028004E" w:rsidRPr="00517553">
              <w:rPr>
                <w:rFonts w:ascii="Arial Narrow" w:hAnsi="Arial Narrow"/>
                <w:sz w:val="19"/>
                <w:szCs w:val="19"/>
              </w:rPr>
              <w:t>-0.20, 2.84) or at 24 months</w:t>
            </w:r>
            <w:r w:rsidR="001E7BC6" w:rsidRPr="00517553">
              <w:rPr>
                <w:rFonts w:ascii="Arial Narrow" w:hAnsi="Arial Narrow"/>
                <w:sz w:val="19"/>
                <w:szCs w:val="19"/>
              </w:rPr>
              <w:t xml:space="preserve"> (mean difference=2.30, 95%</w:t>
            </w:r>
            <w:r w:rsidR="0027164E" w:rsidRPr="00517553">
              <w:rPr>
                <w:rFonts w:ascii="Arial Narrow" w:hAnsi="Arial Narrow"/>
                <w:sz w:val="19"/>
                <w:szCs w:val="19"/>
              </w:rPr>
              <w:t xml:space="preserve"> </w:t>
            </w:r>
            <w:r w:rsidR="001E7BC6" w:rsidRPr="00517553">
              <w:rPr>
                <w:rFonts w:ascii="Arial Narrow" w:hAnsi="Arial Narrow"/>
                <w:sz w:val="19"/>
                <w:szCs w:val="19"/>
              </w:rPr>
              <w:t>CI: -0.85, 5.45).</w:t>
            </w:r>
          </w:p>
        </w:tc>
      </w:tr>
      <w:tr w:rsidR="001D112E" w:rsidRPr="00517553" w:rsidTr="000B0DEA">
        <w:trPr>
          <w:trHeight w:val="422"/>
        </w:trPr>
        <w:tc>
          <w:tcPr>
            <w:tcW w:w="1134" w:type="dxa"/>
          </w:tcPr>
          <w:p w:rsidR="001D112E" w:rsidRPr="00517553" w:rsidRDefault="001D112E" w:rsidP="008F4262">
            <w:pPr>
              <w:widowControl/>
              <w:jc w:val="left"/>
              <w:rPr>
                <w:rFonts w:ascii="Arial Narrow" w:hAnsi="Arial Narrow"/>
                <w:sz w:val="19"/>
                <w:szCs w:val="19"/>
              </w:rPr>
            </w:pPr>
            <w:r w:rsidRPr="00517553">
              <w:rPr>
                <w:rFonts w:ascii="Arial Narrow" w:hAnsi="Arial Narrow"/>
                <w:sz w:val="19"/>
                <w:szCs w:val="19"/>
              </w:rPr>
              <w:t>Key safety data</w:t>
            </w:r>
          </w:p>
        </w:tc>
        <w:tc>
          <w:tcPr>
            <w:tcW w:w="4678" w:type="dxa"/>
          </w:tcPr>
          <w:p w:rsidR="001D112E" w:rsidRPr="00517553" w:rsidRDefault="000B0DEA" w:rsidP="008F4262">
            <w:pPr>
              <w:pStyle w:val="ListParagraph"/>
              <w:widowControl/>
              <w:numPr>
                <w:ilvl w:val="0"/>
                <w:numId w:val="3"/>
              </w:numPr>
              <w:ind w:left="114" w:hanging="114"/>
              <w:jc w:val="left"/>
              <w:rPr>
                <w:rFonts w:ascii="Arial Narrow" w:hAnsi="Arial Narrow"/>
                <w:sz w:val="19"/>
                <w:szCs w:val="19"/>
              </w:rPr>
            </w:pPr>
            <w:r w:rsidRPr="00517553">
              <w:rPr>
                <w:rFonts w:ascii="Arial Narrow" w:hAnsi="Arial Narrow"/>
                <w:sz w:val="19"/>
                <w:szCs w:val="19"/>
              </w:rPr>
              <w:t>No safety concerns</w:t>
            </w:r>
            <w:r w:rsidR="001D112E" w:rsidRPr="00517553">
              <w:rPr>
                <w:rFonts w:ascii="Arial Narrow" w:hAnsi="Arial Narrow"/>
                <w:sz w:val="19"/>
                <w:szCs w:val="19"/>
              </w:rPr>
              <w:t>.</w:t>
            </w:r>
          </w:p>
          <w:p w:rsidR="001D112E" w:rsidRPr="00517553" w:rsidRDefault="001D112E" w:rsidP="008F4262">
            <w:pPr>
              <w:widowControl/>
              <w:jc w:val="left"/>
              <w:rPr>
                <w:rFonts w:ascii="Arial Narrow" w:hAnsi="Arial Narrow"/>
                <w:sz w:val="19"/>
                <w:szCs w:val="19"/>
              </w:rPr>
            </w:pPr>
            <w:r w:rsidRPr="00517553">
              <w:rPr>
                <w:rFonts w:ascii="Arial Narrow" w:hAnsi="Arial Narrow"/>
                <w:b/>
                <w:sz w:val="19"/>
                <w:szCs w:val="19"/>
              </w:rPr>
              <w:t>PBAC Comment:</w:t>
            </w:r>
            <w:r w:rsidRPr="00517553">
              <w:rPr>
                <w:rFonts w:ascii="Arial Narrow" w:hAnsi="Arial Narrow"/>
                <w:sz w:val="19"/>
                <w:szCs w:val="19"/>
              </w:rPr>
              <w:t xml:space="preserve"> </w:t>
            </w:r>
            <w:r w:rsidR="000B0DEA" w:rsidRPr="00517553">
              <w:rPr>
                <w:rFonts w:ascii="Arial Narrow" w:hAnsi="Arial Narrow"/>
                <w:sz w:val="19"/>
                <w:szCs w:val="19"/>
              </w:rPr>
              <w:t>None</w:t>
            </w:r>
            <w:r w:rsidRPr="00517553">
              <w:rPr>
                <w:rFonts w:ascii="Arial Narrow" w:hAnsi="Arial Narrow"/>
                <w:sz w:val="19"/>
                <w:szCs w:val="19"/>
              </w:rPr>
              <w:t>.</w:t>
            </w:r>
          </w:p>
        </w:tc>
        <w:tc>
          <w:tcPr>
            <w:tcW w:w="2631" w:type="dxa"/>
          </w:tcPr>
          <w:p w:rsidR="001D112E" w:rsidRPr="00517553" w:rsidRDefault="000B0DEA" w:rsidP="008F4262">
            <w:pPr>
              <w:pStyle w:val="ListParagraph"/>
              <w:widowControl/>
              <w:numPr>
                <w:ilvl w:val="0"/>
                <w:numId w:val="3"/>
              </w:numPr>
              <w:ind w:left="114" w:hanging="114"/>
              <w:jc w:val="left"/>
              <w:rPr>
                <w:rFonts w:ascii="Arial Narrow" w:hAnsi="Arial Narrow"/>
                <w:sz w:val="19"/>
                <w:szCs w:val="19"/>
              </w:rPr>
            </w:pPr>
            <w:r w:rsidRPr="00517553">
              <w:rPr>
                <w:rFonts w:ascii="Arial Narrow" w:hAnsi="Arial Narrow"/>
                <w:sz w:val="19"/>
                <w:szCs w:val="19"/>
              </w:rPr>
              <w:t>No new safety concerns</w:t>
            </w:r>
            <w:r w:rsidR="001D112E" w:rsidRPr="00517553">
              <w:rPr>
                <w:rFonts w:ascii="Arial Narrow" w:hAnsi="Arial Narrow"/>
                <w:sz w:val="19"/>
                <w:szCs w:val="19"/>
              </w:rPr>
              <w:t>.</w:t>
            </w:r>
          </w:p>
        </w:tc>
      </w:tr>
      <w:tr w:rsidR="001D112E" w:rsidRPr="00517553" w:rsidTr="00331724">
        <w:trPr>
          <w:trHeight w:val="860"/>
        </w:trPr>
        <w:tc>
          <w:tcPr>
            <w:tcW w:w="1134" w:type="dxa"/>
          </w:tcPr>
          <w:p w:rsidR="001D112E" w:rsidRPr="00517553" w:rsidRDefault="001D112E" w:rsidP="008F4262">
            <w:pPr>
              <w:widowControl/>
              <w:jc w:val="left"/>
              <w:rPr>
                <w:rFonts w:ascii="Arial Narrow" w:hAnsi="Arial Narrow"/>
                <w:sz w:val="19"/>
                <w:szCs w:val="19"/>
              </w:rPr>
            </w:pPr>
            <w:r w:rsidRPr="00517553">
              <w:rPr>
                <w:rFonts w:ascii="Arial Narrow" w:hAnsi="Arial Narrow"/>
                <w:sz w:val="19"/>
                <w:szCs w:val="19"/>
              </w:rPr>
              <w:t>Clinical claim</w:t>
            </w:r>
          </w:p>
        </w:tc>
        <w:tc>
          <w:tcPr>
            <w:tcW w:w="4678" w:type="dxa"/>
          </w:tcPr>
          <w:p w:rsidR="001D112E" w:rsidRPr="00517553" w:rsidRDefault="000B0DEA" w:rsidP="008F4262">
            <w:pPr>
              <w:pStyle w:val="ListParagraph"/>
              <w:widowControl/>
              <w:numPr>
                <w:ilvl w:val="0"/>
                <w:numId w:val="3"/>
              </w:numPr>
              <w:ind w:left="114" w:hanging="114"/>
              <w:jc w:val="left"/>
              <w:rPr>
                <w:rFonts w:ascii="Arial Narrow" w:hAnsi="Arial Narrow"/>
                <w:sz w:val="19"/>
                <w:szCs w:val="19"/>
              </w:rPr>
            </w:pPr>
            <w:proofErr w:type="spellStart"/>
            <w:r w:rsidRPr="00517553">
              <w:rPr>
                <w:rFonts w:ascii="Arial Narrow" w:hAnsi="Arial Narrow"/>
                <w:sz w:val="19"/>
                <w:szCs w:val="19"/>
              </w:rPr>
              <w:t>Ocriplasmin</w:t>
            </w:r>
            <w:proofErr w:type="spellEnd"/>
            <w:r w:rsidRPr="00517553">
              <w:rPr>
                <w:rFonts w:ascii="Arial Narrow" w:hAnsi="Arial Narrow"/>
                <w:sz w:val="19"/>
                <w:szCs w:val="19"/>
              </w:rPr>
              <w:t xml:space="preserve"> superior effectiveness </w:t>
            </w:r>
            <w:r w:rsidR="00D217FA" w:rsidRPr="00517553">
              <w:rPr>
                <w:rFonts w:ascii="Arial Narrow" w:hAnsi="Arial Narrow"/>
                <w:sz w:val="19"/>
                <w:szCs w:val="19"/>
              </w:rPr>
              <w:t>compared with</w:t>
            </w:r>
            <w:r w:rsidRPr="00517553">
              <w:rPr>
                <w:rFonts w:ascii="Arial Narrow" w:hAnsi="Arial Narrow"/>
                <w:sz w:val="19"/>
                <w:szCs w:val="19"/>
              </w:rPr>
              <w:t xml:space="preserve"> watchful waiting, but inferior safety</w:t>
            </w:r>
            <w:r w:rsidR="001D112E" w:rsidRPr="00517553">
              <w:rPr>
                <w:rFonts w:ascii="Arial Narrow" w:hAnsi="Arial Narrow"/>
                <w:sz w:val="19"/>
                <w:szCs w:val="19"/>
              </w:rPr>
              <w:t>.</w:t>
            </w:r>
          </w:p>
          <w:p w:rsidR="001D112E" w:rsidRPr="00517553" w:rsidRDefault="001D112E" w:rsidP="008F4262">
            <w:pPr>
              <w:widowControl/>
              <w:jc w:val="left"/>
              <w:rPr>
                <w:rFonts w:ascii="Arial Narrow" w:hAnsi="Arial Narrow"/>
                <w:sz w:val="19"/>
                <w:szCs w:val="19"/>
              </w:rPr>
            </w:pPr>
            <w:r w:rsidRPr="00517553">
              <w:rPr>
                <w:rFonts w:ascii="Arial Narrow" w:hAnsi="Arial Narrow"/>
                <w:b/>
                <w:sz w:val="19"/>
                <w:szCs w:val="19"/>
              </w:rPr>
              <w:t>PBAC Comment:</w:t>
            </w:r>
            <w:r w:rsidRPr="00517553">
              <w:rPr>
                <w:rFonts w:ascii="Arial Narrow" w:hAnsi="Arial Narrow"/>
                <w:sz w:val="19"/>
                <w:szCs w:val="19"/>
              </w:rPr>
              <w:t xml:space="preserve"> </w:t>
            </w:r>
            <w:r w:rsidR="000B0DEA" w:rsidRPr="00517553">
              <w:rPr>
                <w:rFonts w:ascii="Arial Narrow" w:hAnsi="Arial Narrow"/>
                <w:sz w:val="19"/>
                <w:szCs w:val="19"/>
              </w:rPr>
              <w:t>The PBAC accepted this claim</w:t>
            </w:r>
            <w:r w:rsidR="00976691" w:rsidRPr="00517553">
              <w:rPr>
                <w:rFonts w:ascii="Arial Narrow" w:hAnsi="Arial Narrow"/>
                <w:sz w:val="19"/>
                <w:szCs w:val="19"/>
              </w:rPr>
              <w:t xml:space="preserve"> (Paragraph 7.8) but noted there was no claim for </w:t>
            </w:r>
            <w:proofErr w:type="spellStart"/>
            <w:r w:rsidR="00976691" w:rsidRPr="00517553">
              <w:rPr>
                <w:rFonts w:ascii="Arial Narrow" w:hAnsi="Arial Narrow"/>
                <w:sz w:val="19"/>
                <w:szCs w:val="19"/>
              </w:rPr>
              <w:t>ocriplasmin</w:t>
            </w:r>
            <w:proofErr w:type="spellEnd"/>
            <w:r w:rsidR="00976691" w:rsidRPr="00517553">
              <w:rPr>
                <w:rFonts w:ascii="Arial Narrow" w:hAnsi="Arial Narrow"/>
                <w:sz w:val="19"/>
                <w:szCs w:val="19"/>
              </w:rPr>
              <w:t xml:space="preserve"> ± </w:t>
            </w:r>
            <w:proofErr w:type="spellStart"/>
            <w:r w:rsidR="00976691" w:rsidRPr="00517553">
              <w:rPr>
                <w:rFonts w:ascii="Arial Narrow" w:hAnsi="Arial Narrow"/>
                <w:sz w:val="19"/>
                <w:szCs w:val="19"/>
              </w:rPr>
              <w:t>vitrectomy</w:t>
            </w:r>
            <w:proofErr w:type="spellEnd"/>
            <w:r w:rsidR="00976691" w:rsidRPr="00517553">
              <w:rPr>
                <w:rFonts w:ascii="Arial Narrow" w:hAnsi="Arial Narrow"/>
                <w:sz w:val="19"/>
                <w:szCs w:val="19"/>
              </w:rPr>
              <w:t xml:space="preserve"> vs watchful waiting ± </w:t>
            </w:r>
            <w:proofErr w:type="spellStart"/>
            <w:r w:rsidR="00976691" w:rsidRPr="00517553">
              <w:rPr>
                <w:rFonts w:ascii="Arial Narrow" w:hAnsi="Arial Narrow"/>
                <w:sz w:val="19"/>
                <w:szCs w:val="19"/>
              </w:rPr>
              <w:t>vitrectomy</w:t>
            </w:r>
            <w:proofErr w:type="spellEnd"/>
            <w:r w:rsidR="00976691" w:rsidRPr="00517553">
              <w:rPr>
                <w:rFonts w:ascii="Arial Narrow" w:hAnsi="Arial Narrow"/>
                <w:sz w:val="19"/>
                <w:szCs w:val="19"/>
              </w:rPr>
              <w:t xml:space="preserve"> (Paragraph 6.28)</w:t>
            </w:r>
            <w:r w:rsidRPr="00517553">
              <w:rPr>
                <w:rFonts w:ascii="Arial Narrow" w:hAnsi="Arial Narrow"/>
                <w:sz w:val="19"/>
                <w:szCs w:val="19"/>
              </w:rPr>
              <w:t>.</w:t>
            </w:r>
          </w:p>
        </w:tc>
        <w:tc>
          <w:tcPr>
            <w:tcW w:w="2631" w:type="dxa"/>
          </w:tcPr>
          <w:p w:rsidR="001D112E" w:rsidRPr="00517553" w:rsidRDefault="0027164E" w:rsidP="008F4262">
            <w:pPr>
              <w:pStyle w:val="ListParagraph"/>
              <w:widowControl/>
              <w:numPr>
                <w:ilvl w:val="0"/>
                <w:numId w:val="3"/>
              </w:numPr>
              <w:ind w:left="114" w:hanging="114"/>
              <w:jc w:val="left"/>
              <w:rPr>
                <w:rFonts w:ascii="Arial Narrow" w:hAnsi="Arial Narrow"/>
                <w:sz w:val="19"/>
                <w:szCs w:val="19"/>
              </w:rPr>
            </w:pPr>
            <w:proofErr w:type="spellStart"/>
            <w:r w:rsidRPr="00517553">
              <w:rPr>
                <w:rFonts w:ascii="Arial Narrow" w:hAnsi="Arial Narrow"/>
                <w:sz w:val="19"/>
                <w:szCs w:val="19"/>
              </w:rPr>
              <w:t>O</w:t>
            </w:r>
            <w:r w:rsidR="00976691" w:rsidRPr="00517553">
              <w:rPr>
                <w:rFonts w:ascii="Arial Narrow" w:hAnsi="Arial Narrow"/>
                <w:sz w:val="19"/>
                <w:szCs w:val="19"/>
              </w:rPr>
              <w:t>criplasmin</w:t>
            </w:r>
            <w:proofErr w:type="spellEnd"/>
            <w:r w:rsidR="00976691" w:rsidRPr="00517553">
              <w:rPr>
                <w:rFonts w:ascii="Arial Narrow" w:hAnsi="Arial Narrow"/>
                <w:sz w:val="19"/>
                <w:szCs w:val="19"/>
              </w:rPr>
              <w:t xml:space="preserve"> ± </w:t>
            </w:r>
            <w:proofErr w:type="spellStart"/>
            <w:r w:rsidR="00976691" w:rsidRPr="00517553">
              <w:rPr>
                <w:rFonts w:ascii="Arial Narrow" w:hAnsi="Arial Narrow"/>
                <w:sz w:val="19"/>
                <w:szCs w:val="19"/>
              </w:rPr>
              <w:t>vitrectomy</w:t>
            </w:r>
            <w:proofErr w:type="spellEnd"/>
            <w:r w:rsidR="00976691" w:rsidRPr="00517553">
              <w:rPr>
                <w:rFonts w:ascii="Arial Narrow" w:hAnsi="Arial Narrow"/>
                <w:sz w:val="19"/>
                <w:szCs w:val="19"/>
              </w:rPr>
              <w:t xml:space="preserve"> superior effectiveness compared with watchful waiting ± </w:t>
            </w:r>
            <w:proofErr w:type="spellStart"/>
            <w:r w:rsidR="00976691" w:rsidRPr="00517553">
              <w:rPr>
                <w:rFonts w:ascii="Arial Narrow" w:hAnsi="Arial Narrow"/>
                <w:sz w:val="19"/>
                <w:szCs w:val="19"/>
              </w:rPr>
              <w:t>vitrectomy</w:t>
            </w:r>
            <w:proofErr w:type="spellEnd"/>
            <w:r w:rsidR="00976691" w:rsidRPr="00517553">
              <w:rPr>
                <w:rFonts w:ascii="Arial Narrow" w:hAnsi="Arial Narrow"/>
                <w:sz w:val="19"/>
                <w:szCs w:val="19"/>
              </w:rPr>
              <w:t>, but inferior safety.</w:t>
            </w:r>
          </w:p>
        </w:tc>
      </w:tr>
      <w:tr w:rsidR="0027164E" w:rsidRPr="00517553" w:rsidTr="008A36B5">
        <w:trPr>
          <w:trHeight w:val="242"/>
        </w:trPr>
        <w:tc>
          <w:tcPr>
            <w:tcW w:w="1134" w:type="dxa"/>
          </w:tcPr>
          <w:p w:rsidR="001D112E" w:rsidRPr="00517553" w:rsidRDefault="001D112E" w:rsidP="008F4262">
            <w:pPr>
              <w:widowControl/>
              <w:jc w:val="left"/>
              <w:rPr>
                <w:rFonts w:ascii="Arial Narrow" w:hAnsi="Arial Narrow"/>
                <w:sz w:val="19"/>
                <w:szCs w:val="19"/>
              </w:rPr>
            </w:pPr>
            <w:r w:rsidRPr="00517553">
              <w:rPr>
                <w:rFonts w:ascii="Arial Narrow" w:hAnsi="Arial Narrow"/>
                <w:sz w:val="19"/>
                <w:szCs w:val="19"/>
              </w:rPr>
              <w:t>Economic evaluation</w:t>
            </w:r>
          </w:p>
        </w:tc>
        <w:tc>
          <w:tcPr>
            <w:tcW w:w="4678" w:type="dxa"/>
          </w:tcPr>
          <w:p w:rsidR="001D112E" w:rsidRPr="00517553" w:rsidRDefault="001D112E" w:rsidP="008F4262">
            <w:pPr>
              <w:pStyle w:val="ListParagraph"/>
              <w:widowControl/>
              <w:numPr>
                <w:ilvl w:val="0"/>
                <w:numId w:val="3"/>
              </w:numPr>
              <w:ind w:left="114" w:hanging="114"/>
              <w:jc w:val="left"/>
              <w:rPr>
                <w:rFonts w:ascii="Arial Narrow" w:hAnsi="Arial Narrow"/>
                <w:b/>
                <w:sz w:val="19"/>
                <w:szCs w:val="19"/>
              </w:rPr>
            </w:pPr>
            <w:r w:rsidRPr="00517553">
              <w:rPr>
                <w:rFonts w:ascii="Arial Narrow" w:hAnsi="Arial Narrow"/>
                <w:sz w:val="19"/>
                <w:szCs w:val="19"/>
              </w:rPr>
              <w:t>Cost-utility model with cost/QALY</w:t>
            </w:r>
            <w:r w:rsidR="00D24222" w:rsidRPr="00517553">
              <w:rPr>
                <w:rFonts w:ascii="Arial Narrow" w:hAnsi="Arial Narrow"/>
                <w:sz w:val="19"/>
                <w:szCs w:val="19"/>
              </w:rPr>
              <w:t xml:space="preserve"> over </w:t>
            </w:r>
            <w:r w:rsidR="0017165E">
              <w:rPr>
                <w:rFonts w:ascii="Arial Narrow" w:hAnsi="Arial Narrow"/>
                <w:noProof/>
                <w:color w:val="000000"/>
                <w:sz w:val="19"/>
                <w:szCs w:val="19"/>
                <w:highlight w:val="black"/>
              </w:rPr>
              <w:t xml:space="preserve">'''''''''''''' </w:t>
            </w:r>
            <w:r w:rsidR="00D24222" w:rsidRPr="00517553">
              <w:rPr>
                <w:rFonts w:ascii="Arial Narrow" w:hAnsi="Arial Narrow"/>
                <w:sz w:val="19"/>
                <w:szCs w:val="19"/>
              </w:rPr>
              <w:t>years</w:t>
            </w:r>
            <w:r w:rsidR="003259B0" w:rsidRPr="00517553">
              <w:rPr>
                <w:rFonts w:ascii="Arial Narrow" w:hAnsi="Arial Narrow"/>
                <w:sz w:val="19"/>
                <w:szCs w:val="19"/>
              </w:rPr>
              <w:t>:</w:t>
            </w:r>
            <w:r w:rsidRPr="00517553">
              <w:rPr>
                <w:rFonts w:ascii="Arial Narrow" w:hAnsi="Arial Narrow"/>
                <w:sz w:val="19"/>
                <w:szCs w:val="19"/>
              </w:rPr>
              <w:t xml:space="preserve"> </w:t>
            </w:r>
            <w:r w:rsidR="001547AB">
              <w:rPr>
                <w:rFonts w:ascii="Arial Narrow" w:hAnsi="Arial Narrow"/>
                <w:sz w:val="19"/>
                <w:szCs w:val="19"/>
              </w:rPr>
              <w:t>$15,000</w:t>
            </w:r>
            <w:r w:rsidR="004744E0">
              <w:rPr>
                <w:rFonts w:ascii="Arial Narrow" w:hAnsi="Arial Narrow"/>
                <w:sz w:val="19"/>
                <w:szCs w:val="19"/>
              </w:rPr>
              <w:t>/QALY</w:t>
            </w:r>
            <w:r w:rsidR="001547AB">
              <w:rPr>
                <w:rFonts w:ascii="Arial Narrow" w:hAnsi="Arial Narrow"/>
                <w:sz w:val="19"/>
                <w:szCs w:val="19"/>
              </w:rPr>
              <w:t xml:space="preserve"> - $45,000</w:t>
            </w:r>
            <w:r w:rsidR="004744E0">
              <w:rPr>
                <w:rFonts w:ascii="Arial Narrow" w:hAnsi="Arial Narrow"/>
                <w:sz w:val="19"/>
                <w:szCs w:val="19"/>
              </w:rPr>
              <w:t>/QALY</w:t>
            </w:r>
            <w:r w:rsidR="001547AB">
              <w:rPr>
                <w:rFonts w:ascii="Arial Narrow" w:hAnsi="Arial Narrow"/>
                <w:sz w:val="19"/>
                <w:szCs w:val="19"/>
              </w:rPr>
              <w:t xml:space="preserve"> </w:t>
            </w:r>
            <w:r w:rsidR="003259B0" w:rsidRPr="00517553">
              <w:rPr>
                <w:rFonts w:ascii="Arial Narrow" w:hAnsi="Arial Narrow"/>
                <w:sz w:val="19"/>
                <w:szCs w:val="19"/>
              </w:rPr>
              <w:t xml:space="preserve">in VMT only subgroup; </w:t>
            </w:r>
            <w:r w:rsidR="001547AB">
              <w:rPr>
                <w:rFonts w:ascii="Arial Narrow" w:hAnsi="Arial Narrow"/>
                <w:sz w:val="19"/>
                <w:szCs w:val="19"/>
              </w:rPr>
              <w:t>$45,000</w:t>
            </w:r>
            <w:r w:rsidR="004744E0">
              <w:rPr>
                <w:rFonts w:ascii="Arial Narrow" w:hAnsi="Arial Narrow"/>
                <w:sz w:val="19"/>
                <w:szCs w:val="19"/>
              </w:rPr>
              <w:t>/QALY</w:t>
            </w:r>
            <w:r w:rsidR="001547AB">
              <w:rPr>
                <w:rFonts w:ascii="Arial Narrow" w:hAnsi="Arial Narrow"/>
                <w:sz w:val="19"/>
                <w:szCs w:val="19"/>
              </w:rPr>
              <w:t xml:space="preserve"> - $75,000</w:t>
            </w:r>
            <w:r w:rsidR="004744E0">
              <w:rPr>
                <w:rFonts w:ascii="Arial Narrow" w:hAnsi="Arial Narrow"/>
                <w:sz w:val="19"/>
                <w:szCs w:val="19"/>
              </w:rPr>
              <w:t>/QALY</w:t>
            </w:r>
            <w:r w:rsidR="001547AB">
              <w:rPr>
                <w:rFonts w:ascii="Arial Narrow" w:hAnsi="Arial Narrow"/>
                <w:sz w:val="19"/>
                <w:szCs w:val="19"/>
              </w:rPr>
              <w:t xml:space="preserve"> </w:t>
            </w:r>
            <w:r w:rsidR="003259B0" w:rsidRPr="00517553">
              <w:rPr>
                <w:rFonts w:ascii="Arial Narrow" w:hAnsi="Arial Narrow"/>
                <w:sz w:val="19"/>
                <w:szCs w:val="19"/>
              </w:rPr>
              <w:t xml:space="preserve">in VMT+ERM subgroup; </w:t>
            </w:r>
            <w:r w:rsidR="001547AB">
              <w:rPr>
                <w:rFonts w:ascii="Arial Narrow" w:hAnsi="Arial Narrow"/>
                <w:sz w:val="19"/>
                <w:szCs w:val="19"/>
              </w:rPr>
              <w:t>$15,000</w:t>
            </w:r>
            <w:r w:rsidR="004744E0">
              <w:rPr>
                <w:rFonts w:ascii="Arial Narrow" w:hAnsi="Arial Narrow"/>
                <w:sz w:val="19"/>
                <w:szCs w:val="19"/>
              </w:rPr>
              <w:t>/QALY</w:t>
            </w:r>
            <w:r w:rsidR="001547AB">
              <w:rPr>
                <w:rFonts w:ascii="Arial Narrow" w:hAnsi="Arial Narrow"/>
                <w:sz w:val="19"/>
                <w:szCs w:val="19"/>
              </w:rPr>
              <w:t xml:space="preserve"> - $45,000</w:t>
            </w:r>
            <w:r w:rsidR="004744E0">
              <w:rPr>
                <w:rFonts w:ascii="Arial Narrow" w:hAnsi="Arial Narrow"/>
                <w:sz w:val="19"/>
                <w:szCs w:val="19"/>
              </w:rPr>
              <w:t>/QALY</w:t>
            </w:r>
            <w:r w:rsidR="001547AB">
              <w:rPr>
                <w:rFonts w:ascii="Arial Narrow" w:hAnsi="Arial Narrow"/>
                <w:sz w:val="19"/>
                <w:szCs w:val="19"/>
              </w:rPr>
              <w:t xml:space="preserve"> </w:t>
            </w:r>
            <w:r w:rsidR="003259B0" w:rsidRPr="00517553">
              <w:rPr>
                <w:rFonts w:ascii="Arial Narrow" w:hAnsi="Arial Narrow"/>
                <w:sz w:val="19"/>
                <w:szCs w:val="19"/>
              </w:rPr>
              <w:t>in VMT+MH subgroup; weighted=</w:t>
            </w:r>
            <w:r w:rsidR="001547AB">
              <w:rPr>
                <w:rFonts w:ascii="Arial Narrow" w:hAnsi="Arial Narrow"/>
                <w:sz w:val="19"/>
                <w:szCs w:val="19"/>
              </w:rPr>
              <w:t>$15,000</w:t>
            </w:r>
            <w:r w:rsidR="004744E0">
              <w:rPr>
                <w:rFonts w:ascii="Arial Narrow" w:hAnsi="Arial Narrow"/>
                <w:sz w:val="19"/>
                <w:szCs w:val="19"/>
              </w:rPr>
              <w:t>/QALY</w:t>
            </w:r>
            <w:r w:rsidR="001547AB">
              <w:rPr>
                <w:rFonts w:ascii="Arial Narrow" w:hAnsi="Arial Narrow"/>
                <w:sz w:val="19"/>
                <w:szCs w:val="19"/>
              </w:rPr>
              <w:t xml:space="preserve"> - $45,000</w:t>
            </w:r>
            <w:r w:rsidR="001547AB">
              <w:rPr>
                <w:rFonts w:ascii="Arial Narrow" w:hAnsi="Arial Narrow"/>
                <w:b/>
                <w:sz w:val="19"/>
                <w:szCs w:val="19"/>
              </w:rPr>
              <w:t>/</w:t>
            </w:r>
            <w:r w:rsidR="001547AB" w:rsidRPr="001547AB">
              <w:rPr>
                <w:rFonts w:ascii="Arial Narrow" w:hAnsi="Arial Narrow"/>
                <w:sz w:val="19"/>
                <w:szCs w:val="19"/>
              </w:rPr>
              <w:t>QALY</w:t>
            </w:r>
          </w:p>
          <w:p w:rsidR="001D112E" w:rsidRPr="00517553" w:rsidRDefault="001D112E" w:rsidP="008F4262">
            <w:pPr>
              <w:widowControl/>
              <w:jc w:val="left"/>
              <w:rPr>
                <w:rFonts w:ascii="Arial Narrow" w:hAnsi="Arial Narrow"/>
                <w:sz w:val="19"/>
                <w:szCs w:val="19"/>
              </w:rPr>
            </w:pPr>
            <w:r w:rsidRPr="00517553">
              <w:rPr>
                <w:rFonts w:ascii="Arial Narrow" w:hAnsi="Arial Narrow"/>
                <w:b/>
                <w:sz w:val="19"/>
                <w:szCs w:val="19"/>
              </w:rPr>
              <w:t>PBAC Comment:</w:t>
            </w:r>
            <w:r w:rsidRPr="00517553">
              <w:rPr>
                <w:rFonts w:ascii="Arial Narrow" w:hAnsi="Arial Narrow"/>
                <w:sz w:val="19"/>
                <w:szCs w:val="19"/>
              </w:rPr>
              <w:t xml:space="preserve"> </w:t>
            </w:r>
            <w:r w:rsidR="003259B0" w:rsidRPr="00517553">
              <w:rPr>
                <w:rFonts w:ascii="Arial Narrow" w:hAnsi="Arial Narrow"/>
                <w:sz w:val="19"/>
                <w:szCs w:val="19"/>
              </w:rPr>
              <w:t>The PBAC considered the ICER was not informative because of model concerns:</w:t>
            </w:r>
            <w:r w:rsidR="0027164E" w:rsidRPr="00517553">
              <w:rPr>
                <w:rFonts w:ascii="Arial Narrow" w:hAnsi="Arial Narrow"/>
                <w:sz w:val="19"/>
                <w:szCs w:val="19"/>
              </w:rPr>
              <w:t>(</w:t>
            </w:r>
            <w:proofErr w:type="spellStart"/>
            <w:r w:rsidR="003259B0" w:rsidRPr="00517553">
              <w:rPr>
                <w:rFonts w:ascii="Arial Narrow" w:hAnsi="Arial Narrow"/>
                <w:sz w:val="19"/>
                <w:szCs w:val="19"/>
              </w:rPr>
              <w:t>i</w:t>
            </w:r>
            <w:proofErr w:type="spellEnd"/>
            <w:r w:rsidR="003259B0" w:rsidRPr="00517553">
              <w:rPr>
                <w:rFonts w:ascii="Arial Narrow" w:hAnsi="Arial Narrow"/>
                <w:sz w:val="19"/>
                <w:szCs w:val="19"/>
              </w:rPr>
              <w:t xml:space="preserve">) the clinical value of </w:t>
            </w:r>
            <w:proofErr w:type="spellStart"/>
            <w:r w:rsidR="003259B0" w:rsidRPr="00517553">
              <w:rPr>
                <w:rFonts w:ascii="Arial Narrow" w:hAnsi="Arial Narrow"/>
                <w:sz w:val="19"/>
                <w:szCs w:val="19"/>
              </w:rPr>
              <w:t>ocriplasmin</w:t>
            </w:r>
            <w:proofErr w:type="spellEnd"/>
            <w:r w:rsidR="003259B0" w:rsidRPr="00517553">
              <w:rPr>
                <w:rFonts w:ascii="Arial Narrow" w:hAnsi="Arial Narrow"/>
                <w:sz w:val="19"/>
                <w:szCs w:val="19"/>
              </w:rPr>
              <w:t xml:space="preserve"> was not clear, </w:t>
            </w:r>
            <w:r w:rsidR="0027164E" w:rsidRPr="00517553">
              <w:rPr>
                <w:rFonts w:ascii="Arial Narrow" w:hAnsi="Arial Narrow"/>
                <w:sz w:val="19"/>
                <w:szCs w:val="19"/>
              </w:rPr>
              <w:t>(</w:t>
            </w:r>
            <w:r w:rsidR="003259B0" w:rsidRPr="00517553">
              <w:rPr>
                <w:rFonts w:ascii="Arial Narrow" w:hAnsi="Arial Narrow"/>
                <w:sz w:val="19"/>
                <w:szCs w:val="19"/>
              </w:rPr>
              <w:t xml:space="preserve">ii) the justification of the subgroups was unclear and differed to those pre-specified in the trials, </w:t>
            </w:r>
            <w:r w:rsidR="0027164E" w:rsidRPr="00517553">
              <w:rPr>
                <w:rFonts w:ascii="Arial Narrow" w:hAnsi="Arial Narrow"/>
                <w:sz w:val="19"/>
                <w:szCs w:val="19"/>
              </w:rPr>
              <w:t>(</w:t>
            </w:r>
            <w:r w:rsidR="003259B0" w:rsidRPr="00517553">
              <w:rPr>
                <w:rFonts w:ascii="Arial Narrow" w:hAnsi="Arial Narrow"/>
                <w:sz w:val="19"/>
                <w:szCs w:val="19"/>
              </w:rPr>
              <w:t xml:space="preserve">iii) the structure of the model was overly complex, </w:t>
            </w:r>
            <w:r w:rsidR="0027164E" w:rsidRPr="00517553">
              <w:rPr>
                <w:rFonts w:ascii="Arial Narrow" w:hAnsi="Arial Narrow"/>
                <w:sz w:val="19"/>
                <w:szCs w:val="19"/>
              </w:rPr>
              <w:t>(</w:t>
            </w:r>
            <w:r w:rsidR="003259B0" w:rsidRPr="00517553">
              <w:rPr>
                <w:rFonts w:ascii="Arial Narrow" w:hAnsi="Arial Narrow"/>
                <w:sz w:val="19"/>
                <w:szCs w:val="19"/>
              </w:rPr>
              <w:t xml:space="preserve">iv) the transitions unable to be assessed due to paucity of data, and </w:t>
            </w:r>
            <w:r w:rsidR="0027164E" w:rsidRPr="00517553">
              <w:rPr>
                <w:rFonts w:ascii="Arial Narrow" w:hAnsi="Arial Narrow"/>
                <w:sz w:val="19"/>
                <w:szCs w:val="19"/>
              </w:rPr>
              <w:t>(</w:t>
            </w:r>
            <w:r w:rsidR="003259B0" w:rsidRPr="00517553">
              <w:rPr>
                <w:rFonts w:ascii="Arial Narrow" w:hAnsi="Arial Narrow"/>
                <w:sz w:val="19"/>
                <w:szCs w:val="19"/>
              </w:rPr>
              <w:t>v) source of utilities is inappropriate (Paragraphs 7.8, 7.9 and 7.10)</w:t>
            </w:r>
          </w:p>
        </w:tc>
        <w:tc>
          <w:tcPr>
            <w:tcW w:w="2631" w:type="dxa"/>
          </w:tcPr>
          <w:p w:rsidR="001D112E" w:rsidRPr="00517553" w:rsidRDefault="001D112E" w:rsidP="001547AB">
            <w:pPr>
              <w:pStyle w:val="ListParagraph"/>
              <w:widowControl/>
              <w:numPr>
                <w:ilvl w:val="0"/>
                <w:numId w:val="3"/>
              </w:numPr>
              <w:ind w:left="114" w:hanging="114"/>
              <w:jc w:val="left"/>
              <w:rPr>
                <w:rFonts w:ascii="Arial Narrow" w:hAnsi="Arial Narrow"/>
                <w:sz w:val="19"/>
                <w:szCs w:val="19"/>
              </w:rPr>
            </w:pPr>
            <w:r w:rsidRPr="00517553">
              <w:rPr>
                <w:rFonts w:ascii="Arial Narrow" w:hAnsi="Arial Narrow"/>
                <w:sz w:val="19"/>
                <w:szCs w:val="19"/>
              </w:rPr>
              <w:t>Cost-utility model with cost/QALY</w:t>
            </w:r>
            <w:r w:rsidR="00D24222" w:rsidRPr="00517553">
              <w:rPr>
                <w:rFonts w:ascii="Arial Narrow" w:hAnsi="Arial Narrow"/>
                <w:sz w:val="19"/>
                <w:szCs w:val="19"/>
              </w:rPr>
              <w:t xml:space="preserve"> over </w:t>
            </w:r>
            <w:r w:rsidR="0017165E">
              <w:rPr>
                <w:rFonts w:ascii="Arial Narrow" w:hAnsi="Arial Narrow"/>
                <w:noProof/>
                <w:color w:val="000000"/>
                <w:sz w:val="19"/>
                <w:szCs w:val="19"/>
                <w:highlight w:val="black"/>
              </w:rPr>
              <w:t xml:space="preserve">'''''''''''' </w:t>
            </w:r>
            <w:r w:rsidR="00D24222" w:rsidRPr="00517553">
              <w:rPr>
                <w:rFonts w:ascii="Arial Narrow" w:hAnsi="Arial Narrow"/>
                <w:sz w:val="19"/>
                <w:szCs w:val="19"/>
              </w:rPr>
              <w:t>years:</w:t>
            </w:r>
            <w:r w:rsidRPr="00517553">
              <w:rPr>
                <w:rFonts w:ascii="Arial Narrow" w:hAnsi="Arial Narrow"/>
                <w:sz w:val="19"/>
                <w:szCs w:val="19"/>
              </w:rPr>
              <w:t xml:space="preserve"> </w:t>
            </w:r>
            <w:r w:rsidR="001547AB">
              <w:rPr>
                <w:rFonts w:ascii="Arial Narrow" w:hAnsi="Arial Narrow"/>
                <w:sz w:val="19"/>
                <w:szCs w:val="19"/>
              </w:rPr>
              <w:t xml:space="preserve"> $15,000</w:t>
            </w:r>
            <w:r w:rsidR="00EB7CE7">
              <w:rPr>
                <w:rFonts w:ascii="Arial Narrow" w:hAnsi="Arial Narrow"/>
                <w:sz w:val="19"/>
                <w:szCs w:val="19"/>
              </w:rPr>
              <w:t>/QALY</w:t>
            </w:r>
            <w:r w:rsidR="001547AB">
              <w:rPr>
                <w:rFonts w:ascii="Arial Narrow" w:hAnsi="Arial Narrow"/>
                <w:sz w:val="19"/>
                <w:szCs w:val="19"/>
              </w:rPr>
              <w:t xml:space="preserve"> - $45,000</w:t>
            </w:r>
            <w:r w:rsidR="00EB7CE7">
              <w:rPr>
                <w:rFonts w:ascii="Arial Narrow" w:hAnsi="Arial Narrow"/>
                <w:sz w:val="19"/>
                <w:szCs w:val="19"/>
              </w:rPr>
              <w:t>/</w:t>
            </w:r>
            <w:r w:rsidR="00E46E66">
              <w:rPr>
                <w:rFonts w:ascii="Arial Narrow" w:hAnsi="Arial Narrow"/>
                <w:sz w:val="19"/>
                <w:szCs w:val="19"/>
              </w:rPr>
              <w:t>QALY (</w:t>
            </w:r>
            <w:r w:rsidR="003259B0" w:rsidRPr="00517553">
              <w:rPr>
                <w:rFonts w:ascii="Arial Narrow" w:hAnsi="Arial Narrow"/>
                <w:sz w:val="19"/>
                <w:szCs w:val="19"/>
              </w:rPr>
              <w:t>ITT OASIS).</w:t>
            </w:r>
          </w:p>
        </w:tc>
      </w:tr>
      <w:tr w:rsidR="0027164E" w:rsidRPr="00517553" w:rsidTr="00331724">
        <w:trPr>
          <w:trHeight w:val="845"/>
        </w:trPr>
        <w:tc>
          <w:tcPr>
            <w:tcW w:w="1134" w:type="dxa"/>
          </w:tcPr>
          <w:p w:rsidR="001D112E" w:rsidRPr="00517553" w:rsidRDefault="001D112E" w:rsidP="008F4262">
            <w:pPr>
              <w:widowControl/>
              <w:jc w:val="left"/>
              <w:rPr>
                <w:rFonts w:ascii="Arial Narrow" w:hAnsi="Arial Narrow"/>
                <w:sz w:val="19"/>
                <w:szCs w:val="19"/>
              </w:rPr>
            </w:pPr>
            <w:r w:rsidRPr="00517553">
              <w:rPr>
                <w:rFonts w:ascii="Arial Narrow" w:hAnsi="Arial Narrow"/>
                <w:sz w:val="19"/>
                <w:szCs w:val="19"/>
              </w:rPr>
              <w:t>Number of patients</w:t>
            </w:r>
          </w:p>
        </w:tc>
        <w:tc>
          <w:tcPr>
            <w:tcW w:w="4678" w:type="dxa"/>
          </w:tcPr>
          <w:p w:rsidR="001D112E" w:rsidRPr="00517553" w:rsidRDefault="001A36B2" w:rsidP="001547AB">
            <w:pPr>
              <w:pStyle w:val="ListParagraph"/>
              <w:widowControl/>
              <w:numPr>
                <w:ilvl w:val="0"/>
                <w:numId w:val="3"/>
              </w:numPr>
              <w:ind w:left="114" w:hanging="114"/>
              <w:rPr>
                <w:rFonts w:ascii="Arial Narrow" w:hAnsi="Arial Narrow"/>
                <w:sz w:val="19"/>
                <w:szCs w:val="19"/>
              </w:rPr>
            </w:pPr>
            <w:r w:rsidRPr="00517553">
              <w:rPr>
                <w:rFonts w:ascii="Arial Narrow" w:hAnsi="Arial Narrow"/>
                <w:sz w:val="19"/>
                <w:szCs w:val="19"/>
              </w:rPr>
              <w:t xml:space="preserve">Treated patients: </w:t>
            </w:r>
            <w:r w:rsidR="001547AB">
              <w:rPr>
                <w:rFonts w:ascii="Arial Narrow" w:hAnsi="Arial Narrow"/>
                <w:sz w:val="19"/>
                <w:szCs w:val="19"/>
              </w:rPr>
              <w:t xml:space="preserve"> less than 10,000 per year </w:t>
            </w:r>
            <w:r w:rsidR="001D112E" w:rsidRPr="00517553">
              <w:rPr>
                <w:rFonts w:ascii="Arial Narrow" w:hAnsi="Arial Narrow"/>
                <w:sz w:val="19"/>
                <w:szCs w:val="19"/>
              </w:rPr>
              <w:t xml:space="preserve">in Year 1 increasing to </w:t>
            </w:r>
            <w:r w:rsidR="001547AB">
              <w:rPr>
                <w:rFonts w:ascii="Arial Narrow" w:hAnsi="Arial Narrow"/>
                <w:sz w:val="19"/>
                <w:szCs w:val="19"/>
              </w:rPr>
              <w:t xml:space="preserve">less than 10,000 per year </w:t>
            </w:r>
            <w:r w:rsidR="001D112E" w:rsidRPr="00517553">
              <w:rPr>
                <w:rFonts w:ascii="Arial Narrow" w:hAnsi="Arial Narrow"/>
                <w:sz w:val="19"/>
                <w:szCs w:val="19"/>
              </w:rPr>
              <w:t>in Year 5.</w:t>
            </w:r>
          </w:p>
          <w:p w:rsidR="001D112E" w:rsidRPr="00517553" w:rsidRDefault="001D112E" w:rsidP="001547AB">
            <w:pPr>
              <w:widowControl/>
              <w:rPr>
                <w:rFonts w:ascii="Arial Narrow" w:hAnsi="Arial Narrow"/>
                <w:sz w:val="19"/>
                <w:szCs w:val="19"/>
              </w:rPr>
            </w:pPr>
            <w:r w:rsidRPr="00517553">
              <w:rPr>
                <w:rFonts w:ascii="Arial Narrow" w:hAnsi="Arial Narrow"/>
                <w:b/>
                <w:sz w:val="19"/>
                <w:szCs w:val="19"/>
              </w:rPr>
              <w:t>PBAC Comment:</w:t>
            </w:r>
            <w:r w:rsidRPr="00517553">
              <w:rPr>
                <w:rFonts w:ascii="Arial Narrow" w:hAnsi="Arial Narrow"/>
                <w:sz w:val="19"/>
                <w:szCs w:val="19"/>
              </w:rPr>
              <w:t xml:space="preserve"> </w:t>
            </w:r>
            <w:r w:rsidR="0039486B" w:rsidRPr="00517553">
              <w:rPr>
                <w:rFonts w:ascii="Arial Narrow" w:hAnsi="Arial Narrow"/>
                <w:sz w:val="19"/>
                <w:szCs w:val="19"/>
              </w:rPr>
              <w:t>The PBAC considered the estimates were unreliable (Paragraph 7.11)</w:t>
            </w:r>
            <w:r w:rsidRPr="00517553">
              <w:rPr>
                <w:rFonts w:ascii="Arial Narrow" w:hAnsi="Arial Narrow"/>
                <w:sz w:val="19"/>
                <w:szCs w:val="19"/>
              </w:rPr>
              <w:t>.</w:t>
            </w:r>
          </w:p>
        </w:tc>
        <w:tc>
          <w:tcPr>
            <w:tcW w:w="2631" w:type="dxa"/>
          </w:tcPr>
          <w:p w:rsidR="001D112E" w:rsidRPr="00517553" w:rsidRDefault="0039486B" w:rsidP="001547AB">
            <w:pPr>
              <w:pStyle w:val="ListParagraph"/>
              <w:widowControl/>
              <w:numPr>
                <w:ilvl w:val="0"/>
                <w:numId w:val="3"/>
              </w:numPr>
              <w:ind w:left="114" w:hanging="114"/>
              <w:jc w:val="left"/>
              <w:rPr>
                <w:rFonts w:ascii="Arial Narrow" w:hAnsi="Arial Narrow"/>
                <w:sz w:val="19"/>
                <w:szCs w:val="19"/>
              </w:rPr>
            </w:pPr>
            <w:r w:rsidRPr="00517553">
              <w:rPr>
                <w:rFonts w:ascii="Arial Narrow" w:hAnsi="Arial Narrow"/>
                <w:sz w:val="19"/>
                <w:szCs w:val="19"/>
              </w:rPr>
              <w:t xml:space="preserve">Treated patients: </w:t>
            </w:r>
            <w:r w:rsidR="001547AB">
              <w:rPr>
                <w:rFonts w:ascii="Arial Narrow" w:hAnsi="Arial Narrow"/>
                <w:sz w:val="19"/>
                <w:szCs w:val="19"/>
              </w:rPr>
              <w:t xml:space="preserve">Less than 10,000 per year </w:t>
            </w:r>
            <w:r w:rsidR="001D112E" w:rsidRPr="00517553">
              <w:rPr>
                <w:rFonts w:ascii="Arial Narrow" w:hAnsi="Arial Narrow"/>
                <w:sz w:val="19"/>
                <w:szCs w:val="19"/>
              </w:rPr>
              <w:t xml:space="preserve">in Year 1 increasing to </w:t>
            </w:r>
            <w:r w:rsidR="001547AB">
              <w:rPr>
                <w:rFonts w:ascii="Arial Narrow" w:hAnsi="Arial Narrow"/>
                <w:sz w:val="19"/>
                <w:szCs w:val="19"/>
              </w:rPr>
              <w:t xml:space="preserve">less than 10,000 per year </w:t>
            </w:r>
            <w:r w:rsidR="001D112E" w:rsidRPr="00517553">
              <w:rPr>
                <w:rFonts w:ascii="Arial Narrow" w:hAnsi="Arial Narrow"/>
                <w:sz w:val="19"/>
                <w:szCs w:val="19"/>
              </w:rPr>
              <w:t>in Year 5</w:t>
            </w:r>
            <w:r w:rsidRPr="00517553">
              <w:rPr>
                <w:rFonts w:ascii="Arial Narrow" w:hAnsi="Arial Narrow"/>
                <w:sz w:val="19"/>
                <w:szCs w:val="19"/>
              </w:rPr>
              <w:t xml:space="preserve"> (excluding patients with ERM or adhesion diameter &gt;1500</w:t>
            </w:r>
            <w:r w:rsidR="00320E07">
              <w:rPr>
                <w:rFonts w:ascii="Arial Narrow" w:hAnsi="Arial Narrow"/>
                <w:sz w:val="19"/>
                <w:szCs w:val="19"/>
              </w:rPr>
              <w:t> </w:t>
            </w:r>
            <w:r w:rsidRPr="00517553">
              <w:rPr>
                <w:rFonts w:ascii="Arial Narrow" w:hAnsi="Arial Narrow"/>
                <w:sz w:val="19"/>
                <w:szCs w:val="19"/>
              </w:rPr>
              <w:t>µm)</w:t>
            </w:r>
            <w:r w:rsidR="001D112E" w:rsidRPr="00517553">
              <w:rPr>
                <w:rFonts w:ascii="Arial Narrow" w:hAnsi="Arial Narrow"/>
                <w:sz w:val="19"/>
                <w:szCs w:val="19"/>
              </w:rPr>
              <w:t>.</w:t>
            </w:r>
          </w:p>
        </w:tc>
      </w:tr>
      <w:tr w:rsidR="0027164E" w:rsidRPr="00517553" w:rsidTr="0027164E">
        <w:trPr>
          <w:trHeight w:val="667"/>
        </w:trPr>
        <w:tc>
          <w:tcPr>
            <w:tcW w:w="1134" w:type="dxa"/>
          </w:tcPr>
          <w:p w:rsidR="001D112E" w:rsidRPr="00517553" w:rsidRDefault="001D112E" w:rsidP="008F4262">
            <w:pPr>
              <w:widowControl/>
              <w:jc w:val="left"/>
              <w:rPr>
                <w:rFonts w:ascii="Arial Narrow" w:hAnsi="Arial Narrow"/>
                <w:sz w:val="19"/>
                <w:szCs w:val="19"/>
              </w:rPr>
            </w:pPr>
            <w:r w:rsidRPr="00517553">
              <w:rPr>
                <w:rFonts w:ascii="Arial Narrow" w:hAnsi="Arial Narrow"/>
                <w:sz w:val="19"/>
                <w:szCs w:val="19"/>
              </w:rPr>
              <w:lastRenderedPageBreak/>
              <w:t xml:space="preserve">Estimated cost to </w:t>
            </w:r>
            <w:r w:rsidRPr="00517553">
              <w:rPr>
                <w:rFonts w:ascii="Arial Narrow" w:hAnsi="Arial Narrow"/>
                <w:sz w:val="19"/>
                <w:szCs w:val="19"/>
                <w:u w:val="single"/>
              </w:rPr>
              <w:t>PBS</w:t>
            </w:r>
            <w:r w:rsidR="00E50809" w:rsidRPr="00517553">
              <w:rPr>
                <w:rFonts w:ascii="Arial Narrow" w:hAnsi="Arial Narrow"/>
                <w:sz w:val="19"/>
                <w:szCs w:val="19"/>
                <w:u w:val="single"/>
              </w:rPr>
              <w:t>/RPBS</w:t>
            </w:r>
          </w:p>
        </w:tc>
        <w:tc>
          <w:tcPr>
            <w:tcW w:w="4678" w:type="dxa"/>
          </w:tcPr>
          <w:p w:rsidR="001D112E" w:rsidRPr="00517553" w:rsidRDefault="001547AB" w:rsidP="001547AB">
            <w:pPr>
              <w:pStyle w:val="ListParagraph"/>
              <w:widowControl/>
              <w:numPr>
                <w:ilvl w:val="0"/>
                <w:numId w:val="3"/>
              </w:numPr>
              <w:ind w:left="114" w:hanging="114"/>
              <w:rPr>
                <w:rFonts w:ascii="Arial Narrow" w:hAnsi="Arial Narrow"/>
                <w:sz w:val="19"/>
                <w:szCs w:val="19"/>
              </w:rPr>
            </w:pPr>
            <w:r>
              <w:rPr>
                <w:rFonts w:ascii="Arial Narrow" w:hAnsi="Arial Narrow"/>
                <w:sz w:val="19"/>
                <w:szCs w:val="19"/>
              </w:rPr>
              <w:t xml:space="preserve"> Less than $10 </w:t>
            </w:r>
            <w:proofErr w:type="spellStart"/>
            <w:r>
              <w:rPr>
                <w:rFonts w:ascii="Arial Narrow" w:hAnsi="Arial Narrow"/>
                <w:sz w:val="19"/>
                <w:szCs w:val="19"/>
              </w:rPr>
              <w:t>million</w:t>
            </w:r>
            <w:r w:rsidR="001D112E" w:rsidRPr="00517553">
              <w:rPr>
                <w:rFonts w:ascii="Arial Narrow" w:hAnsi="Arial Narrow"/>
                <w:sz w:val="19"/>
                <w:szCs w:val="19"/>
              </w:rPr>
              <w:t>in</w:t>
            </w:r>
            <w:proofErr w:type="spellEnd"/>
            <w:r w:rsidR="001D112E" w:rsidRPr="00517553">
              <w:rPr>
                <w:rFonts w:ascii="Arial Narrow" w:hAnsi="Arial Narrow"/>
                <w:sz w:val="19"/>
                <w:szCs w:val="19"/>
              </w:rPr>
              <w:t xml:space="preserve"> Year 1 increasing to in Year 5 for a total of </w:t>
            </w:r>
            <w:r>
              <w:rPr>
                <w:rFonts w:ascii="Arial Narrow" w:hAnsi="Arial Narrow"/>
                <w:sz w:val="19"/>
                <w:szCs w:val="19"/>
              </w:rPr>
              <w:t xml:space="preserve">$30 - $60 million </w:t>
            </w:r>
            <w:r w:rsidR="001D112E" w:rsidRPr="00517553">
              <w:rPr>
                <w:rFonts w:ascii="Arial Narrow" w:hAnsi="Arial Narrow"/>
                <w:sz w:val="19"/>
                <w:szCs w:val="19"/>
              </w:rPr>
              <w:t>over the first 5 years of listing.</w:t>
            </w:r>
          </w:p>
          <w:p w:rsidR="001D112E" w:rsidRPr="00517553" w:rsidRDefault="001D112E" w:rsidP="001547AB">
            <w:pPr>
              <w:widowControl/>
              <w:rPr>
                <w:rFonts w:ascii="Arial Narrow" w:hAnsi="Arial Narrow"/>
                <w:sz w:val="19"/>
                <w:szCs w:val="19"/>
              </w:rPr>
            </w:pPr>
            <w:r w:rsidRPr="00517553">
              <w:rPr>
                <w:rFonts w:ascii="Arial Narrow" w:hAnsi="Arial Narrow"/>
                <w:b/>
                <w:sz w:val="19"/>
                <w:szCs w:val="19"/>
              </w:rPr>
              <w:t>PBAC Comment:</w:t>
            </w:r>
            <w:r w:rsidRPr="00517553">
              <w:rPr>
                <w:rFonts w:ascii="Arial Narrow" w:hAnsi="Arial Narrow"/>
                <w:sz w:val="19"/>
                <w:szCs w:val="19"/>
              </w:rPr>
              <w:t xml:space="preserve"> </w:t>
            </w:r>
            <w:r w:rsidR="0039486B" w:rsidRPr="00517553">
              <w:rPr>
                <w:rFonts w:ascii="Arial Narrow" w:hAnsi="Arial Narrow"/>
                <w:sz w:val="19"/>
                <w:szCs w:val="19"/>
              </w:rPr>
              <w:t>The PBAC considered the estimates were unreliable (Paragraph 7.11).</w:t>
            </w:r>
          </w:p>
        </w:tc>
        <w:tc>
          <w:tcPr>
            <w:tcW w:w="2631" w:type="dxa"/>
          </w:tcPr>
          <w:p w:rsidR="001D112E" w:rsidRPr="00517553" w:rsidRDefault="001547AB" w:rsidP="002357E4">
            <w:pPr>
              <w:pStyle w:val="ListParagraph"/>
              <w:widowControl/>
              <w:numPr>
                <w:ilvl w:val="0"/>
                <w:numId w:val="3"/>
              </w:numPr>
              <w:ind w:left="114" w:hanging="114"/>
              <w:jc w:val="left"/>
              <w:rPr>
                <w:rFonts w:ascii="Arial Narrow" w:hAnsi="Arial Narrow"/>
                <w:sz w:val="19"/>
                <w:szCs w:val="19"/>
              </w:rPr>
            </w:pPr>
            <w:r>
              <w:rPr>
                <w:rFonts w:ascii="Arial Narrow" w:hAnsi="Arial Narrow"/>
                <w:sz w:val="19"/>
                <w:szCs w:val="19"/>
              </w:rPr>
              <w:t>Less than $10 million</w:t>
            </w:r>
            <w:r w:rsidRPr="00517553">
              <w:rPr>
                <w:rFonts w:ascii="Arial Narrow" w:hAnsi="Arial Narrow"/>
                <w:sz w:val="19"/>
                <w:szCs w:val="19"/>
              </w:rPr>
              <w:t xml:space="preserve"> </w:t>
            </w:r>
            <w:r w:rsidR="001D112E" w:rsidRPr="00517553">
              <w:rPr>
                <w:rFonts w:ascii="Arial Narrow" w:hAnsi="Arial Narrow"/>
                <w:sz w:val="19"/>
                <w:szCs w:val="19"/>
              </w:rPr>
              <w:t xml:space="preserve">in Year 1 increasing to </w:t>
            </w:r>
            <w:r>
              <w:rPr>
                <w:rFonts w:ascii="Arial Narrow" w:hAnsi="Arial Narrow"/>
                <w:sz w:val="19"/>
                <w:szCs w:val="19"/>
              </w:rPr>
              <w:t xml:space="preserve"> less than $10 million</w:t>
            </w:r>
            <w:r w:rsidRPr="00517553">
              <w:rPr>
                <w:rFonts w:ascii="Arial Narrow" w:hAnsi="Arial Narrow"/>
                <w:sz w:val="19"/>
                <w:szCs w:val="19"/>
              </w:rPr>
              <w:t xml:space="preserve"> </w:t>
            </w:r>
            <w:r w:rsidR="001D112E" w:rsidRPr="00517553">
              <w:rPr>
                <w:rFonts w:ascii="Arial Narrow" w:hAnsi="Arial Narrow"/>
                <w:sz w:val="19"/>
                <w:szCs w:val="19"/>
              </w:rPr>
              <w:t xml:space="preserve">in Year 5 for a total of </w:t>
            </w:r>
            <w:r w:rsidR="002357E4">
              <w:rPr>
                <w:rFonts w:ascii="Arial Narrow" w:hAnsi="Arial Narrow"/>
                <w:sz w:val="19"/>
                <w:szCs w:val="19"/>
              </w:rPr>
              <w:t xml:space="preserve"> $20 - $30 million </w:t>
            </w:r>
            <w:r w:rsidR="001D112E" w:rsidRPr="00517553">
              <w:rPr>
                <w:rFonts w:ascii="Arial Narrow" w:hAnsi="Arial Narrow"/>
                <w:sz w:val="19"/>
                <w:szCs w:val="19"/>
              </w:rPr>
              <w:t>over the first 5 years of listing.</w:t>
            </w:r>
          </w:p>
        </w:tc>
      </w:tr>
      <w:tr w:rsidR="001D112E" w:rsidRPr="00517553" w:rsidTr="00331724">
        <w:trPr>
          <w:trHeight w:val="438"/>
        </w:trPr>
        <w:tc>
          <w:tcPr>
            <w:tcW w:w="1134" w:type="dxa"/>
          </w:tcPr>
          <w:p w:rsidR="001D112E" w:rsidRPr="00517553" w:rsidRDefault="001D112E" w:rsidP="008F4262">
            <w:pPr>
              <w:widowControl/>
              <w:jc w:val="left"/>
              <w:rPr>
                <w:rFonts w:ascii="Arial Narrow" w:hAnsi="Arial Narrow"/>
                <w:sz w:val="19"/>
                <w:szCs w:val="19"/>
              </w:rPr>
            </w:pPr>
            <w:r w:rsidRPr="00517553">
              <w:rPr>
                <w:rFonts w:ascii="Arial Narrow" w:hAnsi="Arial Narrow"/>
              </w:rPr>
              <w:br w:type="page"/>
            </w:r>
            <w:r w:rsidRPr="00517553">
              <w:rPr>
                <w:rFonts w:ascii="Arial Narrow" w:hAnsi="Arial Narrow"/>
                <w:sz w:val="19"/>
                <w:szCs w:val="19"/>
              </w:rPr>
              <w:t>PBAC decision</w:t>
            </w:r>
          </w:p>
        </w:tc>
        <w:tc>
          <w:tcPr>
            <w:tcW w:w="4678" w:type="dxa"/>
          </w:tcPr>
          <w:p w:rsidR="001D112E" w:rsidRPr="00517553" w:rsidRDefault="001D112E" w:rsidP="001547AB">
            <w:pPr>
              <w:pStyle w:val="ListParagraph"/>
              <w:widowControl/>
              <w:numPr>
                <w:ilvl w:val="0"/>
                <w:numId w:val="3"/>
              </w:numPr>
              <w:ind w:left="114" w:hanging="114"/>
              <w:rPr>
                <w:rFonts w:ascii="Arial Narrow" w:hAnsi="Arial Narrow"/>
                <w:sz w:val="19"/>
                <w:szCs w:val="19"/>
              </w:rPr>
            </w:pPr>
            <w:r w:rsidRPr="00517553">
              <w:rPr>
                <w:rFonts w:ascii="Arial Narrow" w:hAnsi="Arial Narrow"/>
                <w:sz w:val="19"/>
                <w:szCs w:val="19"/>
              </w:rPr>
              <w:t xml:space="preserve">Reject.  </w:t>
            </w:r>
            <w:r w:rsidR="00760071" w:rsidRPr="00517553">
              <w:rPr>
                <w:rFonts w:ascii="Arial Narrow" w:hAnsi="Arial Narrow"/>
                <w:sz w:val="19"/>
                <w:szCs w:val="19"/>
              </w:rPr>
              <w:t xml:space="preserve">On the basis that cost-effectiveness is highly uncertain because it remains unclear how effective </w:t>
            </w:r>
            <w:proofErr w:type="spellStart"/>
            <w:r w:rsidR="00760071" w:rsidRPr="00517553">
              <w:rPr>
                <w:rFonts w:ascii="Arial Narrow" w:hAnsi="Arial Narrow"/>
                <w:sz w:val="19"/>
                <w:szCs w:val="19"/>
              </w:rPr>
              <w:t>ocriplasmin</w:t>
            </w:r>
            <w:proofErr w:type="spellEnd"/>
            <w:r w:rsidR="00760071" w:rsidRPr="00517553">
              <w:rPr>
                <w:rFonts w:ascii="Arial Narrow" w:hAnsi="Arial Narrow"/>
                <w:sz w:val="19"/>
                <w:szCs w:val="19"/>
              </w:rPr>
              <w:t xml:space="preserve"> is with regard to the patient-relevant outcomes of improving visual function and of preventing rather than delaying </w:t>
            </w:r>
            <w:proofErr w:type="spellStart"/>
            <w:r w:rsidR="00760071" w:rsidRPr="00517553">
              <w:rPr>
                <w:rFonts w:ascii="Arial Narrow" w:hAnsi="Arial Narrow"/>
                <w:sz w:val="19"/>
                <w:szCs w:val="19"/>
              </w:rPr>
              <w:t>vitrectomy</w:t>
            </w:r>
            <w:proofErr w:type="spellEnd"/>
            <w:r w:rsidR="00760071" w:rsidRPr="00517553">
              <w:rPr>
                <w:rFonts w:ascii="Arial Narrow" w:hAnsi="Arial Narrow"/>
                <w:sz w:val="19"/>
                <w:szCs w:val="19"/>
              </w:rPr>
              <w:t xml:space="preserve"> in the long-term, and the modelled evaluation did not provide a suitable basis for decision making (Paragraph 7.1).</w:t>
            </w:r>
          </w:p>
        </w:tc>
        <w:tc>
          <w:tcPr>
            <w:tcW w:w="2631" w:type="dxa"/>
          </w:tcPr>
          <w:p w:rsidR="001D112E" w:rsidRPr="00517553" w:rsidRDefault="001D112E" w:rsidP="008F4262">
            <w:pPr>
              <w:widowControl/>
              <w:jc w:val="left"/>
              <w:rPr>
                <w:rFonts w:ascii="Arial Narrow" w:hAnsi="Arial Narrow"/>
                <w:sz w:val="19"/>
                <w:szCs w:val="19"/>
              </w:rPr>
            </w:pPr>
            <w:r w:rsidRPr="00517553">
              <w:rPr>
                <w:rFonts w:ascii="Arial Narrow" w:hAnsi="Arial Narrow"/>
                <w:sz w:val="19"/>
                <w:szCs w:val="19"/>
              </w:rPr>
              <w:t>-</w:t>
            </w:r>
          </w:p>
        </w:tc>
      </w:tr>
    </w:tbl>
    <w:p w:rsidR="00B60939" w:rsidRPr="00517553" w:rsidRDefault="001D112E" w:rsidP="008F4262">
      <w:pPr>
        <w:pStyle w:val="TableFooter"/>
        <w:widowControl/>
        <w:ind w:firstLine="720"/>
      </w:pPr>
      <w:r w:rsidRPr="00517553">
        <w:t>Source: Compiled during the evaluation</w:t>
      </w:r>
    </w:p>
    <w:p w:rsidR="00B60939" w:rsidRPr="00517553" w:rsidRDefault="00B60939" w:rsidP="008F4262">
      <w:pPr>
        <w:widowControl/>
      </w:pPr>
    </w:p>
    <w:p w:rsidR="001B6188" w:rsidRPr="00517553" w:rsidRDefault="001B6188" w:rsidP="008F4262">
      <w:pPr>
        <w:widowControl/>
      </w:pPr>
    </w:p>
    <w:p w:rsidR="00F338FF" w:rsidRPr="00517553" w:rsidRDefault="00F338FF" w:rsidP="008F4262">
      <w:pPr>
        <w:pStyle w:val="PBACheading1"/>
      </w:pPr>
      <w:bookmarkStart w:id="6" w:name="_Toc440964223"/>
      <w:r w:rsidRPr="00517553">
        <w:t>Clinical place for the proposed therapy</w:t>
      </w:r>
      <w:bookmarkEnd w:id="6"/>
    </w:p>
    <w:p w:rsidR="00B60939" w:rsidRPr="00517553" w:rsidRDefault="00B60939" w:rsidP="008F4262">
      <w:pPr>
        <w:widowControl/>
        <w:rPr>
          <w:szCs w:val="22"/>
        </w:rPr>
      </w:pPr>
    </w:p>
    <w:p w:rsidR="00497F10" w:rsidRPr="00517553" w:rsidRDefault="00AB5B2F" w:rsidP="008F4262">
      <w:pPr>
        <w:pStyle w:val="ListParagraph"/>
        <w:widowControl/>
        <w:numPr>
          <w:ilvl w:val="1"/>
          <w:numId w:val="1"/>
        </w:numPr>
        <w:rPr>
          <w:szCs w:val="22"/>
        </w:rPr>
      </w:pPr>
      <w:proofErr w:type="spellStart"/>
      <w:r w:rsidRPr="00517553">
        <w:t>Vitreomacular</w:t>
      </w:r>
      <w:proofErr w:type="spellEnd"/>
      <w:r w:rsidRPr="00517553">
        <w:t xml:space="preserve"> traction (VMT) is an uncommon condition which is symptomatic and progressive and predominantly </w:t>
      </w:r>
      <w:r w:rsidR="00EE60B4" w:rsidRPr="00517553">
        <w:t xml:space="preserve">affects </w:t>
      </w:r>
      <w:r w:rsidR="00EE60B4">
        <w:t>older people</w:t>
      </w:r>
      <w:r w:rsidRPr="00517553">
        <w:t xml:space="preserve">.  VMT can be associated with a macular </w:t>
      </w:r>
      <w:proofErr w:type="gramStart"/>
      <w:r w:rsidRPr="00517553">
        <w:t>hole</w:t>
      </w:r>
      <w:proofErr w:type="gramEnd"/>
      <w:r w:rsidRPr="00517553">
        <w:t xml:space="preserve"> (MH) and/or an </w:t>
      </w:r>
      <w:proofErr w:type="spellStart"/>
      <w:r w:rsidRPr="00517553">
        <w:t>epiretinal</w:t>
      </w:r>
      <w:proofErr w:type="spellEnd"/>
      <w:r w:rsidRPr="00517553">
        <w:t xml:space="preserve"> membrane (ERM).  There is currently one active treatment available to treat these patients (surgical </w:t>
      </w:r>
      <w:proofErr w:type="spellStart"/>
      <w:r w:rsidRPr="00517553">
        <w:t>vitrectomy</w:t>
      </w:r>
      <w:proofErr w:type="spellEnd"/>
      <w:r w:rsidRPr="00517553">
        <w:t xml:space="preserve">).  As VMT can resolve spontaneously, patients may undergo a period of watchful waiting before </w:t>
      </w:r>
      <w:proofErr w:type="spellStart"/>
      <w:r w:rsidRPr="00517553">
        <w:t>vitrectomy</w:t>
      </w:r>
      <w:proofErr w:type="spellEnd"/>
      <w:r w:rsidRPr="00517553">
        <w:t xml:space="preserve">.  The proposed </w:t>
      </w:r>
      <w:proofErr w:type="spellStart"/>
      <w:r w:rsidRPr="00517553">
        <w:t>ocriplasmin</w:t>
      </w:r>
      <w:proofErr w:type="spellEnd"/>
      <w:r w:rsidRPr="00517553">
        <w:t xml:space="preserve"> listing is intended to provide another alternative prior to </w:t>
      </w:r>
      <w:proofErr w:type="spellStart"/>
      <w:r w:rsidRPr="00517553">
        <w:t>vitrectomy</w:t>
      </w:r>
      <w:proofErr w:type="spellEnd"/>
      <w:r w:rsidRPr="00517553">
        <w:t xml:space="preserve">.  If </w:t>
      </w:r>
      <w:proofErr w:type="spellStart"/>
      <w:r w:rsidRPr="00517553">
        <w:t>ocriplasmin</w:t>
      </w:r>
      <w:proofErr w:type="spellEnd"/>
      <w:r w:rsidRPr="00517553">
        <w:t xml:space="preserve"> is unsuccessful, patients would then be treated with </w:t>
      </w:r>
      <w:proofErr w:type="spellStart"/>
      <w:r w:rsidRPr="00517553">
        <w:t>vitrectomy</w:t>
      </w:r>
      <w:proofErr w:type="spellEnd"/>
      <w:r w:rsidRPr="00517553">
        <w:t>.</w:t>
      </w:r>
    </w:p>
    <w:p w:rsidR="00497F10" w:rsidRPr="00517553" w:rsidRDefault="00497F10" w:rsidP="008F4262">
      <w:pPr>
        <w:widowControl/>
        <w:rPr>
          <w:szCs w:val="22"/>
        </w:rPr>
      </w:pPr>
    </w:p>
    <w:p w:rsidR="00497F10" w:rsidRPr="00517553" w:rsidRDefault="005E6867" w:rsidP="008F4262">
      <w:pPr>
        <w:pStyle w:val="ListParagraph"/>
        <w:widowControl/>
        <w:numPr>
          <w:ilvl w:val="1"/>
          <w:numId w:val="1"/>
        </w:numPr>
        <w:rPr>
          <w:szCs w:val="22"/>
        </w:rPr>
      </w:pPr>
      <w:r w:rsidRPr="00517553">
        <w:rPr>
          <w:szCs w:val="22"/>
        </w:rPr>
        <w:t>The r</w:t>
      </w:r>
      <w:r w:rsidR="00497F10" w:rsidRPr="00517553">
        <w:rPr>
          <w:szCs w:val="22"/>
        </w:rPr>
        <w:t>e-submission’s proposed place in therapy</w:t>
      </w:r>
      <w:r w:rsidRPr="00517553">
        <w:rPr>
          <w:szCs w:val="22"/>
        </w:rPr>
        <w:t xml:space="preserve"> i</w:t>
      </w:r>
      <w:r w:rsidR="0027164E" w:rsidRPr="00517553">
        <w:rPr>
          <w:szCs w:val="22"/>
        </w:rPr>
        <w:t>s</w:t>
      </w:r>
      <w:r w:rsidRPr="00517553">
        <w:rPr>
          <w:szCs w:val="22"/>
        </w:rPr>
        <w:t xml:space="preserve"> unchanged</w:t>
      </w:r>
      <w:r w:rsidR="0027164E" w:rsidRPr="00517553">
        <w:rPr>
          <w:szCs w:val="22"/>
        </w:rPr>
        <w:t xml:space="preserve"> from the </w:t>
      </w:r>
      <w:r w:rsidR="00CE7846" w:rsidRPr="00517553">
        <w:rPr>
          <w:szCs w:val="22"/>
        </w:rPr>
        <w:t xml:space="preserve">integrated </w:t>
      </w:r>
      <w:r w:rsidR="0027164E" w:rsidRPr="00517553">
        <w:rPr>
          <w:szCs w:val="22"/>
        </w:rPr>
        <w:t xml:space="preserve">co-dependent </w:t>
      </w:r>
      <w:r w:rsidR="00CE7846" w:rsidRPr="00517553">
        <w:rPr>
          <w:szCs w:val="22"/>
        </w:rPr>
        <w:t>submission</w:t>
      </w:r>
      <w:r w:rsidR="008A36B5" w:rsidRPr="00517553">
        <w:rPr>
          <w:szCs w:val="22"/>
        </w:rPr>
        <w:t>.</w:t>
      </w:r>
    </w:p>
    <w:p w:rsidR="00035D87" w:rsidRDefault="00035D87" w:rsidP="008F4262">
      <w:pPr>
        <w:widowControl/>
        <w:rPr>
          <w:i/>
          <w:szCs w:val="22"/>
        </w:rPr>
      </w:pPr>
    </w:p>
    <w:p w:rsidR="00DA444B" w:rsidRPr="00DA444B" w:rsidRDefault="00035D87" w:rsidP="008F4262">
      <w:pPr>
        <w:pStyle w:val="BodyText"/>
        <w:widowControl/>
        <w:ind w:firstLine="720"/>
        <w:rPr>
          <w:i/>
          <w:szCs w:val="22"/>
        </w:rPr>
      </w:pPr>
      <w:r w:rsidRPr="00FF7F2D">
        <w:rPr>
          <w:i/>
          <w:szCs w:val="22"/>
        </w:rPr>
        <w:t>For more detail on PBAC’s view, see section 7 “PBAC outcome”</w:t>
      </w:r>
      <w:r w:rsidR="00DC185F">
        <w:rPr>
          <w:i/>
          <w:szCs w:val="22"/>
        </w:rPr>
        <w:t>.</w:t>
      </w:r>
    </w:p>
    <w:p w:rsidR="00497F10" w:rsidRPr="00517553" w:rsidRDefault="00497F10" w:rsidP="008F4262">
      <w:pPr>
        <w:widowControl/>
        <w:rPr>
          <w:szCs w:val="22"/>
        </w:rPr>
      </w:pPr>
    </w:p>
    <w:p w:rsidR="001B6188" w:rsidRPr="00517553" w:rsidRDefault="001B6188" w:rsidP="008F4262">
      <w:pPr>
        <w:pStyle w:val="ListParagraph"/>
        <w:widowControl/>
        <w:ind w:left="0"/>
        <w:rPr>
          <w:szCs w:val="22"/>
        </w:rPr>
      </w:pPr>
    </w:p>
    <w:p w:rsidR="00F338FF" w:rsidRPr="00517553" w:rsidRDefault="00F338FF" w:rsidP="008F4262">
      <w:pPr>
        <w:pStyle w:val="PBACheading1"/>
      </w:pPr>
      <w:bookmarkStart w:id="7" w:name="_Toc440964224"/>
      <w:r w:rsidRPr="00517553">
        <w:t>Comparator</w:t>
      </w:r>
      <w:bookmarkEnd w:id="7"/>
    </w:p>
    <w:p w:rsidR="00497F10" w:rsidRPr="00517553" w:rsidRDefault="00497F10" w:rsidP="008F4262">
      <w:pPr>
        <w:widowControl/>
      </w:pPr>
    </w:p>
    <w:p w:rsidR="00497F10" w:rsidRPr="00035D87" w:rsidRDefault="009F54E9" w:rsidP="008F4262">
      <w:pPr>
        <w:pStyle w:val="ListParagraph"/>
        <w:widowControl/>
        <w:numPr>
          <w:ilvl w:val="1"/>
          <w:numId w:val="1"/>
        </w:numPr>
        <w:rPr>
          <w:szCs w:val="22"/>
        </w:rPr>
      </w:pPr>
      <w:r w:rsidRPr="00517553">
        <w:t xml:space="preserve">The comparison </w:t>
      </w:r>
      <w:r w:rsidR="00C6136E" w:rsidRPr="00517553">
        <w:t>wa</w:t>
      </w:r>
      <w:r w:rsidRPr="00517553">
        <w:t xml:space="preserve">s best described as </w:t>
      </w:r>
      <w:proofErr w:type="spellStart"/>
      <w:r w:rsidRPr="00517553">
        <w:t>ocriplasmin</w:t>
      </w:r>
      <w:proofErr w:type="spellEnd"/>
      <w:r w:rsidRPr="00517553">
        <w:t xml:space="preserve"> ± </w:t>
      </w:r>
      <w:proofErr w:type="spellStart"/>
      <w:r w:rsidRPr="00517553">
        <w:t>vitrectomy</w:t>
      </w:r>
      <w:proofErr w:type="spellEnd"/>
      <w:r w:rsidRPr="00517553">
        <w:t xml:space="preserve"> versus watchful waiting ± </w:t>
      </w:r>
      <w:proofErr w:type="spellStart"/>
      <w:r w:rsidRPr="00517553">
        <w:t>vitrectomy</w:t>
      </w:r>
      <w:proofErr w:type="spellEnd"/>
      <w:r w:rsidRPr="00517553">
        <w:t xml:space="preserve">. </w:t>
      </w:r>
      <w:r w:rsidRPr="00517553">
        <w:rPr>
          <w:color w:val="3366FF"/>
        </w:rPr>
        <w:t xml:space="preserve"> </w:t>
      </w:r>
      <w:r w:rsidR="00497F10" w:rsidRPr="00517553">
        <w:t>This is the appropriate comparator</w:t>
      </w:r>
      <w:r w:rsidRPr="00517553">
        <w:t xml:space="preserve"> and is unchanged from the </w:t>
      </w:r>
      <w:r w:rsidR="00CE7846" w:rsidRPr="00517553">
        <w:t xml:space="preserve">integrated </w:t>
      </w:r>
      <w:r w:rsidR="0027164E" w:rsidRPr="00517553">
        <w:t xml:space="preserve">co-dependent </w:t>
      </w:r>
      <w:r w:rsidR="00CE7846" w:rsidRPr="00517553">
        <w:t>submission</w:t>
      </w:r>
      <w:r w:rsidR="00497F10" w:rsidRPr="00517553">
        <w:t>.</w:t>
      </w:r>
    </w:p>
    <w:p w:rsidR="00035D87" w:rsidRDefault="00035D87" w:rsidP="008F4262">
      <w:pPr>
        <w:widowControl/>
        <w:rPr>
          <w:i/>
          <w:szCs w:val="22"/>
        </w:rPr>
      </w:pPr>
    </w:p>
    <w:p w:rsidR="00035D87" w:rsidRDefault="00035D87" w:rsidP="008F4262">
      <w:pPr>
        <w:pStyle w:val="BodyText"/>
        <w:widowControl/>
        <w:ind w:firstLine="720"/>
        <w:rPr>
          <w:szCs w:val="22"/>
        </w:rPr>
      </w:pPr>
      <w:r w:rsidRPr="00FF7F2D">
        <w:rPr>
          <w:i/>
          <w:szCs w:val="22"/>
        </w:rPr>
        <w:t>For more detail on PBAC’s view, see section 7 “PBAC outcome”</w:t>
      </w:r>
      <w:r w:rsidR="00DC185F">
        <w:rPr>
          <w:i/>
          <w:szCs w:val="22"/>
        </w:rPr>
        <w:t>.</w:t>
      </w:r>
    </w:p>
    <w:p w:rsidR="00035D87" w:rsidRDefault="00035D87" w:rsidP="008F4262">
      <w:pPr>
        <w:widowControl/>
      </w:pPr>
    </w:p>
    <w:p w:rsidR="00035D87" w:rsidRPr="00CD66B2" w:rsidRDefault="00035D87" w:rsidP="008F4262">
      <w:pPr>
        <w:widowControl/>
        <w:rPr>
          <w:szCs w:val="22"/>
        </w:rPr>
      </w:pPr>
    </w:p>
    <w:p w:rsidR="00D06FD4" w:rsidRPr="00517553" w:rsidRDefault="00472359" w:rsidP="008F4262">
      <w:pPr>
        <w:pStyle w:val="PBACheading1"/>
      </w:pPr>
      <w:bookmarkStart w:id="8" w:name="_Toc440964225"/>
      <w:r w:rsidRPr="00517553">
        <w:t>C</w:t>
      </w:r>
      <w:r w:rsidR="00D06FD4" w:rsidRPr="00517553">
        <w:t>onsideration of the evidence</w:t>
      </w:r>
      <w:bookmarkEnd w:id="8"/>
    </w:p>
    <w:p w:rsidR="00035D87" w:rsidRPr="006A4D74" w:rsidRDefault="00035D87" w:rsidP="008F4262">
      <w:pPr>
        <w:widowControl/>
        <w:rPr>
          <w:highlight w:val="yellow"/>
        </w:rPr>
      </w:pPr>
    </w:p>
    <w:p w:rsidR="00035D87" w:rsidRPr="006A4D74" w:rsidRDefault="00035D87" w:rsidP="008F4262">
      <w:pPr>
        <w:widowControl/>
        <w:rPr>
          <w:b/>
          <w:bCs/>
          <w:i/>
          <w:szCs w:val="22"/>
        </w:rPr>
      </w:pPr>
      <w:r w:rsidRPr="006A4D74">
        <w:rPr>
          <w:b/>
          <w:bCs/>
          <w:i/>
          <w:szCs w:val="22"/>
        </w:rPr>
        <w:t>Sponsor hearing</w:t>
      </w:r>
    </w:p>
    <w:p w:rsidR="00035D87" w:rsidRPr="006A4D74" w:rsidRDefault="00035D87" w:rsidP="008F4262">
      <w:pPr>
        <w:widowControl/>
        <w:rPr>
          <w:highlight w:val="yellow"/>
        </w:rPr>
      </w:pPr>
    </w:p>
    <w:p w:rsidR="00035D87" w:rsidRPr="00952DCD" w:rsidRDefault="00952DCD" w:rsidP="008F4262">
      <w:pPr>
        <w:pStyle w:val="ListParagraph"/>
        <w:widowControl/>
        <w:numPr>
          <w:ilvl w:val="1"/>
          <w:numId w:val="1"/>
        </w:numPr>
        <w:rPr>
          <w:bCs/>
        </w:rPr>
      </w:pPr>
      <w:r w:rsidRPr="00952DCD">
        <w:t xml:space="preserve">The </w:t>
      </w:r>
      <w:r w:rsidRPr="00952DCD">
        <w:rPr>
          <w:szCs w:val="22"/>
        </w:rPr>
        <w:t>sponsor requested a hearing for this item.  The clinician presented clinical case studies and discussed the natural history of the disease, how the drug would be used in practice, and addressed other matters in response to the Committee’s questions.  The PBAC considered that the hearing was informative as it provided a clinical perspective on treating this uncommon disease, particularly in outlining the nature of visual disturbances associated with VMT which are not assessed by visual acuity but which can affect quality of life.</w:t>
      </w:r>
      <w:r w:rsidR="00E40A80">
        <w:rPr>
          <w:szCs w:val="22"/>
        </w:rPr>
        <w:t xml:space="preserve"> </w:t>
      </w:r>
      <w:r w:rsidR="005B123F">
        <w:rPr>
          <w:szCs w:val="22"/>
        </w:rPr>
        <w:t xml:space="preserve"> The PBAC noted that</w:t>
      </w:r>
      <w:r w:rsidR="00CD66B2">
        <w:rPr>
          <w:szCs w:val="22"/>
        </w:rPr>
        <w:t>,</w:t>
      </w:r>
      <w:r w:rsidR="005B123F">
        <w:rPr>
          <w:szCs w:val="22"/>
        </w:rPr>
        <w:t xml:space="preserve"> in clinical practice, prior </w:t>
      </w:r>
      <w:r w:rsidR="005B123F">
        <w:rPr>
          <w:szCs w:val="22"/>
        </w:rPr>
        <w:lastRenderedPageBreak/>
        <w:t xml:space="preserve">treatment with </w:t>
      </w:r>
      <w:proofErr w:type="spellStart"/>
      <w:r w:rsidR="005B123F">
        <w:rPr>
          <w:szCs w:val="22"/>
        </w:rPr>
        <w:t>ocirlplasmin</w:t>
      </w:r>
      <w:proofErr w:type="spellEnd"/>
      <w:r w:rsidR="005B123F">
        <w:rPr>
          <w:szCs w:val="22"/>
        </w:rPr>
        <w:t xml:space="preserve"> would not likely impact on the outcome for a patient receiving a </w:t>
      </w:r>
      <w:proofErr w:type="spellStart"/>
      <w:r w:rsidR="005B123F">
        <w:rPr>
          <w:szCs w:val="22"/>
        </w:rPr>
        <w:t>vitrectomy</w:t>
      </w:r>
      <w:proofErr w:type="spellEnd"/>
      <w:r w:rsidR="005B123F">
        <w:rPr>
          <w:szCs w:val="22"/>
        </w:rPr>
        <w:t xml:space="preserve"> at later date.</w:t>
      </w:r>
    </w:p>
    <w:p w:rsidR="00952DCD" w:rsidRPr="006A4D74" w:rsidRDefault="00952DCD" w:rsidP="008F4262">
      <w:pPr>
        <w:widowControl/>
      </w:pPr>
    </w:p>
    <w:p w:rsidR="00035D87" w:rsidRPr="00952DCD" w:rsidRDefault="00035D87" w:rsidP="009E3C8D">
      <w:pPr>
        <w:pStyle w:val="Heading2"/>
      </w:pPr>
      <w:r w:rsidRPr="00952DCD">
        <w:t>Consumer comments</w:t>
      </w:r>
    </w:p>
    <w:p w:rsidR="00035D87" w:rsidRPr="00952DCD" w:rsidRDefault="00035D87" w:rsidP="008F4262">
      <w:pPr>
        <w:widowControl/>
        <w:rPr>
          <w:bCs/>
          <w:szCs w:val="22"/>
        </w:rPr>
      </w:pPr>
    </w:p>
    <w:p w:rsidR="00035D87" w:rsidRPr="00952DCD" w:rsidRDefault="00035D87" w:rsidP="008F4262">
      <w:pPr>
        <w:pStyle w:val="ListParagraph"/>
        <w:widowControl/>
        <w:numPr>
          <w:ilvl w:val="1"/>
          <w:numId w:val="1"/>
        </w:numPr>
        <w:rPr>
          <w:szCs w:val="22"/>
        </w:rPr>
      </w:pPr>
      <w:r w:rsidRPr="00952DCD">
        <w:rPr>
          <w:bCs/>
          <w:szCs w:val="22"/>
        </w:rPr>
        <w:t>The PBAC noted that no consumer comme</w:t>
      </w:r>
      <w:r w:rsidR="00FF7F2D" w:rsidRPr="00952DCD">
        <w:rPr>
          <w:bCs/>
          <w:szCs w:val="22"/>
        </w:rPr>
        <w:t>nts were received for this item</w:t>
      </w:r>
      <w:r w:rsidRPr="00952DCD">
        <w:rPr>
          <w:bCs/>
          <w:szCs w:val="22"/>
        </w:rPr>
        <w:t>.</w:t>
      </w:r>
    </w:p>
    <w:p w:rsidR="00035D87" w:rsidRPr="00AF1BB7" w:rsidRDefault="00035D87" w:rsidP="008F4262">
      <w:pPr>
        <w:widowControl/>
        <w:rPr>
          <w:szCs w:val="22"/>
        </w:rPr>
      </w:pPr>
    </w:p>
    <w:p w:rsidR="00B60939" w:rsidRPr="00AF1BB7" w:rsidRDefault="00B60939" w:rsidP="008F4262">
      <w:pPr>
        <w:pStyle w:val="Heading2"/>
        <w:widowControl/>
        <w:rPr>
          <w:i/>
        </w:rPr>
      </w:pPr>
      <w:bookmarkStart w:id="9" w:name="_Toc440964226"/>
      <w:r w:rsidRPr="00AF1BB7">
        <w:rPr>
          <w:i/>
        </w:rPr>
        <w:t>Clinical trials</w:t>
      </w:r>
      <w:bookmarkEnd w:id="9"/>
    </w:p>
    <w:p w:rsidR="00B60939" w:rsidRPr="00517553" w:rsidRDefault="00B60939" w:rsidP="008F4262">
      <w:pPr>
        <w:widowControl/>
        <w:rPr>
          <w:szCs w:val="22"/>
        </w:rPr>
      </w:pPr>
    </w:p>
    <w:p w:rsidR="007F1017" w:rsidRPr="00517553" w:rsidRDefault="001B6188" w:rsidP="008F4262">
      <w:pPr>
        <w:pStyle w:val="ListParagraph"/>
        <w:widowControl/>
        <w:numPr>
          <w:ilvl w:val="1"/>
          <w:numId w:val="1"/>
        </w:numPr>
        <w:rPr>
          <w:szCs w:val="22"/>
        </w:rPr>
      </w:pPr>
      <w:r w:rsidRPr="00517553">
        <w:t xml:space="preserve">The re-submission </w:t>
      </w:r>
      <w:r w:rsidR="00C6136E" w:rsidRPr="00517553">
        <w:t>wa</w:t>
      </w:r>
      <w:r w:rsidRPr="00517553">
        <w:t xml:space="preserve">s based on </w:t>
      </w:r>
      <w:r w:rsidR="00404D89" w:rsidRPr="00517553">
        <w:t xml:space="preserve">three </w:t>
      </w:r>
      <w:r w:rsidRPr="00517553">
        <w:t>head-to-head trial</w:t>
      </w:r>
      <w:r w:rsidR="00404D89" w:rsidRPr="00517553">
        <w:t>s</w:t>
      </w:r>
      <w:r w:rsidRPr="00517553">
        <w:t xml:space="preserve"> comparing </w:t>
      </w:r>
      <w:proofErr w:type="spellStart"/>
      <w:r w:rsidR="00404D89" w:rsidRPr="00517553">
        <w:t>ocriplasmin</w:t>
      </w:r>
      <w:proofErr w:type="spellEnd"/>
      <w:r w:rsidR="00404D89" w:rsidRPr="00517553">
        <w:t xml:space="preserve"> ± </w:t>
      </w:r>
      <w:proofErr w:type="spellStart"/>
      <w:r w:rsidR="00404D89" w:rsidRPr="00517553">
        <w:t>vitrectomy</w:t>
      </w:r>
      <w:proofErr w:type="spellEnd"/>
      <w:r w:rsidRPr="00517553">
        <w:t xml:space="preserve"> to </w:t>
      </w:r>
      <w:r w:rsidR="00404D89" w:rsidRPr="00517553">
        <w:t xml:space="preserve">watchful waiting ± </w:t>
      </w:r>
      <w:proofErr w:type="spellStart"/>
      <w:r w:rsidR="00404D89" w:rsidRPr="00517553">
        <w:t>vitrectomy</w:t>
      </w:r>
      <w:proofErr w:type="spellEnd"/>
      <w:r w:rsidRPr="00517553">
        <w:t xml:space="preserve"> (</w:t>
      </w:r>
      <w:r w:rsidR="00404D89" w:rsidRPr="00517553">
        <w:t>N</w:t>
      </w:r>
      <w:r w:rsidRPr="00517553">
        <w:t>=</w:t>
      </w:r>
      <w:r w:rsidR="00404D89" w:rsidRPr="00517553">
        <w:t>872</w:t>
      </w:r>
      <w:r w:rsidRPr="00517553">
        <w:t xml:space="preserve">). </w:t>
      </w:r>
      <w:r w:rsidR="00425CB2" w:rsidRPr="00517553">
        <w:t xml:space="preserve"> </w:t>
      </w:r>
      <w:r w:rsidR="00404D89" w:rsidRPr="00517553">
        <w:t>The re-submission include</w:t>
      </w:r>
      <w:r w:rsidR="00C6136E" w:rsidRPr="00517553">
        <w:t>d</w:t>
      </w:r>
      <w:r w:rsidR="00404D89" w:rsidRPr="00517553">
        <w:t xml:space="preserve"> one additional trial not previously considered by the PBAC: OASIS.</w:t>
      </w:r>
    </w:p>
    <w:p w:rsidR="001B6188" w:rsidRPr="00517553" w:rsidRDefault="001B6188" w:rsidP="008F4262">
      <w:pPr>
        <w:widowControl/>
        <w:rPr>
          <w:szCs w:val="22"/>
        </w:rPr>
      </w:pPr>
    </w:p>
    <w:p w:rsidR="001B6188" w:rsidRPr="00517553" w:rsidRDefault="001B6188" w:rsidP="008F4262">
      <w:pPr>
        <w:pStyle w:val="ListParagraph"/>
        <w:widowControl/>
        <w:numPr>
          <w:ilvl w:val="1"/>
          <w:numId w:val="1"/>
        </w:numPr>
        <w:rPr>
          <w:szCs w:val="22"/>
        </w:rPr>
      </w:pPr>
      <w:r w:rsidRPr="00517553">
        <w:rPr>
          <w:szCs w:val="22"/>
        </w:rPr>
        <w:t xml:space="preserve">Details of the trials presented in the re-submission are provided in </w:t>
      </w:r>
      <w:r w:rsidR="0027164E" w:rsidRPr="00517553">
        <w:rPr>
          <w:szCs w:val="22"/>
        </w:rPr>
        <w:t>Table 1</w:t>
      </w:r>
      <w:r w:rsidR="008A36B5" w:rsidRPr="00517553">
        <w:rPr>
          <w:szCs w:val="22"/>
        </w:rPr>
        <w:t>.</w:t>
      </w:r>
    </w:p>
    <w:p w:rsidR="001B6188" w:rsidRPr="00517553" w:rsidRDefault="001B6188" w:rsidP="008F4262">
      <w:pPr>
        <w:widowControl/>
        <w:rPr>
          <w:szCs w:val="22"/>
        </w:rPr>
      </w:pPr>
    </w:p>
    <w:p w:rsidR="00961AF9" w:rsidRPr="00517553" w:rsidRDefault="00961AF9" w:rsidP="008F4262">
      <w:pPr>
        <w:widowControl/>
        <w:ind w:firstLine="720"/>
        <w:rPr>
          <w:rStyle w:val="CommentReference"/>
        </w:rPr>
      </w:pPr>
      <w:r w:rsidRPr="00517553">
        <w:rPr>
          <w:rStyle w:val="CommentReference"/>
        </w:rPr>
        <w:t xml:space="preserve">Table </w:t>
      </w:r>
      <w:r w:rsidR="0027164E" w:rsidRPr="00517553">
        <w:rPr>
          <w:rStyle w:val="CommentReference"/>
        </w:rPr>
        <w:t>1</w:t>
      </w:r>
      <w:r w:rsidRPr="00517553">
        <w:rPr>
          <w:rStyle w:val="CommentReference"/>
        </w:rPr>
        <w:t>: Trials and associated reports presented in the re-submission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59"/>
        <w:gridCol w:w="4932"/>
        <w:gridCol w:w="1854"/>
      </w:tblGrid>
      <w:tr w:rsidR="00D06FD4" w:rsidRPr="00517553" w:rsidTr="00404D89">
        <w:trPr>
          <w:tblHeader/>
        </w:trPr>
        <w:tc>
          <w:tcPr>
            <w:tcW w:w="934" w:type="pct"/>
            <w:tcBorders>
              <w:top w:val="single" w:sz="4" w:space="0" w:color="auto"/>
              <w:left w:val="single" w:sz="4" w:space="0" w:color="auto"/>
              <w:bottom w:val="single" w:sz="4" w:space="0" w:color="auto"/>
              <w:right w:val="single" w:sz="4" w:space="0" w:color="auto"/>
            </w:tcBorders>
          </w:tcPr>
          <w:p w:rsidR="00D06FD4" w:rsidRPr="00517553" w:rsidRDefault="00D06FD4" w:rsidP="008F4262">
            <w:pPr>
              <w:widowControl/>
              <w:jc w:val="left"/>
              <w:rPr>
                <w:rFonts w:ascii="Arial Narrow" w:hAnsi="Arial Narrow"/>
                <w:b/>
                <w:sz w:val="20"/>
              </w:rPr>
            </w:pPr>
            <w:r w:rsidRPr="00517553">
              <w:rPr>
                <w:rFonts w:ascii="Arial Narrow" w:hAnsi="Arial Narrow"/>
                <w:b/>
                <w:sz w:val="20"/>
              </w:rPr>
              <w:t>Trial ID</w:t>
            </w:r>
          </w:p>
        </w:tc>
        <w:tc>
          <w:tcPr>
            <w:tcW w:w="2955" w:type="pct"/>
            <w:tcBorders>
              <w:top w:val="single" w:sz="4" w:space="0" w:color="auto"/>
              <w:left w:val="single" w:sz="4" w:space="0" w:color="auto"/>
              <w:bottom w:val="single" w:sz="4" w:space="0" w:color="auto"/>
              <w:right w:val="single" w:sz="4" w:space="0" w:color="auto"/>
            </w:tcBorders>
          </w:tcPr>
          <w:p w:rsidR="00D06FD4" w:rsidRPr="00517553" w:rsidRDefault="00D06FD4" w:rsidP="008F4262">
            <w:pPr>
              <w:widowControl/>
              <w:jc w:val="center"/>
              <w:rPr>
                <w:rFonts w:ascii="Arial Narrow" w:hAnsi="Arial Narrow"/>
                <w:b/>
                <w:sz w:val="20"/>
              </w:rPr>
            </w:pPr>
            <w:r w:rsidRPr="00517553">
              <w:rPr>
                <w:rFonts w:ascii="Arial Narrow" w:hAnsi="Arial Narrow"/>
                <w:b/>
                <w:sz w:val="20"/>
              </w:rPr>
              <w:t>Protocol title/ Publication title</w:t>
            </w:r>
          </w:p>
        </w:tc>
        <w:tc>
          <w:tcPr>
            <w:tcW w:w="1111" w:type="pct"/>
            <w:tcBorders>
              <w:top w:val="single" w:sz="4" w:space="0" w:color="auto"/>
              <w:left w:val="single" w:sz="4" w:space="0" w:color="auto"/>
              <w:bottom w:val="single" w:sz="4" w:space="0" w:color="auto"/>
              <w:right w:val="single" w:sz="4" w:space="0" w:color="auto"/>
            </w:tcBorders>
          </w:tcPr>
          <w:p w:rsidR="00D06FD4" w:rsidRPr="00517553" w:rsidRDefault="00D06FD4" w:rsidP="008F4262">
            <w:pPr>
              <w:widowControl/>
              <w:jc w:val="center"/>
              <w:rPr>
                <w:rFonts w:ascii="Arial Narrow" w:hAnsi="Arial Narrow"/>
                <w:b/>
                <w:sz w:val="20"/>
              </w:rPr>
            </w:pPr>
            <w:r w:rsidRPr="00517553">
              <w:rPr>
                <w:rFonts w:ascii="Arial Narrow" w:hAnsi="Arial Narrow"/>
                <w:b/>
                <w:sz w:val="20"/>
              </w:rPr>
              <w:t>Publication citation</w:t>
            </w:r>
          </w:p>
        </w:tc>
      </w:tr>
      <w:tr w:rsidR="00D06FD4" w:rsidRPr="00517553" w:rsidTr="00404D89">
        <w:tc>
          <w:tcPr>
            <w:tcW w:w="5000" w:type="pct"/>
            <w:gridSpan w:val="3"/>
          </w:tcPr>
          <w:p w:rsidR="00D06FD4" w:rsidRPr="00517553" w:rsidRDefault="00D06FD4" w:rsidP="008F4262">
            <w:pPr>
              <w:widowControl/>
              <w:jc w:val="left"/>
              <w:rPr>
                <w:rFonts w:ascii="Arial Narrow" w:hAnsi="Arial Narrow"/>
                <w:b/>
                <w:sz w:val="20"/>
              </w:rPr>
            </w:pPr>
            <w:r w:rsidRPr="00517553">
              <w:rPr>
                <w:rFonts w:ascii="Arial Narrow" w:hAnsi="Arial Narrow"/>
                <w:b/>
                <w:sz w:val="20"/>
              </w:rPr>
              <w:t>Direct randomised trials</w:t>
            </w:r>
          </w:p>
        </w:tc>
      </w:tr>
      <w:tr w:rsidR="00404D89" w:rsidRPr="00517553" w:rsidTr="00404D89">
        <w:trPr>
          <w:trHeight w:val="113"/>
        </w:trPr>
        <w:tc>
          <w:tcPr>
            <w:tcW w:w="934" w:type="pct"/>
            <w:vMerge w:val="restart"/>
          </w:tcPr>
          <w:p w:rsidR="00404D89" w:rsidRPr="00517553" w:rsidRDefault="00404D89" w:rsidP="008F4262">
            <w:pPr>
              <w:widowControl/>
              <w:rPr>
                <w:rFonts w:ascii="Arial Narrow" w:hAnsi="Arial Narrow"/>
                <w:sz w:val="20"/>
              </w:rPr>
            </w:pPr>
            <w:r w:rsidRPr="00517553">
              <w:rPr>
                <w:rFonts w:ascii="Arial Narrow" w:hAnsi="Arial Narrow"/>
                <w:sz w:val="20"/>
              </w:rPr>
              <w:t>TG-MV-006</w:t>
            </w:r>
          </w:p>
          <w:p w:rsidR="00404D89" w:rsidRPr="00517553" w:rsidRDefault="00404D89" w:rsidP="008F4262">
            <w:pPr>
              <w:widowControl/>
              <w:jc w:val="left"/>
              <w:rPr>
                <w:rFonts w:ascii="Arial Narrow" w:hAnsi="Arial Narrow"/>
                <w:sz w:val="20"/>
              </w:rPr>
            </w:pPr>
            <w:r w:rsidRPr="00517553">
              <w:rPr>
                <w:rFonts w:ascii="Arial Narrow" w:hAnsi="Arial Narrow"/>
                <w:sz w:val="20"/>
              </w:rPr>
              <w:t>(NCT00781859)</w:t>
            </w:r>
          </w:p>
        </w:tc>
        <w:tc>
          <w:tcPr>
            <w:tcW w:w="2955" w:type="pct"/>
          </w:tcPr>
          <w:p w:rsidR="00404D89" w:rsidRPr="00517553" w:rsidRDefault="00404D89" w:rsidP="008F4262">
            <w:pPr>
              <w:widowControl/>
              <w:jc w:val="left"/>
              <w:rPr>
                <w:rFonts w:ascii="Arial Narrow" w:hAnsi="Arial Narrow"/>
                <w:b/>
                <w:sz w:val="20"/>
              </w:rPr>
            </w:pPr>
            <w:r w:rsidRPr="00517553">
              <w:rPr>
                <w:rFonts w:ascii="Arial Narrow" w:hAnsi="Arial Narrow"/>
                <w:sz w:val="20"/>
              </w:rPr>
              <w:t xml:space="preserve">Clinical Study Report. </w:t>
            </w:r>
            <w:proofErr w:type="spellStart"/>
            <w:r w:rsidRPr="00517553">
              <w:rPr>
                <w:rFonts w:ascii="Arial Narrow" w:hAnsi="Arial Narrow"/>
                <w:sz w:val="20"/>
              </w:rPr>
              <w:t>Ocriplasmin</w:t>
            </w:r>
            <w:proofErr w:type="spellEnd"/>
            <w:r w:rsidRPr="00517553">
              <w:rPr>
                <w:rFonts w:ascii="Arial Narrow" w:hAnsi="Arial Narrow"/>
                <w:sz w:val="20"/>
              </w:rPr>
              <w:t xml:space="preserve">. TG-MV-006. A randomised, placebo controlled, double masked, </w:t>
            </w:r>
            <w:proofErr w:type="spellStart"/>
            <w:r w:rsidRPr="00517553">
              <w:rPr>
                <w:rFonts w:ascii="Arial Narrow" w:hAnsi="Arial Narrow"/>
                <w:sz w:val="20"/>
              </w:rPr>
              <w:t>multicenter</w:t>
            </w:r>
            <w:proofErr w:type="spellEnd"/>
            <w:r w:rsidRPr="00517553">
              <w:rPr>
                <w:rFonts w:ascii="Arial Narrow" w:hAnsi="Arial Narrow"/>
                <w:sz w:val="20"/>
              </w:rPr>
              <w:t xml:space="preserve"> trial of </w:t>
            </w:r>
            <w:proofErr w:type="spellStart"/>
            <w:r w:rsidRPr="00517553">
              <w:rPr>
                <w:rFonts w:ascii="Arial Narrow" w:hAnsi="Arial Narrow"/>
                <w:sz w:val="20"/>
              </w:rPr>
              <w:t>microplasmin</w:t>
            </w:r>
            <w:proofErr w:type="spellEnd"/>
            <w:r w:rsidRPr="00517553">
              <w:rPr>
                <w:rFonts w:ascii="Arial Narrow" w:hAnsi="Arial Narrow"/>
                <w:sz w:val="20"/>
              </w:rPr>
              <w:t xml:space="preserve"> </w:t>
            </w:r>
            <w:proofErr w:type="spellStart"/>
            <w:r w:rsidRPr="00517553">
              <w:rPr>
                <w:rFonts w:ascii="Arial Narrow" w:hAnsi="Arial Narrow"/>
                <w:sz w:val="20"/>
              </w:rPr>
              <w:t>intravitreal</w:t>
            </w:r>
            <w:proofErr w:type="spellEnd"/>
            <w:r w:rsidRPr="00517553">
              <w:rPr>
                <w:rFonts w:ascii="Arial Narrow" w:hAnsi="Arial Narrow"/>
                <w:sz w:val="20"/>
              </w:rPr>
              <w:t xml:space="preserve"> injection for non-surgical treatment of focal </w:t>
            </w:r>
            <w:proofErr w:type="spellStart"/>
            <w:r w:rsidRPr="00517553">
              <w:rPr>
                <w:rFonts w:ascii="Arial Narrow" w:hAnsi="Arial Narrow"/>
                <w:sz w:val="20"/>
              </w:rPr>
              <w:t>vitreomacular</w:t>
            </w:r>
            <w:proofErr w:type="spellEnd"/>
            <w:r w:rsidRPr="00517553">
              <w:rPr>
                <w:rFonts w:ascii="Arial Narrow" w:hAnsi="Arial Narrow"/>
                <w:sz w:val="20"/>
              </w:rPr>
              <w:t xml:space="preserve"> adhesion. </w:t>
            </w:r>
          </w:p>
        </w:tc>
        <w:tc>
          <w:tcPr>
            <w:tcW w:w="1111" w:type="pct"/>
          </w:tcPr>
          <w:p w:rsidR="00404D89" w:rsidRPr="00517553" w:rsidRDefault="00404D89" w:rsidP="008F4262">
            <w:pPr>
              <w:widowControl/>
              <w:jc w:val="left"/>
              <w:rPr>
                <w:rFonts w:ascii="Arial Narrow" w:hAnsi="Arial Narrow"/>
                <w:b/>
                <w:sz w:val="20"/>
              </w:rPr>
            </w:pPr>
            <w:proofErr w:type="spellStart"/>
            <w:r w:rsidRPr="00517553">
              <w:rPr>
                <w:rFonts w:ascii="Arial Narrow" w:hAnsi="Arial Narrow"/>
                <w:sz w:val="20"/>
              </w:rPr>
              <w:t>ThromboGenics</w:t>
            </w:r>
            <w:proofErr w:type="spellEnd"/>
            <w:r w:rsidRPr="00517553">
              <w:rPr>
                <w:rFonts w:ascii="Arial Narrow" w:hAnsi="Arial Narrow"/>
                <w:sz w:val="20"/>
              </w:rPr>
              <w:t>, 27 Jun 2011</w:t>
            </w:r>
          </w:p>
        </w:tc>
      </w:tr>
      <w:tr w:rsidR="00404D89" w:rsidRPr="00517553" w:rsidTr="00404D89">
        <w:trPr>
          <w:trHeight w:val="112"/>
        </w:trPr>
        <w:tc>
          <w:tcPr>
            <w:tcW w:w="934" w:type="pct"/>
            <w:vMerge/>
          </w:tcPr>
          <w:p w:rsidR="00404D89" w:rsidRPr="00517553" w:rsidRDefault="00404D89" w:rsidP="008F4262">
            <w:pPr>
              <w:widowControl/>
              <w:jc w:val="left"/>
              <w:rPr>
                <w:rFonts w:ascii="Arial Narrow" w:hAnsi="Arial Narrow"/>
                <w:sz w:val="20"/>
              </w:rPr>
            </w:pPr>
          </w:p>
        </w:tc>
        <w:tc>
          <w:tcPr>
            <w:tcW w:w="2955" w:type="pct"/>
          </w:tcPr>
          <w:p w:rsidR="00404D89" w:rsidRPr="00517553" w:rsidDel="00404D89" w:rsidRDefault="00404D89" w:rsidP="008F4262">
            <w:pPr>
              <w:widowControl/>
              <w:jc w:val="left"/>
              <w:rPr>
                <w:rFonts w:ascii="Arial Narrow" w:hAnsi="Arial Narrow"/>
                <w:sz w:val="20"/>
              </w:rPr>
            </w:pPr>
            <w:proofErr w:type="spellStart"/>
            <w:r w:rsidRPr="00517553">
              <w:rPr>
                <w:rFonts w:ascii="Arial Narrow" w:hAnsi="Arial Narrow"/>
                <w:sz w:val="20"/>
              </w:rPr>
              <w:t>Stalmans</w:t>
            </w:r>
            <w:proofErr w:type="spellEnd"/>
            <w:r w:rsidRPr="00517553">
              <w:rPr>
                <w:rFonts w:ascii="Arial Narrow" w:hAnsi="Arial Narrow"/>
                <w:sz w:val="20"/>
              </w:rPr>
              <w:t xml:space="preserve"> P, Benz M S, </w:t>
            </w:r>
            <w:proofErr w:type="spellStart"/>
            <w:r w:rsidRPr="00517553">
              <w:rPr>
                <w:rFonts w:ascii="Arial Narrow" w:hAnsi="Arial Narrow"/>
                <w:sz w:val="20"/>
              </w:rPr>
              <w:t>Gandorfer</w:t>
            </w:r>
            <w:proofErr w:type="spellEnd"/>
            <w:r w:rsidRPr="00517553">
              <w:rPr>
                <w:rFonts w:ascii="Arial Narrow" w:hAnsi="Arial Narrow"/>
                <w:sz w:val="20"/>
              </w:rPr>
              <w:t xml:space="preserve"> A, </w:t>
            </w:r>
            <w:proofErr w:type="spellStart"/>
            <w:r w:rsidRPr="00517553">
              <w:rPr>
                <w:rFonts w:ascii="Arial Narrow" w:hAnsi="Arial Narrow"/>
                <w:sz w:val="20"/>
              </w:rPr>
              <w:t>Kampik</w:t>
            </w:r>
            <w:proofErr w:type="spellEnd"/>
            <w:r w:rsidRPr="00517553">
              <w:rPr>
                <w:rFonts w:ascii="Arial Narrow" w:hAnsi="Arial Narrow"/>
                <w:sz w:val="20"/>
              </w:rPr>
              <w:t xml:space="preserve"> A, </w:t>
            </w:r>
            <w:proofErr w:type="spellStart"/>
            <w:r w:rsidRPr="00517553">
              <w:rPr>
                <w:rFonts w:ascii="Arial Narrow" w:hAnsi="Arial Narrow"/>
                <w:sz w:val="20"/>
              </w:rPr>
              <w:t>Girach</w:t>
            </w:r>
            <w:proofErr w:type="spellEnd"/>
            <w:r w:rsidRPr="00517553">
              <w:rPr>
                <w:rFonts w:ascii="Arial Narrow" w:hAnsi="Arial Narrow"/>
                <w:sz w:val="20"/>
              </w:rPr>
              <w:t xml:space="preserve"> A, </w:t>
            </w:r>
            <w:proofErr w:type="spellStart"/>
            <w:r w:rsidRPr="00517553">
              <w:rPr>
                <w:rFonts w:ascii="Arial Narrow" w:hAnsi="Arial Narrow"/>
                <w:sz w:val="20"/>
              </w:rPr>
              <w:t>Pakola</w:t>
            </w:r>
            <w:proofErr w:type="spellEnd"/>
            <w:r w:rsidRPr="00517553">
              <w:rPr>
                <w:rFonts w:ascii="Arial Narrow" w:hAnsi="Arial Narrow"/>
                <w:sz w:val="20"/>
              </w:rPr>
              <w:t xml:space="preserve"> S, Haller J A. Enzymatic </w:t>
            </w:r>
            <w:proofErr w:type="spellStart"/>
            <w:r w:rsidRPr="00517553">
              <w:rPr>
                <w:rFonts w:ascii="Arial Narrow" w:hAnsi="Arial Narrow"/>
                <w:sz w:val="20"/>
              </w:rPr>
              <w:t>vitreolysis</w:t>
            </w:r>
            <w:proofErr w:type="spellEnd"/>
            <w:r w:rsidRPr="00517553">
              <w:rPr>
                <w:rFonts w:ascii="Arial Narrow" w:hAnsi="Arial Narrow"/>
                <w:sz w:val="20"/>
              </w:rPr>
              <w:t xml:space="preserve"> with </w:t>
            </w:r>
            <w:proofErr w:type="spellStart"/>
            <w:r w:rsidRPr="00517553">
              <w:rPr>
                <w:rFonts w:ascii="Arial Narrow" w:hAnsi="Arial Narrow"/>
                <w:sz w:val="20"/>
              </w:rPr>
              <w:t>ocriplasmin</w:t>
            </w:r>
            <w:proofErr w:type="spellEnd"/>
            <w:r w:rsidRPr="00517553">
              <w:rPr>
                <w:rFonts w:ascii="Arial Narrow" w:hAnsi="Arial Narrow"/>
                <w:sz w:val="20"/>
              </w:rPr>
              <w:t xml:space="preserve"> for </w:t>
            </w:r>
            <w:proofErr w:type="spellStart"/>
            <w:r w:rsidRPr="00517553">
              <w:rPr>
                <w:rFonts w:ascii="Arial Narrow" w:hAnsi="Arial Narrow"/>
                <w:sz w:val="20"/>
              </w:rPr>
              <w:t>vitreomacular</w:t>
            </w:r>
            <w:proofErr w:type="spellEnd"/>
            <w:r w:rsidRPr="00517553">
              <w:rPr>
                <w:rFonts w:ascii="Arial Narrow" w:hAnsi="Arial Narrow"/>
                <w:sz w:val="20"/>
              </w:rPr>
              <w:t xml:space="preserve"> traction and macular holes. </w:t>
            </w:r>
          </w:p>
        </w:tc>
        <w:tc>
          <w:tcPr>
            <w:tcW w:w="1111" w:type="pct"/>
          </w:tcPr>
          <w:p w:rsidR="00404D89" w:rsidRPr="00517553" w:rsidDel="00404D89" w:rsidRDefault="00404D89" w:rsidP="008F4262">
            <w:pPr>
              <w:widowControl/>
              <w:jc w:val="left"/>
              <w:rPr>
                <w:rFonts w:ascii="Arial Narrow" w:hAnsi="Arial Narrow"/>
                <w:sz w:val="20"/>
              </w:rPr>
            </w:pPr>
            <w:r w:rsidRPr="00517553">
              <w:rPr>
                <w:rFonts w:ascii="Arial Narrow" w:hAnsi="Arial Narrow"/>
                <w:iCs/>
                <w:sz w:val="20"/>
              </w:rPr>
              <w:t>New England Journal of Medicine</w:t>
            </w:r>
            <w:r w:rsidRPr="00517553">
              <w:rPr>
                <w:rFonts w:ascii="Arial Narrow" w:hAnsi="Arial Narrow"/>
                <w:sz w:val="20"/>
              </w:rPr>
              <w:t xml:space="preserve"> 2012, 367(7):606-615</w:t>
            </w:r>
          </w:p>
        </w:tc>
      </w:tr>
      <w:tr w:rsidR="00404D89" w:rsidRPr="00517553" w:rsidTr="00404D89">
        <w:trPr>
          <w:trHeight w:val="113"/>
        </w:trPr>
        <w:tc>
          <w:tcPr>
            <w:tcW w:w="934" w:type="pct"/>
            <w:vMerge w:val="restart"/>
            <w:vAlign w:val="center"/>
          </w:tcPr>
          <w:p w:rsidR="00404D89" w:rsidRPr="00517553" w:rsidRDefault="00404D89" w:rsidP="008F4262">
            <w:pPr>
              <w:widowControl/>
              <w:rPr>
                <w:rFonts w:ascii="Arial Narrow" w:hAnsi="Arial Narrow"/>
                <w:sz w:val="20"/>
              </w:rPr>
            </w:pPr>
            <w:r w:rsidRPr="00517553">
              <w:rPr>
                <w:rFonts w:ascii="Arial Narrow" w:hAnsi="Arial Narrow"/>
                <w:sz w:val="20"/>
              </w:rPr>
              <w:t>TG-MV-007</w:t>
            </w:r>
          </w:p>
          <w:p w:rsidR="00404D89" w:rsidRPr="00517553" w:rsidRDefault="00404D89" w:rsidP="008F4262">
            <w:pPr>
              <w:widowControl/>
              <w:jc w:val="left"/>
              <w:rPr>
                <w:rFonts w:ascii="Arial Narrow" w:hAnsi="Arial Narrow"/>
                <w:sz w:val="20"/>
              </w:rPr>
            </w:pPr>
            <w:r w:rsidRPr="00517553">
              <w:rPr>
                <w:rFonts w:ascii="Arial Narrow" w:hAnsi="Arial Narrow"/>
                <w:sz w:val="20"/>
              </w:rPr>
              <w:t>(NCT00798317)</w:t>
            </w:r>
          </w:p>
        </w:tc>
        <w:tc>
          <w:tcPr>
            <w:tcW w:w="2955" w:type="pct"/>
          </w:tcPr>
          <w:p w:rsidR="00404D89" w:rsidRPr="00517553" w:rsidRDefault="00404D89" w:rsidP="008F4262">
            <w:pPr>
              <w:widowControl/>
              <w:jc w:val="left"/>
              <w:rPr>
                <w:rFonts w:ascii="Arial Narrow" w:hAnsi="Arial Narrow"/>
                <w:b/>
                <w:sz w:val="20"/>
              </w:rPr>
            </w:pPr>
            <w:r w:rsidRPr="00517553">
              <w:rPr>
                <w:rFonts w:ascii="Arial Narrow" w:hAnsi="Arial Narrow"/>
                <w:sz w:val="20"/>
              </w:rPr>
              <w:t xml:space="preserve">Clinical Study Report. </w:t>
            </w:r>
            <w:proofErr w:type="spellStart"/>
            <w:r w:rsidRPr="00517553">
              <w:rPr>
                <w:rFonts w:ascii="Arial Narrow" w:hAnsi="Arial Narrow"/>
                <w:sz w:val="20"/>
              </w:rPr>
              <w:t>Ocriplasmin</w:t>
            </w:r>
            <w:proofErr w:type="spellEnd"/>
            <w:r w:rsidRPr="00517553">
              <w:rPr>
                <w:rFonts w:ascii="Arial Narrow" w:hAnsi="Arial Narrow"/>
                <w:sz w:val="20"/>
              </w:rPr>
              <w:t xml:space="preserve">. TG-MV-007. A randomised, placebo controlled, double masked, </w:t>
            </w:r>
            <w:proofErr w:type="spellStart"/>
            <w:r w:rsidRPr="00517553">
              <w:rPr>
                <w:rFonts w:ascii="Arial Narrow" w:hAnsi="Arial Narrow"/>
                <w:sz w:val="20"/>
              </w:rPr>
              <w:t>multicenter</w:t>
            </w:r>
            <w:proofErr w:type="spellEnd"/>
            <w:r w:rsidRPr="00517553">
              <w:rPr>
                <w:rFonts w:ascii="Arial Narrow" w:hAnsi="Arial Narrow"/>
                <w:sz w:val="20"/>
              </w:rPr>
              <w:t xml:space="preserve"> trial of </w:t>
            </w:r>
            <w:proofErr w:type="spellStart"/>
            <w:r w:rsidRPr="00517553">
              <w:rPr>
                <w:rFonts w:ascii="Arial Narrow" w:hAnsi="Arial Narrow"/>
                <w:sz w:val="20"/>
              </w:rPr>
              <w:t>microplasmin</w:t>
            </w:r>
            <w:proofErr w:type="spellEnd"/>
            <w:r w:rsidRPr="00517553">
              <w:rPr>
                <w:rFonts w:ascii="Arial Narrow" w:hAnsi="Arial Narrow"/>
                <w:sz w:val="20"/>
              </w:rPr>
              <w:t xml:space="preserve"> </w:t>
            </w:r>
            <w:proofErr w:type="spellStart"/>
            <w:r w:rsidRPr="00517553">
              <w:rPr>
                <w:rFonts w:ascii="Arial Narrow" w:hAnsi="Arial Narrow"/>
                <w:sz w:val="20"/>
              </w:rPr>
              <w:t>intravitreal</w:t>
            </w:r>
            <w:proofErr w:type="spellEnd"/>
            <w:r w:rsidRPr="00517553">
              <w:rPr>
                <w:rFonts w:ascii="Arial Narrow" w:hAnsi="Arial Narrow"/>
                <w:sz w:val="20"/>
              </w:rPr>
              <w:t xml:space="preserve"> injection for non-surgical treatment of focal </w:t>
            </w:r>
            <w:proofErr w:type="spellStart"/>
            <w:r w:rsidRPr="00517553">
              <w:rPr>
                <w:rFonts w:ascii="Arial Narrow" w:hAnsi="Arial Narrow"/>
                <w:sz w:val="20"/>
              </w:rPr>
              <w:t>vitreomacular</w:t>
            </w:r>
            <w:proofErr w:type="spellEnd"/>
            <w:r w:rsidRPr="00517553">
              <w:rPr>
                <w:rFonts w:ascii="Arial Narrow" w:hAnsi="Arial Narrow"/>
                <w:sz w:val="20"/>
              </w:rPr>
              <w:t xml:space="preserve"> adhesion. </w:t>
            </w:r>
          </w:p>
        </w:tc>
        <w:tc>
          <w:tcPr>
            <w:tcW w:w="1111" w:type="pct"/>
          </w:tcPr>
          <w:p w:rsidR="00404D89" w:rsidRPr="00517553" w:rsidRDefault="00404D89" w:rsidP="008F4262">
            <w:pPr>
              <w:widowControl/>
              <w:jc w:val="left"/>
              <w:rPr>
                <w:rFonts w:ascii="Arial Narrow" w:hAnsi="Arial Narrow"/>
                <w:b/>
                <w:sz w:val="20"/>
              </w:rPr>
            </w:pPr>
            <w:proofErr w:type="spellStart"/>
            <w:r w:rsidRPr="00517553">
              <w:rPr>
                <w:rFonts w:ascii="Arial Narrow" w:hAnsi="Arial Narrow"/>
                <w:sz w:val="20"/>
              </w:rPr>
              <w:t>ThromboGenics</w:t>
            </w:r>
            <w:proofErr w:type="spellEnd"/>
            <w:r w:rsidRPr="00517553">
              <w:rPr>
                <w:rFonts w:ascii="Arial Narrow" w:hAnsi="Arial Narrow"/>
                <w:sz w:val="20"/>
              </w:rPr>
              <w:t>, 27 Jun 2011</w:t>
            </w:r>
          </w:p>
        </w:tc>
      </w:tr>
      <w:tr w:rsidR="00404D89" w:rsidRPr="00517553" w:rsidTr="00404D89">
        <w:trPr>
          <w:trHeight w:val="112"/>
        </w:trPr>
        <w:tc>
          <w:tcPr>
            <w:tcW w:w="934" w:type="pct"/>
            <w:vMerge/>
          </w:tcPr>
          <w:p w:rsidR="00404D89" w:rsidRPr="00517553" w:rsidRDefault="00404D89" w:rsidP="008F4262">
            <w:pPr>
              <w:widowControl/>
              <w:jc w:val="left"/>
              <w:rPr>
                <w:rFonts w:ascii="Arial Narrow" w:hAnsi="Arial Narrow"/>
                <w:sz w:val="20"/>
              </w:rPr>
            </w:pPr>
          </w:p>
        </w:tc>
        <w:tc>
          <w:tcPr>
            <w:tcW w:w="2955" w:type="pct"/>
          </w:tcPr>
          <w:p w:rsidR="00404D89" w:rsidRPr="00517553" w:rsidDel="00404D89" w:rsidRDefault="00404D89" w:rsidP="008F4262">
            <w:pPr>
              <w:widowControl/>
              <w:jc w:val="left"/>
              <w:rPr>
                <w:rFonts w:ascii="Arial Narrow" w:hAnsi="Arial Narrow"/>
                <w:sz w:val="20"/>
              </w:rPr>
            </w:pPr>
            <w:proofErr w:type="spellStart"/>
            <w:r w:rsidRPr="00517553">
              <w:rPr>
                <w:rFonts w:ascii="Arial Narrow" w:hAnsi="Arial Narrow"/>
                <w:sz w:val="20"/>
              </w:rPr>
              <w:t>Stalmans</w:t>
            </w:r>
            <w:proofErr w:type="spellEnd"/>
            <w:r w:rsidRPr="00517553">
              <w:rPr>
                <w:rFonts w:ascii="Arial Narrow" w:hAnsi="Arial Narrow"/>
                <w:sz w:val="20"/>
              </w:rPr>
              <w:t xml:space="preserve"> P, Benz M S, </w:t>
            </w:r>
            <w:proofErr w:type="spellStart"/>
            <w:r w:rsidRPr="00517553">
              <w:rPr>
                <w:rFonts w:ascii="Arial Narrow" w:hAnsi="Arial Narrow"/>
                <w:sz w:val="20"/>
              </w:rPr>
              <w:t>Gandorfer</w:t>
            </w:r>
            <w:proofErr w:type="spellEnd"/>
            <w:r w:rsidRPr="00517553">
              <w:rPr>
                <w:rFonts w:ascii="Arial Narrow" w:hAnsi="Arial Narrow"/>
                <w:sz w:val="20"/>
              </w:rPr>
              <w:t xml:space="preserve"> A, </w:t>
            </w:r>
            <w:proofErr w:type="spellStart"/>
            <w:r w:rsidRPr="00517553">
              <w:rPr>
                <w:rFonts w:ascii="Arial Narrow" w:hAnsi="Arial Narrow"/>
                <w:sz w:val="20"/>
              </w:rPr>
              <w:t>Kampik</w:t>
            </w:r>
            <w:proofErr w:type="spellEnd"/>
            <w:r w:rsidRPr="00517553">
              <w:rPr>
                <w:rFonts w:ascii="Arial Narrow" w:hAnsi="Arial Narrow"/>
                <w:sz w:val="20"/>
              </w:rPr>
              <w:t xml:space="preserve"> A, </w:t>
            </w:r>
            <w:proofErr w:type="spellStart"/>
            <w:r w:rsidRPr="00517553">
              <w:rPr>
                <w:rFonts w:ascii="Arial Narrow" w:hAnsi="Arial Narrow"/>
                <w:sz w:val="20"/>
              </w:rPr>
              <w:t>Girach</w:t>
            </w:r>
            <w:proofErr w:type="spellEnd"/>
            <w:r w:rsidRPr="00517553">
              <w:rPr>
                <w:rFonts w:ascii="Arial Narrow" w:hAnsi="Arial Narrow"/>
                <w:sz w:val="20"/>
              </w:rPr>
              <w:t xml:space="preserve"> A, </w:t>
            </w:r>
            <w:proofErr w:type="spellStart"/>
            <w:r w:rsidRPr="00517553">
              <w:rPr>
                <w:rFonts w:ascii="Arial Narrow" w:hAnsi="Arial Narrow"/>
                <w:sz w:val="20"/>
              </w:rPr>
              <w:t>Pakola</w:t>
            </w:r>
            <w:proofErr w:type="spellEnd"/>
            <w:r w:rsidRPr="00517553">
              <w:rPr>
                <w:rFonts w:ascii="Arial Narrow" w:hAnsi="Arial Narrow"/>
                <w:sz w:val="20"/>
              </w:rPr>
              <w:t xml:space="preserve"> S, Haller J A. Enzymatic </w:t>
            </w:r>
            <w:proofErr w:type="spellStart"/>
            <w:r w:rsidRPr="00517553">
              <w:rPr>
                <w:rFonts w:ascii="Arial Narrow" w:hAnsi="Arial Narrow"/>
                <w:sz w:val="20"/>
              </w:rPr>
              <w:t>vitreolysis</w:t>
            </w:r>
            <w:proofErr w:type="spellEnd"/>
            <w:r w:rsidRPr="00517553">
              <w:rPr>
                <w:rFonts w:ascii="Arial Narrow" w:hAnsi="Arial Narrow"/>
                <w:sz w:val="20"/>
              </w:rPr>
              <w:t xml:space="preserve"> with </w:t>
            </w:r>
            <w:proofErr w:type="spellStart"/>
            <w:r w:rsidRPr="00517553">
              <w:rPr>
                <w:rFonts w:ascii="Arial Narrow" w:hAnsi="Arial Narrow"/>
                <w:sz w:val="20"/>
              </w:rPr>
              <w:t>ocriplasmin</w:t>
            </w:r>
            <w:proofErr w:type="spellEnd"/>
            <w:r w:rsidRPr="00517553">
              <w:rPr>
                <w:rFonts w:ascii="Arial Narrow" w:hAnsi="Arial Narrow"/>
                <w:sz w:val="20"/>
              </w:rPr>
              <w:t xml:space="preserve"> for </w:t>
            </w:r>
            <w:proofErr w:type="spellStart"/>
            <w:r w:rsidRPr="00517553">
              <w:rPr>
                <w:rFonts w:ascii="Arial Narrow" w:hAnsi="Arial Narrow"/>
                <w:sz w:val="20"/>
              </w:rPr>
              <w:t>vitreomacular</w:t>
            </w:r>
            <w:proofErr w:type="spellEnd"/>
            <w:r w:rsidRPr="00517553">
              <w:rPr>
                <w:rFonts w:ascii="Arial Narrow" w:hAnsi="Arial Narrow"/>
                <w:sz w:val="20"/>
              </w:rPr>
              <w:t xml:space="preserve"> traction and macular holes.</w:t>
            </w:r>
          </w:p>
        </w:tc>
        <w:tc>
          <w:tcPr>
            <w:tcW w:w="1111" w:type="pct"/>
          </w:tcPr>
          <w:p w:rsidR="00404D89" w:rsidRPr="00517553" w:rsidDel="00404D89" w:rsidRDefault="00404D89" w:rsidP="008F4262">
            <w:pPr>
              <w:widowControl/>
              <w:jc w:val="left"/>
              <w:rPr>
                <w:rFonts w:ascii="Arial Narrow" w:hAnsi="Arial Narrow"/>
                <w:sz w:val="20"/>
              </w:rPr>
            </w:pPr>
            <w:r w:rsidRPr="00517553">
              <w:rPr>
                <w:rFonts w:ascii="Arial Narrow" w:hAnsi="Arial Narrow"/>
                <w:iCs/>
                <w:sz w:val="20"/>
              </w:rPr>
              <w:t>New England Journal of Medicine</w:t>
            </w:r>
            <w:r w:rsidRPr="00517553">
              <w:rPr>
                <w:rFonts w:ascii="Arial Narrow" w:hAnsi="Arial Narrow"/>
                <w:sz w:val="20"/>
              </w:rPr>
              <w:t xml:space="preserve"> 2012, 367(7):606-615</w:t>
            </w:r>
          </w:p>
        </w:tc>
      </w:tr>
      <w:tr w:rsidR="00404D89" w:rsidRPr="00517553" w:rsidTr="00404D89">
        <w:tc>
          <w:tcPr>
            <w:tcW w:w="934" w:type="pct"/>
          </w:tcPr>
          <w:p w:rsidR="00404D89" w:rsidRPr="00517553" w:rsidRDefault="00404D89" w:rsidP="008F4262">
            <w:pPr>
              <w:widowControl/>
              <w:rPr>
                <w:rFonts w:ascii="Arial Narrow" w:hAnsi="Arial Narrow"/>
                <w:sz w:val="20"/>
              </w:rPr>
            </w:pPr>
            <w:r w:rsidRPr="00517553">
              <w:rPr>
                <w:rFonts w:ascii="Arial Narrow" w:hAnsi="Arial Narrow"/>
                <w:sz w:val="20"/>
              </w:rPr>
              <w:t>OASIS / TG-MV-014</w:t>
            </w:r>
          </w:p>
          <w:p w:rsidR="00404D89" w:rsidRPr="00517553" w:rsidRDefault="00404D89" w:rsidP="008F4262">
            <w:pPr>
              <w:widowControl/>
              <w:jc w:val="left"/>
              <w:rPr>
                <w:rFonts w:ascii="Arial Narrow" w:hAnsi="Arial Narrow"/>
                <w:sz w:val="20"/>
              </w:rPr>
            </w:pPr>
            <w:r w:rsidRPr="00517553">
              <w:rPr>
                <w:rFonts w:ascii="Arial Narrow" w:hAnsi="Arial Narrow"/>
                <w:sz w:val="20"/>
              </w:rPr>
              <w:t>(NCT01429441)</w:t>
            </w:r>
          </w:p>
        </w:tc>
        <w:tc>
          <w:tcPr>
            <w:tcW w:w="2955" w:type="pct"/>
          </w:tcPr>
          <w:p w:rsidR="00404D89" w:rsidRPr="00517553" w:rsidRDefault="00404D89" w:rsidP="008F4262">
            <w:pPr>
              <w:widowControl/>
              <w:jc w:val="left"/>
              <w:rPr>
                <w:rFonts w:ascii="Arial Narrow" w:hAnsi="Arial Narrow"/>
                <w:sz w:val="20"/>
              </w:rPr>
            </w:pPr>
            <w:r w:rsidRPr="00517553">
              <w:rPr>
                <w:rFonts w:ascii="Arial Narrow" w:hAnsi="Arial Narrow"/>
                <w:sz w:val="20"/>
              </w:rPr>
              <w:t xml:space="preserve">Clinical Study Report. TG-MV-014. A randomised, sham-controlled double-masked, multicentre study evaluating </w:t>
            </w:r>
            <w:proofErr w:type="spellStart"/>
            <w:r w:rsidRPr="00517553">
              <w:rPr>
                <w:rFonts w:ascii="Arial Narrow" w:hAnsi="Arial Narrow"/>
                <w:sz w:val="20"/>
              </w:rPr>
              <w:t>ocriplasmin</w:t>
            </w:r>
            <w:proofErr w:type="spellEnd"/>
            <w:r w:rsidRPr="00517553">
              <w:rPr>
                <w:rFonts w:ascii="Arial Narrow" w:hAnsi="Arial Narrow"/>
                <w:sz w:val="20"/>
              </w:rPr>
              <w:t xml:space="preserve"> treatment for symptomatic </w:t>
            </w:r>
            <w:proofErr w:type="spellStart"/>
            <w:r w:rsidRPr="00517553">
              <w:rPr>
                <w:rFonts w:ascii="Arial Narrow" w:hAnsi="Arial Narrow"/>
                <w:sz w:val="20"/>
              </w:rPr>
              <w:t>vitreomacular</w:t>
            </w:r>
            <w:proofErr w:type="spellEnd"/>
            <w:r w:rsidRPr="00517553">
              <w:rPr>
                <w:rFonts w:ascii="Arial Narrow" w:hAnsi="Arial Narrow"/>
                <w:sz w:val="20"/>
              </w:rPr>
              <w:t xml:space="preserve"> adhesion (VMT) including macular hole.</w:t>
            </w:r>
          </w:p>
        </w:tc>
        <w:tc>
          <w:tcPr>
            <w:tcW w:w="1111" w:type="pct"/>
          </w:tcPr>
          <w:p w:rsidR="00404D89" w:rsidRPr="00517553" w:rsidRDefault="00404D89" w:rsidP="008F4262">
            <w:pPr>
              <w:widowControl/>
              <w:jc w:val="left"/>
              <w:rPr>
                <w:rFonts w:ascii="Arial Narrow" w:hAnsi="Arial Narrow"/>
                <w:sz w:val="20"/>
              </w:rPr>
            </w:pPr>
            <w:proofErr w:type="spellStart"/>
            <w:r w:rsidRPr="00517553">
              <w:rPr>
                <w:rFonts w:ascii="Arial Narrow" w:hAnsi="Arial Narrow"/>
                <w:sz w:val="20"/>
              </w:rPr>
              <w:t>ThromboGenics</w:t>
            </w:r>
            <w:proofErr w:type="spellEnd"/>
            <w:r w:rsidRPr="00517553">
              <w:rPr>
                <w:rFonts w:ascii="Arial Narrow" w:hAnsi="Arial Narrow"/>
                <w:sz w:val="20"/>
              </w:rPr>
              <w:t>, 28 August 2015 (Draft 3)</w:t>
            </w:r>
          </w:p>
        </w:tc>
      </w:tr>
    </w:tbl>
    <w:p w:rsidR="002960A9" w:rsidRPr="00517553" w:rsidRDefault="002960A9" w:rsidP="008F4262">
      <w:pPr>
        <w:pStyle w:val="TableFooter"/>
        <w:widowControl/>
        <w:ind w:left="709"/>
      </w:pPr>
      <w:r w:rsidRPr="00517553">
        <w:t xml:space="preserve">Source: Tables 16 and 17, pp64-65 of the </w:t>
      </w:r>
      <w:r w:rsidR="002A29D8" w:rsidRPr="00517553">
        <w:t>re-</w:t>
      </w:r>
      <w:r w:rsidRPr="00517553">
        <w:t>submission</w:t>
      </w:r>
    </w:p>
    <w:p w:rsidR="001B6188" w:rsidRPr="00517553" w:rsidRDefault="001B6188" w:rsidP="008F4262">
      <w:pPr>
        <w:widowControl/>
        <w:rPr>
          <w:szCs w:val="22"/>
        </w:rPr>
      </w:pPr>
    </w:p>
    <w:p w:rsidR="001B6188" w:rsidRPr="00517553" w:rsidRDefault="00961AF9" w:rsidP="008F4262">
      <w:pPr>
        <w:pStyle w:val="ListParagraph"/>
        <w:widowControl/>
        <w:numPr>
          <w:ilvl w:val="1"/>
          <w:numId w:val="1"/>
        </w:numPr>
        <w:rPr>
          <w:szCs w:val="22"/>
        </w:rPr>
      </w:pPr>
      <w:r w:rsidRPr="00517553">
        <w:rPr>
          <w:szCs w:val="22"/>
        </w:rPr>
        <w:t xml:space="preserve">The key features of the direct randomised trials are summarised in </w:t>
      </w:r>
      <w:r w:rsidR="0027164E" w:rsidRPr="00517553">
        <w:rPr>
          <w:szCs w:val="22"/>
        </w:rPr>
        <w:t>Table 2</w:t>
      </w:r>
      <w:r w:rsidR="008A36B5" w:rsidRPr="00517553">
        <w:rPr>
          <w:szCs w:val="22"/>
        </w:rPr>
        <w:t>.</w:t>
      </w:r>
    </w:p>
    <w:p w:rsidR="007F1017" w:rsidRPr="00517553" w:rsidRDefault="007F1017" w:rsidP="008F4262">
      <w:pPr>
        <w:widowControl/>
        <w:rPr>
          <w:szCs w:val="22"/>
        </w:rPr>
      </w:pPr>
    </w:p>
    <w:p w:rsidR="007F1017" w:rsidRPr="00517553" w:rsidRDefault="007F1017" w:rsidP="008F4262">
      <w:pPr>
        <w:widowControl/>
        <w:ind w:firstLine="720"/>
        <w:rPr>
          <w:rStyle w:val="CommentReference"/>
        </w:rPr>
      </w:pPr>
      <w:r w:rsidRPr="00517553">
        <w:rPr>
          <w:rStyle w:val="CommentReference"/>
        </w:rPr>
        <w:t xml:space="preserve">Table </w:t>
      </w:r>
      <w:r w:rsidR="0027164E" w:rsidRPr="00517553">
        <w:rPr>
          <w:rStyle w:val="CommentReference"/>
        </w:rPr>
        <w:t>2</w:t>
      </w:r>
      <w:r w:rsidRPr="00517553">
        <w:rPr>
          <w:rStyle w:val="CommentReference"/>
        </w:rPr>
        <w:t>: 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1"/>
        <w:gridCol w:w="426"/>
        <w:gridCol w:w="1417"/>
        <w:gridCol w:w="567"/>
        <w:gridCol w:w="1701"/>
        <w:gridCol w:w="2694"/>
        <w:gridCol w:w="549"/>
      </w:tblGrid>
      <w:tr w:rsidR="00D06FD4" w:rsidRPr="00517553" w:rsidTr="00BB5010">
        <w:tc>
          <w:tcPr>
            <w:tcW w:w="594" w:type="pct"/>
            <w:shd w:val="clear" w:color="auto" w:fill="auto"/>
            <w:vAlign w:val="center"/>
          </w:tcPr>
          <w:p w:rsidR="00D06FD4" w:rsidRPr="00517553" w:rsidRDefault="00D06FD4" w:rsidP="008F4262">
            <w:pPr>
              <w:widowControl/>
              <w:jc w:val="left"/>
              <w:rPr>
                <w:rFonts w:ascii="Arial Narrow" w:hAnsi="Arial Narrow"/>
                <w:b/>
                <w:sz w:val="20"/>
                <w:lang w:val="en-US"/>
              </w:rPr>
            </w:pPr>
            <w:r w:rsidRPr="00517553">
              <w:rPr>
                <w:rFonts w:ascii="Arial Narrow" w:hAnsi="Arial Narrow"/>
                <w:b/>
                <w:sz w:val="20"/>
                <w:lang w:val="en-US"/>
              </w:rPr>
              <w:t>Trial</w:t>
            </w:r>
          </w:p>
        </w:tc>
        <w:tc>
          <w:tcPr>
            <w:tcW w:w="255" w:type="pct"/>
            <w:shd w:val="clear" w:color="auto" w:fill="auto"/>
            <w:vAlign w:val="center"/>
          </w:tcPr>
          <w:p w:rsidR="00D06FD4" w:rsidRPr="00517553" w:rsidRDefault="00D06FD4" w:rsidP="008F4262">
            <w:pPr>
              <w:widowControl/>
              <w:jc w:val="center"/>
              <w:rPr>
                <w:rFonts w:ascii="Arial Narrow" w:hAnsi="Arial Narrow"/>
                <w:b/>
                <w:sz w:val="20"/>
                <w:lang w:val="en-US"/>
              </w:rPr>
            </w:pPr>
            <w:r w:rsidRPr="00517553">
              <w:rPr>
                <w:rFonts w:ascii="Arial Narrow" w:hAnsi="Arial Narrow"/>
                <w:b/>
                <w:sz w:val="20"/>
                <w:lang w:val="en-US"/>
              </w:rPr>
              <w:t>N</w:t>
            </w:r>
          </w:p>
        </w:tc>
        <w:tc>
          <w:tcPr>
            <w:tcW w:w="849" w:type="pct"/>
            <w:shd w:val="clear" w:color="auto" w:fill="auto"/>
            <w:vAlign w:val="center"/>
          </w:tcPr>
          <w:p w:rsidR="00D06FD4" w:rsidRPr="00517553" w:rsidRDefault="00D06FD4" w:rsidP="008F4262">
            <w:pPr>
              <w:widowControl/>
              <w:jc w:val="center"/>
              <w:rPr>
                <w:rFonts w:ascii="Arial Narrow" w:hAnsi="Arial Narrow"/>
                <w:b/>
                <w:sz w:val="20"/>
                <w:lang w:val="en-US"/>
              </w:rPr>
            </w:pPr>
            <w:r w:rsidRPr="00517553">
              <w:rPr>
                <w:rFonts w:ascii="Arial Narrow" w:hAnsi="Arial Narrow"/>
                <w:b/>
                <w:sz w:val="20"/>
                <w:lang w:val="en-US"/>
              </w:rPr>
              <w:t>Design/ duration</w:t>
            </w:r>
          </w:p>
        </w:tc>
        <w:tc>
          <w:tcPr>
            <w:tcW w:w="340" w:type="pct"/>
            <w:shd w:val="clear" w:color="auto" w:fill="auto"/>
            <w:vAlign w:val="center"/>
          </w:tcPr>
          <w:p w:rsidR="00D06FD4" w:rsidRPr="00517553" w:rsidRDefault="00BB5010" w:rsidP="008F4262">
            <w:pPr>
              <w:widowControl/>
              <w:jc w:val="center"/>
              <w:rPr>
                <w:rFonts w:ascii="Arial Narrow" w:hAnsi="Arial Narrow"/>
                <w:b/>
                <w:sz w:val="20"/>
                <w:lang w:val="en-US"/>
              </w:rPr>
            </w:pPr>
            <w:r w:rsidRPr="00517553">
              <w:rPr>
                <w:rFonts w:ascii="Arial Narrow" w:hAnsi="Arial Narrow"/>
                <w:b/>
                <w:sz w:val="20"/>
                <w:lang w:val="en-US"/>
              </w:rPr>
              <w:t>B</w:t>
            </w:r>
            <w:r w:rsidR="00D06FD4" w:rsidRPr="00517553">
              <w:rPr>
                <w:rFonts w:ascii="Arial Narrow" w:hAnsi="Arial Narrow"/>
                <w:b/>
                <w:sz w:val="20"/>
                <w:lang w:val="en-US"/>
              </w:rPr>
              <w:t>ias</w:t>
            </w:r>
          </w:p>
        </w:tc>
        <w:tc>
          <w:tcPr>
            <w:tcW w:w="1019" w:type="pct"/>
            <w:shd w:val="clear" w:color="auto" w:fill="auto"/>
            <w:vAlign w:val="center"/>
          </w:tcPr>
          <w:p w:rsidR="00D06FD4" w:rsidRPr="00517553" w:rsidRDefault="00D06FD4" w:rsidP="008F4262">
            <w:pPr>
              <w:widowControl/>
              <w:jc w:val="center"/>
              <w:rPr>
                <w:rFonts w:ascii="Arial Narrow" w:hAnsi="Arial Narrow"/>
                <w:b/>
                <w:sz w:val="20"/>
                <w:lang w:val="en-US"/>
              </w:rPr>
            </w:pPr>
            <w:r w:rsidRPr="00517553">
              <w:rPr>
                <w:rFonts w:ascii="Arial Narrow" w:hAnsi="Arial Narrow"/>
                <w:b/>
                <w:sz w:val="20"/>
                <w:lang w:val="en-US"/>
              </w:rPr>
              <w:t>Patient population</w:t>
            </w:r>
          </w:p>
        </w:tc>
        <w:tc>
          <w:tcPr>
            <w:tcW w:w="1614" w:type="pct"/>
            <w:shd w:val="clear" w:color="auto" w:fill="auto"/>
            <w:vAlign w:val="center"/>
          </w:tcPr>
          <w:p w:rsidR="00D06FD4" w:rsidRPr="00517553" w:rsidRDefault="00BB5010" w:rsidP="008F4262">
            <w:pPr>
              <w:widowControl/>
              <w:jc w:val="center"/>
              <w:rPr>
                <w:rFonts w:ascii="Arial Narrow" w:hAnsi="Arial Narrow"/>
                <w:b/>
                <w:sz w:val="20"/>
                <w:lang w:val="en-US"/>
              </w:rPr>
            </w:pPr>
            <w:r w:rsidRPr="00517553">
              <w:rPr>
                <w:rFonts w:ascii="Arial Narrow" w:hAnsi="Arial Narrow"/>
                <w:b/>
                <w:sz w:val="20"/>
                <w:lang w:val="en-US"/>
              </w:rPr>
              <w:t>Key o</w:t>
            </w:r>
            <w:r w:rsidR="00D06FD4" w:rsidRPr="00517553">
              <w:rPr>
                <w:rFonts w:ascii="Arial Narrow" w:hAnsi="Arial Narrow"/>
                <w:b/>
                <w:sz w:val="20"/>
                <w:lang w:val="en-US"/>
              </w:rPr>
              <w:t>utcomes</w:t>
            </w:r>
          </w:p>
        </w:tc>
        <w:tc>
          <w:tcPr>
            <w:tcW w:w="329" w:type="pct"/>
            <w:shd w:val="clear" w:color="auto" w:fill="auto"/>
            <w:vAlign w:val="center"/>
          </w:tcPr>
          <w:p w:rsidR="00D06FD4" w:rsidRPr="00517553" w:rsidRDefault="00D06FD4" w:rsidP="008F4262">
            <w:pPr>
              <w:widowControl/>
              <w:jc w:val="center"/>
              <w:rPr>
                <w:rFonts w:ascii="Arial Narrow" w:hAnsi="Arial Narrow"/>
                <w:b/>
                <w:sz w:val="20"/>
                <w:lang w:val="en-US"/>
              </w:rPr>
            </w:pPr>
            <w:r w:rsidRPr="00517553">
              <w:rPr>
                <w:rFonts w:ascii="Arial Narrow" w:hAnsi="Arial Narrow"/>
                <w:b/>
                <w:sz w:val="20"/>
                <w:lang w:val="en-US"/>
              </w:rPr>
              <w:t xml:space="preserve">Use in model </w:t>
            </w:r>
          </w:p>
        </w:tc>
      </w:tr>
      <w:tr w:rsidR="00BB5010" w:rsidRPr="00517553" w:rsidTr="00BB5010">
        <w:tc>
          <w:tcPr>
            <w:tcW w:w="594" w:type="pct"/>
            <w:shd w:val="clear" w:color="auto" w:fill="auto"/>
            <w:vAlign w:val="center"/>
          </w:tcPr>
          <w:p w:rsidR="00BB5010" w:rsidRPr="00517553" w:rsidRDefault="00BB5010" w:rsidP="008F4262">
            <w:pPr>
              <w:widowControl/>
              <w:jc w:val="left"/>
              <w:rPr>
                <w:rFonts w:ascii="Arial Narrow" w:hAnsi="Arial Narrow"/>
                <w:sz w:val="20"/>
                <w:lang w:val="en-US"/>
              </w:rPr>
            </w:pPr>
            <w:r w:rsidRPr="00517553">
              <w:rPr>
                <w:rFonts w:ascii="Arial Narrow" w:hAnsi="Arial Narrow"/>
                <w:sz w:val="20"/>
              </w:rPr>
              <w:t>TG-MV-006</w:t>
            </w:r>
          </w:p>
        </w:tc>
        <w:tc>
          <w:tcPr>
            <w:tcW w:w="255" w:type="pct"/>
            <w:shd w:val="clear" w:color="auto" w:fill="auto"/>
            <w:vAlign w:val="center"/>
          </w:tcPr>
          <w:p w:rsidR="00BB5010" w:rsidRPr="00517553" w:rsidRDefault="00BB5010" w:rsidP="008F4262">
            <w:pPr>
              <w:widowControl/>
              <w:jc w:val="center"/>
              <w:rPr>
                <w:rFonts w:ascii="Arial Narrow" w:hAnsi="Arial Narrow"/>
                <w:sz w:val="20"/>
                <w:lang w:val="en-US"/>
              </w:rPr>
            </w:pPr>
            <w:r w:rsidRPr="00517553">
              <w:rPr>
                <w:rFonts w:ascii="Arial Narrow" w:hAnsi="Arial Narrow"/>
                <w:sz w:val="20"/>
              </w:rPr>
              <w:t>326</w:t>
            </w:r>
          </w:p>
        </w:tc>
        <w:tc>
          <w:tcPr>
            <w:tcW w:w="849" w:type="pct"/>
            <w:vMerge w:val="restart"/>
            <w:shd w:val="clear" w:color="auto" w:fill="auto"/>
            <w:vAlign w:val="center"/>
          </w:tcPr>
          <w:p w:rsidR="00BB5010" w:rsidRPr="00517553" w:rsidRDefault="00BB5010" w:rsidP="008F4262">
            <w:pPr>
              <w:widowControl/>
              <w:jc w:val="center"/>
              <w:rPr>
                <w:rFonts w:ascii="Arial Narrow" w:hAnsi="Arial Narrow"/>
                <w:sz w:val="20"/>
              </w:rPr>
            </w:pPr>
            <w:r w:rsidRPr="00517553">
              <w:rPr>
                <w:rFonts w:ascii="Arial Narrow" w:hAnsi="Arial Narrow"/>
                <w:sz w:val="20"/>
              </w:rPr>
              <w:t xml:space="preserve">R, DB, PC, MC </w:t>
            </w:r>
          </w:p>
          <w:p w:rsidR="00BB5010" w:rsidRPr="00517553" w:rsidRDefault="00BB5010" w:rsidP="008F4262">
            <w:pPr>
              <w:widowControl/>
              <w:jc w:val="center"/>
              <w:rPr>
                <w:rFonts w:ascii="Arial Narrow" w:hAnsi="Arial Narrow"/>
                <w:sz w:val="20"/>
                <w:lang w:val="en-US"/>
              </w:rPr>
            </w:pPr>
            <w:r w:rsidRPr="00517553">
              <w:rPr>
                <w:rFonts w:ascii="Arial Narrow" w:hAnsi="Arial Narrow"/>
                <w:sz w:val="20"/>
              </w:rPr>
              <w:t xml:space="preserve">/ 6 </w:t>
            </w:r>
            <w:proofErr w:type="spellStart"/>
            <w:r w:rsidRPr="00517553">
              <w:rPr>
                <w:rFonts w:ascii="Arial Narrow" w:hAnsi="Arial Narrow"/>
                <w:sz w:val="20"/>
              </w:rPr>
              <w:t>mths</w:t>
            </w:r>
            <w:proofErr w:type="spellEnd"/>
          </w:p>
        </w:tc>
        <w:tc>
          <w:tcPr>
            <w:tcW w:w="340" w:type="pct"/>
            <w:vMerge w:val="restart"/>
            <w:shd w:val="clear" w:color="auto" w:fill="auto"/>
            <w:vAlign w:val="center"/>
          </w:tcPr>
          <w:p w:rsidR="00BB5010" w:rsidRPr="00517553" w:rsidRDefault="00BB5010" w:rsidP="008F4262">
            <w:pPr>
              <w:widowControl/>
              <w:jc w:val="center"/>
              <w:rPr>
                <w:rFonts w:ascii="Arial Narrow" w:hAnsi="Arial Narrow"/>
                <w:sz w:val="20"/>
                <w:lang w:val="en-US"/>
              </w:rPr>
            </w:pPr>
            <w:r w:rsidRPr="00517553">
              <w:rPr>
                <w:rFonts w:ascii="Arial Narrow" w:hAnsi="Arial Narrow"/>
                <w:sz w:val="20"/>
              </w:rPr>
              <w:t>Low</w:t>
            </w:r>
          </w:p>
        </w:tc>
        <w:tc>
          <w:tcPr>
            <w:tcW w:w="1019" w:type="pct"/>
            <w:vMerge w:val="restart"/>
            <w:shd w:val="clear" w:color="auto" w:fill="auto"/>
            <w:vAlign w:val="center"/>
          </w:tcPr>
          <w:p w:rsidR="00BB5010" w:rsidRPr="00517553" w:rsidRDefault="00BB5010" w:rsidP="008F4262">
            <w:pPr>
              <w:widowControl/>
              <w:jc w:val="center"/>
              <w:rPr>
                <w:rFonts w:ascii="Arial Narrow" w:hAnsi="Arial Narrow"/>
                <w:sz w:val="20"/>
                <w:lang w:val="en-US"/>
              </w:rPr>
            </w:pPr>
            <w:r w:rsidRPr="00517553">
              <w:rPr>
                <w:rFonts w:ascii="Arial Narrow" w:hAnsi="Arial Narrow"/>
                <w:sz w:val="20"/>
              </w:rPr>
              <w:t>≥18years; VMT±MH; OCT confirmed</w:t>
            </w:r>
          </w:p>
        </w:tc>
        <w:tc>
          <w:tcPr>
            <w:tcW w:w="1614" w:type="pct"/>
            <w:vMerge w:val="restart"/>
            <w:shd w:val="clear" w:color="auto" w:fill="auto"/>
            <w:vAlign w:val="center"/>
          </w:tcPr>
          <w:p w:rsidR="00BB5010" w:rsidRPr="00517553" w:rsidRDefault="00BB5010" w:rsidP="008F4262">
            <w:pPr>
              <w:widowControl/>
              <w:jc w:val="center"/>
              <w:rPr>
                <w:rFonts w:ascii="Arial Narrow" w:hAnsi="Arial Narrow"/>
                <w:sz w:val="20"/>
                <w:lang w:val="en-US"/>
              </w:rPr>
            </w:pPr>
            <w:r w:rsidRPr="00517553">
              <w:rPr>
                <w:rFonts w:ascii="Arial Narrow" w:hAnsi="Arial Narrow"/>
                <w:sz w:val="20"/>
              </w:rPr>
              <w:t xml:space="preserve">Non-surgical VMA resolution; FTMH closure; </w:t>
            </w:r>
            <w:proofErr w:type="spellStart"/>
            <w:r w:rsidRPr="00517553">
              <w:rPr>
                <w:rFonts w:ascii="Arial Narrow" w:hAnsi="Arial Narrow"/>
                <w:sz w:val="20"/>
              </w:rPr>
              <w:t>Vitrectomy</w:t>
            </w:r>
            <w:proofErr w:type="spellEnd"/>
            <w:r w:rsidRPr="00517553">
              <w:rPr>
                <w:rFonts w:ascii="Arial Narrow" w:hAnsi="Arial Narrow"/>
                <w:sz w:val="20"/>
              </w:rPr>
              <w:t>; BCVA; VFQ-25</w:t>
            </w:r>
          </w:p>
        </w:tc>
        <w:tc>
          <w:tcPr>
            <w:tcW w:w="329" w:type="pct"/>
            <w:vMerge w:val="restart"/>
            <w:shd w:val="clear" w:color="auto" w:fill="auto"/>
            <w:vAlign w:val="center"/>
          </w:tcPr>
          <w:p w:rsidR="00BB5010" w:rsidRPr="00517553" w:rsidRDefault="00BB5010" w:rsidP="008F4262">
            <w:pPr>
              <w:widowControl/>
              <w:jc w:val="center"/>
              <w:rPr>
                <w:rFonts w:ascii="Arial Narrow" w:hAnsi="Arial Narrow"/>
                <w:sz w:val="20"/>
                <w:lang w:val="en-US"/>
              </w:rPr>
            </w:pPr>
            <w:r w:rsidRPr="00517553">
              <w:rPr>
                <w:rFonts w:ascii="Arial Narrow" w:hAnsi="Arial Narrow"/>
                <w:sz w:val="20"/>
              </w:rPr>
              <w:t>No</w:t>
            </w:r>
          </w:p>
        </w:tc>
      </w:tr>
      <w:tr w:rsidR="00BB5010" w:rsidRPr="00517553" w:rsidTr="00BB5010">
        <w:tc>
          <w:tcPr>
            <w:tcW w:w="594" w:type="pct"/>
            <w:shd w:val="clear" w:color="auto" w:fill="auto"/>
            <w:vAlign w:val="center"/>
          </w:tcPr>
          <w:p w:rsidR="00BB5010" w:rsidRPr="00517553" w:rsidRDefault="00BB5010" w:rsidP="008F4262">
            <w:pPr>
              <w:widowControl/>
              <w:jc w:val="left"/>
              <w:rPr>
                <w:rFonts w:ascii="Arial Narrow" w:hAnsi="Arial Narrow"/>
                <w:sz w:val="20"/>
                <w:lang w:val="en-US"/>
              </w:rPr>
            </w:pPr>
            <w:r w:rsidRPr="00517553">
              <w:rPr>
                <w:rFonts w:ascii="Arial Narrow" w:hAnsi="Arial Narrow"/>
                <w:sz w:val="20"/>
              </w:rPr>
              <w:t>TG-MV-007</w:t>
            </w:r>
          </w:p>
        </w:tc>
        <w:tc>
          <w:tcPr>
            <w:tcW w:w="255" w:type="pct"/>
            <w:shd w:val="clear" w:color="auto" w:fill="auto"/>
            <w:vAlign w:val="center"/>
          </w:tcPr>
          <w:p w:rsidR="00BB5010" w:rsidRPr="00517553" w:rsidRDefault="00BB5010" w:rsidP="008F4262">
            <w:pPr>
              <w:widowControl/>
              <w:jc w:val="center"/>
              <w:rPr>
                <w:rFonts w:ascii="Arial Narrow" w:hAnsi="Arial Narrow"/>
                <w:sz w:val="20"/>
                <w:lang w:val="en-US"/>
              </w:rPr>
            </w:pPr>
            <w:r w:rsidRPr="00517553">
              <w:rPr>
                <w:rFonts w:ascii="Arial Narrow" w:hAnsi="Arial Narrow"/>
                <w:sz w:val="20"/>
              </w:rPr>
              <w:t>326</w:t>
            </w:r>
          </w:p>
        </w:tc>
        <w:tc>
          <w:tcPr>
            <w:tcW w:w="849" w:type="pct"/>
            <w:vMerge/>
            <w:shd w:val="clear" w:color="auto" w:fill="auto"/>
            <w:vAlign w:val="center"/>
          </w:tcPr>
          <w:p w:rsidR="00BB5010" w:rsidRPr="00517553" w:rsidRDefault="00BB5010" w:rsidP="008F4262">
            <w:pPr>
              <w:widowControl/>
              <w:jc w:val="center"/>
              <w:rPr>
                <w:rFonts w:ascii="Arial Narrow" w:hAnsi="Arial Narrow"/>
                <w:sz w:val="20"/>
                <w:lang w:val="en-US"/>
              </w:rPr>
            </w:pPr>
          </w:p>
        </w:tc>
        <w:tc>
          <w:tcPr>
            <w:tcW w:w="340" w:type="pct"/>
            <w:vMerge/>
            <w:shd w:val="clear" w:color="auto" w:fill="auto"/>
            <w:vAlign w:val="center"/>
          </w:tcPr>
          <w:p w:rsidR="00BB5010" w:rsidRPr="00517553" w:rsidRDefault="00BB5010" w:rsidP="008F4262">
            <w:pPr>
              <w:widowControl/>
              <w:jc w:val="center"/>
              <w:rPr>
                <w:rFonts w:ascii="Arial Narrow" w:hAnsi="Arial Narrow"/>
                <w:sz w:val="20"/>
                <w:lang w:val="en-US"/>
              </w:rPr>
            </w:pPr>
          </w:p>
        </w:tc>
        <w:tc>
          <w:tcPr>
            <w:tcW w:w="1019" w:type="pct"/>
            <w:vMerge/>
            <w:shd w:val="clear" w:color="auto" w:fill="auto"/>
            <w:vAlign w:val="center"/>
          </w:tcPr>
          <w:p w:rsidR="00BB5010" w:rsidRPr="00517553" w:rsidRDefault="00BB5010" w:rsidP="008F4262">
            <w:pPr>
              <w:widowControl/>
              <w:jc w:val="center"/>
              <w:rPr>
                <w:rFonts w:ascii="Arial Narrow" w:hAnsi="Arial Narrow"/>
                <w:sz w:val="20"/>
                <w:lang w:val="en-US"/>
              </w:rPr>
            </w:pPr>
          </w:p>
        </w:tc>
        <w:tc>
          <w:tcPr>
            <w:tcW w:w="1614" w:type="pct"/>
            <w:vMerge/>
            <w:shd w:val="clear" w:color="auto" w:fill="auto"/>
            <w:vAlign w:val="center"/>
          </w:tcPr>
          <w:p w:rsidR="00BB5010" w:rsidRPr="00517553" w:rsidRDefault="00BB5010" w:rsidP="008F4262">
            <w:pPr>
              <w:widowControl/>
              <w:jc w:val="center"/>
              <w:rPr>
                <w:rFonts w:ascii="Arial Narrow" w:hAnsi="Arial Narrow"/>
                <w:sz w:val="20"/>
                <w:lang w:val="en-US"/>
              </w:rPr>
            </w:pPr>
          </w:p>
        </w:tc>
        <w:tc>
          <w:tcPr>
            <w:tcW w:w="329" w:type="pct"/>
            <w:vMerge/>
            <w:shd w:val="clear" w:color="auto" w:fill="auto"/>
            <w:vAlign w:val="center"/>
          </w:tcPr>
          <w:p w:rsidR="00BB5010" w:rsidRPr="00517553" w:rsidRDefault="00BB5010" w:rsidP="008F4262">
            <w:pPr>
              <w:widowControl/>
              <w:jc w:val="center"/>
              <w:rPr>
                <w:rFonts w:ascii="Arial Narrow" w:hAnsi="Arial Narrow"/>
                <w:sz w:val="20"/>
                <w:lang w:val="en-US"/>
              </w:rPr>
            </w:pPr>
          </w:p>
        </w:tc>
      </w:tr>
      <w:tr w:rsidR="00BB5010" w:rsidRPr="00517553" w:rsidTr="00BB5010">
        <w:tc>
          <w:tcPr>
            <w:tcW w:w="594" w:type="pct"/>
            <w:shd w:val="clear" w:color="auto" w:fill="auto"/>
            <w:vAlign w:val="center"/>
          </w:tcPr>
          <w:p w:rsidR="00BB5010" w:rsidRPr="00517553" w:rsidRDefault="00BB5010" w:rsidP="008F4262">
            <w:pPr>
              <w:widowControl/>
              <w:jc w:val="left"/>
              <w:rPr>
                <w:rFonts w:ascii="Arial Narrow" w:hAnsi="Arial Narrow"/>
                <w:sz w:val="20"/>
                <w:lang w:val="en-US"/>
              </w:rPr>
            </w:pPr>
            <w:r w:rsidRPr="00517553">
              <w:rPr>
                <w:rFonts w:ascii="Arial Narrow" w:hAnsi="Arial Narrow"/>
                <w:sz w:val="20"/>
              </w:rPr>
              <w:t>OASIS</w:t>
            </w:r>
          </w:p>
        </w:tc>
        <w:tc>
          <w:tcPr>
            <w:tcW w:w="255" w:type="pct"/>
            <w:shd w:val="clear" w:color="auto" w:fill="auto"/>
            <w:vAlign w:val="center"/>
          </w:tcPr>
          <w:p w:rsidR="00BB5010" w:rsidRPr="00517553" w:rsidRDefault="00BB5010" w:rsidP="008F4262">
            <w:pPr>
              <w:widowControl/>
              <w:jc w:val="center"/>
              <w:rPr>
                <w:rFonts w:ascii="Arial Narrow" w:hAnsi="Arial Narrow"/>
                <w:sz w:val="20"/>
                <w:lang w:val="en-US"/>
              </w:rPr>
            </w:pPr>
            <w:r w:rsidRPr="00517553">
              <w:rPr>
                <w:rFonts w:ascii="Arial Narrow" w:hAnsi="Arial Narrow"/>
                <w:sz w:val="20"/>
              </w:rPr>
              <w:t>220</w:t>
            </w:r>
          </w:p>
        </w:tc>
        <w:tc>
          <w:tcPr>
            <w:tcW w:w="849" w:type="pct"/>
            <w:shd w:val="clear" w:color="auto" w:fill="auto"/>
            <w:vAlign w:val="center"/>
          </w:tcPr>
          <w:p w:rsidR="00BB5010" w:rsidRPr="00517553" w:rsidRDefault="00BB5010" w:rsidP="008F4262">
            <w:pPr>
              <w:widowControl/>
              <w:jc w:val="center"/>
              <w:rPr>
                <w:rFonts w:ascii="Arial Narrow" w:hAnsi="Arial Narrow"/>
                <w:sz w:val="20"/>
                <w:lang w:val="en-US"/>
              </w:rPr>
            </w:pPr>
            <w:r w:rsidRPr="00517553">
              <w:rPr>
                <w:rFonts w:ascii="Arial Narrow" w:hAnsi="Arial Narrow"/>
                <w:sz w:val="20"/>
              </w:rPr>
              <w:t xml:space="preserve">R, DB, SC, MC, CO / 24 </w:t>
            </w:r>
            <w:proofErr w:type="spellStart"/>
            <w:r w:rsidRPr="00517553">
              <w:rPr>
                <w:rFonts w:ascii="Arial Narrow" w:hAnsi="Arial Narrow"/>
                <w:sz w:val="20"/>
              </w:rPr>
              <w:t>mths</w:t>
            </w:r>
            <w:proofErr w:type="spellEnd"/>
          </w:p>
        </w:tc>
        <w:tc>
          <w:tcPr>
            <w:tcW w:w="340" w:type="pct"/>
            <w:shd w:val="clear" w:color="auto" w:fill="auto"/>
            <w:vAlign w:val="center"/>
          </w:tcPr>
          <w:p w:rsidR="00BB5010" w:rsidRPr="00517553" w:rsidRDefault="00BB5010" w:rsidP="008F4262">
            <w:pPr>
              <w:widowControl/>
              <w:jc w:val="center"/>
              <w:rPr>
                <w:rFonts w:ascii="Arial Narrow" w:hAnsi="Arial Narrow"/>
                <w:sz w:val="20"/>
                <w:lang w:val="en-US"/>
              </w:rPr>
            </w:pPr>
            <w:proofErr w:type="spellStart"/>
            <w:r w:rsidRPr="00517553">
              <w:rPr>
                <w:rFonts w:ascii="Arial Narrow" w:hAnsi="Arial Narrow"/>
                <w:sz w:val="20"/>
              </w:rPr>
              <w:t>Low</w:t>
            </w:r>
            <w:r w:rsidR="001F2D5E" w:rsidRPr="00517553">
              <w:rPr>
                <w:rFonts w:ascii="Arial Narrow" w:hAnsi="Arial Narrow"/>
                <w:sz w:val="20"/>
                <w:vertAlign w:val="superscript"/>
              </w:rPr>
              <w:t>a</w:t>
            </w:r>
            <w:proofErr w:type="spellEnd"/>
            <w:r w:rsidRPr="00517553">
              <w:rPr>
                <w:rFonts w:ascii="Arial Narrow" w:hAnsi="Arial Narrow"/>
                <w:sz w:val="20"/>
              </w:rPr>
              <w:t xml:space="preserve"> </w:t>
            </w:r>
          </w:p>
        </w:tc>
        <w:tc>
          <w:tcPr>
            <w:tcW w:w="1019" w:type="pct"/>
            <w:shd w:val="clear" w:color="auto" w:fill="auto"/>
            <w:vAlign w:val="center"/>
          </w:tcPr>
          <w:p w:rsidR="00BB5010" w:rsidRPr="00517553" w:rsidRDefault="00BB5010" w:rsidP="008F4262">
            <w:pPr>
              <w:widowControl/>
              <w:jc w:val="center"/>
              <w:rPr>
                <w:rFonts w:ascii="Arial Narrow" w:hAnsi="Arial Narrow"/>
                <w:sz w:val="20"/>
                <w:lang w:val="en-US"/>
              </w:rPr>
            </w:pPr>
            <w:r w:rsidRPr="00517553">
              <w:rPr>
                <w:rFonts w:ascii="Arial Narrow" w:hAnsi="Arial Narrow"/>
                <w:sz w:val="20"/>
              </w:rPr>
              <w:t>≥18years; VMT±MH; OCT confirmed</w:t>
            </w:r>
          </w:p>
        </w:tc>
        <w:tc>
          <w:tcPr>
            <w:tcW w:w="1614" w:type="pct"/>
            <w:shd w:val="clear" w:color="auto" w:fill="auto"/>
            <w:vAlign w:val="center"/>
          </w:tcPr>
          <w:p w:rsidR="00BB5010" w:rsidRPr="00517553" w:rsidRDefault="00BB5010" w:rsidP="008F4262">
            <w:pPr>
              <w:widowControl/>
              <w:jc w:val="center"/>
              <w:rPr>
                <w:rFonts w:ascii="Arial Narrow" w:hAnsi="Arial Narrow"/>
                <w:sz w:val="20"/>
                <w:lang w:val="en-US"/>
              </w:rPr>
            </w:pPr>
            <w:r w:rsidRPr="00517553">
              <w:rPr>
                <w:rFonts w:ascii="Arial Narrow" w:hAnsi="Arial Narrow"/>
                <w:sz w:val="20"/>
              </w:rPr>
              <w:t xml:space="preserve">Non-surgical VMA resolution; FTMH closure; </w:t>
            </w:r>
            <w:proofErr w:type="spellStart"/>
            <w:r w:rsidRPr="00517553">
              <w:rPr>
                <w:rFonts w:ascii="Arial Narrow" w:hAnsi="Arial Narrow"/>
                <w:sz w:val="20"/>
              </w:rPr>
              <w:t>Vitrectomy</w:t>
            </w:r>
            <w:proofErr w:type="spellEnd"/>
            <w:r w:rsidRPr="00517553">
              <w:rPr>
                <w:rFonts w:ascii="Arial Narrow" w:hAnsi="Arial Narrow"/>
                <w:sz w:val="20"/>
              </w:rPr>
              <w:t>; BCVA; VFQ-25</w:t>
            </w:r>
          </w:p>
        </w:tc>
        <w:tc>
          <w:tcPr>
            <w:tcW w:w="329" w:type="pct"/>
            <w:shd w:val="clear" w:color="auto" w:fill="auto"/>
            <w:vAlign w:val="center"/>
          </w:tcPr>
          <w:p w:rsidR="00BB5010" w:rsidRPr="00517553" w:rsidRDefault="00BB5010" w:rsidP="008F4262">
            <w:pPr>
              <w:widowControl/>
              <w:jc w:val="center"/>
              <w:rPr>
                <w:rFonts w:ascii="Arial Narrow" w:hAnsi="Arial Narrow"/>
                <w:sz w:val="20"/>
                <w:lang w:val="en-US"/>
              </w:rPr>
            </w:pPr>
            <w:r w:rsidRPr="00517553">
              <w:rPr>
                <w:rFonts w:ascii="Arial Narrow" w:hAnsi="Arial Narrow"/>
                <w:sz w:val="20"/>
              </w:rPr>
              <w:t>Yes</w:t>
            </w:r>
          </w:p>
        </w:tc>
      </w:tr>
    </w:tbl>
    <w:p w:rsidR="00BB5010" w:rsidRPr="00517553" w:rsidRDefault="00BB5010" w:rsidP="008F4262">
      <w:pPr>
        <w:pStyle w:val="TableFooter"/>
        <w:widowControl/>
        <w:ind w:left="709"/>
      </w:pPr>
      <w:r w:rsidRPr="00517553">
        <w:t>DB=double blind; MC=multi-centre; R=randomised; PC=placebo-controlled; SC=sham-controlled; CO=cross-over; VMA / VMT=</w:t>
      </w:r>
      <w:proofErr w:type="spellStart"/>
      <w:r w:rsidRPr="00517553">
        <w:t>vitreomacular</w:t>
      </w:r>
      <w:proofErr w:type="spellEnd"/>
      <w:r w:rsidRPr="00517553">
        <w:t xml:space="preserve"> adhesion / traction; MH=macular hole; FTMH=full thickness macular hole; BCVA=best corrected visual acuity; VFQ-25=25-item Visual Function Questionnaire; OCT=optical coherence tomography</w:t>
      </w:r>
    </w:p>
    <w:p w:rsidR="00891BEF" w:rsidRPr="00517553" w:rsidRDefault="00891BEF" w:rsidP="008F4262">
      <w:pPr>
        <w:pStyle w:val="TableFooter"/>
        <w:widowControl/>
        <w:tabs>
          <w:tab w:val="left" w:pos="851"/>
        </w:tabs>
        <w:ind w:left="709"/>
      </w:pPr>
      <w:proofErr w:type="spellStart"/>
      <w:r w:rsidRPr="00517553">
        <w:rPr>
          <w:vertAlign w:val="superscript"/>
        </w:rPr>
        <w:t>a</w:t>
      </w:r>
      <w:proofErr w:type="spellEnd"/>
      <w:r w:rsidRPr="00517553">
        <w:tab/>
        <w:t>Although the injecting physician was not blinded, the trial is considered low risk of bias due to an identical injecting procedure ensuring the patient and investigators remained blinded.</w:t>
      </w:r>
    </w:p>
    <w:p w:rsidR="00BB5010" w:rsidRPr="00517553" w:rsidRDefault="00BB5010" w:rsidP="008F4262">
      <w:pPr>
        <w:pStyle w:val="TableFooter"/>
        <w:widowControl/>
        <w:ind w:left="709"/>
      </w:pPr>
      <w:r w:rsidRPr="00517553">
        <w:t>Source: compiled during the evaluation</w:t>
      </w:r>
    </w:p>
    <w:p w:rsidR="00D06FD4" w:rsidRPr="00517553" w:rsidRDefault="00D06FD4" w:rsidP="008F4262">
      <w:pPr>
        <w:widowControl/>
      </w:pPr>
    </w:p>
    <w:p w:rsidR="001F2D5E" w:rsidRDefault="00BB5010" w:rsidP="008F4262">
      <w:pPr>
        <w:pStyle w:val="ListParagraph"/>
        <w:widowControl/>
        <w:numPr>
          <w:ilvl w:val="1"/>
          <w:numId w:val="1"/>
        </w:numPr>
      </w:pPr>
      <w:r w:rsidRPr="00E23349">
        <w:lastRenderedPageBreak/>
        <w:t xml:space="preserve">All trials compared a single </w:t>
      </w:r>
      <w:proofErr w:type="spellStart"/>
      <w:r w:rsidRPr="00E23349">
        <w:t>intravitreal</w:t>
      </w:r>
      <w:proofErr w:type="spellEnd"/>
      <w:r w:rsidRPr="00E23349">
        <w:t xml:space="preserve"> injection of </w:t>
      </w:r>
      <w:proofErr w:type="spellStart"/>
      <w:r w:rsidRPr="00E23349">
        <w:t>ocriplasmin</w:t>
      </w:r>
      <w:proofErr w:type="spellEnd"/>
      <w:r w:rsidRPr="00E23349">
        <w:t xml:space="preserve"> 125</w:t>
      </w:r>
      <w:r w:rsidR="008A36B5" w:rsidRPr="00E23349">
        <w:t> </w:t>
      </w:r>
      <w:proofErr w:type="spellStart"/>
      <w:r w:rsidRPr="00E23349">
        <w:t>μg</w:t>
      </w:r>
      <w:proofErr w:type="spellEnd"/>
      <w:r w:rsidRPr="00E23349">
        <w:t xml:space="preserve"> with </w:t>
      </w:r>
      <w:proofErr w:type="spellStart"/>
      <w:r w:rsidRPr="00E23349">
        <w:t>intravitreal</w:t>
      </w:r>
      <w:proofErr w:type="spellEnd"/>
      <w:r w:rsidRPr="00E23349">
        <w:t xml:space="preserve"> </w:t>
      </w:r>
      <w:r w:rsidRPr="00E23349">
        <w:rPr>
          <w:szCs w:val="22"/>
        </w:rPr>
        <w:t>placebo</w:t>
      </w:r>
      <w:r w:rsidRPr="00E23349">
        <w:t xml:space="preserve"> (TMG-MV-006 and </w:t>
      </w:r>
      <w:r w:rsidR="00347C7A" w:rsidRPr="00E23349">
        <w:t>TG-MV</w:t>
      </w:r>
      <w:r w:rsidRPr="00E23349">
        <w:t xml:space="preserve">-007) or sham (OASIS) injection in subjects with symptomatic VMA/VMT including macular hole.  Trials TG-MV-006 and </w:t>
      </w:r>
      <w:r w:rsidR="00347C7A" w:rsidRPr="00E23349">
        <w:t>TG-MV</w:t>
      </w:r>
      <w:r w:rsidRPr="00E23349">
        <w:t xml:space="preserve">-007 </w:t>
      </w:r>
      <w:r w:rsidR="008A36B5" w:rsidRPr="00E23349">
        <w:t>we</w:t>
      </w:r>
      <w:r w:rsidRPr="00E23349">
        <w:t xml:space="preserve">re identical with respect to trial design, treatment regimen and outcomes.  The trial protocols of TG-MV-006, TG-MV-007 and OASIS permitted </w:t>
      </w:r>
      <w:proofErr w:type="spellStart"/>
      <w:r w:rsidRPr="00E23349">
        <w:t>vitrectomy</w:t>
      </w:r>
      <w:proofErr w:type="spellEnd"/>
      <w:r w:rsidRPr="00E23349">
        <w:t xml:space="preserve"> at any point after 28 days (or 1 month) if the patients did not achieve VMA resolution, or at any point after day 1 if BCVA worsened by &gt;2 lines (or 10 letters).  Patients in OASIS were also permitted to cross-over at any time during the trial if </w:t>
      </w:r>
      <w:proofErr w:type="spellStart"/>
      <w:r w:rsidRPr="00E23349">
        <w:t>vitrectomy</w:t>
      </w:r>
      <w:proofErr w:type="spellEnd"/>
      <w:r w:rsidRPr="00E23349">
        <w:t xml:space="preserve"> was deemed necessary, or at any time after 12 months.</w:t>
      </w:r>
      <w:r w:rsidR="0029104E" w:rsidRPr="00E23349">
        <w:t xml:space="preserve"> </w:t>
      </w:r>
      <w:r w:rsidR="001E64F8">
        <w:t xml:space="preserve"> </w:t>
      </w:r>
      <w:r w:rsidR="0029104E" w:rsidRPr="00E23349">
        <w:t xml:space="preserve">Approximately </w:t>
      </w:r>
      <w:r w:rsidR="0017165E">
        <w:rPr>
          <w:noProof/>
          <w:color w:val="000000"/>
          <w:highlight w:val="black"/>
        </w:rPr>
        <w:t>''''''</w:t>
      </w:r>
      <w:r w:rsidR="0029104E" w:rsidRPr="00E23349">
        <w:t>% of subjects initially randomised to the sham</w:t>
      </w:r>
      <w:r w:rsidR="00C05C81" w:rsidRPr="00E23349">
        <w:t xml:space="preserve"> </w:t>
      </w:r>
      <w:r w:rsidR="0029104E" w:rsidRPr="00E23349">
        <w:t xml:space="preserve">injection crossed over to receive </w:t>
      </w:r>
      <w:proofErr w:type="spellStart"/>
      <w:r w:rsidR="0029104E" w:rsidRPr="00E23349">
        <w:t>ocriplasmin</w:t>
      </w:r>
      <w:proofErr w:type="spellEnd"/>
      <w:r w:rsidR="0029104E" w:rsidRPr="00E23349">
        <w:t xml:space="preserve"> compared with approximately </w:t>
      </w:r>
      <w:r w:rsidR="0017165E">
        <w:rPr>
          <w:noProof/>
          <w:color w:val="000000"/>
          <w:highlight w:val="black"/>
        </w:rPr>
        <w:t>'''</w:t>
      </w:r>
      <w:r w:rsidR="0029104E" w:rsidRPr="00E23349">
        <w:t xml:space="preserve">% of subjects randomised to </w:t>
      </w:r>
      <w:proofErr w:type="spellStart"/>
      <w:r w:rsidR="0029104E" w:rsidRPr="00E23349">
        <w:t>ocriplasmin</w:t>
      </w:r>
      <w:proofErr w:type="spellEnd"/>
      <w:r w:rsidR="0029104E" w:rsidRPr="00E23349">
        <w:t>. T</w:t>
      </w:r>
      <w:r w:rsidR="00F42C86" w:rsidRPr="00E23349">
        <w:t xml:space="preserve">he ESC noted that there was no </w:t>
      </w:r>
      <w:r w:rsidR="0029104E" w:rsidRPr="00E23349">
        <w:t>analysis of this cross-over</w:t>
      </w:r>
      <w:r w:rsidR="00F42C86" w:rsidRPr="00E23349">
        <w:t xml:space="preserve">, but </w:t>
      </w:r>
      <w:r w:rsidR="00C05C81" w:rsidRPr="00E23349">
        <w:t xml:space="preserve">that </w:t>
      </w:r>
      <w:r w:rsidR="00F42C86" w:rsidRPr="00E23349">
        <w:t xml:space="preserve">relying on the ITT/FAS </w:t>
      </w:r>
      <w:r w:rsidR="00C05C81" w:rsidRPr="00E23349">
        <w:t>analyses of the results</w:t>
      </w:r>
      <w:r w:rsidR="00F42C86" w:rsidRPr="00E23349">
        <w:t xml:space="preserve"> w</w:t>
      </w:r>
      <w:r w:rsidR="00014FE0" w:rsidRPr="00E23349">
        <w:t>ould be</w:t>
      </w:r>
      <w:r w:rsidR="00F42C86" w:rsidRPr="00E23349">
        <w:t xml:space="preserve"> conservative.</w:t>
      </w:r>
    </w:p>
    <w:p w:rsidR="001E64F8" w:rsidRDefault="001E64F8" w:rsidP="008F4262">
      <w:pPr>
        <w:widowControl/>
      </w:pPr>
    </w:p>
    <w:p w:rsidR="001E64F8" w:rsidRDefault="001E64F8" w:rsidP="008F4262">
      <w:pPr>
        <w:pStyle w:val="ListParagraph"/>
        <w:widowControl/>
        <w:numPr>
          <w:ilvl w:val="1"/>
          <w:numId w:val="1"/>
        </w:numPr>
      </w:pPr>
      <w:r>
        <w:t>The ESC noted that:</w:t>
      </w:r>
    </w:p>
    <w:p w:rsidR="001E64F8" w:rsidRDefault="001E64F8" w:rsidP="008F4262">
      <w:pPr>
        <w:pStyle w:val="ListParagraph"/>
        <w:widowControl/>
        <w:numPr>
          <w:ilvl w:val="0"/>
          <w:numId w:val="2"/>
        </w:numPr>
        <w:ind w:left="851" w:hanging="142"/>
      </w:pPr>
      <w:r>
        <w:t xml:space="preserve">Compared with the OASIS trial, which used a sham procedure comparator, the </w:t>
      </w:r>
      <w:r w:rsidRPr="001E64F8">
        <w:rPr>
          <w:iCs/>
        </w:rPr>
        <w:t>incremental</w:t>
      </w:r>
      <w:r>
        <w:t xml:space="preserve"> effect of </w:t>
      </w:r>
      <w:proofErr w:type="spellStart"/>
      <w:r>
        <w:t>ocriplasmin</w:t>
      </w:r>
      <w:proofErr w:type="spellEnd"/>
      <w:r>
        <w:t xml:space="preserve"> in the TMG-MV-006 and TG-MV-007 trials was possibly </w:t>
      </w:r>
      <w:r w:rsidR="00EE60B4">
        <w:t xml:space="preserve">different, due to </w:t>
      </w:r>
      <w:r>
        <w:t>the use of a placebo injection. However, comparator response rates for the primary outcome were similar across the three trials (particularly across OASIS and TG-MV-007).</w:t>
      </w:r>
    </w:p>
    <w:p w:rsidR="001E64F8" w:rsidRDefault="001E64F8" w:rsidP="008F4262">
      <w:pPr>
        <w:pStyle w:val="ListParagraph"/>
        <w:widowControl/>
        <w:numPr>
          <w:ilvl w:val="0"/>
          <w:numId w:val="2"/>
        </w:numPr>
        <w:ind w:left="851" w:hanging="142"/>
      </w:pPr>
      <w:r>
        <w:t xml:space="preserve">The investigators who performed the injections were not involved in subsequent management to ensure that trial participants and other investigators who subsequently managed the participants did not know whether the injection included </w:t>
      </w:r>
      <w:proofErr w:type="spellStart"/>
      <w:r>
        <w:t>ocriplasmin</w:t>
      </w:r>
      <w:proofErr w:type="spellEnd"/>
      <w:r>
        <w:t xml:space="preserve"> or not.</w:t>
      </w:r>
    </w:p>
    <w:p w:rsidR="00B60939" w:rsidRPr="001E1EC9" w:rsidRDefault="001E64F8" w:rsidP="008F4262">
      <w:pPr>
        <w:pStyle w:val="ListParagraph"/>
        <w:widowControl/>
        <w:numPr>
          <w:ilvl w:val="0"/>
          <w:numId w:val="2"/>
        </w:numPr>
        <w:ind w:left="851" w:hanging="142"/>
      </w:pPr>
      <w:r>
        <w:t xml:space="preserve">It was not possible to determine whether those randomised to the comparator who crossed over to </w:t>
      </w:r>
      <w:proofErr w:type="spellStart"/>
      <w:r>
        <w:t>ocriplasmin</w:t>
      </w:r>
      <w:proofErr w:type="spellEnd"/>
      <w:r>
        <w:t xml:space="preserve"> were less likely to require </w:t>
      </w:r>
      <w:proofErr w:type="spellStart"/>
      <w:r>
        <w:t>vitrectomy</w:t>
      </w:r>
      <w:proofErr w:type="spellEnd"/>
      <w:r>
        <w:t>.</w:t>
      </w:r>
    </w:p>
    <w:p w:rsidR="00F57ABD" w:rsidRDefault="00F57ABD" w:rsidP="008F4262">
      <w:pPr>
        <w:widowControl/>
      </w:pPr>
      <w:bookmarkStart w:id="10" w:name="_Toc440964227"/>
    </w:p>
    <w:p w:rsidR="00B60939" w:rsidRPr="00014FE0" w:rsidRDefault="00B60939" w:rsidP="008F4262">
      <w:pPr>
        <w:pStyle w:val="Heading2"/>
        <w:widowControl/>
        <w:rPr>
          <w:i/>
        </w:rPr>
      </w:pPr>
      <w:r w:rsidRPr="00014FE0">
        <w:rPr>
          <w:i/>
        </w:rPr>
        <w:t>Comparative effectiveness</w:t>
      </w:r>
      <w:bookmarkEnd w:id="10"/>
    </w:p>
    <w:p w:rsidR="00B60939" w:rsidRPr="00517553" w:rsidRDefault="00B60939" w:rsidP="008F4262">
      <w:pPr>
        <w:widowControl/>
        <w:rPr>
          <w:szCs w:val="22"/>
        </w:rPr>
      </w:pPr>
    </w:p>
    <w:p w:rsidR="0094245B" w:rsidRPr="00384C9B" w:rsidRDefault="00116A55" w:rsidP="008F4262">
      <w:pPr>
        <w:pStyle w:val="ListParagraph"/>
        <w:widowControl/>
        <w:numPr>
          <w:ilvl w:val="1"/>
          <w:numId w:val="1"/>
        </w:numPr>
        <w:rPr>
          <w:szCs w:val="22"/>
        </w:rPr>
      </w:pPr>
      <w:r w:rsidRPr="00517553">
        <w:t>Table</w:t>
      </w:r>
      <w:r w:rsidR="008A36B5" w:rsidRPr="00517553">
        <w:t>s</w:t>
      </w:r>
      <w:r w:rsidRPr="00517553">
        <w:t xml:space="preserve"> 3 and 4</w:t>
      </w:r>
      <w:r w:rsidR="00306BBB" w:rsidRPr="00517553">
        <w:t xml:space="preserve"> summarise the primary outcome of the trials, non-surgical VMA resolution at Day 28, and patient relevant secondary outcomes of </w:t>
      </w:r>
      <w:proofErr w:type="spellStart"/>
      <w:r w:rsidR="00306BBB" w:rsidRPr="00517553">
        <w:t>vitrectomy</w:t>
      </w:r>
      <w:proofErr w:type="spellEnd"/>
      <w:r w:rsidR="00306BBB" w:rsidRPr="00517553">
        <w:t xml:space="preserve"> at 6 and 24 months, and improvement in BCVA at 6 and 24 months.  </w:t>
      </w:r>
      <w:r w:rsidR="00306BBB" w:rsidRPr="00517553">
        <w:rPr>
          <w:iCs/>
        </w:rPr>
        <w:t>The results indicate</w:t>
      </w:r>
      <w:r w:rsidR="00310B4E" w:rsidRPr="00517553">
        <w:rPr>
          <w:iCs/>
        </w:rPr>
        <w:t>d</w:t>
      </w:r>
      <w:r w:rsidR="00306BBB" w:rsidRPr="00517553">
        <w:rPr>
          <w:iCs/>
        </w:rPr>
        <w:t xml:space="preserve"> that any statistically significant difference</w:t>
      </w:r>
      <w:r w:rsidR="00310B4E" w:rsidRPr="00517553">
        <w:rPr>
          <w:iCs/>
        </w:rPr>
        <w:t>s</w:t>
      </w:r>
      <w:r w:rsidR="00306BBB" w:rsidRPr="00517553">
        <w:rPr>
          <w:iCs/>
        </w:rPr>
        <w:t xml:space="preserve"> in patient relevant secondary outcomes observed at 6 months </w:t>
      </w:r>
      <w:r w:rsidR="00310B4E" w:rsidRPr="00517553">
        <w:rPr>
          <w:iCs/>
        </w:rPr>
        <w:t>were no longer observed</w:t>
      </w:r>
      <w:r w:rsidR="00306BBB" w:rsidRPr="00517553">
        <w:rPr>
          <w:iCs/>
        </w:rPr>
        <w:t xml:space="preserve"> by 24 months.</w:t>
      </w:r>
    </w:p>
    <w:p w:rsidR="00384C9B" w:rsidRDefault="00384C9B">
      <w:pPr>
        <w:widowControl/>
        <w:jc w:val="left"/>
        <w:rPr>
          <w:b/>
          <w:szCs w:val="22"/>
        </w:rPr>
      </w:pPr>
      <w:r>
        <w:br w:type="page"/>
      </w:r>
    </w:p>
    <w:p w:rsidR="00384C9B" w:rsidRPr="00517553" w:rsidRDefault="00384C9B" w:rsidP="00384C9B">
      <w:pPr>
        <w:pStyle w:val="PBACheading1"/>
        <w:numPr>
          <w:ilvl w:val="0"/>
          <w:numId w:val="0"/>
        </w:numPr>
        <w:ind w:left="720" w:hanging="720"/>
      </w:pPr>
    </w:p>
    <w:p w:rsidR="00B60939" w:rsidRPr="0019466F" w:rsidRDefault="00B60939" w:rsidP="008F4262">
      <w:pPr>
        <w:widowControl/>
        <w:rPr>
          <w:szCs w:val="22"/>
        </w:rPr>
      </w:pPr>
    </w:p>
    <w:p w:rsidR="00D06FD4" w:rsidRPr="00517553" w:rsidRDefault="00D06FD4" w:rsidP="008F4262">
      <w:pPr>
        <w:widowControl/>
        <w:ind w:left="709"/>
        <w:rPr>
          <w:rStyle w:val="CommentReference"/>
        </w:rPr>
      </w:pPr>
      <w:r w:rsidRPr="00517553">
        <w:rPr>
          <w:rStyle w:val="CommentReference"/>
        </w:rPr>
        <w:t xml:space="preserve">Table </w:t>
      </w:r>
      <w:r w:rsidR="00116A55" w:rsidRPr="00517553">
        <w:rPr>
          <w:rStyle w:val="CommentReference"/>
        </w:rPr>
        <w:t>3</w:t>
      </w:r>
      <w:r w:rsidRPr="00517553">
        <w:rPr>
          <w:rStyle w:val="CommentReference"/>
        </w:rPr>
        <w:t xml:space="preserve">: Results of </w:t>
      </w:r>
      <w:r w:rsidR="00B138AC" w:rsidRPr="00517553">
        <w:rPr>
          <w:rStyle w:val="CommentReference"/>
        </w:rPr>
        <w:t xml:space="preserve">primary outcome </w:t>
      </w:r>
      <w:r w:rsidR="00116A55" w:rsidRPr="00517553">
        <w:rPr>
          <w:rStyle w:val="CommentReference"/>
        </w:rPr>
        <w:t xml:space="preserve">(VMA resolution at Day 28) </w:t>
      </w:r>
      <w:r w:rsidR="00B138AC" w:rsidRPr="00517553">
        <w:rPr>
          <w:rStyle w:val="CommentReference"/>
        </w:rPr>
        <w:t xml:space="preserve">and </w:t>
      </w:r>
      <w:r w:rsidRPr="00517553">
        <w:rPr>
          <w:rStyle w:val="CommentReference"/>
        </w:rPr>
        <w:t xml:space="preserve">patient-relevant </w:t>
      </w:r>
      <w:r w:rsidR="00B138AC" w:rsidRPr="00517553">
        <w:rPr>
          <w:rStyle w:val="CommentReference"/>
        </w:rPr>
        <w:t xml:space="preserve">secondary </w:t>
      </w:r>
      <w:r w:rsidRPr="00517553">
        <w:rPr>
          <w:rStyle w:val="CommentReference"/>
        </w:rPr>
        <w:t>outcome</w:t>
      </w:r>
      <w:r w:rsidR="00B138AC" w:rsidRPr="00517553">
        <w:rPr>
          <w:rStyle w:val="CommentReference"/>
        </w:rPr>
        <w:t xml:space="preserve">s </w:t>
      </w:r>
      <w:r w:rsidR="00116A55" w:rsidRPr="00517553">
        <w:rPr>
          <w:rStyle w:val="CommentReference"/>
        </w:rPr>
        <w:t>(</w:t>
      </w:r>
      <w:proofErr w:type="spellStart"/>
      <w:r w:rsidR="00B138AC" w:rsidRPr="00517553">
        <w:rPr>
          <w:rStyle w:val="CommentReference"/>
        </w:rPr>
        <w:t>vitrectomy</w:t>
      </w:r>
      <w:proofErr w:type="spellEnd"/>
      <w:r w:rsidR="00B138AC" w:rsidRPr="00517553">
        <w:rPr>
          <w:rStyle w:val="CommentReference"/>
        </w:rPr>
        <w:t xml:space="preserve"> and ≥3 lines improvement in BCVA</w:t>
      </w:r>
      <w:r w:rsidR="00116A55" w:rsidRPr="00517553">
        <w:rPr>
          <w:rStyle w:val="CommentReference"/>
        </w:rPr>
        <w:t>)</w:t>
      </w:r>
      <w:r w:rsidRPr="00517553">
        <w:rPr>
          <w:rStyle w:val="CommentReference"/>
        </w:rPr>
        <w:t xml:space="preserve"> across the direct randomised trials </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8"/>
        <w:gridCol w:w="1277"/>
        <w:gridCol w:w="1279"/>
        <w:gridCol w:w="1844"/>
        <w:gridCol w:w="1701"/>
        <w:gridCol w:w="1257"/>
      </w:tblGrid>
      <w:tr w:rsidR="008C2B67" w:rsidRPr="00517553" w:rsidTr="009A6D70">
        <w:tc>
          <w:tcPr>
            <w:tcW w:w="592" w:type="pct"/>
            <w:shd w:val="clear" w:color="auto" w:fill="auto"/>
            <w:vAlign w:val="center"/>
          </w:tcPr>
          <w:p w:rsidR="008C2B67" w:rsidRPr="00517553" w:rsidRDefault="008C2B67" w:rsidP="008F4262">
            <w:pPr>
              <w:keepNext/>
              <w:widowControl/>
              <w:jc w:val="left"/>
              <w:rPr>
                <w:rFonts w:ascii="Arial Narrow" w:hAnsi="Arial Narrow"/>
                <w:b/>
                <w:sz w:val="20"/>
                <w:lang w:val="en-US"/>
              </w:rPr>
            </w:pPr>
            <w:r w:rsidRPr="00517553">
              <w:rPr>
                <w:rFonts w:ascii="Arial Narrow" w:hAnsi="Arial Narrow"/>
                <w:b/>
                <w:sz w:val="20"/>
                <w:lang w:val="en-US"/>
              </w:rPr>
              <w:t>Trial ID</w:t>
            </w:r>
          </w:p>
        </w:tc>
        <w:tc>
          <w:tcPr>
            <w:tcW w:w="765" w:type="pct"/>
            <w:shd w:val="clear" w:color="auto" w:fill="auto"/>
            <w:vAlign w:val="center"/>
          </w:tcPr>
          <w:p w:rsidR="008C2B67" w:rsidRPr="00517553" w:rsidRDefault="008C2B67" w:rsidP="008F4262">
            <w:pPr>
              <w:widowControl/>
              <w:ind w:right="-108"/>
              <w:jc w:val="center"/>
              <w:rPr>
                <w:rFonts w:ascii="Arial Narrow" w:hAnsi="Arial Narrow"/>
                <w:b/>
                <w:sz w:val="20"/>
              </w:rPr>
            </w:pPr>
            <w:proofErr w:type="spellStart"/>
            <w:r w:rsidRPr="00517553">
              <w:rPr>
                <w:rFonts w:ascii="Arial Narrow" w:hAnsi="Arial Narrow"/>
                <w:b/>
                <w:sz w:val="20"/>
              </w:rPr>
              <w:t>Ocriplasmin</w:t>
            </w:r>
            <w:proofErr w:type="spellEnd"/>
          </w:p>
          <w:p w:rsidR="008C2B67" w:rsidRPr="00517553" w:rsidRDefault="008C2B67" w:rsidP="008F4262">
            <w:pPr>
              <w:keepNext/>
              <w:widowControl/>
              <w:jc w:val="center"/>
              <w:rPr>
                <w:rFonts w:ascii="Arial Narrow" w:hAnsi="Arial Narrow"/>
                <w:b/>
                <w:sz w:val="20"/>
                <w:lang w:val="en-US"/>
              </w:rPr>
            </w:pPr>
            <w:proofErr w:type="gramStart"/>
            <w:r w:rsidRPr="00517553">
              <w:rPr>
                <w:rFonts w:ascii="Arial Narrow" w:hAnsi="Arial Narrow"/>
                <w:b/>
                <w:sz w:val="20"/>
              </w:rPr>
              <w:t>n/N</w:t>
            </w:r>
            <w:proofErr w:type="gramEnd"/>
            <w:r w:rsidRPr="00517553">
              <w:rPr>
                <w:rFonts w:ascii="Arial Narrow" w:hAnsi="Arial Narrow"/>
                <w:b/>
                <w:sz w:val="20"/>
              </w:rPr>
              <w:t xml:space="preserve"> (%)</w:t>
            </w:r>
          </w:p>
        </w:tc>
        <w:tc>
          <w:tcPr>
            <w:tcW w:w="765" w:type="pct"/>
            <w:shd w:val="clear" w:color="auto" w:fill="auto"/>
            <w:vAlign w:val="center"/>
          </w:tcPr>
          <w:p w:rsidR="008C2B67" w:rsidRPr="00517553" w:rsidRDefault="008C2B67" w:rsidP="008F4262">
            <w:pPr>
              <w:widowControl/>
              <w:jc w:val="center"/>
              <w:rPr>
                <w:rFonts w:ascii="Arial Narrow" w:hAnsi="Arial Narrow"/>
                <w:b/>
                <w:sz w:val="20"/>
              </w:rPr>
            </w:pPr>
            <w:r w:rsidRPr="00517553">
              <w:rPr>
                <w:rFonts w:ascii="Arial Narrow" w:hAnsi="Arial Narrow"/>
                <w:b/>
                <w:sz w:val="20"/>
              </w:rPr>
              <w:t>Control</w:t>
            </w:r>
          </w:p>
          <w:p w:rsidR="008C2B67" w:rsidRPr="00517553" w:rsidRDefault="008C2B67" w:rsidP="008F4262">
            <w:pPr>
              <w:keepNext/>
              <w:widowControl/>
              <w:jc w:val="center"/>
              <w:rPr>
                <w:rFonts w:ascii="Arial Narrow" w:hAnsi="Arial Narrow"/>
                <w:b/>
                <w:sz w:val="20"/>
                <w:lang w:val="en-US"/>
              </w:rPr>
            </w:pPr>
            <w:proofErr w:type="gramStart"/>
            <w:r w:rsidRPr="00517553">
              <w:rPr>
                <w:rFonts w:ascii="Arial Narrow" w:hAnsi="Arial Narrow"/>
                <w:b/>
                <w:sz w:val="20"/>
              </w:rPr>
              <w:t>n/N</w:t>
            </w:r>
            <w:proofErr w:type="gramEnd"/>
            <w:r w:rsidRPr="00517553">
              <w:rPr>
                <w:rFonts w:ascii="Arial Narrow" w:hAnsi="Arial Narrow"/>
                <w:b/>
                <w:sz w:val="20"/>
              </w:rPr>
              <w:t xml:space="preserve"> (%)</w:t>
            </w:r>
          </w:p>
        </w:tc>
        <w:tc>
          <w:tcPr>
            <w:tcW w:w="1105" w:type="pct"/>
            <w:shd w:val="clear" w:color="auto" w:fill="auto"/>
            <w:vAlign w:val="center"/>
          </w:tcPr>
          <w:p w:rsidR="008C2B67" w:rsidRPr="00517553" w:rsidRDefault="008C2B67" w:rsidP="008F4262">
            <w:pPr>
              <w:widowControl/>
              <w:jc w:val="center"/>
              <w:rPr>
                <w:rFonts w:ascii="Arial Narrow" w:hAnsi="Arial Narrow"/>
                <w:b/>
                <w:sz w:val="20"/>
                <w:lang w:val="en-US"/>
              </w:rPr>
            </w:pPr>
            <w:r w:rsidRPr="00517553">
              <w:rPr>
                <w:rFonts w:ascii="Arial Narrow" w:hAnsi="Arial Narrow"/>
                <w:b/>
                <w:sz w:val="20"/>
              </w:rPr>
              <w:t>RD (95% CI)</w:t>
            </w:r>
          </w:p>
        </w:tc>
        <w:tc>
          <w:tcPr>
            <w:tcW w:w="1019" w:type="pct"/>
            <w:shd w:val="clear" w:color="auto" w:fill="auto"/>
            <w:vAlign w:val="center"/>
          </w:tcPr>
          <w:p w:rsidR="008C2B67" w:rsidRPr="00517553" w:rsidRDefault="008C2B67" w:rsidP="008F4262">
            <w:pPr>
              <w:widowControl/>
              <w:jc w:val="center"/>
              <w:rPr>
                <w:rFonts w:ascii="Arial Narrow" w:hAnsi="Arial Narrow"/>
                <w:b/>
                <w:sz w:val="20"/>
                <w:lang w:val="en-US"/>
              </w:rPr>
            </w:pPr>
            <w:r w:rsidRPr="00517553">
              <w:rPr>
                <w:rFonts w:ascii="Arial Narrow" w:hAnsi="Arial Narrow"/>
                <w:b/>
                <w:sz w:val="20"/>
              </w:rPr>
              <w:t>RR</w:t>
            </w:r>
            <w:r w:rsidR="008A36B5" w:rsidRPr="00517553">
              <w:rPr>
                <w:rFonts w:ascii="Arial Narrow" w:hAnsi="Arial Narrow"/>
                <w:b/>
                <w:sz w:val="20"/>
              </w:rPr>
              <w:t xml:space="preserve"> </w:t>
            </w:r>
            <w:r w:rsidRPr="00517553">
              <w:rPr>
                <w:rFonts w:ascii="Arial Narrow" w:hAnsi="Arial Narrow"/>
                <w:b/>
                <w:sz w:val="20"/>
              </w:rPr>
              <w:t>(95% CI)</w:t>
            </w:r>
          </w:p>
        </w:tc>
        <w:tc>
          <w:tcPr>
            <w:tcW w:w="753" w:type="pct"/>
            <w:shd w:val="clear" w:color="auto" w:fill="auto"/>
            <w:vAlign w:val="center"/>
          </w:tcPr>
          <w:p w:rsidR="008C2B67" w:rsidRPr="00517553" w:rsidRDefault="008C2B67" w:rsidP="008F4262">
            <w:pPr>
              <w:widowControl/>
              <w:jc w:val="center"/>
              <w:rPr>
                <w:rFonts w:ascii="Arial Narrow" w:hAnsi="Arial Narrow"/>
                <w:b/>
                <w:sz w:val="20"/>
                <w:lang w:val="en-US"/>
              </w:rPr>
            </w:pPr>
            <w:r w:rsidRPr="00517553">
              <w:rPr>
                <w:rFonts w:ascii="Arial Narrow" w:hAnsi="Arial Narrow"/>
                <w:b/>
                <w:sz w:val="20"/>
              </w:rPr>
              <w:t>NNT</w:t>
            </w:r>
            <w:r w:rsidR="00FD59DD" w:rsidRPr="00517553">
              <w:rPr>
                <w:rFonts w:ascii="Arial Narrow" w:hAnsi="Arial Narrow"/>
                <w:b/>
                <w:sz w:val="20"/>
              </w:rPr>
              <w:t xml:space="preserve"> </w:t>
            </w:r>
            <w:r w:rsidRPr="00517553">
              <w:rPr>
                <w:rFonts w:ascii="Arial Narrow" w:hAnsi="Arial Narrow"/>
                <w:b/>
                <w:sz w:val="20"/>
              </w:rPr>
              <w:t>(95% CI)</w:t>
            </w:r>
          </w:p>
        </w:tc>
      </w:tr>
      <w:tr w:rsidR="008C2B67" w:rsidRPr="00517553" w:rsidTr="009A6D70">
        <w:tc>
          <w:tcPr>
            <w:tcW w:w="4999" w:type="pct"/>
            <w:gridSpan w:val="6"/>
            <w:shd w:val="clear" w:color="auto" w:fill="auto"/>
            <w:vAlign w:val="center"/>
          </w:tcPr>
          <w:p w:rsidR="008C2B67" w:rsidRPr="00517553" w:rsidRDefault="008C2B67" w:rsidP="008F4262">
            <w:pPr>
              <w:keepNext/>
              <w:widowControl/>
              <w:jc w:val="left"/>
              <w:rPr>
                <w:rFonts w:ascii="Arial Narrow" w:hAnsi="Arial Narrow"/>
                <w:sz w:val="20"/>
                <w:lang w:val="en-US"/>
              </w:rPr>
            </w:pPr>
            <w:r w:rsidRPr="00517553">
              <w:rPr>
                <w:rFonts w:ascii="Arial Narrow" w:hAnsi="Arial Narrow"/>
                <w:b/>
                <w:sz w:val="20"/>
              </w:rPr>
              <w:t>Non-surgical VMA resolution without creation of an anatomical defect at Day 28 (FAS)</w:t>
            </w:r>
          </w:p>
        </w:tc>
      </w:tr>
      <w:tr w:rsidR="008C2B67" w:rsidRPr="00517553" w:rsidTr="009A6D70">
        <w:tc>
          <w:tcPr>
            <w:tcW w:w="592" w:type="pct"/>
            <w:shd w:val="clear" w:color="auto" w:fill="auto"/>
          </w:tcPr>
          <w:p w:rsidR="008C2B67" w:rsidRPr="00517553" w:rsidRDefault="008C2B67" w:rsidP="008F4262">
            <w:pPr>
              <w:keepNext/>
              <w:widowControl/>
              <w:jc w:val="left"/>
              <w:rPr>
                <w:rFonts w:ascii="Arial Narrow" w:hAnsi="Arial Narrow"/>
                <w:sz w:val="20"/>
                <w:lang w:val="en-US"/>
              </w:rPr>
            </w:pPr>
            <w:r w:rsidRPr="00517553">
              <w:rPr>
                <w:rFonts w:ascii="Arial Narrow" w:hAnsi="Arial Narrow"/>
                <w:sz w:val="20"/>
              </w:rPr>
              <w:t>TG-MV-006</w:t>
            </w:r>
          </w:p>
        </w:tc>
        <w:tc>
          <w:tcPr>
            <w:tcW w:w="765" w:type="pct"/>
            <w:shd w:val="clear" w:color="auto" w:fill="auto"/>
            <w:vAlign w:val="center"/>
          </w:tcPr>
          <w:p w:rsidR="008C2B67" w:rsidRPr="00517553" w:rsidRDefault="008C2B67" w:rsidP="008F4262">
            <w:pPr>
              <w:keepNext/>
              <w:widowControl/>
              <w:jc w:val="center"/>
              <w:rPr>
                <w:rFonts w:ascii="Arial Narrow" w:hAnsi="Arial Narrow"/>
                <w:sz w:val="20"/>
                <w:lang w:val="en-US"/>
              </w:rPr>
            </w:pPr>
            <w:r w:rsidRPr="00517553">
              <w:rPr>
                <w:rFonts w:ascii="Arial Narrow" w:hAnsi="Arial Narrow"/>
                <w:sz w:val="20"/>
              </w:rPr>
              <w:t>61/219 (27.9)</w:t>
            </w:r>
          </w:p>
        </w:tc>
        <w:tc>
          <w:tcPr>
            <w:tcW w:w="765" w:type="pct"/>
            <w:shd w:val="clear" w:color="auto" w:fill="auto"/>
            <w:vAlign w:val="center"/>
          </w:tcPr>
          <w:p w:rsidR="008C2B67" w:rsidRPr="00517553" w:rsidRDefault="008C2B67" w:rsidP="008F4262">
            <w:pPr>
              <w:keepNext/>
              <w:widowControl/>
              <w:jc w:val="center"/>
              <w:rPr>
                <w:rFonts w:ascii="Arial Narrow" w:hAnsi="Arial Narrow"/>
                <w:sz w:val="20"/>
                <w:lang w:val="en-US"/>
              </w:rPr>
            </w:pPr>
            <w:r w:rsidRPr="00517553">
              <w:rPr>
                <w:rFonts w:ascii="Arial Narrow" w:hAnsi="Arial Narrow"/>
                <w:sz w:val="20"/>
              </w:rPr>
              <w:t>14/107 (13.1)</w:t>
            </w:r>
          </w:p>
        </w:tc>
        <w:tc>
          <w:tcPr>
            <w:tcW w:w="1105" w:type="pct"/>
            <w:shd w:val="clear" w:color="auto" w:fill="auto"/>
            <w:vAlign w:val="center"/>
          </w:tcPr>
          <w:p w:rsidR="008C2B67" w:rsidRPr="00517553" w:rsidRDefault="008C2B67" w:rsidP="008F4262">
            <w:pPr>
              <w:keepNext/>
              <w:widowControl/>
              <w:jc w:val="center"/>
              <w:rPr>
                <w:rFonts w:ascii="Arial Narrow" w:hAnsi="Arial Narrow"/>
                <w:sz w:val="20"/>
                <w:lang w:val="en-US"/>
              </w:rPr>
            </w:pPr>
            <w:r w:rsidRPr="00517553">
              <w:rPr>
                <w:rFonts w:ascii="Arial Narrow" w:hAnsi="Arial Narrow"/>
                <w:b/>
                <w:bCs/>
                <w:sz w:val="20"/>
              </w:rPr>
              <w:t>0.15 (0.06, 0.23)</w:t>
            </w:r>
          </w:p>
        </w:tc>
        <w:tc>
          <w:tcPr>
            <w:tcW w:w="1019" w:type="pct"/>
            <w:shd w:val="clear" w:color="auto" w:fill="auto"/>
            <w:vAlign w:val="center"/>
          </w:tcPr>
          <w:p w:rsidR="008C2B67" w:rsidRPr="00517553" w:rsidRDefault="008C2B67" w:rsidP="008F4262">
            <w:pPr>
              <w:keepNext/>
              <w:widowControl/>
              <w:jc w:val="center"/>
              <w:rPr>
                <w:rFonts w:ascii="Arial Narrow" w:hAnsi="Arial Narrow"/>
                <w:sz w:val="20"/>
                <w:lang w:val="en-US"/>
              </w:rPr>
            </w:pPr>
            <w:r w:rsidRPr="00517553">
              <w:rPr>
                <w:rFonts w:ascii="Arial Narrow" w:hAnsi="Arial Narrow"/>
                <w:b/>
                <w:bCs/>
                <w:sz w:val="20"/>
              </w:rPr>
              <w:t>2.13 (1.25, 3.63)</w:t>
            </w:r>
          </w:p>
        </w:tc>
        <w:tc>
          <w:tcPr>
            <w:tcW w:w="753" w:type="pct"/>
            <w:shd w:val="clear" w:color="auto" w:fill="auto"/>
            <w:vAlign w:val="center"/>
          </w:tcPr>
          <w:p w:rsidR="008C2B67" w:rsidRPr="00517553" w:rsidRDefault="008C2B67" w:rsidP="008F4262">
            <w:pPr>
              <w:keepNext/>
              <w:widowControl/>
              <w:jc w:val="center"/>
              <w:rPr>
                <w:rFonts w:ascii="Arial Narrow" w:hAnsi="Arial Narrow"/>
                <w:sz w:val="20"/>
                <w:lang w:val="en-US"/>
              </w:rPr>
            </w:pPr>
            <w:r w:rsidRPr="00517553">
              <w:rPr>
                <w:rFonts w:ascii="Arial Narrow" w:hAnsi="Arial Narrow"/>
                <w:b/>
                <w:bCs/>
                <w:sz w:val="20"/>
              </w:rPr>
              <w:t>7 (4, 17)</w:t>
            </w:r>
          </w:p>
        </w:tc>
      </w:tr>
      <w:tr w:rsidR="008C2B67" w:rsidRPr="00517553" w:rsidTr="009A6D70">
        <w:tc>
          <w:tcPr>
            <w:tcW w:w="592" w:type="pct"/>
            <w:shd w:val="clear" w:color="auto" w:fill="auto"/>
          </w:tcPr>
          <w:p w:rsidR="008C2B67" w:rsidRPr="00517553" w:rsidRDefault="008C2B67" w:rsidP="008F4262">
            <w:pPr>
              <w:keepNext/>
              <w:widowControl/>
              <w:jc w:val="left"/>
              <w:rPr>
                <w:rFonts w:ascii="Arial Narrow" w:hAnsi="Arial Narrow"/>
                <w:sz w:val="20"/>
                <w:lang w:val="en-US"/>
              </w:rPr>
            </w:pPr>
            <w:r w:rsidRPr="00517553">
              <w:rPr>
                <w:rFonts w:ascii="Arial Narrow" w:hAnsi="Arial Narrow"/>
                <w:sz w:val="20"/>
              </w:rPr>
              <w:t>TG-MV-007</w:t>
            </w:r>
          </w:p>
        </w:tc>
        <w:tc>
          <w:tcPr>
            <w:tcW w:w="765" w:type="pct"/>
            <w:shd w:val="clear" w:color="auto" w:fill="auto"/>
            <w:vAlign w:val="center"/>
          </w:tcPr>
          <w:p w:rsidR="008C2B67" w:rsidRPr="00517553" w:rsidRDefault="008C2B67" w:rsidP="008F4262">
            <w:pPr>
              <w:keepNext/>
              <w:widowControl/>
              <w:jc w:val="center"/>
              <w:rPr>
                <w:rFonts w:ascii="Arial Narrow" w:hAnsi="Arial Narrow"/>
                <w:sz w:val="20"/>
                <w:lang w:val="en-US"/>
              </w:rPr>
            </w:pPr>
            <w:r w:rsidRPr="00517553">
              <w:rPr>
                <w:rFonts w:ascii="Arial Narrow" w:hAnsi="Arial Narrow"/>
                <w:sz w:val="20"/>
              </w:rPr>
              <w:t>62/245 (25.3)</w:t>
            </w:r>
          </w:p>
        </w:tc>
        <w:tc>
          <w:tcPr>
            <w:tcW w:w="765" w:type="pct"/>
            <w:shd w:val="clear" w:color="auto" w:fill="auto"/>
            <w:vAlign w:val="center"/>
          </w:tcPr>
          <w:p w:rsidR="008C2B67" w:rsidRPr="00517553" w:rsidRDefault="008C2B67" w:rsidP="008F4262">
            <w:pPr>
              <w:keepNext/>
              <w:widowControl/>
              <w:jc w:val="center"/>
              <w:rPr>
                <w:rFonts w:ascii="Arial Narrow" w:hAnsi="Arial Narrow"/>
                <w:sz w:val="20"/>
                <w:lang w:val="en-US"/>
              </w:rPr>
            </w:pPr>
            <w:r w:rsidRPr="00517553">
              <w:rPr>
                <w:rFonts w:ascii="Arial Narrow" w:hAnsi="Arial Narrow"/>
                <w:sz w:val="20"/>
              </w:rPr>
              <w:t>5/81 (6.2)</w:t>
            </w:r>
          </w:p>
        </w:tc>
        <w:tc>
          <w:tcPr>
            <w:tcW w:w="1105" w:type="pct"/>
            <w:shd w:val="clear" w:color="auto" w:fill="auto"/>
            <w:vAlign w:val="center"/>
          </w:tcPr>
          <w:p w:rsidR="008C2B67" w:rsidRPr="00517553" w:rsidRDefault="008C2B67" w:rsidP="008F4262">
            <w:pPr>
              <w:keepNext/>
              <w:widowControl/>
              <w:jc w:val="center"/>
              <w:rPr>
                <w:rFonts w:ascii="Arial Narrow" w:hAnsi="Arial Narrow"/>
                <w:sz w:val="20"/>
                <w:lang w:val="en-US"/>
              </w:rPr>
            </w:pPr>
            <w:r w:rsidRPr="00517553">
              <w:rPr>
                <w:rFonts w:ascii="Arial Narrow" w:hAnsi="Arial Narrow"/>
                <w:b/>
                <w:bCs/>
                <w:sz w:val="20"/>
              </w:rPr>
              <w:t>0.19 (0.12, 0.27)</w:t>
            </w:r>
          </w:p>
        </w:tc>
        <w:tc>
          <w:tcPr>
            <w:tcW w:w="1019" w:type="pct"/>
            <w:shd w:val="clear" w:color="auto" w:fill="auto"/>
            <w:vAlign w:val="center"/>
          </w:tcPr>
          <w:p w:rsidR="008C2B67" w:rsidRPr="00517553" w:rsidRDefault="008C2B67" w:rsidP="008F4262">
            <w:pPr>
              <w:keepNext/>
              <w:widowControl/>
              <w:jc w:val="center"/>
              <w:rPr>
                <w:rFonts w:ascii="Arial Narrow" w:hAnsi="Arial Narrow"/>
                <w:sz w:val="20"/>
                <w:lang w:val="en-US"/>
              </w:rPr>
            </w:pPr>
            <w:r w:rsidRPr="00517553">
              <w:rPr>
                <w:rFonts w:ascii="Arial Narrow" w:hAnsi="Arial Narrow"/>
                <w:b/>
                <w:bCs/>
                <w:sz w:val="20"/>
              </w:rPr>
              <w:t>4.10 (1.71, 9.84)</w:t>
            </w:r>
          </w:p>
        </w:tc>
        <w:tc>
          <w:tcPr>
            <w:tcW w:w="753" w:type="pct"/>
            <w:shd w:val="clear" w:color="auto" w:fill="auto"/>
            <w:vAlign w:val="center"/>
          </w:tcPr>
          <w:p w:rsidR="008C2B67" w:rsidRPr="00517553" w:rsidRDefault="008C2B67" w:rsidP="008F4262">
            <w:pPr>
              <w:keepNext/>
              <w:widowControl/>
              <w:jc w:val="center"/>
              <w:rPr>
                <w:rFonts w:ascii="Arial Narrow" w:hAnsi="Arial Narrow"/>
                <w:sz w:val="20"/>
                <w:lang w:val="en-US"/>
              </w:rPr>
            </w:pPr>
            <w:r w:rsidRPr="00517553">
              <w:rPr>
                <w:rFonts w:ascii="Arial Narrow" w:hAnsi="Arial Narrow"/>
                <w:b/>
                <w:bCs/>
                <w:sz w:val="20"/>
              </w:rPr>
              <w:t>5 (4, 8)</w:t>
            </w:r>
          </w:p>
        </w:tc>
      </w:tr>
      <w:tr w:rsidR="008C2B67" w:rsidRPr="00517553" w:rsidTr="009A6D70">
        <w:tc>
          <w:tcPr>
            <w:tcW w:w="592" w:type="pct"/>
            <w:shd w:val="clear" w:color="auto" w:fill="auto"/>
          </w:tcPr>
          <w:p w:rsidR="008C2B67" w:rsidRPr="00517553" w:rsidRDefault="008C2B67" w:rsidP="008F4262">
            <w:pPr>
              <w:keepNext/>
              <w:widowControl/>
              <w:jc w:val="left"/>
              <w:rPr>
                <w:rFonts w:ascii="Arial Narrow" w:hAnsi="Arial Narrow"/>
                <w:sz w:val="20"/>
                <w:lang w:val="en-US"/>
              </w:rPr>
            </w:pPr>
            <w:r w:rsidRPr="00517553">
              <w:rPr>
                <w:rFonts w:ascii="Arial Narrow" w:hAnsi="Arial Narrow"/>
                <w:sz w:val="20"/>
              </w:rPr>
              <w:t>OASIS</w:t>
            </w:r>
          </w:p>
        </w:tc>
        <w:tc>
          <w:tcPr>
            <w:tcW w:w="765" w:type="pct"/>
            <w:shd w:val="clear" w:color="auto" w:fill="auto"/>
            <w:vAlign w:val="center"/>
          </w:tcPr>
          <w:p w:rsidR="008C2B67" w:rsidRPr="0017165E" w:rsidRDefault="0017165E" w:rsidP="008F4262">
            <w:pPr>
              <w:keepNext/>
              <w:widowControl/>
              <w:jc w:val="center"/>
              <w:rPr>
                <w:rFonts w:ascii="Arial Narrow" w:hAnsi="Arial Narrow"/>
                <w:sz w:val="20"/>
                <w:highlight w:val="black"/>
                <w:lang w:val="en-US"/>
              </w:rPr>
            </w:pPr>
            <w:r>
              <w:rPr>
                <w:rFonts w:ascii="Arial Narrow" w:hAnsi="Arial Narrow"/>
                <w:noProof/>
                <w:color w:val="000000"/>
                <w:sz w:val="20"/>
                <w:highlight w:val="black"/>
              </w:rPr>
              <w:t>'''''''''''''''' ''''''''''''''</w:t>
            </w:r>
          </w:p>
        </w:tc>
        <w:tc>
          <w:tcPr>
            <w:tcW w:w="765" w:type="pct"/>
            <w:shd w:val="clear" w:color="auto" w:fill="auto"/>
            <w:vAlign w:val="center"/>
          </w:tcPr>
          <w:p w:rsidR="008C2B67" w:rsidRPr="0017165E" w:rsidRDefault="0017165E" w:rsidP="008F4262">
            <w:pPr>
              <w:keepNext/>
              <w:widowControl/>
              <w:jc w:val="center"/>
              <w:rPr>
                <w:rFonts w:ascii="Arial Narrow" w:hAnsi="Arial Narrow"/>
                <w:sz w:val="20"/>
                <w:highlight w:val="black"/>
                <w:lang w:val="en-US"/>
              </w:rPr>
            </w:pPr>
            <w:r>
              <w:rPr>
                <w:rFonts w:ascii="Arial Narrow" w:hAnsi="Arial Narrow"/>
                <w:noProof/>
                <w:color w:val="000000"/>
                <w:sz w:val="20"/>
                <w:highlight w:val="black"/>
              </w:rPr>
              <w:t>'''''''''' '''''''''''</w:t>
            </w:r>
          </w:p>
        </w:tc>
        <w:tc>
          <w:tcPr>
            <w:tcW w:w="1105" w:type="pct"/>
            <w:shd w:val="clear" w:color="auto" w:fill="auto"/>
            <w:vAlign w:val="center"/>
          </w:tcPr>
          <w:p w:rsidR="008C2B67" w:rsidRPr="0017165E" w:rsidRDefault="0017165E" w:rsidP="008F4262">
            <w:pPr>
              <w:keepNext/>
              <w:widowControl/>
              <w:jc w:val="center"/>
              <w:rPr>
                <w:rFonts w:ascii="Arial Narrow" w:hAnsi="Arial Narrow"/>
                <w:sz w:val="20"/>
                <w:highlight w:val="black"/>
                <w:lang w:val="en-US"/>
              </w:rPr>
            </w:pPr>
            <w:r>
              <w:rPr>
                <w:rFonts w:ascii="Arial Narrow" w:hAnsi="Arial Narrow"/>
                <w:b/>
                <w:bCs/>
                <w:noProof/>
                <w:color w:val="000000"/>
                <w:sz w:val="20"/>
                <w:highlight w:val="black"/>
              </w:rPr>
              <w:t>'''''''''' '''''''''''' ''''''''''</w:t>
            </w:r>
          </w:p>
        </w:tc>
        <w:tc>
          <w:tcPr>
            <w:tcW w:w="1019" w:type="pct"/>
            <w:shd w:val="clear" w:color="auto" w:fill="auto"/>
            <w:vAlign w:val="center"/>
          </w:tcPr>
          <w:p w:rsidR="008C2B67" w:rsidRPr="0017165E" w:rsidRDefault="0017165E" w:rsidP="008F4262">
            <w:pPr>
              <w:keepNext/>
              <w:widowControl/>
              <w:jc w:val="center"/>
              <w:rPr>
                <w:rFonts w:ascii="Arial Narrow" w:hAnsi="Arial Narrow"/>
                <w:sz w:val="20"/>
                <w:highlight w:val="black"/>
                <w:lang w:val="en-US"/>
              </w:rPr>
            </w:pPr>
            <w:r>
              <w:rPr>
                <w:rFonts w:ascii="Arial Narrow" w:hAnsi="Arial Narrow"/>
                <w:b/>
                <w:bCs/>
                <w:noProof/>
                <w:color w:val="000000"/>
                <w:sz w:val="20"/>
                <w:highlight w:val="black"/>
              </w:rPr>
              <w:t>'''''''' ''''''''''''' '''''''''''''</w:t>
            </w:r>
          </w:p>
        </w:tc>
        <w:tc>
          <w:tcPr>
            <w:tcW w:w="753" w:type="pct"/>
            <w:shd w:val="clear" w:color="auto" w:fill="auto"/>
            <w:vAlign w:val="center"/>
          </w:tcPr>
          <w:p w:rsidR="008C2B67" w:rsidRPr="0017165E" w:rsidRDefault="0017165E" w:rsidP="008F4262">
            <w:pPr>
              <w:keepNext/>
              <w:widowControl/>
              <w:jc w:val="center"/>
              <w:rPr>
                <w:rFonts w:ascii="Arial Narrow" w:hAnsi="Arial Narrow"/>
                <w:sz w:val="20"/>
                <w:highlight w:val="black"/>
                <w:lang w:val="en-US"/>
              </w:rPr>
            </w:pPr>
            <w:r>
              <w:rPr>
                <w:rFonts w:ascii="Arial Narrow" w:hAnsi="Arial Narrow"/>
                <w:b/>
                <w:bCs/>
                <w:noProof/>
                <w:color w:val="000000"/>
                <w:sz w:val="20"/>
                <w:highlight w:val="black"/>
              </w:rPr>
              <w:t>''' ''''' ''''</w:t>
            </w:r>
          </w:p>
        </w:tc>
      </w:tr>
      <w:tr w:rsidR="008C2B67" w:rsidRPr="00517553" w:rsidTr="009A6D70">
        <w:tc>
          <w:tcPr>
            <w:tcW w:w="592" w:type="pct"/>
            <w:shd w:val="clear" w:color="auto" w:fill="auto"/>
            <w:vAlign w:val="center"/>
          </w:tcPr>
          <w:p w:rsidR="008C2B67" w:rsidRPr="00517553" w:rsidRDefault="008C2B67" w:rsidP="008F4262">
            <w:pPr>
              <w:keepNext/>
              <w:widowControl/>
              <w:jc w:val="right"/>
              <w:rPr>
                <w:rFonts w:ascii="Arial Narrow" w:hAnsi="Arial Narrow"/>
                <w:sz w:val="20"/>
                <w:lang w:val="en-US"/>
              </w:rPr>
            </w:pPr>
            <w:r w:rsidRPr="00517553">
              <w:rPr>
                <w:rFonts w:ascii="Arial Narrow" w:hAnsi="Arial Narrow"/>
                <w:sz w:val="20"/>
                <w:lang w:val="en-US"/>
              </w:rPr>
              <w:t>Pooled</w:t>
            </w:r>
          </w:p>
        </w:tc>
        <w:tc>
          <w:tcPr>
            <w:tcW w:w="765" w:type="pct"/>
            <w:shd w:val="clear" w:color="auto" w:fill="auto"/>
            <w:vAlign w:val="center"/>
          </w:tcPr>
          <w:p w:rsidR="008C2B67" w:rsidRPr="0017165E" w:rsidRDefault="0017165E" w:rsidP="008F4262">
            <w:pPr>
              <w:keepNext/>
              <w:widowControl/>
              <w:jc w:val="center"/>
              <w:rPr>
                <w:rFonts w:ascii="Arial Narrow" w:hAnsi="Arial Narrow"/>
                <w:sz w:val="20"/>
                <w:highlight w:val="black"/>
                <w:lang w:val="en-US"/>
              </w:rPr>
            </w:pPr>
            <w:r>
              <w:rPr>
                <w:rFonts w:ascii="Arial Narrow" w:hAnsi="Arial Narrow"/>
                <w:noProof/>
                <w:color w:val="000000"/>
                <w:sz w:val="20"/>
                <w:highlight w:val="black"/>
              </w:rPr>
              <w:t>''''''''''''''''''' ''''''''''''''</w:t>
            </w:r>
          </w:p>
        </w:tc>
        <w:tc>
          <w:tcPr>
            <w:tcW w:w="765" w:type="pct"/>
            <w:shd w:val="clear" w:color="auto" w:fill="auto"/>
            <w:vAlign w:val="center"/>
          </w:tcPr>
          <w:p w:rsidR="008C2B67" w:rsidRPr="0017165E" w:rsidRDefault="0017165E" w:rsidP="008F4262">
            <w:pPr>
              <w:keepNext/>
              <w:widowControl/>
              <w:jc w:val="center"/>
              <w:rPr>
                <w:rFonts w:ascii="Arial Narrow" w:hAnsi="Arial Narrow"/>
                <w:sz w:val="20"/>
                <w:highlight w:val="black"/>
                <w:lang w:val="en-US"/>
              </w:rPr>
            </w:pPr>
            <w:r>
              <w:rPr>
                <w:rFonts w:ascii="Arial Narrow" w:hAnsi="Arial Narrow"/>
                <w:noProof/>
                <w:color w:val="000000"/>
                <w:sz w:val="20"/>
                <w:highlight w:val="black"/>
              </w:rPr>
              <w:t>'''''''''''''''' '''''''''''</w:t>
            </w:r>
          </w:p>
        </w:tc>
        <w:tc>
          <w:tcPr>
            <w:tcW w:w="1105" w:type="pct"/>
            <w:shd w:val="clear" w:color="auto" w:fill="auto"/>
            <w:vAlign w:val="center"/>
          </w:tcPr>
          <w:p w:rsidR="008C2B67" w:rsidRPr="0017165E" w:rsidRDefault="0017165E" w:rsidP="008F4262">
            <w:pPr>
              <w:keepNext/>
              <w:widowControl/>
              <w:jc w:val="center"/>
              <w:rPr>
                <w:rFonts w:ascii="Arial Narrow" w:hAnsi="Arial Narrow"/>
                <w:sz w:val="20"/>
                <w:highlight w:val="black"/>
                <w:lang w:val="en-US"/>
              </w:rPr>
            </w:pPr>
            <w:r>
              <w:rPr>
                <w:rFonts w:ascii="Arial Narrow" w:hAnsi="Arial Narrow"/>
                <w:b/>
                <w:bCs/>
                <w:noProof/>
                <w:color w:val="000000"/>
                <w:sz w:val="20"/>
                <w:highlight w:val="black"/>
              </w:rPr>
              <w:t>''''''''' '''''''''''' ''''''''''</w:t>
            </w:r>
          </w:p>
        </w:tc>
        <w:tc>
          <w:tcPr>
            <w:tcW w:w="1019" w:type="pct"/>
            <w:shd w:val="clear" w:color="auto" w:fill="auto"/>
            <w:vAlign w:val="center"/>
          </w:tcPr>
          <w:p w:rsidR="008C2B67" w:rsidRPr="0017165E" w:rsidRDefault="0017165E" w:rsidP="008F4262">
            <w:pPr>
              <w:keepNext/>
              <w:widowControl/>
              <w:jc w:val="center"/>
              <w:rPr>
                <w:rFonts w:ascii="Arial Narrow" w:hAnsi="Arial Narrow"/>
                <w:sz w:val="20"/>
                <w:highlight w:val="black"/>
                <w:lang w:val="en-US"/>
              </w:rPr>
            </w:pPr>
            <w:r>
              <w:rPr>
                <w:rFonts w:ascii="Arial Narrow" w:hAnsi="Arial Narrow"/>
                <w:b/>
                <w:bCs/>
                <w:noProof/>
                <w:color w:val="000000"/>
                <w:sz w:val="20"/>
                <w:highlight w:val="black"/>
              </w:rPr>
              <w:t>''''''''' '''''''''' '''''''''''</w:t>
            </w:r>
          </w:p>
        </w:tc>
        <w:tc>
          <w:tcPr>
            <w:tcW w:w="753" w:type="pct"/>
            <w:shd w:val="clear" w:color="auto" w:fill="auto"/>
            <w:vAlign w:val="center"/>
          </w:tcPr>
          <w:p w:rsidR="008C2B67" w:rsidRPr="0017165E" w:rsidRDefault="0017165E" w:rsidP="008F4262">
            <w:pPr>
              <w:keepNext/>
              <w:widowControl/>
              <w:jc w:val="center"/>
              <w:rPr>
                <w:rFonts w:ascii="Arial Narrow" w:hAnsi="Arial Narrow"/>
                <w:sz w:val="20"/>
                <w:highlight w:val="black"/>
                <w:lang w:val="en-US"/>
              </w:rPr>
            </w:pPr>
            <w:r>
              <w:rPr>
                <w:rFonts w:ascii="Arial Narrow" w:hAnsi="Arial Narrow"/>
                <w:b/>
                <w:bCs/>
                <w:noProof/>
                <w:color w:val="000000"/>
                <w:sz w:val="20"/>
                <w:highlight w:val="black"/>
              </w:rPr>
              <w:t>'' ''''' ''''</w:t>
            </w:r>
          </w:p>
        </w:tc>
      </w:tr>
      <w:tr w:rsidR="008C2B67" w:rsidRPr="00517553" w:rsidTr="009A6D70">
        <w:tc>
          <w:tcPr>
            <w:tcW w:w="2123" w:type="pct"/>
            <w:gridSpan w:val="3"/>
            <w:shd w:val="clear" w:color="auto" w:fill="auto"/>
            <w:vAlign w:val="center"/>
          </w:tcPr>
          <w:p w:rsidR="008C2B67" w:rsidRPr="00517553" w:rsidRDefault="008C2B67" w:rsidP="008F4262">
            <w:pPr>
              <w:keepNext/>
              <w:widowControl/>
              <w:jc w:val="center"/>
              <w:rPr>
                <w:rFonts w:ascii="Arial Narrow" w:hAnsi="Arial Narrow"/>
                <w:sz w:val="20"/>
                <w:lang w:val="en-US"/>
              </w:rPr>
            </w:pPr>
          </w:p>
        </w:tc>
        <w:tc>
          <w:tcPr>
            <w:tcW w:w="1105" w:type="pct"/>
            <w:shd w:val="clear" w:color="auto" w:fill="auto"/>
            <w:vAlign w:val="center"/>
          </w:tcPr>
          <w:p w:rsidR="008C2B67" w:rsidRPr="0017165E" w:rsidRDefault="0017165E" w:rsidP="008F4262">
            <w:pPr>
              <w:keepNext/>
              <w:widowControl/>
              <w:jc w:val="center"/>
              <w:rPr>
                <w:rFonts w:ascii="Arial Narrow" w:hAnsi="Arial Narrow"/>
                <w:sz w:val="20"/>
                <w:highlight w:val="black"/>
                <w:lang w:val="en-US"/>
              </w:rPr>
            </w:pPr>
            <w:r>
              <w:rPr>
                <w:rFonts w:ascii="Arial Narrow" w:hAnsi="Arial Narrow"/>
                <w:iCs/>
                <w:noProof/>
                <w:color w:val="000000"/>
                <w:sz w:val="20"/>
                <w:highlight w:val="black"/>
              </w:rPr>
              <w:t>'''' '''' ''''''''''''' ''''''''' '''''''''''''''''''''</w:t>
            </w:r>
          </w:p>
        </w:tc>
        <w:tc>
          <w:tcPr>
            <w:tcW w:w="1019" w:type="pct"/>
            <w:shd w:val="clear" w:color="auto" w:fill="auto"/>
            <w:vAlign w:val="center"/>
          </w:tcPr>
          <w:p w:rsidR="008C2B67" w:rsidRPr="0017165E" w:rsidRDefault="0017165E" w:rsidP="008F4262">
            <w:pPr>
              <w:keepNext/>
              <w:widowControl/>
              <w:jc w:val="center"/>
              <w:rPr>
                <w:rFonts w:ascii="Arial Narrow" w:hAnsi="Arial Narrow"/>
                <w:sz w:val="20"/>
                <w:highlight w:val="black"/>
                <w:lang w:val="en-US"/>
              </w:rPr>
            </w:pPr>
            <w:r>
              <w:rPr>
                <w:rFonts w:ascii="Arial Narrow" w:hAnsi="Arial Narrow"/>
                <w:iCs/>
                <w:noProof/>
                <w:color w:val="000000"/>
                <w:sz w:val="20"/>
                <w:highlight w:val="black"/>
              </w:rPr>
              <w:t>''''' '''' '''''''''''' '''''''''' ''''''''''''''''</w:t>
            </w:r>
          </w:p>
        </w:tc>
        <w:tc>
          <w:tcPr>
            <w:tcW w:w="753" w:type="pct"/>
            <w:shd w:val="clear" w:color="auto" w:fill="auto"/>
            <w:vAlign w:val="center"/>
          </w:tcPr>
          <w:p w:rsidR="008C2B67" w:rsidRPr="00517553" w:rsidRDefault="008C2B67" w:rsidP="008F4262">
            <w:pPr>
              <w:keepNext/>
              <w:widowControl/>
              <w:jc w:val="center"/>
              <w:rPr>
                <w:rFonts w:ascii="Arial Narrow" w:hAnsi="Arial Narrow"/>
                <w:sz w:val="20"/>
                <w:lang w:val="en-US"/>
              </w:rPr>
            </w:pPr>
          </w:p>
        </w:tc>
      </w:tr>
      <w:tr w:rsidR="008C2B67" w:rsidRPr="00517553" w:rsidTr="009A6D70">
        <w:tc>
          <w:tcPr>
            <w:tcW w:w="4999" w:type="pct"/>
            <w:gridSpan w:val="6"/>
            <w:shd w:val="clear" w:color="auto" w:fill="auto"/>
          </w:tcPr>
          <w:p w:rsidR="008C2B67" w:rsidRPr="00517553" w:rsidRDefault="008C2B67" w:rsidP="008F4262">
            <w:pPr>
              <w:keepNext/>
              <w:widowControl/>
              <w:jc w:val="left"/>
              <w:rPr>
                <w:rFonts w:ascii="Arial Narrow" w:hAnsi="Arial Narrow"/>
                <w:sz w:val="20"/>
                <w:lang w:val="en-US"/>
              </w:rPr>
            </w:pPr>
            <w:proofErr w:type="spellStart"/>
            <w:r w:rsidRPr="00517553">
              <w:rPr>
                <w:rFonts w:ascii="Arial Narrow" w:hAnsi="Arial Narrow"/>
                <w:b/>
                <w:bCs/>
                <w:sz w:val="20"/>
              </w:rPr>
              <w:t>Vitrectomy</w:t>
            </w:r>
            <w:proofErr w:type="spellEnd"/>
            <w:r w:rsidRPr="00517553">
              <w:rPr>
                <w:rFonts w:ascii="Arial Narrow" w:hAnsi="Arial Narrow"/>
                <w:b/>
                <w:bCs/>
                <w:sz w:val="20"/>
              </w:rPr>
              <w:t xml:space="preserve"> required (FAS)</w:t>
            </w:r>
          </w:p>
        </w:tc>
      </w:tr>
      <w:tr w:rsidR="008C2B67" w:rsidRPr="00517553" w:rsidTr="009A6D70">
        <w:tc>
          <w:tcPr>
            <w:tcW w:w="4999" w:type="pct"/>
            <w:gridSpan w:val="6"/>
            <w:shd w:val="clear" w:color="auto" w:fill="auto"/>
            <w:vAlign w:val="center"/>
          </w:tcPr>
          <w:p w:rsidR="008C2B67" w:rsidRPr="00517553" w:rsidRDefault="008C2B67" w:rsidP="008F4262">
            <w:pPr>
              <w:keepNext/>
              <w:widowControl/>
              <w:jc w:val="left"/>
              <w:rPr>
                <w:rFonts w:ascii="Arial Narrow" w:hAnsi="Arial Narrow"/>
                <w:sz w:val="20"/>
                <w:lang w:val="en-US"/>
              </w:rPr>
            </w:pPr>
            <w:r w:rsidRPr="00517553">
              <w:rPr>
                <w:rFonts w:ascii="Arial Narrow" w:hAnsi="Arial Narrow"/>
                <w:b/>
                <w:bCs/>
                <w:sz w:val="20"/>
              </w:rPr>
              <w:t>Month 6</w:t>
            </w:r>
          </w:p>
        </w:tc>
      </w:tr>
      <w:tr w:rsidR="008C2B67" w:rsidRPr="00517553" w:rsidTr="009A6D70">
        <w:tc>
          <w:tcPr>
            <w:tcW w:w="592" w:type="pct"/>
            <w:shd w:val="clear" w:color="auto" w:fill="auto"/>
          </w:tcPr>
          <w:p w:rsidR="008C2B67" w:rsidRPr="00517553" w:rsidRDefault="008C2B67" w:rsidP="008F4262">
            <w:pPr>
              <w:keepNext/>
              <w:widowControl/>
              <w:jc w:val="left"/>
              <w:rPr>
                <w:rFonts w:ascii="Arial Narrow" w:hAnsi="Arial Narrow"/>
                <w:sz w:val="20"/>
                <w:lang w:val="en-US"/>
              </w:rPr>
            </w:pPr>
            <w:r w:rsidRPr="00517553">
              <w:rPr>
                <w:rFonts w:ascii="Arial Narrow" w:hAnsi="Arial Narrow"/>
                <w:sz w:val="20"/>
              </w:rPr>
              <w:t>TG-MV-006</w:t>
            </w:r>
          </w:p>
        </w:tc>
        <w:tc>
          <w:tcPr>
            <w:tcW w:w="765" w:type="pct"/>
            <w:shd w:val="clear" w:color="auto" w:fill="auto"/>
            <w:vAlign w:val="center"/>
          </w:tcPr>
          <w:p w:rsidR="008C2B67" w:rsidRPr="00517553" w:rsidRDefault="008C2B67" w:rsidP="008F4262">
            <w:pPr>
              <w:keepNext/>
              <w:widowControl/>
              <w:jc w:val="center"/>
              <w:rPr>
                <w:rFonts w:ascii="Arial Narrow" w:hAnsi="Arial Narrow"/>
                <w:sz w:val="20"/>
                <w:lang w:val="en-US"/>
              </w:rPr>
            </w:pPr>
            <w:r w:rsidRPr="00517553">
              <w:rPr>
                <w:rFonts w:ascii="Arial Narrow" w:hAnsi="Arial Narrow"/>
                <w:sz w:val="20"/>
              </w:rPr>
              <w:t>45/219 (20.5)</w:t>
            </w:r>
          </w:p>
        </w:tc>
        <w:tc>
          <w:tcPr>
            <w:tcW w:w="765" w:type="pct"/>
            <w:shd w:val="clear" w:color="auto" w:fill="auto"/>
            <w:vAlign w:val="center"/>
          </w:tcPr>
          <w:p w:rsidR="008C2B67" w:rsidRPr="00517553" w:rsidRDefault="008C2B67" w:rsidP="008F4262">
            <w:pPr>
              <w:keepNext/>
              <w:widowControl/>
              <w:jc w:val="center"/>
              <w:rPr>
                <w:rFonts w:ascii="Arial Narrow" w:hAnsi="Arial Narrow"/>
                <w:sz w:val="20"/>
                <w:lang w:val="en-US"/>
              </w:rPr>
            </w:pPr>
            <w:r w:rsidRPr="00517553">
              <w:rPr>
                <w:rFonts w:ascii="Arial Narrow" w:hAnsi="Arial Narrow"/>
                <w:sz w:val="20"/>
              </w:rPr>
              <w:t>31/107 (29.0)</w:t>
            </w:r>
          </w:p>
        </w:tc>
        <w:tc>
          <w:tcPr>
            <w:tcW w:w="1105" w:type="pct"/>
            <w:shd w:val="clear" w:color="auto" w:fill="auto"/>
            <w:vAlign w:val="center"/>
          </w:tcPr>
          <w:p w:rsidR="008C2B67" w:rsidRPr="00517553" w:rsidRDefault="008C2B67" w:rsidP="008F4262">
            <w:pPr>
              <w:keepNext/>
              <w:widowControl/>
              <w:jc w:val="center"/>
              <w:rPr>
                <w:rFonts w:ascii="Arial Narrow" w:hAnsi="Arial Narrow"/>
                <w:sz w:val="20"/>
                <w:lang w:val="en-US"/>
              </w:rPr>
            </w:pPr>
            <w:r w:rsidRPr="00517553">
              <w:rPr>
                <w:rFonts w:ascii="Arial Narrow" w:hAnsi="Arial Narrow"/>
                <w:sz w:val="20"/>
              </w:rPr>
              <w:t>-0.08 (-0.19, 0.02)</w:t>
            </w:r>
          </w:p>
        </w:tc>
        <w:tc>
          <w:tcPr>
            <w:tcW w:w="1019" w:type="pct"/>
            <w:shd w:val="clear" w:color="auto" w:fill="auto"/>
            <w:vAlign w:val="center"/>
          </w:tcPr>
          <w:p w:rsidR="008C2B67" w:rsidRPr="00517553" w:rsidRDefault="008C2B67" w:rsidP="008F4262">
            <w:pPr>
              <w:keepNext/>
              <w:widowControl/>
              <w:jc w:val="center"/>
              <w:rPr>
                <w:rFonts w:ascii="Arial Narrow" w:hAnsi="Arial Narrow"/>
                <w:sz w:val="20"/>
                <w:lang w:val="en-US"/>
              </w:rPr>
            </w:pPr>
            <w:r w:rsidRPr="00517553">
              <w:rPr>
                <w:rFonts w:ascii="Arial Narrow" w:hAnsi="Arial Narrow"/>
                <w:sz w:val="20"/>
              </w:rPr>
              <w:t>0.71 (0.48, 1.05)</w:t>
            </w:r>
          </w:p>
        </w:tc>
        <w:tc>
          <w:tcPr>
            <w:tcW w:w="753" w:type="pct"/>
            <w:shd w:val="clear" w:color="auto" w:fill="auto"/>
            <w:vAlign w:val="center"/>
          </w:tcPr>
          <w:p w:rsidR="008C2B67" w:rsidRPr="00517553" w:rsidRDefault="008C2B67" w:rsidP="008F4262">
            <w:pPr>
              <w:keepNext/>
              <w:widowControl/>
              <w:jc w:val="center"/>
              <w:rPr>
                <w:rFonts w:ascii="Arial Narrow" w:hAnsi="Arial Narrow"/>
                <w:sz w:val="20"/>
                <w:lang w:val="en-US"/>
              </w:rPr>
            </w:pPr>
            <w:r w:rsidRPr="00517553">
              <w:rPr>
                <w:rFonts w:ascii="Arial Narrow" w:hAnsi="Arial Narrow"/>
                <w:sz w:val="20"/>
              </w:rPr>
              <w:t>NA</w:t>
            </w:r>
          </w:p>
        </w:tc>
      </w:tr>
      <w:tr w:rsidR="008C2B67" w:rsidRPr="00517553" w:rsidTr="009A6D70">
        <w:tc>
          <w:tcPr>
            <w:tcW w:w="592" w:type="pct"/>
            <w:shd w:val="clear" w:color="auto" w:fill="auto"/>
          </w:tcPr>
          <w:p w:rsidR="008C2B67" w:rsidRPr="00517553" w:rsidRDefault="008C2B67" w:rsidP="008F4262">
            <w:pPr>
              <w:keepNext/>
              <w:widowControl/>
              <w:jc w:val="left"/>
              <w:rPr>
                <w:rFonts w:ascii="Arial Narrow" w:hAnsi="Arial Narrow"/>
                <w:sz w:val="20"/>
                <w:lang w:val="en-US"/>
              </w:rPr>
            </w:pPr>
            <w:r w:rsidRPr="00517553">
              <w:rPr>
                <w:rFonts w:ascii="Arial Narrow" w:hAnsi="Arial Narrow"/>
                <w:sz w:val="20"/>
              </w:rPr>
              <w:t>TG-MV-007</w:t>
            </w:r>
          </w:p>
        </w:tc>
        <w:tc>
          <w:tcPr>
            <w:tcW w:w="765" w:type="pct"/>
            <w:shd w:val="clear" w:color="auto" w:fill="auto"/>
            <w:vAlign w:val="center"/>
          </w:tcPr>
          <w:p w:rsidR="008C2B67" w:rsidRPr="00517553" w:rsidRDefault="008C2B67" w:rsidP="008F4262">
            <w:pPr>
              <w:keepNext/>
              <w:widowControl/>
              <w:jc w:val="center"/>
              <w:rPr>
                <w:rFonts w:ascii="Arial Narrow" w:hAnsi="Arial Narrow"/>
                <w:sz w:val="20"/>
                <w:lang w:val="en-US"/>
              </w:rPr>
            </w:pPr>
            <w:r w:rsidRPr="00517553">
              <w:rPr>
                <w:rFonts w:ascii="Arial Narrow" w:hAnsi="Arial Narrow"/>
                <w:sz w:val="20"/>
              </w:rPr>
              <w:t>37/245 (15.1)</w:t>
            </w:r>
          </w:p>
        </w:tc>
        <w:tc>
          <w:tcPr>
            <w:tcW w:w="765" w:type="pct"/>
            <w:shd w:val="clear" w:color="auto" w:fill="auto"/>
            <w:vAlign w:val="center"/>
          </w:tcPr>
          <w:p w:rsidR="008C2B67" w:rsidRPr="00517553" w:rsidRDefault="008C2B67" w:rsidP="008F4262">
            <w:pPr>
              <w:keepNext/>
              <w:widowControl/>
              <w:jc w:val="center"/>
              <w:rPr>
                <w:rFonts w:ascii="Arial Narrow" w:hAnsi="Arial Narrow"/>
                <w:sz w:val="20"/>
                <w:lang w:val="en-US"/>
              </w:rPr>
            </w:pPr>
            <w:r w:rsidRPr="00517553">
              <w:rPr>
                <w:rFonts w:ascii="Arial Narrow" w:hAnsi="Arial Narrow"/>
                <w:sz w:val="20"/>
              </w:rPr>
              <w:t>19/81 (23.5)</w:t>
            </w:r>
          </w:p>
        </w:tc>
        <w:tc>
          <w:tcPr>
            <w:tcW w:w="1105" w:type="pct"/>
            <w:shd w:val="clear" w:color="auto" w:fill="auto"/>
            <w:vAlign w:val="center"/>
          </w:tcPr>
          <w:p w:rsidR="008C2B67" w:rsidRPr="00517553" w:rsidRDefault="008C2B67" w:rsidP="008F4262">
            <w:pPr>
              <w:keepNext/>
              <w:widowControl/>
              <w:jc w:val="center"/>
              <w:rPr>
                <w:rFonts w:ascii="Arial Narrow" w:hAnsi="Arial Narrow"/>
                <w:sz w:val="20"/>
                <w:lang w:val="en-US"/>
              </w:rPr>
            </w:pPr>
            <w:r w:rsidRPr="00517553">
              <w:rPr>
                <w:rFonts w:ascii="Arial Narrow" w:hAnsi="Arial Narrow"/>
                <w:sz w:val="20"/>
              </w:rPr>
              <w:t>-0.08 (-0.19, 0.02)</w:t>
            </w:r>
          </w:p>
        </w:tc>
        <w:tc>
          <w:tcPr>
            <w:tcW w:w="1019" w:type="pct"/>
            <w:shd w:val="clear" w:color="auto" w:fill="auto"/>
            <w:vAlign w:val="center"/>
          </w:tcPr>
          <w:p w:rsidR="008C2B67" w:rsidRPr="00517553" w:rsidRDefault="008C2B67" w:rsidP="008F4262">
            <w:pPr>
              <w:keepNext/>
              <w:widowControl/>
              <w:jc w:val="center"/>
              <w:rPr>
                <w:rFonts w:ascii="Arial Narrow" w:hAnsi="Arial Narrow"/>
                <w:sz w:val="20"/>
                <w:lang w:val="en-US"/>
              </w:rPr>
            </w:pPr>
            <w:r w:rsidRPr="00517553">
              <w:rPr>
                <w:rFonts w:ascii="Arial Narrow" w:hAnsi="Arial Narrow"/>
                <w:sz w:val="20"/>
              </w:rPr>
              <w:t>0.64 (0.39, 1.05)</w:t>
            </w:r>
          </w:p>
        </w:tc>
        <w:tc>
          <w:tcPr>
            <w:tcW w:w="753" w:type="pct"/>
            <w:shd w:val="clear" w:color="auto" w:fill="auto"/>
            <w:vAlign w:val="center"/>
          </w:tcPr>
          <w:p w:rsidR="008C2B67" w:rsidRPr="00517553" w:rsidRDefault="008C2B67" w:rsidP="008F4262">
            <w:pPr>
              <w:keepNext/>
              <w:widowControl/>
              <w:jc w:val="center"/>
              <w:rPr>
                <w:rFonts w:ascii="Arial Narrow" w:hAnsi="Arial Narrow"/>
                <w:sz w:val="20"/>
                <w:lang w:val="en-US"/>
              </w:rPr>
            </w:pPr>
            <w:r w:rsidRPr="00517553">
              <w:rPr>
                <w:rFonts w:ascii="Arial Narrow" w:hAnsi="Arial Narrow"/>
                <w:sz w:val="20"/>
              </w:rPr>
              <w:t>NA</w:t>
            </w:r>
          </w:p>
        </w:tc>
      </w:tr>
      <w:tr w:rsidR="008C2B67" w:rsidRPr="00517553" w:rsidTr="009A6D70">
        <w:tc>
          <w:tcPr>
            <w:tcW w:w="592" w:type="pct"/>
            <w:shd w:val="clear" w:color="auto" w:fill="auto"/>
          </w:tcPr>
          <w:p w:rsidR="008C2B67" w:rsidRPr="00517553" w:rsidRDefault="008C2B67" w:rsidP="008F4262">
            <w:pPr>
              <w:keepNext/>
              <w:widowControl/>
              <w:jc w:val="left"/>
              <w:rPr>
                <w:rFonts w:ascii="Arial Narrow" w:hAnsi="Arial Narrow"/>
                <w:sz w:val="20"/>
                <w:lang w:val="en-US"/>
              </w:rPr>
            </w:pPr>
            <w:r w:rsidRPr="00517553">
              <w:rPr>
                <w:rFonts w:ascii="Arial Narrow" w:hAnsi="Arial Narrow"/>
                <w:sz w:val="20"/>
              </w:rPr>
              <w:t>OASIS</w:t>
            </w:r>
          </w:p>
        </w:tc>
        <w:tc>
          <w:tcPr>
            <w:tcW w:w="765" w:type="pct"/>
            <w:shd w:val="clear" w:color="auto" w:fill="auto"/>
            <w:vAlign w:val="center"/>
          </w:tcPr>
          <w:p w:rsidR="008C2B67" w:rsidRPr="0017165E" w:rsidRDefault="0017165E" w:rsidP="008F4262">
            <w:pPr>
              <w:keepNext/>
              <w:widowControl/>
              <w:jc w:val="center"/>
              <w:rPr>
                <w:rFonts w:ascii="Arial Narrow" w:hAnsi="Arial Narrow"/>
                <w:sz w:val="20"/>
                <w:highlight w:val="black"/>
                <w:lang w:val="en-US"/>
              </w:rPr>
            </w:pPr>
            <w:r>
              <w:rPr>
                <w:rFonts w:ascii="Arial Narrow" w:hAnsi="Arial Narrow"/>
                <w:noProof/>
                <w:color w:val="000000"/>
                <w:sz w:val="20"/>
                <w:highlight w:val="black"/>
              </w:rPr>
              <w:t>'''''''''''''''' ''''''''''''''</w:t>
            </w:r>
          </w:p>
        </w:tc>
        <w:tc>
          <w:tcPr>
            <w:tcW w:w="765" w:type="pct"/>
            <w:shd w:val="clear" w:color="auto" w:fill="auto"/>
            <w:vAlign w:val="center"/>
          </w:tcPr>
          <w:p w:rsidR="008C2B67" w:rsidRPr="0017165E" w:rsidRDefault="0017165E" w:rsidP="008F4262">
            <w:pPr>
              <w:keepNext/>
              <w:widowControl/>
              <w:jc w:val="center"/>
              <w:rPr>
                <w:rFonts w:ascii="Arial Narrow" w:hAnsi="Arial Narrow"/>
                <w:sz w:val="20"/>
                <w:highlight w:val="black"/>
                <w:lang w:val="en-US"/>
              </w:rPr>
            </w:pPr>
            <w:r>
              <w:rPr>
                <w:rFonts w:ascii="Arial Narrow" w:hAnsi="Arial Narrow"/>
                <w:noProof/>
                <w:color w:val="000000"/>
                <w:sz w:val="20"/>
                <w:highlight w:val="black"/>
              </w:rPr>
              <w:t>'''''''''''''' ''''''''''''''</w:t>
            </w:r>
          </w:p>
        </w:tc>
        <w:tc>
          <w:tcPr>
            <w:tcW w:w="1105" w:type="pct"/>
            <w:shd w:val="clear" w:color="auto" w:fill="auto"/>
            <w:vAlign w:val="center"/>
          </w:tcPr>
          <w:p w:rsidR="008C2B67" w:rsidRPr="0017165E" w:rsidRDefault="0017165E" w:rsidP="008F4262">
            <w:pPr>
              <w:keepNext/>
              <w:widowControl/>
              <w:jc w:val="center"/>
              <w:rPr>
                <w:rFonts w:ascii="Arial Narrow" w:hAnsi="Arial Narrow"/>
                <w:sz w:val="20"/>
                <w:highlight w:val="black"/>
                <w:lang w:val="en-US"/>
              </w:rPr>
            </w:pPr>
            <w:r>
              <w:rPr>
                <w:rFonts w:ascii="Arial Narrow" w:hAnsi="Arial Narrow"/>
                <w:noProof/>
                <w:color w:val="000000"/>
                <w:sz w:val="20"/>
                <w:highlight w:val="black"/>
              </w:rPr>
              <w:t>''''''''''' ''''''''''''''' ''''''''''''''</w:t>
            </w:r>
          </w:p>
        </w:tc>
        <w:tc>
          <w:tcPr>
            <w:tcW w:w="1019" w:type="pct"/>
            <w:shd w:val="clear" w:color="auto" w:fill="auto"/>
            <w:vAlign w:val="center"/>
          </w:tcPr>
          <w:p w:rsidR="008C2B67" w:rsidRPr="0017165E" w:rsidRDefault="0017165E" w:rsidP="008F4262">
            <w:pPr>
              <w:keepNext/>
              <w:widowControl/>
              <w:jc w:val="center"/>
              <w:rPr>
                <w:rFonts w:ascii="Arial Narrow" w:hAnsi="Arial Narrow"/>
                <w:sz w:val="20"/>
                <w:highlight w:val="black"/>
                <w:lang w:val="en-US"/>
              </w:rPr>
            </w:pPr>
            <w:r>
              <w:rPr>
                <w:rFonts w:ascii="Arial Narrow" w:hAnsi="Arial Narrow"/>
                <w:noProof/>
                <w:color w:val="000000"/>
                <w:sz w:val="20"/>
                <w:highlight w:val="black"/>
              </w:rPr>
              <w:t>'''''''''' ''''''''''''''' ''''''''''''</w:t>
            </w:r>
          </w:p>
        </w:tc>
        <w:tc>
          <w:tcPr>
            <w:tcW w:w="753" w:type="pct"/>
            <w:shd w:val="clear" w:color="auto" w:fill="auto"/>
            <w:vAlign w:val="center"/>
          </w:tcPr>
          <w:p w:rsidR="008C2B67" w:rsidRPr="00517553" w:rsidRDefault="008C2B67" w:rsidP="008F4262">
            <w:pPr>
              <w:keepNext/>
              <w:widowControl/>
              <w:jc w:val="center"/>
              <w:rPr>
                <w:rFonts w:ascii="Arial Narrow" w:hAnsi="Arial Narrow"/>
                <w:sz w:val="20"/>
                <w:lang w:val="en-US"/>
              </w:rPr>
            </w:pPr>
            <w:r w:rsidRPr="00517553">
              <w:rPr>
                <w:rFonts w:ascii="Arial Narrow" w:hAnsi="Arial Narrow"/>
                <w:sz w:val="20"/>
              </w:rPr>
              <w:t>NA</w:t>
            </w:r>
          </w:p>
        </w:tc>
      </w:tr>
      <w:tr w:rsidR="008C2B67" w:rsidRPr="00517553" w:rsidTr="009A6D70">
        <w:tc>
          <w:tcPr>
            <w:tcW w:w="592" w:type="pct"/>
            <w:shd w:val="clear" w:color="auto" w:fill="auto"/>
            <w:vAlign w:val="center"/>
          </w:tcPr>
          <w:p w:rsidR="008C2B67" w:rsidRPr="00517553" w:rsidRDefault="008C2B67" w:rsidP="008F4262">
            <w:pPr>
              <w:keepNext/>
              <w:widowControl/>
              <w:jc w:val="right"/>
              <w:rPr>
                <w:rFonts w:ascii="Arial Narrow" w:hAnsi="Arial Narrow"/>
                <w:sz w:val="20"/>
                <w:lang w:val="en-US"/>
              </w:rPr>
            </w:pPr>
            <w:r w:rsidRPr="00517553">
              <w:rPr>
                <w:rFonts w:ascii="Arial Narrow" w:hAnsi="Arial Narrow"/>
                <w:sz w:val="20"/>
              </w:rPr>
              <w:t>Pooled</w:t>
            </w:r>
          </w:p>
        </w:tc>
        <w:tc>
          <w:tcPr>
            <w:tcW w:w="765" w:type="pct"/>
            <w:shd w:val="clear" w:color="auto" w:fill="auto"/>
            <w:vAlign w:val="center"/>
          </w:tcPr>
          <w:p w:rsidR="008C2B67" w:rsidRPr="0017165E" w:rsidRDefault="0017165E" w:rsidP="008F4262">
            <w:pPr>
              <w:keepNext/>
              <w:widowControl/>
              <w:jc w:val="center"/>
              <w:rPr>
                <w:rFonts w:ascii="Arial Narrow" w:hAnsi="Arial Narrow"/>
                <w:sz w:val="20"/>
                <w:highlight w:val="black"/>
                <w:lang w:val="en-US"/>
              </w:rPr>
            </w:pPr>
            <w:r>
              <w:rPr>
                <w:rFonts w:ascii="Arial Narrow" w:hAnsi="Arial Narrow"/>
                <w:noProof/>
                <w:color w:val="000000"/>
                <w:sz w:val="20"/>
                <w:highlight w:val="black"/>
              </w:rPr>
              <w:t>'''''''''''''''''' '''''''''''''</w:t>
            </w:r>
          </w:p>
        </w:tc>
        <w:tc>
          <w:tcPr>
            <w:tcW w:w="765" w:type="pct"/>
            <w:shd w:val="clear" w:color="auto" w:fill="auto"/>
            <w:vAlign w:val="center"/>
          </w:tcPr>
          <w:p w:rsidR="008C2B67" w:rsidRPr="0017165E" w:rsidRDefault="0017165E" w:rsidP="008F4262">
            <w:pPr>
              <w:keepNext/>
              <w:widowControl/>
              <w:jc w:val="center"/>
              <w:rPr>
                <w:rFonts w:ascii="Arial Narrow" w:hAnsi="Arial Narrow"/>
                <w:sz w:val="20"/>
                <w:highlight w:val="black"/>
                <w:lang w:val="en-US"/>
              </w:rPr>
            </w:pPr>
            <w:r>
              <w:rPr>
                <w:rFonts w:ascii="Arial Narrow" w:hAnsi="Arial Narrow"/>
                <w:noProof/>
                <w:color w:val="000000"/>
                <w:sz w:val="20"/>
                <w:highlight w:val="black"/>
              </w:rPr>
              <w:t>'''''''''''''''' '''''''''''''</w:t>
            </w:r>
          </w:p>
        </w:tc>
        <w:tc>
          <w:tcPr>
            <w:tcW w:w="1105" w:type="pct"/>
            <w:shd w:val="clear" w:color="auto" w:fill="auto"/>
            <w:vAlign w:val="center"/>
          </w:tcPr>
          <w:p w:rsidR="008C2B67" w:rsidRPr="0017165E" w:rsidRDefault="0017165E" w:rsidP="008F4262">
            <w:pPr>
              <w:keepNext/>
              <w:widowControl/>
              <w:jc w:val="center"/>
              <w:rPr>
                <w:rFonts w:ascii="Arial Narrow" w:hAnsi="Arial Narrow"/>
                <w:sz w:val="20"/>
                <w:highlight w:val="black"/>
                <w:lang w:val="en-US"/>
              </w:rPr>
            </w:pPr>
            <w:r>
              <w:rPr>
                <w:rFonts w:ascii="Arial Narrow" w:hAnsi="Arial Narrow"/>
                <w:noProof/>
                <w:color w:val="000000"/>
                <w:sz w:val="20"/>
                <w:highlight w:val="black"/>
              </w:rPr>
              <w:t>''''''''''''' ''''''''''''''' '''''''''''</w:t>
            </w:r>
          </w:p>
        </w:tc>
        <w:tc>
          <w:tcPr>
            <w:tcW w:w="1019" w:type="pct"/>
            <w:shd w:val="clear" w:color="auto" w:fill="auto"/>
            <w:vAlign w:val="center"/>
          </w:tcPr>
          <w:p w:rsidR="008C2B67" w:rsidRPr="0017165E" w:rsidRDefault="0017165E" w:rsidP="008F4262">
            <w:pPr>
              <w:keepNext/>
              <w:widowControl/>
              <w:jc w:val="center"/>
              <w:rPr>
                <w:rFonts w:ascii="Arial Narrow" w:hAnsi="Arial Narrow"/>
                <w:sz w:val="20"/>
                <w:highlight w:val="black"/>
                <w:lang w:val="en-US"/>
              </w:rPr>
            </w:pPr>
            <w:r>
              <w:rPr>
                <w:rFonts w:ascii="Arial Narrow" w:hAnsi="Arial Narrow"/>
                <w:b/>
                <w:bCs/>
                <w:noProof/>
                <w:color w:val="000000"/>
                <w:sz w:val="20"/>
                <w:highlight w:val="black"/>
              </w:rPr>
              <w:t>'''''''' '''''''''' '''''''''''</w:t>
            </w:r>
          </w:p>
        </w:tc>
        <w:tc>
          <w:tcPr>
            <w:tcW w:w="753" w:type="pct"/>
            <w:shd w:val="clear" w:color="auto" w:fill="auto"/>
            <w:vAlign w:val="center"/>
          </w:tcPr>
          <w:p w:rsidR="008C2B67" w:rsidRPr="00517553" w:rsidRDefault="008C2B67" w:rsidP="008F4262">
            <w:pPr>
              <w:keepNext/>
              <w:widowControl/>
              <w:jc w:val="center"/>
              <w:rPr>
                <w:rFonts w:ascii="Arial Narrow" w:hAnsi="Arial Narrow"/>
                <w:sz w:val="20"/>
                <w:lang w:val="en-US"/>
              </w:rPr>
            </w:pPr>
            <w:r w:rsidRPr="00517553">
              <w:rPr>
                <w:rFonts w:ascii="Arial Narrow" w:hAnsi="Arial Narrow"/>
                <w:sz w:val="20"/>
              </w:rPr>
              <w:t>NA</w:t>
            </w:r>
          </w:p>
        </w:tc>
      </w:tr>
      <w:tr w:rsidR="008C2B67" w:rsidRPr="00517553" w:rsidTr="009A6D70">
        <w:tc>
          <w:tcPr>
            <w:tcW w:w="4999" w:type="pct"/>
            <w:gridSpan w:val="6"/>
            <w:shd w:val="clear" w:color="auto" w:fill="auto"/>
            <w:vAlign w:val="center"/>
          </w:tcPr>
          <w:p w:rsidR="008C2B67" w:rsidRPr="00517553" w:rsidRDefault="008C2B67" w:rsidP="008F4262">
            <w:pPr>
              <w:keepNext/>
              <w:widowControl/>
              <w:jc w:val="left"/>
              <w:rPr>
                <w:rFonts w:ascii="Arial Narrow" w:hAnsi="Arial Narrow"/>
                <w:sz w:val="20"/>
                <w:lang w:val="en-US"/>
              </w:rPr>
            </w:pPr>
            <w:r w:rsidRPr="00517553">
              <w:rPr>
                <w:rFonts w:ascii="Arial Narrow" w:hAnsi="Arial Narrow"/>
                <w:b/>
                <w:bCs/>
                <w:sz w:val="20"/>
              </w:rPr>
              <w:t>Month 24</w:t>
            </w:r>
          </w:p>
        </w:tc>
      </w:tr>
      <w:tr w:rsidR="008C2B67" w:rsidRPr="00517553" w:rsidTr="009A6D70">
        <w:tc>
          <w:tcPr>
            <w:tcW w:w="592" w:type="pct"/>
            <w:shd w:val="clear" w:color="auto" w:fill="auto"/>
            <w:vAlign w:val="center"/>
          </w:tcPr>
          <w:p w:rsidR="008C2B67" w:rsidRPr="00517553" w:rsidRDefault="008C2B67" w:rsidP="008F4262">
            <w:pPr>
              <w:keepNext/>
              <w:widowControl/>
              <w:jc w:val="left"/>
              <w:rPr>
                <w:rFonts w:ascii="Arial Narrow" w:hAnsi="Arial Narrow"/>
                <w:sz w:val="20"/>
                <w:lang w:val="en-US"/>
              </w:rPr>
            </w:pPr>
            <w:r w:rsidRPr="00517553">
              <w:rPr>
                <w:rFonts w:ascii="Arial Narrow" w:hAnsi="Arial Narrow"/>
                <w:sz w:val="20"/>
              </w:rPr>
              <w:t>OASIS</w:t>
            </w:r>
          </w:p>
        </w:tc>
        <w:tc>
          <w:tcPr>
            <w:tcW w:w="765" w:type="pct"/>
            <w:shd w:val="clear" w:color="auto" w:fill="auto"/>
            <w:vAlign w:val="center"/>
          </w:tcPr>
          <w:p w:rsidR="008C2B67" w:rsidRPr="00517553" w:rsidRDefault="008C2B67" w:rsidP="008F4262">
            <w:pPr>
              <w:keepNext/>
              <w:widowControl/>
              <w:jc w:val="center"/>
              <w:rPr>
                <w:rFonts w:ascii="Arial Narrow" w:hAnsi="Arial Narrow"/>
                <w:sz w:val="20"/>
                <w:lang w:val="en-US"/>
              </w:rPr>
            </w:pPr>
            <w:r w:rsidRPr="00517553">
              <w:rPr>
                <w:rFonts w:ascii="Arial Narrow" w:hAnsi="Arial Narrow"/>
                <w:sz w:val="20"/>
              </w:rPr>
              <w:t>48</w:t>
            </w:r>
            <w:r w:rsidR="0017165E">
              <w:rPr>
                <w:rFonts w:ascii="Arial Narrow" w:hAnsi="Arial Narrow"/>
                <w:noProof/>
                <w:color w:val="000000"/>
                <w:sz w:val="20"/>
                <w:highlight w:val="black"/>
              </w:rPr>
              <w:t>'''''''''' ''''''''''''''</w:t>
            </w:r>
          </w:p>
        </w:tc>
        <w:tc>
          <w:tcPr>
            <w:tcW w:w="766" w:type="pct"/>
            <w:shd w:val="clear" w:color="auto" w:fill="auto"/>
            <w:vAlign w:val="center"/>
          </w:tcPr>
          <w:p w:rsidR="008C2B67" w:rsidRPr="0017165E" w:rsidRDefault="0017165E" w:rsidP="008F4262">
            <w:pPr>
              <w:keepNext/>
              <w:widowControl/>
              <w:jc w:val="center"/>
              <w:rPr>
                <w:rFonts w:ascii="Arial Narrow" w:hAnsi="Arial Narrow"/>
                <w:sz w:val="20"/>
                <w:highlight w:val="black"/>
                <w:lang w:val="en-US"/>
              </w:rPr>
            </w:pPr>
            <w:r>
              <w:rPr>
                <w:rFonts w:ascii="Arial Narrow" w:hAnsi="Arial Narrow"/>
                <w:noProof/>
                <w:color w:val="000000"/>
                <w:sz w:val="20"/>
                <w:highlight w:val="black"/>
              </w:rPr>
              <w:t>''''''''''''' '''''''''''''''</w:t>
            </w:r>
          </w:p>
        </w:tc>
        <w:tc>
          <w:tcPr>
            <w:tcW w:w="1105" w:type="pct"/>
            <w:shd w:val="clear" w:color="auto" w:fill="auto"/>
            <w:vAlign w:val="center"/>
          </w:tcPr>
          <w:p w:rsidR="008C2B67" w:rsidRPr="0017165E" w:rsidRDefault="0017165E" w:rsidP="008F4262">
            <w:pPr>
              <w:keepNext/>
              <w:widowControl/>
              <w:jc w:val="center"/>
              <w:rPr>
                <w:rFonts w:ascii="Arial Narrow" w:hAnsi="Arial Narrow"/>
                <w:sz w:val="20"/>
                <w:highlight w:val="black"/>
                <w:lang w:val="en-US"/>
              </w:rPr>
            </w:pPr>
            <w:r>
              <w:rPr>
                <w:rFonts w:ascii="Arial Narrow" w:hAnsi="Arial Narrow"/>
                <w:noProof/>
                <w:color w:val="000000"/>
                <w:sz w:val="20"/>
                <w:highlight w:val="black"/>
              </w:rPr>
              <w:t>''''''''''''' '''''''''''''''' '''''''''''</w:t>
            </w:r>
          </w:p>
        </w:tc>
        <w:tc>
          <w:tcPr>
            <w:tcW w:w="1019" w:type="pct"/>
            <w:shd w:val="clear" w:color="auto" w:fill="auto"/>
            <w:vAlign w:val="center"/>
          </w:tcPr>
          <w:p w:rsidR="008C2B67" w:rsidRPr="0017165E" w:rsidRDefault="0017165E" w:rsidP="008F4262">
            <w:pPr>
              <w:keepNext/>
              <w:widowControl/>
              <w:jc w:val="center"/>
              <w:rPr>
                <w:rFonts w:ascii="Arial Narrow" w:hAnsi="Arial Narrow"/>
                <w:sz w:val="20"/>
                <w:highlight w:val="black"/>
                <w:lang w:val="en-US"/>
              </w:rPr>
            </w:pPr>
            <w:r>
              <w:rPr>
                <w:rFonts w:ascii="Arial Narrow" w:hAnsi="Arial Narrow"/>
                <w:noProof/>
                <w:color w:val="000000"/>
                <w:sz w:val="20"/>
                <w:highlight w:val="black"/>
              </w:rPr>
              <w:t>'''''''''' ''''''''''''''' '''''''''''''</w:t>
            </w:r>
          </w:p>
        </w:tc>
        <w:tc>
          <w:tcPr>
            <w:tcW w:w="753" w:type="pct"/>
            <w:shd w:val="clear" w:color="auto" w:fill="auto"/>
            <w:vAlign w:val="center"/>
          </w:tcPr>
          <w:p w:rsidR="008C2B67" w:rsidRPr="00517553" w:rsidRDefault="008C2B67" w:rsidP="008F4262">
            <w:pPr>
              <w:keepNext/>
              <w:widowControl/>
              <w:jc w:val="center"/>
              <w:rPr>
                <w:rFonts w:ascii="Arial Narrow" w:hAnsi="Arial Narrow"/>
                <w:sz w:val="20"/>
                <w:lang w:val="en-US"/>
              </w:rPr>
            </w:pPr>
            <w:r w:rsidRPr="00517553">
              <w:rPr>
                <w:rFonts w:ascii="Arial Narrow" w:hAnsi="Arial Narrow"/>
                <w:sz w:val="20"/>
              </w:rPr>
              <w:t>NA</w:t>
            </w:r>
          </w:p>
        </w:tc>
      </w:tr>
      <w:tr w:rsidR="008C2B67" w:rsidRPr="00517553" w:rsidTr="009A6D70">
        <w:tc>
          <w:tcPr>
            <w:tcW w:w="4999" w:type="pct"/>
            <w:gridSpan w:val="6"/>
            <w:shd w:val="clear" w:color="auto" w:fill="auto"/>
            <w:vAlign w:val="center"/>
          </w:tcPr>
          <w:p w:rsidR="008C2B67" w:rsidRPr="00517553" w:rsidRDefault="008C2B67" w:rsidP="008F4262">
            <w:pPr>
              <w:keepNext/>
              <w:widowControl/>
              <w:jc w:val="left"/>
              <w:rPr>
                <w:rFonts w:ascii="Arial Narrow" w:hAnsi="Arial Narrow"/>
                <w:sz w:val="20"/>
                <w:lang w:val="en-US"/>
              </w:rPr>
            </w:pPr>
            <w:r w:rsidRPr="00517553">
              <w:rPr>
                <w:rFonts w:ascii="Arial Narrow" w:hAnsi="Arial Narrow" w:cstheme="majorBidi"/>
                <w:b/>
                <w:bCs/>
                <w:sz w:val="20"/>
              </w:rPr>
              <w:t>≥3 lines improvement in best corrected visual acuity (BCVA) (FAS)</w:t>
            </w:r>
          </w:p>
        </w:tc>
      </w:tr>
      <w:tr w:rsidR="008C2B67" w:rsidRPr="00517553" w:rsidTr="009A6D70">
        <w:tc>
          <w:tcPr>
            <w:tcW w:w="4999" w:type="pct"/>
            <w:gridSpan w:val="6"/>
            <w:shd w:val="clear" w:color="auto" w:fill="auto"/>
            <w:vAlign w:val="center"/>
          </w:tcPr>
          <w:p w:rsidR="008C2B67" w:rsidRPr="00517553" w:rsidRDefault="008C2B67" w:rsidP="008F4262">
            <w:pPr>
              <w:keepNext/>
              <w:widowControl/>
              <w:jc w:val="left"/>
              <w:rPr>
                <w:rFonts w:ascii="Arial Narrow" w:hAnsi="Arial Narrow"/>
                <w:sz w:val="20"/>
                <w:lang w:val="en-US"/>
              </w:rPr>
            </w:pPr>
            <w:r w:rsidRPr="00517553">
              <w:rPr>
                <w:rFonts w:ascii="Arial Narrow" w:hAnsi="Arial Narrow"/>
                <w:b/>
                <w:bCs/>
                <w:sz w:val="20"/>
              </w:rPr>
              <w:t>Month 6</w:t>
            </w:r>
          </w:p>
        </w:tc>
      </w:tr>
      <w:tr w:rsidR="008C2B67" w:rsidRPr="00517553" w:rsidTr="009A6D70">
        <w:tc>
          <w:tcPr>
            <w:tcW w:w="592" w:type="pct"/>
            <w:shd w:val="clear" w:color="auto" w:fill="auto"/>
          </w:tcPr>
          <w:p w:rsidR="008C2B67" w:rsidRPr="00517553" w:rsidRDefault="008C2B67" w:rsidP="008F4262">
            <w:pPr>
              <w:keepNext/>
              <w:widowControl/>
              <w:jc w:val="left"/>
              <w:rPr>
                <w:rFonts w:ascii="Arial Narrow" w:hAnsi="Arial Narrow"/>
                <w:sz w:val="20"/>
                <w:lang w:val="en-US"/>
              </w:rPr>
            </w:pPr>
            <w:r w:rsidRPr="00517553">
              <w:rPr>
                <w:rFonts w:ascii="Arial Narrow" w:hAnsi="Arial Narrow"/>
                <w:sz w:val="20"/>
              </w:rPr>
              <w:t>TG-MV-006</w:t>
            </w:r>
          </w:p>
        </w:tc>
        <w:tc>
          <w:tcPr>
            <w:tcW w:w="765" w:type="pct"/>
            <w:shd w:val="clear" w:color="auto" w:fill="auto"/>
            <w:vAlign w:val="center"/>
          </w:tcPr>
          <w:p w:rsidR="008C2B67" w:rsidRPr="00517553" w:rsidRDefault="008C2B67" w:rsidP="008F4262">
            <w:pPr>
              <w:keepNext/>
              <w:widowControl/>
              <w:jc w:val="center"/>
              <w:rPr>
                <w:rFonts w:ascii="Arial Narrow" w:hAnsi="Arial Narrow"/>
                <w:sz w:val="20"/>
                <w:lang w:val="en-US"/>
              </w:rPr>
            </w:pPr>
            <w:r w:rsidRPr="00517553">
              <w:rPr>
                <w:rFonts w:ascii="Arial Narrow" w:hAnsi="Arial Narrow"/>
                <w:sz w:val="20"/>
              </w:rPr>
              <w:t>28/219 (12.8)</w:t>
            </w:r>
          </w:p>
        </w:tc>
        <w:tc>
          <w:tcPr>
            <w:tcW w:w="765" w:type="pct"/>
            <w:shd w:val="clear" w:color="auto" w:fill="auto"/>
            <w:vAlign w:val="center"/>
          </w:tcPr>
          <w:p w:rsidR="008C2B67" w:rsidRPr="00517553" w:rsidRDefault="008C2B67" w:rsidP="008F4262">
            <w:pPr>
              <w:keepNext/>
              <w:widowControl/>
              <w:jc w:val="center"/>
              <w:rPr>
                <w:rFonts w:ascii="Arial Narrow" w:hAnsi="Arial Narrow"/>
                <w:sz w:val="20"/>
                <w:lang w:val="en-US"/>
              </w:rPr>
            </w:pPr>
            <w:r w:rsidRPr="00517553">
              <w:rPr>
                <w:rFonts w:ascii="Arial Narrow" w:hAnsi="Arial Narrow"/>
                <w:sz w:val="20"/>
              </w:rPr>
              <w:t>9/107 (8.4)</w:t>
            </w:r>
          </w:p>
        </w:tc>
        <w:tc>
          <w:tcPr>
            <w:tcW w:w="1105" w:type="pct"/>
            <w:shd w:val="clear" w:color="auto" w:fill="auto"/>
            <w:vAlign w:val="center"/>
          </w:tcPr>
          <w:p w:rsidR="008C2B67" w:rsidRPr="00517553" w:rsidRDefault="008C2B67" w:rsidP="008F4262">
            <w:pPr>
              <w:keepNext/>
              <w:widowControl/>
              <w:jc w:val="center"/>
              <w:rPr>
                <w:rFonts w:ascii="Arial Narrow" w:hAnsi="Arial Narrow"/>
                <w:sz w:val="20"/>
                <w:lang w:val="en-US"/>
              </w:rPr>
            </w:pPr>
            <w:r w:rsidRPr="00517553">
              <w:rPr>
                <w:rFonts w:ascii="Arial Narrow" w:hAnsi="Arial Narrow"/>
                <w:sz w:val="20"/>
              </w:rPr>
              <w:t>0.04 (-0.02, 0.11)</w:t>
            </w:r>
          </w:p>
        </w:tc>
        <w:tc>
          <w:tcPr>
            <w:tcW w:w="1019" w:type="pct"/>
            <w:shd w:val="clear" w:color="auto" w:fill="auto"/>
            <w:vAlign w:val="center"/>
          </w:tcPr>
          <w:p w:rsidR="008C2B67" w:rsidRPr="00517553" w:rsidRDefault="008C2B67" w:rsidP="008F4262">
            <w:pPr>
              <w:keepNext/>
              <w:widowControl/>
              <w:jc w:val="center"/>
              <w:rPr>
                <w:rFonts w:ascii="Arial Narrow" w:hAnsi="Arial Narrow"/>
                <w:sz w:val="20"/>
                <w:lang w:val="en-US"/>
              </w:rPr>
            </w:pPr>
            <w:r w:rsidRPr="00517553">
              <w:rPr>
                <w:rFonts w:ascii="Arial Narrow" w:hAnsi="Arial Narrow"/>
                <w:sz w:val="20"/>
              </w:rPr>
              <w:t>1.52 (0.74, 3.11)</w:t>
            </w:r>
          </w:p>
        </w:tc>
        <w:tc>
          <w:tcPr>
            <w:tcW w:w="753" w:type="pct"/>
            <w:shd w:val="clear" w:color="auto" w:fill="auto"/>
            <w:vAlign w:val="center"/>
          </w:tcPr>
          <w:p w:rsidR="008C2B67" w:rsidRPr="00517553" w:rsidRDefault="008C2B67" w:rsidP="008F4262">
            <w:pPr>
              <w:keepNext/>
              <w:widowControl/>
              <w:jc w:val="center"/>
              <w:rPr>
                <w:rFonts w:ascii="Arial Narrow" w:hAnsi="Arial Narrow"/>
                <w:sz w:val="20"/>
                <w:lang w:val="en-US"/>
              </w:rPr>
            </w:pPr>
            <w:r w:rsidRPr="00517553">
              <w:rPr>
                <w:rFonts w:ascii="Arial Narrow" w:hAnsi="Arial Narrow"/>
                <w:sz w:val="20"/>
              </w:rPr>
              <w:t>NA</w:t>
            </w:r>
          </w:p>
        </w:tc>
      </w:tr>
      <w:tr w:rsidR="008C2B67" w:rsidRPr="00517553" w:rsidTr="009A6D70">
        <w:tc>
          <w:tcPr>
            <w:tcW w:w="592" w:type="pct"/>
            <w:shd w:val="clear" w:color="auto" w:fill="auto"/>
          </w:tcPr>
          <w:p w:rsidR="008C2B67" w:rsidRPr="00517553" w:rsidRDefault="008C2B67" w:rsidP="008F4262">
            <w:pPr>
              <w:keepNext/>
              <w:widowControl/>
              <w:jc w:val="left"/>
              <w:rPr>
                <w:rFonts w:ascii="Arial Narrow" w:hAnsi="Arial Narrow"/>
                <w:sz w:val="20"/>
                <w:lang w:val="en-US"/>
              </w:rPr>
            </w:pPr>
            <w:r w:rsidRPr="00517553">
              <w:rPr>
                <w:rFonts w:ascii="Arial Narrow" w:hAnsi="Arial Narrow"/>
                <w:sz w:val="20"/>
              </w:rPr>
              <w:t>TG-MV-007</w:t>
            </w:r>
          </w:p>
        </w:tc>
        <w:tc>
          <w:tcPr>
            <w:tcW w:w="765" w:type="pct"/>
            <w:shd w:val="clear" w:color="auto" w:fill="auto"/>
            <w:vAlign w:val="center"/>
          </w:tcPr>
          <w:p w:rsidR="008C2B67" w:rsidRPr="00517553" w:rsidRDefault="008C2B67" w:rsidP="008F4262">
            <w:pPr>
              <w:keepNext/>
              <w:widowControl/>
              <w:jc w:val="center"/>
              <w:rPr>
                <w:rFonts w:ascii="Arial Narrow" w:hAnsi="Arial Narrow"/>
                <w:sz w:val="20"/>
                <w:lang w:val="en-US"/>
              </w:rPr>
            </w:pPr>
            <w:r w:rsidRPr="00517553">
              <w:rPr>
                <w:rFonts w:ascii="Arial Narrow" w:hAnsi="Arial Narrow"/>
                <w:sz w:val="20"/>
              </w:rPr>
              <w:t>29/245 (11.8)</w:t>
            </w:r>
          </w:p>
        </w:tc>
        <w:tc>
          <w:tcPr>
            <w:tcW w:w="765" w:type="pct"/>
            <w:shd w:val="clear" w:color="auto" w:fill="auto"/>
            <w:vAlign w:val="center"/>
          </w:tcPr>
          <w:p w:rsidR="008C2B67" w:rsidRPr="00517553" w:rsidRDefault="008C2B67" w:rsidP="008F4262">
            <w:pPr>
              <w:keepNext/>
              <w:widowControl/>
              <w:jc w:val="center"/>
              <w:rPr>
                <w:rFonts w:ascii="Arial Narrow" w:hAnsi="Arial Narrow"/>
                <w:sz w:val="20"/>
                <w:lang w:val="en-US"/>
              </w:rPr>
            </w:pPr>
            <w:r w:rsidRPr="00517553">
              <w:rPr>
                <w:rFonts w:ascii="Arial Narrow" w:hAnsi="Arial Narrow"/>
                <w:sz w:val="20"/>
              </w:rPr>
              <w:t>3/81 (3.8)</w:t>
            </w:r>
          </w:p>
        </w:tc>
        <w:tc>
          <w:tcPr>
            <w:tcW w:w="1105" w:type="pct"/>
            <w:shd w:val="clear" w:color="auto" w:fill="auto"/>
            <w:vAlign w:val="center"/>
          </w:tcPr>
          <w:p w:rsidR="008C2B67" w:rsidRPr="00517553" w:rsidRDefault="008C2B67" w:rsidP="008F4262">
            <w:pPr>
              <w:keepNext/>
              <w:widowControl/>
              <w:jc w:val="center"/>
              <w:rPr>
                <w:rFonts w:ascii="Arial Narrow" w:hAnsi="Arial Narrow"/>
                <w:sz w:val="20"/>
                <w:lang w:val="en-US"/>
              </w:rPr>
            </w:pPr>
            <w:r w:rsidRPr="00517553">
              <w:rPr>
                <w:rFonts w:ascii="Arial Narrow" w:hAnsi="Arial Narrow"/>
                <w:b/>
                <w:bCs/>
                <w:sz w:val="20"/>
              </w:rPr>
              <w:t>0.08 (0.02, 0.14)</w:t>
            </w:r>
          </w:p>
        </w:tc>
        <w:tc>
          <w:tcPr>
            <w:tcW w:w="1019" w:type="pct"/>
            <w:shd w:val="clear" w:color="auto" w:fill="auto"/>
            <w:vAlign w:val="center"/>
          </w:tcPr>
          <w:p w:rsidR="008C2B67" w:rsidRPr="00517553" w:rsidRDefault="008C2B67" w:rsidP="008F4262">
            <w:pPr>
              <w:keepNext/>
              <w:widowControl/>
              <w:jc w:val="center"/>
              <w:rPr>
                <w:rFonts w:ascii="Arial Narrow" w:hAnsi="Arial Narrow"/>
                <w:sz w:val="20"/>
                <w:lang w:val="en-US"/>
              </w:rPr>
            </w:pPr>
            <w:r w:rsidRPr="00517553">
              <w:rPr>
                <w:rFonts w:ascii="Arial Narrow" w:hAnsi="Arial Narrow"/>
                <w:b/>
                <w:bCs/>
                <w:sz w:val="20"/>
              </w:rPr>
              <w:t>3.20 (1.00, 10.21)</w:t>
            </w:r>
          </w:p>
        </w:tc>
        <w:tc>
          <w:tcPr>
            <w:tcW w:w="753" w:type="pct"/>
            <w:shd w:val="clear" w:color="auto" w:fill="auto"/>
            <w:vAlign w:val="center"/>
          </w:tcPr>
          <w:p w:rsidR="008C2B67" w:rsidRPr="00517553" w:rsidRDefault="008C2B67" w:rsidP="008F4262">
            <w:pPr>
              <w:keepNext/>
              <w:widowControl/>
              <w:jc w:val="center"/>
              <w:rPr>
                <w:rFonts w:ascii="Arial Narrow" w:hAnsi="Arial Narrow"/>
                <w:sz w:val="20"/>
                <w:lang w:val="en-US"/>
              </w:rPr>
            </w:pPr>
            <w:r w:rsidRPr="00517553">
              <w:rPr>
                <w:rFonts w:ascii="Arial Narrow" w:hAnsi="Arial Narrow"/>
                <w:b/>
                <w:bCs/>
                <w:sz w:val="20"/>
              </w:rPr>
              <w:t>13 (7, 50)</w:t>
            </w:r>
          </w:p>
        </w:tc>
      </w:tr>
      <w:tr w:rsidR="008C2B67" w:rsidRPr="00517553" w:rsidTr="009A6D70">
        <w:tc>
          <w:tcPr>
            <w:tcW w:w="592" w:type="pct"/>
            <w:shd w:val="clear" w:color="auto" w:fill="auto"/>
          </w:tcPr>
          <w:p w:rsidR="008C2B67" w:rsidRPr="00517553" w:rsidRDefault="008C2B67" w:rsidP="008F4262">
            <w:pPr>
              <w:keepNext/>
              <w:widowControl/>
              <w:jc w:val="left"/>
              <w:rPr>
                <w:rFonts w:ascii="Arial Narrow" w:hAnsi="Arial Narrow"/>
                <w:sz w:val="20"/>
                <w:lang w:val="en-US"/>
              </w:rPr>
            </w:pPr>
            <w:r w:rsidRPr="00517553">
              <w:rPr>
                <w:rFonts w:ascii="Arial Narrow" w:hAnsi="Arial Narrow"/>
                <w:sz w:val="20"/>
              </w:rPr>
              <w:t>OASIS</w:t>
            </w:r>
          </w:p>
        </w:tc>
        <w:tc>
          <w:tcPr>
            <w:tcW w:w="765" w:type="pct"/>
            <w:shd w:val="clear" w:color="auto" w:fill="auto"/>
            <w:vAlign w:val="center"/>
          </w:tcPr>
          <w:p w:rsidR="008C2B67" w:rsidRPr="0017165E" w:rsidRDefault="0017165E" w:rsidP="008F4262">
            <w:pPr>
              <w:keepNext/>
              <w:widowControl/>
              <w:jc w:val="center"/>
              <w:rPr>
                <w:rFonts w:ascii="Arial Narrow" w:hAnsi="Arial Narrow"/>
                <w:sz w:val="20"/>
                <w:highlight w:val="black"/>
                <w:lang w:val="en-US"/>
              </w:rPr>
            </w:pPr>
            <w:r>
              <w:rPr>
                <w:rFonts w:ascii="Arial Narrow" w:hAnsi="Arial Narrow"/>
                <w:iCs/>
                <w:noProof/>
                <w:color w:val="000000"/>
                <w:sz w:val="20"/>
                <w:highlight w:val="black"/>
              </w:rPr>
              <w:t>'''''''''''''''' '''''''''''''''</w:t>
            </w:r>
          </w:p>
        </w:tc>
        <w:tc>
          <w:tcPr>
            <w:tcW w:w="765" w:type="pct"/>
            <w:shd w:val="clear" w:color="auto" w:fill="auto"/>
            <w:vAlign w:val="center"/>
          </w:tcPr>
          <w:p w:rsidR="008C2B67" w:rsidRPr="0017165E" w:rsidRDefault="0017165E" w:rsidP="008F4262">
            <w:pPr>
              <w:keepNext/>
              <w:widowControl/>
              <w:jc w:val="center"/>
              <w:rPr>
                <w:rFonts w:ascii="Arial Narrow" w:hAnsi="Arial Narrow"/>
                <w:sz w:val="20"/>
                <w:highlight w:val="black"/>
                <w:lang w:val="en-US"/>
              </w:rPr>
            </w:pPr>
            <w:r>
              <w:rPr>
                <w:rFonts w:ascii="Arial Narrow" w:hAnsi="Arial Narrow"/>
                <w:iCs/>
                <w:noProof/>
                <w:color w:val="000000"/>
                <w:sz w:val="20"/>
                <w:highlight w:val="black"/>
              </w:rPr>
              <w:t>''''''''''''''' '''''''''''''''</w:t>
            </w:r>
          </w:p>
        </w:tc>
        <w:tc>
          <w:tcPr>
            <w:tcW w:w="1105" w:type="pct"/>
            <w:shd w:val="clear" w:color="auto" w:fill="auto"/>
            <w:vAlign w:val="center"/>
          </w:tcPr>
          <w:p w:rsidR="008C2B67" w:rsidRPr="0017165E" w:rsidRDefault="0017165E" w:rsidP="008F4262">
            <w:pPr>
              <w:keepNext/>
              <w:widowControl/>
              <w:jc w:val="center"/>
              <w:rPr>
                <w:rFonts w:ascii="Arial Narrow" w:hAnsi="Arial Narrow"/>
                <w:sz w:val="20"/>
                <w:highlight w:val="black"/>
                <w:lang w:val="en-US"/>
              </w:rPr>
            </w:pPr>
            <w:r>
              <w:rPr>
                <w:rFonts w:ascii="Arial Narrow" w:hAnsi="Arial Narrow"/>
                <w:noProof/>
                <w:color w:val="000000"/>
                <w:sz w:val="20"/>
                <w:highlight w:val="black"/>
              </w:rPr>
              <w:t>''''''''''' ''''''''''''''' '''''''''''</w:t>
            </w:r>
          </w:p>
        </w:tc>
        <w:tc>
          <w:tcPr>
            <w:tcW w:w="1019" w:type="pct"/>
            <w:shd w:val="clear" w:color="auto" w:fill="auto"/>
            <w:vAlign w:val="center"/>
          </w:tcPr>
          <w:p w:rsidR="008C2B67" w:rsidRPr="0017165E" w:rsidRDefault="0017165E" w:rsidP="008F4262">
            <w:pPr>
              <w:keepNext/>
              <w:widowControl/>
              <w:jc w:val="center"/>
              <w:rPr>
                <w:rFonts w:ascii="Arial Narrow" w:hAnsi="Arial Narrow"/>
                <w:sz w:val="20"/>
                <w:highlight w:val="black"/>
                <w:lang w:val="en-US"/>
              </w:rPr>
            </w:pPr>
            <w:r>
              <w:rPr>
                <w:rFonts w:ascii="Arial Narrow" w:hAnsi="Arial Narrow"/>
                <w:noProof/>
                <w:color w:val="000000"/>
                <w:sz w:val="20"/>
                <w:highlight w:val="black"/>
              </w:rPr>
              <w:t>'''''''''' '''''''''''''' '''''''''''''</w:t>
            </w:r>
          </w:p>
        </w:tc>
        <w:tc>
          <w:tcPr>
            <w:tcW w:w="753" w:type="pct"/>
            <w:shd w:val="clear" w:color="auto" w:fill="auto"/>
            <w:vAlign w:val="center"/>
          </w:tcPr>
          <w:p w:rsidR="008C2B67" w:rsidRPr="00517553" w:rsidRDefault="008C2B67" w:rsidP="008F4262">
            <w:pPr>
              <w:keepNext/>
              <w:widowControl/>
              <w:jc w:val="center"/>
              <w:rPr>
                <w:rFonts w:ascii="Arial Narrow" w:hAnsi="Arial Narrow"/>
                <w:sz w:val="20"/>
                <w:lang w:val="en-US"/>
              </w:rPr>
            </w:pPr>
            <w:r w:rsidRPr="00517553">
              <w:rPr>
                <w:rFonts w:ascii="Arial Narrow" w:hAnsi="Arial Narrow"/>
                <w:sz w:val="20"/>
              </w:rPr>
              <w:t>NA</w:t>
            </w:r>
          </w:p>
        </w:tc>
      </w:tr>
      <w:tr w:rsidR="008C2B67" w:rsidRPr="00517553" w:rsidTr="009A6D70">
        <w:tc>
          <w:tcPr>
            <w:tcW w:w="592" w:type="pct"/>
            <w:shd w:val="clear" w:color="auto" w:fill="auto"/>
          </w:tcPr>
          <w:p w:rsidR="008C2B67" w:rsidRPr="00517553" w:rsidRDefault="008C2B67" w:rsidP="008F4262">
            <w:pPr>
              <w:keepNext/>
              <w:widowControl/>
              <w:jc w:val="left"/>
              <w:rPr>
                <w:rFonts w:ascii="Arial Narrow" w:hAnsi="Arial Narrow"/>
                <w:sz w:val="20"/>
                <w:lang w:val="en-US"/>
              </w:rPr>
            </w:pPr>
            <w:r w:rsidRPr="00517553">
              <w:rPr>
                <w:rFonts w:ascii="Arial Narrow" w:hAnsi="Arial Narrow"/>
                <w:sz w:val="20"/>
              </w:rPr>
              <w:t>Pooled</w:t>
            </w:r>
          </w:p>
        </w:tc>
        <w:tc>
          <w:tcPr>
            <w:tcW w:w="765" w:type="pct"/>
            <w:shd w:val="clear" w:color="auto" w:fill="auto"/>
            <w:vAlign w:val="center"/>
          </w:tcPr>
          <w:p w:rsidR="008C2B67" w:rsidRPr="0017165E" w:rsidRDefault="0017165E" w:rsidP="008F4262">
            <w:pPr>
              <w:keepNext/>
              <w:widowControl/>
              <w:jc w:val="center"/>
              <w:rPr>
                <w:rFonts w:ascii="Arial Narrow" w:hAnsi="Arial Narrow"/>
                <w:sz w:val="20"/>
                <w:highlight w:val="black"/>
                <w:lang w:val="en-US"/>
              </w:rPr>
            </w:pPr>
            <w:r>
              <w:rPr>
                <w:rFonts w:ascii="Arial Narrow" w:hAnsi="Arial Narrow"/>
                <w:iCs/>
                <w:noProof/>
                <w:color w:val="000000"/>
                <w:sz w:val="20"/>
                <w:highlight w:val="black"/>
              </w:rPr>
              <w:t>'''''''''''''''' '''''''''''''</w:t>
            </w:r>
          </w:p>
        </w:tc>
        <w:tc>
          <w:tcPr>
            <w:tcW w:w="765" w:type="pct"/>
            <w:shd w:val="clear" w:color="auto" w:fill="auto"/>
            <w:vAlign w:val="center"/>
          </w:tcPr>
          <w:p w:rsidR="008C2B67" w:rsidRPr="0017165E" w:rsidRDefault="0017165E" w:rsidP="008F4262">
            <w:pPr>
              <w:keepNext/>
              <w:widowControl/>
              <w:jc w:val="center"/>
              <w:rPr>
                <w:rFonts w:ascii="Arial Narrow" w:hAnsi="Arial Narrow"/>
                <w:sz w:val="20"/>
                <w:highlight w:val="black"/>
                <w:lang w:val="en-US"/>
              </w:rPr>
            </w:pPr>
            <w:r>
              <w:rPr>
                <w:rFonts w:ascii="Arial Narrow" w:hAnsi="Arial Narrow"/>
                <w:iCs/>
                <w:noProof/>
                <w:color w:val="000000"/>
                <w:sz w:val="20"/>
                <w:highlight w:val="black"/>
              </w:rPr>
              <w:t>'''''''''''''''' '''''''''''</w:t>
            </w:r>
          </w:p>
        </w:tc>
        <w:tc>
          <w:tcPr>
            <w:tcW w:w="1105" w:type="pct"/>
            <w:shd w:val="clear" w:color="auto" w:fill="auto"/>
            <w:vAlign w:val="center"/>
          </w:tcPr>
          <w:p w:rsidR="008C2B67" w:rsidRPr="0017165E" w:rsidRDefault="0017165E" w:rsidP="008F4262">
            <w:pPr>
              <w:keepNext/>
              <w:widowControl/>
              <w:jc w:val="center"/>
              <w:rPr>
                <w:rFonts w:ascii="Arial Narrow" w:hAnsi="Arial Narrow"/>
                <w:sz w:val="20"/>
                <w:highlight w:val="black"/>
                <w:lang w:val="en-US"/>
              </w:rPr>
            </w:pPr>
            <w:r>
              <w:rPr>
                <w:rFonts w:ascii="Arial Narrow" w:hAnsi="Arial Narrow"/>
                <w:b/>
                <w:bCs/>
                <w:noProof/>
                <w:color w:val="000000"/>
                <w:sz w:val="20"/>
                <w:highlight w:val="black"/>
              </w:rPr>
              <w:t>''''''''' '''''''''''' '''''''''''</w:t>
            </w:r>
          </w:p>
        </w:tc>
        <w:tc>
          <w:tcPr>
            <w:tcW w:w="1019" w:type="pct"/>
            <w:shd w:val="clear" w:color="auto" w:fill="auto"/>
            <w:vAlign w:val="center"/>
          </w:tcPr>
          <w:p w:rsidR="008C2B67" w:rsidRPr="0017165E" w:rsidRDefault="0017165E" w:rsidP="008F4262">
            <w:pPr>
              <w:keepNext/>
              <w:widowControl/>
              <w:jc w:val="center"/>
              <w:rPr>
                <w:rFonts w:ascii="Arial Narrow" w:hAnsi="Arial Narrow"/>
                <w:sz w:val="20"/>
                <w:highlight w:val="black"/>
                <w:lang w:val="en-US"/>
              </w:rPr>
            </w:pPr>
            <w:r>
              <w:rPr>
                <w:rFonts w:ascii="Arial Narrow" w:hAnsi="Arial Narrow"/>
                <w:b/>
                <w:bCs/>
                <w:noProof/>
                <w:color w:val="000000"/>
                <w:sz w:val="20"/>
                <w:highlight w:val="black"/>
              </w:rPr>
              <w:t>''''''''' ''''''''''' '''''''''''</w:t>
            </w:r>
          </w:p>
        </w:tc>
        <w:tc>
          <w:tcPr>
            <w:tcW w:w="753" w:type="pct"/>
            <w:shd w:val="clear" w:color="auto" w:fill="auto"/>
            <w:vAlign w:val="center"/>
          </w:tcPr>
          <w:p w:rsidR="008C2B67" w:rsidRPr="0017165E" w:rsidRDefault="0017165E" w:rsidP="008F4262">
            <w:pPr>
              <w:keepNext/>
              <w:widowControl/>
              <w:jc w:val="center"/>
              <w:rPr>
                <w:rFonts w:ascii="Arial Narrow" w:hAnsi="Arial Narrow"/>
                <w:sz w:val="20"/>
                <w:highlight w:val="black"/>
                <w:lang w:val="en-US"/>
              </w:rPr>
            </w:pPr>
            <w:r>
              <w:rPr>
                <w:rFonts w:ascii="Arial Narrow" w:hAnsi="Arial Narrow"/>
                <w:b/>
                <w:bCs/>
                <w:noProof/>
                <w:color w:val="000000"/>
                <w:sz w:val="20"/>
                <w:highlight w:val="black"/>
              </w:rPr>
              <w:t>'''' ''''''' ''''''</w:t>
            </w:r>
          </w:p>
        </w:tc>
      </w:tr>
      <w:tr w:rsidR="008C2B67" w:rsidRPr="00517553" w:rsidTr="009A6D70">
        <w:tc>
          <w:tcPr>
            <w:tcW w:w="4999" w:type="pct"/>
            <w:gridSpan w:val="6"/>
            <w:shd w:val="clear" w:color="auto" w:fill="auto"/>
            <w:vAlign w:val="center"/>
          </w:tcPr>
          <w:p w:rsidR="008C2B67" w:rsidRPr="00517553" w:rsidRDefault="008C2B67" w:rsidP="008F4262">
            <w:pPr>
              <w:keepNext/>
              <w:widowControl/>
              <w:jc w:val="left"/>
              <w:rPr>
                <w:rFonts w:ascii="Arial Narrow" w:hAnsi="Arial Narrow"/>
                <w:sz w:val="20"/>
                <w:lang w:val="en-US"/>
              </w:rPr>
            </w:pPr>
            <w:r w:rsidRPr="00517553">
              <w:rPr>
                <w:rFonts w:ascii="Arial Narrow" w:hAnsi="Arial Narrow"/>
                <w:b/>
                <w:bCs/>
                <w:sz w:val="20"/>
              </w:rPr>
              <w:t>Month 24</w:t>
            </w:r>
          </w:p>
        </w:tc>
      </w:tr>
      <w:tr w:rsidR="008C2B67" w:rsidRPr="00517553" w:rsidTr="009A6D70">
        <w:tc>
          <w:tcPr>
            <w:tcW w:w="592" w:type="pct"/>
            <w:shd w:val="clear" w:color="auto" w:fill="auto"/>
            <w:vAlign w:val="center"/>
          </w:tcPr>
          <w:p w:rsidR="008C2B67" w:rsidRPr="00517553" w:rsidRDefault="008C2B67" w:rsidP="008F4262">
            <w:pPr>
              <w:keepNext/>
              <w:widowControl/>
              <w:jc w:val="left"/>
              <w:rPr>
                <w:rFonts w:ascii="Arial Narrow" w:hAnsi="Arial Narrow"/>
                <w:sz w:val="20"/>
                <w:lang w:val="en-US"/>
              </w:rPr>
            </w:pPr>
            <w:r w:rsidRPr="00517553">
              <w:rPr>
                <w:rFonts w:ascii="Arial Narrow" w:hAnsi="Arial Narrow"/>
                <w:sz w:val="20"/>
              </w:rPr>
              <w:t>OASIS</w:t>
            </w:r>
          </w:p>
        </w:tc>
        <w:tc>
          <w:tcPr>
            <w:tcW w:w="765" w:type="pct"/>
            <w:shd w:val="clear" w:color="auto" w:fill="auto"/>
            <w:vAlign w:val="center"/>
          </w:tcPr>
          <w:p w:rsidR="008C2B67" w:rsidRPr="0017165E" w:rsidRDefault="0017165E" w:rsidP="008F4262">
            <w:pPr>
              <w:keepNext/>
              <w:widowControl/>
              <w:jc w:val="center"/>
              <w:rPr>
                <w:rFonts w:ascii="Arial Narrow" w:hAnsi="Arial Narrow"/>
                <w:sz w:val="20"/>
                <w:highlight w:val="black"/>
                <w:lang w:val="en-US"/>
              </w:rPr>
            </w:pPr>
            <w:r>
              <w:rPr>
                <w:rFonts w:ascii="Arial Narrow" w:hAnsi="Arial Narrow"/>
                <w:iCs/>
                <w:noProof/>
                <w:color w:val="000000"/>
                <w:sz w:val="20"/>
                <w:highlight w:val="black"/>
              </w:rPr>
              <w:t>''''''''''''''''' '''''''''''''</w:t>
            </w:r>
          </w:p>
        </w:tc>
        <w:tc>
          <w:tcPr>
            <w:tcW w:w="765" w:type="pct"/>
            <w:shd w:val="clear" w:color="auto" w:fill="auto"/>
            <w:vAlign w:val="center"/>
          </w:tcPr>
          <w:p w:rsidR="008C2B67" w:rsidRPr="0017165E" w:rsidRDefault="0017165E" w:rsidP="008F4262">
            <w:pPr>
              <w:keepNext/>
              <w:widowControl/>
              <w:jc w:val="center"/>
              <w:rPr>
                <w:rFonts w:ascii="Arial Narrow" w:hAnsi="Arial Narrow"/>
                <w:sz w:val="20"/>
                <w:highlight w:val="black"/>
                <w:lang w:val="en-US"/>
              </w:rPr>
            </w:pPr>
            <w:r>
              <w:rPr>
                <w:rFonts w:ascii="Arial Narrow" w:hAnsi="Arial Narrow"/>
                <w:iCs/>
                <w:noProof/>
                <w:color w:val="000000"/>
                <w:sz w:val="20"/>
                <w:highlight w:val="black"/>
              </w:rPr>
              <w:t>''''''''''''''' '''''''''''''</w:t>
            </w:r>
          </w:p>
        </w:tc>
        <w:tc>
          <w:tcPr>
            <w:tcW w:w="1105" w:type="pct"/>
            <w:shd w:val="clear" w:color="auto" w:fill="auto"/>
            <w:vAlign w:val="center"/>
          </w:tcPr>
          <w:p w:rsidR="008C2B67" w:rsidRPr="0017165E" w:rsidRDefault="0017165E" w:rsidP="008F4262">
            <w:pPr>
              <w:keepNext/>
              <w:widowControl/>
              <w:jc w:val="center"/>
              <w:rPr>
                <w:rFonts w:ascii="Arial Narrow" w:hAnsi="Arial Narrow"/>
                <w:sz w:val="20"/>
                <w:highlight w:val="black"/>
                <w:lang w:val="en-US"/>
              </w:rPr>
            </w:pPr>
            <w:r>
              <w:rPr>
                <w:rFonts w:ascii="Arial Narrow" w:hAnsi="Arial Narrow"/>
                <w:noProof/>
                <w:color w:val="000000"/>
                <w:sz w:val="20"/>
                <w:highlight w:val="black"/>
              </w:rPr>
              <w:t>'''''''''' ''''''''''''''' '''''''''''</w:t>
            </w:r>
          </w:p>
        </w:tc>
        <w:tc>
          <w:tcPr>
            <w:tcW w:w="1019" w:type="pct"/>
            <w:shd w:val="clear" w:color="auto" w:fill="auto"/>
            <w:vAlign w:val="center"/>
          </w:tcPr>
          <w:p w:rsidR="008C2B67" w:rsidRPr="0017165E" w:rsidRDefault="0017165E" w:rsidP="008F4262">
            <w:pPr>
              <w:keepNext/>
              <w:widowControl/>
              <w:jc w:val="center"/>
              <w:rPr>
                <w:rFonts w:ascii="Arial Narrow" w:hAnsi="Arial Narrow"/>
                <w:sz w:val="20"/>
                <w:highlight w:val="black"/>
                <w:lang w:val="en-US"/>
              </w:rPr>
            </w:pPr>
            <w:r>
              <w:rPr>
                <w:rFonts w:ascii="Arial Narrow" w:hAnsi="Arial Narrow"/>
                <w:noProof/>
                <w:color w:val="000000"/>
                <w:sz w:val="20"/>
                <w:highlight w:val="black"/>
              </w:rPr>
              <w:t>'''''''''' ''''''''''''''' ''''''''''''</w:t>
            </w:r>
          </w:p>
        </w:tc>
        <w:tc>
          <w:tcPr>
            <w:tcW w:w="753" w:type="pct"/>
            <w:shd w:val="clear" w:color="auto" w:fill="auto"/>
            <w:vAlign w:val="center"/>
          </w:tcPr>
          <w:p w:rsidR="008C2B67" w:rsidRPr="00517553" w:rsidRDefault="008C2B67" w:rsidP="008F4262">
            <w:pPr>
              <w:keepNext/>
              <w:widowControl/>
              <w:jc w:val="center"/>
              <w:rPr>
                <w:rFonts w:ascii="Arial Narrow" w:hAnsi="Arial Narrow"/>
                <w:sz w:val="20"/>
                <w:lang w:val="en-US"/>
              </w:rPr>
            </w:pPr>
            <w:r w:rsidRPr="00517553">
              <w:rPr>
                <w:rFonts w:ascii="Arial Narrow" w:hAnsi="Arial Narrow"/>
                <w:sz w:val="20"/>
              </w:rPr>
              <w:t>NA</w:t>
            </w:r>
          </w:p>
        </w:tc>
      </w:tr>
    </w:tbl>
    <w:p w:rsidR="00D06FD4" w:rsidRPr="00517553" w:rsidRDefault="00D06FD4" w:rsidP="008F4262">
      <w:pPr>
        <w:pStyle w:val="TableFooter"/>
        <w:widowControl/>
        <w:ind w:firstLine="720"/>
      </w:pPr>
      <w:r w:rsidRPr="00517553">
        <w:t xml:space="preserve">Source: </w:t>
      </w:r>
      <w:r w:rsidR="007B722E" w:rsidRPr="00517553">
        <w:t xml:space="preserve">Tables 31 to 35, pp102-117 of the </w:t>
      </w:r>
      <w:r w:rsidR="002A29D8" w:rsidRPr="00517553">
        <w:t>re-</w:t>
      </w:r>
      <w:r w:rsidR="007B722E" w:rsidRPr="00517553">
        <w:t>submission</w:t>
      </w:r>
    </w:p>
    <w:p w:rsidR="00D06FD4" w:rsidRPr="0019466F" w:rsidRDefault="00D06FD4" w:rsidP="008F4262">
      <w:pPr>
        <w:widowControl/>
        <w:rPr>
          <w:szCs w:val="22"/>
        </w:rPr>
      </w:pPr>
    </w:p>
    <w:p w:rsidR="008C2B67" w:rsidRPr="00517553" w:rsidRDefault="008C2B67" w:rsidP="008F4262">
      <w:pPr>
        <w:widowControl/>
        <w:ind w:left="709"/>
        <w:rPr>
          <w:rFonts w:ascii="Arial Narrow" w:hAnsi="Arial Narrow"/>
          <w:b/>
          <w:bCs/>
          <w:sz w:val="20"/>
        </w:rPr>
      </w:pPr>
      <w:r w:rsidRPr="00517553">
        <w:rPr>
          <w:rFonts w:ascii="Arial Narrow" w:hAnsi="Arial Narrow"/>
          <w:b/>
          <w:bCs/>
          <w:sz w:val="20"/>
        </w:rPr>
        <w:t>Table</w:t>
      </w:r>
      <w:r w:rsidR="00116A55" w:rsidRPr="00517553">
        <w:rPr>
          <w:rFonts w:ascii="Arial Narrow" w:hAnsi="Arial Narrow"/>
          <w:b/>
          <w:bCs/>
          <w:sz w:val="20"/>
        </w:rPr>
        <w:t xml:space="preserve"> 4</w:t>
      </w:r>
      <w:r w:rsidRPr="00517553">
        <w:rPr>
          <w:rFonts w:ascii="Arial Narrow" w:hAnsi="Arial Narrow"/>
          <w:b/>
          <w:bCs/>
          <w:sz w:val="20"/>
        </w:rPr>
        <w:t xml:space="preserve">: </w:t>
      </w:r>
      <w:r w:rsidR="00B138AC" w:rsidRPr="00517553">
        <w:rPr>
          <w:rStyle w:val="CommentReference"/>
        </w:rPr>
        <w:t xml:space="preserve">Results of patient-relevant secondary outcome mean improvement in BCVA letters from baseline across the direct randomised trials </w:t>
      </w:r>
      <w:r w:rsidRPr="00517553">
        <w:rPr>
          <w:rFonts w:ascii="Arial Narrow" w:hAnsi="Arial Narrow"/>
          <w:b/>
          <w:bCs/>
          <w:sz w:val="20"/>
        </w:rPr>
        <w:t>(FAS)</w:t>
      </w:r>
    </w:p>
    <w:tbl>
      <w:tblPr>
        <w:tblStyle w:val="TableGrid"/>
        <w:tblW w:w="8363" w:type="dxa"/>
        <w:tblInd w:w="737" w:type="dxa"/>
        <w:tblCellMar>
          <w:left w:w="28" w:type="dxa"/>
          <w:right w:w="28" w:type="dxa"/>
        </w:tblCellMar>
        <w:tblLook w:val="04A0" w:firstRow="1" w:lastRow="0" w:firstColumn="1" w:lastColumn="0" w:noHBand="0" w:noVBand="1"/>
        <w:tblCaption w:val="Table 4: Results of patient-relevant secondary outcome mean improvement in BCVA letters from baseline across the direct randomised trials (FAS)"/>
      </w:tblPr>
      <w:tblGrid>
        <w:gridCol w:w="992"/>
        <w:gridCol w:w="1488"/>
        <w:gridCol w:w="1489"/>
        <w:gridCol w:w="1488"/>
        <w:gridCol w:w="1489"/>
        <w:gridCol w:w="1417"/>
      </w:tblGrid>
      <w:tr w:rsidR="008C2B67" w:rsidRPr="00517553" w:rsidTr="007E32FA">
        <w:trPr>
          <w:tblHeader/>
        </w:trPr>
        <w:tc>
          <w:tcPr>
            <w:tcW w:w="992" w:type="dxa"/>
            <w:vAlign w:val="center"/>
          </w:tcPr>
          <w:p w:rsidR="008C2B67" w:rsidRPr="00517553" w:rsidRDefault="008C2B67" w:rsidP="008F4262">
            <w:pPr>
              <w:widowControl/>
              <w:rPr>
                <w:rFonts w:ascii="Arial Narrow" w:hAnsi="Arial Narrow"/>
                <w:b/>
                <w:sz w:val="20"/>
              </w:rPr>
            </w:pPr>
            <w:r w:rsidRPr="00517553">
              <w:rPr>
                <w:rFonts w:ascii="Arial Narrow" w:hAnsi="Arial Narrow"/>
                <w:b/>
                <w:sz w:val="20"/>
              </w:rPr>
              <w:t>Trial</w:t>
            </w:r>
          </w:p>
        </w:tc>
        <w:tc>
          <w:tcPr>
            <w:tcW w:w="2977" w:type="dxa"/>
            <w:gridSpan w:val="2"/>
            <w:vAlign w:val="center"/>
          </w:tcPr>
          <w:p w:rsidR="008C2B67" w:rsidRPr="00517553" w:rsidRDefault="008C2B67" w:rsidP="008F4262">
            <w:pPr>
              <w:widowControl/>
              <w:ind w:right="-108"/>
              <w:jc w:val="center"/>
              <w:rPr>
                <w:rFonts w:ascii="Arial Narrow" w:hAnsi="Arial Narrow"/>
                <w:b/>
                <w:sz w:val="20"/>
              </w:rPr>
            </w:pPr>
            <w:proofErr w:type="spellStart"/>
            <w:r w:rsidRPr="00517553">
              <w:rPr>
                <w:rFonts w:ascii="Arial Narrow" w:hAnsi="Arial Narrow"/>
                <w:b/>
                <w:sz w:val="20"/>
              </w:rPr>
              <w:t>Ocriplasmin</w:t>
            </w:r>
            <w:proofErr w:type="spellEnd"/>
          </w:p>
          <w:p w:rsidR="008C2B67" w:rsidRPr="00517553" w:rsidRDefault="008C2B67" w:rsidP="008F4262">
            <w:pPr>
              <w:widowControl/>
              <w:ind w:right="-108"/>
              <w:jc w:val="center"/>
              <w:rPr>
                <w:rFonts w:ascii="Arial Narrow" w:hAnsi="Arial Narrow"/>
                <w:sz w:val="20"/>
              </w:rPr>
            </w:pPr>
            <w:r w:rsidRPr="00517553">
              <w:rPr>
                <w:rFonts w:ascii="Arial Narrow" w:hAnsi="Arial Narrow"/>
                <w:b/>
                <w:sz w:val="20"/>
              </w:rPr>
              <w:t>n/N (%): mean (SD)</w:t>
            </w:r>
          </w:p>
        </w:tc>
        <w:tc>
          <w:tcPr>
            <w:tcW w:w="2977" w:type="dxa"/>
            <w:gridSpan w:val="2"/>
            <w:vAlign w:val="center"/>
          </w:tcPr>
          <w:p w:rsidR="008C2B67" w:rsidRPr="00517553" w:rsidRDefault="008C2B67" w:rsidP="008F4262">
            <w:pPr>
              <w:widowControl/>
              <w:jc w:val="center"/>
              <w:rPr>
                <w:rFonts w:ascii="Arial Narrow" w:hAnsi="Arial Narrow"/>
                <w:b/>
                <w:sz w:val="20"/>
                <w:lang w:val="pt-PT"/>
              </w:rPr>
            </w:pPr>
            <w:r w:rsidRPr="00517553">
              <w:rPr>
                <w:rFonts w:ascii="Arial Narrow" w:hAnsi="Arial Narrow"/>
                <w:b/>
                <w:sz w:val="20"/>
                <w:lang w:val="pt-PT"/>
              </w:rPr>
              <w:t>Control</w:t>
            </w:r>
          </w:p>
          <w:p w:rsidR="008C2B67" w:rsidRPr="00517553" w:rsidRDefault="008C2B67" w:rsidP="008F4262">
            <w:pPr>
              <w:widowControl/>
              <w:jc w:val="center"/>
              <w:rPr>
                <w:rFonts w:ascii="Arial Narrow" w:hAnsi="Arial Narrow"/>
                <w:sz w:val="20"/>
                <w:lang w:val="pt-PT"/>
              </w:rPr>
            </w:pPr>
            <w:r w:rsidRPr="00517553">
              <w:rPr>
                <w:rFonts w:ascii="Arial Narrow" w:hAnsi="Arial Narrow"/>
                <w:b/>
                <w:sz w:val="20"/>
                <w:lang w:val="pt-PT"/>
              </w:rPr>
              <w:t>n/N (%): mean (SD)</w:t>
            </w:r>
          </w:p>
        </w:tc>
        <w:tc>
          <w:tcPr>
            <w:tcW w:w="1417" w:type="dxa"/>
            <w:vAlign w:val="center"/>
          </w:tcPr>
          <w:p w:rsidR="008C2B67" w:rsidRPr="00517553" w:rsidRDefault="008C2B67" w:rsidP="008F4262">
            <w:pPr>
              <w:widowControl/>
              <w:jc w:val="center"/>
              <w:rPr>
                <w:rFonts w:ascii="Arial Narrow" w:hAnsi="Arial Narrow"/>
                <w:b/>
                <w:bCs/>
                <w:sz w:val="20"/>
              </w:rPr>
            </w:pPr>
            <w:r w:rsidRPr="00517553">
              <w:rPr>
                <w:rFonts w:ascii="Arial Narrow" w:hAnsi="Arial Narrow"/>
                <w:b/>
                <w:bCs/>
                <w:sz w:val="20"/>
              </w:rPr>
              <w:t>Mean difference</w:t>
            </w:r>
          </w:p>
          <w:p w:rsidR="008C2B67" w:rsidRPr="00517553" w:rsidRDefault="008C2B67" w:rsidP="008F4262">
            <w:pPr>
              <w:widowControl/>
              <w:jc w:val="center"/>
              <w:rPr>
                <w:rFonts w:ascii="Arial Narrow" w:hAnsi="Arial Narrow"/>
                <w:b/>
                <w:bCs/>
                <w:sz w:val="20"/>
              </w:rPr>
            </w:pPr>
            <w:r w:rsidRPr="00517553">
              <w:rPr>
                <w:rFonts w:ascii="Arial Narrow" w:hAnsi="Arial Narrow"/>
                <w:b/>
                <w:bCs/>
                <w:sz w:val="20"/>
              </w:rPr>
              <w:t>(95%CI)</w:t>
            </w:r>
          </w:p>
        </w:tc>
      </w:tr>
      <w:tr w:rsidR="008C2B67" w:rsidRPr="00517553" w:rsidTr="008C2B67">
        <w:tc>
          <w:tcPr>
            <w:tcW w:w="8363" w:type="dxa"/>
            <w:gridSpan w:val="6"/>
          </w:tcPr>
          <w:p w:rsidR="008C2B67" w:rsidRPr="00517553" w:rsidRDefault="008C2B67" w:rsidP="008F4262">
            <w:pPr>
              <w:widowControl/>
              <w:rPr>
                <w:rFonts w:ascii="Arial Narrow" w:hAnsi="Arial Narrow"/>
                <w:b/>
                <w:bCs/>
                <w:sz w:val="20"/>
              </w:rPr>
            </w:pPr>
            <w:r w:rsidRPr="00517553">
              <w:rPr>
                <w:rFonts w:ascii="Arial Narrow" w:hAnsi="Arial Narrow"/>
                <w:b/>
                <w:bCs/>
                <w:sz w:val="20"/>
              </w:rPr>
              <w:t>6 months</w:t>
            </w:r>
          </w:p>
        </w:tc>
      </w:tr>
      <w:tr w:rsidR="008C2B67" w:rsidRPr="00517553" w:rsidTr="001D729F">
        <w:tc>
          <w:tcPr>
            <w:tcW w:w="992" w:type="dxa"/>
            <w:vAlign w:val="center"/>
          </w:tcPr>
          <w:p w:rsidR="008C2B67" w:rsidRPr="00517553" w:rsidRDefault="008C2B67" w:rsidP="008F4262">
            <w:pPr>
              <w:widowControl/>
              <w:rPr>
                <w:rFonts w:ascii="Arial Narrow" w:hAnsi="Arial Narrow"/>
                <w:sz w:val="20"/>
              </w:rPr>
            </w:pPr>
            <w:r w:rsidRPr="00517553">
              <w:rPr>
                <w:rFonts w:ascii="Arial Narrow" w:hAnsi="Arial Narrow"/>
                <w:sz w:val="20"/>
              </w:rPr>
              <w:t>TG-MV-006</w:t>
            </w:r>
          </w:p>
        </w:tc>
        <w:tc>
          <w:tcPr>
            <w:tcW w:w="1488" w:type="dxa"/>
            <w:vAlign w:val="center"/>
          </w:tcPr>
          <w:p w:rsidR="008C2B67" w:rsidRPr="00517553" w:rsidRDefault="008C2B67" w:rsidP="008F4262">
            <w:pPr>
              <w:widowControl/>
              <w:jc w:val="center"/>
              <w:rPr>
                <w:rFonts w:ascii="Arial Narrow" w:hAnsi="Arial Narrow"/>
                <w:sz w:val="20"/>
              </w:rPr>
            </w:pPr>
            <w:r w:rsidRPr="00517553">
              <w:rPr>
                <w:rFonts w:ascii="Arial Narrow" w:hAnsi="Arial Narrow"/>
                <w:sz w:val="20"/>
              </w:rPr>
              <w:t>219/219 (100%)</w:t>
            </w:r>
          </w:p>
        </w:tc>
        <w:tc>
          <w:tcPr>
            <w:tcW w:w="1489" w:type="dxa"/>
            <w:vAlign w:val="center"/>
          </w:tcPr>
          <w:p w:rsidR="008C2B67" w:rsidRPr="00517553" w:rsidRDefault="008C2B67" w:rsidP="008F4262">
            <w:pPr>
              <w:widowControl/>
              <w:jc w:val="center"/>
              <w:rPr>
                <w:rFonts w:ascii="Arial Narrow" w:hAnsi="Arial Narrow"/>
                <w:sz w:val="20"/>
              </w:rPr>
            </w:pPr>
            <w:r w:rsidRPr="00517553">
              <w:rPr>
                <w:rFonts w:ascii="Arial Narrow" w:hAnsi="Arial Narrow"/>
                <w:sz w:val="20"/>
              </w:rPr>
              <w:t>3.5 (12.30)</w:t>
            </w:r>
          </w:p>
        </w:tc>
        <w:tc>
          <w:tcPr>
            <w:tcW w:w="1488" w:type="dxa"/>
            <w:vAlign w:val="center"/>
          </w:tcPr>
          <w:p w:rsidR="008C2B67" w:rsidRPr="00517553" w:rsidRDefault="008C2B67" w:rsidP="008F4262">
            <w:pPr>
              <w:widowControl/>
              <w:jc w:val="center"/>
              <w:rPr>
                <w:rFonts w:ascii="Arial Narrow" w:hAnsi="Arial Narrow"/>
                <w:sz w:val="20"/>
              </w:rPr>
            </w:pPr>
            <w:r w:rsidRPr="00517553">
              <w:rPr>
                <w:rFonts w:ascii="Arial Narrow" w:hAnsi="Arial Narrow"/>
                <w:sz w:val="20"/>
              </w:rPr>
              <w:t>107/107 (100%)</w:t>
            </w:r>
          </w:p>
        </w:tc>
        <w:tc>
          <w:tcPr>
            <w:tcW w:w="1489" w:type="dxa"/>
            <w:vAlign w:val="center"/>
          </w:tcPr>
          <w:p w:rsidR="008C2B67" w:rsidRPr="00517553" w:rsidRDefault="008C2B67" w:rsidP="008F4262">
            <w:pPr>
              <w:widowControl/>
              <w:jc w:val="center"/>
              <w:rPr>
                <w:rFonts w:ascii="Arial Narrow" w:hAnsi="Arial Narrow"/>
                <w:sz w:val="20"/>
              </w:rPr>
            </w:pPr>
            <w:r w:rsidRPr="00517553">
              <w:rPr>
                <w:rFonts w:ascii="Arial Narrow" w:hAnsi="Arial Narrow"/>
                <w:sz w:val="20"/>
              </w:rPr>
              <w:t>2.8 (9.89)</w:t>
            </w:r>
          </w:p>
        </w:tc>
        <w:tc>
          <w:tcPr>
            <w:tcW w:w="1417" w:type="dxa"/>
            <w:vAlign w:val="center"/>
          </w:tcPr>
          <w:p w:rsidR="008C2B67" w:rsidRPr="00517553" w:rsidRDefault="008C2B67" w:rsidP="008F4262">
            <w:pPr>
              <w:widowControl/>
              <w:jc w:val="center"/>
              <w:rPr>
                <w:rFonts w:ascii="Arial Narrow" w:hAnsi="Arial Narrow"/>
                <w:sz w:val="20"/>
              </w:rPr>
            </w:pPr>
            <w:r w:rsidRPr="00517553">
              <w:rPr>
                <w:rFonts w:ascii="Arial Narrow" w:hAnsi="Arial Narrow"/>
                <w:sz w:val="20"/>
              </w:rPr>
              <w:t>0.70 (-1.78, 3.18)</w:t>
            </w:r>
          </w:p>
        </w:tc>
      </w:tr>
      <w:tr w:rsidR="008C2B67" w:rsidRPr="00517553" w:rsidTr="001D729F">
        <w:tc>
          <w:tcPr>
            <w:tcW w:w="992" w:type="dxa"/>
            <w:vAlign w:val="center"/>
          </w:tcPr>
          <w:p w:rsidR="008C2B67" w:rsidRPr="00517553" w:rsidRDefault="008C2B67" w:rsidP="008F4262">
            <w:pPr>
              <w:widowControl/>
              <w:rPr>
                <w:rFonts w:ascii="Arial Narrow" w:hAnsi="Arial Narrow"/>
                <w:sz w:val="20"/>
              </w:rPr>
            </w:pPr>
            <w:r w:rsidRPr="00517553">
              <w:rPr>
                <w:rFonts w:ascii="Arial Narrow" w:hAnsi="Arial Narrow"/>
                <w:sz w:val="20"/>
              </w:rPr>
              <w:t>TG-MV-007</w:t>
            </w:r>
          </w:p>
        </w:tc>
        <w:tc>
          <w:tcPr>
            <w:tcW w:w="1488" w:type="dxa"/>
            <w:vAlign w:val="center"/>
          </w:tcPr>
          <w:p w:rsidR="008C2B67" w:rsidRPr="00517553" w:rsidRDefault="008C2B67" w:rsidP="008F4262">
            <w:pPr>
              <w:widowControl/>
              <w:jc w:val="center"/>
              <w:rPr>
                <w:rFonts w:ascii="Arial Narrow" w:hAnsi="Arial Narrow"/>
                <w:sz w:val="20"/>
              </w:rPr>
            </w:pPr>
            <w:r w:rsidRPr="00517553">
              <w:rPr>
                <w:rFonts w:ascii="Arial Narrow" w:hAnsi="Arial Narrow"/>
                <w:sz w:val="20"/>
              </w:rPr>
              <w:t>245/245 (100%)</w:t>
            </w:r>
          </w:p>
        </w:tc>
        <w:tc>
          <w:tcPr>
            <w:tcW w:w="1489" w:type="dxa"/>
            <w:vAlign w:val="center"/>
          </w:tcPr>
          <w:p w:rsidR="008C2B67" w:rsidRPr="00517553" w:rsidRDefault="008C2B67" w:rsidP="008F4262">
            <w:pPr>
              <w:widowControl/>
              <w:jc w:val="center"/>
              <w:rPr>
                <w:rFonts w:ascii="Arial Narrow" w:hAnsi="Arial Narrow"/>
                <w:sz w:val="20"/>
              </w:rPr>
            </w:pPr>
            <w:r w:rsidRPr="00517553">
              <w:rPr>
                <w:rFonts w:ascii="Arial Narrow" w:hAnsi="Arial Narrow"/>
                <w:sz w:val="20"/>
              </w:rPr>
              <w:t>3.6 (10.35)</w:t>
            </w:r>
          </w:p>
        </w:tc>
        <w:tc>
          <w:tcPr>
            <w:tcW w:w="1488" w:type="dxa"/>
            <w:vAlign w:val="center"/>
          </w:tcPr>
          <w:p w:rsidR="008C2B67" w:rsidRPr="00517553" w:rsidRDefault="008C2B67" w:rsidP="008F4262">
            <w:pPr>
              <w:widowControl/>
              <w:jc w:val="center"/>
              <w:rPr>
                <w:rFonts w:ascii="Arial Narrow" w:hAnsi="Arial Narrow"/>
                <w:sz w:val="20"/>
              </w:rPr>
            </w:pPr>
            <w:r w:rsidRPr="00517553">
              <w:rPr>
                <w:rFonts w:ascii="Arial Narrow" w:hAnsi="Arial Narrow"/>
                <w:sz w:val="20"/>
              </w:rPr>
              <w:t>80/81 (98.77%)</w:t>
            </w:r>
          </w:p>
        </w:tc>
        <w:tc>
          <w:tcPr>
            <w:tcW w:w="1489" w:type="dxa"/>
            <w:vAlign w:val="center"/>
          </w:tcPr>
          <w:p w:rsidR="008C2B67" w:rsidRPr="00517553" w:rsidRDefault="008C2B67" w:rsidP="008F4262">
            <w:pPr>
              <w:widowControl/>
              <w:jc w:val="center"/>
              <w:rPr>
                <w:rFonts w:ascii="Arial Narrow" w:hAnsi="Arial Narrow"/>
                <w:sz w:val="20"/>
              </w:rPr>
            </w:pPr>
            <w:r w:rsidRPr="00517553">
              <w:rPr>
                <w:rFonts w:ascii="Arial Narrow" w:hAnsi="Arial Narrow"/>
                <w:sz w:val="20"/>
              </w:rPr>
              <w:t>2.1 (9.49)</w:t>
            </w:r>
          </w:p>
        </w:tc>
        <w:tc>
          <w:tcPr>
            <w:tcW w:w="1417" w:type="dxa"/>
            <w:vAlign w:val="center"/>
          </w:tcPr>
          <w:p w:rsidR="008C2B67" w:rsidRPr="00517553" w:rsidRDefault="008C2B67" w:rsidP="008F4262">
            <w:pPr>
              <w:widowControl/>
              <w:jc w:val="center"/>
              <w:rPr>
                <w:rFonts w:ascii="Arial Narrow" w:hAnsi="Arial Narrow"/>
                <w:sz w:val="20"/>
              </w:rPr>
            </w:pPr>
            <w:r w:rsidRPr="00517553">
              <w:rPr>
                <w:rFonts w:ascii="Arial Narrow" w:hAnsi="Arial Narrow"/>
                <w:sz w:val="20"/>
              </w:rPr>
              <w:t>1.50 (-0.95, 3.95)</w:t>
            </w:r>
          </w:p>
        </w:tc>
      </w:tr>
      <w:tr w:rsidR="008C2B67" w:rsidRPr="00517553" w:rsidTr="001D729F">
        <w:tc>
          <w:tcPr>
            <w:tcW w:w="992" w:type="dxa"/>
            <w:vAlign w:val="center"/>
          </w:tcPr>
          <w:p w:rsidR="008C2B67" w:rsidRPr="00517553" w:rsidRDefault="008C2B67" w:rsidP="008F4262">
            <w:pPr>
              <w:widowControl/>
              <w:rPr>
                <w:rFonts w:ascii="Arial Narrow" w:hAnsi="Arial Narrow"/>
                <w:sz w:val="20"/>
              </w:rPr>
            </w:pPr>
            <w:r w:rsidRPr="00517553">
              <w:rPr>
                <w:rFonts w:ascii="Arial Narrow" w:hAnsi="Arial Narrow"/>
                <w:sz w:val="20"/>
              </w:rPr>
              <w:t>OASIS</w:t>
            </w:r>
          </w:p>
        </w:tc>
        <w:tc>
          <w:tcPr>
            <w:tcW w:w="1488" w:type="dxa"/>
            <w:vAlign w:val="center"/>
          </w:tcPr>
          <w:p w:rsidR="008C2B67" w:rsidRPr="00517553" w:rsidRDefault="0017165E" w:rsidP="008F4262">
            <w:pPr>
              <w:widowControl/>
              <w:jc w:val="center"/>
              <w:rPr>
                <w:rFonts w:ascii="Arial Narrow" w:hAnsi="Arial Narrow"/>
                <w:sz w:val="20"/>
              </w:rPr>
            </w:pPr>
            <w:r>
              <w:rPr>
                <w:rFonts w:ascii="Arial Narrow" w:hAnsi="Arial Narrow"/>
                <w:noProof/>
                <w:color w:val="000000"/>
                <w:sz w:val="20"/>
                <w:highlight w:val="black"/>
              </w:rPr>
              <w:t>''''''''''''''''''</w:t>
            </w:r>
            <w:r w:rsidR="008C2B67" w:rsidRPr="00517553">
              <w:rPr>
                <w:rFonts w:ascii="Arial Narrow" w:hAnsi="Arial Narrow"/>
                <w:sz w:val="20"/>
              </w:rPr>
              <w:t xml:space="preserve"> (</w:t>
            </w:r>
            <w:r>
              <w:rPr>
                <w:rFonts w:ascii="Arial Narrow" w:hAnsi="Arial Narrow"/>
                <w:noProof/>
                <w:color w:val="000000"/>
                <w:sz w:val="20"/>
                <w:highlight w:val="black"/>
              </w:rPr>
              <w:t>'''''''''''''</w:t>
            </w:r>
            <w:r w:rsidR="008C2B67" w:rsidRPr="00517553">
              <w:rPr>
                <w:rFonts w:ascii="Arial Narrow" w:hAnsi="Arial Narrow"/>
                <w:sz w:val="20"/>
              </w:rPr>
              <w:t>%)</w:t>
            </w:r>
          </w:p>
        </w:tc>
        <w:tc>
          <w:tcPr>
            <w:tcW w:w="1489" w:type="dxa"/>
            <w:vAlign w:val="center"/>
          </w:tcPr>
          <w:p w:rsidR="008C2B67" w:rsidRPr="0017165E" w:rsidRDefault="0017165E" w:rsidP="008F4262">
            <w:pPr>
              <w:widowControl/>
              <w:jc w:val="center"/>
              <w:rPr>
                <w:rFonts w:ascii="Arial Narrow" w:hAnsi="Arial Narrow"/>
                <w:sz w:val="20"/>
                <w:highlight w:val="black"/>
              </w:rPr>
            </w:pPr>
            <w:r>
              <w:rPr>
                <w:rFonts w:ascii="Arial Narrow" w:hAnsi="Arial Narrow"/>
                <w:noProof/>
                <w:color w:val="000000"/>
                <w:sz w:val="20"/>
                <w:highlight w:val="black"/>
              </w:rPr>
              <w:t>''''''' ''''''''''''''''</w:t>
            </w:r>
          </w:p>
        </w:tc>
        <w:tc>
          <w:tcPr>
            <w:tcW w:w="1488" w:type="dxa"/>
            <w:vAlign w:val="center"/>
          </w:tcPr>
          <w:p w:rsidR="008C2B67" w:rsidRPr="00517553" w:rsidRDefault="0017165E" w:rsidP="008F4262">
            <w:pPr>
              <w:widowControl/>
              <w:jc w:val="center"/>
              <w:rPr>
                <w:rFonts w:ascii="Arial Narrow" w:hAnsi="Arial Narrow"/>
                <w:sz w:val="20"/>
              </w:rPr>
            </w:pPr>
            <w:r>
              <w:rPr>
                <w:rFonts w:ascii="Arial Narrow" w:hAnsi="Arial Narrow"/>
                <w:noProof/>
                <w:color w:val="000000"/>
                <w:sz w:val="20"/>
                <w:highlight w:val="black"/>
              </w:rPr>
              <w:t xml:space="preserve">''''''''''''' </w:t>
            </w:r>
            <w:r w:rsidR="008C2B67" w:rsidRPr="00517553">
              <w:rPr>
                <w:rFonts w:ascii="Arial Narrow" w:hAnsi="Arial Narrow"/>
                <w:sz w:val="20"/>
              </w:rPr>
              <w:t>(</w:t>
            </w:r>
            <w:r>
              <w:rPr>
                <w:rFonts w:ascii="Arial Narrow" w:hAnsi="Arial Narrow"/>
                <w:noProof/>
                <w:color w:val="000000"/>
                <w:sz w:val="20"/>
                <w:highlight w:val="black"/>
              </w:rPr>
              <w:t>'''''''''</w:t>
            </w:r>
            <w:r w:rsidR="008C2B67" w:rsidRPr="00517553">
              <w:rPr>
                <w:rFonts w:ascii="Arial Narrow" w:hAnsi="Arial Narrow"/>
                <w:sz w:val="20"/>
              </w:rPr>
              <w:t>%)</w:t>
            </w:r>
          </w:p>
        </w:tc>
        <w:tc>
          <w:tcPr>
            <w:tcW w:w="1489" w:type="dxa"/>
            <w:vAlign w:val="center"/>
          </w:tcPr>
          <w:p w:rsidR="008C2B67" w:rsidRPr="0017165E" w:rsidRDefault="0017165E" w:rsidP="008F4262">
            <w:pPr>
              <w:widowControl/>
              <w:jc w:val="center"/>
              <w:rPr>
                <w:rFonts w:ascii="Arial Narrow" w:hAnsi="Arial Narrow"/>
                <w:sz w:val="20"/>
                <w:highlight w:val="black"/>
              </w:rPr>
            </w:pPr>
            <w:r>
              <w:rPr>
                <w:rFonts w:ascii="Arial Narrow" w:hAnsi="Arial Narrow"/>
                <w:noProof/>
                <w:color w:val="000000"/>
                <w:sz w:val="20"/>
                <w:highlight w:val="black"/>
              </w:rPr>
              <w:t>''''''' ''''''''''''''''''</w:t>
            </w:r>
          </w:p>
        </w:tc>
        <w:tc>
          <w:tcPr>
            <w:tcW w:w="1417" w:type="dxa"/>
            <w:vAlign w:val="center"/>
          </w:tcPr>
          <w:p w:rsidR="008C2B67" w:rsidRPr="0017165E" w:rsidRDefault="0017165E" w:rsidP="008F4262">
            <w:pPr>
              <w:widowControl/>
              <w:jc w:val="center"/>
              <w:rPr>
                <w:rFonts w:ascii="Arial Narrow" w:hAnsi="Arial Narrow"/>
                <w:sz w:val="20"/>
                <w:highlight w:val="black"/>
              </w:rPr>
            </w:pPr>
            <w:r>
              <w:rPr>
                <w:rFonts w:ascii="Arial Narrow" w:hAnsi="Arial Narrow"/>
                <w:noProof/>
                <w:color w:val="000000"/>
                <w:sz w:val="20"/>
                <w:highlight w:val="black"/>
              </w:rPr>
              <w:t>''''''''''' '''''''''''''''' ''''''''''''</w:t>
            </w:r>
          </w:p>
        </w:tc>
      </w:tr>
      <w:tr w:rsidR="008C2B67" w:rsidRPr="00517553" w:rsidTr="001D729F">
        <w:tc>
          <w:tcPr>
            <w:tcW w:w="992" w:type="dxa"/>
            <w:vAlign w:val="center"/>
          </w:tcPr>
          <w:p w:rsidR="008C2B67" w:rsidRPr="00517553" w:rsidRDefault="008C2B67" w:rsidP="008F4262">
            <w:pPr>
              <w:widowControl/>
              <w:jc w:val="right"/>
              <w:rPr>
                <w:rFonts w:ascii="Arial Narrow" w:hAnsi="Arial Narrow"/>
                <w:iCs/>
                <w:sz w:val="20"/>
              </w:rPr>
            </w:pPr>
            <w:r w:rsidRPr="00517553">
              <w:rPr>
                <w:rFonts w:ascii="Arial Narrow" w:hAnsi="Arial Narrow"/>
                <w:iCs/>
                <w:sz w:val="20"/>
              </w:rPr>
              <w:t>Pooled</w:t>
            </w:r>
          </w:p>
        </w:tc>
        <w:tc>
          <w:tcPr>
            <w:tcW w:w="1488" w:type="dxa"/>
            <w:vAlign w:val="center"/>
          </w:tcPr>
          <w:p w:rsidR="008C2B67" w:rsidRPr="00517553" w:rsidRDefault="008C2B67" w:rsidP="008F4262">
            <w:pPr>
              <w:widowControl/>
              <w:jc w:val="center"/>
              <w:rPr>
                <w:rFonts w:ascii="Arial Narrow" w:hAnsi="Arial Narrow"/>
                <w:iCs/>
                <w:sz w:val="20"/>
              </w:rPr>
            </w:pPr>
          </w:p>
        </w:tc>
        <w:tc>
          <w:tcPr>
            <w:tcW w:w="1489" w:type="dxa"/>
            <w:vAlign w:val="center"/>
          </w:tcPr>
          <w:p w:rsidR="008C2B67"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1488" w:type="dxa"/>
            <w:vAlign w:val="center"/>
          </w:tcPr>
          <w:p w:rsidR="008C2B67" w:rsidRPr="00517553" w:rsidRDefault="008C2B67" w:rsidP="008F4262">
            <w:pPr>
              <w:widowControl/>
              <w:jc w:val="center"/>
              <w:rPr>
                <w:rFonts w:ascii="Arial Narrow" w:hAnsi="Arial Narrow"/>
                <w:iCs/>
                <w:sz w:val="20"/>
              </w:rPr>
            </w:pPr>
          </w:p>
        </w:tc>
        <w:tc>
          <w:tcPr>
            <w:tcW w:w="1489" w:type="dxa"/>
            <w:vAlign w:val="center"/>
          </w:tcPr>
          <w:p w:rsidR="008C2B67"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1417" w:type="dxa"/>
            <w:vAlign w:val="center"/>
          </w:tcPr>
          <w:p w:rsidR="008C2B67" w:rsidRPr="00517553" w:rsidRDefault="0017165E" w:rsidP="008F4262">
            <w:pPr>
              <w:widowControl/>
              <w:jc w:val="center"/>
              <w:rPr>
                <w:rFonts w:ascii="Arial Narrow" w:hAnsi="Arial Narrow"/>
                <w:iCs/>
                <w:sz w:val="20"/>
              </w:rPr>
            </w:pPr>
            <w:r>
              <w:rPr>
                <w:rFonts w:ascii="Arial Narrow" w:hAnsi="Arial Narrow"/>
                <w:iCs/>
                <w:noProof/>
                <w:color w:val="000000"/>
                <w:sz w:val="20"/>
                <w:highlight w:val="black"/>
              </w:rPr>
              <w:t>'''''''''' '''''''''''''''' '''''''''''</w:t>
            </w:r>
            <w:r w:rsidR="008C2B67" w:rsidRPr="00517553">
              <w:rPr>
                <w:rFonts w:ascii="Arial Narrow" w:hAnsi="Arial Narrow"/>
                <w:iCs/>
                <w:sz w:val="20"/>
              </w:rPr>
              <w:t>)</w:t>
            </w:r>
          </w:p>
        </w:tc>
      </w:tr>
      <w:tr w:rsidR="008C2B67" w:rsidRPr="00517553" w:rsidTr="008C2B67">
        <w:tc>
          <w:tcPr>
            <w:tcW w:w="8363" w:type="dxa"/>
            <w:gridSpan w:val="6"/>
            <w:vAlign w:val="center"/>
          </w:tcPr>
          <w:p w:rsidR="008C2B67" w:rsidRPr="00517553" w:rsidRDefault="008C2B67" w:rsidP="008F4262">
            <w:pPr>
              <w:widowControl/>
              <w:jc w:val="left"/>
              <w:rPr>
                <w:rFonts w:ascii="Arial Narrow" w:hAnsi="Arial Narrow"/>
                <w:sz w:val="20"/>
              </w:rPr>
            </w:pPr>
            <w:r w:rsidRPr="00517553">
              <w:rPr>
                <w:rFonts w:ascii="Arial Narrow" w:hAnsi="Arial Narrow"/>
                <w:b/>
                <w:bCs/>
                <w:sz w:val="20"/>
              </w:rPr>
              <w:t>24 months</w:t>
            </w:r>
          </w:p>
        </w:tc>
      </w:tr>
      <w:tr w:rsidR="008C2B67" w:rsidRPr="00517553" w:rsidTr="001D729F">
        <w:tc>
          <w:tcPr>
            <w:tcW w:w="992" w:type="dxa"/>
            <w:vAlign w:val="center"/>
          </w:tcPr>
          <w:p w:rsidR="008C2B67" w:rsidRPr="00517553" w:rsidRDefault="008C2B67" w:rsidP="008F4262">
            <w:pPr>
              <w:widowControl/>
              <w:jc w:val="left"/>
              <w:rPr>
                <w:rFonts w:ascii="Arial Narrow" w:hAnsi="Arial Narrow"/>
                <w:sz w:val="20"/>
              </w:rPr>
            </w:pPr>
            <w:r w:rsidRPr="00517553">
              <w:rPr>
                <w:rFonts w:ascii="Arial Narrow" w:hAnsi="Arial Narrow"/>
                <w:sz w:val="20"/>
              </w:rPr>
              <w:t>OASIS</w:t>
            </w:r>
          </w:p>
        </w:tc>
        <w:tc>
          <w:tcPr>
            <w:tcW w:w="1488" w:type="dxa"/>
            <w:vAlign w:val="center"/>
          </w:tcPr>
          <w:p w:rsidR="008C2B67" w:rsidRPr="00517553" w:rsidRDefault="0017165E" w:rsidP="008F4262">
            <w:pPr>
              <w:widowControl/>
              <w:jc w:val="center"/>
              <w:rPr>
                <w:rFonts w:ascii="Arial Narrow" w:hAnsi="Arial Narrow"/>
                <w:sz w:val="20"/>
              </w:rPr>
            </w:pPr>
            <w:r>
              <w:rPr>
                <w:rFonts w:ascii="Arial Narrow" w:hAnsi="Arial Narrow"/>
                <w:noProof/>
                <w:color w:val="000000"/>
                <w:sz w:val="20"/>
                <w:highlight w:val="black"/>
              </w:rPr>
              <w:t xml:space="preserve">'''''''''''''''''' </w:t>
            </w:r>
            <w:r w:rsidR="008C2B67" w:rsidRPr="00517553">
              <w:rPr>
                <w:rFonts w:ascii="Arial Narrow" w:hAnsi="Arial Narrow"/>
                <w:sz w:val="20"/>
              </w:rPr>
              <w:t>(</w:t>
            </w:r>
            <w:r>
              <w:rPr>
                <w:rFonts w:ascii="Arial Narrow" w:hAnsi="Arial Narrow"/>
                <w:noProof/>
                <w:color w:val="000000"/>
                <w:sz w:val="20"/>
                <w:highlight w:val="black"/>
              </w:rPr>
              <w:t>'''''''''''''</w:t>
            </w:r>
            <w:r w:rsidR="008C2B67" w:rsidRPr="00517553">
              <w:rPr>
                <w:rFonts w:ascii="Arial Narrow" w:hAnsi="Arial Narrow"/>
                <w:sz w:val="20"/>
              </w:rPr>
              <w:t>%)</w:t>
            </w:r>
          </w:p>
        </w:tc>
        <w:tc>
          <w:tcPr>
            <w:tcW w:w="1489" w:type="dxa"/>
            <w:vAlign w:val="center"/>
          </w:tcPr>
          <w:p w:rsidR="008C2B67" w:rsidRPr="0017165E" w:rsidRDefault="0017165E" w:rsidP="008F4262">
            <w:pPr>
              <w:widowControl/>
              <w:jc w:val="center"/>
              <w:rPr>
                <w:rFonts w:ascii="Arial Narrow" w:hAnsi="Arial Narrow"/>
                <w:sz w:val="20"/>
                <w:highlight w:val="black"/>
              </w:rPr>
            </w:pPr>
            <w:r>
              <w:rPr>
                <w:rFonts w:ascii="Arial Narrow" w:hAnsi="Arial Narrow"/>
                <w:noProof/>
                <w:color w:val="000000"/>
                <w:sz w:val="20"/>
                <w:highlight w:val="black"/>
              </w:rPr>
              <w:t>'''''''' ''''''''''''''''</w:t>
            </w:r>
          </w:p>
        </w:tc>
        <w:tc>
          <w:tcPr>
            <w:tcW w:w="1488" w:type="dxa"/>
            <w:vAlign w:val="center"/>
          </w:tcPr>
          <w:p w:rsidR="008C2B67" w:rsidRPr="00517553" w:rsidRDefault="0017165E" w:rsidP="008F4262">
            <w:pPr>
              <w:widowControl/>
              <w:jc w:val="center"/>
              <w:rPr>
                <w:rFonts w:ascii="Arial Narrow" w:hAnsi="Arial Narrow"/>
                <w:sz w:val="20"/>
              </w:rPr>
            </w:pPr>
            <w:r>
              <w:rPr>
                <w:rFonts w:ascii="Arial Narrow" w:hAnsi="Arial Narrow"/>
                <w:noProof/>
                <w:color w:val="000000"/>
                <w:sz w:val="20"/>
                <w:highlight w:val="black"/>
              </w:rPr>
              <w:t xml:space="preserve">''''''''''''' </w:t>
            </w:r>
            <w:r w:rsidR="008C2B67" w:rsidRPr="00517553">
              <w:rPr>
                <w:rFonts w:ascii="Arial Narrow" w:hAnsi="Arial Narrow"/>
                <w:sz w:val="20"/>
              </w:rPr>
              <w:t>(</w:t>
            </w:r>
            <w:r>
              <w:rPr>
                <w:rFonts w:ascii="Arial Narrow" w:hAnsi="Arial Narrow"/>
                <w:noProof/>
                <w:color w:val="000000"/>
                <w:sz w:val="20"/>
                <w:highlight w:val="black"/>
              </w:rPr>
              <w:t>''''''''''</w:t>
            </w:r>
            <w:r w:rsidR="008C2B67" w:rsidRPr="00517553">
              <w:rPr>
                <w:rFonts w:ascii="Arial Narrow" w:hAnsi="Arial Narrow"/>
                <w:sz w:val="20"/>
              </w:rPr>
              <w:t>%)</w:t>
            </w:r>
          </w:p>
        </w:tc>
        <w:tc>
          <w:tcPr>
            <w:tcW w:w="1489" w:type="dxa"/>
            <w:vAlign w:val="center"/>
          </w:tcPr>
          <w:p w:rsidR="008C2B67" w:rsidRPr="0017165E" w:rsidRDefault="0017165E" w:rsidP="008F4262">
            <w:pPr>
              <w:widowControl/>
              <w:jc w:val="center"/>
              <w:rPr>
                <w:rFonts w:ascii="Arial Narrow" w:hAnsi="Arial Narrow"/>
                <w:sz w:val="20"/>
                <w:highlight w:val="black"/>
              </w:rPr>
            </w:pPr>
            <w:r>
              <w:rPr>
                <w:rFonts w:ascii="Arial Narrow" w:hAnsi="Arial Narrow"/>
                <w:noProof/>
                <w:color w:val="000000"/>
                <w:sz w:val="20"/>
                <w:highlight w:val="black"/>
              </w:rPr>
              <w:t>'''''''' ''''''''''''''''''</w:t>
            </w:r>
          </w:p>
        </w:tc>
        <w:tc>
          <w:tcPr>
            <w:tcW w:w="1417" w:type="dxa"/>
            <w:vAlign w:val="center"/>
          </w:tcPr>
          <w:p w:rsidR="008C2B67" w:rsidRPr="0017165E" w:rsidRDefault="0017165E" w:rsidP="008F4262">
            <w:pPr>
              <w:widowControl/>
              <w:jc w:val="center"/>
              <w:rPr>
                <w:rFonts w:ascii="Arial Narrow" w:hAnsi="Arial Narrow"/>
                <w:sz w:val="20"/>
                <w:highlight w:val="black"/>
              </w:rPr>
            </w:pPr>
            <w:r>
              <w:rPr>
                <w:rFonts w:ascii="Arial Narrow" w:hAnsi="Arial Narrow"/>
                <w:noProof/>
                <w:color w:val="000000"/>
                <w:sz w:val="20"/>
                <w:highlight w:val="black"/>
              </w:rPr>
              <w:t>''''''''''' '''''''''''''''' ''''''''''''</w:t>
            </w:r>
          </w:p>
        </w:tc>
      </w:tr>
    </w:tbl>
    <w:p w:rsidR="008C2B67" w:rsidRDefault="008C2B67" w:rsidP="008F4262">
      <w:pPr>
        <w:widowControl/>
        <w:ind w:left="709"/>
        <w:rPr>
          <w:rFonts w:ascii="Arial Narrow" w:hAnsi="Arial Narrow"/>
          <w:sz w:val="18"/>
        </w:rPr>
      </w:pPr>
      <w:r w:rsidRPr="00517553">
        <w:rPr>
          <w:rFonts w:ascii="Arial Narrow" w:hAnsi="Arial Narrow"/>
          <w:sz w:val="18"/>
        </w:rPr>
        <w:t xml:space="preserve">Source: Tables 36 and 37, pp121-122 of the </w:t>
      </w:r>
      <w:r w:rsidR="002A29D8" w:rsidRPr="00517553">
        <w:rPr>
          <w:rFonts w:ascii="Arial Narrow" w:hAnsi="Arial Narrow"/>
          <w:sz w:val="18"/>
        </w:rPr>
        <w:t>re-</w:t>
      </w:r>
      <w:r w:rsidRPr="00517553">
        <w:rPr>
          <w:rFonts w:ascii="Arial Narrow" w:hAnsi="Arial Narrow"/>
          <w:sz w:val="18"/>
        </w:rPr>
        <w:t>submission</w:t>
      </w:r>
    </w:p>
    <w:p w:rsidR="005C1C1A" w:rsidRPr="00517553" w:rsidRDefault="005C1C1A" w:rsidP="008F4262">
      <w:pPr>
        <w:widowControl/>
        <w:rPr>
          <w:szCs w:val="22"/>
        </w:rPr>
      </w:pPr>
    </w:p>
    <w:p w:rsidR="005C1C1A" w:rsidRPr="00517553" w:rsidRDefault="005C1C1A" w:rsidP="008F4262">
      <w:pPr>
        <w:pStyle w:val="ListParagraph"/>
        <w:widowControl/>
        <w:numPr>
          <w:ilvl w:val="1"/>
          <w:numId w:val="1"/>
        </w:numPr>
        <w:rPr>
          <w:szCs w:val="22"/>
        </w:rPr>
      </w:pPr>
      <w:r w:rsidRPr="00517553">
        <w:rPr>
          <w:szCs w:val="22"/>
        </w:rPr>
        <w:t>The re-submission also presented</w:t>
      </w:r>
      <w:r>
        <w:rPr>
          <w:szCs w:val="22"/>
        </w:rPr>
        <w:t xml:space="preserve"> two relevant </w:t>
      </w:r>
      <w:r w:rsidRPr="00064591">
        <w:rPr>
          <w:i/>
          <w:szCs w:val="22"/>
        </w:rPr>
        <w:t>post hoc</w:t>
      </w:r>
      <w:r w:rsidRPr="00517553">
        <w:rPr>
          <w:szCs w:val="22"/>
        </w:rPr>
        <w:t xml:space="preserve"> outcomes “no anatomical </w:t>
      </w:r>
      <w:r w:rsidRPr="00517553">
        <w:t>abnormalities</w:t>
      </w:r>
      <w:r w:rsidRPr="00517553">
        <w:rPr>
          <w:szCs w:val="22"/>
        </w:rPr>
        <w:t xml:space="preserve"> without </w:t>
      </w:r>
      <w:proofErr w:type="spellStart"/>
      <w:r w:rsidRPr="00517553">
        <w:rPr>
          <w:szCs w:val="22"/>
        </w:rPr>
        <w:t>vitrectomy</w:t>
      </w:r>
      <w:proofErr w:type="spellEnd"/>
      <w:r w:rsidRPr="00517553">
        <w:rPr>
          <w:szCs w:val="22"/>
        </w:rPr>
        <w:t xml:space="preserve">” and “no anatomical abnormalities regardless of </w:t>
      </w:r>
      <w:proofErr w:type="spellStart"/>
      <w:r w:rsidRPr="00517553">
        <w:rPr>
          <w:szCs w:val="22"/>
        </w:rPr>
        <w:t>vitrectomy</w:t>
      </w:r>
      <w:proofErr w:type="spellEnd"/>
      <w:r w:rsidRPr="00517553">
        <w:rPr>
          <w:szCs w:val="22"/>
        </w:rPr>
        <w:t xml:space="preserve">” from TG-MV-006 and </w:t>
      </w:r>
      <w:r>
        <w:rPr>
          <w:szCs w:val="22"/>
        </w:rPr>
        <w:t>GT-MV</w:t>
      </w:r>
      <w:r w:rsidRPr="00517553">
        <w:rPr>
          <w:szCs w:val="22"/>
        </w:rPr>
        <w:t xml:space="preserve">-007 at 6 months.  </w:t>
      </w:r>
      <w:r w:rsidRPr="00517553">
        <w:rPr>
          <w:iCs/>
          <w:szCs w:val="22"/>
        </w:rPr>
        <w:t xml:space="preserve">The results indicated statistically significantly fewer patients treated with </w:t>
      </w:r>
      <w:proofErr w:type="spellStart"/>
      <w:r w:rsidRPr="00517553">
        <w:rPr>
          <w:iCs/>
          <w:szCs w:val="22"/>
        </w:rPr>
        <w:t>ocriplasmin</w:t>
      </w:r>
      <w:proofErr w:type="spellEnd"/>
      <w:r w:rsidRPr="00517553">
        <w:rPr>
          <w:iCs/>
          <w:szCs w:val="22"/>
        </w:rPr>
        <w:t xml:space="preserve"> had an anatomical abnormality without </w:t>
      </w:r>
      <w:proofErr w:type="spellStart"/>
      <w:r w:rsidRPr="00517553">
        <w:rPr>
          <w:iCs/>
          <w:szCs w:val="22"/>
        </w:rPr>
        <w:t>vitrectomy</w:t>
      </w:r>
      <w:proofErr w:type="spellEnd"/>
      <w:r w:rsidRPr="00517553">
        <w:rPr>
          <w:iCs/>
          <w:szCs w:val="22"/>
        </w:rPr>
        <w:t xml:space="preserve">, but there was no difference after accounting for </w:t>
      </w:r>
      <w:proofErr w:type="spellStart"/>
      <w:r w:rsidRPr="00517553">
        <w:rPr>
          <w:iCs/>
          <w:szCs w:val="22"/>
        </w:rPr>
        <w:t>vitrectomy</w:t>
      </w:r>
      <w:proofErr w:type="spellEnd"/>
      <w:r w:rsidRPr="00517553">
        <w:rPr>
          <w:iCs/>
          <w:szCs w:val="22"/>
        </w:rPr>
        <w:t>.</w:t>
      </w:r>
    </w:p>
    <w:p w:rsidR="0019466F" w:rsidRPr="0019466F" w:rsidRDefault="0019466F" w:rsidP="008F4262">
      <w:pPr>
        <w:widowControl/>
        <w:rPr>
          <w:i/>
          <w:szCs w:val="22"/>
        </w:rPr>
      </w:pPr>
    </w:p>
    <w:p w:rsidR="0051376E" w:rsidRPr="00E23349" w:rsidRDefault="00320E23" w:rsidP="008F4262">
      <w:pPr>
        <w:pStyle w:val="ListParagraph"/>
        <w:widowControl/>
        <w:numPr>
          <w:ilvl w:val="1"/>
          <w:numId w:val="1"/>
        </w:numPr>
        <w:rPr>
          <w:szCs w:val="22"/>
        </w:rPr>
      </w:pPr>
      <w:r w:rsidRPr="00E23349">
        <w:rPr>
          <w:szCs w:val="22"/>
        </w:rPr>
        <w:t>The ESC noted that</w:t>
      </w:r>
      <w:r w:rsidR="005C2376" w:rsidRPr="00E23349">
        <w:rPr>
          <w:szCs w:val="22"/>
        </w:rPr>
        <w:t>,</w:t>
      </w:r>
      <w:r w:rsidRPr="00E23349">
        <w:rPr>
          <w:szCs w:val="22"/>
        </w:rPr>
        <w:t xml:space="preserve"> in the OASIS trial</w:t>
      </w:r>
      <w:r w:rsidR="00347C7A" w:rsidRPr="00E23349">
        <w:rPr>
          <w:szCs w:val="22"/>
        </w:rPr>
        <w:t>,</w:t>
      </w:r>
      <w:r w:rsidRPr="00E23349">
        <w:rPr>
          <w:szCs w:val="22"/>
        </w:rPr>
        <w:t xml:space="preserve"> non-surgical VMA resolution without creation of an anatomical defect by visit </w:t>
      </w:r>
      <w:r w:rsidR="00C31B49" w:rsidRPr="00E23349">
        <w:rPr>
          <w:szCs w:val="22"/>
        </w:rPr>
        <w:t xml:space="preserve">at Month 24 </w:t>
      </w:r>
      <w:r w:rsidRPr="00E23349">
        <w:rPr>
          <w:szCs w:val="22"/>
        </w:rPr>
        <w:t xml:space="preserve">was significantly different (RD </w:t>
      </w:r>
      <w:r w:rsidR="0017165E">
        <w:rPr>
          <w:bCs/>
          <w:iCs/>
          <w:noProof/>
          <w:color w:val="000000"/>
          <w:szCs w:val="22"/>
          <w:highlight w:val="black"/>
        </w:rPr>
        <w:t>''''''''''''</w:t>
      </w:r>
      <w:r w:rsidR="005C2376" w:rsidRPr="00E23349">
        <w:rPr>
          <w:bCs/>
          <w:iCs/>
          <w:szCs w:val="22"/>
        </w:rPr>
        <w:t xml:space="preserve">; </w:t>
      </w:r>
      <w:r w:rsidR="005C2376" w:rsidRPr="00E23349">
        <w:rPr>
          <w:szCs w:val="22"/>
        </w:rPr>
        <w:lastRenderedPageBreak/>
        <w:t xml:space="preserve">95% CI: </w:t>
      </w:r>
      <w:r w:rsidR="0017165E">
        <w:rPr>
          <w:bCs/>
          <w:iCs/>
          <w:noProof/>
          <w:color w:val="000000"/>
          <w:szCs w:val="22"/>
          <w:highlight w:val="black"/>
        </w:rPr>
        <w:t>''''''''''''</w:t>
      </w:r>
      <w:r w:rsidR="005C2376" w:rsidRPr="00E23349">
        <w:rPr>
          <w:bCs/>
          <w:iCs/>
          <w:szCs w:val="22"/>
        </w:rPr>
        <w:t xml:space="preserve">, </w:t>
      </w:r>
      <w:r w:rsidR="0017165E">
        <w:rPr>
          <w:bCs/>
          <w:iCs/>
          <w:noProof/>
          <w:color w:val="000000"/>
          <w:szCs w:val="22"/>
          <w:highlight w:val="black"/>
        </w:rPr>
        <w:t>'''''''''''</w:t>
      </w:r>
      <w:r w:rsidRPr="00E23349">
        <w:rPr>
          <w:bCs/>
          <w:iCs/>
          <w:szCs w:val="22"/>
        </w:rPr>
        <w:t>)</w:t>
      </w:r>
      <w:r w:rsidRPr="00E23349">
        <w:rPr>
          <w:szCs w:val="22"/>
        </w:rPr>
        <w:t xml:space="preserve"> in the </w:t>
      </w:r>
      <w:proofErr w:type="spellStart"/>
      <w:r w:rsidRPr="00E23349">
        <w:rPr>
          <w:szCs w:val="22"/>
        </w:rPr>
        <w:t>ocriplasmin</w:t>
      </w:r>
      <w:proofErr w:type="spellEnd"/>
      <w:r w:rsidRPr="00E23349">
        <w:rPr>
          <w:szCs w:val="22"/>
        </w:rPr>
        <w:t xml:space="preserve"> arm (</w:t>
      </w:r>
      <w:r w:rsidR="0017165E">
        <w:rPr>
          <w:noProof/>
          <w:color w:val="000000"/>
          <w:szCs w:val="22"/>
          <w:highlight w:val="black"/>
        </w:rPr>
        <w:t>''''''</w:t>
      </w:r>
      <w:r w:rsidRPr="00E23349">
        <w:rPr>
          <w:szCs w:val="22"/>
        </w:rPr>
        <w:t>/</w:t>
      </w:r>
      <w:r w:rsidR="0017165E">
        <w:rPr>
          <w:noProof/>
          <w:color w:val="000000"/>
          <w:szCs w:val="22"/>
          <w:highlight w:val="black"/>
        </w:rPr>
        <w:t>''''''''''</w:t>
      </w:r>
      <w:r w:rsidRPr="00E23349">
        <w:rPr>
          <w:szCs w:val="22"/>
        </w:rPr>
        <w:t xml:space="preserve"> (</w:t>
      </w:r>
      <w:r w:rsidR="0017165E">
        <w:rPr>
          <w:noProof/>
          <w:color w:val="000000"/>
          <w:szCs w:val="22"/>
          <w:highlight w:val="black"/>
        </w:rPr>
        <w:t>''''''''''</w:t>
      </w:r>
      <w:r w:rsidRPr="00E23349">
        <w:rPr>
          <w:szCs w:val="22"/>
        </w:rPr>
        <w:t xml:space="preserve">%)) compared to the </w:t>
      </w:r>
      <w:r w:rsidR="005C2376" w:rsidRPr="00E23349">
        <w:rPr>
          <w:szCs w:val="22"/>
        </w:rPr>
        <w:t xml:space="preserve">sham </w:t>
      </w:r>
      <w:r w:rsidRPr="00E23349">
        <w:rPr>
          <w:szCs w:val="22"/>
        </w:rPr>
        <w:t>control (</w:t>
      </w:r>
      <w:r w:rsidR="0017165E">
        <w:rPr>
          <w:noProof/>
          <w:color w:val="000000"/>
          <w:szCs w:val="22"/>
          <w:highlight w:val="black"/>
        </w:rPr>
        <w:t>'''''''''''''''</w:t>
      </w:r>
      <w:r w:rsidRPr="00E23349">
        <w:rPr>
          <w:szCs w:val="22"/>
        </w:rPr>
        <w:t xml:space="preserve"> (</w:t>
      </w:r>
      <w:r w:rsidR="0017165E">
        <w:rPr>
          <w:noProof/>
          <w:color w:val="000000"/>
          <w:szCs w:val="22"/>
          <w:highlight w:val="black"/>
        </w:rPr>
        <w:t>'''''''''''</w:t>
      </w:r>
      <w:r w:rsidRPr="00E23349">
        <w:rPr>
          <w:szCs w:val="22"/>
        </w:rPr>
        <w:t xml:space="preserve">%)). </w:t>
      </w:r>
      <w:r w:rsidR="00E40A80">
        <w:rPr>
          <w:szCs w:val="22"/>
        </w:rPr>
        <w:t xml:space="preserve"> </w:t>
      </w:r>
      <w:r w:rsidR="00F42C86" w:rsidRPr="00E23349">
        <w:rPr>
          <w:szCs w:val="22"/>
        </w:rPr>
        <w:t>Further, t</w:t>
      </w:r>
      <w:r w:rsidRPr="00E23349">
        <w:rPr>
          <w:szCs w:val="22"/>
        </w:rPr>
        <w:t>he PSCR (p</w:t>
      </w:r>
      <w:r w:rsidR="00F42C86" w:rsidRPr="00E23349">
        <w:rPr>
          <w:szCs w:val="22"/>
        </w:rPr>
        <w:t>1 and 5</w:t>
      </w:r>
      <w:r w:rsidRPr="00E23349">
        <w:rPr>
          <w:szCs w:val="22"/>
        </w:rPr>
        <w:t xml:space="preserve"> and Figure</w:t>
      </w:r>
      <w:r w:rsidR="005C2376" w:rsidRPr="00E23349">
        <w:rPr>
          <w:szCs w:val="22"/>
        </w:rPr>
        <w:t xml:space="preserve"> </w:t>
      </w:r>
      <w:r w:rsidRPr="00E23349">
        <w:rPr>
          <w:szCs w:val="22"/>
        </w:rPr>
        <w:t xml:space="preserve">1) presented </w:t>
      </w:r>
      <w:r w:rsidR="00122E37" w:rsidRPr="00E23349">
        <w:rPr>
          <w:szCs w:val="22"/>
        </w:rPr>
        <w:t xml:space="preserve">a meta-analysis </w:t>
      </w:r>
      <w:r w:rsidRPr="00E23349">
        <w:rPr>
          <w:szCs w:val="22"/>
        </w:rPr>
        <w:t xml:space="preserve">on </w:t>
      </w:r>
      <w:r w:rsidR="00F42C86" w:rsidRPr="00E23349">
        <w:rPr>
          <w:szCs w:val="22"/>
        </w:rPr>
        <w:t xml:space="preserve">no anatomical abnormality regardless of </w:t>
      </w:r>
      <w:proofErr w:type="spellStart"/>
      <w:r w:rsidR="00F42C86" w:rsidRPr="00E23349">
        <w:rPr>
          <w:szCs w:val="22"/>
        </w:rPr>
        <w:t>vitrectomy</w:t>
      </w:r>
      <w:proofErr w:type="spellEnd"/>
      <w:r w:rsidR="00F42C86" w:rsidRPr="00E23349">
        <w:rPr>
          <w:szCs w:val="22"/>
        </w:rPr>
        <w:t xml:space="preserve"> </w:t>
      </w:r>
      <w:r w:rsidR="005C2376" w:rsidRPr="00E23349">
        <w:rPr>
          <w:szCs w:val="22"/>
        </w:rPr>
        <w:t>in the ITT population (see also Table 5 below).</w:t>
      </w:r>
    </w:p>
    <w:p w:rsidR="00122E37" w:rsidRDefault="00122E37" w:rsidP="008F4262">
      <w:pPr>
        <w:widowControl/>
      </w:pPr>
    </w:p>
    <w:p w:rsidR="00BE251B" w:rsidRPr="00591DA7" w:rsidRDefault="005C2376" w:rsidP="008F4262">
      <w:pPr>
        <w:pStyle w:val="Subtitle"/>
        <w:ind w:left="709"/>
        <w:rPr>
          <w:rFonts w:ascii="Arial Narrow" w:hAnsi="Arial Narrow" w:cs="Arial"/>
          <w:bCs/>
          <w:sz w:val="20"/>
        </w:rPr>
      </w:pPr>
      <w:r>
        <w:rPr>
          <w:rFonts w:ascii="Arial Narrow" w:hAnsi="Arial Narrow" w:cs="Arial"/>
          <w:bCs/>
          <w:sz w:val="20"/>
        </w:rPr>
        <w:t>Table 5</w:t>
      </w:r>
      <w:r w:rsidR="00BE251B">
        <w:rPr>
          <w:rFonts w:ascii="Arial Narrow" w:hAnsi="Arial Narrow" w:cs="Arial"/>
          <w:bCs/>
          <w:sz w:val="20"/>
        </w:rPr>
        <w:t xml:space="preserve">: </w:t>
      </w:r>
      <w:r w:rsidR="00BE251B" w:rsidRPr="00707A33">
        <w:rPr>
          <w:rFonts w:ascii="Arial Narrow" w:hAnsi="Arial Narrow" w:cs="Arial"/>
          <w:bCs/>
          <w:sz w:val="20"/>
        </w:rPr>
        <w:t xml:space="preserve">No anatomical abnormality regardless of </w:t>
      </w:r>
      <w:proofErr w:type="spellStart"/>
      <w:r w:rsidR="00BE251B" w:rsidRPr="00707A33">
        <w:rPr>
          <w:rFonts w:ascii="Arial Narrow" w:hAnsi="Arial Narrow" w:cs="Arial"/>
          <w:bCs/>
          <w:sz w:val="20"/>
        </w:rPr>
        <w:t>vitrectomy</w:t>
      </w:r>
      <w:proofErr w:type="spellEnd"/>
      <w:r w:rsidR="00BE251B">
        <w:rPr>
          <w:rFonts w:ascii="Arial Narrow" w:hAnsi="Arial Narrow" w:cs="Arial"/>
          <w:bCs/>
          <w:sz w:val="20"/>
        </w:rPr>
        <w:t xml:space="preserve"> (ITT)</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6"/>
        <w:gridCol w:w="1417"/>
        <w:gridCol w:w="1418"/>
        <w:gridCol w:w="1701"/>
        <w:gridCol w:w="992"/>
        <w:gridCol w:w="1559"/>
      </w:tblGrid>
      <w:tr w:rsidR="005C2376" w:rsidRPr="00F52514" w:rsidTr="005C2376">
        <w:tc>
          <w:tcPr>
            <w:tcW w:w="1276" w:type="dxa"/>
            <w:vAlign w:val="center"/>
          </w:tcPr>
          <w:p w:rsidR="005C2376" w:rsidRPr="005944DA" w:rsidRDefault="005C2376" w:rsidP="008F4262">
            <w:pPr>
              <w:widowControl/>
              <w:rPr>
                <w:rFonts w:ascii="Arial Narrow" w:hAnsi="Arial Narrow"/>
                <w:b/>
                <w:bCs/>
                <w:sz w:val="20"/>
              </w:rPr>
            </w:pPr>
            <w:r w:rsidRPr="005944DA">
              <w:rPr>
                <w:rFonts w:ascii="Arial Narrow" w:hAnsi="Arial Narrow"/>
                <w:b/>
                <w:bCs/>
                <w:sz w:val="20"/>
              </w:rPr>
              <w:t>Trial</w:t>
            </w:r>
          </w:p>
        </w:tc>
        <w:tc>
          <w:tcPr>
            <w:tcW w:w="1417" w:type="dxa"/>
            <w:vAlign w:val="center"/>
          </w:tcPr>
          <w:p w:rsidR="005C2376" w:rsidRPr="00F52514" w:rsidRDefault="005C2376" w:rsidP="008F4262">
            <w:pPr>
              <w:widowControl/>
              <w:ind w:right="-108"/>
              <w:jc w:val="center"/>
              <w:rPr>
                <w:rFonts w:ascii="Arial Narrow" w:hAnsi="Arial Narrow"/>
                <w:b/>
                <w:sz w:val="20"/>
              </w:rPr>
            </w:pPr>
            <w:proofErr w:type="spellStart"/>
            <w:r w:rsidRPr="00F52514">
              <w:rPr>
                <w:rFonts w:ascii="Arial Narrow" w:hAnsi="Arial Narrow"/>
                <w:b/>
                <w:sz w:val="20"/>
              </w:rPr>
              <w:t>Ocriplasmin</w:t>
            </w:r>
            <w:proofErr w:type="spellEnd"/>
          </w:p>
          <w:p w:rsidR="005C2376" w:rsidRPr="00F52514" w:rsidRDefault="005C2376" w:rsidP="008F4262">
            <w:pPr>
              <w:widowControl/>
              <w:ind w:right="-108"/>
              <w:jc w:val="center"/>
              <w:rPr>
                <w:rFonts w:ascii="Arial Narrow" w:hAnsi="Arial Narrow"/>
                <w:sz w:val="20"/>
              </w:rPr>
            </w:pPr>
            <w:proofErr w:type="gramStart"/>
            <w:r w:rsidRPr="00F52514">
              <w:rPr>
                <w:rFonts w:ascii="Arial Narrow" w:hAnsi="Arial Narrow"/>
                <w:b/>
                <w:sz w:val="20"/>
              </w:rPr>
              <w:t>n/N</w:t>
            </w:r>
            <w:proofErr w:type="gramEnd"/>
            <w:r w:rsidRPr="00F52514">
              <w:rPr>
                <w:rFonts w:ascii="Arial Narrow" w:hAnsi="Arial Narrow"/>
                <w:b/>
                <w:sz w:val="20"/>
              </w:rPr>
              <w:t xml:space="preserve"> (%)</w:t>
            </w:r>
          </w:p>
        </w:tc>
        <w:tc>
          <w:tcPr>
            <w:tcW w:w="1418" w:type="dxa"/>
            <w:vAlign w:val="center"/>
          </w:tcPr>
          <w:p w:rsidR="005C2376" w:rsidRPr="00F52514" w:rsidRDefault="005C2376" w:rsidP="008F4262">
            <w:pPr>
              <w:widowControl/>
              <w:jc w:val="center"/>
              <w:rPr>
                <w:rFonts w:ascii="Arial Narrow" w:hAnsi="Arial Narrow"/>
                <w:b/>
                <w:sz w:val="20"/>
              </w:rPr>
            </w:pPr>
            <w:r w:rsidRPr="00F52514">
              <w:rPr>
                <w:rFonts w:ascii="Arial Narrow" w:hAnsi="Arial Narrow"/>
                <w:b/>
                <w:sz w:val="20"/>
              </w:rPr>
              <w:t>Control</w:t>
            </w:r>
          </w:p>
          <w:p w:rsidR="005C2376" w:rsidRPr="00F52514" w:rsidRDefault="005C2376" w:rsidP="008F4262">
            <w:pPr>
              <w:widowControl/>
              <w:jc w:val="center"/>
              <w:rPr>
                <w:rFonts w:ascii="Arial Narrow" w:hAnsi="Arial Narrow"/>
                <w:sz w:val="20"/>
              </w:rPr>
            </w:pPr>
            <w:proofErr w:type="gramStart"/>
            <w:r w:rsidRPr="00F52514">
              <w:rPr>
                <w:rFonts w:ascii="Arial Narrow" w:hAnsi="Arial Narrow"/>
                <w:b/>
                <w:sz w:val="20"/>
              </w:rPr>
              <w:t>n/N</w:t>
            </w:r>
            <w:proofErr w:type="gramEnd"/>
            <w:r w:rsidRPr="00F52514">
              <w:rPr>
                <w:rFonts w:ascii="Arial Narrow" w:hAnsi="Arial Narrow"/>
                <w:b/>
                <w:sz w:val="20"/>
              </w:rPr>
              <w:t xml:space="preserve"> (%)</w:t>
            </w:r>
          </w:p>
        </w:tc>
        <w:tc>
          <w:tcPr>
            <w:tcW w:w="1701" w:type="dxa"/>
            <w:vAlign w:val="center"/>
          </w:tcPr>
          <w:p w:rsidR="005C2376" w:rsidRPr="00F52514" w:rsidRDefault="005C2376" w:rsidP="008F4262">
            <w:pPr>
              <w:widowControl/>
              <w:jc w:val="center"/>
              <w:rPr>
                <w:rFonts w:ascii="Arial Narrow" w:hAnsi="Arial Narrow"/>
                <w:b/>
                <w:sz w:val="20"/>
              </w:rPr>
            </w:pPr>
            <w:r w:rsidRPr="00F52514">
              <w:rPr>
                <w:rFonts w:ascii="Arial Narrow" w:hAnsi="Arial Narrow"/>
                <w:b/>
                <w:sz w:val="20"/>
              </w:rPr>
              <w:t xml:space="preserve">RD </w:t>
            </w:r>
          </w:p>
          <w:p w:rsidR="005C2376" w:rsidRPr="00F52514" w:rsidRDefault="005C2376" w:rsidP="008F4262">
            <w:pPr>
              <w:widowControl/>
              <w:jc w:val="center"/>
              <w:rPr>
                <w:rFonts w:ascii="Arial Narrow" w:hAnsi="Arial Narrow"/>
                <w:b/>
                <w:sz w:val="20"/>
              </w:rPr>
            </w:pPr>
            <w:r w:rsidRPr="00F52514">
              <w:rPr>
                <w:rFonts w:ascii="Arial Narrow" w:hAnsi="Arial Narrow"/>
                <w:b/>
                <w:sz w:val="20"/>
              </w:rPr>
              <w:t>(95% CI)</w:t>
            </w:r>
          </w:p>
        </w:tc>
        <w:tc>
          <w:tcPr>
            <w:tcW w:w="992" w:type="dxa"/>
            <w:vAlign w:val="center"/>
          </w:tcPr>
          <w:p w:rsidR="005C2376" w:rsidRPr="005C2376" w:rsidRDefault="005C2376" w:rsidP="008F4262">
            <w:pPr>
              <w:widowControl/>
              <w:jc w:val="center"/>
              <w:rPr>
                <w:rFonts w:ascii="Arial Narrow" w:hAnsi="Arial Narrow"/>
                <w:b/>
                <w:sz w:val="20"/>
              </w:rPr>
            </w:pPr>
            <w:r w:rsidRPr="005C2376">
              <w:rPr>
                <w:rFonts w:ascii="Arial Narrow" w:hAnsi="Arial Narrow"/>
                <w:b/>
                <w:sz w:val="20"/>
              </w:rPr>
              <w:t>NNT</w:t>
            </w:r>
          </w:p>
          <w:p w:rsidR="005C2376" w:rsidRPr="005C2376" w:rsidRDefault="005C2376" w:rsidP="008F4262">
            <w:pPr>
              <w:widowControl/>
              <w:jc w:val="center"/>
              <w:rPr>
                <w:rFonts w:ascii="Arial Narrow" w:hAnsi="Arial Narrow"/>
                <w:sz w:val="20"/>
              </w:rPr>
            </w:pPr>
            <w:r w:rsidRPr="005C2376">
              <w:rPr>
                <w:rFonts w:ascii="Arial Narrow" w:hAnsi="Arial Narrow"/>
                <w:b/>
                <w:sz w:val="20"/>
              </w:rPr>
              <w:t>(95% CI)</w:t>
            </w:r>
          </w:p>
        </w:tc>
        <w:tc>
          <w:tcPr>
            <w:tcW w:w="1559" w:type="dxa"/>
            <w:vAlign w:val="center"/>
          </w:tcPr>
          <w:p w:rsidR="005C2376" w:rsidRPr="00F52514" w:rsidRDefault="005C2376" w:rsidP="008F4262">
            <w:pPr>
              <w:widowControl/>
              <w:jc w:val="center"/>
              <w:rPr>
                <w:rFonts w:ascii="Arial Narrow" w:hAnsi="Arial Narrow"/>
                <w:b/>
                <w:sz w:val="20"/>
              </w:rPr>
            </w:pPr>
            <w:r w:rsidRPr="00F52514">
              <w:rPr>
                <w:rFonts w:ascii="Arial Narrow" w:hAnsi="Arial Narrow"/>
                <w:b/>
                <w:sz w:val="20"/>
              </w:rPr>
              <w:t>RR</w:t>
            </w:r>
          </w:p>
          <w:p w:rsidR="005C2376" w:rsidRPr="00F52514" w:rsidRDefault="005C2376" w:rsidP="008F4262">
            <w:pPr>
              <w:widowControl/>
              <w:jc w:val="center"/>
              <w:rPr>
                <w:rFonts w:ascii="Arial Narrow" w:hAnsi="Arial Narrow"/>
                <w:sz w:val="20"/>
              </w:rPr>
            </w:pPr>
            <w:r w:rsidRPr="00F52514">
              <w:rPr>
                <w:rFonts w:ascii="Arial Narrow" w:hAnsi="Arial Narrow"/>
                <w:b/>
                <w:sz w:val="20"/>
              </w:rPr>
              <w:t>(95% CI)</w:t>
            </w:r>
          </w:p>
        </w:tc>
      </w:tr>
      <w:tr w:rsidR="00BE251B" w:rsidRPr="00F52514" w:rsidTr="005C2376">
        <w:tc>
          <w:tcPr>
            <w:tcW w:w="8363" w:type="dxa"/>
            <w:gridSpan w:val="6"/>
            <w:vAlign w:val="center"/>
          </w:tcPr>
          <w:p w:rsidR="00BE251B" w:rsidRPr="005C2376" w:rsidRDefault="00BE251B" w:rsidP="008F4262">
            <w:pPr>
              <w:widowControl/>
              <w:rPr>
                <w:rFonts w:ascii="Arial Narrow" w:hAnsi="Arial Narrow"/>
                <w:sz w:val="20"/>
              </w:rPr>
            </w:pPr>
            <w:r w:rsidRPr="005C2376">
              <w:rPr>
                <w:rFonts w:ascii="Arial Narrow" w:hAnsi="Arial Narrow"/>
                <w:b/>
                <w:bCs/>
                <w:sz w:val="20"/>
              </w:rPr>
              <w:t>At 6 months</w:t>
            </w:r>
          </w:p>
        </w:tc>
      </w:tr>
      <w:tr w:rsidR="005C2376" w:rsidRPr="00F52514" w:rsidTr="005C2376">
        <w:tc>
          <w:tcPr>
            <w:tcW w:w="1276" w:type="dxa"/>
            <w:vAlign w:val="center"/>
          </w:tcPr>
          <w:p w:rsidR="005C2376" w:rsidRPr="00A773F6" w:rsidRDefault="005C2376" w:rsidP="008F4262">
            <w:pPr>
              <w:widowControl/>
              <w:jc w:val="left"/>
              <w:rPr>
                <w:rFonts w:ascii="Arial Narrow" w:hAnsi="Arial Narrow"/>
                <w:sz w:val="20"/>
              </w:rPr>
            </w:pPr>
            <w:r>
              <w:rPr>
                <w:rFonts w:ascii="Arial Narrow" w:hAnsi="Arial Narrow"/>
                <w:sz w:val="20"/>
              </w:rPr>
              <w:t>TG-MV-006</w:t>
            </w:r>
          </w:p>
        </w:tc>
        <w:tc>
          <w:tcPr>
            <w:tcW w:w="1417" w:type="dxa"/>
            <w:vAlign w:val="center"/>
          </w:tcPr>
          <w:p w:rsidR="005C2376" w:rsidRDefault="005C2376" w:rsidP="008F4262">
            <w:pPr>
              <w:widowControl/>
              <w:jc w:val="center"/>
              <w:rPr>
                <w:rFonts w:ascii="Arial Narrow" w:hAnsi="Arial Narrow"/>
                <w:sz w:val="20"/>
              </w:rPr>
            </w:pPr>
            <w:r>
              <w:rPr>
                <w:rFonts w:ascii="Arial Narrow" w:hAnsi="Arial Narrow"/>
                <w:sz w:val="20"/>
              </w:rPr>
              <w:t>90/219 (41.1)</w:t>
            </w:r>
          </w:p>
        </w:tc>
        <w:tc>
          <w:tcPr>
            <w:tcW w:w="1418" w:type="dxa"/>
            <w:vAlign w:val="center"/>
          </w:tcPr>
          <w:p w:rsidR="005C2376" w:rsidRDefault="005C2376" w:rsidP="008F4262">
            <w:pPr>
              <w:widowControl/>
              <w:jc w:val="center"/>
              <w:rPr>
                <w:rFonts w:ascii="Arial Narrow" w:hAnsi="Arial Narrow"/>
                <w:sz w:val="20"/>
              </w:rPr>
            </w:pPr>
            <w:r>
              <w:rPr>
                <w:rFonts w:ascii="Arial Narrow" w:hAnsi="Arial Narrow"/>
                <w:sz w:val="20"/>
              </w:rPr>
              <w:t>37/107 (34.6)</w:t>
            </w:r>
          </w:p>
        </w:tc>
        <w:tc>
          <w:tcPr>
            <w:tcW w:w="1701" w:type="dxa"/>
            <w:vAlign w:val="center"/>
          </w:tcPr>
          <w:p w:rsidR="005C2376" w:rsidRPr="00E73927" w:rsidRDefault="005C2376" w:rsidP="008F4262">
            <w:pPr>
              <w:widowControl/>
              <w:jc w:val="center"/>
              <w:rPr>
                <w:rFonts w:ascii="Arial Narrow" w:hAnsi="Arial Narrow"/>
                <w:sz w:val="20"/>
              </w:rPr>
            </w:pPr>
            <w:r>
              <w:rPr>
                <w:rFonts w:ascii="Arial Narrow" w:hAnsi="Arial Narrow"/>
                <w:sz w:val="20"/>
              </w:rPr>
              <w:t>0.07 (-0.05, 0.18)</w:t>
            </w:r>
          </w:p>
        </w:tc>
        <w:tc>
          <w:tcPr>
            <w:tcW w:w="992" w:type="dxa"/>
            <w:vAlign w:val="center"/>
          </w:tcPr>
          <w:p w:rsidR="005C2376" w:rsidRPr="005C2376" w:rsidRDefault="005C2376" w:rsidP="008F4262">
            <w:pPr>
              <w:widowControl/>
              <w:jc w:val="center"/>
              <w:rPr>
                <w:rFonts w:ascii="Arial Narrow" w:hAnsi="Arial Narrow"/>
                <w:sz w:val="20"/>
              </w:rPr>
            </w:pPr>
            <w:r w:rsidRPr="005C2376">
              <w:rPr>
                <w:rFonts w:ascii="Arial Narrow" w:hAnsi="Arial Narrow"/>
                <w:sz w:val="20"/>
              </w:rPr>
              <w:t>NE</w:t>
            </w:r>
          </w:p>
        </w:tc>
        <w:tc>
          <w:tcPr>
            <w:tcW w:w="1559" w:type="dxa"/>
            <w:vAlign w:val="center"/>
          </w:tcPr>
          <w:p w:rsidR="005C2376" w:rsidRPr="00E73927" w:rsidRDefault="005C2376" w:rsidP="008F4262">
            <w:pPr>
              <w:widowControl/>
              <w:jc w:val="center"/>
              <w:rPr>
                <w:rFonts w:ascii="Arial Narrow" w:hAnsi="Arial Narrow"/>
                <w:sz w:val="20"/>
              </w:rPr>
            </w:pPr>
            <w:r>
              <w:rPr>
                <w:rFonts w:ascii="Arial Narrow" w:hAnsi="Arial Narrow"/>
                <w:sz w:val="20"/>
              </w:rPr>
              <w:t>1.19 (0.88, 1.61)</w:t>
            </w:r>
          </w:p>
        </w:tc>
      </w:tr>
      <w:tr w:rsidR="005C2376" w:rsidRPr="00F52514" w:rsidTr="005C2376">
        <w:tc>
          <w:tcPr>
            <w:tcW w:w="1276" w:type="dxa"/>
          </w:tcPr>
          <w:p w:rsidR="005C2376" w:rsidRPr="00A773F6" w:rsidRDefault="005C2376" w:rsidP="008F4262">
            <w:pPr>
              <w:widowControl/>
              <w:jc w:val="left"/>
              <w:rPr>
                <w:rFonts w:ascii="Arial Narrow" w:hAnsi="Arial Narrow"/>
                <w:sz w:val="20"/>
              </w:rPr>
            </w:pPr>
            <w:r>
              <w:rPr>
                <w:rFonts w:ascii="Arial Narrow" w:hAnsi="Arial Narrow"/>
                <w:sz w:val="20"/>
              </w:rPr>
              <w:t>TG-MV-007</w:t>
            </w:r>
          </w:p>
        </w:tc>
        <w:tc>
          <w:tcPr>
            <w:tcW w:w="1417" w:type="dxa"/>
            <w:vAlign w:val="center"/>
          </w:tcPr>
          <w:p w:rsidR="005C2376" w:rsidRDefault="005C2376" w:rsidP="008F4262">
            <w:pPr>
              <w:widowControl/>
              <w:jc w:val="center"/>
              <w:rPr>
                <w:rFonts w:ascii="Arial Narrow" w:hAnsi="Arial Narrow"/>
                <w:sz w:val="20"/>
              </w:rPr>
            </w:pPr>
            <w:r>
              <w:rPr>
                <w:rFonts w:ascii="Arial Narrow" w:hAnsi="Arial Narrow"/>
                <w:sz w:val="20"/>
              </w:rPr>
              <w:t>88/245 (35.9)</w:t>
            </w:r>
          </w:p>
        </w:tc>
        <w:tc>
          <w:tcPr>
            <w:tcW w:w="1418" w:type="dxa"/>
            <w:vAlign w:val="center"/>
          </w:tcPr>
          <w:p w:rsidR="005C2376" w:rsidRDefault="005C2376" w:rsidP="008F4262">
            <w:pPr>
              <w:widowControl/>
              <w:jc w:val="center"/>
              <w:rPr>
                <w:rFonts w:ascii="Arial Narrow" w:hAnsi="Arial Narrow"/>
                <w:sz w:val="20"/>
              </w:rPr>
            </w:pPr>
            <w:r>
              <w:rPr>
                <w:rFonts w:ascii="Arial Narrow" w:hAnsi="Arial Narrow"/>
                <w:sz w:val="20"/>
              </w:rPr>
              <w:t>23/81 (28.4)</w:t>
            </w:r>
          </w:p>
        </w:tc>
        <w:tc>
          <w:tcPr>
            <w:tcW w:w="1701" w:type="dxa"/>
            <w:vAlign w:val="center"/>
          </w:tcPr>
          <w:p w:rsidR="005C2376" w:rsidRPr="00E73927" w:rsidRDefault="005C2376" w:rsidP="008F4262">
            <w:pPr>
              <w:widowControl/>
              <w:jc w:val="center"/>
              <w:rPr>
                <w:rFonts w:ascii="Arial Narrow" w:hAnsi="Arial Narrow"/>
                <w:sz w:val="20"/>
              </w:rPr>
            </w:pPr>
            <w:r>
              <w:rPr>
                <w:rFonts w:ascii="Arial Narrow" w:hAnsi="Arial Narrow"/>
                <w:sz w:val="20"/>
              </w:rPr>
              <w:t>0.08 (-0.04, 0.19)</w:t>
            </w:r>
          </w:p>
        </w:tc>
        <w:tc>
          <w:tcPr>
            <w:tcW w:w="992" w:type="dxa"/>
            <w:tcBorders>
              <w:bottom w:val="single" w:sz="4" w:space="0" w:color="auto"/>
            </w:tcBorders>
            <w:vAlign w:val="center"/>
          </w:tcPr>
          <w:p w:rsidR="005C2376" w:rsidRPr="005C2376" w:rsidRDefault="005C2376" w:rsidP="008F4262">
            <w:pPr>
              <w:widowControl/>
              <w:jc w:val="center"/>
              <w:rPr>
                <w:rFonts w:ascii="Arial Narrow" w:hAnsi="Arial Narrow"/>
                <w:sz w:val="20"/>
              </w:rPr>
            </w:pPr>
            <w:r w:rsidRPr="005C2376">
              <w:rPr>
                <w:rFonts w:ascii="Arial Narrow" w:hAnsi="Arial Narrow"/>
                <w:sz w:val="20"/>
              </w:rPr>
              <w:t>NE</w:t>
            </w:r>
          </w:p>
        </w:tc>
        <w:tc>
          <w:tcPr>
            <w:tcW w:w="1559" w:type="dxa"/>
            <w:vAlign w:val="center"/>
          </w:tcPr>
          <w:p w:rsidR="005C2376" w:rsidRPr="00E73927" w:rsidRDefault="005C2376" w:rsidP="008F4262">
            <w:pPr>
              <w:widowControl/>
              <w:jc w:val="center"/>
              <w:rPr>
                <w:rFonts w:ascii="Arial Narrow" w:hAnsi="Arial Narrow"/>
                <w:sz w:val="20"/>
              </w:rPr>
            </w:pPr>
            <w:r>
              <w:rPr>
                <w:rFonts w:ascii="Arial Narrow" w:hAnsi="Arial Narrow"/>
                <w:sz w:val="20"/>
              </w:rPr>
              <w:t>1.26 (0.86, 1.86)</w:t>
            </w:r>
          </w:p>
        </w:tc>
      </w:tr>
      <w:tr w:rsidR="005C2376" w:rsidRPr="00F52514" w:rsidTr="005C2376">
        <w:tc>
          <w:tcPr>
            <w:tcW w:w="1276" w:type="dxa"/>
            <w:vAlign w:val="center"/>
          </w:tcPr>
          <w:p w:rsidR="005C2376" w:rsidRPr="00A773F6" w:rsidRDefault="005C2376" w:rsidP="008F4262">
            <w:pPr>
              <w:widowControl/>
              <w:jc w:val="left"/>
              <w:rPr>
                <w:rFonts w:ascii="Arial Narrow" w:hAnsi="Arial Narrow"/>
                <w:sz w:val="20"/>
              </w:rPr>
            </w:pPr>
            <w:r>
              <w:rPr>
                <w:rFonts w:ascii="Arial Narrow" w:hAnsi="Arial Narrow"/>
                <w:sz w:val="20"/>
              </w:rPr>
              <w:t>OASIS</w:t>
            </w:r>
          </w:p>
        </w:tc>
        <w:tc>
          <w:tcPr>
            <w:tcW w:w="1417" w:type="dxa"/>
            <w:vAlign w:val="center"/>
          </w:tcPr>
          <w:p w:rsidR="005C2376" w:rsidRPr="0017165E" w:rsidRDefault="0017165E" w:rsidP="008F4262">
            <w:pPr>
              <w:widowControl/>
              <w:jc w:val="center"/>
              <w:rPr>
                <w:rFonts w:ascii="Arial Narrow" w:hAnsi="Arial Narrow"/>
                <w:sz w:val="20"/>
                <w:highlight w:val="black"/>
              </w:rPr>
            </w:pPr>
            <w:r>
              <w:rPr>
                <w:rFonts w:ascii="Arial Narrow" w:hAnsi="Arial Narrow"/>
                <w:noProof/>
                <w:color w:val="000000"/>
                <w:sz w:val="20"/>
                <w:highlight w:val="black"/>
              </w:rPr>
              <w:t>''''''''''''''' '''''''''''''''</w:t>
            </w:r>
          </w:p>
        </w:tc>
        <w:tc>
          <w:tcPr>
            <w:tcW w:w="1418" w:type="dxa"/>
            <w:vAlign w:val="center"/>
          </w:tcPr>
          <w:p w:rsidR="005C2376" w:rsidRPr="0017165E" w:rsidRDefault="0017165E" w:rsidP="008F4262">
            <w:pPr>
              <w:widowControl/>
              <w:jc w:val="center"/>
              <w:rPr>
                <w:rFonts w:ascii="Arial Narrow" w:hAnsi="Arial Narrow"/>
                <w:sz w:val="20"/>
                <w:highlight w:val="black"/>
              </w:rPr>
            </w:pPr>
            <w:r>
              <w:rPr>
                <w:rFonts w:ascii="Arial Narrow" w:hAnsi="Arial Narrow"/>
                <w:noProof/>
                <w:color w:val="000000"/>
                <w:sz w:val="20"/>
                <w:highlight w:val="black"/>
              </w:rPr>
              <w:t>'''''''''''' ''''''''''''''</w:t>
            </w:r>
          </w:p>
        </w:tc>
        <w:tc>
          <w:tcPr>
            <w:tcW w:w="1701" w:type="dxa"/>
            <w:vAlign w:val="center"/>
          </w:tcPr>
          <w:p w:rsidR="005C2376" w:rsidRPr="0017165E" w:rsidRDefault="0017165E" w:rsidP="008F4262">
            <w:pPr>
              <w:widowControl/>
              <w:jc w:val="center"/>
              <w:rPr>
                <w:rFonts w:ascii="Arial Narrow" w:hAnsi="Arial Narrow"/>
                <w:b/>
                <w:bCs/>
                <w:sz w:val="20"/>
                <w:highlight w:val="black"/>
              </w:rPr>
            </w:pPr>
            <w:r>
              <w:rPr>
                <w:rFonts w:ascii="Arial Narrow" w:hAnsi="Arial Narrow"/>
                <w:b/>
                <w:bCs/>
                <w:noProof/>
                <w:color w:val="000000"/>
                <w:sz w:val="20"/>
                <w:highlight w:val="black"/>
              </w:rPr>
              <w:t>'''''''' '''''''''''' '''''''''''</w:t>
            </w:r>
          </w:p>
        </w:tc>
        <w:tc>
          <w:tcPr>
            <w:tcW w:w="992" w:type="dxa"/>
            <w:shd w:val="clear" w:color="auto" w:fill="auto"/>
            <w:vAlign w:val="center"/>
          </w:tcPr>
          <w:p w:rsidR="005C2376" w:rsidRPr="0017165E" w:rsidRDefault="0017165E" w:rsidP="008F4262">
            <w:pPr>
              <w:widowControl/>
              <w:jc w:val="center"/>
              <w:rPr>
                <w:rFonts w:ascii="Arial Narrow" w:hAnsi="Arial Narrow"/>
                <w:sz w:val="20"/>
                <w:highlight w:val="black"/>
              </w:rPr>
            </w:pPr>
            <w:r>
              <w:rPr>
                <w:rFonts w:ascii="Arial Narrow" w:hAnsi="Arial Narrow"/>
                <w:noProof/>
                <w:color w:val="000000"/>
                <w:sz w:val="20"/>
                <w:highlight w:val="black"/>
              </w:rPr>
              <w:t>''' ''''''''''''''</w:t>
            </w:r>
          </w:p>
        </w:tc>
        <w:tc>
          <w:tcPr>
            <w:tcW w:w="1559" w:type="dxa"/>
            <w:vAlign w:val="center"/>
          </w:tcPr>
          <w:p w:rsidR="005C2376" w:rsidRPr="0017165E" w:rsidRDefault="0017165E" w:rsidP="008F4262">
            <w:pPr>
              <w:widowControl/>
              <w:jc w:val="center"/>
              <w:rPr>
                <w:rFonts w:ascii="Arial Narrow" w:hAnsi="Arial Narrow"/>
                <w:b/>
                <w:bCs/>
                <w:sz w:val="20"/>
                <w:highlight w:val="black"/>
              </w:rPr>
            </w:pPr>
            <w:r>
              <w:rPr>
                <w:rFonts w:ascii="Arial Narrow" w:hAnsi="Arial Narrow"/>
                <w:b/>
                <w:bCs/>
                <w:noProof/>
                <w:color w:val="000000"/>
                <w:sz w:val="20"/>
                <w:highlight w:val="black"/>
              </w:rPr>
              <w:t>''''''''' ''''''''''' ''''''''''</w:t>
            </w:r>
          </w:p>
        </w:tc>
      </w:tr>
      <w:tr w:rsidR="005C2376" w:rsidRPr="00F52514" w:rsidTr="005C2376">
        <w:tc>
          <w:tcPr>
            <w:tcW w:w="1276" w:type="dxa"/>
            <w:vAlign w:val="center"/>
          </w:tcPr>
          <w:p w:rsidR="00BE251B" w:rsidRDefault="00BE251B" w:rsidP="008F4262">
            <w:pPr>
              <w:widowControl/>
              <w:jc w:val="right"/>
              <w:rPr>
                <w:rFonts w:ascii="Arial Narrow" w:hAnsi="Arial Narrow"/>
                <w:sz w:val="20"/>
              </w:rPr>
            </w:pPr>
            <w:r>
              <w:rPr>
                <w:rFonts w:ascii="Arial Narrow" w:hAnsi="Arial Narrow"/>
                <w:sz w:val="20"/>
              </w:rPr>
              <w:t>Pooled</w:t>
            </w:r>
          </w:p>
        </w:tc>
        <w:tc>
          <w:tcPr>
            <w:tcW w:w="1417" w:type="dxa"/>
            <w:vAlign w:val="center"/>
          </w:tcPr>
          <w:p w:rsidR="00BE251B" w:rsidRPr="0017165E" w:rsidRDefault="0017165E" w:rsidP="008F4262">
            <w:pPr>
              <w:widowControl/>
              <w:jc w:val="center"/>
              <w:rPr>
                <w:rFonts w:ascii="Arial Narrow" w:hAnsi="Arial Narrow"/>
                <w:sz w:val="20"/>
                <w:highlight w:val="black"/>
              </w:rPr>
            </w:pPr>
            <w:r>
              <w:rPr>
                <w:rFonts w:ascii="Arial Narrow" w:hAnsi="Arial Narrow"/>
                <w:noProof/>
                <w:color w:val="000000"/>
                <w:sz w:val="20"/>
                <w:highlight w:val="black"/>
              </w:rPr>
              <w:t>'''''''''''''''''' ''''''''''''''</w:t>
            </w:r>
          </w:p>
        </w:tc>
        <w:tc>
          <w:tcPr>
            <w:tcW w:w="1418" w:type="dxa"/>
            <w:vAlign w:val="center"/>
          </w:tcPr>
          <w:p w:rsidR="00BE251B" w:rsidRPr="0017165E" w:rsidRDefault="0017165E" w:rsidP="008F4262">
            <w:pPr>
              <w:widowControl/>
              <w:jc w:val="center"/>
              <w:rPr>
                <w:rFonts w:ascii="Arial Narrow" w:hAnsi="Arial Narrow"/>
                <w:sz w:val="20"/>
                <w:highlight w:val="black"/>
              </w:rPr>
            </w:pPr>
            <w:r>
              <w:rPr>
                <w:rFonts w:ascii="Arial Narrow" w:hAnsi="Arial Narrow"/>
                <w:noProof/>
                <w:color w:val="000000"/>
                <w:sz w:val="20"/>
                <w:highlight w:val="black"/>
              </w:rPr>
              <w:t>'''''''''''''''' ''''''''''''''''</w:t>
            </w:r>
          </w:p>
        </w:tc>
        <w:tc>
          <w:tcPr>
            <w:tcW w:w="1701" w:type="dxa"/>
            <w:vAlign w:val="center"/>
          </w:tcPr>
          <w:p w:rsidR="00BE251B" w:rsidRPr="0017165E" w:rsidRDefault="0017165E" w:rsidP="008F4262">
            <w:pPr>
              <w:widowControl/>
              <w:jc w:val="center"/>
              <w:rPr>
                <w:rFonts w:ascii="Arial Narrow" w:hAnsi="Arial Narrow"/>
                <w:b/>
                <w:bCs/>
                <w:sz w:val="20"/>
                <w:highlight w:val="black"/>
              </w:rPr>
            </w:pPr>
            <w:r>
              <w:rPr>
                <w:rFonts w:ascii="Arial Narrow" w:hAnsi="Arial Narrow"/>
                <w:b/>
                <w:bCs/>
                <w:noProof/>
                <w:color w:val="000000"/>
                <w:sz w:val="20"/>
                <w:highlight w:val="black"/>
              </w:rPr>
              <w:t>'''''''''' '''''''''''' '''''''''</w:t>
            </w:r>
          </w:p>
        </w:tc>
        <w:tc>
          <w:tcPr>
            <w:tcW w:w="992" w:type="dxa"/>
            <w:vAlign w:val="center"/>
          </w:tcPr>
          <w:p w:rsidR="00BE251B" w:rsidRPr="0017165E" w:rsidRDefault="0017165E" w:rsidP="008F4262">
            <w:pPr>
              <w:widowControl/>
              <w:jc w:val="center"/>
              <w:rPr>
                <w:rFonts w:ascii="Arial Narrow" w:hAnsi="Arial Narrow"/>
                <w:sz w:val="20"/>
                <w:highlight w:val="black"/>
              </w:rPr>
            </w:pPr>
            <w:r>
              <w:rPr>
                <w:rFonts w:ascii="Arial Narrow" w:hAnsi="Arial Narrow"/>
                <w:noProof/>
                <w:color w:val="000000"/>
                <w:sz w:val="20"/>
                <w:highlight w:val="black"/>
              </w:rPr>
              <w:t>''''' '''''''''''''</w:t>
            </w:r>
          </w:p>
        </w:tc>
        <w:tc>
          <w:tcPr>
            <w:tcW w:w="1559" w:type="dxa"/>
            <w:vAlign w:val="center"/>
          </w:tcPr>
          <w:p w:rsidR="00BE251B" w:rsidRPr="0017165E" w:rsidRDefault="0017165E" w:rsidP="008F4262">
            <w:pPr>
              <w:widowControl/>
              <w:jc w:val="center"/>
              <w:rPr>
                <w:rFonts w:ascii="Arial Narrow" w:hAnsi="Arial Narrow"/>
                <w:b/>
                <w:bCs/>
                <w:sz w:val="20"/>
                <w:highlight w:val="black"/>
              </w:rPr>
            </w:pPr>
            <w:r>
              <w:rPr>
                <w:rFonts w:ascii="Arial Narrow" w:hAnsi="Arial Narrow"/>
                <w:b/>
                <w:bCs/>
                <w:noProof/>
                <w:color w:val="000000"/>
                <w:sz w:val="20"/>
                <w:highlight w:val="black"/>
              </w:rPr>
              <w:t>''''''''' '''''''''' '''''''''''</w:t>
            </w:r>
          </w:p>
        </w:tc>
      </w:tr>
      <w:tr w:rsidR="00BE251B" w:rsidRPr="00F52514" w:rsidTr="005C2376">
        <w:tc>
          <w:tcPr>
            <w:tcW w:w="8363" w:type="dxa"/>
            <w:gridSpan w:val="6"/>
            <w:vAlign w:val="center"/>
          </w:tcPr>
          <w:p w:rsidR="00BE251B" w:rsidRPr="00E73927" w:rsidRDefault="00BE251B" w:rsidP="008F4262">
            <w:pPr>
              <w:widowControl/>
              <w:rPr>
                <w:rFonts w:ascii="Arial Narrow" w:hAnsi="Arial Narrow"/>
                <w:sz w:val="20"/>
              </w:rPr>
            </w:pPr>
            <w:r w:rsidRPr="00A15FA7">
              <w:rPr>
                <w:rFonts w:ascii="Arial Narrow" w:hAnsi="Arial Narrow"/>
                <w:b/>
                <w:bCs/>
                <w:sz w:val="20"/>
              </w:rPr>
              <w:t>At 24 months</w:t>
            </w:r>
          </w:p>
        </w:tc>
      </w:tr>
      <w:tr w:rsidR="005C2376" w:rsidRPr="00F52514" w:rsidTr="005C2376">
        <w:tc>
          <w:tcPr>
            <w:tcW w:w="1276" w:type="dxa"/>
            <w:vAlign w:val="center"/>
          </w:tcPr>
          <w:p w:rsidR="005C2376" w:rsidRPr="00A773F6" w:rsidRDefault="005C2376" w:rsidP="008F4262">
            <w:pPr>
              <w:widowControl/>
              <w:jc w:val="left"/>
              <w:rPr>
                <w:rFonts w:ascii="Arial Narrow" w:hAnsi="Arial Narrow"/>
                <w:sz w:val="20"/>
              </w:rPr>
            </w:pPr>
            <w:r>
              <w:rPr>
                <w:rFonts w:ascii="Arial Narrow" w:hAnsi="Arial Narrow"/>
                <w:sz w:val="20"/>
              </w:rPr>
              <w:t>OASIS</w:t>
            </w:r>
          </w:p>
        </w:tc>
        <w:tc>
          <w:tcPr>
            <w:tcW w:w="1417" w:type="dxa"/>
            <w:vAlign w:val="center"/>
          </w:tcPr>
          <w:p w:rsidR="005C2376" w:rsidRPr="0017165E" w:rsidRDefault="0017165E" w:rsidP="008F4262">
            <w:pPr>
              <w:widowControl/>
              <w:jc w:val="center"/>
              <w:rPr>
                <w:rFonts w:ascii="Arial Narrow" w:hAnsi="Arial Narrow"/>
                <w:sz w:val="20"/>
                <w:highlight w:val="black"/>
              </w:rPr>
            </w:pPr>
            <w:r>
              <w:rPr>
                <w:rFonts w:ascii="Arial Narrow" w:hAnsi="Arial Narrow"/>
                <w:noProof/>
                <w:color w:val="000000"/>
                <w:sz w:val="20"/>
                <w:highlight w:val="black"/>
              </w:rPr>
              <w:t>''''''''''''''''' ''''''''''''''</w:t>
            </w:r>
          </w:p>
        </w:tc>
        <w:tc>
          <w:tcPr>
            <w:tcW w:w="1418" w:type="dxa"/>
            <w:vAlign w:val="center"/>
          </w:tcPr>
          <w:p w:rsidR="005C2376" w:rsidRPr="0017165E" w:rsidRDefault="0017165E" w:rsidP="008F4262">
            <w:pPr>
              <w:widowControl/>
              <w:jc w:val="center"/>
              <w:rPr>
                <w:rFonts w:ascii="Arial Narrow" w:hAnsi="Arial Narrow"/>
                <w:sz w:val="20"/>
                <w:highlight w:val="black"/>
              </w:rPr>
            </w:pPr>
            <w:r>
              <w:rPr>
                <w:rFonts w:ascii="Arial Narrow" w:hAnsi="Arial Narrow"/>
                <w:noProof/>
                <w:color w:val="000000"/>
                <w:sz w:val="20"/>
                <w:highlight w:val="black"/>
              </w:rPr>
              <w:t>''''''''''''' ''''''''''''''</w:t>
            </w:r>
          </w:p>
        </w:tc>
        <w:tc>
          <w:tcPr>
            <w:tcW w:w="1701" w:type="dxa"/>
            <w:vAlign w:val="center"/>
          </w:tcPr>
          <w:p w:rsidR="005C2376" w:rsidRPr="0017165E" w:rsidRDefault="0017165E" w:rsidP="008F4262">
            <w:pPr>
              <w:widowControl/>
              <w:jc w:val="center"/>
              <w:rPr>
                <w:rFonts w:ascii="Arial Narrow" w:hAnsi="Arial Narrow"/>
                <w:b/>
                <w:bCs/>
                <w:sz w:val="20"/>
                <w:highlight w:val="black"/>
              </w:rPr>
            </w:pPr>
            <w:r>
              <w:rPr>
                <w:rFonts w:ascii="Arial Narrow" w:hAnsi="Arial Narrow"/>
                <w:b/>
                <w:bCs/>
                <w:noProof/>
                <w:color w:val="000000"/>
                <w:sz w:val="20"/>
                <w:highlight w:val="black"/>
              </w:rPr>
              <w:t>''''''''' ''''''''''''' ''''''''''</w:t>
            </w:r>
          </w:p>
        </w:tc>
        <w:tc>
          <w:tcPr>
            <w:tcW w:w="992" w:type="dxa"/>
            <w:vAlign w:val="center"/>
          </w:tcPr>
          <w:p w:rsidR="005C2376"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 ''''''''''''''''''</w:t>
            </w:r>
          </w:p>
        </w:tc>
        <w:tc>
          <w:tcPr>
            <w:tcW w:w="1559" w:type="dxa"/>
            <w:vAlign w:val="center"/>
          </w:tcPr>
          <w:p w:rsidR="005C2376" w:rsidRPr="0017165E" w:rsidRDefault="0017165E" w:rsidP="008F4262">
            <w:pPr>
              <w:widowControl/>
              <w:jc w:val="center"/>
              <w:rPr>
                <w:rFonts w:ascii="Arial Narrow" w:hAnsi="Arial Narrow"/>
                <w:b/>
                <w:bCs/>
                <w:sz w:val="20"/>
                <w:highlight w:val="black"/>
              </w:rPr>
            </w:pPr>
            <w:r>
              <w:rPr>
                <w:rFonts w:ascii="Arial Narrow" w:hAnsi="Arial Narrow"/>
                <w:b/>
                <w:bCs/>
                <w:noProof/>
                <w:color w:val="000000"/>
                <w:sz w:val="20"/>
                <w:highlight w:val="black"/>
              </w:rPr>
              <w:t>'''''''' ''''''''''' '''''''''''</w:t>
            </w:r>
          </w:p>
        </w:tc>
      </w:tr>
    </w:tbl>
    <w:p w:rsidR="00122E37" w:rsidRDefault="00122E37" w:rsidP="008F4262">
      <w:pPr>
        <w:widowControl/>
      </w:pPr>
    </w:p>
    <w:p w:rsidR="00320E23" w:rsidRPr="00E23349" w:rsidRDefault="00654522" w:rsidP="008F4262">
      <w:pPr>
        <w:pStyle w:val="ListParagraph"/>
        <w:widowControl/>
        <w:numPr>
          <w:ilvl w:val="1"/>
          <w:numId w:val="1"/>
        </w:numPr>
      </w:pPr>
      <w:r w:rsidRPr="00E23349">
        <w:rPr>
          <w:szCs w:val="22"/>
        </w:rPr>
        <w:t>The</w:t>
      </w:r>
      <w:r w:rsidRPr="00E23349">
        <w:t xml:space="preserve"> </w:t>
      </w:r>
      <w:r w:rsidR="00320E23" w:rsidRPr="00E23349">
        <w:t>25-item Visual Function Questionnaire</w:t>
      </w:r>
      <w:r w:rsidRPr="00E23349">
        <w:t xml:space="preserve"> (VFQ-24) measured the Quality of Life of patients during the</w:t>
      </w:r>
      <w:r w:rsidR="00390EAA" w:rsidRPr="00E23349">
        <w:t xml:space="preserve"> presented</w:t>
      </w:r>
      <w:r w:rsidRPr="00E23349">
        <w:t xml:space="preserve"> trial</w:t>
      </w:r>
      <w:r w:rsidR="00390EAA" w:rsidRPr="00E23349">
        <w:t xml:space="preserve">s. </w:t>
      </w:r>
      <w:r w:rsidR="00320E23" w:rsidRPr="00E23349">
        <w:t xml:space="preserve">Table </w:t>
      </w:r>
      <w:r w:rsidR="005C2376" w:rsidRPr="00E23349">
        <w:t>6</w:t>
      </w:r>
      <w:r w:rsidR="00320E23" w:rsidRPr="00E23349">
        <w:t xml:space="preserve"> presents the mean change in VFQ-25 composite score from baseline to 6 months in the trials.  The VFQ-25 scores range between 0 (worst possible) and 100 (best possible).  </w:t>
      </w:r>
      <w:r w:rsidR="00320E23" w:rsidRPr="00E23349">
        <w:rPr>
          <w:iCs/>
        </w:rPr>
        <w:t>Although this was not a pre-specified outcome in OASIS, the results were extracted during the evaluation and presented below.</w:t>
      </w:r>
    </w:p>
    <w:p w:rsidR="00320E23" w:rsidRPr="00347C7A" w:rsidRDefault="00320E23" w:rsidP="008F4262">
      <w:pPr>
        <w:widowControl/>
      </w:pPr>
    </w:p>
    <w:p w:rsidR="001E1EC9" w:rsidRDefault="001E1EC9" w:rsidP="008F4262">
      <w:pPr>
        <w:widowControl/>
        <w:ind w:firstLine="720"/>
        <w:rPr>
          <w:rFonts w:ascii="Arial Narrow" w:hAnsi="Arial Narrow"/>
          <w:b/>
          <w:bCs/>
          <w:sz w:val="20"/>
        </w:rPr>
      </w:pPr>
      <w:r>
        <w:rPr>
          <w:rFonts w:ascii="Arial Narrow" w:hAnsi="Arial Narrow"/>
          <w:b/>
          <w:bCs/>
          <w:sz w:val="20"/>
        </w:rPr>
        <w:br w:type="page"/>
      </w:r>
    </w:p>
    <w:p w:rsidR="00320E23" w:rsidRPr="00347C7A" w:rsidRDefault="00320E23" w:rsidP="008F4262">
      <w:pPr>
        <w:widowControl/>
        <w:ind w:firstLine="720"/>
        <w:rPr>
          <w:rFonts w:ascii="Arial Narrow" w:hAnsi="Arial Narrow"/>
          <w:b/>
          <w:bCs/>
          <w:sz w:val="20"/>
        </w:rPr>
      </w:pPr>
      <w:r w:rsidRPr="00347C7A">
        <w:rPr>
          <w:rFonts w:ascii="Arial Narrow" w:hAnsi="Arial Narrow"/>
          <w:b/>
          <w:bCs/>
          <w:sz w:val="20"/>
        </w:rPr>
        <w:lastRenderedPageBreak/>
        <w:t xml:space="preserve">Table </w:t>
      </w:r>
      <w:r w:rsidR="005C2376" w:rsidRPr="00347C7A">
        <w:rPr>
          <w:rFonts w:ascii="Arial Narrow" w:hAnsi="Arial Narrow"/>
          <w:b/>
          <w:bCs/>
          <w:sz w:val="20"/>
        </w:rPr>
        <w:t>6</w:t>
      </w:r>
      <w:r w:rsidRPr="00347C7A">
        <w:rPr>
          <w:rFonts w:ascii="Arial Narrow" w:hAnsi="Arial Narrow"/>
          <w:b/>
          <w:bCs/>
          <w:sz w:val="20"/>
        </w:rPr>
        <w:t>: Mean change from baseline to 6 months in VFQ-25 composite score (FAS)</w:t>
      </w:r>
    </w:p>
    <w:tbl>
      <w:tblPr>
        <w:tblStyle w:val="TableGrid"/>
        <w:tblW w:w="8363" w:type="dxa"/>
        <w:tblInd w:w="737" w:type="dxa"/>
        <w:tblLayout w:type="fixed"/>
        <w:tblCellMar>
          <w:left w:w="28" w:type="dxa"/>
          <w:right w:w="28" w:type="dxa"/>
        </w:tblCellMar>
        <w:tblLook w:val="04A0" w:firstRow="1" w:lastRow="0" w:firstColumn="1" w:lastColumn="0" w:noHBand="0" w:noVBand="1"/>
        <w:tblCaption w:val="Table 6: Mean change from baseline to 6 months in VFQ-25 composite score (FAS)"/>
      </w:tblPr>
      <w:tblGrid>
        <w:gridCol w:w="709"/>
        <w:gridCol w:w="709"/>
        <w:gridCol w:w="567"/>
        <w:gridCol w:w="708"/>
        <w:gridCol w:w="709"/>
        <w:gridCol w:w="425"/>
        <w:gridCol w:w="993"/>
        <w:gridCol w:w="1134"/>
        <w:gridCol w:w="1134"/>
        <w:gridCol w:w="534"/>
        <w:gridCol w:w="741"/>
      </w:tblGrid>
      <w:tr w:rsidR="00320E23" w:rsidRPr="00347C7A" w:rsidTr="007E32FA">
        <w:trPr>
          <w:tblHeader/>
        </w:trPr>
        <w:tc>
          <w:tcPr>
            <w:tcW w:w="1418" w:type="dxa"/>
            <w:gridSpan w:val="2"/>
            <w:vMerge w:val="restart"/>
          </w:tcPr>
          <w:p w:rsidR="00320E23" w:rsidRPr="00347C7A" w:rsidRDefault="00320E23" w:rsidP="008F4262">
            <w:pPr>
              <w:widowControl/>
              <w:rPr>
                <w:rFonts w:ascii="Arial Narrow" w:hAnsi="Arial Narrow"/>
                <w:sz w:val="20"/>
              </w:rPr>
            </w:pPr>
          </w:p>
        </w:tc>
        <w:tc>
          <w:tcPr>
            <w:tcW w:w="1984" w:type="dxa"/>
            <w:gridSpan w:val="3"/>
          </w:tcPr>
          <w:p w:rsidR="00320E23" w:rsidRPr="00347C7A" w:rsidRDefault="00320E23" w:rsidP="008F4262">
            <w:pPr>
              <w:widowControl/>
              <w:ind w:right="-108"/>
              <w:jc w:val="center"/>
              <w:rPr>
                <w:rFonts w:ascii="Arial Narrow" w:hAnsi="Arial Narrow"/>
                <w:b/>
                <w:sz w:val="20"/>
              </w:rPr>
            </w:pPr>
            <w:proofErr w:type="spellStart"/>
            <w:r w:rsidRPr="00347C7A">
              <w:rPr>
                <w:rFonts w:ascii="Arial Narrow" w:hAnsi="Arial Narrow"/>
                <w:b/>
                <w:sz w:val="20"/>
              </w:rPr>
              <w:t>Ocriplasmin</w:t>
            </w:r>
            <w:proofErr w:type="spellEnd"/>
          </w:p>
        </w:tc>
        <w:tc>
          <w:tcPr>
            <w:tcW w:w="2552" w:type="dxa"/>
            <w:gridSpan w:val="3"/>
          </w:tcPr>
          <w:p w:rsidR="00320E23" w:rsidRPr="00347C7A" w:rsidRDefault="00320E23" w:rsidP="008F4262">
            <w:pPr>
              <w:widowControl/>
              <w:jc w:val="center"/>
              <w:rPr>
                <w:rFonts w:ascii="Arial Narrow" w:hAnsi="Arial Narrow"/>
                <w:b/>
                <w:sz w:val="20"/>
              </w:rPr>
            </w:pPr>
            <w:r w:rsidRPr="00347C7A">
              <w:rPr>
                <w:rFonts w:ascii="Arial Narrow" w:hAnsi="Arial Narrow"/>
                <w:b/>
                <w:sz w:val="20"/>
              </w:rPr>
              <w:t>Placebo</w:t>
            </w:r>
          </w:p>
        </w:tc>
        <w:tc>
          <w:tcPr>
            <w:tcW w:w="1134" w:type="dxa"/>
            <w:vMerge w:val="restart"/>
            <w:vAlign w:val="center"/>
          </w:tcPr>
          <w:p w:rsidR="00320E23" w:rsidRPr="00347C7A" w:rsidRDefault="00320E23" w:rsidP="008F4262">
            <w:pPr>
              <w:widowControl/>
              <w:jc w:val="center"/>
              <w:rPr>
                <w:rFonts w:ascii="Arial Narrow" w:hAnsi="Arial Narrow"/>
                <w:b/>
                <w:bCs/>
                <w:sz w:val="20"/>
              </w:rPr>
            </w:pPr>
            <w:r w:rsidRPr="00347C7A">
              <w:rPr>
                <w:rFonts w:ascii="Arial Narrow" w:hAnsi="Arial Narrow"/>
                <w:b/>
                <w:bCs/>
                <w:sz w:val="20"/>
              </w:rPr>
              <w:t>Mean difference</w:t>
            </w:r>
          </w:p>
          <w:p w:rsidR="00320E23" w:rsidRPr="00347C7A" w:rsidRDefault="00320E23" w:rsidP="008F4262">
            <w:pPr>
              <w:widowControl/>
              <w:jc w:val="center"/>
              <w:rPr>
                <w:rFonts w:ascii="Arial Narrow" w:hAnsi="Arial Narrow"/>
                <w:b/>
                <w:bCs/>
                <w:sz w:val="20"/>
              </w:rPr>
            </w:pPr>
            <w:r w:rsidRPr="00347C7A">
              <w:rPr>
                <w:rFonts w:ascii="Arial Narrow" w:hAnsi="Arial Narrow"/>
                <w:b/>
                <w:bCs/>
                <w:sz w:val="20"/>
              </w:rPr>
              <w:t>(95%CI)</w:t>
            </w:r>
          </w:p>
        </w:tc>
        <w:tc>
          <w:tcPr>
            <w:tcW w:w="1275" w:type="dxa"/>
            <w:gridSpan w:val="2"/>
            <w:vMerge w:val="restart"/>
            <w:vAlign w:val="center"/>
          </w:tcPr>
          <w:p w:rsidR="00320E23" w:rsidRPr="00347C7A" w:rsidRDefault="00320E23" w:rsidP="008F4262">
            <w:pPr>
              <w:widowControl/>
              <w:jc w:val="center"/>
              <w:rPr>
                <w:rFonts w:ascii="Arial Narrow" w:hAnsi="Arial Narrow"/>
                <w:b/>
                <w:bCs/>
                <w:sz w:val="20"/>
              </w:rPr>
            </w:pPr>
            <w:r w:rsidRPr="00347C7A">
              <w:rPr>
                <w:rFonts w:ascii="Arial Narrow" w:hAnsi="Arial Narrow"/>
                <w:b/>
                <w:bCs/>
                <w:sz w:val="20"/>
              </w:rPr>
              <w:t>Pooled mean difference at 6 months (95%CI)</w:t>
            </w:r>
          </w:p>
        </w:tc>
      </w:tr>
      <w:tr w:rsidR="00320E23" w:rsidRPr="00347C7A" w:rsidTr="007E32FA">
        <w:trPr>
          <w:tblHeader/>
        </w:trPr>
        <w:tc>
          <w:tcPr>
            <w:tcW w:w="1418" w:type="dxa"/>
            <w:gridSpan w:val="2"/>
            <w:vMerge/>
          </w:tcPr>
          <w:p w:rsidR="00320E23" w:rsidRPr="00347C7A" w:rsidRDefault="00320E23" w:rsidP="008F4262">
            <w:pPr>
              <w:widowControl/>
              <w:rPr>
                <w:rFonts w:ascii="Arial Narrow" w:hAnsi="Arial Narrow"/>
                <w:sz w:val="20"/>
              </w:rPr>
            </w:pPr>
          </w:p>
        </w:tc>
        <w:tc>
          <w:tcPr>
            <w:tcW w:w="567" w:type="dxa"/>
            <w:vAlign w:val="center"/>
          </w:tcPr>
          <w:p w:rsidR="00320E23" w:rsidRPr="00347C7A" w:rsidRDefault="00320E23" w:rsidP="008F4262">
            <w:pPr>
              <w:widowControl/>
              <w:jc w:val="center"/>
              <w:rPr>
                <w:rFonts w:ascii="Arial Narrow" w:hAnsi="Arial Narrow"/>
                <w:b/>
                <w:bCs/>
                <w:sz w:val="20"/>
              </w:rPr>
            </w:pPr>
            <w:r w:rsidRPr="00347C7A">
              <w:rPr>
                <w:rFonts w:ascii="Arial Narrow" w:hAnsi="Arial Narrow"/>
                <w:b/>
                <w:bCs/>
                <w:sz w:val="20"/>
              </w:rPr>
              <w:t>N</w:t>
            </w:r>
          </w:p>
        </w:tc>
        <w:tc>
          <w:tcPr>
            <w:tcW w:w="708" w:type="dxa"/>
            <w:vAlign w:val="center"/>
          </w:tcPr>
          <w:p w:rsidR="00320E23" w:rsidRPr="00347C7A" w:rsidRDefault="00320E23" w:rsidP="008F4262">
            <w:pPr>
              <w:widowControl/>
              <w:jc w:val="center"/>
              <w:rPr>
                <w:rFonts w:ascii="Arial Narrow" w:hAnsi="Arial Narrow"/>
                <w:b/>
                <w:bCs/>
                <w:sz w:val="20"/>
              </w:rPr>
            </w:pPr>
            <w:r w:rsidRPr="00347C7A">
              <w:rPr>
                <w:rFonts w:ascii="Arial Narrow" w:hAnsi="Arial Narrow"/>
                <w:b/>
                <w:bCs/>
                <w:sz w:val="20"/>
              </w:rPr>
              <w:t>Value</w:t>
            </w:r>
          </w:p>
        </w:tc>
        <w:tc>
          <w:tcPr>
            <w:tcW w:w="709" w:type="dxa"/>
            <w:vAlign w:val="center"/>
          </w:tcPr>
          <w:p w:rsidR="00320E23" w:rsidRPr="00347C7A" w:rsidRDefault="00320E23" w:rsidP="008F4262">
            <w:pPr>
              <w:widowControl/>
              <w:jc w:val="center"/>
              <w:rPr>
                <w:rFonts w:ascii="Arial Narrow" w:hAnsi="Arial Narrow"/>
                <w:b/>
                <w:bCs/>
                <w:sz w:val="20"/>
              </w:rPr>
            </w:pPr>
            <w:r w:rsidRPr="00347C7A">
              <w:rPr>
                <w:rFonts w:ascii="Arial Narrow" w:hAnsi="Arial Narrow"/>
                <w:b/>
                <w:bCs/>
                <w:sz w:val="20"/>
              </w:rPr>
              <w:t>Diff.</w:t>
            </w:r>
          </w:p>
          <w:p w:rsidR="00320E23" w:rsidRPr="00347C7A" w:rsidRDefault="00320E23" w:rsidP="008F4262">
            <w:pPr>
              <w:widowControl/>
              <w:jc w:val="center"/>
              <w:rPr>
                <w:rFonts w:ascii="Arial Narrow" w:hAnsi="Arial Narrow"/>
                <w:b/>
                <w:bCs/>
                <w:sz w:val="20"/>
              </w:rPr>
            </w:pPr>
            <w:r w:rsidRPr="00347C7A">
              <w:rPr>
                <w:rFonts w:ascii="Arial Narrow" w:hAnsi="Arial Narrow"/>
                <w:b/>
                <w:bCs/>
                <w:sz w:val="20"/>
              </w:rPr>
              <w:t>(SD)</w:t>
            </w:r>
          </w:p>
        </w:tc>
        <w:tc>
          <w:tcPr>
            <w:tcW w:w="425" w:type="dxa"/>
            <w:vAlign w:val="center"/>
          </w:tcPr>
          <w:p w:rsidR="00320E23" w:rsidRPr="00347C7A" w:rsidRDefault="00320E23" w:rsidP="008F4262">
            <w:pPr>
              <w:widowControl/>
              <w:jc w:val="center"/>
              <w:rPr>
                <w:rFonts w:ascii="Arial Narrow" w:hAnsi="Arial Narrow"/>
                <w:b/>
                <w:bCs/>
                <w:sz w:val="20"/>
              </w:rPr>
            </w:pPr>
            <w:r w:rsidRPr="00347C7A">
              <w:rPr>
                <w:rFonts w:ascii="Arial Narrow" w:hAnsi="Arial Narrow"/>
                <w:b/>
                <w:bCs/>
                <w:sz w:val="20"/>
              </w:rPr>
              <w:t>N</w:t>
            </w:r>
          </w:p>
        </w:tc>
        <w:tc>
          <w:tcPr>
            <w:tcW w:w="993" w:type="dxa"/>
            <w:vAlign w:val="center"/>
          </w:tcPr>
          <w:p w:rsidR="00320E23" w:rsidRPr="00347C7A" w:rsidRDefault="00320E23" w:rsidP="008F4262">
            <w:pPr>
              <w:widowControl/>
              <w:jc w:val="center"/>
              <w:rPr>
                <w:rFonts w:ascii="Arial Narrow" w:hAnsi="Arial Narrow"/>
                <w:b/>
                <w:bCs/>
                <w:sz w:val="20"/>
              </w:rPr>
            </w:pPr>
            <w:r w:rsidRPr="00347C7A">
              <w:rPr>
                <w:rFonts w:ascii="Arial Narrow" w:hAnsi="Arial Narrow"/>
                <w:b/>
                <w:bCs/>
                <w:sz w:val="20"/>
              </w:rPr>
              <w:t>Value</w:t>
            </w:r>
          </w:p>
        </w:tc>
        <w:tc>
          <w:tcPr>
            <w:tcW w:w="1134" w:type="dxa"/>
            <w:vAlign w:val="center"/>
          </w:tcPr>
          <w:p w:rsidR="00320E23" w:rsidRPr="00347C7A" w:rsidRDefault="00320E23" w:rsidP="008F4262">
            <w:pPr>
              <w:widowControl/>
              <w:jc w:val="center"/>
              <w:rPr>
                <w:rFonts w:ascii="Arial Narrow" w:hAnsi="Arial Narrow"/>
                <w:b/>
                <w:bCs/>
                <w:sz w:val="20"/>
              </w:rPr>
            </w:pPr>
            <w:r w:rsidRPr="00347C7A">
              <w:rPr>
                <w:rFonts w:ascii="Arial Narrow" w:hAnsi="Arial Narrow"/>
                <w:b/>
                <w:bCs/>
                <w:sz w:val="20"/>
              </w:rPr>
              <w:t>Diff.</w:t>
            </w:r>
          </w:p>
          <w:p w:rsidR="00320E23" w:rsidRPr="00347C7A" w:rsidRDefault="00320E23" w:rsidP="008F4262">
            <w:pPr>
              <w:widowControl/>
              <w:jc w:val="center"/>
              <w:rPr>
                <w:rFonts w:ascii="Arial Narrow" w:hAnsi="Arial Narrow"/>
                <w:b/>
                <w:bCs/>
                <w:sz w:val="20"/>
              </w:rPr>
            </w:pPr>
            <w:r w:rsidRPr="00347C7A">
              <w:rPr>
                <w:rFonts w:ascii="Arial Narrow" w:hAnsi="Arial Narrow"/>
                <w:b/>
                <w:bCs/>
                <w:sz w:val="20"/>
              </w:rPr>
              <w:t>(SD)</w:t>
            </w:r>
          </w:p>
        </w:tc>
        <w:tc>
          <w:tcPr>
            <w:tcW w:w="1134" w:type="dxa"/>
            <w:vMerge/>
          </w:tcPr>
          <w:p w:rsidR="00320E23" w:rsidRPr="00347C7A" w:rsidRDefault="00320E23" w:rsidP="008F4262">
            <w:pPr>
              <w:widowControl/>
              <w:rPr>
                <w:rFonts w:ascii="Arial Narrow" w:hAnsi="Arial Narrow"/>
                <w:sz w:val="20"/>
              </w:rPr>
            </w:pPr>
          </w:p>
        </w:tc>
        <w:tc>
          <w:tcPr>
            <w:tcW w:w="1275" w:type="dxa"/>
            <w:gridSpan w:val="2"/>
            <w:vMerge/>
          </w:tcPr>
          <w:p w:rsidR="00320E23" w:rsidRPr="00347C7A" w:rsidRDefault="00320E23" w:rsidP="008F4262">
            <w:pPr>
              <w:widowControl/>
              <w:rPr>
                <w:rFonts w:ascii="Arial Narrow" w:hAnsi="Arial Narrow"/>
                <w:sz w:val="20"/>
              </w:rPr>
            </w:pPr>
          </w:p>
        </w:tc>
      </w:tr>
      <w:tr w:rsidR="00320E23" w:rsidRPr="00347C7A" w:rsidTr="00DA444B">
        <w:tc>
          <w:tcPr>
            <w:tcW w:w="709" w:type="dxa"/>
            <w:vMerge w:val="restart"/>
            <w:vAlign w:val="center"/>
          </w:tcPr>
          <w:p w:rsidR="00320E23" w:rsidRPr="00347C7A" w:rsidRDefault="00320E23" w:rsidP="008F4262">
            <w:pPr>
              <w:widowControl/>
              <w:jc w:val="center"/>
              <w:rPr>
                <w:rFonts w:ascii="Arial Narrow" w:hAnsi="Arial Narrow"/>
                <w:sz w:val="20"/>
              </w:rPr>
            </w:pPr>
            <w:r w:rsidRPr="00347C7A">
              <w:rPr>
                <w:rFonts w:ascii="Arial Narrow" w:hAnsi="Arial Narrow"/>
                <w:sz w:val="20"/>
              </w:rPr>
              <w:t>TG-MV-006</w:t>
            </w:r>
          </w:p>
        </w:tc>
        <w:tc>
          <w:tcPr>
            <w:tcW w:w="709" w:type="dxa"/>
            <w:vAlign w:val="center"/>
          </w:tcPr>
          <w:p w:rsidR="00320E23" w:rsidRPr="00347C7A" w:rsidRDefault="00320E23" w:rsidP="008F4262">
            <w:pPr>
              <w:widowControl/>
              <w:rPr>
                <w:rFonts w:ascii="Arial Narrow" w:hAnsi="Arial Narrow"/>
                <w:sz w:val="20"/>
              </w:rPr>
            </w:pPr>
            <w:r w:rsidRPr="00347C7A">
              <w:rPr>
                <w:rFonts w:ascii="Arial Narrow" w:hAnsi="Arial Narrow"/>
                <w:sz w:val="20"/>
              </w:rPr>
              <w:t>Baseline</w:t>
            </w:r>
          </w:p>
        </w:tc>
        <w:tc>
          <w:tcPr>
            <w:tcW w:w="567" w:type="dxa"/>
            <w:vAlign w:val="center"/>
          </w:tcPr>
          <w:p w:rsidR="00320E23" w:rsidRPr="00347C7A" w:rsidRDefault="00320E23" w:rsidP="008F4262">
            <w:pPr>
              <w:widowControl/>
              <w:jc w:val="center"/>
              <w:rPr>
                <w:rFonts w:ascii="Arial Narrow" w:hAnsi="Arial Narrow"/>
                <w:sz w:val="20"/>
              </w:rPr>
            </w:pPr>
            <w:r w:rsidRPr="00347C7A">
              <w:rPr>
                <w:rFonts w:ascii="Arial Narrow" w:hAnsi="Arial Narrow"/>
                <w:sz w:val="20"/>
              </w:rPr>
              <w:t>218</w:t>
            </w:r>
          </w:p>
        </w:tc>
        <w:tc>
          <w:tcPr>
            <w:tcW w:w="708" w:type="dxa"/>
          </w:tcPr>
          <w:p w:rsidR="00320E23" w:rsidRPr="00347C7A" w:rsidRDefault="00320E23" w:rsidP="008F4262">
            <w:pPr>
              <w:widowControl/>
              <w:jc w:val="center"/>
              <w:rPr>
                <w:rFonts w:ascii="Arial Narrow" w:hAnsi="Arial Narrow"/>
                <w:sz w:val="20"/>
              </w:rPr>
            </w:pPr>
            <w:r w:rsidRPr="00347C7A">
              <w:rPr>
                <w:rFonts w:ascii="Arial Narrow" w:hAnsi="Arial Narrow"/>
                <w:sz w:val="20"/>
              </w:rPr>
              <w:t>78.8 (15.02)</w:t>
            </w:r>
          </w:p>
        </w:tc>
        <w:tc>
          <w:tcPr>
            <w:tcW w:w="709" w:type="dxa"/>
            <w:vMerge w:val="restart"/>
            <w:vAlign w:val="center"/>
          </w:tcPr>
          <w:p w:rsidR="00320E23" w:rsidRPr="00347C7A" w:rsidRDefault="00320E23" w:rsidP="008F4262">
            <w:pPr>
              <w:widowControl/>
              <w:jc w:val="center"/>
              <w:rPr>
                <w:rFonts w:ascii="Arial Narrow" w:hAnsi="Arial Narrow"/>
                <w:sz w:val="20"/>
              </w:rPr>
            </w:pPr>
            <w:r w:rsidRPr="00347C7A">
              <w:rPr>
                <w:rFonts w:ascii="Arial Narrow" w:hAnsi="Arial Narrow"/>
                <w:sz w:val="20"/>
              </w:rPr>
              <w:t>(N=198)</w:t>
            </w:r>
          </w:p>
          <w:p w:rsidR="00320E23" w:rsidRPr="00347C7A" w:rsidRDefault="00320E23" w:rsidP="008F4262">
            <w:pPr>
              <w:widowControl/>
              <w:jc w:val="center"/>
              <w:rPr>
                <w:rFonts w:ascii="Arial Narrow" w:hAnsi="Arial Narrow"/>
                <w:sz w:val="20"/>
              </w:rPr>
            </w:pPr>
            <w:r w:rsidRPr="00347C7A">
              <w:rPr>
                <w:rFonts w:ascii="Arial Narrow" w:hAnsi="Arial Narrow"/>
                <w:sz w:val="20"/>
              </w:rPr>
              <w:t>3.5(11.74)</w:t>
            </w:r>
          </w:p>
        </w:tc>
        <w:tc>
          <w:tcPr>
            <w:tcW w:w="425" w:type="dxa"/>
            <w:vAlign w:val="center"/>
          </w:tcPr>
          <w:p w:rsidR="00320E23" w:rsidRPr="00347C7A" w:rsidRDefault="00320E23" w:rsidP="008F4262">
            <w:pPr>
              <w:widowControl/>
              <w:jc w:val="center"/>
              <w:rPr>
                <w:rFonts w:ascii="Arial Narrow" w:hAnsi="Arial Narrow"/>
                <w:sz w:val="20"/>
              </w:rPr>
            </w:pPr>
            <w:r w:rsidRPr="00347C7A">
              <w:rPr>
                <w:rFonts w:ascii="Arial Narrow" w:hAnsi="Arial Narrow"/>
                <w:sz w:val="20"/>
              </w:rPr>
              <w:t>107</w:t>
            </w:r>
          </w:p>
        </w:tc>
        <w:tc>
          <w:tcPr>
            <w:tcW w:w="993" w:type="dxa"/>
          </w:tcPr>
          <w:p w:rsidR="00320E23" w:rsidRPr="00347C7A" w:rsidRDefault="00320E23" w:rsidP="008F4262">
            <w:pPr>
              <w:widowControl/>
              <w:jc w:val="center"/>
              <w:rPr>
                <w:rFonts w:ascii="Arial Narrow" w:hAnsi="Arial Narrow"/>
                <w:sz w:val="20"/>
              </w:rPr>
            </w:pPr>
            <w:r w:rsidRPr="00347C7A">
              <w:rPr>
                <w:rFonts w:ascii="Arial Narrow" w:hAnsi="Arial Narrow"/>
                <w:sz w:val="20"/>
              </w:rPr>
              <w:t>83.0 (11.56)</w:t>
            </w:r>
          </w:p>
        </w:tc>
        <w:tc>
          <w:tcPr>
            <w:tcW w:w="1134" w:type="dxa"/>
            <w:vMerge w:val="restart"/>
            <w:vAlign w:val="center"/>
          </w:tcPr>
          <w:p w:rsidR="00320E23" w:rsidRPr="00347C7A" w:rsidRDefault="00320E23" w:rsidP="008F4262">
            <w:pPr>
              <w:widowControl/>
              <w:jc w:val="center"/>
              <w:rPr>
                <w:rFonts w:ascii="Arial Narrow" w:hAnsi="Arial Narrow"/>
                <w:sz w:val="20"/>
              </w:rPr>
            </w:pPr>
            <w:r w:rsidRPr="00347C7A">
              <w:rPr>
                <w:rFonts w:ascii="Arial Narrow" w:hAnsi="Arial Narrow"/>
                <w:sz w:val="20"/>
              </w:rPr>
              <w:t>(N=99)</w:t>
            </w:r>
          </w:p>
          <w:p w:rsidR="00320E23" w:rsidRPr="00347C7A" w:rsidRDefault="00320E23" w:rsidP="008F4262">
            <w:pPr>
              <w:widowControl/>
              <w:jc w:val="center"/>
              <w:rPr>
                <w:rFonts w:ascii="Arial Narrow" w:hAnsi="Arial Narrow"/>
                <w:sz w:val="20"/>
              </w:rPr>
            </w:pPr>
            <w:r w:rsidRPr="00347C7A">
              <w:rPr>
                <w:rFonts w:ascii="Arial Narrow" w:hAnsi="Arial Narrow"/>
                <w:sz w:val="20"/>
              </w:rPr>
              <w:t>1.2 (9.86)</w:t>
            </w:r>
          </w:p>
        </w:tc>
        <w:tc>
          <w:tcPr>
            <w:tcW w:w="1134" w:type="dxa"/>
            <w:vMerge w:val="restart"/>
            <w:vAlign w:val="center"/>
          </w:tcPr>
          <w:p w:rsidR="00320E23" w:rsidRPr="00347C7A" w:rsidRDefault="00320E23" w:rsidP="008F4262">
            <w:pPr>
              <w:widowControl/>
              <w:jc w:val="center"/>
              <w:rPr>
                <w:rFonts w:ascii="Arial Narrow" w:hAnsi="Arial Narrow"/>
                <w:sz w:val="20"/>
              </w:rPr>
            </w:pPr>
            <w:r w:rsidRPr="00347C7A">
              <w:rPr>
                <w:rFonts w:ascii="Arial Narrow" w:hAnsi="Arial Narrow"/>
                <w:sz w:val="20"/>
              </w:rPr>
              <w:t xml:space="preserve">2.30 </w:t>
            </w:r>
          </w:p>
          <w:p w:rsidR="00320E23" w:rsidRPr="00347C7A" w:rsidRDefault="00320E23" w:rsidP="008F4262">
            <w:pPr>
              <w:widowControl/>
              <w:jc w:val="center"/>
              <w:rPr>
                <w:rFonts w:ascii="Arial Narrow" w:hAnsi="Arial Narrow"/>
                <w:sz w:val="20"/>
              </w:rPr>
            </w:pPr>
            <w:r w:rsidRPr="00347C7A">
              <w:rPr>
                <w:rFonts w:ascii="Arial Narrow" w:hAnsi="Arial Narrow"/>
                <w:sz w:val="20"/>
              </w:rPr>
              <w:t>(-0.24,4.84)</w:t>
            </w:r>
          </w:p>
        </w:tc>
        <w:tc>
          <w:tcPr>
            <w:tcW w:w="534" w:type="dxa"/>
            <w:vMerge w:val="restart"/>
            <w:vAlign w:val="center"/>
          </w:tcPr>
          <w:p w:rsidR="00320E23" w:rsidRPr="00347C7A" w:rsidRDefault="00320E23" w:rsidP="008F4262">
            <w:pPr>
              <w:widowControl/>
              <w:jc w:val="center"/>
              <w:rPr>
                <w:rFonts w:ascii="Arial Narrow" w:hAnsi="Arial Narrow"/>
                <w:b/>
                <w:bCs/>
                <w:sz w:val="20"/>
              </w:rPr>
            </w:pPr>
            <w:r w:rsidRPr="00347C7A">
              <w:rPr>
                <w:rFonts w:ascii="Arial Narrow" w:hAnsi="Arial Narrow"/>
                <w:b/>
                <w:bCs/>
                <w:sz w:val="20"/>
              </w:rPr>
              <w:t>2.79 (0.91, 4.68)</w:t>
            </w:r>
          </w:p>
        </w:tc>
        <w:tc>
          <w:tcPr>
            <w:tcW w:w="741" w:type="dxa"/>
            <w:vMerge w:val="restart"/>
            <w:vAlign w:val="center"/>
          </w:tcPr>
          <w:p w:rsidR="00320E23" w:rsidRPr="00347C7A" w:rsidRDefault="00320E23" w:rsidP="008F4262">
            <w:pPr>
              <w:widowControl/>
              <w:jc w:val="center"/>
              <w:rPr>
                <w:rFonts w:ascii="Arial Narrow" w:hAnsi="Arial Narrow"/>
                <w:b/>
                <w:bCs/>
                <w:sz w:val="20"/>
              </w:rPr>
            </w:pPr>
            <w:r w:rsidRPr="00347C7A">
              <w:rPr>
                <w:rFonts w:ascii="Arial Narrow" w:hAnsi="Arial Narrow"/>
                <w:b/>
                <w:bCs/>
                <w:sz w:val="20"/>
              </w:rPr>
              <w:t>2.97 (1.21,</w:t>
            </w:r>
          </w:p>
          <w:p w:rsidR="00320E23" w:rsidRPr="00347C7A" w:rsidRDefault="00320E23" w:rsidP="008F4262">
            <w:pPr>
              <w:widowControl/>
              <w:jc w:val="center"/>
              <w:rPr>
                <w:rFonts w:ascii="Arial Narrow" w:hAnsi="Arial Narrow"/>
                <w:b/>
                <w:bCs/>
                <w:sz w:val="20"/>
              </w:rPr>
            </w:pPr>
            <w:r w:rsidRPr="00347C7A">
              <w:rPr>
                <w:rFonts w:ascii="Arial Narrow" w:hAnsi="Arial Narrow"/>
                <w:b/>
                <w:bCs/>
                <w:sz w:val="20"/>
              </w:rPr>
              <w:t>4.74)</w:t>
            </w:r>
          </w:p>
        </w:tc>
      </w:tr>
      <w:tr w:rsidR="00320E23" w:rsidRPr="00347C7A" w:rsidTr="00DA444B">
        <w:tc>
          <w:tcPr>
            <w:tcW w:w="709" w:type="dxa"/>
            <w:vMerge/>
            <w:vAlign w:val="center"/>
          </w:tcPr>
          <w:p w:rsidR="00320E23" w:rsidRPr="00347C7A" w:rsidRDefault="00320E23" w:rsidP="008F4262">
            <w:pPr>
              <w:widowControl/>
              <w:rPr>
                <w:rFonts w:ascii="Arial Narrow" w:hAnsi="Arial Narrow"/>
                <w:sz w:val="20"/>
              </w:rPr>
            </w:pPr>
          </w:p>
        </w:tc>
        <w:tc>
          <w:tcPr>
            <w:tcW w:w="709" w:type="dxa"/>
            <w:vAlign w:val="center"/>
          </w:tcPr>
          <w:p w:rsidR="00320E23" w:rsidRPr="00347C7A" w:rsidRDefault="00320E23" w:rsidP="008F4262">
            <w:pPr>
              <w:widowControl/>
              <w:rPr>
                <w:rFonts w:ascii="Arial Narrow" w:hAnsi="Arial Narrow"/>
                <w:sz w:val="20"/>
              </w:rPr>
            </w:pPr>
            <w:r w:rsidRPr="00347C7A">
              <w:rPr>
                <w:rFonts w:ascii="Arial Narrow" w:hAnsi="Arial Narrow"/>
                <w:sz w:val="20"/>
              </w:rPr>
              <w:t>6 months</w:t>
            </w:r>
          </w:p>
        </w:tc>
        <w:tc>
          <w:tcPr>
            <w:tcW w:w="567" w:type="dxa"/>
            <w:vAlign w:val="center"/>
          </w:tcPr>
          <w:p w:rsidR="00320E23" w:rsidRPr="00347C7A" w:rsidRDefault="00320E23" w:rsidP="008F4262">
            <w:pPr>
              <w:widowControl/>
              <w:jc w:val="center"/>
              <w:rPr>
                <w:rFonts w:ascii="Arial Narrow" w:hAnsi="Arial Narrow"/>
                <w:sz w:val="20"/>
              </w:rPr>
            </w:pPr>
            <w:r w:rsidRPr="00347C7A">
              <w:rPr>
                <w:rFonts w:ascii="Arial Narrow" w:hAnsi="Arial Narrow"/>
                <w:sz w:val="20"/>
              </w:rPr>
              <w:t>199</w:t>
            </w:r>
          </w:p>
        </w:tc>
        <w:tc>
          <w:tcPr>
            <w:tcW w:w="708" w:type="dxa"/>
          </w:tcPr>
          <w:p w:rsidR="00320E23" w:rsidRPr="00347C7A" w:rsidRDefault="00320E23" w:rsidP="008F4262">
            <w:pPr>
              <w:widowControl/>
              <w:jc w:val="center"/>
              <w:rPr>
                <w:rFonts w:ascii="Arial Narrow" w:hAnsi="Arial Narrow"/>
                <w:sz w:val="20"/>
              </w:rPr>
            </w:pPr>
            <w:r w:rsidRPr="00347C7A">
              <w:rPr>
                <w:rFonts w:ascii="Arial Narrow" w:hAnsi="Arial Narrow"/>
                <w:sz w:val="20"/>
              </w:rPr>
              <w:t>82.3 (15.88)</w:t>
            </w:r>
          </w:p>
        </w:tc>
        <w:tc>
          <w:tcPr>
            <w:tcW w:w="709" w:type="dxa"/>
            <w:vMerge/>
            <w:vAlign w:val="center"/>
          </w:tcPr>
          <w:p w:rsidR="00320E23" w:rsidRPr="00347C7A" w:rsidRDefault="00320E23" w:rsidP="008F4262">
            <w:pPr>
              <w:widowControl/>
              <w:jc w:val="center"/>
              <w:rPr>
                <w:rFonts w:ascii="Arial Narrow" w:hAnsi="Arial Narrow"/>
                <w:sz w:val="20"/>
              </w:rPr>
            </w:pPr>
          </w:p>
        </w:tc>
        <w:tc>
          <w:tcPr>
            <w:tcW w:w="425" w:type="dxa"/>
            <w:vAlign w:val="center"/>
          </w:tcPr>
          <w:p w:rsidR="00320E23" w:rsidRPr="00347C7A" w:rsidRDefault="00320E23" w:rsidP="008F4262">
            <w:pPr>
              <w:widowControl/>
              <w:jc w:val="center"/>
              <w:rPr>
                <w:rFonts w:ascii="Arial Narrow" w:hAnsi="Arial Narrow"/>
                <w:sz w:val="20"/>
              </w:rPr>
            </w:pPr>
            <w:r w:rsidRPr="00347C7A">
              <w:rPr>
                <w:rFonts w:ascii="Arial Narrow" w:hAnsi="Arial Narrow"/>
                <w:sz w:val="20"/>
              </w:rPr>
              <w:t>99</w:t>
            </w:r>
          </w:p>
        </w:tc>
        <w:tc>
          <w:tcPr>
            <w:tcW w:w="993" w:type="dxa"/>
          </w:tcPr>
          <w:p w:rsidR="00320E23" w:rsidRPr="00347C7A" w:rsidRDefault="00320E23" w:rsidP="008F4262">
            <w:pPr>
              <w:widowControl/>
              <w:jc w:val="center"/>
              <w:rPr>
                <w:rFonts w:ascii="Arial Narrow" w:hAnsi="Arial Narrow"/>
                <w:sz w:val="20"/>
              </w:rPr>
            </w:pPr>
            <w:r w:rsidRPr="00347C7A">
              <w:rPr>
                <w:rFonts w:ascii="Arial Narrow" w:hAnsi="Arial Narrow"/>
                <w:sz w:val="20"/>
              </w:rPr>
              <w:t>84.3 (11.93)</w:t>
            </w:r>
          </w:p>
        </w:tc>
        <w:tc>
          <w:tcPr>
            <w:tcW w:w="1134" w:type="dxa"/>
            <w:vMerge/>
            <w:vAlign w:val="center"/>
          </w:tcPr>
          <w:p w:rsidR="00320E23" w:rsidRPr="00347C7A" w:rsidRDefault="00320E23" w:rsidP="008F4262">
            <w:pPr>
              <w:widowControl/>
              <w:jc w:val="center"/>
              <w:rPr>
                <w:rFonts w:ascii="Arial Narrow" w:hAnsi="Arial Narrow"/>
                <w:sz w:val="20"/>
              </w:rPr>
            </w:pPr>
          </w:p>
        </w:tc>
        <w:tc>
          <w:tcPr>
            <w:tcW w:w="1134" w:type="dxa"/>
            <w:vMerge/>
            <w:vAlign w:val="center"/>
          </w:tcPr>
          <w:p w:rsidR="00320E23" w:rsidRPr="00347C7A" w:rsidRDefault="00320E23" w:rsidP="008F4262">
            <w:pPr>
              <w:widowControl/>
              <w:jc w:val="center"/>
              <w:rPr>
                <w:rFonts w:ascii="Arial Narrow" w:hAnsi="Arial Narrow"/>
                <w:sz w:val="20"/>
              </w:rPr>
            </w:pPr>
          </w:p>
        </w:tc>
        <w:tc>
          <w:tcPr>
            <w:tcW w:w="534" w:type="dxa"/>
            <w:vMerge/>
          </w:tcPr>
          <w:p w:rsidR="00320E23" w:rsidRPr="00347C7A" w:rsidRDefault="00320E23" w:rsidP="008F4262">
            <w:pPr>
              <w:widowControl/>
              <w:rPr>
                <w:rFonts w:ascii="Arial Narrow" w:hAnsi="Arial Narrow"/>
                <w:sz w:val="20"/>
              </w:rPr>
            </w:pPr>
          </w:p>
        </w:tc>
        <w:tc>
          <w:tcPr>
            <w:tcW w:w="741" w:type="dxa"/>
            <w:vMerge/>
          </w:tcPr>
          <w:p w:rsidR="00320E23" w:rsidRPr="00347C7A" w:rsidRDefault="00320E23" w:rsidP="008F4262">
            <w:pPr>
              <w:widowControl/>
              <w:rPr>
                <w:rFonts w:ascii="Arial Narrow" w:hAnsi="Arial Narrow"/>
                <w:sz w:val="20"/>
              </w:rPr>
            </w:pPr>
          </w:p>
        </w:tc>
      </w:tr>
      <w:tr w:rsidR="00320E23" w:rsidRPr="00347C7A" w:rsidTr="00DA444B">
        <w:tc>
          <w:tcPr>
            <w:tcW w:w="709" w:type="dxa"/>
            <w:vMerge w:val="restart"/>
            <w:vAlign w:val="center"/>
          </w:tcPr>
          <w:p w:rsidR="00320E23" w:rsidRPr="00347C7A" w:rsidRDefault="00320E23" w:rsidP="008F4262">
            <w:pPr>
              <w:widowControl/>
              <w:rPr>
                <w:rFonts w:ascii="Arial Narrow" w:hAnsi="Arial Narrow"/>
                <w:sz w:val="20"/>
              </w:rPr>
            </w:pPr>
            <w:r w:rsidRPr="00347C7A">
              <w:rPr>
                <w:rFonts w:ascii="Arial Narrow" w:hAnsi="Arial Narrow"/>
                <w:sz w:val="20"/>
              </w:rPr>
              <w:t>TG-MV-007</w:t>
            </w:r>
          </w:p>
        </w:tc>
        <w:tc>
          <w:tcPr>
            <w:tcW w:w="709" w:type="dxa"/>
            <w:vAlign w:val="center"/>
          </w:tcPr>
          <w:p w:rsidR="00320E23" w:rsidRPr="00347C7A" w:rsidRDefault="00320E23" w:rsidP="008F4262">
            <w:pPr>
              <w:widowControl/>
              <w:rPr>
                <w:rFonts w:ascii="Arial Narrow" w:hAnsi="Arial Narrow"/>
                <w:sz w:val="20"/>
              </w:rPr>
            </w:pPr>
            <w:r w:rsidRPr="00347C7A">
              <w:rPr>
                <w:rFonts w:ascii="Arial Narrow" w:hAnsi="Arial Narrow"/>
                <w:sz w:val="20"/>
              </w:rPr>
              <w:t>Baseline</w:t>
            </w:r>
          </w:p>
        </w:tc>
        <w:tc>
          <w:tcPr>
            <w:tcW w:w="567" w:type="dxa"/>
            <w:vAlign w:val="center"/>
          </w:tcPr>
          <w:p w:rsidR="00320E23" w:rsidRPr="00347C7A" w:rsidRDefault="00320E23" w:rsidP="008F4262">
            <w:pPr>
              <w:widowControl/>
              <w:jc w:val="center"/>
              <w:rPr>
                <w:rFonts w:ascii="Arial Narrow" w:hAnsi="Arial Narrow"/>
                <w:sz w:val="20"/>
              </w:rPr>
            </w:pPr>
            <w:r w:rsidRPr="00347C7A">
              <w:rPr>
                <w:rFonts w:ascii="Arial Narrow" w:hAnsi="Arial Narrow"/>
                <w:sz w:val="20"/>
              </w:rPr>
              <w:t>244</w:t>
            </w:r>
          </w:p>
        </w:tc>
        <w:tc>
          <w:tcPr>
            <w:tcW w:w="708" w:type="dxa"/>
            <w:vAlign w:val="center"/>
          </w:tcPr>
          <w:p w:rsidR="00320E23" w:rsidRPr="00347C7A" w:rsidRDefault="00320E23" w:rsidP="008F4262">
            <w:pPr>
              <w:widowControl/>
              <w:jc w:val="center"/>
              <w:rPr>
                <w:rFonts w:ascii="Arial Narrow" w:hAnsi="Arial Narrow"/>
                <w:sz w:val="20"/>
              </w:rPr>
            </w:pPr>
            <w:r w:rsidRPr="00347C7A">
              <w:rPr>
                <w:rFonts w:ascii="Arial Narrow" w:hAnsi="Arial Narrow"/>
                <w:sz w:val="20"/>
              </w:rPr>
              <w:t>75.6(16.54)</w:t>
            </w:r>
          </w:p>
        </w:tc>
        <w:tc>
          <w:tcPr>
            <w:tcW w:w="709" w:type="dxa"/>
            <w:vMerge w:val="restart"/>
            <w:vAlign w:val="center"/>
          </w:tcPr>
          <w:p w:rsidR="00320E23" w:rsidRPr="00347C7A" w:rsidRDefault="00320E23" w:rsidP="008F4262">
            <w:pPr>
              <w:widowControl/>
              <w:jc w:val="center"/>
              <w:rPr>
                <w:rFonts w:ascii="Arial Narrow" w:hAnsi="Arial Narrow"/>
                <w:sz w:val="20"/>
              </w:rPr>
            </w:pPr>
            <w:r w:rsidRPr="00347C7A">
              <w:rPr>
                <w:rFonts w:ascii="Arial Narrow" w:hAnsi="Arial Narrow"/>
                <w:sz w:val="20"/>
              </w:rPr>
              <w:t>(N=230)</w:t>
            </w:r>
          </w:p>
          <w:p w:rsidR="00320E23" w:rsidRPr="00347C7A" w:rsidRDefault="00320E23" w:rsidP="008F4262">
            <w:pPr>
              <w:widowControl/>
              <w:jc w:val="center"/>
              <w:rPr>
                <w:rFonts w:ascii="Arial Narrow" w:hAnsi="Arial Narrow"/>
                <w:sz w:val="20"/>
              </w:rPr>
            </w:pPr>
            <w:r w:rsidRPr="00347C7A">
              <w:rPr>
                <w:rFonts w:ascii="Arial Narrow" w:hAnsi="Arial Narrow"/>
                <w:sz w:val="20"/>
              </w:rPr>
              <w:t>3.3(11.97)</w:t>
            </w:r>
          </w:p>
        </w:tc>
        <w:tc>
          <w:tcPr>
            <w:tcW w:w="425" w:type="dxa"/>
            <w:vAlign w:val="center"/>
          </w:tcPr>
          <w:p w:rsidR="00320E23" w:rsidRPr="00347C7A" w:rsidRDefault="00320E23" w:rsidP="008F4262">
            <w:pPr>
              <w:widowControl/>
              <w:jc w:val="center"/>
              <w:rPr>
                <w:rFonts w:ascii="Arial Narrow" w:hAnsi="Arial Narrow"/>
                <w:sz w:val="20"/>
              </w:rPr>
            </w:pPr>
            <w:r w:rsidRPr="00347C7A">
              <w:rPr>
                <w:rFonts w:ascii="Arial Narrow" w:hAnsi="Arial Narrow"/>
                <w:sz w:val="20"/>
              </w:rPr>
              <w:t>80</w:t>
            </w:r>
          </w:p>
        </w:tc>
        <w:tc>
          <w:tcPr>
            <w:tcW w:w="993" w:type="dxa"/>
            <w:vAlign w:val="center"/>
          </w:tcPr>
          <w:p w:rsidR="00320E23" w:rsidRPr="00347C7A" w:rsidRDefault="00320E23" w:rsidP="008F4262">
            <w:pPr>
              <w:widowControl/>
              <w:jc w:val="center"/>
              <w:rPr>
                <w:rFonts w:ascii="Arial Narrow" w:hAnsi="Arial Narrow"/>
                <w:sz w:val="20"/>
              </w:rPr>
            </w:pPr>
            <w:r w:rsidRPr="00347C7A">
              <w:rPr>
                <w:rFonts w:ascii="Arial Narrow" w:hAnsi="Arial Narrow"/>
                <w:sz w:val="20"/>
              </w:rPr>
              <w:t>80.6(12.85)</w:t>
            </w:r>
          </w:p>
        </w:tc>
        <w:tc>
          <w:tcPr>
            <w:tcW w:w="1134" w:type="dxa"/>
            <w:vMerge w:val="restart"/>
            <w:vAlign w:val="center"/>
          </w:tcPr>
          <w:p w:rsidR="00320E23" w:rsidRPr="00347C7A" w:rsidRDefault="00320E23" w:rsidP="008F4262">
            <w:pPr>
              <w:widowControl/>
              <w:jc w:val="center"/>
              <w:rPr>
                <w:rFonts w:ascii="Arial Narrow" w:hAnsi="Arial Narrow"/>
                <w:sz w:val="20"/>
              </w:rPr>
            </w:pPr>
            <w:r w:rsidRPr="00347C7A">
              <w:rPr>
                <w:rFonts w:ascii="Arial Narrow" w:hAnsi="Arial Narrow"/>
                <w:sz w:val="20"/>
              </w:rPr>
              <w:t>(N=74)</w:t>
            </w:r>
          </w:p>
          <w:p w:rsidR="00320E23" w:rsidRPr="00347C7A" w:rsidRDefault="00320E23" w:rsidP="008F4262">
            <w:pPr>
              <w:widowControl/>
              <w:jc w:val="center"/>
              <w:rPr>
                <w:rFonts w:ascii="Arial Narrow" w:hAnsi="Arial Narrow"/>
                <w:sz w:val="20"/>
              </w:rPr>
            </w:pPr>
            <w:r w:rsidRPr="00347C7A">
              <w:rPr>
                <w:rFonts w:ascii="Arial Narrow" w:hAnsi="Arial Narrow"/>
                <w:sz w:val="20"/>
              </w:rPr>
              <w:t>-0.1</w:t>
            </w:r>
            <w:r w:rsidR="00F4570B">
              <w:rPr>
                <w:rFonts w:ascii="Arial Narrow" w:hAnsi="Arial Narrow"/>
                <w:sz w:val="20"/>
              </w:rPr>
              <w:t xml:space="preserve"> </w:t>
            </w:r>
            <w:r w:rsidRPr="00347C7A">
              <w:rPr>
                <w:rFonts w:ascii="Arial Narrow" w:hAnsi="Arial Narrow"/>
                <w:sz w:val="20"/>
              </w:rPr>
              <w:t>(10.29)</w:t>
            </w:r>
          </w:p>
        </w:tc>
        <w:tc>
          <w:tcPr>
            <w:tcW w:w="1134" w:type="dxa"/>
            <w:vMerge w:val="restart"/>
            <w:vAlign w:val="center"/>
          </w:tcPr>
          <w:p w:rsidR="00320E23" w:rsidRPr="00347C7A" w:rsidRDefault="00320E23" w:rsidP="008F4262">
            <w:pPr>
              <w:widowControl/>
              <w:jc w:val="center"/>
              <w:rPr>
                <w:rFonts w:ascii="Arial Narrow" w:hAnsi="Arial Narrow"/>
                <w:b/>
                <w:bCs/>
                <w:sz w:val="20"/>
              </w:rPr>
            </w:pPr>
            <w:r w:rsidRPr="00347C7A">
              <w:rPr>
                <w:rFonts w:ascii="Arial Narrow" w:hAnsi="Arial Narrow"/>
                <w:b/>
                <w:bCs/>
                <w:sz w:val="20"/>
              </w:rPr>
              <w:t>3.40 (0.59,6.21)</w:t>
            </w:r>
          </w:p>
        </w:tc>
        <w:tc>
          <w:tcPr>
            <w:tcW w:w="534" w:type="dxa"/>
            <w:vMerge/>
          </w:tcPr>
          <w:p w:rsidR="00320E23" w:rsidRPr="00347C7A" w:rsidRDefault="00320E23" w:rsidP="008F4262">
            <w:pPr>
              <w:widowControl/>
              <w:rPr>
                <w:rFonts w:ascii="Arial Narrow" w:hAnsi="Arial Narrow"/>
                <w:sz w:val="20"/>
              </w:rPr>
            </w:pPr>
          </w:p>
        </w:tc>
        <w:tc>
          <w:tcPr>
            <w:tcW w:w="741" w:type="dxa"/>
            <w:vMerge/>
          </w:tcPr>
          <w:p w:rsidR="00320E23" w:rsidRPr="00347C7A" w:rsidRDefault="00320E23" w:rsidP="008F4262">
            <w:pPr>
              <w:widowControl/>
              <w:rPr>
                <w:rFonts w:ascii="Arial Narrow" w:hAnsi="Arial Narrow"/>
                <w:sz w:val="20"/>
              </w:rPr>
            </w:pPr>
          </w:p>
        </w:tc>
      </w:tr>
      <w:tr w:rsidR="00320E23" w:rsidRPr="00347C7A" w:rsidTr="00DA444B">
        <w:tc>
          <w:tcPr>
            <w:tcW w:w="709" w:type="dxa"/>
            <w:vMerge/>
          </w:tcPr>
          <w:p w:rsidR="00320E23" w:rsidRPr="00347C7A" w:rsidRDefault="00320E23" w:rsidP="008F4262">
            <w:pPr>
              <w:widowControl/>
              <w:rPr>
                <w:rFonts w:ascii="Arial Narrow" w:hAnsi="Arial Narrow"/>
                <w:sz w:val="20"/>
              </w:rPr>
            </w:pPr>
          </w:p>
        </w:tc>
        <w:tc>
          <w:tcPr>
            <w:tcW w:w="709" w:type="dxa"/>
            <w:vAlign w:val="center"/>
          </w:tcPr>
          <w:p w:rsidR="00320E23" w:rsidRPr="00347C7A" w:rsidRDefault="00320E23" w:rsidP="008F4262">
            <w:pPr>
              <w:widowControl/>
              <w:rPr>
                <w:rFonts w:ascii="Arial Narrow" w:hAnsi="Arial Narrow"/>
                <w:sz w:val="20"/>
              </w:rPr>
            </w:pPr>
            <w:r w:rsidRPr="00347C7A">
              <w:rPr>
                <w:rFonts w:ascii="Arial Narrow" w:hAnsi="Arial Narrow"/>
                <w:sz w:val="20"/>
              </w:rPr>
              <w:t>6 months</w:t>
            </w:r>
          </w:p>
        </w:tc>
        <w:tc>
          <w:tcPr>
            <w:tcW w:w="567" w:type="dxa"/>
            <w:vAlign w:val="center"/>
          </w:tcPr>
          <w:p w:rsidR="00320E23" w:rsidRPr="00347C7A" w:rsidRDefault="00320E23" w:rsidP="008F4262">
            <w:pPr>
              <w:widowControl/>
              <w:jc w:val="center"/>
              <w:rPr>
                <w:rFonts w:ascii="Arial Narrow" w:hAnsi="Arial Narrow"/>
                <w:sz w:val="20"/>
              </w:rPr>
            </w:pPr>
            <w:r w:rsidRPr="00347C7A">
              <w:rPr>
                <w:rFonts w:ascii="Arial Narrow" w:hAnsi="Arial Narrow"/>
                <w:sz w:val="20"/>
              </w:rPr>
              <w:t>231</w:t>
            </w:r>
          </w:p>
        </w:tc>
        <w:tc>
          <w:tcPr>
            <w:tcW w:w="708" w:type="dxa"/>
            <w:vAlign w:val="center"/>
          </w:tcPr>
          <w:p w:rsidR="00320E23" w:rsidRPr="00347C7A" w:rsidRDefault="00320E23" w:rsidP="008F4262">
            <w:pPr>
              <w:widowControl/>
              <w:jc w:val="center"/>
              <w:rPr>
                <w:rFonts w:ascii="Arial Narrow" w:hAnsi="Arial Narrow"/>
                <w:sz w:val="20"/>
              </w:rPr>
            </w:pPr>
            <w:r w:rsidRPr="00347C7A">
              <w:rPr>
                <w:rFonts w:ascii="Arial Narrow" w:hAnsi="Arial Narrow"/>
                <w:sz w:val="20"/>
              </w:rPr>
              <w:t>78.9(16.65)</w:t>
            </w:r>
          </w:p>
        </w:tc>
        <w:tc>
          <w:tcPr>
            <w:tcW w:w="709" w:type="dxa"/>
            <w:vMerge/>
            <w:vAlign w:val="center"/>
          </w:tcPr>
          <w:p w:rsidR="00320E23" w:rsidRPr="00347C7A" w:rsidRDefault="00320E23" w:rsidP="008F4262">
            <w:pPr>
              <w:widowControl/>
              <w:jc w:val="center"/>
              <w:rPr>
                <w:rFonts w:ascii="Arial Narrow" w:hAnsi="Arial Narrow"/>
                <w:sz w:val="20"/>
              </w:rPr>
            </w:pPr>
          </w:p>
        </w:tc>
        <w:tc>
          <w:tcPr>
            <w:tcW w:w="425" w:type="dxa"/>
            <w:vAlign w:val="center"/>
          </w:tcPr>
          <w:p w:rsidR="00320E23" w:rsidRPr="00347C7A" w:rsidRDefault="00320E23" w:rsidP="008F4262">
            <w:pPr>
              <w:widowControl/>
              <w:jc w:val="center"/>
              <w:rPr>
                <w:rFonts w:ascii="Arial Narrow" w:hAnsi="Arial Narrow"/>
                <w:sz w:val="20"/>
              </w:rPr>
            </w:pPr>
            <w:r w:rsidRPr="00347C7A">
              <w:rPr>
                <w:rFonts w:ascii="Arial Narrow" w:hAnsi="Arial Narrow"/>
                <w:sz w:val="20"/>
              </w:rPr>
              <w:t>75</w:t>
            </w:r>
          </w:p>
        </w:tc>
        <w:tc>
          <w:tcPr>
            <w:tcW w:w="993" w:type="dxa"/>
            <w:vAlign w:val="center"/>
          </w:tcPr>
          <w:p w:rsidR="00320E23" w:rsidRPr="00347C7A" w:rsidRDefault="00320E23" w:rsidP="008F4262">
            <w:pPr>
              <w:widowControl/>
              <w:jc w:val="center"/>
              <w:rPr>
                <w:rFonts w:ascii="Arial Narrow" w:hAnsi="Arial Narrow"/>
                <w:sz w:val="20"/>
              </w:rPr>
            </w:pPr>
            <w:r w:rsidRPr="00347C7A">
              <w:rPr>
                <w:rFonts w:ascii="Arial Narrow" w:hAnsi="Arial Narrow"/>
                <w:sz w:val="20"/>
              </w:rPr>
              <w:t>80.3(15.49)</w:t>
            </w:r>
          </w:p>
        </w:tc>
        <w:tc>
          <w:tcPr>
            <w:tcW w:w="1134" w:type="dxa"/>
            <w:vMerge/>
          </w:tcPr>
          <w:p w:rsidR="00320E23" w:rsidRPr="00347C7A" w:rsidRDefault="00320E23" w:rsidP="008F4262">
            <w:pPr>
              <w:widowControl/>
              <w:rPr>
                <w:rFonts w:ascii="Arial Narrow" w:hAnsi="Arial Narrow"/>
                <w:sz w:val="20"/>
              </w:rPr>
            </w:pPr>
          </w:p>
        </w:tc>
        <w:tc>
          <w:tcPr>
            <w:tcW w:w="1134" w:type="dxa"/>
            <w:vMerge/>
          </w:tcPr>
          <w:p w:rsidR="00320E23" w:rsidRPr="00347C7A" w:rsidRDefault="00320E23" w:rsidP="008F4262">
            <w:pPr>
              <w:widowControl/>
              <w:rPr>
                <w:rFonts w:ascii="Arial Narrow" w:hAnsi="Arial Narrow"/>
                <w:sz w:val="20"/>
              </w:rPr>
            </w:pPr>
          </w:p>
        </w:tc>
        <w:tc>
          <w:tcPr>
            <w:tcW w:w="534" w:type="dxa"/>
            <w:vMerge/>
            <w:tcBorders>
              <w:bottom w:val="single" w:sz="4" w:space="0" w:color="auto"/>
            </w:tcBorders>
          </w:tcPr>
          <w:p w:rsidR="00320E23" w:rsidRPr="00347C7A" w:rsidRDefault="00320E23" w:rsidP="008F4262">
            <w:pPr>
              <w:widowControl/>
              <w:rPr>
                <w:rFonts w:ascii="Arial Narrow" w:hAnsi="Arial Narrow"/>
                <w:sz w:val="20"/>
              </w:rPr>
            </w:pPr>
          </w:p>
        </w:tc>
        <w:tc>
          <w:tcPr>
            <w:tcW w:w="741" w:type="dxa"/>
            <w:vMerge/>
          </w:tcPr>
          <w:p w:rsidR="00320E23" w:rsidRPr="00347C7A" w:rsidRDefault="00320E23" w:rsidP="008F4262">
            <w:pPr>
              <w:widowControl/>
              <w:rPr>
                <w:rFonts w:ascii="Arial Narrow" w:hAnsi="Arial Narrow"/>
                <w:sz w:val="20"/>
              </w:rPr>
            </w:pPr>
          </w:p>
        </w:tc>
      </w:tr>
      <w:tr w:rsidR="00320E23" w:rsidRPr="00347C7A" w:rsidTr="00DA444B">
        <w:tc>
          <w:tcPr>
            <w:tcW w:w="709" w:type="dxa"/>
            <w:vMerge w:val="restart"/>
            <w:vAlign w:val="center"/>
          </w:tcPr>
          <w:p w:rsidR="00320E23" w:rsidRPr="00347C7A" w:rsidRDefault="00320E23" w:rsidP="008F4262">
            <w:pPr>
              <w:widowControl/>
              <w:jc w:val="left"/>
              <w:rPr>
                <w:rFonts w:ascii="Arial Narrow" w:hAnsi="Arial Narrow"/>
                <w:iCs/>
                <w:sz w:val="20"/>
              </w:rPr>
            </w:pPr>
            <w:r w:rsidRPr="00347C7A">
              <w:rPr>
                <w:rFonts w:ascii="Arial Narrow" w:hAnsi="Arial Narrow"/>
                <w:iCs/>
                <w:sz w:val="20"/>
              </w:rPr>
              <w:t>OASIS</w:t>
            </w:r>
          </w:p>
        </w:tc>
        <w:tc>
          <w:tcPr>
            <w:tcW w:w="709" w:type="dxa"/>
            <w:vAlign w:val="center"/>
          </w:tcPr>
          <w:p w:rsidR="00320E23" w:rsidRPr="00347C7A" w:rsidRDefault="00320E23" w:rsidP="008F4262">
            <w:pPr>
              <w:widowControl/>
              <w:rPr>
                <w:rFonts w:ascii="Arial Narrow" w:hAnsi="Arial Narrow"/>
                <w:iCs/>
                <w:sz w:val="20"/>
              </w:rPr>
            </w:pPr>
            <w:r w:rsidRPr="00347C7A">
              <w:rPr>
                <w:rFonts w:ascii="Arial Narrow" w:hAnsi="Arial Narrow"/>
                <w:iCs/>
                <w:sz w:val="20"/>
              </w:rPr>
              <w:t>Baseline</w:t>
            </w:r>
          </w:p>
        </w:tc>
        <w:tc>
          <w:tcPr>
            <w:tcW w:w="567" w:type="dxa"/>
            <w:vAlign w:val="center"/>
          </w:tcPr>
          <w:p w:rsidR="00320E23"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708" w:type="dxa"/>
            <w:vAlign w:val="center"/>
          </w:tcPr>
          <w:p w:rsidR="00320E23"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 ''''''''''''''''''</w:t>
            </w:r>
          </w:p>
        </w:tc>
        <w:tc>
          <w:tcPr>
            <w:tcW w:w="709" w:type="dxa"/>
            <w:vAlign w:val="center"/>
          </w:tcPr>
          <w:p w:rsidR="00320E23" w:rsidRPr="00347C7A" w:rsidRDefault="00320E23" w:rsidP="008F4262">
            <w:pPr>
              <w:widowControl/>
              <w:jc w:val="center"/>
              <w:rPr>
                <w:rFonts w:ascii="Arial Narrow" w:hAnsi="Arial Narrow"/>
                <w:iCs/>
                <w:sz w:val="20"/>
              </w:rPr>
            </w:pPr>
            <w:r w:rsidRPr="00347C7A">
              <w:rPr>
                <w:rFonts w:ascii="Arial Narrow" w:hAnsi="Arial Narrow"/>
                <w:iCs/>
                <w:sz w:val="20"/>
              </w:rPr>
              <w:t>Ref.</w:t>
            </w:r>
          </w:p>
        </w:tc>
        <w:tc>
          <w:tcPr>
            <w:tcW w:w="425" w:type="dxa"/>
            <w:vAlign w:val="center"/>
          </w:tcPr>
          <w:p w:rsidR="00320E23" w:rsidRPr="00347C7A" w:rsidRDefault="00320E23" w:rsidP="008F4262">
            <w:pPr>
              <w:widowControl/>
              <w:jc w:val="center"/>
              <w:rPr>
                <w:rFonts w:ascii="Arial Narrow" w:hAnsi="Arial Narrow"/>
                <w:iCs/>
                <w:sz w:val="20"/>
              </w:rPr>
            </w:pPr>
            <w:r w:rsidRPr="00347C7A">
              <w:rPr>
                <w:rFonts w:ascii="Arial Narrow" w:hAnsi="Arial Narrow"/>
                <w:iCs/>
                <w:sz w:val="20"/>
              </w:rPr>
              <w:t>26</w:t>
            </w:r>
          </w:p>
        </w:tc>
        <w:tc>
          <w:tcPr>
            <w:tcW w:w="993" w:type="dxa"/>
            <w:vAlign w:val="center"/>
          </w:tcPr>
          <w:p w:rsidR="00320E23"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 ''''''''''''''''</w:t>
            </w:r>
          </w:p>
        </w:tc>
        <w:tc>
          <w:tcPr>
            <w:tcW w:w="1134" w:type="dxa"/>
            <w:vAlign w:val="center"/>
          </w:tcPr>
          <w:p w:rsidR="00320E23" w:rsidRPr="00347C7A" w:rsidRDefault="00320E23" w:rsidP="008F4262">
            <w:pPr>
              <w:widowControl/>
              <w:jc w:val="center"/>
              <w:rPr>
                <w:rFonts w:ascii="Arial Narrow" w:hAnsi="Arial Narrow"/>
                <w:iCs/>
                <w:sz w:val="20"/>
              </w:rPr>
            </w:pPr>
            <w:r w:rsidRPr="00347C7A">
              <w:rPr>
                <w:rFonts w:ascii="Arial Narrow" w:hAnsi="Arial Narrow"/>
                <w:iCs/>
                <w:sz w:val="20"/>
              </w:rPr>
              <w:t>Ref.</w:t>
            </w:r>
          </w:p>
        </w:tc>
        <w:tc>
          <w:tcPr>
            <w:tcW w:w="1134" w:type="dxa"/>
            <w:vMerge w:val="restart"/>
            <w:vAlign w:val="center"/>
          </w:tcPr>
          <w:p w:rsidR="00320E23"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 xml:space="preserve">'''''''''' </w:t>
            </w:r>
          </w:p>
          <w:p w:rsidR="00320E23"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 '''''''''''''</w:t>
            </w:r>
          </w:p>
        </w:tc>
        <w:tc>
          <w:tcPr>
            <w:tcW w:w="534" w:type="dxa"/>
            <w:vMerge w:val="restart"/>
            <w:shd w:val="clear" w:color="auto" w:fill="auto"/>
          </w:tcPr>
          <w:p w:rsidR="00320E23" w:rsidRPr="00347C7A" w:rsidRDefault="00320E23" w:rsidP="008F4262">
            <w:pPr>
              <w:widowControl/>
              <w:rPr>
                <w:rFonts w:ascii="Arial Narrow" w:hAnsi="Arial Narrow"/>
                <w:iCs/>
                <w:sz w:val="20"/>
              </w:rPr>
            </w:pPr>
          </w:p>
        </w:tc>
        <w:tc>
          <w:tcPr>
            <w:tcW w:w="741" w:type="dxa"/>
            <w:vMerge/>
          </w:tcPr>
          <w:p w:rsidR="00320E23" w:rsidRPr="00347C7A" w:rsidRDefault="00320E23" w:rsidP="008F4262">
            <w:pPr>
              <w:widowControl/>
              <w:rPr>
                <w:rFonts w:ascii="Arial Narrow" w:hAnsi="Arial Narrow"/>
                <w:iCs/>
                <w:sz w:val="20"/>
              </w:rPr>
            </w:pPr>
          </w:p>
        </w:tc>
      </w:tr>
      <w:tr w:rsidR="00320E23" w:rsidRPr="00347C7A" w:rsidTr="00DA444B">
        <w:tc>
          <w:tcPr>
            <w:tcW w:w="709" w:type="dxa"/>
            <w:vMerge/>
          </w:tcPr>
          <w:p w:rsidR="00320E23" w:rsidRPr="00347C7A" w:rsidRDefault="00320E23" w:rsidP="008F4262">
            <w:pPr>
              <w:widowControl/>
              <w:rPr>
                <w:rFonts w:ascii="Arial Narrow" w:hAnsi="Arial Narrow"/>
                <w:sz w:val="20"/>
              </w:rPr>
            </w:pPr>
          </w:p>
        </w:tc>
        <w:tc>
          <w:tcPr>
            <w:tcW w:w="709" w:type="dxa"/>
            <w:vAlign w:val="center"/>
          </w:tcPr>
          <w:p w:rsidR="00320E23" w:rsidRPr="00347C7A" w:rsidRDefault="00320E23" w:rsidP="008F4262">
            <w:pPr>
              <w:widowControl/>
              <w:rPr>
                <w:rFonts w:ascii="Arial Narrow" w:hAnsi="Arial Narrow"/>
                <w:iCs/>
                <w:sz w:val="20"/>
              </w:rPr>
            </w:pPr>
            <w:r w:rsidRPr="00347C7A">
              <w:rPr>
                <w:rFonts w:ascii="Arial Narrow" w:hAnsi="Arial Narrow"/>
                <w:iCs/>
                <w:sz w:val="20"/>
              </w:rPr>
              <w:t>6 months</w:t>
            </w:r>
          </w:p>
        </w:tc>
        <w:tc>
          <w:tcPr>
            <w:tcW w:w="567" w:type="dxa"/>
            <w:vAlign w:val="center"/>
          </w:tcPr>
          <w:p w:rsidR="00320E23"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708" w:type="dxa"/>
            <w:vAlign w:val="center"/>
          </w:tcPr>
          <w:p w:rsidR="00320E23"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 ''''''''''''''''</w:t>
            </w:r>
          </w:p>
        </w:tc>
        <w:tc>
          <w:tcPr>
            <w:tcW w:w="709" w:type="dxa"/>
            <w:vAlign w:val="center"/>
          </w:tcPr>
          <w:p w:rsidR="00320E23"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 '''''''''''''''</w:t>
            </w:r>
          </w:p>
        </w:tc>
        <w:tc>
          <w:tcPr>
            <w:tcW w:w="425" w:type="dxa"/>
            <w:vAlign w:val="center"/>
          </w:tcPr>
          <w:p w:rsidR="00320E23" w:rsidRPr="00347C7A" w:rsidRDefault="00320E23" w:rsidP="008F4262">
            <w:pPr>
              <w:widowControl/>
              <w:jc w:val="center"/>
              <w:rPr>
                <w:rFonts w:ascii="Arial Narrow" w:hAnsi="Arial Narrow"/>
                <w:iCs/>
                <w:sz w:val="20"/>
              </w:rPr>
            </w:pPr>
            <w:r w:rsidRPr="00347C7A">
              <w:rPr>
                <w:rFonts w:ascii="Arial Narrow" w:hAnsi="Arial Narrow"/>
                <w:iCs/>
                <w:sz w:val="20"/>
              </w:rPr>
              <w:t>26</w:t>
            </w:r>
          </w:p>
        </w:tc>
        <w:tc>
          <w:tcPr>
            <w:tcW w:w="993" w:type="dxa"/>
            <w:vAlign w:val="center"/>
          </w:tcPr>
          <w:p w:rsidR="00320E23"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 ''''''''''''''''</w:t>
            </w:r>
          </w:p>
        </w:tc>
        <w:tc>
          <w:tcPr>
            <w:tcW w:w="1134" w:type="dxa"/>
            <w:vAlign w:val="center"/>
          </w:tcPr>
          <w:p w:rsidR="00320E23" w:rsidRPr="00347C7A" w:rsidRDefault="00320E23" w:rsidP="008F4262">
            <w:pPr>
              <w:widowControl/>
              <w:jc w:val="center"/>
              <w:rPr>
                <w:rFonts w:ascii="Arial Narrow" w:hAnsi="Arial Narrow"/>
                <w:iCs/>
                <w:sz w:val="20"/>
              </w:rPr>
            </w:pPr>
            <w:r w:rsidRPr="00347C7A">
              <w:rPr>
                <w:rFonts w:ascii="Arial Narrow" w:hAnsi="Arial Narrow"/>
                <w:iCs/>
                <w:sz w:val="20"/>
              </w:rPr>
              <w:t>-</w:t>
            </w:r>
            <w:r w:rsidR="0017165E">
              <w:rPr>
                <w:rFonts w:ascii="Arial Narrow" w:hAnsi="Arial Narrow"/>
                <w:iCs/>
                <w:noProof/>
                <w:color w:val="000000"/>
                <w:sz w:val="20"/>
                <w:highlight w:val="black"/>
              </w:rPr>
              <w:t>''''''''' '''''''''''''''''''</w:t>
            </w:r>
          </w:p>
        </w:tc>
        <w:tc>
          <w:tcPr>
            <w:tcW w:w="1134" w:type="dxa"/>
            <w:vMerge/>
            <w:vAlign w:val="center"/>
          </w:tcPr>
          <w:p w:rsidR="00320E23" w:rsidRPr="00347C7A" w:rsidRDefault="00320E23" w:rsidP="008F4262">
            <w:pPr>
              <w:widowControl/>
              <w:jc w:val="center"/>
              <w:rPr>
                <w:rFonts w:ascii="Arial Narrow" w:hAnsi="Arial Narrow"/>
                <w:iCs/>
                <w:sz w:val="20"/>
              </w:rPr>
            </w:pPr>
          </w:p>
        </w:tc>
        <w:tc>
          <w:tcPr>
            <w:tcW w:w="534" w:type="dxa"/>
            <w:vMerge/>
            <w:shd w:val="clear" w:color="auto" w:fill="auto"/>
          </w:tcPr>
          <w:p w:rsidR="00320E23" w:rsidRPr="00347C7A" w:rsidRDefault="00320E23" w:rsidP="008F4262">
            <w:pPr>
              <w:widowControl/>
              <w:rPr>
                <w:rFonts w:ascii="Arial Narrow" w:hAnsi="Arial Narrow"/>
                <w:iCs/>
                <w:sz w:val="20"/>
              </w:rPr>
            </w:pPr>
          </w:p>
        </w:tc>
        <w:tc>
          <w:tcPr>
            <w:tcW w:w="741" w:type="dxa"/>
            <w:vMerge/>
          </w:tcPr>
          <w:p w:rsidR="00320E23" w:rsidRPr="00347C7A" w:rsidRDefault="00320E23" w:rsidP="008F4262">
            <w:pPr>
              <w:widowControl/>
              <w:rPr>
                <w:rFonts w:ascii="Arial Narrow" w:hAnsi="Arial Narrow"/>
                <w:iCs/>
                <w:sz w:val="20"/>
              </w:rPr>
            </w:pPr>
          </w:p>
        </w:tc>
      </w:tr>
      <w:tr w:rsidR="00320E23" w:rsidRPr="00347C7A" w:rsidTr="00DA444B">
        <w:tc>
          <w:tcPr>
            <w:tcW w:w="709" w:type="dxa"/>
            <w:vMerge/>
          </w:tcPr>
          <w:p w:rsidR="00320E23" w:rsidRPr="00347C7A" w:rsidRDefault="00320E23" w:rsidP="008F4262">
            <w:pPr>
              <w:widowControl/>
              <w:rPr>
                <w:rFonts w:ascii="Arial Narrow" w:hAnsi="Arial Narrow"/>
                <w:sz w:val="20"/>
              </w:rPr>
            </w:pPr>
          </w:p>
        </w:tc>
        <w:tc>
          <w:tcPr>
            <w:tcW w:w="709" w:type="dxa"/>
            <w:vAlign w:val="center"/>
          </w:tcPr>
          <w:p w:rsidR="00320E23" w:rsidRPr="00347C7A" w:rsidRDefault="00320E23" w:rsidP="008F4262">
            <w:pPr>
              <w:widowControl/>
              <w:rPr>
                <w:rFonts w:ascii="Arial Narrow" w:hAnsi="Arial Narrow"/>
                <w:iCs/>
                <w:sz w:val="20"/>
              </w:rPr>
            </w:pPr>
            <w:r w:rsidRPr="00347C7A">
              <w:rPr>
                <w:rFonts w:ascii="Arial Narrow" w:hAnsi="Arial Narrow"/>
                <w:iCs/>
                <w:sz w:val="20"/>
              </w:rPr>
              <w:t>12 months</w:t>
            </w:r>
          </w:p>
        </w:tc>
        <w:tc>
          <w:tcPr>
            <w:tcW w:w="567" w:type="dxa"/>
            <w:vAlign w:val="center"/>
          </w:tcPr>
          <w:p w:rsidR="00320E23"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708" w:type="dxa"/>
            <w:vAlign w:val="center"/>
          </w:tcPr>
          <w:p w:rsidR="00320E23"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 ''''''''''''''''''</w:t>
            </w:r>
          </w:p>
        </w:tc>
        <w:tc>
          <w:tcPr>
            <w:tcW w:w="709" w:type="dxa"/>
            <w:vAlign w:val="center"/>
          </w:tcPr>
          <w:p w:rsidR="00320E23"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 '''''''''''''''''</w:t>
            </w:r>
          </w:p>
        </w:tc>
        <w:tc>
          <w:tcPr>
            <w:tcW w:w="425" w:type="dxa"/>
            <w:vAlign w:val="center"/>
          </w:tcPr>
          <w:p w:rsidR="00320E23" w:rsidRPr="00347C7A" w:rsidRDefault="00320E23" w:rsidP="008F4262">
            <w:pPr>
              <w:widowControl/>
              <w:jc w:val="center"/>
              <w:rPr>
                <w:rFonts w:ascii="Arial Narrow" w:hAnsi="Arial Narrow"/>
                <w:iCs/>
                <w:sz w:val="20"/>
              </w:rPr>
            </w:pPr>
            <w:r w:rsidRPr="00347C7A">
              <w:rPr>
                <w:rFonts w:ascii="Arial Narrow" w:hAnsi="Arial Narrow"/>
                <w:iCs/>
                <w:sz w:val="20"/>
              </w:rPr>
              <w:t>26</w:t>
            </w:r>
          </w:p>
        </w:tc>
        <w:tc>
          <w:tcPr>
            <w:tcW w:w="993" w:type="dxa"/>
            <w:vAlign w:val="center"/>
          </w:tcPr>
          <w:p w:rsidR="00320E23"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 ''''''''''''''''''</w:t>
            </w:r>
          </w:p>
        </w:tc>
        <w:tc>
          <w:tcPr>
            <w:tcW w:w="1134" w:type="dxa"/>
            <w:vAlign w:val="center"/>
          </w:tcPr>
          <w:p w:rsidR="00320E23" w:rsidRPr="00347C7A" w:rsidRDefault="00320E23" w:rsidP="008F4262">
            <w:pPr>
              <w:widowControl/>
              <w:jc w:val="center"/>
              <w:rPr>
                <w:rFonts w:ascii="Arial Narrow" w:hAnsi="Arial Narrow"/>
                <w:iCs/>
                <w:sz w:val="20"/>
              </w:rPr>
            </w:pPr>
            <w:r w:rsidRPr="00347C7A">
              <w:rPr>
                <w:rFonts w:ascii="Arial Narrow" w:hAnsi="Arial Narrow"/>
                <w:iCs/>
                <w:sz w:val="20"/>
              </w:rPr>
              <w:t>-</w:t>
            </w:r>
            <w:r w:rsidR="0017165E">
              <w:rPr>
                <w:rFonts w:ascii="Arial Narrow" w:hAnsi="Arial Narrow"/>
                <w:iCs/>
                <w:noProof/>
                <w:color w:val="000000"/>
                <w:sz w:val="20"/>
                <w:highlight w:val="black"/>
              </w:rPr>
              <w:t>''''''' '''''''''''''''''</w:t>
            </w:r>
          </w:p>
        </w:tc>
        <w:tc>
          <w:tcPr>
            <w:tcW w:w="1134" w:type="dxa"/>
            <w:vAlign w:val="center"/>
          </w:tcPr>
          <w:p w:rsidR="00320E23"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 xml:space="preserve">''''''''''' </w:t>
            </w:r>
          </w:p>
          <w:p w:rsidR="00320E23" w:rsidRPr="00347C7A" w:rsidRDefault="0017165E" w:rsidP="008F4262">
            <w:pPr>
              <w:widowControl/>
              <w:jc w:val="center"/>
              <w:rPr>
                <w:rFonts w:ascii="Arial Narrow" w:hAnsi="Arial Narrow"/>
                <w:iCs/>
                <w:sz w:val="20"/>
              </w:rPr>
            </w:pPr>
            <w:r>
              <w:rPr>
                <w:rFonts w:ascii="Arial Narrow" w:hAnsi="Arial Narrow"/>
                <w:iCs/>
                <w:noProof/>
                <w:color w:val="000000"/>
                <w:sz w:val="20"/>
                <w:highlight w:val="black"/>
              </w:rPr>
              <w:t>'''''''''''''''' '''''''''''''</w:t>
            </w:r>
            <w:r w:rsidR="00320E23" w:rsidRPr="00347C7A">
              <w:rPr>
                <w:rFonts w:ascii="Arial Narrow" w:hAnsi="Arial Narrow"/>
                <w:iCs/>
                <w:sz w:val="20"/>
              </w:rPr>
              <w:t>)</w:t>
            </w:r>
          </w:p>
        </w:tc>
        <w:tc>
          <w:tcPr>
            <w:tcW w:w="1275" w:type="dxa"/>
            <w:gridSpan w:val="2"/>
            <w:vMerge w:val="restart"/>
            <w:vAlign w:val="center"/>
          </w:tcPr>
          <w:p w:rsidR="00320E23" w:rsidRPr="00347C7A" w:rsidRDefault="00320E23" w:rsidP="008F4262">
            <w:pPr>
              <w:widowControl/>
              <w:jc w:val="center"/>
              <w:rPr>
                <w:rFonts w:ascii="Arial Narrow" w:hAnsi="Arial Narrow"/>
                <w:iCs/>
                <w:sz w:val="20"/>
              </w:rPr>
            </w:pPr>
            <w:r w:rsidRPr="00347C7A">
              <w:rPr>
                <w:rFonts w:ascii="Arial Narrow" w:hAnsi="Arial Narrow"/>
                <w:iCs/>
                <w:sz w:val="20"/>
              </w:rPr>
              <w:t>-</w:t>
            </w:r>
          </w:p>
        </w:tc>
      </w:tr>
      <w:tr w:rsidR="00320E23" w:rsidRPr="00347C7A" w:rsidTr="00DA444B">
        <w:tc>
          <w:tcPr>
            <w:tcW w:w="709" w:type="dxa"/>
            <w:vMerge/>
          </w:tcPr>
          <w:p w:rsidR="00320E23" w:rsidRPr="00347C7A" w:rsidRDefault="00320E23" w:rsidP="008F4262">
            <w:pPr>
              <w:widowControl/>
              <w:rPr>
                <w:rFonts w:ascii="Arial Narrow" w:hAnsi="Arial Narrow"/>
                <w:sz w:val="20"/>
              </w:rPr>
            </w:pPr>
          </w:p>
        </w:tc>
        <w:tc>
          <w:tcPr>
            <w:tcW w:w="709" w:type="dxa"/>
            <w:vAlign w:val="center"/>
          </w:tcPr>
          <w:p w:rsidR="00320E23" w:rsidRPr="00347C7A" w:rsidRDefault="00320E23" w:rsidP="008F4262">
            <w:pPr>
              <w:widowControl/>
              <w:rPr>
                <w:rFonts w:ascii="Arial Narrow" w:hAnsi="Arial Narrow"/>
                <w:iCs/>
                <w:sz w:val="20"/>
              </w:rPr>
            </w:pPr>
            <w:r w:rsidRPr="00347C7A">
              <w:rPr>
                <w:rFonts w:ascii="Arial Narrow" w:hAnsi="Arial Narrow"/>
                <w:iCs/>
                <w:sz w:val="20"/>
              </w:rPr>
              <w:t>24 months</w:t>
            </w:r>
          </w:p>
        </w:tc>
        <w:tc>
          <w:tcPr>
            <w:tcW w:w="567" w:type="dxa"/>
            <w:vAlign w:val="center"/>
          </w:tcPr>
          <w:p w:rsidR="00320E23"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708" w:type="dxa"/>
            <w:vAlign w:val="center"/>
          </w:tcPr>
          <w:p w:rsidR="00320E23"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 '''''''''''''''''</w:t>
            </w:r>
          </w:p>
        </w:tc>
        <w:tc>
          <w:tcPr>
            <w:tcW w:w="709" w:type="dxa"/>
            <w:vAlign w:val="center"/>
          </w:tcPr>
          <w:p w:rsidR="00320E23"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 ''''''''''''''''''</w:t>
            </w:r>
          </w:p>
        </w:tc>
        <w:tc>
          <w:tcPr>
            <w:tcW w:w="425" w:type="dxa"/>
            <w:vAlign w:val="center"/>
          </w:tcPr>
          <w:p w:rsidR="00320E23" w:rsidRPr="00347C7A" w:rsidRDefault="00320E23" w:rsidP="008F4262">
            <w:pPr>
              <w:widowControl/>
              <w:jc w:val="center"/>
              <w:rPr>
                <w:rFonts w:ascii="Arial Narrow" w:hAnsi="Arial Narrow"/>
                <w:iCs/>
                <w:sz w:val="20"/>
              </w:rPr>
            </w:pPr>
            <w:r w:rsidRPr="00347C7A">
              <w:rPr>
                <w:rFonts w:ascii="Arial Narrow" w:hAnsi="Arial Narrow"/>
                <w:iCs/>
                <w:sz w:val="20"/>
              </w:rPr>
              <w:t>26</w:t>
            </w:r>
          </w:p>
        </w:tc>
        <w:tc>
          <w:tcPr>
            <w:tcW w:w="993" w:type="dxa"/>
            <w:vAlign w:val="center"/>
          </w:tcPr>
          <w:p w:rsidR="00320E23"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 ''''''''''''''''</w:t>
            </w:r>
          </w:p>
        </w:tc>
        <w:tc>
          <w:tcPr>
            <w:tcW w:w="1134" w:type="dxa"/>
            <w:vAlign w:val="center"/>
          </w:tcPr>
          <w:p w:rsidR="00320E23"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 ''''''''''''''''</w:t>
            </w:r>
          </w:p>
        </w:tc>
        <w:tc>
          <w:tcPr>
            <w:tcW w:w="1134" w:type="dxa"/>
            <w:vAlign w:val="center"/>
          </w:tcPr>
          <w:p w:rsidR="00320E23" w:rsidRPr="0017165E" w:rsidRDefault="0017165E" w:rsidP="008F4262">
            <w:pPr>
              <w:widowControl/>
              <w:jc w:val="center"/>
              <w:rPr>
                <w:rFonts w:ascii="Arial Narrow" w:hAnsi="Arial Narrow"/>
                <w:b/>
                <w:bCs/>
                <w:iCs/>
                <w:sz w:val="20"/>
                <w:highlight w:val="black"/>
              </w:rPr>
            </w:pPr>
            <w:r>
              <w:rPr>
                <w:rFonts w:ascii="Arial Narrow" w:hAnsi="Arial Narrow"/>
                <w:b/>
                <w:bCs/>
                <w:iCs/>
                <w:noProof/>
                <w:color w:val="000000"/>
                <w:sz w:val="20"/>
                <w:highlight w:val="black"/>
              </w:rPr>
              <w:t>'''''''''</w:t>
            </w:r>
          </w:p>
          <w:p w:rsidR="00320E23" w:rsidRPr="0017165E" w:rsidRDefault="0017165E" w:rsidP="008F4262">
            <w:pPr>
              <w:widowControl/>
              <w:jc w:val="center"/>
              <w:rPr>
                <w:rFonts w:ascii="Arial Narrow" w:hAnsi="Arial Narrow"/>
                <w:iCs/>
                <w:sz w:val="20"/>
                <w:highlight w:val="black"/>
              </w:rPr>
            </w:pPr>
            <w:r>
              <w:rPr>
                <w:rFonts w:ascii="Arial Narrow" w:hAnsi="Arial Narrow"/>
                <w:b/>
                <w:bCs/>
                <w:iCs/>
                <w:noProof/>
                <w:color w:val="000000"/>
                <w:sz w:val="20"/>
                <w:highlight w:val="black"/>
              </w:rPr>
              <w:t>'''''''''' '''''''''''''</w:t>
            </w:r>
            <w:r w:rsidR="00320E23" w:rsidRPr="0017165E">
              <w:rPr>
                <w:rFonts w:ascii="Arial Narrow" w:hAnsi="Arial Narrow"/>
                <w:iCs/>
                <w:sz w:val="20"/>
                <w:highlight w:val="black"/>
              </w:rPr>
              <w:t xml:space="preserve"> </w:t>
            </w:r>
          </w:p>
        </w:tc>
        <w:tc>
          <w:tcPr>
            <w:tcW w:w="1275" w:type="dxa"/>
            <w:gridSpan w:val="2"/>
            <w:vMerge/>
          </w:tcPr>
          <w:p w:rsidR="00320E23" w:rsidRPr="00347C7A" w:rsidRDefault="00320E23" w:rsidP="008F4262">
            <w:pPr>
              <w:widowControl/>
              <w:rPr>
                <w:rFonts w:ascii="Arial Narrow" w:hAnsi="Arial Narrow"/>
                <w:iCs/>
                <w:sz w:val="20"/>
              </w:rPr>
            </w:pPr>
          </w:p>
        </w:tc>
      </w:tr>
    </w:tbl>
    <w:p w:rsidR="00320E23" w:rsidRDefault="00320E23" w:rsidP="008F4262">
      <w:pPr>
        <w:widowControl/>
        <w:ind w:firstLine="720"/>
        <w:rPr>
          <w:rFonts w:ascii="Arial Narrow" w:hAnsi="Arial Narrow"/>
          <w:sz w:val="18"/>
        </w:rPr>
      </w:pPr>
      <w:r w:rsidRPr="00347C7A">
        <w:rPr>
          <w:rFonts w:ascii="Arial Narrow" w:hAnsi="Arial Narrow"/>
          <w:sz w:val="18"/>
        </w:rPr>
        <w:t>Source: Table 38, p125 of the re-submission; Table 10.9.1, p3276 OASIS CSR</w:t>
      </w:r>
    </w:p>
    <w:p w:rsidR="00E23349" w:rsidRPr="00DC185F" w:rsidRDefault="00E23349" w:rsidP="008F4262">
      <w:pPr>
        <w:widowControl/>
        <w:rPr>
          <w:szCs w:val="22"/>
        </w:rPr>
      </w:pPr>
    </w:p>
    <w:p w:rsidR="00320E23" w:rsidRPr="00E23349" w:rsidRDefault="00320E23" w:rsidP="008F4262">
      <w:pPr>
        <w:pStyle w:val="ListParagraph"/>
        <w:widowControl/>
        <w:numPr>
          <w:ilvl w:val="1"/>
          <w:numId w:val="1"/>
        </w:numPr>
      </w:pPr>
      <w:r w:rsidRPr="00E23349">
        <w:rPr>
          <w:szCs w:val="22"/>
        </w:rPr>
        <w:t>The</w:t>
      </w:r>
      <w:r w:rsidRPr="00E23349">
        <w:rPr>
          <w:iCs/>
        </w:rPr>
        <w:t xml:space="preserve"> re-submission state</w:t>
      </w:r>
      <w:r w:rsidR="000A4FA3" w:rsidRPr="00E23349">
        <w:rPr>
          <w:iCs/>
        </w:rPr>
        <w:t>d</w:t>
      </w:r>
      <w:r w:rsidRPr="00E23349">
        <w:rPr>
          <w:iCs/>
        </w:rPr>
        <w:t xml:space="preserve"> </w:t>
      </w:r>
      <w:r w:rsidR="00347C7A" w:rsidRPr="00E23349">
        <w:rPr>
          <w:iCs/>
        </w:rPr>
        <w:t xml:space="preserve">that </w:t>
      </w:r>
      <w:r w:rsidRPr="00E23349">
        <w:rPr>
          <w:iCs/>
        </w:rPr>
        <w:t xml:space="preserve">the minimum clinically important difference in the VFQ-25 composite score is 3.6 points.  Based on either the pooled results across TG-MV-006 and </w:t>
      </w:r>
      <w:r w:rsidR="00347C7A" w:rsidRPr="00E23349">
        <w:rPr>
          <w:iCs/>
        </w:rPr>
        <w:t>TG-MV</w:t>
      </w:r>
      <w:r w:rsidRPr="00E23349">
        <w:rPr>
          <w:iCs/>
        </w:rPr>
        <w:t xml:space="preserve">-007 or all three trials, the weighted mean difference was statistically significant in favour of </w:t>
      </w:r>
      <w:proofErr w:type="spellStart"/>
      <w:r w:rsidRPr="00E23349">
        <w:rPr>
          <w:iCs/>
        </w:rPr>
        <w:t>ocriplasmin</w:t>
      </w:r>
      <w:proofErr w:type="spellEnd"/>
      <w:r w:rsidRPr="00E23349">
        <w:rPr>
          <w:iCs/>
        </w:rPr>
        <w:t xml:space="preserve"> to 6 months</w:t>
      </w:r>
      <w:r w:rsidR="00347C7A" w:rsidRPr="00E23349">
        <w:rPr>
          <w:iCs/>
        </w:rPr>
        <w:t>,</w:t>
      </w:r>
      <w:r w:rsidRPr="00E23349">
        <w:rPr>
          <w:iCs/>
        </w:rPr>
        <w:t xml:space="preserve"> but did not reach the minimum clinically important difference proposed by the re-submission.</w:t>
      </w:r>
    </w:p>
    <w:p w:rsidR="00320E23" w:rsidRPr="00F331B0" w:rsidRDefault="00320E23" w:rsidP="008F4262">
      <w:pPr>
        <w:widowControl/>
        <w:rPr>
          <w:szCs w:val="22"/>
        </w:rPr>
      </w:pPr>
    </w:p>
    <w:p w:rsidR="00320E23" w:rsidRPr="00E23349" w:rsidRDefault="00320E23" w:rsidP="008F4262">
      <w:pPr>
        <w:pStyle w:val="ListParagraph"/>
        <w:widowControl/>
        <w:numPr>
          <w:ilvl w:val="1"/>
          <w:numId w:val="1"/>
        </w:numPr>
        <w:rPr>
          <w:iCs/>
        </w:rPr>
      </w:pPr>
      <w:r w:rsidRPr="00E23349">
        <w:rPr>
          <w:szCs w:val="22"/>
        </w:rPr>
        <w:t>Table</w:t>
      </w:r>
      <w:r w:rsidRPr="00E23349">
        <w:t xml:space="preserve"> </w:t>
      </w:r>
      <w:r w:rsidR="00347C7A" w:rsidRPr="00E23349">
        <w:t xml:space="preserve">7 </w:t>
      </w:r>
      <w:r w:rsidRPr="00E23349">
        <w:t xml:space="preserve">presents the proportion of patients who achieved ≥5 point improvement in the VFQ-25 composite score from baseline to 24 months in OASIS.  </w:t>
      </w:r>
      <w:r w:rsidRPr="00E23349">
        <w:rPr>
          <w:iCs/>
        </w:rPr>
        <w:t xml:space="preserve">Significantly more patients treated with </w:t>
      </w:r>
      <w:proofErr w:type="spellStart"/>
      <w:r w:rsidRPr="00E23349">
        <w:rPr>
          <w:iCs/>
        </w:rPr>
        <w:t>ocriplasmin</w:t>
      </w:r>
      <w:proofErr w:type="spellEnd"/>
      <w:r w:rsidRPr="00E23349">
        <w:rPr>
          <w:iCs/>
        </w:rPr>
        <w:t xml:space="preserve"> achieved th</w:t>
      </w:r>
      <w:r w:rsidR="000A4FA3" w:rsidRPr="00E23349">
        <w:rPr>
          <w:iCs/>
        </w:rPr>
        <w:t>is</w:t>
      </w:r>
      <w:r w:rsidRPr="00E23349">
        <w:rPr>
          <w:iCs/>
        </w:rPr>
        <w:t xml:space="preserve"> outcome.</w:t>
      </w:r>
    </w:p>
    <w:p w:rsidR="00320E23" w:rsidRPr="001D335C" w:rsidRDefault="00320E23" w:rsidP="008F4262">
      <w:pPr>
        <w:widowControl/>
        <w:rPr>
          <w:szCs w:val="22"/>
        </w:rPr>
      </w:pPr>
    </w:p>
    <w:p w:rsidR="00320E23" w:rsidRPr="00783938" w:rsidRDefault="00320E23" w:rsidP="008F4262">
      <w:pPr>
        <w:widowControl/>
        <w:ind w:left="709"/>
        <w:rPr>
          <w:rFonts w:ascii="Arial Narrow" w:hAnsi="Arial Narrow"/>
          <w:b/>
          <w:iCs/>
          <w:sz w:val="20"/>
        </w:rPr>
      </w:pPr>
      <w:r w:rsidRPr="00783938">
        <w:rPr>
          <w:rFonts w:ascii="Arial Narrow" w:hAnsi="Arial Narrow"/>
          <w:b/>
          <w:iCs/>
          <w:sz w:val="20"/>
        </w:rPr>
        <w:t>Table</w:t>
      </w:r>
      <w:r w:rsidR="00347C7A" w:rsidRPr="00783938">
        <w:rPr>
          <w:rFonts w:ascii="Arial Narrow" w:hAnsi="Arial Narrow"/>
          <w:b/>
          <w:iCs/>
          <w:sz w:val="20"/>
        </w:rPr>
        <w:t xml:space="preserve"> 7</w:t>
      </w:r>
      <w:r w:rsidR="00783938">
        <w:rPr>
          <w:rFonts w:ascii="Arial Narrow" w:hAnsi="Arial Narrow"/>
          <w:b/>
          <w:iCs/>
          <w:sz w:val="20"/>
        </w:rPr>
        <w:t>: Proportion ≥5-</w:t>
      </w:r>
      <w:r w:rsidRPr="00783938">
        <w:rPr>
          <w:rFonts w:ascii="Arial Narrow" w:hAnsi="Arial Narrow"/>
          <w:b/>
          <w:iCs/>
          <w:sz w:val="20"/>
        </w:rPr>
        <w:t xml:space="preserve">point improvement in VFQ-25 composite score from baseline at 24 months, irrespective of </w:t>
      </w:r>
      <w:proofErr w:type="spellStart"/>
      <w:r w:rsidRPr="00783938">
        <w:rPr>
          <w:rFonts w:ascii="Arial Narrow" w:hAnsi="Arial Narrow"/>
          <w:b/>
          <w:iCs/>
          <w:sz w:val="20"/>
        </w:rPr>
        <w:t>vitrectomy</w:t>
      </w:r>
      <w:proofErr w:type="spellEnd"/>
      <w:r w:rsidRPr="00783938">
        <w:rPr>
          <w:rFonts w:ascii="Arial Narrow" w:hAnsi="Arial Narrow"/>
          <w:b/>
          <w:iCs/>
          <w:sz w:val="20"/>
        </w:rPr>
        <w:t xml:space="preserve"> (FAS)</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59"/>
        <w:gridCol w:w="1560"/>
        <w:gridCol w:w="1417"/>
        <w:gridCol w:w="1418"/>
        <w:gridCol w:w="992"/>
        <w:gridCol w:w="1417"/>
      </w:tblGrid>
      <w:tr w:rsidR="00320E23" w:rsidRPr="00783938" w:rsidTr="00347C7A">
        <w:tc>
          <w:tcPr>
            <w:tcW w:w="1559" w:type="dxa"/>
            <w:vAlign w:val="center"/>
          </w:tcPr>
          <w:p w:rsidR="00320E23" w:rsidRPr="00783938" w:rsidRDefault="00320E23" w:rsidP="008F4262">
            <w:pPr>
              <w:widowControl/>
              <w:rPr>
                <w:rFonts w:ascii="Arial Narrow" w:hAnsi="Arial Narrow"/>
                <w:iCs/>
                <w:sz w:val="20"/>
              </w:rPr>
            </w:pPr>
            <w:r w:rsidRPr="00783938">
              <w:rPr>
                <w:rFonts w:ascii="Arial Narrow" w:hAnsi="Arial Narrow"/>
                <w:b/>
                <w:iCs/>
                <w:sz w:val="20"/>
              </w:rPr>
              <w:t>Trial</w:t>
            </w:r>
          </w:p>
        </w:tc>
        <w:tc>
          <w:tcPr>
            <w:tcW w:w="1560" w:type="dxa"/>
            <w:vAlign w:val="center"/>
          </w:tcPr>
          <w:p w:rsidR="00320E23" w:rsidRPr="00783938" w:rsidRDefault="00320E23" w:rsidP="008F4262">
            <w:pPr>
              <w:widowControl/>
              <w:ind w:right="-108"/>
              <w:jc w:val="center"/>
              <w:rPr>
                <w:rFonts w:ascii="Arial Narrow" w:hAnsi="Arial Narrow"/>
                <w:b/>
                <w:iCs/>
                <w:sz w:val="20"/>
              </w:rPr>
            </w:pPr>
            <w:proofErr w:type="spellStart"/>
            <w:r w:rsidRPr="00783938">
              <w:rPr>
                <w:rFonts w:ascii="Arial Narrow" w:hAnsi="Arial Narrow"/>
                <w:b/>
                <w:iCs/>
                <w:sz w:val="20"/>
              </w:rPr>
              <w:t>Ocriplasmin</w:t>
            </w:r>
            <w:proofErr w:type="spellEnd"/>
          </w:p>
          <w:p w:rsidR="00320E23" w:rsidRPr="00783938" w:rsidRDefault="00320E23" w:rsidP="008F4262">
            <w:pPr>
              <w:widowControl/>
              <w:ind w:right="-108"/>
              <w:jc w:val="center"/>
              <w:rPr>
                <w:rFonts w:ascii="Arial Narrow" w:hAnsi="Arial Narrow"/>
                <w:iCs/>
                <w:sz w:val="20"/>
              </w:rPr>
            </w:pPr>
            <w:proofErr w:type="gramStart"/>
            <w:r w:rsidRPr="00783938">
              <w:rPr>
                <w:rFonts w:ascii="Arial Narrow" w:hAnsi="Arial Narrow"/>
                <w:b/>
                <w:iCs/>
                <w:sz w:val="20"/>
              </w:rPr>
              <w:t>n/N</w:t>
            </w:r>
            <w:proofErr w:type="gramEnd"/>
            <w:r w:rsidRPr="00783938">
              <w:rPr>
                <w:rFonts w:ascii="Arial Narrow" w:hAnsi="Arial Narrow"/>
                <w:b/>
                <w:iCs/>
                <w:sz w:val="20"/>
              </w:rPr>
              <w:t xml:space="preserve"> (%)</w:t>
            </w:r>
          </w:p>
        </w:tc>
        <w:tc>
          <w:tcPr>
            <w:tcW w:w="1417" w:type="dxa"/>
            <w:vAlign w:val="center"/>
          </w:tcPr>
          <w:p w:rsidR="00320E23" w:rsidRPr="00783938" w:rsidRDefault="00320E23" w:rsidP="008F4262">
            <w:pPr>
              <w:widowControl/>
              <w:jc w:val="center"/>
              <w:rPr>
                <w:rFonts w:ascii="Arial Narrow" w:hAnsi="Arial Narrow"/>
                <w:b/>
                <w:iCs/>
                <w:sz w:val="20"/>
              </w:rPr>
            </w:pPr>
            <w:r w:rsidRPr="00783938">
              <w:rPr>
                <w:rFonts w:ascii="Arial Narrow" w:hAnsi="Arial Narrow"/>
                <w:b/>
                <w:iCs/>
                <w:sz w:val="20"/>
              </w:rPr>
              <w:t>Control</w:t>
            </w:r>
          </w:p>
          <w:p w:rsidR="00320E23" w:rsidRPr="00783938" w:rsidRDefault="00320E23" w:rsidP="008F4262">
            <w:pPr>
              <w:widowControl/>
              <w:jc w:val="center"/>
              <w:rPr>
                <w:rFonts w:ascii="Arial Narrow" w:hAnsi="Arial Narrow"/>
                <w:iCs/>
                <w:sz w:val="20"/>
              </w:rPr>
            </w:pPr>
            <w:proofErr w:type="gramStart"/>
            <w:r w:rsidRPr="00783938">
              <w:rPr>
                <w:rFonts w:ascii="Arial Narrow" w:hAnsi="Arial Narrow"/>
                <w:b/>
                <w:iCs/>
                <w:sz w:val="20"/>
              </w:rPr>
              <w:t>n/N</w:t>
            </w:r>
            <w:proofErr w:type="gramEnd"/>
            <w:r w:rsidRPr="00783938">
              <w:rPr>
                <w:rFonts w:ascii="Arial Narrow" w:hAnsi="Arial Narrow"/>
                <w:b/>
                <w:iCs/>
                <w:sz w:val="20"/>
              </w:rPr>
              <w:t xml:space="preserve"> (%)</w:t>
            </w:r>
          </w:p>
        </w:tc>
        <w:tc>
          <w:tcPr>
            <w:tcW w:w="1418" w:type="dxa"/>
            <w:vAlign w:val="center"/>
          </w:tcPr>
          <w:p w:rsidR="00320E23" w:rsidRPr="00783938" w:rsidRDefault="00320E23" w:rsidP="008F4262">
            <w:pPr>
              <w:widowControl/>
              <w:jc w:val="center"/>
              <w:rPr>
                <w:rFonts w:ascii="Arial Narrow" w:hAnsi="Arial Narrow"/>
                <w:b/>
                <w:iCs/>
                <w:sz w:val="20"/>
              </w:rPr>
            </w:pPr>
            <w:r w:rsidRPr="00783938">
              <w:rPr>
                <w:rFonts w:ascii="Arial Narrow" w:hAnsi="Arial Narrow"/>
                <w:b/>
                <w:iCs/>
                <w:sz w:val="20"/>
              </w:rPr>
              <w:t xml:space="preserve">RD </w:t>
            </w:r>
          </w:p>
          <w:p w:rsidR="00320E23" w:rsidRPr="00783938" w:rsidRDefault="00320E23" w:rsidP="008F4262">
            <w:pPr>
              <w:widowControl/>
              <w:jc w:val="center"/>
              <w:rPr>
                <w:rFonts w:ascii="Arial Narrow" w:hAnsi="Arial Narrow"/>
                <w:b/>
                <w:iCs/>
                <w:sz w:val="20"/>
              </w:rPr>
            </w:pPr>
            <w:r w:rsidRPr="00783938">
              <w:rPr>
                <w:rFonts w:ascii="Arial Narrow" w:hAnsi="Arial Narrow"/>
                <w:b/>
                <w:iCs/>
                <w:sz w:val="20"/>
              </w:rPr>
              <w:t>(95% CI)</w:t>
            </w:r>
          </w:p>
        </w:tc>
        <w:tc>
          <w:tcPr>
            <w:tcW w:w="992" w:type="dxa"/>
            <w:vAlign w:val="center"/>
          </w:tcPr>
          <w:p w:rsidR="00320E23" w:rsidRPr="00783938" w:rsidRDefault="00320E23" w:rsidP="008F4262">
            <w:pPr>
              <w:widowControl/>
              <w:jc w:val="center"/>
              <w:rPr>
                <w:rFonts w:ascii="Arial Narrow" w:hAnsi="Arial Narrow"/>
                <w:b/>
                <w:iCs/>
                <w:sz w:val="20"/>
              </w:rPr>
            </w:pPr>
            <w:r w:rsidRPr="00783938">
              <w:rPr>
                <w:rFonts w:ascii="Arial Narrow" w:hAnsi="Arial Narrow"/>
                <w:b/>
                <w:iCs/>
                <w:sz w:val="20"/>
              </w:rPr>
              <w:t>NNT</w:t>
            </w:r>
          </w:p>
          <w:p w:rsidR="00320E23" w:rsidRPr="00783938" w:rsidRDefault="00320E23" w:rsidP="008F4262">
            <w:pPr>
              <w:widowControl/>
              <w:jc w:val="center"/>
              <w:rPr>
                <w:rFonts w:ascii="Arial Narrow" w:hAnsi="Arial Narrow"/>
                <w:iCs/>
                <w:sz w:val="20"/>
              </w:rPr>
            </w:pPr>
            <w:r w:rsidRPr="00783938">
              <w:rPr>
                <w:rFonts w:ascii="Arial Narrow" w:hAnsi="Arial Narrow"/>
                <w:b/>
                <w:iCs/>
                <w:sz w:val="20"/>
              </w:rPr>
              <w:t>(95% CI)</w:t>
            </w:r>
          </w:p>
        </w:tc>
        <w:tc>
          <w:tcPr>
            <w:tcW w:w="1417" w:type="dxa"/>
            <w:vAlign w:val="center"/>
          </w:tcPr>
          <w:p w:rsidR="00320E23" w:rsidRPr="00783938" w:rsidRDefault="00320E23" w:rsidP="008F4262">
            <w:pPr>
              <w:widowControl/>
              <w:jc w:val="center"/>
              <w:rPr>
                <w:rFonts w:ascii="Arial Narrow" w:hAnsi="Arial Narrow"/>
                <w:b/>
                <w:iCs/>
                <w:sz w:val="20"/>
              </w:rPr>
            </w:pPr>
            <w:r w:rsidRPr="00783938">
              <w:rPr>
                <w:rFonts w:ascii="Arial Narrow" w:hAnsi="Arial Narrow"/>
                <w:b/>
                <w:iCs/>
                <w:sz w:val="20"/>
              </w:rPr>
              <w:t>RR</w:t>
            </w:r>
          </w:p>
          <w:p w:rsidR="00320E23" w:rsidRPr="00783938" w:rsidRDefault="00320E23" w:rsidP="008F4262">
            <w:pPr>
              <w:widowControl/>
              <w:jc w:val="center"/>
              <w:rPr>
                <w:rFonts w:ascii="Arial Narrow" w:hAnsi="Arial Narrow"/>
                <w:iCs/>
                <w:sz w:val="20"/>
              </w:rPr>
            </w:pPr>
            <w:r w:rsidRPr="00783938">
              <w:rPr>
                <w:rFonts w:ascii="Arial Narrow" w:hAnsi="Arial Narrow"/>
                <w:b/>
                <w:iCs/>
                <w:sz w:val="20"/>
              </w:rPr>
              <w:t>(95% CI)</w:t>
            </w:r>
          </w:p>
        </w:tc>
      </w:tr>
      <w:tr w:rsidR="00320E23" w:rsidRPr="00783938" w:rsidTr="00347C7A">
        <w:tc>
          <w:tcPr>
            <w:tcW w:w="1559" w:type="dxa"/>
          </w:tcPr>
          <w:p w:rsidR="00320E23" w:rsidRPr="00783938" w:rsidRDefault="00320E23" w:rsidP="008F4262">
            <w:pPr>
              <w:widowControl/>
              <w:rPr>
                <w:rFonts w:ascii="Arial Narrow" w:hAnsi="Arial Narrow"/>
                <w:iCs/>
                <w:sz w:val="20"/>
              </w:rPr>
            </w:pPr>
            <w:r w:rsidRPr="00783938">
              <w:rPr>
                <w:rFonts w:ascii="Arial Narrow" w:hAnsi="Arial Narrow"/>
                <w:iCs/>
                <w:sz w:val="20"/>
              </w:rPr>
              <w:t>OASIS</w:t>
            </w:r>
          </w:p>
        </w:tc>
        <w:tc>
          <w:tcPr>
            <w:tcW w:w="1560" w:type="dxa"/>
            <w:vAlign w:val="center"/>
          </w:tcPr>
          <w:p w:rsidR="00320E23"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 ''''''''''''''''''''</w:t>
            </w:r>
          </w:p>
        </w:tc>
        <w:tc>
          <w:tcPr>
            <w:tcW w:w="1417" w:type="dxa"/>
            <w:vAlign w:val="center"/>
          </w:tcPr>
          <w:p w:rsidR="00320E23"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 '''''''''''''''''</w:t>
            </w:r>
          </w:p>
        </w:tc>
        <w:tc>
          <w:tcPr>
            <w:tcW w:w="1418" w:type="dxa"/>
            <w:vAlign w:val="center"/>
          </w:tcPr>
          <w:p w:rsidR="00320E23" w:rsidRPr="0017165E" w:rsidRDefault="0017165E" w:rsidP="008F4262">
            <w:pPr>
              <w:widowControl/>
              <w:jc w:val="center"/>
              <w:rPr>
                <w:rFonts w:ascii="Arial Narrow" w:hAnsi="Arial Narrow"/>
                <w:b/>
                <w:bCs/>
                <w:iCs/>
                <w:sz w:val="20"/>
                <w:highlight w:val="black"/>
              </w:rPr>
            </w:pPr>
            <w:r>
              <w:rPr>
                <w:rFonts w:ascii="Arial Narrow" w:hAnsi="Arial Narrow"/>
                <w:b/>
                <w:bCs/>
                <w:iCs/>
                <w:noProof/>
                <w:color w:val="000000"/>
                <w:sz w:val="20"/>
                <w:highlight w:val="black"/>
              </w:rPr>
              <w:t>'''''''' '''''''''''' '''''''''''</w:t>
            </w:r>
          </w:p>
        </w:tc>
        <w:tc>
          <w:tcPr>
            <w:tcW w:w="992" w:type="dxa"/>
            <w:vAlign w:val="center"/>
          </w:tcPr>
          <w:p w:rsidR="00320E23" w:rsidRPr="0017165E" w:rsidRDefault="0017165E" w:rsidP="008F4262">
            <w:pPr>
              <w:widowControl/>
              <w:jc w:val="center"/>
              <w:rPr>
                <w:rFonts w:ascii="Arial Narrow" w:hAnsi="Arial Narrow"/>
                <w:b/>
                <w:bCs/>
                <w:iCs/>
                <w:sz w:val="20"/>
                <w:highlight w:val="black"/>
              </w:rPr>
            </w:pPr>
            <w:r>
              <w:rPr>
                <w:rFonts w:ascii="Arial Narrow" w:hAnsi="Arial Narrow"/>
                <w:b/>
                <w:bCs/>
                <w:iCs/>
                <w:noProof/>
                <w:color w:val="000000"/>
                <w:sz w:val="20"/>
                <w:highlight w:val="black"/>
              </w:rPr>
              <w:t>''' ''''' ''''''</w:t>
            </w:r>
          </w:p>
        </w:tc>
        <w:tc>
          <w:tcPr>
            <w:tcW w:w="1417" w:type="dxa"/>
            <w:vAlign w:val="center"/>
          </w:tcPr>
          <w:p w:rsidR="00320E23" w:rsidRPr="0017165E" w:rsidRDefault="0017165E" w:rsidP="008F4262">
            <w:pPr>
              <w:widowControl/>
              <w:jc w:val="center"/>
              <w:rPr>
                <w:rFonts w:ascii="Arial Narrow" w:hAnsi="Arial Narrow"/>
                <w:b/>
                <w:bCs/>
                <w:iCs/>
                <w:sz w:val="20"/>
                <w:highlight w:val="black"/>
              </w:rPr>
            </w:pPr>
            <w:r>
              <w:rPr>
                <w:rFonts w:ascii="Arial Narrow" w:hAnsi="Arial Narrow"/>
                <w:b/>
                <w:bCs/>
                <w:iCs/>
                <w:noProof/>
                <w:color w:val="000000"/>
                <w:sz w:val="20"/>
                <w:highlight w:val="black"/>
              </w:rPr>
              <w:t>'''''''' '''''''''''' '''''''''</w:t>
            </w:r>
          </w:p>
        </w:tc>
      </w:tr>
    </w:tbl>
    <w:p w:rsidR="00320E23" w:rsidRPr="00783938" w:rsidRDefault="00320E23" w:rsidP="008F4262">
      <w:pPr>
        <w:widowControl/>
        <w:ind w:left="709"/>
        <w:rPr>
          <w:iCs/>
          <w:sz w:val="20"/>
        </w:rPr>
      </w:pPr>
      <w:r w:rsidRPr="00783938">
        <w:rPr>
          <w:rFonts w:ascii="Arial Narrow" w:hAnsi="Arial Narrow"/>
          <w:iCs/>
          <w:sz w:val="18"/>
        </w:rPr>
        <w:t>Source: Table 29, p100 of the OASIS CSR</w:t>
      </w:r>
    </w:p>
    <w:p w:rsidR="00320E23" w:rsidRPr="00783938" w:rsidRDefault="00320E23" w:rsidP="008F4262">
      <w:pPr>
        <w:widowControl/>
        <w:ind w:left="709"/>
        <w:rPr>
          <w:iCs/>
          <w:sz w:val="20"/>
        </w:rPr>
      </w:pPr>
      <w:r w:rsidRPr="00783938">
        <w:rPr>
          <w:rFonts w:ascii="Arial Narrow" w:hAnsi="Arial Narrow"/>
          <w:iCs/>
          <w:sz w:val="18"/>
        </w:rPr>
        <w:t>NNT were calculated during the evaluation by (1/RD)</w:t>
      </w:r>
    </w:p>
    <w:p w:rsidR="00320E23" w:rsidRPr="00DC185F" w:rsidRDefault="00320E23" w:rsidP="008F4262">
      <w:pPr>
        <w:widowControl/>
        <w:rPr>
          <w:szCs w:val="22"/>
        </w:rPr>
      </w:pPr>
    </w:p>
    <w:p w:rsidR="0051376E" w:rsidRPr="00E23349" w:rsidRDefault="00CF4878" w:rsidP="008F4262">
      <w:pPr>
        <w:pStyle w:val="ListParagraph"/>
        <w:widowControl/>
        <w:numPr>
          <w:ilvl w:val="1"/>
          <w:numId w:val="1"/>
        </w:numPr>
        <w:rPr>
          <w:szCs w:val="22"/>
        </w:rPr>
      </w:pPr>
      <w:r w:rsidRPr="00E23349">
        <w:rPr>
          <w:szCs w:val="22"/>
        </w:rPr>
        <w:t xml:space="preserve">The ESC noted these patient-relevant outcomes, but </w:t>
      </w:r>
      <w:r w:rsidR="00B35B55" w:rsidRPr="00E23349">
        <w:rPr>
          <w:szCs w:val="22"/>
        </w:rPr>
        <w:t>also noted</w:t>
      </w:r>
      <w:r w:rsidRPr="00E23349">
        <w:rPr>
          <w:szCs w:val="22"/>
        </w:rPr>
        <w:t xml:space="preserve"> that </w:t>
      </w:r>
      <w:r w:rsidR="00C05C81" w:rsidRPr="00E23349">
        <w:t>there were issues with th</w:t>
      </w:r>
      <w:r w:rsidR="000A4FA3" w:rsidRPr="00E23349">
        <w:t>e</w:t>
      </w:r>
      <w:r w:rsidR="00F4570B" w:rsidRPr="00E23349">
        <w:t>se</w:t>
      </w:r>
      <w:r w:rsidR="00C05C81" w:rsidRPr="00E23349">
        <w:t xml:space="preserve"> </w:t>
      </w:r>
      <w:r w:rsidR="00F4570B" w:rsidRPr="00E23349">
        <w:t>results</w:t>
      </w:r>
      <w:r w:rsidR="00C05C81" w:rsidRPr="00E23349">
        <w:t xml:space="preserve">, for example, </w:t>
      </w:r>
      <w:r w:rsidR="00DF2A44" w:rsidRPr="00E23349">
        <w:t>the</w:t>
      </w:r>
      <w:r w:rsidR="00072F3F" w:rsidRPr="00E23349">
        <w:t xml:space="preserve"> trials did not consistently adjust</w:t>
      </w:r>
      <w:r w:rsidR="00DF2A44" w:rsidRPr="00E23349">
        <w:t xml:space="preserve"> for </w:t>
      </w:r>
      <w:r w:rsidR="00C05C81" w:rsidRPr="00E23349">
        <w:t xml:space="preserve">differences in the baseline </w:t>
      </w:r>
      <w:r w:rsidR="00DF2A44" w:rsidRPr="00E23349">
        <w:t xml:space="preserve">VFQ-25 </w:t>
      </w:r>
      <w:r w:rsidR="00072F3F" w:rsidRPr="00E23349">
        <w:t xml:space="preserve">scores </w:t>
      </w:r>
      <w:r w:rsidR="00DF2A44" w:rsidRPr="00E23349">
        <w:t>across treatment arms</w:t>
      </w:r>
      <w:r w:rsidR="00C05C81" w:rsidRPr="00E23349">
        <w:t>, and the</w:t>
      </w:r>
      <w:r w:rsidR="000A4FA3" w:rsidRPr="00E23349">
        <w:t xml:space="preserve"> </w:t>
      </w:r>
      <w:r w:rsidR="00072F3F" w:rsidRPr="00E23349">
        <w:t xml:space="preserve">dichotomised results in Table 7 </w:t>
      </w:r>
      <w:r w:rsidR="000A4FA3" w:rsidRPr="00E23349">
        <w:t xml:space="preserve">need to be considered in the context of there being </w:t>
      </w:r>
      <w:r w:rsidR="00C05C81" w:rsidRPr="00E23349">
        <w:t xml:space="preserve">no clinically important differences across the mean changes </w:t>
      </w:r>
      <w:r w:rsidR="000A4FA3" w:rsidRPr="00E23349">
        <w:t xml:space="preserve">from baseline </w:t>
      </w:r>
      <w:r w:rsidR="00C05C81" w:rsidRPr="00E23349">
        <w:t xml:space="preserve">in VFQ-25 (the </w:t>
      </w:r>
      <w:proofErr w:type="spellStart"/>
      <w:r w:rsidR="00C05C81" w:rsidRPr="00E23349">
        <w:t>prespecified</w:t>
      </w:r>
      <w:proofErr w:type="spellEnd"/>
      <w:r w:rsidR="00C05C81" w:rsidRPr="00E23349">
        <w:t xml:space="preserve"> metric of reporting the VFQ-25 for the purposes of determining the minimal clinically important difference</w:t>
      </w:r>
      <w:r w:rsidR="00F4570B" w:rsidRPr="00E23349">
        <w:t>)</w:t>
      </w:r>
      <w:r w:rsidR="000A4FA3" w:rsidRPr="00E23349">
        <w:rPr>
          <w:szCs w:val="22"/>
        </w:rPr>
        <w:t>.</w:t>
      </w:r>
    </w:p>
    <w:p w:rsidR="0051376E" w:rsidRPr="00F331B0" w:rsidRDefault="0051376E" w:rsidP="008F4262">
      <w:pPr>
        <w:widowControl/>
        <w:rPr>
          <w:szCs w:val="22"/>
        </w:rPr>
      </w:pPr>
    </w:p>
    <w:p w:rsidR="00B60939" w:rsidRPr="00014FE0" w:rsidRDefault="00B60939" w:rsidP="008F4262">
      <w:pPr>
        <w:pStyle w:val="Heading2"/>
        <w:keepNext/>
        <w:widowControl/>
        <w:rPr>
          <w:i/>
          <w:szCs w:val="22"/>
        </w:rPr>
      </w:pPr>
      <w:bookmarkStart w:id="11" w:name="_Toc440964228"/>
      <w:r w:rsidRPr="00014FE0">
        <w:rPr>
          <w:i/>
          <w:szCs w:val="22"/>
        </w:rPr>
        <w:t>Comparative harms</w:t>
      </w:r>
      <w:bookmarkEnd w:id="11"/>
    </w:p>
    <w:p w:rsidR="00B60939" w:rsidRPr="001D335C" w:rsidRDefault="00B60939" w:rsidP="008F4262">
      <w:pPr>
        <w:keepNext/>
        <w:widowControl/>
        <w:ind w:left="720" w:hanging="720"/>
        <w:rPr>
          <w:szCs w:val="22"/>
        </w:rPr>
      </w:pPr>
    </w:p>
    <w:p w:rsidR="00B60939" w:rsidRPr="00517553" w:rsidRDefault="009306E6" w:rsidP="008F4262">
      <w:pPr>
        <w:pStyle w:val="ListParagraph"/>
        <w:widowControl/>
        <w:numPr>
          <w:ilvl w:val="1"/>
          <w:numId w:val="1"/>
        </w:numPr>
        <w:rPr>
          <w:szCs w:val="22"/>
        </w:rPr>
      </w:pPr>
      <w:r w:rsidRPr="00547D17">
        <w:rPr>
          <w:szCs w:val="22"/>
        </w:rPr>
        <w:t xml:space="preserve">A summary of adverse events reported in the trials are </w:t>
      </w:r>
      <w:r w:rsidR="00116A55" w:rsidRPr="00547D17">
        <w:rPr>
          <w:szCs w:val="22"/>
        </w:rPr>
        <w:t xml:space="preserve">provided in Table </w:t>
      </w:r>
      <w:r w:rsidR="00473520">
        <w:rPr>
          <w:szCs w:val="22"/>
        </w:rPr>
        <w:t>8</w:t>
      </w:r>
      <w:r w:rsidRPr="00547D17">
        <w:rPr>
          <w:szCs w:val="22"/>
        </w:rPr>
        <w:t>.</w:t>
      </w:r>
      <w:r w:rsidR="00A03A16" w:rsidRPr="00547D17">
        <w:rPr>
          <w:szCs w:val="22"/>
        </w:rPr>
        <w:t xml:space="preserve">  </w:t>
      </w:r>
      <w:r w:rsidR="00A03A16" w:rsidRPr="00547D17">
        <w:rPr>
          <w:iCs/>
          <w:szCs w:val="22"/>
        </w:rPr>
        <w:t>All drug-related</w:t>
      </w:r>
      <w:r w:rsidR="00A03A16" w:rsidRPr="00517553">
        <w:rPr>
          <w:iCs/>
        </w:rPr>
        <w:t xml:space="preserve"> adverse events were ocular in nature with the most common being vitreous </w:t>
      </w:r>
      <w:r w:rsidR="00A03A16" w:rsidRPr="00517553">
        <w:rPr>
          <w:iCs/>
        </w:rPr>
        <w:lastRenderedPageBreak/>
        <w:t xml:space="preserve">floaters, eye pain, </w:t>
      </w:r>
      <w:proofErr w:type="spellStart"/>
      <w:r w:rsidR="00A03A16" w:rsidRPr="00517553">
        <w:rPr>
          <w:iCs/>
        </w:rPr>
        <w:t>photopsia</w:t>
      </w:r>
      <w:proofErr w:type="spellEnd"/>
      <w:r w:rsidR="00A03A16" w:rsidRPr="00517553">
        <w:rPr>
          <w:iCs/>
        </w:rPr>
        <w:t xml:space="preserve">, blurred vision/impairment and conjunctival haemorrhage post-injection.  The majority of adverse events occurred within the first week post-injection, were non-serious and mild in intensity and resolved within 2-3 weeks.  In OASIS, </w:t>
      </w:r>
      <w:proofErr w:type="spellStart"/>
      <w:r w:rsidR="00A03A16" w:rsidRPr="00517553">
        <w:rPr>
          <w:iCs/>
        </w:rPr>
        <w:t>chromatopsia</w:t>
      </w:r>
      <w:proofErr w:type="spellEnd"/>
      <w:r w:rsidR="00A03A16" w:rsidRPr="00517553">
        <w:rPr>
          <w:iCs/>
        </w:rPr>
        <w:t xml:space="preserve"> and abnormal colour vision tests were also commonly reported by patients randomised to </w:t>
      </w:r>
      <w:proofErr w:type="spellStart"/>
      <w:r w:rsidR="00A03A16" w:rsidRPr="00517553">
        <w:rPr>
          <w:iCs/>
        </w:rPr>
        <w:t>ocriplasmin</w:t>
      </w:r>
      <w:proofErr w:type="spellEnd"/>
      <w:r w:rsidR="00A03A16" w:rsidRPr="00517553">
        <w:rPr>
          <w:iCs/>
        </w:rPr>
        <w:t>.</w:t>
      </w:r>
    </w:p>
    <w:p w:rsidR="009306E6" w:rsidRPr="00DC185F" w:rsidRDefault="009306E6" w:rsidP="008F4262">
      <w:pPr>
        <w:widowControl/>
      </w:pPr>
    </w:p>
    <w:p w:rsidR="009306E6" w:rsidRPr="00517553" w:rsidRDefault="009306E6" w:rsidP="008F4262">
      <w:pPr>
        <w:widowControl/>
        <w:ind w:left="709"/>
        <w:rPr>
          <w:rFonts w:ascii="Arial Narrow" w:hAnsi="Arial Narrow"/>
          <w:b/>
          <w:bCs/>
          <w:sz w:val="20"/>
        </w:rPr>
      </w:pPr>
      <w:r w:rsidRPr="00517553">
        <w:rPr>
          <w:rFonts w:ascii="Arial Narrow" w:hAnsi="Arial Narrow"/>
          <w:b/>
          <w:bCs/>
          <w:sz w:val="20"/>
        </w:rPr>
        <w:t>Table</w:t>
      </w:r>
      <w:r w:rsidR="00116A55" w:rsidRPr="00517553">
        <w:rPr>
          <w:rFonts w:ascii="Arial Narrow" w:hAnsi="Arial Narrow"/>
          <w:b/>
          <w:bCs/>
          <w:sz w:val="20"/>
        </w:rPr>
        <w:t xml:space="preserve"> </w:t>
      </w:r>
      <w:r w:rsidR="00473520">
        <w:rPr>
          <w:rFonts w:ascii="Arial Narrow" w:hAnsi="Arial Narrow"/>
          <w:b/>
          <w:bCs/>
          <w:sz w:val="20"/>
        </w:rPr>
        <w:t>8</w:t>
      </w:r>
      <w:r w:rsidRPr="00517553">
        <w:rPr>
          <w:rFonts w:ascii="Arial Narrow" w:hAnsi="Arial Narrow"/>
          <w:b/>
          <w:bCs/>
          <w:sz w:val="20"/>
        </w:rPr>
        <w:t>: Summary of adverse events in the randomised trials (SAS)</w:t>
      </w:r>
    </w:p>
    <w:tbl>
      <w:tblPr>
        <w:tblStyle w:val="TableGrid"/>
        <w:tblW w:w="0" w:type="auto"/>
        <w:tblInd w:w="737" w:type="dxa"/>
        <w:tblLayout w:type="fixed"/>
        <w:tblCellMar>
          <w:left w:w="28" w:type="dxa"/>
          <w:right w:w="28" w:type="dxa"/>
        </w:tblCellMar>
        <w:tblLook w:val="04A0" w:firstRow="1" w:lastRow="0" w:firstColumn="1" w:lastColumn="0" w:noHBand="0" w:noVBand="1"/>
        <w:tblCaption w:val="Table 8: Summary of adverse events in the randomised trials (SAS)"/>
      </w:tblPr>
      <w:tblGrid>
        <w:gridCol w:w="1418"/>
        <w:gridCol w:w="1143"/>
        <w:gridCol w:w="1144"/>
        <w:gridCol w:w="1143"/>
        <w:gridCol w:w="1144"/>
        <w:gridCol w:w="1143"/>
        <w:gridCol w:w="1144"/>
      </w:tblGrid>
      <w:tr w:rsidR="009306E6" w:rsidRPr="00517553" w:rsidTr="007E32FA">
        <w:trPr>
          <w:tblHeader/>
        </w:trPr>
        <w:tc>
          <w:tcPr>
            <w:tcW w:w="1418" w:type="dxa"/>
            <w:vMerge w:val="restart"/>
          </w:tcPr>
          <w:p w:rsidR="009306E6" w:rsidRPr="00517553" w:rsidRDefault="009306E6" w:rsidP="008F4262">
            <w:pPr>
              <w:widowControl/>
              <w:rPr>
                <w:rFonts w:ascii="Arial Narrow" w:hAnsi="Arial Narrow"/>
                <w:sz w:val="20"/>
              </w:rPr>
            </w:pPr>
          </w:p>
        </w:tc>
        <w:tc>
          <w:tcPr>
            <w:tcW w:w="2287" w:type="dxa"/>
            <w:gridSpan w:val="2"/>
            <w:vAlign w:val="center"/>
          </w:tcPr>
          <w:p w:rsidR="009306E6" w:rsidRPr="00517553" w:rsidRDefault="009306E6" w:rsidP="008F4262">
            <w:pPr>
              <w:widowControl/>
              <w:jc w:val="center"/>
              <w:rPr>
                <w:rFonts w:ascii="Arial Narrow" w:hAnsi="Arial Narrow"/>
                <w:sz w:val="20"/>
              </w:rPr>
            </w:pPr>
            <w:r w:rsidRPr="00517553">
              <w:rPr>
                <w:rFonts w:ascii="Arial Narrow" w:hAnsi="Arial Narrow"/>
                <w:b/>
                <w:bCs/>
                <w:sz w:val="20"/>
              </w:rPr>
              <w:t>TG-MV-006</w:t>
            </w:r>
          </w:p>
        </w:tc>
        <w:tc>
          <w:tcPr>
            <w:tcW w:w="2287" w:type="dxa"/>
            <w:gridSpan w:val="2"/>
            <w:vAlign w:val="center"/>
          </w:tcPr>
          <w:p w:rsidR="009306E6" w:rsidRPr="00517553" w:rsidRDefault="009306E6" w:rsidP="008F4262">
            <w:pPr>
              <w:widowControl/>
              <w:jc w:val="center"/>
              <w:rPr>
                <w:rFonts w:ascii="Arial Narrow" w:hAnsi="Arial Narrow"/>
                <w:sz w:val="20"/>
              </w:rPr>
            </w:pPr>
            <w:r w:rsidRPr="00517553">
              <w:rPr>
                <w:rFonts w:ascii="Arial Narrow" w:hAnsi="Arial Narrow"/>
                <w:b/>
                <w:bCs/>
                <w:sz w:val="20"/>
              </w:rPr>
              <w:t>TG-MV-007</w:t>
            </w:r>
          </w:p>
        </w:tc>
        <w:tc>
          <w:tcPr>
            <w:tcW w:w="2287" w:type="dxa"/>
            <w:gridSpan w:val="2"/>
            <w:vAlign w:val="center"/>
          </w:tcPr>
          <w:p w:rsidR="009306E6" w:rsidRPr="00517553" w:rsidRDefault="009306E6" w:rsidP="008F4262">
            <w:pPr>
              <w:widowControl/>
              <w:jc w:val="center"/>
              <w:rPr>
                <w:rFonts w:ascii="Arial Narrow" w:hAnsi="Arial Narrow"/>
                <w:b/>
                <w:bCs/>
                <w:sz w:val="20"/>
              </w:rPr>
            </w:pPr>
            <w:r w:rsidRPr="00517553">
              <w:rPr>
                <w:rFonts w:ascii="Arial Narrow" w:hAnsi="Arial Narrow"/>
                <w:b/>
                <w:bCs/>
                <w:sz w:val="20"/>
              </w:rPr>
              <w:t>OASIS</w:t>
            </w:r>
          </w:p>
        </w:tc>
      </w:tr>
      <w:tr w:rsidR="009306E6" w:rsidRPr="00517553" w:rsidTr="007E32FA">
        <w:trPr>
          <w:tblHeader/>
        </w:trPr>
        <w:tc>
          <w:tcPr>
            <w:tcW w:w="1418" w:type="dxa"/>
            <w:vMerge/>
          </w:tcPr>
          <w:p w:rsidR="009306E6" w:rsidRPr="00517553" w:rsidRDefault="009306E6" w:rsidP="008F4262">
            <w:pPr>
              <w:widowControl/>
              <w:rPr>
                <w:rFonts w:ascii="Arial Narrow" w:hAnsi="Arial Narrow"/>
                <w:sz w:val="20"/>
              </w:rPr>
            </w:pPr>
          </w:p>
        </w:tc>
        <w:tc>
          <w:tcPr>
            <w:tcW w:w="1143" w:type="dxa"/>
            <w:vAlign w:val="center"/>
          </w:tcPr>
          <w:p w:rsidR="009306E6" w:rsidRPr="00517553" w:rsidRDefault="009306E6" w:rsidP="008F4262">
            <w:pPr>
              <w:widowControl/>
              <w:jc w:val="center"/>
              <w:rPr>
                <w:rFonts w:ascii="Arial Narrow" w:hAnsi="Arial Narrow"/>
                <w:b/>
                <w:bCs/>
                <w:sz w:val="20"/>
              </w:rPr>
            </w:pPr>
            <w:proofErr w:type="spellStart"/>
            <w:r w:rsidRPr="00517553">
              <w:rPr>
                <w:rFonts w:ascii="Arial Narrow" w:hAnsi="Arial Narrow"/>
                <w:b/>
                <w:bCs/>
                <w:sz w:val="20"/>
              </w:rPr>
              <w:t>Ocriplasmin</w:t>
            </w:r>
            <w:proofErr w:type="spellEnd"/>
          </w:p>
          <w:p w:rsidR="009306E6" w:rsidRPr="00517553" w:rsidRDefault="009306E6" w:rsidP="008F4262">
            <w:pPr>
              <w:widowControl/>
              <w:jc w:val="center"/>
              <w:rPr>
                <w:rFonts w:ascii="Arial Narrow" w:hAnsi="Arial Narrow"/>
                <w:sz w:val="20"/>
              </w:rPr>
            </w:pPr>
            <w:r w:rsidRPr="00517553">
              <w:rPr>
                <w:rFonts w:ascii="Arial Narrow" w:hAnsi="Arial Narrow"/>
                <w:b/>
                <w:bCs/>
                <w:sz w:val="20"/>
              </w:rPr>
              <w:t>n/N (N=220)</w:t>
            </w:r>
          </w:p>
        </w:tc>
        <w:tc>
          <w:tcPr>
            <w:tcW w:w="1144" w:type="dxa"/>
            <w:vAlign w:val="center"/>
          </w:tcPr>
          <w:p w:rsidR="009306E6" w:rsidRPr="00517553" w:rsidRDefault="009306E6" w:rsidP="008F4262">
            <w:pPr>
              <w:widowControl/>
              <w:jc w:val="center"/>
              <w:rPr>
                <w:rFonts w:ascii="Arial Narrow" w:hAnsi="Arial Narrow"/>
                <w:b/>
                <w:bCs/>
                <w:sz w:val="20"/>
              </w:rPr>
            </w:pPr>
            <w:r w:rsidRPr="00517553">
              <w:rPr>
                <w:rFonts w:ascii="Arial Narrow" w:hAnsi="Arial Narrow"/>
                <w:b/>
                <w:bCs/>
                <w:sz w:val="20"/>
              </w:rPr>
              <w:t>Placebo</w:t>
            </w:r>
          </w:p>
          <w:p w:rsidR="009306E6" w:rsidRPr="00517553" w:rsidRDefault="009306E6" w:rsidP="008F4262">
            <w:pPr>
              <w:widowControl/>
              <w:jc w:val="center"/>
              <w:rPr>
                <w:rFonts w:ascii="Arial Narrow" w:hAnsi="Arial Narrow"/>
                <w:sz w:val="20"/>
              </w:rPr>
            </w:pPr>
            <w:r w:rsidRPr="00517553">
              <w:rPr>
                <w:rFonts w:ascii="Arial Narrow" w:hAnsi="Arial Narrow"/>
                <w:b/>
                <w:bCs/>
                <w:sz w:val="20"/>
              </w:rPr>
              <w:t>n/N (N=106)</w:t>
            </w:r>
          </w:p>
        </w:tc>
        <w:tc>
          <w:tcPr>
            <w:tcW w:w="1143" w:type="dxa"/>
            <w:vAlign w:val="center"/>
          </w:tcPr>
          <w:p w:rsidR="009306E6" w:rsidRPr="00517553" w:rsidRDefault="009306E6" w:rsidP="008F4262">
            <w:pPr>
              <w:widowControl/>
              <w:jc w:val="center"/>
              <w:rPr>
                <w:rFonts w:ascii="Arial Narrow" w:hAnsi="Arial Narrow"/>
                <w:b/>
                <w:bCs/>
                <w:sz w:val="20"/>
              </w:rPr>
            </w:pPr>
            <w:proofErr w:type="spellStart"/>
            <w:r w:rsidRPr="00517553">
              <w:rPr>
                <w:rFonts w:ascii="Arial Narrow" w:hAnsi="Arial Narrow"/>
                <w:b/>
                <w:bCs/>
                <w:sz w:val="20"/>
              </w:rPr>
              <w:t>Ocriplasmin</w:t>
            </w:r>
            <w:proofErr w:type="spellEnd"/>
          </w:p>
          <w:p w:rsidR="009306E6" w:rsidRPr="00517553" w:rsidRDefault="009306E6" w:rsidP="008F4262">
            <w:pPr>
              <w:widowControl/>
              <w:jc w:val="center"/>
              <w:rPr>
                <w:rFonts w:ascii="Arial Narrow" w:hAnsi="Arial Narrow"/>
                <w:sz w:val="20"/>
              </w:rPr>
            </w:pPr>
            <w:r w:rsidRPr="00517553">
              <w:rPr>
                <w:rFonts w:ascii="Arial Narrow" w:hAnsi="Arial Narrow"/>
                <w:b/>
                <w:bCs/>
                <w:sz w:val="20"/>
              </w:rPr>
              <w:t>n/N (N=245)</w:t>
            </w:r>
          </w:p>
        </w:tc>
        <w:tc>
          <w:tcPr>
            <w:tcW w:w="1144" w:type="dxa"/>
            <w:vAlign w:val="center"/>
          </w:tcPr>
          <w:p w:rsidR="009306E6" w:rsidRPr="00517553" w:rsidRDefault="009306E6" w:rsidP="008F4262">
            <w:pPr>
              <w:widowControl/>
              <w:jc w:val="center"/>
              <w:rPr>
                <w:rFonts w:ascii="Arial Narrow" w:hAnsi="Arial Narrow"/>
                <w:b/>
                <w:bCs/>
                <w:sz w:val="20"/>
              </w:rPr>
            </w:pPr>
            <w:r w:rsidRPr="00517553">
              <w:rPr>
                <w:rFonts w:ascii="Arial Narrow" w:hAnsi="Arial Narrow"/>
                <w:b/>
                <w:bCs/>
                <w:sz w:val="20"/>
              </w:rPr>
              <w:t>Placebo</w:t>
            </w:r>
          </w:p>
          <w:p w:rsidR="009306E6" w:rsidRPr="00517553" w:rsidRDefault="009306E6" w:rsidP="008F4262">
            <w:pPr>
              <w:widowControl/>
              <w:jc w:val="center"/>
              <w:rPr>
                <w:rFonts w:ascii="Arial Narrow" w:hAnsi="Arial Narrow"/>
                <w:sz w:val="20"/>
              </w:rPr>
            </w:pPr>
            <w:r w:rsidRPr="00517553">
              <w:rPr>
                <w:rFonts w:ascii="Arial Narrow" w:hAnsi="Arial Narrow"/>
                <w:b/>
                <w:bCs/>
                <w:sz w:val="20"/>
              </w:rPr>
              <w:t>n/N (N=81)</w:t>
            </w:r>
          </w:p>
        </w:tc>
        <w:tc>
          <w:tcPr>
            <w:tcW w:w="1143" w:type="dxa"/>
            <w:vAlign w:val="center"/>
          </w:tcPr>
          <w:p w:rsidR="009306E6" w:rsidRPr="00517553" w:rsidRDefault="009306E6" w:rsidP="008F4262">
            <w:pPr>
              <w:widowControl/>
              <w:jc w:val="center"/>
              <w:rPr>
                <w:rFonts w:ascii="Arial Narrow" w:hAnsi="Arial Narrow"/>
                <w:b/>
                <w:bCs/>
                <w:sz w:val="20"/>
              </w:rPr>
            </w:pPr>
            <w:proofErr w:type="spellStart"/>
            <w:r w:rsidRPr="00517553">
              <w:rPr>
                <w:rFonts w:ascii="Arial Narrow" w:hAnsi="Arial Narrow"/>
                <w:b/>
                <w:bCs/>
                <w:sz w:val="20"/>
              </w:rPr>
              <w:t>Ocriplasmin</w:t>
            </w:r>
            <w:proofErr w:type="spellEnd"/>
          </w:p>
          <w:p w:rsidR="009306E6" w:rsidRPr="00517553" w:rsidRDefault="009306E6" w:rsidP="008F4262">
            <w:pPr>
              <w:widowControl/>
              <w:jc w:val="center"/>
              <w:rPr>
                <w:rFonts w:ascii="Arial Narrow" w:hAnsi="Arial Narrow"/>
                <w:b/>
                <w:bCs/>
                <w:sz w:val="20"/>
              </w:rPr>
            </w:pPr>
            <w:r w:rsidRPr="00517553">
              <w:rPr>
                <w:rFonts w:ascii="Arial Narrow" w:hAnsi="Arial Narrow"/>
                <w:b/>
                <w:bCs/>
                <w:sz w:val="20"/>
              </w:rPr>
              <w:t>n/N (N=146)</w:t>
            </w:r>
          </w:p>
        </w:tc>
        <w:tc>
          <w:tcPr>
            <w:tcW w:w="1144" w:type="dxa"/>
            <w:vAlign w:val="center"/>
          </w:tcPr>
          <w:p w:rsidR="009306E6" w:rsidRPr="00517553" w:rsidRDefault="009306E6" w:rsidP="008F4262">
            <w:pPr>
              <w:widowControl/>
              <w:jc w:val="center"/>
              <w:rPr>
                <w:rFonts w:ascii="Arial Narrow" w:hAnsi="Arial Narrow"/>
                <w:b/>
                <w:bCs/>
                <w:sz w:val="20"/>
              </w:rPr>
            </w:pPr>
            <w:r w:rsidRPr="00517553">
              <w:rPr>
                <w:rFonts w:ascii="Arial Narrow" w:hAnsi="Arial Narrow"/>
                <w:b/>
                <w:bCs/>
                <w:sz w:val="20"/>
              </w:rPr>
              <w:t>Sham</w:t>
            </w:r>
          </w:p>
          <w:p w:rsidR="009306E6" w:rsidRPr="00517553" w:rsidRDefault="009306E6" w:rsidP="008F4262">
            <w:pPr>
              <w:widowControl/>
              <w:jc w:val="center"/>
              <w:rPr>
                <w:rFonts w:ascii="Arial Narrow" w:hAnsi="Arial Narrow"/>
                <w:b/>
                <w:bCs/>
                <w:sz w:val="20"/>
              </w:rPr>
            </w:pPr>
            <w:r w:rsidRPr="00517553">
              <w:rPr>
                <w:rFonts w:ascii="Arial Narrow" w:hAnsi="Arial Narrow"/>
                <w:b/>
                <w:bCs/>
                <w:sz w:val="20"/>
              </w:rPr>
              <w:t>n/N (N=74)</w:t>
            </w:r>
          </w:p>
        </w:tc>
      </w:tr>
      <w:tr w:rsidR="009306E6" w:rsidRPr="00517553" w:rsidTr="009306E6">
        <w:tc>
          <w:tcPr>
            <w:tcW w:w="1418" w:type="dxa"/>
          </w:tcPr>
          <w:p w:rsidR="009306E6" w:rsidRPr="00517553" w:rsidRDefault="009306E6" w:rsidP="008F4262">
            <w:pPr>
              <w:widowControl/>
              <w:rPr>
                <w:rFonts w:ascii="Arial Narrow" w:hAnsi="Arial Narrow"/>
                <w:sz w:val="20"/>
              </w:rPr>
            </w:pPr>
            <w:r w:rsidRPr="00517553">
              <w:rPr>
                <w:rFonts w:ascii="Arial Narrow" w:hAnsi="Arial Narrow"/>
                <w:sz w:val="20"/>
              </w:rPr>
              <w:t>All AEs</w:t>
            </w:r>
          </w:p>
        </w:tc>
        <w:tc>
          <w:tcPr>
            <w:tcW w:w="1143"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182 (82.7)</w:t>
            </w:r>
          </w:p>
        </w:tc>
        <w:tc>
          <w:tcPr>
            <w:tcW w:w="1144"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77 (72.6)</w:t>
            </w:r>
          </w:p>
        </w:tc>
        <w:tc>
          <w:tcPr>
            <w:tcW w:w="1143"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176 (71.8)</w:t>
            </w:r>
          </w:p>
        </w:tc>
        <w:tc>
          <w:tcPr>
            <w:tcW w:w="1144"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52 (64.2)</w:t>
            </w:r>
          </w:p>
        </w:tc>
        <w:tc>
          <w:tcPr>
            <w:tcW w:w="1143" w:type="dxa"/>
            <w:vAlign w:val="center"/>
          </w:tcPr>
          <w:p w:rsidR="009306E6" w:rsidRPr="0017165E" w:rsidRDefault="0017165E" w:rsidP="008F4262">
            <w:pPr>
              <w:widowControl/>
              <w:jc w:val="center"/>
              <w:rPr>
                <w:rFonts w:ascii="Arial Narrow" w:hAnsi="Arial Narrow"/>
                <w:sz w:val="20"/>
                <w:highlight w:val="black"/>
              </w:rPr>
            </w:pPr>
            <w:r>
              <w:rPr>
                <w:rFonts w:ascii="Arial Narrow" w:hAnsi="Arial Narrow"/>
                <w:noProof/>
                <w:color w:val="000000"/>
                <w:sz w:val="20"/>
                <w:highlight w:val="black"/>
              </w:rPr>
              <w:t>''''''''' ''''''''''''''''</w:t>
            </w:r>
          </w:p>
        </w:tc>
        <w:tc>
          <w:tcPr>
            <w:tcW w:w="1144" w:type="dxa"/>
            <w:vAlign w:val="center"/>
          </w:tcPr>
          <w:p w:rsidR="009306E6" w:rsidRPr="0017165E" w:rsidRDefault="0017165E" w:rsidP="008F4262">
            <w:pPr>
              <w:widowControl/>
              <w:jc w:val="center"/>
              <w:rPr>
                <w:rFonts w:ascii="Arial Narrow" w:hAnsi="Arial Narrow"/>
                <w:sz w:val="20"/>
                <w:highlight w:val="black"/>
              </w:rPr>
            </w:pPr>
            <w:r>
              <w:rPr>
                <w:rFonts w:ascii="Arial Narrow" w:hAnsi="Arial Narrow"/>
                <w:noProof/>
                <w:color w:val="000000"/>
                <w:sz w:val="20"/>
                <w:highlight w:val="black"/>
              </w:rPr>
              <w:t>'''''' ''''''''''''''</w:t>
            </w:r>
          </w:p>
        </w:tc>
      </w:tr>
      <w:tr w:rsidR="009306E6" w:rsidRPr="00517553" w:rsidTr="009306E6">
        <w:tc>
          <w:tcPr>
            <w:tcW w:w="1418" w:type="dxa"/>
          </w:tcPr>
          <w:p w:rsidR="009306E6" w:rsidRPr="00517553" w:rsidRDefault="009306E6" w:rsidP="008F4262">
            <w:pPr>
              <w:widowControl/>
              <w:ind w:left="109"/>
              <w:rPr>
                <w:rFonts w:ascii="Arial Narrow" w:hAnsi="Arial Narrow"/>
                <w:sz w:val="20"/>
              </w:rPr>
            </w:pPr>
            <w:r w:rsidRPr="00517553">
              <w:rPr>
                <w:rFonts w:ascii="Arial Narrow" w:hAnsi="Arial Narrow"/>
                <w:sz w:val="20"/>
              </w:rPr>
              <w:t>Ocular</w:t>
            </w:r>
          </w:p>
        </w:tc>
        <w:tc>
          <w:tcPr>
            <w:tcW w:w="1143"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163 (74.1)</w:t>
            </w:r>
          </w:p>
        </w:tc>
        <w:tc>
          <w:tcPr>
            <w:tcW w:w="1144"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65 (61.3)</w:t>
            </w:r>
          </w:p>
        </w:tc>
        <w:tc>
          <w:tcPr>
            <w:tcW w:w="1143"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162 (66.1)</w:t>
            </w:r>
          </w:p>
        </w:tc>
        <w:tc>
          <w:tcPr>
            <w:tcW w:w="1144"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42 (51.9)</w:t>
            </w:r>
          </w:p>
        </w:tc>
        <w:tc>
          <w:tcPr>
            <w:tcW w:w="1143" w:type="dxa"/>
            <w:vAlign w:val="center"/>
          </w:tcPr>
          <w:p w:rsidR="009306E6" w:rsidRPr="0017165E" w:rsidRDefault="0017165E" w:rsidP="008F4262">
            <w:pPr>
              <w:widowControl/>
              <w:jc w:val="center"/>
              <w:rPr>
                <w:rFonts w:ascii="Arial Narrow" w:hAnsi="Arial Narrow"/>
                <w:sz w:val="20"/>
                <w:highlight w:val="black"/>
              </w:rPr>
            </w:pPr>
            <w:r>
              <w:rPr>
                <w:rFonts w:ascii="Arial Narrow" w:hAnsi="Arial Narrow"/>
                <w:noProof/>
                <w:color w:val="000000"/>
                <w:sz w:val="20"/>
                <w:highlight w:val="black"/>
              </w:rPr>
              <w:t>'''''''''' ''''''''''''''''</w:t>
            </w:r>
          </w:p>
        </w:tc>
        <w:tc>
          <w:tcPr>
            <w:tcW w:w="1144" w:type="dxa"/>
            <w:vAlign w:val="center"/>
          </w:tcPr>
          <w:p w:rsidR="009306E6" w:rsidRPr="0017165E" w:rsidRDefault="0017165E" w:rsidP="008F4262">
            <w:pPr>
              <w:widowControl/>
              <w:jc w:val="center"/>
              <w:rPr>
                <w:rFonts w:ascii="Arial Narrow" w:hAnsi="Arial Narrow"/>
                <w:sz w:val="20"/>
                <w:highlight w:val="black"/>
              </w:rPr>
            </w:pPr>
            <w:r>
              <w:rPr>
                <w:rFonts w:ascii="Arial Narrow" w:hAnsi="Arial Narrow"/>
                <w:noProof/>
                <w:color w:val="000000"/>
                <w:sz w:val="20"/>
                <w:highlight w:val="black"/>
              </w:rPr>
              <w:t>'''''' ''''''''''''''</w:t>
            </w:r>
          </w:p>
        </w:tc>
      </w:tr>
      <w:tr w:rsidR="009306E6" w:rsidRPr="00517553" w:rsidTr="009306E6">
        <w:tc>
          <w:tcPr>
            <w:tcW w:w="1418" w:type="dxa"/>
          </w:tcPr>
          <w:p w:rsidR="009306E6" w:rsidRPr="00517553" w:rsidRDefault="009306E6" w:rsidP="008F4262">
            <w:pPr>
              <w:widowControl/>
              <w:ind w:left="109"/>
              <w:rPr>
                <w:rFonts w:ascii="Arial Narrow" w:hAnsi="Arial Narrow"/>
                <w:sz w:val="20"/>
              </w:rPr>
            </w:pPr>
            <w:r w:rsidRPr="00517553">
              <w:rPr>
                <w:rFonts w:ascii="Arial Narrow" w:hAnsi="Arial Narrow"/>
                <w:sz w:val="20"/>
              </w:rPr>
              <w:t>SE</w:t>
            </w:r>
          </w:p>
        </w:tc>
        <w:tc>
          <w:tcPr>
            <w:tcW w:w="1143"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159 (72.3)</w:t>
            </w:r>
          </w:p>
        </w:tc>
        <w:tc>
          <w:tcPr>
            <w:tcW w:w="1144"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62 (58.5)</w:t>
            </w:r>
          </w:p>
        </w:tc>
        <w:tc>
          <w:tcPr>
            <w:tcW w:w="1143"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159 (64.9)</w:t>
            </w:r>
          </w:p>
        </w:tc>
        <w:tc>
          <w:tcPr>
            <w:tcW w:w="1144"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38 (46.9)</w:t>
            </w:r>
          </w:p>
        </w:tc>
        <w:tc>
          <w:tcPr>
            <w:tcW w:w="1143" w:type="dxa"/>
            <w:vAlign w:val="center"/>
          </w:tcPr>
          <w:p w:rsidR="009306E6" w:rsidRPr="0017165E" w:rsidRDefault="0017165E" w:rsidP="008F4262">
            <w:pPr>
              <w:widowControl/>
              <w:jc w:val="center"/>
              <w:rPr>
                <w:rFonts w:ascii="Arial Narrow" w:hAnsi="Arial Narrow"/>
                <w:sz w:val="20"/>
                <w:highlight w:val="black"/>
              </w:rPr>
            </w:pPr>
            <w:r>
              <w:rPr>
                <w:rFonts w:ascii="Arial Narrow" w:hAnsi="Arial Narrow"/>
                <w:noProof/>
                <w:color w:val="000000"/>
                <w:sz w:val="20"/>
                <w:highlight w:val="black"/>
              </w:rPr>
              <w:t>'''''''''' ''''''''''''''</w:t>
            </w:r>
          </w:p>
        </w:tc>
        <w:tc>
          <w:tcPr>
            <w:tcW w:w="1144" w:type="dxa"/>
            <w:vAlign w:val="center"/>
          </w:tcPr>
          <w:p w:rsidR="009306E6" w:rsidRPr="0017165E" w:rsidRDefault="0017165E" w:rsidP="008F4262">
            <w:pPr>
              <w:widowControl/>
              <w:jc w:val="center"/>
              <w:rPr>
                <w:rFonts w:ascii="Arial Narrow" w:hAnsi="Arial Narrow"/>
                <w:sz w:val="20"/>
                <w:highlight w:val="black"/>
              </w:rPr>
            </w:pPr>
            <w:r>
              <w:rPr>
                <w:rFonts w:ascii="Arial Narrow" w:hAnsi="Arial Narrow"/>
                <w:noProof/>
                <w:color w:val="000000"/>
                <w:sz w:val="20"/>
                <w:highlight w:val="black"/>
              </w:rPr>
              <w:t>''''' '''''''''''''''</w:t>
            </w:r>
          </w:p>
        </w:tc>
      </w:tr>
      <w:tr w:rsidR="009306E6" w:rsidRPr="00517553" w:rsidTr="009306E6">
        <w:tc>
          <w:tcPr>
            <w:tcW w:w="1418" w:type="dxa"/>
          </w:tcPr>
          <w:p w:rsidR="009306E6" w:rsidRPr="00517553" w:rsidRDefault="009306E6" w:rsidP="008F4262">
            <w:pPr>
              <w:widowControl/>
              <w:rPr>
                <w:rFonts w:ascii="Arial Narrow" w:hAnsi="Arial Narrow"/>
                <w:sz w:val="20"/>
              </w:rPr>
            </w:pPr>
            <w:r w:rsidRPr="00517553">
              <w:rPr>
                <w:rFonts w:ascii="Arial Narrow" w:hAnsi="Arial Narrow"/>
                <w:sz w:val="20"/>
              </w:rPr>
              <w:t>Drug-related AEs</w:t>
            </w:r>
          </w:p>
        </w:tc>
        <w:tc>
          <w:tcPr>
            <w:tcW w:w="1143"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93 (42.3)</w:t>
            </w:r>
          </w:p>
        </w:tc>
        <w:tc>
          <w:tcPr>
            <w:tcW w:w="1144"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21 (19.8)</w:t>
            </w:r>
          </w:p>
        </w:tc>
        <w:tc>
          <w:tcPr>
            <w:tcW w:w="1143"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93 (38.0)</w:t>
            </w:r>
          </w:p>
        </w:tc>
        <w:tc>
          <w:tcPr>
            <w:tcW w:w="1144"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19 (23.5)</w:t>
            </w:r>
          </w:p>
        </w:tc>
        <w:tc>
          <w:tcPr>
            <w:tcW w:w="1143" w:type="dxa"/>
            <w:vAlign w:val="center"/>
          </w:tcPr>
          <w:p w:rsidR="009306E6" w:rsidRPr="0017165E" w:rsidRDefault="0017165E" w:rsidP="008F4262">
            <w:pPr>
              <w:widowControl/>
              <w:jc w:val="center"/>
              <w:rPr>
                <w:rFonts w:ascii="Arial Narrow" w:hAnsi="Arial Narrow"/>
                <w:sz w:val="20"/>
                <w:highlight w:val="black"/>
              </w:rPr>
            </w:pPr>
            <w:r>
              <w:rPr>
                <w:rFonts w:ascii="Arial Narrow" w:hAnsi="Arial Narrow"/>
                <w:noProof/>
                <w:color w:val="000000"/>
                <w:sz w:val="20"/>
                <w:highlight w:val="black"/>
              </w:rPr>
              <w:t>'''''' '''''''''''''</w:t>
            </w:r>
          </w:p>
        </w:tc>
        <w:tc>
          <w:tcPr>
            <w:tcW w:w="1144" w:type="dxa"/>
            <w:vAlign w:val="center"/>
          </w:tcPr>
          <w:p w:rsidR="009306E6" w:rsidRPr="0017165E" w:rsidRDefault="0017165E" w:rsidP="008F4262">
            <w:pPr>
              <w:widowControl/>
              <w:jc w:val="center"/>
              <w:rPr>
                <w:rFonts w:ascii="Arial Narrow" w:hAnsi="Arial Narrow"/>
                <w:sz w:val="20"/>
                <w:highlight w:val="black"/>
              </w:rPr>
            </w:pPr>
            <w:r>
              <w:rPr>
                <w:rFonts w:ascii="Arial Narrow" w:hAnsi="Arial Narrow"/>
                <w:noProof/>
                <w:color w:val="000000"/>
                <w:sz w:val="20"/>
                <w:highlight w:val="black"/>
              </w:rPr>
              <w:t>''''''' ''''''''''''</w:t>
            </w:r>
          </w:p>
        </w:tc>
      </w:tr>
      <w:tr w:rsidR="009306E6" w:rsidRPr="00517553" w:rsidTr="009306E6">
        <w:tc>
          <w:tcPr>
            <w:tcW w:w="1418" w:type="dxa"/>
          </w:tcPr>
          <w:p w:rsidR="009306E6" w:rsidRPr="00517553" w:rsidRDefault="009306E6" w:rsidP="008F4262">
            <w:pPr>
              <w:widowControl/>
              <w:ind w:left="109"/>
              <w:rPr>
                <w:rFonts w:ascii="Arial Narrow" w:hAnsi="Arial Narrow"/>
                <w:sz w:val="20"/>
              </w:rPr>
            </w:pPr>
            <w:r w:rsidRPr="00517553">
              <w:rPr>
                <w:rFonts w:ascii="Arial Narrow" w:hAnsi="Arial Narrow"/>
                <w:sz w:val="20"/>
              </w:rPr>
              <w:t>Ocular</w:t>
            </w:r>
          </w:p>
        </w:tc>
        <w:tc>
          <w:tcPr>
            <w:tcW w:w="1143"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93 (42.3)</w:t>
            </w:r>
          </w:p>
        </w:tc>
        <w:tc>
          <w:tcPr>
            <w:tcW w:w="1144"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21 (19.8)</w:t>
            </w:r>
          </w:p>
        </w:tc>
        <w:tc>
          <w:tcPr>
            <w:tcW w:w="1143"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93 (38.0)</w:t>
            </w:r>
          </w:p>
        </w:tc>
        <w:tc>
          <w:tcPr>
            <w:tcW w:w="1144"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19 (23.5)</w:t>
            </w:r>
          </w:p>
        </w:tc>
        <w:tc>
          <w:tcPr>
            <w:tcW w:w="1143" w:type="dxa"/>
            <w:vAlign w:val="center"/>
          </w:tcPr>
          <w:p w:rsidR="009306E6" w:rsidRPr="0017165E" w:rsidRDefault="0017165E" w:rsidP="008F4262">
            <w:pPr>
              <w:widowControl/>
              <w:jc w:val="center"/>
              <w:rPr>
                <w:rFonts w:ascii="Arial Narrow" w:hAnsi="Arial Narrow"/>
                <w:sz w:val="20"/>
                <w:highlight w:val="black"/>
              </w:rPr>
            </w:pPr>
            <w:r>
              <w:rPr>
                <w:rFonts w:ascii="Arial Narrow" w:hAnsi="Arial Narrow"/>
                <w:noProof/>
                <w:color w:val="000000"/>
                <w:sz w:val="20"/>
                <w:highlight w:val="black"/>
              </w:rPr>
              <w:t>''''''' ''''''''''''''</w:t>
            </w:r>
          </w:p>
        </w:tc>
        <w:tc>
          <w:tcPr>
            <w:tcW w:w="1144" w:type="dxa"/>
            <w:vAlign w:val="center"/>
          </w:tcPr>
          <w:p w:rsidR="009306E6" w:rsidRPr="0017165E" w:rsidRDefault="0017165E" w:rsidP="008F4262">
            <w:pPr>
              <w:widowControl/>
              <w:jc w:val="center"/>
              <w:rPr>
                <w:rFonts w:ascii="Arial Narrow" w:hAnsi="Arial Narrow"/>
                <w:sz w:val="20"/>
                <w:highlight w:val="black"/>
              </w:rPr>
            </w:pPr>
            <w:r>
              <w:rPr>
                <w:rFonts w:ascii="Arial Narrow" w:hAnsi="Arial Narrow"/>
                <w:noProof/>
                <w:color w:val="000000"/>
                <w:sz w:val="20"/>
                <w:highlight w:val="black"/>
              </w:rPr>
              <w:t>'''''' '''''''''''''</w:t>
            </w:r>
          </w:p>
        </w:tc>
      </w:tr>
      <w:tr w:rsidR="009306E6" w:rsidRPr="00517553" w:rsidTr="009306E6">
        <w:tc>
          <w:tcPr>
            <w:tcW w:w="1418" w:type="dxa"/>
          </w:tcPr>
          <w:p w:rsidR="009306E6" w:rsidRPr="00517553" w:rsidRDefault="009306E6" w:rsidP="008F4262">
            <w:pPr>
              <w:widowControl/>
              <w:ind w:left="109"/>
              <w:rPr>
                <w:rFonts w:ascii="Arial Narrow" w:hAnsi="Arial Narrow"/>
                <w:sz w:val="20"/>
              </w:rPr>
            </w:pPr>
            <w:r w:rsidRPr="00517553">
              <w:rPr>
                <w:rFonts w:ascii="Arial Narrow" w:hAnsi="Arial Narrow"/>
                <w:sz w:val="20"/>
              </w:rPr>
              <w:t>SE</w:t>
            </w:r>
          </w:p>
        </w:tc>
        <w:tc>
          <w:tcPr>
            <w:tcW w:w="1143"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93 (42.3)</w:t>
            </w:r>
          </w:p>
        </w:tc>
        <w:tc>
          <w:tcPr>
            <w:tcW w:w="1144"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21 (19.8)</w:t>
            </w:r>
          </w:p>
        </w:tc>
        <w:tc>
          <w:tcPr>
            <w:tcW w:w="1143"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93 (38.0)</w:t>
            </w:r>
          </w:p>
        </w:tc>
        <w:tc>
          <w:tcPr>
            <w:tcW w:w="1144"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19 (23.5)</w:t>
            </w:r>
          </w:p>
        </w:tc>
        <w:tc>
          <w:tcPr>
            <w:tcW w:w="1143" w:type="dxa"/>
            <w:vAlign w:val="center"/>
          </w:tcPr>
          <w:p w:rsidR="009306E6" w:rsidRPr="0017165E" w:rsidRDefault="0017165E" w:rsidP="008F4262">
            <w:pPr>
              <w:widowControl/>
              <w:jc w:val="center"/>
              <w:rPr>
                <w:rFonts w:ascii="Arial Narrow" w:hAnsi="Arial Narrow"/>
                <w:sz w:val="20"/>
                <w:highlight w:val="black"/>
              </w:rPr>
            </w:pPr>
            <w:r>
              <w:rPr>
                <w:rFonts w:ascii="Arial Narrow" w:hAnsi="Arial Narrow"/>
                <w:noProof/>
                <w:color w:val="000000"/>
                <w:sz w:val="20"/>
                <w:highlight w:val="black"/>
              </w:rPr>
              <w:t>'''''' '''''''''''''''</w:t>
            </w:r>
          </w:p>
        </w:tc>
        <w:tc>
          <w:tcPr>
            <w:tcW w:w="1144" w:type="dxa"/>
            <w:vAlign w:val="center"/>
          </w:tcPr>
          <w:p w:rsidR="009306E6" w:rsidRPr="0017165E" w:rsidRDefault="0017165E" w:rsidP="008F4262">
            <w:pPr>
              <w:widowControl/>
              <w:jc w:val="center"/>
              <w:rPr>
                <w:rFonts w:ascii="Arial Narrow" w:hAnsi="Arial Narrow"/>
                <w:sz w:val="20"/>
                <w:highlight w:val="black"/>
              </w:rPr>
            </w:pPr>
            <w:r>
              <w:rPr>
                <w:rFonts w:ascii="Arial Narrow" w:hAnsi="Arial Narrow"/>
                <w:noProof/>
                <w:color w:val="000000"/>
                <w:sz w:val="20"/>
                <w:highlight w:val="black"/>
              </w:rPr>
              <w:t>'''''' '''''''''''''''</w:t>
            </w:r>
          </w:p>
        </w:tc>
      </w:tr>
      <w:tr w:rsidR="009306E6" w:rsidRPr="00517553" w:rsidTr="009306E6">
        <w:tc>
          <w:tcPr>
            <w:tcW w:w="1418" w:type="dxa"/>
          </w:tcPr>
          <w:p w:rsidR="009306E6" w:rsidRPr="00517553" w:rsidRDefault="009306E6" w:rsidP="008F4262">
            <w:pPr>
              <w:widowControl/>
              <w:rPr>
                <w:rFonts w:ascii="Arial Narrow" w:hAnsi="Arial Narrow"/>
                <w:sz w:val="20"/>
              </w:rPr>
            </w:pPr>
            <w:r w:rsidRPr="00517553">
              <w:rPr>
                <w:rFonts w:ascii="Arial Narrow" w:hAnsi="Arial Narrow"/>
                <w:sz w:val="20"/>
              </w:rPr>
              <w:t>Serious AEs</w:t>
            </w:r>
          </w:p>
        </w:tc>
        <w:tc>
          <w:tcPr>
            <w:tcW w:w="1143"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32 (14.5)</w:t>
            </w:r>
          </w:p>
        </w:tc>
        <w:tc>
          <w:tcPr>
            <w:tcW w:w="1144"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13 (12.3)</w:t>
            </w:r>
          </w:p>
        </w:tc>
        <w:tc>
          <w:tcPr>
            <w:tcW w:w="1143"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33 (13.5)</w:t>
            </w:r>
          </w:p>
        </w:tc>
        <w:tc>
          <w:tcPr>
            <w:tcW w:w="1144"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11 (13.6)</w:t>
            </w:r>
          </w:p>
        </w:tc>
        <w:tc>
          <w:tcPr>
            <w:tcW w:w="1143" w:type="dxa"/>
            <w:vAlign w:val="center"/>
          </w:tcPr>
          <w:p w:rsidR="009306E6" w:rsidRPr="0017165E" w:rsidRDefault="0017165E" w:rsidP="008F4262">
            <w:pPr>
              <w:widowControl/>
              <w:jc w:val="center"/>
              <w:rPr>
                <w:rFonts w:ascii="Arial Narrow" w:hAnsi="Arial Narrow"/>
                <w:sz w:val="20"/>
                <w:highlight w:val="black"/>
              </w:rPr>
            </w:pPr>
            <w:r>
              <w:rPr>
                <w:rFonts w:ascii="Arial Narrow" w:hAnsi="Arial Narrow"/>
                <w:noProof/>
                <w:color w:val="000000"/>
                <w:sz w:val="20"/>
                <w:highlight w:val="black"/>
              </w:rPr>
              <w:t>'''''' '''''''''''''</w:t>
            </w:r>
          </w:p>
        </w:tc>
        <w:tc>
          <w:tcPr>
            <w:tcW w:w="1144" w:type="dxa"/>
            <w:vAlign w:val="center"/>
          </w:tcPr>
          <w:p w:rsidR="009306E6" w:rsidRPr="0017165E" w:rsidRDefault="0017165E" w:rsidP="008F4262">
            <w:pPr>
              <w:widowControl/>
              <w:jc w:val="center"/>
              <w:rPr>
                <w:rFonts w:ascii="Arial Narrow" w:hAnsi="Arial Narrow"/>
                <w:sz w:val="20"/>
                <w:highlight w:val="black"/>
              </w:rPr>
            </w:pPr>
            <w:r>
              <w:rPr>
                <w:rFonts w:ascii="Arial Narrow" w:hAnsi="Arial Narrow"/>
                <w:noProof/>
                <w:color w:val="000000"/>
                <w:sz w:val="20"/>
                <w:highlight w:val="black"/>
              </w:rPr>
              <w:t>''''''' ''''''''''''</w:t>
            </w:r>
          </w:p>
        </w:tc>
      </w:tr>
      <w:tr w:rsidR="009306E6" w:rsidRPr="00517553" w:rsidTr="009306E6">
        <w:tc>
          <w:tcPr>
            <w:tcW w:w="1418" w:type="dxa"/>
          </w:tcPr>
          <w:p w:rsidR="009306E6" w:rsidRPr="00517553" w:rsidRDefault="009306E6" w:rsidP="008F4262">
            <w:pPr>
              <w:widowControl/>
              <w:ind w:left="109"/>
              <w:rPr>
                <w:rFonts w:ascii="Arial Narrow" w:hAnsi="Arial Narrow"/>
                <w:sz w:val="20"/>
              </w:rPr>
            </w:pPr>
            <w:r w:rsidRPr="00517553">
              <w:rPr>
                <w:rFonts w:ascii="Arial Narrow" w:hAnsi="Arial Narrow"/>
                <w:sz w:val="20"/>
              </w:rPr>
              <w:t>Ocular</w:t>
            </w:r>
          </w:p>
        </w:tc>
        <w:tc>
          <w:tcPr>
            <w:tcW w:w="1143"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22 (10.0)</w:t>
            </w:r>
          </w:p>
        </w:tc>
        <w:tc>
          <w:tcPr>
            <w:tcW w:w="1144"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11 (10.4)</w:t>
            </w:r>
          </w:p>
        </w:tc>
        <w:tc>
          <w:tcPr>
            <w:tcW w:w="1143"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15 (6.1)</w:t>
            </w:r>
          </w:p>
        </w:tc>
        <w:tc>
          <w:tcPr>
            <w:tcW w:w="1144"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9 (11.1)</w:t>
            </w:r>
          </w:p>
        </w:tc>
        <w:tc>
          <w:tcPr>
            <w:tcW w:w="1143" w:type="dxa"/>
            <w:vAlign w:val="center"/>
          </w:tcPr>
          <w:p w:rsidR="009306E6" w:rsidRPr="0017165E" w:rsidRDefault="0017165E" w:rsidP="008F4262">
            <w:pPr>
              <w:widowControl/>
              <w:jc w:val="center"/>
              <w:rPr>
                <w:rFonts w:ascii="Arial Narrow" w:hAnsi="Arial Narrow"/>
                <w:sz w:val="20"/>
                <w:highlight w:val="black"/>
              </w:rPr>
            </w:pPr>
            <w:r>
              <w:rPr>
                <w:rFonts w:ascii="Arial Narrow" w:hAnsi="Arial Narrow"/>
                <w:noProof/>
                <w:color w:val="000000"/>
                <w:sz w:val="20"/>
                <w:highlight w:val="black"/>
              </w:rPr>
              <w:t>''''''' ''''''''''''''</w:t>
            </w:r>
          </w:p>
        </w:tc>
        <w:tc>
          <w:tcPr>
            <w:tcW w:w="1144" w:type="dxa"/>
            <w:vAlign w:val="center"/>
          </w:tcPr>
          <w:p w:rsidR="009306E6" w:rsidRPr="0017165E" w:rsidRDefault="0017165E" w:rsidP="008F4262">
            <w:pPr>
              <w:widowControl/>
              <w:jc w:val="center"/>
              <w:rPr>
                <w:rFonts w:ascii="Arial Narrow" w:hAnsi="Arial Narrow"/>
                <w:sz w:val="20"/>
                <w:highlight w:val="black"/>
              </w:rPr>
            </w:pPr>
            <w:r>
              <w:rPr>
                <w:rFonts w:ascii="Arial Narrow" w:hAnsi="Arial Narrow"/>
                <w:noProof/>
                <w:color w:val="000000"/>
                <w:sz w:val="20"/>
                <w:highlight w:val="black"/>
              </w:rPr>
              <w:t>'''''' ''''''''''''''</w:t>
            </w:r>
          </w:p>
        </w:tc>
      </w:tr>
      <w:tr w:rsidR="009306E6" w:rsidRPr="00517553" w:rsidTr="009306E6">
        <w:tc>
          <w:tcPr>
            <w:tcW w:w="1418" w:type="dxa"/>
          </w:tcPr>
          <w:p w:rsidR="009306E6" w:rsidRPr="00517553" w:rsidRDefault="009306E6" w:rsidP="008F4262">
            <w:pPr>
              <w:widowControl/>
              <w:ind w:left="109"/>
              <w:rPr>
                <w:rFonts w:ascii="Arial Narrow" w:hAnsi="Arial Narrow"/>
                <w:sz w:val="20"/>
              </w:rPr>
            </w:pPr>
            <w:r w:rsidRPr="00517553">
              <w:rPr>
                <w:rFonts w:ascii="Arial Narrow" w:hAnsi="Arial Narrow"/>
                <w:sz w:val="20"/>
              </w:rPr>
              <w:t>SE</w:t>
            </w:r>
          </w:p>
        </w:tc>
        <w:tc>
          <w:tcPr>
            <w:tcW w:w="1143"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21 (9.5)</w:t>
            </w:r>
          </w:p>
        </w:tc>
        <w:tc>
          <w:tcPr>
            <w:tcW w:w="1144"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11 (10.4)</w:t>
            </w:r>
          </w:p>
        </w:tc>
        <w:tc>
          <w:tcPr>
            <w:tcW w:w="1143"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15 (6.1)</w:t>
            </w:r>
          </w:p>
        </w:tc>
        <w:tc>
          <w:tcPr>
            <w:tcW w:w="1144"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9 (11.1)</w:t>
            </w:r>
          </w:p>
        </w:tc>
        <w:tc>
          <w:tcPr>
            <w:tcW w:w="1143" w:type="dxa"/>
            <w:vAlign w:val="center"/>
          </w:tcPr>
          <w:p w:rsidR="009306E6" w:rsidRPr="0017165E" w:rsidRDefault="0017165E" w:rsidP="008F4262">
            <w:pPr>
              <w:widowControl/>
              <w:jc w:val="center"/>
              <w:rPr>
                <w:rFonts w:ascii="Arial Narrow" w:hAnsi="Arial Narrow"/>
                <w:sz w:val="20"/>
                <w:highlight w:val="black"/>
              </w:rPr>
            </w:pPr>
            <w:r>
              <w:rPr>
                <w:rFonts w:ascii="Arial Narrow" w:hAnsi="Arial Narrow"/>
                <w:noProof/>
                <w:color w:val="000000"/>
                <w:sz w:val="20"/>
                <w:highlight w:val="black"/>
              </w:rPr>
              <w:t>''''''' ''''''''''''''</w:t>
            </w:r>
          </w:p>
        </w:tc>
        <w:tc>
          <w:tcPr>
            <w:tcW w:w="1144" w:type="dxa"/>
            <w:vAlign w:val="center"/>
          </w:tcPr>
          <w:p w:rsidR="009306E6" w:rsidRPr="0017165E" w:rsidRDefault="0017165E" w:rsidP="008F4262">
            <w:pPr>
              <w:widowControl/>
              <w:jc w:val="center"/>
              <w:rPr>
                <w:rFonts w:ascii="Arial Narrow" w:hAnsi="Arial Narrow"/>
                <w:sz w:val="20"/>
                <w:highlight w:val="black"/>
              </w:rPr>
            </w:pPr>
            <w:r>
              <w:rPr>
                <w:rFonts w:ascii="Arial Narrow" w:hAnsi="Arial Narrow"/>
                <w:noProof/>
                <w:color w:val="000000"/>
                <w:sz w:val="20"/>
                <w:highlight w:val="black"/>
              </w:rPr>
              <w:t>''''' ''''''''''''''''</w:t>
            </w:r>
          </w:p>
        </w:tc>
      </w:tr>
      <w:tr w:rsidR="009306E6" w:rsidRPr="00517553" w:rsidTr="009306E6">
        <w:tc>
          <w:tcPr>
            <w:tcW w:w="1418" w:type="dxa"/>
          </w:tcPr>
          <w:p w:rsidR="009306E6" w:rsidRPr="00517553" w:rsidRDefault="009306E6" w:rsidP="008F4262">
            <w:pPr>
              <w:widowControl/>
              <w:rPr>
                <w:rFonts w:ascii="Arial Narrow" w:hAnsi="Arial Narrow"/>
                <w:sz w:val="20"/>
              </w:rPr>
            </w:pPr>
            <w:r w:rsidRPr="00517553">
              <w:rPr>
                <w:rFonts w:ascii="Arial Narrow" w:hAnsi="Arial Narrow"/>
                <w:sz w:val="20"/>
              </w:rPr>
              <w:t>Severe AEs</w:t>
            </w:r>
          </w:p>
        </w:tc>
        <w:tc>
          <w:tcPr>
            <w:tcW w:w="1143"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29 (13.2)</w:t>
            </w:r>
          </w:p>
        </w:tc>
        <w:tc>
          <w:tcPr>
            <w:tcW w:w="1144"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7 (6.6)</w:t>
            </w:r>
          </w:p>
        </w:tc>
        <w:tc>
          <w:tcPr>
            <w:tcW w:w="1143"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13 (5.3)</w:t>
            </w:r>
          </w:p>
        </w:tc>
        <w:tc>
          <w:tcPr>
            <w:tcW w:w="1144"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7 (8.6)</w:t>
            </w:r>
          </w:p>
        </w:tc>
        <w:tc>
          <w:tcPr>
            <w:tcW w:w="1143" w:type="dxa"/>
            <w:vAlign w:val="center"/>
          </w:tcPr>
          <w:p w:rsidR="009306E6" w:rsidRPr="0017165E" w:rsidRDefault="0017165E" w:rsidP="008F4262">
            <w:pPr>
              <w:widowControl/>
              <w:jc w:val="center"/>
              <w:rPr>
                <w:rFonts w:ascii="Arial Narrow" w:hAnsi="Arial Narrow"/>
                <w:sz w:val="20"/>
                <w:highlight w:val="black"/>
              </w:rPr>
            </w:pPr>
            <w:r>
              <w:rPr>
                <w:rFonts w:ascii="Arial Narrow" w:hAnsi="Arial Narrow"/>
                <w:noProof/>
                <w:color w:val="000000"/>
                <w:sz w:val="20"/>
                <w:highlight w:val="black"/>
              </w:rPr>
              <w:t>'''''' '''''''''''''''</w:t>
            </w:r>
          </w:p>
        </w:tc>
        <w:tc>
          <w:tcPr>
            <w:tcW w:w="1144" w:type="dxa"/>
            <w:vAlign w:val="center"/>
          </w:tcPr>
          <w:p w:rsidR="009306E6" w:rsidRPr="0017165E" w:rsidRDefault="0017165E" w:rsidP="008F4262">
            <w:pPr>
              <w:widowControl/>
              <w:jc w:val="center"/>
              <w:rPr>
                <w:rFonts w:ascii="Arial Narrow" w:hAnsi="Arial Narrow"/>
                <w:sz w:val="20"/>
                <w:highlight w:val="black"/>
              </w:rPr>
            </w:pPr>
            <w:r>
              <w:rPr>
                <w:rFonts w:ascii="Arial Narrow" w:hAnsi="Arial Narrow"/>
                <w:noProof/>
                <w:color w:val="000000"/>
                <w:sz w:val="20"/>
                <w:highlight w:val="black"/>
              </w:rPr>
              <w:t>'''''' '''''''''''''</w:t>
            </w:r>
          </w:p>
        </w:tc>
      </w:tr>
      <w:tr w:rsidR="009306E6" w:rsidRPr="00517553" w:rsidTr="009306E6">
        <w:tc>
          <w:tcPr>
            <w:tcW w:w="1418" w:type="dxa"/>
          </w:tcPr>
          <w:p w:rsidR="009306E6" w:rsidRPr="00517553" w:rsidRDefault="009306E6" w:rsidP="008F4262">
            <w:pPr>
              <w:widowControl/>
              <w:ind w:left="109"/>
              <w:rPr>
                <w:rFonts w:ascii="Arial Narrow" w:hAnsi="Arial Narrow"/>
                <w:sz w:val="20"/>
              </w:rPr>
            </w:pPr>
            <w:r w:rsidRPr="00517553">
              <w:rPr>
                <w:rFonts w:ascii="Arial Narrow" w:hAnsi="Arial Narrow"/>
                <w:sz w:val="20"/>
              </w:rPr>
              <w:t>Ocular</w:t>
            </w:r>
          </w:p>
        </w:tc>
        <w:tc>
          <w:tcPr>
            <w:tcW w:w="1143"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19 (8.6)</w:t>
            </w:r>
          </w:p>
        </w:tc>
        <w:tc>
          <w:tcPr>
            <w:tcW w:w="1144"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5 (4.7)</w:t>
            </w:r>
          </w:p>
        </w:tc>
        <w:tc>
          <w:tcPr>
            <w:tcW w:w="1143"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5 (2.0)</w:t>
            </w:r>
          </w:p>
        </w:tc>
        <w:tc>
          <w:tcPr>
            <w:tcW w:w="1144"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6 (7.4)</w:t>
            </w:r>
          </w:p>
        </w:tc>
        <w:tc>
          <w:tcPr>
            <w:tcW w:w="1143" w:type="dxa"/>
            <w:vAlign w:val="center"/>
          </w:tcPr>
          <w:p w:rsidR="009306E6" w:rsidRPr="0017165E" w:rsidRDefault="0017165E" w:rsidP="008F4262">
            <w:pPr>
              <w:widowControl/>
              <w:jc w:val="center"/>
              <w:rPr>
                <w:rFonts w:ascii="Arial Narrow" w:hAnsi="Arial Narrow"/>
                <w:sz w:val="20"/>
                <w:highlight w:val="black"/>
              </w:rPr>
            </w:pPr>
            <w:r>
              <w:rPr>
                <w:rFonts w:ascii="Arial Narrow" w:hAnsi="Arial Narrow"/>
                <w:noProof/>
                <w:color w:val="000000"/>
                <w:sz w:val="20"/>
                <w:highlight w:val="black"/>
              </w:rPr>
              <w:t>'''''' '''''''''''</w:t>
            </w:r>
          </w:p>
        </w:tc>
        <w:tc>
          <w:tcPr>
            <w:tcW w:w="1144" w:type="dxa"/>
            <w:vAlign w:val="center"/>
          </w:tcPr>
          <w:p w:rsidR="009306E6" w:rsidRPr="0017165E" w:rsidRDefault="0017165E" w:rsidP="008F4262">
            <w:pPr>
              <w:widowControl/>
              <w:jc w:val="center"/>
              <w:rPr>
                <w:rFonts w:ascii="Arial Narrow" w:hAnsi="Arial Narrow"/>
                <w:sz w:val="20"/>
                <w:highlight w:val="black"/>
              </w:rPr>
            </w:pPr>
            <w:r>
              <w:rPr>
                <w:rFonts w:ascii="Arial Narrow" w:hAnsi="Arial Narrow"/>
                <w:noProof/>
                <w:color w:val="000000"/>
                <w:sz w:val="20"/>
                <w:highlight w:val="black"/>
              </w:rPr>
              <w:t>''' '''''''''''</w:t>
            </w:r>
          </w:p>
        </w:tc>
      </w:tr>
      <w:tr w:rsidR="009306E6" w:rsidRPr="00517553" w:rsidTr="009306E6">
        <w:tc>
          <w:tcPr>
            <w:tcW w:w="1418" w:type="dxa"/>
          </w:tcPr>
          <w:p w:rsidR="009306E6" w:rsidRPr="00517553" w:rsidRDefault="009306E6" w:rsidP="008F4262">
            <w:pPr>
              <w:widowControl/>
              <w:ind w:left="109"/>
              <w:rPr>
                <w:rFonts w:ascii="Arial Narrow" w:hAnsi="Arial Narrow"/>
                <w:sz w:val="20"/>
              </w:rPr>
            </w:pPr>
            <w:r w:rsidRPr="00517553">
              <w:rPr>
                <w:rFonts w:ascii="Arial Narrow" w:hAnsi="Arial Narrow"/>
                <w:sz w:val="20"/>
              </w:rPr>
              <w:t>SE</w:t>
            </w:r>
          </w:p>
        </w:tc>
        <w:tc>
          <w:tcPr>
            <w:tcW w:w="1143"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18 (8.2)</w:t>
            </w:r>
          </w:p>
        </w:tc>
        <w:tc>
          <w:tcPr>
            <w:tcW w:w="1144"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5 (4.7)</w:t>
            </w:r>
          </w:p>
        </w:tc>
        <w:tc>
          <w:tcPr>
            <w:tcW w:w="1143"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5 (2.0)</w:t>
            </w:r>
          </w:p>
        </w:tc>
        <w:tc>
          <w:tcPr>
            <w:tcW w:w="1144"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6 (7.4)</w:t>
            </w:r>
          </w:p>
        </w:tc>
        <w:tc>
          <w:tcPr>
            <w:tcW w:w="1143" w:type="dxa"/>
            <w:vAlign w:val="center"/>
          </w:tcPr>
          <w:p w:rsidR="009306E6" w:rsidRPr="0017165E" w:rsidRDefault="0017165E" w:rsidP="008F4262">
            <w:pPr>
              <w:widowControl/>
              <w:jc w:val="center"/>
              <w:rPr>
                <w:rFonts w:ascii="Arial Narrow" w:hAnsi="Arial Narrow"/>
                <w:sz w:val="20"/>
                <w:highlight w:val="black"/>
              </w:rPr>
            </w:pPr>
            <w:r>
              <w:rPr>
                <w:rFonts w:ascii="Arial Narrow" w:hAnsi="Arial Narrow"/>
                <w:noProof/>
                <w:color w:val="000000"/>
                <w:sz w:val="20"/>
                <w:highlight w:val="black"/>
              </w:rPr>
              <w:t>'''''' ''''''''''</w:t>
            </w:r>
          </w:p>
        </w:tc>
        <w:tc>
          <w:tcPr>
            <w:tcW w:w="1144" w:type="dxa"/>
            <w:vAlign w:val="center"/>
          </w:tcPr>
          <w:p w:rsidR="009306E6" w:rsidRPr="0017165E" w:rsidRDefault="0017165E" w:rsidP="008F4262">
            <w:pPr>
              <w:widowControl/>
              <w:jc w:val="center"/>
              <w:rPr>
                <w:rFonts w:ascii="Arial Narrow" w:hAnsi="Arial Narrow"/>
                <w:sz w:val="20"/>
                <w:highlight w:val="black"/>
              </w:rPr>
            </w:pPr>
            <w:r>
              <w:rPr>
                <w:rFonts w:ascii="Arial Narrow" w:hAnsi="Arial Narrow"/>
                <w:noProof/>
                <w:color w:val="000000"/>
                <w:sz w:val="20"/>
                <w:highlight w:val="black"/>
              </w:rPr>
              <w:t>'''' ''''''''''''</w:t>
            </w:r>
          </w:p>
        </w:tc>
      </w:tr>
      <w:tr w:rsidR="009306E6" w:rsidRPr="00517553" w:rsidTr="009306E6">
        <w:tc>
          <w:tcPr>
            <w:tcW w:w="1418" w:type="dxa"/>
          </w:tcPr>
          <w:p w:rsidR="009306E6" w:rsidRPr="00517553" w:rsidRDefault="009306E6" w:rsidP="008F4262">
            <w:pPr>
              <w:widowControl/>
              <w:rPr>
                <w:rFonts w:ascii="Arial Narrow" w:hAnsi="Arial Narrow"/>
                <w:sz w:val="20"/>
              </w:rPr>
            </w:pPr>
            <w:r w:rsidRPr="00517553">
              <w:rPr>
                <w:rFonts w:ascii="Arial Narrow" w:hAnsi="Arial Narrow"/>
                <w:sz w:val="20"/>
              </w:rPr>
              <w:t>Disc. due to AEs</w:t>
            </w:r>
          </w:p>
        </w:tc>
        <w:tc>
          <w:tcPr>
            <w:tcW w:w="1143"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2 (0.9)</w:t>
            </w:r>
          </w:p>
        </w:tc>
        <w:tc>
          <w:tcPr>
            <w:tcW w:w="1144"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2 (1.9)</w:t>
            </w:r>
          </w:p>
        </w:tc>
        <w:tc>
          <w:tcPr>
            <w:tcW w:w="1143"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2 0.8)</w:t>
            </w:r>
          </w:p>
        </w:tc>
        <w:tc>
          <w:tcPr>
            <w:tcW w:w="1144"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0 (0)</w:t>
            </w:r>
          </w:p>
        </w:tc>
        <w:tc>
          <w:tcPr>
            <w:tcW w:w="1143" w:type="dxa"/>
            <w:vAlign w:val="center"/>
          </w:tcPr>
          <w:p w:rsidR="009306E6" w:rsidRPr="0017165E" w:rsidRDefault="0017165E" w:rsidP="008F4262">
            <w:pPr>
              <w:widowControl/>
              <w:jc w:val="center"/>
              <w:rPr>
                <w:rFonts w:ascii="Arial Narrow" w:hAnsi="Arial Narrow"/>
                <w:sz w:val="20"/>
                <w:highlight w:val="black"/>
              </w:rPr>
            </w:pPr>
            <w:r>
              <w:rPr>
                <w:rFonts w:ascii="Arial Narrow" w:hAnsi="Arial Narrow"/>
                <w:noProof/>
                <w:color w:val="000000"/>
                <w:sz w:val="20"/>
                <w:highlight w:val="black"/>
              </w:rPr>
              <w:t>'''' ''''''''''</w:t>
            </w:r>
          </w:p>
        </w:tc>
        <w:tc>
          <w:tcPr>
            <w:tcW w:w="1144" w:type="dxa"/>
            <w:vAlign w:val="center"/>
          </w:tcPr>
          <w:p w:rsidR="009306E6" w:rsidRPr="0017165E" w:rsidRDefault="0017165E" w:rsidP="008F4262">
            <w:pPr>
              <w:widowControl/>
              <w:jc w:val="center"/>
              <w:rPr>
                <w:rFonts w:ascii="Arial Narrow" w:hAnsi="Arial Narrow"/>
                <w:sz w:val="20"/>
                <w:highlight w:val="black"/>
              </w:rPr>
            </w:pPr>
            <w:r>
              <w:rPr>
                <w:rFonts w:ascii="Arial Narrow" w:hAnsi="Arial Narrow"/>
                <w:noProof/>
                <w:color w:val="000000"/>
                <w:sz w:val="20"/>
                <w:highlight w:val="black"/>
              </w:rPr>
              <w:t>'''' ''''''''''</w:t>
            </w:r>
          </w:p>
        </w:tc>
      </w:tr>
      <w:tr w:rsidR="009306E6" w:rsidRPr="00517553" w:rsidTr="009306E6">
        <w:tc>
          <w:tcPr>
            <w:tcW w:w="1418" w:type="dxa"/>
          </w:tcPr>
          <w:p w:rsidR="009306E6" w:rsidRPr="00517553" w:rsidRDefault="009306E6" w:rsidP="008F4262">
            <w:pPr>
              <w:widowControl/>
              <w:rPr>
                <w:rFonts w:ascii="Arial Narrow" w:hAnsi="Arial Narrow"/>
                <w:sz w:val="20"/>
              </w:rPr>
            </w:pPr>
            <w:r w:rsidRPr="00517553">
              <w:rPr>
                <w:rFonts w:ascii="Arial Narrow" w:hAnsi="Arial Narrow"/>
                <w:sz w:val="20"/>
              </w:rPr>
              <w:t>Death</w:t>
            </w:r>
          </w:p>
        </w:tc>
        <w:tc>
          <w:tcPr>
            <w:tcW w:w="1143"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3 (1.4)</w:t>
            </w:r>
          </w:p>
        </w:tc>
        <w:tc>
          <w:tcPr>
            <w:tcW w:w="1144"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0 (0)</w:t>
            </w:r>
          </w:p>
        </w:tc>
        <w:tc>
          <w:tcPr>
            <w:tcW w:w="1143"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1 (0.4)</w:t>
            </w:r>
          </w:p>
        </w:tc>
        <w:tc>
          <w:tcPr>
            <w:tcW w:w="1144" w:type="dxa"/>
            <w:vAlign w:val="center"/>
          </w:tcPr>
          <w:p w:rsidR="009306E6" w:rsidRPr="00517553" w:rsidRDefault="009306E6" w:rsidP="008F4262">
            <w:pPr>
              <w:widowControl/>
              <w:jc w:val="center"/>
              <w:rPr>
                <w:rFonts w:ascii="Arial Narrow" w:hAnsi="Arial Narrow"/>
                <w:sz w:val="20"/>
              </w:rPr>
            </w:pPr>
            <w:r w:rsidRPr="00517553">
              <w:rPr>
                <w:rFonts w:ascii="Arial Narrow" w:hAnsi="Arial Narrow"/>
                <w:sz w:val="20"/>
              </w:rPr>
              <w:t>0 (0)</w:t>
            </w:r>
          </w:p>
        </w:tc>
        <w:tc>
          <w:tcPr>
            <w:tcW w:w="1143" w:type="dxa"/>
            <w:vAlign w:val="center"/>
          </w:tcPr>
          <w:p w:rsidR="009306E6" w:rsidRPr="0017165E" w:rsidRDefault="0017165E" w:rsidP="008F4262">
            <w:pPr>
              <w:widowControl/>
              <w:jc w:val="center"/>
              <w:rPr>
                <w:rFonts w:ascii="Arial Narrow" w:hAnsi="Arial Narrow"/>
                <w:sz w:val="20"/>
                <w:highlight w:val="black"/>
              </w:rPr>
            </w:pPr>
            <w:r>
              <w:rPr>
                <w:rFonts w:ascii="Arial Narrow" w:hAnsi="Arial Narrow"/>
                <w:noProof/>
                <w:color w:val="000000"/>
                <w:sz w:val="20"/>
                <w:highlight w:val="black"/>
              </w:rPr>
              <w:t>''' '''''''</w:t>
            </w:r>
          </w:p>
        </w:tc>
        <w:tc>
          <w:tcPr>
            <w:tcW w:w="1144" w:type="dxa"/>
            <w:vAlign w:val="center"/>
          </w:tcPr>
          <w:p w:rsidR="009306E6" w:rsidRPr="0017165E" w:rsidRDefault="0017165E" w:rsidP="008F4262">
            <w:pPr>
              <w:widowControl/>
              <w:jc w:val="center"/>
              <w:rPr>
                <w:rFonts w:ascii="Arial Narrow" w:hAnsi="Arial Narrow"/>
                <w:sz w:val="20"/>
                <w:highlight w:val="black"/>
              </w:rPr>
            </w:pPr>
            <w:r>
              <w:rPr>
                <w:rFonts w:ascii="Arial Narrow" w:hAnsi="Arial Narrow"/>
                <w:noProof/>
                <w:color w:val="000000"/>
                <w:sz w:val="20"/>
                <w:highlight w:val="black"/>
              </w:rPr>
              <w:t>''' '''''''''''</w:t>
            </w:r>
          </w:p>
        </w:tc>
      </w:tr>
    </w:tbl>
    <w:p w:rsidR="009306E6" w:rsidRDefault="009306E6" w:rsidP="008F4262">
      <w:pPr>
        <w:widowControl/>
        <w:ind w:left="709"/>
        <w:rPr>
          <w:rFonts w:ascii="Arial Narrow" w:hAnsi="Arial Narrow"/>
          <w:sz w:val="18"/>
          <w:szCs w:val="18"/>
        </w:rPr>
      </w:pPr>
      <w:r w:rsidRPr="00517553">
        <w:rPr>
          <w:rFonts w:ascii="Arial Narrow" w:hAnsi="Arial Narrow"/>
          <w:sz w:val="18"/>
          <w:szCs w:val="18"/>
        </w:rPr>
        <w:t xml:space="preserve">Source: Table 39, p128 of the </w:t>
      </w:r>
      <w:r w:rsidR="002A29D8" w:rsidRPr="00517553">
        <w:rPr>
          <w:rFonts w:ascii="Arial Narrow" w:hAnsi="Arial Narrow"/>
          <w:sz w:val="18"/>
          <w:szCs w:val="18"/>
        </w:rPr>
        <w:t>re-</w:t>
      </w:r>
      <w:r w:rsidRPr="00517553">
        <w:rPr>
          <w:rFonts w:ascii="Arial Narrow" w:hAnsi="Arial Narrow"/>
          <w:sz w:val="18"/>
          <w:szCs w:val="18"/>
        </w:rPr>
        <w:t>submission</w:t>
      </w:r>
    </w:p>
    <w:p w:rsidR="00E23349" w:rsidRPr="00F331B0" w:rsidRDefault="00E23349" w:rsidP="008F4262">
      <w:pPr>
        <w:widowControl/>
        <w:rPr>
          <w:szCs w:val="22"/>
        </w:rPr>
      </w:pPr>
    </w:p>
    <w:p w:rsidR="007F1017" w:rsidRPr="00014FE0" w:rsidRDefault="007F1017" w:rsidP="008F4262">
      <w:pPr>
        <w:pStyle w:val="Heading2"/>
        <w:widowControl/>
        <w:rPr>
          <w:i/>
          <w:szCs w:val="22"/>
        </w:rPr>
      </w:pPr>
      <w:bookmarkStart w:id="12" w:name="_Toc440964229"/>
      <w:r w:rsidRPr="00014FE0">
        <w:rPr>
          <w:i/>
        </w:rPr>
        <w:t>Benefits/harms</w:t>
      </w:r>
      <w:bookmarkEnd w:id="12"/>
    </w:p>
    <w:p w:rsidR="007F1017" w:rsidRPr="00517553" w:rsidRDefault="007F1017" w:rsidP="008F4262">
      <w:pPr>
        <w:pStyle w:val="ListParagraph"/>
        <w:widowControl/>
        <w:ind w:left="0"/>
        <w:rPr>
          <w:szCs w:val="22"/>
        </w:rPr>
      </w:pPr>
    </w:p>
    <w:p w:rsidR="00C27811" w:rsidRPr="00E23349" w:rsidRDefault="0023551E" w:rsidP="008F4262">
      <w:pPr>
        <w:pStyle w:val="ListParagraph"/>
        <w:widowControl/>
        <w:numPr>
          <w:ilvl w:val="1"/>
          <w:numId w:val="1"/>
        </w:numPr>
        <w:rPr>
          <w:szCs w:val="22"/>
        </w:rPr>
      </w:pPr>
      <w:r w:rsidRPr="00E23349">
        <w:t xml:space="preserve">On the basis of direct evidence presented by the re-submission, there </w:t>
      </w:r>
      <w:r w:rsidR="00310B4E" w:rsidRPr="00E23349">
        <w:t>were</w:t>
      </w:r>
      <w:r w:rsidRPr="00E23349">
        <w:t xml:space="preserve"> no difference</w:t>
      </w:r>
      <w:r w:rsidR="00310B4E" w:rsidRPr="00E23349">
        <w:t>s</w:t>
      </w:r>
      <w:r w:rsidR="005F3AF3">
        <w:t xml:space="preserve"> in the patient-</w:t>
      </w:r>
      <w:r w:rsidRPr="00E23349">
        <w:t xml:space="preserve">relevant outcomes between </w:t>
      </w:r>
      <w:proofErr w:type="spellStart"/>
      <w:r w:rsidRPr="00E23349">
        <w:t>ocriplasmin</w:t>
      </w:r>
      <w:proofErr w:type="spellEnd"/>
      <w:r w:rsidRPr="00E23349">
        <w:t xml:space="preserve"> ± </w:t>
      </w:r>
      <w:proofErr w:type="spellStart"/>
      <w:r w:rsidRPr="00E23349">
        <w:t>vitrectomy</w:t>
      </w:r>
      <w:proofErr w:type="spellEnd"/>
      <w:r w:rsidRPr="00E23349">
        <w:t xml:space="preserve"> versus watchful waiting ± </w:t>
      </w:r>
      <w:proofErr w:type="spellStart"/>
      <w:r w:rsidRPr="00E23349">
        <w:t>vitrectomy</w:t>
      </w:r>
      <w:proofErr w:type="spellEnd"/>
      <w:r w:rsidRPr="00E23349">
        <w:t xml:space="preserve"> in the long-term.  </w:t>
      </w:r>
      <w:r w:rsidR="00310B4E" w:rsidRPr="00E23349">
        <w:rPr>
          <w:iCs/>
        </w:rPr>
        <w:t>It remained</w:t>
      </w:r>
      <w:r w:rsidRPr="00E23349">
        <w:rPr>
          <w:iCs/>
        </w:rPr>
        <w:t xml:space="preserve"> unc</w:t>
      </w:r>
      <w:r w:rsidR="00310B4E" w:rsidRPr="00E23349">
        <w:rPr>
          <w:iCs/>
        </w:rPr>
        <w:t xml:space="preserve">lear how effective </w:t>
      </w:r>
      <w:proofErr w:type="spellStart"/>
      <w:r w:rsidR="00310B4E" w:rsidRPr="00E23349">
        <w:rPr>
          <w:iCs/>
        </w:rPr>
        <w:t>ocriplasmin</w:t>
      </w:r>
      <w:proofErr w:type="spellEnd"/>
      <w:r w:rsidR="00310B4E" w:rsidRPr="00E23349">
        <w:rPr>
          <w:iCs/>
        </w:rPr>
        <w:t xml:space="preserve"> </w:t>
      </w:r>
      <w:r w:rsidR="00FD59DD" w:rsidRPr="00E23349">
        <w:rPr>
          <w:iCs/>
        </w:rPr>
        <w:t>i</w:t>
      </w:r>
      <w:r w:rsidRPr="00E23349">
        <w:rPr>
          <w:iCs/>
        </w:rPr>
        <w:t xml:space="preserve">s with respect to </w:t>
      </w:r>
      <w:r w:rsidR="00DF2A44" w:rsidRPr="00E23349">
        <w:rPr>
          <w:iCs/>
        </w:rPr>
        <w:t xml:space="preserve">the longer-term </w:t>
      </w:r>
      <w:r w:rsidRPr="00E23349">
        <w:rPr>
          <w:iCs/>
        </w:rPr>
        <w:t xml:space="preserve">patient-relevant outcomes </w:t>
      </w:r>
      <w:r w:rsidR="00DF2A44" w:rsidRPr="00E23349">
        <w:rPr>
          <w:iCs/>
        </w:rPr>
        <w:t xml:space="preserve">used as inputs to the model, including change in </w:t>
      </w:r>
      <w:r w:rsidRPr="00E23349">
        <w:rPr>
          <w:iCs/>
        </w:rPr>
        <w:t xml:space="preserve">visual </w:t>
      </w:r>
      <w:r w:rsidR="00DF2A44" w:rsidRPr="00E23349">
        <w:rPr>
          <w:iCs/>
        </w:rPr>
        <w:t>acuity ratings</w:t>
      </w:r>
      <w:r w:rsidRPr="00E23349">
        <w:rPr>
          <w:iCs/>
        </w:rPr>
        <w:t xml:space="preserve"> and preventing, rather than delaying, </w:t>
      </w:r>
      <w:proofErr w:type="spellStart"/>
      <w:r w:rsidRPr="00E23349">
        <w:rPr>
          <w:iCs/>
        </w:rPr>
        <w:t>vitrectomy</w:t>
      </w:r>
      <w:proofErr w:type="spellEnd"/>
      <w:r w:rsidRPr="00E23349">
        <w:rPr>
          <w:iCs/>
        </w:rPr>
        <w:t xml:space="preserve"> in the long-term.</w:t>
      </w:r>
      <w:r w:rsidR="008016DF" w:rsidRPr="00E23349">
        <w:rPr>
          <w:iCs/>
        </w:rPr>
        <w:t xml:space="preserve"> The ESC </w:t>
      </w:r>
      <w:r w:rsidR="0013391B" w:rsidRPr="00E23349">
        <w:rPr>
          <w:iCs/>
        </w:rPr>
        <w:t xml:space="preserve">also </w:t>
      </w:r>
      <w:r w:rsidR="008016DF" w:rsidRPr="00E23349">
        <w:rPr>
          <w:iCs/>
        </w:rPr>
        <w:t xml:space="preserve">noted the </w:t>
      </w:r>
      <w:r w:rsidR="0013391B" w:rsidRPr="00E23349">
        <w:rPr>
          <w:iCs/>
        </w:rPr>
        <w:t xml:space="preserve">variable results across </w:t>
      </w:r>
      <w:r w:rsidR="008016DF" w:rsidRPr="00E23349">
        <w:rPr>
          <w:iCs/>
        </w:rPr>
        <w:t>differences in quality o</w:t>
      </w:r>
      <w:r w:rsidR="0013391B" w:rsidRPr="00E23349">
        <w:rPr>
          <w:iCs/>
        </w:rPr>
        <w:t>f life as noted above.</w:t>
      </w:r>
    </w:p>
    <w:p w:rsidR="0023551E" w:rsidRPr="00F331B0" w:rsidRDefault="0023551E" w:rsidP="008F4262">
      <w:pPr>
        <w:widowControl/>
        <w:autoSpaceDE w:val="0"/>
        <w:autoSpaceDN w:val="0"/>
        <w:adjustRightInd w:val="0"/>
      </w:pPr>
    </w:p>
    <w:p w:rsidR="00B60939" w:rsidRPr="00014FE0" w:rsidRDefault="00B60939" w:rsidP="008F4262">
      <w:pPr>
        <w:pStyle w:val="Heading2"/>
        <w:widowControl/>
        <w:rPr>
          <w:i/>
        </w:rPr>
      </w:pPr>
      <w:bookmarkStart w:id="13" w:name="_Toc440964230"/>
      <w:r w:rsidRPr="00014FE0">
        <w:rPr>
          <w:i/>
        </w:rPr>
        <w:t>Clinical claim</w:t>
      </w:r>
      <w:bookmarkEnd w:id="13"/>
    </w:p>
    <w:p w:rsidR="00B60939" w:rsidRPr="00517553" w:rsidRDefault="00B60939" w:rsidP="008F4262">
      <w:pPr>
        <w:pStyle w:val="BodyText"/>
        <w:widowControl/>
      </w:pPr>
    </w:p>
    <w:p w:rsidR="00116A55" w:rsidRPr="00517553" w:rsidRDefault="00116A55" w:rsidP="008F4262">
      <w:pPr>
        <w:pStyle w:val="ListParagraph"/>
        <w:widowControl/>
        <w:numPr>
          <w:ilvl w:val="1"/>
          <w:numId w:val="1"/>
        </w:numPr>
      </w:pPr>
      <w:r w:rsidRPr="00517553">
        <w:t xml:space="preserve">The re-submission </w:t>
      </w:r>
      <w:r w:rsidRPr="00517553">
        <w:rPr>
          <w:iCs/>
        </w:rPr>
        <w:t>describe</w:t>
      </w:r>
      <w:r w:rsidR="00310B4E" w:rsidRPr="00517553">
        <w:rPr>
          <w:iCs/>
        </w:rPr>
        <w:t>d</w:t>
      </w:r>
      <w:r w:rsidRPr="00517553">
        <w:t xml:space="preserve"> </w:t>
      </w:r>
      <w:proofErr w:type="spellStart"/>
      <w:r w:rsidRPr="00517553">
        <w:t>ocriplasmin</w:t>
      </w:r>
      <w:proofErr w:type="spellEnd"/>
      <w:r w:rsidRPr="00517553">
        <w:t xml:space="preserve"> as superior in terms of comparative effectiveness and inferior in terms of comparative safety over watchful waiting.  </w:t>
      </w:r>
      <w:r w:rsidR="00310B4E" w:rsidRPr="00517553">
        <w:t>This claim wa</w:t>
      </w:r>
      <w:r w:rsidRPr="00517553">
        <w:t>s adequately supported based on the primary outcome of the trials (</w:t>
      </w:r>
      <w:r w:rsidRPr="00517553">
        <w:rPr>
          <w:iCs/>
        </w:rPr>
        <w:t xml:space="preserve">non-surgical VMA resolution at day 28; the point where </w:t>
      </w:r>
      <w:proofErr w:type="spellStart"/>
      <w:r w:rsidRPr="00517553">
        <w:rPr>
          <w:iCs/>
        </w:rPr>
        <w:t>vitrectomy</w:t>
      </w:r>
      <w:proofErr w:type="spellEnd"/>
      <w:r w:rsidRPr="00517553">
        <w:rPr>
          <w:iCs/>
        </w:rPr>
        <w:t xml:space="preserve"> was not offered except if patients did not achieve VMA resolution, or at any point after day 1 if BCVA worsened by &gt;2 lines (or 10 letters))</w:t>
      </w:r>
      <w:r w:rsidR="00310B4E" w:rsidRPr="00517553">
        <w:t>, although it wa</w:t>
      </w:r>
      <w:r w:rsidRPr="00517553">
        <w:t xml:space="preserve">s inconsistent with the nominated comparator of watchful waiting ± </w:t>
      </w:r>
      <w:proofErr w:type="spellStart"/>
      <w:r w:rsidRPr="00517553">
        <w:t>vitrectomy</w:t>
      </w:r>
      <w:proofErr w:type="spellEnd"/>
      <w:r w:rsidRPr="00517553">
        <w:t xml:space="preserve">.  The PBAC </w:t>
      </w:r>
      <w:r w:rsidR="00310B4E" w:rsidRPr="00517553">
        <w:t xml:space="preserve">previously </w:t>
      </w:r>
      <w:r w:rsidRPr="00517553">
        <w:t>accepted this claim</w:t>
      </w:r>
      <w:r w:rsidR="00FD59DD" w:rsidRPr="00517553">
        <w:t>,</w:t>
      </w:r>
      <w:r w:rsidRPr="00517553">
        <w:t xml:space="preserve"> but considered it was not clear how effective </w:t>
      </w:r>
      <w:proofErr w:type="spellStart"/>
      <w:r w:rsidRPr="00517553">
        <w:t>ocriplasmin</w:t>
      </w:r>
      <w:proofErr w:type="spellEnd"/>
      <w:r w:rsidRPr="00517553">
        <w:t xml:space="preserve"> is with respect to the patient relevant-outcomes of improving visual function and of preventing, rather than delaying, </w:t>
      </w:r>
      <w:proofErr w:type="spellStart"/>
      <w:r w:rsidRPr="00517553">
        <w:t>vitrectomy</w:t>
      </w:r>
      <w:proofErr w:type="spellEnd"/>
      <w:r w:rsidRPr="00517553">
        <w:t xml:space="preserve"> in the long-term (Paragraph 7.8, </w:t>
      </w:r>
      <w:proofErr w:type="spellStart"/>
      <w:r w:rsidRPr="00517553">
        <w:t>Ocriplasmin</w:t>
      </w:r>
      <w:proofErr w:type="spellEnd"/>
      <w:r w:rsidRPr="00517553">
        <w:t xml:space="preserve"> November 2014 </w:t>
      </w:r>
      <w:r w:rsidR="00384C9B">
        <w:t>P</w:t>
      </w:r>
      <w:r w:rsidR="00384C9B" w:rsidRPr="00517553">
        <w:t xml:space="preserve">ublic </w:t>
      </w:r>
      <w:r w:rsidR="00044201">
        <w:t>S</w:t>
      </w:r>
      <w:r w:rsidR="00147A1C" w:rsidRPr="00517553">
        <w:t xml:space="preserve">ummary </w:t>
      </w:r>
      <w:r w:rsidR="00044201">
        <w:t>D</w:t>
      </w:r>
      <w:r w:rsidR="00147A1C" w:rsidRPr="00517553">
        <w:t>ocument</w:t>
      </w:r>
      <w:r w:rsidRPr="00517553">
        <w:t>).</w:t>
      </w:r>
    </w:p>
    <w:p w:rsidR="00116A55" w:rsidRPr="00517553" w:rsidRDefault="00116A55" w:rsidP="008F4262">
      <w:pPr>
        <w:widowControl/>
      </w:pPr>
    </w:p>
    <w:p w:rsidR="00116A55" w:rsidRPr="007229D1" w:rsidRDefault="00116A55" w:rsidP="008F4262">
      <w:pPr>
        <w:pStyle w:val="ListParagraph"/>
        <w:widowControl/>
        <w:numPr>
          <w:ilvl w:val="1"/>
          <w:numId w:val="1"/>
        </w:numPr>
        <w:rPr>
          <w:iCs/>
        </w:rPr>
      </w:pPr>
      <w:r w:rsidRPr="007229D1">
        <w:t>For the purposes of the modelled economic evaluation</w:t>
      </w:r>
      <w:r w:rsidR="00310B4E" w:rsidRPr="007229D1">
        <w:t>, which wa</w:t>
      </w:r>
      <w:r w:rsidRPr="007229D1">
        <w:t>s based solely on the results of the OASIS trial, the re-submission also ex</w:t>
      </w:r>
      <w:r w:rsidR="00310B4E" w:rsidRPr="007229D1">
        <w:t>plicitly claimed</w:t>
      </w:r>
      <w:r w:rsidRPr="007229D1">
        <w:t xml:space="preserve"> (p222</w:t>
      </w:r>
      <w:r w:rsidR="00147A1C" w:rsidRPr="007229D1">
        <w:t xml:space="preserve"> of the </w:t>
      </w:r>
      <w:r w:rsidR="00147A1C" w:rsidRPr="007229D1">
        <w:lastRenderedPageBreak/>
        <w:t>submission</w:t>
      </w:r>
      <w:r w:rsidRPr="007229D1">
        <w:t xml:space="preserve">) that </w:t>
      </w:r>
      <w:proofErr w:type="spellStart"/>
      <w:r w:rsidRPr="007229D1">
        <w:t>ocriplasmin</w:t>
      </w:r>
      <w:proofErr w:type="spellEnd"/>
      <w:r w:rsidRPr="007229D1">
        <w:t xml:space="preserve"> ± </w:t>
      </w:r>
      <w:proofErr w:type="spellStart"/>
      <w:r w:rsidRPr="007229D1">
        <w:t>vitrectomy</w:t>
      </w:r>
      <w:proofErr w:type="spellEnd"/>
      <w:r w:rsidRPr="007229D1">
        <w:t xml:space="preserve"> is superior to watchful waiting ± </w:t>
      </w:r>
      <w:proofErr w:type="spellStart"/>
      <w:r w:rsidRPr="007229D1">
        <w:t>vitrectomy</w:t>
      </w:r>
      <w:proofErr w:type="spellEnd"/>
      <w:r w:rsidRPr="007229D1">
        <w:t xml:space="preserve"> based on the </w:t>
      </w:r>
      <w:r w:rsidR="00FD59DD" w:rsidRPr="007229D1">
        <w:t xml:space="preserve">clinical </w:t>
      </w:r>
      <w:r w:rsidRPr="007229D1">
        <w:t xml:space="preserve">evidence presented.  </w:t>
      </w:r>
      <w:r w:rsidR="00310B4E" w:rsidRPr="007229D1">
        <w:rPr>
          <w:iCs/>
        </w:rPr>
        <w:t xml:space="preserve">This claim </w:t>
      </w:r>
      <w:r w:rsidR="007F2719" w:rsidRPr="007229D1">
        <w:rPr>
          <w:iCs/>
        </w:rPr>
        <w:t xml:space="preserve">was partially </w:t>
      </w:r>
      <w:r w:rsidRPr="007229D1">
        <w:rPr>
          <w:iCs/>
        </w:rPr>
        <w:t xml:space="preserve">supported </w:t>
      </w:r>
      <w:r w:rsidR="00FD59DD" w:rsidRPr="007229D1">
        <w:rPr>
          <w:iCs/>
        </w:rPr>
        <w:t>bec</w:t>
      </w:r>
      <w:r w:rsidRPr="007229D1">
        <w:rPr>
          <w:iCs/>
        </w:rPr>
        <w:t>a</w:t>
      </w:r>
      <w:r w:rsidR="00FD59DD" w:rsidRPr="007229D1">
        <w:rPr>
          <w:iCs/>
        </w:rPr>
        <w:t>u</w:t>
      </w:r>
      <w:r w:rsidRPr="007229D1">
        <w:rPr>
          <w:iCs/>
        </w:rPr>
        <w:t>s</w:t>
      </w:r>
      <w:r w:rsidR="00FD59DD" w:rsidRPr="007229D1">
        <w:rPr>
          <w:iCs/>
        </w:rPr>
        <w:t>e,</w:t>
      </w:r>
      <w:r w:rsidRPr="007229D1">
        <w:rPr>
          <w:iCs/>
        </w:rPr>
        <w:t xml:space="preserve"> although a statistically significant difference was demonstrated for the primary outcome of the trial (see above); secondary outcomes in OASIS demonstrated:</w:t>
      </w:r>
    </w:p>
    <w:p w:rsidR="00116A55" w:rsidRPr="007229D1" w:rsidRDefault="00116A55" w:rsidP="008F4262">
      <w:pPr>
        <w:pStyle w:val="ListParagraph"/>
        <w:widowControl/>
        <w:numPr>
          <w:ilvl w:val="0"/>
          <w:numId w:val="2"/>
        </w:numPr>
        <w:ind w:left="851" w:hanging="142"/>
        <w:rPr>
          <w:iCs/>
        </w:rPr>
      </w:pPr>
      <w:r w:rsidRPr="007229D1">
        <w:rPr>
          <w:iCs/>
        </w:rPr>
        <w:t xml:space="preserve">No significant difference across the arms in the proportion of patients treated with </w:t>
      </w:r>
      <w:proofErr w:type="spellStart"/>
      <w:r w:rsidRPr="007229D1">
        <w:rPr>
          <w:iCs/>
        </w:rPr>
        <w:t>vitrectomy</w:t>
      </w:r>
      <w:proofErr w:type="spellEnd"/>
      <w:r w:rsidRPr="007229D1">
        <w:rPr>
          <w:iCs/>
        </w:rPr>
        <w:t xml:space="preserve"> at Month 24.  This is in contrast to the finding of a small but significant decrease in RR in patients treated with </w:t>
      </w:r>
      <w:proofErr w:type="spellStart"/>
      <w:r w:rsidRPr="007229D1">
        <w:rPr>
          <w:iCs/>
        </w:rPr>
        <w:t>ocriplasmin</w:t>
      </w:r>
      <w:proofErr w:type="spellEnd"/>
      <w:r w:rsidRPr="007229D1">
        <w:rPr>
          <w:iCs/>
        </w:rPr>
        <w:t xml:space="preserve"> at Month 6 based on all three trials.</w:t>
      </w:r>
    </w:p>
    <w:p w:rsidR="00116A55" w:rsidRPr="007229D1" w:rsidRDefault="00116A55" w:rsidP="008F4262">
      <w:pPr>
        <w:pStyle w:val="ListParagraph"/>
        <w:widowControl/>
        <w:numPr>
          <w:ilvl w:val="0"/>
          <w:numId w:val="2"/>
        </w:numPr>
        <w:ind w:left="851" w:hanging="142"/>
        <w:rPr>
          <w:iCs/>
        </w:rPr>
      </w:pPr>
      <w:r w:rsidRPr="007229D1">
        <w:rPr>
          <w:iCs/>
        </w:rPr>
        <w:t xml:space="preserve">No significant difference across the arms in the proportion of patients with FTMH at baseline who achieved non-surgical FTMH closure at Month </w:t>
      </w:r>
      <w:proofErr w:type="gramStart"/>
      <w:r w:rsidRPr="007229D1">
        <w:rPr>
          <w:iCs/>
        </w:rPr>
        <w:t>24</w:t>
      </w:r>
      <w:r w:rsidR="00C449D1" w:rsidRPr="007229D1">
        <w:rPr>
          <w:iCs/>
        </w:rPr>
        <w:t xml:space="preserve"> </w:t>
      </w:r>
      <w:r w:rsidRPr="007229D1">
        <w:rPr>
          <w:iCs/>
        </w:rPr>
        <w:t>.</w:t>
      </w:r>
      <w:proofErr w:type="gramEnd"/>
      <w:r w:rsidRPr="007229D1">
        <w:rPr>
          <w:iCs/>
        </w:rPr>
        <w:t xml:space="preserve">  This is in contrast to the finding of </w:t>
      </w:r>
      <w:r w:rsidR="00FD59DD" w:rsidRPr="007229D1">
        <w:rPr>
          <w:iCs/>
        </w:rPr>
        <w:t xml:space="preserve">a </w:t>
      </w:r>
      <w:r w:rsidRPr="007229D1">
        <w:rPr>
          <w:iCs/>
        </w:rPr>
        <w:t xml:space="preserve">significant difference in favour of </w:t>
      </w:r>
      <w:proofErr w:type="spellStart"/>
      <w:r w:rsidRPr="007229D1">
        <w:rPr>
          <w:iCs/>
        </w:rPr>
        <w:t>ocriplasmin</w:t>
      </w:r>
      <w:proofErr w:type="spellEnd"/>
      <w:r w:rsidRPr="007229D1">
        <w:rPr>
          <w:iCs/>
        </w:rPr>
        <w:t xml:space="preserve"> at Month 6 based on all three trials.</w:t>
      </w:r>
    </w:p>
    <w:p w:rsidR="00116A55" w:rsidRPr="007229D1" w:rsidRDefault="00116A55" w:rsidP="008F4262">
      <w:pPr>
        <w:pStyle w:val="ListParagraph"/>
        <w:widowControl/>
        <w:numPr>
          <w:ilvl w:val="0"/>
          <w:numId w:val="2"/>
        </w:numPr>
        <w:ind w:left="851" w:hanging="142"/>
        <w:rPr>
          <w:iCs/>
        </w:rPr>
      </w:pPr>
      <w:r w:rsidRPr="007229D1">
        <w:rPr>
          <w:iCs/>
        </w:rPr>
        <w:t>No significant difference in the proportion of patients who achieved ≥2 o</w:t>
      </w:r>
      <w:r w:rsidR="00927190" w:rsidRPr="007229D1">
        <w:rPr>
          <w:iCs/>
        </w:rPr>
        <w:t>r</w:t>
      </w:r>
      <w:r w:rsidRPr="007229D1">
        <w:rPr>
          <w:iCs/>
        </w:rPr>
        <w:t xml:space="preserve"> ≥3 lines improvement in BCVA at Month 24.  This is in contrast to the finding of a small but significant improvement in patients treated with </w:t>
      </w:r>
      <w:proofErr w:type="spellStart"/>
      <w:r w:rsidRPr="007229D1">
        <w:rPr>
          <w:iCs/>
        </w:rPr>
        <w:t>ocriplasmin</w:t>
      </w:r>
      <w:proofErr w:type="spellEnd"/>
      <w:r w:rsidRPr="007229D1">
        <w:rPr>
          <w:iCs/>
        </w:rPr>
        <w:t xml:space="preserve"> at Month 6 based on all three trials.</w:t>
      </w:r>
    </w:p>
    <w:p w:rsidR="00116A55" w:rsidRPr="007229D1" w:rsidRDefault="00116A55" w:rsidP="008F4262">
      <w:pPr>
        <w:pStyle w:val="ListParagraph"/>
        <w:widowControl/>
        <w:numPr>
          <w:ilvl w:val="0"/>
          <w:numId w:val="2"/>
        </w:numPr>
        <w:ind w:left="851" w:hanging="142"/>
        <w:rPr>
          <w:iCs/>
        </w:rPr>
      </w:pPr>
      <w:r w:rsidRPr="007229D1">
        <w:rPr>
          <w:iCs/>
        </w:rPr>
        <w:t>The mean difference in BCVA letters was not significantly different between treatment groups at Month 24.  This is consistent with the findings at Day 28 and Month 6 based on all three trials.</w:t>
      </w:r>
    </w:p>
    <w:p w:rsidR="00746AAF" w:rsidRDefault="007F2719" w:rsidP="008F4262">
      <w:pPr>
        <w:pStyle w:val="ListParagraph"/>
        <w:widowControl/>
        <w:numPr>
          <w:ilvl w:val="0"/>
          <w:numId w:val="2"/>
        </w:numPr>
        <w:ind w:left="851" w:hanging="142"/>
        <w:rPr>
          <w:iCs/>
        </w:rPr>
      </w:pPr>
      <w:r w:rsidRPr="00E23349">
        <w:rPr>
          <w:iCs/>
        </w:rPr>
        <w:t>The proportion of people in the OASIS trial with more than a 5</w:t>
      </w:r>
      <w:r w:rsidR="00347C7A" w:rsidRPr="00E23349">
        <w:rPr>
          <w:iCs/>
        </w:rPr>
        <w:t>-</w:t>
      </w:r>
      <w:r w:rsidRPr="00E23349">
        <w:rPr>
          <w:iCs/>
        </w:rPr>
        <w:t>point improvement on the VFQ-25 at 24 months was significantly greater (51.4% versus 30.1%)</w:t>
      </w:r>
      <w:r w:rsidR="00347C7A" w:rsidRPr="00E23349">
        <w:rPr>
          <w:iCs/>
        </w:rPr>
        <w:t>.</w:t>
      </w:r>
    </w:p>
    <w:p w:rsidR="00E23349" w:rsidRPr="00F331B0" w:rsidRDefault="00E23349" w:rsidP="008F4262">
      <w:pPr>
        <w:widowControl/>
        <w:rPr>
          <w:iCs/>
        </w:rPr>
      </w:pPr>
    </w:p>
    <w:p w:rsidR="00116A55" w:rsidRPr="00E23349" w:rsidRDefault="00116A55" w:rsidP="008F4262">
      <w:pPr>
        <w:pStyle w:val="ListParagraph"/>
        <w:widowControl/>
        <w:numPr>
          <w:ilvl w:val="1"/>
          <w:numId w:val="1"/>
        </w:numPr>
      </w:pPr>
      <w:r w:rsidRPr="00E23349">
        <w:t xml:space="preserve">The PBAC rejected (Paragraph 7.1, </w:t>
      </w:r>
      <w:proofErr w:type="spellStart"/>
      <w:r w:rsidRPr="00E23349">
        <w:t>Ocriplasmin</w:t>
      </w:r>
      <w:proofErr w:type="spellEnd"/>
      <w:r w:rsidRPr="00E23349">
        <w:t xml:space="preserve"> November 2014 </w:t>
      </w:r>
      <w:r w:rsidR="00044201">
        <w:t>P</w:t>
      </w:r>
      <w:r w:rsidR="00044201" w:rsidRPr="00517553">
        <w:t xml:space="preserve">ublic </w:t>
      </w:r>
      <w:r w:rsidR="00044201">
        <w:t>S</w:t>
      </w:r>
      <w:r w:rsidR="00044201" w:rsidRPr="00517553">
        <w:t xml:space="preserve">ummary </w:t>
      </w:r>
      <w:r w:rsidR="00044201">
        <w:t>D</w:t>
      </w:r>
      <w:r w:rsidR="00044201" w:rsidRPr="00517553">
        <w:t>ocument</w:t>
      </w:r>
      <w:r w:rsidRPr="00E23349">
        <w:t xml:space="preserve">) the previous submission on the basis “that cost-effectiveness of </w:t>
      </w:r>
      <w:proofErr w:type="spellStart"/>
      <w:r w:rsidRPr="00E23349">
        <w:t>ocriplasmin</w:t>
      </w:r>
      <w:proofErr w:type="spellEnd"/>
      <w:r w:rsidRPr="00E23349">
        <w:t xml:space="preserve"> is highly uncertain because it remains unclear how effective </w:t>
      </w:r>
      <w:proofErr w:type="spellStart"/>
      <w:r w:rsidRPr="00E23349">
        <w:t>ocriplasmin</w:t>
      </w:r>
      <w:proofErr w:type="spellEnd"/>
      <w:r w:rsidRPr="00E23349">
        <w:t xml:space="preserve"> </w:t>
      </w:r>
      <w:r w:rsidRPr="007229D1">
        <w:t xml:space="preserve">is with regard to the patient-relevant outcomes of improving visual function and of preventing rather than delaying </w:t>
      </w:r>
      <w:proofErr w:type="spellStart"/>
      <w:r w:rsidRPr="007229D1">
        <w:t>vitrectomy</w:t>
      </w:r>
      <w:proofErr w:type="spellEnd"/>
      <w:r w:rsidRPr="007229D1">
        <w:t xml:space="preserve"> in the long-term.  Data from the OASIS trial, which provides follow-up to two years (compared with six months in the trials </w:t>
      </w:r>
      <w:r w:rsidRPr="00E23349">
        <w:t xml:space="preserve">considered in the </w:t>
      </w:r>
      <w:r w:rsidR="00CE7846" w:rsidRPr="00E23349">
        <w:t xml:space="preserve">integrated </w:t>
      </w:r>
      <w:r w:rsidRPr="00E23349">
        <w:t>co-</w:t>
      </w:r>
      <w:r w:rsidR="00310B4E" w:rsidRPr="00E23349">
        <w:t xml:space="preserve">dependent </w:t>
      </w:r>
      <w:r w:rsidR="00CE7846" w:rsidRPr="00E23349">
        <w:t>submission</w:t>
      </w:r>
      <w:r w:rsidR="00310B4E" w:rsidRPr="00E23349">
        <w:t>)</w:t>
      </w:r>
      <w:r w:rsidR="00CE7846" w:rsidRPr="00E23349">
        <w:t>,</w:t>
      </w:r>
      <w:r w:rsidR="00310B4E" w:rsidRPr="00E23349">
        <w:t xml:space="preserve"> indicated</w:t>
      </w:r>
      <w:r w:rsidRPr="00E23349">
        <w:t xml:space="preserve"> that there </w:t>
      </w:r>
      <w:r w:rsidR="00310B4E" w:rsidRPr="00E23349">
        <w:t>we</w:t>
      </w:r>
      <w:r w:rsidRPr="00E23349">
        <w:t xml:space="preserve">re no significant differences between visual </w:t>
      </w:r>
      <w:r w:rsidR="007F2719" w:rsidRPr="00E23349">
        <w:t xml:space="preserve">acuity </w:t>
      </w:r>
      <w:r w:rsidR="007229D1">
        <w:t xml:space="preserve">(as measured by visual activity indicators) </w:t>
      </w:r>
      <w:r w:rsidRPr="00E23349">
        <w:t xml:space="preserve">or the proportion of patients who proceed to </w:t>
      </w:r>
      <w:proofErr w:type="spellStart"/>
      <w:r w:rsidRPr="00E23349">
        <w:t>vitrectomy</w:t>
      </w:r>
      <w:proofErr w:type="spellEnd"/>
      <w:r w:rsidRPr="00E23349">
        <w:t xml:space="preserve"> in those treated with </w:t>
      </w:r>
      <w:proofErr w:type="spellStart"/>
      <w:r w:rsidRPr="00E23349">
        <w:t>ocriplasmin</w:t>
      </w:r>
      <w:proofErr w:type="spellEnd"/>
      <w:r w:rsidRPr="00E23349">
        <w:t xml:space="preserve"> compared with control over a period of 24 months</w:t>
      </w:r>
      <w:r w:rsidR="007F2719" w:rsidRPr="00E23349">
        <w:t xml:space="preserve">, however differences in the VFQ-25 </w:t>
      </w:r>
      <w:r w:rsidR="007229D1">
        <w:t>over</w:t>
      </w:r>
      <w:r w:rsidR="007F2719" w:rsidRPr="00E23349">
        <w:t xml:space="preserve"> 2 years were observed.</w:t>
      </w:r>
    </w:p>
    <w:p w:rsidR="00347C7A" w:rsidRPr="00F331B0" w:rsidRDefault="00347C7A" w:rsidP="008F4262">
      <w:pPr>
        <w:widowControl/>
        <w:rPr>
          <w:szCs w:val="22"/>
        </w:rPr>
      </w:pPr>
    </w:p>
    <w:p w:rsidR="007F2719" w:rsidRPr="00E23349" w:rsidRDefault="007F2719" w:rsidP="008F4262">
      <w:pPr>
        <w:pStyle w:val="ListParagraph"/>
        <w:widowControl/>
        <w:numPr>
          <w:ilvl w:val="1"/>
          <w:numId w:val="1"/>
        </w:numPr>
        <w:rPr>
          <w:iCs/>
        </w:rPr>
      </w:pPr>
      <w:r w:rsidRPr="00E23349">
        <w:rPr>
          <w:iCs/>
        </w:rPr>
        <w:t xml:space="preserve">The ESC noted that the </w:t>
      </w:r>
      <w:r w:rsidR="009D09E4" w:rsidRPr="00E23349">
        <w:rPr>
          <w:iCs/>
        </w:rPr>
        <w:t>PSCR</w:t>
      </w:r>
      <w:r w:rsidRPr="00E23349">
        <w:rPr>
          <w:iCs/>
        </w:rPr>
        <w:t xml:space="preserve"> stated that all of these </w:t>
      </w:r>
      <w:r w:rsidRPr="00E23349">
        <w:t>outcomes</w:t>
      </w:r>
      <w:r w:rsidRPr="00E23349">
        <w:rPr>
          <w:iCs/>
        </w:rPr>
        <w:t xml:space="preserve"> showed trends favouring </w:t>
      </w:r>
      <w:proofErr w:type="spellStart"/>
      <w:r w:rsidRPr="00E23349">
        <w:rPr>
          <w:iCs/>
        </w:rPr>
        <w:t>ocriplasmin</w:t>
      </w:r>
      <w:proofErr w:type="spellEnd"/>
      <w:r w:rsidRPr="00E23349">
        <w:rPr>
          <w:iCs/>
        </w:rPr>
        <w:t>, and the PSCR highlights the fact that the study was not powered to detect these outcomes.</w:t>
      </w:r>
    </w:p>
    <w:p w:rsidR="000C677C" w:rsidRPr="00F331B0" w:rsidRDefault="000C677C" w:rsidP="008F4262">
      <w:pPr>
        <w:widowControl/>
      </w:pPr>
    </w:p>
    <w:p w:rsidR="000C677C" w:rsidRPr="00E23349" w:rsidRDefault="000C677C" w:rsidP="008F4262">
      <w:pPr>
        <w:pStyle w:val="ListParagraph"/>
        <w:widowControl/>
        <w:numPr>
          <w:ilvl w:val="1"/>
          <w:numId w:val="1"/>
        </w:numPr>
        <w:rPr>
          <w:iCs/>
        </w:rPr>
      </w:pPr>
      <w:r w:rsidRPr="00E23349">
        <w:rPr>
          <w:iCs/>
        </w:rPr>
        <w:t xml:space="preserve">Overall, the ESC was concerned that </w:t>
      </w:r>
      <w:r w:rsidR="00DF2A44" w:rsidRPr="00E23349">
        <w:rPr>
          <w:iCs/>
        </w:rPr>
        <w:t xml:space="preserve">aspects of patient-relevant incremental </w:t>
      </w:r>
      <w:r w:rsidRPr="00E23349">
        <w:rPr>
          <w:iCs/>
        </w:rPr>
        <w:t>eff</w:t>
      </w:r>
      <w:r w:rsidR="00473520" w:rsidRPr="00E23349">
        <w:rPr>
          <w:iCs/>
        </w:rPr>
        <w:t>ectiveness</w:t>
      </w:r>
      <w:r w:rsidRPr="00E23349">
        <w:rPr>
          <w:iCs/>
        </w:rPr>
        <w:t xml:space="preserve"> of </w:t>
      </w:r>
      <w:proofErr w:type="spellStart"/>
      <w:r w:rsidRPr="00E23349">
        <w:rPr>
          <w:iCs/>
        </w:rPr>
        <w:t>ocriplasmin</w:t>
      </w:r>
      <w:proofErr w:type="spellEnd"/>
      <w:r w:rsidRPr="00E23349">
        <w:rPr>
          <w:iCs/>
        </w:rPr>
        <w:t xml:space="preserve"> w</w:t>
      </w:r>
      <w:r w:rsidR="00DF2A44" w:rsidRPr="00E23349">
        <w:rPr>
          <w:iCs/>
        </w:rPr>
        <w:t>ere</w:t>
      </w:r>
      <w:r w:rsidRPr="00E23349">
        <w:rPr>
          <w:iCs/>
        </w:rPr>
        <w:t xml:space="preserve"> </w:t>
      </w:r>
      <w:r w:rsidR="009D09E4" w:rsidRPr="00E23349">
        <w:rPr>
          <w:iCs/>
        </w:rPr>
        <w:t>not sustained</w:t>
      </w:r>
      <w:r w:rsidRPr="00E23349">
        <w:rPr>
          <w:iCs/>
        </w:rPr>
        <w:t xml:space="preserve"> over time, </w:t>
      </w:r>
      <w:r w:rsidR="009D09E4" w:rsidRPr="00E23349">
        <w:rPr>
          <w:iCs/>
        </w:rPr>
        <w:t>though</w:t>
      </w:r>
      <w:r w:rsidRPr="00E23349">
        <w:rPr>
          <w:iCs/>
        </w:rPr>
        <w:t xml:space="preserve"> </w:t>
      </w:r>
      <w:r w:rsidR="00473520" w:rsidRPr="00E23349">
        <w:rPr>
          <w:iCs/>
        </w:rPr>
        <w:t xml:space="preserve">this was </w:t>
      </w:r>
      <w:r w:rsidRPr="00E23349">
        <w:rPr>
          <w:iCs/>
        </w:rPr>
        <w:t>modelled in the economic analysis</w:t>
      </w:r>
      <w:r w:rsidR="00473520" w:rsidRPr="00E23349">
        <w:rPr>
          <w:iCs/>
        </w:rPr>
        <w:t xml:space="preserve">. </w:t>
      </w:r>
      <w:r w:rsidR="00DC185F">
        <w:rPr>
          <w:iCs/>
        </w:rPr>
        <w:t xml:space="preserve"> </w:t>
      </w:r>
      <w:r w:rsidR="00473520" w:rsidRPr="00E23349">
        <w:rPr>
          <w:iCs/>
        </w:rPr>
        <w:t>Rather,</w:t>
      </w:r>
      <w:r w:rsidRPr="00E23349">
        <w:rPr>
          <w:iCs/>
        </w:rPr>
        <w:t xml:space="preserve"> </w:t>
      </w:r>
      <w:r w:rsidR="009D09E4" w:rsidRPr="00E23349">
        <w:rPr>
          <w:iCs/>
        </w:rPr>
        <w:t>the most supported aspect of th</w:t>
      </w:r>
      <w:r w:rsidR="00DF2A44" w:rsidRPr="00E23349">
        <w:rPr>
          <w:iCs/>
        </w:rPr>
        <w:t xml:space="preserve">is modelled </w:t>
      </w:r>
      <w:r w:rsidR="009D09E4" w:rsidRPr="00E23349">
        <w:rPr>
          <w:iCs/>
        </w:rPr>
        <w:t xml:space="preserve">clinical claim was that </w:t>
      </w:r>
      <w:proofErr w:type="spellStart"/>
      <w:r w:rsidR="009D09E4" w:rsidRPr="00E23349">
        <w:rPr>
          <w:iCs/>
        </w:rPr>
        <w:t>ocriplasmin</w:t>
      </w:r>
      <w:proofErr w:type="spellEnd"/>
      <w:r w:rsidR="009D09E4" w:rsidRPr="00E23349">
        <w:rPr>
          <w:iCs/>
        </w:rPr>
        <w:t xml:space="preserve"> </w:t>
      </w:r>
      <w:r w:rsidR="00387C34" w:rsidRPr="00E23349">
        <w:rPr>
          <w:iCs/>
        </w:rPr>
        <w:t>delayed</w:t>
      </w:r>
      <w:r w:rsidR="009D09E4" w:rsidRPr="00E23349">
        <w:rPr>
          <w:iCs/>
        </w:rPr>
        <w:t xml:space="preserve"> </w:t>
      </w:r>
      <w:r w:rsidR="00DF2A44" w:rsidRPr="00E23349">
        <w:rPr>
          <w:iCs/>
        </w:rPr>
        <w:t xml:space="preserve">rather than avoided </w:t>
      </w:r>
      <w:proofErr w:type="spellStart"/>
      <w:r w:rsidR="009D09E4" w:rsidRPr="00E23349">
        <w:rPr>
          <w:iCs/>
        </w:rPr>
        <w:t>vitrectomy</w:t>
      </w:r>
      <w:proofErr w:type="spellEnd"/>
      <w:r w:rsidR="009D09E4" w:rsidRPr="00E23349">
        <w:rPr>
          <w:iCs/>
        </w:rPr>
        <w:t xml:space="preserve"> </w:t>
      </w:r>
      <w:r w:rsidR="00473520" w:rsidRPr="00E23349">
        <w:rPr>
          <w:iCs/>
        </w:rPr>
        <w:t>in some patients</w:t>
      </w:r>
      <w:r w:rsidR="00DF2A44" w:rsidRPr="00E23349">
        <w:rPr>
          <w:iCs/>
        </w:rPr>
        <w:t>.</w:t>
      </w:r>
    </w:p>
    <w:p w:rsidR="00035D87" w:rsidRPr="008020FB" w:rsidRDefault="00035D87" w:rsidP="008F4262">
      <w:pPr>
        <w:widowControl/>
      </w:pPr>
    </w:p>
    <w:p w:rsidR="00B60939" w:rsidRPr="00014FE0" w:rsidRDefault="00B60939" w:rsidP="008F4262">
      <w:pPr>
        <w:pStyle w:val="Heading2"/>
        <w:widowControl/>
        <w:rPr>
          <w:i/>
        </w:rPr>
      </w:pPr>
      <w:bookmarkStart w:id="14" w:name="_Toc440964231"/>
      <w:r w:rsidRPr="00014FE0">
        <w:rPr>
          <w:i/>
        </w:rPr>
        <w:t>Economic analysis</w:t>
      </w:r>
      <w:bookmarkEnd w:id="14"/>
    </w:p>
    <w:p w:rsidR="00B60939" w:rsidRPr="00746AAF" w:rsidRDefault="00B60939" w:rsidP="008F4262">
      <w:pPr>
        <w:widowControl/>
        <w:ind w:left="720" w:hanging="720"/>
        <w:rPr>
          <w:sz w:val="18"/>
          <w:szCs w:val="18"/>
        </w:rPr>
      </w:pPr>
    </w:p>
    <w:p w:rsidR="0072557F" w:rsidRPr="00E23349" w:rsidRDefault="00F5113D" w:rsidP="008F4262">
      <w:pPr>
        <w:pStyle w:val="ListParagraph"/>
        <w:widowControl/>
        <w:numPr>
          <w:ilvl w:val="1"/>
          <w:numId w:val="1"/>
        </w:numPr>
        <w:rPr>
          <w:szCs w:val="22"/>
        </w:rPr>
      </w:pPr>
      <w:r w:rsidRPr="00E23349">
        <w:t>The re-</w:t>
      </w:r>
      <w:r w:rsidR="00310B4E" w:rsidRPr="00E23349">
        <w:t>submission presented</w:t>
      </w:r>
      <w:r w:rsidRPr="00E23349">
        <w:t xml:space="preserve"> a </w:t>
      </w:r>
      <w:r w:rsidR="0097468B" w:rsidRPr="00E23349">
        <w:t>cost-utility analysis</w:t>
      </w:r>
      <w:r w:rsidRPr="00E23349">
        <w:t xml:space="preserve">, based on </w:t>
      </w:r>
      <w:r w:rsidR="0097468B" w:rsidRPr="00E23349">
        <w:t>individual patient data from OASIS to 24 month</w:t>
      </w:r>
      <w:r w:rsidR="00CE7846" w:rsidRPr="00E23349">
        <w:t>s</w:t>
      </w:r>
      <w:r w:rsidR="0097468B" w:rsidRPr="00E23349">
        <w:t xml:space="preserve"> and then extrapolated </w:t>
      </w:r>
      <w:r w:rsidR="0097468B" w:rsidRPr="002E4926">
        <w:t>to 31.5</w:t>
      </w:r>
      <w:r w:rsidR="0097468B" w:rsidRPr="00E23349">
        <w:t xml:space="preserve"> years.</w:t>
      </w:r>
      <w:r w:rsidR="00116A55" w:rsidRPr="00E23349">
        <w:t xml:space="preserve"> </w:t>
      </w:r>
      <w:r w:rsidR="005C1C1A">
        <w:t xml:space="preserve"> </w:t>
      </w:r>
      <w:r w:rsidR="0072557F" w:rsidRPr="00E23349">
        <w:t xml:space="preserve">The ESC noted that while differences in quality of life and non-surgically corrected VMA at 2 years were observed in the OASIS trial, there were no differences observed on other key outcomes, notably rates of </w:t>
      </w:r>
      <w:proofErr w:type="spellStart"/>
      <w:r w:rsidR="0072557F" w:rsidRPr="00E23349">
        <w:t>vitrectomy</w:t>
      </w:r>
      <w:proofErr w:type="spellEnd"/>
      <w:r w:rsidR="0072557F" w:rsidRPr="00E23349">
        <w:t xml:space="preserve"> at 2 years and visual acuity ratings. </w:t>
      </w:r>
      <w:r w:rsidR="005C1C1A">
        <w:t xml:space="preserve"> </w:t>
      </w:r>
      <w:r w:rsidR="0072557F" w:rsidRPr="00E23349">
        <w:t xml:space="preserve">On the </w:t>
      </w:r>
      <w:r w:rsidR="0072557F" w:rsidRPr="00E23349">
        <w:lastRenderedPageBreak/>
        <w:t>basis of these findings</w:t>
      </w:r>
      <w:r w:rsidR="005C1C1A">
        <w:t>, the ESC advised that</w:t>
      </w:r>
      <w:r w:rsidR="0072557F" w:rsidRPr="00E23349">
        <w:t xml:space="preserve"> a cost-utility analysis may be justified if the PBAC accepts these outcomes as possible indications of improved visual function, however the time horizon of the model </w:t>
      </w:r>
      <w:r w:rsidR="005C1C1A">
        <w:t xml:space="preserve">also </w:t>
      </w:r>
      <w:r w:rsidR="0072557F" w:rsidRPr="00E23349">
        <w:t>requires consideration since delay rather than prevention can also have economic benefit.</w:t>
      </w:r>
      <w:r w:rsidR="00AB590F" w:rsidRPr="00AB590F">
        <w:t xml:space="preserve">  The ESC, noting that even though VMT is a long</w:t>
      </w:r>
      <w:r w:rsidR="00AB590F">
        <w:t>-</w:t>
      </w:r>
      <w:r w:rsidR="00AB590F" w:rsidRPr="00AB590F">
        <w:t xml:space="preserve">term disease, </w:t>
      </w:r>
      <w:r w:rsidR="00AB590F">
        <w:t xml:space="preserve">also </w:t>
      </w:r>
      <w:r w:rsidR="00AB590F" w:rsidRPr="00AB590F">
        <w:t>considered that a short</w:t>
      </w:r>
      <w:r w:rsidR="00AB590F">
        <w:t xml:space="preserve"> </w:t>
      </w:r>
      <w:r w:rsidR="00AB590F" w:rsidRPr="00AB590F">
        <w:t xml:space="preserve">time horizon was more appropriate for the modelling the benefits of </w:t>
      </w:r>
      <w:proofErr w:type="spellStart"/>
      <w:r w:rsidR="00AB590F" w:rsidRPr="00AB590F">
        <w:t>ocriplasmin</w:t>
      </w:r>
      <w:proofErr w:type="spellEnd"/>
      <w:r w:rsidR="00AB590F" w:rsidRPr="00AB590F">
        <w:t xml:space="preserve"> due to doubts about sustained treatment effects.  The ESC considered that a time horizon between 2 and 5 years would be more appropriate.</w:t>
      </w:r>
    </w:p>
    <w:p w:rsidR="00473520" w:rsidRPr="00F331B0" w:rsidRDefault="00473520" w:rsidP="008F4262">
      <w:pPr>
        <w:widowControl/>
        <w:rPr>
          <w:szCs w:val="22"/>
        </w:rPr>
      </w:pPr>
    </w:p>
    <w:p w:rsidR="00B60939" w:rsidRPr="00517553" w:rsidRDefault="00116A55" w:rsidP="008F4262">
      <w:pPr>
        <w:pStyle w:val="ListParagraph"/>
        <w:widowControl/>
        <w:numPr>
          <w:ilvl w:val="1"/>
          <w:numId w:val="1"/>
        </w:numPr>
        <w:rPr>
          <w:szCs w:val="22"/>
        </w:rPr>
      </w:pPr>
      <w:r w:rsidRPr="00517553">
        <w:t xml:space="preserve">A summary of the model structure and rationale are presented in Table </w:t>
      </w:r>
      <w:r w:rsidR="00473520">
        <w:t>9</w:t>
      </w:r>
      <w:r w:rsidRPr="00517553">
        <w:t>.</w:t>
      </w:r>
    </w:p>
    <w:p w:rsidR="00275C5A" w:rsidRPr="00F331B0" w:rsidRDefault="00275C5A" w:rsidP="008F4262">
      <w:pPr>
        <w:widowControl/>
        <w:rPr>
          <w:szCs w:val="22"/>
        </w:rPr>
      </w:pPr>
    </w:p>
    <w:p w:rsidR="00D06FD4" w:rsidRPr="00517553" w:rsidRDefault="00D06FD4" w:rsidP="008F4262">
      <w:pPr>
        <w:widowControl/>
        <w:ind w:firstLine="720"/>
        <w:rPr>
          <w:rStyle w:val="CommentReference"/>
        </w:rPr>
      </w:pPr>
      <w:r w:rsidRPr="00517553">
        <w:rPr>
          <w:rStyle w:val="CommentReference"/>
        </w:rPr>
        <w:t xml:space="preserve">Table </w:t>
      </w:r>
      <w:r w:rsidR="00473520">
        <w:rPr>
          <w:rStyle w:val="CommentReference"/>
        </w:rPr>
        <w:t>9</w:t>
      </w:r>
      <w:r w:rsidRPr="00517553">
        <w:rPr>
          <w:rStyle w:val="CommentReference"/>
        </w:rPr>
        <w:t>: Summary of model structure and rationale</w:t>
      </w:r>
    </w:p>
    <w:tbl>
      <w:tblPr>
        <w:tblW w:w="833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93"/>
        <w:gridCol w:w="5642"/>
      </w:tblGrid>
      <w:tr w:rsidR="00A60A20" w:rsidRPr="00517553" w:rsidTr="00F331B0">
        <w:trPr>
          <w:trHeight w:val="240"/>
        </w:trPr>
        <w:tc>
          <w:tcPr>
            <w:tcW w:w="2693" w:type="dxa"/>
            <w:shd w:val="clear" w:color="auto" w:fill="auto"/>
          </w:tcPr>
          <w:p w:rsidR="00A60A20" w:rsidRPr="00517553" w:rsidRDefault="00A60A20" w:rsidP="008F4262">
            <w:pPr>
              <w:widowControl/>
              <w:jc w:val="left"/>
              <w:rPr>
                <w:rFonts w:ascii="Arial Narrow" w:hAnsi="Arial Narrow"/>
                <w:sz w:val="20"/>
              </w:rPr>
            </w:pPr>
            <w:r w:rsidRPr="00517553">
              <w:rPr>
                <w:rFonts w:ascii="Arial Narrow" w:hAnsi="Arial Narrow"/>
                <w:sz w:val="20"/>
              </w:rPr>
              <w:t>Time horizon</w:t>
            </w:r>
          </w:p>
        </w:tc>
        <w:tc>
          <w:tcPr>
            <w:tcW w:w="5642" w:type="dxa"/>
            <w:shd w:val="clear" w:color="auto" w:fill="auto"/>
          </w:tcPr>
          <w:p w:rsidR="00A60A20" w:rsidRPr="00517553" w:rsidRDefault="00A60A20" w:rsidP="008F4262">
            <w:pPr>
              <w:widowControl/>
              <w:rPr>
                <w:rFonts w:ascii="Arial Narrow" w:hAnsi="Arial Narrow"/>
                <w:sz w:val="20"/>
              </w:rPr>
            </w:pPr>
            <w:r w:rsidRPr="002E4926">
              <w:rPr>
                <w:rFonts w:ascii="Arial Narrow" w:hAnsi="Arial Narrow"/>
                <w:sz w:val="20"/>
              </w:rPr>
              <w:t>31.5</w:t>
            </w:r>
            <w:r w:rsidRPr="00517553">
              <w:rPr>
                <w:rFonts w:ascii="Arial Narrow" w:hAnsi="Arial Narrow"/>
                <w:sz w:val="20"/>
              </w:rPr>
              <w:t xml:space="preserve"> years in the model base case versus 2 years in trial</w:t>
            </w:r>
          </w:p>
          <w:p w:rsidR="00A60A20" w:rsidRPr="00E64A51" w:rsidRDefault="00A60A20" w:rsidP="008F4262">
            <w:pPr>
              <w:widowControl/>
              <w:jc w:val="left"/>
              <w:rPr>
                <w:rFonts w:ascii="Arial Narrow" w:hAnsi="Arial Narrow"/>
                <w:i/>
                <w:sz w:val="20"/>
              </w:rPr>
            </w:pPr>
            <w:r w:rsidRPr="00517553">
              <w:rPr>
                <w:rFonts w:ascii="Arial Narrow" w:hAnsi="Arial Narrow"/>
                <w:sz w:val="20"/>
              </w:rPr>
              <w:t>(</w:t>
            </w:r>
            <w:proofErr w:type="gramStart"/>
            <w:r w:rsidRPr="00517553">
              <w:rPr>
                <w:rFonts w:ascii="Arial Narrow" w:hAnsi="Arial Narrow"/>
                <w:sz w:val="20"/>
              </w:rPr>
              <w:t>baseline</w:t>
            </w:r>
            <w:proofErr w:type="gramEnd"/>
            <w:r w:rsidRPr="00517553">
              <w:rPr>
                <w:rFonts w:ascii="Arial Narrow" w:hAnsi="Arial Narrow"/>
                <w:sz w:val="20"/>
              </w:rPr>
              <w:t xml:space="preserve"> age of cohort is 68.5 in decision tree and 69 in the Markov model; modelled to 100 years)</w:t>
            </w:r>
            <w:r w:rsidR="00E64A51">
              <w:rPr>
                <w:rFonts w:ascii="Arial Narrow" w:hAnsi="Arial Narrow"/>
                <w:sz w:val="20"/>
              </w:rPr>
              <w:t>.</w:t>
            </w:r>
          </w:p>
        </w:tc>
      </w:tr>
      <w:tr w:rsidR="00A60A20" w:rsidRPr="00517553" w:rsidTr="00F331B0">
        <w:trPr>
          <w:trHeight w:val="116"/>
        </w:trPr>
        <w:tc>
          <w:tcPr>
            <w:tcW w:w="2693" w:type="dxa"/>
            <w:shd w:val="clear" w:color="auto" w:fill="auto"/>
          </w:tcPr>
          <w:p w:rsidR="00A60A20" w:rsidRPr="00517553" w:rsidRDefault="00A60A20" w:rsidP="008F4262">
            <w:pPr>
              <w:widowControl/>
              <w:jc w:val="left"/>
              <w:rPr>
                <w:rFonts w:ascii="Arial Narrow" w:hAnsi="Arial Narrow"/>
                <w:sz w:val="20"/>
              </w:rPr>
            </w:pPr>
            <w:r w:rsidRPr="00517553">
              <w:rPr>
                <w:rFonts w:ascii="Arial Narrow" w:hAnsi="Arial Narrow"/>
                <w:sz w:val="20"/>
              </w:rPr>
              <w:t>Outcomes</w:t>
            </w:r>
          </w:p>
        </w:tc>
        <w:tc>
          <w:tcPr>
            <w:tcW w:w="5642" w:type="dxa"/>
            <w:shd w:val="clear" w:color="auto" w:fill="auto"/>
          </w:tcPr>
          <w:p w:rsidR="00A60A20" w:rsidRPr="00517553" w:rsidRDefault="00A60A20" w:rsidP="008F4262">
            <w:pPr>
              <w:widowControl/>
              <w:rPr>
                <w:rFonts w:ascii="Arial Narrow" w:hAnsi="Arial Narrow"/>
                <w:sz w:val="20"/>
              </w:rPr>
            </w:pPr>
            <w:r w:rsidRPr="00517553">
              <w:rPr>
                <w:rFonts w:ascii="Arial Narrow" w:hAnsi="Arial Narrow"/>
                <w:sz w:val="20"/>
              </w:rPr>
              <w:t>QALYs</w:t>
            </w:r>
          </w:p>
        </w:tc>
      </w:tr>
      <w:tr w:rsidR="00A60A20" w:rsidRPr="00517553" w:rsidTr="00F331B0">
        <w:trPr>
          <w:trHeight w:val="236"/>
        </w:trPr>
        <w:tc>
          <w:tcPr>
            <w:tcW w:w="2693" w:type="dxa"/>
            <w:shd w:val="clear" w:color="auto" w:fill="auto"/>
          </w:tcPr>
          <w:p w:rsidR="00A60A20" w:rsidRPr="00517553" w:rsidRDefault="00A60A20" w:rsidP="008F4262">
            <w:pPr>
              <w:widowControl/>
              <w:jc w:val="left"/>
              <w:rPr>
                <w:rFonts w:ascii="Arial Narrow" w:hAnsi="Arial Narrow"/>
                <w:sz w:val="20"/>
              </w:rPr>
            </w:pPr>
            <w:r w:rsidRPr="00517553">
              <w:rPr>
                <w:rFonts w:ascii="Arial Narrow" w:hAnsi="Arial Narrow"/>
                <w:sz w:val="20"/>
              </w:rPr>
              <w:t>Methods used to generate results</w:t>
            </w:r>
          </w:p>
        </w:tc>
        <w:tc>
          <w:tcPr>
            <w:tcW w:w="5642" w:type="dxa"/>
            <w:shd w:val="clear" w:color="auto" w:fill="auto"/>
            <w:vAlign w:val="center"/>
          </w:tcPr>
          <w:p w:rsidR="00A60A20" w:rsidRPr="00517553" w:rsidRDefault="00A60A20" w:rsidP="008F4262">
            <w:pPr>
              <w:widowControl/>
              <w:jc w:val="left"/>
              <w:rPr>
                <w:rFonts w:ascii="Arial Narrow" w:hAnsi="Arial Narrow"/>
                <w:sz w:val="20"/>
              </w:rPr>
            </w:pPr>
            <w:r w:rsidRPr="00517553">
              <w:rPr>
                <w:rFonts w:ascii="Arial Narrow" w:hAnsi="Arial Narrow"/>
                <w:sz w:val="20"/>
              </w:rPr>
              <w:t>Cohort expected value analysis</w:t>
            </w:r>
          </w:p>
        </w:tc>
      </w:tr>
      <w:tr w:rsidR="00A60A20" w:rsidRPr="00517553" w:rsidTr="00F331B0">
        <w:trPr>
          <w:trHeight w:val="225"/>
        </w:trPr>
        <w:tc>
          <w:tcPr>
            <w:tcW w:w="2693" w:type="dxa"/>
            <w:shd w:val="clear" w:color="auto" w:fill="auto"/>
          </w:tcPr>
          <w:p w:rsidR="00A60A20" w:rsidRPr="00517553" w:rsidRDefault="00A60A20" w:rsidP="008F4262">
            <w:pPr>
              <w:widowControl/>
              <w:jc w:val="left"/>
              <w:rPr>
                <w:rFonts w:ascii="Arial Narrow" w:hAnsi="Arial Narrow"/>
                <w:sz w:val="20"/>
              </w:rPr>
            </w:pPr>
            <w:r w:rsidRPr="00517553">
              <w:rPr>
                <w:rFonts w:ascii="Arial Narrow" w:hAnsi="Arial Narrow"/>
                <w:sz w:val="20"/>
              </w:rPr>
              <w:t>Cycle length</w:t>
            </w:r>
          </w:p>
        </w:tc>
        <w:tc>
          <w:tcPr>
            <w:tcW w:w="5642" w:type="dxa"/>
            <w:shd w:val="clear" w:color="auto" w:fill="auto"/>
          </w:tcPr>
          <w:p w:rsidR="00A60A20" w:rsidRPr="00517553" w:rsidRDefault="00A60A20" w:rsidP="008F4262">
            <w:pPr>
              <w:widowControl/>
              <w:rPr>
                <w:rFonts w:ascii="Arial Narrow" w:hAnsi="Arial Narrow"/>
                <w:sz w:val="20"/>
              </w:rPr>
            </w:pPr>
            <w:r w:rsidRPr="00517553">
              <w:rPr>
                <w:rFonts w:ascii="Arial Narrow" w:hAnsi="Arial Narrow"/>
                <w:sz w:val="20"/>
              </w:rPr>
              <w:t>Decision tree: to 6 months</w:t>
            </w:r>
          </w:p>
          <w:p w:rsidR="00A60A20" w:rsidRPr="00517553" w:rsidRDefault="00A60A20" w:rsidP="008F4262">
            <w:pPr>
              <w:widowControl/>
              <w:rPr>
                <w:rFonts w:ascii="Arial Narrow" w:hAnsi="Arial Narrow"/>
                <w:sz w:val="20"/>
              </w:rPr>
            </w:pPr>
            <w:r w:rsidRPr="00517553">
              <w:rPr>
                <w:rFonts w:ascii="Arial Narrow" w:hAnsi="Arial Narrow"/>
                <w:sz w:val="20"/>
              </w:rPr>
              <w:t>Markov model 6 month cycles</w:t>
            </w:r>
          </w:p>
        </w:tc>
      </w:tr>
      <w:tr w:rsidR="00A60A20" w:rsidRPr="00517553" w:rsidTr="00F331B0">
        <w:trPr>
          <w:trHeight w:val="70"/>
        </w:trPr>
        <w:tc>
          <w:tcPr>
            <w:tcW w:w="2693" w:type="dxa"/>
            <w:shd w:val="clear" w:color="auto" w:fill="auto"/>
          </w:tcPr>
          <w:p w:rsidR="00A60A20" w:rsidRPr="00517553" w:rsidRDefault="00A60A20" w:rsidP="008F4262">
            <w:pPr>
              <w:widowControl/>
              <w:jc w:val="left"/>
              <w:rPr>
                <w:rFonts w:ascii="Arial Narrow" w:hAnsi="Arial Narrow"/>
                <w:sz w:val="20"/>
              </w:rPr>
            </w:pPr>
            <w:r w:rsidRPr="00517553">
              <w:rPr>
                <w:rFonts w:ascii="Arial Narrow" w:hAnsi="Arial Narrow"/>
                <w:sz w:val="20"/>
              </w:rPr>
              <w:t>Transition probabilities</w:t>
            </w:r>
          </w:p>
        </w:tc>
        <w:tc>
          <w:tcPr>
            <w:tcW w:w="5642" w:type="dxa"/>
            <w:shd w:val="clear" w:color="auto" w:fill="auto"/>
          </w:tcPr>
          <w:p w:rsidR="00A60A20" w:rsidRPr="00517553" w:rsidRDefault="00A60A20" w:rsidP="008F4262">
            <w:pPr>
              <w:widowControl/>
              <w:rPr>
                <w:rFonts w:ascii="Arial Narrow" w:hAnsi="Arial Narrow"/>
                <w:sz w:val="20"/>
              </w:rPr>
            </w:pPr>
            <w:r w:rsidRPr="00517553">
              <w:rPr>
                <w:rFonts w:ascii="Arial Narrow" w:hAnsi="Arial Narrow"/>
                <w:sz w:val="20"/>
              </w:rPr>
              <w:t xml:space="preserve">Decision tree: </w:t>
            </w:r>
          </w:p>
          <w:p w:rsidR="00A60A20" w:rsidRPr="00517553" w:rsidRDefault="00A60A20" w:rsidP="008F4262">
            <w:pPr>
              <w:widowControl/>
              <w:rPr>
                <w:rFonts w:ascii="Arial Narrow" w:hAnsi="Arial Narrow"/>
                <w:sz w:val="20"/>
              </w:rPr>
            </w:pPr>
            <w:r w:rsidRPr="00517553">
              <w:rPr>
                <w:rFonts w:ascii="Arial Narrow" w:hAnsi="Arial Narrow"/>
                <w:sz w:val="20"/>
              </w:rPr>
              <w:t>Markov model:</w:t>
            </w:r>
          </w:p>
          <w:p w:rsidR="00A60A20" w:rsidRPr="00517553" w:rsidRDefault="00A60A20" w:rsidP="008F4262">
            <w:pPr>
              <w:widowControl/>
              <w:ind w:left="114"/>
              <w:rPr>
                <w:rFonts w:ascii="Arial Narrow" w:hAnsi="Arial Narrow"/>
                <w:sz w:val="20"/>
              </w:rPr>
            </w:pPr>
            <w:r w:rsidRPr="00517553">
              <w:rPr>
                <w:rFonts w:ascii="Arial Narrow" w:hAnsi="Arial Narrow"/>
                <w:sz w:val="20"/>
              </w:rPr>
              <w:t xml:space="preserve">Background mortality: </w:t>
            </w:r>
          </w:p>
          <w:p w:rsidR="00A60A20" w:rsidRPr="00517553" w:rsidRDefault="00A60A20" w:rsidP="008F4262">
            <w:pPr>
              <w:widowControl/>
              <w:ind w:left="114"/>
              <w:rPr>
                <w:rFonts w:ascii="Arial Narrow" w:hAnsi="Arial Narrow"/>
                <w:sz w:val="20"/>
              </w:rPr>
            </w:pPr>
            <w:r w:rsidRPr="00517553">
              <w:rPr>
                <w:rFonts w:ascii="Arial Narrow" w:hAnsi="Arial Narrow"/>
                <w:sz w:val="20"/>
              </w:rPr>
              <w:t xml:space="preserve">Cycles 0 to 2, given survival: </w:t>
            </w:r>
          </w:p>
          <w:p w:rsidR="00A60A20" w:rsidRPr="00517553" w:rsidRDefault="00A60A20" w:rsidP="00757B0A">
            <w:pPr>
              <w:widowControl/>
              <w:ind w:left="114"/>
              <w:rPr>
                <w:rFonts w:ascii="Arial Narrow" w:hAnsi="Arial Narrow"/>
                <w:sz w:val="20"/>
              </w:rPr>
            </w:pPr>
            <w:r w:rsidRPr="00517553">
              <w:rPr>
                <w:rFonts w:ascii="Arial Narrow" w:hAnsi="Arial Narrow"/>
                <w:sz w:val="20"/>
              </w:rPr>
              <w:t xml:space="preserve">Cycles 3 to 61, given survival: </w:t>
            </w:r>
          </w:p>
        </w:tc>
      </w:tr>
      <w:tr w:rsidR="00A60A20" w:rsidRPr="00517553" w:rsidTr="00F331B0">
        <w:trPr>
          <w:trHeight w:val="240"/>
        </w:trPr>
        <w:tc>
          <w:tcPr>
            <w:tcW w:w="2693" w:type="dxa"/>
            <w:shd w:val="clear" w:color="auto" w:fill="auto"/>
          </w:tcPr>
          <w:p w:rsidR="00A60A20" w:rsidRPr="00517553" w:rsidRDefault="00A60A20" w:rsidP="008F4262">
            <w:pPr>
              <w:widowControl/>
              <w:jc w:val="left"/>
              <w:rPr>
                <w:rFonts w:ascii="Arial Narrow" w:hAnsi="Arial Narrow"/>
                <w:sz w:val="20"/>
              </w:rPr>
            </w:pPr>
            <w:r w:rsidRPr="00517553">
              <w:rPr>
                <w:rFonts w:ascii="Arial Narrow" w:hAnsi="Arial Narrow"/>
                <w:sz w:val="20"/>
              </w:rPr>
              <w:t>Discount rate</w:t>
            </w:r>
          </w:p>
        </w:tc>
        <w:tc>
          <w:tcPr>
            <w:tcW w:w="5642" w:type="dxa"/>
            <w:shd w:val="clear" w:color="auto" w:fill="auto"/>
          </w:tcPr>
          <w:p w:rsidR="00A60A20" w:rsidRPr="00517553" w:rsidRDefault="00A60A20" w:rsidP="008F4262">
            <w:pPr>
              <w:widowControl/>
              <w:rPr>
                <w:rFonts w:ascii="Arial Narrow" w:hAnsi="Arial Narrow"/>
                <w:sz w:val="20"/>
              </w:rPr>
            </w:pPr>
            <w:r w:rsidRPr="00517553">
              <w:rPr>
                <w:rFonts w:ascii="Arial Narrow" w:hAnsi="Arial Narrow"/>
                <w:sz w:val="20"/>
              </w:rPr>
              <w:t>5% for costs and outcomes</w:t>
            </w:r>
          </w:p>
        </w:tc>
      </w:tr>
      <w:tr w:rsidR="00A60A20" w:rsidRPr="00517553" w:rsidTr="00F331B0">
        <w:trPr>
          <w:trHeight w:val="225"/>
        </w:trPr>
        <w:tc>
          <w:tcPr>
            <w:tcW w:w="2693" w:type="dxa"/>
            <w:shd w:val="clear" w:color="auto" w:fill="auto"/>
          </w:tcPr>
          <w:p w:rsidR="00A60A20" w:rsidRPr="00517553" w:rsidRDefault="00A60A20" w:rsidP="008F4262">
            <w:pPr>
              <w:widowControl/>
              <w:jc w:val="left"/>
              <w:rPr>
                <w:rFonts w:ascii="Arial Narrow" w:hAnsi="Arial Narrow"/>
                <w:sz w:val="20"/>
              </w:rPr>
            </w:pPr>
            <w:r w:rsidRPr="00517553">
              <w:rPr>
                <w:rFonts w:ascii="Arial Narrow" w:hAnsi="Arial Narrow"/>
                <w:sz w:val="20"/>
              </w:rPr>
              <w:t>Software package</w:t>
            </w:r>
          </w:p>
        </w:tc>
        <w:tc>
          <w:tcPr>
            <w:tcW w:w="5642" w:type="dxa"/>
            <w:shd w:val="clear" w:color="auto" w:fill="auto"/>
          </w:tcPr>
          <w:p w:rsidR="00A60A20" w:rsidRPr="00517553" w:rsidRDefault="00A60A20" w:rsidP="008F4262">
            <w:pPr>
              <w:widowControl/>
              <w:rPr>
                <w:rFonts w:ascii="Arial Narrow" w:hAnsi="Arial Narrow"/>
                <w:sz w:val="20"/>
              </w:rPr>
            </w:pPr>
            <w:proofErr w:type="spellStart"/>
            <w:r w:rsidRPr="00517553">
              <w:rPr>
                <w:rFonts w:ascii="Arial Narrow" w:hAnsi="Arial Narrow"/>
                <w:sz w:val="20"/>
              </w:rPr>
              <w:t>TreeAge</w:t>
            </w:r>
            <w:proofErr w:type="spellEnd"/>
          </w:p>
        </w:tc>
      </w:tr>
      <w:tr w:rsidR="00A60A20" w:rsidRPr="00517553" w:rsidTr="00F331B0">
        <w:trPr>
          <w:trHeight w:val="225"/>
        </w:trPr>
        <w:tc>
          <w:tcPr>
            <w:tcW w:w="2693" w:type="dxa"/>
            <w:shd w:val="clear" w:color="auto" w:fill="auto"/>
          </w:tcPr>
          <w:p w:rsidR="00A60A20" w:rsidRPr="00517553" w:rsidRDefault="00A60A20" w:rsidP="008F4262">
            <w:pPr>
              <w:widowControl/>
              <w:jc w:val="left"/>
              <w:rPr>
                <w:rFonts w:ascii="Arial Narrow" w:hAnsi="Arial Narrow"/>
                <w:sz w:val="20"/>
              </w:rPr>
            </w:pPr>
            <w:r w:rsidRPr="00517553">
              <w:rPr>
                <w:rFonts w:ascii="Arial Narrow" w:hAnsi="Arial Narrow"/>
                <w:sz w:val="20"/>
              </w:rPr>
              <w:t>Half-cycle correction</w:t>
            </w:r>
          </w:p>
        </w:tc>
        <w:tc>
          <w:tcPr>
            <w:tcW w:w="5642" w:type="dxa"/>
            <w:shd w:val="clear" w:color="auto" w:fill="auto"/>
          </w:tcPr>
          <w:p w:rsidR="00A60A20" w:rsidRPr="00517553" w:rsidRDefault="00A60A20" w:rsidP="008F4262">
            <w:pPr>
              <w:widowControl/>
              <w:rPr>
                <w:rFonts w:ascii="Arial Narrow" w:hAnsi="Arial Narrow"/>
                <w:sz w:val="20"/>
              </w:rPr>
            </w:pPr>
            <w:r w:rsidRPr="00517553">
              <w:rPr>
                <w:rFonts w:ascii="Arial Narrow" w:hAnsi="Arial Narrow"/>
                <w:sz w:val="20"/>
              </w:rPr>
              <w:t>Yes</w:t>
            </w:r>
          </w:p>
        </w:tc>
      </w:tr>
    </w:tbl>
    <w:p w:rsidR="00275C5A" w:rsidRDefault="00A60A20" w:rsidP="008F4262">
      <w:pPr>
        <w:widowControl/>
        <w:ind w:left="709"/>
        <w:rPr>
          <w:rFonts w:ascii="Arial Narrow" w:hAnsi="Arial Narrow"/>
          <w:sz w:val="18"/>
          <w:szCs w:val="14"/>
        </w:rPr>
      </w:pPr>
      <w:r w:rsidRPr="00517553">
        <w:rPr>
          <w:rFonts w:ascii="Arial Narrow" w:hAnsi="Arial Narrow"/>
          <w:sz w:val="18"/>
          <w:szCs w:val="14"/>
        </w:rPr>
        <w:t>Source: compiled during the evaluation</w:t>
      </w:r>
    </w:p>
    <w:p w:rsidR="00E23349" w:rsidRPr="00F331B0" w:rsidRDefault="00E23349" w:rsidP="008F4262">
      <w:pPr>
        <w:widowControl/>
        <w:rPr>
          <w:szCs w:val="22"/>
        </w:rPr>
      </w:pPr>
    </w:p>
    <w:p w:rsidR="00275C5A" w:rsidRPr="00E23349" w:rsidRDefault="006E0970" w:rsidP="008F4262">
      <w:pPr>
        <w:pStyle w:val="ListParagraph"/>
        <w:widowControl/>
        <w:numPr>
          <w:ilvl w:val="1"/>
          <w:numId w:val="1"/>
        </w:numPr>
        <w:rPr>
          <w:szCs w:val="22"/>
        </w:rPr>
      </w:pPr>
      <w:r w:rsidRPr="00E23349">
        <w:t xml:space="preserve">The ESC welcomed the simpler structure to the modelled economic evaluation compared to that of the previous submission, but noted that substantial residual issues related to the assumptions behind pivotal inputs to the model.  </w:t>
      </w:r>
      <w:r w:rsidR="0097468B" w:rsidRPr="00E23349">
        <w:t xml:space="preserve">The key drivers of the model </w:t>
      </w:r>
      <w:r w:rsidR="00116A55" w:rsidRPr="00E23349">
        <w:t xml:space="preserve">(see Table </w:t>
      </w:r>
      <w:r w:rsidR="00473520" w:rsidRPr="00E23349">
        <w:t>10</w:t>
      </w:r>
      <w:r w:rsidR="00116A55" w:rsidRPr="00E23349">
        <w:t xml:space="preserve">) </w:t>
      </w:r>
      <w:r w:rsidR="0097468B" w:rsidRPr="00E23349">
        <w:t>include</w:t>
      </w:r>
      <w:r w:rsidR="00310B4E" w:rsidRPr="00E23349">
        <w:t>d</w:t>
      </w:r>
      <w:r w:rsidR="0097468B" w:rsidRPr="00E23349">
        <w:t xml:space="preserve"> the time horizon</w:t>
      </w:r>
      <w:r w:rsidR="004B2295" w:rsidRPr="00E23349">
        <w:t xml:space="preserve"> where the trial evidence does not support </w:t>
      </w:r>
      <w:r w:rsidR="00715A55" w:rsidRPr="00E23349">
        <w:t>extrapolation</w:t>
      </w:r>
      <w:r w:rsidR="004B2295" w:rsidRPr="00E23349">
        <w:t xml:space="preserve"> beyond 24 months</w:t>
      </w:r>
      <w:r w:rsidR="0097468B" w:rsidRPr="00E23349">
        <w:t xml:space="preserve">, </w:t>
      </w:r>
      <w:r w:rsidR="00A866B9" w:rsidRPr="00E23349">
        <w:t>the greater</w:t>
      </w:r>
      <w:r w:rsidR="00113572" w:rsidRPr="00E23349">
        <w:t xml:space="preserve"> proportion of the</w:t>
      </w:r>
      <w:r w:rsidR="00A866B9" w:rsidRPr="00E23349">
        <w:t xml:space="preserve"> cohort in the </w:t>
      </w:r>
      <w:proofErr w:type="spellStart"/>
      <w:r w:rsidR="00A866B9" w:rsidRPr="00E23349">
        <w:t>ocriplasmin</w:t>
      </w:r>
      <w:proofErr w:type="spellEnd"/>
      <w:r w:rsidR="00A866B9" w:rsidRPr="00E23349">
        <w:t xml:space="preserve"> arm </w:t>
      </w:r>
      <w:r w:rsidR="00113572" w:rsidRPr="00E23349">
        <w:t xml:space="preserve">in the resolved health states </w:t>
      </w:r>
      <w:r w:rsidR="00A866B9" w:rsidRPr="00E23349">
        <w:t>beyond 6 months</w:t>
      </w:r>
      <w:r w:rsidR="00113572" w:rsidRPr="00E23349">
        <w:t xml:space="preserve">, the </w:t>
      </w:r>
      <w:r w:rsidR="00A866B9" w:rsidRPr="00E23349">
        <w:t xml:space="preserve">lower proportion in the </w:t>
      </w:r>
      <w:proofErr w:type="spellStart"/>
      <w:r w:rsidR="00A866B9" w:rsidRPr="00E23349">
        <w:t>ocriplasmin</w:t>
      </w:r>
      <w:proofErr w:type="spellEnd"/>
      <w:r w:rsidR="00A866B9" w:rsidRPr="00E23349">
        <w:t xml:space="preserve"> arm undergoing </w:t>
      </w:r>
      <w:proofErr w:type="spellStart"/>
      <w:r w:rsidR="00A866B9" w:rsidRPr="00E23349">
        <w:t>vitrectomy</w:t>
      </w:r>
      <w:proofErr w:type="spellEnd"/>
      <w:r w:rsidR="00A866B9" w:rsidRPr="00E23349">
        <w:t xml:space="preserve"> beyond 24 months</w:t>
      </w:r>
      <w:r w:rsidR="00A56647" w:rsidRPr="00E23349">
        <w:t xml:space="preserve">, </w:t>
      </w:r>
      <w:r w:rsidR="0097468B" w:rsidRPr="00E23349">
        <w:t xml:space="preserve">and the assumption that long-term utility in the “resolved with </w:t>
      </w:r>
      <w:proofErr w:type="spellStart"/>
      <w:r w:rsidR="0097468B" w:rsidRPr="00E23349">
        <w:t>vitrectomy</w:t>
      </w:r>
      <w:proofErr w:type="spellEnd"/>
      <w:r w:rsidR="0097468B" w:rsidRPr="00E23349">
        <w:t xml:space="preserve">” health state is lower than the “resolved without </w:t>
      </w:r>
      <w:proofErr w:type="spellStart"/>
      <w:r w:rsidR="0097468B" w:rsidRPr="00E23349">
        <w:t>vitrectomy</w:t>
      </w:r>
      <w:proofErr w:type="spellEnd"/>
      <w:r w:rsidR="0097468B" w:rsidRPr="00E23349">
        <w:t>” health state.</w:t>
      </w:r>
    </w:p>
    <w:p w:rsidR="00501CEA" w:rsidRDefault="00501CEA" w:rsidP="008F4262">
      <w:pPr>
        <w:widowControl/>
        <w:rPr>
          <w:szCs w:val="22"/>
        </w:rPr>
      </w:pPr>
      <w:r>
        <w:rPr>
          <w:szCs w:val="22"/>
        </w:rPr>
        <w:br w:type="page"/>
      </w:r>
    </w:p>
    <w:p w:rsidR="00275C5A" w:rsidRPr="00517553" w:rsidRDefault="00275C5A" w:rsidP="008F4262">
      <w:pPr>
        <w:widowControl/>
        <w:rPr>
          <w:szCs w:val="22"/>
        </w:rPr>
      </w:pPr>
    </w:p>
    <w:p w:rsidR="00D06FD4" w:rsidRPr="00517553" w:rsidRDefault="00D06FD4" w:rsidP="008F4262">
      <w:pPr>
        <w:widowControl/>
        <w:ind w:firstLine="720"/>
        <w:rPr>
          <w:rStyle w:val="CommentReference"/>
        </w:rPr>
      </w:pPr>
      <w:r w:rsidRPr="00517553">
        <w:rPr>
          <w:rStyle w:val="CommentReference"/>
        </w:rPr>
        <w:t xml:space="preserve">Table </w:t>
      </w:r>
      <w:r w:rsidR="00473520">
        <w:rPr>
          <w:rStyle w:val="CommentReference"/>
        </w:rPr>
        <w:t>10</w:t>
      </w:r>
      <w:r w:rsidRPr="00517553">
        <w:rPr>
          <w:rStyle w:val="CommentReference"/>
        </w:rPr>
        <w:t>: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5"/>
        <w:gridCol w:w="4394"/>
        <w:gridCol w:w="1966"/>
      </w:tblGrid>
      <w:tr w:rsidR="00D06FD4" w:rsidRPr="00517553" w:rsidTr="00113572">
        <w:trPr>
          <w:tblHeader/>
        </w:trPr>
        <w:tc>
          <w:tcPr>
            <w:tcW w:w="1189" w:type="pct"/>
            <w:shd w:val="clear" w:color="auto" w:fill="auto"/>
            <w:vAlign w:val="center"/>
          </w:tcPr>
          <w:p w:rsidR="00D06FD4" w:rsidRPr="00517553" w:rsidRDefault="00D06FD4" w:rsidP="008F4262">
            <w:pPr>
              <w:widowControl/>
              <w:jc w:val="left"/>
              <w:rPr>
                <w:rFonts w:ascii="Arial Narrow" w:hAnsi="Arial Narrow"/>
                <w:b/>
                <w:sz w:val="20"/>
                <w:lang w:val="en-US"/>
              </w:rPr>
            </w:pPr>
            <w:r w:rsidRPr="00517553">
              <w:rPr>
                <w:rFonts w:ascii="Arial Narrow" w:hAnsi="Arial Narrow"/>
                <w:b/>
                <w:sz w:val="20"/>
                <w:lang w:val="en-US"/>
              </w:rPr>
              <w:t>Description</w:t>
            </w:r>
          </w:p>
        </w:tc>
        <w:tc>
          <w:tcPr>
            <w:tcW w:w="2633" w:type="pct"/>
            <w:shd w:val="clear" w:color="auto" w:fill="auto"/>
            <w:vAlign w:val="center"/>
          </w:tcPr>
          <w:p w:rsidR="00D06FD4" w:rsidRPr="00517553" w:rsidRDefault="00D06FD4" w:rsidP="008F4262">
            <w:pPr>
              <w:widowControl/>
              <w:jc w:val="center"/>
              <w:rPr>
                <w:rFonts w:ascii="Arial Narrow" w:hAnsi="Arial Narrow"/>
                <w:b/>
                <w:sz w:val="20"/>
                <w:lang w:val="en-US"/>
              </w:rPr>
            </w:pPr>
            <w:r w:rsidRPr="00517553">
              <w:rPr>
                <w:rFonts w:ascii="Arial Narrow" w:hAnsi="Arial Narrow"/>
                <w:b/>
                <w:sz w:val="20"/>
                <w:lang w:val="en-US"/>
              </w:rPr>
              <w:t>Method/Value</w:t>
            </w:r>
          </w:p>
        </w:tc>
        <w:tc>
          <w:tcPr>
            <w:tcW w:w="1178" w:type="pct"/>
            <w:shd w:val="clear" w:color="auto" w:fill="auto"/>
            <w:vAlign w:val="center"/>
          </w:tcPr>
          <w:p w:rsidR="00D06FD4" w:rsidRPr="00517553" w:rsidRDefault="00D06FD4" w:rsidP="008F4262">
            <w:pPr>
              <w:widowControl/>
              <w:jc w:val="center"/>
              <w:rPr>
                <w:rFonts w:ascii="Arial Narrow" w:hAnsi="Arial Narrow"/>
                <w:b/>
                <w:sz w:val="20"/>
                <w:lang w:val="en-US"/>
              </w:rPr>
            </w:pPr>
            <w:r w:rsidRPr="00517553">
              <w:rPr>
                <w:rFonts w:ascii="Arial Narrow" w:hAnsi="Arial Narrow"/>
                <w:b/>
                <w:sz w:val="20"/>
                <w:lang w:val="en-US"/>
              </w:rPr>
              <w:t>Impact</w:t>
            </w:r>
          </w:p>
        </w:tc>
      </w:tr>
      <w:tr w:rsidR="00D06FD4" w:rsidRPr="00517553" w:rsidTr="00113572">
        <w:tc>
          <w:tcPr>
            <w:tcW w:w="1189" w:type="pct"/>
            <w:shd w:val="clear" w:color="auto" w:fill="auto"/>
            <w:vAlign w:val="center"/>
          </w:tcPr>
          <w:p w:rsidR="00D06FD4" w:rsidRPr="00517553" w:rsidRDefault="00D06FD4" w:rsidP="008F4262">
            <w:pPr>
              <w:widowControl/>
              <w:jc w:val="left"/>
              <w:rPr>
                <w:rFonts w:ascii="Arial Narrow" w:hAnsi="Arial Narrow"/>
                <w:sz w:val="20"/>
                <w:lang w:val="en-US"/>
              </w:rPr>
            </w:pPr>
            <w:r w:rsidRPr="00517553">
              <w:rPr>
                <w:rFonts w:ascii="Arial Narrow" w:hAnsi="Arial Narrow"/>
                <w:sz w:val="20"/>
                <w:lang w:val="en-US"/>
              </w:rPr>
              <w:t>Time horizon</w:t>
            </w:r>
          </w:p>
        </w:tc>
        <w:tc>
          <w:tcPr>
            <w:tcW w:w="2633" w:type="pct"/>
            <w:shd w:val="clear" w:color="auto" w:fill="auto"/>
            <w:vAlign w:val="center"/>
          </w:tcPr>
          <w:p w:rsidR="00D06FD4" w:rsidRPr="00517553" w:rsidRDefault="00A56647" w:rsidP="008F4262">
            <w:pPr>
              <w:widowControl/>
              <w:jc w:val="left"/>
              <w:rPr>
                <w:rFonts w:ascii="Arial Narrow" w:hAnsi="Arial Narrow"/>
                <w:sz w:val="20"/>
                <w:lang w:val="en-US"/>
              </w:rPr>
            </w:pPr>
            <w:r w:rsidRPr="002E4926">
              <w:rPr>
                <w:rFonts w:ascii="Arial Narrow" w:hAnsi="Arial Narrow"/>
                <w:sz w:val="20"/>
                <w:lang w:val="en-US"/>
              </w:rPr>
              <w:t>31.5</w:t>
            </w:r>
            <w:r w:rsidR="00D06FD4" w:rsidRPr="00517553">
              <w:rPr>
                <w:rFonts w:ascii="Arial Narrow" w:hAnsi="Arial Narrow"/>
                <w:sz w:val="20"/>
                <w:lang w:val="en-US"/>
              </w:rPr>
              <w:t xml:space="preserve"> years; assumed from </w:t>
            </w:r>
            <w:r w:rsidRPr="00517553">
              <w:rPr>
                <w:rFonts w:ascii="Arial Narrow" w:hAnsi="Arial Narrow"/>
                <w:sz w:val="20"/>
                <w:lang w:val="en-US"/>
              </w:rPr>
              <w:t xml:space="preserve">24 </w:t>
            </w:r>
            <w:r w:rsidR="00D06FD4" w:rsidRPr="00517553">
              <w:rPr>
                <w:rFonts w:ascii="Arial Narrow" w:hAnsi="Arial Narrow"/>
                <w:sz w:val="20"/>
                <w:lang w:val="en-US"/>
              </w:rPr>
              <w:t>month trial duration</w:t>
            </w:r>
          </w:p>
        </w:tc>
        <w:tc>
          <w:tcPr>
            <w:tcW w:w="1178" w:type="pct"/>
            <w:shd w:val="clear" w:color="auto" w:fill="auto"/>
            <w:vAlign w:val="center"/>
          </w:tcPr>
          <w:p w:rsidR="00D06FD4" w:rsidRPr="00517553" w:rsidRDefault="00D06FD4" w:rsidP="008F4262">
            <w:pPr>
              <w:widowControl/>
              <w:jc w:val="center"/>
              <w:rPr>
                <w:rFonts w:ascii="Arial Narrow" w:hAnsi="Arial Narrow"/>
                <w:sz w:val="20"/>
                <w:lang w:val="en-US"/>
              </w:rPr>
            </w:pPr>
            <w:r w:rsidRPr="00517553">
              <w:rPr>
                <w:rFonts w:ascii="Arial Narrow" w:hAnsi="Arial Narrow"/>
                <w:sz w:val="20"/>
                <w:lang w:val="en-US"/>
              </w:rPr>
              <w:t xml:space="preserve">High, </w:t>
            </w:r>
            <w:proofErr w:type="spellStart"/>
            <w:r w:rsidRPr="00517553">
              <w:rPr>
                <w:rFonts w:ascii="Arial Narrow" w:hAnsi="Arial Narrow"/>
                <w:sz w:val="20"/>
                <w:lang w:val="en-US"/>
              </w:rPr>
              <w:t>favours</w:t>
            </w:r>
            <w:proofErr w:type="spellEnd"/>
            <w:r w:rsidRPr="00517553">
              <w:rPr>
                <w:rFonts w:ascii="Arial Narrow" w:hAnsi="Arial Narrow"/>
                <w:sz w:val="20"/>
                <w:lang w:val="en-US"/>
              </w:rPr>
              <w:t xml:space="preserve"> </w:t>
            </w:r>
            <w:proofErr w:type="spellStart"/>
            <w:r w:rsidR="00A56647" w:rsidRPr="00517553">
              <w:rPr>
                <w:rFonts w:ascii="Arial Narrow" w:hAnsi="Arial Narrow"/>
                <w:sz w:val="20"/>
                <w:lang w:val="en-US"/>
              </w:rPr>
              <w:t>ocriplasmin</w:t>
            </w:r>
            <w:proofErr w:type="spellEnd"/>
          </w:p>
        </w:tc>
      </w:tr>
      <w:tr w:rsidR="00D06FD4" w:rsidRPr="00517553" w:rsidTr="00113572">
        <w:tc>
          <w:tcPr>
            <w:tcW w:w="1189" w:type="pct"/>
            <w:shd w:val="clear" w:color="auto" w:fill="auto"/>
            <w:vAlign w:val="center"/>
          </w:tcPr>
          <w:p w:rsidR="00D06FD4" w:rsidRPr="00517553" w:rsidRDefault="00A56647" w:rsidP="008F4262">
            <w:pPr>
              <w:widowControl/>
              <w:jc w:val="left"/>
              <w:rPr>
                <w:rFonts w:ascii="Arial Narrow" w:hAnsi="Arial Narrow"/>
                <w:sz w:val="20"/>
                <w:lang w:val="en-US"/>
              </w:rPr>
            </w:pPr>
            <w:r w:rsidRPr="00517553">
              <w:rPr>
                <w:rFonts w:ascii="Arial Narrow" w:hAnsi="Arial Narrow"/>
                <w:sz w:val="20"/>
                <w:lang w:val="en-US"/>
              </w:rPr>
              <w:t>Proportion in “resolved” health states</w:t>
            </w:r>
            <w:r w:rsidRPr="00517553" w:rsidDel="00A56647">
              <w:rPr>
                <w:rFonts w:ascii="Arial Narrow" w:hAnsi="Arial Narrow"/>
                <w:sz w:val="20"/>
                <w:lang w:val="en-US"/>
              </w:rPr>
              <w:t xml:space="preserve"> </w:t>
            </w:r>
            <w:r w:rsidR="00A866B9" w:rsidRPr="00517553">
              <w:rPr>
                <w:rFonts w:ascii="Arial Narrow" w:hAnsi="Arial Narrow"/>
                <w:sz w:val="20"/>
                <w:lang w:val="en-US"/>
              </w:rPr>
              <w:t>beyond 6 months</w:t>
            </w:r>
          </w:p>
        </w:tc>
        <w:tc>
          <w:tcPr>
            <w:tcW w:w="2633" w:type="pct"/>
            <w:shd w:val="clear" w:color="auto" w:fill="auto"/>
            <w:vAlign w:val="center"/>
          </w:tcPr>
          <w:p w:rsidR="00D06FD4" w:rsidRPr="00517553" w:rsidRDefault="00113572" w:rsidP="008F4262">
            <w:pPr>
              <w:widowControl/>
              <w:jc w:val="left"/>
              <w:rPr>
                <w:rFonts w:ascii="Arial Narrow" w:hAnsi="Arial Narrow"/>
                <w:sz w:val="20"/>
                <w:lang w:val="en-US"/>
              </w:rPr>
            </w:pPr>
            <w:r w:rsidRPr="00517553">
              <w:rPr>
                <w:rFonts w:ascii="Arial Narrow" w:hAnsi="Arial Narrow"/>
                <w:sz w:val="20"/>
                <w:lang w:val="en-US"/>
              </w:rPr>
              <w:t xml:space="preserve">In the model, 65.15% of the </w:t>
            </w:r>
            <w:proofErr w:type="spellStart"/>
            <w:r w:rsidRPr="00517553">
              <w:rPr>
                <w:rFonts w:ascii="Arial Narrow" w:hAnsi="Arial Narrow"/>
                <w:sz w:val="20"/>
                <w:lang w:val="en-US"/>
              </w:rPr>
              <w:t>ocriplasmin</w:t>
            </w:r>
            <w:proofErr w:type="spellEnd"/>
            <w:r w:rsidRPr="00517553">
              <w:rPr>
                <w:rFonts w:ascii="Arial Narrow" w:hAnsi="Arial Narrow"/>
                <w:sz w:val="20"/>
                <w:lang w:val="en-US"/>
              </w:rPr>
              <w:t xml:space="preserve"> arm commence in a resolved health state compared to 45.31% in the watchful waiting arm (difference: 19.84%). The </w:t>
            </w:r>
            <w:r w:rsidRPr="00064591">
              <w:rPr>
                <w:rFonts w:ascii="Arial Narrow" w:hAnsi="Arial Narrow"/>
                <w:i/>
                <w:sz w:val="20"/>
                <w:lang w:val="en-US"/>
              </w:rPr>
              <w:t>post</w:t>
            </w:r>
            <w:r w:rsidR="00064591" w:rsidRPr="00064591">
              <w:rPr>
                <w:rFonts w:ascii="Arial Narrow" w:hAnsi="Arial Narrow"/>
                <w:i/>
                <w:sz w:val="20"/>
                <w:lang w:val="en-US"/>
              </w:rPr>
              <w:t xml:space="preserve"> </w:t>
            </w:r>
            <w:r w:rsidRPr="00064591">
              <w:rPr>
                <w:rFonts w:ascii="Arial Narrow" w:hAnsi="Arial Narrow"/>
                <w:i/>
                <w:sz w:val="20"/>
                <w:lang w:val="en-US"/>
              </w:rPr>
              <w:t>hoc</w:t>
            </w:r>
            <w:r w:rsidRPr="00517553">
              <w:rPr>
                <w:rFonts w:ascii="Arial Narrow" w:hAnsi="Arial Narrow"/>
                <w:sz w:val="20"/>
                <w:lang w:val="en-US"/>
              </w:rPr>
              <w:t xml:space="preserve"> outcome from TG-MV-006 and TG-MV-007 of “no anatomical abnormality regardless of </w:t>
            </w:r>
            <w:proofErr w:type="spellStart"/>
            <w:r w:rsidRPr="00517553">
              <w:rPr>
                <w:rFonts w:ascii="Arial Narrow" w:hAnsi="Arial Narrow"/>
                <w:sz w:val="20"/>
                <w:lang w:val="en-US"/>
              </w:rPr>
              <w:t>vitrectomy</w:t>
            </w:r>
            <w:proofErr w:type="spellEnd"/>
            <w:r w:rsidRPr="00517553">
              <w:rPr>
                <w:rFonts w:ascii="Arial Narrow" w:hAnsi="Arial Narrow"/>
                <w:sz w:val="20"/>
                <w:lang w:val="en-US"/>
              </w:rPr>
              <w:t xml:space="preserve">” was not statistically significantly different at 6 months. </w:t>
            </w:r>
          </w:p>
        </w:tc>
        <w:tc>
          <w:tcPr>
            <w:tcW w:w="1178" w:type="pct"/>
            <w:shd w:val="clear" w:color="auto" w:fill="auto"/>
            <w:vAlign w:val="center"/>
          </w:tcPr>
          <w:p w:rsidR="00D06FD4" w:rsidRPr="00517553" w:rsidRDefault="00113572" w:rsidP="008F4262">
            <w:pPr>
              <w:widowControl/>
              <w:jc w:val="center"/>
              <w:rPr>
                <w:rFonts w:ascii="Arial Narrow" w:hAnsi="Arial Narrow"/>
                <w:sz w:val="20"/>
                <w:lang w:val="en-US"/>
              </w:rPr>
            </w:pPr>
            <w:r w:rsidRPr="00517553">
              <w:rPr>
                <w:rFonts w:ascii="Arial Narrow" w:hAnsi="Arial Narrow"/>
                <w:sz w:val="20"/>
                <w:lang w:val="en-US"/>
              </w:rPr>
              <w:t>High</w:t>
            </w:r>
            <w:r w:rsidR="00A56647" w:rsidRPr="00517553">
              <w:rPr>
                <w:rFonts w:ascii="Arial Narrow" w:hAnsi="Arial Narrow"/>
                <w:sz w:val="20"/>
                <w:lang w:val="en-US"/>
              </w:rPr>
              <w:t xml:space="preserve">, </w:t>
            </w:r>
            <w:proofErr w:type="spellStart"/>
            <w:r w:rsidR="00A56647" w:rsidRPr="00517553">
              <w:rPr>
                <w:rFonts w:ascii="Arial Narrow" w:hAnsi="Arial Narrow"/>
                <w:sz w:val="20"/>
                <w:lang w:val="en-US"/>
              </w:rPr>
              <w:t>favour</w:t>
            </w:r>
            <w:r w:rsidR="00983860" w:rsidRPr="00517553">
              <w:rPr>
                <w:rFonts w:ascii="Arial Narrow" w:hAnsi="Arial Narrow"/>
                <w:sz w:val="20"/>
                <w:lang w:val="en-US"/>
              </w:rPr>
              <w:t>s</w:t>
            </w:r>
            <w:proofErr w:type="spellEnd"/>
            <w:r w:rsidR="00A56647" w:rsidRPr="00517553">
              <w:rPr>
                <w:rFonts w:ascii="Arial Narrow" w:hAnsi="Arial Narrow"/>
                <w:sz w:val="20"/>
                <w:lang w:val="en-US"/>
              </w:rPr>
              <w:t xml:space="preserve"> </w:t>
            </w:r>
            <w:proofErr w:type="spellStart"/>
            <w:r w:rsidR="00A56647" w:rsidRPr="00517553">
              <w:rPr>
                <w:rFonts w:ascii="Arial Narrow" w:hAnsi="Arial Narrow"/>
                <w:sz w:val="20"/>
                <w:lang w:val="en-US"/>
              </w:rPr>
              <w:t>ocriplasmin</w:t>
            </w:r>
            <w:proofErr w:type="spellEnd"/>
          </w:p>
        </w:tc>
      </w:tr>
      <w:tr w:rsidR="00983860" w:rsidRPr="00517553" w:rsidTr="00113572">
        <w:tc>
          <w:tcPr>
            <w:tcW w:w="1189" w:type="pct"/>
            <w:shd w:val="clear" w:color="auto" w:fill="auto"/>
            <w:vAlign w:val="center"/>
          </w:tcPr>
          <w:p w:rsidR="00983860" w:rsidRPr="00517553" w:rsidRDefault="00983860" w:rsidP="008F4262">
            <w:pPr>
              <w:widowControl/>
              <w:jc w:val="left"/>
              <w:rPr>
                <w:rFonts w:ascii="Arial Narrow" w:hAnsi="Arial Narrow"/>
                <w:sz w:val="20"/>
                <w:lang w:val="en-US"/>
              </w:rPr>
            </w:pPr>
            <w:r w:rsidRPr="00517553">
              <w:rPr>
                <w:rFonts w:ascii="Arial Narrow" w:hAnsi="Arial Narrow"/>
                <w:sz w:val="20"/>
                <w:lang w:val="en-US"/>
              </w:rPr>
              <w:t xml:space="preserve">Proportion undergoing </w:t>
            </w:r>
            <w:proofErr w:type="spellStart"/>
            <w:r w:rsidRPr="00517553">
              <w:rPr>
                <w:rFonts w:ascii="Arial Narrow" w:hAnsi="Arial Narrow"/>
                <w:sz w:val="20"/>
                <w:lang w:val="en-US"/>
              </w:rPr>
              <w:t>vitrectomy</w:t>
            </w:r>
            <w:proofErr w:type="spellEnd"/>
            <w:r w:rsidRPr="00517553">
              <w:rPr>
                <w:rFonts w:ascii="Arial Narrow" w:hAnsi="Arial Narrow"/>
                <w:sz w:val="20"/>
                <w:lang w:val="en-US"/>
              </w:rPr>
              <w:t xml:space="preserve"> beyond 24 months</w:t>
            </w:r>
          </w:p>
        </w:tc>
        <w:tc>
          <w:tcPr>
            <w:tcW w:w="2633" w:type="pct"/>
            <w:shd w:val="clear" w:color="auto" w:fill="auto"/>
            <w:vAlign w:val="center"/>
          </w:tcPr>
          <w:p w:rsidR="00983860" w:rsidRPr="00517553" w:rsidRDefault="00983860" w:rsidP="008F4262">
            <w:pPr>
              <w:widowControl/>
              <w:jc w:val="left"/>
              <w:rPr>
                <w:rFonts w:ascii="Arial Narrow" w:hAnsi="Arial Narrow"/>
                <w:sz w:val="20"/>
                <w:lang w:val="en-US"/>
              </w:rPr>
            </w:pPr>
            <w:r w:rsidRPr="00517553">
              <w:rPr>
                <w:rFonts w:ascii="Arial Narrow" w:hAnsi="Arial Narrow"/>
                <w:sz w:val="20"/>
                <w:lang w:val="en-US"/>
              </w:rPr>
              <w:t xml:space="preserve">In the model, 30.52% of the </w:t>
            </w:r>
            <w:proofErr w:type="spellStart"/>
            <w:r w:rsidRPr="00517553">
              <w:rPr>
                <w:rFonts w:ascii="Arial Narrow" w:hAnsi="Arial Narrow"/>
                <w:sz w:val="20"/>
                <w:lang w:val="en-US"/>
              </w:rPr>
              <w:t>ocriplasmin</w:t>
            </w:r>
            <w:proofErr w:type="spellEnd"/>
            <w:r w:rsidRPr="00517553">
              <w:rPr>
                <w:rFonts w:ascii="Arial Narrow" w:hAnsi="Arial Narrow"/>
                <w:sz w:val="20"/>
                <w:lang w:val="en-US"/>
              </w:rPr>
              <w:t xml:space="preserve"> arm have undergone </w:t>
            </w:r>
            <w:proofErr w:type="spellStart"/>
            <w:r w:rsidRPr="00517553">
              <w:rPr>
                <w:rFonts w:ascii="Arial Narrow" w:hAnsi="Arial Narrow"/>
                <w:sz w:val="20"/>
                <w:lang w:val="en-US"/>
              </w:rPr>
              <w:t>vitrectomy</w:t>
            </w:r>
            <w:proofErr w:type="spellEnd"/>
            <w:r w:rsidRPr="00517553">
              <w:rPr>
                <w:rFonts w:ascii="Arial Narrow" w:hAnsi="Arial Narrow"/>
                <w:sz w:val="20"/>
                <w:lang w:val="en-US"/>
              </w:rPr>
              <w:t xml:space="preserve"> compared to 47.19% in the watchful waiting arm (difference: 16.67%) by 24 months.  The secondary outcome “</w:t>
            </w:r>
            <w:proofErr w:type="spellStart"/>
            <w:r w:rsidRPr="00517553">
              <w:rPr>
                <w:rFonts w:ascii="Arial Narrow" w:hAnsi="Arial Narrow"/>
                <w:sz w:val="20"/>
                <w:lang w:val="en-US"/>
              </w:rPr>
              <w:t>vitrectomy</w:t>
            </w:r>
            <w:proofErr w:type="spellEnd"/>
            <w:r w:rsidRPr="00517553">
              <w:rPr>
                <w:rFonts w:ascii="Arial Narrow" w:hAnsi="Arial Narrow"/>
                <w:sz w:val="20"/>
                <w:lang w:val="en-US"/>
              </w:rPr>
              <w:t>” in OASIS was not statistically significantly different at 24 months.</w:t>
            </w:r>
          </w:p>
        </w:tc>
        <w:tc>
          <w:tcPr>
            <w:tcW w:w="1178" w:type="pct"/>
            <w:shd w:val="clear" w:color="auto" w:fill="auto"/>
            <w:vAlign w:val="center"/>
          </w:tcPr>
          <w:p w:rsidR="00983860" w:rsidRPr="00517553" w:rsidRDefault="00983860" w:rsidP="008F4262">
            <w:pPr>
              <w:widowControl/>
              <w:jc w:val="center"/>
              <w:rPr>
                <w:rFonts w:ascii="Arial Narrow" w:hAnsi="Arial Narrow"/>
                <w:sz w:val="20"/>
                <w:lang w:val="en-US"/>
              </w:rPr>
            </w:pPr>
            <w:r w:rsidRPr="00517553">
              <w:rPr>
                <w:rFonts w:ascii="Arial Narrow" w:hAnsi="Arial Narrow"/>
                <w:sz w:val="20"/>
                <w:lang w:val="en-US"/>
              </w:rPr>
              <w:t xml:space="preserve">Moderate, </w:t>
            </w:r>
            <w:proofErr w:type="spellStart"/>
            <w:r w:rsidRPr="00517553">
              <w:rPr>
                <w:rFonts w:ascii="Arial Narrow" w:hAnsi="Arial Narrow"/>
                <w:sz w:val="20"/>
                <w:lang w:val="en-US"/>
              </w:rPr>
              <w:t>favours</w:t>
            </w:r>
            <w:proofErr w:type="spellEnd"/>
            <w:r w:rsidRPr="00517553">
              <w:rPr>
                <w:rFonts w:ascii="Arial Narrow" w:hAnsi="Arial Narrow"/>
                <w:sz w:val="20"/>
                <w:lang w:val="en-US"/>
              </w:rPr>
              <w:t xml:space="preserve"> </w:t>
            </w:r>
            <w:proofErr w:type="spellStart"/>
            <w:r w:rsidRPr="00517553">
              <w:rPr>
                <w:rFonts w:ascii="Arial Narrow" w:hAnsi="Arial Narrow"/>
                <w:sz w:val="20"/>
                <w:lang w:val="en-US"/>
              </w:rPr>
              <w:t>ocriplasmin</w:t>
            </w:r>
            <w:proofErr w:type="spellEnd"/>
          </w:p>
        </w:tc>
      </w:tr>
      <w:tr w:rsidR="00983860" w:rsidRPr="00517553" w:rsidTr="00113572">
        <w:tc>
          <w:tcPr>
            <w:tcW w:w="1189" w:type="pct"/>
            <w:shd w:val="clear" w:color="auto" w:fill="auto"/>
            <w:vAlign w:val="center"/>
          </w:tcPr>
          <w:p w:rsidR="00983860" w:rsidRPr="00517553" w:rsidRDefault="00983860" w:rsidP="008F4262">
            <w:pPr>
              <w:widowControl/>
              <w:jc w:val="left"/>
              <w:rPr>
                <w:rFonts w:ascii="Arial Narrow" w:hAnsi="Arial Narrow"/>
                <w:sz w:val="20"/>
                <w:lang w:val="en-US"/>
              </w:rPr>
            </w:pPr>
            <w:r w:rsidRPr="00517553">
              <w:rPr>
                <w:rFonts w:ascii="Arial Narrow" w:hAnsi="Arial Narrow"/>
                <w:sz w:val="20"/>
                <w:lang w:val="en-US"/>
              </w:rPr>
              <w:t xml:space="preserve">Assumption that long-term utility is lower for “resolved with </w:t>
            </w:r>
            <w:proofErr w:type="spellStart"/>
            <w:r w:rsidRPr="00517553">
              <w:rPr>
                <w:rFonts w:ascii="Arial Narrow" w:hAnsi="Arial Narrow"/>
                <w:sz w:val="20"/>
                <w:lang w:val="en-US"/>
              </w:rPr>
              <w:t>vitrectomy</w:t>
            </w:r>
            <w:proofErr w:type="spellEnd"/>
            <w:r w:rsidRPr="00517553">
              <w:rPr>
                <w:rFonts w:ascii="Arial Narrow" w:hAnsi="Arial Narrow"/>
                <w:sz w:val="20"/>
                <w:lang w:val="en-US"/>
              </w:rPr>
              <w:t xml:space="preserve">” compared to “resolved without </w:t>
            </w:r>
            <w:proofErr w:type="spellStart"/>
            <w:r w:rsidRPr="00517553">
              <w:rPr>
                <w:rFonts w:ascii="Arial Narrow" w:hAnsi="Arial Narrow"/>
                <w:sz w:val="20"/>
                <w:lang w:val="en-US"/>
              </w:rPr>
              <w:t>vitrectomy</w:t>
            </w:r>
            <w:proofErr w:type="spellEnd"/>
            <w:r w:rsidRPr="00517553">
              <w:rPr>
                <w:rFonts w:ascii="Arial Narrow" w:hAnsi="Arial Narrow"/>
                <w:sz w:val="20"/>
                <w:lang w:val="en-US"/>
              </w:rPr>
              <w:t>”.</w:t>
            </w:r>
          </w:p>
        </w:tc>
        <w:tc>
          <w:tcPr>
            <w:tcW w:w="2633" w:type="pct"/>
            <w:shd w:val="clear" w:color="auto" w:fill="auto"/>
            <w:vAlign w:val="center"/>
          </w:tcPr>
          <w:p w:rsidR="00983860" w:rsidRPr="00517553" w:rsidRDefault="000C6DAE" w:rsidP="008F4262">
            <w:pPr>
              <w:widowControl/>
              <w:jc w:val="left"/>
              <w:rPr>
                <w:rFonts w:ascii="Arial Narrow" w:hAnsi="Arial Narrow"/>
                <w:sz w:val="20"/>
                <w:lang w:val="en-US"/>
              </w:rPr>
            </w:pPr>
            <w:r w:rsidRPr="00517553">
              <w:rPr>
                <w:rFonts w:ascii="Arial Narrow" w:hAnsi="Arial Narrow"/>
                <w:sz w:val="20"/>
                <w:lang w:val="en-US"/>
              </w:rPr>
              <w:t xml:space="preserve">As the model assumes fewer patients in the watchful waiting arm undergo </w:t>
            </w:r>
            <w:proofErr w:type="spellStart"/>
            <w:r w:rsidRPr="00517553">
              <w:rPr>
                <w:rFonts w:ascii="Arial Narrow" w:hAnsi="Arial Narrow"/>
                <w:sz w:val="20"/>
                <w:lang w:val="en-US"/>
              </w:rPr>
              <w:t>vitrectomy</w:t>
            </w:r>
            <w:proofErr w:type="spellEnd"/>
            <w:r w:rsidRPr="00517553">
              <w:rPr>
                <w:rFonts w:ascii="Arial Narrow" w:hAnsi="Arial Narrow"/>
                <w:sz w:val="20"/>
                <w:lang w:val="en-US"/>
              </w:rPr>
              <w:t xml:space="preserve"> (-20.32% by the end of the model), there is a higher proportion of patients in the “resolved with </w:t>
            </w:r>
            <w:proofErr w:type="spellStart"/>
            <w:r w:rsidRPr="00517553">
              <w:rPr>
                <w:rFonts w:ascii="Arial Narrow" w:hAnsi="Arial Narrow"/>
                <w:sz w:val="20"/>
                <w:lang w:val="en-US"/>
              </w:rPr>
              <w:t>vitrectomy</w:t>
            </w:r>
            <w:proofErr w:type="spellEnd"/>
            <w:r w:rsidRPr="00517553">
              <w:rPr>
                <w:rFonts w:ascii="Arial Narrow" w:hAnsi="Arial Narrow"/>
                <w:sz w:val="20"/>
                <w:lang w:val="en-US"/>
              </w:rPr>
              <w:t>” in the watchful waiting arm allocated a lower long-term utility.</w:t>
            </w:r>
          </w:p>
        </w:tc>
        <w:tc>
          <w:tcPr>
            <w:tcW w:w="1178" w:type="pct"/>
            <w:shd w:val="clear" w:color="auto" w:fill="auto"/>
            <w:vAlign w:val="center"/>
          </w:tcPr>
          <w:p w:rsidR="00983860" w:rsidRPr="00517553" w:rsidRDefault="00983860" w:rsidP="008F4262">
            <w:pPr>
              <w:widowControl/>
              <w:jc w:val="center"/>
              <w:rPr>
                <w:rFonts w:ascii="Arial Narrow" w:hAnsi="Arial Narrow"/>
                <w:sz w:val="20"/>
                <w:lang w:val="en-US"/>
              </w:rPr>
            </w:pPr>
            <w:r w:rsidRPr="00517553">
              <w:rPr>
                <w:rFonts w:ascii="Arial Narrow" w:hAnsi="Arial Narrow"/>
                <w:sz w:val="20"/>
                <w:lang w:val="en-US"/>
              </w:rPr>
              <w:t xml:space="preserve">Moderate, </w:t>
            </w:r>
            <w:proofErr w:type="spellStart"/>
            <w:r w:rsidRPr="00517553">
              <w:rPr>
                <w:rFonts w:ascii="Arial Narrow" w:hAnsi="Arial Narrow"/>
                <w:sz w:val="20"/>
                <w:lang w:val="en-US"/>
              </w:rPr>
              <w:t>favours</w:t>
            </w:r>
            <w:proofErr w:type="spellEnd"/>
            <w:r w:rsidRPr="00517553">
              <w:rPr>
                <w:rFonts w:ascii="Arial Narrow" w:hAnsi="Arial Narrow"/>
                <w:sz w:val="20"/>
                <w:lang w:val="en-US"/>
              </w:rPr>
              <w:t xml:space="preserve"> </w:t>
            </w:r>
            <w:proofErr w:type="spellStart"/>
            <w:r w:rsidRPr="00517553">
              <w:rPr>
                <w:rFonts w:ascii="Arial Narrow" w:hAnsi="Arial Narrow"/>
                <w:sz w:val="20"/>
                <w:lang w:val="en-US"/>
              </w:rPr>
              <w:t>ocriplasmin</w:t>
            </w:r>
            <w:proofErr w:type="spellEnd"/>
          </w:p>
        </w:tc>
      </w:tr>
    </w:tbl>
    <w:p w:rsidR="00D06FD4" w:rsidRPr="00517553" w:rsidRDefault="00D06FD4" w:rsidP="008F4262">
      <w:pPr>
        <w:pStyle w:val="TableFooter"/>
        <w:widowControl/>
        <w:ind w:firstLine="720"/>
      </w:pPr>
      <w:r w:rsidRPr="00517553">
        <w:t>Source: compiled during the evaluation</w:t>
      </w:r>
    </w:p>
    <w:p w:rsidR="00102454" w:rsidRPr="00517553" w:rsidRDefault="00102454" w:rsidP="008F4262">
      <w:pPr>
        <w:widowControl/>
        <w:tabs>
          <w:tab w:val="left" w:pos="1459"/>
        </w:tabs>
        <w:rPr>
          <w:szCs w:val="22"/>
        </w:rPr>
      </w:pPr>
    </w:p>
    <w:p w:rsidR="00275C5A" w:rsidRPr="006B5448" w:rsidRDefault="00116A55" w:rsidP="008F4262">
      <w:pPr>
        <w:pStyle w:val="ListParagraph"/>
        <w:widowControl/>
        <w:numPr>
          <w:ilvl w:val="1"/>
          <w:numId w:val="1"/>
        </w:numPr>
        <w:rPr>
          <w:szCs w:val="22"/>
        </w:rPr>
      </w:pPr>
      <w:r w:rsidRPr="00517553">
        <w:t xml:space="preserve">The results of the modelled economic evaluation are presented in Table </w:t>
      </w:r>
      <w:r w:rsidR="00473520">
        <w:t>11</w:t>
      </w:r>
      <w:r w:rsidRPr="00517553">
        <w:t>.</w:t>
      </w:r>
    </w:p>
    <w:p w:rsidR="006B5448" w:rsidRPr="00517553" w:rsidRDefault="006B5448" w:rsidP="008F4262">
      <w:pPr>
        <w:pStyle w:val="ListParagraph"/>
        <w:widowControl/>
        <w:rPr>
          <w:szCs w:val="22"/>
        </w:rPr>
      </w:pPr>
    </w:p>
    <w:p w:rsidR="002570C5" w:rsidRPr="006B5448" w:rsidRDefault="002570C5" w:rsidP="008F4262">
      <w:pPr>
        <w:widowControl/>
        <w:ind w:firstLine="720"/>
        <w:rPr>
          <w:rStyle w:val="CommentReference"/>
          <w:rFonts w:ascii="Arial" w:hAnsi="Arial"/>
          <w:b w:val="0"/>
          <w:sz w:val="22"/>
          <w:szCs w:val="22"/>
        </w:rPr>
      </w:pPr>
      <w:r w:rsidRPr="00517553">
        <w:rPr>
          <w:rStyle w:val="CommentReference"/>
        </w:rPr>
        <w:t xml:space="preserve">Table </w:t>
      </w:r>
      <w:r w:rsidR="00473520">
        <w:rPr>
          <w:rStyle w:val="CommentReference"/>
        </w:rPr>
        <w:t>11</w:t>
      </w:r>
      <w:r w:rsidRPr="00517553">
        <w:rPr>
          <w:rStyle w:val="CommentReference"/>
        </w:rPr>
        <w:t>: Results of the economic evaluation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34"/>
        <w:gridCol w:w="2378"/>
        <w:gridCol w:w="2378"/>
        <w:gridCol w:w="2055"/>
      </w:tblGrid>
      <w:tr w:rsidR="00ED0561" w:rsidRPr="00517553" w:rsidTr="00ED0561">
        <w:tc>
          <w:tcPr>
            <w:tcW w:w="919" w:type="pct"/>
          </w:tcPr>
          <w:p w:rsidR="00ED0561" w:rsidRPr="00517553" w:rsidRDefault="00ED0561" w:rsidP="008F4262">
            <w:pPr>
              <w:widowControl/>
              <w:rPr>
                <w:rFonts w:ascii="Arial Narrow" w:hAnsi="Arial Narrow"/>
                <w:b/>
                <w:sz w:val="20"/>
              </w:rPr>
            </w:pPr>
            <w:r w:rsidRPr="00517553">
              <w:rPr>
                <w:rFonts w:ascii="Arial Narrow" w:hAnsi="Arial Narrow"/>
                <w:b/>
                <w:sz w:val="20"/>
              </w:rPr>
              <w:t>Component</w:t>
            </w:r>
          </w:p>
        </w:tc>
        <w:tc>
          <w:tcPr>
            <w:tcW w:w="1425" w:type="pct"/>
          </w:tcPr>
          <w:p w:rsidR="00ED0561" w:rsidRPr="00517553" w:rsidRDefault="00ED0561" w:rsidP="008F4262">
            <w:pPr>
              <w:widowControl/>
              <w:jc w:val="center"/>
              <w:rPr>
                <w:rFonts w:ascii="Arial Narrow" w:hAnsi="Arial Narrow"/>
                <w:b/>
                <w:sz w:val="20"/>
              </w:rPr>
            </w:pPr>
            <w:r w:rsidRPr="00517553">
              <w:rPr>
                <w:rFonts w:ascii="Arial Narrow" w:hAnsi="Arial Narrow"/>
                <w:b/>
                <w:sz w:val="20"/>
              </w:rPr>
              <w:t>OCRI</w:t>
            </w:r>
          </w:p>
        </w:tc>
        <w:tc>
          <w:tcPr>
            <w:tcW w:w="1425" w:type="pct"/>
          </w:tcPr>
          <w:p w:rsidR="00ED0561" w:rsidRPr="00517553" w:rsidRDefault="00ED0561" w:rsidP="008F4262">
            <w:pPr>
              <w:widowControl/>
              <w:jc w:val="center"/>
              <w:rPr>
                <w:rFonts w:ascii="Arial Narrow" w:hAnsi="Arial Narrow"/>
                <w:b/>
                <w:sz w:val="20"/>
              </w:rPr>
            </w:pPr>
            <w:r w:rsidRPr="00517553">
              <w:rPr>
                <w:rFonts w:ascii="Arial Narrow" w:hAnsi="Arial Narrow"/>
                <w:b/>
                <w:sz w:val="20"/>
              </w:rPr>
              <w:t>WW</w:t>
            </w:r>
          </w:p>
        </w:tc>
        <w:tc>
          <w:tcPr>
            <w:tcW w:w="1231" w:type="pct"/>
          </w:tcPr>
          <w:p w:rsidR="00ED0561" w:rsidRPr="00517553" w:rsidRDefault="00ED0561" w:rsidP="008F4262">
            <w:pPr>
              <w:widowControl/>
              <w:jc w:val="center"/>
              <w:rPr>
                <w:rFonts w:ascii="Arial Narrow" w:hAnsi="Arial Narrow"/>
                <w:b/>
                <w:sz w:val="20"/>
              </w:rPr>
            </w:pPr>
            <w:r w:rsidRPr="00517553">
              <w:rPr>
                <w:rFonts w:ascii="Arial Narrow" w:hAnsi="Arial Narrow"/>
                <w:b/>
                <w:sz w:val="20"/>
              </w:rPr>
              <w:t>Increment</w:t>
            </w:r>
          </w:p>
        </w:tc>
      </w:tr>
      <w:tr w:rsidR="00ED0561" w:rsidRPr="00517553" w:rsidTr="00ED0561">
        <w:tc>
          <w:tcPr>
            <w:tcW w:w="919" w:type="pct"/>
          </w:tcPr>
          <w:p w:rsidR="00ED0561" w:rsidRPr="00517553" w:rsidRDefault="00ED0561" w:rsidP="008F4262">
            <w:pPr>
              <w:widowControl/>
              <w:rPr>
                <w:rFonts w:ascii="Arial Narrow" w:hAnsi="Arial Narrow"/>
                <w:sz w:val="20"/>
              </w:rPr>
            </w:pPr>
            <w:r w:rsidRPr="00517553">
              <w:rPr>
                <w:rFonts w:ascii="Arial Narrow" w:hAnsi="Arial Narrow"/>
                <w:sz w:val="20"/>
              </w:rPr>
              <w:t>Costs</w:t>
            </w:r>
          </w:p>
        </w:tc>
        <w:tc>
          <w:tcPr>
            <w:tcW w:w="1425" w:type="pct"/>
            <w:vAlign w:val="center"/>
          </w:tcPr>
          <w:p w:rsidR="00ED0561" w:rsidRPr="00517553" w:rsidRDefault="00ED0561" w:rsidP="008F4262">
            <w:pPr>
              <w:widowControl/>
              <w:jc w:val="center"/>
              <w:rPr>
                <w:rFonts w:ascii="Arial Narrow" w:hAnsi="Arial Narrow"/>
                <w:sz w:val="20"/>
              </w:rPr>
            </w:pPr>
            <w:r w:rsidRPr="00517553">
              <w:rPr>
                <w:rFonts w:ascii="Arial Narrow" w:hAnsi="Arial Narrow" w:cs="Times New Roman"/>
                <w:bCs/>
                <w:sz w:val="20"/>
              </w:rPr>
              <w:t>$</w:t>
            </w:r>
            <w:r w:rsidR="0017165E">
              <w:rPr>
                <w:rFonts w:ascii="Arial Narrow" w:hAnsi="Arial Narrow" w:cs="Times New Roman"/>
                <w:bCs/>
                <w:noProof/>
                <w:color w:val="000000"/>
                <w:sz w:val="20"/>
                <w:highlight w:val="black"/>
              </w:rPr>
              <w:t>''''''''''''''</w:t>
            </w:r>
          </w:p>
        </w:tc>
        <w:tc>
          <w:tcPr>
            <w:tcW w:w="1425" w:type="pct"/>
            <w:vAlign w:val="center"/>
          </w:tcPr>
          <w:p w:rsidR="00ED0561" w:rsidRPr="00517553" w:rsidRDefault="00ED0561" w:rsidP="008F4262">
            <w:pPr>
              <w:widowControl/>
              <w:jc w:val="center"/>
              <w:rPr>
                <w:rFonts w:ascii="Arial Narrow" w:hAnsi="Arial Narrow"/>
                <w:sz w:val="20"/>
              </w:rPr>
            </w:pPr>
            <w:r w:rsidRPr="00517553">
              <w:rPr>
                <w:rFonts w:ascii="Arial Narrow" w:hAnsi="Arial Narrow" w:cs="Times New Roman"/>
                <w:bCs/>
                <w:sz w:val="20"/>
              </w:rPr>
              <w:t>$</w:t>
            </w:r>
            <w:r w:rsidR="0017165E">
              <w:rPr>
                <w:rFonts w:ascii="Arial Narrow" w:hAnsi="Arial Narrow" w:cs="Times New Roman"/>
                <w:bCs/>
                <w:noProof/>
                <w:color w:val="000000"/>
                <w:sz w:val="20"/>
                <w:highlight w:val="black"/>
              </w:rPr>
              <w:t>''''''''''''</w:t>
            </w:r>
          </w:p>
        </w:tc>
        <w:tc>
          <w:tcPr>
            <w:tcW w:w="1231" w:type="pct"/>
            <w:vAlign w:val="bottom"/>
          </w:tcPr>
          <w:p w:rsidR="00ED0561" w:rsidRPr="00517553" w:rsidRDefault="00ED0561" w:rsidP="008F4262">
            <w:pPr>
              <w:widowControl/>
              <w:jc w:val="center"/>
              <w:rPr>
                <w:rFonts w:ascii="Arial Narrow" w:hAnsi="Arial Narrow"/>
                <w:sz w:val="20"/>
              </w:rPr>
            </w:pPr>
            <w:r w:rsidRPr="00517553">
              <w:rPr>
                <w:rFonts w:ascii="Arial Narrow" w:hAnsi="Arial Narrow" w:cs="Times New Roman"/>
                <w:bCs/>
                <w:sz w:val="20"/>
              </w:rPr>
              <w:t>$</w:t>
            </w:r>
            <w:r w:rsidR="0017165E">
              <w:rPr>
                <w:rFonts w:ascii="Arial Narrow" w:hAnsi="Arial Narrow" w:cs="Times New Roman"/>
                <w:bCs/>
                <w:noProof/>
                <w:color w:val="000000"/>
                <w:sz w:val="20"/>
                <w:highlight w:val="black"/>
              </w:rPr>
              <w:t>''''''''''''</w:t>
            </w:r>
          </w:p>
        </w:tc>
      </w:tr>
      <w:tr w:rsidR="00ED0561" w:rsidRPr="00517553" w:rsidTr="00ED0561">
        <w:tc>
          <w:tcPr>
            <w:tcW w:w="919" w:type="pct"/>
          </w:tcPr>
          <w:p w:rsidR="00ED0561" w:rsidRPr="00517553" w:rsidRDefault="00ED0561" w:rsidP="008F4262">
            <w:pPr>
              <w:widowControl/>
              <w:rPr>
                <w:rFonts w:ascii="Arial Narrow" w:hAnsi="Arial Narrow"/>
                <w:sz w:val="20"/>
              </w:rPr>
            </w:pPr>
            <w:r w:rsidRPr="00517553">
              <w:rPr>
                <w:rFonts w:ascii="Arial Narrow" w:hAnsi="Arial Narrow"/>
                <w:sz w:val="20"/>
              </w:rPr>
              <w:t>QALYs</w:t>
            </w:r>
          </w:p>
        </w:tc>
        <w:tc>
          <w:tcPr>
            <w:tcW w:w="1425" w:type="pct"/>
            <w:vAlign w:val="center"/>
          </w:tcPr>
          <w:p w:rsidR="00ED0561" w:rsidRPr="00517553" w:rsidRDefault="00ED0561" w:rsidP="008F4262">
            <w:pPr>
              <w:widowControl/>
              <w:jc w:val="center"/>
              <w:rPr>
                <w:rFonts w:ascii="Arial Narrow" w:hAnsi="Arial Narrow"/>
                <w:sz w:val="20"/>
              </w:rPr>
            </w:pPr>
            <w:r w:rsidRPr="00517553">
              <w:rPr>
                <w:rFonts w:ascii="Arial Narrow" w:hAnsi="Arial Narrow"/>
                <w:sz w:val="20"/>
              </w:rPr>
              <w:t>10.2733</w:t>
            </w:r>
          </w:p>
        </w:tc>
        <w:tc>
          <w:tcPr>
            <w:tcW w:w="1425" w:type="pct"/>
            <w:vAlign w:val="center"/>
          </w:tcPr>
          <w:p w:rsidR="00ED0561" w:rsidRPr="00517553" w:rsidRDefault="00ED0561" w:rsidP="008F4262">
            <w:pPr>
              <w:widowControl/>
              <w:jc w:val="center"/>
              <w:rPr>
                <w:rFonts w:ascii="Arial Narrow" w:hAnsi="Arial Narrow"/>
                <w:sz w:val="20"/>
              </w:rPr>
            </w:pPr>
            <w:r w:rsidRPr="00517553">
              <w:rPr>
                <w:rFonts w:ascii="Arial Narrow" w:hAnsi="Arial Narrow"/>
                <w:sz w:val="20"/>
              </w:rPr>
              <w:t>10.2060</w:t>
            </w:r>
          </w:p>
        </w:tc>
        <w:tc>
          <w:tcPr>
            <w:tcW w:w="1231" w:type="pct"/>
            <w:vAlign w:val="bottom"/>
          </w:tcPr>
          <w:p w:rsidR="00ED0561" w:rsidRPr="00517553" w:rsidRDefault="00ED0561" w:rsidP="008F4262">
            <w:pPr>
              <w:widowControl/>
              <w:jc w:val="center"/>
              <w:rPr>
                <w:rFonts w:ascii="Arial Narrow" w:hAnsi="Arial Narrow"/>
                <w:sz w:val="20"/>
              </w:rPr>
            </w:pPr>
            <w:r w:rsidRPr="00517553">
              <w:rPr>
                <w:rFonts w:ascii="Arial Narrow" w:hAnsi="Arial Narrow"/>
                <w:bCs/>
                <w:sz w:val="20"/>
              </w:rPr>
              <w:t>0.0673</w:t>
            </w:r>
          </w:p>
        </w:tc>
      </w:tr>
      <w:tr w:rsidR="00ED0561" w:rsidRPr="00517553" w:rsidTr="00ED0561">
        <w:tc>
          <w:tcPr>
            <w:tcW w:w="3769" w:type="pct"/>
            <w:gridSpan w:val="3"/>
          </w:tcPr>
          <w:p w:rsidR="00ED0561" w:rsidRPr="00517553" w:rsidRDefault="00ED0561" w:rsidP="008F4262">
            <w:pPr>
              <w:widowControl/>
              <w:rPr>
                <w:rFonts w:ascii="Arial Narrow" w:hAnsi="Arial Narrow"/>
                <w:b/>
                <w:sz w:val="20"/>
              </w:rPr>
            </w:pPr>
            <w:r w:rsidRPr="00517553">
              <w:rPr>
                <w:rFonts w:ascii="Arial Narrow" w:hAnsi="Arial Narrow"/>
                <w:b/>
                <w:sz w:val="20"/>
              </w:rPr>
              <w:t>Incremental cost/extra QALY gained</w:t>
            </w:r>
          </w:p>
        </w:tc>
        <w:tc>
          <w:tcPr>
            <w:tcW w:w="1231" w:type="pct"/>
          </w:tcPr>
          <w:p w:rsidR="00ED0561" w:rsidRPr="00517553" w:rsidRDefault="00ED0561" w:rsidP="008F4262">
            <w:pPr>
              <w:widowControl/>
              <w:jc w:val="center"/>
              <w:rPr>
                <w:rFonts w:ascii="Arial Narrow" w:hAnsi="Arial Narrow"/>
                <w:b/>
                <w:sz w:val="20"/>
              </w:rPr>
            </w:pPr>
            <w:r w:rsidRPr="00517553">
              <w:rPr>
                <w:rFonts w:ascii="Arial Narrow" w:hAnsi="Arial Narrow"/>
                <w:b/>
                <w:sz w:val="20"/>
              </w:rPr>
              <w:t>$</w:t>
            </w:r>
            <w:r w:rsidR="0017165E">
              <w:rPr>
                <w:rFonts w:ascii="Arial Narrow" w:hAnsi="Arial Narrow"/>
                <w:b/>
                <w:noProof/>
                <w:color w:val="000000"/>
                <w:sz w:val="20"/>
                <w:highlight w:val="black"/>
              </w:rPr>
              <w:t>''''''''''''</w:t>
            </w:r>
          </w:p>
        </w:tc>
      </w:tr>
    </w:tbl>
    <w:p w:rsidR="00ED0561" w:rsidRPr="00517553" w:rsidRDefault="00ED0561" w:rsidP="008F4262">
      <w:pPr>
        <w:pStyle w:val="TableFooter"/>
        <w:widowControl/>
        <w:ind w:firstLine="709"/>
      </w:pPr>
      <w:r w:rsidRPr="00517553">
        <w:t xml:space="preserve">Source: Table 104, p256 of the </w:t>
      </w:r>
      <w:r w:rsidR="002A29D8" w:rsidRPr="00517553">
        <w:t>re-</w:t>
      </w:r>
      <w:r w:rsidRPr="00517553">
        <w:t>submission</w:t>
      </w:r>
    </w:p>
    <w:p w:rsidR="00ED0561" w:rsidRPr="00DC185F" w:rsidRDefault="00ED0561" w:rsidP="008F4262">
      <w:pPr>
        <w:widowControl/>
        <w:rPr>
          <w:rStyle w:val="CommentReference"/>
          <w:rFonts w:ascii="Arial" w:hAnsi="Arial"/>
          <w:b w:val="0"/>
          <w:sz w:val="22"/>
        </w:rPr>
      </w:pPr>
    </w:p>
    <w:p w:rsidR="00746AAF" w:rsidRDefault="00D047D7" w:rsidP="00044201">
      <w:pPr>
        <w:pStyle w:val="ListParagraph"/>
        <w:widowControl/>
        <w:numPr>
          <w:ilvl w:val="1"/>
          <w:numId w:val="1"/>
        </w:numPr>
        <w:rPr>
          <w:szCs w:val="22"/>
        </w:rPr>
      </w:pPr>
      <w:r w:rsidRPr="00E23349">
        <w:rPr>
          <w:szCs w:val="22"/>
        </w:rPr>
        <w:t>This compare</w:t>
      </w:r>
      <w:r w:rsidR="00310B4E" w:rsidRPr="00E23349">
        <w:rPr>
          <w:szCs w:val="22"/>
        </w:rPr>
        <w:t>d</w:t>
      </w:r>
      <w:r w:rsidRPr="00E23349">
        <w:rPr>
          <w:szCs w:val="22"/>
        </w:rPr>
        <w:t xml:space="preserve"> with ICERs of </w:t>
      </w:r>
      <w:r w:rsidR="00044201">
        <w:rPr>
          <w:szCs w:val="22"/>
        </w:rPr>
        <w:t xml:space="preserve">$15,000/QALY - $45,000/QALY </w:t>
      </w:r>
      <w:r w:rsidRPr="00E23349">
        <w:rPr>
          <w:szCs w:val="22"/>
        </w:rPr>
        <w:t xml:space="preserve">in VMT only subgroup; </w:t>
      </w:r>
      <w:r w:rsidR="00044201">
        <w:rPr>
          <w:szCs w:val="22"/>
        </w:rPr>
        <w:t xml:space="preserve">$45,000/QALY - $75,000/QALY </w:t>
      </w:r>
      <w:r w:rsidRPr="00E23349">
        <w:rPr>
          <w:szCs w:val="22"/>
        </w:rPr>
        <w:t xml:space="preserve">in VMT+ERM subgroup; </w:t>
      </w:r>
      <w:r w:rsidR="00044201">
        <w:rPr>
          <w:szCs w:val="22"/>
        </w:rPr>
        <w:t xml:space="preserve"> $15,000/QALY - $45,000/QALY</w:t>
      </w:r>
      <w:r w:rsidR="001F41BE">
        <w:rPr>
          <w:szCs w:val="22"/>
        </w:rPr>
        <w:t xml:space="preserve"> </w:t>
      </w:r>
      <w:r w:rsidRPr="00E23349">
        <w:rPr>
          <w:szCs w:val="22"/>
        </w:rPr>
        <w:t xml:space="preserve">in VMT+MH subgroup; weighted= </w:t>
      </w:r>
      <w:r w:rsidR="00044201">
        <w:rPr>
          <w:szCs w:val="22"/>
        </w:rPr>
        <w:t xml:space="preserve">$15,000/QALY - $45,000/QALY </w:t>
      </w:r>
      <w:r w:rsidRPr="00E23349">
        <w:rPr>
          <w:szCs w:val="22"/>
        </w:rPr>
        <w:t xml:space="preserve">from the </w:t>
      </w:r>
      <w:r w:rsidR="00CE7846" w:rsidRPr="00E23349">
        <w:rPr>
          <w:szCs w:val="22"/>
        </w:rPr>
        <w:t xml:space="preserve">integrated </w:t>
      </w:r>
      <w:r w:rsidRPr="00E23349">
        <w:rPr>
          <w:szCs w:val="22"/>
        </w:rPr>
        <w:t xml:space="preserve">co-dependent </w:t>
      </w:r>
      <w:r w:rsidR="00CE7846" w:rsidRPr="00E23349">
        <w:rPr>
          <w:szCs w:val="22"/>
        </w:rPr>
        <w:t>submission</w:t>
      </w:r>
      <w:r w:rsidRPr="00E23349">
        <w:rPr>
          <w:szCs w:val="22"/>
        </w:rPr>
        <w:t>.</w:t>
      </w:r>
    </w:p>
    <w:p w:rsidR="00E23349" w:rsidRPr="00F331B0" w:rsidRDefault="00E23349" w:rsidP="008F4262">
      <w:pPr>
        <w:widowControl/>
        <w:jc w:val="left"/>
        <w:rPr>
          <w:szCs w:val="22"/>
        </w:rPr>
      </w:pPr>
    </w:p>
    <w:p w:rsidR="00A86E8B" w:rsidRPr="00E23349" w:rsidRDefault="00D047D7" w:rsidP="008F4262">
      <w:pPr>
        <w:pStyle w:val="ListParagraph"/>
        <w:widowControl/>
        <w:numPr>
          <w:ilvl w:val="1"/>
          <w:numId w:val="1"/>
        </w:numPr>
        <w:rPr>
          <w:szCs w:val="22"/>
        </w:rPr>
      </w:pPr>
      <w:r w:rsidRPr="00E23349">
        <w:rPr>
          <w:iCs/>
        </w:rPr>
        <w:t>The current</w:t>
      </w:r>
      <w:r w:rsidR="00310B4E" w:rsidRPr="00E23349">
        <w:rPr>
          <w:iCs/>
        </w:rPr>
        <w:t xml:space="preserve"> model, based on OASIS, predicted</w:t>
      </w:r>
      <w:r w:rsidRPr="00E23349">
        <w:rPr>
          <w:iCs/>
        </w:rPr>
        <w:t xml:space="preserve"> a greater incremental proportion of patients </w:t>
      </w:r>
      <w:r w:rsidR="00310B4E" w:rsidRPr="00E23349">
        <w:rPr>
          <w:iCs/>
        </w:rPr>
        <w:t>would</w:t>
      </w:r>
      <w:r w:rsidRPr="00E23349">
        <w:rPr>
          <w:iCs/>
        </w:rPr>
        <w:t xml:space="preserve"> be resolved by 6 months (19.84%) compared to the previous model based on Trials TG-MV-006 and </w:t>
      </w:r>
      <w:r w:rsidR="00064591" w:rsidRPr="00E23349">
        <w:rPr>
          <w:iCs/>
        </w:rPr>
        <w:t>TG-MV</w:t>
      </w:r>
      <w:r w:rsidRPr="00E23349">
        <w:rPr>
          <w:iCs/>
        </w:rPr>
        <w:t xml:space="preserve">-007 (12.33%).  </w:t>
      </w:r>
      <w:r w:rsidRPr="005C1C1A">
        <w:rPr>
          <w:iCs/>
        </w:rPr>
        <w:t>The starting distribution in the resolved and unresolved anatomical health states at 6 months</w:t>
      </w:r>
      <w:r w:rsidR="00310B4E" w:rsidRPr="005C1C1A">
        <w:rPr>
          <w:iCs/>
        </w:rPr>
        <w:t xml:space="preserve"> wa</w:t>
      </w:r>
      <w:r w:rsidRPr="005C1C1A">
        <w:rPr>
          <w:iCs/>
        </w:rPr>
        <w:t xml:space="preserve">s one of the key drivers of the current model given non-surgical and surgical resolution </w:t>
      </w:r>
      <w:r w:rsidR="00310B4E" w:rsidRPr="005C1C1A">
        <w:rPr>
          <w:iCs/>
        </w:rPr>
        <w:t>was</w:t>
      </w:r>
      <w:r w:rsidRPr="005C1C1A">
        <w:rPr>
          <w:iCs/>
        </w:rPr>
        <w:t xml:space="preserve"> permitted for the duration of the model</w:t>
      </w:r>
      <w:r w:rsidRPr="00E23349">
        <w:rPr>
          <w:iCs/>
        </w:rPr>
        <w:t xml:space="preserve">; in the previous model, non-surgical resolution was not permitted beyond 6 months and surgical resolution was not permitted beyond </w:t>
      </w:r>
      <w:r w:rsidRPr="002E4926">
        <w:rPr>
          <w:iCs/>
        </w:rPr>
        <w:t>2.25</w:t>
      </w:r>
      <w:r w:rsidR="0017165E">
        <w:rPr>
          <w:iCs/>
          <w:noProof/>
          <w:color w:val="000000"/>
          <w:highlight w:val="black"/>
        </w:rPr>
        <w:t xml:space="preserve"> </w:t>
      </w:r>
      <w:r w:rsidRPr="00E23349">
        <w:rPr>
          <w:iCs/>
        </w:rPr>
        <w:t xml:space="preserve">years.  </w:t>
      </w:r>
      <w:r w:rsidR="00772F31" w:rsidRPr="00E23349">
        <w:rPr>
          <w:iCs/>
        </w:rPr>
        <w:t>T</w:t>
      </w:r>
      <w:r w:rsidRPr="00E23349">
        <w:rPr>
          <w:iCs/>
        </w:rPr>
        <w:t xml:space="preserve">he proportion of patients without an anatomical defect (with or regardless of </w:t>
      </w:r>
      <w:proofErr w:type="spellStart"/>
      <w:r w:rsidRPr="00E23349">
        <w:rPr>
          <w:iCs/>
        </w:rPr>
        <w:t>vitrectomy</w:t>
      </w:r>
      <w:proofErr w:type="spellEnd"/>
      <w:r w:rsidRPr="00E23349">
        <w:rPr>
          <w:iCs/>
        </w:rPr>
        <w:t xml:space="preserve">) </w:t>
      </w:r>
      <w:r w:rsidR="009746C7" w:rsidRPr="00E23349">
        <w:rPr>
          <w:iCs/>
        </w:rPr>
        <w:t>wa</w:t>
      </w:r>
      <w:r w:rsidRPr="00E23349">
        <w:rPr>
          <w:iCs/>
        </w:rPr>
        <w:t>s not reported in OASIS</w:t>
      </w:r>
      <w:r w:rsidR="0099709D" w:rsidRPr="00E23349">
        <w:rPr>
          <w:iCs/>
        </w:rPr>
        <w:t xml:space="preserve">, but the information </w:t>
      </w:r>
      <w:r w:rsidR="00473520" w:rsidRPr="00E23349">
        <w:rPr>
          <w:iCs/>
        </w:rPr>
        <w:t xml:space="preserve">was </w:t>
      </w:r>
      <w:r w:rsidR="0099709D" w:rsidRPr="00E23349">
        <w:rPr>
          <w:iCs/>
        </w:rPr>
        <w:t>provided in the PSCR</w:t>
      </w:r>
      <w:r w:rsidRPr="00E23349">
        <w:rPr>
          <w:iCs/>
        </w:rPr>
        <w:t>.</w:t>
      </w:r>
    </w:p>
    <w:p w:rsidR="00D047D7" w:rsidRPr="00E23349" w:rsidRDefault="00D047D7" w:rsidP="008F4262">
      <w:pPr>
        <w:widowControl/>
        <w:rPr>
          <w:szCs w:val="22"/>
        </w:rPr>
      </w:pPr>
    </w:p>
    <w:p w:rsidR="00EA7BCC" w:rsidRPr="00E23349" w:rsidRDefault="00772F31" w:rsidP="008F4262">
      <w:pPr>
        <w:pStyle w:val="ListParagraph"/>
        <w:widowControl/>
        <w:numPr>
          <w:ilvl w:val="1"/>
          <w:numId w:val="1"/>
        </w:numPr>
        <w:rPr>
          <w:szCs w:val="22"/>
        </w:rPr>
      </w:pPr>
      <w:r w:rsidRPr="00E23349">
        <w:rPr>
          <w:iCs/>
        </w:rPr>
        <w:t>The treatment effect</w:t>
      </w:r>
      <w:r w:rsidR="00DF2A44" w:rsidRPr="00E23349">
        <w:rPr>
          <w:iCs/>
        </w:rPr>
        <w:t>s</w:t>
      </w:r>
      <w:r w:rsidRPr="00E23349">
        <w:rPr>
          <w:iCs/>
        </w:rPr>
        <w:t xml:space="preserve"> in th</w:t>
      </w:r>
      <w:r w:rsidR="00310B4E" w:rsidRPr="00E23349">
        <w:rPr>
          <w:iCs/>
        </w:rPr>
        <w:t>e model w</w:t>
      </w:r>
      <w:r w:rsidR="00DF2A44" w:rsidRPr="00E23349">
        <w:rPr>
          <w:iCs/>
        </w:rPr>
        <w:t>ere</w:t>
      </w:r>
      <w:r w:rsidRPr="00E23349">
        <w:rPr>
          <w:iCs/>
        </w:rPr>
        <w:t xml:space="preserve"> both the time taken to transition to achieve VMT resolution and </w:t>
      </w:r>
      <w:r w:rsidR="00DF2A44" w:rsidRPr="00E23349">
        <w:rPr>
          <w:iCs/>
        </w:rPr>
        <w:t xml:space="preserve">also whether </w:t>
      </w:r>
      <w:r w:rsidRPr="00E23349">
        <w:rPr>
          <w:iCs/>
        </w:rPr>
        <w:t xml:space="preserve">the </w:t>
      </w:r>
      <w:r w:rsidR="00DF2A44" w:rsidRPr="00E23349">
        <w:rPr>
          <w:iCs/>
        </w:rPr>
        <w:t xml:space="preserve">patient subsequently </w:t>
      </w:r>
      <w:r w:rsidRPr="00E23349">
        <w:rPr>
          <w:iCs/>
        </w:rPr>
        <w:t xml:space="preserve">required a </w:t>
      </w:r>
      <w:proofErr w:type="spellStart"/>
      <w:r w:rsidRPr="00E23349">
        <w:rPr>
          <w:iCs/>
        </w:rPr>
        <w:t>vitrectomy</w:t>
      </w:r>
      <w:proofErr w:type="spellEnd"/>
      <w:r w:rsidRPr="00E23349">
        <w:rPr>
          <w:iCs/>
        </w:rPr>
        <w:t xml:space="preserve"> or not.  </w:t>
      </w:r>
      <w:r w:rsidR="005C1C1A">
        <w:rPr>
          <w:iCs/>
        </w:rPr>
        <w:t>T</w:t>
      </w:r>
      <w:r w:rsidRPr="00E23349">
        <w:rPr>
          <w:iCs/>
        </w:rPr>
        <w:t>he post</w:t>
      </w:r>
      <w:r w:rsidR="00DF2A44" w:rsidRPr="00E23349">
        <w:rPr>
          <w:iCs/>
        </w:rPr>
        <w:t xml:space="preserve"> </w:t>
      </w:r>
      <w:r w:rsidRPr="00E23349">
        <w:rPr>
          <w:iCs/>
        </w:rPr>
        <w:t xml:space="preserve">hoc outcome from TG-MV-006 and </w:t>
      </w:r>
      <w:r w:rsidR="00064591" w:rsidRPr="00E23349">
        <w:rPr>
          <w:iCs/>
        </w:rPr>
        <w:t>TG-MV</w:t>
      </w:r>
      <w:r w:rsidRPr="00E23349">
        <w:rPr>
          <w:iCs/>
        </w:rPr>
        <w:t xml:space="preserve">-007 of “no anatomical abnormality regardless of </w:t>
      </w:r>
      <w:proofErr w:type="spellStart"/>
      <w:r w:rsidRPr="00E23349">
        <w:rPr>
          <w:iCs/>
        </w:rPr>
        <w:t>vitrectomy</w:t>
      </w:r>
      <w:proofErr w:type="spellEnd"/>
      <w:r w:rsidRPr="00E23349">
        <w:rPr>
          <w:iCs/>
        </w:rPr>
        <w:t xml:space="preserve">” was no different across arms at 6 months.  </w:t>
      </w:r>
      <w:r w:rsidR="00BE251B" w:rsidRPr="00E23349">
        <w:rPr>
          <w:iCs/>
        </w:rPr>
        <w:t>However</w:t>
      </w:r>
      <w:r w:rsidR="005C1C1A">
        <w:rPr>
          <w:iCs/>
        </w:rPr>
        <w:t>,</w:t>
      </w:r>
      <w:r w:rsidR="00BE251B" w:rsidRPr="00E23349">
        <w:rPr>
          <w:iCs/>
        </w:rPr>
        <w:t xml:space="preserve"> OASIS found that there w</w:t>
      </w:r>
      <w:r w:rsidR="00777698" w:rsidRPr="00E23349">
        <w:rPr>
          <w:iCs/>
        </w:rPr>
        <w:t>as a</w:t>
      </w:r>
      <w:r w:rsidR="00BE251B" w:rsidRPr="00E23349">
        <w:rPr>
          <w:iCs/>
        </w:rPr>
        <w:t xml:space="preserve"> statistically significant difference</w:t>
      </w:r>
      <w:r w:rsidR="008016DF" w:rsidRPr="00E23349">
        <w:rPr>
          <w:iCs/>
        </w:rPr>
        <w:t xml:space="preserve"> </w:t>
      </w:r>
      <w:r w:rsidR="00777698" w:rsidRPr="00E23349">
        <w:rPr>
          <w:iCs/>
        </w:rPr>
        <w:t>for</w:t>
      </w:r>
      <w:r w:rsidR="008016DF" w:rsidRPr="00E23349">
        <w:rPr>
          <w:iCs/>
        </w:rPr>
        <w:t xml:space="preserve"> this </w:t>
      </w:r>
      <w:r w:rsidR="008016DF" w:rsidRPr="00E23349">
        <w:rPr>
          <w:iCs/>
        </w:rPr>
        <w:lastRenderedPageBreak/>
        <w:t>outcome</w:t>
      </w:r>
      <w:r w:rsidR="00777698" w:rsidRPr="00E23349">
        <w:rPr>
          <w:iCs/>
        </w:rPr>
        <w:t xml:space="preserve"> at 24 months</w:t>
      </w:r>
      <w:r w:rsidR="00BE251B" w:rsidRPr="00E23349">
        <w:rPr>
          <w:iCs/>
        </w:rPr>
        <w:t xml:space="preserve">. </w:t>
      </w:r>
      <w:r w:rsidR="007229D1">
        <w:rPr>
          <w:iCs/>
        </w:rPr>
        <w:t xml:space="preserve"> </w:t>
      </w:r>
      <w:r w:rsidR="00BE251B" w:rsidRPr="00E23349">
        <w:rPr>
          <w:iCs/>
        </w:rPr>
        <w:t>The</w:t>
      </w:r>
      <w:r w:rsidRPr="00E23349">
        <w:rPr>
          <w:iCs/>
        </w:rPr>
        <w:t xml:space="preserve"> secondary outcome of </w:t>
      </w:r>
      <w:proofErr w:type="spellStart"/>
      <w:r w:rsidRPr="00E23349">
        <w:rPr>
          <w:iCs/>
        </w:rPr>
        <w:t>vitrectomy</w:t>
      </w:r>
      <w:proofErr w:type="spellEnd"/>
      <w:r w:rsidRPr="00E23349">
        <w:rPr>
          <w:iCs/>
        </w:rPr>
        <w:t xml:space="preserve"> in OASIS at 24 months indicated no difference across arms.</w:t>
      </w:r>
    </w:p>
    <w:p w:rsidR="00BE251B" w:rsidRPr="00E23349" w:rsidRDefault="00BE251B" w:rsidP="008F4262">
      <w:pPr>
        <w:widowControl/>
      </w:pPr>
    </w:p>
    <w:p w:rsidR="00BE251B" w:rsidRDefault="00473520" w:rsidP="008F4262">
      <w:pPr>
        <w:pStyle w:val="ListParagraph"/>
        <w:widowControl/>
        <w:numPr>
          <w:ilvl w:val="1"/>
          <w:numId w:val="1"/>
        </w:numPr>
        <w:rPr>
          <w:szCs w:val="22"/>
        </w:rPr>
      </w:pPr>
      <w:r w:rsidRPr="00E23349">
        <w:rPr>
          <w:szCs w:val="22"/>
        </w:rPr>
        <w:t>The PSCR presented</w:t>
      </w:r>
      <w:r w:rsidR="00BE251B" w:rsidRPr="00E23349">
        <w:rPr>
          <w:szCs w:val="22"/>
        </w:rPr>
        <w:t xml:space="preserve"> two new sensitivit</w:t>
      </w:r>
      <w:r w:rsidR="00064591" w:rsidRPr="00E23349">
        <w:rPr>
          <w:szCs w:val="22"/>
        </w:rPr>
        <w:t>y analyses</w:t>
      </w:r>
      <w:r w:rsidR="00BE251B" w:rsidRPr="00E23349">
        <w:rPr>
          <w:szCs w:val="22"/>
        </w:rPr>
        <w:t xml:space="preserve"> of the modelled evaluation based on patient-level </w:t>
      </w:r>
      <w:r w:rsidR="00BE251B" w:rsidRPr="00E23349">
        <w:t>data</w:t>
      </w:r>
      <w:r w:rsidR="00BE251B" w:rsidRPr="00E23349">
        <w:rPr>
          <w:szCs w:val="22"/>
        </w:rPr>
        <w:t xml:space="preserve"> in TG-MV-006 and TG-MV-007 </w:t>
      </w:r>
      <w:r w:rsidR="00064591" w:rsidRPr="00E23349">
        <w:rPr>
          <w:szCs w:val="22"/>
        </w:rPr>
        <w:t xml:space="preserve">using </w:t>
      </w:r>
      <w:r w:rsidR="00BE251B" w:rsidRPr="00E23349">
        <w:rPr>
          <w:szCs w:val="22"/>
        </w:rPr>
        <w:t>the ITT population and the subgroup with no ERM and an adhesion diameter ≤1500</w:t>
      </w:r>
      <w:r w:rsidRPr="00E23349">
        <w:rPr>
          <w:szCs w:val="22"/>
        </w:rPr>
        <w:t> </w:t>
      </w:r>
      <w:r w:rsidR="00BE251B" w:rsidRPr="00E23349">
        <w:rPr>
          <w:szCs w:val="22"/>
        </w:rPr>
        <w:t xml:space="preserve">µm (Table </w:t>
      </w:r>
      <w:r w:rsidRPr="00E23349">
        <w:rPr>
          <w:szCs w:val="22"/>
        </w:rPr>
        <w:t>12).  The PSCR stated that</w:t>
      </w:r>
      <w:r w:rsidR="00BE251B" w:rsidRPr="00E23349">
        <w:rPr>
          <w:szCs w:val="22"/>
        </w:rPr>
        <w:t xml:space="preserve"> it </w:t>
      </w:r>
      <w:r w:rsidR="00064591" w:rsidRPr="00E23349">
        <w:rPr>
          <w:szCs w:val="22"/>
        </w:rPr>
        <w:t>wa</w:t>
      </w:r>
      <w:r w:rsidR="00BE251B" w:rsidRPr="00E23349">
        <w:rPr>
          <w:szCs w:val="22"/>
        </w:rPr>
        <w:t xml:space="preserve">s not appropriate to pool OASIS, TG-MV-006 and TG-MV-007 due to unequal patient numbers across treatment groups, different comparators (sham injection vs </w:t>
      </w:r>
      <w:proofErr w:type="spellStart"/>
      <w:r w:rsidR="00BE251B" w:rsidRPr="00E23349">
        <w:rPr>
          <w:szCs w:val="22"/>
        </w:rPr>
        <w:t>intravitreal</w:t>
      </w:r>
      <w:proofErr w:type="spellEnd"/>
      <w:r w:rsidR="00BE251B" w:rsidRPr="00E23349">
        <w:rPr>
          <w:szCs w:val="22"/>
        </w:rPr>
        <w:t xml:space="preserve"> placebo) and designs of the respective trials.</w:t>
      </w:r>
    </w:p>
    <w:p w:rsidR="0035639E" w:rsidRPr="0035639E" w:rsidRDefault="0035639E" w:rsidP="008F4262">
      <w:pPr>
        <w:widowControl/>
        <w:rPr>
          <w:b/>
          <w:szCs w:val="22"/>
        </w:rPr>
      </w:pPr>
    </w:p>
    <w:p w:rsidR="0099709D" w:rsidRPr="0035639E" w:rsidRDefault="0099709D" w:rsidP="008F4262">
      <w:pPr>
        <w:pStyle w:val="Subtitle"/>
        <w:ind w:left="720"/>
        <w:rPr>
          <w:rStyle w:val="CommentReference"/>
          <w:rFonts w:ascii="Arial" w:hAnsi="Arial" w:cs="Arial"/>
          <w:sz w:val="22"/>
          <w:szCs w:val="22"/>
        </w:rPr>
      </w:pPr>
      <w:r w:rsidRPr="0035639E">
        <w:rPr>
          <w:rStyle w:val="CommentReference"/>
          <w:b/>
        </w:rPr>
        <w:t xml:space="preserve">Table </w:t>
      </w:r>
      <w:r w:rsidR="00783938" w:rsidRPr="0035639E">
        <w:rPr>
          <w:rStyle w:val="CommentReference"/>
          <w:b/>
        </w:rPr>
        <w:t>12</w:t>
      </w:r>
      <w:r w:rsidRPr="0035639E">
        <w:rPr>
          <w:rStyle w:val="CommentReference"/>
          <w:b/>
        </w:rPr>
        <w:t>: Results of the economic evaluation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4"/>
        <w:gridCol w:w="2268"/>
        <w:gridCol w:w="1984"/>
        <w:gridCol w:w="1539"/>
      </w:tblGrid>
      <w:tr w:rsidR="0099709D" w:rsidRPr="004E2ADC" w:rsidTr="00783938">
        <w:tc>
          <w:tcPr>
            <w:tcW w:w="1530" w:type="pct"/>
          </w:tcPr>
          <w:p w:rsidR="0099709D" w:rsidRPr="007C64A8" w:rsidRDefault="0099709D" w:rsidP="008F4262">
            <w:pPr>
              <w:widowControl/>
              <w:rPr>
                <w:rFonts w:ascii="Arial Narrow" w:hAnsi="Arial Narrow"/>
                <w:b/>
                <w:sz w:val="20"/>
              </w:rPr>
            </w:pPr>
            <w:r w:rsidRPr="007C64A8">
              <w:rPr>
                <w:rFonts w:ascii="Arial Narrow" w:hAnsi="Arial Narrow"/>
                <w:b/>
                <w:sz w:val="20"/>
              </w:rPr>
              <w:t>Component</w:t>
            </w:r>
          </w:p>
        </w:tc>
        <w:tc>
          <w:tcPr>
            <w:tcW w:w="1359" w:type="pct"/>
          </w:tcPr>
          <w:p w:rsidR="0099709D" w:rsidRPr="007C64A8" w:rsidRDefault="0099709D" w:rsidP="008F4262">
            <w:pPr>
              <w:widowControl/>
              <w:jc w:val="center"/>
              <w:rPr>
                <w:rFonts w:ascii="Arial Narrow" w:hAnsi="Arial Narrow"/>
                <w:b/>
                <w:sz w:val="20"/>
              </w:rPr>
            </w:pPr>
            <w:r w:rsidRPr="007C64A8">
              <w:rPr>
                <w:rFonts w:ascii="Arial Narrow" w:hAnsi="Arial Narrow"/>
                <w:b/>
                <w:sz w:val="20"/>
              </w:rPr>
              <w:t>OCRI</w:t>
            </w:r>
          </w:p>
        </w:tc>
        <w:tc>
          <w:tcPr>
            <w:tcW w:w="1189" w:type="pct"/>
          </w:tcPr>
          <w:p w:rsidR="0099709D" w:rsidRPr="007C64A8" w:rsidRDefault="0099709D" w:rsidP="008F4262">
            <w:pPr>
              <w:widowControl/>
              <w:jc w:val="center"/>
              <w:rPr>
                <w:rFonts w:ascii="Arial Narrow" w:hAnsi="Arial Narrow"/>
                <w:b/>
                <w:sz w:val="20"/>
              </w:rPr>
            </w:pPr>
            <w:r w:rsidRPr="007C64A8">
              <w:rPr>
                <w:rFonts w:ascii="Arial Narrow" w:hAnsi="Arial Narrow"/>
                <w:b/>
                <w:sz w:val="20"/>
              </w:rPr>
              <w:t>WW</w:t>
            </w:r>
          </w:p>
        </w:tc>
        <w:tc>
          <w:tcPr>
            <w:tcW w:w="922" w:type="pct"/>
          </w:tcPr>
          <w:p w:rsidR="0099709D" w:rsidRPr="007C64A8" w:rsidRDefault="0099709D" w:rsidP="008F4262">
            <w:pPr>
              <w:widowControl/>
              <w:jc w:val="center"/>
              <w:rPr>
                <w:rFonts w:ascii="Arial Narrow" w:hAnsi="Arial Narrow"/>
                <w:b/>
                <w:sz w:val="20"/>
              </w:rPr>
            </w:pPr>
            <w:r w:rsidRPr="007C64A8">
              <w:rPr>
                <w:rFonts w:ascii="Arial Narrow" w:hAnsi="Arial Narrow"/>
                <w:b/>
                <w:sz w:val="20"/>
              </w:rPr>
              <w:t>Increment</w:t>
            </w:r>
          </w:p>
        </w:tc>
      </w:tr>
      <w:tr w:rsidR="0099709D" w:rsidRPr="004E2ADC" w:rsidTr="00783938">
        <w:tc>
          <w:tcPr>
            <w:tcW w:w="5000" w:type="pct"/>
            <w:gridSpan w:val="4"/>
            <w:vAlign w:val="center"/>
          </w:tcPr>
          <w:p w:rsidR="0099709D" w:rsidRPr="0091128A" w:rsidRDefault="0099709D" w:rsidP="008F4262">
            <w:pPr>
              <w:widowControl/>
              <w:rPr>
                <w:rFonts w:ascii="Arial Narrow" w:hAnsi="Arial Narrow"/>
                <w:b/>
                <w:bCs/>
                <w:sz w:val="20"/>
              </w:rPr>
            </w:pPr>
            <w:r>
              <w:rPr>
                <w:rFonts w:ascii="Arial Narrow" w:hAnsi="Arial Narrow"/>
                <w:b/>
                <w:bCs/>
                <w:sz w:val="20"/>
              </w:rPr>
              <w:t>Base case: OASIS (ITT)</w:t>
            </w:r>
          </w:p>
        </w:tc>
      </w:tr>
      <w:tr w:rsidR="0099709D" w:rsidRPr="004E2ADC" w:rsidTr="00783938">
        <w:tc>
          <w:tcPr>
            <w:tcW w:w="1530" w:type="pct"/>
          </w:tcPr>
          <w:p w:rsidR="0099709D" w:rsidRPr="004E2ADC" w:rsidRDefault="0099709D" w:rsidP="008F4262">
            <w:pPr>
              <w:widowControl/>
              <w:jc w:val="right"/>
              <w:rPr>
                <w:rFonts w:ascii="Arial Narrow" w:hAnsi="Arial Narrow"/>
                <w:sz w:val="20"/>
              </w:rPr>
            </w:pPr>
            <w:r w:rsidRPr="004E2ADC">
              <w:rPr>
                <w:rFonts w:ascii="Arial Narrow" w:hAnsi="Arial Narrow"/>
                <w:sz w:val="20"/>
              </w:rPr>
              <w:t>Costs</w:t>
            </w:r>
          </w:p>
        </w:tc>
        <w:tc>
          <w:tcPr>
            <w:tcW w:w="1359" w:type="pct"/>
            <w:vAlign w:val="center"/>
          </w:tcPr>
          <w:p w:rsidR="0099709D" w:rsidRPr="00EC4875" w:rsidRDefault="0099709D" w:rsidP="008F4262">
            <w:pPr>
              <w:widowControl/>
              <w:jc w:val="center"/>
              <w:rPr>
                <w:rFonts w:ascii="Arial Narrow" w:hAnsi="Arial Narrow"/>
                <w:sz w:val="20"/>
              </w:rPr>
            </w:pPr>
            <w:r w:rsidRPr="00EC4875">
              <w:rPr>
                <w:rFonts w:ascii="Arial Narrow" w:hAnsi="Arial Narrow"/>
                <w:sz w:val="20"/>
              </w:rPr>
              <w:t>$</w:t>
            </w:r>
            <w:r w:rsidR="0017165E">
              <w:rPr>
                <w:rFonts w:ascii="Arial Narrow" w:hAnsi="Arial Narrow"/>
                <w:noProof/>
                <w:color w:val="000000"/>
                <w:sz w:val="20"/>
                <w:highlight w:val="black"/>
              </w:rPr>
              <w:t>'''''''''''''</w:t>
            </w:r>
          </w:p>
        </w:tc>
        <w:tc>
          <w:tcPr>
            <w:tcW w:w="1189" w:type="pct"/>
            <w:vAlign w:val="center"/>
          </w:tcPr>
          <w:p w:rsidR="0099709D" w:rsidRPr="00EC4875" w:rsidRDefault="0099709D" w:rsidP="008F4262">
            <w:pPr>
              <w:widowControl/>
              <w:jc w:val="center"/>
              <w:rPr>
                <w:rFonts w:ascii="Arial Narrow" w:hAnsi="Arial Narrow"/>
                <w:sz w:val="20"/>
              </w:rPr>
            </w:pPr>
            <w:r w:rsidRPr="00EC4875">
              <w:rPr>
                <w:rFonts w:ascii="Arial Narrow" w:hAnsi="Arial Narrow"/>
                <w:sz w:val="20"/>
              </w:rPr>
              <w:t>$</w:t>
            </w:r>
            <w:r w:rsidR="0017165E">
              <w:rPr>
                <w:rFonts w:ascii="Arial Narrow" w:hAnsi="Arial Narrow"/>
                <w:noProof/>
                <w:color w:val="000000"/>
                <w:sz w:val="20"/>
                <w:highlight w:val="black"/>
              </w:rPr>
              <w:t>'''''''''''''</w:t>
            </w:r>
          </w:p>
        </w:tc>
        <w:tc>
          <w:tcPr>
            <w:tcW w:w="922" w:type="pct"/>
            <w:vAlign w:val="bottom"/>
          </w:tcPr>
          <w:p w:rsidR="0099709D" w:rsidRPr="00EC4875" w:rsidRDefault="0099709D" w:rsidP="008F4262">
            <w:pPr>
              <w:widowControl/>
              <w:jc w:val="center"/>
              <w:rPr>
                <w:rFonts w:ascii="Arial Narrow" w:hAnsi="Arial Narrow"/>
                <w:sz w:val="20"/>
              </w:rPr>
            </w:pPr>
            <w:r w:rsidRPr="00EC4875">
              <w:rPr>
                <w:rFonts w:ascii="Arial Narrow" w:hAnsi="Arial Narrow"/>
                <w:sz w:val="20"/>
              </w:rPr>
              <w:t>$</w:t>
            </w:r>
            <w:r w:rsidR="0017165E">
              <w:rPr>
                <w:rFonts w:ascii="Arial Narrow" w:hAnsi="Arial Narrow"/>
                <w:noProof/>
                <w:color w:val="000000"/>
                <w:sz w:val="20"/>
                <w:highlight w:val="black"/>
              </w:rPr>
              <w:t>'''''''''''''''</w:t>
            </w:r>
          </w:p>
        </w:tc>
      </w:tr>
      <w:tr w:rsidR="0099709D" w:rsidRPr="004E2ADC" w:rsidTr="00783938">
        <w:tc>
          <w:tcPr>
            <w:tcW w:w="1530" w:type="pct"/>
          </w:tcPr>
          <w:p w:rsidR="0099709D" w:rsidRPr="004E2ADC" w:rsidRDefault="0099709D" w:rsidP="008F4262">
            <w:pPr>
              <w:widowControl/>
              <w:jc w:val="right"/>
              <w:rPr>
                <w:rFonts w:ascii="Arial Narrow" w:hAnsi="Arial Narrow"/>
                <w:sz w:val="20"/>
              </w:rPr>
            </w:pPr>
            <w:r>
              <w:rPr>
                <w:rFonts w:ascii="Arial Narrow" w:hAnsi="Arial Narrow"/>
                <w:sz w:val="20"/>
              </w:rPr>
              <w:t>QALYs</w:t>
            </w:r>
          </w:p>
        </w:tc>
        <w:tc>
          <w:tcPr>
            <w:tcW w:w="1359" w:type="pct"/>
            <w:vAlign w:val="center"/>
          </w:tcPr>
          <w:p w:rsidR="0099709D" w:rsidRPr="00EC4875" w:rsidRDefault="0099709D" w:rsidP="008F4262">
            <w:pPr>
              <w:widowControl/>
              <w:jc w:val="center"/>
              <w:rPr>
                <w:rFonts w:ascii="Arial Narrow" w:hAnsi="Arial Narrow"/>
                <w:sz w:val="20"/>
              </w:rPr>
            </w:pPr>
            <w:r w:rsidRPr="00EC4875">
              <w:rPr>
                <w:rFonts w:ascii="Arial Narrow" w:hAnsi="Arial Narrow"/>
                <w:sz w:val="20"/>
              </w:rPr>
              <w:t>10.2733</w:t>
            </w:r>
          </w:p>
        </w:tc>
        <w:tc>
          <w:tcPr>
            <w:tcW w:w="1189" w:type="pct"/>
            <w:vAlign w:val="center"/>
          </w:tcPr>
          <w:p w:rsidR="0099709D" w:rsidRPr="00EC4875" w:rsidRDefault="0099709D" w:rsidP="008F4262">
            <w:pPr>
              <w:widowControl/>
              <w:jc w:val="center"/>
              <w:rPr>
                <w:rFonts w:ascii="Arial Narrow" w:hAnsi="Arial Narrow"/>
                <w:sz w:val="20"/>
              </w:rPr>
            </w:pPr>
            <w:r w:rsidRPr="00EC4875">
              <w:rPr>
                <w:rFonts w:ascii="Arial Narrow" w:hAnsi="Arial Narrow"/>
                <w:sz w:val="20"/>
              </w:rPr>
              <w:t>10.2060</w:t>
            </w:r>
          </w:p>
        </w:tc>
        <w:tc>
          <w:tcPr>
            <w:tcW w:w="922" w:type="pct"/>
            <w:vAlign w:val="bottom"/>
          </w:tcPr>
          <w:p w:rsidR="0099709D" w:rsidRPr="00EC4875" w:rsidRDefault="0099709D" w:rsidP="008F4262">
            <w:pPr>
              <w:widowControl/>
              <w:jc w:val="center"/>
              <w:rPr>
                <w:rFonts w:ascii="Arial Narrow" w:hAnsi="Arial Narrow"/>
                <w:sz w:val="20"/>
              </w:rPr>
            </w:pPr>
            <w:r w:rsidRPr="00EC4875">
              <w:rPr>
                <w:rFonts w:ascii="Arial Narrow" w:hAnsi="Arial Narrow"/>
                <w:sz w:val="20"/>
              </w:rPr>
              <w:t>0.0673</w:t>
            </w:r>
          </w:p>
        </w:tc>
      </w:tr>
      <w:tr w:rsidR="0099709D" w:rsidRPr="004E2ADC" w:rsidTr="00783938">
        <w:tc>
          <w:tcPr>
            <w:tcW w:w="4078" w:type="pct"/>
            <w:gridSpan w:val="3"/>
            <w:vAlign w:val="center"/>
          </w:tcPr>
          <w:p w:rsidR="0099709D" w:rsidRPr="008A5ACD" w:rsidRDefault="0099709D" w:rsidP="008F4262">
            <w:pPr>
              <w:widowControl/>
              <w:jc w:val="right"/>
              <w:rPr>
                <w:rFonts w:ascii="Arial Narrow" w:hAnsi="Arial Narrow"/>
                <w:b/>
                <w:sz w:val="20"/>
              </w:rPr>
            </w:pPr>
            <w:r w:rsidRPr="008A5ACD">
              <w:rPr>
                <w:rFonts w:ascii="Arial Narrow" w:hAnsi="Arial Narrow"/>
                <w:b/>
                <w:sz w:val="20"/>
              </w:rPr>
              <w:t>Incremental cost/extra QALY gained</w:t>
            </w:r>
          </w:p>
        </w:tc>
        <w:tc>
          <w:tcPr>
            <w:tcW w:w="922" w:type="pct"/>
          </w:tcPr>
          <w:p w:rsidR="0099709D" w:rsidRPr="004E2ADC" w:rsidRDefault="0099709D" w:rsidP="008F4262">
            <w:pPr>
              <w:widowControl/>
              <w:jc w:val="center"/>
              <w:rPr>
                <w:rFonts w:ascii="Arial Narrow" w:hAnsi="Arial Narrow"/>
                <w:b/>
                <w:sz w:val="20"/>
              </w:rPr>
            </w:pPr>
            <w:r>
              <w:rPr>
                <w:rFonts w:ascii="Arial Narrow" w:hAnsi="Arial Narrow"/>
                <w:b/>
                <w:sz w:val="20"/>
              </w:rPr>
              <w:t>$</w:t>
            </w:r>
            <w:r w:rsidR="000D4EF3">
              <w:rPr>
                <w:rFonts w:ascii="Arial Narrow" w:hAnsi="Arial Narrow"/>
                <w:b/>
                <w:noProof/>
                <w:color w:val="000000"/>
                <w:sz w:val="20"/>
                <w:highlight w:val="black"/>
              </w:rPr>
              <w:t>''''''''''''</w:t>
            </w:r>
          </w:p>
        </w:tc>
      </w:tr>
      <w:tr w:rsidR="0099709D" w:rsidRPr="004E2ADC" w:rsidTr="00783938">
        <w:tc>
          <w:tcPr>
            <w:tcW w:w="5000" w:type="pct"/>
            <w:gridSpan w:val="4"/>
            <w:vAlign w:val="center"/>
          </w:tcPr>
          <w:p w:rsidR="0099709D" w:rsidRPr="008A5ACD" w:rsidRDefault="0099709D" w:rsidP="008F4262">
            <w:pPr>
              <w:widowControl/>
              <w:rPr>
                <w:rFonts w:ascii="Arial Narrow" w:hAnsi="Arial Narrow"/>
                <w:b/>
                <w:bCs/>
                <w:sz w:val="20"/>
              </w:rPr>
            </w:pPr>
            <w:r w:rsidRPr="008A5ACD">
              <w:rPr>
                <w:rFonts w:ascii="Arial Narrow" w:hAnsi="Arial Narrow"/>
                <w:b/>
                <w:bCs/>
                <w:sz w:val="20"/>
              </w:rPr>
              <w:t>Sensitivity 1: TG-MV-006 + TG-MV-007 (ITT)</w:t>
            </w:r>
          </w:p>
        </w:tc>
      </w:tr>
      <w:tr w:rsidR="0099709D" w:rsidRPr="004E2ADC" w:rsidTr="00783938">
        <w:tc>
          <w:tcPr>
            <w:tcW w:w="1530" w:type="pct"/>
          </w:tcPr>
          <w:p w:rsidR="0099709D" w:rsidRPr="004E2ADC" w:rsidRDefault="0099709D" w:rsidP="008F4262">
            <w:pPr>
              <w:widowControl/>
              <w:jc w:val="right"/>
              <w:rPr>
                <w:rFonts w:ascii="Arial Narrow" w:hAnsi="Arial Narrow"/>
                <w:sz w:val="20"/>
              </w:rPr>
            </w:pPr>
            <w:r w:rsidRPr="004E2ADC">
              <w:rPr>
                <w:rFonts w:ascii="Arial Narrow" w:hAnsi="Arial Narrow"/>
                <w:sz w:val="20"/>
              </w:rPr>
              <w:t>Costs</w:t>
            </w:r>
          </w:p>
        </w:tc>
        <w:tc>
          <w:tcPr>
            <w:tcW w:w="1359" w:type="pct"/>
            <w:vAlign w:val="bottom"/>
          </w:tcPr>
          <w:p w:rsidR="0099709D" w:rsidRPr="004A0FA4" w:rsidRDefault="0099709D" w:rsidP="008F4262">
            <w:pPr>
              <w:widowControl/>
              <w:jc w:val="center"/>
              <w:rPr>
                <w:rFonts w:ascii="Arial Narrow" w:hAnsi="Arial Narrow"/>
                <w:sz w:val="20"/>
              </w:rPr>
            </w:pPr>
            <w:r>
              <w:rPr>
                <w:rFonts w:ascii="Arial Narrow" w:hAnsi="Arial Narrow"/>
                <w:sz w:val="20"/>
              </w:rPr>
              <w:t>$</w:t>
            </w:r>
            <w:r w:rsidR="0017165E">
              <w:rPr>
                <w:rFonts w:ascii="Arial Narrow" w:hAnsi="Arial Narrow"/>
                <w:noProof/>
                <w:color w:val="000000"/>
                <w:sz w:val="20"/>
                <w:highlight w:val="black"/>
              </w:rPr>
              <w:t>'''''''''''''</w:t>
            </w:r>
          </w:p>
        </w:tc>
        <w:tc>
          <w:tcPr>
            <w:tcW w:w="1189" w:type="pct"/>
            <w:vAlign w:val="bottom"/>
          </w:tcPr>
          <w:p w:rsidR="0099709D" w:rsidRPr="004A0FA4" w:rsidRDefault="0099709D" w:rsidP="008F4262">
            <w:pPr>
              <w:widowControl/>
              <w:jc w:val="center"/>
              <w:rPr>
                <w:rFonts w:ascii="Arial Narrow" w:hAnsi="Arial Narrow"/>
                <w:sz w:val="20"/>
              </w:rPr>
            </w:pPr>
            <w:r>
              <w:rPr>
                <w:rFonts w:ascii="Arial Narrow" w:hAnsi="Arial Narrow"/>
                <w:sz w:val="20"/>
              </w:rPr>
              <w:t>$</w:t>
            </w:r>
            <w:r w:rsidR="0017165E">
              <w:rPr>
                <w:rFonts w:ascii="Arial Narrow" w:hAnsi="Arial Narrow"/>
                <w:noProof/>
                <w:color w:val="000000"/>
                <w:sz w:val="20"/>
                <w:highlight w:val="black"/>
              </w:rPr>
              <w:t>''''''''''''''</w:t>
            </w:r>
          </w:p>
        </w:tc>
        <w:tc>
          <w:tcPr>
            <w:tcW w:w="922" w:type="pct"/>
            <w:vAlign w:val="bottom"/>
          </w:tcPr>
          <w:p w:rsidR="0099709D" w:rsidRPr="004A0FA4" w:rsidRDefault="0099709D" w:rsidP="008F4262">
            <w:pPr>
              <w:widowControl/>
              <w:jc w:val="center"/>
              <w:rPr>
                <w:rFonts w:ascii="Arial Narrow" w:hAnsi="Arial Narrow"/>
                <w:sz w:val="20"/>
              </w:rPr>
            </w:pPr>
            <w:r>
              <w:rPr>
                <w:rFonts w:ascii="Arial Narrow" w:hAnsi="Arial Narrow"/>
                <w:sz w:val="20"/>
              </w:rPr>
              <w:t>$</w:t>
            </w:r>
            <w:r w:rsidR="0017165E">
              <w:rPr>
                <w:rFonts w:ascii="Arial Narrow" w:hAnsi="Arial Narrow"/>
                <w:noProof/>
                <w:color w:val="000000"/>
                <w:sz w:val="20"/>
                <w:highlight w:val="black"/>
              </w:rPr>
              <w:t>'''''''''''''</w:t>
            </w:r>
          </w:p>
        </w:tc>
      </w:tr>
      <w:tr w:rsidR="0099709D" w:rsidRPr="004E2ADC" w:rsidTr="00783938">
        <w:tc>
          <w:tcPr>
            <w:tcW w:w="1530" w:type="pct"/>
          </w:tcPr>
          <w:p w:rsidR="0099709D" w:rsidRPr="004E2ADC" w:rsidRDefault="0099709D" w:rsidP="008F4262">
            <w:pPr>
              <w:widowControl/>
              <w:jc w:val="right"/>
              <w:rPr>
                <w:rFonts w:ascii="Arial Narrow" w:hAnsi="Arial Narrow"/>
                <w:sz w:val="20"/>
              </w:rPr>
            </w:pPr>
            <w:r>
              <w:rPr>
                <w:rFonts w:ascii="Arial Narrow" w:hAnsi="Arial Narrow"/>
                <w:sz w:val="20"/>
              </w:rPr>
              <w:t>QALYs</w:t>
            </w:r>
          </w:p>
        </w:tc>
        <w:tc>
          <w:tcPr>
            <w:tcW w:w="1359" w:type="pct"/>
            <w:vAlign w:val="bottom"/>
          </w:tcPr>
          <w:p w:rsidR="0099709D" w:rsidRPr="004A0FA4" w:rsidRDefault="0099709D" w:rsidP="008F4262">
            <w:pPr>
              <w:widowControl/>
              <w:jc w:val="center"/>
              <w:rPr>
                <w:rFonts w:ascii="Arial Narrow" w:hAnsi="Arial Narrow"/>
                <w:sz w:val="20"/>
              </w:rPr>
            </w:pPr>
            <w:r w:rsidRPr="004A0FA4">
              <w:rPr>
                <w:rFonts w:ascii="Arial Narrow" w:hAnsi="Arial Narrow"/>
                <w:sz w:val="20"/>
              </w:rPr>
              <w:t>10.2386</w:t>
            </w:r>
          </w:p>
        </w:tc>
        <w:tc>
          <w:tcPr>
            <w:tcW w:w="1189" w:type="pct"/>
            <w:vAlign w:val="bottom"/>
          </w:tcPr>
          <w:p w:rsidR="0099709D" w:rsidRPr="004A0FA4" w:rsidRDefault="0099709D" w:rsidP="008F4262">
            <w:pPr>
              <w:widowControl/>
              <w:jc w:val="center"/>
              <w:rPr>
                <w:rFonts w:ascii="Arial Narrow" w:hAnsi="Arial Narrow"/>
                <w:sz w:val="20"/>
              </w:rPr>
            </w:pPr>
            <w:r w:rsidRPr="004A0FA4">
              <w:rPr>
                <w:rFonts w:ascii="Arial Narrow" w:hAnsi="Arial Narrow"/>
                <w:sz w:val="20"/>
              </w:rPr>
              <w:t>10.2009</w:t>
            </w:r>
          </w:p>
        </w:tc>
        <w:tc>
          <w:tcPr>
            <w:tcW w:w="922" w:type="pct"/>
            <w:vAlign w:val="bottom"/>
          </w:tcPr>
          <w:p w:rsidR="0099709D" w:rsidRPr="004A0FA4" w:rsidRDefault="0099709D" w:rsidP="008F4262">
            <w:pPr>
              <w:widowControl/>
              <w:jc w:val="center"/>
              <w:rPr>
                <w:rFonts w:ascii="Arial Narrow" w:hAnsi="Arial Narrow"/>
                <w:sz w:val="20"/>
              </w:rPr>
            </w:pPr>
            <w:r w:rsidRPr="004A0FA4">
              <w:rPr>
                <w:rFonts w:ascii="Arial Narrow" w:hAnsi="Arial Narrow"/>
                <w:sz w:val="20"/>
              </w:rPr>
              <w:t>0.0377</w:t>
            </w:r>
          </w:p>
        </w:tc>
      </w:tr>
      <w:tr w:rsidR="0099709D" w:rsidRPr="004E2ADC" w:rsidTr="00783938">
        <w:tc>
          <w:tcPr>
            <w:tcW w:w="4078" w:type="pct"/>
            <w:gridSpan w:val="3"/>
            <w:vAlign w:val="center"/>
          </w:tcPr>
          <w:p w:rsidR="0099709D" w:rsidRPr="008A5ACD" w:rsidRDefault="0099709D" w:rsidP="008F4262">
            <w:pPr>
              <w:widowControl/>
              <w:jc w:val="right"/>
              <w:rPr>
                <w:rFonts w:ascii="Arial Narrow" w:hAnsi="Arial Narrow"/>
                <w:b/>
                <w:sz w:val="20"/>
              </w:rPr>
            </w:pPr>
            <w:r w:rsidRPr="008A5ACD">
              <w:rPr>
                <w:rFonts w:ascii="Arial Narrow" w:hAnsi="Arial Narrow"/>
                <w:b/>
                <w:sz w:val="20"/>
              </w:rPr>
              <w:t>Incremental cost/extra QALY gained</w:t>
            </w:r>
          </w:p>
        </w:tc>
        <w:tc>
          <w:tcPr>
            <w:tcW w:w="922" w:type="pct"/>
          </w:tcPr>
          <w:p w:rsidR="0099709D" w:rsidRPr="004A0FA4" w:rsidRDefault="0099709D" w:rsidP="008F4262">
            <w:pPr>
              <w:widowControl/>
              <w:jc w:val="center"/>
              <w:rPr>
                <w:rFonts w:ascii="Arial Narrow" w:hAnsi="Arial Narrow"/>
                <w:b/>
                <w:bCs/>
                <w:sz w:val="20"/>
              </w:rPr>
            </w:pPr>
            <w:r w:rsidRPr="004A0FA4">
              <w:rPr>
                <w:rFonts w:ascii="Arial Narrow" w:hAnsi="Arial Narrow"/>
                <w:b/>
                <w:bCs/>
                <w:sz w:val="20"/>
              </w:rPr>
              <w:t>$</w:t>
            </w:r>
            <w:r w:rsidR="0017165E">
              <w:rPr>
                <w:rFonts w:ascii="Arial Narrow" w:hAnsi="Arial Narrow"/>
                <w:b/>
                <w:bCs/>
                <w:noProof/>
                <w:color w:val="000000"/>
                <w:sz w:val="20"/>
                <w:highlight w:val="black"/>
              </w:rPr>
              <w:t>'''''''''''''</w:t>
            </w:r>
          </w:p>
        </w:tc>
      </w:tr>
      <w:tr w:rsidR="0099709D" w:rsidRPr="004E2ADC" w:rsidTr="00783938">
        <w:tc>
          <w:tcPr>
            <w:tcW w:w="5000" w:type="pct"/>
            <w:gridSpan w:val="4"/>
            <w:vAlign w:val="center"/>
          </w:tcPr>
          <w:p w:rsidR="0099709D" w:rsidRPr="008A5ACD" w:rsidRDefault="0099709D" w:rsidP="008F4262">
            <w:pPr>
              <w:widowControl/>
              <w:rPr>
                <w:rFonts w:ascii="Arial Narrow" w:hAnsi="Arial Narrow"/>
                <w:b/>
                <w:bCs/>
                <w:sz w:val="20"/>
              </w:rPr>
            </w:pPr>
            <w:r w:rsidRPr="008A5ACD">
              <w:rPr>
                <w:rFonts w:ascii="Arial Narrow" w:hAnsi="Arial Narrow"/>
                <w:b/>
                <w:bCs/>
                <w:sz w:val="20"/>
              </w:rPr>
              <w:t>Sensitivity 2: TG-MV-006 + TG-MV-007 (no ERM, adhesion ≤1500</w:t>
            </w:r>
            <w:r w:rsidR="00064591">
              <w:rPr>
                <w:rFonts w:ascii="Arial Narrow" w:hAnsi="Arial Narrow"/>
                <w:b/>
                <w:bCs/>
                <w:sz w:val="20"/>
              </w:rPr>
              <w:t> </w:t>
            </w:r>
            <w:r w:rsidRPr="008A5ACD">
              <w:rPr>
                <w:rFonts w:ascii="Arial Narrow" w:hAnsi="Arial Narrow"/>
                <w:b/>
                <w:bCs/>
                <w:sz w:val="20"/>
              </w:rPr>
              <w:t>µm)</w:t>
            </w:r>
          </w:p>
        </w:tc>
      </w:tr>
      <w:tr w:rsidR="0099709D" w:rsidRPr="004E2ADC" w:rsidTr="00783938">
        <w:tc>
          <w:tcPr>
            <w:tcW w:w="1530" w:type="pct"/>
          </w:tcPr>
          <w:p w:rsidR="0099709D" w:rsidRPr="004E2ADC" w:rsidRDefault="0099709D" w:rsidP="008F4262">
            <w:pPr>
              <w:widowControl/>
              <w:jc w:val="right"/>
              <w:rPr>
                <w:rFonts w:ascii="Arial Narrow" w:hAnsi="Arial Narrow"/>
                <w:sz w:val="20"/>
              </w:rPr>
            </w:pPr>
            <w:r w:rsidRPr="004E2ADC">
              <w:rPr>
                <w:rFonts w:ascii="Arial Narrow" w:hAnsi="Arial Narrow"/>
                <w:sz w:val="20"/>
              </w:rPr>
              <w:t>Costs</w:t>
            </w:r>
          </w:p>
        </w:tc>
        <w:tc>
          <w:tcPr>
            <w:tcW w:w="1359" w:type="pct"/>
            <w:vAlign w:val="bottom"/>
          </w:tcPr>
          <w:p w:rsidR="0099709D" w:rsidRPr="004A0FA4" w:rsidRDefault="0099709D" w:rsidP="008F4262">
            <w:pPr>
              <w:widowControl/>
              <w:jc w:val="center"/>
              <w:rPr>
                <w:rFonts w:ascii="Arial Narrow" w:hAnsi="Arial Narrow"/>
                <w:sz w:val="20"/>
              </w:rPr>
            </w:pPr>
            <w:r>
              <w:rPr>
                <w:rFonts w:ascii="Arial Narrow" w:hAnsi="Arial Narrow"/>
                <w:sz w:val="20"/>
              </w:rPr>
              <w:t>$</w:t>
            </w:r>
            <w:r w:rsidR="0017165E">
              <w:rPr>
                <w:rFonts w:ascii="Arial Narrow" w:hAnsi="Arial Narrow"/>
                <w:noProof/>
                <w:color w:val="000000"/>
                <w:sz w:val="20"/>
                <w:highlight w:val="black"/>
              </w:rPr>
              <w:t>''''''''''''''</w:t>
            </w:r>
          </w:p>
        </w:tc>
        <w:tc>
          <w:tcPr>
            <w:tcW w:w="1189" w:type="pct"/>
            <w:vAlign w:val="bottom"/>
          </w:tcPr>
          <w:p w:rsidR="0099709D" w:rsidRPr="004A0FA4" w:rsidRDefault="0099709D" w:rsidP="008F4262">
            <w:pPr>
              <w:widowControl/>
              <w:jc w:val="center"/>
              <w:rPr>
                <w:rFonts w:ascii="Arial Narrow" w:hAnsi="Arial Narrow"/>
                <w:sz w:val="20"/>
              </w:rPr>
            </w:pPr>
            <w:r>
              <w:rPr>
                <w:rFonts w:ascii="Arial Narrow" w:hAnsi="Arial Narrow"/>
                <w:sz w:val="20"/>
              </w:rPr>
              <w:t>$</w:t>
            </w:r>
            <w:r w:rsidR="0017165E">
              <w:rPr>
                <w:rFonts w:ascii="Arial Narrow" w:hAnsi="Arial Narrow"/>
                <w:noProof/>
                <w:color w:val="000000"/>
                <w:sz w:val="20"/>
                <w:highlight w:val="black"/>
              </w:rPr>
              <w:t>''''''''''''</w:t>
            </w:r>
          </w:p>
        </w:tc>
        <w:tc>
          <w:tcPr>
            <w:tcW w:w="922" w:type="pct"/>
            <w:vAlign w:val="bottom"/>
          </w:tcPr>
          <w:p w:rsidR="0099709D" w:rsidRPr="004A0FA4" w:rsidRDefault="0099709D" w:rsidP="008F4262">
            <w:pPr>
              <w:widowControl/>
              <w:jc w:val="center"/>
              <w:rPr>
                <w:rFonts w:ascii="Arial Narrow" w:hAnsi="Arial Narrow"/>
                <w:sz w:val="20"/>
              </w:rPr>
            </w:pPr>
            <w:r>
              <w:rPr>
                <w:rFonts w:ascii="Arial Narrow" w:hAnsi="Arial Narrow"/>
                <w:sz w:val="20"/>
              </w:rPr>
              <w:t>$</w:t>
            </w:r>
            <w:r w:rsidR="0017165E">
              <w:rPr>
                <w:rFonts w:ascii="Arial Narrow" w:hAnsi="Arial Narrow"/>
                <w:noProof/>
                <w:color w:val="000000"/>
                <w:sz w:val="20"/>
                <w:highlight w:val="black"/>
              </w:rPr>
              <w:t>''''''''''''''</w:t>
            </w:r>
          </w:p>
        </w:tc>
      </w:tr>
      <w:tr w:rsidR="0099709D" w:rsidRPr="004E2ADC" w:rsidTr="00783938">
        <w:tc>
          <w:tcPr>
            <w:tcW w:w="1530" w:type="pct"/>
          </w:tcPr>
          <w:p w:rsidR="0099709D" w:rsidRPr="004E2ADC" w:rsidRDefault="0099709D" w:rsidP="008F4262">
            <w:pPr>
              <w:widowControl/>
              <w:jc w:val="right"/>
              <w:rPr>
                <w:rFonts w:ascii="Arial Narrow" w:hAnsi="Arial Narrow"/>
                <w:sz w:val="20"/>
              </w:rPr>
            </w:pPr>
            <w:r>
              <w:rPr>
                <w:rFonts w:ascii="Arial Narrow" w:hAnsi="Arial Narrow"/>
                <w:sz w:val="20"/>
              </w:rPr>
              <w:t>QALYs</w:t>
            </w:r>
          </w:p>
        </w:tc>
        <w:tc>
          <w:tcPr>
            <w:tcW w:w="1359" w:type="pct"/>
            <w:vAlign w:val="bottom"/>
          </w:tcPr>
          <w:p w:rsidR="0099709D" w:rsidRPr="004A0FA4" w:rsidRDefault="0099709D" w:rsidP="008F4262">
            <w:pPr>
              <w:widowControl/>
              <w:jc w:val="center"/>
              <w:rPr>
                <w:rFonts w:ascii="Arial Narrow" w:hAnsi="Arial Narrow"/>
                <w:sz w:val="20"/>
              </w:rPr>
            </w:pPr>
            <w:r w:rsidRPr="004A0FA4">
              <w:rPr>
                <w:rFonts w:ascii="Arial Narrow" w:hAnsi="Arial Narrow"/>
                <w:sz w:val="20"/>
              </w:rPr>
              <w:t>10.2631</w:t>
            </w:r>
          </w:p>
        </w:tc>
        <w:tc>
          <w:tcPr>
            <w:tcW w:w="1189" w:type="pct"/>
            <w:vAlign w:val="bottom"/>
          </w:tcPr>
          <w:p w:rsidR="0099709D" w:rsidRPr="004A0FA4" w:rsidRDefault="0099709D" w:rsidP="008F4262">
            <w:pPr>
              <w:widowControl/>
              <w:jc w:val="center"/>
              <w:rPr>
                <w:rFonts w:ascii="Arial Narrow" w:hAnsi="Arial Narrow"/>
                <w:sz w:val="20"/>
              </w:rPr>
            </w:pPr>
            <w:r w:rsidRPr="004A0FA4">
              <w:rPr>
                <w:rFonts w:ascii="Arial Narrow" w:hAnsi="Arial Narrow"/>
                <w:sz w:val="20"/>
              </w:rPr>
              <w:t>10.2049</w:t>
            </w:r>
          </w:p>
        </w:tc>
        <w:tc>
          <w:tcPr>
            <w:tcW w:w="922" w:type="pct"/>
            <w:vAlign w:val="bottom"/>
          </w:tcPr>
          <w:p w:rsidR="0099709D" w:rsidRPr="004A0FA4" w:rsidRDefault="0099709D" w:rsidP="008F4262">
            <w:pPr>
              <w:widowControl/>
              <w:jc w:val="center"/>
              <w:rPr>
                <w:rFonts w:ascii="Arial Narrow" w:hAnsi="Arial Narrow"/>
                <w:sz w:val="20"/>
              </w:rPr>
            </w:pPr>
            <w:r w:rsidRPr="004A0FA4">
              <w:rPr>
                <w:rFonts w:ascii="Arial Narrow" w:hAnsi="Arial Narrow"/>
                <w:sz w:val="20"/>
              </w:rPr>
              <w:t>0.0582</w:t>
            </w:r>
          </w:p>
        </w:tc>
      </w:tr>
      <w:tr w:rsidR="0099709D" w:rsidRPr="004E2ADC" w:rsidTr="00783938">
        <w:tc>
          <w:tcPr>
            <w:tcW w:w="4078" w:type="pct"/>
            <w:gridSpan w:val="3"/>
            <w:vAlign w:val="center"/>
          </w:tcPr>
          <w:p w:rsidR="0099709D" w:rsidRPr="008A5ACD" w:rsidRDefault="0099709D" w:rsidP="008F4262">
            <w:pPr>
              <w:widowControl/>
              <w:jc w:val="right"/>
              <w:rPr>
                <w:rFonts w:ascii="Arial Narrow" w:hAnsi="Arial Narrow"/>
                <w:b/>
                <w:sz w:val="20"/>
              </w:rPr>
            </w:pPr>
            <w:r w:rsidRPr="008A5ACD">
              <w:rPr>
                <w:rFonts w:ascii="Arial Narrow" w:hAnsi="Arial Narrow"/>
                <w:b/>
                <w:sz w:val="20"/>
              </w:rPr>
              <w:t>Incremental cost/extra QALY gained</w:t>
            </w:r>
          </w:p>
        </w:tc>
        <w:tc>
          <w:tcPr>
            <w:tcW w:w="922" w:type="pct"/>
          </w:tcPr>
          <w:p w:rsidR="0099709D" w:rsidRPr="004A0FA4" w:rsidRDefault="0099709D" w:rsidP="008F4262">
            <w:pPr>
              <w:widowControl/>
              <w:jc w:val="center"/>
              <w:rPr>
                <w:rFonts w:ascii="Arial Narrow" w:hAnsi="Arial Narrow"/>
                <w:b/>
                <w:bCs/>
                <w:sz w:val="20"/>
              </w:rPr>
            </w:pPr>
            <w:r w:rsidRPr="004A0FA4">
              <w:rPr>
                <w:rFonts w:ascii="Arial Narrow" w:hAnsi="Arial Narrow"/>
                <w:b/>
                <w:bCs/>
                <w:sz w:val="20"/>
              </w:rPr>
              <w:t>$</w:t>
            </w:r>
            <w:r w:rsidR="0017165E">
              <w:rPr>
                <w:rFonts w:ascii="Arial Narrow" w:hAnsi="Arial Narrow"/>
                <w:b/>
                <w:bCs/>
                <w:noProof/>
                <w:color w:val="000000"/>
                <w:sz w:val="20"/>
                <w:highlight w:val="black"/>
              </w:rPr>
              <w:t>''''''''''''''</w:t>
            </w:r>
          </w:p>
        </w:tc>
      </w:tr>
      <w:tr w:rsidR="0099709D" w:rsidRPr="004E2ADC" w:rsidTr="00783938">
        <w:tc>
          <w:tcPr>
            <w:tcW w:w="5000" w:type="pct"/>
            <w:gridSpan w:val="4"/>
            <w:vAlign w:val="center"/>
          </w:tcPr>
          <w:p w:rsidR="0099709D" w:rsidRPr="004A0FA4" w:rsidRDefault="0099709D" w:rsidP="008F4262">
            <w:pPr>
              <w:widowControl/>
              <w:jc w:val="left"/>
              <w:rPr>
                <w:rFonts w:ascii="Arial Narrow" w:hAnsi="Arial Narrow"/>
                <w:b/>
                <w:bCs/>
                <w:sz w:val="20"/>
              </w:rPr>
            </w:pPr>
            <w:r>
              <w:rPr>
                <w:rFonts w:ascii="Arial Narrow" w:hAnsi="Arial Narrow"/>
                <w:b/>
                <w:bCs/>
                <w:sz w:val="20"/>
              </w:rPr>
              <w:t>Sensitivity 3: TG-MV-006 + TG-MV-007 (VMT only)</w:t>
            </w:r>
          </w:p>
        </w:tc>
      </w:tr>
      <w:tr w:rsidR="0099709D" w:rsidRPr="004E2ADC" w:rsidTr="00783938">
        <w:tc>
          <w:tcPr>
            <w:tcW w:w="1530" w:type="pct"/>
          </w:tcPr>
          <w:p w:rsidR="0099709D" w:rsidRPr="008A5ACD" w:rsidRDefault="0099709D" w:rsidP="008F4262">
            <w:pPr>
              <w:widowControl/>
              <w:jc w:val="right"/>
              <w:rPr>
                <w:rFonts w:ascii="Arial Narrow" w:hAnsi="Arial Narrow"/>
                <w:b/>
                <w:sz w:val="20"/>
              </w:rPr>
            </w:pPr>
            <w:r w:rsidRPr="004E2ADC">
              <w:rPr>
                <w:rFonts w:ascii="Arial Narrow" w:hAnsi="Arial Narrow"/>
                <w:sz w:val="20"/>
              </w:rPr>
              <w:t>Costs</w:t>
            </w:r>
          </w:p>
        </w:tc>
        <w:tc>
          <w:tcPr>
            <w:tcW w:w="1359" w:type="pct"/>
            <w:vAlign w:val="center"/>
          </w:tcPr>
          <w:p w:rsidR="0099709D" w:rsidRPr="00376D24" w:rsidRDefault="0099709D" w:rsidP="008F4262">
            <w:pPr>
              <w:widowControl/>
              <w:jc w:val="center"/>
              <w:rPr>
                <w:rFonts w:ascii="Arial Narrow" w:hAnsi="Arial Narrow"/>
                <w:bCs/>
                <w:sz w:val="20"/>
              </w:rPr>
            </w:pPr>
            <w:r>
              <w:rPr>
                <w:rFonts w:ascii="Arial Narrow" w:hAnsi="Arial Narrow"/>
                <w:bCs/>
                <w:sz w:val="20"/>
              </w:rPr>
              <w:t>$</w:t>
            </w:r>
            <w:r w:rsidR="0017165E">
              <w:rPr>
                <w:rFonts w:ascii="Arial Narrow" w:hAnsi="Arial Narrow"/>
                <w:bCs/>
                <w:noProof/>
                <w:color w:val="000000"/>
                <w:sz w:val="20"/>
                <w:highlight w:val="black"/>
              </w:rPr>
              <w:t>'''''''''''''</w:t>
            </w:r>
          </w:p>
        </w:tc>
        <w:tc>
          <w:tcPr>
            <w:tcW w:w="1189" w:type="pct"/>
            <w:vAlign w:val="center"/>
          </w:tcPr>
          <w:p w:rsidR="0099709D" w:rsidRPr="00376D24" w:rsidRDefault="0099709D" w:rsidP="008F4262">
            <w:pPr>
              <w:widowControl/>
              <w:jc w:val="center"/>
              <w:rPr>
                <w:rFonts w:ascii="Arial Narrow" w:hAnsi="Arial Narrow"/>
                <w:bCs/>
                <w:sz w:val="20"/>
              </w:rPr>
            </w:pPr>
            <w:r>
              <w:rPr>
                <w:rFonts w:ascii="Arial Narrow" w:hAnsi="Arial Narrow"/>
                <w:bCs/>
                <w:sz w:val="20"/>
              </w:rPr>
              <w:t>$</w:t>
            </w:r>
            <w:r w:rsidR="0017165E">
              <w:rPr>
                <w:rFonts w:ascii="Arial Narrow" w:hAnsi="Arial Narrow"/>
                <w:bCs/>
                <w:noProof/>
                <w:color w:val="000000"/>
                <w:sz w:val="20"/>
                <w:highlight w:val="black"/>
              </w:rPr>
              <w:t>'''''''''''''</w:t>
            </w:r>
          </w:p>
        </w:tc>
        <w:tc>
          <w:tcPr>
            <w:tcW w:w="922" w:type="pct"/>
          </w:tcPr>
          <w:p w:rsidR="0099709D" w:rsidRPr="00376D24" w:rsidRDefault="0099709D" w:rsidP="008F4262">
            <w:pPr>
              <w:widowControl/>
              <w:jc w:val="center"/>
              <w:rPr>
                <w:rFonts w:ascii="Arial Narrow" w:hAnsi="Arial Narrow"/>
                <w:bCs/>
                <w:sz w:val="20"/>
              </w:rPr>
            </w:pPr>
            <w:r>
              <w:rPr>
                <w:rFonts w:ascii="Arial Narrow" w:hAnsi="Arial Narrow"/>
                <w:bCs/>
                <w:sz w:val="20"/>
              </w:rPr>
              <w:t>$</w:t>
            </w:r>
            <w:r w:rsidR="0017165E">
              <w:rPr>
                <w:rFonts w:ascii="Arial Narrow" w:hAnsi="Arial Narrow"/>
                <w:bCs/>
                <w:noProof/>
                <w:color w:val="000000"/>
                <w:sz w:val="20"/>
                <w:highlight w:val="black"/>
              </w:rPr>
              <w:t>'''''''''''''''</w:t>
            </w:r>
          </w:p>
        </w:tc>
      </w:tr>
      <w:tr w:rsidR="0099709D" w:rsidRPr="004E2ADC" w:rsidTr="00783938">
        <w:tc>
          <w:tcPr>
            <w:tcW w:w="1530" w:type="pct"/>
          </w:tcPr>
          <w:p w:rsidR="0099709D" w:rsidRPr="008A5ACD" w:rsidRDefault="0099709D" w:rsidP="008F4262">
            <w:pPr>
              <w:widowControl/>
              <w:jc w:val="right"/>
              <w:rPr>
                <w:rFonts w:ascii="Arial Narrow" w:hAnsi="Arial Narrow"/>
                <w:b/>
                <w:sz w:val="20"/>
              </w:rPr>
            </w:pPr>
            <w:r>
              <w:rPr>
                <w:rFonts w:ascii="Arial Narrow" w:hAnsi="Arial Narrow"/>
                <w:sz w:val="20"/>
              </w:rPr>
              <w:t>QALYs</w:t>
            </w:r>
          </w:p>
        </w:tc>
        <w:tc>
          <w:tcPr>
            <w:tcW w:w="1359" w:type="pct"/>
            <w:vAlign w:val="center"/>
          </w:tcPr>
          <w:p w:rsidR="0099709D" w:rsidRPr="00376D24" w:rsidRDefault="0099709D" w:rsidP="008F4262">
            <w:pPr>
              <w:widowControl/>
              <w:jc w:val="center"/>
              <w:rPr>
                <w:rFonts w:ascii="Arial Narrow" w:hAnsi="Arial Narrow"/>
                <w:bCs/>
                <w:sz w:val="20"/>
              </w:rPr>
            </w:pPr>
            <w:r>
              <w:rPr>
                <w:rFonts w:ascii="Arial Narrow" w:hAnsi="Arial Narrow"/>
                <w:bCs/>
                <w:sz w:val="20"/>
              </w:rPr>
              <w:t>10.2071</w:t>
            </w:r>
          </w:p>
        </w:tc>
        <w:tc>
          <w:tcPr>
            <w:tcW w:w="1189" w:type="pct"/>
            <w:vAlign w:val="center"/>
          </w:tcPr>
          <w:p w:rsidR="0099709D" w:rsidRPr="00376D24" w:rsidRDefault="0099709D" w:rsidP="008F4262">
            <w:pPr>
              <w:widowControl/>
              <w:jc w:val="center"/>
              <w:rPr>
                <w:rFonts w:ascii="Arial Narrow" w:hAnsi="Arial Narrow"/>
                <w:bCs/>
                <w:sz w:val="20"/>
              </w:rPr>
            </w:pPr>
            <w:r>
              <w:rPr>
                <w:rFonts w:ascii="Arial Narrow" w:hAnsi="Arial Narrow"/>
                <w:bCs/>
                <w:sz w:val="20"/>
              </w:rPr>
              <w:t>10.2450</w:t>
            </w:r>
          </w:p>
        </w:tc>
        <w:tc>
          <w:tcPr>
            <w:tcW w:w="922" w:type="pct"/>
          </w:tcPr>
          <w:p w:rsidR="0099709D" w:rsidRPr="00376D24" w:rsidRDefault="0099709D" w:rsidP="008F4262">
            <w:pPr>
              <w:widowControl/>
              <w:jc w:val="center"/>
              <w:rPr>
                <w:rFonts w:ascii="Arial Narrow" w:hAnsi="Arial Narrow"/>
                <w:bCs/>
                <w:sz w:val="20"/>
              </w:rPr>
            </w:pPr>
            <w:r>
              <w:rPr>
                <w:rFonts w:ascii="Arial Narrow" w:hAnsi="Arial Narrow"/>
                <w:bCs/>
                <w:sz w:val="20"/>
              </w:rPr>
              <w:t>0.0380</w:t>
            </w:r>
          </w:p>
        </w:tc>
      </w:tr>
      <w:tr w:rsidR="0099709D" w:rsidRPr="004E2ADC" w:rsidTr="00783938">
        <w:tc>
          <w:tcPr>
            <w:tcW w:w="4078" w:type="pct"/>
            <w:gridSpan w:val="3"/>
            <w:vAlign w:val="center"/>
          </w:tcPr>
          <w:p w:rsidR="0099709D" w:rsidRPr="008A5ACD" w:rsidRDefault="0099709D" w:rsidP="008F4262">
            <w:pPr>
              <w:widowControl/>
              <w:jc w:val="right"/>
              <w:rPr>
                <w:rFonts w:ascii="Arial Narrow" w:hAnsi="Arial Narrow"/>
                <w:b/>
                <w:sz w:val="20"/>
              </w:rPr>
            </w:pPr>
            <w:r w:rsidRPr="008A5ACD">
              <w:rPr>
                <w:rFonts w:ascii="Arial Narrow" w:hAnsi="Arial Narrow"/>
                <w:b/>
                <w:sz w:val="20"/>
              </w:rPr>
              <w:t>Incremental cost/extra QALY gained</w:t>
            </w:r>
          </w:p>
        </w:tc>
        <w:tc>
          <w:tcPr>
            <w:tcW w:w="922" w:type="pct"/>
          </w:tcPr>
          <w:p w:rsidR="0099709D" w:rsidRPr="004A0FA4" w:rsidRDefault="0099709D" w:rsidP="008F4262">
            <w:pPr>
              <w:widowControl/>
              <w:jc w:val="center"/>
              <w:rPr>
                <w:rFonts w:ascii="Arial Narrow" w:hAnsi="Arial Narrow"/>
                <w:b/>
                <w:bCs/>
                <w:sz w:val="20"/>
              </w:rPr>
            </w:pPr>
            <w:r>
              <w:rPr>
                <w:rFonts w:ascii="Arial Narrow" w:hAnsi="Arial Narrow"/>
                <w:b/>
                <w:bCs/>
                <w:sz w:val="20"/>
              </w:rPr>
              <w:t>$</w:t>
            </w:r>
            <w:r w:rsidR="0017165E">
              <w:rPr>
                <w:rFonts w:ascii="Arial Narrow" w:hAnsi="Arial Narrow"/>
                <w:b/>
                <w:bCs/>
                <w:noProof/>
                <w:color w:val="000000"/>
                <w:sz w:val="20"/>
                <w:highlight w:val="black"/>
              </w:rPr>
              <w:t>''''''''''''</w:t>
            </w:r>
          </w:p>
        </w:tc>
      </w:tr>
      <w:tr w:rsidR="0099709D" w:rsidRPr="004E2ADC" w:rsidTr="00783938">
        <w:tc>
          <w:tcPr>
            <w:tcW w:w="5000" w:type="pct"/>
            <w:gridSpan w:val="4"/>
            <w:vAlign w:val="center"/>
          </w:tcPr>
          <w:p w:rsidR="0099709D" w:rsidRPr="004A0FA4" w:rsidRDefault="0099709D" w:rsidP="008F4262">
            <w:pPr>
              <w:widowControl/>
              <w:jc w:val="left"/>
              <w:rPr>
                <w:rFonts w:ascii="Arial Narrow" w:hAnsi="Arial Narrow"/>
                <w:b/>
                <w:bCs/>
                <w:sz w:val="20"/>
              </w:rPr>
            </w:pPr>
            <w:r>
              <w:rPr>
                <w:rFonts w:ascii="Arial Narrow" w:hAnsi="Arial Narrow"/>
                <w:b/>
                <w:bCs/>
                <w:sz w:val="20"/>
              </w:rPr>
              <w:t>Sensitivity 4: TG-MV-006 + TG-MV-007 (MH only)</w:t>
            </w:r>
          </w:p>
        </w:tc>
      </w:tr>
      <w:tr w:rsidR="0099709D" w:rsidRPr="004E2ADC" w:rsidTr="00783938">
        <w:tc>
          <w:tcPr>
            <w:tcW w:w="1530" w:type="pct"/>
          </w:tcPr>
          <w:p w:rsidR="0099709D" w:rsidRPr="008A5ACD" w:rsidRDefault="0099709D" w:rsidP="008F4262">
            <w:pPr>
              <w:widowControl/>
              <w:jc w:val="right"/>
              <w:rPr>
                <w:rFonts w:ascii="Arial Narrow" w:hAnsi="Arial Narrow"/>
                <w:b/>
                <w:sz w:val="20"/>
              </w:rPr>
            </w:pPr>
            <w:r w:rsidRPr="004E2ADC">
              <w:rPr>
                <w:rFonts w:ascii="Arial Narrow" w:hAnsi="Arial Narrow"/>
                <w:sz w:val="20"/>
              </w:rPr>
              <w:t>Costs</w:t>
            </w:r>
          </w:p>
        </w:tc>
        <w:tc>
          <w:tcPr>
            <w:tcW w:w="1359" w:type="pct"/>
            <w:vAlign w:val="center"/>
          </w:tcPr>
          <w:p w:rsidR="0099709D" w:rsidRPr="00376D24" w:rsidRDefault="0099709D" w:rsidP="008F4262">
            <w:pPr>
              <w:widowControl/>
              <w:jc w:val="center"/>
              <w:rPr>
                <w:rFonts w:ascii="Arial Narrow" w:hAnsi="Arial Narrow"/>
                <w:bCs/>
                <w:sz w:val="20"/>
              </w:rPr>
            </w:pPr>
            <w:r w:rsidRPr="00376D24">
              <w:rPr>
                <w:rFonts w:ascii="Arial Narrow" w:hAnsi="Arial Narrow"/>
                <w:bCs/>
                <w:sz w:val="20"/>
              </w:rPr>
              <w:t>$</w:t>
            </w:r>
            <w:r w:rsidR="0017165E">
              <w:rPr>
                <w:rFonts w:ascii="Arial Narrow" w:hAnsi="Arial Narrow"/>
                <w:bCs/>
                <w:noProof/>
                <w:color w:val="000000"/>
                <w:sz w:val="20"/>
                <w:highlight w:val="black"/>
              </w:rPr>
              <w:t>'''''''''''''''''</w:t>
            </w:r>
          </w:p>
        </w:tc>
        <w:tc>
          <w:tcPr>
            <w:tcW w:w="1189" w:type="pct"/>
            <w:vAlign w:val="center"/>
          </w:tcPr>
          <w:p w:rsidR="0099709D" w:rsidRPr="00376D24" w:rsidRDefault="0099709D" w:rsidP="008F4262">
            <w:pPr>
              <w:widowControl/>
              <w:jc w:val="center"/>
              <w:rPr>
                <w:rFonts w:ascii="Arial Narrow" w:hAnsi="Arial Narrow"/>
                <w:bCs/>
                <w:sz w:val="20"/>
              </w:rPr>
            </w:pPr>
            <w:r w:rsidRPr="00376D24">
              <w:rPr>
                <w:rFonts w:ascii="Arial Narrow" w:hAnsi="Arial Narrow"/>
                <w:bCs/>
                <w:sz w:val="20"/>
              </w:rPr>
              <w:t>$</w:t>
            </w:r>
            <w:r w:rsidR="0017165E">
              <w:rPr>
                <w:rFonts w:ascii="Arial Narrow" w:hAnsi="Arial Narrow"/>
                <w:bCs/>
                <w:noProof/>
                <w:color w:val="000000"/>
                <w:sz w:val="20"/>
                <w:highlight w:val="black"/>
              </w:rPr>
              <w:t>''''''''''''</w:t>
            </w:r>
          </w:p>
        </w:tc>
        <w:tc>
          <w:tcPr>
            <w:tcW w:w="922" w:type="pct"/>
          </w:tcPr>
          <w:p w:rsidR="0099709D" w:rsidRPr="00376D24" w:rsidRDefault="0099709D" w:rsidP="008F4262">
            <w:pPr>
              <w:widowControl/>
              <w:jc w:val="center"/>
              <w:rPr>
                <w:rFonts w:ascii="Arial Narrow" w:hAnsi="Arial Narrow"/>
                <w:bCs/>
                <w:sz w:val="20"/>
              </w:rPr>
            </w:pPr>
            <w:r w:rsidRPr="00376D24">
              <w:rPr>
                <w:rFonts w:ascii="Arial Narrow" w:hAnsi="Arial Narrow"/>
                <w:bCs/>
                <w:sz w:val="20"/>
              </w:rPr>
              <w:t>$</w:t>
            </w:r>
            <w:r w:rsidR="0017165E">
              <w:rPr>
                <w:rFonts w:ascii="Arial Narrow" w:hAnsi="Arial Narrow"/>
                <w:bCs/>
                <w:noProof/>
                <w:color w:val="000000"/>
                <w:sz w:val="20"/>
                <w:highlight w:val="black"/>
              </w:rPr>
              <w:t>''''''''''''</w:t>
            </w:r>
          </w:p>
        </w:tc>
      </w:tr>
      <w:tr w:rsidR="0099709D" w:rsidRPr="004E2ADC" w:rsidTr="00783938">
        <w:tc>
          <w:tcPr>
            <w:tcW w:w="1530" w:type="pct"/>
          </w:tcPr>
          <w:p w:rsidR="0099709D" w:rsidRPr="008A5ACD" w:rsidRDefault="0099709D" w:rsidP="008F4262">
            <w:pPr>
              <w:widowControl/>
              <w:jc w:val="right"/>
              <w:rPr>
                <w:rFonts w:ascii="Arial Narrow" w:hAnsi="Arial Narrow"/>
                <w:b/>
                <w:sz w:val="20"/>
              </w:rPr>
            </w:pPr>
            <w:r>
              <w:rPr>
                <w:rFonts w:ascii="Arial Narrow" w:hAnsi="Arial Narrow"/>
                <w:sz w:val="20"/>
              </w:rPr>
              <w:t>QALYs</w:t>
            </w:r>
          </w:p>
        </w:tc>
        <w:tc>
          <w:tcPr>
            <w:tcW w:w="1359" w:type="pct"/>
            <w:vAlign w:val="center"/>
          </w:tcPr>
          <w:p w:rsidR="0099709D" w:rsidRPr="00376D24" w:rsidRDefault="0099709D" w:rsidP="008F4262">
            <w:pPr>
              <w:widowControl/>
              <w:jc w:val="center"/>
              <w:rPr>
                <w:rFonts w:ascii="Arial Narrow" w:hAnsi="Arial Narrow"/>
                <w:bCs/>
                <w:sz w:val="20"/>
              </w:rPr>
            </w:pPr>
            <w:r>
              <w:rPr>
                <w:rFonts w:ascii="Arial Narrow" w:hAnsi="Arial Narrow"/>
                <w:bCs/>
                <w:sz w:val="20"/>
              </w:rPr>
              <w:t>10.2170</w:t>
            </w:r>
          </w:p>
        </w:tc>
        <w:tc>
          <w:tcPr>
            <w:tcW w:w="1189" w:type="pct"/>
            <w:vAlign w:val="center"/>
          </w:tcPr>
          <w:p w:rsidR="0099709D" w:rsidRPr="00376D24" w:rsidRDefault="0099709D" w:rsidP="008F4262">
            <w:pPr>
              <w:widowControl/>
              <w:jc w:val="center"/>
              <w:rPr>
                <w:rFonts w:ascii="Arial Narrow" w:hAnsi="Arial Narrow"/>
                <w:bCs/>
                <w:sz w:val="20"/>
              </w:rPr>
            </w:pPr>
            <w:r>
              <w:rPr>
                <w:rFonts w:ascii="Arial Narrow" w:hAnsi="Arial Narrow"/>
                <w:bCs/>
                <w:sz w:val="20"/>
              </w:rPr>
              <w:t>10.1824</w:t>
            </w:r>
          </w:p>
        </w:tc>
        <w:tc>
          <w:tcPr>
            <w:tcW w:w="922" w:type="pct"/>
          </w:tcPr>
          <w:p w:rsidR="0099709D" w:rsidRPr="00376D24" w:rsidRDefault="0099709D" w:rsidP="008F4262">
            <w:pPr>
              <w:widowControl/>
              <w:jc w:val="center"/>
              <w:rPr>
                <w:rFonts w:ascii="Arial Narrow" w:hAnsi="Arial Narrow"/>
                <w:bCs/>
                <w:sz w:val="20"/>
              </w:rPr>
            </w:pPr>
            <w:r>
              <w:rPr>
                <w:rFonts w:ascii="Arial Narrow" w:hAnsi="Arial Narrow"/>
                <w:bCs/>
                <w:sz w:val="20"/>
              </w:rPr>
              <w:t>0.0346</w:t>
            </w:r>
          </w:p>
        </w:tc>
      </w:tr>
      <w:tr w:rsidR="0099709D" w:rsidRPr="004E2ADC" w:rsidTr="00783938">
        <w:tc>
          <w:tcPr>
            <w:tcW w:w="4078" w:type="pct"/>
            <w:gridSpan w:val="3"/>
            <w:vAlign w:val="center"/>
          </w:tcPr>
          <w:p w:rsidR="0099709D" w:rsidRPr="008A5ACD" w:rsidRDefault="0099709D" w:rsidP="008F4262">
            <w:pPr>
              <w:widowControl/>
              <w:jc w:val="right"/>
              <w:rPr>
                <w:rFonts w:ascii="Arial Narrow" w:hAnsi="Arial Narrow"/>
                <w:b/>
                <w:sz w:val="20"/>
              </w:rPr>
            </w:pPr>
            <w:r w:rsidRPr="008A5ACD">
              <w:rPr>
                <w:rFonts w:ascii="Arial Narrow" w:hAnsi="Arial Narrow"/>
                <w:b/>
                <w:sz w:val="20"/>
              </w:rPr>
              <w:t>Incremental cost/extra QALY gained</w:t>
            </w:r>
          </w:p>
        </w:tc>
        <w:tc>
          <w:tcPr>
            <w:tcW w:w="922" w:type="pct"/>
          </w:tcPr>
          <w:p w:rsidR="0099709D" w:rsidRPr="004A0FA4" w:rsidRDefault="0099709D" w:rsidP="008F4262">
            <w:pPr>
              <w:widowControl/>
              <w:jc w:val="center"/>
              <w:rPr>
                <w:rFonts w:ascii="Arial Narrow" w:hAnsi="Arial Narrow"/>
                <w:b/>
                <w:bCs/>
                <w:sz w:val="20"/>
              </w:rPr>
            </w:pPr>
            <w:r>
              <w:rPr>
                <w:rFonts w:ascii="Arial Narrow" w:hAnsi="Arial Narrow"/>
                <w:b/>
                <w:bCs/>
                <w:sz w:val="20"/>
              </w:rPr>
              <w:t>$</w:t>
            </w:r>
            <w:r w:rsidR="0017165E">
              <w:rPr>
                <w:rFonts w:ascii="Arial Narrow" w:hAnsi="Arial Narrow"/>
                <w:b/>
                <w:bCs/>
                <w:noProof/>
                <w:color w:val="000000"/>
                <w:sz w:val="20"/>
                <w:highlight w:val="black"/>
              </w:rPr>
              <w:t>''''''''''''''</w:t>
            </w:r>
          </w:p>
        </w:tc>
      </w:tr>
    </w:tbl>
    <w:p w:rsidR="0099709D" w:rsidRDefault="0099709D" w:rsidP="008F4262">
      <w:pPr>
        <w:widowControl/>
      </w:pPr>
    </w:p>
    <w:p w:rsidR="000C677C" w:rsidRPr="00E23349" w:rsidRDefault="000C677C" w:rsidP="008F4262">
      <w:pPr>
        <w:pStyle w:val="ListParagraph"/>
        <w:widowControl/>
        <w:numPr>
          <w:ilvl w:val="1"/>
          <w:numId w:val="1"/>
        </w:numPr>
      </w:pPr>
      <w:r w:rsidRPr="00E23349">
        <w:rPr>
          <w:iCs/>
        </w:rPr>
        <w:t>When</w:t>
      </w:r>
      <w:r w:rsidRPr="00E23349">
        <w:t xml:space="preserve"> transitions through the 6-month decision tree </w:t>
      </w:r>
      <w:r w:rsidR="00783938" w:rsidRPr="00E23349">
        <w:t>we</w:t>
      </w:r>
      <w:r w:rsidRPr="00E23349">
        <w:t>re informed by TG-MV-006 and TGMV-007 instead of OASIS, the ICER increase</w:t>
      </w:r>
      <w:r w:rsidR="00783938" w:rsidRPr="00E23349">
        <w:t>d</w:t>
      </w:r>
      <w:r w:rsidRPr="00E23349">
        <w:t xml:space="preserve"> from </w:t>
      </w:r>
      <w:r w:rsidR="00BB7B8A">
        <w:rPr>
          <w:szCs w:val="22"/>
        </w:rPr>
        <w:t xml:space="preserve">$15,000/QALY - $45,000/QALY </w:t>
      </w:r>
      <w:r w:rsidRPr="00E23349">
        <w:t>to</w:t>
      </w:r>
      <w:r w:rsidR="00BB7B8A">
        <w:t xml:space="preserve"> </w:t>
      </w:r>
      <w:r w:rsidR="00BB7B8A">
        <w:rPr>
          <w:szCs w:val="22"/>
        </w:rPr>
        <w:t>$75,000/QALY - $105,000/QALY</w:t>
      </w:r>
      <w:r w:rsidRPr="00E23349">
        <w:t xml:space="preserve">.  </w:t>
      </w:r>
      <w:r w:rsidR="008D51F8" w:rsidRPr="00E23349">
        <w:t>The ESC considered that it was more informative to include all 3 trials</w:t>
      </w:r>
      <w:r w:rsidR="00783938" w:rsidRPr="00E23349">
        <w:t xml:space="preserve"> in the economic analysis.</w:t>
      </w:r>
    </w:p>
    <w:p w:rsidR="00CF4878" w:rsidRPr="00E23349" w:rsidRDefault="00CF4878" w:rsidP="008F4262">
      <w:pPr>
        <w:widowControl/>
        <w:rPr>
          <w:szCs w:val="22"/>
        </w:rPr>
      </w:pPr>
    </w:p>
    <w:p w:rsidR="00CF4878" w:rsidRPr="00783938" w:rsidRDefault="00834785" w:rsidP="008F4262">
      <w:pPr>
        <w:pStyle w:val="ListParagraph"/>
        <w:widowControl/>
        <w:numPr>
          <w:ilvl w:val="1"/>
          <w:numId w:val="1"/>
        </w:numPr>
        <w:rPr>
          <w:iCs/>
        </w:rPr>
      </w:pPr>
      <w:r w:rsidRPr="00E23349">
        <w:t xml:space="preserve">The re-submission </w:t>
      </w:r>
      <w:r w:rsidR="00783938" w:rsidRPr="00E23349">
        <w:t>stated that</w:t>
      </w:r>
      <w:r w:rsidR="00387C34" w:rsidRPr="00E23349">
        <w:t xml:space="preserve"> because</w:t>
      </w:r>
      <w:r w:rsidR="00CF4878" w:rsidRPr="00E23349">
        <w:t xml:space="preserve"> all of the outcomes up to two years are trial-based, the stepped evaluation involve</w:t>
      </w:r>
      <w:r w:rsidR="00783938" w:rsidRPr="00E23349">
        <w:t>d</w:t>
      </w:r>
      <w:r w:rsidR="00CF4878" w:rsidRPr="00E23349">
        <w:t xml:space="preserve"> only extrapolation.  It </w:t>
      </w:r>
      <w:r w:rsidR="00783938" w:rsidRPr="00E23349">
        <w:t>wa</w:t>
      </w:r>
      <w:r w:rsidR="00CF4878" w:rsidRPr="00E23349">
        <w:t xml:space="preserve">s argued that </w:t>
      </w:r>
      <w:r w:rsidR="00783938" w:rsidRPr="00E23349">
        <w:t>the extrapolated period reflected</w:t>
      </w:r>
      <w:r w:rsidR="00CF4878" w:rsidRPr="00E23349">
        <w:t xml:space="preserve"> the longer-term consequences of even</w:t>
      </w:r>
      <w:r w:rsidR="00783938" w:rsidRPr="00E23349">
        <w:t>ts which accrued during the two-</w:t>
      </w:r>
      <w:r w:rsidR="00CF4878" w:rsidRPr="00E23349">
        <w:t xml:space="preserve">year trial.  Figure </w:t>
      </w:r>
      <w:r w:rsidR="00783938" w:rsidRPr="00E23349">
        <w:t>1</w:t>
      </w:r>
      <w:r w:rsidR="00CF4878" w:rsidRPr="00E23349">
        <w:t xml:space="preserve"> presents the ICER estimated by the current model by cycle</w:t>
      </w:r>
      <w:r w:rsidR="006E0970" w:rsidRPr="00E23349">
        <w:t>.</w:t>
      </w:r>
      <w:r w:rsidR="00CF4878" w:rsidRPr="00E23349">
        <w:t xml:space="preserve"> </w:t>
      </w:r>
      <w:r w:rsidR="005C1C1A">
        <w:t xml:space="preserve"> </w:t>
      </w:r>
      <w:r w:rsidR="00960E62" w:rsidRPr="00E23349">
        <w:t>Noting that the ESC considered a 2-5 year range for the model time horizon more appropriate</w:t>
      </w:r>
      <w:r w:rsidR="009F7573" w:rsidRPr="00E23349">
        <w:t>:</w:t>
      </w:r>
      <w:r w:rsidR="00960E62" w:rsidRPr="00E23349">
        <w:t xml:space="preserve"> at</w:t>
      </w:r>
      <w:r w:rsidR="00960E62" w:rsidRPr="00E23349">
        <w:rPr>
          <w:iCs/>
        </w:rPr>
        <w:t xml:space="preserve"> </w:t>
      </w:r>
      <w:r w:rsidR="00CF4878" w:rsidRPr="00E23349">
        <w:rPr>
          <w:iCs/>
        </w:rPr>
        <w:t xml:space="preserve">two years, the ICER </w:t>
      </w:r>
      <w:r w:rsidR="006E0970" w:rsidRPr="00E23349">
        <w:rPr>
          <w:iCs/>
        </w:rPr>
        <w:t>wa</w:t>
      </w:r>
      <w:r w:rsidR="00CF4878" w:rsidRPr="00E23349">
        <w:rPr>
          <w:iCs/>
        </w:rPr>
        <w:t xml:space="preserve">s </w:t>
      </w:r>
      <w:r w:rsidR="00BB7B8A">
        <w:rPr>
          <w:szCs w:val="22"/>
        </w:rPr>
        <w:t>$75,000/QALY - $105,000/QALY</w:t>
      </w:r>
      <w:r w:rsidR="00BB7B8A" w:rsidRPr="00E23349">
        <w:rPr>
          <w:iCs/>
        </w:rPr>
        <w:t xml:space="preserve"> </w:t>
      </w:r>
      <w:r w:rsidR="006E0970" w:rsidRPr="00E23349">
        <w:rPr>
          <w:iCs/>
        </w:rPr>
        <w:t xml:space="preserve">and at five years, the ICER was </w:t>
      </w:r>
      <w:r w:rsidR="00BB7B8A">
        <w:rPr>
          <w:szCs w:val="22"/>
        </w:rPr>
        <w:t>$45,000/QALY - $75,000/QALY</w:t>
      </w:r>
      <w:r w:rsidR="00E64A51" w:rsidRPr="00E23349">
        <w:rPr>
          <w:iCs/>
        </w:rPr>
        <w:t>.</w:t>
      </w:r>
    </w:p>
    <w:p w:rsidR="00CF4878" w:rsidRPr="00783938" w:rsidRDefault="00CF4878" w:rsidP="008F4262">
      <w:pPr>
        <w:widowControl/>
      </w:pPr>
    </w:p>
    <w:p w:rsidR="00CF4878" w:rsidRPr="001D335C" w:rsidRDefault="00CF4878" w:rsidP="008F4262">
      <w:pPr>
        <w:keepNext/>
        <w:widowControl/>
        <w:rPr>
          <w:rFonts w:ascii="Arial Narrow" w:hAnsi="Arial Narrow"/>
          <w:b/>
          <w:bCs/>
          <w:sz w:val="20"/>
        </w:rPr>
      </w:pPr>
      <w:r w:rsidRPr="001D335C">
        <w:rPr>
          <w:rFonts w:ascii="Arial Narrow" w:hAnsi="Arial Narrow"/>
          <w:b/>
          <w:bCs/>
          <w:sz w:val="20"/>
        </w:rPr>
        <w:lastRenderedPageBreak/>
        <w:t xml:space="preserve">Figure </w:t>
      </w:r>
      <w:r w:rsidR="00783938" w:rsidRPr="001D335C">
        <w:rPr>
          <w:rFonts w:ascii="Arial Narrow" w:hAnsi="Arial Narrow"/>
          <w:b/>
          <w:bCs/>
          <w:sz w:val="20"/>
        </w:rPr>
        <w:t>1</w:t>
      </w:r>
      <w:r w:rsidRPr="001D335C">
        <w:rPr>
          <w:rFonts w:ascii="Arial Narrow" w:hAnsi="Arial Narrow"/>
          <w:b/>
          <w:bCs/>
          <w:sz w:val="20"/>
        </w:rPr>
        <w:t xml:space="preserve">: Estimated ICER by </w:t>
      </w:r>
      <w:r w:rsidR="000F28D4" w:rsidRPr="001D335C">
        <w:rPr>
          <w:rFonts w:ascii="Arial Narrow" w:hAnsi="Arial Narrow"/>
          <w:b/>
          <w:bCs/>
          <w:sz w:val="20"/>
        </w:rPr>
        <w:t xml:space="preserve">6-monthly </w:t>
      </w:r>
      <w:r w:rsidRPr="001D335C">
        <w:rPr>
          <w:rFonts w:ascii="Arial Narrow" w:hAnsi="Arial Narrow"/>
          <w:b/>
          <w:bCs/>
          <w:sz w:val="20"/>
        </w:rPr>
        <w:t>model cycle</w:t>
      </w:r>
    </w:p>
    <w:p w:rsidR="00CF4878" w:rsidRDefault="0017165E" w:rsidP="008F4262">
      <w:pPr>
        <w:widowControl/>
      </w:pPr>
      <w:r>
        <w:rPr>
          <w:noProof/>
          <w:snapToGrid/>
          <w:lang w:eastAsia="en-AU"/>
        </w:rPr>
        <w:drawing>
          <wp:inline distT="0" distB="0" distL="0" distR="0">
            <wp:extent cx="5676265" cy="2957195"/>
            <wp:effectExtent l="0" t="0" r="635" b="0"/>
            <wp:docPr id="2" name="Picture 2" title="Figure 1: Estimated ICER by 6-monthly model cycl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76265" cy="2957195"/>
                    </a:xfrm>
                    <a:prstGeom prst="rect">
                      <a:avLst/>
                    </a:prstGeom>
                  </pic:spPr>
                </pic:pic>
              </a:graphicData>
            </a:graphic>
          </wp:inline>
        </w:drawing>
      </w:r>
    </w:p>
    <w:p w:rsidR="00CF4878" w:rsidRPr="001D335C" w:rsidRDefault="00CF4878" w:rsidP="008F4262">
      <w:pPr>
        <w:widowControl/>
        <w:rPr>
          <w:rFonts w:ascii="Arial Narrow" w:hAnsi="Arial Narrow"/>
          <w:sz w:val="18"/>
          <w:szCs w:val="16"/>
        </w:rPr>
      </w:pPr>
      <w:r w:rsidRPr="001D335C">
        <w:rPr>
          <w:rFonts w:ascii="Arial Narrow" w:hAnsi="Arial Narrow"/>
          <w:sz w:val="18"/>
          <w:szCs w:val="16"/>
        </w:rPr>
        <w:t>Source: constructed during the evaluation</w:t>
      </w:r>
    </w:p>
    <w:p w:rsidR="00746AAF" w:rsidRDefault="00746AAF" w:rsidP="008F4262">
      <w:pPr>
        <w:widowControl/>
        <w:jc w:val="left"/>
        <w:rPr>
          <w:szCs w:val="22"/>
        </w:rPr>
      </w:pPr>
    </w:p>
    <w:p w:rsidR="00705EF6" w:rsidRPr="00E23349" w:rsidRDefault="00705EF6" w:rsidP="008F4262">
      <w:pPr>
        <w:pStyle w:val="ListParagraph"/>
        <w:widowControl/>
        <w:numPr>
          <w:ilvl w:val="1"/>
          <w:numId w:val="1"/>
        </w:numPr>
        <w:rPr>
          <w:szCs w:val="22"/>
        </w:rPr>
      </w:pPr>
      <w:r w:rsidRPr="00E23349">
        <w:rPr>
          <w:szCs w:val="22"/>
        </w:rPr>
        <w:t>Sensitivity analyses using data from the</w:t>
      </w:r>
      <w:r w:rsidR="00064591" w:rsidRPr="00E23349">
        <w:rPr>
          <w:szCs w:val="22"/>
        </w:rPr>
        <w:t xml:space="preserve"> two TG-MV </w:t>
      </w:r>
      <w:r w:rsidRPr="00E23349">
        <w:rPr>
          <w:szCs w:val="22"/>
        </w:rPr>
        <w:t>trials showed that the ICER tripled. Furthermore other sensitivity analyses changing the utility values also had substantial impacts on the ICER.</w:t>
      </w:r>
    </w:p>
    <w:p w:rsidR="00CF4878" w:rsidRDefault="00435A98" w:rsidP="008F4262">
      <w:pPr>
        <w:widowControl/>
      </w:pPr>
      <w:r>
        <w:br w:type="page"/>
      </w:r>
    </w:p>
    <w:p w:rsidR="00CF4878" w:rsidRPr="00783938" w:rsidRDefault="00CF4878" w:rsidP="008F4262">
      <w:pPr>
        <w:widowControl/>
        <w:ind w:left="709"/>
        <w:jc w:val="left"/>
        <w:rPr>
          <w:rStyle w:val="CommentReference"/>
        </w:rPr>
      </w:pPr>
      <w:r w:rsidRPr="00783938">
        <w:rPr>
          <w:rStyle w:val="CommentReference"/>
        </w:rPr>
        <w:lastRenderedPageBreak/>
        <w:t xml:space="preserve">Table </w:t>
      </w:r>
      <w:r w:rsidR="00783938" w:rsidRPr="00783938">
        <w:rPr>
          <w:rStyle w:val="CommentReference"/>
        </w:rPr>
        <w:t>13</w:t>
      </w:r>
      <w:r w:rsidRPr="00783938">
        <w:rPr>
          <w:rStyle w:val="CommentReference"/>
        </w:rPr>
        <w:t>: Results of sensitivity analyses conducted during the evaluation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36"/>
        <w:gridCol w:w="1147"/>
        <w:gridCol w:w="1143"/>
        <w:gridCol w:w="1519"/>
      </w:tblGrid>
      <w:tr w:rsidR="00CF4878" w:rsidRPr="00783938" w:rsidTr="00783938">
        <w:trPr>
          <w:tblHeader/>
        </w:trPr>
        <w:tc>
          <w:tcPr>
            <w:tcW w:w="2718"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jc w:val="left"/>
              <w:rPr>
                <w:rFonts w:ascii="Arial Narrow" w:hAnsi="Arial Narrow"/>
                <w:sz w:val="20"/>
              </w:rPr>
            </w:pPr>
            <w:r w:rsidRPr="00783938">
              <w:rPr>
                <w:rFonts w:ascii="Arial Narrow" w:hAnsi="Arial Narrow"/>
                <w:b/>
                <w:sz w:val="20"/>
              </w:rPr>
              <w:t>Univariate analyses</w:t>
            </w:r>
          </w:p>
        </w:tc>
        <w:tc>
          <w:tcPr>
            <w:tcW w:w="687"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jc w:val="center"/>
              <w:rPr>
                <w:rFonts w:ascii="Arial Narrow" w:hAnsi="Arial Narrow"/>
                <w:sz w:val="20"/>
              </w:rPr>
            </w:pPr>
            <w:r w:rsidRPr="00783938">
              <w:rPr>
                <w:rFonts w:ascii="Arial Narrow" w:hAnsi="Arial Narrow"/>
                <w:b/>
                <w:sz w:val="20"/>
              </w:rPr>
              <w:t>Incremental costs</w:t>
            </w:r>
          </w:p>
        </w:tc>
        <w:tc>
          <w:tcPr>
            <w:tcW w:w="685"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jc w:val="center"/>
              <w:rPr>
                <w:rFonts w:ascii="Arial Narrow" w:hAnsi="Arial Narrow"/>
                <w:sz w:val="20"/>
              </w:rPr>
            </w:pPr>
            <w:r w:rsidRPr="00783938">
              <w:rPr>
                <w:rFonts w:ascii="Arial Narrow" w:hAnsi="Arial Narrow"/>
                <w:b/>
                <w:sz w:val="20"/>
              </w:rPr>
              <w:t>Incremental effectiveness</w:t>
            </w:r>
          </w:p>
        </w:tc>
        <w:tc>
          <w:tcPr>
            <w:tcW w:w="910"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jc w:val="center"/>
              <w:rPr>
                <w:rFonts w:ascii="Arial Narrow" w:hAnsi="Arial Narrow"/>
                <w:sz w:val="20"/>
              </w:rPr>
            </w:pPr>
            <w:r w:rsidRPr="00783938">
              <w:rPr>
                <w:rFonts w:ascii="Arial Narrow" w:hAnsi="Arial Narrow"/>
                <w:b/>
                <w:sz w:val="20"/>
              </w:rPr>
              <w:t>Incremental cost-effectiveness</w:t>
            </w:r>
          </w:p>
        </w:tc>
      </w:tr>
      <w:tr w:rsidR="00CF4878" w:rsidRPr="00783938" w:rsidTr="00783938">
        <w:tc>
          <w:tcPr>
            <w:tcW w:w="2718"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jc w:val="left"/>
              <w:rPr>
                <w:rFonts w:ascii="Arial Narrow" w:hAnsi="Arial Narrow"/>
                <w:sz w:val="20"/>
              </w:rPr>
            </w:pPr>
            <w:r w:rsidRPr="00783938">
              <w:rPr>
                <w:rFonts w:ascii="Arial Narrow" w:hAnsi="Arial Narrow"/>
                <w:sz w:val="20"/>
              </w:rPr>
              <w:t>ITT (base case)</w:t>
            </w:r>
          </w:p>
        </w:tc>
        <w:tc>
          <w:tcPr>
            <w:tcW w:w="687" w:type="pct"/>
            <w:tcBorders>
              <w:top w:val="single" w:sz="4" w:space="0" w:color="auto"/>
              <w:left w:val="single" w:sz="4" w:space="0" w:color="auto"/>
              <w:bottom w:val="single" w:sz="4" w:space="0" w:color="auto"/>
              <w:right w:val="single" w:sz="4" w:space="0" w:color="auto"/>
            </w:tcBorders>
            <w:vAlign w:val="bottom"/>
            <w:hideMark/>
          </w:tcPr>
          <w:p w:rsidR="00CF4878" w:rsidRPr="00783938" w:rsidRDefault="00CF4878" w:rsidP="008F4262">
            <w:pPr>
              <w:widowControl/>
              <w:snapToGrid w:val="0"/>
              <w:jc w:val="center"/>
              <w:rPr>
                <w:rFonts w:ascii="Arial Narrow" w:hAnsi="Arial Narrow"/>
                <w:sz w:val="20"/>
              </w:rPr>
            </w:pPr>
            <w:r w:rsidRPr="00783938">
              <w:rPr>
                <w:rFonts w:ascii="Arial Narrow" w:hAnsi="Arial Narrow" w:cs="Times New Roman"/>
                <w:sz w:val="20"/>
              </w:rPr>
              <w:t>$</w:t>
            </w:r>
            <w:r w:rsidR="0017165E">
              <w:rPr>
                <w:rFonts w:ascii="Arial Narrow" w:hAnsi="Arial Narrow" w:cs="Times New Roman"/>
                <w:noProof/>
                <w:color w:val="000000"/>
                <w:sz w:val="20"/>
                <w:highlight w:val="black"/>
              </w:rPr>
              <w:t>''''''''''''</w:t>
            </w:r>
          </w:p>
        </w:tc>
        <w:tc>
          <w:tcPr>
            <w:tcW w:w="685" w:type="pct"/>
            <w:tcBorders>
              <w:top w:val="single" w:sz="4" w:space="0" w:color="auto"/>
              <w:left w:val="single" w:sz="4" w:space="0" w:color="auto"/>
              <w:bottom w:val="single" w:sz="4" w:space="0" w:color="auto"/>
              <w:right w:val="single" w:sz="4" w:space="0" w:color="auto"/>
            </w:tcBorders>
            <w:vAlign w:val="bottom"/>
            <w:hideMark/>
          </w:tcPr>
          <w:p w:rsidR="00CF4878" w:rsidRPr="00783938" w:rsidRDefault="00CF4878" w:rsidP="008F4262">
            <w:pPr>
              <w:widowControl/>
              <w:snapToGrid w:val="0"/>
              <w:jc w:val="center"/>
              <w:rPr>
                <w:rFonts w:ascii="Arial Narrow" w:hAnsi="Arial Narrow"/>
                <w:sz w:val="20"/>
              </w:rPr>
            </w:pPr>
            <w:r w:rsidRPr="00783938">
              <w:rPr>
                <w:rFonts w:ascii="Arial Narrow" w:hAnsi="Arial Narrow"/>
                <w:sz w:val="20"/>
              </w:rPr>
              <w:t>0.0673</w:t>
            </w:r>
          </w:p>
        </w:tc>
        <w:tc>
          <w:tcPr>
            <w:tcW w:w="910" w:type="pct"/>
            <w:tcBorders>
              <w:top w:val="single" w:sz="4" w:space="0" w:color="auto"/>
              <w:left w:val="single" w:sz="4" w:space="0" w:color="auto"/>
              <w:bottom w:val="single" w:sz="4" w:space="0" w:color="auto"/>
              <w:right w:val="single" w:sz="4" w:space="0" w:color="auto"/>
            </w:tcBorders>
            <w:hideMark/>
          </w:tcPr>
          <w:p w:rsidR="00CF4878" w:rsidRPr="00783938" w:rsidRDefault="00CF4878" w:rsidP="008F4262">
            <w:pPr>
              <w:widowControl/>
              <w:snapToGrid w:val="0"/>
              <w:jc w:val="center"/>
              <w:rPr>
                <w:rFonts w:ascii="Arial Narrow" w:hAnsi="Arial Narrow"/>
                <w:sz w:val="20"/>
              </w:rPr>
            </w:pPr>
            <w:r w:rsidRPr="00783938">
              <w:rPr>
                <w:rFonts w:ascii="Arial Narrow" w:hAnsi="Arial Narrow"/>
                <w:sz w:val="20"/>
              </w:rPr>
              <w:t>$</w:t>
            </w:r>
            <w:r w:rsidR="0017165E">
              <w:rPr>
                <w:rFonts w:ascii="Arial Narrow" w:hAnsi="Arial Narrow"/>
                <w:noProof/>
                <w:color w:val="000000"/>
                <w:sz w:val="20"/>
                <w:highlight w:val="black"/>
              </w:rPr>
              <w:t>'''''''''''''''''</w:t>
            </w:r>
          </w:p>
        </w:tc>
      </w:tr>
      <w:tr w:rsidR="00CF4878" w:rsidRPr="00783938" w:rsidTr="00783938">
        <w:tc>
          <w:tcPr>
            <w:tcW w:w="2718"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ind w:left="109"/>
              <w:jc w:val="left"/>
              <w:rPr>
                <w:rFonts w:ascii="Arial Narrow" w:hAnsi="Arial Narrow"/>
                <w:sz w:val="20"/>
              </w:rPr>
            </w:pPr>
            <w:r w:rsidRPr="00783938">
              <w:rPr>
                <w:rFonts w:ascii="Arial Narrow" w:hAnsi="Arial Narrow"/>
                <w:sz w:val="20"/>
              </w:rPr>
              <w:t>Probability of VMT resolution at Day 28 set to estimates from TG-MV-006 and TG-MV-007 (pooled)</w:t>
            </w:r>
          </w:p>
        </w:tc>
        <w:tc>
          <w:tcPr>
            <w:tcW w:w="687"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jc w:val="center"/>
              <w:rPr>
                <w:rFonts w:ascii="Arial Narrow" w:hAnsi="Arial Narrow" w:cs="Times New Roman"/>
                <w:sz w:val="20"/>
              </w:rPr>
            </w:pPr>
            <w:r w:rsidRPr="00783938">
              <w:rPr>
                <w:rFonts w:ascii="Arial Narrow" w:hAnsi="Arial Narrow" w:cs="Times New Roman"/>
                <w:sz w:val="20"/>
              </w:rPr>
              <w:t>$</w:t>
            </w:r>
            <w:r w:rsidR="0017165E">
              <w:rPr>
                <w:rFonts w:ascii="Arial Narrow" w:hAnsi="Arial Narrow" w:cs="Times New Roman"/>
                <w:noProof/>
                <w:color w:val="000000"/>
                <w:sz w:val="20"/>
                <w:highlight w:val="black"/>
              </w:rPr>
              <w:t>'''''''''''''</w:t>
            </w:r>
          </w:p>
        </w:tc>
        <w:tc>
          <w:tcPr>
            <w:tcW w:w="685"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jc w:val="center"/>
              <w:rPr>
                <w:rFonts w:ascii="Arial Narrow" w:hAnsi="Arial Narrow"/>
                <w:sz w:val="20"/>
              </w:rPr>
            </w:pPr>
            <w:r w:rsidRPr="00783938">
              <w:rPr>
                <w:rFonts w:ascii="Arial Narrow" w:hAnsi="Arial Narrow"/>
                <w:sz w:val="20"/>
              </w:rPr>
              <w:t>0.0454</w:t>
            </w:r>
          </w:p>
        </w:tc>
        <w:tc>
          <w:tcPr>
            <w:tcW w:w="910"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jc w:val="center"/>
              <w:rPr>
                <w:rFonts w:ascii="Arial Narrow" w:hAnsi="Arial Narrow"/>
                <w:sz w:val="20"/>
              </w:rPr>
            </w:pPr>
            <w:r w:rsidRPr="00783938">
              <w:rPr>
                <w:rFonts w:ascii="Arial Narrow" w:hAnsi="Arial Narrow"/>
                <w:sz w:val="20"/>
              </w:rPr>
              <w:t>$</w:t>
            </w:r>
            <w:r w:rsidR="0017165E">
              <w:rPr>
                <w:rFonts w:ascii="Arial Narrow" w:hAnsi="Arial Narrow"/>
                <w:noProof/>
                <w:color w:val="000000"/>
                <w:sz w:val="20"/>
                <w:highlight w:val="black"/>
              </w:rPr>
              <w:t>'''''''''''''''''</w:t>
            </w:r>
          </w:p>
        </w:tc>
      </w:tr>
      <w:tr w:rsidR="00CF4878" w:rsidRPr="00783938" w:rsidTr="00783938">
        <w:tc>
          <w:tcPr>
            <w:tcW w:w="2718"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ind w:left="109"/>
              <w:jc w:val="left"/>
              <w:rPr>
                <w:rFonts w:ascii="Arial Narrow" w:hAnsi="Arial Narrow"/>
                <w:sz w:val="20"/>
              </w:rPr>
            </w:pPr>
            <w:r w:rsidRPr="00783938">
              <w:rPr>
                <w:rFonts w:ascii="Arial Narrow" w:hAnsi="Arial Narrow"/>
                <w:sz w:val="20"/>
              </w:rPr>
              <w:t xml:space="preserve">Set utility for resolved with </w:t>
            </w:r>
            <w:proofErr w:type="spellStart"/>
            <w:r w:rsidRPr="00783938">
              <w:rPr>
                <w:rFonts w:ascii="Arial Narrow" w:hAnsi="Arial Narrow"/>
                <w:sz w:val="20"/>
              </w:rPr>
              <w:t>vitrectomy</w:t>
            </w:r>
            <w:proofErr w:type="spellEnd"/>
            <w:r w:rsidRPr="00783938">
              <w:rPr>
                <w:rFonts w:ascii="Arial Narrow" w:hAnsi="Arial Narrow"/>
                <w:sz w:val="20"/>
              </w:rPr>
              <w:t xml:space="preserve"> equal to utility resolved without </w:t>
            </w:r>
            <w:proofErr w:type="spellStart"/>
            <w:r w:rsidRPr="00783938">
              <w:rPr>
                <w:rFonts w:ascii="Arial Narrow" w:hAnsi="Arial Narrow"/>
                <w:sz w:val="20"/>
              </w:rPr>
              <w:t>vitrectomy</w:t>
            </w:r>
            <w:proofErr w:type="spellEnd"/>
            <w:r w:rsidRPr="00783938">
              <w:rPr>
                <w:rFonts w:ascii="Arial Narrow" w:hAnsi="Arial Narrow"/>
                <w:sz w:val="20"/>
              </w:rPr>
              <w:t xml:space="preserve"> (</w:t>
            </w:r>
            <w:proofErr w:type="spellStart"/>
            <w:r w:rsidRPr="00783938">
              <w:rPr>
                <w:rFonts w:ascii="Arial Narrow" w:hAnsi="Arial Narrow"/>
                <w:sz w:val="20"/>
              </w:rPr>
              <w:t>ie</w:t>
            </w:r>
            <w:proofErr w:type="spellEnd"/>
            <w:r w:rsidRPr="00783938">
              <w:rPr>
                <w:rFonts w:ascii="Arial Narrow" w:hAnsi="Arial Narrow"/>
                <w:sz w:val="20"/>
              </w:rPr>
              <w:t>, long</w:t>
            </w:r>
            <w:r w:rsidR="00783938">
              <w:rPr>
                <w:rFonts w:ascii="Arial Narrow" w:hAnsi="Arial Narrow"/>
                <w:sz w:val="20"/>
              </w:rPr>
              <w:t>-</w:t>
            </w:r>
            <w:r w:rsidRPr="00783938">
              <w:rPr>
                <w:rFonts w:ascii="Arial Narrow" w:hAnsi="Arial Narrow"/>
                <w:sz w:val="20"/>
              </w:rPr>
              <w:t xml:space="preserve">term </w:t>
            </w:r>
            <w:proofErr w:type="spellStart"/>
            <w:r w:rsidRPr="00783938">
              <w:rPr>
                <w:rFonts w:ascii="Arial Narrow" w:hAnsi="Arial Narrow"/>
                <w:sz w:val="20"/>
              </w:rPr>
              <w:t>QoL</w:t>
            </w:r>
            <w:proofErr w:type="spellEnd"/>
            <w:r w:rsidRPr="00783938">
              <w:rPr>
                <w:rFonts w:ascii="Arial Narrow" w:hAnsi="Arial Narrow"/>
                <w:sz w:val="20"/>
              </w:rPr>
              <w:t xml:space="preserve"> benefit via non-surgical resolution from 0.0127 to 0.0000)</w:t>
            </w:r>
          </w:p>
        </w:tc>
        <w:tc>
          <w:tcPr>
            <w:tcW w:w="687"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jc w:val="center"/>
              <w:rPr>
                <w:rFonts w:ascii="Arial Narrow" w:hAnsi="Arial Narrow" w:cs="Times New Roman"/>
                <w:sz w:val="20"/>
              </w:rPr>
            </w:pPr>
            <w:r w:rsidRPr="00783938">
              <w:rPr>
                <w:rFonts w:ascii="Arial Narrow" w:hAnsi="Arial Narrow" w:cs="Times New Roman"/>
                <w:sz w:val="20"/>
              </w:rPr>
              <w:t>$</w:t>
            </w:r>
            <w:r w:rsidR="0017165E">
              <w:rPr>
                <w:rFonts w:ascii="Arial Narrow" w:hAnsi="Arial Narrow" w:cs="Times New Roman"/>
                <w:noProof/>
                <w:color w:val="000000"/>
                <w:sz w:val="20"/>
                <w:highlight w:val="black"/>
              </w:rPr>
              <w:t>'''''''''''''</w:t>
            </w:r>
          </w:p>
        </w:tc>
        <w:tc>
          <w:tcPr>
            <w:tcW w:w="685"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jc w:val="center"/>
              <w:rPr>
                <w:rFonts w:ascii="Arial Narrow" w:hAnsi="Arial Narrow"/>
                <w:sz w:val="20"/>
              </w:rPr>
            </w:pPr>
            <w:r w:rsidRPr="00783938">
              <w:rPr>
                <w:rFonts w:ascii="Arial Narrow" w:hAnsi="Arial Narrow"/>
                <w:sz w:val="20"/>
              </w:rPr>
              <w:t>0.0395</w:t>
            </w:r>
          </w:p>
        </w:tc>
        <w:tc>
          <w:tcPr>
            <w:tcW w:w="910"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jc w:val="center"/>
              <w:rPr>
                <w:rFonts w:ascii="Arial Narrow" w:hAnsi="Arial Narrow"/>
                <w:sz w:val="20"/>
              </w:rPr>
            </w:pPr>
            <w:r w:rsidRPr="00783938">
              <w:rPr>
                <w:rFonts w:ascii="Arial Narrow" w:hAnsi="Arial Narrow"/>
                <w:sz w:val="20"/>
              </w:rPr>
              <w:t>$</w:t>
            </w:r>
            <w:r w:rsidR="0017165E">
              <w:rPr>
                <w:rFonts w:ascii="Arial Narrow" w:hAnsi="Arial Narrow"/>
                <w:noProof/>
                <w:color w:val="000000"/>
                <w:sz w:val="20"/>
                <w:highlight w:val="black"/>
              </w:rPr>
              <w:t>''''''''''''''''</w:t>
            </w:r>
          </w:p>
        </w:tc>
      </w:tr>
      <w:tr w:rsidR="00CF4878" w:rsidRPr="00783938" w:rsidTr="00783938">
        <w:tc>
          <w:tcPr>
            <w:tcW w:w="2718"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ind w:left="109"/>
              <w:jc w:val="left"/>
              <w:rPr>
                <w:rFonts w:ascii="Arial Narrow" w:hAnsi="Arial Narrow"/>
                <w:sz w:val="20"/>
              </w:rPr>
            </w:pPr>
            <w:r w:rsidRPr="00783938">
              <w:rPr>
                <w:rFonts w:ascii="Arial Narrow" w:hAnsi="Arial Narrow"/>
                <w:sz w:val="20"/>
              </w:rPr>
              <w:t>Time horizon set to 2 years</w:t>
            </w:r>
          </w:p>
        </w:tc>
        <w:tc>
          <w:tcPr>
            <w:tcW w:w="687"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jc w:val="center"/>
              <w:rPr>
                <w:rFonts w:ascii="Arial Narrow" w:hAnsi="Arial Narrow" w:cs="Times New Roman"/>
                <w:sz w:val="20"/>
              </w:rPr>
            </w:pPr>
            <w:r w:rsidRPr="00783938">
              <w:rPr>
                <w:rFonts w:ascii="Arial Narrow" w:hAnsi="Arial Narrow" w:cs="Times New Roman"/>
                <w:sz w:val="20"/>
              </w:rPr>
              <w:t>$</w:t>
            </w:r>
            <w:r w:rsidR="0017165E">
              <w:rPr>
                <w:rFonts w:ascii="Arial Narrow" w:hAnsi="Arial Narrow" w:cs="Times New Roman"/>
                <w:noProof/>
                <w:color w:val="000000"/>
                <w:sz w:val="20"/>
                <w:highlight w:val="black"/>
              </w:rPr>
              <w:t>'''''''''''''</w:t>
            </w:r>
          </w:p>
        </w:tc>
        <w:tc>
          <w:tcPr>
            <w:tcW w:w="685"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jc w:val="center"/>
              <w:rPr>
                <w:rFonts w:ascii="Arial Narrow" w:hAnsi="Arial Narrow"/>
                <w:sz w:val="20"/>
              </w:rPr>
            </w:pPr>
            <w:r w:rsidRPr="00783938">
              <w:rPr>
                <w:rFonts w:ascii="Arial Narrow" w:hAnsi="Arial Narrow"/>
                <w:sz w:val="20"/>
              </w:rPr>
              <w:t>0.0268</w:t>
            </w:r>
          </w:p>
        </w:tc>
        <w:tc>
          <w:tcPr>
            <w:tcW w:w="910"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jc w:val="center"/>
              <w:rPr>
                <w:rFonts w:ascii="Arial Narrow" w:hAnsi="Arial Narrow"/>
                <w:sz w:val="20"/>
              </w:rPr>
            </w:pPr>
            <w:r w:rsidRPr="00783938">
              <w:rPr>
                <w:rFonts w:ascii="Arial Narrow" w:hAnsi="Arial Narrow"/>
                <w:sz w:val="20"/>
              </w:rPr>
              <w:t>$</w:t>
            </w:r>
            <w:r w:rsidR="0017165E">
              <w:rPr>
                <w:rFonts w:ascii="Arial Narrow" w:hAnsi="Arial Narrow"/>
                <w:noProof/>
                <w:color w:val="000000"/>
                <w:sz w:val="20"/>
                <w:highlight w:val="black"/>
              </w:rPr>
              <w:t>''''''''''''''''''''</w:t>
            </w:r>
          </w:p>
        </w:tc>
      </w:tr>
      <w:tr w:rsidR="00CF4878" w:rsidRPr="00783938" w:rsidTr="00783938">
        <w:tc>
          <w:tcPr>
            <w:tcW w:w="2718"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ind w:left="109"/>
              <w:jc w:val="left"/>
              <w:rPr>
                <w:rFonts w:ascii="Arial Narrow" w:hAnsi="Arial Narrow"/>
                <w:sz w:val="20"/>
              </w:rPr>
            </w:pPr>
            <w:r w:rsidRPr="00783938">
              <w:rPr>
                <w:rFonts w:ascii="Arial Narrow" w:hAnsi="Arial Narrow"/>
                <w:sz w:val="20"/>
              </w:rPr>
              <w:t xml:space="preserve">Time horizon set to 2 years + set utility for resolved with </w:t>
            </w:r>
            <w:proofErr w:type="spellStart"/>
            <w:r w:rsidRPr="00783938">
              <w:rPr>
                <w:rFonts w:ascii="Arial Narrow" w:hAnsi="Arial Narrow"/>
                <w:sz w:val="20"/>
              </w:rPr>
              <w:t>vitrectomy</w:t>
            </w:r>
            <w:proofErr w:type="spellEnd"/>
            <w:r w:rsidRPr="00783938">
              <w:rPr>
                <w:rFonts w:ascii="Arial Narrow" w:hAnsi="Arial Narrow"/>
                <w:sz w:val="20"/>
              </w:rPr>
              <w:t xml:space="preserve"> equal to utility resolved without </w:t>
            </w:r>
            <w:proofErr w:type="spellStart"/>
            <w:r w:rsidRPr="00783938">
              <w:rPr>
                <w:rFonts w:ascii="Arial Narrow" w:hAnsi="Arial Narrow"/>
                <w:sz w:val="20"/>
              </w:rPr>
              <w:t>vitrectomy</w:t>
            </w:r>
            <w:proofErr w:type="spellEnd"/>
            <w:r w:rsidRPr="00783938">
              <w:rPr>
                <w:rFonts w:ascii="Arial Narrow" w:hAnsi="Arial Narrow"/>
                <w:sz w:val="20"/>
              </w:rPr>
              <w:t xml:space="preserve"> (</w:t>
            </w:r>
            <w:proofErr w:type="spellStart"/>
            <w:r w:rsidRPr="00783938">
              <w:rPr>
                <w:rFonts w:ascii="Arial Narrow" w:hAnsi="Arial Narrow"/>
                <w:sz w:val="20"/>
              </w:rPr>
              <w:t>ie</w:t>
            </w:r>
            <w:proofErr w:type="spellEnd"/>
            <w:r w:rsidRPr="00783938">
              <w:rPr>
                <w:rFonts w:ascii="Arial Narrow" w:hAnsi="Arial Narrow"/>
                <w:sz w:val="20"/>
              </w:rPr>
              <w:t>, long</w:t>
            </w:r>
            <w:r w:rsidR="00783938">
              <w:rPr>
                <w:rFonts w:ascii="Arial Narrow" w:hAnsi="Arial Narrow"/>
                <w:sz w:val="20"/>
              </w:rPr>
              <w:t>-</w:t>
            </w:r>
            <w:r w:rsidRPr="00783938">
              <w:rPr>
                <w:rFonts w:ascii="Arial Narrow" w:hAnsi="Arial Narrow"/>
                <w:sz w:val="20"/>
              </w:rPr>
              <w:t xml:space="preserve">term </w:t>
            </w:r>
            <w:proofErr w:type="spellStart"/>
            <w:r w:rsidRPr="00783938">
              <w:rPr>
                <w:rFonts w:ascii="Arial Narrow" w:hAnsi="Arial Narrow"/>
                <w:sz w:val="20"/>
              </w:rPr>
              <w:t>QoL</w:t>
            </w:r>
            <w:proofErr w:type="spellEnd"/>
            <w:r w:rsidRPr="00783938">
              <w:rPr>
                <w:rFonts w:ascii="Arial Narrow" w:hAnsi="Arial Narrow"/>
                <w:sz w:val="20"/>
              </w:rPr>
              <w:t xml:space="preserve"> benefit via non-surgical resolution from 0.0127 to 0.0000)</w:t>
            </w:r>
          </w:p>
        </w:tc>
        <w:tc>
          <w:tcPr>
            <w:tcW w:w="687"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jc w:val="center"/>
              <w:rPr>
                <w:rFonts w:ascii="Arial Narrow" w:hAnsi="Arial Narrow" w:cs="Times New Roman"/>
                <w:sz w:val="20"/>
              </w:rPr>
            </w:pPr>
            <w:r w:rsidRPr="00783938">
              <w:rPr>
                <w:rFonts w:ascii="Arial Narrow" w:hAnsi="Arial Narrow" w:cs="Times New Roman"/>
                <w:sz w:val="20"/>
              </w:rPr>
              <w:t>$</w:t>
            </w:r>
            <w:r w:rsidR="0017165E">
              <w:rPr>
                <w:rFonts w:ascii="Arial Narrow" w:hAnsi="Arial Narrow" w:cs="Times New Roman"/>
                <w:noProof/>
                <w:color w:val="000000"/>
                <w:sz w:val="20"/>
                <w:highlight w:val="black"/>
              </w:rPr>
              <w:t>'''''''''''''</w:t>
            </w:r>
          </w:p>
        </w:tc>
        <w:tc>
          <w:tcPr>
            <w:tcW w:w="685"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jc w:val="center"/>
              <w:rPr>
                <w:rFonts w:ascii="Arial Narrow" w:hAnsi="Arial Narrow"/>
                <w:sz w:val="20"/>
              </w:rPr>
            </w:pPr>
            <w:r w:rsidRPr="00783938">
              <w:rPr>
                <w:rFonts w:ascii="Arial Narrow" w:hAnsi="Arial Narrow"/>
                <w:sz w:val="20"/>
              </w:rPr>
              <w:t>0.0235</w:t>
            </w:r>
          </w:p>
        </w:tc>
        <w:tc>
          <w:tcPr>
            <w:tcW w:w="910"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jc w:val="center"/>
              <w:rPr>
                <w:rFonts w:ascii="Arial Narrow" w:hAnsi="Arial Narrow"/>
                <w:sz w:val="20"/>
              </w:rPr>
            </w:pPr>
            <w:r w:rsidRPr="00783938">
              <w:rPr>
                <w:rFonts w:ascii="Arial Narrow" w:hAnsi="Arial Narrow"/>
                <w:sz w:val="20"/>
              </w:rPr>
              <w:t>$</w:t>
            </w:r>
            <w:r w:rsidR="0017165E">
              <w:rPr>
                <w:rFonts w:ascii="Arial Narrow" w:hAnsi="Arial Narrow"/>
                <w:noProof/>
                <w:color w:val="000000"/>
                <w:sz w:val="20"/>
                <w:highlight w:val="black"/>
              </w:rPr>
              <w:t>''''''''''''''''''''</w:t>
            </w:r>
          </w:p>
        </w:tc>
      </w:tr>
      <w:tr w:rsidR="00CF4878" w:rsidRPr="00783938" w:rsidTr="00783938">
        <w:tc>
          <w:tcPr>
            <w:tcW w:w="2718"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ind w:left="109"/>
              <w:jc w:val="left"/>
              <w:rPr>
                <w:rFonts w:ascii="Arial Narrow" w:hAnsi="Arial Narrow"/>
                <w:sz w:val="20"/>
              </w:rPr>
            </w:pPr>
            <w:r w:rsidRPr="00783938">
              <w:rPr>
                <w:rFonts w:ascii="Arial Narrow" w:hAnsi="Arial Narrow"/>
                <w:sz w:val="20"/>
              </w:rPr>
              <w:t xml:space="preserve">Probability of VMT resolution at Day 28 set to estimates from TG-MV-006 and TG-MV-007 (pooled) + time horizon set to 2 years + set utility for resolved with </w:t>
            </w:r>
            <w:proofErr w:type="spellStart"/>
            <w:r w:rsidRPr="00783938">
              <w:rPr>
                <w:rFonts w:ascii="Arial Narrow" w:hAnsi="Arial Narrow"/>
                <w:sz w:val="20"/>
              </w:rPr>
              <w:t>vitrectomy</w:t>
            </w:r>
            <w:proofErr w:type="spellEnd"/>
            <w:r w:rsidRPr="00783938">
              <w:rPr>
                <w:rFonts w:ascii="Arial Narrow" w:hAnsi="Arial Narrow"/>
                <w:sz w:val="20"/>
              </w:rPr>
              <w:t xml:space="preserve"> equal to utility resolved without </w:t>
            </w:r>
            <w:proofErr w:type="spellStart"/>
            <w:r w:rsidRPr="00783938">
              <w:rPr>
                <w:rFonts w:ascii="Arial Narrow" w:hAnsi="Arial Narrow"/>
                <w:sz w:val="20"/>
              </w:rPr>
              <w:t>vitrectomy</w:t>
            </w:r>
            <w:proofErr w:type="spellEnd"/>
            <w:r w:rsidRPr="00783938">
              <w:rPr>
                <w:rFonts w:ascii="Arial Narrow" w:hAnsi="Arial Narrow"/>
                <w:sz w:val="20"/>
              </w:rPr>
              <w:t xml:space="preserve"> (</w:t>
            </w:r>
            <w:proofErr w:type="spellStart"/>
            <w:r w:rsidRPr="00783938">
              <w:rPr>
                <w:rFonts w:ascii="Arial Narrow" w:hAnsi="Arial Narrow"/>
                <w:sz w:val="20"/>
              </w:rPr>
              <w:t>ie</w:t>
            </w:r>
            <w:proofErr w:type="spellEnd"/>
            <w:r w:rsidRPr="00783938">
              <w:rPr>
                <w:rFonts w:ascii="Arial Narrow" w:hAnsi="Arial Narrow"/>
                <w:sz w:val="20"/>
              </w:rPr>
              <w:t>, long</w:t>
            </w:r>
            <w:r w:rsidR="00783938">
              <w:rPr>
                <w:rFonts w:ascii="Arial Narrow" w:hAnsi="Arial Narrow"/>
                <w:sz w:val="20"/>
              </w:rPr>
              <w:t>-</w:t>
            </w:r>
            <w:r w:rsidRPr="00783938">
              <w:rPr>
                <w:rFonts w:ascii="Arial Narrow" w:hAnsi="Arial Narrow"/>
                <w:sz w:val="20"/>
              </w:rPr>
              <w:t xml:space="preserve">term </w:t>
            </w:r>
            <w:proofErr w:type="spellStart"/>
            <w:r w:rsidRPr="00783938">
              <w:rPr>
                <w:rFonts w:ascii="Arial Narrow" w:hAnsi="Arial Narrow"/>
                <w:sz w:val="20"/>
              </w:rPr>
              <w:t>QoL</w:t>
            </w:r>
            <w:proofErr w:type="spellEnd"/>
            <w:r w:rsidRPr="00783938">
              <w:rPr>
                <w:rFonts w:ascii="Arial Narrow" w:hAnsi="Arial Narrow"/>
                <w:sz w:val="20"/>
              </w:rPr>
              <w:t xml:space="preserve"> benefit via non-surgical resolution from 0.0127 to 0.0000)</w:t>
            </w:r>
          </w:p>
        </w:tc>
        <w:tc>
          <w:tcPr>
            <w:tcW w:w="687"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jc w:val="center"/>
              <w:rPr>
                <w:rFonts w:ascii="Arial Narrow" w:hAnsi="Arial Narrow" w:cs="Times New Roman"/>
                <w:sz w:val="20"/>
              </w:rPr>
            </w:pPr>
            <w:r w:rsidRPr="00783938">
              <w:rPr>
                <w:rFonts w:ascii="Arial Narrow" w:hAnsi="Arial Narrow" w:cs="Times New Roman"/>
                <w:sz w:val="20"/>
              </w:rPr>
              <w:t>$</w:t>
            </w:r>
            <w:r w:rsidR="0017165E">
              <w:rPr>
                <w:rFonts w:ascii="Arial Narrow" w:hAnsi="Arial Narrow" w:cs="Times New Roman"/>
                <w:noProof/>
                <w:color w:val="000000"/>
                <w:sz w:val="20"/>
                <w:highlight w:val="black"/>
              </w:rPr>
              <w:t>''''''''''''</w:t>
            </w:r>
          </w:p>
        </w:tc>
        <w:tc>
          <w:tcPr>
            <w:tcW w:w="685"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jc w:val="center"/>
              <w:rPr>
                <w:rFonts w:ascii="Arial Narrow" w:hAnsi="Arial Narrow"/>
                <w:sz w:val="20"/>
              </w:rPr>
            </w:pPr>
            <w:r w:rsidRPr="00783938">
              <w:rPr>
                <w:rFonts w:ascii="Arial Narrow" w:hAnsi="Arial Narrow"/>
                <w:sz w:val="20"/>
              </w:rPr>
              <w:t>0.0155</w:t>
            </w:r>
          </w:p>
        </w:tc>
        <w:tc>
          <w:tcPr>
            <w:tcW w:w="910"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jc w:val="center"/>
              <w:rPr>
                <w:rFonts w:ascii="Arial Narrow" w:hAnsi="Arial Narrow"/>
                <w:sz w:val="20"/>
              </w:rPr>
            </w:pPr>
            <w:r w:rsidRPr="00783938">
              <w:rPr>
                <w:rFonts w:ascii="Arial Narrow" w:hAnsi="Arial Narrow"/>
                <w:sz w:val="20"/>
              </w:rPr>
              <w:t>$</w:t>
            </w:r>
            <w:r w:rsidR="0017165E">
              <w:rPr>
                <w:rFonts w:ascii="Arial Narrow" w:hAnsi="Arial Narrow"/>
                <w:noProof/>
                <w:color w:val="000000"/>
                <w:sz w:val="20"/>
                <w:highlight w:val="black"/>
              </w:rPr>
              <w:t>''''''''''''''''''''''</w:t>
            </w:r>
          </w:p>
        </w:tc>
      </w:tr>
      <w:tr w:rsidR="00CF4878" w:rsidRPr="00783938" w:rsidTr="00783938">
        <w:tc>
          <w:tcPr>
            <w:tcW w:w="2718"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jc w:val="left"/>
              <w:rPr>
                <w:rFonts w:ascii="Arial Narrow" w:hAnsi="Arial Narrow"/>
                <w:sz w:val="20"/>
              </w:rPr>
            </w:pPr>
            <w:r w:rsidRPr="00783938">
              <w:rPr>
                <w:rFonts w:ascii="Arial Narrow" w:hAnsi="Arial Narrow"/>
                <w:sz w:val="20"/>
              </w:rPr>
              <w:t>No MH at baseline (VMT only) subgroup</w:t>
            </w:r>
          </w:p>
        </w:tc>
        <w:tc>
          <w:tcPr>
            <w:tcW w:w="687"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jc w:val="center"/>
              <w:rPr>
                <w:rFonts w:ascii="Arial Narrow" w:hAnsi="Arial Narrow"/>
                <w:sz w:val="20"/>
              </w:rPr>
            </w:pPr>
            <w:r w:rsidRPr="00783938">
              <w:rPr>
                <w:rFonts w:ascii="Arial Narrow" w:hAnsi="Arial Narrow"/>
                <w:sz w:val="20"/>
              </w:rPr>
              <w:t>$</w:t>
            </w:r>
            <w:r w:rsidR="0017165E">
              <w:rPr>
                <w:rFonts w:ascii="Arial Narrow" w:hAnsi="Arial Narrow"/>
                <w:noProof/>
                <w:color w:val="000000"/>
                <w:sz w:val="20"/>
                <w:highlight w:val="black"/>
              </w:rPr>
              <w:t>''''''''''''</w:t>
            </w:r>
          </w:p>
        </w:tc>
        <w:tc>
          <w:tcPr>
            <w:tcW w:w="685"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jc w:val="center"/>
              <w:rPr>
                <w:rFonts w:ascii="Arial Narrow" w:hAnsi="Arial Narrow"/>
                <w:sz w:val="20"/>
              </w:rPr>
            </w:pPr>
            <w:r w:rsidRPr="00783938">
              <w:rPr>
                <w:rFonts w:ascii="Arial Narrow" w:hAnsi="Arial Narrow"/>
                <w:sz w:val="20"/>
              </w:rPr>
              <w:t>0.0861</w:t>
            </w:r>
          </w:p>
        </w:tc>
        <w:tc>
          <w:tcPr>
            <w:tcW w:w="910"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jc w:val="center"/>
              <w:rPr>
                <w:rFonts w:ascii="Arial Narrow" w:hAnsi="Arial Narrow"/>
                <w:sz w:val="20"/>
              </w:rPr>
            </w:pPr>
            <w:r w:rsidRPr="00783938">
              <w:rPr>
                <w:rFonts w:ascii="Arial Narrow" w:hAnsi="Arial Narrow"/>
                <w:sz w:val="20"/>
              </w:rPr>
              <w:t>$</w:t>
            </w:r>
            <w:r w:rsidR="0017165E">
              <w:rPr>
                <w:rFonts w:ascii="Arial Narrow" w:hAnsi="Arial Narrow"/>
                <w:noProof/>
                <w:color w:val="000000"/>
                <w:sz w:val="20"/>
                <w:highlight w:val="black"/>
              </w:rPr>
              <w:t>'''''''''''''''''</w:t>
            </w:r>
          </w:p>
        </w:tc>
      </w:tr>
      <w:tr w:rsidR="00CF4878" w:rsidRPr="00783938" w:rsidTr="00783938">
        <w:tc>
          <w:tcPr>
            <w:tcW w:w="2718"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ind w:left="109"/>
              <w:jc w:val="left"/>
              <w:rPr>
                <w:rFonts w:ascii="Arial Narrow" w:hAnsi="Arial Narrow"/>
                <w:sz w:val="20"/>
              </w:rPr>
            </w:pPr>
            <w:r w:rsidRPr="00783938">
              <w:rPr>
                <w:rFonts w:ascii="Arial Narrow" w:hAnsi="Arial Narrow"/>
                <w:sz w:val="20"/>
              </w:rPr>
              <w:t xml:space="preserve">Set utility for resolved with </w:t>
            </w:r>
            <w:proofErr w:type="spellStart"/>
            <w:r w:rsidRPr="00783938">
              <w:rPr>
                <w:rFonts w:ascii="Arial Narrow" w:hAnsi="Arial Narrow"/>
                <w:sz w:val="20"/>
              </w:rPr>
              <w:t>vitrectomy</w:t>
            </w:r>
            <w:proofErr w:type="spellEnd"/>
            <w:r w:rsidRPr="00783938">
              <w:rPr>
                <w:rFonts w:ascii="Arial Narrow" w:hAnsi="Arial Narrow"/>
                <w:sz w:val="20"/>
              </w:rPr>
              <w:t xml:space="preserve"> equal to utility resolved without </w:t>
            </w:r>
            <w:proofErr w:type="spellStart"/>
            <w:r w:rsidRPr="00783938">
              <w:rPr>
                <w:rFonts w:ascii="Arial Narrow" w:hAnsi="Arial Narrow"/>
                <w:sz w:val="20"/>
              </w:rPr>
              <w:t>vitrectomy</w:t>
            </w:r>
            <w:proofErr w:type="spellEnd"/>
            <w:r w:rsidRPr="00783938">
              <w:rPr>
                <w:rFonts w:ascii="Arial Narrow" w:hAnsi="Arial Narrow"/>
                <w:sz w:val="20"/>
              </w:rPr>
              <w:t xml:space="preserve"> (</w:t>
            </w:r>
            <w:proofErr w:type="spellStart"/>
            <w:r w:rsidRPr="00783938">
              <w:rPr>
                <w:rFonts w:ascii="Arial Narrow" w:hAnsi="Arial Narrow"/>
                <w:sz w:val="20"/>
              </w:rPr>
              <w:t>ie</w:t>
            </w:r>
            <w:proofErr w:type="spellEnd"/>
            <w:r w:rsidRPr="00783938">
              <w:rPr>
                <w:rFonts w:ascii="Arial Narrow" w:hAnsi="Arial Narrow"/>
                <w:sz w:val="20"/>
              </w:rPr>
              <w:t>, long</w:t>
            </w:r>
            <w:r w:rsidR="00783938">
              <w:rPr>
                <w:rFonts w:ascii="Arial Narrow" w:hAnsi="Arial Narrow"/>
                <w:sz w:val="20"/>
              </w:rPr>
              <w:t>-</w:t>
            </w:r>
            <w:r w:rsidRPr="00783938">
              <w:rPr>
                <w:rFonts w:ascii="Arial Narrow" w:hAnsi="Arial Narrow"/>
                <w:sz w:val="20"/>
              </w:rPr>
              <w:t xml:space="preserve">term </w:t>
            </w:r>
            <w:proofErr w:type="spellStart"/>
            <w:r w:rsidRPr="00783938">
              <w:rPr>
                <w:rFonts w:ascii="Arial Narrow" w:hAnsi="Arial Narrow"/>
                <w:sz w:val="20"/>
              </w:rPr>
              <w:t>QoL</w:t>
            </w:r>
            <w:proofErr w:type="spellEnd"/>
            <w:r w:rsidRPr="00783938">
              <w:rPr>
                <w:rFonts w:ascii="Arial Narrow" w:hAnsi="Arial Narrow"/>
                <w:sz w:val="20"/>
              </w:rPr>
              <w:t xml:space="preserve"> benefit via non-surgical resolution from 0.0127 to 0.0000)</w:t>
            </w:r>
          </w:p>
        </w:tc>
        <w:tc>
          <w:tcPr>
            <w:tcW w:w="687"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jc w:val="center"/>
              <w:rPr>
                <w:rFonts w:ascii="Arial Narrow" w:hAnsi="Arial Narrow"/>
                <w:sz w:val="20"/>
              </w:rPr>
            </w:pPr>
            <w:r w:rsidRPr="00783938">
              <w:rPr>
                <w:rFonts w:ascii="Arial Narrow" w:hAnsi="Arial Narrow"/>
                <w:sz w:val="20"/>
              </w:rPr>
              <w:t>$</w:t>
            </w:r>
            <w:r w:rsidR="0017165E">
              <w:rPr>
                <w:rFonts w:ascii="Arial Narrow" w:hAnsi="Arial Narrow"/>
                <w:noProof/>
                <w:color w:val="000000"/>
                <w:sz w:val="20"/>
                <w:highlight w:val="black"/>
              </w:rPr>
              <w:t>''''''''''''''</w:t>
            </w:r>
          </w:p>
        </w:tc>
        <w:tc>
          <w:tcPr>
            <w:tcW w:w="685"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jc w:val="center"/>
              <w:rPr>
                <w:rFonts w:ascii="Arial Narrow" w:hAnsi="Arial Narrow"/>
                <w:sz w:val="20"/>
              </w:rPr>
            </w:pPr>
            <w:r w:rsidRPr="00783938">
              <w:rPr>
                <w:rFonts w:ascii="Arial Narrow" w:hAnsi="Arial Narrow"/>
                <w:sz w:val="20"/>
              </w:rPr>
              <w:t>0.0619</w:t>
            </w:r>
          </w:p>
        </w:tc>
        <w:tc>
          <w:tcPr>
            <w:tcW w:w="910"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jc w:val="center"/>
              <w:rPr>
                <w:rFonts w:ascii="Arial Narrow" w:hAnsi="Arial Narrow"/>
                <w:sz w:val="20"/>
              </w:rPr>
            </w:pPr>
            <w:r w:rsidRPr="00783938">
              <w:rPr>
                <w:rFonts w:ascii="Arial Narrow" w:hAnsi="Arial Narrow"/>
                <w:sz w:val="20"/>
              </w:rPr>
              <w:t>$</w:t>
            </w:r>
            <w:r w:rsidR="0017165E">
              <w:rPr>
                <w:rFonts w:ascii="Arial Narrow" w:hAnsi="Arial Narrow"/>
                <w:noProof/>
                <w:color w:val="000000"/>
                <w:sz w:val="20"/>
                <w:highlight w:val="black"/>
              </w:rPr>
              <w:t>''''''''''''''''</w:t>
            </w:r>
          </w:p>
        </w:tc>
      </w:tr>
      <w:tr w:rsidR="00CF4878" w:rsidRPr="00783938" w:rsidTr="00783938">
        <w:tc>
          <w:tcPr>
            <w:tcW w:w="2718"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jc w:val="left"/>
              <w:rPr>
                <w:rFonts w:ascii="Arial Narrow" w:hAnsi="Arial Narrow"/>
                <w:sz w:val="20"/>
              </w:rPr>
            </w:pPr>
            <w:r w:rsidRPr="00783938">
              <w:rPr>
                <w:rFonts w:ascii="Arial Narrow" w:hAnsi="Arial Narrow"/>
                <w:sz w:val="20"/>
              </w:rPr>
              <w:t>MH at baseline subgroup</w:t>
            </w:r>
          </w:p>
        </w:tc>
        <w:tc>
          <w:tcPr>
            <w:tcW w:w="687"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jc w:val="center"/>
              <w:rPr>
                <w:rFonts w:ascii="Arial Narrow" w:hAnsi="Arial Narrow"/>
                <w:sz w:val="20"/>
              </w:rPr>
            </w:pPr>
            <w:r w:rsidRPr="00783938">
              <w:rPr>
                <w:rFonts w:ascii="Arial Narrow" w:hAnsi="Arial Narrow"/>
                <w:sz w:val="20"/>
              </w:rPr>
              <w:t>$</w:t>
            </w:r>
            <w:r w:rsidR="0017165E">
              <w:rPr>
                <w:rFonts w:ascii="Arial Narrow" w:hAnsi="Arial Narrow"/>
                <w:noProof/>
                <w:color w:val="000000"/>
                <w:sz w:val="20"/>
                <w:highlight w:val="black"/>
              </w:rPr>
              <w:t>''''''''''''''</w:t>
            </w:r>
          </w:p>
        </w:tc>
        <w:tc>
          <w:tcPr>
            <w:tcW w:w="685"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jc w:val="center"/>
              <w:rPr>
                <w:rFonts w:ascii="Arial Narrow" w:hAnsi="Arial Narrow"/>
                <w:sz w:val="20"/>
              </w:rPr>
            </w:pPr>
            <w:r w:rsidRPr="00783938">
              <w:rPr>
                <w:rFonts w:ascii="Arial Narrow" w:hAnsi="Arial Narrow"/>
                <w:sz w:val="20"/>
              </w:rPr>
              <w:t>0.0263</w:t>
            </w:r>
          </w:p>
        </w:tc>
        <w:tc>
          <w:tcPr>
            <w:tcW w:w="910"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jc w:val="center"/>
              <w:rPr>
                <w:rFonts w:ascii="Arial Narrow" w:hAnsi="Arial Narrow"/>
                <w:sz w:val="20"/>
              </w:rPr>
            </w:pPr>
            <w:r w:rsidRPr="00783938">
              <w:rPr>
                <w:rFonts w:ascii="Arial Narrow" w:hAnsi="Arial Narrow"/>
                <w:sz w:val="20"/>
              </w:rPr>
              <w:t>$</w:t>
            </w:r>
            <w:r w:rsidR="0017165E">
              <w:rPr>
                <w:rFonts w:ascii="Arial Narrow" w:hAnsi="Arial Narrow"/>
                <w:noProof/>
                <w:color w:val="000000"/>
                <w:sz w:val="20"/>
                <w:highlight w:val="black"/>
              </w:rPr>
              <w:t>''''''''''''''''''</w:t>
            </w:r>
          </w:p>
        </w:tc>
      </w:tr>
      <w:tr w:rsidR="00CF4878" w:rsidRPr="00783938" w:rsidTr="00783938">
        <w:tc>
          <w:tcPr>
            <w:tcW w:w="2718"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ind w:left="109"/>
              <w:jc w:val="left"/>
              <w:rPr>
                <w:rFonts w:ascii="Arial Narrow" w:hAnsi="Arial Narrow"/>
                <w:sz w:val="20"/>
              </w:rPr>
            </w:pPr>
            <w:r w:rsidRPr="00783938">
              <w:rPr>
                <w:rFonts w:ascii="Arial Narrow" w:hAnsi="Arial Narrow"/>
                <w:sz w:val="20"/>
              </w:rPr>
              <w:t xml:space="preserve">Set utility for resolved with </w:t>
            </w:r>
            <w:proofErr w:type="spellStart"/>
            <w:r w:rsidRPr="00783938">
              <w:rPr>
                <w:rFonts w:ascii="Arial Narrow" w:hAnsi="Arial Narrow"/>
                <w:sz w:val="20"/>
              </w:rPr>
              <w:t>vitrectomy</w:t>
            </w:r>
            <w:proofErr w:type="spellEnd"/>
            <w:r w:rsidRPr="00783938">
              <w:rPr>
                <w:rFonts w:ascii="Arial Narrow" w:hAnsi="Arial Narrow"/>
                <w:sz w:val="20"/>
              </w:rPr>
              <w:t xml:space="preserve"> equal to utility resolv</w:t>
            </w:r>
            <w:r w:rsidR="00783938">
              <w:rPr>
                <w:rFonts w:ascii="Arial Narrow" w:hAnsi="Arial Narrow"/>
                <w:sz w:val="20"/>
              </w:rPr>
              <w:t xml:space="preserve">ed without </w:t>
            </w:r>
            <w:proofErr w:type="spellStart"/>
            <w:r w:rsidR="00783938">
              <w:rPr>
                <w:rFonts w:ascii="Arial Narrow" w:hAnsi="Arial Narrow"/>
                <w:sz w:val="20"/>
              </w:rPr>
              <w:t>vitrectomy</w:t>
            </w:r>
            <w:proofErr w:type="spellEnd"/>
            <w:r w:rsidR="00783938">
              <w:rPr>
                <w:rFonts w:ascii="Arial Narrow" w:hAnsi="Arial Narrow"/>
                <w:sz w:val="20"/>
              </w:rPr>
              <w:t xml:space="preserve"> (</w:t>
            </w:r>
            <w:proofErr w:type="spellStart"/>
            <w:r w:rsidR="00783938">
              <w:rPr>
                <w:rFonts w:ascii="Arial Narrow" w:hAnsi="Arial Narrow"/>
                <w:sz w:val="20"/>
              </w:rPr>
              <w:t>ie</w:t>
            </w:r>
            <w:proofErr w:type="spellEnd"/>
            <w:r w:rsidR="00783938">
              <w:rPr>
                <w:rFonts w:ascii="Arial Narrow" w:hAnsi="Arial Narrow"/>
                <w:sz w:val="20"/>
              </w:rPr>
              <w:t>, long-</w:t>
            </w:r>
            <w:r w:rsidRPr="00783938">
              <w:rPr>
                <w:rFonts w:ascii="Arial Narrow" w:hAnsi="Arial Narrow"/>
                <w:sz w:val="20"/>
              </w:rPr>
              <w:t xml:space="preserve">term </w:t>
            </w:r>
            <w:proofErr w:type="spellStart"/>
            <w:r w:rsidRPr="00783938">
              <w:rPr>
                <w:rFonts w:ascii="Arial Narrow" w:hAnsi="Arial Narrow"/>
                <w:sz w:val="20"/>
              </w:rPr>
              <w:t>QoL</w:t>
            </w:r>
            <w:proofErr w:type="spellEnd"/>
            <w:r w:rsidRPr="00783938">
              <w:rPr>
                <w:rFonts w:ascii="Arial Narrow" w:hAnsi="Arial Narrow"/>
                <w:sz w:val="20"/>
              </w:rPr>
              <w:t xml:space="preserve"> benefit via non-surgical resolution from 0.0127 to 0.0000)</w:t>
            </w:r>
          </w:p>
        </w:tc>
        <w:tc>
          <w:tcPr>
            <w:tcW w:w="687"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jc w:val="center"/>
              <w:rPr>
                <w:rFonts w:ascii="Arial Narrow" w:hAnsi="Arial Narrow"/>
                <w:sz w:val="20"/>
              </w:rPr>
            </w:pPr>
            <w:r w:rsidRPr="00783938">
              <w:rPr>
                <w:rFonts w:ascii="Arial Narrow" w:hAnsi="Arial Narrow"/>
                <w:sz w:val="20"/>
              </w:rPr>
              <w:t>$</w:t>
            </w:r>
            <w:r w:rsidR="0017165E">
              <w:rPr>
                <w:rFonts w:ascii="Arial Narrow" w:hAnsi="Arial Narrow"/>
                <w:noProof/>
                <w:color w:val="000000"/>
                <w:sz w:val="20"/>
                <w:highlight w:val="black"/>
              </w:rPr>
              <w:t>''''''''''''''</w:t>
            </w:r>
          </w:p>
        </w:tc>
        <w:tc>
          <w:tcPr>
            <w:tcW w:w="685"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jc w:val="center"/>
              <w:rPr>
                <w:rFonts w:ascii="Arial Narrow" w:hAnsi="Arial Narrow"/>
                <w:sz w:val="20"/>
              </w:rPr>
            </w:pPr>
            <w:r w:rsidRPr="00783938">
              <w:rPr>
                <w:rFonts w:ascii="Arial Narrow" w:hAnsi="Arial Narrow"/>
                <w:sz w:val="20"/>
              </w:rPr>
              <w:t>-0.007</w:t>
            </w:r>
          </w:p>
        </w:tc>
        <w:tc>
          <w:tcPr>
            <w:tcW w:w="910"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jc w:val="center"/>
              <w:rPr>
                <w:rFonts w:ascii="Arial Narrow" w:hAnsi="Arial Narrow"/>
                <w:sz w:val="20"/>
              </w:rPr>
            </w:pPr>
            <w:r w:rsidRPr="00783938">
              <w:rPr>
                <w:rFonts w:ascii="Arial Narrow" w:hAnsi="Arial Narrow"/>
                <w:sz w:val="20"/>
              </w:rPr>
              <w:t>Dominated#</w:t>
            </w:r>
          </w:p>
        </w:tc>
      </w:tr>
      <w:tr w:rsidR="00CF4878" w:rsidRPr="00783938" w:rsidTr="00783938">
        <w:tc>
          <w:tcPr>
            <w:tcW w:w="2718"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jc w:val="left"/>
              <w:rPr>
                <w:rFonts w:ascii="Arial Narrow" w:hAnsi="Arial Narrow"/>
                <w:sz w:val="20"/>
              </w:rPr>
            </w:pPr>
            <w:r w:rsidRPr="00783938">
              <w:rPr>
                <w:rFonts w:ascii="Arial Narrow" w:hAnsi="Arial Narrow"/>
                <w:sz w:val="20"/>
              </w:rPr>
              <w:t>VMT ± MH &lt;250</w:t>
            </w:r>
            <w:r w:rsidR="00783938">
              <w:rPr>
                <w:rFonts w:ascii="Arial Narrow" w:hAnsi="Arial Narrow"/>
                <w:sz w:val="20"/>
              </w:rPr>
              <w:t> </w:t>
            </w:r>
            <w:r w:rsidRPr="00783938">
              <w:rPr>
                <w:rFonts w:ascii="Arial Narrow" w:hAnsi="Arial Narrow"/>
                <w:sz w:val="20"/>
              </w:rPr>
              <w:t>µm subgroup</w:t>
            </w:r>
          </w:p>
        </w:tc>
        <w:tc>
          <w:tcPr>
            <w:tcW w:w="687"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jc w:val="center"/>
              <w:rPr>
                <w:rFonts w:ascii="Arial Narrow" w:hAnsi="Arial Narrow"/>
                <w:sz w:val="20"/>
              </w:rPr>
            </w:pPr>
            <w:r w:rsidRPr="00783938">
              <w:rPr>
                <w:rFonts w:ascii="Arial Narrow" w:hAnsi="Arial Narrow"/>
                <w:sz w:val="20"/>
              </w:rPr>
              <w:t>$</w:t>
            </w:r>
            <w:r w:rsidR="0017165E">
              <w:rPr>
                <w:rFonts w:ascii="Arial Narrow" w:hAnsi="Arial Narrow"/>
                <w:noProof/>
                <w:color w:val="000000"/>
                <w:sz w:val="20"/>
                <w:highlight w:val="black"/>
              </w:rPr>
              <w:t>''''''''''''''</w:t>
            </w:r>
          </w:p>
        </w:tc>
        <w:tc>
          <w:tcPr>
            <w:tcW w:w="685"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jc w:val="center"/>
              <w:rPr>
                <w:rFonts w:ascii="Arial Narrow" w:hAnsi="Arial Narrow"/>
                <w:sz w:val="20"/>
              </w:rPr>
            </w:pPr>
            <w:r w:rsidRPr="00783938">
              <w:rPr>
                <w:rFonts w:ascii="Arial Narrow" w:hAnsi="Arial Narrow"/>
                <w:sz w:val="20"/>
              </w:rPr>
              <w:t>0.0726</w:t>
            </w:r>
          </w:p>
        </w:tc>
        <w:tc>
          <w:tcPr>
            <w:tcW w:w="910"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jc w:val="center"/>
              <w:rPr>
                <w:rFonts w:ascii="Arial Narrow" w:hAnsi="Arial Narrow"/>
                <w:sz w:val="20"/>
              </w:rPr>
            </w:pPr>
            <w:r w:rsidRPr="00783938">
              <w:rPr>
                <w:rFonts w:ascii="Arial Narrow" w:hAnsi="Arial Narrow"/>
                <w:sz w:val="20"/>
              </w:rPr>
              <w:t>$</w:t>
            </w:r>
            <w:r w:rsidR="0017165E">
              <w:rPr>
                <w:rFonts w:ascii="Arial Narrow" w:hAnsi="Arial Narrow"/>
                <w:noProof/>
                <w:color w:val="000000"/>
                <w:sz w:val="20"/>
                <w:highlight w:val="black"/>
              </w:rPr>
              <w:t>''''''''''''''''</w:t>
            </w:r>
          </w:p>
        </w:tc>
      </w:tr>
      <w:tr w:rsidR="00CF4878" w:rsidRPr="00783938" w:rsidTr="00783938">
        <w:tc>
          <w:tcPr>
            <w:tcW w:w="2718"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ind w:left="109"/>
              <w:jc w:val="left"/>
              <w:rPr>
                <w:rFonts w:ascii="Arial Narrow" w:hAnsi="Arial Narrow"/>
                <w:sz w:val="20"/>
              </w:rPr>
            </w:pPr>
            <w:r w:rsidRPr="00783938">
              <w:rPr>
                <w:rFonts w:ascii="Arial Narrow" w:hAnsi="Arial Narrow"/>
                <w:sz w:val="20"/>
              </w:rPr>
              <w:t xml:space="preserve">Set utility for resolved with </w:t>
            </w:r>
            <w:proofErr w:type="spellStart"/>
            <w:r w:rsidRPr="00783938">
              <w:rPr>
                <w:rFonts w:ascii="Arial Narrow" w:hAnsi="Arial Narrow"/>
                <w:sz w:val="20"/>
              </w:rPr>
              <w:t>vitrectomy</w:t>
            </w:r>
            <w:proofErr w:type="spellEnd"/>
            <w:r w:rsidRPr="00783938">
              <w:rPr>
                <w:rFonts w:ascii="Arial Narrow" w:hAnsi="Arial Narrow"/>
                <w:sz w:val="20"/>
              </w:rPr>
              <w:t xml:space="preserve"> equal to utility resolved without </w:t>
            </w:r>
            <w:proofErr w:type="spellStart"/>
            <w:r w:rsidRPr="00783938">
              <w:rPr>
                <w:rFonts w:ascii="Arial Narrow" w:hAnsi="Arial Narrow"/>
                <w:sz w:val="20"/>
              </w:rPr>
              <w:t>vitrectomy</w:t>
            </w:r>
            <w:proofErr w:type="spellEnd"/>
            <w:r w:rsidRPr="00783938">
              <w:rPr>
                <w:rFonts w:ascii="Arial Narrow" w:hAnsi="Arial Narrow"/>
                <w:sz w:val="20"/>
              </w:rPr>
              <w:t xml:space="preserve"> (</w:t>
            </w:r>
            <w:proofErr w:type="spellStart"/>
            <w:r w:rsidRPr="00783938">
              <w:rPr>
                <w:rFonts w:ascii="Arial Narrow" w:hAnsi="Arial Narrow"/>
                <w:sz w:val="20"/>
              </w:rPr>
              <w:t>ie</w:t>
            </w:r>
            <w:proofErr w:type="spellEnd"/>
            <w:r w:rsidRPr="00783938">
              <w:rPr>
                <w:rFonts w:ascii="Arial Narrow" w:hAnsi="Arial Narrow"/>
                <w:sz w:val="20"/>
              </w:rPr>
              <w:t>, long</w:t>
            </w:r>
            <w:r w:rsidR="00783938">
              <w:rPr>
                <w:rFonts w:ascii="Arial Narrow" w:hAnsi="Arial Narrow"/>
                <w:sz w:val="20"/>
              </w:rPr>
              <w:t>-</w:t>
            </w:r>
            <w:r w:rsidRPr="00783938">
              <w:rPr>
                <w:rFonts w:ascii="Arial Narrow" w:hAnsi="Arial Narrow"/>
                <w:sz w:val="20"/>
              </w:rPr>
              <w:t xml:space="preserve">term </w:t>
            </w:r>
            <w:proofErr w:type="spellStart"/>
            <w:r w:rsidRPr="00783938">
              <w:rPr>
                <w:rFonts w:ascii="Arial Narrow" w:hAnsi="Arial Narrow"/>
                <w:sz w:val="20"/>
              </w:rPr>
              <w:t>QoL</w:t>
            </w:r>
            <w:proofErr w:type="spellEnd"/>
            <w:r w:rsidRPr="00783938">
              <w:rPr>
                <w:rFonts w:ascii="Arial Narrow" w:hAnsi="Arial Narrow"/>
                <w:sz w:val="20"/>
              </w:rPr>
              <w:t xml:space="preserve"> benefit via non-surgical resolution from 0.0127 to 0.0000)</w:t>
            </w:r>
          </w:p>
        </w:tc>
        <w:tc>
          <w:tcPr>
            <w:tcW w:w="687"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jc w:val="center"/>
              <w:rPr>
                <w:rFonts w:ascii="Arial Narrow" w:hAnsi="Arial Narrow"/>
                <w:sz w:val="20"/>
              </w:rPr>
            </w:pPr>
            <w:r w:rsidRPr="00783938">
              <w:rPr>
                <w:rFonts w:ascii="Arial Narrow" w:hAnsi="Arial Narrow"/>
                <w:sz w:val="20"/>
              </w:rPr>
              <w:t>$</w:t>
            </w:r>
            <w:r w:rsidR="0017165E">
              <w:rPr>
                <w:rFonts w:ascii="Arial Narrow" w:hAnsi="Arial Narrow"/>
                <w:noProof/>
                <w:color w:val="000000"/>
                <w:sz w:val="20"/>
                <w:highlight w:val="black"/>
              </w:rPr>
              <w:t>''''''''''''</w:t>
            </w:r>
          </w:p>
        </w:tc>
        <w:tc>
          <w:tcPr>
            <w:tcW w:w="685"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jc w:val="center"/>
              <w:rPr>
                <w:rFonts w:ascii="Arial Narrow" w:hAnsi="Arial Narrow"/>
                <w:sz w:val="20"/>
              </w:rPr>
            </w:pPr>
            <w:r w:rsidRPr="00783938">
              <w:rPr>
                <w:rFonts w:ascii="Arial Narrow" w:hAnsi="Arial Narrow"/>
                <w:sz w:val="20"/>
              </w:rPr>
              <w:t>0.0476</w:t>
            </w:r>
          </w:p>
        </w:tc>
        <w:tc>
          <w:tcPr>
            <w:tcW w:w="910" w:type="pct"/>
            <w:tcBorders>
              <w:top w:val="single" w:sz="4" w:space="0" w:color="auto"/>
              <w:left w:val="single" w:sz="4" w:space="0" w:color="auto"/>
              <w:bottom w:val="single" w:sz="4" w:space="0" w:color="auto"/>
              <w:right w:val="single" w:sz="4" w:space="0" w:color="auto"/>
            </w:tcBorders>
            <w:vAlign w:val="center"/>
            <w:hideMark/>
          </w:tcPr>
          <w:p w:rsidR="00CF4878" w:rsidRPr="00783938" w:rsidRDefault="00CF4878" w:rsidP="008F4262">
            <w:pPr>
              <w:widowControl/>
              <w:snapToGrid w:val="0"/>
              <w:jc w:val="center"/>
              <w:rPr>
                <w:rFonts w:ascii="Arial Narrow" w:hAnsi="Arial Narrow"/>
                <w:sz w:val="20"/>
              </w:rPr>
            </w:pPr>
            <w:r w:rsidRPr="00783938">
              <w:rPr>
                <w:rFonts w:ascii="Arial Narrow" w:hAnsi="Arial Narrow"/>
                <w:sz w:val="20"/>
              </w:rPr>
              <w:t>$</w:t>
            </w:r>
            <w:r w:rsidR="0017165E">
              <w:rPr>
                <w:rFonts w:ascii="Arial Narrow" w:hAnsi="Arial Narrow"/>
                <w:noProof/>
                <w:color w:val="000000"/>
                <w:sz w:val="20"/>
                <w:highlight w:val="black"/>
              </w:rPr>
              <w:t>'''''''''''''''''</w:t>
            </w:r>
          </w:p>
        </w:tc>
      </w:tr>
    </w:tbl>
    <w:p w:rsidR="00CF4878" w:rsidRPr="00783938" w:rsidRDefault="00CF4878" w:rsidP="008F4262">
      <w:pPr>
        <w:pStyle w:val="TableFooter"/>
        <w:widowControl/>
        <w:tabs>
          <w:tab w:val="left" w:pos="993"/>
        </w:tabs>
        <w:ind w:left="709"/>
      </w:pPr>
      <w:r w:rsidRPr="00783938">
        <w:t>#</w:t>
      </w:r>
      <w:r w:rsidRPr="00783938">
        <w:tab/>
      </w:r>
      <w:proofErr w:type="gramStart"/>
      <w:r w:rsidRPr="00783938">
        <w:t>Dominated</w:t>
      </w:r>
      <w:proofErr w:type="gramEnd"/>
      <w:r w:rsidRPr="00783938">
        <w:t xml:space="preserve"> because nearly all individuals in the watchful waiting arm received </w:t>
      </w:r>
      <w:proofErr w:type="spellStart"/>
      <w:r w:rsidRPr="00783938">
        <w:t>vitrectomy</w:t>
      </w:r>
      <w:proofErr w:type="spellEnd"/>
      <w:r w:rsidRPr="00783938">
        <w:t xml:space="preserve"> and resolved during the trial, which resulted in a higher proportion of individuals reaching the resolved health state in the modelled evaluation compared to the </w:t>
      </w:r>
      <w:proofErr w:type="spellStart"/>
      <w:r w:rsidRPr="00783938">
        <w:t>ocriplasmin</w:t>
      </w:r>
      <w:proofErr w:type="spellEnd"/>
      <w:r w:rsidRPr="00783938">
        <w:t xml:space="preserve"> arm (Markov traces on pages 253 and 254 of the re-submission).</w:t>
      </w:r>
    </w:p>
    <w:p w:rsidR="00CF4878" w:rsidRPr="00783938" w:rsidRDefault="00CF4878" w:rsidP="008F4262">
      <w:pPr>
        <w:pStyle w:val="TableFooter"/>
        <w:widowControl/>
        <w:ind w:left="709"/>
      </w:pPr>
      <w:r w:rsidRPr="00783938">
        <w:t>Source: Table 106, pp259-261 of the re-submission; conducted during the evaluation</w:t>
      </w:r>
    </w:p>
    <w:p w:rsidR="00CF4878" w:rsidRDefault="00CF4878" w:rsidP="008F4262">
      <w:pPr>
        <w:widowControl/>
        <w:jc w:val="left"/>
      </w:pPr>
    </w:p>
    <w:p w:rsidR="00CF4878" w:rsidRPr="00E23349" w:rsidRDefault="00CF4878" w:rsidP="008F4262">
      <w:pPr>
        <w:pStyle w:val="ListParagraph"/>
        <w:widowControl/>
        <w:numPr>
          <w:ilvl w:val="1"/>
          <w:numId w:val="1"/>
        </w:numPr>
        <w:rPr>
          <w:iCs/>
        </w:rPr>
      </w:pPr>
      <w:r w:rsidRPr="00E23349">
        <w:rPr>
          <w:szCs w:val="22"/>
        </w:rPr>
        <w:t>The</w:t>
      </w:r>
      <w:r w:rsidRPr="00E23349">
        <w:rPr>
          <w:iCs/>
        </w:rPr>
        <w:t xml:space="preserve"> results of the sensitivity analyses indicate</w:t>
      </w:r>
      <w:r w:rsidR="00064591" w:rsidRPr="00E23349">
        <w:rPr>
          <w:iCs/>
        </w:rPr>
        <w:t>d</w:t>
      </w:r>
      <w:r w:rsidRPr="00E23349">
        <w:rPr>
          <w:iCs/>
        </w:rPr>
        <w:t xml:space="preserve"> that the model </w:t>
      </w:r>
      <w:r w:rsidR="00064591" w:rsidRPr="00E23349">
        <w:rPr>
          <w:iCs/>
        </w:rPr>
        <w:t>wa</w:t>
      </w:r>
      <w:r w:rsidRPr="00E23349">
        <w:rPr>
          <w:iCs/>
        </w:rPr>
        <w:t xml:space="preserve">s most sensitive to the treatment effect at Day 28, </w:t>
      </w:r>
      <w:r w:rsidR="006C7627" w:rsidRPr="00E23349">
        <w:rPr>
          <w:iCs/>
        </w:rPr>
        <w:t xml:space="preserve">and </w:t>
      </w:r>
      <w:r w:rsidRPr="00E23349">
        <w:rPr>
          <w:iCs/>
        </w:rPr>
        <w:t xml:space="preserve">the assumption that long-term utility in the resolved health state is higher without </w:t>
      </w:r>
      <w:proofErr w:type="spellStart"/>
      <w:r w:rsidRPr="00E23349">
        <w:rPr>
          <w:iCs/>
        </w:rPr>
        <w:t>vitrectomy</w:t>
      </w:r>
      <w:proofErr w:type="spellEnd"/>
      <w:r w:rsidRPr="00E23349">
        <w:rPr>
          <w:iCs/>
        </w:rPr>
        <w:t xml:space="preserve"> compared to with </w:t>
      </w:r>
      <w:proofErr w:type="spellStart"/>
      <w:r w:rsidRPr="00E23349">
        <w:rPr>
          <w:iCs/>
        </w:rPr>
        <w:t>vitrectomy</w:t>
      </w:r>
      <w:proofErr w:type="spellEnd"/>
      <w:r w:rsidRPr="00E23349">
        <w:rPr>
          <w:iCs/>
        </w:rPr>
        <w:t xml:space="preserve"> and the time horizon.  As discussed in Section C.3</w:t>
      </w:r>
      <w:r w:rsidR="00705EF6" w:rsidRPr="00E23349">
        <w:rPr>
          <w:iCs/>
        </w:rPr>
        <w:t xml:space="preserve"> of the commentary</w:t>
      </w:r>
      <w:r w:rsidRPr="00E23349">
        <w:rPr>
          <w:iCs/>
        </w:rPr>
        <w:t>, the</w:t>
      </w:r>
      <w:r w:rsidR="0026474D" w:rsidRPr="00E23349">
        <w:rPr>
          <w:iCs/>
        </w:rPr>
        <w:t xml:space="preserve"> </w:t>
      </w:r>
      <w:r w:rsidRPr="00E23349">
        <w:rPr>
          <w:iCs/>
        </w:rPr>
        <w:t>model assume</w:t>
      </w:r>
      <w:r w:rsidR="00064591" w:rsidRPr="00E23349">
        <w:rPr>
          <w:iCs/>
        </w:rPr>
        <w:t>d</w:t>
      </w:r>
      <w:r w:rsidRPr="00E23349">
        <w:rPr>
          <w:iCs/>
        </w:rPr>
        <w:t xml:space="preserve"> a long-term and on-going disutility associated with VMT resolution with </w:t>
      </w:r>
      <w:proofErr w:type="spellStart"/>
      <w:r w:rsidRPr="00E23349">
        <w:rPr>
          <w:iCs/>
        </w:rPr>
        <w:t>vitrectomy</w:t>
      </w:r>
      <w:proofErr w:type="spellEnd"/>
      <w:r w:rsidRPr="00E23349">
        <w:rPr>
          <w:iCs/>
        </w:rPr>
        <w:t xml:space="preserve"> which may represent double-counting, particularly as a disutility associated with the procedure itself (once-off) and adverse events </w:t>
      </w:r>
      <w:r w:rsidR="00783938" w:rsidRPr="00E23349">
        <w:rPr>
          <w:iCs/>
        </w:rPr>
        <w:t>are also applied in the model.</w:t>
      </w:r>
    </w:p>
    <w:p w:rsidR="00705EF6" w:rsidRPr="00E23349" w:rsidRDefault="00705EF6" w:rsidP="008F4262">
      <w:pPr>
        <w:widowControl/>
        <w:rPr>
          <w:iCs/>
        </w:rPr>
      </w:pPr>
    </w:p>
    <w:p w:rsidR="005F3AF3" w:rsidRPr="00E46E66" w:rsidRDefault="00705EF6" w:rsidP="00E46E66">
      <w:pPr>
        <w:pStyle w:val="ListParagraph"/>
        <w:widowControl/>
        <w:numPr>
          <w:ilvl w:val="1"/>
          <w:numId w:val="1"/>
        </w:numPr>
        <w:rPr>
          <w:szCs w:val="22"/>
        </w:rPr>
      </w:pPr>
      <w:r w:rsidRPr="00E23349">
        <w:rPr>
          <w:szCs w:val="22"/>
        </w:rPr>
        <w:t>Given that the utilities were derived from a transformation algorithm which was based on VFQ-25 and EQ-5D responses in a different population of people with vision problems (wet age related macular d</w:t>
      </w:r>
      <w:r w:rsidRPr="00E46E66">
        <w:rPr>
          <w:szCs w:val="22"/>
        </w:rPr>
        <w:t>egeneration (AMD))</w:t>
      </w:r>
      <w:r w:rsidR="00064591" w:rsidRPr="00E46E66">
        <w:rPr>
          <w:szCs w:val="22"/>
        </w:rPr>
        <w:t>,</w:t>
      </w:r>
      <w:r w:rsidRPr="00E46E66">
        <w:rPr>
          <w:szCs w:val="22"/>
        </w:rPr>
        <w:t xml:space="preserve"> and the relationship between the two instruments was not particularly strong </w:t>
      </w:r>
      <w:r w:rsidR="00064591" w:rsidRPr="00E46E66">
        <w:rPr>
          <w:szCs w:val="22"/>
        </w:rPr>
        <w:t>(</w:t>
      </w:r>
      <w:r w:rsidRPr="00E46E66">
        <w:rPr>
          <w:szCs w:val="22"/>
        </w:rPr>
        <w:t xml:space="preserve">as stated in the published </w:t>
      </w:r>
      <w:r w:rsidRPr="00E23349">
        <w:t>transformational algorithm</w:t>
      </w:r>
      <w:r w:rsidR="00064591" w:rsidRPr="00E23349">
        <w:t>), t</w:t>
      </w:r>
      <w:r w:rsidRPr="00E23349">
        <w:t>hese values may not reflect the</w:t>
      </w:r>
      <w:r w:rsidRPr="00E46E66">
        <w:rPr>
          <w:szCs w:val="22"/>
        </w:rPr>
        <w:t xml:space="preserve"> true differences in the utility levels between the different health states. </w:t>
      </w:r>
      <w:r w:rsidR="005F3AF3" w:rsidRPr="00E46E66">
        <w:rPr>
          <w:szCs w:val="22"/>
        </w:rPr>
        <w:t xml:space="preserve"> The ESC considered these values may not reflect the true differences in the utility levels between the different health states of patients with VMT.</w:t>
      </w:r>
    </w:p>
    <w:p w:rsidR="005F3AF3" w:rsidRPr="005F3AF3" w:rsidRDefault="005F3AF3" w:rsidP="008F4262">
      <w:pPr>
        <w:widowControl/>
        <w:rPr>
          <w:szCs w:val="22"/>
        </w:rPr>
      </w:pPr>
    </w:p>
    <w:p w:rsidR="00705EF6" w:rsidRPr="00E23349" w:rsidRDefault="005F3AF3" w:rsidP="008F4262">
      <w:pPr>
        <w:pStyle w:val="ListParagraph"/>
        <w:widowControl/>
        <w:numPr>
          <w:ilvl w:val="1"/>
          <w:numId w:val="1"/>
        </w:numPr>
        <w:rPr>
          <w:szCs w:val="22"/>
        </w:rPr>
      </w:pPr>
      <w:r>
        <w:rPr>
          <w:szCs w:val="22"/>
        </w:rPr>
        <w:lastRenderedPageBreak/>
        <w:t>However</w:t>
      </w:r>
      <w:r w:rsidR="00705EF6" w:rsidRPr="00E23349">
        <w:rPr>
          <w:szCs w:val="22"/>
        </w:rPr>
        <w:t xml:space="preserve">, the ESC noted that there were different utilities applied in the health states for ‘resolved with </w:t>
      </w:r>
      <w:proofErr w:type="spellStart"/>
      <w:r w:rsidR="00705EF6" w:rsidRPr="00E23349">
        <w:rPr>
          <w:szCs w:val="22"/>
        </w:rPr>
        <w:t>vitrectomy</w:t>
      </w:r>
      <w:proofErr w:type="spellEnd"/>
      <w:r w:rsidR="00705EF6" w:rsidRPr="00E23349">
        <w:rPr>
          <w:szCs w:val="22"/>
        </w:rPr>
        <w:t xml:space="preserve">’ and ‘resolved without </w:t>
      </w:r>
      <w:proofErr w:type="spellStart"/>
      <w:r w:rsidR="00705EF6" w:rsidRPr="00E23349">
        <w:rPr>
          <w:szCs w:val="22"/>
        </w:rPr>
        <w:t>vitrectomy</w:t>
      </w:r>
      <w:proofErr w:type="spellEnd"/>
      <w:r w:rsidR="00705EF6" w:rsidRPr="00E23349">
        <w:rPr>
          <w:szCs w:val="22"/>
        </w:rPr>
        <w:t xml:space="preserve">’ (for example, 24 months, 0.889 and 0.9094, respectively).  The ESC considered that there was no reason for this difference and noted that </w:t>
      </w:r>
      <w:r w:rsidR="00064591" w:rsidRPr="00E23349">
        <w:rPr>
          <w:szCs w:val="22"/>
        </w:rPr>
        <w:t xml:space="preserve">the </w:t>
      </w:r>
      <w:r w:rsidR="00705EF6" w:rsidRPr="00E23349">
        <w:rPr>
          <w:szCs w:val="22"/>
        </w:rPr>
        <w:t>sensitivity analysis (</w:t>
      </w:r>
      <w:r w:rsidR="00064591" w:rsidRPr="00E23349">
        <w:rPr>
          <w:szCs w:val="22"/>
        </w:rPr>
        <w:t>“</w:t>
      </w:r>
      <w:r w:rsidR="00705EF6" w:rsidRPr="00E23349">
        <w:rPr>
          <w:szCs w:val="22"/>
        </w:rPr>
        <w:t xml:space="preserve">Set utility for resolved with </w:t>
      </w:r>
      <w:proofErr w:type="spellStart"/>
      <w:r w:rsidR="00705EF6" w:rsidRPr="00E23349">
        <w:rPr>
          <w:szCs w:val="22"/>
        </w:rPr>
        <w:t>vitrectomy</w:t>
      </w:r>
      <w:proofErr w:type="spellEnd"/>
      <w:r w:rsidR="00705EF6" w:rsidRPr="00E23349">
        <w:rPr>
          <w:szCs w:val="22"/>
        </w:rPr>
        <w:t xml:space="preserve"> equal to utility resolved without </w:t>
      </w:r>
      <w:proofErr w:type="spellStart"/>
      <w:r w:rsidR="00705EF6" w:rsidRPr="00E23349">
        <w:rPr>
          <w:szCs w:val="22"/>
        </w:rPr>
        <w:t>vitrectomy</w:t>
      </w:r>
      <w:proofErr w:type="spellEnd"/>
      <w:r w:rsidR="00705EF6" w:rsidRPr="00E23349">
        <w:rPr>
          <w:szCs w:val="22"/>
        </w:rPr>
        <w:t xml:space="preserve"> (</w:t>
      </w:r>
      <w:proofErr w:type="spellStart"/>
      <w:r w:rsidR="00705EF6" w:rsidRPr="00E23349">
        <w:rPr>
          <w:szCs w:val="22"/>
        </w:rPr>
        <w:t>ie</w:t>
      </w:r>
      <w:proofErr w:type="spellEnd"/>
      <w:r w:rsidR="00705EF6" w:rsidRPr="00E23349">
        <w:rPr>
          <w:szCs w:val="22"/>
        </w:rPr>
        <w:t xml:space="preserve">, long term </w:t>
      </w:r>
      <w:proofErr w:type="spellStart"/>
      <w:r w:rsidR="00705EF6" w:rsidRPr="00E23349">
        <w:rPr>
          <w:szCs w:val="22"/>
        </w:rPr>
        <w:t>QoL</w:t>
      </w:r>
      <w:proofErr w:type="spellEnd"/>
      <w:r w:rsidR="00705EF6" w:rsidRPr="00E23349">
        <w:rPr>
          <w:szCs w:val="22"/>
        </w:rPr>
        <w:t xml:space="preserve"> benefit via non-surgical resolution from 0.0127 to 0.0000)</w:t>
      </w:r>
      <w:r w:rsidR="00064591" w:rsidRPr="00E23349">
        <w:rPr>
          <w:szCs w:val="22"/>
        </w:rPr>
        <w:t>”)</w:t>
      </w:r>
      <w:r w:rsidR="00705EF6" w:rsidRPr="00E23349">
        <w:rPr>
          <w:szCs w:val="22"/>
        </w:rPr>
        <w:t xml:space="preserve"> increased </w:t>
      </w:r>
      <w:r w:rsidR="00064591" w:rsidRPr="00E23349">
        <w:rPr>
          <w:szCs w:val="22"/>
        </w:rPr>
        <w:t xml:space="preserve">the ICER </w:t>
      </w:r>
      <w:r w:rsidR="00320E07" w:rsidRPr="00E23349">
        <w:rPr>
          <w:szCs w:val="22"/>
        </w:rPr>
        <w:t xml:space="preserve">from the base case of </w:t>
      </w:r>
      <w:r w:rsidR="006158E3">
        <w:rPr>
          <w:szCs w:val="22"/>
        </w:rPr>
        <w:t>$15,000/QALY - $45,000/QALY</w:t>
      </w:r>
      <w:r w:rsidR="006158E3" w:rsidRPr="00E23349">
        <w:rPr>
          <w:szCs w:val="22"/>
        </w:rPr>
        <w:t xml:space="preserve"> </w:t>
      </w:r>
      <w:r w:rsidR="00705EF6" w:rsidRPr="00E23349">
        <w:rPr>
          <w:szCs w:val="22"/>
        </w:rPr>
        <w:t>to</w:t>
      </w:r>
      <w:r w:rsidR="006158E3">
        <w:rPr>
          <w:szCs w:val="22"/>
        </w:rPr>
        <w:t>$</w:t>
      </w:r>
      <w:r w:rsidR="007E30AC">
        <w:rPr>
          <w:szCs w:val="22"/>
        </w:rPr>
        <w:t>4</w:t>
      </w:r>
      <w:r w:rsidR="006158E3">
        <w:rPr>
          <w:szCs w:val="22"/>
        </w:rPr>
        <w:t>5,000/QALY - $</w:t>
      </w:r>
      <w:r w:rsidR="007E30AC">
        <w:rPr>
          <w:szCs w:val="22"/>
        </w:rPr>
        <w:t>7</w:t>
      </w:r>
      <w:r w:rsidR="006158E3">
        <w:rPr>
          <w:szCs w:val="22"/>
        </w:rPr>
        <w:t>5,000/QALY</w:t>
      </w:r>
      <w:r w:rsidR="00705EF6" w:rsidRPr="00E23349">
        <w:rPr>
          <w:szCs w:val="22"/>
        </w:rPr>
        <w:t>.</w:t>
      </w:r>
    </w:p>
    <w:p w:rsidR="00CF4878" w:rsidRPr="00E23349" w:rsidRDefault="00CF4878" w:rsidP="008F4262">
      <w:pPr>
        <w:widowControl/>
        <w:jc w:val="left"/>
        <w:rPr>
          <w:szCs w:val="22"/>
        </w:rPr>
      </w:pPr>
    </w:p>
    <w:p w:rsidR="00CF4878" w:rsidRPr="00E23349" w:rsidRDefault="00CF4878" w:rsidP="008F4262">
      <w:pPr>
        <w:pStyle w:val="ListParagraph"/>
        <w:widowControl/>
        <w:numPr>
          <w:ilvl w:val="1"/>
          <w:numId w:val="1"/>
        </w:numPr>
        <w:rPr>
          <w:szCs w:val="22"/>
        </w:rPr>
      </w:pPr>
      <w:r w:rsidRPr="00E23349">
        <w:rPr>
          <w:szCs w:val="22"/>
        </w:rPr>
        <w:t xml:space="preserve">The ESC noted that </w:t>
      </w:r>
      <w:r w:rsidR="00064591" w:rsidRPr="00E23349">
        <w:rPr>
          <w:szCs w:val="22"/>
        </w:rPr>
        <w:t xml:space="preserve">the </w:t>
      </w:r>
      <w:r w:rsidRPr="00E23349">
        <w:rPr>
          <w:szCs w:val="22"/>
        </w:rPr>
        <w:t xml:space="preserve">scenario </w:t>
      </w:r>
      <w:r w:rsidR="00064591" w:rsidRPr="00E23349">
        <w:rPr>
          <w:szCs w:val="22"/>
        </w:rPr>
        <w:t xml:space="preserve">analysis </w:t>
      </w:r>
      <w:r w:rsidRPr="00E23349">
        <w:rPr>
          <w:szCs w:val="22"/>
        </w:rPr>
        <w:t xml:space="preserve">of </w:t>
      </w:r>
      <w:r w:rsidR="00064591" w:rsidRPr="00E23349">
        <w:rPr>
          <w:szCs w:val="22"/>
        </w:rPr>
        <w:t>“</w:t>
      </w:r>
      <w:r w:rsidRPr="00E23349">
        <w:rPr>
          <w:szCs w:val="22"/>
        </w:rPr>
        <w:t xml:space="preserve">Probability of VMT resolution at Day 28 set to estimates from TG-MV-006 and TG-MV-007 (pooled) + time horizon set to 2 years + set utility for resolved with </w:t>
      </w:r>
      <w:proofErr w:type="spellStart"/>
      <w:r w:rsidRPr="00E23349">
        <w:rPr>
          <w:szCs w:val="22"/>
        </w:rPr>
        <w:t>vitrectomy</w:t>
      </w:r>
      <w:proofErr w:type="spellEnd"/>
      <w:r w:rsidRPr="00E23349">
        <w:rPr>
          <w:szCs w:val="22"/>
        </w:rPr>
        <w:t xml:space="preserve"> equal to utility resolved without </w:t>
      </w:r>
      <w:proofErr w:type="spellStart"/>
      <w:r w:rsidRPr="00E23349">
        <w:rPr>
          <w:szCs w:val="22"/>
        </w:rPr>
        <w:t>vitrectomy</w:t>
      </w:r>
      <w:proofErr w:type="spellEnd"/>
      <w:r w:rsidRPr="00E23349">
        <w:rPr>
          <w:szCs w:val="22"/>
        </w:rPr>
        <w:t xml:space="preserve"> (</w:t>
      </w:r>
      <w:proofErr w:type="spellStart"/>
      <w:r w:rsidRPr="00E23349">
        <w:rPr>
          <w:szCs w:val="22"/>
        </w:rPr>
        <w:t>ie</w:t>
      </w:r>
      <w:proofErr w:type="spellEnd"/>
      <w:r w:rsidRPr="00E23349">
        <w:rPr>
          <w:szCs w:val="22"/>
        </w:rPr>
        <w:t xml:space="preserve">, long term </w:t>
      </w:r>
      <w:proofErr w:type="spellStart"/>
      <w:r w:rsidRPr="00E23349">
        <w:rPr>
          <w:szCs w:val="22"/>
        </w:rPr>
        <w:t>QoL</w:t>
      </w:r>
      <w:proofErr w:type="spellEnd"/>
      <w:r w:rsidRPr="00E23349">
        <w:rPr>
          <w:szCs w:val="22"/>
        </w:rPr>
        <w:t xml:space="preserve"> benefit via non-surgical resolution from 0.0127 to 0.0000)</w:t>
      </w:r>
      <w:r w:rsidR="00064591" w:rsidRPr="00E23349">
        <w:rPr>
          <w:szCs w:val="22"/>
        </w:rPr>
        <w:t>”</w:t>
      </w:r>
      <w:r w:rsidRPr="00E23349">
        <w:rPr>
          <w:szCs w:val="22"/>
        </w:rPr>
        <w:t xml:space="preserve"> increased the ICER </w:t>
      </w:r>
      <w:r w:rsidR="00320E07" w:rsidRPr="00E23349">
        <w:rPr>
          <w:szCs w:val="22"/>
        </w:rPr>
        <w:t xml:space="preserve">from the base case of </w:t>
      </w:r>
      <w:r w:rsidR="002700D4">
        <w:rPr>
          <w:szCs w:val="22"/>
        </w:rPr>
        <w:t>$15,000/QALY - $45,000/QALY</w:t>
      </w:r>
      <w:r w:rsidR="002700D4" w:rsidRPr="00E23349">
        <w:rPr>
          <w:szCs w:val="22"/>
        </w:rPr>
        <w:t xml:space="preserve"> </w:t>
      </w:r>
      <w:r w:rsidRPr="00E23349">
        <w:rPr>
          <w:szCs w:val="22"/>
        </w:rPr>
        <w:t>to</w:t>
      </w:r>
      <w:r w:rsidR="001F41BE">
        <w:rPr>
          <w:szCs w:val="22"/>
        </w:rPr>
        <w:t xml:space="preserve"> </w:t>
      </w:r>
      <w:r w:rsidR="000E1773">
        <w:rPr>
          <w:szCs w:val="22"/>
        </w:rPr>
        <w:t>$105,000/QALY - $105,000/QALY</w:t>
      </w:r>
      <w:r w:rsidR="00783938" w:rsidRPr="00E23349">
        <w:rPr>
          <w:szCs w:val="22"/>
        </w:rPr>
        <w:t>.</w:t>
      </w:r>
    </w:p>
    <w:p w:rsidR="00CF4878" w:rsidRPr="00E23349" w:rsidRDefault="00CF4878" w:rsidP="008F4262">
      <w:pPr>
        <w:widowControl/>
        <w:rPr>
          <w:szCs w:val="22"/>
        </w:rPr>
      </w:pPr>
    </w:p>
    <w:p w:rsidR="00BC45F4" w:rsidRPr="00E23349" w:rsidRDefault="00BC45F4" w:rsidP="008F4262">
      <w:pPr>
        <w:pStyle w:val="ListParagraph"/>
        <w:widowControl/>
        <w:numPr>
          <w:ilvl w:val="1"/>
          <w:numId w:val="1"/>
        </w:numPr>
        <w:rPr>
          <w:szCs w:val="22"/>
        </w:rPr>
      </w:pPr>
      <w:r w:rsidRPr="00E23349">
        <w:rPr>
          <w:szCs w:val="22"/>
        </w:rPr>
        <w:t xml:space="preserve">The ESC noted that </w:t>
      </w:r>
      <w:r w:rsidR="00C22FE1" w:rsidRPr="00E23349">
        <w:rPr>
          <w:szCs w:val="22"/>
        </w:rPr>
        <w:t xml:space="preserve">the model allowed patients to have a </w:t>
      </w:r>
      <w:proofErr w:type="spellStart"/>
      <w:r w:rsidR="00C22FE1" w:rsidRPr="00E23349">
        <w:rPr>
          <w:szCs w:val="22"/>
        </w:rPr>
        <w:t>vitrect</w:t>
      </w:r>
      <w:r w:rsidR="006C7627" w:rsidRPr="00E23349">
        <w:rPr>
          <w:szCs w:val="22"/>
        </w:rPr>
        <w:t>omy</w:t>
      </w:r>
      <w:proofErr w:type="spellEnd"/>
      <w:r w:rsidR="006C7627" w:rsidRPr="00E23349">
        <w:rPr>
          <w:szCs w:val="22"/>
        </w:rPr>
        <w:t xml:space="preserve"> after the 2-</w:t>
      </w:r>
      <w:r w:rsidR="00C22FE1" w:rsidRPr="00E23349">
        <w:rPr>
          <w:szCs w:val="22"/>
        </w:rPr>
        <w:t xml:space="preserve">year period (informed by the trial data between 12 and 24 months). Under the assumption that </w:t>
      </w:r>
      <w:proofErr w:type="spellStart"/>
      <w:r w:rsidR="00C22FE1" w:rsidRPr="00E23349">
        <w:rPr>
          <w:szCs w:val="22"/>
        </w:rPr>
        <w:t>vitrectomy</w:t>
      </w:r>
      <w:proofErr w:type="spellEnd"/>
      <w:r w:rsidR="00C22FE1" w:rsidRPr="00E23349">
        <w:rPr>
          <w:szCs w:val="22"/>
        </w:rPr>
        <w:t xml:space="preserve"> is not permitted beyond 2 years, the ICER increased slightly </w:t>
      </w:r>
      <w:r w:rsidR="001F41BE">
        <w:rPr>
          <w:szCs w:val="22"/>
        </w:rPr>
        <w:t xml:space="preserve">from the base case of </w:t>
      </w:r>
      <w:r w:rsidR="003358A3">
        <w:rPr>
          <w:szCs w:val="22"/>
        </w:rPr>
        <w:t>$15,000/QALY - $45,000/QALY</w:t>
      </w:r>
      <w:r w:rsidR="003358A3" w:rsidRPr="00E23349">
        <w:rPr>
          <w:szCs w:val="22"/>
        </w:rPr>
        <w:t xml:space="preserve"> </w:t>
      </w:r>
      <w:r w:rsidR="00C22FE1" w:rsidRPr="00E23349">
        <w:rPr>
          <w:szCs w:val="22"/>
        </w:rPr>
        <w:t xml:space="preserve">to </w:t>
      </w:r>
      <w:r w:rsidR="003358A3">
        <w:rPr>
          <w:szCs w:val="22"/>
        </w:rPr>
        <w:t>$15,000/QALY - $45,000/QALY</w:t>
      </w:r>
      <w:r w:rsidR="00C22FE1" w:rsidRPr="00E23349">
        <w:rPr>
          <w:szCs w:val="22"/>
        </w:rPr>
        <w:t>.</w:t>
      </w:r>
    </w:p>
    <w:p w:rsidR="00BC45F4" w:rsidRPr="00E23349" w:rsidRDefault="00BC45F4" w:rsidP="008F4262">
      <w:pPr>
        <w:widowControl/>
        <w:rPr>
          <w:szCs w:val="22"/>
        </w:rPr>
      </w:pPr>
    </w:p>
    <w:p w:rsidR="00834785" w:rsidRPr="00E23349" w:rsidRDefault="00834785" w:rsidP="008F4262">
      <w:pPr>
        <w:pStyle w:val="ListParagraph"/>
        <w:widowControl/>
        <w:numPr>
          <w:ilvl w:val="1"/>
          <w:numId w:val="1"/>
        </w:numPr>
        <w:rPr>
          <w:szCs w:val="22"/>
        </w:rPr>
      </w:pPr>
      <w:r w:rsidRPr="00E23349">
        <w:rPr>
          <w:szCs w:val="22"/>
        </w:rPr>
        <w:t>The ESC noted the proposal in the PSCR (p2) to exclude patient</w:t>
      </w:r>
      <w:r w:rsidR="00320E07" w:rsidRPr="00E23349">
        <w:rPr>
          <w:szCs w:val="22"/>
        </w:rPr>
        <w:t>s</w:t>
      </w:r>
      <w:r w:rsidRPr="00E23349">
        <w:rPr>
          <w:szCs w:val="22"/>
        </w:rPr>
        <w:t xml:space="preserve"> with FTMH from the eligible patient population</w:t>
      </w:r>
      <w:r w:rsidR="00CE14A5" w:rsidRPr="00E23349">
        <w:rPr>
          <w:szCs w:val="22"/>
        </w:rPr>
        <w:t xml:space="preserve">. </w:t>
      </w:r>
      <w:r w:rsidR="00320E07" w:rsidRPr="00E23349">
        <w:rPr>
          <w:szCs w:val="22"/>
        </w:rPr>
        <w:t>Although</w:t>
      </w:r>
      <w:r w:rsidR="00CE14A5" w:rsidRPr="00E23349">
        <w:rPr>
          <w:szCs w:val="22"/>
        </w:rPr>
        <w:t xml:space="preserve"> the result of the post</w:t>
      </w:r>
      <w:r w:rsidR="00064591" w:rsidRPr="00E23349">
        <w:rPr>
          <w:szCs w:val="22"/>
        </w:rPr>
        <w:t xml:space="preserve"> </w:t>
      </w:r>
      <w:r w:rsidR="00CE14A5" w:rsidRPr="00E23349">
        <w:rPr>
          <w:szCs w:val="22"/>
        </w:rPr>
        <w:t>hoc subgroup of “No ERM, adhesion ≤1500</w:t>
      </w:r>
      <w:r w:rsidR="00320E07" w:rsidRPr="00E23349">
        <w:rPr>
          <w:szCs w:val="22"/>
        </w:rPr>
        <w:t> µm</w:t>
      </w:r>
      <w:r w:rsidR="00CE14A5" w:rsidRPr="00E23349">
        <w:rPr>
          <w:szCs w:val="22"/>
        </w:rPr>
        <w:t xml:space="preserve"> and No MH” was not presented, the</w:t>
      </w:r>
      <w:r w:rsidRPr="00E23349">
        <w:rPr>
          <w:szCs w:val="22"/>
        </w:rPr>
        <w:t xml:space="preserve"> </w:t>
      </w:r>
      <w:r w:rsidR="00CE14A5" w:rsidRPr="00E23349">
        <w:rPr>
          <w:szCs w:val="22"/>
        </w:rPr>
        <w:t>ICER for the VMT only (</w:t>
      </w:r>
      <w:proofErr w:type="spellStart"/>
      <w:r w:rsidR="00CE14A5" w:rsidRPr="00E23349">
        <w:rPr>
          <w:szCs w:val="22"/>
        </w:rPr>
        <w:t>ie</w:t>
      </w:r>
      <w:proofErr w:type="spellEnd"/>
      <w:r w:rsidR="00CE14A5" w:rsidRPr="00E23349">
        <w:rPr>
          <w:szCs w:val="22"/>
        </w:rPr>
        <w:t xml:space="preserve"> No MH) subgroup was </w:t>
      </w:r>
      <w:r w:rsidR="00935F5A">
        <w:rPr>
          <w:szCs w:val="22"/>
        </w:rPr>
        <w:t>$15,000/QALY - $45,000/QALY</w:t>
      </w:r>
      <w:r w:rsidR="00935F5A" w:rsidRPr="00E23349">
        <w:rPr>
          <w:szCs w:val="22"/>
        </w:rPr>
        <w:t xml:space="preserve"> </w:t>
      </w:r>
      <w:r w:rsidR="00320E07" w:rsidRPr="00E23349">
        <w:rPr>
          <w:szCs w:val="22"/>
        </w:rPr>
        <w:t xml:space="preserve">when based on OASIS </w:t>
      </w:r>
      <w:r w:rsidR="00CE14A5" w:rsidRPr="00E23349">
        <w:rPr>
          <w:szCs w:val="22"/>
        </w:rPr>
        <w:t xml:space="preserve">and </w:t>
      </w:r>
      <w:r w:rsidR="00935F5A">
        <w:rPr>
          <w:szCs w:val="22"/>
        </w:rPr>
        <w:t>$75,000/QALY - $105,000/QALY</w:t>
      </w:r>
      <w:r w:rsidR="00935F5A" w:rsidRPr="00E23349">
        <w:rPr>
          <w:szCs w:val="22"/>
        </w:rPr>
        <w:t xml:space="preserve"> </w:t>
      </w:r>
      <w:r w:rsidR="00320E07" w:rsidRPr="00E23349">
        <w:rPr>
          <w:szCs w:val="22"/>
        </w:rPr>
        <w:t>when based on TG-MV-006+TG-MV-007</w:t>
      </w:r>
      <w:r w:rsidR="00D20B04">
        <w:rPr>
          <w:szCs w:val="22"/>
        </w:rPr>
        <w:t>.</w:t>
      </w:r>
    </w:p>
    <w:p w:rsidR="006C7627" w:rsidRPr="00E23349" w:rsidRDefault="006C7627" w:rsidP="008F4262">
      <w:pPr>
        <w:widowControl/>
        <w:rPr>
          <w:szCs w:val="22"/>
        </w:rPr>
      </w:pPr>
    </w:p>
    <w:p w:rsidR="00BC45F4" w:rsidRDefault="00BC45F4" w:rsidP="008F4262">
      <w:pPr>
        <w:pStyle w:val="ListParagraph"/>
        <w:widowControl/>
        <w:numPr>
          <w:ilvl w:val="1"/>
          <w:numId w:val="1"/>
        </w:numPr>
        <w:rPr>
          <w:szCs w:val="22"/>
        </w:rPr>
      </w:pPr>
      <w:r w:rsidRPr="00E23349">
        <w:rPr>
          <w:szCs w:val="22"/>
        </w:rPr>
        <w:t>Overall, the ESC considered that the revised model was appropriately</w:t>
      </w:r>
      <w:r w:rsidR="00E6267A" w:rsidRPr="00E23349">
        <w:rPr>
          <w:szCs w:val="22"/>
        </w:rPr>
        <w:t xml:space="preserve"> re-structured from the original submission with appropriate health states, but that the inputs used in the analysis relied on </w:t>
      </w:r>
      <w:r w:rsidR="006C7627" w:rsidRPr="00E23349">
        <w:rPr>
          <w:szCs w:val="22"/>
        </w:rPr>
        <w:t>over-</w:t>
      </w:r>
      <w:r w:rsidR="00E6267A" w:rsidRPr="00E23349">
        <w:rPr>
          <w:szCs w:val="22"/>
        </w:rPr>
        <w:t xml:space="preserve">optimistic </w:t>
      </w:r>
      <w:r w:rsidR="00705EF6" w:rsidRPr="00E23349">
        <w:rPr>
          <w:szCs w:val="22"/>
        </w:rPr>
        <w:t xml:space="preserve">assumptions </w:t>
      </w:r>
      <w:r w:rsidR="006C7627" w:rsidRPr="00E23349">
        <w:rPr>
          <w:szCs w:val="22"/>
        </w:rPr>
        <w:t xml:space="preserve">that </w:t>
      </w:r>
      <w:r w:rsidR="00E6267A" w:rsidRPr="00E23349">
        <w:rPr>
          <w:szCs w:val="22"/>
        </w:rPr>
        <w:t xml:space="preserve">favoured </w:t>
      </w:r>
      <w:proofErr w:type="spellStart"/>
      <w:r w:rsidR="00E6267A" w:rsidRPr="00E23349">
        <w:rPr>
          <w:szCs w:val="22"/>
        </w:rPr>
        <w:t>ocriplasmin</w:t>
      </w:r>
      <w:proofErr w:type="spellEnd"/>
      <w:r w:rsidR="00CE14A5" w:rsidRPr="00E23349">
        <w:rPr>
          <w:szCs w:val="22"/>
        </w:rPr>
        <w:t>.</w:t>
      </w:r>
    </w:p>
    <w:p w:rsidR="0085095F" w:rsidRPr="001D335C" w:rsidRDefault="0085095F" w:rsidP="008F4262">
      <w:pPr>
        <w:widowControl/>
        <w:rPr>
          <w:szCs w:val="22"/>
        </w:rPr>
      </w:pPr>
    </w:p>
    <w:p w:rsidR="0085095F" w:rsidRDefault="0085095F" w:rsidP="008F4262">
      <w:pPr>
        <w:pStyle w:val="ListParagraph"/>
        <w:widowControl/>
        <w:numPr>
          <w:ilvl w:val="1"/>
          <w:numId w:val="1"/>
        </w:numPr>
        <w:rPr>
          <w:szCs w:val="22"/>
        </w:rPr>
      </w:pPr>
      <w:r>
        <w:rPr>
          <w:szCs w:val="22"/>
        </w:rPr>
        <w:t>The PBAC</w:t>
      </w:r>
      <w:r w:rsidR="005B123F">
        <w:rPr>
          <w:szCs w:val="22"/>
        </w:rPr>
        <w:t xml:space="preserve"> agreed with the ESC</w:t>
      </w:r>
      <w:r w:rsidR="00A73DAE">
        <w:rPr>
          <w:szCs w:val="22"/>
        </w:rPr>
        <w:t xml:space="preserve"> about the improved structure</w:t>
      </w:r>
      <w:r w:rsidR="001D335C">
        <w:rPr>
          <w:szCs w:val="22"/>
        </w:rPr>
        <w:t>, but</w:t>
      </w:r>
      <w:r w:rsidR="009F7D87">
        <w:rPr>
          <w:szCs w:val="22"/>
        </w:rPr>
        <w:t xml:space="preserve"> </w:t>
      </w:r>
      <w:r w:rsidR="005B123F">
        <w:rPr>
          <w:szCs w:val="22"/>
        </w:rPr>
        <w:t>considered that</w:t>
      </w:r>
      <w:r w:rsidR="001D335C">
        <w:rPr>
          <w:szCs w:val="22"/>
        </w:rPr>
        <w:t>,</w:t>
      </w:r>
      <w:r w:rsidR="005B123F">
        <w:rPr>
          <w:szCs w:val="22"/>
        </w:rPr>
        <w:t xml:space="preserve"> </w:t>
      </w:r>
      <w:r w:rsidR="00606CB0">
        <w:rPr>
          <w:szCs w:val="22"/>
        </w:rPr>
        <w:t xml:space="preserve">by applying </w:t>
      </w:r>
      <w:r w:rsidR="00DC185F">
        <w:rPr>
          <w:szCs w:val="22"/>
        </w:rPr>
        <w:t xml:space="preserve">more </w:t>
      </w:r>
      <w:r w:rsidR="00606CB0">
        <w:rPr>
          <w:szCs w:val="22"/>
        </w:rPr>
        <w:t xml:space="preserve">reasonable but </w:t>
      </w:r>
      <w:r w:rsidR="005B123F">
        <w:rPr>
          <w:szCs w:val="22"/>
        </w:rPr>
        <w:t>less optimistic assumptions</w:t>
      </w:r>
      <w:r w:rsidR="001D335C">
        <w:rPr>
          <w:szCs w:val="22"/>
        </w:rPr>
        <w:t xml:space="preserve"> in the model</w:t>
      </w:r>
      <w:r w:rsidR="00DC185F">
        <w:rPr>
          <w:szCs w:val="22"/>
        </w:rPr>
        <w:t xml:space="preserve"> as outlined below</w:t>
      </w:r>
      <w:r w:rsidR="00606CB0">
        <w:rPr>
          <w:szCs w:val="22"/>
        </w:rPr>
        <w:t xml:space="preserve">, </w:t>
      </w:r>
      <w:r w:rsidR="005B123F">
        <w:rPr>
          <w:szCs w:val="22"/>
        </w:rPr>
        <w:t>the cost-effectiveness was high and uncertain</w:t>
      </w:r>
      <w:r w:rsidR="001D335C">
        <w:rPr>
          <w:szCs w:val="22"/>
        </w:rPr>
        <w:t>.</w:t>
      </w:r>
    </w:p>
    <w:p w:rsidR="00135D3E" w:rsidRPr="001D335C" w:rsidRDefault="00135D3E" w:rsidP="008F4262">
      <w:pPr>
        <w:widowControl/>
        <w:rPr>
          <w:szCs w:val="22"/>
        </w:rPr>
      </w:pPr>
    </w:p>
    <w:p w:rsidR="009F7D87" w:rsidRPr="00FF02DA" w:rsidRDefault="009F7D87" w:rsidP="008F4262">
      <w:pPr>
        <w:pStyle w:val="ListParagraph"/>
        <w:widowControl/>
        <w:numPr>
          <w:ilvl w:val="1"/>
          <w:numId w:val="1"/>
        </w:numPr>
      </w:pPr>
      <w:r w:rsidRPr="004B3A1D">
        <w:t xml:space="preserve">The PBAC </w:t>
      </w:r>
      <w:r w:rsidR="00AB590F">
        <w:t xml:space="preserve">also agreed with the ESC </w:t>
      </w:r>
      <w:r w:rsidRPr="004B3A1D">
        <w:t xml:space="preserve">that including all trials in the economic analysis would </w:t>
      </w:r>
      <w:r w:rsidR="00FB0C0B" w:rsidRPr="004B3A1D">
        <w:t xml:space="preserve">have </w:t>
      </w:r>
      <w:r w:rsidRPr="004B3A1D">
        <w:t xml:space="preserve">been more appropriate. </w:t>
      </w:r>
      <w:r w:rsidR="00AB590F">
        <w:t xml:space="preserve"> </w:t>
      </w:r>
      <w:r w:rsidRPr="004B3A1D">
        <w:t xml:space="preserve">The PBAC did not accept the arguments </w:t>
      </w:r>
      <w:proofErr w:type="gramStart"/>
      <w:r w:rsidRPr="004B3A1D">
        <w:t>raised</w:t>
      </w:r>
      <w:proofErr w:type="gramEnd"/>
      <w:r w:rsidRPr="004B3A1D">
        <w:t xml:space="preserve"> by sponsor and noted the potential for leakage to ERM and greater FTMH size populations</w:t>
      </w:r>
      <w:r w:rsidR="00606CB0">
        <w:t xml:space="preserve">. </w:t>
      </w:r>
      <w:r w:rsidR="00AB590F">
        <w:t xml:space="preserve"> </w:t>
      </w:r>
      <w:r w:rsidR="00606CB0">
        <w:t>The PBAC noted</w:t>
      </w:r>
      <w:r w:rsidRPr="004B3A1D">
        <w:t xml:space="preserve"> that comparator response rates for the primary outcome were similar across the 3 trials (particularly across OASIS and TG-MV-007).</w:t>
      </w:r>
      <w:r w:rsidR="00FB0C0B" w:rsidRPr="004B3A1D">
        <w:t xml:space="preserve"> </w:t>
      </w:r>
      <w:r w:rsidR="00AB590F">
        <w:t xml:space="preserve"> </w:t>
      </w:r>
      <w:r w:rsidR="00FB0C0B" w:rsidRPr="004B3A1D">
        <w:t xml:space="preserve">When informed by TG-MV-006 and TGMV-007 instead of OASIS, the ICER increased from </w:t>
      </w:r>
      <w:r w:rsidR="00D20B04">
        <w:rPr>
          <w:szCs w:val="22"/>
        </w:rPr>
        <w:t>$15,000/QALY - $45,000/QALY</w:t>
      </w:r>
      <w:r w:rsidR="00D20B04" w:rsidRPr="00E23349">
        <w:rPr>
          <w:szCs w:val="22"/>
        </w:rPr>
        <w:t xml:space="preserve"> </w:t>
      </w:r>
      <w:r w:rsidR="00FB0C0B" w:rsidRPr="004B3A1D">
        <w:t>to</w:t>
      </w:r>
      <w:r w:rsidR="00D20B04">
        <w:rPr>
          <w:szCs w:val="22"/>
        </w:rPr>
        <w:t>$75,000/QALY - $105,000/QALY</w:t>
      </w:r>
      <w:r w:rsidR="00FB0C0B" w:rsidRPr="004B3A1D">
        <w:t>.  The</w:t>
      </w:r>
      <w:r w:rsidR="00606CB0">
        <w:t xml:space="preserve"> PBAC expected that the</w:t>
      </w:r>
      <w:r w:rsidR="00FB0C0B" w:rsidRPr="004B3A1D">
        <w:t xml:space="preserve"> ICER </w:t>
      </w:r>
      <w:r w:rsidR="004B3A1D">
        <w:t xml:space="preserve">when </w:t>
      </w:r>
      <w:r w:rsidR="00FB0C0B" w:rsidRPr="004B3A1D">
        <w:t xml:space="preserve">including all trials </w:t>
      </w:r>
      <w:r w:rsidR="004B3A1D">
        <w:t xml:space="preserve">in the analysis </w:t>
      </w:r>
      <w:r w:rsidR="00FB0C0B" w:rsidRPr="004B3A1D">
        <w:t xml:space="preserve">would </w:t>
      </w:r>
      <w:r w:rsidR="00606CB0">
        <w:t xml:space="preserve">lie </w:t>
      </w:r>
      <w:r w:rsidR="00FB0C0B" w:rsidRPr="004B3A1D">
        <w:t>between the</w:t>
      </w:r>
      <w:r w:rsidR="004B3A1D">
        <w:t>se</w:t>
      </w:r>
      <w:r w:rsidR="00FE283A">
        <w:t xml:space="preserve"> two values.</w:t>
      </w:r>
    </w:p>
    <w:p w:rsidR="008B24A1" w:rsidRPr="00A02FBA" w:rsidRDefault="008B24A1" w:rsidP="008F4262">
      <w:pPr>
        <w:widowControl/>
        <w:rPr>
          <w:szCs w:val="22"/>
        </w:rPr>
      </w:pPr>
    </w:p>
    <w:p w:rsidR="00135D3E" w:rsidRPr="00FC36BD" w:rsidRDefault="007325B7" w:rsidP="008F4262">
      <w:pPr>
        <w:pStyle w:val="ListParagraph"/>
        <w:widowControl/>
        <w:numPr>
          <w:ilvl w:val="1"/>
          <w:numId w:val="1"/>
        </w:numPr>
        <w:rPr>
          <w:szCs w:val="22"/>
        </w:rPr>
      </w:pPr>
      <w:r w:rsidRPr="00FC36BD">
        <w:rPr>
          <w:szCs w:val="22"/>
        </w:rPr>
        <w:t xml:space="preserve">The PBAC considered that the 31-year time horizon was not appropriate, because even though VMT is a long-term condition, the long-term incremental effectiveness of </w:t>
      </w:r>
      <w:proofErr w:type="spellStart"/>
      <w:r w:rsidRPr="00FC36BD">
        <w:rPr>
          <w:szCs w:val="22"/>
        </w:rPr>
        <w:t>ocriplasmin</w:t>
      </w:r>
      <w:proofErr w:type="spellEnd"/>
      <w:r w:rsidRPr="00FC36BD">
        <w:rPr>
          <w:szCs w:val="22"/>
        </w:rPr>
        <w:t xml:space="preserve"> is, at best, weakly substantiated. </w:t>
      </w:r>
      <w:r w:rsidR="00AB590F">
        <w:rPr>
          <w:szCs w:val="22"/>
        </w:rPr>
        <w:t xml:space="preserve"> </w:t>
      </w:r>
      <w:r w:rsidR="00135D3E" w:rsidRPr="00FC36BD">
        <w:rPr>
          <w:szCs w:val="22"/>
        </w:rPr>
        <w:t xml:space="preserve">The PBAC noted </w:t>
      </w:r>
      <w:r w:rsidR="00EC1368" w:rsidRPr="00FC36BD">
        <w:rPr>
          <w:szCs w:val="22"/>
        </w:rPr>
        <w:t xml:space="preserve">that </w:t>
      </w:r>
      <w:r w:rsidR="00135D3E" w:rsidRPr="00FC36BD">
        <w:rPr>
          <w:szCs w:val="22"/>
        </w:rPr>
        <w:t>the pre-PBAC response</w:t>
      </w:r>
      <w:r w:rsidR="00EC1368" w:rsidRPr="00FC36BD">
        <w:rPr>
          <w:szCs w:val="22"/>
        </w:rPr>
        <w:t xml:space="preserve"> argued that a time horizon of at least ten years is necessary and</w:t>
      </w:r>
      <w:r w:rsidR="00135D3E" w:rsidRPr="00FC36BD">
        <w:rPr>
          <w:szCs w:val="22"/>
        </w:rPr>
        <w:t xml:space="preserve"> that the ICER increased </w:t>
      </w:r>
      <w:r w:rsidR="00D20B04">
        <w:rPr>
          <w:szCs w:val="22"/>
        </w:rPr>
        <w:t>$15,000/QALY - $45,000/QALY</w:t>
      </w:r>
      <w:r w:rsidR="00D20B04" w:rsidRPr="00E23349">
        <w:rPr>
          <w:szCs w:val="22"/>
        </w:rPr>
        <w:t xml:space="preserve"> </w:t>
      </w:r>
      <w:r w:rsidR="00135D3E" w:rsidRPr="00FC36BD">
        <w:rPr>
          <w:szCs w:val="22"/>
        </w:rPr>
        <w:t>to</w:t>
      </w:r>
      <w:r w:rsidR="001F41BE">
        <w:rPr>
          <w:szCs w:val="22"/>
        </w:rPr>
        <w:t xml:space="preserve"> </w:t>
      </w:r>
      <w:r w:rsidR="00D20B04">
        <w:rPr>
          <w:szCs w:val="22"/>
        </w:rPr>
        <w:t>$15,000/QALY - $45,000/QALY</w:t>
      </w:r>
      <w:r w:rsidR="00135D3E" w:rsidRPr="00FC36BD">
        <w:rPr>
          <w:szCs w:val="22"/>
        </w:rPr>
        <w:t xml:space="preserve">, when the time horizon set to 10 years rather than 31.5 years. </w:t>
      </w:r>
      <w:r w:rsidR="00AB590F">
        <w:rPr>
          <w:szCs w:val="22"/>
        </w:rPr>
        <w:t xml:space="preserve"> </w:t>
      </w:r>
      <w:r w:rsidRPr="00FC36BD">
        <w:rPr>
          <w:szCs w:val="22"/>
        </w:rPr>
        <w:t xml:space="preserve">The PBAC agreed with </w:t>
      </w:r>
      <w:r w:rsidRPr="00FC36BD">
        <w:rPr>
          <w:szCs w:val="22"/>
        </w:rPr>
        <w:lastRenderedPageBreak/>
        <w:t xml:space="preserve">ESC advised that a short-time horizon (2-5 years) would be more appropriate for the modelling the benefits of </w:t>
      </w:r>
      <w:proofErr w:type="spellStart"/>
      <w:r w:rsidRPr="00FC36BD">
        <w:rPr>
          <w:szCs w:val="22"/>
        </w:rPr>
        <w:t>ocriplasmin</w:t>
      </w:r>
      <w:proofErr w:type="spellEnd"/>
      <w:r w:rsidRPr="00FC36BD">
        <w:rPr>
          <w:szCs w:val="22"/>
        </w:rPr>
        <w:t>.</w:t>
      </w:r>
    </w:p>
    <w:p w:rsidR="00FC36BD" w:rsidRPr="00FC36BD" w:rsidRDefault="00FC36BD" w:rsidP="008F4262">
      <w:pPr>
        <w:widowControl/>
      </w:pPr>
    </w:p>
    <w:p w:rsidR="004B3A1D" w:rsidRPr="00FC36BD" w:rsidRDefault="00FE283A" w:rsidP="008F4262">
      <w:pPr>
        <w:pStyle w:val="ListParagraph"/>
        <w:widowControl/>
        <w:numPr>
          <w:ilvl w:val="1"/>
          <w:numId w:val="1"/>
        </w:numPr>
      </w:pPr>
      <w:r>
        <w:rPr>
          <w:szCs w:val="22"/>
        </w:rPr>
        <w:t>T</w:t>
      </w:r>
      <w:r w:rsidR="00DF31CB" w:rsidRPr="00FC36BD">
        <w:rPr>
          <w:szCs w:val="22"/>
        </w:rPr>
        <w:t xml:space="preserve">he PBAC </w:t>
      </w:r>
      <w:r>
        <w:rPr>
          <w:szCs w:val="22"/>
        </w:rPr>
        <w:t xml:space="preserve">also </w:t>
      </w:r>
      <w:r w:rsidR="00DF31CB" w:rsidRPr="00FC36BD">
        <w:rPr>
          <w:szCs w:val="22"/>
        </w:rPr>
        <w:t xml:space="preserve">agreed with ESC </w:t>
      </w:r>
      <w:r>
        <w:rPr>
          <w:szCs w:val="22"/>
        </w:rPr>
        <w:t xml:space="preserve">that </w:t>
      </w:r>
      <w:r w:rsidR="00FF02DA">
        <w:rPr>
          <w:szCs w:val="22"/>
        </w:rPr>
        <w:t xml:space="preserve">there was no reason for </w:t>
      </w:r>
      <w:r w:rsidR="00DF31CB" w:rsidRPr="00FC36BD">
        <w:rPr>
          <w:szCs w:val="22"/>
        </w:rPr>
        <w:t xml:space="preserve">different utilities </w:t>
      </w:r>
      <w:r w:rsidR="00FF02DA">
        <w:rPr>
          <w:szCs w:val="22"/>
        </w:rPr>
        <w:t xml:space="preserve">to be </w:t>
      </w:r>
      <w:r w:rsidR="00DF31CB" w:rsidRPr="00FC36BD">
        <w:rPr>
          <w:szCs w:val="22"/>
        </w:rPr>
        <w:t xml:space="preserve">applied in the health states for ‘resolved with </w:t>
      </w:r>
      <w:proofErr w:type="spellStart"/>
      <w:r w:rsidR="00DF31CB" w:rsidRPr="00FC36BD">
        <w:rPr>
          <w:szCs w:val="22"/>
        </w:rPr>
        <w:t>vitrectomy</w:t>
      </w:r>
      <w:proofErr w:type="spellEnd"/>
      <w:r w:rsidR="00DF31CB" w:rsidRPr="00FC36BD">
        <w:rPr>
          <w:szCs w:val="22"/>
        </w:rPr>
        <w:t xml:space="preserve">’ and ‘resolved without </w:t>
      </w:r>
      <w:proofErr w:type="spellStart"/>
      <w:r w:rsidR="00DF31CB" w:rsidRPr="00FC36BD">
        <w:rPr>
          <w:szCs w:val="22"/>
        </w:rPr>
        <w:t>vitrectomy</w:t>
      </w:r>
      <w:proofErr w:type="spellEnd"/>
      <w:r w:rsidR="00DF31CB" w:rsidRPr="00FC36BD">
        <w:rPr>
          <w:szCs w:val="22"/>
        </w:rPr>
        <w:t xml:space="preserve">’. The PBAC noted that the pre-PBAC response removed the disutility associated with </w:t>
      </w:r>
      <w:proofErr w:type="spellStart"/>
      <w:r w:rsidR="00DF31CB" w:rsidRPr="00FC36BD">
        <w:rPr>
          <w:szCs w:val="22"/>
        </w:rPr>
        <w:t>vitrectomy</w:t>
      </w:r>
      <w:proofErr w:type="spellEnd"/>
      <w:r>
        <w:rPr>
          <w:szCs w:val="22"/>
        </w:rPr>
        <w:t>-</w:t>
      </w:r>
      <w:r w:rsidR="00DF31CB" w:rsidRPr="00FC36BD">
        <w:rPr>
          <w:szCs w:val="22"/>
        </w:rPr>
        <w:t xml:space="preserve">induced resolution (0.0127) in </w:t>
      </w:r>
      <w:r>
        <w:rPr>
          <w:szCs w:val="22"/>
        </w:rPr>
        <w:t>a sensitivity analysis.</w:t>
      </w:r>
    </w:p>
    <w:p w:rsidR="00FC36BD" w:rsidRPr="00FC36BD" w:rsidRDefault="00FC36BD" w:rsidP="008F4262">
      <w:pPr>
        <w:widowControl/>
      </w:pPr>
    </w:p>
    <w:p w:rsidR="003D3B62" w:rsidRPr="00FC36BD" w:rsidRDefault="003D3B62" w:rsidP="008F4262">
      <w:pPr>
        <w:pStyle w:val="ListParagraph"/>
        <w:widowControl/>
        <w:numPr>
          <w:ilvl w:val="1"/>
          <w:numId w:val="1"/>
        </w:numPr>
      </w:pPr>
      <w:r w:rsidRPr="00FC36BD">
        <w:rPr>
          <w:szCs w:val="22"/>
        </w:rPr>
        <w:t xml:space="preserve">The PBAC maintained </w:t>
      </w:r>
      <w:r w:rsidR="00FE283A">
        <w:rPr>
          <w:szCs w:val="22"/>
        </w:rPr>
        <w:t>its</w:t>
      </w:r>
      <w:r w:rsidRPr="00FC36BD">
        <w:rPr>
          <w:szCs w:val="22"/>
        </w:rPr>
        <w:t xml:space="preserve"> view that the longer</w:t>
      </w:r>
      <w:r w:rsidR="00FE283A">
        <w:rPr>
          <w:szCs w:val="22"/>
        </w:rPr>
        <w:t>-term</w:t>
      </w:r>
      <w:r w:rsidRPr="00FC36BD">
        <w:rPr>
          <w:szCs w:val="22"/>
        </w:rPr>
        <w:t xml:space="preserve"> value of </w:t>
      </w:r>
      <w:proofErr w:type="spellStart"/>
      <w:r w:rsidRPr="00FC36BD">
        <w:rPr>
          <w:szCs w:val="22"/>
        </w:rPr>
        <w:t>ocriplasmin</w:t>
      </w:r>
      <w:proofErr w:type="spellEnd"/>
      <w:r w:rsidRPr="00FC36BD">
        <w:rPr>
          <w:szCs w:val="22"/>
        </w:rPr>
        <w:t xml:space="preserve"> was not clear. </w:t>
      </w:r>
      <w:r w:rsidR="005F3AF3">
        <w:rPr>
          <w:szCs w:val="22"/>
        </w:rPr>
        <w:t xml:space="preserve"> </w:t>
      </w:r>
      <w:r w:rsidRPr="00FC36BD">
        <w:rPr>
          <w:szCs w:val="22"/>
        </w:rPr>
        <w:t xml:space="preserve">The PBAC considered that </w:t>
      </w:r>
      <w:r w:rsidR="00326D7E" w:rsidRPr="00FC36BD">
        <w:rPr>
          <w:szCs w:val="22"/>
        </w:rPr>
        <w:t xml:space="preserve">a </w:t>
      </w:r>
      <w:r w:rsidR="00FE283A">
        <w:rPr>
          <w:szCs w:val="22"/>
        </w:rPr>
        <w:t xml:space="preserve">shorter </w:t>
      </w:r>
      <w:r w:rsidR="00326D7E" w:rsidRPr="00FC36BD">
        <w:rPr>
          <w:szCs w:val="22"/>
        </w:rPr>
        <w:t>5</w:t>
      </w:r>
      <w:r w:rsidR="00FE283A">
        <w:rPr>
          <w:szCs w:val="22"/>
        </w:rPr>
        <w:t>-</w:t>
      </w:r>
      <w:r w:rsidR="00326D7E" w:rsidRPr="00FC36BD">
        <w:rPr>
          <w:szCs w:val="22"/>
        </w:rPr>
        <w:t xml:space="preserve">year time horizon </w:t>
      </w:r>
      <w:r w:rsidR="00FF02DA">
        <w:rPr>
          <w:szCs w:val="22"/>
        </w:rPr>
        <w:t>would</w:t>
      </w:r>
      <w:r w:rsidRPr="00FC36BD">
        <w:rPr>
          <w:szCs w:val="22"/>
        </w:rPr>
        <w:t xml:space="preserve"> </w:t>
      </w:r>
      <w:r w:rsidR="00FE283A">
        <w:rPr>
          <w:szCs w:val="22"/>
        </w:rPr>
        <w:t>help address its</w:t>
      </w:r>
      <w:r w:rsidRPr="00FC36BD">
        <w:rPr>
          <w:szCs w:val="22"/>
        </w:rPr>
        <w:t xml:space="preserve"> </w:t>
      </w:r>
      <w:r w:rsidR="005F3AF3">
        <w:rPr>
          <w:szCs w:val="22"/>
        </w:rPr>
        <w:t xml:space="preserve">other </w:t>
      </w:r>
      <w:r w:rsidRPr="00FC36BD">
        <w:rPr>
          <w:szCs w:val="22"/>
        </w:rPr>
        <w:t>concern</w:t>
      </w:r>
      <w:r w:rsidR="005F3AF3">
        <w:rPr>
          <w:szCs w:val="22"/>
        </w:rPr>
        <w:t>s</w:t>
      </w:r>
      <w:r w:rsidRPr="00FC36BD">
        <w:rPr>
          <w:szCs w:val="22"/>
        </w:rPr>
        <w:t xml:space="preserve"> of applying </w:t>
      </w:r>
      <w:r w:rsidR="00FE283A">
        <w:rPr>
          <w:szCs w:val="22"/>
        </w:rPr>
        <w:t>over-</w:t>
      </w:r>
      <w:r w:rsidRPr="00FC36BD">
        <w:rPr>
          <w:szCs w:val="22"/>
        </w:rPr>
        <w:t xml:space="preserve">optimistic inputs </w:t>
      </w:r>
      <w:r w:rsidR="00326D7E" w:rsidRPr="00FC36BD">
        <w:rPr>
          <w:szCs w:val="22"/>
        </w:rPr>
        <w:t xml:space="preserve">(such as </w:t>
      </w:r>
      <w:r w:rsidR="00326D7E" w:rsidRPr="00FC36BD">
        <w:t xml:space="preserve">non-statistically significant differences in rates of </w:t>
      </w:r>
      <w:proofErr w:type="spellStart"/>
      <w:r w:rsidR="00326D7E" w:rsidRPr="00FC36BD">
        <w:t>vitrectomy</w:t>
      </w:r>
      <w:proofErr w:type="spellEnd"/>
      <w:r w:rsidR="00326D7E" w:rsidRPr="00FC36BD">
        <w:t xml:space="preserve"> at 2 years and the applying </w:t>
      </w:r>
      <w:proofErr w:type="spellStart"/>
      <w:r w:rsidR="00326D7E" w:rsidRPr="00FC36BD">
        <w:t>QoL</w:t>
      </w:r>
      <w:proofErr w:type="spellEnd"/>
      <w:r w:rsidR="00326D7E" w:rsidRPr="00FC36BD">
        <w:t xml:space="preserve">/utility transformation differences across the </w:t>
      </w:r>
      <w:r w:rsidR="005F3AF3">
        <w:t>different health</w:t>
      </w:r>
      <w:r w:rsidR="00326D7E" w:rsidRPr="00FC36BD">
        <w:t xml:space="preserve"> states that may not be appropriate)</w:t>
      </w:r>
      <w:r w:rsidR="00326D7E" w:rsidRPr="00FC36BD">
        <w:rPr>
          <w:szCs w:val="22"/>
        </w:rPr>
        <w:t xml:space="preserve"> </w:t>
      </w:r>
      <w:r w:rsidRPr="00FC36BD">
        <w:rPr>
          <w:szCs w:val="22"/>
        </w:rPr>
        <w:t>in a life time model</w:t>
      </w:r>
      <w:r w:rsidR="00FE283A">
        <w:rPr>
          <w:szCs w:val="22"/>
        </w:rPr>
        <w:t>.</w:t>
      </w:r>
    </w:p>
    <w:p w:rsidR="00FC36BD" w:rsidRPr="00FC36BD" w:rsidRDefault="00FC36BD" w:rsidP="008F4262">
      <w:pPr>
        <w:widowControl/>
      </w:pPr>
    </w:p>
    <w:p w:rsidR="00326D7E" w:rsidRPr="00FC36BD" w:rsidRDefault="004B3A1D" w:rsidP="008F4262">
      <w:pPr>
        <w:pStyle w:val="ListParagraph"/>
        <w:widowControl/>
        <w:numPr>
          <w:ilvl w:val="1"/>
          <w:numId w:val="1"/>
        </w:numPr>
        <w:rPr>
          <w:szCs w:val="22"/>
        </w:rPr>
      </w:pPr>
      <w:r w:rsidRPr="00FC36BD">
        <w:rPr>
          <w:rStyle w:val="BodyTextChar"/>
        </w:rPr>
        <w:t>The</w:t>
      </w:r>
      <w:r w:rsidRPr="00FC36BD">
        <w:rPr>
          <w:szCs w:val="22"/>
        </w:rPr>
        <w:t xml:space="preserve"> PBAC </w:t>
      </w:r>
      <w:r w:rsidR="00A73DAE">
        <w:rPr>
          <w:szCs w:val="22"/>
        </w:rPr>
        <w:t xml:space="preserve">therefore </w:t>
      </w:r>
      <w:r w:rsidRPr="00FC36BD">
        <w:rPr>
          <w:szCs w:val="22"/>
        </w:rPr>
        <w:t xml:space="preserve">considered </w:t>
      </w:r>
      <w:r w:rsidR="00326D7E" w:rsidRPr="00FC36BD">
        <w:rPr>
          <w:szCs w:val="22"/>
        </w:rPr>
        <w:t>that</w:t>
      </w:r>
      <w:r w:rsidR="00A73DAE">
        <w:rPr>
          <w:szCs w:val="22"/>
        </w:rPr>
        <w:t>,</w:t>
      </w:r>
      <w:r w:rsidR="00326D7E" w:rsidRPr="00FC36BD">
        <w:rPr>
          <w:szCs w:val="22"/>
        </w:rPr>
        <w:t xml:space="preserve"> for the cost-effectiveness of </w:t>
      </w:r>
      <w:proofErr w:type="spellStart"/>
      <w:r w:rsidR="00326D7E" w:rsidRPr="00FC36BD">
        <w:rPr>
          <w:szCs w:val="22"/>
        </w:rPr>
        <w:t>ocriplasmin</w:t>
      </w:r>
      <w:proofErr w:type="spellEnd"/>
      <w:r w:rsidR="00326D7E" w:rsidRPr="00FC36BD">
        <w:rPr>
          <w:szCs w:val="22"/>
        </w:rPr>
        <w:t xml:space="preserve"> to be acceptable</w:t>
      </w:r>
      <w:r w:rsidR="00FC36BD" w:rsidRPr="00FC36BD">
        <w:rPr>
          <w:szCs w:val="22"/>
        </w:rPr>
        <w:t>,</w:t>
      </w:r>
      <w:r w:rsidR="00326D7E" w:rsidRPr="00FC36BD">
        <w:rPr>
          <w:szCs w:val="22"/>
        </w:rPr>
        <w:t xml:space="preserve"> </w:t>
      </w:r>
      <w:r w:rsidRPr="00FC36BD">
        <w:rPr>
          <w:szCs w:val="22"/>
        </w:rPr>
        <w:t xml:space="preserve">a price reduction would be required </w:t>
      </w:r>
      <w:r w:rsidR="00825337">
        <w:rPr>
          <w:szCs w:val="22"/>
        </w:rPr>
        <w:t xml:space="preserve">consistent </w:t>
      </w:r>
      <w:r w:rsidR="00326D7E" w:rsidRPr="00FC36BD">
        <w:rPr>
          <w:szCs w:val="22"/>
        </w:rPr>
        <w:t xml:space="preserve">with </w:t>
      </w:r>
      <w:r w:rsidR="00825337">
        <w:rPr>
          <w:szCs w:val="22"/>
        </w:rPr>
        <w:t xml:space="preserve">addressing </w:t>
      </w:r>
      <w:r w:rsidR="00326D7E" w:rsidRPr="00FC36BD">
        <w:rPr>
          <w:szCs w:val="22"/>
        </w:rPr>
        <w:t xml:space="preserve">the following parameters applied to the model </w:t>
      </w:r>
      <w:r w:rsidR="00A73DAE">
        <w:rPr>
          <w:szCs w:val="22"/>
        </w:rPr>
        <w:t xml:space="preserve">as </w:t>
      </w:r>
      <w:r w:rsidR="00326D7E" w:rsidRPr="00FC36BD">
        <w:rPr>
          <w:szCs w:val="22"/>
        </w:rPr>
        <w:t xml:space="preserve">presented in the </w:t>
      </w:r>
      <w:r w:rsidR="00825337">
        <w:rPr>
          <w:szCs w:val="22"/>
        </w:rPr>
        <w:t>re-</w:t>
      </w:r>
      <w:r w:rsidR="00326D7E" w:rsidRPr="00FC36BD">
        <w:rPr>
          <w:szCs w:val="22"/>
        </w:rPr>
        <w:t>submission</w:t>
      </w:r>
      <w:r w:rsidR="00FC36BD" w:rsidRPr="00FC36BD">
        <w:rPr>
          <w:szCs w:val="22"/>
        </w:rPr>
        <w:t>:</w:t>
      </w:r>
    </w:p>
    <w:p w:rsidR="004B3A1D" w:rsidRPr="00FC36BD" w:rsidRDefault="00FC36BD" w:rsidP="008F4262">
      <w:pPr>
        <w:pStyle w:val="ListParagraph"/>
        <w:widowControl/>
        <w:numPr>
          <w:ilvl w:val="0"/>
          <w:numId w:val="2"/>
        </w:numPr>
        <w:ind w:left="851" w:hanging="142"/>
        <w:rPr>
          <w:szCs w:val="22"/>
        </w:rPr>
      </w:pPr>
      <w:r w:rsidRPr="00FC36BD">
        <w:rPr>
          <w:szCs w:val="22"/>
        </w:rPr>
        <w:t xml:space="preserve">time horizon </w:t>
      </w:r>
      <w:r w:rsidR="00825337">
        <w:rPr>
          <w:szCs w:val="22"/>
        </w:rPr>
        <w:t xml:space="preserve">to be </w:t>
      </w:r>
      <w:r w:rsidRPr="00FC36BD">
        <w:rPr>
          <w:szCs w:val="22"/>
        </w:rPr>
        <w:t>set to</w:t>
      </w:r>
      <w:r w:rsidR="004B3A1D" w:rsidRPr="00FC36BD">
        <w:rPr>
          <w:szCs w:val="22"/>
        </w:rPr>
        <w:t xml:space="preserve"> 5 years</w:t>
      </w:r>
    </w:p>
    <w:p w:rsidR="00DF31CB" w:rsidRPr="00FC36BD" w:rsidRDefault="00DF31CB" w:rsidP="008F4262">
      <w:pPr>
        <w:pStyle w:val="ListParagraph"/>
        <w:widowControl/>
        <w:numPr>
          <w:ilvl w:val="0"/>
          <w:numId w:val="2"/>
        </w:numPr>
        <w:ind w:left="851" w:hanging="142"/>
        <w:rPr>
          <w:szCs w:val="22"/>
        </w:rPr>
      </w:pPr>
      <w:r w:rsidRPr="00FC36BD">
        <w:rPr>
          <w:szCs w:val="22"/>
        </w:rPr>
        <w:t xml:space="preserve">utility for </w:t>
      </w:r>
      <w:r w:rsidR="00825337">
        <w:rPr>
          <w:szCs w:val="22"/>
        </w:rPr>
        <w:t>“</w:t>
      </w:r>
      <w:r w:rsidRPr="00FC36BD">
        <w:rPr>
          <w:szCs w:val="22"/>
        </w:rPr>
        <w:t xml:space="preserve">resolved with </w:t>
      </w:r>
      <w:proofErr w:type="spellStart"/>
      <w:r w:rsidRPr="00FC36BD">
        <w:rPr>
          <w:szCs w:val="22"/>
        </w:rPr>
        <w:t>vitrectomy</w:t>
      </w:r>
      <w:proofErr w:type="spellEnd"/>
      <w:r w:rsidR="00825337">
        <w:rPr>
          <w:szCs w:val="22"/>
        </w:rPr>
        <w:t>” to be set</w:t>
      </w:r>
      <w:r w:rsidRPr="00FC36BD">
        <w:rPr>
          <w:szCs w:val="22"/>
        </w:rPr>
        <w:t xml:space="preserve"> equal to </w:t>
      </w:r>
      <w:r w:rsidR="00825337">
        <w:rPr>
          <w:szCs w:val="22"/>
        </w:rPr>
        <w:t>“</w:t>
      </w:r>
      <w:r w:rsidRPr="00FC36BD">
        <w:rPr>
          <w:szCs w:val="22"/>
        </w:rPr>
        <w:t xml:space="preserve">utility resolved without </w:t>
      </w:r>
      <w:proofErr w:type="spellStart"/>
      <w:r w:rsidRPr="00FC36BD">
        <w:rPr>
          <w:szCs w:val="22"/>
        </w:rPr>
        <w:t>vitrectomy</w:t>
      </w:r>
      <w:proofErr w:type="spellEnd"/>
      <w:r w:rsidR="00825337">
        <w:rPr>
          <w:szCs w:val="22"/>
        </w:rPr>
        <w:t>”</w:t>
      </w:r>
      <w:r w:rsidRPr="00FC36BD">
        <w:rPr>
          <w:szCs w:val="22"/>
        </w:rPr>
        <w:t xml:space="preserve"> (</w:t>
      </w:r>
      <w:proofErr w:type="spellStart"/>
      <w:r w:rsidRPr="00FC36BD">
        <w:rPr>
          <w:szCs w:val="22"/>
        </w:rPr>
        <w:t>ie</w:t>
      </w:r>
      <w:proofErr w:type="spellEnd"/>
      <w:r w:rsidRPr="00FC36BD">
        <w:rPr>
          <w:szCs w:val="22"/>
        </w:rPr>
        <w:t xml:space="preserve">, long term </w:t>
      </w:r>
      <w:proofErr w:type="spellStart"/>
      <w:r w:rsidRPr="00FC36BD">
        <w:rPr>
          <w:szCs w:val="22"/>
        </w:rPr>
        <w:t>QoL</w:t>
      </w:r>
      <w:proofErr w:type="spellEnd"/>
      <w:r w:rsidRPr="00FC36BD">
        <w:rPr>
          <w:szCs w:val="22"/>
        </w:rPr>
        <w:t xml:space="preserve"> benefit via non-surgical resolution </w:t>
      </w:r>
      <w:r w:rsidR="00825337">
        <w:rPr>
          <w:szCs w:val="22"/>
        </w:rPr>
        <w:t xml:space="preserve">reduced </w:t>
      </w:r>
      <w:r w:rsidRPr="00FC36BD">
        <w:rPr>
          <w:szCs w:val="22"/>
        </w:rPr>
        <w:t>from 0.0127 to 0.0000)”</w:t>
      </w:r>
    </w:p>
    <w:p w:rsidR="00FC36BD" w:rsidRPr="00FC36BD" w:rsidRDefault="00FC36BD" w:rsidP="008F4262">
      <w:pPr>
        <w:pStyle w:val="ListParagraph"/>
        <w:widowControl/>
        <w:numPr>
          <w:ilvl w:val="0"/>
          <w:numId w:val="2"/>
        </w:numPr>
        <w:ind w:left="851" w:hanging="142"/>
        <w:rPr>
          <w:szCs w:val="22"/>
        </w:rPr>
      </w:pPr>
      <w:proofErr w:type="gramStart"/>
      <w:r w:rsidRPr="00825337">
        <w:rPr>
          <w:iCs/>
        </w:rPr>
        <w:t>resulting</w:t>
      </w:r>
      <w:proofErr w:type="gramEnd"/>
      <w:r w:rsidRPr="00FC36BD">
        <w:rPr>
          <w:szCs w:val="22"/>
        </w:rPr>
        <w:t xml:space="preserve"> ICER </w:t>
      </w:r>
      <w:r w:rsidR="00825337">
        <w:rPr>
          <w:szCs w:val="22"/>
        </w:rPr>
        <w:t xml:space="preserve">to be </w:t>
      </w:r>
      <w:r w:rsidRPr="00FC36BD">
        <w:rPr>
          <w:szCs w:val="22"/>
        </w:rPr>
        <w:t xml:space="preserve">no greater than </w:t>
      </w:r>
      <w:r w:rsidR="00825337">
        <w:rPr>
          <w:szCs w:val="22"/>
        </w:rPr>
        <w:t>the re-submission’s base case of</w:t>
      </w:r>
      <w:r w:rsidR="00D20B04">
        <w:rPr>
          <w:szCs w:val="22"/>
        </w:rPr>
        <w:t>$15,000/QALY - $45,000/QALY</w:t>
      </w:r>
      <w:r w:rsidR="00825337">
        <w:rPr>
          <w:szCs w:val="22"/>
        </w:rPr>
        <w:t>.</w:t>
      </w:r>
    </w:p>
    <w:p w:rsidR="00BC45F4" w:rsidRPr="006C7627" w:rsidRDefault="00BC45F4" w:rsidP="008F4262">
      <w:pPr>
        <w:widowControl/>
        <w:rPr>
          <w:szCs w:val="22"/>
        </w:rPr>
      </w:pPr>
    </w:p>
    <w:p w:rsidR="00C25D9C" w:rsidRPr="00014FE0" w:rsidRDefault="00C25D9C" w:rsidP="008F4262">
      <w:pPr>
        <w:pStyle w:val="Heading2"/>
        <w:widowControl/>
        <w:rPr>
          <w:i/>
          <w:szCs w:val="22"/>
        </w:rPr>
      </w:pPr>
      <w:bookmarkStart w:id="15" w:name="_Toc440964232"/>
      <w:r w:rsidRPr="00014FE0">
        <w:rPr>
          <w:i/>
        </w:rPr>
        <w:t>Drug cost/</w:t>
      </w:r>
      <w:r w:rsidR="00CD1F56" w:rsidRPr="00014FE0">
        <w:rPr>
          <w:i/>
        </w:rPr>
        <w:t>eye</w:t>
      </w:r>
      <w:bookmarkEnd w:id="15"/>
    </w:p>
    <w:p w:rsidR="00C25D9C" w:rsidRPr="00517553" w:rsidRDefault="00C25D9C" w:rsidP="008F4262">
      <w:pPr>
        <w:widowControl/>
        <w:rPr>
          <w:szCs w:val="22"/>
        </w:rPr>
      </w:pPr>
    </w:p>
    <w:p w:rsidR="00472359" w:rsidRPr="00517553" w:rsidRDefault="00D76154" w:rsidP="008F4262">
      <w:pPr>
        <w:pStyle w:val="ListParagraph"/>
        <w:widowControl/>
        <w:numPr>
          <w:ilvl w:val="1"/>
          <w:numId w:val="1"/>
        </w:numPr>
        <w:rPr>
          <w:szCs w:val="22"/>
        </w:rPr>
      </w:pPr>
      <w:r w:rsidRPr="00517553">
        <w:rPr>
          <w:rStyle w:val="BodyTextChar"/>
        </w:rPr>
        <w:t>$</w:t>
      </w:r>
      <w:r w:rsidR="0017165E">
        <w:rPr>
          <w:rStyle w:val="BodyTextChar"/>
          <w:noProof/>
          <w:color w:val="000000"/>
          <w:highlight w:val="black"/>
        </w:rPr>
        <w:t>'''''''''''''''''''''</w:t>
      </w:r>
      <w:r w:rsidRPr="00517553">
        <w:rPr>
          <w:rStyle w:val="BodyTextChar"/>
        </w:rPr>
        <w:t>.</w:t>
      </w:r>
      <w:r w:rsidRPr="00014FE0">
        <w:rPr>
          <w:rStyle w:val="BodyTextChar"/>
        </w:rPr>
        <w:t xml:space="preserve"> </w:t>
      </w:r>
      <w:r w:rsidRPr="00517553">
        <w:rPr>
          <w:szCs w:val="22"/>
        </w:rPr>
        <w:t xml:space="preserve"> </w:t>
      </w:r>
      <w:proofErr w:type="spellStart"/>
      <w:r w:rsidR="00CD1F56" w:rsidRPr="00517553">
        <w:rPr>
          <w:szCs w:val="22"/>
        </w:rPr>
        <w:t>Ocriplasmin</w:t>
      </w:r>
      <w:proofErr w:type="spellEnd"/>
      <w:r w:rsidR="00CD1F56" w:rsidRPr="00517553">
        <w:rPr>
          <w:szCs w:val="22"/>
        </w:rPr>
        <w:t xml:space="preserve"> is a single </w:t>
      </w:r>
      <w:proofErr w:type="spellStart"/>
      <w:r w:rsidR="00CD1F56" w:rsidRPr="00517553">
        <w:rPr>
          <w:szCs w:val="22"/>
        </w:rPr>
        <w:t>intravitreal</w:t>
      </w:r>
      <w:proofErr w:type="spellEnd"/>
      <w:r w:rsidR="00CD1F56" w:rsidRPr="00517553">
        <w:rPr>
          <w:szCs w:val="22"/>
        </w:rPr>
        <w:t xml:space="preserve"> injection, proposed for use once per lifetime per </w:t>
      </w:r>
      <w:r w:rsidR="00CD1F56" w:rsidRPr="00517553">
        <w:t>eye</w:t>
      </w:r>
      <w:r w:rsidR="00CD1F56" w:rsidRPr="00517553">
        <w:rPr>
          <w:szCs w:val="22"/>
        </w:rPr>
        <w:t>.  As VMT is predominantly a unilateral condition, the drug cost/eye approximates the drug cost/patient.</w:t>
      </w:r>
    </w:p>
    <w:p w:rsidR="00B60939" w:rsidRPr="00517553" w:rsidRDefault="00B60939" w:rsidP="008F4262">
      <w:pPr>
        <w:widowControl/>
        <w:rPr>
          <w:szCs w:val="22"/>
        </w:rPr>
      </w:pPr>
    </w:p>
    <w:p w:rsidR="00B60939" w:rsidRPr="00014FE0" w:rsidRDefault="00B60939" w:rsidP="008F4262">
      <w:pPr>
        <w:pStyle w:val="Heading2"/>
        <w:widowControl/>
        <w:rPr>
          <w:i/>
        </w:rPr>
      </w:pPr>
      <w:bookmarkStart w:id="16" w:name="_Toc440964233"/>
      <w:r w:rsidRPr="00014FE0">
        <w:rPr>
          <w:i/>
        </w:rPr>
        <w:t>Estimated PBS usage &amp; financial implications</w:t>
      </w:r>
      <w:bookmarkEnd w:id="16"/>
    </w:p>
    <w:p w:rsidR="00B60939" w:rsidRPr="00517553" w:rsidRDefault="00B60939" w:rsidP="008F4262">
      <w:pPr>
        <w:widowControl/>
      </w:pPr>
    </w:p>
    <w:p w:rsidR="00772F31" w:rsidRPr="00517553" w:rsidRDefault="00C25D9C" w:rsidP="008F4262">
      <w:pPr>
        <w:pStyle w:val="ListParagraph"/>
        <w:widowControl/>
        <w:numPr>
          <w:ilvl w:val="1"/>
          <w:numId w:val="1"/>
        </w:numPr>
        <w:rPr>
          <w:szCs w:val="22"/>
        </w:rPr>
      </w:pPr>
      <w:r w:rsidRPr="00517553">
        <w:t xml:space="preserve">This </w:t>
      </w:r>
      <w:r w:rsidR="0004231D" w:rsidRPr="00517553">
        <w:t>re-</w:t>
      </w:r>
      <w:r w:rsidR="00310B4E" w:rsidRPr="00517553">
        <w:t>submission wa</w:t>
      </w:r>
      <w:r w:rsidRPr="00517553">
        <w:t>s not considered by DUSC</w:t>
      </w:r>
      <w:r w:rsidR="00ED0561" w:rsidRPr="00517553">
        <w:t>.</w:t>
      </w:r>
    </w:p>
    <w:p w:rsidR="00772F31" w:rsidRPr="00517553" w:rsidRDefault="00772F31" w:rsidP="008F4262">
      <w:pPr>
        <w:widowControl/>
        <w:rPr>
          <w:szCs w:val="22"/>
        </w:rPr>
      </w:pPr>
    </w:p>
    <w:p w:rsidR="00C25D9C" w:rsidRPr="00517553" w:rsidRDefault="00772F31" w:rsidP="008F4262">
      <w:pPr>
        <w:pStyle w:val="ListParagraph"/>
        <w:widowControl/>
        <w:numPr>
          <w:ilvl w:val="1"/>
          <w:numId w:val="1"/>
        </w:numPr>
        <w:rPr>
          <w:szCs w:val="22"/>
        </w:rPr>
      </w:pPr>
      <w:r w:rsidRPr="00517553">
        <w:rPr>
          <w:iCs/>
        </w:rPr>
        <w:t xml:space="preserve">Consistent with the </w:t>
      </w:r>
      <w:r w:rsidR="00825337">
        <w:rPr>
          <w:iCs/>
        </w:rPr>
        <w:t xml:space="preserve">original </w:t>
      </w:r>
      <w:r w:rsidR="00CE7846" w:rsidRPr="00517553">
        <w:rPr>
          <w:iCs/>
        </w:rPr>
        <w:t xml:space="preserve">integrated </w:t>
      </w:r>
      <w:r w:rsidRPr="00517553">
        <w:rPr>
          <w:iCs/>
        </w:rPr>
        <w:t xml:space="preserve">co-dependent </w:t>
      </w:r>
      <w:r w:rsidR="00CE7846" w:rsidRPr="00517553">
        <w:rPr>
          <w:iCs/>
        </w:rPr>
        <w:t>submission</w:t>
      </w:r>
      <w:r w:rsidRPr="00517553">
        <w:rPr>
          <w:iCs/>
        </w:rPr>
        <w:t xml:space="preserve">, an epidemiological approach was taken in the current submission to estimate the cost to the government of </w:t>
      </w:r>
      <w:proofErr w:type="spellStart"/>
      <w:r w:rsidRPr="00517553">
        <w:rPr>
          <w:iCs/>
        </w:rPr>
        <w:t>ocriplasmin</w:t>
      </w:r>
      <w:proofErr w:type="spellEnd"/>
      <w:r w:rsidRPr="00517553">
        <w:rPr>
          <w:iCs/>
        </w:rPr>
        <w:t xml:space="preserve"> for the requested listing of VMT.  Although the approach was mostly unchanged, new eligibility criteria and revised parameters (based on comments by DUSC) were incorporated.</w:t>
      </w:r>
    </w:p>
    <w:p w:rsidR="00C25D9C" w:rsidRPr="00517553" w:rsidRDefault="00435A98" w:rsidP="008F4262">
      <w:pPr>
        <w:widowControl/>
        <w:rPr>
          <w:szCs w:val="22"/>
        </w:rPr>
      </w:pPr>
      <w:r>
        <w:rPr>
          <w:szCs w:val="22"/>
        </w:rPr>
        <w:br w:type="page"/>
      </w:r>
    </w:p>
    <w:p w:rsidR="0004231D" w:rsidRPr="00517553" w:rsidRDefault="0004231D" w:rsidP="008F4262">
      <w:pPr>
        <w:widowControl/>
        <w:ind w:firstLine="709"/>
        <w:rPr>
          <w:rStyle w:val="CommentReference"/>
        </w:rPr>
      </w:pPr>
      <w:r w:rsidRPr="00517553">
        <w:rPr>
          <w:rStyle w:val="CommentReference"/>
        </w:rPr>
        <w:lastRenderedPageBreak/>
        <w:t xml:space="preserve">Table </w:t>
      </w:r>
      <w:r w:rsidR="00783938">
        <w:rPr>
          <w:rStyle w:val="CommentReference"/>
        </w:rPr>
        <w:t>14</w:t>
      </w:r>
      <w:r w:rsidRPr="00517553">
        <w:rPr>
          <w:rStyle w:val="CommentReference"/>
        </w:rPr>
        <w:t>: Estimated use and financial implications</w:t>
      </w:r>
    </w:p>
    <w:tbl>
      <w:tblPr>
        <w:tblStyle w:val="TableGrid"/>
        <w:tblW w:w="8363" w:type="dxa"/>
        <w:tblInd w:w="737" w:type="dxa"/>
        <w:tblCellMar>
          <w:left w:w="28" w:type="dxa"/>
          <w:right w:w="28" w:type="dxa"/>
        </w:tblCellMar>
        <w:tblLook w:val="04A0" w:firstRow="1" w:lastRow="0" w:firstColumn="1" w:lastColumn="0" w:noHBand="0" w:noVBand="1"/>
        <w:tblCaption w:val="Table 14: Estimated use and financial implications"/>
      </w:tblPr>
      <w:tblGrid>
        <w:gridCol w:w="2977"/>
        <w:gridCol w:w="1077"/>
        <w:gridCol w:w="1077"/>
        <w:gridCol w:w="1077"/>
        <w:gridCol w:w="1077"/>
        <w:gridCol w:w="1078"/>
      </w:tblGrid>
      <w:tr w:rsidR="00772F31" w:rsidRPr="00517553" w:rsidTr="007E32FA">
        <w:trPr>
          <w:tblHeader/>
        </w:trPr>
        <w:tc>
          <w:tcPr>
            <w:tcW w:w="2977" w:type="dxa"/>
          </w:tcPr>
          <w:p w:rsidR="00772F31" w:rsidRPr="00517553" w:rsidRDefault="00772F31" w:rsidP="008F4262">
            <w:pPr>
              <w:widowControl/>
              <w:jc w:val="left"/>
              <w:rPr>
                <w:rFonts w:ascii="Arial Narrow" w:hAnsi="Arial Narrow"/>
                <w:sz w:val="20"/>
              </w:rPr>
            </w:pPr>
          </w:p>
        </w:tc>
        <w:tc>
          <w:tcPr>
            <w:tcW w:w="1077" w:type="dxa"/>
            <w:vAlign w:val="center"/>
          </w:tcPr>
          <w:p w:rsidR="00772F31" w:rsidRPr="00517553" w:rsidRDefault="00772F31" w:rsidP="008F4262">
            <w:pPr>
              <w:widowControl/>
              <w:jc w:val="center"/>
              <w:rPr>
                <w:rFonts w:ascii="Arial Narrow" w:hAnsi="Arial Narrow"/>
                <w:b/>
                <w:bCs/>
                <w:sz w:val="20"/>
              </w:rPr>
            </w:pPr>
            <w:r w:rsidRPr="00517553">
              <w:rPr>
                <w:rFonts w:ascii="Arial Narrow" w:hAnsi="Arial Narrow"/>
                <w:b/>
                <w:bCs/>
                <w:sz w:val="20"/>
              </w:rPr>
              <w:t>2016</w:t>
            </w:r>
          </w:p>
        </w:tc>
        <w:tc>
          <w:tcPr>
            <w:tcW w:w="1077" w:type="dxa"/>
            <w:vAlign w:val="center"/>
          </w:tcPr>
          <w:p w:rsidR="00772F31" w:rsidRPr="00517553" w:rsidRDefault="00772F31" w:rsidP="008F4262">
            <w:pPr>
              <w:widowControl/>
              <w:jc w:val="center"/>
              <w:rPr>
                <w:rFonts w:ascii="Arial Narrow" w:hAnsi="Arial Narrow"/>
                <w:b/>
                <w:bCs/>
                <w:sz w:val="20"/>
              </w:rPr>
            </w:pPr>
            <w:r w:rsidRPr="00517553">
              <w:rPr>
                <w:rFonts w:ascii="Arial Narrow" w:hAnsi="Arial Narrow"/>
                <w:b/>
                <w:bCs/>
                <w:sz w:val="20"/>
              </w:rPr>
              <w:t>2017</w:t>
            </w:r>
          </w:p>
        </w:tc>
        <w:tc>
          <w:tcPr>
            <w:tcW w:w="1077" w:type="dxa"/>
            <w:vAlign w:val="center"/>
          </w:tcPr>
          <w:p w:rsidR="00772F31" w:rsidRPr="00517553" w:rsidRDefault="00772F31" w:rsidP="008F4262">
            <w:pPr>
              <w:widowControl/>
              <w:jc w:val="center"/>
              <w:rPr>
                <w:rFonts w:ascii="Arial Narrow" w:hAnsi="Arial Narrow"/>
                <w:b/>
                <w:bCs/>
                <w:sz w:val="20"/>
              </w:rPr>
            </w:pPr>
            <w:r w:rsidRPr="00517553">
              <w:rPr>
                <w:rFonts w:ascii="Arial Narrow" w:hAnsi="Arial Narrow"/>
                <w:b/>
                <w:bCs/>
                <w:sz w:val="20"/>
              </w:rPr>
              <w:t>2018</w:t>
            </w:r>
          </w:p>
        </w:tc>
        <w:tc>
          <w:tcPr>
            <w:tcW w:w="1077" w:type="dxa"/>
            <w:vAlign w:val="center"/>
          </w:tcPr>
          <w:p w:rsidR="00772F31" w:rsidRPr="00517553" w:rsidRDefault="00772F31" w:rsidP="008F4262">
            <w:pPr>
              <w:widowControl/>
              <w:jc w:val="center"/>
              <w:rPr>
                <w:rFonts w:ascii="Arial Narrow" w:hAnsi="Arial Narrow"/>
                <w:b/>
                <w:bCs/>
                <w:sz w:val="20"/>
              </w:rPr>
            </w:pPr>
            <w:r w:rsidRPr="00517553">
              <w:rPr>
                <w:rFonts w:ascii="Arial Narrow" w:hAnsi="Arial Narrow"/>
                <w:b/>
                <w:bCs/>
                <w:sz w:val="20"/>
              </w:rPr>
              <w:t>2019</w:t>
            </w:r>
          </w:p>
        </w:tc>
        <w:tc>
          <w:tcPr>
            <w:tcW w:w="1078" w:type="dxa"/>
            <w:vAlign w:val="center"/>
          </w:tcPr>
          <w:p w:rsidR="00772F31" w:rsidRPr="00517553" w:rsidRDefault="00772F31" w:rsidP="008F4262">
            <w:pPr>
              <w:widowControl/>
              <w:jc w:val="center"/>
              <w:rPr>
                <w:rFonts w:ascii="Arial Narrow" w:hAnsi="Arial Narrow"/>
                <w:b/>
                <w:bCs/>
                <w:sz w:val="20"/>
              </w:rPr>
            </w:pPr>
            <w:r w:rsidRPr="00517553">
              <w:rPr>
                <w:rFonts w:ascii="Arial Narrow" w:hAnsi="Arial Narrow"/>
                <w:b/>
                <w:bCs/>
                <w:sz w:val="20"/>
              </w:rPr>
              <w:t>2020</w:t>
            </w:r>
          </w:p>
        </w:tc>
      </w:tr>
      <w:tr w:rsidR="00772F31" w:rsidRPr="00517553" w:rsidTr="009746C7">
        <w:tc>
          <w:tcPr>
            <w:tcW w:w="8363" w:type="dxa"/>
            <w:gridSpan w:val="6"/>
          </w:tcPr>
          <w:p w:rsidR="00772F31" w:rsidRPr="00517553" w:rsidRDefault="00772F31" w:rsidP="008F4262">
            <w:pPr>
              <w:pStyle w:val="BodyText"/>
              <w:widowControl/>
              <w:rPr>
                <w:rFonts w:ascii="Arial Narrow" w:hAnsi="Arial Narrow"/>
                <w:b/>
              </w:rPr>
            </w:pPr>
            <w:r w:rsidRPr="00517553">
              <w:rPr>
                <w:rFonts w:ascii="Arial Narrow" w:hAnsi="Arial Narrow"/>
                <w:b/>
                <w:sz w:val="20"/>
              </w:rPr>
              <w:t xml:space="preserve">Estimation of use and costs of </w:t>
            </w:r>
            <w:proofErr w:type="spellStart"/>
            <w:r w:rsidRPr="00517553">
              <w:rPr>
                <w:rFonts w:ascii="Arial Narrow" w:hAnsi="Arial Narrow"/>
                <w:b/>
                <w:sz w:val="20"/>
              </w:rPr>
              <w:t>ocriplasmin</w:t>
            </w:r>
            <w:proofErr w:type="spellEnd"/>
          </w:p>
        </w:tc>
      </w:tr>
      <w:tr w:rsidR="00772F31" w:rsidRPr="00517553" w:rsidTr="00746AAF">
        <w:tc>
          <w:tcPr>
            <w:tcW w:w="2977" w:type="dxa"/>
          </w:tcPr>
          <w:p w:rsidR="00772F31" w:rsidRPr="00517553" w:rsidRDefault="00772F31" w:rsidP="008F4262">
            <w:pPr>
              <w:widowControl/>
              <w:jc w:val="left"/>
              <w:rPr>
                <w:rFonts w:ascii="Arial Narrow" w:hAnsi="Arial Narrow"/>
                <w:sz w:val="20"/>
              </w:rPr>
            </w:pPr>
            <w:r w:rsidRPr="00517553">
              <w:rPr>
                <w:rFonts w:ascii="Arial Narrow" w:hAnsi="Arial Narrow"/>
                <w:sz w:val="20"/>
              </w:rPr>
              <w:t>Total eligible population</w:t>
            </w:r>
          </w:p>
        </w:tc>
        <w:tc>
          <w:tcPr>
            <w:tcW w:w="1077" w:type="dxa"/>
            <w:vAlign w:val="center"/>
          </w:tcPr>
          <w:p w:rsidR="00772F31"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1077" w:type="dxa"/>
            <w:vAlign w:val="center"/>
          </w:tcPr>
          <w:p w:rsidR="00772F31"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1077" w:type="dxa"/>
            <w:vAlign w:val="center"/>
          </w:tcPr>
          <w:p w:rsidR="00772F31"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1077" w:type="dxa"/>
            <w:vAlign w:val="center"/>
          </w:tcPr>
          <w:p w:rsidR="00772F31"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1078" w:type="dxa"/>
            <w:vAlign w:val="center"/>
          </w:tcPr>
          <w:p w:rsidR="00772F31"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w:t>
            </w:r>
          </w:p>
        </w:tc>
      </w:tr>
      <w:tr w:rsidR="00772F31" w:rsidRPr="00517553" w:rsidTr="00746AAF">
        <w:tc>
          <w:tcPr>
            <w:tcW w:w="2977" w:type="dxa"/>
          </w:tcPr>
          <w:p w:rsidR="00772F31" w:rsidRPr="00517553" w:rsidRDefault="00772F31" w:rsidP="008F4262">
            <w:pPr>
              <w:widowControl/>
              <w:jc w:val="left"/>
              <w:rPr>
                <w:rFonts w:ascii="Arial Narrow" w:hAnsi="Arial Narrow"/>
                <w:sz w:val="20"/>
              </w:rPr>
            </w:pPr>
            <w:r w:rsidRPr="00517553">
              <w:rPr>
                <w:rFonts w:ascii="Arial Narrow" w:hAnsi="Arial Narrow"/>
                <w:sz w:val="20"/>
              </w:rPr>
              <w:t>Total treated population</w:t>
            </w:r>
          </w:p>
        </w:tc>
        <w:tc>
          <w:tcPr>
            <w:tcW w:w="1077" w:type="dxa"/>
            <w:vAlign w:val="center"/>
          </w:tcPr>
          <w:p w:rsidR="00772F31"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1077" w:type="dxa"/>
            <w:vAlign w:val="center"/>
          </w:tcPr>
          <w:p w:rsidR="00772F31"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1077" w:type="dxa"/>
            <w:vAlign w:val="center"/>
          </w:tcPr>
          <w:p w:rsidR="00772F31"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1077" w:type="dxa"/>
            <w:vAlign w:val="center"/>
          </w:tcPr>
          <w:p w:rsidR="00772F31"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1078" w:type="dxa"/>
            <w:vAlign w:val="center"/>
          </w:tcPr>
          <w:p w:rsidR="00772F31"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w:t>
            </w:r>
          </w:p>
        </w:tc>
      </w:tr>
      <w:tr w:rsidR="00772F31" w:rsidRPr="00517553" w:rsidTr="00746AAF">
        <w:tc>
          <w:tcPr>
            <w:tcW w:w="2977" w:type="dxa"/>
          </w:tcPr>
          <w:p w:rsidR="00772F31" w:rsidRPr="00517553" w:rsidRDefault="00772F31" w:rsidP="008F4262">
            <w:pPr>
              <w:widowControl/>
              <w:jc w:val="left"/>
              <w:rPr>
                <w:rFonts w:ascii="Arial Narrow" w:hAnsi="Arial Narrow"/>
                <w:b/>
                <w:bCs/>
                <w:sz w:val="20"/>
              </w:rPr>
            </w:pPr>
            <w:r w:rsidRPr="00517553">
              <w:rPr>
                <w:rFonts w:ascii="Arial Narrow" w:hAnsi="Arial Narrow"/>
                <w:b/>
                <w:bCs/>
                <w:sz w:val="20"/>
              </w:rPr>
              <w:t xml:space="preserve">Cost to the PBS/RPBS for </w:t>
            </w:r>
            <w:proofErr w:type="spellStart"/>
            <w:r w:rsidRPr="00517553">
              <w:rPr>
                <w:rFonts w:ascii="Arial Narrow" w:hAnsi="Arial Narrow"/>
                <w:b/>
                <w:bCs/>
                <w:sz w:val="20"/>
              </w:rPr>
              <w:t>ocriplasmin</w:t>
            </w:r>
            <w:proofErr w:type="spellEnd"/>
            <w:r w:rsidRPr="00517553">
              <w:rPr>
                <w:rFonts w:ascii="Arial Narrow" w:hAnsi="Arial Narrow"/>
                <w:b/>
                <w:bCs/>
                <w:sz w:val="20"/>
              </w:rPr>
              <w:t xml:space="preserve"> (less co-payment)</w:t>
            </w:r>
          </w:p>
        </w:tc>
        <w:tc>
          <w:tcPr>
            <w:tcW w:w="1077" w:type="dxa"/>
            <w:vAlign w:val="center"/>
          </w:tcPr>
          <w:p w:rsidR="00772F31" w:rsidRPr="00517553" w:rsidRDefault="00772F31" w:rsidP="008F4262">
            <w:pPr>
              <w:widowControl/>
              <w:jc w:val="center"/>
              <w:rPr>
                <w:rFonts w:ascii="Arial Narrow" w:hAnsi="Arial Narrow"/>
                <w:b/>
                <w:bCs/>
                <w:iCs/>
                <w:sz w:val="20"/>
              </w:rPr>
            </w:pPr>
            <w:r w:rsidRPr="00517553">
              <w:rPr>
                <w:rFonts w:ascii="Arial Narrow" w:hAnsi="Arial Narrow"/>
                <w:b/>
                <w:bCs/>
                <w:iCs/>
                <w:sz w:val="20"/>
              </w:rPr>
              <w:t>$</w:t>
            </w:r>
            <w:r w:rsidR="0017165E">
              <w:rPr>
                <w:rFonts w:ascii="Arial Narrow" w:hAnsi="Arial Narrow"/>
                <w:b/>
                <w:bCs/>
                <w:iCs/>
                <w:noProof/>
                <w:color w:val="000000"/>
                <w:sz w:val="20"/>
                <w:highlight w:val="black"/>
              </w:rPr>
              <w:t>'''''''''''''''''''''</w:t>
            </w:r>
          </w:p>
        </w:tc>
        <w:tc>
          <w:tcPr>
            <w:tcW w:w="1077" w:type="dxa"/>
            <w:vAlign w:val="center"/>
          </w:tcPr>
          <w:p w:rsidR="00772F31" w:rsidRPr="00517553" w:rsidRDefault="00772F31" w:rsidP="008F4262">
            <w:pPr>
              <w:widowControl/>
              <w:jc w:val="center"/>
              <w:rPr>
                <w:rFonts w:ascii="Arial Narrow" w:hAnsi="Arial Narrow"/>
                <w:b/>
                <w:bCs/>
                <w:iCs/>
                <w:sz w:val="20"/>
              </w:rPr>
            </w:pPr>
            <w:r w:rsidRPr="00517553">
              <w:rPr>
                <w:rFonts w:ascii="Arial Narrow" w:hAnsi="Arial Narrow"/>
                <w:b/>
                <w:bCs/>
                <w:iCs/>
                <w:sz w:val="20"/>
              </w:rPr>
              <w:t>$</w:t>
            </w:r>
            <w:r w:rsidR="0017165E">
              <w:rPr>
                <w:rFonts w:ascii="Arial Narrow" w:hAnsi="Arial Narrow"/>
                <w:b/>
                <w:bCs/>
                <w:iCs/>
                <w:noProof/>
                <w:color w:val="000000"/>
                <w:sz w:val="20"/>
                <w:highlight w:val="black"/>
              </w:rPr>
              <w:t>'''''''''''''''''''</w:t>
            </w:r>
          </w:p>
        </w:tc>
        <w:tc>
          <w:tcPr>
            <w:tcW w:w="1077" w:type="dxa"/>
            <w:vAlign w:val="center"/>
          </w:tcPr>
          <w:p w:rsidR="00772F31" w:rsidRPr="00517553" w:rsidRDefault="00772F31" w:rsidP="008F4262">
            <w:pPr>
              <w:widowControl/>
              <w:jc w:val="center"/>
              <w:rPr>
                <w:rFonts w:ascii="Arial Narrow" w:hAnsi="Arial Narrow"/>
                <w:b/>
                <w:bCs/>
                <w:iCs/>
                <w:sz w:val="20"/>
              </w:rPr>
            </w:pPr>
            <w:r w:rsidRPr="00517553">
              <w:rPr>
                <w:rFonts w:ascii="Arial Narrow" w:hAnsi="Arial Narrow"/>
                <w:b/>
                <w:bCs/>
                <w:iCs/>
                <w:sz w:val="20"/>
              </w:rPr>
              <w:t>$</w:t>
            </w:r>
            <w:r w:rsidR="0017165E">
              <w:rPr>
                <w:rFonts w:ascii="Arial Narrow" w:hAnsi="Arial Narrow"/>
                <w:b/>
                <w:bCs/>
                <w:iCs/>
                <w:noProof/>
                <w:color w:val="000000"/>
                <w:sz w:val="20"/>
                <w:highlight w:val="black"/>
              </w:rPr>
              <w:t>''''''''''''''''''</w:t>
            </w:r>
          </w:p>
        </w:tc>
        <w:tc>
          <w:tcPr>
            <w:tcW w:w="1077" w:type="dxa"/>
            <w:vAlign w:val="center"/>
          </w:tcPr>
          <w:p w:rsidR="00772F31" w:rsidRPr="00517553" w:rsidRDefault="00772F31" w:rsidP="008F4262">
            <w:pPr>
              <w:widowControl/>
              <w:jc w:val="center"/>
              <w:rPr>
                <w:rFonts w:ascii="Arial Narrow" w:hAnsi="Arial Narrow"/>
                <w:b/>
                <w:bCs/>
                <w:iCs/>
                <w:sz w:val="20"/>
              </w:rPr>
            </w:pPr>
            <w:r w:rsidRPr="00517553">
              <w:rPr>
                <w:rFonts w:ascii="Arial Narrow" w:hAnsi="Arial Narrow"/>
                <w:b/>
                <w:bCs/>
                <w:iCs/>
                <w:sz w:val="20"/>
              </w:rPr>
              <w:t>$</w:t>
            </w:r>
            <w:r w:rsidR="0017165E">
              <w:rPr>
                <w:rFonts w:ascii="Arial Narrow" w:hAnsi="Arial Narrow"/>
                <w:b/>
                <w:bCs/>
                <w:iCs/>
                <w:noProof/>
                <w:color w:val="000000"/>
                <w:sz w:val="20"/>
                <w:highlight w:val="black"/>
              </w:rPr>
              <w:t>'''''''''''''''''''</w:t>
            </w:r>
          </w:p>
        </w:tc>
        <w:tc>
          <w:tcPr>
            <w:tcW w:w="1078" w:type="dxa"/>
            <w:vAlign w:val="center"/>
          </w:tcPr>
          <w:p w:rsidR="00772F31" w:rsidRPr="00517553" w:rsidRDefault="00772F31" w:rsidP="008F4262">
            <w:pPr>
              <w:widowControl/>
              <w:jc w:val="center"/>
              <w:rPr>
                <w:rFonts w:ascii="Arial Narrow" w:hAnsi="Arial Narrow"/>
                <w:b/>
                <w:bCs/>
                <w:iCs/>
                <w:sz w:val="20"/>
              </w:rPr>
            </w:pPr>
            <w:r w:rsidRPr="00517553">
              <w:rPr>
                <w:rFonts w:ascii="Arial Narrow" w:hAnsi="Arial Narrow"/>
                <w:b/>
                <w:bCs/>
                <w:iCs/>
                <w:sz w:val="20"/>
              </w:rPr>
              <w:t>$</w:t>
            </w:r>
            <w:r w:rsidR="0017165E">
              <w:rPr>
                <w:rFonts w:ascii="Arial Narrow" w:hAnsi="Arial Narrow"/>
                <w:b/>
                <w:bCs/>
                <w:iCs/>
                <w:noProof/>
                <w:color w:val="000000"/>
                <w:sz w:val="20"/>
                <w:highlight w:val="black"/>
              </w:rPr>
              <w:t>''''''''''''''''''</w:t>
            </w:r>
          </w:p>
        </w:tc>
      </w:tr>
      <w:tr w:rsidR="00772F31" w:rsidRPr="00517553" w:rsidTr="009746C7">
        <w:tc>
          <w:tcPr>
            <w:tcW w:w="8363" w:type="dxa"/>
            <w:gridSpan w:val="6"/>
          </w:tcPr>
          <w:p w:rsidR="00772F31" w:rsidRPr="00517553" w:rsidRDefault="00772F31" w:rsidP="008F4262">
            <w:pPr>
              <w:pStyle w:val="BodyText"/>
              <w:widowControl/>
              <w:rPr>
                <w:rFonts w:ascii="Arial Narrow" w:hAnsi="Arial Narrow"/>
                <w:b/>
              </w:rPr>
            </w:pPr>
            <w:r w:rsidRPr="00517553">
              <w:rPr>
                <w:rFonts w:ascii="Arial Narrow" w:hAnsi="Arial Narrow"/>
                <w:b/>
                <w:sz w:val="20"/>
              </w:rPr>
              <w:t>Estimated financial implications for the PBS/RPBS or the NIP</w:t>
            </w:r>
          </w:p>
        </w:tc>
      </w:tr>
      <w:tr w:rsidR="00772F31" w:rsidRPr="00517553" w:rsidTr="00746AAF">
        <w:tc>
          <w:tcPr>
            <w:tcW w:w="2977" w:type="dxa"/>
          </w:tcPr>
          <w:p w:rsidR="00772F31" w:rsidRPr="00517553" w:rsidRDefault="00772F31" w:rsidP="008F4262">
            <w:pPr>
              <w:widowControl/>
              <w:jc w:val="left"/>
              <w:rPr>
                <w:rFonts w:ascii="Arial Narrow" w:hAnsi="Arial Narrow"/>
                <w:b/>
                <w:bCs/>
                <w:sz w:val="20"/>
              </w:rPr>
            </w:pPr>
            <w:r w:rsidRPr="00517553">
              <w:rPr>
                <w:rFonts w:ascii="Arial Narrow" w:hAnsi="Arial Narrow"/>
                <w:b/>
                <w:bCs/>
                <w:sz w:val="20"/>
              </w:rPr>
              <w:t xml:space="preserve">Cost to the PBS/RPBS for </w:t>
            </w:r>
            <w:proofErr w:type="spellStart"/>
            <w:r w:rsidRPr="00517553">
              <w:rPr>
                <w:rFonts w:ascii="Arial Narrow" w:hAnsi="Arial Narrow"/>
                <w:b/>
                <w:bCs/>
                <w:sz w:val="20"/>
              </w:rPr>
              <w:t>ocriplasmin</w:t>
            </w:r>
            <w:proofErr w:type="spellEnd"/>
            <w:r w:rsidRPr="00517553">
              <w:rPr>
                <w:rFonts w:ascii="Arial Narrow" w:hAnsi="Arial Narrow"/>
                <w:b/>
                <w:bCs/>
                <w:sz w:val="20"/>
              </w:rPr>
              <w:t xml:space="preserve"> (less co-payment)</w:t>
            </w:r>
          </w:p>
        </w:tc>
        <w:tc>
          <w:tcPr>
            <w:tcW w:w="1077" w:type="dxa"/>
            <w:vAlign w:val="center"/>
          </w:tcPr>
          <w:p w:rsidR="00772F31" w:rsidRPr="00517553" w:rsidRDefault="00772F31" w:rsidP="008F4262">
            <w:pPr>
              <w:widowControl/>
              <w:jc w:val="center"/>
              <w:rPr>
                <w:rFonts w:ascii="Arial Narrow" w:hAnsi="Arial Narrow"/>
                <w:b/>
                <w:bCs/>
                <w:iCs/>
                <w:sz w:val="20"/>
              </w:rPr>
            </w:pPr>
            <w:r w:rsidRPr="00517553">
              <w:rPr>
                <w:rFonts w:ascii="Arial Narrow" w:hAnsi="Arial Narrow"/>
                <w:b/>
                <w:bCs/>
                <w:iCs/>
                <w:sz w:val="20"/>
              </w:rPr>
              <w:t>$</w:t>
            </w:r>
            <w:r w:rsidR="0017165E">
              <w:rPr>
                <w:rFonts w:ascii="Arial Narrow" w:hAnsi="Arial Narrow"/>
                <w:b/>
                <w:bCs/>
                <w:iCs/>
                <w:noProof/>
                <w:color w:val="000000"/>
                <w:sz w:val="20"/>
                <w:highlight w:val="black"/>
              </w:rPr>
              <w:t>''''''''''''''''''</w:t>
            </w:r>
          </w:p>
        </w:tc>
        <w:tc>
          <w:tcPr>
            <w:tcW w:w="1077" w:type="dxa"/>
            <w:vAlign w:val="center"/>
          </w:tcPr>
          <w:p w:rsidR="00772F31" w:rsidRPr="00517553" w:rsidRDefault="00772F31" w:rsidP="008F4262">
            <w:pPr>
              <w:widowControl/>
              <w:jc w:val="center"/>
              <w:rPr>
                <w:rFonts w:ascii="Arial Narrow" w:hAnsi="Arial Narrow"/>
                <w:b/>
                <w:bCs/>
                <w:iCs/>
                <w:sz w:val="20"/>
              </w:rPr>
            </w:pPr>
            <w:r w:rsidRPr="00517553">
              <w:rPr>
                <w:rFonts w:ascii="Arial Narrow" w:hAnsi="Arial Narrow"/>
                <w:b/>
                <w:bCs/>
                <w:iCs/>
                <w:sz w:val="20"/>
              </w:rPr>
              <w:t>$</w:t>
            </w:r>
            <w:r w:rsidR="0017165E">
              <w:rPr>
                <w:rFonts w:ascii="Arial Narrow" w:hAnsi="Arial Narrow"/>
                <w:b/>
                <w:bCs/>
                <w:iCs/>
                <w:noProof/>
                <w:color w:val="000000"/>
                <w:sz w:val="20"/>
                <w:highlight w:val="black"/>
              </w:rPr>
              <w:t>'''''''''''''''''''''</w:t>
            </w:r>
          </w:p>
        </w:tc>
        <w:tc>
          <w:tcPr>
            <w:tcW w:w="1077" w:type="dxa"/>
            <w:vAlign w:val="center"/>
          </w:tcPr>
          <w:p w:rsidR="00772F31" w:rsidRPr="00517553" w:rsidRDefault="00772F31" w:rsidP="008F4262">
            <w:pPr>
              <w:widowControl/>
              <w:jc w:val="center"/>
              <w:rPr>
                <w:rFonts w:ascii="Arial Narrow" w:hAnsi="Arial Narrow"/>
                <w:b/>
                <w:bCs/>
                <w:iCs/>
                <w:sz w:val="20"/>
              </w:rPr>
            </w:pPr>
            <w:r w:rsidRPr="00517553">
              <w:rPr>
                <w:rFonts w:ascii="Arial Narrow" w:hAnsi="Arial Narrow"/>
                <w:b/>
                <w:bCs/>
                <w:iCs/>
                <w:sz w:val="20"/>
              </w:rPr>
              <w:t>$</w:t>
            </w:r>
            <w:r w:rsidR="0017165E">
              <w:rPr>
                <w:rFonts w:ascii="Arial Narrow" w:hAnsi="Arial Narrow"/>
                <w:b/>
                <w:bCs/>
                <w:iCs/>
                <w:noProof/>
                <w:color w:val="000000"/>
                <w:sz w:val="20"/>
                <w:highlight w:val="black"/>
              </w:rPr>
              <w:t>'''''''''''''''''''</w:t>
            </w:r>
          </w:p>
        </w:tc>
        <w:tc>
          <w:tcPr>
            <w:tcW w:w="1077" w:type="dxa"/>
            <w:vAlign w:val="center"/>
          </w:tcPr>
          <w:p w:rsidR="00772F31" w:rsidRPr="00517553" w:rsidRDefault="00772F31" w:rsidP="008F4262">
            <w:pPr>
              <w:widowControl/>
              <w:jc w:val="center"/>
              <w:rPr>
                <w:rFonts w:ascii="Arial Narrow" w:hAnsi="Arial Narrow"/>
                <w:b/>
                <w:bCs/>
                <w:iCs/>
                <w:sz w:val="20"/>
              </w:rPr>
            </w:pPr>
            <w:r w:rsidRPr="00517553">
              <w:rPr>
                <w:rFonts w:ascii="Arial Narrow" w:hAnsi="Arial Narrow"/>
                <w:b/>
                <w:bCs/>
                <w:iCs/>
                <w:sz w:val="20"/>
              </w:rPr>
              <w:t>$</w:t>
            </w:r>
            <w:r w:rsidR="0017165E">
              <w:rPr>
                <w:rFonts w:ascii="Arial Narrow" w:hAnsi="Arial Narrow"/>
                <w:b/>
                <w:bCs/>
                <w:iCs/>
                <w:noProof/>
                <w:color w:val="000000"/>
                <w:sz w:val="20"/>
                <w:highlight w:val="black"/>
              </w:rPr>
              <w:t>'''''''''''''''''''''</w:t>
            </w:r>
          </w:p>
        </w:tc>
        <w:tc>
          <w:tcPr>
            <w:tcW w:w="1078" w:type="dxa"/>
            <w:vAlign w:val="center"/>
          </w:tcPr>
          <w:p w:rsidR="00772F31" w:rsidRPr="00517553" w:rsidRDefault="00772F31" w:rsidP="008F4262">
            <w:pPr>
              <w:widowControl/>
              <w:jc w:val="center"/>
              <w:rPr>
                <w:rFonts w:ascii="Arial Narrow" w:hAnsi="Arial Narrow"/>
                <w:b/>
                <w:bCs/>
                <w:iCs/>
                <w:sz w:val="20"/>
              </w:rPr>
            </w:pPr>
            <w:r w:rsidRPr="00517553">
              <w:rPr>
                <w:rFonts w:ascii="Arial Narrow" w:hAnsi="Arial Narrow"/>
                <w:b/>
                <w:bCs/>
                <w:iCs/>
                <w:sz w:val="20"/>
              </w:rPr>
              <w:t>$</w:t>
            </w:r>
            <w:r w:rsidR="0017165E">
              <w:rPr>
                <w:rFonts w:ascii="Arial Narrow" w:hAnsi="Arial Narrow"/>
                <w:b/>
                <w:bCs/>
                <w:iCs/>
                <w:noProof/>
                <w:color w:val="000000"/>
                <w:sz w:val="20"/>
                <w:highlight w:val="black"/>
              </w:rPr>
              <w:t>''''''''''''''''''</w:t>
            </w:r>
          </w:p>
        </w:tc>
      </w:tr>
      <w:tr w:rsidR="00772F31" w:rsidRPr="00517553" w:rsidTr="009746C7">
        <w:tc>
          <w:tcPr>
            <w:tcW w:w="8363" w:type="dxa"/>
            <w:gridSpan w:val="6"/>
          </w:tcPr>
          <w:p w:rsidR="00772F31" w:rsidRPr="00517553" w:rsidRDefault="00772F31" w:rsidP="008F4262">
            <w:pPr>
              <w:pStyle w:val="BodyText"/>
              <w:widowControl/>
              <w:rPr>
                <w:rFonts w:ascii="Arial Narrow" w:hAnsi="Arial Narrow"/>
                <w:b/>
                <w:sz w:val="20"/>
              </w:rPr>
            </w:pPr>
            <w:r w:rsidRPr="00517553">
              <w:rPr>
                <w:rFonts w:ascii="Arial Narrow" w:hAnsi="Arial Narrow"/>
                <w:b/>
                <w:sz w:val="20"/>
              </w:rPr>
              <w:t>Estimated financial implications for government health budgets</w:t>
            </w:r>
          </w:p>
        </w:tc>
      </w:tr>
      <w:tr w:rsidR="00772F31" w:rsidRPr="00517553" w:rsidTr="00746AAF">
        <w:tc>
          <w:tcPr>
            <w:tcW w:w="2977" w:type="dxa"/>
          </w:tcPr>
          <w:p w:rsidR="00772F31" w:rsidRPr="00517553" w:rsidRDefault="00772F31" w:rsidP="008F4262">
            <w:pPr>
              <w:widowControl/>
              <w:jc w:val="left"/>
              <w:rPr>
                <w:rFonts w:ascii="Arial Narrow" w:hAnsi="Arial Narrow"/>
                <w:sz w:val="20"/>
              </w:rPr>
            </w:pPr>
            <w:r w:rsidRPr="00517553">
              <w:rPr>
                <w:rFonts w:ascii="Arial Narrow" w:hAnsi="Arial Narrow"/>
                <w:sz w:val="20"/>
              </w:rPr>
              <w:t>Number of OCTs required</w:t>
            </w:r>
          </w:p>
        </w:tc>
        <w:tc>
          <w:tcPr>
            <w:tcW w:w="1077" w:type="dxa"/>
            <w:vAlign w:val="center"/>
          </w:tcPr>
          <w:p w:rsidR="00772F31"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1077" w:type="dxa"/>
            <w:vAlign w:val="center"/>
          </w:tcPr>
          <w:p w:rsidR="00772F31"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1077" w:type="dxa"/>
            <w:vAlign w:val="center"/>
          </w:tcPr>
          <w:p w:rsidR="00772F31"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1077" w:type="dxa"/>
            <w:vAlign w:val="center"/>
          </w:tcPr>
          <w:p w:rsidR="00772F31"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1078" w:type="dxa"/>
            <w:vAlign w:val="center"/>
          </w:tcPr>
          <w:p w:rsidR="00772F31"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w:t>
            </w:r>
          </w:p>
        </w:tc>
      </w:tr>
      <w:tr w:rsidR="00772F31" w:rsidRPr="00517553" w:rsidTr="00746AAF">
        <w:tc>
          <w:tcPr>
            <w:tcW w:w="2977" w:type="dxa"/>
          </w:tcPr>
          <w:p w:rsidR="00772F31" w:rsidRPr="00517553" w:rsidRDefault="00772F31" w:rsidP="008F4262">
            <w:pPr>
              <w:widowControl/>
              <w:jc w:val="left"/>
              <w:rPr>
                <w:rFonts w:ascii="Arial Narrow" w:hAnsi="Arial Narrow"/>
                <w:b/>
                <w:bCs/>
                <w:sz w:val="20"/>
              </w:rPr>
            </w:pPr>
            <w:r w:rsidRPr="00517553">
              <w:rPr>
                <w:rFonts w:ascii="Arial Narrow" w:hAnsi="Arial Narrow"/>
                <w:b/>
                <w:bCs/>
                <w:sz w:val="20"/>
              </w:rPr>
              <w:t>Cost to MBS for OCTs (85% benefit)</w:t>
            </w:r>
          </w:p>
        </w:tc>
        <w:tc>
          <w:tcPr>
            <w:tcW w:w="1077" w:type="dxa"/>
            <w:vAlign w:val="center"/>
          </w:tcPr>
          <w:p w:rsidR="00772F31" w:rsidRPr="00517553" w:rsidRDefault="00772F31" w:rsidP="008F4262">
            <w:pPr>
              <w:widowControl/>
              <w:jc w:val="center"/>
              <w:rPr>
                <w:rFonts w:ascii="Arial Narrow" w:hAnsi="Arial Narrow"/>
                <w:b/>
                <w:bCs/>
                <w:iCs/>
                <w:sz w:val="20"/>
              </w:rPr>
            </w:pPr>
            <w:r w:rsidRPr="00517553">
              <w:rPr>
                <w:rFonts w:ascii="Arial Narrow" w:hAnsi="Arial Narrow"/>
                <w:b/>
                <w:bCs/>
                <w:iCs/>
                <w:sz w:val="20"/>
              </w:rPr>
              <w:t>$</w:t>
            </w:r>
            <w:r w:rsidR="0017165E">
              <w:rPr>
                <w:rFonts w:ascii="Arial Narrow" w:hAnsi="Arial Narrow"/>
                <w:b/>
                <w:bCs/>
                <w:iCs/>
                <w:noProof/>
                <w:color w:val="000000"/>
                <w:sz w:val="20"/>
                <w:highlight w:val="black"/>
              </w:rPr>
              <w:t>'''''''''''''''</w:t>
            </w:r>
          </w:p>
        </w:tc>
        <w:tc>
          <w:tcPr>
            <w:tcW w:w="1077" w:type="dxa"/>
            <w:vAlign w:val="center"/>
          </w:tcPr>
          <w:p w:rsidR="00772F31" w:rsidRPr="00517553" w:rsidRDefault="00772F31" w:rsidP="008F4262">
            <w:pPr>
              <w:widowControl/>
              <w:jc w:val="center"/>
              <w:rPr>
                <w:rFonts w:ascii="Arial Narrow" w:hAnsi="Arial Narrow"/>
                <w:b/>
                <w:bCs/>
                <w:iCs/>
                <w:sz w:val="20"/>
              </w:rPr>
            </w:pPr>
            <w:r w:rsidRPr="00517553">
              <w:rPr>
                <w:rFonts w:ascii="Arial Narrow" w:hAnsi="Arial Narrow"/>
                <w:b/>
                <w:bCs/>
                <w:iCs/>
                <w:sz w:val="20"/>
              </w:rPr>
              <w:t>$</w:t>
            </w:r>
            <w:r w:rsidR="0017165E">
              <w:rPr>
                <w:rFonts w:ascii="Arial Narrow" w:hAnsi="Arial Narrow"/>
                <w:b/>
                <w:bCs/>
                <w:iCs/>
                <w:noProof/>
                <w:color w:val="000000"/>
                <w:sz w:val="20"/>
                <w:highlight w:val="black"/>
              </w:rPr>
              <w:t>'''''''''''''</w:t>
            </w:r>
          </w:p>
        </w:tc>
        <w:tc>
          <w:tcPr>
            <w:tcW w:w="1077" w:type="dxa"/>
            <w:vAlign w:val="center"/>
          </w:tcPr>
          <w:p w:rsidR="00772F31" w:rsidRPr="00517553" w:rsidRDefault="00772F31" w:rsidP="008F4262">
            <w:pPr>
              <w:widowControl/>
              <w:jc w:val="center"/>
              <w:rPr>
                <w:rFonts w:ascii="Arial Narrow" w:hAnsi="Arial Narrow"/>
                <w:b/>
                <w:bCs/>
                <w:iCs/>
                <w:sz w:val="20"/>
              </w:rPr>
            </w:pPr>
            <w:r w:rsidRPr="00517553">
              <w:rPr>
                <w:rFonts w:ascii="Arial Narrow" w:hAnsi="Arial Narrow"/>
                <w:b/>
                <w:bCs/>
                <w:iCs/>
                <w:sz w:val="20"/>
              </w:rPr>
              <w:t>$</w:t>
            </w:r>
            <w:r w:rsidR="0017165E">
              <w:rPr>
                <w:rFonts w:ascii="Arial Narrow" w:hAnsi="Arial Narrow"/>
                <w:b/>
                <w:bCs/>
                <w:iCs/>
                <w:noProof/>
                <w:color w:val="000000"/>
                <w:sz w:val="20"/>
                <w:highlight w:val="black"/>
              </w:rPr>
              <w:t>''''''''''''''''</w:t>
            </w:r>
          </w:p>
        </w:tc>
        <w:tc>
          <w:tcPr>
            <w:tcW w:w="1077" w:type="dxa"/>
            <w:vAlign w:val="center"/>
          </w:tcPr>
          <w:p w:rsidR="00772F31" w:rsidRPr="00517553" w:rsidRDefault="00772F31" w:rsidP="008F4262">
            <w:pPr>
              <w:widowControl/>
              <w:jc w:val="center"/>
              <w:rPr>
                <w:rFonts w:ascii="Arial Narrow" w:hAnsi="Arial Narrow"/>
                <w:b/>
                <w:bCs/>
                <w:iCs/>
                <w:sz w:val="20"/>
              </w:rPr>
            </w:pPr>
            <w:r w:rsidRPr="00517553">
              <w:rPr>
                <w:rFonts w:ascii="Arial Narrow" w:hAnsi="Arial Narrow"/>
                <w:b/>
                <w:bCs/>
                <w:iCs/>
                <w:sz w:val="20"/>
              </w:rPr>
              <w:t>$</w:t>
            </w:r>
            <w:r w:rsidR="0017165E">
              <w:rPr>
                <w:rFonts w:ascii="Arial Narrow" w:hAnsi="Arial Narrow"/>
                <w:b/>
                <w:bCs/>
                <w:iCs/>
                <w:noProof/>
                <w:color w:val="000000"/>
                <w:sz w:val="20"/>
                <w:highlight w:val="black"/>
              </w:rPr>
              <w:t>''''''''''''''''''</w:t>
            </w:r>
          </w:p>
        </w:tc>
        <w:tc>
          <w:tcPr>
            <w:tcW w:w="1078" w:type="dxa"/>
            <w:vAlign w:val="center"/>
          </w:tcPr>
          <w:p w:rsidR="00772F31" w:rsidRPr="00517553" w:rsidRDefault="00772F31" w:rsidP="008F4262">
            <w:pPr>
              <w:widowControl/>
              <w:jc w:val="center"/>
              <w:rPr>
                <w:rFonts w:ascii="Arial Narrow" w:hAnsi="Arial Narrow"/>
                <w:b/>
                <w:bCs/>
                <w:iCs/>
                <w:sz w:val="20"/>
              </w:rPr>
            </w:pPr>
            <w:r w:rsidRPr="00517553">
              <w:rPr>
                <w:rFonts w:ascii="Arial Narrow" w:hAnsi="Arial Narrow"/>
                <w:b/>
                <w:bCs/>
                <w:iCs/>
                <w:sz w:val="20"/>
              </w:rPr>
              <w:t>$</w:t>
            </w:r>
            <w:r w:rsidR="0017165E">
              <w:rPr>
                <w:rFonts w:ascii="Arial Narrow" w:hAnsi="Arial Narrow"/>
                <w:b/>
                <w:bCs/>
                <w:iCs/>
                <w:noProof/>
                <w:color w:val="000000"/>
                <w:sz w:val="20"/>
                <w:highlight w:val="black"/>
              </w:rPr>
              <w:t>''''''''''''''</w:t>
            </w:r>
          </w:p>
        </w:tc>
      </w:tr>
      <w:tr w:rsidR="00772F31" w:rsidRPr="00517553" w:rsidTr="00746AAF">
        <w:tc>
          <w:tcPr>
            <w:tcW w:w="2977" w:type="dxa"/>
          </w:tcPr>
          <w:p w:rsidR="00772F31" w:rsidRPr="00517553" w:rsidRDefault="00772F31" w:rsidP="008F4262">
            <w:pPr>
              <w:widowControl/>
              <w:jc w:val="left"/>
              <w:rPr>
                <w:rFonts w:ascii="Arial Narrow" w:hAnsi="Arial Narrow"/>
                <w:sz w:val="20"/>
              </w:rPr>
            </w:pPr>
            <w:r w:rsidRPr="00517553">
              <w:rPr>
                <w:rFonts w:ascii="Arial Narrow" w:hAnsi="Arial Narrow"/>
                <w:sz w:val="20"/>
              </w:rPr>
              <w:t xml:space="preserve">Number of </w:t>
            </w:r>
            <w:proofErr w:type="spellStart"/>
            <w:r w:rsidRPr="00517553">
              <w:rPr>
                <w:rFonts w:ascii="Arial Narrow" w:hAnsi="Arial Narrow"/>
                <w:sz w:val="20"/>
              </w:rPr>
              <w:t>ocriplasmin</w:t>
            </w:r>
            <w:proofErr w:type="spellEnd"/>
            <w:r w:rsidRPr="00517553">
              <w:rPr>
                <w:rFonts w:ascii="Arial Narrow" w:hAnsi="Arial Narrow"/>
                <w:sz w:val="20"/>
              </w:rPr>
              <w:t xml:space="preserve"> administrations</w:t>
            </w:r>
          </w:p>
        </w:tc>
        <w:tc>
          <w:tcPr>
            <w:tcW w:w="1077" w:type="dxa"/>
            <w:vAlign w:val="center"/>
          </w:tcPr>
          <w:p w:rsidR="00772F31"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1077" w:type="dxa"/>
            <w:vAlign w:val="center"/>
          </w:tcPr>
          <w:p w:rsidR="00772F31"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1077" w:type="dxa"/>
            <w:vAlign w:val="center"/>
          </w:tcPr>
          <w:p w:rsidR="00772F31"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1077" w:type="dxa"/>
            <w:vAlign w:val="center"/>
          </w:tcPr>
          <w:p w:rsidR="00772F31"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1078" w:type="dxa"/>
            <w:vAlign w:val="center"/>
          </w:tcPr>
          <w:p w:rsidR="00772F31"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w:t>
            </w:r>
          </w:p>
        </w:tc>
      </w:tr>
      <w:tr w:rsidR="00772F31" w:rsidRPr="00517553" w:rsidTr="00746AAF">
        <w:tc>
          <w:tcPr>
            <w:tcW w:w="2977" w:type="dxa"/>
          </w:tcPr>
          <w:p w:rsidR="00772F31" w:rsidRPr="00517553" w:rsidRDefault="00772F31" w:rsidP="008F4262">
            <w:pPr>
              <w:widowControl/>
              <w:jc w:val="left"/>
              <w:rPr>
                <w:rFonts w:ascii="Arial Narrow" w:hAnsi="Arial Narrow"/>
                <w:b/>
                <w:bCs/>
                <w:sz w:val="20"/>
              </w:rPr>
            </w:pPr>
            <w:r w:rsidRPr="00517553">
              <w:rPr>
                <w:rFonts w:ascii="Arial Narrow" w:hAnsi="Arial Narrow"/>
                <w:b/>
                <w:bCs/>
                <w:sz w:val="20"/>
              </w:rPr>
              <w:t xml:space="preserve">Cost to MBS for administration of </w:t>
            </w:r>
            <w:proofErr w:type="spellStart"/>
            <w:r w:rsidRPr="00517553">
              <w:rPr>
                <w:rFonts w:ascii="Arial Narrow" w:hAnsi="Arial Narrow"/>
                <w:b/>
                <w:bCs/>
                <w:sz w:val="20"/>
              </w:rPr>
              <w:t>ocriplasmin</w:t>
            </w:r>
            <w:proofErr w:type="spellEnd"/>
            <w:r w:rsidRPr="00517553">
              <w:rPr>
                <w:rFonts w:ascii="Arial Narrow" w:hAnsi="Arial Narrow"/>
                <w:b/>
                <w:bCs/>
                <w:sz w:val="20"/>
              </w:rPr>
              <w:t xml:space="preserve"> (85% benefit)</w:t>
            </w:r>
          </w:p>
        </w:tc>
        <w:tc>
          <w:tcPr>
            <w:tcW w:w="1077" w:type="dxa"/>
            <w:vAlign w:val="center"/>
          </w:tcPr>
          <w:p w:rsidR="00772F31" w:rsidRPr="00517553" w:rsidRDefault="00772F31" w:rsidP="008F4262">
            <w:pPr>
              <w:widowControl/>
              <w:jc w:val="center"/>
              <w:rPr>
                <w:rFonts w:ascii="Arial Narrow" w:hAnsi="Arial Narrow"/>
                <w:b/>
                <w:bCs/>
                <w:iCs/>
                <w:sz w:val="20"/>
              </w:rPr>
            </w:pPr>
            <w:r w:rsidRPr="00517553">
              <w:rPr>
                <w:rFonts w:ascii="Arial Narrow" w:hAnsi="Arial Narrow"/>
                <w:b/>
                <w:bCs/>
                <w:iCs/>
                <w:sz w:val="20"/>
              </w:rPr>
              <w:t>$</w:t>
            </w:r>
            <w:r w:rsidR="0017165E">
              <w:rPr>
                <w:rFonts w:ascii="Arial Narrow" w:hAnsi="Arial Narrow"/>
                <w:b/>
                <w:bCs/>
                <w:iCs/>
                <w:noProof/>
                <w:color w:val="000000"/>
                <w:sz w:val="20"/>
                <w:highlight w:val="black"/>
              </w:rPr>
              <w:t>''''''''''''''''</w:t>
            </w:r>
          </w:p>
        </w:tc>
        <w:tc>
          <w:tcPr>
            <w:tcW w:w="1077" w:type="dxa"/>
            <w:vAlign w:val="center"/>
          </w:tcPr>
          <w:p w:rsidR="00772F31" w:rsidRPr="00517553" w:rsidRDefault="00772F31" w:rsidP="008F4262">
            <w:pPr>
              <w:widowControl/>
              <w:jc w:val="center"/>
              <w:rPr>
                <w:rFonts w:ascii="Arial Narrow" w:hAnsi="Arial Narrow"/>
                <w:b/>
                <w:bCs/>
                <w:iCs/>
                <w:sz w:val="20"/>
              </w:rPr>
            </w:pPr>
            <w:r w:rsidRPr="00517553">
              <w:rPr>
                <w:rFonts w:ascii="Arial Narrow" w:hAnsi="Arial Narrow"/>
                <w:b/>
                <w:bCs/>
                <w:iCs/>
                <w:sz w:val="20"/>
              </w:rPr>
              <w:t>$</w:t>
            </w:r>
            <w:r w:rsidR="0017165E">
              <w:rPr>
                <w:rFonts w:ascii="Arial Narrow" w:hAnsi="Arial Narrow"/>
                <w:b/>
                <w:bCs/>
                <w:iCs/>
                <w:noProof/>
                <w:color w:val="000000"/>
                <w:sz w:val="20"/>
                <w:highlight w:val="black"/>
              </w:rPr>
              <w:t>'''''''''''''''</w:t>
            </w:r>
          </w:p>
        </w:tc>
        <w:tc>
          <w:tcPr>
            <w:tcW w:w="1077" w:type="dxa"/>
            <w:vAlign w:val="center"/>
          </w:tcPr>
          <w:p w:rsidR="00772F31" w:rsidRPr="00517553" w:rsidRDefault="00772F31" w:rsidP="008F4262">
            <w:pPr>
              <w:widowControl/>
              <w:jc w:val="center"/>
              <w:rPr>
                <w:rFonts w:ascii="Arial Narrow" w:hAnsi="Arial Narrow"/>
                <w:b/>
                <w:bCs/>
                <w:iCs/>
                <w:sz w:val="20"/>
              </w:rPr>
            </w:pPr>
            <w:r w:rsidRPr="00517553">
              <w:rPr>
                <w:rFonts w:ascii="Arial Narrow" w:hAnsi="Arial Narrow"/>
                <w:b/>
                <w:bCs/>
                <w:iCs/>
                <w:sz w:val="20"/>
              </w:rPr>
              <w:t>$</w:t>
            </w:r>
            <w:r w:rsidR="0017165E">
              <w:rPr>
                <w:rFonts w:ascii="Arial Narrow" w:hAnsi="Arial Narrow"/>
                <w:b/>
                <w:bCs/>
                <w:iCs/>
                <w:noProof/>
                <w:color w:val="000000"/>
                <w:sz w:val="20"/>
                <w:highlight w:val="black"/>
              </w:rPr>
              <w:t>''''''''''''''''</w:t>
            </w:r>
          </w:p>
        </w:tc>
        <w:tc>
          <w:tcPr>
            <w:tcW w:w="1077" w:type="dxa"/>
            <w:vAlign w:val="center"/>
          </w:tcPr>
          <w:p w:rsidR="00772F31" w:rsidRPr="00517553" w:rsidRDefault="00772F31" w:rsidP="008F4262">
            <w:pPr>
              <w:widowControl/>
              <w:jc w:val="center"/>
              <w:rPr>
                <w:rFonts w:ascii="Arial Narrow" w:hAnsi="Arial Narrow"/>
                <w:b/>
                <w:bCs/>
                <w:iCs/>
                <w:sz w:val="20"/>
              </w:rPr>
            </w:pPr>
            <w:r w:rsidRPr="00517553">
              <w:rPr>
                <w:rFonts w:ascii="Arial Narrow" w:hAnsi="Arial Narrow"/>
                <w:b/>
                <w:bCs/>
                <w:iCs/>
                <w:sz w:val="20"/>
              </w:rPr>
              <w:t>$</w:t>
            </w:r>
            <w:r w:rsidR="0017165E">
              <w:rPr>
                <w:rFonts w:ascii="Arial Narrow" w:hAnsi="Arial Narrow"/>
                <w:b/>
                <w:bCs/>
                <w:iCs/>
                <w:noProof/>
                <w:color w:val="000000"/>
                <w:sz w:val="20"/>
                <w:highlight w:val="black"/>
              </w:rPr>
              <w:t>''''''''''''''</w:t>
            </w:r>
          </w:p>
        </w:tc>
        <w:tc>
          <w:tcPr>
            <w:tcW w:w="1078" w:type="dxa"/>
            <w:vAlign w:val="center"/>
          </w:tcPr>
          <w:p w:rsidR="00772F31" w:rsidRPr="00517553" w:rsidRDefault="00772F31" w:rsidP="008F4262">
            <w:pPr>
              <w:widowControl/>
              <w:jc w:val="center"/>
              <w:rPr>
                <w:rFonts w:ascii="Arial Narrow" w:hAnsi="Arial Narrow"/>
                <w:b/>
                <w:bCs/>
                <w:iCs/>
                <w:sz w:val="20"/>
              </w:rPr>
            </w:pPr>
            <w:r w:rsidRPr="00517553">
              <w:rPr>
                <w:rFonts w:ascii="Arial Narrow" w:hAnsi="Arial Narrow"/>
                <w:b/>
                <w:bCs/>
                <w:iCs/>
                <w:sz w:val="20"/>
              </w:rPr>
              <w:t>$</w:t>
            </w:r>
            <w:r w:rsidR="0017165E">
              <w:rPr>
                <w:rFonts w:ascii="Arial Narrow" w:hAnsi="Arial Narrow"/>
                <w:b/>
                <w:bCs/>
                <w:iCs/>
                <w:noProof/>
                <w:color w:val="000000"/>
                <w:sz w:val="20"/>
                <w:highlight w:val="black"/>
              </w:rPr>
              <w:t>''''''''''''''''</w:t>
            </w:r>
          </w:p>
        </w:tc>
      </w:tr>
      <w:tr w:rsidR="00772F31" w:rsidRPr="00517553" w:rsidTr="00746AAF">
        <w:tc>
          <w:tcPr>
            <w:tcW w:w="2977" w:type="dxa"/>
          </w:tcPr>
          <w:p w:rsidR="00772F31" w:rsidRPr="00517553" w:rsidRDefault="00772F31" w:rsidP="008F4262">
            <w:pPr>
              <w:widowControl/>
              <w:jc w:val="left"/>
              <w:rPr>
                <w:rFonts w:ascii="Arial Narrow" w:hAnsi="Arial Narrow"/>
                <w:sz w:val="20"/>
              </w:rPr>
            </w:pPr>
            <w:proofErr w:type="spellStart"/>
            <w:r w:rsidRPr="00517553">
              <w:rPr>
                <w:rFonts w:ascii="Arial Narrow" w:hAnsi="Arial Narrow"/>
                <w:sz w:val="20"/>
              </w:rPr>
              <w:t>Vitrectomies</w:t>
            </w:r>
            <w:proofErr w:type="spellEnd"/>
            <w:r w:rsidRPr="00517553">
              <w:rPr>
                <w:rFonts w:ascii="Arial Narrow" w:hAnsi="Arial Narrow"/>
                <w:sz w:val="20"/>
              </w:rPr>
              <w:t xml:space="preserve"> avoided</w:t>
            </w:r>
          </w:p>
        </w:tc>
        <w:tc>
          <w:tcPr>
            <w:tcW w:w="1077" w:type="dxa"/>
            <w:vAlign w:val="center"/>
          </w:tcPr>
          <w:p w:rsidR="00772F31"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1077" w:type="dxa"/>
            <w:vAlign w:val="center"/>
          </w:tcPr>
          <w:p w:rsidR="00772F31"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1077" w:type="dxa"/>
            <w:vAlign w:val="center"/>
          </w:tcPr>
          <w:p w:rsidR="00772F31"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1077" w:type="dxa"/>
            <w:vAlign w:val="center"/>
          </w:tcPr>
          <w:p w:rsidR="00772F31"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1078" w:type="dxa"/>
            <w:vAlign w:val="center"/>
          </w:tcPr>
          <w:p w:rsidR="00772F31"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w:t>
            </w:r>
          </w:p>
        </w:tc>
      </w:tr>
      <w:tr w:rsidR="00772F31" w:rsidRPr="00517553" w:rsidTr="00746AAF">
        <w:tc>
          <w:tcPr>
            <w:tcW w:w="2977" w:type="dxa"/>
          </w:tcPr>
          <w:p w:rsidR="00772F31" w:rsidRPr="00517553" w:rsidRDefault="00772F31" w:rsidP="008F4262">
            <w:pPr>
              <w:widowControl/>
              <w:jc w:val="left"/>
              <w:rPr>
                <w:rFonts w:ascii="Arial Narrow" w:hAnsi="Arial Narrow"/>
                <w:b/>
                <w:bCs/>
                <w:sz w:val="20"/>
              </w:rPr>
            </w:pPr>
            <w:r w:rsidRPr="00517553">
              <w:rPr>
                <w:rFonts w:ascii="Arial Narrow" w:hAnsi="Arial Narrow"/>
                <w:b/>
                <w:bCs/>
                <w:sz w:val="20"/>
              </w:rPr>
              <w:t xml:space="preserve">Net cost to government for </w:t>
            </w:r>
            <w:proofErr w:type="spellStart"/>
            <w:r w:rsidRPr="00517553">
              <w:rPr>
                <w:rFonts w:ascii="Arial Narrow" w:hAnsi="Arial Narrow"/>
                <w:b/>
                <w:bCs/>
                <w:sz w:val="20"/>
              </w:rPr>
              <w:t>vitrectomies</w:t>
            </w:r>
            <w:proofErr w:type="spellEnd"/>
            <w:r w:rsidRPr="00517553">
              <w:rPr>
                <w:rFonts w:ascii="Arial Narrow" w:hAnsi="Arial Narrow"/>
                <w:b/>
                <w:bCs/>
                <w:sz w:val="20"/>
              </w:rPr>
              <w:t xml:space="preserve"> (surgery only)</w:t>
            </w:r>
          </w:p>
        </w:tc>
        <w:tc>
          <w:tcPr>
            <w:tcW w:w="1077" w:type="dxa"/>
            <w:vAlign w:val="center"/>
          </w:tcPr>
          <w:p w:rsidR="00772F31" w:rsidRPr="00517553" w:rsidRDefault="00772F31" w:rsidP="008F4262">
            <w:pPr>
              <w:widowControl/>
              <w:jc w:val="center"/>
              <w:rPr>
                <w:rFonts w:ascii="Arial Narrow" w:hAnsi="Arial Narrow"/>
                <w:b/>
                <w:bCs/>
                <w:iCs/>
                <w:sz w:val="20"/>
              </w:rPr>
            </w:pPr>
            <w:r w:rsidRPr="00517553">
              <w:rPr>
                <w:rFonts w:ascii="Arial Narrow" w:hAnsi="Arial Narrow"/>
                <w:b/>
                <w:bCs/>
                <w:iCs/>
                <w:sz w:val="20"/>
              </w:rPr>
              <w:t>-$</w:t>
            </w:r>
            <w:r w:rsidR="0017165E">
              <w:rPr>
                <w:rFonts w:ascii="Arial Narrow" w:hAnsi="Arial Narrow"/>
                <w:b/>
                <w:bCs/>
                <w:iCs/>
                <w:noProof/>
                <w:color w:val="000000"/>
                <w:sz w:val="20"/>
                <w:highlight w:val="black"/>
              </w:rPr>
              <w:t>''''''''''''''''''</w:t>
            </w:r>
          </w:p>
        </w:tc>
        <w:tc>
          <w:tcPr>
            <w:tcW w:w="1077" w:type="dxa"/>
            <w:vAlign w:val="center"/>
          </w:tcPr>
          <w:p w:rsidR="00772F31" w:rsidRPr="00517553" w:rsidRDefault="00772F31" w:rsidP="008F4262">
            <w:pPr>
              <w:widowControl/>
              <w:jc w:val="center"/>
              <w:rPr>
                <w:rFonts w:ascii="Arial Narrow" w:hAnsi="Arial Narrow"/>
                <w:b/>
                <w:bCs/>
                <w:iCs/>
                <w:sz w:val="20"/>
              </w:rPr>
            </w:pPr>
            <w:r w:rsidRPr="00517553">
              <w:rPr>
                <w:rFonts w:ascii="Arial Narrow" w:hAnsi="Arial Narrow"/>
                <w:b/>
                <w:bCs/>
                <w:iCs/>
                <w:sz w:val="20"/>
              </w:rPr>
              <w:t>-$</w:t>
            </w:r>
            <w:r w:rsidR="0017165E">
              <w:rPr>
                <w:rFonts w:ascii="Arial Narrow" w:hAnsi="Arial Narrow"/>
                <w:b/>
                <w:bCs/>
                <w:iCs/>
                <w:noProof/>
                <w:color w:val="000000"/>
                <w:sz w:val="20"/>
                <w:highlight w:val="black"/>
              </w:rPr>
              <w:t>'''''''''''''''</w:t>
            </w:r>
          </w:p>
        </w:tc>
        <w:tc>
          <w:tcPr>
            <w:tcW w:w="1077" w:type="dxa"/>
            <w:vAlign w:val="center"/>
          </w:tcPr>
          <w:p w:rsidR="00772F31" w:rsidRPr="00517553" w:rsidRDefault="00772F31" w:rsidP="008F4262">
            <w:pPr>
              <w:widowControl/>
              <w:jc w:val="center"/>
              <w:rPr>
                <w:rFonts w:ascii="Arial Narrow" w:hAnsi="Arial Narrow"/>
                <w:b/>
                <w:bCs/>
                <w:iCs/>
                <w:sz w:val="20"/>
              </w:rPr>
            </w:pPr>
            <w:r w:rsidRPr="00517553">
              <w:rPr>
                <w:rFonts w:ascii="Arial Narrow" w:hAnsi="Arial Narrow"/>
                <w:b/>
                <w:bCs/>
                <w:iCs/>
                <w:sz w:val="20"/>
              </w:rPr>
              <w:t>-$</w:t>
            </w:r>
            <w:r w:rsidR="0017165E">
              <w:rPr>
                <w:rFonts w:ascii="Arial Narrow" w:hAnsi="Arial Narrow"/>
                <w:b/>
                <w:bCs/>
                <w:iCs/>
                <w:noProof/>
                <w:color w:val="000000"/>
                <w:sz w:val="20"/>
                <w:highlight w:val="black"/>
              </w:rPr>
              <w:t>'''''''''''''''''''''</w:t>
            </w:r>
          </w:p>
        </w:tc>
        <w:tc>
          <w:tcPr>
            <w:tcW w:w="1077" w:type="dxa"/>
            <w:vAlign w:val="center"/>
          </w:tcPr>
          <w:p w:rsidR="00772F31" w:rsidRPr="00517553" w:rsidRDefault="00772F31" w:rsidP="008F4262">
            <w:pPr>
              <w:widowControl/>
              <w:jc w:val="center"/>
              <w:rPr>
                <w:rFonts w:ascii="Arial Narrow" w:hAnsi="Arial Narrow"/>
                <w:b/>
                <w:bCs/>
                <w:iCs/>
                <w:sz w:val="20"/>
              </w:rPr>
            </w:pPr>
            <w:r w:rsidRPr="00517553">
              <w:rPr>
                <w:rFonts w:ascii="Arial Narrow" w:hAnsi="Arial Narrow"/>
                <w:b/>
                <w:bCs/>
                <w:iCs/>
                <w:sz w:val="20"/>
              </w:rPr>
              <w:t>-$</w:t>
            </w:r>
            <w:r w:rsidR="0017165E">
              <w:rPr>
                <w:rFonts w:ascii="Arial Narrow" w:hAnsi="Arial Narrow"/>
                <w:b/>
                <w:bCs/>
                <w:iCs/>
                <w:noProof/>
                <w:color w:val="000000"/>
                <w:sz w:val="20"/>
                <w:highlight w:val="black"/>
              </w:rPr>
              <w:t>''''''''''''''''''</w:t>
            </w:r>
          </w:p>
        </w:tc>
        <w:tc>
          <w:tcPr>
            <w:tcW w:w="1078" w:type="dxa"/>
            <w:vAlign w:val="center"/>
          </w:tcPr>
          <w:p w:rsidR="00772F31" w:rsidRPr="00517553" w:rsidRDefault="00772F31" w:rsidP="008F4262">
            <w:pPr>
              <w:widowControl/>
              <w:jc w:val="center"/>
              <w:rPr>
                <w:rFonts w:ascii="Arial Narrow" w:hAnsi="Arial Narrow"/>
                <w:b/>
                <w:bCs/>
                <w:iCs/>
                <w:sz w:val="20"/>
              </w:rPr>
            </w:pPr>
            <w:r w:rsidRPr="00517553">
              <w:rPr>
                <w:rFonts w:ascii="Arial Narrow" w:hAnsi="Arial Narrow"/>
                <w:b/>
                <w:bCs/>
                <w:iCs/>
                <w:sz w:val="20"/>
              </w:rPr>
              <w:t>-$</w:t>
            </w:r>
            <w:r w:rsidR="0017165E">
              <w:rPr>
                <w:rFonts w:ascii="Arial Narrow" w:hAnsi="Arial Narrow"/>
                <w:b/>
                <w:bCs/>
                <w:iCs/>
                <w:noProof/>
                <w:color w:val="000000"/>
                <w:sz w:val="20"/>
                <w:highlight w:val="black"/>
              </w:rPr>
              <w:t>'''''''''''''''''''</w:t>
            </w:r>
          </w:p>
        </w:tc>
      </w:tr>
      <w:tr w:rsidR="00772F31" w:rsidRPr="00517553" w:rsidTr="00746AAF">
        <w:tc>
          <w:tcPr>
            <w:tcW w:w="2977" w:type="dxa"/>
          </w:tcPr>
          <w:p w:rsidR="00772F31" w:rsidRPr="00517553" w:rsidRDefault="00772F31" w:rsidP="008F4262">
            <w:pPr>
              <w:widowControl/>
              <w:jc w:val="left"/>
              <w:rPr>
                <w:rFonts w:ascii="Arial Narrow" w:hAnsi="Arial Narrow"/>
                <w:sz w:val="20"/>
              </w:rPr>
            </w:pPr>
            <w:proofErr w:type="spellStart"/>
            <w:r w:rsidRPr="00517553">
              <w:rPr>
                <w:rFonts w:ascii="Arial Narrow" w:hAnsi="Arial Narrow"/>
                <w:sz w:val="20"/>
              </w:rPr>
              <w:t>Vitrectomy</w:t>
            </w:r>
            <w:proofErr w:type="spellEnd"/>
            <w:r w:rsidRPr="00517553">
              <w:rPr>
                <w:rFonts w:ascii="Arial Narrow" w:hAnsi="Arial Narrow"/>
                <w:sz w:val="20"/>
              </w:rPr>
              <w:t xml:space="preserve"> related cataracts avoided</w:t>
            </w:r>
          </w:p>
        </w:tc>
        <w:tc>
          <w:tcPr>
            <w:tcW w:w="1077" w:type="dxa"/>
            <w:vAlign w:val="center"/>
          </w:tcPr>
          <w:p w:rsidR="00772F31"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1077" w:type="dxa"/>
            <w:vAlign w:val="center"/>
          </w:tcPr>
          <w:p w:rsidR="00772F31"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1077" w:type="dxa"/>
            <w:vAlign w:val="center"/>
          </w:tcPr>
          <w:p w:rsidR="00772F31"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1077" w:type="dxa"/>
            <w:vAlign w:val="center"/>
          </w:tcPr>
          <w:p w:rsidR="00772F31"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1078" w:type="dxa"/>
            <w:vAlign w:val="center"/>
          </w:tcPr>
          <w:p w:rsidR="00772F31" w:rsidRPr="0017165E" w:rsidRDefault="0017165E" w:rsidP="008F4262">
            <w:pPr>
              <w:widowControl/>
              <w:jc w:val="center"/>
              <w:rPr>
                <w:rFonts w:ascii="Arial Narrow" w:hAnsi="Arial Narrow"/>
                <w:iCs/>
                <w:sz w:val="20"/>
                <w:highlight w:val="black"/>
              </w:rPr>
            </w:pPr>
            <w:r>
              <w:rPr>
                <w:rFonts w:ascii="Arial Narrow" w:hAnsi="Arial Narrow"/>
                <w:iCs/>
                <w:noProof/>
                <w:color w:val="000000"/>
                <w:sz w:val="20"/>
                <w:highlight w:val="black"/>
              </w:rPr>
              <w:t>''''''''''</w:t>
            </w:r>
          </w:p>
        </w:tc>
      </w:tr>
      <w:tr w:rsidR="00772F31" w:rsidRPr="00517553" w:rsidTr="00746AAF">
        <w:tc>
          <w:tcPr>
            <w:tcW w:w="2977" w:type="dxa"/>
          </w:tcPr>
          <w:p w:rsidR="00772F31" w:rsidRPr="00517553" w:rsidRDefault="00772F31" w:rsidP="008F4262">
            <w:pPr>
              <w:widowControl/>
              <w:jc w:val="left"/>
              <w:rPr>
                <w:rFonts w:ascii="Arial Narrow" w:hAnsi="Arial Narrow"/>
                <w:b/>
                <w:bCs/>
                <w:sz w:val="20"/>
              </w:rPr>
            </w:pPr>
            <w:r w:rsidRPr="00517553">
              <w:rPr>
                <w:rFonts w:ascii="Arial Narrow" w:hAnsi="Arial Narrow"/>
                <w:b/>
                <w:bCs/>
                <w:sz w:val="20"/>
              </w:rPr>
              <w:t xml:space="preserve">Net cost to government for </w:t>
            </w:r>
            <w:proofErr w:type="spellStart"/>
            <w:r w:rsidRPr="00517553">
              <w:rPr>
                <w:rFonts w:ascii="Arial Narrow" w:hAnsi="Arial Narrow"/>
                <w:b/>
                <w:bCs/>
                <w:sz w:val="20"/>
              </w:rPr>
              <w:t>vitrectomy</w:t>
            </w:r>
            <w:proofErr w:type="spellEnd"/>
            <w:r w:rsidRPr="00517553">
              <w:rPr>
                <w:rFonts w:ascii="Arial Narrow" w:hAnsi="Arial Narrow"/>
                <w:b/>
                <w:bCs/>
                <w:sz w:val="20"/>
              </w:rPr>
              <w:t xml:space="preserve"> related cataracts</w:t>
            </w:r>
          </w:p>
        </w:tc>
        <w:tc>
          <w:tcPr>
            <w:tcW w:w="1077" w:type="dxa"/>
            <w:vAlign w:val="center"/>
          </w:tcPr>
          <w:p w:rsidR="00772F31" w:rsidRPr="00517553" w:rsidRDefault="00772F31" w:rsidP="008F4262">
            <w:pPr>
              <w:widowControl/>
              <w:jc w:val="center"/>
              <w:rPr>
                <w:rFonts w:ascii="Arial Narrow" w:hAnsi="Arial Narrow"/>
                <w:b/>
                <w:bCs/>
                <w:iCs/>
                <w:sz w:val="20"/>
              </w:rPr>
            </w:pPr>
            <w:r w:rsidRPr="00517553">
              <w:rPr>
                <w:rFonts w:ascii="Arial Narrow" w:hAnsi="Arial Narrow"/>
                <w:b/>
                <w:bCs/>
                <w:iCs/>
                <w:sz w:val="20"/>
              </w:rPr>
              <w:t>-$</w:t>
            </w:r>
            <w:r w:rsidR="0017165E">
              <w:rPr>
                <w:rFonts w:ascii="Arial Narrow" w:hAnsi="Arial Narrow"/>
                <w:b/>
                <w:bCs/>
                <w:iCs/>
                <w:noProof/>
                <w:color w:val="000000"/>
                <w:sz w:val="20"/>
                <w:highlight w:val="black"/>
              </w:rPr>
              <w:t>''''''''''''''''</w:t>
            </w:r>
          </w:p>
        </w:tc>
        <w:tc>
          <w:tcPr>
            <w:tcW w:w="1077" w:type="dxa"/>
            <w:vAlign w:val="center"/>
          </w:tcPr>
          <w:p w:rsidR="00772F31" w:rsidRPr="00517553" w:rsidRDefault="00772F31" w:rsidP="008F4262">
            <w:pPr>
              <w:widowControl/>
              <w:jc w:val="center"/>
              <w:rPr>
                <w:rFonts w:ascii="Arial Narrow" w:hAnsi="Arial Narrow"/>
                <w:b/>
                <w:bCs/>
                <w:iCs/>
                <w:sz w:val="20"/>
              </w:rPr>
            </w:pPr>
            <w:r w:rsidRPr="00517553">
              <w:rPr>
                <w:rFonts w:ascii="Arial Narrow" w:hAnsi="Arial Narrow"/>
                <w:b/>
                <w:bCs/>
                <w:iCs/>
                <w:sz w:val="20"/>
              </w:rPr>
              <w:t>-$</w:t>
            </w:r>
            <w:r w:rsidR="0017165E">
              <w:rPr>
                <w:rFonts w:ascii="Arial Narrow" w:hAnsi="Arial Narrow"/>
                <w:b/>
                <w:bCs/>
                <w:iCs/>
                <w:noProof/>
                <w:color w:val="000000"/>
                <w:sz w:val="20"/>
                <w:highlight w:val="black"/>
              </w:rPr>
              <w:t>'''''''''''''''</w:t>
            </w:r>
          </w:p>
        </w:tc>
        <w:tc>
          <w:tcPr>
            <w:tcW w:w="1077" w:type="dxa"/>
            <w:vAlign w:val="center"/>
          </w:tcPr>
          <w:p w:rsidR="00772F31" w:rsidRPr="00517553" w:rsidRDefault="00772F31" w:rsidP="008F4262">
            <w:pPr>
              <w:widowControl/>
              <w:jc w:val="center"/>
              <w:rPr>
                <w:rFonts w:ascii="Arial Narrow" w:hAnsi="Arial Narrow"/>
                <w:b/>
                <w:bCs/>
                <w:iCs/>
                <w:sz w:val="20"/>
              </w:rPr>
            </w:pPr>
            <w:r w:rsidRPr="00517553">
              <w:rPr>
                <w:rFonts w:ascii="Arial Narrow" w:hAnsi="Arial Narrow"/>
                <w:b/>
                <w:bCs/>
                <w:iCs/>
                <w:sz w:val="20"/>
              </w:rPr>
              <w:t>-$</w:t>
            </w:r>
            <w:r w:rsidR="0017165E">
              <w:rPr>
                <w:rFonts w:ascii="Arial Narrow" w:hAnsi="Arial Narrow"/>
                <w:b/>
                <w:bCs/>
                <w:iCs/>
                <w:noProof/>
                <w:color w:val="000000"/>
                <w:sz w:val="20"/>
                <w:highlight w:val="black"/>
              </w:rPr>
              <w:t>'''''''''''''''''</w:t>
            </w:r>
          </w:p>
        </w:tc>
        <w:tc>
          <w:tcPr>
            <w:tcW w:w="1077" w:type="dxa"/>
            <w:vAlign w:val="center"/>
          </w:tcPr>
          <w:p w:rsidR="00772F31" w:rsidRPr="00517553" w:rsidRDefault="00772F31" w:rsidP="008F4262">
            <w:pPr>
              <w:widowControl/>
              <w:jc w:val="center"/>
              <w:rPr>
                <w:rFonts w:ascii="Arial Narrow" w:hAnsi="Arial Narrow"/>
                <w:b/>
                <w:bCs/>
                <w:iCs/>
                <w:sz w:val="20"/>
              </w:rPr>
            </w:pPr>
            <w:r w:rsidRPr="00517553">
              <w:rPr>
                <w:rFonts w:ascii="Arial Narrow" w:hAnsi="Arial Narrow"/>
                <w:b/>
                <w:bCs/>
                <w:iCs/>
                <w:sz w:val="20"/>
              </w:rPr>
              <w:t>-$</w:t>
            </w:r>
            <w:r w:rsidR="0017165E">
              <w:rPr>
                <w:rFonts w:ascii="Arial Narrow" w:hAnsi="Arial Narrow"/>
                <w:b/>
                <w:bCs/>
                <w:iCs/>
                <w:noProof/>
                <w:color w:val="000000"/>
                <w:sz w:val="20"/>
                <w:highlight w:val="black"/>
              </w:rPr>
              <w:t>'''''''''''''''</w:t>
            </w:r>
          </w:p>
        </w:tc>
        <w:tc>
          <w:tcPr>
            <w:tcW w:w="1078" w:type="dxa"/>
            <w:vAlign w:val="center"/>
          </w:tcPr>
          <w:p w:rsidR="00772F31" w:rsidRPr="00517553" w:rsidRDefault="00772F31" w:rsidP="008F4262">
            <w:pPr>
              <w:widowControl/>
              <w:jc w:val="center"/>
              <w:rPr>
                <w:rFonts w:ascii="Arial Narrow" w:hAnsi="Arial Narrow"/>
                <w:b/>
                <w:bCs/>
                <w:iCs/>
                <w:sz w:val="20"/>
              </w:rPr>
            </w:pPr>
            <w:r w:rsidRPr="00517553">
              <w:rPr>
                <w:rFonts w:ascii="Arial Narrow" w:hAnsi="Arial Narrow"/>
                <w:b/>
                <w:bCs/>
                <w:iCs/>
                <w:sz w:val="20"/>
              </w:rPr>
              <w:t>-$</w:t>
            </w:r>
            <w:r w:rsidR="0017165E">
              <w:rPr>
                <w:rFonts w:ascii="Arial Narrow" w:hAnsi="Arial Narrow"/>
                <w:b/>
                <w:bCs/>
                <w:iCs/>
                <w:noProof/>
                <w:color w:val="000000"/>
                <w:sz w:val="20"/>
                <w:highlight w:val="black"/>
              </w:rPr>
              <w:t>'''''''''''''''</w:t>
            </w:r>
          </w:p>
        </w:tc>
      </w:tr>
      <w:tr w:rsidR="00772F31" w:rsidRPr="00517553" w:rsidTr="00746AAF">
        <w:tc>
          <w:tcPr>
            <w:tcW w:w="2977" w:type="dxa"/>
          </w:tcPr>
          <w:p w:rsidR="00772F31" w:rsidRPr="00517553" w:rsidRDefault="00772F31" w:rsidP="008F4262">
            <w:pPr>
              <w:widowControl/>
              <w:jc w:val="left"/>
              <w:rPr>
                <w:rFonts w:ascii="Arial Narrow" w:hAnsi="Arial Narrow"/>
                <w:b/>
                <w:bCs/>
                <w:sz w:val="20"/>
              </w:rPr>
            </w:pPr>
            <w:r w:rsidRPr="00517553">
              <w:rPr>
                <w:rFonts w:ascii="Arial Narrow" w:hAnsi="Arial Narrow"/>
                <w:b/>
                <w:bCs/>
                <w:sz w:val="20"/>
              </w:rPr>
              <w:t xml:space="preserve">Net cost of </w:t>
            </w:r>
            <w:proofErr w:type="spellStart"/>
            <w:r w:rsidRPr="00517553">
              <w:rPr>
                <w:rFonts w:ascii="Arial Narrow" w:hAnsi="Arial Narrow"/>
                <w:b/>
                <w:bCs/>
                <w:sz w:val="20"/>
              </w:rPr>
              <w:t>ocriplasmin</w:t>
            </w:r>
            <w:proofErr w:type="spellEnd"/>
            <w:r w:rsidRPr="00517553">
              <w:rPr>
                <w:rFonts w:ascii="Arial Narrow" w:hAnsi="Arial Narrow"/>
                <w:b/>
                <w:bCs/>
                <w:sz w:val="20"/>
              </w:rPr>
              <w:t xml:space="preserve"> to the health budget</w:t>
            </w:r>
          </w:p>
        </w:tc>
        <w:tc>
          <w:tcPr>
            <w:tcW w:w="1077" w:type="dxa"/>
            <w:vAlign w:val="center"/>
          </w:tcPr>
          <w:p w:rsidR="00772F31" w:rsidRPr="00517553" w:rsidRDefault="00772F31" w:rsidP="008F4262">
            <w:pPr>
              <w:widowControl/>
              <w:jc w:val="center"/>
              <w:rPr>
                <w:rFonts w:ascii="Arial Narrow" w:hAnsi="Arial Narrow"/>
                <w:b/>
                <w:bCs/>
                <w:iCs/>
                <w:sz w:val="20"/>
              </w:rPr>
            </w:pPr>
            <w:r w:rsidRPr="00517553">
              <w:rPr>
                <w:rFonts w:ascii="Arial Narrow" w:hAnsi="Arial Narrow"/>
                <w:b/>
                <w:bCs/>
                <w:iCs/>
                <w:sz w:val="20"/>
              </w:rPr>
              <w:t>$</w:t>
            </w:r>
            <w:r w:rsidR="0017165E">
              <w:rPr>
                <w:rFonts w:ascii="Arial Narrow" w:hAnsi="Arial Narrow"/>
                <w:b/>
                <w:bCs/>
                <w:iCs/>
                <w:noProof/>
                <w:color w:val="000000"/>
                <w:sz w:val="20"/>
                <w:highlight w:val="black"/>
              </w:rPr>
              <w:t>'''''''''''''''''''''</w:t>
            </w:r>
          </w:p>
        </w:tc>
        <w:tc>
          <w:tcPr>
            <w:tcW w:w="1077" w:type="dxa"/>
            <w:vAlign w:val="center"/>
          </w:tcPr>
          <w:p w:rsidR="00772F31" w:rsidRPr="00517553" w:rsidRDefault="00772F31" w:rsidP="008F4262">
            <w:pPr>
              <w:widowControl/>
              <w:jc w:val="center"/>
              <w:rPr>
                <w:rFonts w:ascii="Arial Narrow" w:hAnsi="Arial Narrow"/>
                <w:b/>
                <w:bCs/>
                <w:iCs/>
                <w:sz w:val="20"/>
              </w:rPr>
            </w:pPr>
            <w:r w:rsidRPr="00517553">
              <w:rPr>
                <w:rFonts w:ascii="Arial Narrow" w:hAnsi="Arial Narrow"/>
                <w:b/>
                <w:bCs/>
                <w:iCs/>
                <w:sz w:val="20"/>
              </w:rPr>
              <w:t>$</w:t>
            </w:r>
            <w:r w:rsidR="0017165E">
              <w:rPr>
                <w:rFonts w:ascii="Arial Narrow" w:hAnsi="Arial Narrow"/>
                <w:b/>
                <w:bCs/>
                <w:iCs/>
                <w:noProof/>
                <w:color w:val="000000"/>
                <w:sz w:val="20"/>
                <w:highlight w:val="black"/>
              </w:rPr>
              <w:t>'''''''''''''''''''''</w:t>
            </w:r>
          </w:p>
        </w:tc>
        <w:tc>
          <w:tcPr>
            <w:tcW w:w="1077" w:type="dxa"/>
            <w:vAlign w:val="center"/>
          </w:tcPr>
          <w:p w:rsidR="00772F31" w:rsidRPr="00517553" w:rsidRDefault="00772F31" w:rsidP="008F4262">
            <w:pPr>
              <w:widowControl/>
              <w:jc w:val="center"/>
              <w:rPr>
                <w:rFonts w:ascii="Arial Narrow" w:hAnsi="Arial Narrow"/>
                <w:b/>
                <w:bCs/>
                <w:iCs/>
                <w:sz w:val="20"/>
              </w:rPr>
            </w:pPr>
            <w:r w:rsidRPr="00517553">
              <w:rPr>
                <w:rFonts w:ascii="Arial Narrow" w:hAnsi="Arial Narrow"/>
                <w:b/>
                <w:bCs/>
                <w:iCs/>
                <w:sz w:val="20"/>
              </w:rPr>
              <w:t>$</w:t>
            </w:r>
            <w:r w:rsidR="0017165E">
              <w:rPr>
                <w:rFonts w:ascii="Arial Narrow" w:hAnsi="Arial Narrow"/>
                <w:b/>
                <w:bCs/>
                <w:iCs/>
                <w:noProof/>
                <w:color w:val="000000"/>
                <w:sz w:val="20"/>
                <w:highlight w:val="black"/>
              </w:rPr>
              <w:t>'''''''''''''''''''</w:t>
            </w:r>
          </w:p>
        </w:tc>
        <w:tc>
          <w:tcPr>
            <w:tcW w:w="1077" w:type="dxa"/>
            <w:vAlign w:val="center"/>
          </w:tcPr>
          <w:p w:rsidR="00772F31" w:rsidRPr="00517553" w:rsidRDefault="00772F31" w:rsidP="008F4262">
            <w:pPr>
              <w:widowControl/>
              <w:jc w:val="center"/>
              <w:rPr>
                <w:rFonts w:ascii="Arial Narrow" w:hAnsi="Arial Narrow"/>
                <w:b/>
                <w:bCs/>
                <w:iCs/>
                <w:sz w:val="20"/>
              </w:rPr>
            </w:pPr>
            <w:r w:rsidRPr="00517553">
              <w:rPr>
                <w:rFonts w:ascii="Arial Narrow" w:hAnsi="Arial Narrow"/>
                <w:b/>
                <w:bCs/>
                <w:iCs/>
                <w:sz w:val="20"/>
              </w:rPr>
              <w:t>$</w:t>
            </w:r>
            <w:r w:rsidR="0017165E">
              <w:rPr>
                <w:rFonts w:ascii="Arial Narrow" w:hAnsi="Arial Narrow"/>
                <w:b/>
                <w:bCs/>
                <w:iCs/>
                <w:noProof/>
                <w:color w:val="000000"/>
                <w:sz w:val="20"/>
                <w:highlight w:val="black"/>
              </w:rPr>
              <w:t>''''''''''''''''''''</w:t>
            </w:r>
          </w:p>
        </w:tc>
        <w:tc>
          <w:tcPr>
            <w:tcW w:w="1078" w:type="dxa"/>
            <w:vAlign w:val="center"/>
          </w:tcPr>
          <w:p w:rsidR="00772F31" w:rsidRPr="00517553" w:rsidRDefault="00772F31" w:rsidP="008F4262">
            <w:pPr>
              <w:widowControl/>
              <w:jc w:val="center"/>
              <w:rPr>
                <w:rFonts w:ascii="Arial Narrow" w:hAnsi="Arial Narrow"/>
                <w:b/>
                <w:bCs/>
                <w:iCs/>
                <w:sz w:val="20"/>
              </w:rPr>
            </w:pPr>
            <w:r w:rsidRPr="00517553">
              <w:rPr>
                <w:rFonts w:ascii="Arial Narrow" w:hAnsi="Arial Narrow"/>
                <w:b/>
                <w:bCs/>
                <w:iCs/>
                <w:sz w:val="20"/>
              </w:rPr>
              <w:t>$</w:t>
            </w:r>
            <w:r w:rsidR="0017165E">
              <w:rPr>
                <w:rFonts w:ascii="Arial Narrow" w:hAnsi="Arial Narrow"/>
                <w:b/>
                <w:bCs/>
                <w:iCs/>
                <w:noProof/>
                <w:color w:val="000000"/>
                <w:sz w:val="20"/>
                <w:highlight w:val="black"/>
              </w:rPr>
              <w:t>'''''''''''''''''''''</w:t>
            </w:r>
          </w:p>
        </w:tc>
      </w:tr>
    </w:tbl>
    <w:p w:rsidR="00772F31" w:rsidRPr="00517553" w:rsidRDefault="00772F31" w:rsidP="008F4262">
      <w:pPr>
        <w:widowControl/>
        <w:ind w:left="709"/>
        <w:rPr>
          <w:rFonts w:ascii="Arial Narrow" w:hAnsi="Arial Narrow"/>
          <w:iCs/>
          <w:sz w:val="18"/>
        </w:rPr>
      </w:pPr>
      <w:r w:rsidRPr="00517553">
        <w:rPr>
          <w:rFonts w:ascii="Arial Narrow" w:hAnsi="Arial Narrow"/>
          <w:iCs/>
          <w:sz w:val="18"/>
        </w:rPr>
        <w:t xml:space="preserve">Italics show differences due the correction of the proportion of macular holes associated with VMT from 73% used in the excel file to 74% stated in the </w:t>
      </w:r>
      <w:r w:rsidR="002A29D8" w:rsidRPr="00517553">
        <w:rPr>
          <w:rFonts w:ascii="Arial Narrow" w:hAnsi="Arial Narrow"/>
          <w:iCs/>
          <w:sz w:val="18"/>
        </w:rPr>
        <w:t>re-</w:t>
      </w:r>
      <w:r w:rsidRPr="00517553">
        <w:rPr>
          <w:rFonts w:ascii="Arial Narrow" w:hAnsi="Arial Narrow"/>
          <w:iCs/>
          <w:sz w:val="18"/>
        </w:rPr>
        <w:t xml:space="preserve">submission and reported in the source publication. </w:t>
      </w:r>
    </w:p>
    <w:p w:rsidR="0004231D" w:rsidRDefault="00772F31" w:rsidP="008F4262">
      <w:pPr>
        <w:pStyle w:val="TableFooter"/>
        <w:widowControl/>
        <w:ind w:left="709"/>
      </w:pPr>
      <w:r w:rsidRPr="00517553">
        <w:t xml:space="preserve">Source: Tables 109, 110, 111, 113, 114, 115, 117, 118, 121 and 122, pp261-279 of the </w:t>
      </w:r>
      <w:r w:rsidR="002A29D8" w:rsidRPr="00517553">
        <w:t>re-</w:t>
      </w:r>
      <w:r w:rsidRPr="00517553">
        <w:t>submission; ‘</w:t>
      </w:r>
      <w:proofErr w:type="spellStart"/>
      <w:r w:rsidRPr="00517553">
        <w:t>Ocriplasmin</w:t>
      </w:r>
      <w:proofErr w:type="spellEnd"/>
      <w:r w:rsidRPr="00517553">
        <w:t xml:space="preserve"> Section E November 2015 PBAC submission.xls</w:t>
      </w:r>
    </w:p>
    <w:p w:rsidR="0073216F" w:rsidRDefault="0073216F" w:rsidP="008F4262">
      <w:pPr>
        <w:pStyle w:val="TableFooter"/>
        <w:widowControl/>
        <w:ind w:left="709"/>
      </w:pPr>
    </w:p>
    <w:p w:rsidR="0073216F" w:rsidRPr="0073216F" w:rsidRDefault="0073216F" w:rsidP="008F4262">
      <w:pPr>
        <w:pStyle w:val="TableFooter"/>
        <w:widowControl/>
        <w:ind w:left="709"/>
        <w:rPr>
          <w:rFonts w:ascii="Arial" w:hAnsi="Arial"/>
          <w:sz w:val="22"/>
        </w:rPr>
      </w:pPr>
      <w:r w:rsidRPr="0073216F">
        <w:rPr>
          <w:rFonts w:ascii="Arial" w:hAnsi="Arial"/>
          <w:sz w:val="22"/>
        </w:rPr>
        <w:t>The redacted table above shows that at year 5, the estimated number of patients will be less than 10,000 and the estimated cost to PBS will be less</w:t>
      </w:r>
      <w:r>
        <w:rPr>
          <w:rFonts w:ascii="Arial" w:hAnsi="Arial"/>
          <w:sz w:val="22"/>
        </w:rPr>
        <w:t xml:space="preserve"> </w:t>
      </w:r>
      <w:r w:rsidRPr="0073216F">
        <w:rPr>
          <w:rFonts w:ascii="Arial" w:hAnsi="Arial"/>
          <w:sz w:val="22"/>
        </w:rPr>
        <w:t>than $10 million.</w:t>
      </w:r>
    </w:p>
    <w:p w:rsidR="00C25D9C" w:rsidRPr="00517553" w:rsidRDefault="00C25D9C" w:rsidP="008F4262">
      <w:pPr>
        <w:widowControl/>
        <w:rPr>
          <w:szCs w:val="22"/>
        </w:rPr>
      </w:pPr>
    </w:p>
    <w:p w:rsidR="00C25D9C" w:rsidRPr="00517553" w:rsidRDefault="00BE3C50" w:rsidP="008F4262">
      <w:pPr>
        <w:pStyle w:val="ListParagraph"/>
        <w:widowControl/>
        <w:numPr>
          <w:ilvl w:val="1"/>
          <w:numId w:val="1"/>
        </w:numPr>
        <w:rPr>
          <w:szCs w:val="22"/>
        </w:rPr>
      </w:pPr>
      <w:r w:rsidRPr="00517553">
        <w:t xml:space="preserve">The financial implications presented in the </w:t>
      </w:r>
      <w:r w:rsidR="00CE7846" w:rsidRPr="00517553">
        <w:t xml:space="preserve">integrated </w:t>
      </w:r>
      <w:r w:rsidRPr="00517553">
        <w:t xml:space="preserve">co-dependent </w:t>
      </w:r>
      <w:r w:rsidR="00CE7846" w:rsidRPr="00517553">
        <w:t>submission</w:t>
      </w:r>
      <w:r w:rsidRPr="00517553">
        <w:t xml:space="preserve"> estimated a net cost of </w:t>
      </w:r>
      <w:proofErr w:type="spellStart"/>
      <w:r w:rsidRPr="00517553">
        <w:t>ocriplasmin</w:t>
      </w:r>
      <w:proofErr w:type="spellEnd"/>
      <w:r w:rsidRPr="00517553">
        <w:t xml:space="preserve"> to the health budget of </w:t>
      </w:r>
      <w:r w:rsidR="00270454">
        <w:t xml:space="preserve">less than $10 million </w:t>
      </w:r>
      <w:r w:rsidRPr="00517553">
        <w:t xml:space="preserve">in Year 1 increasing to </w:t>
      </w:r>
      <w:r w:rsidR="00270454">
        <w:t xml:space="preserve">less than $10 million </w:t>
      </w:r>
      <w:r w:rsidRPr="00517553">
        <w:t>in Year 5.</w:t>
      </w:r>
    </w:p>
    <w:p w:rsidR="00BE3C50" w:rsidRPr="00517553" w:rsidRDefault="00BE3C50" w:rsidP="008F4262">
      <w:pPr>
        <w:widowControl/>
        <w:rPr>
          <w:szCs w:val="22"/>
        </w:rPr>
      </w:pPr>
    </w:p>
    <w:p w:rsidR="00BE3C50" w:rsidRPr="00517553" w:rsidRDefault="00BE3C50" w:rsidP="008F4262">
      <w:pPr>
        <w:pStyle w:val="ListParagraph"/>
        <w:widowControl/>
        <w:numPr>
          <w:ilvl w:val="1"/>
          <w:numId w:val="1"/>
        </w:numPr>
        <w:rPr>
          <w:szCs w:val="24"/>
        </w:rPr>
      </w:pPr>
      <w:r w:rsidRPr="00517553">
        <w:rPr>
          <w:szCs w:val="24"/>
        </w:rPr>
        <w:t>Although the estimated incidence of VMT appear</w:t>
      </w:r>
      <w:r w:rsidR="00310B4E" w:rsidRPr="00517553">
        <w:rPr>
          <w:szCs w:val="24"/>
        </w:rPr>
        <w:t>ed</w:t>
      </w:r>
      <w:r w:rsidRPr="00517553">
        <w:rPr>
          <w:szCs w:val="24"/>
        </w:rPr>
        <w:t xml:space="preserve"> to </w:t>
      </w:r>
      <w:r w:rsidR="00310B4E" w:rsidRPr="00517553">
        <w:rPr>
          <w:szCs w:val="24"/>
        </w:rPr>
        <w:t>be generally reasonable, there wa</w:t>
      </w:r>
      <w:r w:rsidRPr="00517553">
        <w:rPr>
          <w:szCs w:val="24"/>
        </w:rPr>
        <w:t>s a potential for the number of eligible patients to be greater than the estimate in the re-</w:t>
      </w:r>
      <w:r w:rsidRPr="00517553">
        <w:t>submission</w:t>
      </w:r>
      <w:r w:rsidRPr="00517553">
        <w:rPr>
          <w:szCs w:val="24"/>
        </w:rPr>
        <w:t>, notwithstanding the potential to misdiagnose ERM or the true adhesion diameter, given:</w:t>
      </w:r>
    </w:p>
    <w:p w:rsidR="00BE3C50" w:rsidRPr="006A4D74" w:rsidRDefault="00BE3C50" w:rsidP="008F4262">
      <w:pPr>
        <w:pStyle w:val="ListParagraph"/>
        <w:widowControl/>
        <w:numPr>
          <w:ilvl w:val="0"/>
          <w:numId w:val="4"/>
        </w:numPr>
        <w:ind w:left="993" w:hanging="284"/>
        <w:rPr>
          <w:szCs w:val="24"/>
        </w:rPr>
      </w:pPr>
      <w:bookmarkStart w:id="17" w:name="_Toc440964234"/>
      <w:r w:rsidRPr="006A4D74">
        <w:rPr>
          <w:szCs w:val="24"/>
        </w:rPr>
        <w:t>The proportion of patients who meet the newly proposed eligibility criteria (</w:t>
      </w:r>
      <w:r w:rsidR="0017165E">
        <w:rPr>
          <w:noProof/>
          <w:color w:val="000000"/>
          <w:szCs w:val="24"/>
          <w:highlight w:val="black"/>
        </w:rPr>
        <w:t>''''''''''''</w:t>
      </w:r>
      <w:r w:rsidRPr="006A4D74">
        <w:rPr>
          <w:szCs w:val="24"/>
        </w:rPr>
        <w:t xml:space="preserve">%) may be underestimated given </w:t>
      </w:r>
      <w:r w:rsidR="0017165E">
        <w:rPr>
          <w:noProof/>
          <w:color w:val="000000"/>
          <w:szCs w:val="24"/>
          <w:highlight w:val="black"/>
        </w:rPr>
        <w:t>''''''''''</w:t>
      </w:r>
      <w:r w:rsidRPr="006A4D74">
        <w:rPr>
          <w:szCs w:val="24"/>
        </w:rPr>
        <w:t>% in OASIS met this criteria; and</w:t>
      </w:r>
      <w:bookmarkEnd w:id="17"/>
    </w:p>
    <w:p w:rsidR="00BE3C50" w:rsidRPr="00517553" w:rsidRDefault="00BE3C50" w:rsidP="008F4262">
      <w:pPr>
        <w:pStyle w:val="ListParagraph"/>
        <w:widowControl/>
        <w:numPr>
          <w:ilvl w:val="0"/>
          <w:numId w:val="4"/>
        </w:numPr>
        <w:ind w:left="993" w:hanging="284"/>
        <w:rPr>
          <w:szCs w:val="22"/>
        </w:rPr>
      </w:pPr>
      <w:r w:rsidRPr="00517553">
        <w:rPr>
          <w:szCs w:val="24"/>
        </w:rPr>
        <w:t xml:space="preserve">The prevalent population of unresolved VMT may be higher than the incident population of VMT since this estimate </w:t>
      </w:r>
      <w:r w:rsidR="009746C7" w:rsidRPr="00517553">
        <w:rPr>
          <w:szCs w:val="24"/>
        </w:rPr>
        <w:t>wa</w:t>
      </w:r>
      <w:r w:rsidRPr="00517553">
        <w:rPr>
          <w:szCs w:val="24"/>
        </w:rPr>
        <w:t xml:space="preserve">s based on the assumption </w:t>
      </w:r>
      <w:r w:rsidR="00825337" w:rsidRPr="00517553">
        <w:rPr>
          <w:szCs w:val="24"/>
        </w:rPr>
        <w:t xml:space="preserve">from the integrated co-dependent submission </w:t>
      </w:r>
      <w:r w:rsidRPr="00517553">
        <w:rPr>
          <w:szCs w:val="24"/>
        </w:rPr>
        <w:t xml:space="preserve">that patients are only considered for active treatment within the first two years of diagnosis.  </w:t>
      </w:r>
      <w:r w:rsidR="009746C7" w:rsidRPr="00517553">
        <w:rPr>
          <w:szCs w:val="24"/>
        </w:rPr>
        <w:t>T</w:t>
      </w:r>
      <w:r w:rsidRPr="00517553">
        <w:rPr>
          <w:szCs w:val="24"/>
        </w:rPr>
        <w:t xml:space="preserve">he ESC considered </w:t>
      </w:r>
      <w:r w:rsidR="009746C7" w:rsidRPr="00517553">
        <w:rPr>
          <w:szCs w:val="24"/>
        </w:rPr>
        <w:t xml:space="preserve">that </w:t>
      </w:r>
      <w:r w:rsidRPr="00517553">
        <w:rPr>
          <w:szCs w:val="24"/>
        </w:rPr>
        <w:t xml:space="preserve">this assumption </w:t>
      </w:r>
      <w:r w:rsidR="009746C7" w:rsidRPr="00517553">
        <w:rPr>
          <w:szCs w:val="24"/>
        </w:rPr>
        <w:t xml:space="preserve">was </w:t>
      </w:r>
      <w:r w:rsidRPr="00517553">
        <w:rPr>
          <w:szCs w:val="24"/>
        </w:rPr>
        <w:t xml:space="preserve">unreasonable and </w:t>
      </w:r>
      <w:r w:rsidR="009746C7" w:rsidRPr="00517553">
        <w:rPr>
          <w:szCs w:val="24"/>
        </w:rPr>
        <w:t xml:space="preserve">it </w:t>
      </w:r>
      <w:r w:rsidRPr="00517553">
        <w:rPr>
          <w:szCs w:val="24"/>
        </w:rPr>
        <w:t>was not used to derive the current estimates.</w:t>
      </w:r>
    </w:p>
    <w:p w:rsidR="00576972" w:rsidRPr="00517553" w:rsidRDefault="00576972" w:rsidP="008F4262">
      <w:pPr>
        <w:widowControl/>
        <w:rPr>
          <w:szCs w:val="22"/>
        </w:rPr>
      </w:pPr>
    </w:p>
    <w:p w:rsidR="00BE3C50" w:rsidRPr="00E23349" w:rsidRDefault="00310B4E" w:rsidP="008F4262">
      <w:pPr>
        <w:pStyle w:val="ListParagraph"/>
        <w:widowControl/>
        <w:numPr>
          <w:ilvl w:val="1"/>
          <w:numId w:val="1"/>
        </w:numPr>
        <w:rPr>
          <w:szCs w:val="22"/>
        </w:rPr>
      </w:pPr>
      <w:r w:rsidRPr="00517553">
        <w:t>There wa</w:t>
      </w:r>
      <w:r w:rsidR="00BE3C50" w:rsidRPr="00517553">
        <w:t xml:space="preserve">s potential for the net cost/year for the PBS to be </w:t>
      </w:r>
      <w:r w:rsidRPr="00517553">
        <w:t>greater than that</w:t>
      </w:r>
      <w:r w:rsidR="00BE3C50" w:rsidRPr="00517553">
        <w:t xml:space="preserve"> estimate</w:t>
      </w:r>
      <w:r w:rsidRPr="00517553">
        <w:t>d</w:t>
      </w:r>
      <w:r w:rsidR="00BE3C50" w:rsidRPr="00517553">
        <w:t xml:space="preserve"> in the </w:t>
      </w:r>
      <w:r w:rsidR="000C4D7C" w:rsidRPr="00517553">
        <w:t>re-</w:t>
      </w:r>
      <w:r w:rsidR="00BE3C50" w:rsidRPr="00517553">
        <w:rPr>
          <w:szCs w:val="24"/>
        </w:rPr>
        <w:t>submission</w:t>
      </w:r>
      <w:r w:rsidR="00BE3C50" w:rsidRPr="00517553">
        <w:t xml:space="preserve"> </w:t>
      </w:r>
      <w:r w:rsidR="00211A8C" w:rsidRPr="00517553">
        <w:t xml:space="preserve">(a) </w:t>
      </w:r>
      <w:r w:rsidR="00BE3C50" w:rsidRPr="00517553">
        <w:t>given that the eligible population and number of patients treated may have been underestimated</w:t>
      </w:r>
      <w:r w:rsidR="00211A8C" w:rsidRPr="00517553">
        <w:t>;</w:t>
      </w:r>
      <w:r w:rsidR="00BE3C50" w:rsidRPr="00517553">
        <w:t xml:space="preserve"> </w:t>
      </w:r>
      <w:r w:rsidR="00211A8C" w:rsidRPr="00517553">
        <w:t>(b)</w:t>
      </w:r>
      <w:r w:rsidR="00BE3C50" w:rsidRPr="00517553">
        <w:t xml:space="preserve"> due to the potential use of </w:t>
      </w:r>
      <w:proofErr w:type="spellStart"/>
      <w:r w:rsidR="00BE3C50" w:rsidRPr="00517553">
        <w:t>ocriplasmin</w:t>
      </w:r>
      <w:proofErr w:type="spellEnd"/>
      <w:r w:rsidR="00BE3C50" w:rsidRPr="00517553">
        <w:t xml:space="preserve"> outside the requested listing</w:t>
      </w:r>
      <w:r w:rsidR="00FA1CC2" w:rsidRPr="00517553">
        <w:t xml:space="preserve"> </w:t>
      </w:r>
      <w:r w:rsidR="00211A8C" w:rsidRPr="00517553">
        <w:t>(</w:t>
      </w:r>
      <w:r w:rsidR="00930375" w:rsidRPr="00517553">
        <w:t>as</w:t>
      </w:r>
      <w:r w:rsidR="00FA1CC2" w:rsidRPr="00517553">
        <w:t xml:space="preserve"> the </w:t>
      </w:r>
      <w:r w:rsidR="00FA1CC2" w:rsidRPr="00517553">
        <w:rPr>
          <w:iCs/>
        </w:rPr>
        <w:t xml:space="preserve">financial estimates </w:t>
      </w:r>
      <w:r w:rsidRPr="00517553">
        <w:rPr>
          <w:iCs/>
        </w:rPr>
        <w:t>we</w:t>
      </w:r>
      <w:r w:rsidR="00FA1CC2" w:rsidRPr="00517553">
        <w:rPr>
          <w:iCs/>
        </w:rPr>
        <w:t xml:space="preserve">re most sensitive to accounting for use in patients with ERM and/or adhesion diameter </w:t>
      </w:r>
      <w:r w:rsidR="00FA1CC2" w:rsidRPr="00517553">
        <w:rPr>
          <w:iCs/>
        </w:rPr>
        <w:lastRenderedPageBreak/>
        <w:t>&gt;1500</w:t>
      </w:r>
      <w:r w:rsidR="001D0B49" w:rsidRPr="00517553">
        <w:rPr>
          <w:iCs/>
        </w:rPr>
        <w:t> </w:t>
      </w:r>
      <w:r w:rsidR="00FA1CC2" w:rsidRPr="00517553">
        <w:rPr>
          <w:iCs/>
        </w:rPr>
        <w:t xml:space="preserve">µm (patients excluded </w:t>
      </w:r>
      <w:r w:rsidR="00930375" w:rsidRPr="00517553">
        <w:rPr>
          <w:iCs/>
        </w:rPr>
        <w:t>by</w:t>
      </w:r>
      <w:r w:rsidR="00FA1CC2" w:rsidRPr="00517553">
        <w:rPr>
          <w:iCs/>
        </w:rPr>
        <w:t xml:space="preserve"> the restriction)</w:t>
      </w:r>
      <w:r w:rsidR="00211A8C" w:rsidRPr="00517553">
        <w:rPr>
          <w:iCs/>
        </w:rPr>
        <w:t>):</w:t>
      </w:r>
      <w:r w:rsidR="00FA1CC2" w:rsidRPr="00517553">
        <w:rPr>
          <w:iCs/>
        </w:rPr>
        <w:t xml:space="preserve"> and </w:t>
      </w:r>
      <w:r w:rsidR="00211A8C" w:rsidRPr="00517553">
        <w:rPr>
          <w:iCs/>
        </w:rPr>
        <w:t xml:space="preserve">(c) </w:t>
      </w:r>
      <w:r w:rsidR="00FA1CC2" w:rsidRPr="00517553">
        <w:rPr>
          <w:iCs/>
        </w:rPr>
        <w:t>the uptake assumptions</w:t>
      </w:r>
      <w:r w:rsidR="00BE3C50" w:rsidRPr="00517553">
        <w:t>.</w:t>
      </w:r>
      <w:r w:rsidR="002E6976">
        <w:t xml:space="preserve"> </w:t>
      </w:r>
      <w:r w:rsidR="002E6976" w:rsidRPr="00E23349">
        <w:t xml:space="preserve">The ESC considered there was </w:t>
      </w:r>
      <w:r w:rsidR="00014FE0" w:rsidRPr="00E23349">
        <w:t xml:space="preserve">a </w:t>
      </w:r>
      <w:r w:rsidR="002E6976" w:rsidRPr="00E23349">
        <w:t xml:space="preserve">risk that </w:t>
      </w:r>
      <w:proofErr w:type="spellStart"/>
      <w:r w:rsidR="002E6976" w:rsidRPr="00E23349">
        <w:t>ocriplasmin</w:t>
      </w:r>
      <w:proofErr w:type="spellEnd"/>
      <w:r w:rsidR="002E6976" w:rsidRPr="00E23349">
        <w:t xml:space="preserve"> may be used outside of the restriction proposed in the submission.</w:t>
      </w:r>
    </w:p>
    <w:p w:rsidR="00E23349" w:rsidRPr="00DC185F" w:rsidRDefault="00E23349" w:rsidP="008F4262">
      <w:pPr>
        <w:widowControl/>
        <w:rPr>
          <w:szCs w:val="22"/>
        </w:rPr>
      </w:pPr>
    </w:p>
    <w:p w:rsidR="00576972" w:rsidRPr="00014FE0" w:rsidRDefault="00576972" w:rsidP="008F4262">
      <w:pPr>
        <w:pStyle w:val="Heading2"/>
        <w:widowControl/>
        <w:rPr>
          <w:i/>
          <w:szCs w:val="22"/>
        </w:rPr>
      </w:pPr>
      <w:bookmarkStart w:id="18" w:name="_Toc440964236"/>
      <w:r w:rsidRPr="00014FE0">
        <w:rPr>
          <w:i/>
        </w:rPr>
        <w:t>Financial Management – Risk Sharing Arrangements</w:t>
      </w:r>
      <w:bookmarkEnd w:id="18"/>
    </w:p>
    <w:p w:rsidR="00C25D9C" w:rsidRPr="00517553" w:rsidRDefault="00C25D9C" w:rsidP="008F4262">
      <w:pPr>
        <w:widowControl/>
        <w:rPr>
          <w:szCs w:val="22"/>
        </w:rPr>
      </w:pPr>
    </w:p>
    <w:p w:rsidR="00A73DAE" w:rsidRPr="00243DEC" w:rsidRDefault="00A73DAE" w:rsidP="008F4262">
      <w:pPr>
        <w:pStyle w:val="ListParagraph"/>
        <w:widowControl/>
        <w:numPr>
          <w:ilvl w:val="1"/>
          <w:numId w:val="1"/>
        </w:numPr>
        <w:rPr>
          <w:bCs/>
          <w:szCs w:val="22"/>
          <w:lang w:val="en-GB"/>
        </w:rPr>
      </w:pPr>
      <w:r w:rsidRPr="00243DEC">
        <w:rPr>
          <w:iCs/>
        </w:rPr>
        <w:t xml:space="preserve">The PBAC considered that the cost to Government may be underestimated, at the proposed price, </w:t>
      </w:r>
      <w:r>
        <w:rPr>
          <w:iCs/>
        </w:rPr>
        <w:t xml:space="preserve">due to </w:t>
      </w:r>
      <w:r w:rsidRPr="00243DEC">
        <w:rPr>
          <w:iCs/>
        </w:rPr>
        <w:t xml:space="preserve">leakage outside the proposed restriction, </w:t>
      </w:r>
      <w:r>
        <w:rPr>
          <w:iCs/>
        </w:rPr>
        <w:t xml:space="preserve">for example, </w:t>
      </w:r>
      <w:r w:rsidRPr="00243DEC">
        <w:rPr>
          <w:iCs/>
        </w:rPr>
        <w:t xml:space="preserve">into the patient population with ERM or </w:t>
      </w:r>
      <w:r>
        <w:rPr>
          <w:iCs/>
        </w:rPr>
        <w:t xml:space="preserve">with </w:t>
      </w:r>
      <w:r w:rsidRPr="00243DEC">
        <w:rPr>
          <w:iCs/>
        </w:rPr>
        <w:t>adhesion diameter &gt;1500</w:t>
      </w:r>
      <w:r>
        <w:rPr>
          <w:iCs/>
        </w:rPr>
        <w:t> </w:t>
      </w:r>
      <w:r w:rsidRPr="00243DEC">
        <w:rPr>
          <w:iCs/>
        </w:rPr>
        <w:t xml:space="preserve">µm, which </w:t>
      </w:r>
      <w:r>
        <w:rPr>
          <w:iCs/>
        </w:rPr>
        <w:t xml:space="preserve">together </w:t>
      </w:r>
      <w:r w:rsidRPr="00243DEC">
        <w:rPr>
          <w:iCs/>
        </w:rPr>
        <w:t>may represent 57</w:t>
      </w:r>
      <w:r>
        <w:rPr>
          <w:iCs/>
        </w:rPr>
        <w:t xml:space="preserve">% of the total VMT population.  For this reason, the PBAC recommended that a Risk Share Arrangement be negotiated, suggesting that a rebate </w:t>
      </w:r>
      <w:r w:rsidR="004F6355">
        <w:rPr>
          <w:iCs/>
        </w:rPr>
        <w:t xml:space="preserve">should </w:t>
      </w:r>
      <w:r>
        <w:rPr>
          <w:iCs/>
        </w:rPr>
        <w:t xml:space="preserve">apply </w:t>
      </w:r>
      <w:r w:rsidR="004F6355">
        <w:rPr>
          <w:iCs/>
        </w:rPr>
        <w:t xml:space="preserve">where the majority of Commonwealth </w:t>
      </w:r>
      <w:r>
        <w:rPr>
          <w:iCs/>
        </w:rPr>
        <w:t xml:space="preserve">expenditure </w:t>
      </w:r>
      <w:r w:rsidR="004F6355">
        <w:t xml:space="preserve">is reimbursed above any financial cap, which </w:t>
      </w:r>
      <w:r w:rsidR="004F6355">
        <w:rPr>
          <w:iCs/>
        </w:rPr>
        <w:t>reflects</w:t>
      </w:r>
      <w:r>
        <w:rPr>
          <w:iCs/>
        </w:rPr>
        <w:t xml:space="preserve"> utilisation </w:t>
      </w:r>
      <w:r w:rsidR="00AC4BC9">
        <w:rPr>
          <w:iCs/>
        </w:rPr>
        <w:t xml:space="preserve">above the </w:t>
      </w:r>
      <w:r w:rsidR="004F6355">
        <w:rPr>
          <w:iCs/>
        </w:rPr>
        <w:t xml:space="preserve">relevant </w:t>
      </w:r>
      <w:r w:rsidR="00AC4BC9">
        <w:rPr>
          <w:iCs/>
        </w:rPr>
        <w:t>patient estimate in the sponsor’s submission</w:t>
      </w:r>
      <w:r>
        <w:rPr>
          <w:iCs/>
        </w:rPr>
        <w:t>.</w:t>
      </w:r>
    </w:p>
    <w:p w:rsidR="00A73DAE" w:rsidRPr="001D335C" w:rsidRDefault="00A73DAE" w:rsidP="008F4262">
      <w:pPr>
        <w:widowControl/>
        <w:rPr>
          <w:bCs/>
          <w:szCs w:val="22"/>
          <w:lang w:val="en-GB"/>
        </w:rPr>
      </w:pPr>
    </w:p>
    <w:p w:rsidR="00035D87" w:rsidRDefault="00035D87" w:rsidP="008F4262">
      <w:pPr>
        <w:pStyle w:val="BodyText"/>
        <w:widowControl/>
        <w:ind w:firstLine="720"/>
        <w:rPr>
          <w:szCs w:val="22"/>
        </w:rPr>
      </w:pPr>
      <w:r w:rsidRPr="00243DEC">
        <w:rPr>
          <w:i/>
          <w:szCs w:val="22"/>
        </w:rPr>
        <w:t>For more detail on PBAC’s view, see section 7 “PBAC outcome”</w:t>
      </w:r>
      <w:r w:rsidR="001D335C">
        <w:rPr>
          <w:i/>
          <w:szCs w:val="22"/>
        </w:rPr>
        <w:t>.</w:t>
      </w:r>
    </w:p>
    <w:p w:rsidR="00035D87" w:rsidRDefault="00035D87" w:rsidP="008F4262">
      <w:pPr>
        <w:widowControl/>
        <w:contextualSpacing/>
        <w:rPr>
          <w:bCs/>
          <w:szCs w:val="22"/>
        </w:rPr>
      </w:pPr>
    </w:p>
    <w:p w:rsidR="00035D87" w:rsidRDefault="00035D87" w:rsidP="008F4262">
      <w:pPr>
        <w:widowControl/>
        <w:rPr>
          <w:bCs/>
          <w:szCs w:val="22"/>
        </w:rPr>
      </w:pPr>
    </w:p>
    <w:p w:rsidR="00035D87" w:rsidRPr="00701164" w:rsidRDefault="00035D87" w:rsidP="008F4262">
      <w:pPr>
        <w:pStyle w:val="PBACheading1"/>
      </w:pPr>
      <w:r w:rsidRPr="00701164">
        <w:t>PBAC Outcome</w:t>
      </w:r>
    </w:p>
    <w:p w:rsidR="00035D87" w:rsidRPr="00F331B0" w:rsidRDefault="00035D87" w:rsidP="008F4262">
      <w:pPr>
        <w:widowControl/>
        <w:contextualSpacing/>
        <w:rPr>
          <w:bCs/>
          <w:szCs w:val="22"/>
          <w:lang w:val="en-GB"/>
        </w:rPr>
      </w:pPr>
    </w:p>
    <w:p w:rsidR="00035D87" w:rsidRPr="00243DEC" w:rsidRDefault="00035D87" w:rsidP="008F4262">
      <w:pPr>
        <w:widowControl/>
        <w:numPr>
          <w:ilvl w:val="1"/>
          <w:numId w:val="12"/>
        </w:numPr>
        <w:contextualSpacing/>
        <w:rPr>
          <w:bCs/>
          <w:szCs w:val="22"/>
          <w:lang w:val="en-GB"/>
        </w:rPr>
      </w:pPr>
      <w:r w:rsidRPr="00243DEC">
        <w:rPr>
          <w:bCs/>
          <w:szCs w:val="22"/>
          <w:lang w:val="en-GB"/>
        </w:rPr>
        <w:t>The PBAC recommended the</w:t>
      </w:r>
      <w:r w:rsidR="00BE1703" w:rsidRPr="00243DEC">
        <w:rPr>
          <w:bCs/>
          <w:szCs w:val="22"/>
          <w:lang w:val="en-GB"/>
        </w:rPr>
        <w:t xml:space="preserve"> Authority required (TELEPHONE)</w:t>
      </w:r>
      <w:r w:rsidRPr="00243DEC">
        <w:rPr>
          <w:bCs/>
          <w:szCs w:val="22"/>
          <w:lang w:val="en-GB"/>
        </w:rPr>
        <w:t xml:space="preserve"> listing of </w:t>
      </w:r>
      <w:proofErr w:type="spellStart"/>
      <w:r w:rsidR="00BE1703" w:rsidRPr="00243DEC">
        <w:rPr>
          <w:bCs/>
          <w:szCs w:val="22"/>
          <w:lang w:val="en-GB"/>
        </w:rPr>
        <w:t>ocriplasmin</w:t>
      </w:r>
      <w:proofErr w:type="spellEnd"/>
      <w:r w:rsidR="00BE1703" w:rsidRPr="00243DEC">
        <w:rPr>
          <w:bCs/>
          <w:szCs w:val="22"/>
          <w:lang w:val="en-GB"/>
        </w:rPr>
        <w:t xml:space="preserve"> for the treatment of </w:t>
      </w:r>
      <w:proofErr w:type="spellStart"/>
      <w:r w:rsidR="00BE1703" w:rsidRPr="00243DEC">
        <w:rPr>
          <w:bCs/>
          <w:szCs w:val="22"/>
          <w:lang w:val="en-GB"/>
        </w:rPr>
        <w:t>vitreomacular</w:t>
      </w:r>
      <w:proofErr w:type="spellEnd"/>
      <w:r w:rsidR="00BE1703" w:rsidRPr="00243DEC">
        <w:rPr>
          <w:bCs/>
          <w:szCs w:val="22"/>
          <w:lang w:val="en-GB"/>
        </w:rPr>
        <w:t xml:space="preserve"> traction (VMT) excluding patients with </w:t>
      </w:r>
      <w:proofErr w:type="spellStart"/>
      <w:r w:rsidR="00BE1703" w:rsidRPr="00243DEC">
        <w:rPr>
          <w:bCs/>
          <w:szCs w:val="22"/>
          <w:lang w:val="en-GB"/>
        </w:rPr>
        <w:t>epiretinal</w:t>
      </w:r>
      <w:proofErr w:type="spellEnd"/>
      <w:r w:rsidR="00BE1703" w:rsidRPr="00243DEC">
        <w:rPr>
          <w:bCs/>
          <w:szCs w:val="22"/>
          <w:lang w:val="en-GB"/>
        </w:rPr>
        <w:t xml:space="preserve"> membrane (ERM) or </w:t>
      </w:r>
      <w:proofErr w:type="spellStart"/>
      <w:r w:rsidR="00B214FB" w:rsidRPr="00517553">
        <w:t>vitreomacular</w:t>
      </w:r>
      <w:proofErr w:type="spellEnd"/>
      <w:r w:rsidR="00B214FB" w:rsidRPr="00243DEC">
        <w:rPr>
          <w:bCs/>
          <w:szCs w:val="22"/>
          <w:lang w:val="en-GB"/>
        </w:rPr>
        <w:t xml:space="preserve"> </w:t>
      </w:r>
      <w:r w:rsidR="00BE1703" w:rsidRPr="00243DEC">
        <w:rPr>
          <w:bCs/>
          <w:szCs w:val="22"/>
          <w:lang w:val="en-GB"/>
        </w:rPr>
        <w:t>adhesion diameter &gt;1500</w:t>
      </w:r>
      <w:r w:rsidR="004C2554">
        <w:rPr>
          <w:bCs/>
          <w:szCs w:val="22"/>
          <w:lang w:val="en-GB"/>
        </w:rPr>
        <w:t> </w:t>
      </w:r>
      <w:r w:rsidR="00BE1703" w:rsidRPr="00243DEC">
        <w:rPr>
          <w:bCs/>
          <w:szCs w:val="22"/>
          <w:lang w:val="en-GB"/>
        </w:rPr>
        <w:t>µm</w:t>
      </w:r>
      <w:r w:rsidRPr="00243DEC">
        <w:rPr>
          <w:bCs/>
          <w:szCs w:val="22"/>
          <w:lang w:val="en-GB"/>
        </w:rPr>
        <w:t xml:space="preserve">, on the basis </w:t>
      </w:r>
      <w:r w:rsidR="00AD7C17">
        <w:rPr>
          <w:bCs/>
          <w:szCs w:val="22"/>
          <w:lang w:val="en-GB"/>
        </w:rPr>
        <w:t>of</w:t>
      </w:r>
      <w:r w:rsidRPr="00243DEC">
        <w:rPr>
          <w:bCs/>
          <w:szCs w:val="22"/>
          <w:lang w:val="en-GB"/>
        </w:rPr>
        <w:t xml:space="preserve"> </w:t>
      </w:r>
      <w:r w:rsidR="004C2554">
        <w:rPr>
          <w:bCs/>
          <w:szCs w:val="22"/>
          <w:lang w:val="en-GB"/>
        </w:rPr>
        <w:t xml:space="preserve">appropriately adjusted estimates of </w:t>
      </w:r>
      <w:r w:rsidR="00BE1703" w:rsidRPr="00243DEC">
        <w:rPr>
          <w:bCs/>
          <w:szCs w:val="22"/>
          <w:lang w:val="en-GB"/>
        </w:rPr>
        <w:t>cost-</w:t>
      </w:r>
      <w:r w:rsidR="00AD7C17" w:rsidRPr="00243DEC">
        <w:rPr>
          <w:bCs/>
          <w:szCs w:val="22"/>
          <w:lang w:val="en-GB"/>
        </w:rPr>
        <w:t>effectiveness</w:t>
      </w:r>
      <w:r w:rsidR="00BE1703" w:rsidRPr="00243DEC">
        <w:rPr>
          <w:bCs/>
          <w:szCs w:val="22"/>
          <w:lang w:val="en-GB"/>
        </w:rPr>
        <w:t xml:space="preserve"> compared to watchful wait</w:t>
      </w:r>
      <w:r w:rsidR="004C2554">
        <w:rPr>
          <w:bCs/>
          <w:szCs w:val="22"/>
          <w:lang w:val="en-GB"/>
        </w:rPr>
        <w:t xml:space="preserve">ing with or without </w:t>
      </w:r>
      <w:proofErr w:type="spellStart"/>
      <w:r w:rsidR="004C2554">
        <w:rPr>
          <w:bCs/>
          <w:szCs w:val="22"/>
          <w:lang w:val="en-GB"/>
        </w:rPr>
        <w:t>vitrectomy</w:t>
      </w:r>
      <w:proofErr w:type="spellEnd"/>
      <w:r w:rsidR="004C2554">
        <w:rPr>
          <w:bCs/>
          <w:szCs w:val="22"/>
          <w:lang w:val="en-GB"/>
        </w:rPr>
        <w:t>.</w:t>
      </w:r>
    </w:p>
    <w:p w:rsidR="00AD7C17" w:rsidRPr="00243DEC" w:rsidRDefault="00AD7C17" w:rsidP="008F4262">
      <w:pPr>
        <w:widowControl/>
        <w:contextualSpacing/>
        <w:rPr>
          <w:bCs/>
          <w:szCs w:val="22"/>
          <w:lang w:val="en-GB"/>
        </w:rPr>
      </w:pPr>
    </w:p>
    <w:p w:rsidR="00661DD3" w:rsidRPr="001A1018" w:rsidRDefault="0025013D" w:rsidP="008F4262">
      <w:pPr>
        <w:widowControl/>
        <w:numPr>
          <w:ilvl w:val="1"/>
          <w:numId w:val="12"/>
        </w:numPr>
        <w:contextualSpacing/>
        <w:rPr>
          <w:bCs/>
          <w:szCs w:val="22"/>
          <w:lang w:val="en-GB"/>
        </w:rPr>
      </w:pPr>
      <w:r w:rsidRPr="00243DEC">
        <w:rPr>
          <w:bCs/>
          <w:szCs w:val="22"/>
          <w:lang w:val="en-GB"/>
        </w:rPr>
        <w:t xml:space="preserve">The PBAC noted that, compared to the November 2014 submission, the </w:t>
      </w:r>
      <w:r w:rsidR="00AD7C17">
        <w:rPr>
          <w:bCs/>
          <w:szCs w:val="22"/>
          <w:lang w:val="en-GB"/>
        </w:rPr>
        <w:t>requested</w:t>
      </w:r>
      <w:r w:rsidRPr="00243DEC">
        <w:rPr>
          <w:bCs/>
          <w:szCs w:val="22"/>
          <w:lang w:val="en-GB"/>
        </w:rPr>
        <w:t xml:space="preserve"> restriction </w:t>
      </w:r>
      <w:r w:rsidRPr="00243DEC">
        <w:t>excluded patients with (</w:t>
      </w:r>
      <w:proofErr w:type="spellStart"/>
      <w:r w:rsidRPr="00243DEC">
        <w:t>i</w:t>
      </w:r>
      <w:proofErr w:type="spellEnd"/>
      <w:r w:rsidRPr="00243DEC">
        <w:t xml:space="preserve">) an adhesion diameter &gt;1500 µm and/or (ii) an </w:t>
      </w:r>
      <w:proofErr w:type="spellStart"/>
      <w:r w:rsidRPr="00243DEC">
        <w:t>epiretinal</w:t>
      </w:r>
      <w:proofErr w:type="spellEnd"/>
      <w:r w:rsidRPr="00243DEC">
        <w:t xml:space="preserve"> membrane and added criteria to align the requested restriction with the inclusion/exclusion criteria of the trial evidence.  </w:t>
      </w:r>
      <w:r w:rsidR="00661DD3" w:rsidRPr="001A1018">
        <w:rPr>
          <w:szCs w:val="22"/>
        </w:rPr>
        <w:t xml:space="preserve">The PBAC </w:t>
      </w:r>
      <w:r w:rsidRPr="001A1018">
        <w:rPr>
          <w:szCs w:val="22"/>
        </w:rPr>
        <w:t xml:space="preserve">recalled </w:t>
      </w:r>
      <w:r w:rsidR="00661DD3" w:rsidRPr="001A1018">
        <w:rPr>
          <w:szCs w:val="22"/>
        </w:rPr>
        <w:t xml:space="preserve">that the necessity for strict cold chain supply and storage (ensuring the product remains at all times at -20°C ± 5°C requires specialised refrigeration equipment), </w:t>
      </w:r>
      <w:r w:rsidR="00D30437" w:rsidRPr="001A1018">
        <w:rPr>
          <w:szCs w:val="22"/>
        </w:rPr>
        <w:t xml:space="preserve">together with the </w:t>
      </w:r>
      <w:r w:rsidRPr="001A1018">
        <w:rPr>
          <w:szCs w:val="22"/>
        </w:rPr>
        <w:t xml:space="preserve">importation </w:t>
      </w:r>
      <w:r w:rsidRPr="00243DEC">
        <w:t>on a patient by patient basis directly from the manufacturing site</w:t>
      </w:r>
      <w:r w:rsidR="00D30437" w:rsidRPr="00243DEC">
        <w:t xml:space="preserve"> (within 7-24 days) and</w:t>
      </w:r>
      <w:r w:rsidRPr="001A1018">
        <w:rPr>
          <w:szCs w:val="22"/>
        </w:rPr>
        <w:t xml:space="preserve"> </w:t>
      </w:r>
      <w:r w:rsidR="00661DD3" w:rsidRPr="001A1018">
        <w:rPr>
          <w:szCs w:val="22"/>
        </w:rPr>
        <w:t xml:space="preserve">the requirements for preparation and administration into the eye, </w:t>
      </w:r>
      <w:r w:rsidR="004C2554" w:rsidRPr="001A1018">
        <w:rPr>
          <w:szCs w:val="22"/>
        </w:rPr>
        <w:t xml:space="preserve">would </w:t>
      </w:r>
      <w:r w:rsidR="00661DD3" w:rsidRPr="001A1018">
        <w:rPr>
          <w:szCs w:val="22"/>
        </w:rPr>
        <w:t xml:space="preserve">mean that the usual dispensing arrangements through community pharmacists may not </w:t>
      </w:r>
      <w:r w:rsidRPr="001A1018">
        <w:rPr>
          <w:szCs w:val="22"/>
        </w:rPr>
        <w:t>be able to be implement</w:t>
      </w:r>
      <w:r w:rsidR="004C2554" w:rsidRPr="001A1018">
        <w:rPr>
          <w:szCs w:val="22"/>
        </w:rPr>
        <w:t>ed simply</w:t>
      </w:r>
      <w:r w:rsidR="00661DD3" w:rsidRPr="001A1018">
        <w:rPr>
          <w:szCs w:val="22"/>
        </w:rPr>
        <w:t xml:space="preserve">.  </w:t>
      </w:r>
      <w:r w:rsidR="004C2554" w:rsidRPr="001A1018">
        <w:rPr>
          <w:szCs w:val="22"/>
        </w:rPr>
        <w:t>Alt</w:t>
      </w:r>
      <w:r w:rsidR="00D30437" w:rsidRPr="001A1018">
        <w:rPr>
          <w:szCs w:val="22"/>
        </w:rPr>
        <w:t xml:space="preserve">hough the </w:t>
      </w:r>
      <w:r w:rsidR="00CE059E" w:rsidRPr="001A1018">
        <w:rPr>
          <w:szCs w:val="22"/>
        </w:rPr>
        <w:t>re</w:t>
      </w:r>
      <w:r w:rsidR="00825337" w:rsidRPr="001A1018">
        <w:rPr>
          <w:szCs w:val="22"/>
        </w:rPr>
        <w:t>-</w:t>
      </w:r>
      <w:r w:rsidR="00D30437" w:rsidRPr="001A1018">
        <w:rPr>
          <w:szCs w:val="22"/>
        </w:rPr>
        <w:t xml:space="preserve">submission stated that </w:t>
      </w:r>
      <w:r w:rsidR="00D30437" w:rsidRPr="00243DEC">
        <w:t xml:space="preserve">pharmacy involvement in the PBS dispensing of </w:t>
      </w:r>
      <w:proofErr w:type="spellStart"/>
      <w:r w:rsidR="00D30437" w:rsidRPr="00243DEC">
        <w:t>ocriplasmin</w:t>
      </w:r>
      <w:proofErr w:type="spellEnd"/>
      <w:r w:rsidR="00D30437" w:rsidRPr="00243DEC">
        <w:t xml:space="preserve"> has been identified and a process has been confirmed, no details of </w:t>
      </w:r>
      <w:r w:rsidR="004C2554">
        <w:t xml:space="preserve">this </w:t>
      </w:r>
      <w:r w:rsidR="00D30437" w:rsidRPr="00243DEC">
        <w:t xml:space="preserve">pharmacy involvement were provided in the </w:t>
      </w:r>
      <w:r w:rsidR="00CE059E" w:rsidRPr="00243DEC">
        <w:t>re</w:t>
      </w:r>
      <w:r w:rsidR="00825337">
        <w:t>-</w:t>
      </w:r>
      <w:r w:rsidR="00D30437" w:rsidRPr="00243DEC">
        <w:t xml:space="preserve">submission. </w:t>
      </w:r>
      <w:r w:rsidR="004C2554">
        <w:t xml:space="preserve"> </w:t>
      </w:r>
      <w:r w:rsidR="00D30437" w:rsidRPr="00243DEC">
        <w:t xml:space="preserve">The PBAC requested the Department explore the most </w:t>
      </w:r>
      <w:r w:rsidR="0014587C" w:rsidRPr="00243DEC">
        <w:t xml:space="preserve">appropriate mechanism to </w:t>
      </w:r>
      <w:r w:rsidR="00485DF3" w:rsidRPr="00243DEC">
        <w:t xml:space="preserve">list </w:t>
      </w:r>
      <w:proofErr w:type="spellStart"/>
      <w:r w:rsidR="00485DF3" w:rsidRPr="00243DEC">
        <w:t>ocriplasmin</w:t>
      </w:r>
      <w:proofErr w:type="spellEnd"/>
      <w:r w:rsidR="00485DF3" w:rsidRPr="00243DEC">
        <w:t xml:space="preserve"> on the PBS</w:t>
      </w:r>
      <w:r w:rsidR="004C2554">
        <w:t xml:space="preserve"> consistent with the processes developed for its supply</w:t>
      </w:r>
      <w:r w:rsidR="00F8702D">
        <w:t xml:space="preserve"> up to the point of administration into the eye</w:t>
      </w:r>
      <w:r w:rsidR="00485DF3" w:rsidRPr="00243DEC">
        <w:t xml:space="preserve">. </w:t>
      </w:r>
      <w:r w:rsidR="004C2554">
        <w:t xml:space="preserve"> </w:t>
      </w:r>
      <w:r w:rsidR="00485DF3" w:rsidRPr="00243DEC">
        <w:t xml:space="preserve">Further, the PBAC noted that the submission’s DPMQ included fees and mark-ups associated with a </w:t>
      </w:r>
      <w:r w:rsidR="00AD7C17">
        <w:t>c</w:t>
      </w:r>
      <w:r w:rsidR="00485DF3" w:rsidRPr="00243DEC">
        <w:t xml:space="preserve">ommunity </w:t>
      </w:r>
      <w:r w:rsidR="00AD7C17">
        <w:t>p</w:t>
      </w:r>
      <w:r w:rsidR="00485DF3" w:rsidRPr="00243DEC">
        <w:t>harmacy listing and considered that any financial implications for the listing over these fees and mark-ups should be borne by the Sponsor.</w:t>
      </w:r>
    </w:p>
    <w:p w:rsidR="00035D87" w:rsidRPr="00243DEC" w:rsidRDefault="00035D87" w:rsidP="008F4262">
      <w:pPr>
        <w:widowControl/>
        <w:contextualSpacing/>
        <w:rPr>
          <w:bCs/>
          <w:szCs w:val="22"/>
          <w:lang w:val="en-GB"/>
        </w:rPr>
      </w:pPr>
    </w:p>
    <w:p w:rsidR="00035D87" w:rsidRPr="00243DEC" w:rsidRDefault="00DE2ED2" w:rsidP="008F4262">
      <w:pPr>
        <w:widowControl/>
        <w:numPr>
          <w:ilvl w:val="1"/>
          <w:numId w:val="12"/>
        </w:numPr>
        <w:contextualSpacing/>
        <w:rPr>
          <w:bCs/>
          <w:szCs w:val="22"/>
          <w:lang w:val="en-GB"/>
        </w:rPr>
      </w:pPr>
      <w:r w:rsidRPr="00243DEC">
        <w:rPr>
          <w:bCs/>
          <w:szCs w:val="22"/>
          <w:lang w:val="en-GB"/>
        </w:rPr>
        <w:t xml:space="preserve">The PBAC recalled that </w:t>
      </w:r>
      <w:proofErr w:type="spellStart"/>
      <w:r w:rsidRPr="00243DEC">
        <w:rPr>
          <w:szCs w:val="22"/>
        </w:rPr>
        <w:t>ocriplasmin</w:t>
      </w:r>
      <w:proofErr w:type="spellEnd"/>
      <w:r w:rsidRPr="00243DEC">
        <w:rPr>
          <w:szCs w:val="22"/>
        </w:rPr>
        <w:t xml:space="preserve"> ± </w:t>
      </w:r>
      <w:proofErr w:type="spellStart"/>
      <w:r w:rsidRPr="00243DEC">
        <w:rPr>
          <w:szCs w:val="22"/>
        </w:rPr>
        <w:t>vitrectomy</w:t>
      </w:r>
      <w:proofErr w:type="spellEnd"/>
      <w:r w:rsidRPr="00243DEC">
        <w:rPr>
          <w:szCs w:val="22"/>
        </w:rPr>
        <w:t xml:space="preserve"> versus watchful waiting ± </w:t>
      </w:r>
      <w:proofErr w:type="spellStart"/>
      <w:r w:rsidRPr="00243DEC">
        <w:rPr>
          <w:szCs w:val="22"/>
        </w:rPr>
        <w:t>vitrectomy</w:t>
      </w:r>
      <w:proofErr w:type="spellEnd"/>
      <w:r w:rsidRPr="00243DEC">
        <w:rPr>
          <w:szCs w:val="22"/>
        </w:rPr>
        <w:t xml:space="preserve"> was </w:t>
      </w:r>
      <w:r w:rsidR="00503713" w:rsidRPr="00243DEC">
        <w:rPr>
          <w:szCs w:val="22"/>
        </w:rPr>
        <w:t xml:space="preserve">previously </w:t>
      </w:r>
      <w:r w:rsidRPr="00243DEC">
        <w:rPr>
          <w:szCs w:val="22"/>
        </w:rPr>
        <w:t xml:space="preserve">considered to </w:t>
      </w:r>
      <w:r w:rsidR="00503713" w:rsidRPr="00243DEC">
        <w:rPr>
          <w:szCs w:val="22"/>
        </w:rPr>
        <w:t xml:space="preserve">be </w:t>
      </w:r>
      <w:r w:rsidR="00F331B0">
        <w:rPr>
          <w:szCs w:val="22"/>
        </w:rPr>
        <w:t>the appropriate comparator.</w:t>
      </w:r>
    </w:p>
    <w:p w:rsidR="00035D87" w:rsidRPr="00243DEC" w:rsidRDefault="00035D87" w:rsidP="008F4262">
      <w:pPr>
        <w:widowControl/>
        <w:contextualSpacing/>
        <w:rPr>
          <w:bCs/>
          <w:szCs w:val="22"/>
          <w:lang w:val="en-GB"/>
        </w:rPr>
      </w:pPr>
    </w:p>
    <w:p w:rsidR="00BB706C" w:rsidRDefault="00CE059E" w:rsidP="008F4262">
      <w:pPr>
        <w:widowControl/>
        <w:numPr>
          <w:ilvl w:val="1"/>
          <w:numId w:val="12"/>
        </w:numPr>
        <w:contextualSpacing/>
        <w:rPr>
          <w:szCs w:val="22"/>
        </w:rPr>
      </w:pPr>
      <w:r w:rsidRPr="0016182B">
        <w:rPr>
          <w:szCs w:val="22"/>
        </w:rPr>
        <w:t>The PBAC noted that the sham-controlled OASIS randomised trial was presented in addition to the two randomised trials (TMG-MV-006 and TG-MV-007</w:t>
      </w:r>
      <w:r w:rsidR="00BB706C" w:rsidRPr="0016182B">
        <w:rPr>
          <w:szCs w:val="22"/>
        </w:rPr>
        <w:t>) comparing</w:t>
      </w:r>
      <w:r w:rsidRPr="0016182B">
        <w:rPr>
          <w:szCs w:val="22"/>
        </w:rPr>
        <w:t xml:space="preserve"> </w:t>
      </w:r>
      <w:proofErr w:type="spellStart"/>
      <w:r w:rsidRPr="0016182B">
        <w:rPr>
          <w:szCs w:val="22"/>
        </w:rPr>
        <w:lastRenderedPageBreak/>
        <w:t>ocriplasmin</w:t>
      </w:r>
      <w:proofErr w:type="spellEnd"/>
      <w:r w:rsidRPr="0016182B">
        <w:rPr>
          <w:szCs w:val="22"/>
        </w:rPr>
        <w:t xml:space="preserve"> with placebo (watchful waiting), </w:t>
      </w:r>
      <w:r w:rsidR="0016182B" w:rsidRPr="0016182B">
        <w:rPr>
          <w:szCs w:val="22"/>
        </w:rPr>
        <w:t xml:space="preserve">which were </w:t>
      </w:r>
      <w:r w:rsidRPr="0016182B">
        <w:rPr>
          <w:szCs w:val="22"/>
        </w:rPr>
        <w:t>presented in</w:t>
      </w:r>
      <w:r w:rsidR="00F331B0">
        <w:rPr>
          <w:szCs w:val="22"/>
        </w:rPr>
        <w:t xml:space="preserve"> the November 2014 submission.</w:t>
      </w:r>
      <w:r w:rsidR="00F8702D">
        <w:rPr>
          <w:szCs w:val="22"/>
        </w:rPr>
        <w:t xml:space="preserve">  Despite the potential for placebo results to differ from sham results, the PBAC noted that the results across the trials did not indicate that this was a cause for concern in interpreting the results across the three trials.</w:t>
      </w:r>
    </w:p>
    <w:p w:rsidR="0016182B" w:rsidRPr="00F331B0" w:rsidRDefault="0016182B" w:rsidP="008F4262">
      <w:pPr>
        <w:widowControl/>
        <w:rPr>
          <w:szCs w:val="22"/>
        </w:rPr>
      </w:pPr>
    </w:p>
    <w:p w:rsidR="00503713" w:rsidRPr="00AD7C17" w:rsidRDefault="0016182B" w:rsidP="008F4262">
      <w:pPr>
        <w:widowControl/>
        <w:numPr>
          <w:ilvl w:val="1"/>
          <w:numId w:val="12"/>
        </w:numPr>
        <w:contextualSpacing/>
        <w:rPr>
          <w:bCs/>
          <w:szCs w:val="22"/>
          <w:lang w:val="en-GB"/>
        </w:rPr>
      </w:pPr>
      <w:r>
        <w:rPr>
          <w:szCs w:val="22"/>
        </w:rPr>
        <w:t xml:space="preserve">The </w:t>
      </w:r>
      <w:r w:rsidR="00BB706C" w:rsidRPr="00243DEC">
        <w:rPr>
          <w:szCs w:val="22"/>
        </w:rPr>
        <w:t xml:space="preserve">PBAC recalled </w:t>
      </w:r>
      <w:r w:rsidR="00F8702D">
        <w:rPr>
          <w:szCs w:val="22"/>
        </w:rPr>
        <w:t>its</w:t>
      </w:r>
      <w:r w:rsidR="00BB706C" w:rsidRPr="00243DEC">
        <w:rPr>
          <w:szCs w:val="22"/>
        </w:rPr>
        <w:t xml:space="preserve"> view in November 2015, that the primary outcome of the </w:t>
      </w:r>
      <w:proofErr w:type="spellStart"/>
      <w:r w:rsidR="00BB706C" w:rsidRPr="00243DEC">
        <w:rPr>
          <w:szCs w:val="22"/>
        </w:rPr>
        <w:t>ocriplasmin</w:t>
      </w:r>
      <w:proofErr w:type="spellEnd"/>
      <w:r w:rsidR="00BB706C" w:rsidRPr="00243DEC">
        <w:rPr>
          <w:szCs w:val="22"/>
        </w:rPr>
        <w:t xml:space="preserve"> trials, </w:t>
      </w:r>
      <w:r w:rsidR="00D31A27">
        <w:rPr>
          <w:szCs w:val="22"/>
        </w:rPr>
        <w:t>“</w:t>
      </w:r>
      <w:r w:rsidR="00BB706C" w:rsidRPr="00243DEC">
        <w:rPr>
          <w:szCs w:val="22"/>
        </w:rPr>
        <w:t>non-surgical VMA resolution at Day 28</w:t>
      </w:r>
      <w:r w:rsidR="00D31A27">
        <w:rPr>
          <w:szCs w:val="22"/>
        </w:rPr>
        <w:t>”</w:t>
      </w:r>
      <w:r w:rsidR="00BB706C" w:rsidRPr="00243DEC">
        <w:rPr>
          <w:szCs w:val="22"/>
        </w:rPr>
        <w:t>, may be a reasonable surrogate outcome</w:t>
      </w:r>
      <w:r w:rsidR="00D31A27">
        <w:rPr>
          <w:szCs w:val="22"/>
        </w:rPr>
        <w:t>,</w:t>
      </w:r>
      <w:r w:rsidR="00BB706C" w:rsidRPr="00243DEC">
        <w:rPr>
          <w:szCs w:val="22"/>
        </w:rPr>
        <w:t xml:space="preserve"> but any relationship between non-surgical VMA resolution and extent of changes in visual acuity or visual disturbance or need for </w:t>
      </w:r>
      <w:proofErr w:type="spellStart"/>
      <w:r w:rsidR="00BB706C" w:rsidRPr="00243DEC">
        <w:rPr>
          <w:szCs w:val="22"/>
        </w:rPr>
        <w:t>vitrectomy</w:t>
      </w:r>
      <w:proofErr w:type="spellEnd"/>
      <w:r w:rsidR="00BB706C" w:rsidRPr="00243DEC">
        <w:rPr>
          <w:szCs w:val="22"/>
        </w:rPr>
        <w:t xml:space="preserve">, which would be considered as patient-relevant outcomes, was not presented in the submission.  The PBAC also noted that any relationship between another potential surrogate outcome, FTMH closure, and extent of changes in visual acuity or visual disturbance or need for </w:t>
      </w:r>
      <w:proofErr w:type="spellStart"/>
      <w:r w:rsidR="00BB706C" w:rsidRPr="00243DEC">
        <w:rPr>
          <w:szCs w:val="22"/>
        </w:rPr>
        <w:t>vitrectomy</w:t>
      </w:r>
      <w:proofErr w:type="spellEnd"/>
      <w:r w:rsidR="00BB706C" w:rsidRPr="00243DEC">
        <w:rPr>
          <w:szCs w:val="22"/>
        </w:rPr>
        <w:t xml:space="preserve">, was not explored in the submission. </w:t>
      </w:r>
      <w:r w:rsidR="00D31A27">
        <w:rPr>
          <w:szCs w:val="22"/>
        </w:rPr>
        <w:t xml:space="preserve"> </w:t>
      </w:r>
      <w:r w:rsidR="00BB706C" w:rsidRPr="00243DEC">
        <w:rPr>
          <w:szCs w:val="22"/>
        </w:rPr>
        <w:t>The PBAC considered the evidence provided in the re</w:t>
      </w:r>
      <w:r w:rsidR="00825337">
        <w:rPr>
          <w:szCs w:val="22"/>
        </w:rPr>
        <w:t>-</w:t>
      </w:r>
      <w:r w:rsidR="00BB706C" w:rsidRPr="00243DEC">
        <w:rPr>
          <w:szCs w:val="22"/>
        </w:rPr>
        <w:t>submission did not modify the Committee</w:t>
      </w:r>
      <w:r w:rsidR="00F8702D">
        <w:rPr>
          <w:szCs w:val="22"/>
        </w:rPr>
        <w:t>’</w:t>
      </w:r>
      <w:r w:rsidR="00BB706C" w:rsidRPr="00243DEC">
        <w:rPr>
          <w:szCs w:val="22"/>
        </w:rPr>
        <w:t xml:space="preserve">s </w:t>
      </w:r>
      <w:r w:rsidR="00F8702D">
        <w:rPr>
          <w:szCs w:val="22"/>
        </w:rPr>
        <w:t xml:space="preserve">previous </w:t>
      </w:r>
      <w:r w:rsidR="00BB706C" w:rsidRPr="00243DEC">
        <w:rPr>
          <w:szCs w:val="22"/>
        </w:rPr>
        <w:t xml:space="preserve">view, </w:t>
      </w:r>
      <w:r w:rsidR="00F8702D">
        <w:rPr>
          <w:szCs w:val="22"/>
        </w:rPr>
        <w:t xml:space="preserve">noting that </w:t>
      </w:r>
      <w:r w:rsidR="00BB706C" w:rsidRPr="00243DEC">
        <w:rPr>
          <w:szCs w:val="22"/>
        </w:rPr>
        <w:t>data</w:t>
      </w:r>
      <w:r w:rsidR="00F331B0">
        <w:rPr>
          <w:szCs w:val="22"/>
        </w:rPr>
        <w:t xml:space="preserve"> was </w:t>
      </w:r>
      <w:r w:rsidR="00F8702D">
        <w:rPr>
          <w:szCs w:val="22"/>
        </w:rPr>
        <w:t xml:space="preserve">now </w:t>
      </w:r>
      <w:r w:rsidR="00F331B0">
        <w:rPr>
          <w:szCs w:val="22"/>
        </w:rPr>
        <w:t xml:space="preserve">available </w:t>
      </w:r>
      <w:r w:rsidR="00F8702D">
        <w:rPr>
          <w:szCs w:val="22"/>
        </w:rPr>
        <w:t xml:space="preserve">for </w:t>
      </w:r>
      <w:r w:rsidR="00F331B0">
        <w:rPr>
          <w:szCs w:val="22"/>
        </w:rPr>
        <w:t>up to 24 months</w:t>
      </w:r>
      <w:r w:rsidR="00F8702D">
        <w:rPr>
          <w:szCs w:val="22"/>
        </w:rPr>
        <w:t xml:space="preserve"> of follow-up</w:t>
      </w:r>
      <w:r w:rsidR="00F331B0">
        <w:rPr>
          <w:szCs w:val="22"/>
        </w:rPr>
        <w:t>.</w:t>
      </w:r>
    </w:p>
    <w:p w:rsidR="00AD7C17" w:rsidRPr="00243DEC" w:rsidRDefault="00AD7C17" w:rsidP="008F4262">
      <w:pPr>
        <w:widowControl/>
        <w:contextualSpacing/>
        <w:rPr>
          <w:bCs/>
          <w:szCs w:val="22"/>
          <w:lang w:val="en-GB"/>
        </w:rPr>
      </w:pPr>
    </w:p>
    <w:p w:rsidR="00503713" w:rsidRPr="00AD7C17" w:rsidRDefault="00503713" w:rsidP="008F4262">
      <w:pPr>
        <w:pStyle w:val="ListParagraph"/>
        <w:widowControl/>
        <w:numPr>
          <w:ilvl w:val="1"/>
          <w:numId w:val="12"/>
        </w:numPr>
        <w:rPr>
          <w:szCs w:val="22"/>
        </w:rPr>
      </w:pPr>
      <w:r w:rsidRPr="00243DEC">
        <w:rPr>
          <w:szCs w:val="22"/>
        </w:rPr>
        <w:t xml:space="preserve">The </w:t>
      </w:r>
      <w:r w:rsidR="00CE059E" w:rsidRPr="00243DEC">
        <w:rPr>
          <w:szCs w:val="22"/>
        </w:rPr>
        <w:t>re</w:t>
      </w:r>
      <w:r w:rsidR="00825337">
        <w:rPr>
          <w:szCs w:val="22"/>
        </w:rPr>
        <w:t>-</w:t>
      </w:r>
      <w:r w:rsidRPr="00243DEC">
        <w:rPr>
          <w:szCs w:val="22"/>
        </w:rPr>
        <w:t xml:space="preserve">submission claimed </w:t>
      </w:r>
      <w:r w:rsidR="00F8702D">
        <w:rPr>
          <w:szCs w:val="22"/>
        </w:rPr>
        <w:t xml:space="preserve">that </w:t>
      </w:r>
      <w:proofErr w:type="spellStart"/>
      <w:r w:rsidRPr="00243DEC">
        <w:rPr>
          <w:szCs w:val="22"/>
        </w:rPr>
        <w:t>ocriplasmin</w:t>
      </w:r>
      <w:proofErr w:type="spellEnd"/>
      <w:r w:rsidRPr="00243DEC">
        <w:rPr>
          <w:szCs w:val="22"/>
        </w:rPr>
        <w:t xml:space="preserve"> is superior in effectiveness and inferior in safety compared with watchful waiting, as claimed in the November 2014 submission.  </w:t>
      </w:r>
      <w:r w:rsidR="008308CD" w:rsidRPr="00243DEC">
        <w:rPr>
          <w:szCs w:val="22"/>
        </w:rPr>
        <w:t>The PBAC accepted the</w:t>
      </w:r>
      <w:r w:rsidR="00084906">
        <w:rPr>
          <w:szCs w:val="22"/>
        </w:rPr>
        <w:t>se</w:t>
      </w:r>
      <w:r w:rsidR="008308CD" w:rsidRPr="00243DEC">
        <w:rPr>
          <w:szCs w:val="22"/>
        </w:rPr>
        <w:t xml:space="preserve"> claim</w:t>
      </w:r>
      <w:r w:rsidR="00084906">
        <w:rPr>
          <w:szCs w:val="22"/>
        </w:rPr>
        <w:t>s</w:t>
      </w:r>
      <w:r w:rsidR="00F8702D">
        <w:rPr>
          <w:szCs w:val="22"/>
        </w:rPr>
        <w:t xml:space="preserve"> for effectivenes</w:t>
      </w:r>
      <w:r w:rsidR="008308CD" w:rsidRPr="00243DEC">
        <w:rPr>
          <w:szCs w:val="22"/>
        </w:rPr>
        <w:t xml:space="preserve">s, </w:t>
      </w:r>
      <w:r w:rsidR="00F8702D">
        <w:rPr>
          <w:szCs w:val="22"/>
        </w:rPr>
        <w:t xml:space="preserve">but noted that </w:t>
      </w:r>
      <w:r w:rsidR="00084906" w:rsidRPr="00243DEC">
        <w:rPr>
          <w:szCs w:val="22"/>
        </w:rPr>
        <w:t>the claim</w:t>
      </w:r>
      <w:r w:rsidR="00084906">
        <w:rPr>
          <w:szCs w:val="22"/>
        </w:rPr>
        <w:t xml:space="preserve"> for effectivenes</w:t>
      </w:r>
      <w:r w:rsidR="00084906" w:rsidRPr="00243DEC">
        <w:rPr>
          <w:szCs w:val="22"/>
        </w:rPr>
        <w:t>s</w:t>
      </w:r>
      <w:r w:rsidR="00084906">
        <w:rPr>
          <w:szCs w:val="22"/>
        </w:rPr>
        <w:t xml:space="preserve"> </w:t>
      </w:r>
      <w:r w:rsidR="00F8702D">
        <w:rPr>
          <w:szCs w:val="22"/>
        </w:rPr>
        <w:t>was most convincingly demonstrated for the outcome of “</w:t>
      </w:r>
      <w:r w:rsidR="008308CD" w:rsidRPr="00243DEC">
        <w:rPr>
          <w:szCs w:val="22"/>
        </w:rPr>
        <w:t>non-surgical VMT resolution 28 days following treatment</w:t>
      </w:r>
      <w:r w:rsidR="00F8702D">
        <w:rPr>
          <w:szCs w:val="22"/>
        </w:rPr>
        <w:t>”</w:t>
      </w:r>
      <w:r w:rsidR="008308CD" w:rsidRPr="00243DEC">
        <w:rPr>
          <w:szCs w:val="22"/>
        </w:rPr>
        <w:t xml:space="preserve">. </w:t>
      </w:r>
      <w:r w:rsidR="00F8702D">
        <w:rPr>
          <w:szCs w:val="22"/>
        </w:rPr>
        <w:t xml:space="preserve"> However, t</w:t>
      </w:r>
      <w:r w:rsidR="0083167C">
        <w:rPr>
          <w:szCs w:val="22"/>
        </w:rPr>
        <w:t xml:space="preserve">he PBAC considered that the hearing had highlighted some of the negative impacts to patients following a surgical intervention.  </w:t>
      </w:r>
      <w:r w:rsidRPr="00243DEC">
        <w:rPr>
          <w:szCs w:val="22"/>
        </w:rPr>
        <w:t>Th</w:t>
      </w:r>
      <w:r w:rsidR="00084906">
        <w:rPr>
          <w:szCs w:val="22"/>
        </w:rPr>
        <w:t>erefore</w:t>
      </w:r>
      <w:r w:rsidRPr="00243DEC">
        <w:rPr>
          <w:szCs w:val="22"/>
        </w:rPr>
        <w:t xml:space="preserve"> the PBAC considered that the clinical value of </w:t>
      </w:r>
      <w:proofErr w:type="spellStart"/>
      <w:r w:rsidRPr="00243DEC">
        <w:rPr>
          <w:szCs w:val="22"/>
        </w:rPr>
        <w:t>ocriplasmin</w:t>
      </w:r>
      <w:proofErr w:type="spellEnd"/>
      <w:r w:rsidRPr="00243DEC">
        <w:rPr>
          <w:szCs w:val="22"/>
        </w:rPr>
        <w:t xml:space="preserve"> </w:t>
      </w:r>
      <w:r w:rsidRPr="00243DEC">
        <w:rPr>
          <w:bCs/>
          <w:szCs w:val="22"/>
        </w:rPr>
        <w:t xml:space="preserve">with respect to the patient-relevant outcomes of improving visual function and of preventing, rather than delaying, </w:t>
      </w:r>
      <w:proofErr w:type="spellStart"/>
      <w:r w:rsidRPr="00243DEC">
        <w:rPr>
          <w:bCs/>
          <w:szCs w:val="22"/>
        </w:rPr>
        <w:t>vitrectomy</w:t>
      </w:r>
      <w:proofErr w:type="spellEnd"/>
      <w:r w:rsidRPr="00243DEC">
        <w:rPr>
          <w:bCs/>
          <w:szCs w:val="22"/>
        </w:rPr>
        <w:t xml:space="preserve"> in the long-term</w:t>
      </w:r>
      <w:r w:rsidRPr="00243DEC">
        <w:rPr>
          <w:szCs w:val="22"/>
        </w:rPr>
        <w:t xml:space="preserve"> remained not clear</w:t>
      </w:r>
      <w:r w:rsidR="00AA5A00">
        <w:rPr>
          <w:szCs w:val="22"/>
        </w:rPr>
        <w:t xml:space="preserve">, but acknowledged that </w:t>
      </w:r>
      <w:proofErr w:type="spellStart"/>
      <w:r w:rsidR="00AA5A00">
        <w:rPr>
          <w:szCs w:val="22"/>
        </w:rPr>
        <w:t>ocriplasmin</w:t>
      </w:r>
      <w:proofErr w:type="spellEnd"/>
      <w:r w:rsidR="00AA5A00">
        <w:rPr>
          <w:szCs w:val="22"/>
        </w:rPr>
        <w:t xml:space="preserve"> provides a </w:t>
      </w:r>
      <w:r w:rsidR="00F8702D">
        <w:rPr>
          <w:szCs w:val="22"/>
        </w:rPr>
        <w:t xml:space="preserve">net clinical </w:t>
      </w:r>
      <w:r w:rsidR="00AA5A00">
        <w:rPr>
          <w:szCs w:val="22"/>
        </w:rPr>
        <w:t>benefit to some patients</w:t>
      </w:r>
      <w:r w:rsidRPr="00243DEC">
        <w:rPr>
          <w:szCs w:val="22"/>
        </w:rPr>
        <w:t>.</w:t>
      </w:r>
    </w:p>
    <w:p w:rsidR="00035D87" w:rsidRPr="00243DEC" w:rsidRDefault="00035D87" w:rsidP="008F4262">
      <w:pPr>
        <w:widowControl/>
        <w:contextualSpacing/>
        <w:rPr>
          <w:bCs/>
          <w:szCs w:val="22"/>
          <w:lang w:val="en-GB"/>
        </w:rPr>
      </w:pPr>
    </w:p>
    <w:p w:rsidR="00035D87" w:rsidRPr="00243DEC" w:rsidRDefault="00487C61" w:rsidP="008F4262">
      <w:pPr>
        <w:widowControl/>
        <w:numPr>
          <w:ilvl w:val="1"/>
          <w:numId w:val="12"/>
        </w:numPr>
        <w:contextualSpacing/>
        <w:rPr>
          <w:bCs/>
          <w:szCs w:val="22"/>
          <w:lang w:val="en-GB"/>
        </w:rPr>
      </w:pPr>
      <w:r w:rsidRPr="00243DEC">
        <w:rPr>
          <w:iCs/>
        </w:rPr>
        <w:t xml:space="preserve">The PBAC recalled </w:t>
      </w:r>
      <w:r w:rsidR="00F8702D">
        <w:rPr>
          <w:iCs/>
        </w:rPr>
        <w:t xml:space="preserve">its </w:t>
      </w:r>
      <w:r w:rsidRPr="00243DEC">
        <w:rPr>
          <w:iCs/>
        </w:rPr>
        <w:t xml:space="preserve">concerns </w:t>
      </w:r>
      <w:r w:rsidR="00F8702D">
        <w:rPr>
          <w:iCs/>
        </w:rPr>
        <w:t xml:space="preserve">with </w:t>
      </w:r>
      <w:r w:rsidRPr="00243DEC">
        <w:rPr>
          <w:iCs/>
        </w:rPr>
        <w:t>the economic model presented in the November 2014 which</w:t>
      </w:r>
      <w:r w:rsidR="00F8702D">
        <w:rPr>
          <w:iCs/>
        </w:rPr>
        <w:t>,</w:t>
      </w:r>
      <w:r w:rsidRPr="00243DEC">
        <w:rPr>
          <w:iCs/>
        </w:rPr>
        <w:t xml:space="preserve"> as </w:t>
      </w:r>
      <w:r w:rsidRPr="00243DEC">
        <w:rPr>
          <w:szCs w:val="22"/>
        </w:rPr>
        <w:t>constructed</w:t>
      </w:r>
      <w:r w:rsidR="00F8702D">
        <w:rPr>
          <w:szCs w:val="22"/>
        </w:rPr>
        <w:t>,</w:t>
      </w:r>
      <w:r w:rsidRPr="00243DEC">
        <w:rPr>
          <w:szCs w:val="22"/>
        </w:rPr>
        <w:t xml:space="preserve"> did not form a suitable basis for PBAC consideration</w:t>
      </w:r>
      <w:r w:rsidRPr="00243DEC">
        <w:rPr>
          <w:iCs/>
        </w:rPr>
        <w:t xml:space="preserve">. </w:t>
      </w:r>
      <w:r w:rsidR="00F8702D">
        <w:rPr>
          <w:iCs/>
        </w:rPr>
        <w:t xml:space="preserve"> </w:t>
      </w:r>
      <w:r w:rsidR="008308CD" w:rsidRPr="00243DEC">
        <w:rPr>
          <w:iCs/>
        </w:rPr>
        <w:t xml:space="preserve">The PBAC </w:t>
      </w:r>
      <w:r w:rsidRPr="00243DEC">
        <w:rPr>
          <w:iCs/>
        </w:rPr>
        <w:t>agreed with the</w:t>
      </w:r>
      <w:r w:rsidR="008308CD" w:rsidRPr="00243DEC">
        <w:rPr>
          <w:iCs/>
        </w:rPr>
        <w:t xml:space="preserve"> ESC that the revised model was appropriately re-structured from the original submission with </w:t>
      </w:r>
      <w:r w:rsidR="00F8702D">
        <w:rPr>
          <w:iCs/>
        </w:rPr>
        <w:t xml:space="preserve">more </w:t>
      </w:r>
      <w:r w:rsidR="008308CD" w:rsidRPr="00243DEC">
        <w:rPr>
          <w:iCs/>
        </w:rPr>
        <w:t>appropriate health states</w:t>
      </w:r>
      <w:r w:rsidR="00F331B0">
        <w:rPr>
          <w:iCs/>
        </w:rPr>
        <w:t>.</w:t>
      </w:r>
    </w:p>
    <w:p w:rsidR="00035D87" w:rsidRPr="00243DEC" w:rsidRDefault="00035D87" w:rsidP="008F4262">
      <w:pPr>
        <w:widowControl/>
        <w:contextualSpacing/>
        <w:rPr>
          <w:bCs/>
          <w:szCs w:val="22"/>
          <w:lang w:val="en-GB"/>
        </w:rPr>
      </w:pPr>
    </w:p>
    <w:p w:rsidR="00035D87" w:rsidRPr="00243DEC" w:rsidRDefault="006752AB" w:rsidP="008F4262">
      <w:pPr>
        <w:widowControl/>
        <w:numPr>
          <w:ilvl w:val="1"/>
          <w:numId w:val="12"/>
        </w:numPr>
        <w:contextualSpacing/>
        <w:rPr>
          <w:bCs/>
          <w:szCs w:val="22"/>
          <w:lang w:val="en-GB"/>
        </w:rPr>
      </w:pPr>
      <w:r w:rsidRPr="00243DEC">
        <w:rPr>
          <w:bCs/>
          <w:szCs w:val="22"/>
          <w:lang w:val="en-GB"/>
        </w:rPr>
        <w:t>The PBAC noted that the estimated PBS usage and financial implications were update</w:t>
      </w:r>
      <w:r w:rsidR="00AA5A00">
        <w:rPr>
          <w:bCs/>
          <w:szCs w:val="22"/>
          <w:lang w:val="en-GB"/>
        </w:rPr>
        <w:t>d</w:t>
      </w:r>
      <w:r w:rsidRPr="00243DEC">
        <w:rPr>
          <w:bCs/>
          <w:szCs w:val="22"/>
          <w:lang w:val="en-GB"/>
        </w:rPr>
        <w:t xml:space="preserve"> from the November 2014 submission </w:t>
      </w:r>
      <w:r w:rsidR="008B6997" w:rsidRPr="00243DEC">
        <w:rPr>
          <w:bCs/>
          <w:szCs w:val="22"/>
          <w:lang w:val="en-GB"/>
        </w:rPr>
        <w:t>incorporating</w:t>
      </w:r>
      <w:r w:rsidRPr="00243DEC">
        <w:rPr>
          <w:bCs/>
          <w:szCs w:val="22"/>
          <w:lang w:val="en-GB"/>
        </w:rPr>
        <w:t xml:space="preserve"> </w:t>
      </w:r>
      <w:r w:rsidRPr="00243DEC">
        <w:rPr>
          <w:iCs/>
        </w:rPr>
        <w:t>new eligibility criteria and revised parameters (based on the previous DUSC consideration)</w:t>
      </w:r>
      <w:r w:rsidR="008B6997" w:rsidRPr="00243DEC">
        <w:rPr>
          <w:iCs/>
        </w:rPr>
        <w:t>.</w:t>
      </w:r>
      <w:r w:rsidR="00F8702D">
        <w:rPr>
          <w:iCs/>
        </w:rPr>
        <w:t xml:space="preserve"> </w:t>
      </w:r>
      <w:r w:rsidR="008B6997" w:rsidRPr="00243DEC">
        <w:rPr>
          <w:iCs/>
        </w:rPr>
        <w:t xml:space="preserve"> </w:t>
      </w:r>
      <w:r w:rsidR="001D25C9" w:rsidRPr="00243DEC">
        <w:rPr>
          <w:iCs/>
        </w:rPr>
        <w:t xml:space="preserve">The PBAC considered that the cost to Government may be underestimated, at the proposed price, </w:t>
      </w:r>
      <w:r w:rsidR="004C2554">
        <w:rPr>
          <w:iCs/>
        </w:rPr>
        <w:t xml:space="preserve">due to </w:t>
      </w:r>
      <w:r w:rsidR="001D25C9" w:rsidRPr="00243DEC">
        <w:rPr>
          <w:iCs/>
        </w:rPr>
        <w:t xml:space="preserve">leakage </w:t>
      </w:r>
      <w:r w:rsidR="005904F4" w:rsidRPr="00243DEC">
        <w:rPr>
          <w:iCs/>
        </w:rPr>
        <w:t xml:space="preserve">outside the proposed restriction, </w:t>
      </w:r>
      <w:r w:rsidR="004C2554">
        <w:rPr>
          <w:iCs/>
        </w:rPr>
        <w:t xml:space="preserve">for example, </w:t>
      </w:r>
      <w:r w:rsidR="001D25C9" w:rsidRPr="00243DEC">
        <w:rPr>
          <w:iCs/>
        </w:rPr>
        <w:t>in</w:t>
      </w:r>
      <w:r w:rsidR="005904F4" w:rsidRPr="00243DEC">
        <w:rPr>
          <w:iCs/>
        </w:rPr>
        <w:t>to</w:t>
      </w:r>
      <w:r w:rsidR="001D25C9" w:rsidRPr="00243DEC">
        <w:rPr>
          <w:iCs/>
        </w:rPr>
        <w:t xml:space="preserve"> the patient population </w:t>
      </w:r>
      <w:r w:rsidR="005904F4" w:rsidRPr="00243DEC">
        <w:rPr>
          <w:iCs/>
        </w:rPr>
        <w:t xml:space="preserve">with ERM or </w:t>
      </w:r>
      <w:r w:rsidR="004C2554">
        <w:rPr>
          <w:iCs/>
        </w:rPr>
        <w:t xml:space="preserve">with </w:t>
      </w:r>
      <w:r w:rsidR="005904F4" w:rsidRPr="00243DEC">
        <w:rPr>
          <w:iCs/>
        </w:rPr>
        <w:t>adhesion diameter &gt;1500</w:t>
      </w:r>
      <w:r w:rsidR="001D335C">
        <w:rPr>
          <w:iCs/>
        </w:rPr>
        <w:t> </w:t>
      </w:r>
      <w:r w:rsidR="005904F4" w:rsidRPr="00243DEC">
        <w:rPr>
          <w:iCs/>
        </w:rPr>
        <w:t xml:space="preserve">µm, which </w:t>
      </w:r>
      <w:r w:rsidR="004C2554">
        <w:rPr>
          <w:iCs/>
        </w:rPr>
        <w:t xml:space="preserve">together </w:t>
      </w:r>
      <w:r w:rsidR="005904F4" w:rsidRPr="00243DEC">
        <w:rPr>
          <w:iCs/>
        </w:rPr>
        <w:t>may represent 57</w:t>
      </w:r>
      <w:r w:rsidR="001D335C">
        <w:rPr>
          <w:iCs/>
        </w:rPr>
        <w:t>% of the total VMT population.</w:t>
      </w:r>
      <w:r w:rsidR="004C2554">
        <w:rPr>
          <w:iCs/>
        </w:rPr>
        <w:t xml:space="preserve">  For this reason, the PBAC recommended that a Risk Share Arrangement be negotiated, suggesting that</w:t>
      </w:r>
      <w:r w:rsidR="004F6355">
        <w:rPr>
          <w:iCs/>
        </w:rPr>
        <w:t xml:space="preserve"> a rebate should apply where the majority of Commonwealth expenditure </w:t>
      </w:r>
      <w:r w:rsidR="004F6355">
        <w:t xml:space="preserve">is reimbursed above any financial cap, which </w:t>
      </w:r>
      <w:r w:rsidR="004F6355">
        <w:rPr>
          <w:iCs/>
        </w:rPr>
        <w:t xml:space="preserve">reflects </w:t>
      </w:r>
      <w:r w:rsidR="004C2554">
        <w:rPr>
          <w:iCs/>
        </w:rPr>
        <w:t>utilisation beyond the Sponsor’s estimates.</w:t>
      </w:r>
    </w:p>
    <w:p w:rsidR="001D25C9" w:rsidRPr="001D335C" w:rsidRDefault="001D25C9" w:rsidP="008F4262">
      <w:pPr>
        <w:widowControl/>
        <w:rPr>
          <w:bCs/>
          <w:szCs w:val="22"/>
          <w:lang w:val="en-GB"/>
        </w:rPr>
      </w:pPr>
    </w:p>
    <w:p w:rsidR="00692468" w:rsidRDefault="00692468" w:rsidP="008F4262">
      <w:pPr>
        <w:widowControl/>
        <w:numPr>
          <w:ilvl w:val="1"/>
          <w:numId w:val="12"/>
        </w:numPr>
        <w:contextualSpacing/>
        <w:rPr>
          <w:bCs/>
          <w:szCs w:val="22"/>
          <w:lang w:val="en-GB"/>
        </w:rPr>
      </w:pPr>
      <w:r>
        <w:rPr>
          <w:bCs/>
          <w:szCs w:val="22"/>
          <w:lang w:val="en-GB"/>
        </w:rPr>
        <w:t xml:space="preserve">The PBAC recalled that </w:t>
      </w:r>
      <w:r w:rsidRPr="00517553">
        <w:t xml:space="preserve">MSAC </w:t>
      </w:r>
      <w:r w:rsidR="00D31A27">
        <w:t xml:space="preserve">had </w:t>
      </w:r>
      <w:r w:rsidRPr="00517553">
        <w:t xml:space="preserve">deferred the application for </w:t>
      </w:r>
      <w:r w:rsidR="001A1018" w:rsidRPr="003A6BD3">
        <w:t xml:space="preserve">optical coherence tomography </w:t>
      </w:r>
      <w:r w:rsidR="001A1018">
        <w:t>(</w:t>
      </w:r>
      <w:r w:rsidRPr="00517553">
        <w:t>OCT</w:t>
      </w:r>
      <w:r w:rsidR="001A1018">
        <w:t>)</w:t>
      </w:r>
      <w:r>
        <w:t xml:space="preserve"> </w:t>
      </w:r>
      <w:r w:rsidRPr="00517553">
        <w:t xml:space="preserve">until such time as the PBAC makes a positive recommendation regarding the corresponding PBS listing of </w:t>
      </w:r>
      <w:proofErr w:type="spellStart"/>
      <w:r w:rsidRPr="00517553">
        <w:t>ocriplasmin</w:t>
      </w:r>
      <w:proofErr w:type="spellEnd"/>
      <w:r w:rsidRPr="00517553">
        <w:t xml:space="preserve">.  </w:t>
      </w:r>
      <w:r>
        <w:t xml:space="preserve">In making </w:t>
      </w:r>
      <w:r w:rsidR="004C2554">
        <w:t>its</w:t>
      </w:r>
      <w:r>
        <w:t xml:space="preserve"> recommendation, the PBAC noted that </w:t>
      </w:r>
      <w:r>
        <w:rPr>
          <w:bCs/>
          <w:szCs w:val="22"/>
          <w:lang w:val="en-GB"/>
        </w:rPr>
        <w:t>n</w:t>
      </w:r>
      <w:r w:rsidRPr="00692468">
        <w:rPr>
          <w:bCs/>
          <w:szCs w:val="22"/>
          <w:lang w:val="en-GB"/>
        </w:rPr>
        <w:t>o particular issue was identified that might be relevant to MSAC deliberations</w:t>
      </w:r>
      <w:r w:rsidR="001D335C">
        <w:rPr>
          <w:bCs/>
          <w:szCs w:val="22"/>
          <w:lang w:val="en-GB"/>
        </w:rPr>
        <w:t>.</w:t>
      </w:r>
      <w:r w:rsidR="001A1018">
        <w:rPr>
          <w:bCs/>
          <w:szCs w:val="22"/>
          <w:lang w:val="en-GB"/>
        </w:rPr>
        <w:t xml:space="preserve"> </w:t>
      </w:r>
      <w:r w:rsidR="001A1018" w:rsidRPr="00F32FBD">
        <w:rPr>
          <w:szCs w:val="22"/>
        </w:rPr>
        <w:t>The PBAC noted that t</w:t>
      </w:r>
      <w:r w:rsidR="001A1018" w:rsidRPr="00F32FBD">
        <w:rPr>
          <w:bCs/>
          <w:szCs w:val="22"/>
          <w:lang w:val="en-GB"/>
        </w:rPr>
        <w:t xml:space="preserve">he restriction </w:t>
      </w:r>
      <w:r w:rsidR="001A1018">
        <w:rPr>
          <w:bCs/>
          <w:szCs w:val="22"/>
          <w:lang w:val="en-GB"/>
        </w:rPr>
        <w:t>is dependent on the outcome of the MSAC deliberations regarding OCT</w:t>
      </w:r>
      <w:r w:rsidR="001A1018" w:rsidRPr="00F32FBD">
        <w:rPr>
          <w:bCs/>
          <w:szCs w:val="22"/>
          <w:lang w:val="en-GB"/>
        </w:rPr>
        <w:t>.</w:t>
      </w:r>
    </w:p>
    <w:p w:rsidR="00692468" w:rsidRPr="001D335C" w:rsidRDefault="00692468" w:rsidP="008F4262">
      <w:pPr>
        <w:widowControl/>
        <w:rPr>
          <w:bCs/>
          <w:szCs w:val="22"/>
          <w:lang w:val="en-GB"/>
        </w:rPr>
      </w:pPr>
    </w:p>
    <w:p w:rsidR="00035D87" w:rsidRPr="00243DEC" w:rsidRDefault="0045231C" w:rsidP="008F4262">
      <w:pPr>
        <w:widowControl/>
        <w:numPr>
          <w:ilvl w:val="1"/>
          <w:numId w:val="12"/>
        </w:numPr>
        <w:contextualSpacing/>
        <w:rPr>
          <w:bCs/>
          <w:szCs w:val="22"/>
          <w:lang w:val="en-GB"/>
        </w:rPr>
      </w:pPr>
      <w:r w:rsidRPr="00F32FBD">
        <w:rPr>
          <w:bCs/>
          <w:szCs w:val="22"/>
          <w:lang w:val="en-GB"/>
        </w:rPr>
        <w:t xml:space="preserve">Under section 101(3BA) of the </w:t>
      </w:r>
      <w:r w:rsidRPr="00AD2F5C">
        <w:rPr>
          <w:bCs/>
          <w:i/>
          <w:szCs w:val="22"/>
          <w:lang w:val="en-GB"/>
        </w:rPr>
        <w:t>National Health Act 1953</w:t>
      </w:r>
      <w:r w:rsidRPr="00F32FBD">
        <w:rPr>
          <w:bCs/>
          <w:szCs w:val="22"/>
          <w:lang w:val="en-GB"/>
        </w:rPr>
        <w:t>, t</w:t>
      </w:r>
      <w:r w:rsidR="00035D87" w:rsidRPr="00243DEC">
        <w:rPr>
          <w:bCs/>
          <w:szCs w:val="22"/>
          <w:lang w:val="en-GB"/>
        </w:rPr>
        <w:t xml:space="preserve">he PBAC recommended that </w:t>
      </w:r>
      <w:proofErr w:type="spellStart"/>
      <w:r w:rsidR="00D144BC" w:rsidRPr="00243DEC">
        <w:rPr>
          <w:bCs/>
          <w:szCs w:val="22"/>
          <w:lang w:val="en-GB"/>
        </w:rPr>
        <w:t>ocripla</w:t>
      </w:r>
      <w:r w:rsidR="001D335C">
        <w:rPr>
          <w:bCs/>
          <w:szCs w:val="22"/>
          <w:lang w:val="en-GB"/>
        </w:rPr>
        <w:t>s</w:t>
      </w:r>
      <w:r w:rsidR="00D144BC" w:rsidRPr="00243DEC">
        <w:rPr>
          <w:bCs/>
          <w:szCs w:val="22"/>
          <w:lang w:val="en-GB"/>
        </w:rPr>
        <w:t>min</w:t>
      </w:r>
      <w:proofErr w:type="spellEnd"/>
      <w:r w:rsidR="00035D87" w:rsidRPr="00243DEC">
        <w:rPr>
          <w:bCs/>
          <w:szCs w:val="22"/>
          <w:lang w:val="en-GB"/>
        </w:rPr>
        <w:t xml:space="preserve"> should </w:t>
      </w:r>
      <w:r w:rsidR="006752AB" w:rsidRPr="00243DEC">
        <w:rPr>
          <w:bCs/>
          <w:szCs w:val="22"/>
          <w:lang w:val="en-GB"/>
        </w:rPr>
        <w:t xml:space="preserve">not </w:t>
      </w:r>
      <w:r w:rsidR="00035D87" w:rsidRPr="00243DEC">
        <w:rPr>
          <w:bCs/>
          <w:szCs w:val="22"/>
          <w:lang w:val="en-GB"/>
        </w:rPr>
        <w:t xml:space="preserve">be treated as interchangeable </w:t>
      </w:r>
      <w:r w:rsidRPr="00243DEC">
        <w:rPr>
          <w:bCs/>
          <w:szCs w:val="22"/>
          <w:lang w:val="en-GB"/>
        </w:rPr>
        <w:t>on an individual patient basis</w:t>
      </w:r>
      <w:r>
        <w:rPr>
          <w:bCs/>
          <w:szCs w:val="22"/>
          <w:lang w:val="en-GB"/>
        </w:rPr>
        <w:t xml:space="preserve"> </w:t>
      </w:r>
      <w:r w:rsidR="00AA5A00">
        <w:rPr>
          <w:bCs/>
          <w:szCs w:val="22"/>
          <w:lang w:val="en-GB"/>
        </w:rPr>
        <w:t xml:space="preserve">with </w:t>
      </w:r>
      <w:r w:rsidR="00AA5A00" w:rsidRPr="00243DEC">
        <w:rPr>
          <w:bCs/>
          <w:szCs w:val="22"/>
          <w:lang w:val="en-GB"/>
        </w:rPr>
        <w:t xml:space="preserve">any </w:t>
      </w:r>
      <w:r>
        <w:rPr>
          <w:bCs/>
          <w:szCs w:val="22"/>
          <w:lang w:val="en-GB"/>
        </w:rPr>
        <w:t xml:space="preserve">other </w:t>
      </w:r>
      <w:r w:rsidR="00AA5A00" w:rsidRPr="00243DEC">
        <w:rPr>
          <w:bCs/>
          <w:szCs w:val="22"/>
          <w:lang w:val="en-GB"/>
        </w:rPr>
        <w:t xml:space="preserve">medicine </w:t>
      </w:r>
      <w:r>
        <w:rPr>
          <w:bCs/>
          <w:szCs w:val="22"/>
          <w:lang w:val="en-GB"/>
        </w:rPr>
        <w:t>i</w:t>
      </w:r>
      <w:r w:rsidR="00AA5A00" w:rsidRPr="00243DEC">
        <w:rPr>
          <w:bCs/>
          <w:szCs w:val="22"/>
          <w:lang w:val="en-GB"/>
        </w:rPr>
        <w:t>n the PBS</w:t>
      </w:r>
      <w:r w:rsidR="006752AB" w:rsidRPr="00243DEC">
        <w:rPr>
          <w:bCs/>
          <w:szCs w:val="22"/>
          <w:lang w:val="en-GB"/>
        </w:rPr>
        <w:t>.</w:t>
      </w:r>
    </w:p>
    <w:p w:rsidR="00035D87" w:rsidRPr="00243DEC" w:rsidRDefault="00035D87" w:rsidP="008F4262">
      <w:pPr>
        <w:widowControl/>
        <w:contextualSpacing/>
        <w:rPr>
          <w:bCs/>
          <w:szCs w:val="22"/>
          <w:lang w:val="en-GB"/>
        </w:rPr>
      </w:pPr>
    </w:p>
    <w:p w:rsidR="00035D87" w:rsidRPr="00243DEC" w:rsidRDefault="00035D87" w:rsidP="008F4262">
      <w:pPr>
        <w:widowControl/>
        <w:numPr>
          <w:ilvl w:val="1"/>
          <w:numId w:val="12"/>
        </w:numPr>
        <w:contextualSpacing/>
        <w:rPr>
          <w:bCs/>
          <w:szCs w:val="22"/>
          <w:lang w:val="en-GB"/>
        </w:rPr>
      </w:pPr>
      <w:r w:rsidRPr="00243DEC">
        <w:rPr>
          <w:bCs/>
          <w:szCs w:val="22"/>
          <w:lang w:val="en-GB"/>
        </w:rPr>
        <w:t xml:space="preserve">The PBAC advised that </w:t>
      </w:r>
      <w:proofErr w:type="spellStart"/>
      <w:r w:rsidR="00D144BC" w:rsidRPr="00243DEC">
        <w:rPr>
          <w:bCs/>
          <w:szCs w:val="22"/>
          <w:lang w:val="en-GB"/>
        </w:rPr>
        <w:t>ocripla</w:t>
      </w:r>
      <w:r w:rsidR="001D335C">
        <w:rPr>
          <w:bCs/>
          <w:szCs w:val="22"/>
          <w:lang w:val="en-GB"/>
        </w:rPr>
        <w:t>s</w:t>
      </w:r>
      <w:r w:rsidR="00D144BC" w:rsidRPr="00243DEC">
        <w:rPr>
          <w:bCs/>
          <w:szCs w:val="22"/>
          <w:lang w:val="en-GB"/>
        </w:rPr>
        <w:t>min</w:t>
      </w:r>
      <w:proofErr w:type="spellEnd"/>
      <w:r w:rsidRPr="00243DEC">
        <w:rPr>
          <w:bCs/>
          <w:szCs w:val="22"/>
          <w:lang w:val="en-GB"/>
        </w:rPr>
        <w:t xml:space="preserve"> is not suitable for presc</w:t>
      </w:r>
      <w:r w:rsidR="001D335C">
        <w:rPr>
          <w:bCs/>
          <w:szCs w:val="22"/>
          <w:lang w:val="en-GB"/>
        </w:rPr>
        <w:t>ribing by nurse practitioners</w:t>
      </w:r>
      <w:r w:rsidR="0045231C" w:rsidRPr="00F32FBD">
        <w:rPr>
          <w:bCs/>
          <w:szCs w:val="22"/>
          <w:lang w:val="en-GB"/>
        </w:rPr>
        <w:t xml:space="preserve">, as it must </w:t>
      </w:r>
      <w:proofErr w:type="gramStart"/>
      <w:r w:rsidR="0045231C" w:rsidRPr="00F32FBD">
        <w:rPr>
          <w:bCs/>
          <w:szCs w:val="22"/>
          <w:lang w:val="en-GB"/>
        </w:rPr>
        <w:t>prescribed</w:t>
      </w:r>
      <w:proofErr w:type="gramEnd"/>
      <w:r w:rsidR="0045231C" w:rsidRPr="00F32FBD">
        <w:rPr>
          <w:bCs/>
          <w:szCs w:val="22"/>
          <w:lang w:val="en-GB"/>
        </w:rPr>
        <w:t xml:space="preserve"> by an ophthalmologist</w:t>
      </w:r>
      <w:r w:rsidR="001D335C">
        <w:rPr>
          <w:bCs/>
          <w:szCs w:val="22"/>
          <w:lang w:val="en-GB"/>
        </w:rPr>
        <w:t>.</w:t>
      </w:r>
    </w:p>
    <w:p w:rsidR="00035D87" w:rsidRPr="00243DEC" w:rsidRDefault="00035D87" w:rsidP="008F4262">
      <w:pPr>
        <w:widowControl/>
        <w:contextualSpacing/>
        <w:rPr>
          <w:bCs/>
          <w:szCs w:val="22"/>
          <w:lang w:val="en-GB"/>
        </w:rPr>
      </w:pPr>
    </w:p>
    <w:p w:rsidR="00035D87" w:rsidRDefault="00035D87" w:rsidP="008F4262">
      <w:pPr>
        <w:widowControl/>
        <w:numPr>
          <w:ilvl w:val="1"/>
          <w:numId w:val="12"/>
        </w:numPr>
        <w:contextualSpacing/>
        <w:rPr>
          <w:bCs/>
          <w:szCs w:val="22"/>
          <w:lang w:val="en-GB"/>
        </w:rPr>
      </w:pPr>
      <w:r w:rsidRPr="00243DEC">
        <w:rPr>
          <w:bCs/>
          <w:szCs w:val="22"/>
          <w:lang w:val="en-GB"/>
        </w:rPr>
        <w:t xml:space="preserve">The PBAC recommended that the </w:t>
      </w:r>
      <w:r w:rsidR="00D144BC" w:rsidRPr="00243DEC">
        <w:rPr>
          <w:bCs/>
          <w:szCs w:val="22"/>
          <w:lang w:val="en-GB"/>
        </w:rPr>
        <w:t xml:space="preserve">Early Supply rule should not apply, as patients are only treated once with </w:t>
      </w:r>
      <w:proofErr w:type="spellStart"/>
      <w:r w:rsidR="00D144BC" w:rsidRPr="00243DEC">
        <w:rPr>
          <w:bCs/>
          <w:szCs w:val="22"/>
          <w:lang w:val="en-GB"/>
        </w:rPr>
        <w:t>ocriplasmin</w:t>
      </w:r>
      <w:proofErr w:type="spellEnd"/>
      <w:r w:rsidR="00D144BC" w:rsidRPr="00243DEC">
        <w:rPr>
          <w:bCs/>
          <w:szCs w:val="22"/>
          <w:lang w:val="en-GB"/>
        </w:rPr>
        <w:t>.</w:t>
      </w:r>
    </w:p>
    <w:p w:rsidR="00AA5A00" w:rsidRPr="001D335C" w:rsidRDefault="00AA5A00" w:rsidP="008F4262">
      <w:pPr>
        <w:widowControl/>
        <w:rPr>
          <w:bCs/>
          <w:szCs w:val="22"/>
          <w:lang w:val="en-GB"/>
        </w:rPr>
      </w:pPr>
    </w:p>
    <w:p w:rsidR="00AA5A00" w:rsidRPr="00243DEC" w:rsidRDefault="00AA5A00" w:rsidP="008F4262">
      <w:pPr>
        <w:widowControl/>
        <w:numPr>
          <w:ilvl w:val="1"/>
          <w:numId w:val="12"/>
        </w:numPr>
        <w:contextualSpacing/>
        <w:rPr>
          <w:bCs/>
          <w:szCs w:val="22"/>
          <w:lang w:val="en-GB"/>
        </w:rPr>
      </w:pPr>
      <w:r w:rsidRPr="00AA5A00">
        <w:rPr>
          <w:bCs/>
          <w:szCs w:val="22"/>
          <w:lang w:val="en-GB"/>
        </w:rPr>
        <w:t>The re</w:t>
      </w:r>
      <w:r w:rsidR="00825337">
        <w:rPr>
          <w:bCs/>
          <w:szCs w:val="22"/>
          <w:lang w:val="en-GB"/>
        </w:rPr>
        <w:t>-</w:t>
      </w:r>
      <w:r w:rsidRPr="00AA5A00">
        <w:rPr>
          <w:bCs/>
          <w:szCs w:val="22"/>
          <w:lang w:val="en-GB"/>
        </w:rPr>
        <w:t>submission is not eligible for an Independent Review, because the PBAC made a positive recommendation</w:t>
      </w:r>
      <w:r w:rsidR="001D335C">
        <w:rPr>
          <w:bCs/>
          <w:szCs w:val="22"/>
          <w:lang w:val="en-GB"/>
        </w:rPr>
        <w:t>.</w:t>
      </w:r>
    </w:p>
    <w:p w:rsidR="00035D87" w:rsidRPr="001D335C" w:rsidRDefault="00035D87" w:rsidP="008F4262">
      <w:pPr>
        <w:widowControl/>
        <w:rPr>
          <w:szCs w:val="22"/>
          <w:lang w:val="en-GB"/>
        </w:rPr>
      </w:pPr>
    </w:p>
    <w:p w:rsidR="00035D87" w:rsidRPr="001D335C" w:rsidRDefault="00035D87" w:rsidP="008F4262">
      <w:pPr>
        <w:widowControl/>
        <w:rPr>
          <w:bCs/>
          <w:szCs w:val="22"/>
          <w:lang w:val="en-GB"/>
        </w:rPr>
      </w:pPr>
    </w:p>
    <w:p w:rsidR="00035D87" w:rsidRPr="00243DEC" w:rsidRDefault="00035D87" w:rsidP="008F4262">
      <w:pPr>
        <w:widowControl/>
        <w:rPr>
          <w:b/>
          <w:bCs/>
          <w:szCs w:val="22"/>
          <w:lang w:val="en-GB"/>
        </w:rPr>
      </w:pPr>
      <w:r w:rsidRPr="00243DEC">
        <w:rPr>
          <w:b/>
          <w:bCs/>
          <w:szCs w:val="22"/>
          <w:lang w:val="en-GB"/>
        </w:rPr>
        <w:t>Outcome:</w:t>
      </w:r>
    </w:p>
    <w:p w:rsidR="00035D87" w:rsidRPr="00243DEC" w:rsidRDefault="00035D87" w:rsidP="008F4262">
      <w:pPr>
        <w:widowControl/>
        <w:rPr>
          <w:bCs/>
          <w:szCs w:val="22"/>
          <w:lang w:val="en-GB"/>
        </w:rPr>
      </w:pPr>
      <w:r w:rsidRPr="00243DEC">
        <w:rPr>
          <w:bCs/>
          <w:szCs w:val="22"/>
          <w:lang w:val="en-GB"/>
        </w:rPr>
        <w:t>Recommended</w:t>
      </w:r>
      <w:bookmarkStart w:id="19" w:name="_GoBack"/>
      <w:bookmarkEnd w:id="19"/>
    </w:p>
    <w:p w:rsidR="00035D87" w:rsidRDefault="00035D87" w:rsidP="008F4262">
      <w:pPr>
        <w:widowControl/>
        <w:rPr>
          <w:bCs/>
          <w:szCs w:val="22"/>
          <w:highlight w:val="yellow"/>
        </w:rPr>
      </w:pPr>
    </w:p>
    <w:p w:rsidR="00035D87" w:rsidRPr="00EA0EDA" w:rsidRDefault="00035D87" w:rsidP="008F4262">
      <w:pPr>
        <w:widowControl/>
        <w:rPr>
          <w:bCs/>
          <w:szCs w:val="22"/>
          <w:highlight w:val="yellow"/>
        </w:rPr>
      </w:pPr>
    </w:p>
    <w:p w:rsidR="00035D87" w:rsidRPr="00701164" w:rsidRDefault="00035D87" w:rsidP="008F4262">
      <w:pPr>
        <w:pStyle w:val="PBACheading1"/>
        <w:rPr>
          <w:bCs/>
          <w:lang w:val="en-GB"/>
        </w:rPr>
      </w:pPr>
      <w:r w:rsidRPr="00701164">
        <w:rPr>
          <w:bCs/>
          <w:lang w:val="en-GB"/>
        </w:rPr>
        <w:t>Recommended listing</w:t>
      </w:r>
    </w:p>
    <w:p w:rsidR="00035D87" w:rsidRPr="00DC185F" w:rsidRDefault="00035D87" w:rsidP="008F4262">
      <w:pPr>
        <w:widowControl/>
        <w:rPr>
          <w:bCs/>
          <w:szCs w:val="22"/>
          <w:lang w:val="en-GB"/>
        </w:rPr>
      </w:pPr>
    </w:p>
    <w:p w:rsidR="00035D87" w:rsidRDefault="00035D87" w:rsidP="008F4262">
      <w:pPr>
        <w:widowControl/>
        <w:rPr>
          <w:bCs/>
          <w:szCs w:val="22"/>
        </w:rPr>
      </w:pPr>
      <w:r w:rsidRPr="00243DEC">
        <w:rPr>
          <w:bCs/>
          <w:szCs w:val="22"/>
        </w:rPr>
        <w:t>Add new item:</w:t>
      </w:r>
    </w:p>
    <w:p w:rsidR="00243DEC" w:rsidRDefault="00243DEC" w:rsidP="008F4262">
      <w:pPr>
        <w:widowControl/>
        <w:rPr>
          <w:bCs/>
          <w:szCs w:val="22"/>
        </w:rPr>
      </w:pPr>
    </w:p>
    <w:p w:rsidR="00243DEC" w:rsidRDefault="001A1018" w:rsidP="008F4262">
      <w:pPr>
        <w:widowControl/>
        <w:rPr>
          <w:bCs/>
          <w:szCs w:val="22"/>
        </w:rPr>
      </w:pPr>
      <w:r>
        <w:rPr>
          <w:bCs/>
          <w:szCs w:val="22"/>
        </w:rPr>
        <w:t>Restriction to be finalised</w:t>
      </w:r>
      <w:r w:rsidR="00243DEC">
        <w:rPr>
          <w:bCs/>
          <w:szCs w:val="22"/>
        </w:rPr>
        <w:t xml:space="preserve"> </w:t>
      </w:r>
    </w:p>
    <w:p w:rsidR="00243DEC" w:rsidRPr="00243DEC" w:rsidRDefault="00243DEC" w:rsidP="008F4262">
      <w:pPr>
        <w:widowControl/>
        <w:rPr>
          <w:bCs/>
          <w:szCs w:val="22"/>
        </w:rPr>
      </w:pPr>
    </w:p>
    <w:tbl>
      <w:tblPr>
        <w:tblW w:w="9214" w:type="dxa"/>
        <w:tblInd w:w="108" w:type="dxa"/>
        <w:tblLayout w:type="fixed"/>
        <w:tblLook w:val="0000" w:firstRow="0" w:lastRow="0" w:firstColumn="0" w:lastColumn="0" w:noHBand="0" w:noVBand="0"/>
      </w:tblPr>
      <w:tblGrid>
        <w:gridCol w:w="3261"/>
        <w:gridCol w:w="567"/>
        <w:gridCol w:w="850"/>
        <w:gridCol w:w="1701"/>
        <w:gridCol w:w="1559"/>
        <w:gridCol w:w="1276"/>
      </w:tblGrid>
      <w:tr w:rsidR="00243DEC" w:rsidRPr="00260CE3" w:rsidTr="0085095F">
        <w:trPr>
          <w:cantSplit/>
          <w:trHeight w:val="471"/>
        </w:trPr>
        <w:tc>
          <w:tcPr>
            <w:tcW w:w="3261" w:type="dxa"/>
            <w:tcBorders>
              <w:bottom w:val="single" w:sz="4" w:space="0" w:color="auto"/>
            </w:tcBorders>
          </w:tcPr>
          <w:p w:rsidR="00243DEC" w:rsidRPr="00260CE3" w:rsidRDefault="00243DEC" w:rsidP="008F4262">
            <w:pPr>
              <w:keepNext/>
              <w:widowControl/>
              <w:ind w:left="-108"/>
              <w:rPr>
                <w:rFonts w:ascii="Arial Narrow" w:hAnsi="Arial Narrow"/>
                <w:sz w:val="20"/>
              </w:rPr>
            </w:pPr>
            <w:r w:rsidRPr="00260CE3">
              <w:rPr>
                <w:rFonts w:ascii="Arial Narrow" w:hAnsi="Arial Narrow"/>
                <w:sz w:val="20"/>
              </w:rPr>
              <w:t>Name, Restriction,</w:t>
            </w:r>
          </w:p>
          <w:p w:rsidR="00243DEC" w:rsidRPr="00260CE3" w:rsidRDefault="00243DEC" w:rsidP="008F4262">
            <w:pPr>
              <w:keepNext/>
              <w:widowControl/>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243DEC" w:rsidRPr="00260CE3" w:rsidRDefault="00243DEC" w:rsidP="008F4262">
            <w:pPr>
              <w:keepNext/>
              <w:widowControl/>
              <w:ind w:left="-108"/>
              <w:rPr>
                <w:rFonts w:ascii="Arial Narrow" w:hAnsi="Arial Narrow"/>
                <w:sz w:val="20"/>
              </w:rPr>
            </w:pPr>
            <w:r w:rsidRPr="00260CE3">
              <w:rPr>
                <w:rFonts w:ascii="Arial Narrow" w:hAnsi="Arial Narrow"/>
                <w:sz w:val="20"/>
              </w:rPr>
              <w:t>Max.</w:t>
            </w:r>
          </w:p>
          <w:p w:rsidR="00243DEC" w:rsidRPr="00260CE3" w:rsidRDefault="00243DEC" w:rsidP="008F4262">
            <w:pPr>
              <w:keepNext/>
              <w:widowControl/>
              <w:ind w:left="-108"/>
              <w:rPr>
                <w:rFonts w:ascii="Arial Narrow" w:hAnsi="Arial Narrow"/>
                <w:sz w:val="20"/>
              </w:rPr>
            </w:pPr>
            <w:proofErr w:type="spellStart"/>
            <w:r w:rsidRPr="00260CE3">
              <w:rPr>
                <w:rFonts w:ascii="Arial Narrow" w:hAnsi="Arial Narrow"/>
                <w:sz w:val="20"/>
              </w:rPr>
              <w:t>Qty</w:t>
            </w:r>
            <w:proofErr w:type="spellEnd"/>
          </w:p>
        </w:tc>
        <w:tc>
          <w:tcPr>
            <w:tcW w:w="850" w:type="dxa"/>
            <w:tcBorders>
              <w:bottom w:val="single" w:sz="4" w:space="0" w:color="auto"/>
            </w:tcBorders>
          </w:tcPr>
          <w:p w:rsidR="00243DEC" w:rsidRPr="00260CE3" w:rsidRDefault="00243DEC" w:rsidP="008F4262">
            <w:pPr>
              <w:keepNext/>
              <w:widowControl/>
              <w:ind w:left="-108"/>
              <w:rPr>
                <w:rFonts w:ascii="Arial Narrow" w:hAnsi="Arial Narrow"/>
                <w:sz w:val="20"/>
              </w:rPr>
            </w:pPr>
            <w:r w:rsidRPr="00260CE3">
              <w:rPr>
                <w:rFonts w:ascii="Arial Narrow" w:hAnsi="Arial Narrow"/>
                <w:sz w:val="20"/>
              </w:rPr>
              <w:t>№.of</w:t>
            </w:r>
          </w:p>
          <w:p w:rsidR="00243DEC" w:rsidRPr="00260CE3" w:rsidRDefault="00243DEC" w:rsidP="008F4262">
            <w:pPr>
              <w:keepNext/>
              <w:widowControl/>
              <w:ind w:left="-108"/>
              <w:rPr>
                <w:rFonts w:ascii="Arial Narrow" w:hAnsi="Arial Narrow"/>
                <w:sz w:val="20"/>
              </w:rPr>
            </w:pPr>
            <w:proofErr w:type="spellStart"/>
            <w:r w:rsidRPr="00260CE3">
              <w:rPr>
                <w:rFonts w:ascii="Arial Narrow" w:hAnsi="Arial Narrow"/>
                <w:sz w:val="20"/>
              </w:rPr>
              <w:t>Rpts</w:t>
            </w:r>
            <w:proofErr w:type="spellEnd"/>
          </w:p>
        </w:tc>
        <w:tc>
          <w:tcPr>
            <w:tcW w:w="1701" w:type="dxa"/>
            <w:tcBorders>
              <w:bottom w:val="single" w:sz="4" w:space="0" w:color="auto"/>
            </w:tcBorders>
          </w:tcPr>
          <w:p w:rsidR="00243DEC" w:rsidRPr="00260CE3" w:rsidRDefault="00243DEC" w:rsidP="008F4262">
            <w:pPr>
              <w:keepNext/>
              <w:widowControl/>
              <w:ind w:left="-108"/>
              <w:rPr>
                <w:rFonts w:ascii="Arial Narrow" w:hAnsi="Arial Narrow"/>
                <w:sz w:val="20"/>
              </w:rPr>
            </w:pPr>
          </w:p>
        </w:tc>
        <w:tc>
          <w:tcPr>
            <w:tcW w:w="2835" w:type="dxa"/>
            <w:gridSpan w:val="2"/>
            <w:tcBorders>
              <w:bottom w:val="single" w:sz="4" w:space="0" w:color="auto"/>
            </w:tcBorders>
          </w:tcPr>
          <w:p w:rsidR="00243DEC" w:rsidRPr="00260CE3" w:rsidRDefault="00243DEC" w:rsidP="008F4262">
            <w:pPr>
              <w:keepNext/>
              <w:widowControl/>
              <w:rPr>
                <w:rFonts w:ascii="Arial Narrow" w:hAnsi="Arial Narrow"/>
                <w:sz w:val="20"/>
                <w:lang w:val="fr-FR"/>
              </w:rPr>
            </w:pPr>
            <w:r w:rsidRPr="00260CE3">
              <w:rPr>
                <w:rFonts w:ascii="Arial Narrow" w:hAnsi="Arial Narrow"/>
                <w:sz w:val="20"/>
              </w:rPr>
              <w:t>Proprietary Name and Manufacturer</w:t>
            </w:r>
          </w:p>
        </w:tc>
      </w:tr>
      <w:tr w:rsidR="00243DEC" w:rsidRPr="00260CE3" w:rsidTr="0085095F">
        <w:trPr>
          <w:cantSplit/>
          <w:trHeight w:val="577"/>
        </w:trPr>
        <w:tc>
          <w:tcPr>
            <w:tcW w:w="3261" w:type="dxa"/>
          </w:tcPr>
          <w:p w:rsidR="00243DEC" w:rsidRPr="00260CE3" w:rsidRDefault="00243DEC" w:rsidP="008F4262">
            <w:pPr>
              <w:keepNext/>
              <w:widowControl/>
              <w:ind w:left="-108"/>
              <w:rPr>
                <w:rFonts w:ascii="Arial Narrow" w:hAnsi="Arial Narrow"/>
                <w:sz w:val="20"/>
              </w:rPr>
            </w:pPr>
            <w:r>
              <w:rPr>
                <w:rFonts w:ascii="Arial Narrow" w:hAnsi="Arial Narrow"/>
                <w:smallCaps/>
                <w:sz w:val="20"/>
              </w:rPr>
              <w:t>OCRIPLASMIN</w:t>
            </w:r>
          </w:p>
          <w:p w:rsidR="00243DEC" w:rsidRPr="00260CE3" w:rsidRDefault="00243DEC" w:rsidP="008F4262">
            <w:pPr>
              <w:keepNext/>
              <w:widowControl/>
              <w:ind w:left="-108"/>
              <w:rPr>
                <w:rFonts w:ascii="Arial Narrow" w:hAnsi="Arial Narrow"/>
                <w:sz w:val="20"/>
              </w:rPr>
            </w:pPr>
            <w:r>
              <w:rPr>
                <w:rFonts w:ascii="Arial Narrow" w:hAnsi="Arial Narrow"/>
                <w:sz w:val="20"/>
              </w:rPr>
              <w:t>0.5 mg/ 0.2 mL injection, 1x 0.2 mL vial</w:t>
            </w:r>
          </w:p>
        </w:tc>
        <w:tc>
          <w:tcPr>
            <w:tcW w:w="567" w:type="dxa"/>
          </w:tcPr>
          <w:p w:rsidR="00243DEC" w:rsidRPr="00260CE3" w:rsidRDefault="00243DEC" w:rsidP="008F4262">
            <w:pPr>
              <w:keepNext/>
              <w:widowControl/>
              <w:ind w:left="-108"/>
              <w:rPr>
                <w:rFonts w:ascii="Arial Narrow" w:hAnsi="Arial Narrow"/>
                <w:sz w:val="20"/>
              </w:rPr>
            </w:pPr>
          </w:p>
          <w:p w:rsidR="00243DEC" w:rsidRPr="00260CE3" w:rsidRDefault="00243DEC" w:rsidP="008F4262">
            <w:pPr>
              <w:keepNext/>
              <w:widowControl/>
              <w:ind w:left="-108"/>
              <w:rPr>
                <w:rFonts w:ascii="Arial Narrow" w:hAnsi="Arial Narrow"/>
                <w:sz w:val="20"/>
              </w:rPr>
            </w:pPr>
            <w:r>
              <w:rPr>
                <w:rFonts w:ascii="Arial Narrow" w:hAnsi="Arial Narrow"/>
                <w:sz w:val="20"/>
              </w:rPr>
              <w:t>1</w:t>
            </w:r>
          </w:p>
        </w:tc>
        <w:tc>
          <w:tcPr>
            <w:tcW w:w="850" w:type="dxa"/>
          </w:tcPr>
          <w:p w:rsidR="00243DEC" w:rsidRPr="00260CE3" w:rsidRDefault="00243DEC" w:rsidP="008F4262">
            <w:pPr>
              <w:keepNext/>
              <w:widowControl/>
              <w:ind w:left="-108"/>
              <w:rPr>
                <w:rFonts w:ascii="Arial Narrow" w:hAnsi="Arial Narrow"/>
                <w:sz w:val="20"/>
              </w:rPr>
            </w:pPr>
          </w:p>
          <w:p w:rsidR="00243DEC" w:rsidRPr="00260CE3" w:rsidRDefault="00243DEC" w:rsidP="008F4262">
            <w:pPr>
              <w:keepNext/>
              <w:widowControl/>
              <w:ind w:left="-108"/>
              <w:rPr>
                <w:rFonts w:ascii="Arial Narrow" w:hAnsi="Arial Narrow"/>
                <w:sz w:val="20"/>
              </w:rPr>
            </w:pPr>
            <w:r>
              <w:rPr>
                <w:rFonts w:ascii="Arial Narrow" w:hAnsi="Arial Narrow"/>
                <w:sz w:val="20"/>
              </w:rPr>
              <w:t>0</w:t>
            </w:r>
          </w:p>
        </w:tc>
        <w:tc>
          <w:tcPr>
            <w:tcW w:w="1701" w:type="dxa"/>
          </w:tcPr>
          <w:p w:rsidR="00243DEC" w:rsidRPr="00260CE3" w:rsidRDefault="00243DEC" w:rsidP="008F4262">
            <w:pPr>
              <w:keepNext/>
              <w:widowControl/>
              <w:ind w:left="-108"/>
              <w:rPr>
                <w:rFonts w:ascii="Arial Narrow" w:hAnsi="Arial Narrow"/>
                <w:sz w:val="20"/>
              </w:rPr>
            </w:pPr>
          </w:p>
          <w:p w:rsidR="00243DEC" w:rsidRPr="00260CE3" w:rsidRDefault="00243DEC" w:rsidP="008F4262">
            <w:pPr>
              <w:keepNext/>
              <w:widowControl/>
              <w:ind w:left="-108"/>
              <w:rPr>
                <w:rFonts w:ascii="Arial Narrow" w:hAnsi="Arial Narrow"/>
                <w:sz w:val="20"/>
              </w:rPr>
            </w:pPr>
          </w:p>
        </w:tc>
        <w:tc>
          <w:tcPr>
            <w:tcW w:w="1559" w:type="dxa"/>
          </w:tcPr>
          <w:p w:rsidR="00243DEC" w:rsidRPr="00851838" w:rsidRDefault="00243DEC" w:rsidP="008F4262">
            <w:pPr>
              <w:keepNext/>
              <w:widowControl/>
              <w:rPr>
                <w:rFonts w:ascii="Arial Narrow" w:hAnsi="Arial Narrow"/>
                <w:sz w:val="20"/>
              </w:rPr>
            </w:pPr>
            <w:proofErr w:type="spellStart"/>
            <w:r w:rsidRPr="00851838">
              <w:rPr>
                <w:rFonts w:ascii="Arial Narrow" w:hAnsi="Arial Narrow"/>
                <w:sz w:val="20"/>
              </w:rPr>
              <w:t>Jetrea</w:t>
            </w:r>
            <w:proofErr w:type="spellEnd"/>
          </w:p>
        </w:tc>
        <w:tc>
          <w:tcPr>
            <w:tcW w:w="1276" w:type="dxa"/>
          </w:tcPr>
          <w:p w:rsidR="00243DEC" w:rsidRPr="00260CE3" w:rsidRDefault="00243DEC" w:rsidP="008F4262">
            <w:pPr>
              <w:keepNext/>
              <w:widowControl/>
              <w:rPr>
                <w:rFonts w:ascii="Arial Narrow" w:hAnsi="Arial Narrow"/>
                <w:sz w:val="20"/>
              </w:rPr>
            </w:pPr>
            <w:r>
              <w:rPr>
                <w:rFonts w:ascii="Arial Narrow" w:hAnsi="Arial Narrow"/>
                <w:sz w:val="20"/>
              </w:rPr>
              <w:t>Alcon</w:t>
            </w:r>
          </w:p>
        </w:tc>
      </w:tr>
    </w:tbl>
    <w:p w:rsidR="00243DEC" w:rsidRDefault="00243DEC" w:rsidP="008F4262">
      <w:pPr>
        <w:pStyle w:val="NoSpacing"/>
        <w:widowControl/>
        <w:rPr>
          <w:lang w:val="en-GB"/>
        </w:rPr>
      </w:pPr>
    </w:p>
    <w:p w:rsidR="009E3C8D" w:rsidRPr="009E3C8D" w:rsidRDefault="009E3C8D" w:rsidP="009E3C8D">
      <w:pPr>
        <w:pStyle w:val="Heading1"/>
      </w:pPr>
      <w:r w:rsidRPr="009E3C8D">
        <w:t>Context for Decision</w:t>
      </w:r>
    </w:p>
    <w:p w:rsidR="009E3C8D" w:rsidRPr="006B3CD8" w:rsidRDefault="009E3C8D" w:rsidP="009E3C8D"/>
    <w:p w:rsidR="009E3C8D" w:rsidRDefault="009E3C8D" w:rsidP="009E3C8D">
      <w:pPr>
        <w:ind w:left="720"/>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E3C8D" w:rsidRDefault="009E3C8D" w:rsidP="009E3C8D">
      <w:pPr>
        <w:ind w:left="720"/>
      </w:pPr>
    </w:p>
    <w:p w:rsidR="009E3C8D" w:rsidRDefault="009E3C8D" w:rsidP="009E3C8D">
      <w:pPr>
        <w:pStyle w:val="Heading1"/>
      </w:pPr>
      <w:r w:rsidRPr="004304F6">
        <w:t>Sponsor’s Comment</w:t>
      </w:r>
    </w:p>
    <w:p w:rsidR="00897354" w:rsidRDefault="00897354" w:rsidP="00897354"/>
    <w:p w:rsidR="00897354" w:rsidRDefault="00897354" w:rsidP="00897354">
      <w:pPr>
        <w:spacing w:after="120"/>
        <w:ind w:left="720"/>
        <w:rPr>
          <w:bCs/>
        </w:rPr>
      </w:pPr>
      <w:r w:rsidRPr="003035CC">
        <w:rPr>
          <w:bCs/>
        </w:rPr>
        <w:t>The sponsor had no comment.</w:t>
      </w:r>
    </w:p>
    <w:p w:rsidR="00897354" w:rsidRPr="00897354" w:rsidRDefault="00897354" w:rsidP="00897354"/>
    <w:p w:rsidR="009E3C8D" w:rsidRDefault="009E3C8D" w:rsidP="008F4262">
      <w:pPr>
        <w:pStyle w:val="NoSpacing"/>
        <w:widowControl/>
        <w:rPr>
          <w:lang w:val="en-GB"/>
        </w:rPr>
      </w:pPr>
    </w:p>
    <w:sectPr w:rsidR="009E3C8D" w:rsidSect="00A60BF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316C1E" w15:done="0"/>
  <w15:commentEx w15:paraId="7A98EB1C" w15:done="0"/>
  <w15:commentEx w15:paraId="1CE655C0" w15:done="0"/>
  <w15:commentEx w15:paraId="46A77BAE" w15:done="0"/>
  <w15:commentEx w15:paraId="1AC3528B" w15:done="0"/>
  <w15:commentEx w15:paraId="26660FB9" w15:done="0"/>
  <w15:commentEx w15:paraId="36DD38C4" w15:done="0"/>
  <w15:commentEx w15:paraId="7491C35D" w15:done="0"/>
  <w15:commentEx w15:paraId="2DA587FE" w15:done="0"/>
  <w15:commentEx w15:paraId="099F72B4" w15:done="0"/>
  <w15:commentEx w15:paraId="29D41952" w15:done="0"/>
  <w15:commentEx w15:paraId="31A42D90" w15:done="0"/>
  <w15:commentEx w15:paraId="6D56FF41" w15:done="0"/>
  <w15:commentEx w15:paraId="2E339C2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EF3" w:rsidRDefault="000D4EF3" w:rsidP="00124A51">
      <w:r>
        <w:separator/>
      </w:r>
    </w:p>
  </w:endnote>
  <w:endnote w:type="continuationSeparator" w:id="0">
    <w:p w:rsidR="000D4EF3" w:rsidRDefault="000D4EF3"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926" w:rsidRDefault="002E49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110459"/>
      <w:docPartObj>
        <w:docPartGallery w:val="Page Numbers (Bottom of Page)"/>
        <w:docPartUnique/>
      </w:docPartObj>
    </w:sdtPr>
    <w:sdtEndPr>
      <w:rPr>
        <w:noProof/>
        <w:sz w:val="20"/>
      </w:rPr>
    </w:sdtEndPr>
    <w:sdtContent>
      <w:p w:rsidR="002E4926" w:rsidRDefault="002E4926">
        <w:pPr>
          <w:pStyle w:val="Footer"/>
          <w:jc w:val="center"/>
        </w:pPr>
      </w:p>
      <w:p w:rsidR="002E4926" w:rsidRPr="009C4B24" w:rsidRDefault="002E4926">
        <w:pPr>
          <w:pStyle w:val="Footer"/>
          <w:jc w:val="center"/>
          <w:rPr>
            <w:sz w:val="20"/>
          </w:rPr>
        </w:pPr>
        <w:r w:rsidRPr="009C4B24">
          <w:rPr>
            <w:sz w:val="20"/>
          </w:rPr>
          <w:fldChar w:fldCharType="begin"/>
        </w:r>
        <w:r w:rsidRPr="009C4B24">
          <w:rPr>
            <w:sz w:val="20"/>
          </w:rPr>
          <w:instrText xml:space="preserve"> PAGE   \* MERGEFORMAT </w:instrText>
        </w:r>
        <w:r w:rsidRPr="009C4B24">
          <w:rPr>
            <w:sz w:val="20"/>
          </w:rPr>
          <w:fldChar w:fldCharType="separate"/>
        </w:r>
        <w:r w:rsidR="007E32FA">
          <w:rPr>
            <w:noProof/>
            <w:sz w:val="20"/>
          </w:rPr>
          <w:t>23</w:t>
        </w:r>
        <w:r w:rsidRPr="009C4B24">
          <w:rPr>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926" w:rsidRDefault="002E49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EF3" w:rsidRDefault="000D4EF3" w:rsidP="00124A51">
      <w:r>
        <w:separator/>
      </w:r>
    </w:p>
  </w:footnote>
  <w:footnote w:type="continuationSeparator" w:id="0">
    <w:p w:rsidR="000D4EF3" w:rsidRDefault="000D4EF3"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926" w:rsidRDefault="002E49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926" w:rsidRDefault="002E4926" w:rsidP="009C4B24">
    <w:pPr>
      <w:pStyle w:val="Header"/>
      <w:jc w:val="center"/>
      <w:rPr>
        <w:i/>
        <w:color w:val="808080"/>
      </w:rPr>
    </w:pPr>
    <w:r>
      <w:rPr>
        <w:i/>
        <w:color w:val="808080"/>
      </w:rPr>
      <w:t xml:space="preserve">Public Summary Document </w:t>
    </w:r>
    <w:r w:rsidRPr="00DF217D">
      <w:rPr>
        <w:i/>
        <w:color w:val="808080"/>
      </w:rPr>
      <w:t xml:space="preserve">– </w:t>
    </w:r>
    <w:r>
      <w:rPr>
        <w:i/>
        <w:color w:val="808080"/>
      </w:rPr>
      <w:t xml:space="preserve">March 2016 </w:t>
    </w:r>
    <w:r w:rsidRPr="00DF217D">
      <w:rPr>
        <w:i/>
        <w:color w:val="808080"/>
      </w:rPr>
      <w:t>PBAC</w:t>
    </w:r>
    <w:r>
      <w:rPr>
        <w:i/>
        <w:color w:val="808080"/>
      </w:rPr>
      <w:t xml:space="preserve"> Meeting</w:t>
    </w:r>
  </w:p>
  <w:p w:rsidR="002E4926" w:rsidRPr="008C7ECB" w:rsidRDefault="002E49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926" w:rsidRDefault="002E49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BDD4668"/>
    <w:multiLevelType w:val="hybridMultilevel"/>
    <w:tmpl w:val="9134E7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C8D6401"/>
    <w:multiLevelType w:val="multilevel"/>
    <w:tmpl w:val="7C44CA2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9970E58"/>
    <w:multiLevelType w:val="multilevel"/>
    <w:tmpl w:val="3DB82972"/>
    <w:lvl w:ilvl="0">
      <w:start w:val="7"/>
      <w:numFmt w:val="decimal"/>
      <w:lvlText w:val="%1"/>
      <w:lvlJc w:val="left"/>
      <w:pPr>
        <w:ind w:left="720" w:hanging="720"/>
      </w:pPr>
      <w:rPr>
        <w:rFonts w:hint="default"/>
        <w:b/>
      </w:rPr>
    </w:lvl>
    <w:lvl w:ilvl="1">
      <w:start w:val="1"/>
      <w:numFmt w:val="decimal"/>
      <w:lvlRestart w:val="0"/>
      <w:lvlText w:val="7.%2"/>
      <w:lvlJc w:val="left"/>
      <w:pPr>
        <w:ind w:left="720" w:hanging="720"/>
      </w:pPr>
      <w:rPr>
        <w:rFonts w:hint="default"/>
        <w:lang w:val="en-AU"/>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C264869"/>
    <w:multiLevelType w:val="hybridMultilevel"/>
    <w:tmpl w:val="4FAE372A"/>
    <w:lvl w:ilvl="0" w:tplc="D714CEE4">
      <w:start w:val="1"/>
      <w:numFmt w:val="bullet"/>
      <w:lvlText w:val="•"/>
      <w:lvlJc w:val="left"/>
      <w:pPr>
        <w:tabs>
          <w:tab w:val="num" w:pos="720"/>
        </w:tabs>
        <w:ind w:left="720" w:hanging="360"/>
      </w:pPr>
      <w:rPr>
        <w:rFonts w:ascii="Times New Roman" w:hAnsi="Times New Roman" w:hint="default"/>
      </w:rPr>
    </w:lvl>
    <w:lvl w:ilvl="1" w:tplc="8DEC12CE" w:tentative="1">
      <w:start w:val="1"/>
      <w:numFmt w:val="bullet"/>
      <w:lvlText w:val="•"/>
      <w:lvlJc w:val="left"/>
      <w:pPr>
        <w:tabs>
          <w:tab w:val="num" w:pos="1440"/>
        </w:tabs>
        <w:ind w:left="1440" w:hanging="360"/>
      </w:pPr>
      <w:rPr>
        <w:rFonts w:ascii="Times New Roman" w:hAnsi="Times New Roman" w:hint="default"/>
      </w:rPr>
    </w:lvl>
    <w:lvl w:ilvl="2" w:tplc="B854E9DA" w:tentative="1">
      <w:start w:val="1"/>
      <w:numFmt w:val="bullet"/>
      <w:lvlText w:val="•"/>
      <w:lvlJc w:val="left"/>
      <w:pPr>
        <w:tabs>
          <w:tab w:val="num" w:pos="2160"/>
        </w:tabs>
        <w:ind w:left="2160" w:hanging="360"/>
      </w:pPr>
      <w:rPr>
        <w:rFonts w:ascii="Times New Roman" w:hAnsi="Times New Roman" w:hint="default"/>
      </w:rPr>
    </w:lvl>
    <w:lvl w:ilvl="3" w:tplc="FEC6AED4" w:tentative="1">
      <w:start w:val="1"/>
      <w:numFmt w:val="bullet"/>
      <w:lvlText w:val="•"/>
      <w:lvlJc w:val="left"/>
      <w:pPr>
        <w:tabs>
          <w:tab w:val="num" w:pos="2880"/>
        </w:tabs>
        <w:ind w:left="2880" w:hanging="360"/>
      </w:pPr>
      <w:rPr>
        <w:rFonts w:ascii="Times New Roman" w:hAnsi="Times New Roman" w:hint="default"/>
      </w:rPr>
    </w:lvl>
    <w:lvl w:ilvl="4" w:tplc="6B30A52C" w:tentative="1">
      <w:start w:val="1"/>
      <w:numFmt w:val="bullet"/>
      <w:lvlText w:val="•"/>
      <w:lvlJc w:val="left"/>
      <w:pPr>
        <w:tabs>
          <w:tab w:val="num" w:pos="3600"/>
        </w:tabs>
        <w:ind w:left="3600" w:hanging="360"/>
      </w:pPr>
      <w:rPr>
        <w:rFonts w:ascii="Times New Roman" w:hAnsi="Times New Roman" w:hint="default"/>
      </w:rPr>
    </w:lvl>
    <w:lvl w:ilvl="5" w:tplc="04F6A8D0" w:tentative="1">
      <w:start w:val="1"/>
      <w:numFmt w:val="bullet"/>
      <w:lvlText w:val="•"/>
      <w:lvlJc w:val="left"/>
      <w:pPr>
        <w:tabs>
          <w:tab w:val="num" w:pos="4320"/>
        </w:tabs>
        <w:ind w:left="4320" w:hanging="360"/>
      </w:pPr>
      <w:rPr>
        <w:rFonts w:ascii="Times New Roman" w:hAnsi="Times New Roman" w:hint="default"/>
      </w:rPr>
    </w:lvl>
    <w:lvl w:ilvl="6" w:tplc="BB067394" w:tentative="1">
      <w:start w:val="1"/>
      <w:numFmt w:val="bullet"/>
      <w:lvlText w:val="•"/>
      <w:lvlJc w:val="left"/>
      <w:pPr>
        <w:tabs>
          <w:tab w:val="num" w:pos="5040"/>
        </w:tabs>
        <w:ind w:left="5040" w:hanging="360"/>
      </w:pPr>
      <w:rPr>
        <w:rFonts w:ascii="Times New Roman" w:hAnsi="Times New Roman" w:hint="default"/>
      </w:rPr>
    </w:lvl>
    <w:lvl w:ilvl="7" w:tplc="7E948554" w:tentative="1">
      <w:start w:val="1"/>
      <w:numFmt w:val="bullet"/>
      <w:lvlText w:val="•"/>
      <w:lvlJc w:val="left"/>
      <w:pPr>
        <w:tabs>
          <w:tab w:val="num" w:pos="5760"/>
        </w:tabs>
        <w:ind w:left="5760" w:hanging="360"/>
      </w:pPr>
      <w:rPr>
        <w:rFonts w:ascii="Times New Roman" w:hAnsi="Times New Roman" w:hint="default"/>
      </w:rPr>
    </w:lvl>
    <w:lvl w:ilvl="8" w:tplc="4EC2C740" w:tentative="1">
      <w:start w:val="1"/>
      <w:numFmt w:val="bullet"/>
      <w:lvlText w:val="•"/>
      <w:lvlJc w:val="left"/>
      <w:pPr>
        <w:tabs>
          <w:tab w:val="num" w:pos="6480"/>
        </w:tabs>
        <w:ind w:left="6480" w:hanging="360"/>
      </w:pPr>
      <w:rPr>
        <w:rFonts w:ascii="Times New Roman" w:hAnsi="Times New Roman" w:hint="default"/>
      </w:rPr>
    </w:lvl>
  </w:abstractNum>
  <w:abstractNum w:abstractNumId="7">
    <w:nsid w:val="451A276D"/>
    <w:multiLevelType w:val="hybridMultilevel"/>
    <w:tmpl w:val="9A88EAC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nsid w:val="493703F5"/>
    <w:multiLevelType w:val="hybridMultilevel"/>
    <w:tmpl w:val="5C84A262"/>
    <w:lvl w:ilvl="0" w:tplc="DEF266B4">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D2A5396"/>
    <w:multiLevelType w:val="multilevel"/>
    <w:tmpl w:val="39AE566A"/>
    <w:lvl w:ilvl="0">
      <w:start w:val="1"/>
      <w:numFmt w:val="decimal"/>
      <w:lvlText w:val="%1"/>
      <w:lvlJc w:val="left"/>
      <w:pPr>
        <w:ind w:left="720" w:hanging="720"/>
      </w:pPr>
      <w:rPr>
        <w:rFonts w:hint="default"/>
        <w:b/>
      </w:rPr>
    </w:lvl>
    <w:lvl w:ilvl="1">
      <w:start w:val="1"/>
      <w:numFmt w:val="decimal"/>
      <w:lvlRestart w:val="0"/>
      <w:lvlText w:val="6.%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A477688"/>
    <w:multiLevelType w:val="hybridMultilevel"/>
    <w:tmpl w:val="FF727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C704F98"/>
    <w:multiLevelType w:val="multilevel"/>
    <w:tmpl w:val="6610E1EC"/>
    <w:lvl w:ilvl="0">
      <w:start w:val="8"/>
      <w:numFmt w:val="decimal"/>
      <w:lvlText w:val="%1"/>
      <w:lvlJc w:val="left"/>
      <w:pPr>
        <w:ind w:left="720" w:hanging="720"/>
      </w:pPr>
      <w:rPr>
        <w:rFonts w:hint="default"/>
        <w:b/>
      </w:rPr>
    </w:lvl>
    <w:lvl w:ilvl="1">
      <w:start w:val="1"/>
      <w:numFmt w:val="decimal"/>
      <w:lvlRestart w:val="0"/>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72DB005A"/>
    <w:multiLevelType w:val="multilevel"/>
    <w:tmpl w:val="D646BD54"/>
    <w:lvl w:ilvl="0">
      <w:start w:val="1"/>
      <w:numFmt w:val="decimal"/>
      <w:lvlText w:val="%1"/>
      <w:lvlJc w:val="left"/>
      <w:pPr>
        <w:ind w:left="720" w:hanging="720"/>
      </w:pPr>
      <w:rPr>
        <w:rFonts w:hint="default"/>
        <w:b/>
      </w:rPr>
    </w:lvl>
    <w:lvl w:ilvl="1">
      <w:start w:val="1"/>
      <w:numFmt w:val="decimal"/>
      <w:lvlRestart w:val="0"/>
      <w:lvlText w:val="6.%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784D033C"/>
    <w:multiLevelType w:val="multilevel"/>
    <w:tmpl w:val="6C8E2140"/>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7F53680B"/>
    <w:multiLevelType w:val="hybridMultilevel"/>
    <w:tmpl w:val="8518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1"/>
  </w:num>
  <w:num w:numId="4">
    <w:abstractNumId w:val="7"/>
  </w:num>
  <w:num w:numId="5">
    <w:abstractNumId w:val="2"/>
  </w:num>
  <w:num w:numId="6">
    <w:abstractNumId w:va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0"/>
  </w:num>
  <w:num w:numId="11">
    <w:abstractNumId w:val="3"/>
  </w:num>
  <w:num w:numId="12">
    <w:abstractNumId w:val="5"/>
  </w:num>
  <w:num w:numId="13">
    <w:abstractNumId w:val="12"/>
  </w:num>
  <w:num w:numId="14">
    <w:abstractNumId w:val="10"/>
  </w:num>
  <w:num w:numId="15">
    <w:abstractNumId w:val="13"/>
  </w:num>
  <w:num w:numId="16">
    <w:abstractNumId w:val="6"/>
  </w:num>
  <w:num w:numId="17">
    <w:abstractNumId w:val="4"/>
  </w:num>
  <w:num w:numId="18">
    <w:abstractNumId w:val="14"/>
  </w:num>
  <w:num w:numId="19">
    <w:abstractNumId w:val="14"/>
  </w:num>
  <w:num w:numId="20">
    <w:abstractNumId w:val="14"/>
  </w:num>
  <w:num w:numId="21">
    <w:abstractNumId w:val="14"/>
  </w:num>
  <w:num w:numId="22">
    <w:abstractNumId w:val="14"/>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opher Etherton-Beer">
    <w15:presenceInfo w15:providerId="None" w15:userId="Christopher Etherton-Be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1B8"/>
    <w:rsid w:val="000004DC"/>
    <w:rsid w:val="00000790"/>
    <w:rsid w:val="00000D46"/>
    <w:rsid w:val="0000110B"/>
    <w:rsid w:val="00001492"/>
    <w:rsid w:val="00004DBE"/>
    <w:rsid w:val="0000530B"/>
    <w:rsid w:val="0000537E"/>
    <w:rsid w:val="000065C9"/>
    <w:rsid w:val="000075B9"/>
    <w:rsid w:val="000076C8"/>
    <w:rsid w:val="0001010E"/>
    <w:rsid w:val="000105CC"/>
    <w:rsid w:val="000111F5"/>
    <w:rsid w:val="000121BA"/>
    <w:rsid w:val="00012281"/>
    <w:rsid w:val="00012A12"/>
    <w:rsid w:val="00013247"/>
    <w:rsid w:val="00013B19"/>
    <w:rsid w:val="00014FE0"/>
    <w:rsid w:val="00015886"/>
    <w:rsid w:val="000162EF"/>
    <w:rsid w:val="00016A1A"/>
    <w:rsid w:val="00016C51"/>
    <w:rsid w:val="00017638"/>
    <w:rsid w:val="000176AE"/>
    <w:rsid w:val="0002103F"/>
    <w:rsid w:val="0002225F"/>
    <w:rsid w:val="00023561"/>
    <w:rsid w:val="00023763"/>
    <w:rsid w:val="00023E27"/>
    <w:rsid w:val="00025449"/>
    <w:rsid w:val="00025A4B"/>
    <w:rsid w:val="00026EDC"/>
    <w:rsid w:val="0002743F"/>
    <w:rsid w:val="000304FD"/>
    <w:rsid w:val="00031875"/>
    <w:rsid w:val="00031E1D"/>
    <w:rsid w:val="0003216B"/>
    <w:rsid w:val="000321E9"/>
    <w:rsid w:val="0003353B"/>
    <w:rsid w:val="00033D4F"/>
    <w:rsid w:val="00033EEC"/>
    <w:rsid w:val="00034951"/>
    <w:rsid w:val="00034D17"/>
    <w:rsid w:val="00035D87"/>
    <w:rsid w:val="000362EE"/>
    <w:rsid w:val="000377F9"/>
    <w:rsid w:val="00040895"/>
    <w:rsid w:val="00041CED"/>
    <w:rsid w:val="0004231D"/>
    <w:rsid w:val="000438E4"/>
    <w:rsid w:val="00043C37"/>
    <w:rsid w:val="00044201"/>
    <w:rsid w:val="0004423A"/>
    <w:rsid w:val="00044677"/>
    <w:rsid w:val="00047DF5"/>
    <w:rsid w:val="00050C57"/>
    <w:rsid w:val="00050DE4"/>
    <w:rsid w:val="00051155"/>
    <w:rsid w:val="00051261"/>
    <w:rsid w:val="000518D4"/>
    <w:rsid w:val="00051C79"/>
    <w:rsid w:val="00052060"/>
    <w:rsid w:val="00052D41"/>
    <w:rsid w:val="000530FC"/>
    <w:rsid w:val="00053964"/>
    <w:rsid w:val="0005407A"/>
    <w:rsid w:val="000544DD"/>
    <w:rsid w:val="000546D7"/>
    <w:rsid w:val="00054D63"/>
    <w:rsid w:val="00056D47"/>
    <w:rsid w:val="000619FB"/>
    <w:rsid w:val="00061C1A"/>
    <w:rsid w:val="00062051"/>
    <w:rsid w:val="000621B0"/>
    <w:rsid w:val="00062E4B"/>
    <w:rsid w:val="00062F82"/>
    <w:rsid w:val="00062FDF"/>
    <w:rsid w:val="00063539"/>
    <w:rsid w:val="00064407"/>
    <w:rsid w:val="00064591"/>
    <w:rsid w:val="00064E50"/>
    <w:rsid w:val="00065B55"/>
    <w:rsid w:val="000666D9"/>
    <w:rsid w:val="00066B5E"/>
    <w:rsid w:val="000677F0"/>
    <w:rsid w:val="0007104F"/>
    <w:rsid w:val="00071248"/>
    <w:rsid w:val="000717E1"/>
    <w:rsid w:val="00071C33"/>
    <w:rsid w:val="000720B9"/>
    <w:rsid w:val="000725FA"/>
    <w:rsid w:val="000728E7"/>
    <w:rsid w:val="00072B46"/>
    <w:rsid w:val="00072B6E"/>
    <w:rsid w:val="00072F3F"/>
    <w:rsid w:val="00073CEC"/>
    <w:rsid w:val="00073EEF"/>
    <w:rsid w:val="0007536E"/>
    <w:rsid w:val="00075E1B"/>
    <w:rsid w:val="000760AA"/>
    <w:rsid w:val="0007638B"/>
    <w:rsid w:val="0007641E"/>
    <w:rsid w:val="00080958"/>
    <w:rsid w:val="00080DD5"/>
    <w:rsid w:val="000812CA"/>
    <w:rsid w:val="0008317F"/>
    <w:rsid w:val="00084906"/>
    <w:rsid w:val="00085559"/>
    <w:rsid w:val="0008567E"/>
    <w:rsid w:val="00085983"/>
    <w:rsid w:val="0008663C"/>
    <w:rsid w:val="000875C2"/>
    <w:rsid w:val="0009019B"/>
    <w:rsid w:val="00090564"/>
    <w:rsid w:val="00090752"/>
    <w:rsid w:val="00090C7E"/>
    <w:rsid w:val="00090D22"/>
    <w:rsid w:val="00091A88"/>
    <w:rsid w:val="00092F5D"/>
    <w:rsid w:val="00094362"/>
    <w:rsid w:val="00094B17"/>
    <w:rsid w:val="00095718"/>
    <w:rsid w:val="00096DFA"/>
    <w:rsid w:val="000973C4"/>
    <w:rsid w:val="000A048F"/>
    <w:rsid w:val="000A158D"/>
    <w:rsid w:val="000A2406"/>
    <w:rsid w:val="000A31BD"/>
    <w:rsid w:val="000A3EFF"/>
    <w:rsid w:val="000A43D4"/>
    <w:rsid w:val="000A4FA3"/>
    <w:rsid w:val="000A6025"/>
    <w:rsid w:val="000A699A"/>
    <w:rsid w:val="000A6B50"/>
    <w:rsid w:val="000A7918"/>
    <w:rsid w:val="000B0960"/>
    <w:rsid w:val="000B0DEA"/>
    <w:rsid w:val="000B258C"/>
    <w:rsid w:val="000B3DE1"/>
    <w:rsid w:val="000B4550"/>
    <w:rsid w:val="000B50CB"/>
    <w:rsid w:val="000B5BA3"/>
    <w:rsid w:val="000B6812"/>
    <w:rsid w:val="000B6E92"/>
    <w:rsid w:val="000B7537"/>
    <w:rsid w:val="000C1AF3"/>
    <w:rsid w:val="000C4C88"/>
    <w:rsid w:val="000C4D3B"/>
    <w:rsid w:val="000C4D7C"/>
    <w:rsid w:val="000C4E75"/>
    <w:rsid w:val="000C5386"/>
    <w:rsid w:val="000C677C"/>
    <w:rsid w:val="000C6DAE"/>
    <w:rsid w:val="000C715E"/>
    <w:rsid w:val="000C718D"/>
    <w:rsid w:val="000C773F"/>
    <w:rsid w:val="000D0260"/>
    <w:rsid w:val="000D0641"/>
    <w:rsid w:val="000D100D"/>
    <w:rsid w:val="000D1BFC"/>
    <w:rsid w:val="000D247A"/>
    <w:rsid w:val="000D2E0D"/>
    <w:rsid w:val="000D3C8B"/>
    <w:rsid w:val="000D4EF3"/>
    <w:rsid w:val="000D5C30"/>
    <w:rsid w:val="000D5F9D"/>
    <w:rsid w:val="000D66E4"/>
    <w:rsid w:val="000E1773"/>
    <w:rsid w:val="000E1941"/>
    <w:rsid w:val="000E20F0"/>
    <w:rsid w:val="000E2294"/>
    <w:rsid w:val="000E2717"/>
    <w:rsid w:val="000E2930"/>
    <w:rsid w:val="000E2A15"/>
    <w:rsid w:val="000E3D86"/>
    <w:rsid w:val="000E3FE2"/>
    <w:rsid w:val="000E507A"/>
    <w:rsid w:val="000E507D"/>
    <w:rsid w:val="000E55F5"/>
    <w:rsid w:val="000E5FB3"/>
    <w:rsid w:val="000E6DF9"/>
    <w:rsid w:val="000F0405"/>
    <w:rsid w:val="000F04BC"/>
    <w:rsid w:val="000F183E"/>
    <w:rsid w:val="000F1AD3"/>
    <w:rsid w:val="000F21D5"/>
    <w:rsid w:val="000F238F"/>
    <w:rsid w:val="000F28D4"/>
    <w:rsid w:val="000F35D9"/>
    <w:rsid w:val="000F39E8"/>
    <w:rsid w:val="000F508D"/>
    <w:rsid w:val="000F53DD"/>
    <w:rsid w:val="000F5529"/>
    <w:rsid w:val="000F5FD1"/>
    <w:rsid w:val="000F65B1"/>
    <w:rsid w:val="000F79D1"/>
    <w:rsid w:val="001009D6"/>
    <w:rsid w:val="00100F8A"/>
    <w:rsid w:val="00101B45"/>
    <w:rsid w:val="00101B65"/>
    <w:rsid w:val="00102454"/>
    <w:rsid w:val="001024C7"/>
    <w:rsid w:val="001025A4"/>
    <w:rsid w:val="00103D1A"/>
    <w:rsid w:val="001042C9"/>
    <w:rsid w:val="00104A21"/>
    <w:rsid w:val="00105CE4"/>
    <w:rsid w:val="0010706D"/>
    <w:rsid w:val="00107C6F"/>
    <w:rsid w:val="0011032E"/>
    <w:rsid w:val="0011124A"/>
    <w:rsid w:val="00112385"/>
    <w:rsid w:val="0011261C"/>
    <w:rsid w:val="00113572"/>
    <w:rsid w:val="00113ADB"/>
    <w:rsid w:val="0011441F"/>
    <w:rsid w:val="001148D0"/>
    <w:rsid w:val="00114B96"/>
    <w:rsid w:val="00114E76"/>
    <w:rsid w:val="00116A55"/>
    <w:rsid w:val="00117A6B"/>
    <w:rsid w:val="001216F4"/>
    <w:rsid w:val="00121799"/>
    <w:rsid w:val="00121E55"/>
    <w:rsid w:val="001222FC"/>
    <w:rsid w:val="0012237B"/>
    <w:rsid w:val="00122D0A"/>
    <w:rsid w:val="00122E37"/>
    <w:rsid w:val="00122F2B"/>
    <w:rsid w:val="00123BC1"/>
    <w:rsid w:val="00123C58"/>
    <w:rsid w:val="00124A51"/>
    <w:rsid w:val="00124FCB"/>
    <w:rsid w:val="00124FCD"/>
    <w:rsid w:val="0012520C"/>
    <w:rsid w:val="00125265"/>
    <w:rsid w:val="0012597D"/>
    <w:rsid w:val="00126342"/>
    <w:rsid w:val="00126621"/>
    <w:rsid w:val="001270E6"/>
    <w:rsid w:val="00127D51"/>
    <w:rsid w:val="00127E52"/>
    <w:rsid w:val="001301E9"/>
    <w:rsid w:val="001308B0"/>
    <w:rsid w:val="00131004"/>
    <w:rsid w:val="0013101E"/>
    <w:rsid w:val="001311C9"/>
    <w:rsid w:val="0013167F"/>
    <w:rsid w:val="00131973"/>
    <w:rsid w:val="00131BED"/>
    <w:rsid w:val="00131FD8"/>
    <w:rsid w:val="0013276D"/>
    <w:rsid w:val="0013386D"/>
    <w:rsid w:val="0013391B"/>
    <w:rsid w:val="00135D3E"/>
    <w:rsid w:val="00136211"/>
    <w:rsid w:val="00136415"/>
    <w:rsid w:val="0013652D"/>
    <w:rsid w:val="0013695A"/>
    <w:rsid w:val="00136D6D"/>
    <w:rsid w:val="001372C7"/>
    <w:rsid w:val="00137645"/>
    <w:rsid w:val="0014015A"/>
    <w:rsid w:val="001403AC"/>
    <w:rsid w:val="00140C4F"/>
    <w:rsid w:val="00140E99"/>
    <w:rsid w:val="00141AB9"/>
    <w:rsid w:val="00141C43"/>
    <w:rsid w:val="00142534"/>
    <w:rsid w:val="001443CD"/>
    <w:rsid w:val="001455EB"/>
    <w:rsid w:val="001456B0"/>
    <w:rsid w:val="0014587C"/>
    <w:rsid w:val="0014643C"/>
    <w:rsid w:val="00147A1C"/>
    <w:rsid w:val="00147C56"/>
    <w:rsid w:val="00147C93"/>
    <w:rsid w:val="00150F4D"/>
    <w:rsid w:val="001510DC"/>
    <w:rsid w:val="001516C6"/>
    <w:rsid w:val="0015230A"/>
    <w:rsid w:val="00152C07"/>
    <w:rsid w:val="00152C18"/>
    <w:rsid w:val="00152F61"/>
    <w:rsid w:val="0015380A"/>
    <w:rsid w:val="00153A64"/>
    <w:rsid w:val="001542BA"/>
    <w:rsid w:val="0015444B"/>
    <w:rsid w:val="001547AB"/>
    <w:rsid w:val="001550C5"/>
    <w:rsid w:val="0015580F"/>
    <w:rsid w:val="00157130"/>
    <w:rsid w:val="0015750B"/>
    <w:rsid w:val="00157B38"/>
    <w:rsid w:val="0016182B"/>
    <w:rsid w:val="00162913"/>
    <w:rsid w:val="00163ADF"/>
    <w:rsid w:val="00163EFF"/>
    <w:rsid w:val="00163F8E"/>
    <w:rsid w:val="00164026"/>
    <w:rsid w:val="00165247"/>
    <w:rsid w:val="001661FB"/>
    <w:rsid w:val="00170118"/>
    <w:rsid w:val="001715EB"/>
    <w:rsid w:val="0017165E"/>
    <w:rsid w:val="00172D81"/>
    <w:rsid w:val="00174B00"/>
    <w:rsid w:val="00174EBE"/>
    <w:rsid w:val="001771F5"/>
    <w:rsid w:val="00177FE1"/>
    <w:rsid w:val="00180558"/>
    <w:rsid w:val="001806A5"/>
    <w:rsid w:val="00181F23"/>
    <w:rsid w:val="0018246A"/>
    <w:rsid w:val="00183761"/>
    <w:rsid w:val="001839DA"/>
    <w:rsid w:val="00185939"/>
    <w:rsid w:val="00185B6A"/>
    <w:rsid w:val="00185C07"/>
    <w:rsid w:val="0018630C"/>
    <w:rsid w:val="0018721C"/>
    <w:rsid w:val="00190B76"/>
    <w:rsid w:val="001912AB"/>
    <w:rsid w:val="00191AE8"/>
    <w:rsid w:val="00193104"/>
    <w:rsid w:val="00193978"/>
    <w:rsid w:val="0019466F"/>
    <w:rsid w:val="00194E06"/>
    <w:rsid w:val="0019521B"/>
    <w:rsid w:val="00195222"/>
    <w:rsid w:val="00196001"/>
    <w:rsid w:val="00196A8F"/>
    <w:rsid w:val="001971A6"/>
    <w:rsid w:val="001972E0"/>
    <w:rsid w:val="001975D8"/>
    <w:rsid w:val="00197D8A"/>
    <w:rsid w:val="00197FAE"/>
    <w:rsid w:val="001A00B6"/>
    <w:rsid w:val="001A061B"/>
    <w:rsid w:val="001A1018"/>
    <w:rsid w:val="001A157D"/>
    <w:rsid w:val="001A20D2"/>
    <w:rsid w:val="001A2839"/>
    <w:rsid w:val="001A3083"/>
    <w:rsid w:val="001A36B2"/>
    <w:rsid w:val="001A3F8C"/>
    <w:rsid w:val="001A5945"/>
    <w:rsid w:val="001A5992"/>
    <w:rsid w:val="001A5D1E"/>
    <w:rsid w:val="001A6BD7"/>
    <w:rsid w:val="001A7393"/>
    <w:rsid w:val="001B099E"/>
    <w:rsid w:val="001B1A83"/>
    <w:rsid w:val="001B2662"/>
    <w:rsid w:val="001B2C9C"/>
    <w:rsid w:val="001B2D68"/>
    <w:rsid w:val="001B3443"/>
    <w:rsid w:val="001B363E"/>
    <w:rsid w:val="001B4133"/>
    <w:rsid w:val="001B4A2F"/>
    <w:rsid w:val="001B5EBF"/>
    <w:rsid w:val="001B6188"/>
    <w:rsid w:val="001C1030"/>
    <w:rsid w:val="001C15C0"/>
    <w:rsid w:val="001C1B7C"/>
    <w:rsid w:val="001C3444"/>
    <w:rsid w:val="001C3CE4"/>
    <w:rsid w:val="001C426E"/>
    <w:rsid w:val="001C47AC"/>
    <w:rsid w:val="001C5061"/>
    <w:rsid w:val="001C6AA1"/>
    <w:rsid w:val="001C6E66"/>
    <w:rsid w:val="001D02BA"/>
    <w:rsid w:val="001D0476"/>
    <w:rsid w:val="001D0B49"/>
    <w:rsid w:val="001D112E"/>
    <w:rsid w:val="001D13FF"/>
    <w:rsid w:val="001D25C9"/>
    <w:rsid w:val="001D2DAC"/>
    <w:rsid w:val="001D335C"/>
    <w:rsid w:val="001D35CC"/>
    <w:rsid w:val="001D3791"/>
    <w:rsid w:val="001D62DB"/>
    <w:rsid w:val="001D64AE"/>
    <w:rsid w:val="001D6B82"/>
    <w:rsid w:val="001D720F"/>
    <w:rsid w:val="001D729F"/>
    <w:rsid w:val="001D76F4"/>
    <w:rsid w:val="001D7BDF"/>
    <w:rsid w:val="001E0A94"/>
    <w:rsid w:val="001E0E50"/>
    <w:rsid w:val="001E1C76"/>
    <w:rsid w:val="001E1EC9"/>
    <w:rsid w:val="001E1FA8"/>
    <w:rsid w:val="001E238E"/>
    <w:rsid w:val="001E3CC4"/>
    <w:rsid w:val="001E50D6"/>
    <w:rsid w:val="001E52EB"/>
    <w:rsid w:val="001E63DD"/>
    <w:rsid w:val="001E64F8"/>
    <w:rsid w:val="001E6CE1"/>
    <w:rsid w:val="001E740C"/>
    <w:rsid w:val="001E7BC6"/>
    <w:rsid w:val="001F0B9F"/>
    <w:rsid w:val="001F0CA5"/>
    <w:rsid w:val="001F1235"/>
    <w:rsid w:val="001F1CB3"/>
    <w:rsid w:val="001F2D5E"/>
    <w:rsid w:val="001F308D"/>
    <w:rsid w:val="001F41BE"/>
    <w:rsid w:val="001F491F"/>
    <w:rsid w:val="001F5030"/>
    <w:rsid w:val="001F5839"/>
    <w:rsid w:val="001F6936"/>
    <w:rsid w:val="001F71EA"/>
    <w:rsid w:val="001F7361"/>
    <w:rsid w:val="0020004B"/>
    <w:rsid w:val="0020068C"/>
    <w:rsid w:val="002025FE"/>
    <w:rsid w:val="00202DEC"/>
    <w:rsid w:val="0020399F"/>
    <w:rsid w:val="00203D7F"/>
    <w:rsid w:val="00203E73"/>
    <w:rsid w:val="00204216"/>
    <w:rsid w:val="00204261"/>
    <w:rsid w:val="0020462A"/>
    <w:rsid w:val="00204998"/>
    <w:rsid w:val="00206D48"/>
    <w:rsid w:val="00207E0F"/>
    <w:rsid w:val="002105C1"/>
    <w:rsid w:val="00210D22"/>
    <w:rsid w:val="00211A8C"/>
    <w:rsid w:val="0021238D"/>
    <w:rsid w:val="00212598"/>
    <w:rsid w:val="00212952"/>
    <w:rsid w:val="00213BD4"/>
    <w:rsid w:val="00214C9E"/>
    <w:rsid w:val="00214D22"/>
    <w:rsid w:val="00215CB9"/>
    <w:rsid w:val="00215E6C"/>
    <w:rsid w:val="0021686E"/>
    <w:rsid w:val="00217D14"/>
    <w:rsid w:val="002208D7"/>
    <w:rsid w:val="002222D8"/>
    <w:rsid w:val="00222895"/>
    <w:rsid w:val="00222C01"/>
    <w:rsid w:val="00223579"/>
    <w:rsid w:val="00223A20"/>
    <w:rsid w:val="00223B2F"/>
    <w:rsid w:val="00223B49"/>
    <w:rsid w:val="00224656"/>
    <w:rsid w:val="00224DD4"/>
    <w:rsid w:val="00224DF0"/>
    <w:rsid w:val="0022679E"/>
    <w:rsid w:val="002271E6"/>
    <w:rsid w:val="002277AD"/>
    <w:rsid w:val="002309CC"/>
    <w:rsid w:val="00230F82"/>
    <w:rsid w:val="0023221C"/>
    <w:rsid w:val="00232C29"/>
    <w:rsid w:val="00233602"/>
    <w:rsid w:val="002338A0"/>
    <w:rsid w:val="00234825"/>
    <w:rsid w:val="0023487C"/>
    <w:rsid w:val="00234F8B"/>
    <w:rsid w:val="0023551E"/>
    <w:rsid w:val="002357E4"/>
    <w:rsid w:val="00235C8A"/>
    <w:rsid w:val="0024039A"/>
    <w:rsid w:val="00240830"/>
    <w:rsid w:val="002413A5"/>
    <w:rsid w:val="00241AC4"/>
    <w:rsid w:val="00241FE3"/>
    <w:rsid w:val="00242475"/>
    <w:rsid w:val="0024319A"/>
    <w:rsid w:val="002437C4"/>
    <w:rsid w:val="0024381A"/>
    <w:rsid w:val="00243DEC"/>
    <w:rsid w:val="00245813"/>
    <w:rsid w:val="00246FAC"/>
    <w:rsid w:val="002475E0"/>
    <w:rsid w:val="0025013D"/>
    <w:rsid w:val="00251783"/>
    <w:rsid w:val="00252D42"/>
    <w:rsid w:val="00252F53"/>
    <w:rsid w:val="0025327A"/>
    <w:rsid w:val="00253322"/>
    <w:rsid w:val="002533A5"/>
    <w:rsid w:val="00254258"/>
    <w:rsid w:val="0025534B"/>
    <w:rsid w:val="00255BB7"/>
    <w:rsid w:val="002570C5"/>
    <w:rsid w:val="00260330"/>
    <w:rsid w:val="00260B7A"/>
    <w:rsid w:val="00260BE1"/>
    <w:rsid w:val="00261141"/>
    <w:rsid w:val="0026224D"/>
    <w:rsid w:val="00262A87"/>
    <w:rsid w:val="00262AC3"/>
    <w:rsid w:val="00263579"/>
    <w:rsid w:val="00263E85"/>
    <w:rsid w:val="0026432E"/>
    <w:rsid w:val="0026474D"/>
    <w:rsid w:val="002647F6"/>
    <w:rsid w:val="002650BB"/>
    <w:rsid w:val="00265576"/>
    <w:rsid w:val="002656E7"/>
    <w:rsid w:val="00265A84"/>
    <w:rsid w:val="00265C41"/>
    <w:rsid w:val="00265C5E"/>
    <w:rsid w:val="00267820"/>
    <w:rsid w:val="002700D4"/>
    <w:rsid w:val="00270454"/>
    <w:rsid w:val="00270FA3"/>
    <w:rsid w:val="002712C5"/>
    <w:rsid w:val="002712D8"/>
    <w:rsid w:val="0027138A"/>
    <w:rsid w:val="0027164E"/>
    <w:rsid w:val="00273E33"/>
    <w:rsid w:val="00275127"/>
    <w:rsid w:val="00275C5A"/>
    <w:rsid w:val="00275D78"/>
    <w:rsid w:val="00277919"/>
    <w:rsid w:val="0028004E"/>
    <w:rsid w:val="00281E6C"/>
    <w:rsid w:val="00283097"/>
    <w:rsid w:val="00283167"/>
    <w:rsid w:val="0028388A"/>
    <w:rsid w:val="00283CB0"/>
    <w:rsid w:val="00285581"/>
    <w:rsid w:val="00285C57"/>
    <w:rsid w:val="00286027"/>
    <w:rsid w:val="002862DE"/>
    <w:rsid w:val="00290C7A"/>
    <w:rsid w:val="0029104E"/>
    <w:rsid w:val="002918C4"/>
    <w:rsid w:val="002922FE"/>
    <w:rsid w:val="002926BB"/>
    <w:rsid w:val="00293531"/>
    <w:rsid w:val="00293B51"/>
    <w:rsid w:val="00294491"/>
    <w:rsid w:val="002946FD"/>
    <w:rsid w:val="00294C0E"/>
    <w:rsid w:val="00294C61"/>
    <w:rsid w:val="0029543A"/>
    <w:rsid w:val="00295C4C"/>
    <w:rsid w:val="002960A9"/>
    <w:rsid w:val="00296477"/>
    <w:rsid w:val="002967A3"/>
    <w:rsid w:val="00296A15"/>
    <w:rsid w:val="00297B3D"/>
    <w:rsid w:val="002A14AB"/>
    <w:rsid w:val="002A1554"/>
    <w:rsid w:val="002A198F"/>
    <w:rsid w:val="002A29D8"/>
    <w:rsid w:val="002A2E97"/>
    <w:rsid w:val="002A376F"/>
    <w:rsid w:val="002A42C0"/>
    <w:rsid w:val="002A460D"/>
    <w:rsid w:val="002A478C"/>
    <w:rsid w:val="002A4B71"/>
    <w:rsid w:val="002A56B8"/>
    <w:rsid w:val="002A5C67"/>
    <w:rsid w:val="002A5ED2"/>
    <w:rsid w:val="002A6E5F"/>
    <w:rsid w:val="002B0308"/>
    <w:rsid w:val="002B0ED0"/>
    <w:rsid w:val="002B1B3A"/>
    <w:rsid w:val="002B1C1F"/>
    <w:rsid w:val="002B1EFF"/>
    <w:rsid w:val="002B26D1"/>
    <w:rsid w:val="002B41FD"/>
    <w:rsid w:val="002B432F"/>
    <w:rsid w:val="002B4603"/>
    <w:rsid w:val="002B495F"/>
    <w:rsid w:val="002B4A75"/>
    <w:rsid w:val="002B67A9"/>
    <w:rsid w:val="002B6CCE"/>
    <w:rsid w:val="002B6E9A"/>
    <w:rsid w:val="002B713E"/>
    <w:rsid w:val="002B7886"/>
    <w:rsid w:val="002C136F"/>
    <w:rsid w:val="002C1464"/>
    <w:rsid w:val="002C1764"/>
    <w:rsid w:val="002C26B2"/>
    <w:rsid w:val="002C27C1"/>
    <w:rsid w:val="002C2836"/>
    <w:rsid w:val="002C3170"/>
    <w:rsid w:val="002C363E"/>
    <w:rsid w:val="002C3737"/>
    <w:rsid w:val="002C45D6"/>
    <w:rsid w:val="002C5B13"/>
    <w:rsid w:val="002C6145"/>
    <w:rsid w:val="002D03E4"/>
    <w:rsid w:val="002D0957"/>
    <w:rsid w:val="002D0E0C"/>
    <w:rsid w:val="002D2469"/>
    <w:rsid w:val="002D3364"/>
    <w:rsid w:val="002D3962"/>
    <w:rsid w:val="002D3F0C"/>
    <w:rsid w:val="002D45BB"/>
    <w:rsid w:val="002D5DD7"/>
    <w:rsid w:val="002D61C9"/>
    <w:rsid w:val="002D632F"/>
    <w:rsid w:val="002E0581"/>
    <w:rsid w:val="002E167B"/>
    <w:rsid w:val="002E18C6"/>
    <w:rsid w:val="002E3107"/>
    <w:rsid w:val="002E37B7"/>
    <w:rsid w:val="002E3AC5"/>
    <w:rsid w:val="002E3D63"/>
    <w:rsid w:val="002E4926"/>
    <w:rsid w:val="002E4EBD"/>
    <w:rsid w:val="002E58D2"/>
    <w:rsid w:val="002E5906"/>
    <w:rsid w:val="002E5CD7"/>
    <w:rsid w:val="002E642D"/>
    <w:rsid w:val="002E65B5"/>
    <w:rsid w:val="002E6752"/>
    <w:rsid w:val="002E68F8"/>
    <w:rsid w:val="002E6976"/>
    <w:rsid w:val="002F0485"/>
    <w:rsid w:val="002F2334"/>
    <w:rsid w:val="002F2C41"/>
    <w:rsid w:val="002F312F"/>
    <w:rsid w:val="002F3C50"/>
    <w:rsid w:val="002F56E1"/>
    <w:rsid w:val="002F66CF"/>
    <w:rsid w:val="002F6817"/>
    <w:rsid w:val="002F6AEA"/>
    <w:rsid w:val="002F6F56"/>
    <w:rsid w:val="002F7C92"/>
    <w:rsid w:val="00301017"/>
    <w:rsid w:val="00301F04"/>
    <w:rsid w:val="00301FDD"/>
    <w:rsid w:val="0030548B"/>
    <w:rsid w:val="00305BDB"/>
    <w:rsid w:val="003062E3"/>
    <w:rsid w:val="00306BBB"/>
    <w:rsid w:val="0030786C"/>
    <w:rsid w:val="003079C6"/>
    <w:rsid w:val="00307B50"/>
    <w:rsid w:val="00307D31"/>
    <w:rsid w:val="0031031A"/>
    <w:rsid w:val="0031073E"/>
    <w:rsid w:val="00310B4E"/>
    <w:rsid w:val="00310B72"/>
    <w:rsid w:val="00310C59"/>
    <w:rsid w:val="00310D1B"/>
    <w:rsid w:val="00311994"/>
    <w:rsid w:val="00314B01"/>
    <w:rsid w:val="003151F2"/>
    <w:rsid w:val="00315498"/>
    <w:rsid w:val="00315979"/>
    <w:rsid w:val="00315CEA"/>
    <w:rsid w:val="00315E31"/>
    <w:rsid w:val="00320AD7"/>
    <w:rsid w:val="00320E07"/>
    <w:rsid w:val="00320E23"/>
    <w:rsid w:val="00320EDB"/>
    <w:rsid w:val="00321A78"/>
    <w:rsid w:val="00322423"/>
    <w:rsid w:val="003247A8"/>
    <w:rsid w:val="00325886"/>
    <w:rsid w:val="003259B0"/>
    <w:rsid w:val="00325F90"/>
    <w:rsid w:val="003262D6"/>
    <w:rsid w:val="00326D7E"/>
    <w:rsid w:val="003270E8"/>
    <w:rsid w:val="00327B76"/>
    <w:rsid w:val="00327EBC"/>
    <w:rsid w:val="003313FD"/>
    <w:rsid w:val="00331724"/>
    <w:rsid w:val="003321EB"/>
    <w:rsid w:val="00332DDD"/>
    <w:rsid w:val="00332F40"/>
    <w:rsid w:val="0033454C"/>
    <w:rsid w:val="00334C31"/>
    <w:rsid w:val="003350EB"/>
    <w:rsid w:val="003353C8"/>
    <w:rsid w:val="003357C2"/>
    <w:rsid w:val="003358A3"/>
    <w:rsid w:val="00336001"/>
    <w:rsid w:val="00336380"/>
    <w:rsid w:val="003366C9"/>
    <w:rsid w:val="00337467"/>
    <w:rsid w:val="0033783E"/>
    <w:rsid w:val="00340222"/>
    <w:rsid w:val="003407F9"/>
    <w:rsid w:val="00340F6D"/>
    <w:rsid w:val="003420C2"/>
    <w:rsid w:val="00343720"/>
    <w:rsid w:val="00344A36"/>
    <w:rsid w:val="00344D7B"/>
    <w:rsid w:val="00345255"/>
    <w:rsid w:val="003466BB"/>
    <w:rsid w:val="00346979"/>
    <w:rsid w:val="00347C7A"/>
    <w:rsid w:val="00347D21"/>
    <w:rsid w:val="00350075"/>
    <w:rsid w:val="003506D0"/>
    <w:rsid w:val="00350ECF"/>
    <w:rsid w:val="0035133F"/>
    <w:rsid w:val="0035161E"/>
    <w:rsid w:val="00351C73"/>
    <w:rsid w:val="00352A13"/>
    <w:rsid w:val="00352AE0"/>
    <w:rsid w:val="00353ED6"/>
    <w:rsid w:val="003541D2"/>
    <w:rsid w:val="0035460C"/>
    <w:rsid w:val="003549BF"/>
    <w:rsid w:val="00354B55"/>
    <w:rsid w:val="0035620E"/>
    <w:rsid w:val="0035639E"/>
    <w:rsid w:val="00356A33"/>
    <w:rsid w:val="0035732E"/>
    <w:rsid w:val="00357B27"/>
    <w:rsid w:val="00357E3D"/>
    <w:rsid w:val="00357FC2"/>
    <w:rsid w:val="0036312C"/>
    <w:rsid w:val="00363FA3"/>
    <w:rsid w:val="00363FD9"/>
    <w:rsid w:val="00364483"/>
    <w:rsid w:val="00364A65"/>
    <w:rsid w:val="0036518D"/>
    <w:rsid w:val="00365E22"/>
    <w:rsid w:val="00371AFC"/>
    <w:rsid w:val="0037201B"/>
    <w:rsid w:val="00374252"/>
    <w:rsid w:val="003753C4"/>
    <w:rsid w:val="00375A0B"/>
    <w:rsid w:val="00376FBC"/>
    <w:rsid w:val="0037717F"/>
    <w:rsid w:val="00377818"/>
    <w:rsid w:val="00380040"/>
    <w:rsid w:val="00380132"/>
    <w:rsid w:val="003817EF"/>
    <w:rsid w:val="00382A8C"/>
    <w:rsid w:val="0038338E"/>
    <w:rsid w:val="0038365C"/>
    <w:rsid w:val="00383736"/>
    <w:rsid w:val="00383914"/>
    <w:rsid w:val="003848EB"/>
    <w:rsid w:val="00384C9B"/>
    <w:rsid w:val="00385705"/>
    <w:rsid w:val="003859E4"/>
    <w:rsid w:val="00387404"/>
    <w:rsid w:val="00387C34"/>
    <w:rsid w:val="0039061F"/>
    <w:rsid w:val="00390EAA"/>
    <w:rsid w:val="00391069"/>
    <w:rsid w:val="00391141"/>
    <w:rsid w:val="0039371F"/>
    <w:rsid w:val="00393F75"/>
    <w:rsid w:val="00394173"/>
    <w:rsid w:val="0039486B"/>
    <w:rsid w:val="00394B1D"/>
    <w:rsid w:val="00395B7B"/>
    <w:rsid w:val="00396BF7"/>
    <w:rsid w:val="00396FD0"/>
    <w:rsid w:val="003977D0"/>
    <w:rsid w:val="00397E55"/>
    <w:rsid w:val="003A18EE"/>
    <w:rsid w:val="003A191E"/>
    <w:rsid w:val="003A1A7A"/>
    <w:rsid w:val="003A221E"/>
    <w:rsid w:val="003A270A"/>
    <w:rsid w:val="003A2C74"/>
    <w:rsid w:val="003A34A0"/>
    <w:rsid w:val="003A44BD"/>
    <w:rsid w:val="003A45F7"/>
    <w:rsid w:val="003A4D1E"/>
    <w:rsid w:val="003A4FEC"/>
    <w:rsid w:val="003A5110"/>
    <w:rsid w:val="003A5DF0"/>
    <w:rsid w:val="003A5DF9"/>
    <w:rsid w:val="003A6898"/>
    <w:rsid w:val="003A7329"/>
    <w:rsid w:val="003B0027"/>
    <w:rsid w:val="003B0BCC"/>
    <w:rsid w:val="003B0FB3"/>
    <w:rsid w:val="003B1604"/>
    <w:rsid w:val="003B1810"/>
    <w:rsid w:val="003B1D14"/>
    <w:rsid w:val="003B21BC"/>
    <w:rsid w:val="003B21DC"/>
    <w:rsid w:val="003B305F"/>
    <w:rsid w:val="003B3097"/>
    <w:rsid w:val="003B32D4"/>
    <w:rsid w:val="003B39F7"/>
    <w:rsid w:val="003B3F81"/>
    <w:rsid w:val="003B430E"/>
    <w:rsid w:val="003B5859"/>
    <w:rsid w:val="003B5BAE"/>
    <w:rsid w:val="003B5CF5"/>
    <w:rsid w:val="003B7DD9"/>
    <w:rsid w:val="003C0537"/>
    <w:rsid w:val="003C0F77"/>
    <w:rsid w:val="003C1121"/>
    <w:rsid w:val="003C15FF"/>
    <w:rsid w:val="003C1F79"/>
    <w:rsid w:val="003C23E6"/>
    <w:rsid w:val="003C497D"/>
    <w:rsid w:val="003C4B97"/>
    <w:rsid w:val="003C4D4D"/>
    <w:rsid w:val="003C5367"/>
    <w:rsid w:val="003C5656"/>
    <w:rsid w:val="003C7CC2"/>
    <w:rsid w:val="003D0C46"/>
    <w:rsid w:val="003D12EA"/>
    <w:rsid w:val="003D1828"/>
    <w:rsid w:val="003D1EF5"/>
    <w:rsid w:val="003D2422"/>
    <w:rsid w:val="003D2ECD"/>
    <w:rsid w:val="003D3322"/>
    <w:rsid w:val="003D34D8"/>
    <w:rsid w:val="003D3A66"/>
    <w:rsid w:val="003D3B62"/>
    <w:rsid w:val="003D412A"/>
    <w:rsid w:val="003D6211"/>
    <w:rsid w:val="003D6223"/>
    <w:rsid w:val="003D6771"/>
    <w:rsid w:val="003D6D48"/>
    <w:rsid w:val="003E0C23"/>
    <w:rsid w:val="003E0C7A"/>
    <w:rsid w:val="003E12EF"/>
    <w:rsid w:val="003E1364"/>
    <w:rsid w:val="003E1397"/>
    <w:rsid w:val="003E1DC4"/>
    <w:rsid w:val="003E36C9"/>
    <w:rsid w:val="003E3725"/>
    <w:rsid w:val="003E3F2F"/>
    <w:rsid w:val="003E4F36"/>
    <w:rsid w:val="003E7E7A"/>
    <w:rsid w:val="003F078C"/>
    <w:rsid w:val="003F0FB1"/>
    <w:rsid w:val="003F11D4"/>
    <w:rsid w:val="003F2806"/>
    <w:rsid w:val="003F387D"/>
    <w:rsid w:val="003F4156"/>
    <w:rsid w:val="003F490A"/>
    <w:rsid w:val="003F4A46"/>
    <w:rsid w:val="003F4E62"/>
    <w:rsid w:val="003F6965"/>
    <w:rsid w:val="003F6AA9"/>
    <w:rsid w:val="003F6DE3"/>
    <w:rsid w:val="003F72B2"/>
    <w:rsid w:val="00400A88"/>
    <w:rsid w:val="004012FD"/>
    <w:rsid w:val="004025A9"/>
    <w:rsid w:val="00402C14"/>
    <w:rsid w:val="00403419"/>
    <w:rsid w:val="00403B84"/>
    <w:rsid w:val="004042D6"/>
    <w:rsid w:val="004044B9"/>
    <w:rsid w:val="00404685"/>
    <w:rsid w:val="00404D89"/>
    <w:rsid w:val="00406D3E"/>
    <w:rsid w:val="004102AF"/>
    <w:rsid w:val="00410620"/>
    <w:rsid w:val="00410839"/>
    <w:rsid w:val="00410A69"/>
    <w:rsid w:val="00410C5E"/>
    <w:rsid w:val="00410EC7"/>
    <w:rsid w:val="0041208D"/>
    <w:rsid w:val="00414476"/>
    <w:rsid w:val="00414FEB"/>
    <w:rsid w:val="004154D2"/>
    <w:rsid w:val="0041604A"/>
    <w:rsid w:val="00417F15"/>
    <w:rsid w:val="00420A94"/>
    <w:rsid w:val="00420B9F"/>
    <w:rsid w:val="00421BEA"/>
    <w:rsid w:val="00421E8A"/>
    <w:rsid w:val="004234B7"/>
    <w:rsid w:val="00423BE8"/>
    <w:rsid w:val="00423C36"/>
    <w:rsid w:val="00424CB7"/>
    <w:rsid w:val="00425CB2"/>
    <w:rsid w:val="00426BB4"/>
    <w:rsid w:val="00426D7B"/>
    <w:rsid w:val="004271EC"/>
    <w:rsid w:val="00427A1A"/>
    <w:rsid w:val="00430AAD"/>
    <w:rsid w:val="004310CB"/>
    <w:rsid w:val="004319F8"/>
    <w:rsid w:val="00431BC3"/>
    <w:rsid w:val="00431D74"/>
    <w:rsid w:val="0043233D"/>
    <w:rsid w:val="00432365"/>
    <w:rsid w:val="00433309"/>
    <w:rsid w:val="004337D2"/>
    <w:rsid w:val="0043438A"/>
    <w:rsid w:val="00434C1A"/>
    <w:rsid w:val="004357C8"/>
    <w:rsid w:val="00435A98"/>
    <w:rsid w:val="00435D4F"/>
    <w:rsid w:val="004361E3"/>
    <w:rsid w:val="00436650"/>
    <w:rsid w:val="004375DF"/>
    <w:rsid w:val="00437B0D"/>
    <w:rsid w:val="00437BFB"/>
    <w:rsid w:val="004405D9"/>
    <w:rsid w:val="00440A13"/>
    <w:rsid w:val="00440A53"/>
    <w:rsid w:val="00440D64"/>
    <w:rsid w:val="0044119B"/>
    <w:rsid w:val="00441254"/>
    <w:rsid w:val="00441610"/>
    <w:rsid w:val="00442956"/>
    <w:rsid w:val="00443412"/>
    <w:rsid w:val="00443717"/>
    <w:rsid w:val="00443DA2"/>
    <w:rsid w:val="004443A7"/>
    <w:rsid w:val="00445470"/>
    <w:rsid w:val="00446108"/>
    <w:rsid w:val="004464EB"/>
    <w:rsid w:val="004467C0"/>
    <w:rsid w:val="00446E4B"/>
    <w:rsid w:val="00450032"/>
    <w:rsid w:val="00450363"/>
    <w:rsid w:val="00450E80"/>
    <w:rsid w:val="00451C28"/>
    <w:rsid w:val="00451EAD"/>
    <w:rsid w:val="0045214B"/>
    <w:rsid w:val="0045231C"/>
    <w:rsid w:val="004528CD"/>
    <w:rsid w:val="00453F4F"/>
    <w:rsid w:val="00454BA4"/>
    <w:rsid w:val="00455D45"/>
    <w:rsid w:val="004567FF"/>
    <w:rsid w:val="00456F5B"/>
    <w:rsid w:val="004610DA"/>
    <w:rsid w:val="00461392"/>
    <w:rsid w:val="004616AE"/>
    <w:rsid w:val="00462866"/>
    <w:rsid w:val="0046340F"/>
    <w:rsid w:val="00464595"/>
    <w:rsid w:val="0046491D"/>
    <w:rsid w:val="00467F1D"/>
    <w:rsid w:val="00472359"/>
    <w:rsid w:val="004724AA"/>
    <w:rsid w:val="00473520"/>
    <w:rsid w:val="004744E0"/>
    <w:rsid w:val="0047456A"/>
    <w:rsid w:val="00475DD0"/>
    <w:rsid w:val="00475DE6"/>
    <w:rsid w:val="00475E58"/>
    <w:rsid w:val="0047679E"/>
    <w:rsid w:val="00477F98"/>
    <w:rsid w:val="0048022E"/>
    <w:rsid w:val="004807E7"/>
    <w:rsid w:val="00481A45"/>
    <w:rsid w:val="004820F0"/>
    <w:rsid w:val="00482EF8"/>
    <w:rsid w:val="00482F2A"/>
    <w:rsid w:val="00482F5E"/>
    <w:rsid w:val="00484DED"/>
    <w:rsid w:val="0048503A"/>
    <w:rsid w:val="00485DF3"/>
    <w:rsid w:val="004865D4"/>
    <w:rsid w:val="004867E2"/>
    <w:rsid w:val="00487C61"/>
    <w:rsid w:val="00490972"/>
    <w:rsid w:val="00490BFF"/>
    <w:rsid w:val="00491250"/>
    <w:rsid w:val="00491B39"/>
    <w:rsid w:val="00491B3A"/>
    <w:rsid w:val="00491F14"/>
    <w:rsid w:val="00492F6E"/>
    <w:rsid w:val="0049745C"/>
    <w:rsid w:val="004977D4"/>
    <w:rsid w:val="00497806"/>
    <w:rsid w:val="00497994"/>
    <w:rsid w:val="00497F10"/>
    <w:rsid w:val="00497F45"/>
    <w:rsid w:val="004A0DA1"/>
    <w:rsid w:val="004A1B0E"/>
    <w:rsid w:val="004A3837"/>
    <w:rsid w:val="004A5DCF"/>
    <w:rsid w:val="004A62E5"/>
    <w:rsid w:val="004A6597"/>
    <w:rsid w:val="004A6B84"/>
    <w:rsid w:val="004A7338"/>
    <w:rsid w:val="004A793A"/>
    <w:rsid w:val="004B05F3"/>
    <w:rsid w:val="004B0819"/>
    <w:rsid w:val="004B0949"/>
    <w:rsid w:val="004B0B6F"/>
    <w:rsid w:val="004B12DF"/>
    <w:rsid w:val="004B1A16"/>
    <w:rsid w:val="004B1E72"/>
    <w:rsid w:val="004B2295"/>
    <w:rsid w:val="004B2853"/>
    <w:rsid w:val="004B2F18"/>
    <w:rsid w:val="004B3A1D"/>
    <w:rsid w:val="004B3DDB"/>
    <w:rsid w:val="004B44FD"/>
    <w:rsid w:val="004B4AAC"/>
    <w:rsid w:val="004B5CFC"/>
    <w:rsid w:val="004B6005"/>
    <w:rsid w:val="004C0111"/>
    <w:rsid w:val="004C019E"/>
    <w:rsid w:val="004C06EB"/>
    <w:rsid w:val="004C0929"/>
    <w:rsid w:val="004C0B5D"/>
    <w:rsid w:val="004C0C7F"/>
    <w:rsid w:val="004C1305"/>
    <w:rsid w:val="004C15FC"/>
    <w:rsid w:val="004C2259"/>
    <w:rsid w:val="004C22EC"/>
    <w:rsid w:val="004C2554"/>
    <w:rsid w:val="004C47FF"/>
    <w:rsid w:val="004C4AED"/>
    <w:rsid w:val="004C51F7"/>
    <w:rsid w:val="004C5347"/>
    <w:rsid w:val="004C5F27"/>
    <w:rsid w:val="004C6099"/>
    <w:rsid w:val="004C633A"/>
    <w:rsid w:val="004C6BD8"/>
    <w:rsid w:val="004C6C24"/>
    <w:rsid w:val="004C7395"/>
    <w:rsid w:val="004C7B8D"/>
    <w:rsid w:val="004D0746"/>
    <w:rsid w:val="004D20A7"/>
    <w:rsid w:val="004D25D6"/>
    <w:rsid w:val="004D29B3"/>
    <w:rsid w:val="004D29CC"/>
    <w:rsid w:val="004D37F1"/>
    <w:rsid w:val="004D4140"/>
    <w:rsid w:val="004D43D1"/>
    <w:rsid w:val="004D4DC9"/>
    <w:rsid w:val="004D60CF"/>
    <w:rsid w:val="004D6E6E"/>
    <w:rsid w:val="004D76DF"/>
    <w:rsid w:val="004D7BBE"/>
    <w:rsid w:val="004E03B0"/>
    <w:rsid w:val="004E0879"/>
    <w:rsid w:val="004E0EB8"/>
    <w:rsid w:val="004E1C44"/>
    <w:rsid w:val="004E1F7B"/>
    <w:rsid w:val="004E24BC"/>
    <w:rsid w:val="004E25A2"/>
    <w:rsid w:val="004E2ADC"/>
    <w:rsid w:val="004E307E"/>
    <w:rsid w:val="004E3785"/>
    <w:rsid w:val="004E4324"/>
    <w:rsid w:val="004E45C9"/>
    <w:rsid w:val="004E4A2B"/>
    <w:rsid w:val="004E52B3"/>
    <w:rsid w:val="004E58C8"/>
    <w:rsid w:val="004E6F36"/>
    <w:rsid w:val="004E6F70"/>
    <w:rsid w:val="004E71B4"/>
    <w:rsid w:val="004E7226"/>
    <w:rsid w:val="004E7AC7"/>
    <w:rsid w:val="004F06A1"/>
    <w:rsid w:val="004F0C97"/>
    <w:rsid w:val="004F163F"/>
    <w:rsid w:val="004F1D02"/>
    <w:rsid w:val="004F1D11"/>
    <w:rsid w:val="004F218F"/>
    <w:rsid w:val="004F21D5"/>
    <w:rsid w:val="004F2679"/>
    <w:rsid w:val="004F2ADF"/>
    <w:rsid w:val="004F3AE5"/>
    <w:rsid w:val="004F3CBB"/>
    <w:rsid w:val="004F51E5"/>
    <w:rsid w:val="004F6355"/>
    <w:rsid w:val="004F6E6B"/>
    <w:rsid w:val="004F7A61"/>
    <w:rsid w:val="004F7E08"/>
    <w:rsid w:val="00500421"/>
    <w:rsid w:val="00500460"/>
    <w:rsid w:val="00500F01"/>
    <w:rsid w:val="00501A83"/>
    <w:rsid w:val="00501CEA"/>
    <w:rsid w:val="0050270D"/>
    <w:rsid w:val="005028C6"/>
    <w:rsid w:val="00503713"/>
    <w:rsid w:val="00504F90"/>
    <w:rsid w:val="0050550F"/>
    <w:rsid w:val="00505A67"/>
    <w:rsid w:val="005064AA"/>
    <w:rsid w:val="00506E16"/>
    <w:rsid w:val="0051183A"/>
    <w:rsid w:val="0051296F"/>
    <w:rsid w:val="00513194"/>
    <w:rsid w:val="0051373A"/>
    <w:rsid w:val="0051376E"/>
    <w:rsid w:val="00513B6F"/>
    <w:rsid w:val="00513BE8"/>
    <w:rsid w:val="0051425E"/>
    <w:rsid w:val="005152B5"/>
    <w:rsid w:val="00515783"/>
    <w:rsid w:val="005174FE"/>
    <w:rsid w:val="00517553"/>
    <w:rsid w:val="00517C30"/>
    <w:rsid w:val="00520622"/>
    <w:rsid w:val="00521319"/>
    <w:rsid w:val="00521E33"/>
    <w:rsid w:val="00521E4A"/>
    <w:rsid w:val="0052239D"/>
    <w:rsid w:val="005223E7"/>
    <w:rsid w:val="00522B50"/>
    <w:rsid w:val="00523C28"/>
    <w:rsid w:val="00524102"/>
    <w:rsid w:val="00524479"/>
    <w:rsid w:val="005247D6"/>
    <w:rsid w:val="0052493E"/>
    <w:rsid w:val="00524CCF"/>
    <w:rsid w:val="005305B5"/>
    <w:rsid w:val="00530A74"/>
    <w:rsid w:val="00532D62"/>
    <w:rsid w:val="00533FDB"/>
    <w:rsid w:val="005340FF"/>
    <w:rsid w:val="00534F32"/>
    <w:rsid w:val="0053504A"/>
    <w:rsid w:val="0053505B"/>
    <w:rsid w:val="0053584D"/>
    <w:rsid w:val="00536B2E"/>
    <w:rsid w:val="00537B95"/>
    <w:rsid w:val="0054013B"/>
    <w:rsid w:val="005409FC"/>
    <w:rsid w:val="00541001"/>
    <w:rsid w:val="00541281"/>
    <w:rsid w:val="005416C8"/>
    <w:rsid w:val="005422B9"/>
    <w:rsid w:val="00542AC1"/>
    <w:rsid w:val="00543089"/>
    <w:rsid w:val="005437DA"/>
    <w:rsid w:val="0054539A"/>
    <w:rsid w:val="0054633D"/>
    <w:rsid w:val="00546E78"/>
    <w:rsid w:val="00547B52"/>
    <w:rsid w:val="00547D17"/>
    <w:rsid w:val="00547EA0"/>
    <w:rsid w:val="00551118"/>
    <w:rsid w:val="00551764"/>
    <w:rsid w:val="00552671"/>
    <w:rsid w:val="00552902"/>
    <w:rsid w:val="00553719"/>
    <w:rsid w:val="005538F9"/>
    <w:rsid w:val="00553E76"/>
    <w:rsid w:val="005544C0"/>
    <w:rsid w:val="00555015"/>
    <w:rsid w:val="00555109"/>
    <w:rsid w:val="00555BA0"/>
    <w:rsid w:val="0055605D"/>
    <w:rsid w:val="005573D3"/>
    <w:rsid w:val="005608E3"/>
    <w:rsid w:val="0056189E"/>
    <w:rsid w:val="0056276A"/>
    <w:rsid w:val="005636E0"/>
    <w:rsid w:val="00564042"/>
    <w:rsid w:val="00564457"/>
    <w:rsid w:val="005659C5"/>
    <w:rsid w:val="0056634F"/>
    <w:rsid w:val="0056696F"/>
    <w:rsid w:val="0056708E"/>
    <w:rsid w:val="0056795B"/>
    <w:rsid w:val="00567C25"/>
    <w:rsid w:val="00567DAC"/>
    <w:rsid w:val="00570658"/>
    <w:rsid w:val="00570C14"/>
    <w:rsid w:val="0057121F"/>
    <w:rsid w:val="0057203C"/>
    <w:rsid w:val="00573F90"/>
    <w:rsid w:val="0057452A"/>
    <w:rsid w:val="00574A1F"/>
    <w:rsid w:val="0057507D"/>
    <w:rsid w:val="00575544"/>
    <w:rsid w:val="00575F0A"/>
    <w:rsid w:val="00576972"/>
    <w:rsid w:val="00577717"/>
    <w:rsid w:val="005800E7"/>
    <w:rsid w:val="005801AD"/>
    <w:rsid w:val="005801E9"/>
    <w:rsid w:val="005804C1"/>
    <w:rsid w:val="00580512"/>
    <w:rsid w:val="00581562"/>
    <w:rsid w:val="005816DD"/>
    <w:rsid w:val="00581841"/>
    <w:rsid w:val="0058283A"/>
    <w:rsid w:val="00583699"/>
    <w:rsid w:val="005839E8"/>
    <w:rsid w:val="005842AD"/>
    <w:rsid w:val="00585BDA"/>
    <w:rsid w:val="00586B3C"/>
    <w:rsid w:val="0058749A"/>
    <w:rsid w:val="005900AE"/>
    <w:rsid w:val="005904F3"/>
    <w:rsid w:val="005904F4"/>
    <w:rsid w:val="00591F0F"/>
    <w:rsid w:val="0059287F"/>
    <w:rsid w:val="00594365"/>
    <w:rsid w:val="00594DE1"/>
    <w:rsid w:val="00595ECA"/>
    <w:rsid w:val="00597C8F"/>
    <w:rsid w:val="00597DC0"/>
    <w:rsid w:val="005A0495"/>
    <w:rsid w:val="005A146B"/>
    <w:rsid w:val="005A1506"/>
    <w:rsid w:val="005A1D14"/>
    <w:rsid w:val="005A3173"/>
    <w:rsid w:val="005A3B3F"/>
    <w:rsid w:val="005A4DC4"/>
    <w:rsid w:val="005A7708"/>
    <w:rsid w:val="005B00C8"/>
    <w:rsid w:val="005B03DF"/>
    <w:rsid w:val="005B123F"/>
    <w:rsid w:val="005B290B"/>
    <w:rsid w:val="005B36A2"/>
    <w:rsid w:val="005B44A0"/>
    <w:rsid w:val="005B48B8"/>
    <w:rsid w:val="005B5313"/>
    <w:rsid w:val="005B533A"/>
    <w:rsid w:val="005B5681"/>
    <w:rsid w:val="005B5695"/>
    <w:rsid w:val="005B5857"/>
    <w:rsid w:val="005B7FBF"/>
    <w:rsid w:val="005C091E"/>
    <w:rsid w:val="005C1B83"/>
    <w:rsid w:val="005C1C1A"/>
    <w:rsid w:val="005C222B"/>
    <w:rsid w:val="005C2376"/>
    <w:rsid w:val="005C346B"/>
    <w:rsid w:val="005C3609"/>
    <w:rsid w:val="005C463F"/>
    <w:rsid w:val="005C479C"/>
    <w:rsid w:val="005C4AE8"/>
    <w:rsid w:val="005C5D46"/>
    <w:rsid w:val="005C6D39"/>
    <w:rsid w:val="005C6DB9"/>
    <w:rsid w:val="005D115B"/>
    <w:rsid w:val="005D18AD"/>
    <w:rsid w:val="005D1A68"/>
    <w:rsid w:val="005D1A8A"/>
    <w:rsid w:val="005D21AF"/>
    <w:rsid w:val="005D2E9D"/>
    <w:rsid w:val="005D3803"/>
    <w:rsid w:val="005D41DD"/>
    <w:rsid w:val="005D42F9"/>
    <w:rsid w:val="005D4B77"/>
    <w:rsid w:val="005D4CB8"/>
    <w:rsid w:val="005D53FA"/>
    <w:rsid w:val="005D5C77"/>
    <w:rsid w:val="005D605E"/>
    <w:rsid w:val="005D76F2"/>
    <w:rsid w:val="005D7E3E"/>
    <w:rsid w:val="005E0775"/>
    <w:rsid w:val="005E0CE5"/>
    <w:rsid w:val="005E174A"/>
    <w:rsid w:val="005E1A6C"/>
    <w:rsid w:val="005E2250"/>
    <w:rsid w:val="005E247E"/>
    <w:rsid w:val="005E25FD"/>
    <w:rsid w:val="005E34BB"/>
    <w:rsid w:val="005E3518"/>
    <w:rsid w:val="005E3806"/>
    <w:rsid w:val="005E40E0"/>
    <w:rsid w:val="005E4D53"/>
    <w:rsid w:val="005E53DB"/>
    <w:rsid w:val="005E6867"/>
    <w:rsid w:val="005E6F36"/>
    <w:rsid w:val="005F1B6C"/>
    <w:rsid w:val="005F2706"/>
    <w:rsid w:val="005F2ABD"/>
    <w:rsid w:val="005F2EF2"/>
    <w:rsid w:val="005F3AF3"/>
    <w:rsid w:val="005F4CE2"/>
    <w:rsid w:val="005F4F00"/>
    <w:rsid w:val="005F533B"/>
    <w:rsid w:val="005F5E6D"/>
    <w:rsid w:val="005F667F"/>
    <w:rsid w:val="005F6A8F"/>
    <w:rsid w:val="005F7B1E"/>
    <w:rsid w:val="005F7B79"/>
    <w:rsid w:val="005F7DE1"/>
    <w:rsid w:val="0060002A"/>
    <w:rsid w:val="00600681"/>
    <w:rsid w:val="00600A0C"/>
    <w:rsid w:val="00600E5E"/>
    <w:rsid w:val="00602A32"/>
    <w:rsid w:val="00602A8F"/>
    <w:rsid w:val="00602BC2"/>
    <w:rsid w:val="00602EE2"/>
    <w:rsid w:val="00603495"/>
    <w:rsid w:val="00603932"/>
    <w:rsid w:val="00603B9F"/>
    <w:rsid w:val="006061E5"/>
    <w:rsid w:val="00606CB0"/>
    <w:rsid w:val="00607054"/>
    <w:rsid w:val="00607669"/>
    <w:rsid w:val="00610D4F"/>
    <w:rsid w:val="00610E5B"/>
    <w:rsid w:val="00611074"/>
    <w:rsid w:val="00611338"/>
    <w:rsid w:val="00612F97"/>
    <w:rsid w:val="0061377F"/>
    <w:rsid w:val="00613A55"/>
    <w:rsid w:val="006148AE"/>
    <w:rsid w:val="006158E3"/>
    <w:rsid w:val="00615CDA"/>
    <w:rsid w:val="00615FDE"/>
    <w:rsid w:val="006163F7"/>
    <w:rsid w:val="00616802"/>
    <w:rsid w:val="00617E12"/>
    <w:rsid w:val="00620D30"/>
    <w:rsid w:val="00621477"/>
    <w:rsid w:val="00621CAF"/>
    <w:rsid w:val="006223F3"/>
    <w:rsid w:val="00623ADC"/>
    <w:rsid w:val="00623B08"/>
    <w:rsid w:val="00623E8B"/>
    <w:rsid w:val="0062613F"/>
    <w:rsid w:val="00626B9D"/>
    <w:rsid w:val="006271DE"/>
    <w:rsid w:val="00627A7A"/>
    <w:rsid w:val="00627C79"/>
    <w:rsid w:val="006305AB"/>
    <w:rsid w:val="00630F72"/>
    <w:rsid w:val="0063139C"/>
    <w:rsid w:val="00631732"/>
    <w:rsid w:val="00631D6B"/>
    <w:rsid w:val="00631F7E"/>
    <w:rsid w:val="006322BF"/>
    <w:rsid w:val="00633E79"/>
    <w:rsid w:val="00634502"/>
    <w:rsid w:val="0063479F"/>
    <w:rsid w:val="00634D77"/>
    <w:rsid w:val="00634DFD"/>
    <w:rsid w:val="006359E3"/>
    <w:rsid w:val="00636273"/>
    <w:rsid w:val="006364A1"/>
    <w:rsid w:val="0063772C"/>
    <w:rsid w:val="00637A52"/>
    <w:rsid w:val="00637A70"/>
    <w:rsid w:val="00637BFD"/>
    <w:rsid w:val="0064003F"/>
    <w:rsid w:val="006400D5"/>
    <w:rsid w:val="006410B8"/>
    <w:rsid w:val="00641835"/>
    <w:rsid w:val="00641CDC"/>
    <w:rsid w:val="006426B5"/>
    <w:rsid w:val="00643358"/>
    <w:rsid w:val="0064419D"/>
    <w:rsid w:val="006449A9"/>
    <w:rsid w:val="00645073"/>
    <w:rsid w:val="00645D23"/>
    <w:rsid w:val="006471CC"/>
    <w:rsid w:val="0064756A"/>
    <w:rsid w:val="0065027A"/>
    <w:rsid w:val="00650616"/>
    <w:rsid w:val="0065079F"/>
    <w:rsid w:val="00650EE4"/>
    <w:rsid w:val="00651E82"/>
    <w:rsid w:val="00651F4D"/>
    <w:rsid w:val="00654522"/>
    <w:rsid w:val="006545FD"/>
    <w:rsid w:val="006553AD"/>
    <w:rsid w:val="006568D8"/>
    <w:rsid w:val="00657173"/>
    <w:rsid w:val="006576D8"/>
    <w:rsid w:val="00660A28"/>
    <w:rsid w:val="00661217"/>
    <w:rsid w:val="00661DD3"/>
    <w:rsid w:val="00663027"/>
    <w:rsid w:val="006630AB"/>
    <w:rsid w:val="006636DE"/>
    <w:rsid w:val="00663CFC"/>
    <w:rsid w:val="00664A4C"/>
    <w:rsid w:val="00664E6D"/>
    <w:rsid w:val="00665E19"/>
    <w:rsid w:val="006661A9"/>
    <w:rsid w:val="006667E0"/>
    <w:rsid w:val="006703C8"/>
    <w:rsid w:val="00670767"/>
    <w:rsid w:val="00670980"/>
    <w:rsid w:val="00671058"/>
    <w:rsid w:val="00671584"/>
    <w:rsid w:val="0067191F"/>
    <w:rsid w:val="006731F8"/>
    <w:rsid w:val="006739BE"/>
    <w:rsid w:val="006743F7"/>
    <w:rsid w:val="00674A10"/>
    <w:rsid w:val="00674E42"/>
    <w:rsid w:val="006752AB"/>
    <w:rsid w:val="00675887"/>
    <w:rsid w:val="00677631"/>
    <w:rsid w:val="00677FDF"/>
    <w:rsid w:val="006804F3"/>
    <w:rsid w:val="00680AD7"/>
    <w:rsid w:val="006811BA"/>
    <w:rsid w:val="00681583"/>
    <w:rsid w:val="00682112"/>
    <w:rsid w:val="00682A07"/>
    <w:rsid w:val="00684322"/>
    <w:rsid w:val="00684BCE"/>
    <w:rsid w:val="00684E12"/>
    <w:rsid w:val="0068530A"/>
    <w:rsid w:val="006853B2"/>
    <w:rsid w:val="00686188"/>
    <w:rsid w:val="00686488"/>
    <w:rsid w:val="006875B6"/>
    <w:rsid w:val="006921D7"/>
    <w:rsid w:val="00692468"/>
    <w:rsid w:val="006931AD"/>
    <w:rsid w:val="00693541"/>
    <w:rsid w:val="00694F44"/>
    <w:rsid w:val="006952F3"/>
    <w:rsid w:val="00695A6F"/>
    <w:rsid w:val="00695CA1"/>
    <w:rsid w:val="006961C8"/>
    <w:rsid w:val="00696EE8"/>
    <w:rsid w:val="00697D96"/>
    <w:rsid w:val="006A30A9"/>
    <w:rsid w:val="006A3327"/>
    <w:rsid w:val="006A4D74"/>
    <w:rsid w:val="006A741F"/>
    <w:rsid w:val="006B0675"/>
    <w:rsid w:val="006B09BD"/>
    <w:rsid w:val="006B4506"/>
    <w:rsid w:val="006B5448"/>
    <w:rsid w:val="006B5A61"/>
    <w:rsid w:val="006B5C27"/>
    <w:rsid w:val="006B63A5"/>
    <w:rsid w:val="006B72A4"/>
    <w:rsid w:val="006B7F32"/>
    <w:rsid w:val="006C0740"/>
    <w:rsid w:val="006C0A4B"/>
    <w:rsid w:val="006C1073"/>
    <w:rsid w:val="006C11CA"/>
    <w:rsid w:val="006C1762"/>
    <w:rsid w:val="006C1C36"/>
    <w:rsid w:val="006C2A8E"/>
    <w:rsid w:val="006C2F67"/>
    <w:rsid w:val="006C34AC"/>
    <w:rsid w:val="006C417E"/>
    <w:rsid w:val="006C4234"/>
    <w:rsid w:val="006C4341"/>
    <w:rsid w:val="006C494D"/>
    <w:rsid w:val="006C4E5B"/>
    <w:rsid w:val="006C55D9"/>
    <w:rsid w:val="006C5A5F"/>
    <w:rsid w:val="006C5EC5"/>
    <w:rsid w:val="006C727A"/>
    <w:rsid w:val="006C7401"/>
    <w:rsid w:val="006C7627"/>
    <w:rsid w:val="006D0DA3"/>
    <w:rsid w:val="006D1D2B"/>
    <w:rsid w:val="006D271F"/>
    <w:rsid w:val="006D3C7D"/>
    <w:rsid w:val="006D3DBC"/>
    <w:rsid w:val="006D4428"/>
    <w:rsid w:val="006D4EE2"/>
    <w:rsid w:val="006D6044"/>
    <w:rsid w:val="006D60ED"/>
    <w:rsid w:val="006D67AD"/>
    <w:rsid w:val="006D7750"/>
    <w:rsid w:val="006E0591"/>
    <w:rsid w:val="006E0970"/>
    <w:rsid w:val="006E1447"/>
    <w:rsid w:val="006E1FFD"/>
    <w:rsid w:val="006E37F5"/>
    <w:rsid w:val="006E4F09"/>
    <w:rsid w:val="006E51D0"/>
    <w:rsid w:val="006E71B6"/>
    <w:rsid w:val="006E7A99"/>
    <w:rsid w:val="006F13CD"/>
    <w:rsid w:val="006F2BC6"/>
    <w:rsid w:val="006F387F"/>
    <w:rsid w:val="006F3E8A"/>
    <w:rsid w:val="006F4C32"/>
    <w:rsid w:val="006F55BE"/>
    <w:rsid w:val="006F57F7"/>
    <w:rsid w:val="006F60C3"/>
    <w:rsid w:val="006F6211"/>
    <w:rsid w:val="006F63A5"/>
    <w:rsid w:val="006F769E"/>
    <w:rsid w:val="006F7EA6"/>
    <w:rsid w:val="00701164"/>
    <w:rsid w:val="00701951"/>
    <w:rsid w:val="00702331"/>
    <w:rsid w:val="0070276E"/>
    <w:rsid w:val="007031E3"/>
    <w:rsid w:val="0070453F"/>
    <w:rsid w:val="007046DE"/>
    <w:rsid w:val="00704722"/>
    <w:rsid w:val="00705EF6"/>
    <w:rsid w:val="0070656D"/>
    <w:rsid w:val="0070690D"/>
    <w:rsid w:val="007069CF"/>
    <w:rsid w:val="00710962"/>
    <w:rsid w:val="0071159D"/>
    <w:rsid w:val="00711A36"/>
    <w:rsid w:val="00712650"/>
    <w:rsid w:val="00712739"/>
    <w:rsid w:val="00712BAC"/>
    <w:rsid w:val="00712EA3"/>
    <w:rsid w:val="00713243"/>
    <w:rsid w:val="00713816"/>
    <w:rsid w:val="00713BB9"/>
    <w:rsid w:val="00714337"/>
    <w:rsid w:val="0071478D"/>
    <w:rsid w:val="00714C16"/>
    <w:rsid w:val="0071515E"/>
    <w:rsid w:val="00715770"/>
    <w:rsid w:val="00715A55"/>
    <w:rsid w:val="00716C84"/>
    <w:rsid w:val="0071711A"/>
    <w:rsid w:val="007172AD"/>
    <w:rsid w:val="0071762D"/>
    <w:rsid w:val="00717A96"/>
    <w:rsid w:val="00717DB2"/>
    <w:rsid w:val="00720522"/>
    <w:rsid w:val="007209D3"/>
    <w:rsid w:val="00721524"/>
    <w:rsid w:val="00721AA3"/>
    <w:rsid w:val="007229D1"/>
    <w:rsid w:val="0072408C"/>
    <w:rsid w:val="0072557F"/>
    <w:rsid w:val="007258BD"/>
    <w:rsid w:val="00725F5F"/>
    <w:rsid w:val="007260AA"/>
    <w:rsid w:val="007265FB"/>
    <w:rsid w:val="0073216F"/>
    <w:rsid w:val="007325B7"/>
    <w:rsid w:val="00732981"/>
    <w:rsid w:val="00733CFC"/>
    <w:rsid w:val="007351EF"/>
    <w:rsid w:val="00735328"/>
    <w:rsid w:val="00736088"/>
    <w:rsid w:val="0073609F"/>
    <w:rsid w:val="007363F5"/>
    <w:rsid w:val="0073685B"/>
    <w:rsid w:val="00736A31"/>
    <w:rsid w:val="007401E0"/>
    <w:rsid w:val="0074100B"/>
    <w:rsid w:val="0074203D"/>
    <w:rsid w:val="007435A9"/>
    <w:rsid w:val="007437E5"/>
    <w:rsid w:val="00744820"/>
    <w:rsid w:val="00744B32"/>
    <w:rsid w:val="007457E9"/>
    <w:rsid w:val="007462E1"/>
    <w:rsid w:val="00746901"/>
    <w:rsid w:val="00746AAF"/>
    <w:rsid w:val="0074718F"/>
    <w:rsid w:val="007474AD"/>
    <w:rsid w:val="00750E09"/>
    <w:rsid w:val="0075136C"/>
    <w:rsid w:val="007514AB"/>
    <w:rsid w:val="00751511"/>
    <w:rsid w:val="00751883"/>
    <w:rsid w:val="007520E7"/>
    <w:rsid w:val="007526B0"/>
    <w:rsid w:val="0075292C"/>
    <w:rsid w:val="00752D13"/>
    <w:rsid w:val="0075545D"/>
    <w:rsid w:val="00755C6A"/>
    <w:rsid w:val="00755E0F"/>
    <w:rsid w:val="007560A8"/>
    <w:rsid w:val="00757038"/>
    <w:rsid w:val="0075723B"/>
    <w:rsid w:val="00757448"/>
    <w:rsid w:val="007579C7"/>
    <w:rsid w:val="00757B0A"/>
    <w:rsid w:val="00760071"/>
    <w:rsid w:val="00761694"/>
    <w:rsid w:val="007618FB"/>
    <w:rsid w:val="00761A92"/>
    <w:rsid w:val="00762102"/>
    <w:rsid w:val="0076286C"/>
    <w:rsid w:val="00763B8E"/>
    <w:rsid w:val="0076482F"/>
    <w:rsid w:val="00766C51"/>
    <w:rsid w:val="00767769"/>
    <w:rsid w:val="00767777"/>
    <w:rsid w:val="00767F84"/>
    <w:rsid w:val="00770F55"/>
    <w:rsid w:val="007712A0"/>
    <w:rsid w:val="00772292"/>
    <w:rsid w:val="00772F31"/>
    <w:rsid w:val="007749A0"/>
    <w:rsid w:val="00775B8A"/>
    <w:rsid w:val="00776D20"/>
    <w:rsid w:val="00777698"/>
    <w:rsid w:val="00777C26"/>
    <w:rsid w:val="00777F27"/>
    <w:rsid w:val="00780110"/>
    <w:rsid w:val="00780332"/>
    <w:rsid w:val="0078073B"/>
    <w:rsid w:val="00780A66"/>
    <w:rsid w:val="00780BF2"/>
    <w:rsid w:val="007830E5"/>
    <w:rsid w:val="007837C6"/>
    <w:rsid w:val="00783938"/>
    <w:rsid w:val="00783C79"/>
    <w:rsid w:val="00784FA1"/>
    <w:rsid w:val="00785A41"/>
    <w:rsid w:val="00786955"/>
    <w:rsid w:val="0079071E"/>
    <w:rsid w:val="00790F77"/>
    <w:rsid w:val="007915EF"/>
    <w:rsid w:val="007927ED"/>
    <w:rsid w:val="007930A7"/>
    <w:rsid w:val="007931D4"/>
    <w:rsid w:val="00793EBD"/>
    <w:rsid w:val="00793ED7"/>
    <w:rsid w:val="00794A2A"/>
    <w:rsid w:val="00795419"/>
    <w:rsid w:val="00795A4C"/>
    <w:rsid w:val="00795DF8"/>
    <w:rsid w:val="00797076"/>
    <w:rsid w:val="00797D7F"/>
    <w:rsid w:val="007A1523"/>
    <w:rsid w:val="007A1C2C"/>
    <w:rsid w:val="007A204F"/>
    <w:rsid w:val="007A281F"/>
    <w:rsid w:val="007A2BB9"/>
    <w:rsid w:val="007A30D5"/>
    <w:rsid w:val="007A3D8B"/>
    <w:rsid w:val="007A58EF"/>
    <w:rsid w:val="007A5BD7"/>
    <w:rsid w:val="007A6E05"/>
    <w:rsid w:val="007A71A3"/>
    <w:rsid w:val="007A71BB"/>
    <w:rsid w:val="007B0E04"/>
    <w:rsid w:val="007B0F74"/>
    <w:rsid w:val="007B1AFE"/>
    <w:rsid w:val="007B251D"/>
    <w:rsid w:val="007B4C09"/>
    <w:rsid w:val="007B5024"/>
    <w:rsid w:val="007B512D"/>
    <w:rsid w:val="007B5192"/>
    <w:rsid w:val="007B53B7"/>
    <w:rsid w:val="007B59A0"/>
    <w:rsid w:val="007B5F09"/>
    <w:rsid w:val="007B665B"/>
    <w:rsid w:val="007B665C"/>
    <w:rsid w:val="007B669B"/>
    <w:rsid w:val="007B6CC2"/>
    <w:rsid w:val="007B722E"/>
    <w:rsid w:val="007B7262"/>
    <w:rsid w:val="007B77D1"/>
    <w:rsid w:val="007C1E22"/>
    <w:rsid w:val="007C261E"/>
    <w:rsid w:val="007C2ADD"/>
    <w:rsid w:val="007C3BD1"/>
    <w:rsid w:val="007C3F4E"/>
    <w:rsid w:val="007C4919"/>
    <w:rsid w:val="007C49BB"/>
    <w:rsid w:val="007C74F0"/>
    <w:rsid w:val="007C7C72"/>
    <w:rsid w:val="007C7F7D"/>
    <w:rsid w:val="007D00E1"/>
    <w:rsid w:val="007D0B38"/>
    <w:rsid w:val="007D1206"/>
    <w:rsid w:val="007D23A6"/>
    <w:rsid w:val="007D28C6"/>
    <w:rsid w:val="007D32BC"/>
    <w:rsid w:val="007D4131"/>
    <w:rsid w:val="007D4243"/>
    <w:rsid w:val="007D433D"/>
    <w:rsid w:val="007D4739"/>
    <w:rsid w:val="007D53EC"/>
    <w:rsid w:val="007D56A6"/>
    <w:rsid w:val="007D5BA1"/>
    <w:rsid w:val="007D65A7"/>
    <w:rsid w:val="007D740B"/>
    <w:rsid w:val="007D745C"/>
    <w:rsid w:val="007E0397"/>
    <w:rsid w:val="007E0FB7"/>
    <w:rsid w:val="007E264C"/>
    <w:rsid w:val="007E30AC"/>
    <w:rsid w:val="007E32FA"/>
    <w:rsid w:val="007E45C3"/>
    <w:rsid w:val="007E48BA"/>
    <w:rsid w:val="007E578B"/>
    <w:rsid w:val="007E60B3"/>
    <w:rsid w:val="007E6DFA"/>
    <w:rsid w:val="007E6FF0"/>
    <w:rsid w:val="007E74A9"/>
    <w:rsid w:val="007F0952"/>
    <w:rsid w:val="007F1017"/>
    <w:rsid w:val="007F1832"/>
    <w:rsid w:val="007F2719"/>
    <w:rsid w:val="007F31BE"/>
    <w:rsid w:val="007F36B1"/>
    <w:rsid w:val="007F37EF"/>
    <w:rsid w:val="007F3E95"/>
    <w:rsid w:val="007F4A3F"/>
    <w:rsid w:val="007F55EC"/>
    <w:rsid w:val="007F5B0A"/>
    <w:rsid w:val="007F66BC"/>
    <w:rsid w:val="007F6735"/>
    <w:rsid w:val="00801421"/>
    <w:rsid w:val="008016DF"/>
    <w:rsid w:val="008016F2"/>
    <w:rsid w:val="00801BCA"/>
    <w:rsid w:val="00801E81"/>
    <w:rsid w:val="008021E1"/>
    <w:rsid w:val="00802792"/>
    <w:rsid w:val="00803E26"/>
    <w:rsid w:val="00803E4E"/>
    <w:rsid w:val="00804025"/>
    <w:rsid w:val="008048DC"/>
    <w:rsid w:val="00804EC3"/>
    <w:rsid w:val="00805142"/>
    <w:rsid w:val="008061CB"/>
    <w:rsid w:val="00806B5C"/>
    <w:rsid w:val="00807A8B"/>
    <w:rsid w:val="008118B8"/>
    <w:rsid w:val="00812149"/>
    <w:rsid w:val="008129E5"/>
    <w:rsid w:val="008130F5"/>
    <w:rsid w:val="008134E2"/>
    <w:rsid w:val="00814770"/>
    <w:rsid w:val="00815A5A"/>
    <w:rsid w:val="008166EF"/>
    <w:rsid w:val="00816CE0"/>
    <w:rsid w:val="008172F5"/>
    <w:rsid w:val="00820830"/>
    <w:rsid w:val="00820A45"/>
    <w:rsid w:val="008216E6"/>
    <w:rsid w:val="008219E3"/>
    <w:rsid w:val="00821F2B"/>
    <w:rsid w:val="0082288D"/>
    <w:rsid w:val="0082329B"/>
    <w:rsid w:val="00823958"/>
    <w:rsid w:val="00823AF6"/>
    <w:rsid w:val="008244C6"/>
    <w:rsid w:val="008245AB"/>
    <w:rsid w:val="00824F8A"/>
    <w:rsid w:val="00825337"/>
    <w:rsid w:val="00825383"/>
    <w:rsid w:val="008264EB"/>
    <w:rsid w:val="008308CD"/>
    <w:rsid w:val="0083167C"/>
    <w:rsid w:val="00831AD6"/>
    <w:rsid w:val="008320CE"/>
    <w:rsid w:val="00832ABB"/>
    <w:rsid w:val="00832C77"/>
    <w:rsid w:val="00833D59"/>
    <w:rsid w:val="00833E3B"/>
    <w:rsid w:val="0083409D"/>
    <w:rsid w:val="00834785"/>
    <w:rsid w:val="00834C9A"/>
    <w:rsid w:val="00834F78"/>
    <w:rsid w:val="008351A7"/>
    <w:rsid w:val="008356DF"/>
    <w:rsid w:val="00835865"/>
    <w:rsid w:val="00835B1E"/>
    <w:rsid w:val="00835C49"/>
    <w:rsid w:val="00836130"/>
    <w:rsid w:val="008377B2"/>
    <w:rsid w:val="00837ADA"/>
    <w:rsid w:val="00840150"/>
    <w:rsid w:val="008408C1"/>
    <w:rsid w:val="00840CA2"/>
    <w:rsid w:val="00840FAA"/>
    <w:rsid w:val="00841721"/>
    <w:rsid w:val="00841CA0"/>
    <w:rsid w:val="008425B5"/>
    <w:rsid w:val="00842801"/>
    <w:rsid w:val="0084494F"/>
    <w:rsid w:val="008450DD"/>
    <w:rsid w:val="00845ABA"/>
    <w:rsid w:val="00845C21"/>
    <w:rsid w:val="00846C93"/>
    <w:rsid w:val="00847593"/>
    <w:rsid w:val="00847ABB"/>
    <w:rsid w:val="008504F8"/>
    <w:rsid w:val="0085095F"/>
    <w:rsid w:val="0085121C"/>
    <w:rsid w:val="00851224"/>
    <w:rsid w:val="008514DF"/>
    <w:rsid w:val="0085556E"/>
    <w:rsid w:val="00855619"/>
    <w:rsid w:val="00855830"/>
    <w:rsid w:val="0085599A"/>
    <w:rsid w:val="00855C60"/>
    <w:rsid w:val="008563EC"/>
    <w:rsid w:val="00856B9A"/>
    <w:rsid w:val="00856E9A"/>
    <w:rsid w:val="008602CE"/>
    <w:rsid w:val="008608F4"/>
    <w:rsid w:val="00861319"/>
    <w:rsid w:val="00861B85"/>
    <w:rsid w:val="008627A1"/>
    <w:rsid w:val="00863451"/>
    <w:rsid w:val="00863C93"/>
    <w:rsid w:val="00864799"/>
    <w:rsid w:val="00864FD5"/>
    <w:rsid w:val="00865F79"/>
    <w:rsid w:val="00866389"/>
    <w:rsid w:val="008663F6"/>
    <w:rsid w:val="008664BB"/>
    <w:rsid w:val="00871296"/>
    <w:rsid w:val="00872163"/>
    <w:rsid w:val="00872260"/>
    <w:rsid w:val="00872431"/>
    <w:rsid w:val="00874046"/>
    <w:rsid w:val="00874322"/>
    <w:rsid w:val="00875390"/>
    <w:rsid w:val="00875B7C"/>
    <w:rsid w:val="00876BAF"/>
    <w:rsid w:val="00876E3E"/>
    <w:rsid w:val="00876F1C"/>
    <w:rsid w:val="00877BF9"/>
    <w:rsid w:val="00880F08"/>
    <w:rsid w:val="00881206"/>
    <w:rsid w:val="008812B8"/>
    <w:rsid w:val="00881332"/>
    <w:rsid w:val="00881ED4"/>
    <w:rsid w:val="0088250F"/>
    <w:rsid w:val="008826D9"/>
    <w:rsid w:val="00882874"/>
    <w:rsid w:val="00883787"/>
    <w:rsid w:val="008838E9"/>
    <w:rsid w:val="00883BFD"/>
    <w:rsid w:val="00884A0C"/>
    <w:rsid w:val="008852D9"/>
    <w:rsid w:val="0088565D"/>
    <w:rsid w:val="00885A28"/>
    <w:rsid w:val="00886081"/>
    <w:rsid w:val="00886310"/>
    <w:rsid w:val="0088661E"/>
    <w:rsid w:val="008869A5"/>
    <w:rsid w:val="00887D5F"/>
    <w:rsid w:val="0089066E"/>
    <w:rsid w:val="00891BEF"/>
    <w:rsid w:val="00893DA5"/>
    <w:rsid w:val="00893FA9"/>
    <w:rsid w:val="008946FB"/>
    <w:rsid w:val="0089522D"/>
    <w:rsid w:val="008963A5"/>
    <w:rsid w:val="00896B6E"/>
    <w:rsid w:val="00897354"/>
    <w:rsid w:val="00897F11"/>
    <w:rsid w:val="008A00EB"/>
    <w:rsid w:val="008A0FA5"/>
    <w:rsid w:val="008A1095"/>
    <w:rsid w:val="008A120D"/>
    <w:rsid w:val="008A1339"/>
    <w:rsid w:val="008A14A1"/>
    <w:rsid w:val="008A1848"/>
    <w:rsid w:val="008A268C"/>
    <w:rsid w:val="008A36B5"/>
    <w:rsid w:val="008A3C3E"/>
    <w:rsid w:val="008A4C88"/>
    <w:rsid w:val="008A74F2"/>
    <w:rsid w:val="008A79DE"/>
    <w:rsid w:val="008B24A1"/>
    <w:rsid w:val="008B4DCE"/>
    <w:rsid w:val="008B4EED"/>
    <w:rsid w:val="008B541C"/>
    <w:rsid w:val="008B6997"/>
    <w:rsid w:val="008B762E"/>
    <w:rsid w:val="008B7D7E"/>
    <w:rsid w:val="008C053B"/>
    <w:rsid w:val="008C0C9F"/>
    <w:rsid w:val="008C1329"/>
    <w:rsid w:val="008C2B67"/>
    <w:rsid w:val="008C39B2"/>
    <w:rsid w:val="008C3E4F"/>
    <w:rsid w:val="008C5B6A"/>
    <w:rsid w:val="008C5D34"/>
    <w:rsid w:val="008C6D3F"/>
    <w:rsid w:val="008C7ECB"/>
    <w:rsid w:val="008D0036"/>
    <w:rsid w:val="008D0C6B"/>
    <w:rsid w:val="008D1048"/>
    <w:rsid w:val="008D13C3"/>
    <w:rsid w:val="008D2DD5"/>
    <w:rsid w:val="008D2E08"/>
    <w:rsid w:val="008D38CF"/>
    <w:rsid w:val="008D3A34"/>
    <w:rsid w:val="008D40D9"/>
    <w:rsid w:val="008D4B1D"/>
    <w:rsid w:val="008D51F8"/>
    <w:rsid w:val="008D7FE5"/>
    <w:rsid w:val="008E0438"/>
    <w:rsid w:val="008E132E"/>
    <w:rsid w:val="008E16D6"/>
    <w:rsid w:val="008E1B9E"/>
    <w:rsid w:val="008E3B7F"/>
    <w:rsid w:val="008E45A2"/>
    <w:rsid w:val="008E46E5"/>
    <w:rsid w:val="008E5411"/>
    <w:rsid w:val="008E6D46"/>
    <w:rsid w:val="008F2A7C"/>
    <w:rsid w:val="008F34E1"/>
    <w:rsid w:val="008F4195"/>
    <w:rsid w:val="008F4262"/>
    <w:rsid w:val="008F48EB"/>
    <w:rsid w:val="008F4AFF"/>
    <w:rsid w:val="008F4F0B"/>
    <w:rsid w:val="008F50FF"/>
    <w:rsid w:val="008F5898"/>
    <w:rsid w:val="008F60FC"/>
    <w:rsid w:val="008F66D6"/>
    <w:rsid w:val="008F71ED"/>
    <w:rsid w:val="008F73E6"/>
    <w:rsid w:val="00900404"/>
    <w:rsid w:val="009019FD"/>
    <w:rsid w:val="00901C25"/>
    <w:rsid w:val="0090208F"/>
    <w:rsid w:val="00903E7F"/>
    <w:rsid w:val="00904FCD"/>
    <w:rsid w:val="009059C0"/>
    <w:rsid w:val="009062A5"/>
    <w:rsid w:val="00906A19"/>
    <w:rsid w:val="00910697"/>
    <w:rsid w:val="00911272"/>
    <w:rsid w:val="0091128A"/>
    <w:rsid w:val="009112EF"/>
    <w:rsid w:val="00911712"/>
    <w:rsid w:val="009119E7"/>
    <w:rsid w:val="009128F3"/>
    <w:rsid w:val="0091348D"/>
    <w:rsid w:val="00913D48"/>
    <w:rsid w:val="009145B1"/>
    <w:rsid w:val="00914F51"/>
    <w:rsid w:val="009154B9"/>
    <w:rsid w:val="009158AC"/>
    <w:rsid w:val="0091728D"/>
    <w:rsid w:val="00920952"/>
    <w:rsid w:val="009227DE"/>
    <w:rsid w:val="00925F0C"/>
    <w:rsid w:val="00926AAB"/>
    <w:rsid w:val="00927190"/>
    <w:rsid w:val="009278C2"/>
    <w:rsid w:val="00930375"/>
    <w:rsid w:val="00930388"/>
    <w:rsid w:val="00930544"/>
    <w:rsid w:val="009306E6"/>
    <w:rsid w:val="009311DD"/>
    <w:rsid w:val="00931CD1"/>
    <w:rsid w:val="00932C8A"/>
    <w:rsid w:val="0093411D"/>
    <w:rsid w:val="009358D7"/>
    <w:rsid w:val="00935F5A"/>
    <w:rsid w:val="00936413"/>
    <w:rsid w:val="00936FB2"/>
    <w:rsid w:val="009378D8"/>
    <w:rsid w:val="00940ED3"/>
    <w:rsid w:val="009410B6"/>
    <w:rsid w:val="00941D69"/>
    <w:rsid w:val="0094245B"/>
    <w:rsid w:val="0094284A"/>
    <w:rsid w:val="009428BF"/>
    <w:rsid w:val="009435F5"/>
    <w:rsid w:val="00943D86"/>
    <w:rsid w:val="009441B0"/>
    <w:rsid w:val="009443DD"/>
    <w:rsid w:val="00944637"/>
    <w:rsid w:val="00947956"/>
    <w:rsid w:val="00947DB5"/>
    <w:rsid w:val="0095086A"/>
    <w:rsid w:val="00950B3D"/>
    <w:rsid w:val="00951AC7"/>
    <w:rsid w:val="00952A0D"/>
    <w:rsid w:val="00952DCD"/>
    <w:rsid w:val="0095355F"/>
    <w:rsid w:val="00955F00"/>
    <w:rsid w:val="00956655"/>
    <w:rsid w:val="00957297"/>
    <w:rsid w:val="009576C4"/>
    <w:rsid w:val="00957ADC"/>
    <w:rsid w:val="00960E62"/>
    <w:rsid w:val="009617AC"/>
    <w:rsid w:val="00961AF9"/>
    <w:rsid w:val="00962CB9"/>
    <w:rsid w:val="00962CE8"/>
    <w:rsid w:val="009632A6"/>
    <w:rsid w:val="00964312"/>
    <w:rsid w:val="009644ED"/>
    <w:rsid w:val="00967391"/>
    <w:rsid w:val="0096744B"/>
    <w:rsid w:val="009674F1"/>
    <w:rsid w:val="0097035F"/>
    <w:rsid w:val="0097141C"/>
    <w:rsid w:val="00972A37"/>
    <w:rsid w:val="00972A59"/>
    <w:rsid w:val="00973410"/>
    <w:rsid w:val="009744F4"/>
    <w:rsid w:val="0097468B"/>
    <w:rsid w:val="009746C7"/>
    <w:rsid w:val="00975559"/>
    <w:rsid w:val="009755D1"/>
    <w:rsid w:val="0097569B"/>
    <w:rsid w:val="00975742"/>
    <w:rsid w:val="009758B3"/>
    <w:rsid w:val="00976691"/>
    <w:rsid w:val="0097707E"/>
    <w:rsid w:val="0097783A"/>
    <w:rsid w:val="009778C1"/>
    <w:rsid w:val="00977E50"/>
    <w:rsid w:val="0098002F"/>
    <w:rsid w:val="00980A43"/>
    <w:rsid w:val="00980FAD"/>
    <w:rsid w:val="00981492"/>
    <w:rsid w:val="00981B3D"/>
    <w:rsid w:val="00981FBD"/>
    <w:rsid w:val="00982D4A"/>
    <w:rsid w:val="0098325E"/>
    <w:rsid w:val="00983860"/>
    <w:rsid w:val="00983D48"/>
    <w:rsid w:val="00983E57"/>
    <w:rsid w:val="0098472B"/>
    <w:rsid w:val="009856C8"/>
    <w:rsid w:val="00985C08"/>
    <w:rsid w:val="00985D02"/>
    <w:rsid w:val="00985E57"/>
    <w:rsid w:val="009861CD"/>
    <w:rsid w:val="00986724"/>
    <w:rsid w:val="00987329"/>
    <w:rsid w:val="0098745F"/>
    <w:rsid w:val="00987524"/>
    <w:rsid w:val="00987F15"/>
    <w:rsid w:val="009909F2"/>
    <w:rsid w:val="009912D9"/>
    <w:rsid w:val="00991CC3"/>
    <w:rsid w:val="00992158"/>
    <w:rsid w:val="0099371C"/>
    <w:rsid w:val="00993ABD"/>
    <w:rsid w:val="00995006"/>
    <w:rsid w:val="009952E5"/>
    <w:rsid w:val="0099573F"/>
    <w:rsid w:val="00995FF9"/>
    <w:rsid w:val="00996B1A"/>
    <w:rsid w:val="00996B6F"/>
    <w:rsid w:val="00996EF7"/>
    <w:rsid w:val="0099709D"/>
    <w:rsid w:val="009974EB"/>
    <w:rsid w:val="00997B2C"/>
    <w:rsid w:val="00997CDE"/>
    <w:rsid w:val="00997D5D"/>
    <w:rsid w:val="009A083B"/>
    <w:rsid w:val="009A1033"/>
    <w:rsid w:val="009A26D2"/>
    <w:rsid w:val="009A2778"/>
    <w:rsid w:val="009A3CE1"/>
    <w:rsid w:val="009A3F26"/>
    <w:rsid w:val="009A40E5"/>
    <w:rsid w:val="009A4FA8"/>
    <w:rsid w:val="009A55B1"/>
    <w:rsid w:val="009A61B5"/>
    <w:rsid w:val="009A6C2B"/>
    <w:rsid w:val="009A6D70"/>
    <w:rsid w:val="009B1052"/>
    <w:rsid w:val="009B1A51"/>
    <w:rsid w:val="009B1A5F"/>
    <w:rsid w:val="009B2F42"/>
    <w:rsid w:val="009B31F4"/>
    <w:rsid w:val="009B3324"/>
    <w:rsid w:val="009B3E26"/>
    <w:rsid w:val="009B4414"/>
    <w:rsid w:val="009B4FA5"/>
    <w:rsid w:val="009B6EA2"/>
    <w:rsid w:val="009B720B"/>
    <w:rsid w:val="009B7348"/>
    <w:rsid w:val="009C1965"/>
    <w:rsid w:val="009C2393"/>
    <w:rsid w:val="009C2844"/>
    <w:rsid w:val="009C2B1B"/>
    <w:rsid w:val="009C320E"/>
    <w:rsid w:val="009C4AF2"/>
    <w:rsid w:val="009C4B24"/>
    <w:rsid w:val="009C5D6C"/>
    <w:rsid w:val="009C7078"/>
    <w:rsid w:val="009C72CD"/>
    <w:rsid w:val="009D09E4"/>
    <w:rsid w:val="009D12E6"/>
    <w:rsid w:val="009D210F"/>
    <w:rsid w:val="009D2D8D"/>
    <w:rsid w:val="009D5B91"/>
    <w:rsid w:val="009D608B"/>
    <w:rsid w:val="009D751E"/>
    <w:rsid w:val="009E00A2"/>
    <w:rsid w:val="009E01CC"/>
    <w:rsid w:val="009E3AC6"/>
    <w:rsid w:val="009E3C8D"/>
    <w:rsid w:val="009E4B48"/>
    <w:rsid w:val="009E4C07"/>
    <w:rsid w:val="009E4DA2"/>
    <w:rsid w:val="009E5F4A"/>
    <w:rsid w:val="009E7EA5"/>
    <w:rsid w:val="009F0046"/>
    <w:rsid w:val="009F161B"/>
    <w:rsid w:val="009F2153"/>
    <w:rsid w:val="009F2C2A"/>
    <w:rsid w:val="009F46A7"/>
    <w:rsid w:val="009F54CD"/>
    <w:rsid w:val="009F54E9"/>
    <w:rsid w:val="009F7039"/>
    <w:rsid w:val="009F7573"/>
    <w:rsid w:val="009F7B39"/>
    <w:rsid w:val="009F7D87"/>
    <w:rsid w:val="009F7E85"/>
    <w:rsid w:val="00A0154A"/>
    <w:rsid w:val="00A020CB"/>
    <w:rsid w:val="00A02218"/>
    <w:rsid w:val="00A02435"/>
    <w:rsid w:val="00A02FBA"/>
    <w:rsid w:val="00A032C9"/>
    <w:rsid w:val="00A03488"/>
    <w:rsid w:val="00A03A16"/>
    <w:rsid w:val="00A03D43"/>
    <w:rsid w:val="00A03FE8"/>
    <w:rsid w:val="00A04380"/>
    <w:rsid w:val="00A06045"/>
    <w:rsid w:val="00A06156"/>
    <w:rsid w:val="00A06977"/>
    <w:rsid w:val="00A074BB"/>
    <w:rsid w:val="00A07B49"/>
    <w:rsid w:val="00A10495"/>
    <w:rsid w:val="00A111BD"/>
    <w:rsid w:val="00A11EA6"/>
    <w:rsid w:val="00A1251E"/>
    <w:rsid w:val="00A12993"/>
    <w:rsid w:val="00A12AFC"/>
    <w:rsid w:val="00A13948"/>
    <w:rsid w:val="00A13EC2"/>
    <w:rsid w:val="00A13FD7"/>
    <w:rsid w:val="00A15302"/>
    <w:rsid w:val="00A15BE3"/>
    <w:rsid w:val="00A166F1"/>
    <w:rsid w:val="00A16A31"/>
    <w:rsid w:val="00A17F5A"/>
    <w:rsid w:val="00A222AA"/>
    <w:rsid w:val="00A24BA5"/>
    <w:rsid w:val="00A25552"/>
    <w:rsid w:val="00A25651"/>
    <w:rsid w:val="00A263E2"/>
    <w:rsid w:val="00A267A0"/>
    <w:rsid w:val="00A2690D"/>
    <w:rsid w:val="00A26AA5"/>
    <w:rsid w:val="00A27AEC"/>
    <w:rsid w:val="00A30247"/>
    <w:rsid w:val="00A30AD5"/>
    <w:rsid w:val="00A30D27"/>
    <w:rsid w:val="00A31BA7"/>
    <w:rsid w:val="00A32BCD"/>
    <w:rsid w:val="00A337FF"/>
    <w:rsid w:val="00A340D2"/>
    <w:rsid w:val="00A35D16"/>
    <w:rsid w:val="00A36D9A"/>
    <w:rsid w:val="00A37B3B"/>
    <w:rsid w:val="00A403AC"/>
    <w:rsid w:val="00A41648"/>
    <w:rsid w:val="00A420C7"/>
    <w:rsid w:val="00A42ACE"/>
    <w:rsid w:val="00A42CE8"/>
    <w:rsid w:val="00A43496"/>
    <w:rsid w:val="00A43C59"/>
    <w:rsid w:val="00A44569"/>
    <w:rsid w:val="00A44E79"/>
    <w:rsid w:val="00A45252"/>
    <w:rsid w:val="00A45868"/>
    <w:rsid w:val="00A45BAA"/>
    <w:rsid w:val="00A47B31"/>
    <w:rsid w:val="00A47BA0"/>
    <w:rsid w:val="00A47D96"/>
    <w:rsid w:val="00A508BF"/>
    <w:rsid w:val="00A50ECD"/>
    <w:rsid w:val="00A51D57"/>
    <w:rsid w:val="00A51FCC"/>
    <w:rsid w:val="00A52729"/>
    <w:rsid w:val="00A52C4D"/>
    <w:rsid w:val="00A52FCD"/>
    <w:rsid w:val="00A53675"/>
    <w:rsid w:val="00A53DFE"/>
    <w:rsid w:val="00A56647"/>
    <w:rsid w:val="00A56B6A"/>
    <w:rsid w:val="00A572CB"/>
    <w:rsid w:val="00A57452"/>
    <w:rsid w:val="00A578DC"/>
    <w:rsid w:val="00A579EC"/>
    <w:rsid w:val="00A602DD"/>
    <w:rsid w:val="00A60790"/>
    <w:rsid w:val="00A60853"/>
    <w:rsid w:val="00A60A20"/>
    <w:rsid w:val="00A60BFF"/>
    <w:rsid w:val="00A6236E"/>
    <w:rsid w:val="00A62665"/>
    <w:rsid w:val="00A627DC"/>
    <w:rsid w:val="00A62B1D"/>
    <w:rsid w:val="00A6390E"/>
    <w:rsid w:val="00A64673"/>
    <w:rsid w:val="00A6477F"/>
    <w:rsid w:val="00A6536E"/>
    <w:rsid w:val="00A65A7C"/>
    <w:rsid w:val="00A65DA5"/>
    <w:rsid w:val="00A6725B"/>
    <w:rsid w:val="00A7016B"/>
    <w:rsid w:val="00A70E96"/>
    <w:rsid w:val="00A71D68"/>
    <w:rsid w:val="00A72136"/>
    <w:rsid w:val="00A730D5"/>
    <w:rsid w:val="00A73D29"/>
    <w:rsid w:val="00A73DAE"/>
    <w:rsid w:val="00A7517B"/>
    <w:rsid w:val="00A75A08"/>
    <w:rsid w:val="00A75EE3"/>
    <w:rsid w:val="00A774B8"/>
    <w:rsid w:val="00A804EB"/>
    <w:rsid w:val="00A809CB"/>
    <w:rsid w:val="00A80E97"/>
    <w:rsid w:val="00A82054"/>
    <w:rsid w:val="00A83D66"/>
    <w:rsid w:val="00A853E9"/>
    <w:rsid w:val="00A85F6E"/>
    <w:rsid w:val="00A866B9"/>
    <w:rsid w:val="00A86E8B"/>
    <w:rsid w:val="00A87056"/>
    <w:rsid w:val="00A91281"/>
    <w:rsid w:val="00A9190A"/>
    <w:rsid w:val="00A928DB"/>
    <w:rsid w:val="00A93072"/>
    <w:rsid w:val="00A943D7"/>
    <w:rsid w:val="00A94E45"/>
    <w:rsid w:val="00A94E8A"/>
    <w:rsid w:val="00A97588"/>
    <w:rsid w:val="00AA04DE"/>
    <w:rsid w:val="00AA0A07"/>
    <w:rsid w:val="00AA23DB"/>
    <w:rsid w:val="00AA383E"/>
    <w:rsid w:val="00AA474C"/>
    <w:rsid w:val="00AA5A00"/>
    <w:rsid w:val="00AA613D"/>
    <w:rsid w:val="00AA6AD4"/>
    <w:rsid w:val="00AA7FFA"/>
    <w:rsid w:val="00AB042A"/>
    <w:rsid w:val="00AB1175"/>
    <w:rsid w:val="00AB1256"/>
    <w:rsid w:val="00AB2B2F"/>
    <w:rsid w:val="00AB3430"/>
    <w:rsid w:val="00AB3A75"/>
    <w:rsid w:val="00AB412D"/>
    <w:rsid w:val="00AB4BC7"/>
    <w:rsid w:val="00AB4EA0"/>
    <w:rsid w:val="00AB5223"/>
    <w:rsid w:val="00AB558C"/>
    <w:rsid w:val="00AB590F"/>
    <w:rsid w:val="00AB5B2F"/>
    <w:rsid w:val="00AB5B6A"/>
    <w:rsid w:val="00AB7CFA"/>
    <w:rsid w:val="00AC266D"/>
    <w:rsid w:val="00AC2BA4"/>
    <w:rsid w:val="00AC3BE1"/>
    <w:rsid w:val="00AC4BC9"/>
    <w:rsid w:val="00AC4F55"/>
    <w:rsid w:val="00AC4F9E"/>
    <w:rsid w:val="00AC50E1"/>
    <w:rsid w:val="00AC5D46"/>
    <w:rsid w:val="00AD0836"/>
    <w:rsid w:val="00AD33F5"/>
    <w:rsid w:val="00AD38B1"/>
    <w:rsid w:val="00AD3B42"/>
    <w:rsid w:val="00AD519D"/>
    <w:rsid w:val="00AD5E3F"/>
    <w:rsid w:val="00AD64CD"/>
    <w:rsid w:val="00AD6F71"/>
    <w:rsid w:val="00AD7C17"/>
    <w:rsid w:val="00AE0282"/>
    <w:rsid w:val="00AE09A3"/>
    <w:rsid w:val="00AE335A"/>
    <w:rsid w:val="00AE3681"/>
    <w:rsid w:val="00AE38EE"/>
    <w:rsid w:val="00AE4B49"/>
    <w:rsid w:val="00AE4CA2"/>
    <w:rsid w:val="00AE4D6B"/>
    <w:rsid w:val="00AE5456"/>
    <w:rsid w:val="00AE5BEF"/>
    <w:rsid w:val="00AE6B89"/>
    <w:rsid w:val="00AE7611"/>
    <w:rsid w:val="00AE7864"/>
    <w:rsid w:val="00AF0AA7"/>
    <w:rsid w:val="00AF0FEB"/>
    <w:rsid w:val="00AF114A"/>
    <w:rsid w:val="00AF1B11"/>
    <w:rsid w:val="00AF1BB7"/>
    <w:rsid w:val="00AF3396"/>
    <w:rsid w:val="00AF35C5"/>
    <w:rsid w:val="00AF3C31"/>
    <w:rsid w:val="00AF46F2"/>
    <w:rsid w:val="00AF535E"/>
    <w:rsid w:val="00AF5DBB"/>
    <w:rsid w:val="00AF6274"/>
    <w:rsid w:val="00AF68A9"/>
    <w:rsid w:val="00AF6EC1"/>
    <w:rsid w:val="00B00131"/>
    <w:rsid w:val="00B00149"/>
    <w:rsid w:val="00B009E4"/>
    <w:rsid w:val="00B00BF8"/>
    <w:rsid w:val="00B017B8"/>
    <w:rsid w:val="00B019CC"/>
    <w:rsid w:val="00B01D8A"/>
    <w:rsid w:val="00B02252"/>
    <w:rsid w:val="00B02790"/>
    <w:rsid w:val="00B03111"/>
    <w:rsid w:val="00B03621"/>
    <w:rsid w:val="00B03C46"/>
    <w:rsid w:val="00B04150"/>
    <w:rsid w:val="00B0456E"/>
    <w:rsid w:val="00B04B14"/>
    <w:rsid w:val="00B04E27"/>
    <w:rsid w:val="00B07C75"/>
    <w:rsid w:val="00B104FA"/>
    <w:rsid w:val="00B10737"/>
    <w:rsid w:val="00B10980"/>
    <w:rsid w:val="00B128B8"/>
    <w:rsid w:val="00B12D5D"/>
    <w:rsid w:val="00B12D73"/>
    <w:rsid w:val="00B132BA"/>
    <w:rsid w:val="00B138AC"/>
    <w:rsid w:val="00B14858"/>
    <w:rsid w:val="00B15670"/>
    <w:rsid w:val="00B158D3"/>
    <w:rsid w:val="00B15AA8"/>
    <w:rsid w:val="00B21005"/>
    <w:rsid w:val="00B214FB"/>
    <w:rsid w:val="00B22ABF"/>
    <w:rsid w:val="00B2410E"/>
    <w:rsid w:val="00B244DB"/>
    <w:rsid w:val="00B24820"/>
    <w:rsid w:val="00B24B47"/>
    <w:rsid w:val="00B25F2F"/>
    <w:rsid w:val="00B265F5"/>
    <w:rsid w:val="00B2706F"/>
    <w:rsid w:val="00B27D40"/>
    <w:rsid w:val="00B319D8"/>
    <w:rsid w:val="00B31A11"/>
    <w:rsid w:val="00B32B0D"/>
    <w:rsid w:val="00B32D7A"/>
    <w:rsid w:val="00B344D9"/>
    <w:rsid w:val="00B35B55"/>
    <w:rsid w:val="00B3783F"/>
    <w:rsid w:val="00B37BB6"/>
    <w:rsid w:val="00B37C5D"/>
    <w:rsid w:val="00B400C1"/>
    <w:rsid w:val="00B407D1"/>
    <w:rsid w:val="00B4173E"/>
    <w:rsid w:val="00B42851"/>
    <w:rsid w:val="00B43077"/>
    <w:rsid w:val="00B439E5"/>
    <w:rsid w:val="00B454DA"/>
    <w:rsid w:val="00B46170"/>
    <w:rsid w:val="00B469A7"/>
    <w:rsid w:val="00B46F94"/>
    <w:rsid w:val="00B4737C"/>
    <w:rsid w:val="00B47553"/>
    <w:rsid w:val="00B47771"/>
    <w:rsid w:val="00B47879"/>
    <w:rsid w:val="00B47D1E"/>
    <w:rsid w:val="00B50262"/>
    <w:rsid w:val="00B50611"/>
    <w:rsid w:val="00B50659"/>
    <w:rsid w:val="00B510EC"/>
    <w:rsid w:val="00B53194"/>
    <w:rsid w:val="00B54B5B"/>
    <w:rsid w:val="00B54E16"/>
    <w:rsid w:val="00B55622"/>
    <w:rsid w:val="00B5562E"/>
    <w:rsid w:val="00B559D1"/>
    <w:rsid w:val="00B55C0E"/>
    <w:rsid w:val="00B560A9"/>
    <w:rsid w:val="00B57000"/>
    <w:rsid w:val="00B60170"/>
    <w:rsid w:val="00B602AF"/>
    <w:rsid w:val="00B607BB"/>
    <w:rsid w:val="00B608CF"/>
    <w:rsid w:val="00B60939"/>
    <w:rsid w:val="00B60AFD"/>
    <w:rsid w:val="00B614BB"/>
    <w:rsid w:val="00B61E00"/>
    <w:rsid w:val="00B6251C"/>
    <w:rsid w:val="00B62715"/>
    <w:rsid w:val="00B62EC8"/>
    <w:rsid w:val="00B63654"/>
    <w:rsid w:val="00B653CF"/>
    <w:rsid w:val="00B653DC"/>
    <w:rsid w:val="00B65837"/>
    <w:rsid w:val="00B67EA6"/>
    <w:rsid w:val="00B70384"/>
    <w:rsid w:val="00B72098"/>
    <w:rsid w:val="00B73486"/>
    <w:rsid w:val="00B750B2"/>
    <w:rsid w:val="00B778F1"/>
    <w:rsid w:val="00B77A3A"/>
    <w:rsid w:val="00B77C18"/>
    <w:rsid w:val="00B818A4"/>
    <w:rsid w:val="00B81FF0"/>
    <w:rsid w:val="00B82881"/>
    <w:rsid w:val="00B8377F"/>
    <w:rsid w:val="00B83CA0"/>
    <w:rsid w:val="00B83D01"/>
    <w:rsid w:val="00B84B66"/>
    <w:rsid w:val="00B84B83"/>
    <w:rsid w:val="00B8524E"/>
    <w:rsid w:val="00B85AB0"/>
    <w:rsid w:val="00B85B4B"/>
    <w:rsid w:val="00B8649C"/>
    <w:rsid w:val="00B875E4"/>
    <w:rsid w:val="00B90342"/>
    <w:rsid w:val="00B92D0B"/>
    <w:rsid w:val="00B92F33"/>
    <w:rsid w:val="00B94199"/>
    <w:rsid w:val="00B9432E"/>
    <w:rsid w:val="00B947AE"/>
    <w:rsid w:val="00B94945"/>
    <w:rsid w:val="00B94BDF"/>
    <w:rsid w:val="00B95132"/>
    <w:rsid w:val="00B953C4"/>
    <w:rsid w:val="00B975AA"/>
    <w:rsid w:val="00B97B3F"/>
    <w:rsid w:val="00BA00CD"/>
    <w:rsid w:val="00BA04F2"/>
    <w:rsid w:val="00BA0E9F"/>
    <w:rsid w:val="00BA14E7"/>
    <w:rsid w:val="00BA1AB0"/>
    <w:rsid w:val="00BA1E92"/>
    <w:rsid w:val="00BA2AAD"/>
    <w:rsid w:val="00BA4F46"/>
    <w:rsid w:val="00BA5F1D"/>
    <w:rsid w:val="00BB0741"/>
    <w:rsid w:val="00BB1A6E"/>
    <w:rsid w:val="00BB1D89"/>
    <w:rsid w:val="00BB272A"/>
    <w:rsid w:val="00BB2B7E"/>
    <w:rsid w:val="00BB4131"/>
    <w:rsid w:val="00BB415D"/>
    <w:rsid w:val="00BB4462"/>
    <w:rsid w:val="00BB4F2B"/>
    <w:rsid w:val="00BB5010"/>
    <w:rsid w:val="00BB6C2D"/>
    <w:rsid w:val="00BB6C75"/>
    <w:rsid w:val="00BB706C"/>
    <w:rsid w:val="00BB7B8A"/>
    <w:rsid w:val="00BB7B93"/>
    <w:rsid w:val="00BC042C"/>
    <w:rsid w:val="00BC1D6A"/>
    <w:rsid w:val="00BC2068"/>
    <w:rsid w:val="00BC207F"/>
    <w:rsid w:val="00BC386A"/>
    <w:rsid w:val="00BC45F4"/>
    <w:rsid w:val="00BC4849"/>
    <w:rsid w:val="00BC6F49"/>
    <w:rsid w:val="00BD04C7"/>
    <w:rsid w:val="00BD0A13"/>
    <w:rsid w:val="00BD175A"/>
    <w:rsid w:val="00BD2E5B"/>
    <w:rsid w:val="00BD5A7A"/>
    <w:rsid w:val="00BD6450"/>
    <w:rsid w:val="00BD6795"/>
    <w:rsid w:val="00BD6EBA"/>
    <w:rsid w:val="00BE1703"/>
    <w:rsid w:val="00BE2180"/>
    <w:rsid w:val="00BE24E8"/>
    <w:rsid w:val="00BE251B"/>
    <w:rsid w:val="00BE2A29"/>
    <w:rsid w:val="00BE3C50"/>
    <w:rsid w:val="00BE3C5C"/>
    <w:rsid w:val="00BE4275"/>
    <w:rsid w:val="00BE5DCA"/>
    <w:rsid w:val="00BE746F"/>
    <w:rsid w:val="00BF21DE"/>
    <w:rsid w:val="00BF23ED"/>
    <w:rsid w:val="00BF2433"/>
    <w:rsid w:val="00BF3D2D"/>
    <w:rsid w:val="00BF45ED"/>
    <w:rsid w:val="00BF497D"/>
    <w:rsid w:val="00BF5879"/>
    <w:rsid w:val="00BF58BB"/>
    <w:rsid w:val="00BF5D01"/>
    <w:rsid w:val="00BF5DA9"/>
    <w:rsid w:val="00BF61C9"/>
    <w:rsid w:val="00BF6A35"/>
    <w:rsid w:val="00BF7473"/>
    <w:rsid w:val="00BF781B"/>
    <w:rsid w:val="00C00575"/>
    <w:rsid w:val="00C00E4B"/>
    <w:rsid w:val="00C02A03"/>
    <w:rsid w:val="00C02CEA"/>
    <w:rsid w:val="00C03828"/>
    <w:rsid w:val="00C041A9"/>
    <w:rsid w:val="00C05061"/>
    <w:rsid w:val="00C05304"/>
    <w:rsid w:val="00C053F2"/>
    <w:rsid w:val="00C05C81"/>
    <w:rsid w:val="00C06150"/>
    <w:rsid w:val="00C07B63"/>
    <w:rsid w:val="00C10F25"/>
    <w:rsid w:val="00C1124A"/>
    <w:rsid w:val="00C12278"/>
    <w:rsid w:val="00C12CF0"/>
    <w:rsid w:val="00C16195"/>
    <w:rsid w:val="00C17402"/>
    <w:rsid w:val="00C200C7"/>
    <w:rsid w:val="00C216AD"/>
    <w:rsid w:val="00C2174E"/>
    <w:rsid w:val="00C21C81"/>
    <w:rsid w:val="00C22414"/>
    <w:rsid w:val="00C22D56"/>
    <w:rsid w:val="00C22FE1"/>
    <w:rsid w:val="00C23D0F"/>
    <w:rsid w:val="00C2504B"/>
    <w:rsid w:val="00C25418"/>
    <w:rsid w:val="00C256FA"/>
    <w:rsid w:val="00C25D9C"/>
    <w:rsid w:val="00C25FAF"/>
    <w:rsid w:val="00C27811"/>
    <w:rsid w:val="00C30115"/>
    <w:rsid w:val="00C3031E"/>
    <w:rsid w:val="00C30EFD"/>
    <w:rsid w:val="00C311A0"/>
    <w:rsid w:val="00C31649"/>
    <w:rsid w:val="00C316DD"/>
    <w:rsid w:val="00C31B49"/>
    <w:rsid w:val="00C337EB"/>
    <w:rsid w:val="00C33C2B"/>
    <w:rsid w:val="00C33CCA"/>
    <w:rsid w:val="00C35A62"/>
    <w:rsid w:val="00C35C2D"/>
    <w:rsid w:val="00C363AA"/>
    <w:rsid w:val="00C370B4"/>
    <w:rsid w:val="00C37643"/>
    <w:rsid w:val="00C40385"/>
    <w:rsid w:val="00C40A2D"/>
    <w:rsid w:val="00C413B6"/>
    <w:rsid w:val="00C419B6"/>
    <w:rsid w:val="00C41F25"/>
    <w:rsid w:val="00C429CD"/>
    <w:rsid w:val="00C42C8B"/>
    <w:rsid w:val="00C4343E"/>
    <w:rsid w:val="00C449D1"/>
    <w:rsid w:val="00C44EF1"/>
    <w:rsid w:val="00C45268"/>
    <w:rsid w:val="00C45540"/>
    <w:rsid w:val="00C45AAB"/>
    <w:rsid w:val="00C45B95"/>
    <w:rsid w:val="00C46721"/>
    <w:rsid w:val="00C46D7B"/>
    <w:rsid w:val="00C4750E"/>
    <w:rsid w:val="00C47B1A"/>
    <w:rsid w:val="00C507DE"/>
    <w:rsid w:val="00C528D7"/>
    <w:rsid w:val="00C52F75"/>
    <w:rsid w:val="00C53282"/>
    <w:rsid w:val="00C53516"/>
    <w:rsid w:val="00C53AB2"/>
    <w:rsid w:val="00C54314"/>
    <w:rsid w:val="00C55498"/>
    <w:rsid w:val="00C556D5"/>
    <w:rsid w:val="00C55BA0"/>
    <w:rsid w:val="00C55E92"/>
    <w:rsid w:val="00C55F96"/>
    <w:rsid w:val="00C560A5"/>
    <w:rsid w:val="00C57D63"/>
    <w:rsid w:val="00C60130"/>
    <w:rsid w:val="00C6136E"/>
    <w:rsid w:val="00C6366E"/>
    <w:rsid w:val="00C637C2"/>
    <w:rsid w:val="00C63D36"/>
    <w:rsid w:val="00C64727"/>
    <w:rsid w:val="00C6473A"/>
    <w:rsid w:val="00C64B46"/>
    <w:rsid w:val="00C654FA"/>
    <w:rsid w:val="00C65576"/>
    <w:rsid w:val="00C65D18"/>
    <w:rsid w:val="00C66165"/>
    <w:rsid w:val="00C67748"/>
    <w:rsid w:val="00C70030"/>
    <w:rsid w:val="00C70A7A"/>
    <w:rsid w:val="00C70FAF"/>
    <w:rsid w:val="00C7256C"/>
    <w:rsid w:val="00C737C7"/>
    <w:rsid w:val="00C73C1A"/>
    <w:rsid w:val="00C73DFE"/>
    <w:rsid w:val="00C744F2"/>
    <w:rsid w:val="00C750F7"/>
    <w:rsid w:val="00C753F4"/>
    <w:rsid w:val="00C767F0"/>
    <w:rsid w:val="00C803FB"/>
    <w:rsid w:val="00C80D1E"/>
    <w:rsid w:val="00C81588"/>
    <w:rsid w:val="00C81BF9"/>
    <w:rsid w:val="00C81D71"/>
    <w:rsid w:val="00C8213F"/>
    <w:rsid w:val="00C82268"/>
    <w:rsid w:val="00C842CD"/>
    <w:rsid w:val="00C8507B"/>
    <w:rsid w:val="00C855E1"/>
    <w:rsid w:val="00C8797A"/>
    <w:rsid w:val="00C87FFE"/>
    <w:rsid w:val="00C9034B"/>
    <w:rsid w:val="00C904C6"/>
    <w:rsid w:val="00C9057B"/>
    <w:rsid w:val="00C908ED"/>
    <w:rsid w:val="00C908EE"/>
    <w:rsid w:val="00C908FE"/>
    <w:rsid w:val="00C90DDE"/>
    <w:rsid w:val="00C9109F"/>
    <w:rsid w:val="00C91C73"/>
    <w:rsid w:val="00C91E8C"/>
    <w:rsid w:val="00C92255"/>
    <w:rsid w:val="00C92325"/>
    <w:rsid w:val="00C938CF"/>
    <w:rsid w:val="00C940C9"/>
    <w:rsid w:val="00C94AAF"/>
    <w:rsid w:val="00C94BE7"/>
    <w:rsid w:val="00C94E1B"/>
    <w:rsid w:val="00C950B9"/>
    <w:rsid w:val="00C952FD"/>
    <w:rsid w:val="00C961B8"/>
    <w:rsid w:val="00C963C2"/>
    <w:rsid w:val="00C97658"/>
    <w:rsid w:val="00C97FD8"/>
    <w:rsid w:val="00CA0425"/>
    <w:rsid w:val="00CA08C5"/>
    <w:rsid w:val="00CA0C34"/>
    <w:rsid w:val="00CA1F87"/>
    <w:rsid w:val="00CA24A0"/>
    <w:rsid w:val="00CA294F"/>
    <w:rsid w:val="00CA3696"/>
    <w:rsid w:val="00CA3DA9"/>
    <w:rsid w:val="00CA5245"/>
    <w:rsid w:val="00CA6B9D"/>
    <w:rsid w:val="00CA7B09"/>
    <w:rsid w:val="00CB08CF"/>
    <w:rsid w:val="00CB1566"/>
    <w:rsid w:val="00CB1CF2"/>
    <w:rsid w:val="00CB402B"/>
    <w:rsid w:val="00CB40C6"/>
    <w:rsid w:val="00CB471F"/>
    <w:rsid w:val="00CB4BC8"/>
    <w:rsid w:val="00CB4C2A"/>
    <w:rsid w:val="00CB5B1A"/>
    <w:rsid w:val="00CC1FDE"/>
    <w:rsid w:val="00CC238E"/>
    <w:rsid w:val="00CC23DD"/>
    <w:rsid w:val="00CC3968"/>
    <w:rsid w:val="00CC3B77"/>
    <w:rsid w:val="00CC429D"/>
    <w:rsid w:val="00CC5403"/>
    <w:rsid w:val="00CC628C"/>
    <w:rsid w:val="00CD1133"/>
    <w:rsid w:val="00CD130E"/>
    <w:rsid w:val="00CD1F56"/>
    <w:rsid w:val="00CD22C5"/>
    <w:rsid w:val="00CD2322"/>
    <w:rsid w:val="00CD2460"/>
    <w:rsid w:val="00CD2E84"/>
    <w:rsid w:val="00CD439A"/>
    <w:rsid w:val="00CD4455"/>
    <w:rsid w:val="00CD44E7"/>
    <w:rsid w:val="00CD5DF7"/>
    <w:rsid w:val="00CD5E76"/>
    <w:rsid w:val="00CD66B2"/>
    <w:rsid w:val="00CD6A23"/>
    <w:rsid w:val="00CD6ADC"/>
    <w:rsid w:val="00CD6EEA"/>
    <w:rsid w:val="00CD715A"/>
    <w:rsid w:val="00CD73BA"/>
    <w:rsid w:val="00CD767E"/>
    <w:rsid w:val="00CE0562"/>
    <w:rsid w:val="00CE059E"/>
    <w:rsid w:val="00CE14A5"/>
    <w:rsid w:val="00CE210E"/>
    <w:rsid w:val="00CE218F"/>
    <w:rsid w:val="00CE340A"/>
    <w:rsid w:val="00CE3D5F"/>
    <w:rsid w:val="00CE3E39"/>
    <w:rsid w:val="00CE403F"/>
    <w:rsid w:val="00CE423B"/>
    <w:rsid w:val="00CE4B7C"/>
    <w:rsid w:val="00CE5805"/>
    <w:rsid w:val="00CE6274"/>
    <w:rsid w:val="00CE6D18"/>
    <w:rsid w:val="00CE7846"/>
    <w:rsid w:val="00CF0D99"/>
    <w:rsid w:val="00CF18DF"/>
    <w:rsid w:val="00CF1EDB"/>
    <w:rsid w:val="00CF3B00"/>
    <w:rsid w:val="00CF456B"/>
    <w:rsid w:val="00CF4878"/>
    <w:rsid w:val="00CF4B12"/>
    <w:rsid w:val="00CF5A22"/>
    <w:rsid w:val="00CF6BDA"/>
    <w:rsid w:val="00CF6D40"/>
    <w:rsid w:val="00D00E5A"/>
    <w:rsid w:val="00D016EA"/>
    <w:rsid w:val="00D0262E"/>
    <w:rsid w:val="00D03B61"/>
    <w:rsid w:val="00D03F26"/>
    <w:rsid w:val="00D043A4"/>
    <w:rsid w:val="00D047D7"/>
    <w:rsid w:val="00D04C42"/>
    <w:rsid w:val="00D04E89"/>
    <w:rsid w:val="00D04F0E"/>
    <w:rsid w:val="00D05368"/>
    <w:rsid w:val="00D06162"/>
    <w:rsid w:val="00D06FD4"/>
    <w:rsid w:val="00D07419"/>
    <w:rsid w:val="00D103AE"/>
    <w:rsid w:val="00D106B4"/>
    <w:rsid w:val="00D1082F"/>
    <w:rsid w:val="00D110BD"/>
    <w:rsid w:val="00D11733"/>
    <w:rsid w:val="00D12A1A"/>
    <w:rsid w:val="00D12AF5"/>
    <w:rsid w:val="00D144BC"/>
    <w:rsid w:val="00D14BC9"/>
    <w:rsid w:val="00D158B2"/>
    <w:rsid w:val="00D15B8A"/>
    <w:rsid w:val="00D16A95"/>
    <w:rsid w:val="00D17D6C"/>
    <w:rsid w:val="00D20B04"/>
    <w:rsid w:val="00D20EF4"/>
    <w:rsid w:val="00D2108C"/>
    <w:rsid w:val="00D217FA"/>
    <w:rsid w:val="00D21A60"/>
    <w:rsid w:val="00D21F78"/>
    <w:rsid w:val="00D220E1"/>
    <w:rsid w:val="00D22DA2"/>
    <w:rsid w:val="00D24222"/>
    <w:rsid w:val="00D249CC"/>
    <w:rsid w:val="00D24E61"/>
    <w:rsid w:val="00D25249"/>
    <w:rsid w:val="00D254E1"/>
    <w:rsid w:val="00D25AA5"/>
    <w:rsid w:val="00D26736"/>
    <w:rsid w:val="00D26DAD"/>
    <w:rsid w:val="00D30437"/>
    <w:rsid w:val="00D30DB7"/>
    <w:rsid w:val="00D31A27"/>
    <w:rsid w:val="00D3200B"/>
    <w:rsid w:val="00D32B51"/>
    <w:rsid w:val="00D331F8"/>
    <w:rsid w:val="00D342A5"/>
    <w:rsid w:val="00D34619"/>
    <w:rsid w:val="00D36364"/>
    <w:rsid w:val="00D36E2A"/>
    <w:rsid w:val="00D37C81"/>
    <w:rsid w:val="00D40F7A"/>
    <w:rsid w:val="00D42455"/>
    <w:rsid w:val="00D42D86"/>
    <w:rsid w:val="00D43116"/>
    <w:rsid w:val="00D432FE"/>
    <w:rsid w:val="00D43D53"/>
    <w:rsid w:val="00D444A6"/>
    <w:rsid w:val="00D44FEA"/>
    <w:rsid w:val="00D45718"/>
    <w:rsid w:val="00D468CE"/>
    <w:rsid w:val="00D4742E"/>
    <w:rsid w:val="00D47FFC"/>
    <w:rsid w:val="00D500F2"/>
    <w:rsid w:val="00D53233"/>
    <w:rsid w:val="00D544A6"/>
    <w:rsid w:val="00D54892"/>
    <w:rsid w:val="00D550FB"/>
    <w:rsid w:val="00D56259"/>
    <w:rsid w:val="00D612AF"/>
    <w:rsid w:val="00D62114"/>
    <w:rsid w:val="00D627EF"/>
    <w:rsid w:val="00D62FE9"/>
    <w:rsid w:val="00D63D8B"/>
    <w:rsid w:val="00D64B3F"/>
    <w:rsid w:val="00D64E98"/>
    <w:rsid w:val="00D667C9"/>
    <w:rsid w:val="00D66DE7"/>
    <w:rsid w:val="00D719AC"/>
    <w:rsid w:val="00D71D8D"/>
    <w:rsid w:val="00D72111"/>
    <w:rsid w:val="00D73375"/>
    <w:rsid w:val="00D734C4"/>
    <w:rsid w:val="00D74243"/>
    <w:rsid w:val="00D749C9"/>
    <w:rsid w:val="00D74B06"/>
    <w:rsid w:val="00D75294"/>
    <w:rsid w:val="00D7551D"/>
    <w:rsid w:val="00D75D58"/>
    <w:rsid w:val="00D76154"/>
    <w:rsid w:val="00D7645C"/>
    <w:rsid w:val="00D76A44"/>
    <w:rsid w:val="00D76C5C"/>
    <w:rsid w:val="00D76D6B"/>
    <w:rsid w:val="00D806E2"/>
    <w:rsid w:val="00D808A1"/>
    <w:rsid w:val="00D809C8"/>
    <w:rsid w:val="00D80ED9"/>
    <w:rsid w:val="00D833B5"/>
    <w:rsid w:val="00D8510F"/>
    <w:rsid w:val="00D8562E"/>
    <w:rsid w:val="00D87BB4"/>
    <w:rsid w:val="00D92037"/>
    <w:rsid w:val="00D9241E"/>
    <w:rsid w:val="00D93753"/>
    <w:rsid w:val="00D941C5"/>
    <w:rsid w:val="00D949CE"/>
    <w:rsid w:val="00D961A6"/>
    <w:rsid w:val="00D96250"/>
    <w:rsid w:val="00D962B2"/>
    <w:rsid w:val="00D976DE"/>
    <w:rsid w:val="00DA0F85"/>
    <w:rsid w:val="00DA444B"/>
    <w:rsid w:val="00DA44F1"/>
    <w:rsid w:val="00DA6987"/>
    <w:rsid w:val="00DA77A5"/>
    <w:rsid w:val="00DA7D3C"/>
    <w:rsid w:val="00DB009D"/>
    <w:rsid w:val="00DB0B00"/>
    <w:rsid w:val="00DB0F12"/>
    <w:rsid w:val="00DB1538"/>
    <w:rsid w:val="00DB1811"/>
    <w:rsid w:val="00DB1B2E"/>
    <w:rsid w:val="00DB1F68"/>
    <w:rsid w:val="00DB2350"/>
    <w:rsid w:val="00DB2F6C"/>
    <w:rsid w:val="00DB3D3E"/>
    <w:rsid w:val="00DB43BA"/>
    <w:rsid w:val="00DB4E7B"/>
    <w:rsid w:val="00DB52A7"/>
    <w:rsid w:val="00DB549E"/>
    <w:rsid w:val="00DB68B1"/>
    <w:rsid w:val="00DB6A0A"/>
    <w:rsid w:val="00DB6C6B"/>
    <w:rsid w:val="00DC09E3"/>
    <w:rsid w:val="00DC1545"/>
    <w:rsid w:val="00DC185F"/>
    <w:rsid w:val="00DC29D4"/>
    <w:rsid w:val="00DC5042"/>
    <w:rsid w:val="00DC5501"/>
    <w:rsid w:val="00DC5C17"/>
    <w:rsid w:val="00DC69B2"/>
    <w:rsid w:val="00DC79DE"/>
    <w:rsid w:val="00DD1119"/>
    <w:rsid w:val="00DD2072"/>
    <w:rsid w:val="00DD2852"/>
    <w:rsid w:val="00DD34C0"/>
    <w:rsid w:val="00DD36D4"/>
    <w:rsid w:val="00DD3F28"/>
    <w:rsid w:val="00DD4537"/>
    <w:rsid w:val="00DD4E15"/>
    <w:rsid w:val="00DD4F54"/>
    <w:rsid w:val="00DD53A2"/>
    <w:rsid w:val="00DD6C7F"/>
    <w:rsid w:val="00DD7A35"/>
    <w:rsid w:val="00DD7E6E"/>
    <w:rsid w:val="00DD7FAF"/>
    <w:rsid w:val="00DE060B"/>
    <w:rsid w:val="00DE0A82"/>
    <w:rsid w:val="00DE149A"/>
    <w:rsid w:val="00DE150A"/>
    <w:rsid w:val="00DE2286"/>
    <w:rsid w:val="00DE2ED2"/>
    <w:rsid w:val="00DE34A6"/>
    <w:rsid w:val="00DE3A92"/>
    <w:rsid w:val="00DE426E"/>
    <w:rsid w:val="00DE435A"/>
    <w:rsid w:val="00DE4FCB"/>
    <w:rsid w:val="00DE5EA1"/>
    <w:rsid w:val="00DE5FA6"/>
    <w:rsid w:val="00DE6191"/>
    <w:rsid w:val="00DE6DFB"/>
    <w:rsid w:val="00DF007E"/>
    <w:rsid w:val="00DF1615"/>
    <w:rsid w:val="00DF1913"/>
    <w:rsid w:val="00DF2A44"/>
    <w:rsid w:val="00DF3041"/>
    <w:rsid w:val="00DF31CB"/>
    <w:rsid w:val="00DF3244"/>
    <w:rsid w:val="00DF3E3F"/>
    <w:rsid w:val="00DF4445"/>
    <w:rsid w:val="00DF5523"/>
    <w:rsid w:val="00DF7AD0"/>
    <w:rsid w:val="00E00C53"/>
    <w:rsid w:val="00E036B1"/>
    <w:rsid w:val="00E0385C"/>
    <w:rsid w:val="00E04058"/>
    <w:rsid w:val="00E062F2"/>
    <w:rsid w:val="00E06BB0"/>
    <w:rsid w:val="00E06CD7"/>
    <w:rsid w:val="00E07480"/>
    <w:rsid w:val="00E10149"/>
    <w:rsid w:val="00E10F5C"/>
    <w:rsid w:val="00E11250"/>
    <w:rsid w:val="00E118C7"/>
    <w:rsid w:val="00E124E1"/>
    <w:rsid w:val="00E12B65"/>
    <w:rsid w:val="00E13867"/>
    <w:rsid w:val="00E13D3C"/>
    <w:rsid w:val="00E15387"/>
    <w:rsid w:val="00E15B80"/>
    <w:rsid w:val="00E16372"/>
    <w:rsid w:val="00E16434"/>
    <w:rsid w:val="00E16E0F"/>
    <w:rsid w:val="00E172B0"/>
    <w:rsid w:val="00E17A31"/>
    <w:rsid w:val="00E20995"/>
    <w:rsid w:val="00E20ED6"/>
    <w:rsid w:val="00E21358"/>
    <w:rsid w:val="00E215B7"/>
    <w:rsid w:val="00E21C00"/>
    <w:rsid w:val="00E2249B"/>
    <w:rsid w:val="00E22805"/>
    <w:rsid w:val="00E2291E"/>
    <w:rsid w:val="00E23349"/>
    <w:rsid w:val="00E23DAE"/>
    <w:rsid w:val="00E23FCB"/>
    <w:rsid w:val="00E24A5F"/>
    <w:rsid w:val="00E24BDB"/>
    <w:rsid w:val="00E24C82"/>
    <w:rsid w:val="00E259BC"/>
    <w:rsid w:val="00E25BBA"/>
    <w:rsid w:val="00E25CBB"/>
    <w:rsid w:val="00E26E49"/>
    <w:rsid w:val="00E27466"/>
    <w:rsid w:val="00E2771E"/>
    <w:rsid w:val="00E27765"/>
    <w:rsid w:val="00E27AAC"/>
    <w:rsid w:val="00E30568"/>
    <w:rsid w:val="00E312B3"/>
    <w:rsid w:val="00E3164C"/>
    <w:rsid w:val="00E31E35"/>
    <w:rsid w:val="00E31FDE"/>
    <w:rsid w:val="00E34462"/>
    <w:rsid w:val="00E35427"/>
    <w:rsid w:val="00E3642F"/>
    <w:rsid w:val="00E365F8"/>
    <w:rsid w:val="00E367D4"/>
    <w:rsid w:val="00E37569"/>
    <w:rsid w:val="00E37A5E"/>
    <w:rsid w:val="00E40A80"/>
    <w:rsid w:val="00E41193"/>
    <w:rsid w:val="00E41E30"/>
    <w:rsid w:val="00E43920"/>
    <w:rsid w:val="00E43E7E"/>
    <w:rsid w:val="00E44389"/>
    <w:rsid w:val="00E444AF"/>
    <w:rsid w:val="00E44E28"/>
    <w:rsid w:val="00E45387"/>
    <w:rsid w:val="00E45651"/>
    <w:rsid w:val="00E458A8"/>
    <w:rsid w:val="00E46346"/>
    <w:rsid w:val="00E469F4"/>
    <w:rsid w:val="00E46E66"/>
    <w:rsid w:val="00E4754E"/>
    <w:rsid w:val="00E47B2C"/>
    <w:rsid w:val="00E50809"/>
    <w:rsid w:val="00E513A7"/>
    <w:rsid w:val="00E516CF"/>
    <w:rsid w:val="00E51706"/>
    <w:rsid w:val="00E517CF"/>
    <w:rsid w:val="00E52A6D"/>
    <w:rsid w:val="00E55255"/>
    <w:rsid w:val="00E55424"/>
    <w:rsid w:val="00E5595D"/>
    <w:rsid w:val="00E60803"/>
    <w:rsid w:val="00E6105D"/>
    <w:rsid w:val="00E619F6"/>
    <w:rsid w:val="00E61DD5"/>
    <w:rsid w:val="00E61ED1"/>
    <w:rsid w:val="00E623BA"/>
    <w:rsid w:val="00E6267A"/>
    <w:rsid w:val="00E62861"/>
    <w:rsid w:val="00E62AEF"/>
    <w:rsid w:val="00E62DE5"/>
    <w:rsid w:val="00E631AF"/>
    <w:rsid w:val="00E63543"/>
    <w:rsid w:val="00E64A51"/>
    <w:rsid w:val="00E64F2D"/>
    <w:rsid w:val="00E6524D"/>
    <w:rsid w:val="00E659BC"/>
    <w:rsid w:val="00E65E79"/>
    <w:rsid w:val="00E661C1"/>
    <w:rsid w:val="00E667A7"/>
    <w:rsid w:val="00E6687A"/>
    <w:rsid w:val="00E66CFF"/>
    <w:rsid w:val="00E67416"/>
    <w:rsid w:val="00E67557"/>
    <w:rsid w:val="00E675D8"/>
    <w:rsid w:val="00E701B2"/>
    <w:rsid w:val="00E705B1"/>
    <w:rsid w:val="00E70697"/>
    <w:rsid w:val="00E70D88"/>
    <w:rsid w:val="00E71755"/>
    <w:rsid w:val="00E718B6"/>
    <w:rsid w:val="00E73581"/>
    <w:rsid w:val="00E74375"/>
    <w:rsid w:val="00E74394"/>
    <w:rsid w:val="00E74C64"/>
    <w:rsid w:val="00E752BD"/>
    <w:rsid w:val="00E756DA"/>
    <w:rsid w:val="00E75727"/>
    <w:rsid w:val="00E75BF6"/>
    <w:rsid w:val="00E75C1F"/>
    <w:rsid w:val="00E77135"/>
    <w:rsid w:val="00E776FD"/>
    <w:rsid w:val="00E77BB8"/>
    <w:rsid w:val="00E80012"/>
    <w:rsid w:val="00E80A93"/>
    <w:rsid w:val="00E81414"/>
    <w:rsid w:val="00E819DF"/>
    <w:rsid w:val="00E81A17"/>
    <w:rsid w:val="00E821D2"/>
    <w:rsid w:val="00E8294E"/>
    <w:rsid w:val="00E82B4F"/>
    <w:rsid w:val="00E82CEC"/>
    <w:rsid w:val="00E83BDF"/>
    <w:rsid w:val="00E83C5D"/>
    <w:rsid w:val="00E844B9"/>
    <w:rsid w:val="00E857FE"/>
    <w:rsid w:val="00E8582A"/>
    <w:rsid w:val="00E8686B"/>
    <w:rsid w:val="00E86C7F"/>
    <w:rsid w:val="00E877FD"/>
    <w:rsid w:val="00E87BD2"/>
    <w:rsid w:val="00E90D6E"/>
    <w:rsid w:val="00E915A3"/>
    <w:rsid w:val="00E9207E"/>
    <w:rsid w:val="00E923BE"/>
    <w:rsid w:val="00E92448"/>
    <w:rsid w:val="00E92772"/>
    <w:rsid w:val="00E961CB"/>
    <w:rsid w:val="00E963C8"/>
    <w:rsid w:val="00E96656"/>
    <w:rsid w:val="00E9699F"/>
    <w:rsid w:val="00EA08C4"/>
    <w:rsid w:val="00EA0BCF"/>
    <w:rsid w:val="00EA0DB6"/>
    <w:rsid w:val="00EA1960"/>
    <w:rsid w:val="00EA3864"/>
    <w:rsid w:val="00EA4D4F"/>
    <w:rsid w:val="00EA50FB"/>
    <w:rsid w:val="00EA52CE"/>
    <w:rsid w:val="00EA5348"/>
    <w:rsid w:val="00EA53FE"/>
    <w:rsid w:val="00EA5BD8"/>
    <w:rsid w:val="00EA6974"/>
    <w:rsid w:val="00EA6DBF"/>
    <w:rsid w:val="00EA710B"/>
    <w:rsid w:val="00EA71A5"/>
    <w:rsid w:val="00EA7BCC"/>
    <w:rsid w:val="00EB08A6"/>
    <w:rsid w:val="00EB19BB"/>
    <w:rsid w:val="00EB30C3"/>
    <w:rsid w:val="00EB3452"/>
    <w:rsid w:val="00EB4240"/>
    <w:rsid w:val="00EB4513"/>
    <w:rsid w:val="00EB53A9"/>
    <w:rsid w:val="00EB5D78"/>
    <w:rsid w:val="00EB5EDD"/>
    <w:rsid w:val="00EB6CCD"/>
    <w:rsid w:val="00EB6E86"/>
    <w:rsid w:val="00EB7CE7"/>
    <w:rsid w:val="00EC00C9"/>
    <w:rsid w:val="00EC036A"/>
    <w:rsid w:val="00EC0A53"/>
    <w:rsid w:val="00EC0C5E"/>
    <w:rsid w:val="00EC1368"/>
    <w:rsid w:val="00EC1D59"/>
    <w:rsid w:val="00EC1FE7"/>
    <w:rsid w:val="00EC23D2"/>
    <w:rsid w:val="00EC2D36"/>
    <w:rsid w:val="00EC2DFA"/>
    <w:rsid w:val="00EC2E4A"/>
    <w:rsid w:val="00EC439F"/>
    <w:rsid w:val="00EC4B17"/>
    <w:rsid w:val="00EC5F16"/>
    <w:rsid w:val="00EC6F9E"/>
    <w:rsid w:val="00EC744C"/>
    <w:rsid w:val="00EC7945"/>
    <w:rsid w:val="00EC7C89"/>
    <w:rsid w:val="00EC7E35"/>
    <w:rsid w:val="00ED0561"/>
    <w:rsid w:val="00ED0EB0"/>
    <w:rsid w:val="00ED101D"/>
    <w:rsid w:val="00ED15D2"/>
    <w:rsid w:val="00ED1F02"/>
    <w:rsid w:val="00ED2D48"/>
    <w:rsid w:val="00ED2FFD"/>
    <w:rsid w:val="00ED3BAE"/>
    <w:rsid w:val="00ED3DC1"/>
    <w:rsid w:val="00ED4ED3"/>
    <w:rsid w:val="00ED6345"/>
    <w:rsid w:val="00ED67A9"/>
    <w:rsid w:val="00ED7525"/>
    <w:rsid w:val="00ED7A48"/>
    <w:rsid w:val="00ED7A86"/>
    <w:rsid w:val="00EE0269"/>
    <w:rsid w:val="00EE03DE"/>
    <w:rsid w:val="00EE07D3"/>
    <w:rsid w:val="00EE1422"/>
    <w:rsid w:val="00EE25F7"/>
    <w:rsid w:val="00EE28B2"/>
    <w:rsid w:val="00EE31B9"/>
    <w:rsid w:val="00EE37D3"/>
    <w:rsid w:val="00EE3CAE"/>
    <w:rsid w:val="00EE45FF"/>
    <w:rsid w:val="00EE598B"/>
    <w:rsid w:val="00EE60B4"/>
    <w:rsid w:val="00EE6EC0"/>
    <w:rsid w:val="00EE7493"/>
    <w:rsid w:val="00EE75D7"/>
    <w:rsid w:val="00EE7B42"/>
    <w:rsid w:val="00EE7E2C"/>
    <w:rsid w:val="00EF13B8"/>
    <w:rsid w:val="00EF3838"/>
    <w:rsid w:val="00EF38CC"/>
    <w:rsid w:val="00EF3B37"/>
    <w:rsid w:val="00EF3F3C"/>
    <w:rsid w:val="00EF5AAE"/>
    <w:rsid w:val="00EF64F4"/>
    <w:rsid w:val="00F00134"/>
    <w:rsid w:val="00F00437"/>
    <w:rsid w:val="00F01AF1"/>
    <w:rsid w:val="00F02EF0"/>
    <w:rsid w:val="00F047AE"/>
    <w:rsid w:val="00F04E6D"/>
    <w:rsid w:val="00F058C9"/>
    <w:rsid w:val="00F05DC3"/>
    <w:rsid w:val="00F05E61"/>
    <w:rsid w:val="00F06429"/>
    <w:rsid w:val="00F067A2"/>
    <w:rsid w:val="00F06F20"/>
    <w:rsid w:val="00F07549"/>
    <w:rsid w:val="00F1003D"/>
    <w:rsid w:val="00F10451"/>
    <w:rsid w:val="00F117B0"/>
    <w:rsid w:val="00F11960"/>
    <w:rsid w:val="00F11FB8"/>
    <w:rsid w:val="00F13DD2"/>
    <w:rsid w:val="00F14F28"/>
    <w:rsid w:val="00F1506B"/>
    <w:rsid w:val="00F15299"/>
    <w:rsid w:val="00F15C04"/>
    <w:rsid w:val="00F16284"/>
    <w:rsid w:val="00F2095F"/>
    <w:rsid w:val="00F21896"/>
    <w:rsid w:val="00F21DA2"/>
    <w:rsid w:val="00F22062"/>
    <w:rsid w:val="00F2375B"/>
    <w:rsid w:val="00F23CEE"/>
    <w:rsid w:val="00F241E0"/>
    <w:rsid w:val="00F24837"/>
    <w:rsid w:val="00F24957"/>
    <w:rsid w:val="00F2575F"/>
    <w:rsid w:val="00F30190"/>
    <w:rsid w:val="00F30C85"/>
    <w:rsid w:val="00F31EE8"/>
    <w:rsid w:val="00F32BDF"/>
    <w:rsid w:val="00F32D25"/>
    <w:rsid w:val="00F32FE2"/>
    <w:rsid w:val="00F331B0"/>
    <w:rsid w:val="00F33491"/>
    <w:rsid w:val="00F338FF"/>
    <w:rsid w:val="00F33DE9"/>
    <w:rsid w:val="00F348EC"/>
    <w:rsid w:val="00F3619A"/>
    <w:rsid w:val="00F37122"/>
    <w:rsid w:val="00F4034F"/>
    <w:rsid w:val="00F415B2"/>
    <w:rsid w:val="00F41A8B"/>
    <w:rsid w:val="00F42601"/>
    <w:rsid w:val="00F42A8C"/>
    <w:rsid w:val="00F42C00"/>
    <w:rsid w:val="00F42C86"/>
    <w:rsid w:val="00F43BD4"/>
    <w:rsid w:val="00F43DAE"/>
    <w:rsid w:val="00F44801"/>
    <w:rsid w:val="00F44984"/>
    <w:rsid w:val="00F44A6E"/>
    <w:rsid w:val="00F44D0E"/>
    <w:rsid w:val="00F4570B"/>
    <w:rsid w:val="00F46CB6"/>
    <w:rsid w:val="00F50A9A"/>
    <w:rsid w:val="00F5113D"/>
    <w:rsid w:val="00F51394"/>
    <w:rsid w:val="00F5182E"/>
    <w:rsid w:val="00F52514"/>
    <w:rsid w:val="00F53DC2"/>
    <w:rsid w:val="00F53DDB"/>
    <w:rsid w:val="00F54ABA"/>
    <w:rsid w:val="00F551F1"/>
    <w:rsid w:val="00F55E73"/>
    <w:rsid w:val="00F56A9A"/>
    <w:rsid w:val="00F56D60"/>
    <w:rsid w:val="00F57ABD"/>
    <w:rsid w:val="00F607F7"/>
    <w:rsid w:val="00F61538"/>
    <w:rsid w:val="00F6191F"/>
    <w:rsid w:val="00F61CCD"/>
    <w:rsid w:val="00F62224"/>
    <w:rsid w:val="00F649D9"/>
    <w:rsid w:val="00F64D78"/>
    <w:rsid w:val="00F661B9"/>
    <w:rsid w:val="00F66632"/>
    <w:rsid w:val="00F66CD7"/>
    <w:rsid w:val="00F67857"/>
    <w:rsid w:val="00F679F9"/>
    <w:rsid w:val="00F67FBA"/>
    <w:rsid w:val="00F700C2"/>
    <w:rsid w:val="00F74851"/>
    <w:rsid w:val="00F74ADE"/>
    <w:rsid w:val="00F7538E"/>
    <w:rsid w:val="00F75B34"/>
    <w:rsid w:val="00F77DE4"/>
    <w:rsid w:val="00F80456"/>
    <w:rsid w:val="00F808E0"/>
    <w:rsid w:val="00F80E5D"/>
    <w:rsid w:val="00F8138A"/>
    <w:rsid w:val="00F81A06"/>
    <w:rsid w:val="00F81B39"/>
    <w:rsid w:val="00F822B6"/>
    <w:rsid w:val="00F8389D"/>
    <w:rsid w:val="00F845CF"/>
    <w:rsid w:val="00F84CAE"/>
    <w:rsid w:val="00F851CE"/>
    <w:rsid w:val="00F85B7C"/>
    <w:rsid w:val="00F86B1D"/>
    <w:rsid w:val="00F87023"/>
    <w:rsid w:val="00F8702D"/>
    <w:rsid w:val="00F87364"/>
    <w:rsid w:val="00F87BB4"/>
    <w:rsid w:val="00F90E5A"/>
    <w:rsid w:val="00F91E61"/>
    <w:rsid w:val="00F944F0"/>
    <w:rsid w:val="00F94AA6"/>
    <w:rsid w:val="00F9500B"/>
    <w:rsid w:val="00F963FF"/>
    <w:rsid w:val="00F9672D"/>
    <w:rsid w:val="00F96DD9"/>
    <w:rsid w:val="00F97A78"/>
    <w:rsid w:val="00FA0633"/>
    <w:rsid w:val="00FA18D1"/>
    <w:rsid w:val="00FA18D4"/>
    <w:rsid w:val="00FA1CC2"/>
    <w:rsid w:val="00FA20DD"/>
    <w:rsid w:val="00FA2448"/>
    <w:rsid w:val="00FA2A3B"/>
    <w:rsid w:val="00FA2D08"/>
    <w:rsid w:val="00FA32BA"/>
    <w:rsid w:val="00FA4668"/>
    <w:rsid w:val="00FA6A88"/>
    <w:rsid w:val="00FA6E6F"/>
    <w:rsid w:val="00FA7141"/>
    <w:rsid w:val="00FA73C8"/>
    <w:rsid w:val="00FB04D4"/>
    <w:rsid w:val="00FB09DB"/>
    <w:rsid w:val="00FB0C0B"/>
    <w:rsid w:val="00FB0C20"/>
    <w:rsid w:val="00FB0EA0"/>
    <w:rsid w:val="00FB10AC"/>
    <w:rsid w:val="00FB2F53"/>
    <w:rsid w:val="00FB2FCB"/>
    <w:rsid w:val="00FB4F2C"/>
    <w:rsid w:val="00FB4FB7"/>
    <w:rsid w:val="00FB569D"/>
    <w:rsid w:val="00FB5AB9"/>
    <w:rsid w:val="00FB6405"/>
    <w:rsid w:val="00FB69C6"/>
    <w:rsid w:val="00FB7561"/>
    <w:rsid w:val="00FC098F"/>
    <w:rsid w:val="00FC1074"/>
    <w:rsid w:val="00FC136F"/>
    <w:rsid w:val="00FC1884"/>
    <w:rsid w:val="00FC36BD"/>
    <w:rsid w:val="00FC5709"/>
    <w:rsid w:val="00FC5E6F"/>
    <w:rsid w:val="00FC5E89"/>
    <w:rsid w:val="00FC6862"/>
    <w:rsid w:val="00FC7B15"/>
    <w:rsid w:val="00FD11FF"/>
    <w:rsid w:val="00FD1327"/>
    <w:rsid w:val="00FD19FF"/>
    <w:rsid w:val="00FD206F"/>
    <w:rsid w:val="00FD2100"/>
    <w:rsid w:val="00FD446D"/>
    <w:rsid w:val="00FD4472"/>
    <w:rsid w:val="00FD4ACA"/>
    <w:rsid w:val="00FD4C66"/>
    <w:rsid w:val="00FD59DD"/>
    <w:rsid w:val="00FD6473"/>
    <w:rsid w:val="00FE1425"/>
    <w:rsid w:val="00FE16EC"/>
    <w:rsid w:val="00FE283A"/>
    <w:rsid w:val="00FE2D73"/>
    <w:rsid w:val="00FE3E17"/>
    <w:rsid w:val="00FE3F3A"/>
    <w:rsid w:val="00FE4D32"/>
    <w:rsid w:val="00FE65C4"/>
    <w:rsid w:val="00FE70B2"/>
    <w:rsid w:val="00FF02DA"/>
    <w:rsid w:val="00FF0A3A"/>
    <w:rsid w:val="00FF0DB6"/>
    <w:rsid w:val="00FF16C3"/>
    <w:rsid w:val="00FF1A6B"/>
    <w:rsid w:val="00FF1F51"/>
    <w:rsid w:val="00FF2203"/>
    <w:rsid w:val="00FF2834"/>
    <w:rsid w:val="00FF2CB8"/>
    <w:rsid w:val="00FF3DCF"/>
    <w:rsid w:val="00FF5443"/>
    <w:rsid w:val="00FF5AA3"/>
    <w:rsid w:val="00FF6179"/>
    <w:rsid w:val="00FF66AE"/>
    <w:rsid w:val="00FF7331"/>
    <w:rsid w:val="00FF7F2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PBACheading1"/>
    <w:next w:val="Normal"/>
    <w:qFormat/>
    <w:rsid w:val="009E3C8D"/>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6A4D74"/>
    <w:pPr>
      <w:outlineLvl w:val="0"/>
    </w:pPr>
    <w:rPr>
      <w:rFonts w:ascii="Arial Bold" w:hAnsi="Arial Bold"/>
      <w:b/>
      <w:caps/>
      <w:sz w:val="28"/>
    </w:rPr>
  </w:style>
  <w:style w:type="character" w:customStyle="1" w:styleId="TitleChar">
    <w:name w:val="Title Char"/>
    <w:basedOn w:val="DefaultParagraphFont"/>
    <w:link w:val="Title"/>
    <w:rsid w:val="006A4D74"/>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6A4D74"/>
    <w:pPr>
      <w:numPr>
        <w:numId w:val="1"/>
      </w:numPr>
      <w:outlineLvl w:val="0"/>
    </w:pPr>
    <w:rPr>
      <w:rFonts w:ascii="Arial" w:hAnsi="Arial" w:cs="Arial"/>
      <w:b/>
      <w:snapToGrid w:val="0"/>
      <w:sz w:val="22"/>
      <w:szCs w:val="22"/>
      <w:lang w:eastAsia="en-US"/>
    </w:rPr>
  </w:style>
  <w:style w:type="paragraph" w:customStyle="1" w:styleId="TableNotes">
    <w:name w:val="Table Notes"/>
    <w:basedOn w:val="Normal"/>
    <w:next w:val="Normal"/>
    <w:link w:val="TableNotesChar"/>
    <w:uiPriority w:val="99"/>
    <w:qFormat/>
    <w:rsid w:val="00D44FEA"/>
    <w:pPr>
      <w:widowControl/>
      <w:tabs>
        <w:tab w:val="left" w:pos="1134"/>
      </w:tabs>
      <w:ind w:left="1134" w:hanging="1134"/>
      <w:jc w:val="left"/>
    </w:pPr>
    <w:rPr>
      <w:rFonts w:ascii="Verdana" w:eastAsia="SimSun" w:hAnsi="Verdana"/>
      <w:snapToGrid/>
      <w:sz w:val="16"/>
      <w:szCs w:val="16"/>
      <w:lang w:val="fi-FI" w:eastAsia="zh-CN"/>
    </w:rPr>
  </w:style>
  <w:style w:type="character" w:customStyle="1" w:styleId="TableNotesChar">
    <w:name w:val="Table Notes Char"/>
    <w:link w:val="TableNotes"/>
    <w:uiPriority w:val="99"/>
    <w:rsid w:val="00D44FEA"/>
    <w:rPr>
      <w:rFonts w:ascii="Verdana" w:eastAsia="SimSun" w:hAnsi="Verdana" w:cs="Arial"/>
      <w:sz w:val="16"/>
      <w:szCs w:val="16"/>
      <w:lang w:val="fi-FI" w:eastAsia="zh-CN"/>
    </w:rPr>
  </w:style>
  <w:style w:type="character" w:customStyle="1" w:styleId="TableFooterChar">
    <w:name w:val="Table Footer Char"/>
    <w:link w:val="TableFooter"/>
    <w:rsid w:val="00F32D25"/>
    <w:rPr>
      <w:rFonts w:ascii="Arial Narrow" w:hAnsi="Arial Narrow" w:cs="Arial"/>
      <w:snapToGrid w:val="0"/>
      <w:sz w:val="18"/>
      <w:lang w:eastAsia="en-US"/>
    </w:rPr>
  </w:style>
  <w:style w:type="paragraph" w:customStyle="1" w:styleId="TableText1">
    <w:name w:val="Table Text"/>
    <w:basedOn w:val="Normal"/>
    <w:link w:val="TableTextChar0"/>
    <w:qFormat/>
    <w:rsid w:val="00F52514"/>
    <w:pPr>
      <w:keepNext/>
      <w:keepLines/>
      <w:widowControl/>
      <w:tabs>
        <w:tab w:val="left" w:pos="5360"/>
      </w:tabs>
      <w:spacing w:before="40" w:after="40"/>
      <w:jc w:val="left"/>
    </w:pPr>
    <w:rPr>
      <w:rFonts w:ascii="Tahoma" w:eastAsia="MS Mincho" w:hAnsi="Tahoma" w:cs="Tahoma"/>
      <w:snapToGrid/>
      <w:color w:val="000000"/>
      <w:sz w:val="20"/>
    </w:rPr>
  </w:style>
  <w:style w:type="character" w:customStyle="1" w:styleId="TableTextChar0">
    <w:name w:val="Table Text Char"/>
    <w:link w:val="TableText1"/>
    <w:rsid w:val="00F52514"/>
    <w:rPr>
      <w:rFonts w:ascii="Tahoma" w:eastAsia="MS Mincho" w:hAnsi="Tahoma" w:cs="Tahoma"/>
      <w:color w:val="000000"/>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A263E2"/>
    <w:pPr>
      <w:widowControl/>
      <w:spacing w:after="160" w:line="240" w:lineRule="exact"/>
      <w:jc w:val="left"/>
    </w:pPr>
    <w:rPr>
      <w:rFonts w:ascii="Verdana" w:eastAsia="MS Mincho" w:hAnsi="Verdana" w:cs="Verdana"/>
      <w:snapToGrid/>
      <w:sz w:val="20"/>
      <w:lang w:val="en-US"/>
    </w:rPr>
  </w:style>
  <w:style w:type="paragraph" w:customStyle="1" w:styleId="Default">
    <w:name w:val="Default"/>
    <w:rsid w:val="00A263E2"/>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semiHidden/>
    <w:unhideWhenUsed/>
    <w:rsid w:val="00713816"/>
    <w:rPr>
      <w:rFonts w:ascii="Tahoma" w:hAnsi="Tahoma" w:cs="Tahoma"/>
      <w:sz w:val="16"/>
      <w:szCs w:val="16"/>
    </w:rPr>
  </w:style>
  <w:style w:type="character" w:customStyle="1" w:styleId="DocumentMapChar">
    <w:name w:val="Document Map Char"/>
    <w:basedOn w:val="DefaultParagraphFont"/>
    <w:link w:val="DocumentMap"/>
    <w:semiHidden/>
    <w:rsid w:val="00713816"/>
    <w:rPr>
      <w:rFonts w:ascii="Tahoma" w:hAnsi="Tahoma" w:cs="Tahoma"/>
      <w:snapToGrid w:val="0"/>
      <w:sz w:val="16"/>
      <w:szCs w:val="16"/>
      <w:lang w:eastAsia="en-US"/>
    </w:rPr>
  </w:style>
  <w:style w:type="paragraph" w:styleId="Subtitle">
    <w:name w:val="Subtitle"/>
    <w:basedOn w:val="Normal"/>
    <w:link w:val="SubtitleChar"/>
    <w:qFormat/>
    <w:rsid w:val="00BE251B"/>
    <w:pPr>
      <w:widowControl/>
    </w:pPr>
    <w:rPr>
      <w:rFonts w:ascii="Times New Roman" w:hAnsi="Times New Roman" w:cs="Times New Roman"/>
      <w:b/>
      <w:snapToGrid/>
      <w:sz w:val="24"/>
      <w:lang w:eastAsia="en-AU"/>
    </w:rPr>
  </w:style>
  <w:style w:type="character" w:customStyle="1" w:styleId="SubtitleChar">
    <w:name w:val="Subtitle Char"/>
    <w:basedOn w:val="DefaultParagraphFont"/>
    <w:link w:val="Subtitle"/>
    <w:rsid w:val="00BE251B"/>
    <w:rPr>
      <w:b/>
      <w:sz w:val="24"/>
    </w:rPr>
  </w:style>
  <w:style w:type="character" w:customStyle="1" w:styleId="ListParagraphChar">
    <w:name w:val="List Paragraph Char"/>
    <w:aliases w:val="BulletPoints Char"/>
    <w:link w:val="ListParagraph"/>
    <w:uiPriority w:val="72"/>
    <w:rsid w:val="00035D87"/>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PBACheading1"/>
    <w:next w:val="Normal"/>
    <w:qFormat/>
    <w:rsid w:val="009E3C8D"/>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6A4D74"/>
    <w:pPr>
      <w:outlineLvl w:val="0"/>
    </w:pPr>
    <w:rPr>
      <w:rFonts w:ascii="Arial Bold" w:hAnsi="Arial Bold"/>
      <w:b/>
      <w:caps/>
      <w:sz w:val="28"/>
    </w:rPr>
  </w:style>
  <w:style w:type="character" w:customStyle="1" w:styleId="TitleChar">
    <w:name w:val="Title Char"/>
    <w:basedOn w:val="DefaultParagraphFont"/>
    <w:link w:val="Title"/>
    <w:rsid w:val="006A4D74"/>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6A4D74"/>
    <w:pPr>
      <w:numPr>
        <w:numId w:val="1"/>
      </w:numPr>
      <w:outlineLvl w:val="0"/>
    </w:pPr>
    <w:rPr>
      <w:rFonts w:ascii="Arial" w:hAnsi="Arial" w:cs="Arial"/>
      <w:b/>
      <w:snapToGrid w:val="0"/>
      <w:sz w:val="22"/>
      <w:szCs w:val="22"/>
      <w:lang w:eastAsia="en-US"/>
    </w:rPr>
  </w:style>
  <w:style w:type="paragraph" w:customStyle="1" w:styleId="TableNotes">
    <w:name w:val="Table Notes"/>
    <w:basedOn w:val="Normal"/>
    <w:next w:val="Normal"/>
    <w:link w:val="TableNotesChar"/>
    <w:uiPriority w:val="99"/>
    <w:qFormat/>
    <w:rsid w:val="00D44FEA"/>
    <w:pPr>
      <w:widowControl/>
      <w:tabs>
        <w:tab w:val="left" w:pos="1134"/>
      </w:tabs>
      <w:ind w:left="1134" w:hanging="1134"/>
      <w:jc w:val="left"/>
    </w:pPr>
    <w:rPr>
      <w:rFonts w:ascii="Verdana" w:eastAsia="SimSun" w:hAnsi="Verdana"/>
      <w:snapToGrid/>
      <w:sz w:val="16"/>
      <w:szCs w:val="16"/>
      <w:lang w:val="fi-FI" w:eastAsia="zh-CN"/>
    </w:rPr>
  </w:style>
  <w:style w:type="character" w:customStyle="1" w:styleId="TableNotesChar">
    <w:name w:val="Table Notes Char"/>
    <w:link w:val="TableNotes"/>
    <w:uiPriority w:val="99"/>
    <w:rsid w:val="00D44FEA"/>
    <w:rPr>
      <w:rFonts w:ascii="Verdana" w:eastAsia="SimSun" w:hAnsi="Verdana" w:cs="Arial"/>
      <w:sz w:val="16"/>
      <w:szCs w:val="16"/>
      <w:lang w:val="fi-FI" w:eastAsia="zh-CN"/>
    </w:rPr>
  </w:style>
  <w:style w:type="character" w:customStyle="1" w:styleId="TableFooterChar">
    <w:name w:val="Table Footer Char"/>
    <w:link w:val="TableFooter"/>
    <w:rsid w:val="00F32D25"/>
    <w:rPr>
      <w:rFonts w:ascii="Arial Narrow" w:hAnsi="Arial Narrow" w:cs="Arial"/>
      <w:snapToGrid w:val="0"/>
      <w:sz w:val="18"/>
      <w:lang w:eastAsia="en-US"/>
    </w:rPr>
  </w:style>
  <w:style w:type="paragraph" w:customStyle="1" w:styleId="TableText1">
    <w:name w:val="Table Text"/>
    <w:basedOn w:val="Normal"/>
    <w:link w:val="TableTextChar0"/>
    <w:qFormat/>
    <w:rsid w:val="00F52514"/>
    <w:pPr>
      <w:keepNext/>
      <w:keepLines/>
      <w:widowControl/>
      <w:tabs>
        <w:tab w:val="left" w:pos="5360"/>
      </w:tabs>
      <w:spacing w:before="40" w:after="40"/>
      <w:jc w:val="left"/>
    </w:pPr>
    <w:rPr>
      <w:rFonts w:ascii="Tahoma" w:eastAsia="MS Mincho" w:hAnsi="Tahoma" w:cs="Tahoma"/>
      <w:snapToGrid/>
      <w:color w:val="000000"/>
      <w:sz w:val="20"/>
    </w:rPr>
  </w:style>
  <w:style w:type="character" w:customStyle="1" w:styleId="TableTextChar0">
    <w:name w:val="Table Text Char"/>
    <w:link w:val="TableText1"/>
    <w:rsid w:val="00F52514"/>
    <w:rPr>
      <w:rFonts w:ascii="Tahoma" w:eastAsia="MS Mincho" w:hAnsi="Tahoma" w:cs="Tahoma"/>
      <w:color w:val="000000"/>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A263E2"/>
    <w:pPr>
      <w:widowControl/>
      <w:spacing w:after="160" w:line="240" w:lineRule="exact"/>
      <w:jc w:val="left"/>
    </w:pPr>
    <w:rPr>
      <w:rFonts w:ascii="Verdana" w:eastAsia="MS Mincho" w:hAnsi="Verdana" w:cs="Verdana"/>
      <w:snapToGrid/>
      <w:sz w:val="20"/>
      <w:lang w:val="en-US"/>
    </w:rPr>
  </w:style>
  <w:style w:type="paragraph" w:customStyle="1" w:styleId="Default">
    <w:name w:val="Default"/>
    <w:rsid w:val="00A263E2"/>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semiHidden/>
    <w:unhideWhenUsed/>
    <w:rsid w:val="00713816"/>
    <w:rPr>
      <w:rFonts w:ascii="Tahoma" w:hAnsi="Tahoma" w:cs="Tahoma"/>
      <w:sz w:val="16"/>
      <w:szCs w:val="16"/>
    </w:rPr>
  </w:style>
  <w:style w:type="character" w:customStyle="1" w:styleId="DocumentMapChar">
    <w:name w:val="Document Map Char"/>
    <w:basedOn w:val="DefaultParagraphFont"/>
    <w:link w:val="DocumentMap"/>
    <w:semiHidden/>
    <w:rsid w:val="00713816"/>
    <w:rPr>
      <w:rFonts w:ascii="Tahoma" w:hAnsi="Tahoma" w:cs="Tahoma"/>
      <w:snapToGrid w:val="0"/>
      <w:sz w:val="16"/>
      <w:szCs w:val="16"/>
      <w:lang w:eastAsia="en-US"/>
    </w:rPr>
  </w:style>
  <w:style w:type="paragraph" w:styleId="Subtitle">
    <w:name w:val="Subtitle"/>
    <w:basedOn w:val="Normal"/>
    <w:link w:val="SubtitleChar"/>
    <w:qFormat/>
    <w:rsid w:val="00BE251B"/>
    <w:pPr>
      <w:widowControl/>
    </w:pPr>
    <w:rPr>
      <w:rFonts w:ascii="Times New Roman" w:hAnsi="Times New Roman" w:cs="Times New Roman"/>
      <w:b/>
      <w:snapToGrid/>
      <w:sz w:val="24"/>
      <w:lang w:eastAsia="en-AU"/>
    </w:rPr>
  </w:style>
  <w:style w:type="character" w:customStyle="1" w:styleId="SubtitleChar">
    <w:name w:val="Subtitle Char"/>
    <w:basedOn w:val="DefaultParagraphFont"/>
    <w:link w:val="Subtitle"/>
    <w:rsid w:val="00BE251B"/>
    <w:rPr>
      <w:b/>
      <w:sz w:val="24"/>
    </w:rPr>
  </w:style>
  <w:style w:type="character" w:customStyle="1" w:styleId="ListParagraphChar">
    <w:name w:val="List Paragraph Char"/>
    <w:aliases w:val="BulletPoints Char"/>
    <w:link w:val="ListParagraph"/>
    <w:uiPriority w:val="72"/>
    <w:rsid w:val="00035D87"/>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78965">
      <w:bodyDiv w:val="1"/>
      <w:marLeft w:val="0"/>
      <w:marRight w:val="0"/>
      <w:marTop w:val="0"/>
      <w:marBottom w:val="0"/>
      <w:divBdr>
        <w:top w:val="none" w:sz="0" w:space="0" w:color="auto"/>
        <w:left w:val="none" w:sz="0" w:space="0" w:color="auto"/>
        <w:bottom w:val="none" w:sz="0" w:space="0" w:color="auto"/>
        <w:right w:val="none" w:sz="0" w:space="0" w:color="auto"/>
      </w:divBdr>
    </w:div>
    <w:div w:id="136994172">
      <w:bodyDiv w:val="1"/>
      <w:marLeft w:val="0"/>
      <w:marRight w:val="0"/>
      <w:marTop w:val="0"/>
      <w:marBottom w:val="0"/>
      <w:divBdr>
        <w:top w:val="none" w:sz="0" w:space="0" w:color="auto"/>
        <w:left w:val="none" w:sz="0" w:space="0" w:color="auto"/>
        <w:bottom w:val="none" w:sz="0" w:space="0" w:color="auto"/>
        <w:right w:val="none" w:sz="0" w:space="0" w:color="auto"/>
      </w:divBdr>
    </w:div>
    <w:div w:id="241254605">
      <w:bodyDiv w:val="1"/>
      <w:marLeft w:val="0"/>
      <w:marRight w:val="0"/>
      <w:marTop w:val="0"/>
      <w:marBottom w:val="0"/>
      <w:divBdr>
        <w:top w:val="none" w:sz="0" w:space="0" w:color="auto"/>
        <w:left w:val="none" w:sz="0" w:space="0" w:color="auto"/>
        <w:bottom w:val="none" w:sz="0" w:space="0" w:color="auto"/>
        <w:right w:val="none" w:sz="0" w:space="0" w:color="auto"/>
      </w:divBdr>
    </w:div>
    <w:div w:id="256716011">
      <w:bodyDiv w:val="1"/>
      <w:marLeft w:val="0"/>
      <w:marRight w:val="0"/>
      <w:marTop w:val="0"/>
      <w:marBottom w:val="0"/>
      <w:divBdr>
        <w:top w:val="none" w:sz="0" w:space="0" w:color="auto"/>
        <w:left w:val="none" w:sz="0" w:space="0" w:color="auto"/>
        <w:bottom w:val="none" w:sz="0" w:space="0" w:color="auto"/>
        <w:right w:val="none" w:sz="0" w:space="0" w:color="auto"/>
      </w:divBdr>
    </w:div>
    <w:div w:id="285234509">
      <w:bodyDiv w:val="1"/>
      <w:marLeft w:val="0"/>
      <w:marRight w:val="0"/>
      <w:marTop w:val="0"/>
      <w:marBottom w:val="0"/>
      <w:divBdr>
        <w:top w:val="none" w:sz="0" w:space="0" w:color="auto"/>
        <w:left w:val="none" w:sz="0" w:space="0" w:color="auto"/>
        <w:bottom w:val="none" w:sz="0" w:space="0" w:color="auto"/>
        <w:right w:val="none" w:sz="0" w:space="0" w:color="auto"/>
      </w:divBdr>
    </w:div>
    <w:div w:id="333261075">
      <w:bodyDiv w:val="1"/>
      <w:marLeft w:val="0"/>
      <w:marRight w:val="0"/>
      <w:marTop w:val="0"/>
      <w:marBottom w:val="0"/>
      <w:divBdr>
        <w:top w:val="none" w:sz="0" w:space="0" w:color="auto"/>
        <w:left w:val="none" w:sz="0" w:space="0" w:color="auto"/>
        <w:bottom w:val="none" w:sz="0" w:space="0" w:color="auto"/>
        <w:right w:val="none" w:sz="0" w:space="0" w:color="auto"/>
      </w:divBdr>
    </w:div>
    <w:div w:id="366756888">
      <w:bodyDiv w:val="1"/>
      <w:marLeft w:val="0"/>
      <w:marRight w:val="0"/>
      <w:marTop w:val="0"/>
      <w:marBottom w:val="0"/>
      <w:divBdr>
        <w:top w:val="none" w:sz="0" w:space="0" w:color="auto"/>
        <w:left w:val="none" w:sz="0" w:space="0" w:color="auto"/>
        <w:bottom w:val="none" w:sz="0" w:space="0" w:color="auto"/>
        <w:right w:val="none" w:sz="0" w:space="0" w:color="auto"/>
      </w:divBdr>
    </w:div>
    <w:div w:id="391343894">
      <w:bodyDiv w:val="1"/>
      <w:marLeft w:val="0"/>
      <w:marRight w:val="0"/>
      <w:marTop w:val="0"/>
      <w:marBottom w:val="0"/>
      <w:divBdr>
        <w:top w:val="none" w:sz="0" w:space="0" w:color="auto"/>
        <w:left w:val="none" w:sz="0" w:space="0" w:color="auto"/>
        <w:bottom w:val="none" w:sz="0" w:space="0" w:color="auto"/>
        <w:right w:val="none" w:sz="0" w:space="0" w:color="auto"/>
      </w:divBdr>
    </w:div>
    <w:div w:id="406928341">
      <w:bodyDiv w:val="1"/>
      <w:marLeft w:val="0"/>
      <w:marRight w:val="0"/>
      <w:marTop w:val="0"/>
      <w:marBottom w:val="0"/>
      <w:divBdr>
        <w:top w:val="none" w:sz="0" w:space="0" w:color="auto"/>
        <w:left w:val="none" w:sz="0" w:space="0" w:color="auto"/>
        <w:bottom w:val="none" w:sz="0" w:space="0" w:color="auto"/>
        <w:right w:val="none" w:sz="0" w:space="0" w:color="auto"/>
      </w:divBdr>
    </w:div>
    <w:div w:id="497159647">
      <w:bodyDiv w:val="1"/>
      <w:marLeft w:val="0"/>
      <w:marRight w:val="0"/>
      <w:marTop w:val="0"/>
      <w:marBottom w:val="0"/>
      <w:divBdr>
        <w:top w:val="none" w:sz="0" w:space="0" w:color="auto"/>
        <w:left w:val="none" w:sz="0" w:space="0" w:color="auto"/>
        <w:bottom w:val="none" w:sz="0" w:space="0" w:color="auto"/>
        <w:right w:val="none" w:sz="0" w:space="0" w:color="auto"/>
      </w:divBdr>
    </w:div>
    <w:div w:id="566261277">
      <w:bodyDiv w:val="1"/>
      <w:marLeft w:val="0"/>
      <w:marRight w:val="0"/>
      <w:marTop w:val="0"/>
      <w:marBottom w:val="0"/>
      <w:divBdr>
        <w:top w:val="none" w:sz="0" w:space="0" w:color="auto"/>
        <w:left w:val="none" w:sz="0" w:space="0" w:color="auto"/>
        <w:bottom w:val="none" w:sz="0" w:space="0" w:color="auto"/>
        <w:right w:val="none" w:sz="0" w:space="0" w:color="auto"/>
      </w:divBdr>
    </w:div>
    <w:div w:id="582110618">
      <w:bodyDiv w:val="1"/>
      <w:marLeft w:val="0"/>
      <w:marRight w:val="0"/>
      <w:marTop w:val="0"/>
      <w:marBottom w:val="0"/>
      <w:divBdr>
        <w:top w:val="none" w:sz="0" w:space="0" w:color="auto"/>
        <w:left w:val="none" w:sz="0" w:space="0" w:color="auto"/>
        <w:bottom w:val="none" w:sz="0" w:space="0" w:color="auto"/>
        <w:right w:val="none" w:sz="0" w:space="0" w:color="auto"/>
      </w:divBdr>
    </w:div>
    <w:div w:id="587540583">
      <w:bodyDiv w:val="1"/>
      <w:marLeft w:val="0"/>
      <w:marRight w:val="0"/>
      <w:marTop w:val="0"/>
      <w:marBottom w:val="0"/>
      <w:divBdr>
        <w:top w:val="none" w:sz="0" w:space="0" w:color="auto"/>
        <w:left w:val="none" w:sz="0" w:space="0" w:color="auto"/>
        <w:bottom w:val="none" w:sz="0" w:space="0" w:color="auto"/>
        <w:right w:val="none" w:sz="0" w:space="0" w:color="auto"/>
      </w:divBdr>
    </w:div>
    <w:div w:id="658463428">
      <w:bodyDiv w:val="1"/>
      <w:marLeft w:val="0"/>
      <w:marRight w:val="0"/>
      <w:marTop w:val="0"/>
      <w:marBottom w:val="0"/>
      <w:divBdr>
        <w:top w:val="none" w:sz="0" w:space="0" w:color="auto"/>
        <w:left w:val="none" w:sz="0" w:space="0" w:color="auto"/>
        <w:bottom w:val="none" w:sz="0" w:space="0" w:color="auto"/>
        <w:right w:val="none" w:sz="0" w:space="0" w:color="auto"/>
      </w:divBdr>
    </w:div>
    <w:div w:id="755638395">
      <w:bodyDiv w:val="1"/>
      <w:marLeft w:val="0"/>
      <w:marRight w:val="0"/>
      <w:marTop w:val="0"/>
      <w:marBottom w:val="0"/>
      <w:divBdr>
        <w:top w:val="none" w:sz="0" w:space="0" w:color="auto"/>
        <w:left w:val="none" w:sz="0" w:space="0" w:color="auto"/>
        <w:bottom w:val="none" w:sz="0" w:space="0" w:color="auto"/>
        <w:right w:val="none" w:sz="0" w:space="0" w:color="auto"/>
      </w:divBdr>
    </w:div>
    <w:div w:id="783384087">
      <w:bodyDiv w:val="1"/>
      <w:marLeft w:val="0"/>
      <w:marRight w:val="0"/>
      <w:marTop w:val="0"/>
      <w:marBottom w:val="0"/>
      <w:divBdr>
        <w:top w:val="none" w:sz="0" w:space="0" w:color="auto"/>
        <w:left w:val="none" w:sz="0" w:space="0" w:color="auto"/>
        <w:bottom w:val="none" w:sz="0" w:space="0" w:color="auto"/>
        <w:right w:val="none" w:sz="0" w:space="0" w:color="auto"/>
      </w:divBdr>
    </w:div>
    <w:div w:id="816603979">
      <w:bodyDiv w:val="1"/>
      <w:marLeft w:val="0"/>
      <w:marRight w:val="0"/>
      <w:marTop w:val="0"/>
      <w:marBottom w:val="0"/>
      <w:divBdr>
        <w:top w:val="none" w:sz="0" w:space="0" w:color="auto"/>
        <w:left w:val="none" w:sz="0" w:space="0" w:color="auto"/>
        <w:bottom w:val="none" w:sz="0" w:space="0" w:color="auto"/>
        <w:right w:val="none" w:sz="0" w:space="0" w:color="auto"/>
      </w:divBdr>
    </w:div>
    <w:div w:id="919484480">
      <w:bodyDiv w:val="1"/>
      <w:marLeft w:val="0"/>
      <w:marRight w:val="0"/>
      <w:marTop w:val="0"/>
      <w:marBottom w:val="0"/>
      <w:divBdr>
        <w:top w:val="none" w:sz="0" w:space="0" w:color="auto"/>
        <w:left w:val="none" w:sz="0" w:space="0" w:color="auto"/>
        <w:bottom w:val="none" w:sz="0" w:space="0" w:color="auto"/>
        <w:right w:val="none" w:sz="0" w:space="0" w:color="auto"/>
      </w:divBdr>
    </w:div>
    <w:div w:id="963733576">
      <w:bodyDiv w:val="1"/>
      <w:marLeft w:val="0"/>
      <w:marRight w:val="0"/>
      <w:marTop w:val="0"/>
      <w:marBottom w:val="0"/>
      <w:divBdr>
        <w:top w:val="none" w:sz="0" w:space="0" w:color="auto"/>
        <w:left w:val="none" w:sz="0" w:space="0" w:color="auto"/>
        <w:bottom w:val="none" w:sz="0" w:space="0" w:color="auto"/>
        <w:right w:val="none" w:sz="0" w:space="0" w:color="auto"/>
      </w:divBdr>
    </w:div>
    <w:div w:id="969244008">
      <w:bodyDiv w:val="1"/>
      <w:marLeft w:val="0"/>
      <w:marRight w:val="0"/>
      <w:marTop w:val="0"/>
      <w:marBottom w:val="0"/>
      <w:divBdr>
        <w:top w:val="none" w:sz="0" w:space="0" w:color="auto"/>
        <w:left w:val="none" w:sz="0" w:space="0" w:color="auto"/>
        <w:bottom w:val="none" w:sz="0" w:space="0" w:color="auto"/>
        <w:right w:val="none" w:sz="0" w:space="0" w:color="auto"/>
      </w:divBdr>
    </w:div>
    <w:div w:id="1048608216">
      <w:bodyDiv w:val="1"/>
      <w:marLeft w:val="0"/>
      <w:marRight w:val="0"/>
      <w:marTop w:val="0"/>
      <w:marBottom w:val="0"/>
      <w:divBdr>
        <w:top w:val="none" w:sz="0" w:space="0" w:color="auto"/>
        <w:left w:val="none" w:sz="0" w:space="0" w:color="auto"/>
        <w:bottom w:val="none" w:sz="0" w:space="0" w:color="auto"/>
        <w:right w:val="none" w:sz="0" w:space="0" w:color="auto"/>
      </w:divBdr>
    </w:div>
    <w:div w:id="1193156192">
      <w:bodyDiv w:val="1"/>
      <w:marLeft w:val="0"/>
      <w:marRight w:val="0"/>
      <w:marTop w:val="0"/>
      <w:marBottom w:val="0"/>
      <w:divBdr>
        <w:top w:val="none" w:sz="0" w:space="0" w:color="auto"/>
        <w:left w:val="none" w:sz="0" w:space="0" w:color="auto"/>
        <w:bottom w:val="none" w:sz="0" w:space="0" w:color="auto"/>
        <w:right w:val="none" w:sz="0" w:space="0" w:color="auto"/>
      </w:divBdr>
    </w:div>
    <w:div w:id="1277755904">
      <w:bodyDiv w:val="1"/>
      <w:marLeft w:val="0"/>
      <w:marRight w:val="0"/>
      <w:marTop w:val="0"/>
      <w:marBottom w:val="0"/>
      <w:divBdr>
        <w:top w:val="none" w:sz="0" w:space="0" w:color="auto"/>
        <w:left w:val="none" w:sz="0" w:space="0" w:color="auto"/>
        <w:bottom w:val="none" w:sz="0" w:space="0" w:color="auto"/>
        <w:right w:val="none" w:sz="0" w:space="0" w:color="auto"/>
      </w:divBdr>
    </w:div>
    <w:div w:id="1279218583">
      <w:bodyDiv w:val="1"/>
      <w:marLeft w:val="0"/>
      <w:marRight w:val="0"/>
      <w:marTop w:val="0"/>
      <w:marBottom w:val="0"/>
      <w:divBdr>
        <w:top w:val="none" w:sz="0" w:space="0" w:color="auto"/>
        <w:left w:val="none" w:sz="0" w:space="0" w:color="auto"/>
        <w:bottom w:val="none" w:sz="0" w:space="0" w:color="auto"/>
        <w:right w:val="none" w:sz="0" w:space="0" w:color="auto"/>
      </w:divBdr>
    </w:div>
    <w:div w:id="1289971593">
      <w:bodyDiv w:val="1"/>
      <w:marLeft w:val="0"/>
      <w:marRight w:val="0"/>
      <w:marTop w:val="0"/>
      <w:marBottom w:val="0"/>
      <w:divBdr>
        <w:top w:val="none" w:sz="0" w:space="0" w:color="auto"/>
        <w:left w:val="none" w:sz="0" w:space="0" w:color="auto"/>
        <w:bottom w:val="none" w:sz="0" w:space="0" w:color="auto"/>
        <w:right w:val="none" w:sz="0" w:space="0" w:color="auto"/>
      </w:divBdr>
    </w:div>
    <w:div w:id="1321614693">
      <w:bodyDiv w:val="1"/>
      <w:marLeft w:val="0"/>
      <w:marRight w:val="0"/>
      <w:marTop w:val="0"/>
      <w:marBottom w:val="0"/>
      <w:divBdr>
        <w:top w:val="none" w:sz="0" w:space="0" w:color="auto"/>
        <w:left w:val="none" w:sz="0" w:space="0" w:color="auto"/>
        <w:bottom w:val="none" w:sz="0" w:space="0" w:color="auto"/>
        <w:right w:val="none" w:sz="0" w:space="0" w:color="auto"/>
      </w:divBdr>
    </w:div>
    <w:div w:id="1398555941">
      <w:bodyDiv w:val="1"/>
      <w:marLeft w:val="0"/>
      <w:marRight w:val="0"/>
      <w:marTop w:val="0"/>
      <w:marBottom w:val="0"/>
      <w:divBdr>
        <w:top w:val="none" w:sz="0" w:space="0" w:color="auto"/>
        <w:left w:val="none" w:sz="0" w:space="0" w:color="auto"/>
        <w:bottom w:val="none" w:sz="0" w:space="0" w:color="auto"/>
        <w:right w:val="none" w:sz="0" w:space="0" w:color="auto"/>
      </w:divBdr>
    </w:div>
    <w:div w:id="1425489814">
      <w:bodyDiv w:val="1"/>
      <w:marLeft w:val="0"/>
      <w:marRight w:val="0"/>
      <w:marTop w:val="0"/>
      <w:marBottom w:val="0"/>
      <w:divBdr>
        <w:top w:val="none" w:sz="0" w:space="0" w:color="auto"/>
        <w:left w:val="none" w:sz="0" w:space="0" w:color="auto"/>
        <w:bottom w:val="none" w:sz="0" w:space="0" w:color="auto"/>
        <w:right w:val="none" w:sz="0" w:space="0" w:color="auto"/>
      </w:divBdr>
    </w:div>
    <w:div w:id="1463039499">
      <w:bodyDiv w:val="1"/>
      <w:marLeft w:val="0"/>
      <w:marRight w:val="0"/>
      <w:marTop w:val="0"/>
      <w:marBottom w:val="0"/>
      <w:divBdr>
        <w:top w:val="none" w:sz="0" w:space="0" w:color="auto"/>
        <w:left w:val="none" w:sz="0" w:space="0" w:color="auto"/>
        <w:bottom w:val="none" w:sz="0" w:space="0" w:color="auto"/>
        <w:right w:val="none" w:sz="0" w:space="0" w:color="auto"/>
      </w:divBdr>
    </w:div>
    <w:div w:id="1583101430">
      <w:bodyDiv w:val="1"/>
      <w:marLeft w:val="0"/>
      <w:marRight w:val="0"/>
      <w:marTop w:val="0"/>
      <w:marBottom w:val="0"/>
      <w:divBdr>
        <w:top w:val="none" w:sz="0" w:space="0" w:color="auto"/>
        <w:left w:val="none" w:sz="0" w:space="0" w:color="auto"/>
        <w:bottom w:val="none" w:sz="0" w:space="0" w:color="auto"/>
        <w:right w:val="none" w:sz="0" w:space="0" w:color="auto"/>
      </w:divBdr>
      <w:divsChild>
        <w:div w:id="1485464692">
          <w:marLeft w:val="547"/>
          <w:marRight w:val="0"/>
          <w:marTop w:val="77"/>
          <w:marBottom w:val="0"/>
          <w:divBdr>
            <w:top w:val="none" w:sz="0" w:space="0" w:color="auto"/>
            <w:left w:val="none" w:sz="0" w:space="0" w:color="auto"/>
            <w:bottom w:val="none" w:sz="0" w:space="0" w:color="auto"/>
            <w:right w:val="none" w:sz="0" w:space="0" w:color="auto"/>
          </w:divBdr>
        </w:div>
      </w:divsChild>
    </w:div>
    <w:div w:id="1587807602">
      <w:bodyDiv w:val="1"/>
      <w:marLeft w:val="0"/>
      <w:marRight w:val="0"/>
      <w:marTop w:val="0"/>
      <w:marBottom w:val="0"/>
      <w:divBdr>
        <w:top w:val="none" w:sz="0" w:space="0" w:color="auto"/>
        <w:left w:val="none" w:sz="0" w:space="0" w:color="auto"/>
        <w:bottom w:val="none" w:sz="0" w:space="0" w:color="auto"/>
        <w:right w:val="none" w:sz="0" w:space="0" w:color="auto"/>
      </w:divBdr>
    </w:div>
    <w:div w:id="1609779858">
      <w:bodyDiv w:val="1"/>
      <w:marLeft w:val="0"/>
      <w:marRight w:val="0"/>
      <w:marTop w:val="0"/>
      <w:marBottom w:val="0"/>
      <w:divBdr>
        <w:top w:val="none" w:sz="0" w:space="0" w:color="auto"/>
        <w:left w:val="none" w:sz="0" w:space="0" w:color="auto"/>
        <w:bottom w:val="none" w:sz="0" w:space="0" w:color="auto"/>
        <w:right w:val="none" w:sz="0" w:space="0" w:color="auto"/>
      </w:divBdr>
    </w:div>
    <w:div w:id="1731264983">
      <w:bodyDiv w:val="1"/>
      <w:marLeft w:val="0"/>
      <w:marRight w:val="0"/>
      <w:marTop w:val="0"/>
      <w:marBottom w:val="0"/>
      <w:divBdr>
        <w:top w:val="none" w:sz="0" w:space="0" w:color="auto"/>
        <w:left w:val="none" w:sz="0" w:space="0" w:color="auto"/>
        <w:bottom w:val="none" w:sz="0" w:space="0" w:color="auto"/>
        <w:right w:val="none" w:sz="0" w:space="0" w:color="auto"/>
      </w:divBdr>
    </w:div>
    <w:div w:id="1798841205">
      <w:bodyDiv w:val="1"/>
      <w:marLeft w:val="0"/>
      <w:marRight w:val="0"/>
      <w:marTop w:val="0"/>
      <w:marBottom w:val="0"/>
      <w:divBdr>
        <w:top w:val="none" w:sz="0" w:space="0" w:color="auto"/>
        <w:left w:val="none" w:sz="0" w:space="0" w:color="auto"/>
        <w:bottom w:val="none" w:sz="0" w:space="0" w:color="auto"/>
        <w:right w:val="none" w:sz="0" w:space="0" w:color="auto"/>
      </w:divBdr>
    </w:div>
    <w:div w:id="1804692703">
      <w:bodyDiv w:val="1"/>
      <w:marLeft w:val="0"/>
      <w:marRight w:val="0"/>
      <w:marTop w:val="0"/>
      <w:marBottom w:val="0"/>
      <w:divBdr>
        <w:top w:val="none" w:sz="0" w:space="0" w:color="auto"/>
        <w:left w:val="none" w:sz="0" w:space="0" w:color="auto"/>
        <w:bottom w:val="none" w:sz="0" w:space="0" w:color="auto"/>
        <w:right w:val="none" w:sz="0" w:space="0" w:color="auto"/>
      </w:divBdr>
    </w:div>
    <w:div w:id="1817720388">
      <w:bodyDiv w:val="1"/>
      <w:marLeft w:val="0"/>
      <w:marRight w:val="0"/>
      <w:marTop w:val="0"/>
      <w:marBottom w:val="0"/>
      <w:divBdr>
        <w:top w:val="none" w:sz="0" w:space="0" w:color="auto"/>
        <w:left w:val="none" w:sz="0" w:space="0" w:color="auto"/>
        <w:bottom w:val="none" w:sz="0" w:space="0" w:color="auto"/>
        <w:right w:val="none" w:sz="0" w:space="0" w:color="auto"/>
      </w:divBdr>
    </w:div>
    <w:div w:id="1886288809">
      <w:bodyDiv w:val="1"/>
      <w:marLeft w:val="0"/>
      <w:marRight w:val="0"/>
      <w:marTop w:val="0"/>
      <w:marBottom w:val="0"/>
      <w:divBdr>
        <w:top w:val="none" w:sz="0" w:space="0" w:color="auto"/>
        <w:left w:val="none" w:sz="0" w:space="0" w:color="auto"/>
        <w:bottom w:val="none" w:sz="0" w:space="0" w:color="auto"/>
        <w:right w:val="none" w:sz="0" w:space="0" w:color="auto"/>
      </w:divBdr>
    </w:div>
    <w:div w:id="1973440956">
      <w:bodyDiv w:val="1"/>
      <w:marLeft w:val="0"/>
      <w:marRight w:val="0"/>
      <w:marTop w:val="0"/>
      <w:marBottom w:val="0"/>
      <w:divBdr>
        <w:top w:val="none" w:sz="0" w:space="0" w:color="auto"/>
        <w:left w:val="none" w:sz="0" w:space="0" w:color="auto"/>
        <w:bottom w:val="none" w:sz="0" w:space="0" w:color="auto"/>
        <w:right w:val="none" w:sz="0" w:space="0" w:color="auto"/>
      </w:divBdr>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 w:id="2004504710">
      <w:bodyDiv w:val="1"/>
      <w:marLeft w:val="0"/>
      <w:marRight w:val="0"/>
      <w:marTop w:val="0"/>
      <w:marBottom w:val="0"/>
      <w:divBdr>
        <w:top w:val="none" w:sz="0" w:space="0" w:color="auto"/>
        <w:left w:val="none" w:sz="0" w:space="0" w:color="auto"/>
        <w:bottom w:val="none" w:sz="0" w:space="0" w:color="auto"/>
        <w:right w:val="none" w:sz="0" w:space="0" w:color="auto"/>
      </w:divBdr>
    </w:div>
    <w:div w:id="2056540977">
      <w:bodyDiv w:val="1"/>
      <w:marLeft w:val="0"/>
      <w:marRight w:val="0"/>
      <w:marTop w:val="0"/>
      <w:marBottom w:val="0"/>
      <w:divBdr>
        <w:top w:val="none" w:sz="0" w:space="0" w:color="auto"/>
        <w:left w:val="none" w:sz="0" w:space="0" w:color="auto"/>
        <w:bottom w:val="none" w:sz="0" w:space="0" w:color="auto"/>
        <w:right w:val="none" w:sz="0" w:space="0" w:color="auto"/>
      </w:divBdr>
    </w:div>
    <w:div w:id="211794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3B55A-98F3-4FF2-B288-22148655E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9415</Words>
  <Characters>54142</Characters>
  <Application>Microsoft Office Word</Application>
  <DocSecurity>0</DocSecurity>
  <Lines>1320</Lines>
  <Paragraphs>441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2016-06-21T05:10:00Z</dcterms:created>
  <dcterms:modified xsi:type="dcterms:W3CDTF">2016-06-22T00:35:00Z</dcterms:modified>
</cp:coreProperties>
</file>