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06" w:rsidRPr="00E60F06" w:rsidRDefault="00163818" w:rsidP="00163818">
      <w:pPr>
        <w:pStyle w:val="Heading2"/>
        <w:rPr>
          <w:sz w:val="28"/>
        </w:rPr>
      </w:pPr>
      <w:bookmarkStart w:id="0" w:name="_Toc440982027"/>
      <w:r w:rsidRPr="00E60F06">
        <w:rPr>
          <w:sz w:val="28"/>
        </w:rPr>
        <w:t>6.0</w:t>
      </w:r>
      <w:r w:rsidR="003A7070" w:rsidRPr="00E60F06">
        <w:rPr>
          <w:sz w:val="28"/>
        </w:rPr>
        <w:t>6</w:t>
      </w:r>
      <w:r w:rsidR="00B60939" w:rsidRPr="00E60F06">
        <w:rPr>
          <w:sz w:val="28"/>
        </w:rPr>
        <w:tab/>
      </w:r>
      <w:r w:rsidR="00B46106" w:rsidRPr="00E60F06">
        <w:rPr>
          <w:sz w:val="28"/>
        </w:rPr>
        <w:t>PEMBROLIZUMAB</w:t>
      </w:r>
    </w:p>
    <w:p w:rsidR="00B46106" w:rsidRPr="00E60F06" w:rsidRDefault="00B814BE" w:rsidP="0018111C">
      <w:pPr>
        <w:pStyle w:val="Heading2"/>
        <w:ind w:firstLine="720"/>
        <w:rPr>
          <w:sz w:val="28"/>
        </w:rPr>
      </w:pPr>
      <w:r w:rsidRPr="00E60F06">
        <w:rPr>
          <w:sz w:val="28"/>
        </w:rPr>
        <w:t>50</w:t>
      </w:r>
      <w:r w:rsidR="002226D8" w:rsidRPr="00E60F06">
        <w:rPr>
          <w:sz w:val="28"/>
        </w:rPr>
        <w:t> </w:t>
      </w:r>
      <w:r w:rsidRPr="00E60F06">
        <w:rPr>
          <w:sz w:val="28"/>
        </w:rPr>
        <w:t>mg injection: powder for, 1 vial,</w:t>
      </w:r>
      <w:r w:rsidR="00163818" w:rsidRPr="00E60F06">
        <w:rPr>
          <w:sz w:val="28"/>
        </w:rPr>
        <w:t xml:space="preserve"> </w:t>
      </w:r>
    </w:p>
    <w:p w:rsidR="00B60939" w:rsidRPr="00E60F06" w:rsidRDefault="00163818" w:rsidP="0018111C">
      <w:pPr>
        <w:pStyle w:val="Heading2"/>
        <w:ind w:firstLine="720"/>
        <w:rPr>
          <w:sz w:val="28"/>
        </w:rPr>
      </w:pPr>
      <w:r w:rsidRPr="00E60F06">
        <w:rPr>
          <w:sz w:val="28"/>
        </w:rPr>
        <w:t>Keytruda</w:t>
      </w:r>
      <w:r w:rsidRPr="00E60F06">
        <w:rPr>
          <w:sz w:val="28"/>
          <w:vertAlign w:val="superscript"/>
        </w:rPr>
        <w:t>®</w:t>
      </w:r>
      <w:r w:rsidRPr="00E60F06">
        <w:rPr>
          <w:sz w:val="28"/>
        </w:rPr>
        <w:t>, Merck Sharp &amp; Dohme (Australia) Pty Ltd</w:t>
      </w:r>
      <w:r w:rsidR="00B60939" w:rsidRPr="00E60F06">
        <w:rPr>
          <w:sz w:val="28"/>
        </w:rPr>
        <w:t>.</w:t>
      </w:r>
      <w:bookmarkEnd w:id="0"/>
    </w:p>
    <w:p w:rsidR="00433044" w:rsidRPr="00E60F06" w:rsidRDefault="00433044" w:rsidP="00281014">
      <w:pPr>
        <w:pStyle w:val="BodyText"/>
      </w:pPr>
    </w:p>
    <w:p w:rsidR="0018111C" w:rsidRPr="00E60F06" w:rsidRDefault="0018111C" w:rsidP="00281014">
      <w:pPr>
        <w:pStyle w:val="BodyText"/>
      </w:pPr>
    </w:p>
    <w:p w:rsidR="00B50DB8" w:rsidRPr="00E60F06" w:rsidRDefault="00B50DB8" w:rsidP="00B46106">
      <w:pPr>
        <w:pStyle w:val="PBACHeading1"/>
      </w:pPr>
      <w:bookmarkStart w:id="1" w:name="_Toc440982029"/>
      <w:r w:rsidRPr="00E60F06">
        <w:t>Purpose of Application</w:t>
      </w:r>
      <w:bookmarkEnd w:id="1"/>
    </w:p>
    <w:p w:rsidR="00B60939" w:rsidRPr="00E60F06" w:rsidRDefault="00B60939" w:rsidP="00B60939">
      <w:pPr>
        <w:rPr>
          <w:szCs w:val="22"/>
        </w:rPr>
      </w:pPr>
    </w:p>
    <w:p w:rsidR="002C2775" w:rsidRPr="00E60F06" w:rsidRDefault="003A482E" w:rsidP="00423721">
      <w:pPr>
        <w:pStyle w:val="ListParagraph"/>
        <w:widowControl/>
        <w:numPr>
          <w:ilvl w:val="1"/>
          <w:numId w:val="3"/>
        </w:numPr>
        <w:rPr>
          <w:szCs w:val="22"/>
        </w:rPr>
      </w:pPr>
      <w:r w:rsidRPr="00E60F06">
        <w:t>Pembrolizumab has a Section 100 (Efficient Funding of Chemotherapy – Public and Private Hospital) Authority Required listing for the treatment of unresectable Stage III or Stage IV metastatic melanoma.</w:t>
      </w:r>
    </w:p>
    <w:p w:rsidR="003A482E" w:rsidRPr="00E60F06" w:rsidRDefault="003A482E" w:rsidP="003A482E">
      <w:pPr>
        <w:widowControl/>
        <w:rPr>
          <w:szCs w:val="22"/>
        </w:rPr>
      </w:pPr>
    </w:p>
    <w:p w:rsidR="003A482E" w:rsidRPr="00E60F06" w:rsidRDefault="003A482E" w:rsidP="00423721">
      <w:pPr>
        <w:pStyle w:val="ListParagraph"/>
        <w:widowControl/>
        <w:numPr>
          <w:ilvl w:val="1"/>
          <w:numId w:val="3"/>
        </w:numPr>
        <w:rPr>
          <w:szCs w:val="22"/>
        </w:rPr>
      </w:pPr>
      <w:r w:rsidRPr="00E60F06">
        <w:rPr>
          <w:szCs w:val="22"/>
        </w:rPr>
        <w:t>The submission was lodged to fulfil the requirements of the Managed Entry Scheme</w:t>
      </w:r>
      <w:r w:rsidR="00B54B72" w:rsidRPr="00E60F06">
        <w:rPr>
          <w:szCs w:val="22"/>
        </w:rPr>
        <w:t xml:space="preserve"> (MES)</w:t>
      </w:r>
      <w:r w:rsidRPr="00E60F06">
        <w:rPr>
          <w:szCs w:val="22"/>
        </w:rPr>
        <w:t xml:space="preserve"> under which it was PBS-listed and to seek PBAC reconsideration of the cost-effectiveness of pembrolizumab.</w:t>
      </w:r>
    </w:p>
    <w:p w:rsidR="004E43B2" w:rsidRPr="00E60F06" w:rsidRDefault="004E43B2" w:rsidP="004B1CB4"/>
    <w:p w:rsidR="0018111C" w:rsidRPr="00E60F06" w:rsidRDefault="0018111C" w:rsidP="004B1CB4"/>
    <w:p w:rsidR="00B50DB8" w:rsidRPr="00E60F06" w:rsidRDefault="00B50DB8" w:rsidP="00BD6CF3">
      <w:pPr>
        <w:pStyle w:val="PBACHeading1"/>
      </w:pPr>
      <w:bookmarkStart w:id="2" w:name="_Toc440982030"/>
      <w:r w:rsidRPr="00E60F06">
        <w:t>Requested listing</w:t>
      </w:r>
      <w:bookmarkEnd w:id="2"/>
    </w:p>
    <w:p w:rsidR="00B60939" w:rsidRPr="00E60F06" w:rsidRDefault="00B60939" w:rsidP="004B1CB4"/>
    <w:p w:rsidR="00035FB3" w:rsidRPr="00E60F06" w:rsidRDefault="0096319C" w:rsidP="007560D7">
      <w:pPr>
        <w:pStyle w:val="ListParagraph"/>
        <w:widowControl/>
        <w:numPr>
          <w:ilvl w:val="1"/>
          <w:numId w:val="3"/>
        </w:numPr>
      </w:pPr>
      <w:r w:rsidRPr="00E60F06">
        <w:t xml:space="preserve">The submission </w:t>
      </w:r>
      <w:r w:rsidR="007560D7" w:rsidRPr="00E60F06">
        <w:t>did not seek</w:t>
      </w:r>
      <w:r w:rsidRPr="00E60F06">
        <w:t xml:space="preserve"> any changes in the restriction, which is summarised below.</w:t>
      </w:r>
    </w:p>
    <w:p w:rsidR="00617E12" w:rsidRPr="00E60F06" w:rsidRDefault="00617E12" w:rsidP="00617E12"/>
    <w:tbl>
      <w:tblPr>
        <w:tblW w:w="4696" w:type="pct"/>
        <w:tblInd w:w="732" w:type="dxa"/>
        <w:tblLayout w:type="fixed"/>
        <w:tblCellMar>
          <w:left w:w="28" w:type="dxa"/>
          <w:right w:w="28" w:type="dxa"/>
        </w:tblCellMar>
        <w:tblLook w:val="0000" w:firstRow="0" w:lastRow="0" w:firstColumn="0" w:lastColumn="0" w:noHBand="0" w:noVBand="0"/>
      </w:tblPr>
      <w:tblGrid>
        <w:gridCol w:w="1423"/>
        <w:gridCol w:w="1390"/>
        <w:gridCol w:w="208"/>
        <w:gridCol w:w="809"/>
        <w:gridCol w:w="710"/>
        <w:gridCol w:w="142"/>
        <w:gridCol w:w="1842"/>
        <w:gridCol w:w="1134"/>
        <w:gridCol w:w="643"/>
        <w:gridCol w:w="229"/>
      </w:tblGrid>
      <w:tr w:rsidR="00125DE5" w:rsidRPr="00E60F06" w:rsidTr="005056F4">
        <w:trPr>
          <w:gridAfter w:val="1"/>
          <w:wAfter w:w="134" w:type="pct"/>
          <w:cantSplit/>
          <w:trHeight w:val="463"/>
        </w:trPr>
        <w:tc>
          <w:tcPr>
            <w:tcW w:w="1771" w:type="pct"/>
            <w:gridSpan w:val="3"/>
            <w:tcBorders>
              <w:bottom w:val="single" w:sz="4" w:space="0" w:color="auto"/>
            </w:tcBorders>
            <w:vAlign w:val="center"/>
          </w:tcPr>
          <w:p w:rsidR="00617E12" w:rsidRPr="00E60F06" w:rsidRDefault="00617E12" w:rsidP="00617E12">
            <w:pPr>
              <w:keepNext/>
              <w:jc w:val="left"/>
              <w:rPr>
                <w:sz w:val="20"/>
              </w:rPr>
            </w:pPr>
            <w:r w:rsidRPr="00E60F06">
              <w:rPr>
                <w:sz w:val="20"/>
              </w:rPr>
              <w:t>Name, Restriction,</w:t>
            </w:r>
          </w:p>
          <w:p w:rsidR="00617E12" w:rsidRPr="00E60F06" w:rsidRDefault="00617E12" w:rsidP="00617E12">
            <w:pPr>
              <w:keepNext/>
              <w:jc w:val="left"/>
              <w:rPr>
                <w:sz w:val="20"/>
              </w:rPr>
            </w:pPr>
            <w:r w:rsidRPr="00E60F06">
              <w:rPr>
                <w:sz w:val="20"/>
              </w:rPr>
              <w:t>Manner of administration and form</w:t>
            </w:r>
          </w:p>
        </w:tc>
        <w:tc>
          <w:tcPr>
            <w:tcW w:w="474" w:type="pct"/>
            <w:tcBorders>
              <w:bottom w:val="single" w:sz="4" w:space="0" w:color="auto"/>
            </w:tcBorders>
            <w:vAlign w:val="center"/>
          </w:tcPr>
          <w:p w:rsidR="00617E12" w:rsidRPr="00E60F06" w:rsidRDefault="00617E12" w:rsidP="00617E12">
            <w:pPr>
              <w:keepNext/>
              <w:jc w:val="center"/>
              <w:rPr>
                <w:sz w:val="20"/>
              </w:rPr>
            </w:pPr>
            <w:r w:rsidRPr="00E60F06">
              <w:rPr>
                <w:sz w:val="20"/>
              </w:rPr>
              <w:t>Max.</w:t>
            </w:r>
          </w:p>
          <w:p w:rsidR="00617E12" w:rsidRPr="00E60F06" w:rsidRDefault="005056F4" w:rsidP="005056F4">
            <w:pPr>
              <w:keepNext/>
              <w:jc w:val="center"/>
              <w:rPr>
                <w:sz w:val="20"/>
              </w:rPr>
            </w:pPr>
            <w:r w:rsidRPr="00E60F06">
              <w:rPr>
                <w:sz w:val="20"/>
              </w:rPr>
              <w:t>Amount</w:t>
            </w:r>
          </w:p>
        </w:tc>
        <w:tc>
          <w:tcPr>
            <w:tcW w:w="499" w:type="pct"/>
            <w:gridSpan w:val="2"/>
            <w:tcBorders>
              <w:bottom w:val="single" w:sz="4" w:space="0" w:color="auto"/>
            </w:tcBorders>
            <w:vAlign w:val="center"/>
          </w:tcPr>
          <w:p w:rsidR="00617E12" w:rsidRPr="00E60F06" w:rsidRDefault="00617E12" w:rsidP="00617E12">
            <w:pPr>
              <w:keepNext/>
              <w:jc w:val="center"/>
              <w:rPr>
                <w:sz w:val="20"/>
              </w:rPr>
            </w:pPr>
            <w:r w:rsidRPr="00E60F06">
              <w:rPr>
                <w:sz w:val="20"/>
              </w:rPr>
              <w:t>№.</w:t>
            </w:r>
            <w:r w:rsidR="00614038" w:rsidRPr="00E60F06">
              <w:rPr>
                <w:sz w:val="20"/>
              </w:rPr>
              <w:t xml:space="preserve"> </w:t>
            </w:r>
            <w:r w:rsidRPr="00E60F06">
              <w:rPr>
                <w:sz w:val="20"/>
              </w:rPr>
              <w:t>of</w:t>
            </w:r>
          </w:p>
          <w:p w:rsidR="00617E12" w:rsidRPr="00E60F06" w:rsidRDefault="00617E12" w:rsidP="00617E12">
            <w:pPr>
              <w:keepNext/>
              <w:jc w:val="center"/>
              <w:rPr>
                <w:sz w:val="20"/>
              </w:rPr>
            </w:pPr>
            <w:r w:rsidRPr="00E60F06">
              <w:rPr>
                <w:sz w:val="20"/>
              </w:rPr>
              <w:t>Rpts</w:t>
            </w:r>
          </w:p>
        </w:tc>
        <w:tc>
          <w:tcPr>
            <w:tcW w:w="1080" w:type="pct"/>
            <w:tcBorders>
              <w:bottom w:val="single" w:sz="4" w:space="0" w:color="auto"/>
            </w:tcBorders>
            <w:vAlign w:val="center"/>
          </w:tcPr>
          <w:p w:rsidR="00617E12" w:rsidRPr="00E60F06" w:rsidRDefault="00617E12" w:rsidP="005056F4">
            <w:pPr>
              <w:keepNext/>
              <w:jc w:val="center"/>
              <w:rPr>
                <w:sz w:val="20"/>
              </w:rPr>
            </w:pPr>
            <w:r w:rsidRPr="00E60F06">
              <w:rPr>
                <w:sz w:val="20"/>
              </w:rPr>
              <w:t xml:space="preserve">Dispensed Price for Max. </w:t>
            </w:r>
            <w:r w:rsidR="005056F4" w:rsidRPr="00E60F06">
              <w:rPr>
                <w:sz w:val="20"/>
              </w:rPr>
              <w:t>Amount</w:t>
            </w:r>
          </w:p>
        </w:tc>
        <w:tc>
          <w:tcPr>
            <w:tcW w:w="1042" w:type="pct"/>
            <w:gridSpan w:val="2"/>
            <w:tcBorders>
              <w:bottom w:val="single" w:sz="4" w:space="0" w:color="auto"/>
            </w:tcBorders>
            <w:vAlign w:val="center"/>
          </w:tcPr>
          <w:p w:rsidR="00617E12" w:rsidRPr="00E60F06" w:rsidRDefault="00617E12" w:rsidP="00617E12">
            <w:pPr>
              <w:keepNext/>
              <w:jc w:val="center"/>
              <w:rPr>
                <w:sz w:val="20"/>
                <w:lang w:val="fr-FR"/>
              </w:rPr>
            </w:pPr>
            <w:r w:rsidRPr="00E60F06">
              <w:rPr>
                <w:sz w:val="20"/>
              </w:rPr>
              <w:t>Proprietary Name and Manufacturer</w:t>
            </w:r>
          </w:p>
        </w:tc>
      </w:tr>
      <w:tr w:rsidR="00FB6660" w:rsidRPr="00E60F06" w:rsidTr="005056F4">
        <w:trPr>
          <w:cantSplit/>
          <w:trHeight w:val="567"/>
        </w:trPr>
        <w:tc>
          <w:tcPr>
            <w:tcW w:w="1649" w:type="pct"/>
            <w:gridSpan w:val="2"/>
            <w:vAlign w:val="center"/>
          </w:tcPr>
          <w:p w:rsidR="00125DE5" w:rsidRPr="00E60F06" w:rsidRDefault="00125DE5" w:rsidP="00125DE5">
            <w:pPr>
              <w:keepNext/>
              <w:rPr>
                <w:rFonts w:ascii="Arial Narrow" w:hAnsi="Arial Narrow"/>
                <w:smallCaps/>
                <w:sz w:val="20"/>
              </w:rPr>
            </w:pPr>
            <w:r w:rsidRPr="00E60F06">
              <w:rPr>
                <w:rFonts w:ascii="Arial Narrow" w:hAnsi="Arial Narrow"/>
                <w:smallCaps/>
                <w:sz w:val="20"/>
              </w:rPr>
              <w:t>PEMBROLIZUMAB</w:t>
            </w:r>
          </w:p>
          <w:p w:rsidR="00125DE5" w:rsidRPr="00E60F06" w:rsidRDefault="00125DE5" w:rsidP="00125DE5">
            <w:pPr>
              <w:keepNext/>
              <w:rPr>
                <w:rFonts w:ascii="Arial Narrow" w:hAnsi="Arial Narrow"/>
                <w:sz w:val="20"/>
              </w:rPr>
            </w:pPr>
            <w:r w:rsidRPr="00E60F06">
              <w:rPr>
                <w:rFonts w:ascii="Arial Narrow" w:hAnsi="Arial Narrow"/>
                <w:b/>
                <w:sz w:val="20"/>
              </w:rPr>
              <w:t xml:space="preserve">Initial </w:t>
            </w:r>
            <w:r w:rsidR="005056F4" w:rsidRPr="00E60F06">
              <w:rPr>
                <w:rFonts w:ascii="Arial Narrow" w:hAnsi="Arial Narrow"/>
                <w:b/>
                <w:sz w:val="20"/>
              </w:rPr>
              <w:t>t</w:t>
            </w:r>
            <w:r w:rsidRPr="00E60F06">
              <w:rPr>
                <w:rFonts w:ascii="Arial Narrow" w:hAnsi="Arial Narrow"/>
                <w:b/>
                <w:sz w:val="20"/>
              </w:rPr>
              <w:t>reatment</w:t>
            </w:r>
          </w:p>
          <w:p w:rsidR="00125DE5" w:rsidRPr="00E60F06" w:rsidRDefault="00125DE5" w:rsidP="00125DE5">
            <w:pPr>
              <w:keepNext/>
              <w:jc w:val="left"/>
              <w:rPr>
                <w:rFonts w:ascii="Arial Narrow" w:hAnsi="Arial Narrow"/>
                <w:sz w:val="20"/>
              </w:rPr>
            </w:pPr>
            <w:r w:rsidRPr="00E60F06">
              <w:rPr>
                <w:rFonts w:ascii="Arial Narrow" w:hAnsi="Arial Narrow"/>
                <w:sz w:val="20"/>
              </w:rPr>
              <w:t>Powder for injection, 5</w:t>
            </w:r>
            <w:r w:rsidR="0061061F" w:rsidRPr="00E60F06">
              <w:rPr>
                <w:rFonts w:ascii="Arial Narrow" w:hAnsi="Arial Narrow"/>
                <w:sz w:val="20"/>
              </w:rPr>
              <w:t>0</w:t>
            </w:r>
            <w:r w:rsidR="005056F4" w:rsidRPr="00E60F06">
              <w:rPr>
                <w:rFonts w:ascii="Arial Narrow" w:hAnsi="Arial Narrow"/>
                <w:sz w:val="20"/>
              </w:rPr>
              <w:t> </w:t>
            </w:r>
            <w:r w:rsidR="0061061F" w:rsidRPr="00E60F06">
              <w:rPr>
                <w:rFonts w:ascii="Arial Narrow" w:hAnsi="Arial Narrow"/>
                <w:sz w:val="20"/>
              </w:rPr>
              <w:t>mg</w:t>
            </w:r>
          </w:p>
          <w:p w:rsidR="00125DE5" w:rsidRPr="00E60F06" w:rsidRDefault="00125DE5" w:rsidP="00125DE5">
            <w:pPr>
              <w:keepNext/>
              <w:rPr>
                <w:rFonts w:ascii="Arial Narrow" w:hAnsi="Arial Narrow"/>
                <w:sz w:val="20"/>
              </w:rPr>
            </w:pPr>
            <w:r w:rsidRPr="00E60F06">
              <w:rPr>
                <w:rFonts w:ascii="Arial Narrow" w:hAnsi="Arial Narrow"/>
                <w:b/>
                <w:sz w:val="20"/>
              </w:rPr>
              <w:t xml:space="preserve">Continuing </w:t>
            </w:r>
            <w:r w:rsidR="005056F4" w:rsidRPr="00E60F06">
              <w:rPr>
                <w:rFonts w:ascii="Arial Narrow" w:hAnsi="Arial Narrow"/>
                <w:b/>
                <w:sz w:val="20"/>
              </w:rPr>
              <w:t>t</w:t>
            </w:r>
            <w:r w:rsidRPr="00E60F06">
              <w:rPr>
                <w:rFonts w:ascii="Arial Narrow" w:hAnsi="Arial Narrow"/>
                <w:b/>
                <w:sz w:val="20"/>
              </w:rPr>
              <w:t>reatment</w:t>
            </w:r>
          </w:p>
          <w:p w:rsidR="00125DE5" w:rsidRPr="00E60F06" w:rsidRDefault="00125DE5" w:rsidP="00125DE5">
            <w:pPr>
              <w:keepNext/>
              <w:jc w:val="left"/>
              <w:rPr>
                <w:rFonts w:ascii="Arial Narrow" w:hAnsi="Arial Narrow"/>
                <w:sz w:val="20"/>
              </w:rPr>
            </w:pPr>
            <w:r w:rsidRPr="00E60F06">
              <w:rPr>
                <w:rFonts w:ascii="Arial Narrow" w:hAnsi="Arial Narrow"/>
                <w:sz w:val="20"/>
              </w:rPr>
              <w:t>Powder for injection, 5</w:t>
            </w:r>
            <w:r w:rsidR="005056F4" w:rsidRPr="00E60F06">
              <w:rPr>
                <w:rFonts w:ascii="Arial Narrow" w:hAnsi="Arial Narrow"/>
                <w:sz w:val="20"/>
              </w:rPr>
              <w:t>0 </w:t>
            </w:r>
            <w:r w:rsidR="0061061F" w:rsidRPr="00E60F06">
              <w:rPr>
                <w:rFonts w:ascii="Arial Narrow" w:hAnsi="Arial Narrow"/>
                <w:sz w:val="20"/>
              </w:rPr>
              <w:t>mg</w:t>
            </w:r>
          </w:p>
          <w:p w:rsidR="00125DE5" w:rsidRPr="00E60F06" w:rsidRDefault="00125DE5" w:rsidP="00617E12">
            <w:pPr>
              <w:keepNext/>
              <w:jc w:val="left"/>
              <w:rPr>
                <w:sz w:val="20"/>
              </w:rPr>
            </w:pPr>
          </w:p>
        </w:tc>
        <w:tc>
          <w:tcPr>
            <w:tcW w:w="596" w:type="pct"/>
            <w:gridSpan w:val="2"/>
          </w:tcPr>
          <w:p w:rsidR="00125DE5" w:rsidRPr="00E60F06" w:rsidRDefault="00125DE5" w:rsidP="00FB6660">
            <w:pPr>
              <w:keepNext/>
              <w:jc w:val="center"/>
              <w:rPr>
                <w:rFonts w:ascii="Arial Narrow" w:hAnsi="Arial Narrow"/>
                <w:sz w:val="20"/>
              </w:rPr>
            </w:pPr>
          </w:p>
          <w:p w:rsidR="00125DE5" w:rsidRPr="00E60F06" w:rsidRDefault="00125DE5" w:rsidP="00FB6660">
            <w:pPr>
              <w:keepNext/>
              <w:rPr>
                <w:rFonts w:ascii="Arial Narrow" w:hAnsi="Arial Narrow"/>
                <w:sz w:val="20"/>
              </w:rPr>
            </w:pPr>
          </w:p>
          <w:p w:rsidR="00125DE5" w:rsidRPr="00E60F06" w:rsidRDefault="00125DE5" w:rsidP="00FB6660">
            <w:pPr>
              <w:keepNext/>
              <w:jc w:val="center"/>
              <w:rPr>
                <w:rFonts w:ascii="Arial Narrow" w:hAnsi="Arial Narrow"/>
                <w:sz w:val="20"/>
              </w:rPr>
            </w:pPr>
            <w:r w:rsidRPr="00E60F06">
              <w:rPr>
                <w:rFonts w:ascii="Arial Narrow" w:hAnsi="Arial Narrow"/>
                <w:sz w:val="20"/>
              </w:rPr>
              <w:t>24</w:t>
            </w:r>
            <w:r w:rsidR="0061061F" w:rsidRPr="00E60F06">
              <w:rPr>
                <w:rFonts w:ascii="Arial Narrow" w:hAnsi="Arial Narrow"/>
                <w:sz w:val="20"/>
              </w:rPr>
              <w:t>0</w:t>
            </w:r>
            <w:r w:rsidR="005056F4" w:rsidRPr="00E60F06">
              <w:rPr>
                <w:rFonts w:ascii="Arial Narrow" w:hAnsi="Arial Narrow"/>
                <w:sz w:val="20"/>
              </w:rPr>
              <w:t> </w:t>
            </w:r>
            <w:r w:rsidR="0061061F" w:rsidRPr="00E60F06">
              <w:rPr>
                <w:rFonts w:ascii="Arial Narrow" w:hAnsi="Arial Narrow"/>
                <w:sz w:val="20"/>
              </w:rPr>
              <w:t>mg</w:t>
            </w:r>
          </w:p>
          <w:p w:rsidR="00125DE5" w:rsidRPr="00E60F06" w:rsidRDefault="00125DE5" w:rsidP="00FB6660">
            <w:pPr>
              <w:keepNext/>
              <w:jc w:val="center"/>
              <w:rPr>
                <w:rFonts w:ascii="Arial Narrow" w:hAnsi="Arial Narrow"/>
                <w:sz w:val="20"/>
              </w:rPr>
            </w:pPr>
          </w:p>
          <w:p w:rsidR="00125DE5" w:rsidRPr="00E60F06" w:rsidRDefault="00125DE5" w:rsidP="00FB6660">
            <w:pPr>
              <w:keepNext/>
              <w:jc w:val="center"/>
              <w:rPr>
                <w:rFonts w:ascii="Arial Narrow" w:hAnsi="Arial Narrow"/>
                <w:sz w:val="20"/>
              </w:rPr>
            </w:pPr>
            <w:r w:rsidRPr="00E60F06">
              <w:rPr>
                <w:rFonts w:ascii="Arial Narrow" w:hAnsi="Arial Narrow"/>
                <w:sz w:val="20"/>
              </w:rPr>
              <w:t>24</w:t>
            </w:r>
            <w:r w:rsidR="005056F4" w:rsidRPr="00E60F06">
              <w:rPr>
                <w:rFonts w:ascii="Arial Narrow" w:hAnsi="Arial Narrow"/>
                <w:sz w:val="20"/>
              </w:rPr>
              <w:t>0 </w:t>
            </w:r>
            <w:r w:rsidR="0061061F" w:rsidRPr="00E60F06">
              <w:rPr>
                <w:rFonts w:ascii="Arial Narrow" w:hAnsi="Arial Narrow"/>
                <w:sz w:val="20"/>
              </w:rPr>
              <w:t>mg</w:t>
            </w:r>
          </w:p>
          <w:p w:rsidR="00125DE5" w:rsidRPr="00E60F06" w:rsidRDefault="00125DE5" w:rsidP="00617E12">
            <w:pPr>
              <w:keepNext/>
              <w:jc w:val="center"/>
              <w:rPr>
                <w:sz w:val="20"/>
              </w:rPr>
            </w:pPr>
          </w:p>
        </w:tc>
        <w:tc>
          <w:tcPr>
            <w:tcW w:w="416" w:type="pct"/>
          </w:tcPr>
          <w:p w:rsidR="00125DE5" w:rsidRPr="00E60F06" w:rsidRDefault="00125DE5" w:rsidP="00FB6660">
            <w:pPr>
              <w:keepNext/>
              <w:jc w:val="center"/>
              <w:rPr>
                <w:rFonts w:ascii="Arial Narrow" w:hAnsi="Arial Narrow"/>
                <w:sz w:val="20"/>
              </w:rPr>
            </w:pPr>
          </w:p>
          <w:p w:rsidR="00125DE5" w:rsidRPr="00E60F06" w:rsidRDefault="00125DE5" w:rsidP="00FB6660">
            <w:pPr>
              <w:keepNext/>
              <w:jc w:val="center"/>
              <w:rPr>
                <w:rFonts w:ascii="Arial Narrow" w:hAnsi="Arial Narrow"/>
                <w:sz w:val="20"/>
              </w:rPr>
            </w:pPr>
          </w:p>
          <w:p w:rsidR="00125DE5" w:rsidRPr="00E60F06" w:rsidRDefault="00125DE5" w:rsidP="00FB6660">
            <w:pPr>
              <w:keepNext/>
              <w:jc w:val="center"/>
              <w:rPr>
                <w:rFonts w:ascii="Arial Narrow" w:hAnsi="Arial Narrow"/>
                <w:sz w:val="20"/>
              </w:rPr>
            </w:pPr>
            <w:r w:rsidRPr="00E60F06">
              <w:rPr>
                <w:rFonts w:ascii="Arial Narrow" w:hAnsi="Arial Narrow"/>
                <w:sz w:val="20"/>
              </w:rPr>
              <w:t>5</w:t>
            </w:r>
          </w:p>
          <w:p w:rsidR="00125DE5" w:rsidRPr="00E60F06" w:rsidRDefault="00125DE5" w:rsidP="00FB6660">
            <w:pPr>
              <w:keepNext/>
              <w:jc w:val="center"/>
              <w:rPr>
                <w:rFonts w:ascii="Arial Narrow" w:hAnsi="Arial Narrow"/>
                <w:sz w:val="20"/>
              </w:rPr>
            </w:pPr>
          </w:p>
          <w:p w:rsidR="00125DE5" w:rsidRPr="00E60F06" w:rsidRDefault="00125DE5" w:rsidP="00FB6660">
            <w:pPr>
              <w:keepNext/>
              <w:jc w:val="center"/>
              <w:rPr>
                <w:rFonts w:ascii="Arial Narrow" w:hAnsi="Arial Narrow"/>
                <w:sz w:val="20"/>
              </w:rPr>
            </w:pPr>
            <w:r w:rsidRPr="00E60F06">
              <w:rPr>
                <w:rFonts w:ascii="Arial Narrow" w:hAnsi="Arial Narrow"/>
                <w:sz w:val="20"/>
              </w:rPr>
              <w:t>7</w:t>
            </w:r>
          </w:p>
          <w:p w:rsidR="00125DE5" w:rsidRPr="00E60F06" w:rsidRDefault="00125DE5" w:rsidP="00617E12">
            <w:pPr>
              <w:keepNext/>
              <w:jc w:val="center"/>
              <w:rPr>
                <w:sz w:val="20"/>
              </w:rPr>
            </w:pPr>
          </w:p>
        </w:tc>
        <w:tc>
          <w:tcPr>
            <w:tcW w:w="1163" w:type="pct"/>
            <w:gridSpan w:val="2"/>
            <w:vAlign w:val="center"/>
          </w:tcPr>
          <w:p w:rsidR="00125DE5" w:rsidRPr="00E60F06" w:rsidRDefault="00125DE5" w:rsidP="00125DE5">
            <w:pPr>
              <w:keepNext/>
              <w:ind w:left="202" w:right="-170"/>
              <w:jc w:val="center"/>
              <w:rPr>
                <w:rFonts w:ascii="Arial Narrow" w:hAnsi="Arial Narrow"/>
                <w:sz w:val="20"/>
              </w:rPr>
            </w:pPr>
          </w:p>
          <w:p w:rsidR="00125DE5" w:rsidRPr="00E60F06" w:rsidRDefault="00125DE5" w:rsidP="00125DE5">
            <w:pPr>
              <w:keepNext/>
              <w:ind w:left="202" w:right="-170"/>
              <w:jc w:val="center"/>
              <w:rPr>
                <w:rFonts w:ascii="Arial Narrow" w:hAnsi="Arial Narrow"/>
                <w:sz w:val="20"/>
              </w:rPr>
            </w:pPr>
          </w:p>
          <w:p w:rsidR="00125DE5" w:rsidRPr="00E60F06" w:rsidRDefault="00125DE5" w:rsidP="00125DE5">
            <w:pPr>
              <w:keepNext/>
              <w:ind w:left="202" w:right="-170"/>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r w:rsidRPr="00E60F06">
              <w:rPr>
                <w:rFonts w:ascii="Arial Narrow" w:hAnsi="Arial Narrow"/>
                <w:sz w:val="20"/>
              </w:rPr>
              <w:t xml:space="preserve"> (public)</w:t>
            </w:r>
          </w:p>
          <w:p w:rsidR="00125DE5" w:rsidRPr="00E60F06" w:rsidRDefault="00125DE5" w:rsidP="00125DE5">
            <w:pPr>
              <w:keepNext/>
              <w:ind w:left="327" w:right="-170"/>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r w:rsidRPr="00E60F06">
              <w:rPr>
                <w:rFonts w:ascii="Arial Narrow" w:hAnsi="Arial Narrow"/>
                <w:sz w:val="20"/>
              </w:rPr>
              <w:t xml:space="preserve"> (private)</w:t>
            </w:r>
          </w:p>
          <w:p w:rsidR="00125DE5" w:rsidRPr="00E60F06" w:rsidRDefault="00125DE5" w:rsidP="00125DE5">
            <w:pPr>
              <w:keepNext/>
              <w:ind w:left="202" w:right="-170"/>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r w:rsidR="005056F4" w:rsidRPr="00E60F06">
              <w:rPr>
                <w:rFonts w:ascii="Arial Narrow" w:hAnsi="Arial Narrow"/>
                <w:sz w:val="20"/>
              </w:rPr>
              <w:t xml:space="preserve"> </w:t>
            </w:r>
            <w:r w:rsidRPr="00E60F06">
              <w:rPr>
                <w:rFonts w:ascii="Arial Narrow" w:hAnsi="Arial Narrow"/>
                <w:sz w:val="20"/>
              </w:rPr>
              <w:t>(effective)</w:t>
            </w:r>
          </w:p>
          <w:p w:rsidR="00125DE5" w:rsidRPr="00E60F06" w:rsidRDefault="00125DE5" w:rsidP="00125DE5">
            <w:pPr>
              <w:keepNext/>
              <w:ind w:left="202" w:right="-170"/>
              <w:jc w:val="center"/>
              <w:rPr>
                <w:sz w:val="20"/>
              </w:rPr>
            </w:pPr>
          </w:p>
        </w:tc>
        <w:tc>
          <w:tcPr>
            <w:tcW w:w="665" w:type="pct"/>
          </w:tcPr>
          <w:p w:rsidR="00125DE5" w:rsidRPr="00E60F06" w:rsidRDefault="00125DE5" w:rsidP="00125DE5">
            <w:pPr>
              <w:keepNext/>
              <w:ind w:left="202" w:right="-170"/>
              <w:rPr>
                <w:rFonts w:ascii="Arial Narrow" w:hAnsi="Arial Narrow"/>
                <w:sz w:val="20"/>
              </w:rPr>
            </w:pPr>
          </w:p>
          <w:p w:rsidR="00125DE5" w:rsidRPr="00E60F06" w:rsidRDefault="00125DE5" w:rsidP="00125DE5">
            <w:pPr>
              <w:keepNext/>
              <w:ind w:left="202" w:right="-170"/>
              <w:jc w:val="center"/>
              <w:rPr>
                <w:rFonts w:ascii="Arial Narrow" w:hAnsi="Arial Narrow"/>
                <w:sz w:val="20"/>
              </w:rPr>
            </w:pPr>
          </w:p>
          <w:p w:rsidR="00125DE5" w:rsidRPr="00E60F06" w:rsidRDefault="00125DE5" w:rsidP="00125DE5">
            <w:pPr>
              <w:keepNext/>
              <w:ind w:left="202" w:right="-170" w:firstLine="76"/>
              <w:rPr>
                <w:sz w:val="20"/>
              </w:rPr>
            </w:pPr>
            <w:r w:rsidRPr="00E60F06">
              <w:rPr>
                <w:rFonts w:ascii="Arial Narrow" w:hAnsi="Arial Narrow"/>
                <w:sz w:val="20"/>
              </w:rPr>
              <w:t>Keytruda</w:t>
            </w:r>
            <w:r w:rsidRPr="00E60F06">
              <w:rPr>
                <w:rFonts w:ascii="Arial Narrow" w:hAnsi="Arial Narrow"/>
                <w:sz w:val="20"/>
                <w:vertAlign w:val="superscript"/>
              </w:rPr>
              <w:t>®</w:t>
            </w:r>
          </w:p>
        </w:tc>
        <w:tc>
          <w:tcPr>
            <w:tcW w:w="511" w:type="pct"/>
            <w:gridSpan w:val="2"/>
          </w:tcPr>
          <w:p w:rsidR="00125DE5" w:rsidRPr="00E60F06" w:rsidRDefault="00125DE5" w:rsidP="00FB6660">
            <w:pPr>
              <w:keepNext/>
              <w:rPr>
                <w:rFonts w:ascii="Arial Narrow" w:hAnsi="Arial Narrow"/>
                <w:sz w:val="20"/>
              </w:rPr>
            </w:pPr>
          </w:p>
          <w:p w:rsidR="00125DE5" w:rsidRPr="00E60F06" w:rsidRDefault="00125DE5" w:rsidP="00FB6660">
            <w:pPr>
              <w:keepNext/>
              <w:jc w:val="center"/>
              <w:rPr>
                <w:rFonts w:ascii="Arial Narrow" w:hAnsi="Arial Narrow"/>
                <w:sz w:val="20"/>
              </w:rPr>
            </w:pPr>
          </w:p>
          <w:p w:rsidR="00125DE5" w:rsidRPr="00E60F06" w:rsidRDefault="00125DE5" w:rsidP="00617E12">
            <w:pPr>
              <w:keepNext/>
              <w:jc w:val="center"/>
              <w:rPr>
                <w:sz w:val="20"/>
              </w:rPr>
            </w:pPr>
            <w:r w:rsidRPr="00E60F06">
              <w:rPr>
                <w:rFonts w:ascii="Arial Narrow" w:hAnsi="Arial Narrow"/>
                <w:sz w:val="20"/>
              </w:rPr>
              <w:t>MK</w:t>
            </w:r>
          </w:p>
        </w:tc>
      </w:tr>
      <w:tr w:rsidR="00542C2D" w:rsidRPr="00E60F06" w:rsidTr="00505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4" w:type="pct"/>
          <w:trHeight w:val="20"/>
        </w:trPr>
        <w:tc>
          <w:tcPr>
            <w:tcW w:w="4866" w:type="pct"/>
            <w:gridSpan w:val="9"/>
            <w:tcBorders>
              <w:top w:val="single" w:sz="4" w:space="0" w:color="auto"/>
              <w:left w:val="single" w:sz="4" w:space="0" w:color="auto"/>
              <w:bottom w:val="single" w:sz="4" w:space="0" w:color="auto"/>
              <w:right w:val="single" w:sz="4" w:space="0" w:color="auto"/>
            </w:tcBorders>
            <w:vAlign w:val="center"/>
            <w:hideMark/>
          </w:tcPr>
          <w:p w:rsidR="00542C2D" w:rsidRPr="00E60F06" w:rsidRDefault="00542C2D" w:rsidP="00542C2D">
            <w:pPr>
              <w:snapToGrid w:val="0"/>
              <w:spacing w:line="20" w:lineRule="atLeast"/>
              <w:rPr>
                <w:lang w:eastAsia="en-AU"/>
              </w:rPr>
            </w:pPr>
            <w:r w:rsidRPr="00E60F06">
              <w:rPr>
                <w:rFonts w:ascii="Arial Narrow" w:hAnsi="Arial Narrow"/>
                <w:b/>
                <w:bCs/>
                <w:sz w:val="20"/>
                <w:lang w:eastAsia="en-AU"/>
              </w:rPr>
              <w:t>Treatment phase:</w:t>
            </w:r>
            <w:r w:rsidR="00FB6660" w:rsidRPr="00E60F06">
              <w:rPr>
                <w:rFonts w:ascii="Arial Narrow" w:hAnsi="Arial Narrow"/>
                <w:b/>
                <w:bCs/>
                <w:sz w:val="20"/>
                <w:lang w:eastAsia="en-AU"/>
              </w:rPr>
              <w:t xml:space="preserve"> Initial</w:t>
            </w:r>
          </w:p>
        </w:tc>
      </w:tr>
      <w:tr w:rsidR="00FB6660" w:rsidRPr="00E60F06" w:rsidTr="00505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4" w:type="pct"/>
          <w:trHeight w:val="20"/>
        </w:trPr>
        <w:tc>
          <w:tcPr>
            <w:tcW w:w="834" w:type="pct"/>
            <w:tcBorders>
              <w:top w:val="single" w:sz="4" w:space="0" w:color="auto"/>
              <w:left w:val="single" w:sz="4" w:space="0" w:color="auto"/>
              <w:bottom w:val="single" w:sz="4" w:space="0" w:color="auto"/>
              <w:right w:val="single" w:sz="4" w:space="0" w:color="auto"/>
            </w:tcBorders>
            <w:hideMark/>
          </w:tcPr>
          <w:p w:rsidR="00FB6660" w:rsidRPr="00E60F06" w:rsidRDefault="00FB6660" w:rsidP="00542C2D">
            <w:pPr>
              <w:snapToGrid w:val="0"/>
              <w:spacing w:line="20" w:lineRule="atLeast"/>
              <w:rPr>
                <w:lang w:eastAsia="en-AU"/>
              </w:rPr>
            </w:pPr>
            <w:r w:rsidRPr="00E60F06">
              <w:rPr>
                <w:rFonts w:ascii="Arial Narrow" w:hAnsi="Arial Narrow"/>
                <w:sz w:val="20"/>
                <w:lang w:eastAsia="en-AU"/>
              </w:rPr>
              <w:t>Severity</w:t>
            </w:r>
          </w:p>
        </w:tc>
        <w:tc>
          <w:tcPr>
            <w:tcW w:w="4032" w:type="pct"/>
            <w:gridSpan w:val="8"/>
            <w:tcBorders>
              <w:top w:val="single" w:sz="4" w:space="0" w:color="auto"/>
              <w:left w:val="single" w:sz="4" w:space="0" w:color="auto"/>
              <w:bottom w:val="single" w:sz="4" w:space="0" w:color="auto"/>
              <w:right w:val="single" w:sz="4" w:space="0" w:color="auto"/>
            </w:tcBorders>
          </w:tcPr>
          <w:p w:rsidR="00FB6660" w:rsidRPr="00E60F06" w:rsidRDefault="00FB6660" w:rsidP="00542C2D">
            <w:pPr>
              <w:snapToGrid w:val="0"/>
              <w:spacing w:line="20" w:lineRule="atLeast"/>
              <w:rPr>
                <w:lang w:eastAsia="en-AU"/>
              </w:rPr>
            </w:pPr>
            <w:r w:rsidRPr="00E60F06">
              <w:rPr>
                <w:rFonts w:ascii="Arial Narrow" w:hAnsi="Arial Narrow"/>
                <w:sz w:val="20"/>
              </w:rPr>
              <w:t>Unresectable Stage III or Stage IV</w:t>
            </w:r>
          </w:p>
        </w:tc>
      </w:tr>
      <w:tr w:rsidR="00FB6660" w:rsidRPr="00E60F06" w:rsidTr="00505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4" w:type="pct"/>
          <w:trHeight w:val="20"/>
        </w:trPr>
        <w:tc>
          <w:tcPr>
            <w:tcW w:w="834" w:type="pct"/>
            <w:tcBorders>
              <w:top w:val="single" w:sz="4" w:space="0" w:color="auto"/>
              <w:left w:val="single" w:sz="4" w:space="0" w:color="auto"/>
              <w:bottom w:val="single" w:sz="4" w:space="0" w:color="auto"/>
              <w:right w:val="single" w:sz="4" w:space="0" w:color="auto"/>
            </w:tcBorders>
            <w:hideMark/>
          </w:tcPr>
          <w:p w:rsidR="00FB6660" w:rsidRPr="00E60F06" w:rsidRDefault="00FB6660" w:rsidP="00542C2D">
            <w:pPr>
              <w:snapToGrid w:val="0"/>
              <w:spacing w:line="20" w:lineRule="atLeast"/>
              <w:rPr>
                <w:lang w:eastAsia="en-AU"/>
              </w:rPr>
            </w:pPr>
            <w:r w:rsidRPr="00E60F06">
              <w:rPr>
                <w:rFonts w:ascii="Arial Narrow" w:hAnsi="Arial Narrow"/>
                <w:sz w:val="20"/>
                <w:lang w:eastAsia="en-AU"/>
              </w:rPr>
              <w:t>Condition</w:t>
            </w:r>
          </w:p>
        </w:tc>
        <w:tc>
          <w:tcPr>
            <w:tcW w:w="4032" w:type="pct"/>
            <w:gridSpan w:val="8"/>
            <w:tcBorders>
              <w:top w:val="single" w:sz="4" w:space="0" w:color="auto"/>
              <w:left w:val="single" w:sz="4" w:space="0" w:color="auto"/>
              <w:bottom w:val="single" w:sz="4" w:space="0" w:color="auto"/>
              <w:right w:val="single" w:sz="4" w:space="0" w:color="auto"/>
            </w:tcBorders>
          </w:tcPr>
          <w:p w:rsidR="00FB6660" w:rsidRPr="00E60F06" w:rsidRDefault="00FB6660" w:rsidP="00542C2D">
            <w:pPr>
              <w:snapToGrid w:val="0"/>
              <w:spacing w:line="20" w:lineRule="atLeast"/>
              <w:rPr>
                <w:lang w:eastAsia="en-AU"/>
              </w:rPr>
            </w:pPr>
            <w:r w:rsidRPr="00E60F06">
              <w:rPr>
                <w:rFonts w:ascii="Arial Narrow" w:hAnsi="Arial Narrow"/>
                <w:sz w:val="20"/>
              </w:rPr>
              <w:t>Malignant melanoma</w:t>
            </w:r>
          </w:p>
        </w:tc>
      </w:tr>
      <w:tr w:rsidR="00D13A70" w:rsidRPr="00E60F06" w:rsidTr="00505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4" w:type="pct"/>
          <w:trHeight w:val="20"/>
        </w:trPr>
        <w:tc>
          <w:tcPr>
            <w:tcW w:w="834" w:type="pct"/>
            <w:tcBorders>
              <w:top w:val="single" w:sz="4" w:space="0" w:color="auto"/>
              <w:left w:val="single" w:sz="4" w:space="0" w:color="auto"/>
              <w:bottom w:val="single" w:sz="4" w:space="0" w:color="auto"/>
              <w:right w:val="single" w:sz="4" w:space="0" w:color="auto"/>
            </w:tcBorders>
            <w:hideMark/>
          </w:tcPr>
          <w:p w:rsidR="00D13A70" w:rsidRPr="00E60F06" w:rsidRDefault="00D13A70" w:rsidP="00542C2D">
            <w:pPr>
              <w:snapToGrid w:val="0"/>
              <w:spacing w:line="20" w:lineRule="atLeast"/>
              <w:rPr>
                <w:lang w:eastAsia="en-AU"/>
              </w:rPr>
            </w:pPr>
            <w:r w:rsidRPr="00E60F06">
              <w:rPr>
                <w:rFonts w:ascii="Arial Narrow" w:hAnsi="Arial Narrow"/>
                <w:sz w:val="20"/>
                <w:lang w:eastAsia="en-AU"/>
              </w:rPr>
              <w:t>Clinical criteria</w:t>
            </w:r>
          </w:p>
        </w:tc>
        <w:tc>
          <w:tcPr>
            <w:tcW w:w="4032" w:type="pct"/>
            <w:gridSpan w:val="8"/>
            <w:tcBorders>
              <w:top w:val="single" w:sz="4" w:space="0" w:color="auto"/>
              <w:left w:val="single" w:sz="4" w:space="0" w:color="auto"/>
              <w:bottom w:val="single" w:sz="4" w:space="0" w:color="auto"/>
              <w:right w:val="single" w:sz="4" w:space="0" w:color="auto"/>
            </w:tcBorders>
          </w:tcPr>
          <w:p w:rsidR="00D13A70" w:rsidRPr="00E60F06" w:rsidRDefault="00D13A70" w:rsidP="00E739C8">
            <w:pPr>
              <w:snapToGrid w:val="0"/>
              <w:spacing w:line="20" w:lineRule="atLeast"/>
              <w:rPr>
                <w:rFonts w:ascii="Arial Narrow" w:hAnsi="Arial Narrow"/>
                <w:b/>
                <w:sz w:val="20"/>
                <w:lang w:eastAsia="en-AU"/>
              </w:rPr>
            </w:pPr>
            <w:r w:rsidRPr="00E60F06">
              <w:rPr>
                <w:rFonts w:ascii="Arial Narrow" w:hAnsi="Arial Narrow"/>
                <w:b/>
                <w:sz w:val="20"/>
                <w:lang w:eastAsia="en-AU"/>
              </w:rPr>
              <w:t>BRAF V600 mutation negative</w:t>
            </w:r>
          </w:p>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Treatment must be the sole PBS-subsidised therapy for this condition</w:t>
            </w:r>
          </w:p>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AND</w:t>
            </w:r>
          </w:p>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Patient must be negative for a BRAF V600 mutation</w:t>
            </w:r>
          </w:p>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AND</w:t>
            </w:r>
          </w:p>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The condition must be previously untreated</w:t>
            </w:r>
          </w:p>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AND</w:t>
            </w:r>
          </w:p>
          <w:p w:rsidR="00D13A70" w:rsidRPr="00E60F06" w:rsidRDefault="00D13A70" w:rsidP="005056F4">
            <w:pPr>
              <w:snapToGrid w:val="0"/>
              <w:spacing w:line="20" w:lineRule="atLeast"/>
              <w:rPr>
                <w:lang w:eastAsia="en-AU"/>
              </w:rPr>
            </w:pPr>
            <w:r w:rsidRPr="00E60F06">
              <w:rPr>
                <w:rFonts w:ascii="Arial Narrow" w:hAnsi="Arial Narrow"/>
                <w:sz w:val="20"/>
              </w:rPr>
              <w:t xml:space="preserve">The treatment must not exceed a total of 6 doses at a maximum </w:t>
            </w:r>
            <w:r w:rsidR="005056F4" w:rsidRPr="00E60F06">
              <w:rPr>
                <w:rFonts w:ascii="Arial Narrow" w:hAnsi="Arial Narrow"/>
                <w:sz w:val="20"/>
              </w:rPr>
              <w:t xml:space="preserve">dose </w:t>
            </w:r>
            <w:r w:rsidRPr="00E60F06">
              <w:rPr>
                <w:rFonts w:ascii="Arial Narrow" w:hAnsi="Arial Narrow"/>
                <w:sz w:val="20"/>
              </w:rPr>
              <w:t xml:space="preserve">of </w:t>
            </w:r>
            <w:r w:rsidR="00502545" w:rsidRPr="00E60F06">
              <w:rPr>
                <w:rFonts w:ascii="Arial Narrow" w:hAnsi="Arial Narrow"/>
                <w:sz w:val="20"/>
              </w:rPr>
              <w:t>2</w:t>
            </w:r>
            <w:r w:rsidR="005056F4" w:rsidRPr="00E60F06">
              <w:rPr>
                <w:rFonts w:ascii="Arial Narrow" w:hAnsi="Arial Narrow"/>
                <w:sz w:val="20"/>
              </w:rPr>
              <w:t> </w:t>
            </w:r>
            <w:r w:rsidR="00502545" w:rsidRPr="00E60F06">
              <w:rPr>
                <w:rFonts w:ascii="Arial Narrow" w:hAnsi="Arial Narrow"/>
                <w:sz w:val="20"/>
              </w:rPr>
              <w:t>mg</w:t>
            </w:r>
            <w:r w:rsidRPr="00E60F06">
              <w:rPr>
                <w:rFonts w:ascii="Arial Narrow" w:hAnsi="Arial Narrow"/>
                <w:sz w:val="20"/>
              </w:rPr>
              <w:t>/kg every 3 weeks</w:t>
            </w:r>
            <w:r w:rsidR="005056F4" w:rsidRPr="00E60F06">
              <w:rPr>
                <w:rFonts w:ascii="Arial Narrow" w:hAnsi="Arial Narrow"/>
                <w:sz w:val="20"/>
              </w:rPr>
              <w:t>.</w:t>
            </w:r>
          </w:p>
        </w:tc>
      </w:tr>
      <w:tr w:rsidR="00D13A70" w:rsidRPr="00E60F06" w:rsidTr="00505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4" w:type="pct"/>
          <w:trHeight w:val="20"/>
        </w:trPr>
        <w:tc>
          <w:tcPr>
            <w:tcW w:w="834" w:type="pct"/>
            <w:tcBorders>
              <w:top w:val="single" w:sz="4" w:space="0" w:color="auto"/>
              <w:left w:val="single" w:sz="4" w:space="0" w:color="auto"/>
              <w:bottom w:val="single" w:sz="4" w:space="0" w:color="auto"/>
              <w:right w:val="single" w:sz="4" w:space="0" w:color="auto"/>
            </w:tcBorders>
          </w:tcPr>
          <w:p w:rsidR="00D13A70" w:rsidRPr="00E60F06" w:rsidRDefault="00D13A70" w:rsidP="00542C2D">
            <w:pPr>
              <w:snapToGrid w:val="0"/>
              <w:spacing w:line="20" w:lineRule="atLeast"/>
              <w:rPr>
                <w:rFonts w:ascii="Arial Narrow" w:hAnsi="Arial Narrow"/>
                <w:sz w:val="20"/>
                <w:lang w:eastAsia="en-AU"/>
              </w:rPr>
            </w:pPr>
            <w:r w:rsidRPr="00E60F06">
              <w:rPr>
                <w:rFonts w:ascii="Arial Narrow" w:hAnsi="Arial Narrow"/>
                <w:sz w:val="20"/>
                <w:lang w:eastAsia="en-AU"/>
              </w:rPr>
              <w:t>Clinical criteria</w:t>
            </w:r>
          </w:p>
        </w:tc>
        <w:tc>
          <w:tcPr>
            <w:tcW w:w="4032" w:type="pct"/>
            <w:gridSpan w:val="8"/>
            <w:tcBorders>
              <w:top w:val="single" w:sz="4" w:space="0" w:color="auto"/>
              <w:left w:val="single" w:sz="4" w:space="0" w:color="auto"/>
              <w:bottom w:val="single" w:sz="4" w:space="0" w:color="auto"/>
              <w:right w:val="single" w:sz="4" w:space="0" w:color="auto"/>
            </w:tcBorders>
          </w:tcPr>
          <w:p w:rsidR="00D13A70" w:rsidRPr="00E60F06" w:rsidRDefault="00D13A70" w:rsidP="00E739C8">
            <w:pPr>
              <w:snapToGrid w:val="0"/>
              <w:spacing w:line="20" w:lineRule="atLeast"/>
              <w:rPr>
                <w:rFonts w:ascii="Arial Narrow" w:hAnsi="Arial Narrow"/>
                <w:b/>
                <w:sz w:val="20"/>
              </w:rPr>
            </w:pPr>
            <w:r w:rsidRPr="00E60F06">
              <w:rPr>
                <w:rFonts w:ascii="Arial Narrow" w:hAnsi="Arial Narrow"/>
                <w:b/>
                <w:sz w:val="20"/>
              </w:rPr>
              <w:t>BRAF V600 mutation positive</w:t>
            </w:r>
          </w:p>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Treatment must be the sole PBS-subsidised therapy for this condition</w:t>
            </w:r>
          </w:p>
          <w:p w:rsidR="00D13A70" w:rsidRPr="00E60F06" w:rsidRDefault="00D13A70" w:rsidP="00E739C8">
            <w:pPr>
              <w:snapToGrid w:val="0"/>
              <w:spacing w:line="20" w:lineRule="atLeast"/>
              <w:rPr>
                <w:rFonts w:ascii="Arial Narrow" w:hAnsi="Arial Narrow"/>
                <w:sz w:val="20"/>
                <w:lang w:eastAsia="en-AU"/>
              </w:rPr>
            </w:pPr>
            <w:r w:rsidRPr="00E60F06">
              <w:rPr>
                <w:rFonts w:ascii="Arial Narrow" w:hAnsi="Arial Narrow"/>
                <w:sz w:val="20"/>
                <w:lang w:eastAsia="en-AU"/>
              </w:rPr>
              <w:t>AND</w:t>
            </w:r>
          </w:p>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The condition must be positive for a BRAF V600 mutation</w:t>
            </w:r>
          </w:p>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AND</w:t>
            </w:r>
          </w:p>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Patient must have progressed following treatment with a BRAF inhibitor (with or without a MEK inhibitor); OR treatment with a BRAF inhibitor is contraindicated or not tolerated according to the TGA approved Product Information</w:t>
            </w:r>
          </w:p>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AND</w:t>
            </w:r>
          </w:p>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The condition must be previously untreated with ipilimumab</w:t>
            </w:r>
          </w:p>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AND</w:t>
            </w:r>
          </w:p>
          <w:p w:rsidR="00D13A70" w:rsidRPr="00E60F06" w:rsidRDefault="00D13A70" w:rsidP="00542C2D">
            <w:pPr>
              <w:adjustRightInd w:val="0"/>
              <w:spacing w:line="20" w:lineRule="atLeast"/>
              <w:rPr>
                <w:color w:val="000000"/>
                <w:szCs w:val="24"/>
                <w:lang w:eastAsia="en-AU"/>
              </w:rPr>
            </w:pPr>
            <w:r w:rsidRPr="00E60F06">
              <w:rPr>
                <w:rFonts w:ascii="Arial Narrow" w:hAnsi="Arial Narrow"/>
                <w:sz w:val="20"/>
              </w:rPr>
              <w:lastRenderedPageBreak/>
              <w:t xml:space="preserve">The treatment must not exceed a total of 6 doses at a maximum dose of </w:t>
            </w:r>
            <w:r w:rsidR="005056F4" w:rsidRPr="00E60F06">
              <w:rPr>
                <w:rFonts w:ascii="Arial Narrow" w:hAnsi="Arial Narrow"/>
                <w:sz w:val="20"/>
              </w:rPr>
              <w:t>2 </w:t>
            </w:r>
            <w:r w:rsidR="00502545" w:rsidRPr="00E60F06">
              <w:rPr>
                <w:rFonts w:ascii="Arial Narrow" w:hAnsi="Arial Narrow"/>
                <w:sz w:val="20"/>
              </w:rPr>
              <w:t>mg</w:t>
            </w:r>
            <w:r w:rsidRPr="00E60F06">
              <w:rPr>
                <w:rFonts w:ascii="Arial Narrow" w:hAnsi="Arial Narrow"/>
                <w:sz w:val="20"/>
              </w:rPr>
              <w:t>/kg every 3 weeks.</w:t>
            </w:r>
          </w:p>
        </w:tc>
      </w:tr>
      <w:tr w:rsidR="00D13A70" w:rsidRPr="00E60F06" w:rsidTr="00505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4" w:type="pct"/>
          <w:trHeight w:val="20"/>
        </w:trPr>
        <w:tc>
          <w:tcPr>
            <w:tcW w:w="834" w:type="pct"/>
            <w:tcBorders>
              <w:top w:val="single" w:sz="4" w:space="0" w:color="auto"/>
              <w:left w:val="single" w:sz="4" w:space="0" w:color="auto"/>
              <w:bottom w:val="single" w:sz="4" w:space="0" w:color="auto"/>
              <w:right w:val="single" w:sz="4" w:space="0" w:color="auto"/>
            </w:tcBorders>
            <w:hideMark/>
          </w:tcPr>
          <w:p w:rsidR="00D13A70" w:rsidRPr="00E60F06" w:rsidRDefault="00D13A70" w:rsidP="00542C2D">
            <w:pPr>
              <w:snapToGrid w:val="0"/>
              <w:spacing w:line="20" w:lineRule="atLeast"/>
              <w:rPr>
                <w:lang w:eastAsia="en-AU"/>
              </w:rPr>
            </w:pPr>
            <w:r w:rsidRPr="00E60F06">
              <w:rPr>
                <w:rFonts w:ascii="Arial Narrow" w:hAnsi="Arial Narrow"/>
                <w:sz w:val="20"/>
                <w:lang w:eastAsia="en-AU"/>
              </w:rPr>
              <w:lastRenderedPageBreak/>
              <w:t>Administrative advice</w:t>
            </w:r>
          </w:p>
        </w:tc>
        <w:tc>
          <w:tcPr>
            <w:tcW w:w="4032" w:type="pct"/>
            <w:gridSpan w:val="8"/>
            <w:tcBorders>
              <w:top w:val="single" w:sz="4" w:space="0" w:color="auto"/>
              <w:left w:val="single" w:sz="4" w:space="0" w:color="auto"/>
              <w:bottom w:val="single" w:sz="4" w:space="0" w:color="auto"/>
              <w:right w:val="single" w:sz="4" w:space="0" w:color="auto"/>
            </w:tcBorders>
          </w:tcPr>
          <w:p w:rsidR="00D13A70" w:rsidRPr="00E60F06" w:rsidRDefault="00D13A70" w:rsidP="00D13A70">
            <w:pPr>
              <w:adjustRightInd w:val="0"/>
              <w:spacing w:line="20" w:lineRule="atLeast"/>
              <w:rPr>
                <w:rFonts w:ascii="Arial Narrow" w:hAnsi="Arial Narrow"/>
                <w:sz w:val="20"/>
              </w:rPr>
            </w:pPr>
            <w:r w:rsidRPr="00E60F06">
              <w:rPr>
                <w:rFonts w:ascii="Arial Narrow" w:hAnsi="Arial Narrow"/>
                <w:sz w:val="20"/>
              </w:rPr>
              <w:t>Note: in the first few months after start of immunotherapy, some patients can have a transient tumour flare with subsequent disease response.</w:t>
            </w:r>
            <w:r w:rsidR="005056F4" w:rsidRPr="00E60F06">
              <w:rPr>
                <w:rFonts w:ascii="Arial Narrow" w:hAnsi="Arial Narrow"/>
                <w:sz w:val="20"/>
              </w:rPr>
              <w:t xml:space="preserve"> </w:t>
            </w:r>
            <w:r w:rsidRPr="00E60F06">
              <w:rPr>
                <w:rFonts w:ascii="Arial Narrow" w:hAnsi="Arial Narrow"/>
                <w:sz w:val="20"/>
              </w:rPr>
              <w:t>When progression is suspected, this should be confirmed through a confirmatory scan, taken at least 4 weeks later.</w:t>
            </w:r>
          </w:p>
          <w:p w:rsidR="00D13A70" w:rsidRPr="00E60F06" w:rsidRDefault="00D13A70" w:rsidP="00D13A70">
            <w:pPr>
              <w:adjustRightInd w:val="0"/>
              <w:spacing w:line="20" w:lineRule="atLeast"/>
              <w:rPr>
                <w:color w:val="000000"/>
                <w:szCs w:val="24"/>
                <w:lang w:eastAsia="en-AU"/>
              </w:rPr>
            </w:pPr>
            <w:r w:rsidRPr="00E60F06">
              <w:rPr>
                <w:rFonts w:ascii="Arial Narrow" w:hAnsi="Arial Narrow"/>
                <w:sz w:val="20"/>
              </w:rPr>
              <w:t>No increase in the maximum number of repeats may be authorised.</w:t>
            </w:r>
          </w:p>
        </w:tc>
      </w:tr>
      <w:tr w:rsidR="00D13A70" w:rsidRPr="00E60F06" w:rsidTr="00505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4" w:type="pct"/>
          <w:trHeight w:val="20"/>
        </w:trPr>
        <w:tc>
          <w:tcPr>
            <w:tcW w:w="4866" w:type="pct"/>
            <w:gridSpan w:val="9"/>
            <w:tcBorders>
              <w:top w:val="single" w:sz="4" w:space="0" w:color="auto"/>
              <w:left w:val="single" w:sz="4" w:space="0" w:color="auto"/>
              <w:bottom w:val="single" w:sz="4" w:space="0" w:color="auto"/>
              <w:right w:val="single" w:sz="4" w:space="0" w:color="auto"/>
            </w:tcBorders>
            <w:vAlign w:val="center"/>
            <w:hideMark/>
          </w:tcPr>
          <w:p w:rsidR="00D13A70" w:rsidRPr="00E60F06" w:rsidRDefault="00D13A70" w:rsidP="00542C2D">
            <w:pPr>
              <w:snapToGrid w:val="0"/>
              <w:spacing w:line="20" w:lineRule="atLeast"/>
              <w:rPr>
                <w:lang w:eastAsia="en-AU"/>
              </w:rPr>
            </w:pPr>
            <w:r w:rsidRPr="00E60F06">
              <w:rPr>
                <w:rFonts w:ascii="Arial Narrow" w:hAnsi="Arial Narrow"/>
                <w:b/>
                <w:bCs/>
                <w:sz w:val="20"/>
                <w:lang w:eastAsia="en-AU"/>
              </w:rPr>
              <w:t>Treatment phase: Continuing</w:t>
            </w:r>
          </w:p>
        </w:tc>
      </w:tr>
      <w:tr w:rsidR="00D13A70" w:rsidRPr="00E60F06" w:rsidTr="002E0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4" w:type="pct"/>
          <w:trHeight w:val="20"/>
        </w:trPr>
        <w:tc>
          <w:tcPr>
            <w:tcW w:w="834" w:type="pct"/>
            <w:tcBorders>
              <w:top w:val="single" w:sz="4" w:space="0" w:color="auto"/>
              <w:left w:val="single" w:sz="4" w:space="0" w:color="auto"/>
              <w:bottom w:val="single" w:sz="4" w:space="0" w:color="auto"/>
              <w:right w:val="single" w:sz="4" w:space="0" w:color="auto"/>
            </w:tcBorders>
            <w:hideMark/>
          </w:tcPr>
          <w:p w:rsidR="00D13A70" w:rsidRPr="00E60F06" w:rsidRDefault="00D13A70" w:rsidP="00542C2D">
            <w:pPr>
              <w:snapToGrid w:val="0"/>
              <w:spacing w:line="20" w:lineRule="atLeast"/>
              <w:rPr>
                <w:lang w:eastAsia="en-AU"/>
              </w:rPr>
            </w:pPr>
            <w:r w:rsidRPr="00E60F06">
              <w:rPr>
                <w:rFonts w:ascii="Arial Narrow" w:hAnsi="Arial Narrow"/>
                <w:sz w:val="20"/>
                <w:lang w:eastAsia="en-AU"/>
              </w:rPr>
              <w:t>Severity</w:t>
            </w:r>
          </w:p>
        </w:tc>
        <w:tc>
          <w:tcPr>
            <w:tcW w:w="4032" w:type="pct"/>
            <w:gridSpan w:val="8"/>
            <w:tcBorders>
              <w:top w:val="single" w:sz="4" w:space="0" w:color="auto"/>
              <w:left w:val="single" w:sz="4" w:space="0" w:color="auto"/>
              <w:bottom w:val="single" w:sz="4" w:space="0" w:color="auto"/>
              <w:right w:val="single" w:sz="4" w:space="0" w:color="auto"/>
            </w:tcBorders>
          </w:tcPr>
          <w:p w:rsidR="00D13A70" w:rsidRPr="00E60F06" w:rsidRDefault="00D13A70" w:rsidP="00542C2D">
            <w:pPr>
              <w:snapToGrid w:val="0"/>
              <w:spacing w:line="20" w:lineRule="atLeast"/>
              <w:rPr>
                <w:lang w:eastAsia="en-AU"/>
              </w:rPr>
            </w:pPr>
            <w:r w:rsidRPr="00E60F06">
              <w:rPr>
                <w:rFonts w:ascii="Arial Narrow" w:hAnsi="Arial Narrow"/>
                <w:sz w:val="20"/>
              </w:rPr>
              <w:t>Unresectable Stage III or Stage IV</w:t>
            </w:r>
          </w:p>
        </w:tc>
      </w:tr>
      <w:tr w:rsidR="00D13A70" w:rsidRPr="00E60F06" w:rsidTr="002E0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4" w:type="pct"/>
          <w:trHeight w:val="20"/>
        </w:trPr>
        <w:tc>
          <w:tcPr>
            <w:tcW w:w="834" w:type="pct"/>
            <w:tcBorders>
              <w:top w:val="single" w:sz="4" w:space="0" w:color="auto"/>
              <w:left w:val="single" w:sz="4" w:space="0" w:color="auto"/>
              <w:bottom w:val="single" w:sz="4" w:space="0" w:color="auto"/>
              <w:right w:val="single" w:sz="4" w:space="0" w:color="auto"/>
            </w:tcBorders>
            <w:hideMark/>
          </w:tcPr>
          <w:p w:rsidR="00D13A70" w:rsidRPr="00E60F06" w:rsidRDefault="00D13A70" w:rsidP="00542C2D">
            <w:pPr>
              <w:snapToGrid w:val="0"/>
              <w:spacing w:line="20" w:lineRule="atLeast"/>
              <w:rPr>
                <w:lang w:eastAsia="en-AU"/>
              </w:rPr>
            </w:pPr>
            <w:r w:rsidRPr="00E60F06">
              <w:rPr>
                <w:rFonts w:ascii="Arial Narrow" w:hAnsi="Arial Narrow"/>
                <w:sz w:val="20"/>
                <w:lang w:eastAsia="en-AU"/>
              </w:rPr>
              <w:t>Condition</w:t>
            </w:r>
          </w:p>
        </w:tc>
        <w:tc>
          <w:tcPr>
            <w:tcW w:w="4032" w:type="pct"/>
            <w:gridSpan w:val="8"/>
            <w:tcBorders>
              <w:top w:val="single" w:sz="4" w:space="0" w:color="auto"/>
              <w:left w:val="single" w:sz="4" w:space="0" w:color="auto"/>
              <w:bottom w:val="single" w:sz="4" w:space="0" w:color="auto"/>
              <w:right w:val="single" w:sz="4" w:space="0" w:color="auto"/>
            </w:tcBorders>
          </w:tcPr>
          <w:p w:rsidR="00D13A70" w:rsidRPr="00E60F06" w:rsidRDefault="00D13A70" w:rsidP="00542C2D">
            <w:pPr>
              <w:snapToGrid w:val="0"/>
              <w:spacing w:line="20" w:lineRule="atLeast"/>
              <w:rPr>
                <w:lang w:eastAsia="en-AU"/>
              </w:rPr>
            </w:pPr>
            <w:r w:rsidRPr="00E60F06">
              <w:rPr>
                <w:rFonts w:ascii="Arial Narrow" w:hAnsi="Arial Narrow"/>
                <w:sz w:val="20"/>
              </w:rPr>
              <w:t>Malignant melanoma</w:t>
            </w:r>
          </w:p>
        </w:tc>
      </w:tr>
      <w:tr w:rsidR="00D13A70" w:rsidRPr="00E60F06" w:rsidTr="002E0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4" w:type="pct"/>
          <w:trHeight w:val="20"/>
        </w:trPr>
        <w:tc>
          <w:tcPr>
            <w:tcW w:w="834" w:type="pct"/>
            <w:tcBorders>
              <w:top w:val="single" w:sz="4" w:space="0" w:color="auto"/>
              <w:left w:val="single" w:sz="4" w:space="0" w:color="auto"/>
              <w:bottom w:val="single" w:sz="4" w:space="0" w:color="auto"/>
              <w:right w:val="single" w:sz="4" w:space="0" w:color="auto"/>
            </w:tcBorders>
            <w:hideMark/>
          </w:tcPr>
          <w:p w:rsidR="00D13A70" w:rsidRPr="00E60F06" w:rsidRDefault="00D13A70" w:rsidP="00542C2D">
            <w:pPr>
              <w:snapToGrid w:val="0"/>
              <w:spacing w:line="20" w:lineRule="atLeast"/>
              <w:rPr>
                <w:lang w:eastAsia="en-AU"/>
              </w:rPr>
            </w:pPr>
            <w:r w:rsidRPr="00E60F06">
              <w:rPr>
                <w:rFonts w:ascii="Arial Narrow" w:hAnsi="Arial Narrow"/>
                <w:sz w:val="20"/>
                <w:lang w:eastAsia="en-AU"/>
              </w:rPr>
              <w:t>Clinical criteria</w:t>
            </w:r>
          </w:p>
        </w:tc>
        <w:tc>
          <w:tcPr>
            <w:tcW w:w="4032" w:type="pct"/>
            <w:gridSpan w:val="8"/>
            <w:tcBorders>
              <w:top w:val="single" w:sz="4" w:space="0" w:color="auto"/>
              <w:left w:val="single" w:sz="4" w:space="0" w:color="auto"/>
              <w:bottom w:val="single" w:sz="4" w:space="0" w:color="auto"/>
              <w:right w:val="single" w:sz="4" w:space="0" w:color="auto"/>
            </w:tcBorders>
          </w:tcPr>
          <w:p w:rsidR="00D13A70" w:rsidRPr="00E60F06" w:rsidRDefault="00D13A70" w:rsidP="00E739C8">
            <w:pPr>
              <w:snapToGrid w:val="0"/>
              <w:spacing w:line="20" w:lineRule="atLeast"/>
              <w:rPr>
                <w:rFonts w:ascii="Arial Narrow" w:hAnsi="Arial Narrow"/>
                <w:sz w:val="20"/>
              </w:rPr>
            </w:pPr>
            <w:r w:rsidRPr="00E60F06">
              <w:rPr>
                <w:rFonts w:ascii="Arial Narrow" w:hAnsi="Arial Narrow"/>
                <w:sz w:val="20"/>
              </w:rPr>
              <w:t>Treatment must be the sole PBS-subsidised therapy for this condition</w:t>
            </w:r>
          </w:p>
          <w:p w:rsidR="00D13A70" w:rsidRPr="00E60F06" w:rsidRDefault="00D13A70" w:rsidP="00E739C8">
            <w:pPr>
              <w:adjustRightInd w:val="0"/>
              <w:spacing w:line="20" w:lineRule="atLeast"/>
              <w:rPr>
                <w:rFonts w:ascii="Arial Narrow" w:hAnsi="Arial Narrow"/>
                <w:sz w:val="20"/>
                <w:lang w:eastAsia="en-AU"/>
              </w:rPr>
            </w:pPr>
            <w:r w:rsidRPr="00E60F06">
              <w:rPr>
                <w:rFonts w:ascii="Arial Narrow" w:hAnsi="Arial Narrow"/>
                <w:sz w:val="20"/>
                <w:lang w:eastAsia="en-AU"/>
              </w:rPr>
              <w:t>AND</w:t>
            </w:r>
          </w:p>
          <w:p w:rsidR="00D13A70" w:rsidRPr="00E60F06" w:rsidRDefault="00D13A70" w:rsidP="00E739C8">
            <w:pPr>
              <w:adjustRightInd w:val="0"/>
              <w:spacing w:line="20" w:lineRule="atLeast"/>
              <w:rPr>
                <w:rFonts w:ascii="Arial Narrow" w:hAnsi="Arial Narrow"/>
                <w:sz w:val="20"/>
              </w:rPr>
            </w:pPr>
            <w:r w:rsidRPr="00E60F06">
              <w:rPr>
                <w:rFonts w:ascii="Arial Narrow" w:hAnsi="Arial Narrow"/>
                <w:sz w:val="20"/>
              </w:rPr>
              <w:t>Patient must have previously been issued with an authority prescription for this drug</w:t>
            </w:r>
          </w:p>
          <w:p w:rsidR="00D13A70" w:rsidRPr="00E60F06" w:rsidRDefault="00D13A70" w:rsidP="00E739C8">
            <w:pPr>
              <w:adjustRightInd w:val="0"/>
              <w:spacing w:line="20" w:lineRule="atLeast"/>
              <w:rPr>
                <w:rFonts w:ascii="Arial Narrow" w:hAnsi="Arial Narrow"/>
                <w:sz w:val="20"/>
              </w:rPr>
            </w:pPr>
            <w:r w:rsidRPr="00E60F06">
              <w:rPr>
                <w:rFonts w:ascii="Arial Narrow" w:hAnsi="Arial Narrow"/>
                <w:sz w:val="20"/>
              </w:rPr>
              <w:t>AND</w:t>
            </w:r>
          </w:p>
          <w:p w:rsidR="00D13A70" w:rsidRPr="00E60F06" w:rsidRDefault="00D13A70" w:rsidP="00E739C8">
            <w:pPr>
              <w:adjustRightInd w:val="0"/>
              <w:spacing w:line="20" w:lineRule="atLeast"/>
              <w:rPr>
                <w:rFonts w:ascii="Arial Narrow" w:hAnsi="Arial Narrow"/>
                <w:sz w:val="20"/>
              </w:rPr>
            </w:pPr>
            <w:r w:rsidRPr="00E60F06">
              <w:rPr>
                <w:rFonts w:ascii="Arial Narrow" w:hAnsi="Arial Narrow"/>
                <w:sz w:val="20"/>
              </w:rPr>
              <w:t>Patient must have stable or responding disease</w:t>
            </w:r>
          </w:p>
          <w:p w:rsidR="00D13A70" w:rsidRPr="00E60F06" w:rsidRDefault="00D13A70" w:rsidP="00E739C8">
            <w:pPr>
              <w:adjustRightInd w:val="0"/>
              <w:spacing w:line="20" w:lineRule="atLeast"/>
              <w:rPr>
                <w:rFonts w:ascii="Arial Narrow" w:hAnsi="Arial Narrow"/>
                <w:sz w:val="20"/>
              </w:rPr>
            </w:pPr>
            <w:r w:rsidRPr="00E60F06">
              <w:rPr>
                <w:rFonts w:ascii="Arial Narrow" w:hAnsi="Arial Narrow"/>
                <w:sz w:val="20"/>
              </w:rPr>
              <w:t>AND</w:t>
            </w:r>
          </w:p>
          <w:p w:rsidR="00D13A70" w:rsidRPr="00E60F06" w:rsidRDefault="00D13A70" w:rsidP="005056F4">
            <w:pPr>
              <w:snapToGrid w:val="0"/>
              <w:spacing w:line="20" w:lineRule="atLeast"/>
              <w:rPr>
                <w:lang w:eastAsia="en-AU"/>
              </w:rPr>
            </w:pPr>
            <w:r w:rsidRPr="00E60F06">
              <w:rPr>
                <w:rFonts w:ascii="Arial Narrow" w:hAnsi="Arial Narrow"/>
                <w:sz w:val="20"/>
              </w:rPr>
              <w:t xml:space="preserve">The treatment must not exceed a maximum dose of </w:t>
            </w:r>
            <w:r w:rsidR="00502545" w:rsidRPr="00E60F06">
              <w:rPr>
                <w:rFonts w:ascii="Arial Narrow" w:hAnsi="Arial Narrow"/>
                <w:sz w:val="20"/>
              </w:rPr>
              <w:t>2</w:t>
            </w:r>
            <w:r w:rsidR="005056F4" w:rsidRPr="00E60F06">
              <w:rPr>
                <w:rFonts w:ascii="Arial Narrow" w:hAnsi="Arial Narrow"/>
                <w:sz w:val="20"/>
              </w:rPr>
              <w:t> </w:t>
            </w:r>
            <w:r w:rsidR="00502545" w:rsidRPr="00E60F06">
              <w:rPr>
                <w:rFonts w:ascii="Arial Narrow" w:hAnsi="Arial Narrow"/>
                <w:sz w:val="20"/>
              </w:rPr>
              <w:t>mg</w:t>
            </w:r>
            <w:r w:rsidRPr="00E60F06">
              <w:rPr>
                <w:rFonts w:ascii="Arial Narrow" w:hAnsi="Arial Narrow"/>
                <w:sz w:val="20"/>
              </w:rPr>
              <w:t>/kg every 3 weeks.</w:t>
            </w:r>
          </w:p>
        </w:tc>
      </w:tr>
      <w:tr w:rsidR="00D13A70" w:rsidRPr="00E60F06" w:rsidTr="002E0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4" w:type="pct"/>
          <w:trHeight w:val="20"/>
        </w:trPr>
        <w:tc>
          <w:tcPr>
            <w:tcW w:w="834" w:type="pct"/>
            <w:tcBorders>
              <w:top w:val="single" w:sz="4" w:space="0" w:color="auto"/>
              <w:left w:val="single" w:sz="4" w:space="0" w:color="auto"/>
              <w:bottom w:val="single" w:sz="4" w:space="0" w:color="auto"/>
              <w:right w:val="single" w:sz="4" w:space="0" w:color="auto"/>
            </w:tcBorders>
            <w:hideMark/>
          </w:tcPr>
          <w:p w:rsidR="00D13A70" w:rsidRPr="00E60F06" w:rsidRDefault="00D13A70" w:rsidP="00542C2D">
            <w:pPr>
              <w:snapToGrid w:val="0"/>
              <w:spacing w:line="20" w:lineRule="atLeast"/>
              <w:rPr>
                <w:lang w:eastAsia="en-AU"/>
              </w:rPr>
            </w:pPr>
            <w:r w:rsidRPr="00E60F06">
              <w:rPr>
                <w:rFonts w:ascii="Arial Narrow" w:hAnsi="Arial Narrow"/>
                <w:sz w:val="20"/>
                <w:lang w:eastAsia="en-AU"/>
              </w:rPr>
              <w:t>Administrative advice</w:t>
            </w:r>
          </w:p>
        </w:tc>
        <w:tc>
          <w:tcPr>
            <w:tcW w:w="4032" w:type="pct"/>
            <w:gridSpan w:val="8"/>
            <w:tcBorders>
              <w:top w:val="single" w:sz="4" w:space="0" w:color="auto"/>
              <w:left w:val="single" w:sz="4" w:space="0" w:color="auto"/>
              <w:bottom w:val="single" w:sz="4" w:space="0" w:color="auto"/>
              <w:right w:val="single" w:sz="4" w:space="0" w:color="auto"/>
            </w:tcBorders>
          </w:tcPr>
          <w:p w:rsidR="00D13A70" w:rsidRPr="00E60F06" w:rsidRDefault="00D13A70" w:rsidP="00542C2D">
            <w:pPr>
              <w:snapToGrid w:val="0"/>
              <w:spacing w:line="20" w:lineRule="atLeast"/>
              <w:rPr>
                <w:lang w:eastAsia="en-AU"/>
              </w:rPr>
            </w:pPr>
            <w:r w:rsidRPr="00E60F06">
              <w:rPr>
                <w:rFonts w:ascii="Arial Narrow" w:hAnsi="Arial Narrow"/>
                <w:sz w:val="20"/>
              </w:rPr>
              <w:t>No increase in the maximum number of repeats may be authorised.</w:t>
            </w:r>
          </w:p>
        </w:tc>
      </w:tr>
    </w:tbl>
    <w:p w:rsidR="00B60939" w:rsidRPr="00E60F06" w:rsidRDefault="00B60939" w:rsidP="004B1CB4"/>
    <w:p w:rsidR="00D13A70" w:rsidRPr="00E60F06" w:rsidRDefault="00D13A70" w:rsidP="00423721">
      <w:pPr>
        <w:pStyle w:val="ListParagraph"/>
        <w:widowControl/>
        <w:numPr>
          <w:ilvl w:val="1"/>
          <w:numId w:val="3"/>
        </w:numPr>
        <w:rPr>
          <w:szCs w:val="22"/>
        </w:rPr>
      </w:pPr>
      <w:r w:rsidRPr="00E60F06">
        <w:t>The requested effective price of pembrolizumab was altered during the evaluation to reflect changes to the way chemotherapy preparation fees are paid under the Section 100 Efficient Funding of Chemotherapy (EFC) arrangement under the 6th Community Pharmacy Agreement (CPA) which took effect on 1 July 2015.</w:t>
      </w:r>
    </w:p>
    <w:p w:rsidR="00D13A70" w:rsidRPr="00E60F06" w:rsidRDefault="00D13A70" w:rsidP="00D13A70">
      <w:pPr>
        <w:widowControl/>
        <w:rPr>
          <w:szCs w:val="22"/>
        </w:rPr>
      </w:pPr>
    </w:p>
    <w:p w:rsidR="000C2BCE" w:rsidRPr="00E60F06" w:rsidRDefault="00D13A70" w:rsidP="007560D7">
      <w:pPr>
        <w:pStyle w:val="ListParagraph"/>
        <w:widowControl/>
        <w:numPr>
          <w:ilvl w:val="1"/>
          <w:numId w:val="3"/>
        </w:numPr>
        <w:rPr>
          <w:szCs w:val="22"/>
        </w:rPr>
      </w:pPr>
      <w:r w:rsidRPr="00E60F06">
        <w:t>As the majority of chemotherapy preparations are compounded in settings where a $102.67 preparation fee applies, this fee was applied to calculation of the DPMA in the submission.  Using the updated preparation fee, the pembrolizumab DPMA cost per vial required to meet the $</w:t>
      </w:r>
      <w:r w:rsidR="00D31F97" w:rsidRPr="00E60F06">
        <w:t>45,000/QALY - $</w:t>
      </w:r>
      <w:r w:rsidR="006C0A30" w:rsidRPr="00E60F06">
        <w:t>75,000/QALY</w:t>
      </w:r>
      <w:r w:rsidRPr="00E60F06">
        <w:t xml:space="preserve"> ICER increase</w:t>
      </w:r>
      <w:r w:rsidR="00AF3A78" w:rsidRPr="00E60F06">
        <w:t>d</w:t>
      </w:r>
      <w:r w:rsidRPr="00E60F06">
        <w:t xml:space="preserve"> by a dollar to $</w:t>
      </w:r>
      <w:r w:rsidR="007F3403">
        <w:rPr>
          <w:noProof/>
          <w:color w:val="000000"/>
          <w:highlight w:val="black"/>
        </w:rPr>
        <w:t>'''''''''''''''''''''</w:t>
      </w:r>
      <w:r w:rsidRPr="00E60F06">
        <w:t>.  The ex-manufacturer price needed to produce this cost decrease</w:t>
      </w:r>
      <w:r w:rsidR="00AF3A78" w:rsidRPr="00E60F06">
        <w:t>d</w:t>
      </w:r>
      <w:r w:rsidRPr="00E60F06">
        <w:t xml:space="preserve"> by almost four dollars (to $</w:t>
      </w:r>
      <w:r w:rsidR="007F3403">
        <w:rPr>
          <w:noProof/>
          <w:color w:val="000000"/>
          <w:highlight w:val="black"/>
        </w:rPr>
        <w:t>'''''''''''''''''''''''</w:t>
      </w:r>
      <w:r w:rsidRPr="00E60F06">
        <w:t>) from the original requested AEMP of $</w:t>
      </w:r>
      <w:r w:rsidR="007F3403">
        <w:rPr>
          <w:noProof/>
          <w:color w:val="000000"/>
          <w:highlight w:val="black"/>
        </w:rPr>
        <w:t>''''''''''''''''''''</w:t>
      </w:r>
      <w:r w:rsidRPr="00E60F06">
        <w:t>.</w:t>
      </w:r>
      <w:r w:rsidR="008A14B9" w:rsidRPr="00E60F06">
        <w:t xml:space="preserve">  </w:t>
      </w:r>
      <w:r w:rsidRPr="00E60F06">
        <w:t xml:space="preserve">These revised costs </w:t>
      </w:r>
      <w:r w:rsidR="00AF3A78" w:rsidRPr="00E60F06">
        <w:t>were also</w:t>
      </w:r>
      <w:r w:rsidRPr="00E60F06">
        <w:t xml:space="preserve"> applied to the model and in Section E.</w:t>
      </w:r>
    </w:p>
    <w:p w:rsidR="004E43B2" w:rsidRPr="00E60F06" w:rsidRDefault="004E43B2" w:rsidP="004B1CB4"/>
    <w:p w:rsidR="00B50DB8" w:rsidRPr="00E60F06" w:rsidRDefault="00B50DB8" w:rsidP="00BD6CF3">
      <w:pPr>
        <w:pStyle w:val="PBACHeading1"/>
      </w:pPr>
      <w:bookmarkStart w:id="3" w:name="_Toc440982031"/>
      <w:r w:rsidRPr="00E60F06">
        <w:t>Background</w:t>
      </w:r>
      <w:bookmarkEnd w:id="3"/>
    </w:p>
    <w:p w:rsidR="00B60939" w:rsidRPr="00E60F06" w:rsidRDefault="00B60939" w:rsidP="00B60939">
      <w:pPr>
        <w:rPr>
          <w:szCs w:val="22"/>
        </w:rPr>
      </w:pPr>
    </w:p>
    <w:p w:rsidR="004959B6" w:rsidRPr="00E60F06" w:rsidRDefault="00AE632F" w:rsidP="00423721">
      <w:pPr>
        <w:pStyle w:val="ListParagraph"/>
        <w:widowControl/>
        <w:numPr>
          <w:ilvl w:val="1"/>
          <w:numId w:val="3"/>
        </w:numPr>
      </w:pPr>
      <w:r w:rsidRPr="00E60F06">
        <w:t>Pembrolizumab was registered by the TGA on 16 April 2015 as monotherapy for the treatment of unresectable or metastatic melanoma in adults.</w:t>
      </w:r>
    </w:p>
    <w:p w:rsidR="004959B6" w:rsidRPr="00E60F06" w:rsidRDefault="004959B6" w:rsidP="004959B6">
      <w:pPr>
        <w:widowControl/>
      </w:pPr>
    </w:p>
    <w:p w:rsidR="00B60939" w:rsidRPr="00E60F06" w:rsidRDefault="00536018" w:rsidP="00423721">
      <w:pPr>
        <w:pStyle w:val="ListParagraph"/>
        <w:widowControl/>
        <w:numPr>
          <w:ilvl w:val="1"/>
          <w:numId w:val="3"/>
        </w:numPr>
      </w:pPr>
      <w:r w:rsidRPr="00E60F06">
        <w:rPr>
          <w:szCs w:val="22"/>
        </w:rPr>
        <w:t>Pembrolizumab was previously considered by the PBAC in March 2015 and received a pos</w:t>
      </w:r>
      <w:r w:rsidR="00B54B72" w:rsidRPr="00E60F06">
        <w:rPr>
          <w:szCs w:val="22"/>
        </w:rPr>
        <w:t>itive recommendation for</w:t>
      </w:r>
      <w:r w:rsidR="00FD4E0B" w:rsidRPr="00E60F06">
        <w:rPr>
          <w:szCs w:val="22"/>
        </w:rPr>
        <w:t xml:space="preserve"> </w:t>
      </w:r>
      <w:r w:rsidRPr="00E60F06">
        <w:t>monotherapy treatment of unresectable or metastatic melanoma.</w:t>
      </w:r>
    </w:p>
    <w:p w:rsidR="00B54B72" w:rsidRPr="00E60F06" w:rsidRDefault="00B54B72" w:rsidP="00B54B72">
      <w:pPr>
        <w:widowControl/>
      </w:pPr>
    </w:p>
    <w:p w:rsidR="004A221C" w:rsidRPr="00E60F06" w:rsidRDefault="00B54B72" w:rsidP="00423721">
      <w:pPr>
        <w:pStyle w:val="ListParagraph"/>
        <w:widowControl/>
        <w:numPr>
          <w:ilvl w:val="1"/>
          <w:numId w:val="3"/>
        </w:numPr>
      </w:pPr>
      <w:r w:rsidRPr="00E60F06">
        <w:t xml:space="preserve">The March 2015 submission was made in the context of an MES </w:t>
      </w:r>
      <w:r w:rsidRPr="00E60F06">
        <w:rPr>
          <w:szCs w:val="22"/>
        </w:rPr>
        <w:t xml:space="preserve">on the basis of a cost-utility analysis compared to ipilimumab.  The basis of evidence in the original submission </w:t>
      </w:r>
      <w:r w:rsidR="0037373C" w:rsidRPr="00E60F06">
        <w:rPr>
          <w:szCs w:val="22"/>
        </w:rPr>
        <w:t>were selected subgroups from an uncontrolled, non-comparative phase 1 multi-cohort pembrolizumab trial (KN-001) and a single arm from a randomised, double blind trial of ipilimumab (Hodi 2010).</w:t>
      </w:r>
    </w:p>
    <w:p w:rsidR="004A221C" w:rsidRPr="00E60F06" w:rsidRDefault="004A221C" w:rsidP="004A221C">
      <w:pPr>
        <w:widowControl/>
        <w:rPr>
          <w:szCs w:val="22"/>
        </w:rPr>
      </w:pPr>
    </w:p>
    <w:p w:rsidR="002E471A" w:rsidRPr="00E60F06" w:rsidRDefault="004A221C" w:rsidP="00423721">
      <w:pPr>
        <w:pStyle w:val="ListParagraph"/>
        <w:widowControl/>
        <w:numPr>
          <w:ilvl w:val="1"/>
          <w:numId w:val="3"/>
        </w:numPr>
      </w:pPr>
      <w:r w:rsidRPr="00E60F06">
        <w:rPr>
          <w:szCs w:val="22"/>
        </w:rPr>
        <w:t xml:space="preserve">Following the </w:t>
      </w:r>
      <w:r w:rsidR="00FD7E95" w:rsidRPr="00E60F06">
        <w:rPr>
          <w:szCs w:val="22"/>
        </w:rPr>
        <w:t xml:space="preserve">February 2015 </w:t>
      </w:r>
      <w:r w:rsidRPr="00E60F06">
        <w:rPr>
          <w:szCs w:val="22"/>
        </w:rPr>
        <w:t xml:space="preserve">ESC meeting, early results from a randomised open-label trial comparing pembrolizumab and ipilimumab (KN-006) were made available.  These results formed the </w:t>
      </w:r>
      <w:r w:rsidR="005056F4" w:rsidRPr="00E60F06">
        <w:rPr>
          <w:szCs w:val="22"/>
        </w:rPr>
        <w:t xml:space="preserve">main </w:t>
      </w:r>
      <w:r w:rsidRPr="00E60F06">
        <w:rPr>
          <w:szCs w:val="22"/>
        </w:rPr>
        <w:t>basis of the clinical evidence leading to the positive recommendation made by the PBAC.</w:t>
      </w:r>
      <w:r w:rsidR="00FD4E0B" w:rsidRPr="00E60F06">
        <w:rPr>
          <w:szCs w:val="22"/>
        </w:rPr>
        <w:t xml:space="preserve">  </w:t>
      </w:r>
      <w:r w:rsidR="002E471A" w:rsidRPr="00E60F06">
        <w:rPr>
          <w:szCs w:val="22"/>
        </w:rPr>
        <w:t xml:space="preserve">The PBAC concluded that pembrolizumab is no worse than ipilimumab in terms of safety, and possibly less toxic (paragraph 7.14, </w:t>
      </w:r>
      <w:r w:rsidR="002E471A" w:rsidRPr="00E60F06">
        <w:rPr>
          <w:szCs w:val="22"/>
        </w:rPr>
        <w:lastRenderedPageBreak/>
        <w:t>March 2015 PSD).  The PBAC also noted that the extent of incremental effectiveness and duration of benefit could not be estimated with confidence given the limitations of the current evidence base (</w:t>
      </w:r>
      <w:r w:rsidR="005056F4" w:rsidRPr="00E60F06">
        <w:rPr>
          <w:szCs w:val="22"/>
        </w:rPr>
        <w:t>paragraph 7.8, March 2015 PSD).</w:t>
      </w:r>
    </w:p>
    <w:p w:rsidR="002E471A" w:rsidRPr="00E60F06" w:rsidRDefault="002E471A" w:rsidP="002E471A">
      <w:pPr>
        <w:widowControl/>
        <w:rPr>
          <w:szCs w:val="22"/>
        </w:rPr>
      </w:pPr>
    </w:p>
    <w:p w:rsidR="00B54B72" w:rsidRPr="00E60F06" w:rsidRDefault="00092F4D" w:rsidP="00423721">
      <w:pPr>
        <w:pStyle w:val="ListParagraph"/>
        <w:widowControl/>
        <w:numPr>
          <w:ilvl w:val="1"/>
          <w:numId w:val="3"/>
        </w:numPr>
      </w:pPr>
      <w:r w:rsidRPr="00E60F06">
        <w:rPr>
          <w:szCs w:val="22"/>
        </w:rPr>
        <w:t xml:space="preserve">While the PBAC considered the general 3-health state structure of the model </w:t>
      </w:r>
      <w:r w:rsidR="00DE76CD" w:rsidRPr="00E60F06">
        <w:rPr>
          <w:szCs w:val="22"/>
        </w:rPr>
        <w:t xml:space="preserve">to be </w:t>
      </w:r>
      <w:r w:rsidRPr="00E60F06">
        <w:rPr>
          <w:szCs w:val="22"/>
        </w:rPr>
        <w:t>reasonable, the PBAC also considered that the model could not be relied upon to estimate the incremental cost-effectiveness of pembrolizumab (paragraph 7.18, March 2015 PSD).  The PBAC pointed out a number of concerns with the model</w:t>
      </w:r>
      <w:r w:rsidR="00366936" w:rsidRPr="00E60F06">
        <w:rPr>
          <w:szCs w:val="22"/>
        </w:rPr>
        <w:t>, and the key concerns were reflected in the Deed of Agreement.</w:t>
      </w:r>
    </w:p>
    <w:p w:rsidR="0037373C" w:rsidRPr="00E60F06" w:rsidRDefault="0037373C" w:rsidP="0037373C">
      <w:pPr>
        <w:widowControl/>
      </w:pPr>
    </w:p>
    <w:p w:rsidR="0037373C" w:rsidRPr="00E60F06" w:rsidRDefault="00AF3A78" w:rsidP="00423721">
      <w:pPr>
        <w:pStyle w:val="ListParagraph"/>
        <w:widowControl/>
        <w:numPr>
          <w:ilvl w:val="1"/>
          <w:numId w:val="3"/>
        </w:numPr>
      </w:pPr>
      <w:r w:rsidRPr="00E60F06">
        <w:rPr>
          <w:szCs w:val="22"/>
        </w:rPr>
        <w:t>The Deed of Agreement dated</w:t>
      </w:r>
      <w:r w:rsidR="000D18E4" w:rsidRPr="00E60F06">
        <w:rPr>
          <w:szCs w:val="22"/>
        </w:rPr>
        <w:t xml:space="preserve"> August 2015 had a number of obligations for the sponsor, including lodging a further submission based on the KN-006 trial.  The table belo</w:t>
      </w:r>
      <w:r w:rsidR="007158A3" w:rsidRPr="00E60F06">
        <w:rPr>
          <w:szCs w:val="22"/>
        </w:rPr>
        <w:t>w provides a summary of the clau</w:t>
      </w:r>
      <w:r w:rsidR="000D18E4" w:rsidRPr="00E60F06">
        <w:rPr>
          <w:szCs w:val="22"/>
        </w:rPr>
        <w:t>ses in Attachment B.2</w:t>
      </w:r>
      <w:r w:rsidR="007158A3" w:rsidRPr="00E60F06">
        <w:rPr>
          <w:szCs w:val="22"/>
        </w:rPr>
        <w:t xml:space="preserve"> of the Deed, listing the company’s obligations and the responses contained in the current submission.</w:t>
      </w:r>
    </w:p>
    <w:p w:rsidR="00B54B72" w:rsidRPr="00E60F06" w:rsidRDefault="00B54B72" w:rsidP="00B54B72">
      <w:pPr>
        <w:widowControl/>
      </w:pPr>
    </w:p>
    <w:p w:rsidR="005F2DB7" w:rsidRPr="00E60F06" w:rsidRDefault="005F2DB7" w:rsidP="00DE76CD">
      <w:pPr>
        <w:ind w:left="709"/>
        <w:rPr>
          <w:rStyle w:val="CommentReference"/>
        </w:rPr>
      </w:pPr>
      <w:r w:rsidRPr="00E60F06">
        <w:rPr>
          <w:rStyle w:val="CommentReference"/>
        </w:rPr>
        <w:t>Table 1: Summary of obligations in the Deed of Agreement, August 2015</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4"/>
        <w:gridCol w:w="4569"/>
      </w:tblGrid>
      <w:tr w:rsidR="005F2DB7" w:rsidRPr="00E60F06" w:rsidTr="00DE76CD">
        <w:trPr>
          <w:tblHeader/>
        </w:trPr>
        <w:tc>
          <w:tcPr>
            <w:tcW w:w="3794" w:type="dxa"/>
            <w:tcMar>
              <w:top w:w="0" w:type="dxa"/>
              <w:left w:w="108" w:type="dxa"/>
              <w:bottom w:w="0" w:type="dxa"/>
              <w:right w:w="108" w:type="dxa"/>
            </w:tcMar>
            <w:hideMark/>
          </w:tcPr>
          <w:p w:rsidR="005F2DB7" w:rsidRPr="00E60F06" w:rsidRDefault="005F2DB7" w:rsidP="00E81E4A">
            <w:pPr>
              <w:snapToGrid w:val="0"/>
              <w:rPr>
                <w:rFonts w:eastAsiaTheme="minorHAnsi"/>
                <w:b/>
                <w:sz w:val="24"/>
                <w:szCs w:val="24"/>
              </w:rPr>
            </w:pPr>
            <w:r w:rsidRPr="00E60F06">
              <w:rPr>
                <w:rFonts w:ascii="Arial Narrow" w:hAnsi="Arial Narrow"/>
                <w:b/>
                <w:iCs/>
                <w:sz w:val="20"/>
              </w:rPr>
              <w:t>Summary of obligations in B.2.2</w:t>
            </w:r>
          </w:p>
        </w:tc>
        <w:tc>
          <w:tcPr>
            <w:tcW w:w="4569" w:type="dxa"/>
            <w:tcMar>
              <w:top w:w="0" w:type="dxa"/>
              <w:left w:w="108" w:type="dxa"/>
              <w:bottom w:w="0" w:type="dxa"/>
              <w:right w:w="108" w:type="dxa"/>
            </w:tcMar>
            <w:hideMark/>
          </w:tcPr>
          <w:p w:rsidR="005F2DB7" w:rsidRPr="00E60F06" w:rsidRDefault="005F2DB7" w:rsidP="00E81E4A">
            <w:pPr>
              <w:snapToGrid w:val="0"/>
              <w:jc w:val="center"/>
              <w:rPr>
                <w:rFonts w:eastAsiaTheme="minorHAnsi"/>
                <w:b/>
                <w:sz w:val="24"/>
                <w:szCs w:val="24"/>
              </w:rPr>
            </w:pPr>
            <w:r w:rsidRPr="00E60F06">
              <w:rPr>
                <w:rFonts w:ascii="Arial Narrow" w:hAnsi="Arial Narrow"/>
                <w:b/>
                <w:iCs/>
                <w:sz w:val="20"/>
              </w:rPr>
              <w:t>Comment on submission response</w:t>
            </w:r>
          </w:p>
        </w:tc>
      </w:tr>
      <w:tr w:rsidR="005F2DB7" w:rsidRPr="00E60F06" w:rsidTr="00DE76CD">
        <w:tc>
          <w:tcPr>
            <w:tcW w:w="3794" w:type="dxa"/>
            <w:tcMar>
              <w:top w:w="0" w:type="dxa"/>
              <w:left w:w="108" w:type="dxa"/>
              <w:bottom w:w="0" w:type="dxa"/>
              <w:right w:w="108" w:type="dxa"/>
            </w:tcMar>
            <w:hideMark/>
          </w:tcPr>
          <w:p w:rsidR="005F2DB7" w:rsidRPr="00E60F06" w:rsidRDefault="005F2DB7" w:rsidP="00E81E4A">
            <w:pPr>
              <w:snapToGrid w:val="0"/>
              <w:rPr>
                <w:rFonts w:eastAsiaTheme="minorHAnsi"/>
                <w:sz w:val="24"/>
                <w:szCs w:val="24"/>
              </w:rPr>
            </w:pPr>
            <w:r w:rsidRPr="00E60F06">
              <w:rPr>
                <w:rFonts w:ascii="Arial Narrow" w:hAnsi="Arial Narrow"/>
                <w:iCs/>
                <w:sz w:val="20"/>
                <w:u w:val="single"/>
              </w:rPr>
              <w:t>B.2.2.a</w:t>
            </w:r>
            <w:r w:rsidRPr="00E60F06">
              <w:rPr>
                <w:rFonts w:ascii="Arial Narrow" w:hAnsi="Arial Narrow"/>
                <w:iCs/>
                <w:sz w:val="20"/>
              </w:rPr>
              <w:t>: Directly use Kaplan-Meier curves from KN-006 up to median follow-up to estimate incremental PFS and incremental OS</w:t>
            </w:r>
            <w:r w:rsidR="00E81E4A" w:rsidRPr="00E60F06">
              <w:rPr>
                <w:rFonts w:ascii="Arial Narrow" w:hAnsi="Arial Narrow"/>
                <w:iCs/>
                <w:sz w:val="20"/>
              </w:rPr>
              <w:t>.</w:t>
            </w:r>
          </w:p>
        </w:tc>
        <w:tc>
          <w:tcPr>
            <w:tcW w:w="4569" w:type="dxa"/>
            <w:tcMar>
              <w:top w:w="0" w:type="dxa"/>
              <w:left w:w="108" w:type="dxa"/>
              <w:bottom w:w="0" w:type="dxa"/>
              <w:right w:w="108" w:type="dxa"/>
            </w:tcMar>
            <w:hideMark/>
          </w:tcPr>
          <w:p w:rsidR="005F2DB7" w:rsidRPr="00E60F06" w:rsidRDefault="005F2DB7" w:rsidP="00DE76CD">
            <w:pPr>
              <w:snapToGrid w:val="0"/>
              <w:rPr>
                <w:rFonts w:eastAsiaTheme="minorHAnsi"/>
                <w:sz w:val="24"/>
                <w:szCs w:val="24"/>
              </w:rPr>
            </w:pPr>
            <w:r w:rsidRPr="00E60F06">
              <w:rPr>
                <w:rFonts w:ascii="Arial Narrow" w:hAnsi="Arial Narrow"/>
                <w:iCs/>
                <w:sz w:val="20"/>
              </w:rPr>
              <w:t>Complie</w:t>
            </w:r>
            <w:r w:rsidR="00DE76CD" w:rsidRPr="00E60F06">
              <w:rPr>
                <w:rFonts w:ascii="Arial Narrow" w:hAnsi="Arial Narrow"/>
                <w:iCs/>
                <w:sz w:val="20"/>
              </w:rPr>
              <w:t>d</w:t>
            </w:r>
            <w:r w:rsidRPr="00E60F06">
              <w:rPr>
                <w:rFonts w:ascii="Arial Narrow" w:hAnsi="Arial Narrow"/>
                <w:iCs/>
                <w:sz w:val="20"/>
              </w:rPr>
              <w:t xml:space="preserve"> with the Deed of Agreement and </w:t>
            </w:r>
            <w:r w:rsidR="00DE76CD" w:rsidRPr="00E60F06">
              <w:rPr>
                <w:rFonts w:ascii="Arial Narrow" w:hAnsi="Arial Narrow"/>
                <w:iCs/>
                <w:sz w:val="20"/>
              </w:rPr>
              <w:t>wa</w:t>
            </w:r>
            <w:r w:rsidRPr="00E60F06">
              <w:rPr>
                <w:rFonts w:ascii="Arial Narrow" w:hAnsi="Arial Narrow"/>
                <w:iCs/>
                <w:sz w:val="20"/>
              </w:rPr>
              <w:t>s performed in Section C.7 of the submission.</w:t>
            </w:r>
          </w:p>
        </w:tc>
      </w:tr>
      <w:tr w:rsidR="005F2DB7" w:rsidRPr="00E60F06" w:rsidTr="00DE76CD">
        <w:tc>
          <w:tcPr>
            <w:tcW w:w="3794" w:type="dxa"/>
            <w:tcMar>
              <w:top w:w="0" w:type="dxa"/>
              <w:left w:w="108" w:type="dxa"/>
              <w:bottom w:w="0" w:type="dxa"/>
              <w:right w:w="108" w:type="dxa"/>
            </w:tcMar>
            <w:hideMark/>
          </w:tcPr>
          <w:p w:rsidR="005F2DB7" w:rsidRPr="00E60F06" w:rsidRDefault="005F2DB7" w:rsidP="00E81E4A">
            <w:pPr>
              <w:snapToGrid w:val="0"/>
              <w:rPr>
                <w:rFonts w:eastAsiaTheme="minorHAnsi"/>
                <w:sz w:val="24"/>
                <w:szCs w:val="24"/>
              </w:rPr>
            </w:pPr>
            <w:r w:rsidRPr="00E60F06">
              <w:rPr>
                <w:rFonts w:ascii="Arial Narrow" w:hAnsi="Arial Narrow"/>
                <w:iCs/>
                <w:sz w:val="20"/>
                <w:u w:val="single"/>
              </w:rPr>
              <w:t>B.2.2.b</w:t>
            </w:r>
            <w:r w:rsidRPr="00E60F06">
              <w:rPr>
                <w:rFonts w:ascii="Arial Narrow" w:hAnsi="Arial Narrow"/>
                <w:iCs/>
                <w:sz w:val="20"/>
              </w:rPr>
              <w:t xml:space="preserve"> Apply extrapolation modelling for both arms of the model for PFS and OS with no statistical adjustment to account for use of post-progression therapies</w:t>
            </w:r>
            <w:r w:rsidR="00E81E4A" w:rsidRPr="00E60F06">
              <w:rPr>
                <w:rFonts w:ascii="Arial Narrow" w:hAnsi="Arial Narrow"/>
                <w:iCs/>
                <w:sz w:val="20"/>
              </w:rPr>
              <w:t>.</w:t>
            </w:r>
          </w:p>
        </w:tc>
        <w:tc>
          <w:tcPr>
            <w:tcW w:w="4569" w:type="dxa"/>
            <w:tcMar>
              <w:top w:w="0" w:type="dxa"/>
              <w:left w:w="108" w:type="dxa"/>
              <w:bottom w:w="0" w:type="dxa"/>
              <w:right w:w="108" w:type="dxa"/>
            </w:tcMar>
            <w:hideMark/>
          </w:tcPr>
          <w:p w:rsidR="005F2DB7" w:rsidRPr="00E60F06" w:rsidRDefault="005F2DB7" w:rsidP="00DE76CD">
            <w:pPr>
              <w:snapToGrid w:val="0"/>
              <w:rPr>
                <w:rFonts w:eastAsiaTheme="minorHAnsi"/>
                <w:sz w:val="24"/>
                <w:szCs w:val="24"/>
              </w:rPr>
            </w:pPr>
            <w:r w:rsidRPr="00E60F06">
              <w:rPr>
                <w:rFonts w:ascii="Arial Narrow" w:hAnsi="Arial Narrow"/>
                <w:iCs/>
                <w:sz w:val="20"/>
              </w:rPr>
              <w:t>Complie</w:t>
            </w:r>
            <w:r w:rsidR="00DE76CD" w:rsidRPr="00E60F06">
              <w:rPr>
                <w:rFonts w:ascii="Arial Narrow" w:hAnsi="Arial Narrow"/>
                <w:iCs/>
                <w:sz w:val="20"/>
              </w:rPr>
              <w:t>d</w:t>
            </w:r>
            <w:r w:rsidRPr="00E60F06">
              <w:rPr>
                <w:rFonts w:ascii="Arial Narrow" w:hAnsi="Arial Narrow"/>
                <w:iCs/>
                <w:sz w:val="20"/>
              </w:rPr>
              <w:t xml:space="preserve"> </w:t>
            </w:r>
            <w:r w:rsidR="00DE76CD" w:rsidRPr="00E60F06">
              <w:rPr>
                <w:rFonts w:ascii="Arial Narrow" w:hAnsi="Arial Narrow"/>
                <w:iCs/>
                <w:sz w:val="20"/>
              </w:rPr>
              <w:t>with the Deed of Agreement and wa</w:t>
            </w:r>
            <w:r w:rsidRPr="00E60F06">
              <w:rPr>
                <w:rFonts w:ascii="Arial Narrow" w:hAnsi="Arial Narrow"/>
                <w:iCs/>
                <w:sz w:val="20"/>
              </w:rPr>
              <w:t>s performed in Section C.7 of the submission.</w:t>
            </w:r>
          </w:p>
        </w:tc>
      </w:tr>
      <w:tr w:rsidR="005F2DB7" w:rsidRPr="00E60F06" w:rsidTr="00DE76CD">
        <w:tc>
          <w:tcPr>
            <w:tcW w:w="3794" w:type="dxa"/>
            <w:tcMar>
              <w:top w:w="0" w:type="dxa"/>
              <w:left w:w="108" w:type="dxa"/>
              <w:bottom w:w="0" w:type="dxa"/>
              <w:right w:w="108" w:type="dxa"/>
            </w:tcMar>
            <w:hideMark/>
          </w:tcPr>
          <w:p w:rsidR="005F2DB7" w:rsidRPr="00E60F06" w:rsidRDefault="005F2DB7" w:rsidP="00E81E4A">
            <w:pPr>
              <w:snapToGrid w:val="0"/>
              <w:rPr>
                <w:rFonts w:eastAsiaTheme="minorHAnsi"/>
                <w:sz w:val="24"/>
                <w:szCs w:val="24"/>
              </w:rPr>
            </w:pPr>
            <w:r w:rsidRPr="00E60F06">
              <w:rPr>
                <w:rFonts w:ascii="Arial Narrow" w:hAnsi="Arial Narrow"/>
                <w:iCs/>
                <w:sz w:val="20"/>
                <w:u w:val="single"/>
              </w:rPr>
              <w:t>B.2.2.c</w:t>
            </w:r>
            <w:r w:rsidRPr="00E60F06">
              <w:rPr>
                <w:rFonts w:ascii="Arial Narrow" w:hAnsi="Arial Narrow"/>
                <w:iCs/>
                <w:sz w:val="20"/>
              </w:rPr>
              <w:t xml:space="preserve"> Use a time horizon of 5 years as per the original model</w:t>
            </w:r>
            <w:r w:rsidR="00E81E4A" w:rsidRPr="00E60F06">
              <w:rPr>
                <w:rFonts w:ascii="Arial Narrow" w:hAnsi="Arial Narrow"/>
                <w:iCs/>
                <w:sz w:val="20"/>
              </w:rPr>
              <w:t>.</w:t>
            </w:r>
          </w:p>
        </w:tc>
        <w:tc>
          <w:tcPr>
            <w:tcW w:w="4569" w:type="dxa"/>
            <w:tcMar>
              <w:top w:w="0" w:type="dxa"/>
              <w:left w:w="108" w:type="dxa"/>
              <w:bottom w:w="0" w:type="dxa"/>
              <w:right w:w="108" w:type="dxa"/>
            </w:tcMar>
            <w:hideMark/>
          </w:tcPr>
          <w:p w:rsidR="005F2DB7" w:rsidRPr="00E60F06" w:rsidRDefault="00DE76CD" w:rsidP="00AE632F">
            <w:pPr>
              <w:snapToGrid w:val="0"/>
              <w:rPr>
                <w:rFonts w:eastAsiaTheme="minorHAnsi"/>
                <w:sz w:val="24"/>
                <w:szCs w:val="24"/>
              </w:rPr>
            </w:pPr>
            <w:r w:rsidRPr="00E60F06">
              <w:rPr>
                <w:rFonts w:ascii="Arial Narrow" w:hAnsi="Arial Narrow"/>
                <w:i/>
                <w:iCs/>
                <w:sz w:val="20"/>
              </w:rPr>
              <w:t>Did</w:t>
            </w:r>
            <w:r w:rsidR="005F2DB7" w:rsidRPr="00E60F06">
              <w:rPr>
                <w:rFonts w:ascii="Arial Narrow" w:hAnsi="Arial Narrow"/>
                <w:i/>
                <w:iCs/>
                <w:sz w:val="20"/>
              </w:rPr>
              <w:t xml:space="preserve"> not comply with the Deed of Agreement.</w:t>
            </w:r>
            <w:r w:rsidR="005F2DB7" w:rsidRPr="00E60F06">
              <w:rPr>
                <w:rFonts w:ascii="Arial Narrow" w:hAnsi="Arial Narrow"/>
                <w:iCs/>
                <w:sz w:val="20"/>
              </w:rPr>
              <w:t xml:space="preserve"> The submission maintain</w:t>
            </w:r>
            <w:r w:rsidRPr="00E60F06">
              <w:rPr>
                <w:rFonts w:ascii="Arial Narrow" w:hAnsi="Arial Narrow"/>
                <w:iCs/>
                <w:sz w:val="20"/>
              </w:rPr>
              <w:t>ed that</w:t>
            </w:r>
            <w:r w:rsidR="005F2DB7" w:rsidRPr="00E60F06">
              <w:rPr>
                <w:rFonts w:ascii="Arial Narrow" w:hAnsi="Arial Narrow"/>
                <w:iCs/>
                <w:sz w:val="20"/>
              </w:rPr>
              <w:t xml:space="preserve"> a </w:t>
            </w:r>
            <w:r w:rsidRPr="00E60F06">
              <w:rPr>
                <w:rFonts w:ascii="Arial Narrow" w:hAnsi="Arial Narrow"/>
                <w:iCs/>
                <w:sz w:val="20"/>
              </w:rPr>
              <w:t xml:space="preserve">time horizon of </w:t>
            </w:r>
            <w:r w:rsidR="005F2DB7" w:rsidRPr="00E60F06">
              <w:rPr>
                <w:rFonts w:ascii="Arial Narrow" w:hAnsi="Arial Narrow"/>
                <w:iCs/>
                <w:sz w:val="20"/>
              </w:rPr>
              <w:t>10 year</w:t>
            </w:r>
            <w:r w:rsidRPr="00E60F06">
              <w:rPr>
                <w:rFonts w:ascii="Arial Narrow" w:hAnsi="Arial Narrow"/>
                <w:iCs/>
                <w:sz w:val="20"/>
              </w:rPr>
              <w:t>s</w:t>
            </w:r>
            <w:r w:rsidR="005F2DB7" w:rsidRPr="00E60F06">
              <w:rPr>
                <w:rFonts w:ascii="Arial Narrow" w:hAnsi="Arial Narrow"/>
                <w:iCs/>
                <w:sz w:val="20"/>
              </w:rPr>
              <w:t xml:space="preserve"> is appropriate for OS, and ha</w:t>
            </w:r>
            <w:r w:rsidRPr="00E60F06">
              <w:rPr>
                <w:rFonts w:ascii="Arial Narrow" w:hAnsi="Arial Narrow"/>
                <w:iCs/>
                <w:sz w:val="20"/>
              </w:rPr>
              <w:t>d</w:t>
            </w:r>
            <w:r w:rsidR="005F2DB7" w:rsidRPr="00E60F06">
              <w:rPr>
                <w:rFonts w:ascii="Arial Narrow" w:hAnsi="Arial Narrow"/>
                <w:iCs/>
                <w:sz w:val="20"/>
              </w:rPr>
              <w:t xml:space="preserve"> only limited the time horizon to convergence of </w:t>
            </w:r>
            <w:r w:rsidR="000A32DC" w:rsidRPr="00E60F06">
              <w:rPr>
                <w:rFonts w:ascii="Arial Narrow" w:hAnsi="Arial Narrow"/>
                <w:iCs/>
                <w:sz w:val="20"/>
              </w:rPr>
              <w:t xml:space="preserve">extrapolated </w:t>
            </w:r>
            <w:r w:rsidR="005F2DB7" w:rsidRPr="00E60F06">
              <w:rPr>
                <w:rFonts w:ascii="Arial Narrow" w:hAnsi="Arial Narrow"/>
                <w:iCs/>
                <w:sz w:val="20"/>
              </w:rPr>
              <w:t>PFS at 5 years</w:t>
            </w:r>
          </w:p>
        </w:tc>
      </w:tr>
      <w:tr w:rsidR="005F2DB7" w:rsidRPr="00E60F06" w:rsidTr="00DE76CD">
        <w:tc>
          <w:tcPr>
            <w:tcW w:w="3794" w:type="dxa"/>
            <w:tcMar>
              <w:top w:w="0" w:type="dxa"/>
              <w:left w:w="108" w:type="dxa"/>
              <w:bottom w:w="0" w:type="dxa"/>
              <w:right w:w="108" w:type="dxa"/>
            </w:tcMar>
            <w:hideMark/>
          </w:tcPr>
          <w:p w:rsidR="005F2DB7" w:rsidRPr="00E60F06" w:rsidRDefault="005F2DB7" w:rsidP="00E81E4A">
            <w:pPr>
              <w:snapToGrid w:val="0"/>
              <w:rPr>
                <w:rFonts w:eastAsiaTheme="minorHAnsi"/>
                <w:sz w:val="24"/>
                <w:szCs w:val="24"/>
              </w:rPr>
            </w:pPr>
            <w:r w:rsidRPr="00E60F06">
              <w:rPr>
                <w:rFonts w:ascii="Arial Narrow" w:hAnsi="Arial Narrow"/>
                <w:iCs/>
                <w:sz w:val="20"/>
                <w:u w:val="single"/>
              </w:rPr>
              <w:t>B.2.2.d</w:t>
            </w:r>
            <w:r w:rsidRPr="00E60F06">
              <w:rPr>
                <w:rFonts w:ascii="Arial Narrow" w:hAnsi="Arial Narrow"/>
                <w:iCs/>
                <w:sz w:val="20"/>
              </w:rPr>
              <w:t xml:space="preserve"> Use best fit extrapolated curves for both PFS and OS beyond the median duration of follow-up which are to be structured to converge at 5 years</w:t>
            </w:r>
            <w:r w:rsidR="009C6573" w:rsidRPr="00E60F06">
              <w:rPr>
                <w:rFonts w:ascii="Arial Narrow" w:hAnsi="Arial Narrow"/>
                <w:iCs/>
                <w:sz w:val="20"/>
              </w:rPr>
              <w:t>.</w:t>
            </w:r>
          </w:p>
        </w:tc>
        <w:tc>
          <w:tcPr>
            <w:tcW w:w="4569" w:type="dxa"/>
            <w:tcMar>
              <w:top w:w="0" w:type="dxa"/>
              <w:left w:w="108" w:type="dxa"/>
              <w:bottom w:w="0" w:type="dxa"/>
              <w:right w:w="108" w:type="dxa"/>
            </w:tcMar>
            <w:hideMark/>
          </w:tcPr>
          <w:p w:rsidR="005F2DB7" w:rsidRPr="00E60F06" w:rsidRDefault="005F2DB7" w:rsidP="00AE632F">
            <w:pPr>
              <w:snapToGrid w:val="0"/>
              <w:rPr>
                <w:rFonts w:eastAsiaTheme="minorHAnsi"/>
                <w:sz w:val="24"/>
                <w:szCs w:val="24"/>
              </w:rPr>
            </w:pPr>
            <w:r w:rsidRPr="00E60F06">
              <w:rPr>
                <w:rFonts w:ascii="Arial Narrow" w:hAnsi="Arial Narrow"/>
                <w:i/>
                <w:iCs/>
                <w:sz w:val="20"/>
              </w:rPr>
              <w:t>D</w:t>
            </w:r>
            <w:r w:rsidR="00DE76CD" w:rsidRPr="00E60F06">
              <w:rPr>
                <w:rFonts w:ascii="Arial Narrow" w:hAnsi="Arial Narrow"/>
                <w:i/>
                <w:iCs/>
                <w:sz w:val="20"/>
              </w:rPr>
              <w:t>id</w:t>
            </w:r>
            <w:r w:rsidRPr="00E60F06">
              <w:rPr>
                <w:rFonts w:ascii="Arial Narrow" w:hAnsi="Arial Narrow"/>
                <w:i/>
                <w:iCs/>
                <w:sz w:val="20"/>
              </w:rPr>
              <w:t xml:space="preserve"> not comply with the Deed of Agreement.</w:t>
            </w:r>
            <w:r w:rsidRPr="00E60F06">
              <w:rPr>
                <w:rFonts w:ascii="Arial Narrow" w:hAnsi="Arial Narrow"/>
                <w:iCs/>
                <w:sz w:val="20"/>
              </w:rPr>
              <w:t xml:space="preserve"> The submission maintain</w:t>
            </w:r>
            <w:r w:rsidR="00DE76CD" w:rsidRPr="00E60F06">
              <w:rPr>
                <w:rFonts w:ascii="Arial Narrow" w:hAnsi="Arial Narrow"/>
                <w:iCs/>
                <w:sz w:val="20"/>
              </w:rPr>
              <w:t xml:space="preserve">ed that </w:t>
            </w:r>
            <w:r w:rsidRPr="00E60F06">
              <w:rPr>
                <w:rFonts w:ascii="Arial Narrow" w:hAnsi="Arial Narrow"/>
                <w:iCs/>
                <w:sz w:val="20"/>
              </w:rPr>
              <w:t xml:space="preserve">a </w:t>
            </w:r>
            <w:r w:rsidR="00DE76CD" w:rsidRPr="00E60F06">
              <w:rPr>
                <w:rFonts w:ascii="Arial Narrow" w:hAnsi="Arial Narrow"/>
                <w:iCs/>
                <w:sz w:val="20"/>
              </w:rPr>
              <w:t xml:space="preserve">time horizon of </w:t>
            </w:r>
            <w:r w:rsidRPr="00E60F06">
              <w:rPr>
                <w:rFonts w:ascii="Arial Narrow" w:hAnsi="Arial Narrow"/>
                <w:iCs/>
                <w:sz w:val="20"/>
              </w:rPr>
              <w:t>10 year</w:t>
            </w:r>
            <w:r w:rsidR="00DE76CD" w:rsidRPr="00E60F06">
              <w:rPr>
                <w:rFonts w:ascii="Arial Narrow" w:hAnsi="Arial Narrow"/>
                <w:iCs/>
                <w:sz w:val="20"/>
              </w:rPr>
              <w:t>s</w:t>
            </w:r>
            <w:r w:rsidRPr="00E60F06">
              <w:rPr>
                <w:rFonts w:ascii="Arial Narrow" w:hAnsi="Arial Narrow"/>
                <w:iCs/>
                <w:sz w:val="20"/>
              </w:rPr>
              <w:t xml:space="preserve"> is appropriate for OS, and ha</w:t>
            </w:r>
            <w:r w:rsidR="00DE76CD" w:rsidRPr="00E60F06">
              <w:rPr>
                <w:rFonts w:ascii="Arial Narrow" w:hAnsi="Arial Narrow"/>
                <w:iCs/>
                <w:sz w:val="20"/>
              </w:rPr>
              <w:t>d</w:t>
            </w:r>
            <w:r w:rsidRPr="00E60F06">
              <w:rPr>
                <w:rFonts w:ascii="Arial Narrow" w:hAnsi="Arial Narrow"/>
                <w:iCs/>
                <w:sz w:val="20"/>
              </w:rPr>
              <w:t xml:space="preserve"> only limited the time horizon for PFS</w:t>
            </w:r>
            <w:r w:rsidR="009D60F9" w:rsidRPr="00E60F06">
              <w:rPr>
                <w:rFonts w:ascii="Arial Narrow" w:hAnsi="Arial Narrow"/>
                <w:iCs/>
                <w:sz w:val="20"/>
              </w:rPr>
              <w:t>.</w:t>
            </w:r>
            <w:r w:rsidRPr="00E60F06">
              <w:rPr>
                <w:rFonts w:ascii="Arial Narrow" w:hAnsi="Arial Narrow"/>
                <w:iCs/>
                <w:sz w:val="20"/>
              </w:rPr>
              <w:t xml:space="preserve"> Long-term mortality information from Schadendorf 2015 was used in lieu of fitted curves for ipilimumab with a hazard ratio applied to estimate pembrolizumab OS.</w:t>
            </w:r>
          </w:p>
        </w:tc>
      </w:tr>
      <w:tr w:rsidR="005F2DB7" w:rsidRPr="00E60F06" w:rsidTr="00DE76CD">
        <w:tc>
          <w:tcPr>
            <w:tcW w:w="3794" w:type="dxa"/>
            <w:tcMar>
              <w:top w:w="0" w:type="dxa"/>
              <w:left w:w="108" w:type="dxa"/>
              <w:bottom w:w="0" w:type="dxa"/>
              <w:right w:w="108" w:type="dxa"/>
            </w:tcMar>
            <w:hideMark/>
          </w:tcPr>
          <w:p w:rsidR="005F2DB7" w:rsidRPr="00E60F06" w:rsidRDefault="005F2DB7" w:rsidP="00E81E4A">
            <w:pPr>
              <w:snapToGrid w:val="0"/>
              <w:rPr>
                <w:rFonts w:eastAsiaTheme="minorHAnsi"/>
                <w:sz w:val="24"/>
                <w:szCs w:val="24"/>
              </w:rPr>
            </w:pPr>
            <w:r w:rsidRPr="00E60F06">
              <w:rPr>
                <w:rFonts w:ascii="Arial Narrow" w:hAnsi="Arial Narrow"/>
                <w:iCs/>
                <w:sz w:val="20"/>
                <w:u w:val="single"/>
              </w:rPr>
              <w:t>B.2.2.e</w:t>
            </w:r>
            <w:r w:rsidRPr="00E60F06">
              <w:rPr>
                <w:rFonts w:ascii="Arial Narrow" w:hAnsi="Arial Narrow"/>
                <w:iCs/>
                <w:sz w:val="20"/>
              </w:rPr>
              <w:t xml:space="preserve"> Use the effective price of ipilimumab as monotherapy as comparator</w:t>
            </w:r>
            <w:r w:rsidR="009C6573" w:rsidRPr="00E60F06">
              <w:rPr>
                <w:rFonts w:ascii="Arial Narrow" w:hAnsi="Arial Narrow"/>
                <w:iCs/>
                <w:sz w:val="20"/>
              </w:rPr>
              <w:t>.</w:t>
            </w:r>
          </w:p>
        </w:tc>
        <w:tc>
          <w:tcPr>
            <w:tcW w:w="4569" w:type="dxa"/>
            <w:tcMar>
              <w:top w:w="0" w:type="dxa"/>
              <w:left w:w="108" w:type="dxa"/>
              <w:bottom w:w="0" w:type="dxa"/>
              <w:right w:w="108" w:type="dxa"/>
            </w:tcMar>
            <w:hideMark/>
          </w:tcPr>
          <w:p w:rsidR="005F2DB7" w:rsidRPr="00E60F06" w:rsidRDefault="005F2DB7" w:rsidP="00DE76CD">
            <w:pPr>
              <w:snapToGrid w:val="0"/>
              <w:rPr>
                <w:rFonts w:eastAsiaTheme="minorHAnsi"/>
                <w:sz w:val="24"/>
                <w:szCs w:val="24"/>
              </w:rPr>
            </w:pPr>
            <w:r w:rsidRPr="00E60F06">
              <w:rPr>
                <w:rFonts w:ascii="Arial Narrow" w:hAnsi="Arial Narrow"/>
                <w:iCs/>
                <w:sz w:val="20"/>
              </w:rPr>
              <w:t>Complie</w:t>
            </w:r>
            <w:r w:rsidR="00DE76CD" w:rsidRPr="00E60F06">
              <w:rPr>
                <w:rFonts w:ascii="Arial Narrow" w:hAnsi="Arial Narrow"/>
                <w:iCs/>
                <w:sz w:val="20"/>
              </w:rPr>
              <w:t>d</w:t>
            </w:r>
            <w:r w:rsidRPr="00E60F06">
              <w:rPr>
                <w:rFonts w:ascii="Arial Narrow" w:hAnsi="Arial Narrow"/>
                <w:iCs/>
                <w:sz w:val="20"/>
              </w:rPr>
              <w:t xml:space="preserve"> with the Deed of Agreement and </w:t>
            </w:r>
            <w:r w:rsidR="00DE76CD" w:rsidRPr="00E60F06">
              <w:rPr>
                <w:rFonts w:ascii="Arial Narrow" w:hAnsi="Arial Narrow"/>
                <w:iCs/>
                <w:sz w:val="20"/>
              </w:rPr>
              <w:t>wa</w:t>
            </w:r>
            <w:r w:rsidRPr="00E60F06">
              <w:rPr>
                <w:rFonts w:ascii="Arial Narrow" w:hAnsi="Arial Narrow"/>
                <w:iCs/>
                <w:sz w:val="20"/>
              </w:rPr>
              <w:t>s performed in Section D.4 of the submission.</w:t>
            </w:r>
          </w:p>
        </w:tc>
      </w:tr>
      <w:tr w:rsidR="005F2DB7" w:rsidRPr="00E60F06" w:rsidTr="00DE76CD">
        <w:tc>
          <w:tcPr>
            <w:tcW w:w="3794" w:type="dxa"/>
            <w:tcMar>
              <w:top w:w="0" w:type="dxa"/>
              <w:left w:w="108" w:type="dxa"/>
              <w:bottom w:w="0" w:type="dxa"/>
              <w:right w:w="108" w:type="dxa"/>
            </w:tcMar>
            <w:hideMark/>
          </w:tcPr>
          <w:p w:rsidR="005F2DB7" w:rsidRPr="00E60F06" w:rsidRDefault="005F2DB7" w:rsidP="00DB42EF">
            <w:pPr>
              <w:snapToGrid w:val="0"/>
              <w:rPr>
                <w:rFonts w:eastAsiaTheme="minorHAnsi"/>
                <w:sz w:val="24"/>
                <w:szCs w:val="24"/>
              </w:rPr>
            </w:pPr>
            <w:r w:rsidRPr="00E60F06">
              <w:rPr>
                <w:rFonts w:ascii="Arial Narrow" w:hAnsi="Arial Narrow"/>
                <w:iCs/>
                <w:sz w:val="20"/>
                <w:u w:val="single"/>
              </w:rPr>
              <w:t>B.2.2.f</w:t>
            </w:r>
            <w:r w:rsidRPr="00E60F06">
              <w:rPr>
                <w:rFonts w:ascii="Arial Narrow" w:hAnsi="Arial Narrow"/>
                <w:iCs/>
                <w:sz w:val="20"/>
              </w:rPr>
              <w:t xml:space="preserve"> Back-calculate the DPMQ and/or effective DPMQ to generate an ICER of $</w:t>
            </w:r>
            <w:r w:rsidR="00DB42EF" w:rsidRPr="00E60F06">
              <w:rPr>
                <w:rFonts w:ascii="Arial Narrow" w:hAnsi="Arial Narrow"/>
                <w:iCs/>
                <w:sz w:val="20"/>
              </w:rPr>
              <w:t>45,000 – $75,000/</w:t>
            </w:r>
            <w:r w:rsidRPr="00E60F06">
              <w:rPr>
                <w:rFonts w:ascii="Arial Narrow" w:hAnsi="Arial Narrow"/>
                <w:iCs/>
                <w:sz w:val="20"/>
              </w:rPr>
              <w:t>/QALY as per the original model</w:t>
            </w:r>
            <w:r w:rsidR="009C6573" w:rsidRPr="00E60F06">
              <w:rPr>
                <w:rFonts w:ascii="Arial Narrow" w:hAnsi="Arial Narrow"/>
                <w:iCs/>
                <w:sz w:val="20"/>
              </w:rPr>
              <w:t>.</w:t>
            </w:r>
          </w:p>
        </w:tc>
        <w:tc>
          <w:tcPr>
            <w:tcW w:w="4569" w:type="dxa"/>
            <w:tcMar>
              <w:top w:w="0" w:type="dxa"/>
              <w:left w:w="108" w:type="dxa"/>
              <w:bottom w:w="0" w:type="dxa"/>
              <w:right w:w="108" w:type="dxa"/>
            </w:tcMar>
            <w:hideMark/>
          </w:tcPr>
          <w:p w:rsidR="005F2DB7" w:rsidRPr="00E60F06" w:rsidRDefault="00DE76CD" w:rsidP="00E81E4A">
            <w:pPr>
              <w:snapToGrid w:val="0"/>
              <w:rPr>
                <w:rFonts w:eastAsiaTheme="minorHAnsi"/>
                <w:sz w:val="24"/>
                <w:szCs w:val="24"/>
              </w:rPr>
            </w:pPr>
            <w:r w:rsidRPr="00E60F06">
              <w:rPr>
                <w:rFonts w:ascii="Arial Narrow" w:hAnsi="Arial Narrow"/>
                <w:iCs/>
                <w:sz w:val="20"/>
              </w:rPr>
              <w:t>Complied</w:t>
            </w:r>
            <w:r w:rsidR="005F2DB7" w:rsidRPr="00E60F06">
              <w:rPr>
                <w:rFonts w:ascii="Arial Narrow" w:hAnsi="Arial Narrow"/>
                <w:iCs/>
                <w:sz w:val="20"/>
              </w:rPr>
              <w:t xml:space="preserve"> with the Deed of Agreement and </w:t>
            </w:r>
            <w:r w:rsidRPr="00E60F06">
              <w:rPr>
                <w:rFonts w:ascii="Arial Narrow" w:hAnsi="Arial Narrow"/>
                <w:iCs/>
                <w:sz w:val="20"/>
              </w:rPr>
              <w:t>wa</w:t>
            </w:r>
            <w:r w:rsidR="005F2DB7" w:rsidRPr="00E60F06">
              <w:rPr>
                <w:rFonts w:ascii="Arial Narrow" w:hAnsi="Arial Narrow"/>
                <w:iCs/>
                <w:sz w:val="20"/>
              </w:rPr>
              <w:t>s performed in Section D.4 of the submission.</w:t>
            </w:r>
          </w:p>
        </w:tc>
      </w:tr>
      <w:tr w:rsidR="005F2DB7" w:rsidRPr="00E60F06" w:rsidTr="00DE76CD">
        <w:tc>
          <w:tcPr>
            <w:tcW w:w="3794" w:type="dxa"/>
            <w:tcMar>
              <w:top w:w="0" w:type="dxa"/>
              <w:left w:w="108" w:type="dxa"/>
              <w:bottom w:w="0" w:type="dxa"/>
              <w:right w:w="108" w:type="dxa"/>
            </w:tcMar>
            <w:hideMark/>
          </w:tcPr>
          <w:p w:rsidR="005F2DB7" w:rsidRPr="00E60F06" w:rsidRDefault="005F2DB7" w:rsidP="00DE76CD">
            <w:pPr>
              <w:snapToGrid w:val="0"/>
              <w:rPr>
                <w:rFonts w:eastAsiaTheme="minorHAnsi"/>
                <w:sz w:val="24"/>
                <w:szCs w:val="24"/>
              </w:rPr>
            </w:pPr>
            <w:r w:rsidRPr="00E60F06">
              <w:rPr>
                <w:rFonts w:ascii="Arial Narrow" w:hAnsi="Arial Narrow"/>
                <w:iCs/>
                <w:sz w:val="20"/>
                <w:u w:val="single"/>
              </w:rPr>
              <w:t>B.2.2.g</w:t>
            </w:r>
            <w:r w:rsidRPr="00E60F06">
              <w:rPr>
                <w:rFonts w:ascii="Arial Narrow" w:hAnsi="Arial Narrow"/>
                <w:iCs/>
                <w:sz w:val="20"/>
              </w:rPr>
              <w:t xml:space="preserve"> Use the drug dose of </w:t>
            </w:r>
            <w:r w:rsidR="00502545" w:rsidRPr="00E60F06">
              <w:rPr>
                <w:rFonts w:ascii="Arial Narrow" w:hAnsi="Arial Narrow"/>
                <w:iCs/>
                <w:sz w:val="20"/>
              </w:rPr>
              <w:t>2</w:t>
            </w:r>
            <w:r w:rsidR="00DE76CD" w:rsidRPr="00E60F06">
              <w:rPr>
                <w:rFonts w:ascii="Arial Narrow" w:hAnsi="Arial Narrow"/>
                <w:iCs/>
                <w:sz w:val="20"/>
              </w:rPr>
              <w:t> </w:t>
            </w:r>
            <w:r w:rsidR="00502545" w:rsidRPr="00E60F06">
              <w:rPr>
                <w:rFonts w:ascii="Arial Narrow" w:hAnsi="Arial Narrow"/>
                <w:iCs/>
                <w:sz w:val="20"/>
              </w:rPr>
              <w:t>mg</w:t>
            </w:r>
            <w:r w:rsidRPr="00E60F06">
              <w:rPr>
                <w:rFonts w:ascii="Arial Narrow" w:hAnsi="Arial Narrow"/>
                <w:iCs/>
                <w:sz w:val="20"/>
              </w:rPr>
              <w:t>/kg Q3W or reduce the price of the drug accordingly</w:t>
            </w:r>
            <w:r w:rsidR="009C6573" w:rsidRPr="00E60F06">
              <w:rPr>
                <w:rFonts w:ascii="Arial Narrow" w:hAnsi="Arial Narrow"/>
                <w:iCs/>
                <w:sz w:val="20"/>
              </w:rPr>
              <w:t>.</w:t>
            </w:r>
          </w:p>
        </w:tc>
        <w:tc>
          <w:tcPr>
            <w:tcW w:w="4569" w:type="dxa"/>
            <w:tcMar>
              <w:top w:w="0" w:type="dxa"/>
              <w:left w:w="108" w:type="dxa"/>
              <w:bottom w:w="0" w:type="dxa"/>
              <w:right w:w="108" w:type="dxa"/>
            </w:tcMar>
            <w:hideMark/>
          </w:tcPr>
          <w:p w:rsidR="005F2DB7" w:rsidRPr="00E60F06" w:rsidRDefault="005F2DB7" w:rsidP="00DE76CD">
            <w:pPr>
              <w:snapToGrid w:val="0"/>
              <w:rPr>
                <w:rFonts w:eastAsiaTheme="minorHAnsi"/>
                <w:sz w:val="24"/>
                <w:szCs w:val="24"/>
              </w:rPr>
            </w:pPr>
            <w:r w:rsidRPr="00E60F06">
              <w:rPr>
                <w:rFonts w:ascii="Arial Narrow" w:hAnsi="Arial Narrow"/>
                <w:iCs/>
                <w:sz w:val="20"/>
              </w:rPr>
              <w:t>Com</w:t>
            </w:r>
            <w:r w:rsidR="00DE76CD" w:rsidRPr="00E60F06">
              <w:rPr>
                <w:rFonts w:ascii="Arial Narrow" w:hAnsi="Arial Narrow"/>
                <w:iCs/>
                <w:sz w:val="20"/>
              </w:rPr>
              <w:t>plied</w:t>
            </w:r>
            <w:r w:rsidRPr="00E60F06">
              <w:rPr>
                <w:rFonts w:ascii="Arial Narrow" w:hAnsi="Arial Narrow"/>
                <w:iCs/>
                <w:sz w:val="20"/>
              </w:rPr>
              <w:t xml:space="preserve"> with the Deed of Agreement and </w:t>
            </w:r>
            <w:r w:rsidR="00DE76CD" w:rsidRPr="00E60F06">
              <w:rPr>
                <w:rFonts w:ascii="Arial Narrow" w:hAnsi="Arial Narrow"/>
                <w:iCs/>
                <w:sz w:val="20"/>
              </w:rPr>
              <w:t>wa</w:t>
            </w:r>
            <w:r w:rsidRPr="00E60F06">
              <w:rPr>
                <w:rFonts w:ascii="Arial Narrow" w:hAnsi="Arial Narrow"/>
                <w:iCs/>
                <w:sz w:val="20"/>
              </w:rPr>
              <w:t>s performed in Section D.4 of the submission.</w:t>
            </w:r>
          </w:p>
        </w:tc>
      </w:tr>
      <w:tr w:rsidR="005F2DB7" w:rsidRPr="00E60F06" w:rsidTr="00DE76CD">
        <w:tc>
          <w:tcPr>
            <w:tcW w:w="3794" w:type="dxa"/>
            <w:tcMar>
              <w:top w:w="0" w:type="dxa"/>
              <w:left w:w="108" w:type="dxa"/>
              <w:bottom w:w="0" w:type="dxa"/>
              <w:right w:w="108" w:type="dxa"/>
            </w:tcMar>
            <w:hideMark/>
          </w:tcPr>
          <w:p w:rsidR="005F2DB7" w:rsidRPr="00E60F06" w:rsidRDefault="005F2DB7" w:rsidP="00E81E4A">
            <w:pPr>
              <w:snapToGrid w:val="0"/>
              <w:rPr>
                <w:rFonts w:eastAsiaTheme="minorHAnsi"/>
                <w:sz w:val="24"/>
                <w:szCs w:val="24"/>
              </w:rPr>
            </w:pPr>
            <w:r w:rsidRPr="00E60F06">
              <w:rPr>
                <w:rFonts w:ascii="Arial Narrow" w:hAnsi="Arial Narrow"/>
                <w:iCs/>
                <w:sz w:val="20"/>
                <w:u w:val="single"/>
              </w:rPr>
              <w:t>B.2.2.h</w:t>
            </w:r>
            <w:r w:rsidRPr="00E60F06">
              <w:rPr>
                <w:rFonts w:ascii="Arial Narrow" w:hAnsi="Arial Narrow"/>
                <w:iCs/>
                <w:sz w:val="20"/>
              </w:rPr>
              <w:t xml:space="preserve"> Include the mean duration of therapy in the model</w:t>
            </w:r>
            <w:r w:rsidR="0004035B" w:rsidRPr="00E60F06">
              <w:rPr>
                <w:rFonts w:ascii="Arial Narrow" w:hAnsi="Arial Narrow"/>
                <w:iCs/>
                <w:sz w:val="20"/>
              </w:rPr>
              <w:t>,</w:t>
            </w:r>
            <w:r w:rsidRPr="00E60F06">
              <w:rPr>
                <w:rFonts w:ascii="Arial Narrow" w:hAnsi="Arial Narrow"/>
                <w:iCs/>
                <w:sz w:val="20"/>
              </w:rPr>
              <w:t xml:space="preserve"> which should reflect the mean duration of PFS</w:t>
            </w:r>
            <w:r w:rsidR="009C6573" w:rsidRPr="00E60F06">
              <w:rPr>
                <w:rFonts w:ascii="Arial Narrow" w:hAnsi="Arial Narrow"/>
                <w:iCs/>
                <w:sz w:val="20"/>
              </w:rPr>
              <w:t>.</w:t>
            </w:r>
          </w:p>
        </w:tc>
        <w:tc>
          <w:tcPr>
            <w:tcW w:w="4569" w:type="dxa"/>
            <w:tcMar>
              <w:top w:w="0" w:type="dxa"/>
              <w:left w:w="108" w:type="dxa"/>
              <w:bottom w:w="0" w:type="dxa"/>
              <w:right w:w="108" w:type="dxa"/>
            </w:tcMar>
            <w:hideMark/>
          </w:tcPr>
          <w:p w:rsidR="005F2DB7" w:rsidRPr="00E60F06" w:rsidRDefault="00DE76CD" w:rsidP="00DE76CD">
            <w:pPr>
              <w:snapToGrid w:val="0"/>
              <w:rPr>
                <w:rFonts w:eastAsiaTheme="minorHAnsi"/>
                <w:sz w:val="24"/>
                <w:szCs w:val="24"/>
              </w:rPr>
            </w:pPr>
            <w:r w:rsidRPr="00E60F06">
              <w:rPr>
                <w:rFonts w:ascii="Arial Narrow" w:hAnsi="Arial Narrow"/>
                <w:iCs/>
                <w:sz w:val="20"/>
              </w:rPr>
              <w:t>Complied</w:t>
            </w:r>
            <w:r w:rsidR="005F2DB7" w:rsidRPr="00E60F06">
              <w:rPr>
                <w:rFonts w:ascii="Arial Narrow" w:hAnsi="Arial Narrow"/>
                <w:iCs/>
                <w:sz w:val="20"/>
              </w:rPr>
              <w:t xml:space="preserve"> with the Deed of Agreement and appear</w:t>
            </w:r>
            <w:r w:rsidRPr="00E60F06">
              <w:rPr>
                <w:rFonts w:ascii="Arial Narrow" w:hAnsi="Arial Narrow"/>
                <w:iCs/>
                <w:sz w:val="20"/>
              </w:rPr>
              <w:t>ed</w:t>
            </w:r>
            <w:r w:rsidR="005F2DB7" w:rsidRPr="00E60F06">
              <w:rPr>
                <w:rFonts w:ascii="Arial Narrow" w:hAnsi="Arial Narrow"/>
                <w:iCs/>
                <w:sz w:val="20"/>
              </w:rPr>
              <w:t xml:space="preserve"> in Excel file “Pembrolizumab Section D Workbook November 2015” (refer “Results” worksheet) accompanying the submission.</w:t>
            </w:r>
          </w:p>
        </w:tc>
      </w:tr>
      <w:tr w:rsidR="005F2DB7" w:rsidRPr="00E60F06" w:rsidTr="00DE76CD">
        <w:tc>
          <w:tcPr>
            <w:tcW w:w="3794" w:type="dxa"/>
            <w:tcMar>
              <w:top w:w="0" w:type="dxa"/>
              <w:left w:w="108" w:type="dxa"/>
              <w:bottom w:w="0" w:type="dxa"/>
              <w:right w:w="108" w:type="dxa"/>
            </w:tcMar>
            <w:hideMark/>
          </w:tcPr>
          <w:p w:rsidR="005F2DB7" w:rsidRPr="00E60F06" w:rsidRDefault="005F2DB7" w:rsidP="00E81E4A">
            <w:pPr>
              <w:snapToGrid w:val="0"/>
              <w:rPr>
                <w:rFonts w:eastAsiaTheme="minorHAnsi"/>
                <w:sz w:val="24"/>
                <w:szCs w:val="24"/>
              </w:rPr>
            </w:pPr>
            <w:r w:rsidRPr="00E60F06">
              <w:rPr>
                <w:rFonts w:ascii="Arial Narrow" w:hAnsi="Arial Narrow"/>
                <w:iCs/>
                <w:sz w:val="20"/>
                <w:u w:val="single"/>
              </w:rPr>
              <w:t>B.2.2.i</w:t>
            </w:r>
            <w:r w:rsidRPr="00E60F06">
              <w:rPr>
                <w:rFonts w:ascii="Arial Narrow" w:hAnsi="Arial Narrow"/>
                <w:iCs/>
                <w:sz w:val="20"/>
              </w:rPr>
              <w:t xml:space="preserve"> Include justified and fully examined utilities for the PFS health state, and the progressed health state of the model</w:t>
            </w:r>
            <w:r w:rsidR="009C6573" w:rsidRPr="00E60F06">
              <w:rPr>
                <w:rFonts w:ascii="Arial Narrow" w:hAnsi="Arial Narrow"/>
                <w:iCs/>
                <w:sz w:val="20"/>
              </w:rPr>
              <w:t>.</w:t>
            </w:r>
          </w:p>
        </w:tc>
        <w:tc>
          <w:tcPr>
            <w:tcW w:w="4569" w:type="dxa"/>
            <w:tcMar>
              <w:top w:w="0" w:type="dxa"/>
              <w:left w:w="108" w:type="dxa"/>
              <w:bottom w:w="0" w:type="dxa"/>
              <w:right w:w="108" w:type="dxa"/>
            </w:tcMar>
            <w:hideMark/>
          </w:tcPr>
          <w:p w:rsidR="005F2DB7" w:rsidRPr="00E60F06" w:rsidRDefault="00DE76CD" w:rsidP="00AE632F">
            <w:pPr>
              <w:snapToGrid w:val="0"/>
              <w:rPr>
                <w:rFonts w:eastAsiaTheme="minorHAnsi"/>
                <w:sz w:val="24"/>
                <w:szCs w:val="24"/>
              </w:rPr>
            </w:pPr>
            <w:r w:rsidRPr="00E60F06">
              <w:rPr>
                <w:rFonts w:ascii="Arial Narrow" w:hAnsi="Arial Narrow"/>
                <w:iCs/>
                <w:sz w:val="20"/>
              </w:rPr>
              <w:t>Complied</w:t>
            </w:r>
            <w:r w:rsidR="005F2DB7" w:rsidRPr="00E60F06">
              <w:rPr>
                <w:rFonts w:ascii="Arial Narrow" w:hAnsi="Arial Narrow"/>
                <w:iCs/>
                <w:sz w:val="20"/>
              </w:rPr>
              <w:t xml:space="preserve"> with the Deed of Agreement and </w:t>
            </w:r>
            <w:r w:rsidRPr="00E60F06">
              <w:rPr>
                <w:rFonts w:ascii="Arial Narrow" w:hAnsi="Arial Narrow"/>
                <w:iCs/>
                <w:sz w:val="20"/>
              </w:rPr>
              <w:t>wa</w:t>
            </w:r>
            <w:r w:rsidR="005F2DB7" w:rsidRPr="00E60F06">
              <w:rPr>
                <w:rFonts w:ascii="Arial Narrow" w:hAnsi="Arial Narrow"/>
                <w:iCs/>
                <w:sz w:val="20"/>
              </w:rPr>
              <w:t>s performed in Section C.6 of the submission.</w:t>
            </w:r>
          </w:p>
        </w:tc>
      </w:tr>
      <w:tr w:rsidR="005F2DB7" w:rsidRPr="00E60F06" w:rsidTr="00DE76CD">
        <w:tc>
          <w:tcPr>
            <w:tcW w:w="3794" w:type="dxa"/>
            <w:tcMar>
              <w:top w:w="0" w:type="dxa"/>
              <w:left w:w="108" w:type="dxa"/>
              <w:bottom w:w="0" w:type="dxa"/>
              <w:right w:w="108" w:type="dxa"/>
            </w:tcMar>
            <w:hideMark/>
          </w:tcPr>
          <w:p w:rsidR="005F2DB7" w:rsidRPr="00E60F06" w:rsidRDefault="005F2DB7" w:rsidP="00E81E4A">
            <w:pPr>
              <w:snapToGrid w:val="0"/>
              <w:rPr>
                <w:rFonts w:eastAsiaTheme="minorHAnsi"/>
                <w:sz w:val="24"/>
                <w:szCs w:val="24"/>
              </w:rPr>
            </w:pPr>
            <w:r w:rsidRPr="00E60F06">
              <w:rPr>
                <w:rFonts w:ascii="Arial Narrow" w:hAnsi="Arial Narrow"/>
                <w:iCs/>
                <w:sz w:val="20"/>
                <w:u w:val="single"/>
              </w:rPr>
              <w:t>B.2.2.j</w:t>
            </w:r>
            <w:r w:rsidRPr="00E60F06">
              <w:rPr>
                <w:rFonts w:ascii="Arial Narrow" w:hAnsi="Arial Narrow"/>
                <w:iCs/>
                <w:sz w:val="20"/>
              </w:rPr>
              <w:t xml:space="preserve"> Include AE event profiles to be based upon those reported in the final outcomes of KN-006</w:t>
            </w:r>
            <w:r w:rsidR="009C6573" w:rsidRPr="00E60F06">
              <w:rPr>
                <w:rFonts w:ascii="Arial Narrow" w:hAnsi="Arial Narrow"/>
                <w:iCs/>
                <w:sz w:val="20"/>
              </w:rPr>
              <w:t>.</w:t>
            </w:r>
          </w:p>
        </w:tc>
        <w:tc>
          <w:tcPr>
            <w:tcW w:w="4569" w:type="dxa"/>
            <w:tcMar>
              <w:top w:w="0" w:type="dxa"/>
              <w:left w:w="108" w:type="dxa"/>
              <w:bottom w:w="0" w:type="dxa"/>
              <w:right w:w="108" w:type="dxa"/>
            </w:tcMar>
            <w:hideMark/>
          </w:tcPr>
          <w:p w:rsidR="005F2DB7" w:rsidRPr="00E60F06" w:rsidRDefault="00DE76CD" w:rsidP="00DA7206">
            <w:pPr>
              <w:snapToGrid w:val="0"/>
              <w:rPr>
                <w:rFonts w:ascii="Arial Narrow" w:hAnsi="Arial Narrow"/>
                <w:iCs/>
                <w:sz w:val="20"/>
              </w:rPr>
            </w:pPr>
            <w:r w:rsidRPr="00E60F06">
              <w:rPr>
                <w:rFonts w:ascii="Arial Narrow" w:hAnsi="Arial Narrow"/>
                <w:iCs/>
                <w:sz w:val="20"/>
              </w:rPr>
              <w:t>Complied</w:t>
            </w:r>
            <w:r w:rsidR="005F2DB7" w:rsidRPr="00E60F06">
              <w:rPr>
                <w:rFonts w:ascii="Arial Narrow" w:hAnsi="Arial Narrow"/>
                <w:iCs/>
                <w:sz w:val="20"/>
              </w:rPr>
              <w:t xml:space="preserve"> with the Deed of Agreement. The AEs included in the model </w:t>
            </w:r>
            <w:r w:rsidRPr="00E60F06">
              <w:rPr>
                <w:rFonts w:ascii="Arial Narrow" w:hAnsi="Arial Narrow"/>
                <w:iCs/>
                <w:sz w:val="20"/>
              </w:rPr>
              <w:t>we</w:t>
            </w:r>
            <w:r w:rsidR="005F2DB7" w:rsidRPr="00E60F06">
              <w:rPr>
                <w:rFonts w:ascii="Arial Narrow" w:hAnsi="Arial Narrow"/>
                <w:iCs/>
                <w:sz w:val="20"/>
              </w:rPr>
              <w:t xml:space="preserve">re derived from KN-006, although there </w:t>
            </w:r>
            <w:r w:rsidR="00DA7206" w:rsidRPr="00E60F06">
              <w:rPr>
                <w:rFonts w:ascii="Arial Narrow" w:hAnsi="Arial Narrow"/>
                <w:iCs/>
                <w:sz w:val="20"/>
              </w:rPr>
              <w:t>wa</w:t>
            </w:r>
            <w:r w:rsidR="005F2DB7" w:rsidRPr="00E60F06">
              <w:rPr>
                <w:rFonts w:ascii="Arial Narrow" w:hAnsi="Arial Narrow"/>
                <w:iCs/>
                <w:sz w:val="20"/>
              </w:rPr>
              <w:t xml:space="preserve">s only a statistically significant difference between the two treatments for </w:t>
            </w:r>
            <w:r w:rsidR="00685F93" w:rsidRPr="00E60F06">
              <w:rPr>
                <w:rFonts w:ascii="Arial Narrow" w:hAnsi="Arial Narrow"/>
                <w:iCs/>
                <w:sz w:val="20"/>
              </w:rPr>
              <w:t>the AE of</w:t>
            </w:r>
            <w:r w:rsidR="005F2DB7" w:rsidRPr="00E60F06">
              <w:rPr>
                <w:rFonts w:ascii="Arial Narrow" w:hAnsi="Arial Narrow"/>
                <w:iCs/>
                <w:sz w:val="20"/>
              </w:rPr>
              <w:t xml:space="preserve"> colitis.</w:t>
            </w:r>
          </w:p>
        </w:tc>
      </w:tr>
    </w:tbl>
    <w:p w:rsidR="005F2DB7" w:rsidRPr="00E60F06" w:rsidRDefault="005F2DB7" w:rsidP="009C6573">
      <w:pPr>
        <w:pStyle w:val="TableFooter"/>
        <w:ind w:left="851"/>
      </w:pPr>
      <w:r w:rsidRPr="00E60F06">
        <w:t>AE=adverse event; OS=overall survival; PFS=progression-free survival</w:t>
      </w:r>
    </w:p>
    <w:p w:rsidR="005F2DB7" w:rsidRPr="00E60F06" w:rsidRDefault="005F2DB7" w:rsidP="009C6573">
      <w:pPr>
        <w:pStyle w:val="TableFooter"/>
        <w:ind w:left="851"/>
      </w:pPr>
      <w:r w:rsidRPr="00E60F06">
        <w:t>Source: Compiled during the evaluation.</w:t>
      </w:r>
    </w:p>
    <w:p w:rsidR="002E0F3F" w:rsidRPr="00E60F06" w:rsidRDefault="002E0F3F" w:rsidP="00B54B72">
      <w:pPr>
        <w:widowControl/>
      </w:pPr>
    </w:p>
    <w:p w:rsidR="002E0F3F" w:rsidRPr="00E60F06" w:rsidRDefault="002E0F3F" w:rsidP="00423721">
      <w:pPr>
        <w:pStyle w:val="ListParagraph"/>
        <w:widowControl/>
        <w:numPr>
          <w:ilvl w:val="1"/>
          <w:numId w:val="3"/>
        </w:numPr>
      </w:pPr>
      <w:r w:rsidRPr="00E60F06">
        <w:t>The PBAC noted the non-compliance by the sponsor with sections B.2.2.c and B.2.2.d.</w:t>
      </w:r>
    </w:p>
    <w:p w:rsidR="002E0F3F" w:rsidRPr="00E60F06" w:rsidRDefault="002E0F3F" w:rsidP="002E0F3F">
      <w:pPr>
        <w:widowControl/>
      </w:pPr>
    </w:p>
    <w:p w:rsidR="0017122E" w:rsidRPr="00E60F06" w:rsidRDefault="0017122E" w:rsidP="00423721">
      <w:pPr>
        <w:pStyle w:val="ListParagraph"/>
        <w:widowControl/>
        <w:numPr>
          <w:ilvl w:val="1"/>
          <w:numId w:val="3"/>
        </w:numPr>
      </w:pPr>
      <w:r w:rsidRPr="00E60F06">
        <w:t xml:space="preserve">Although not required as part of the Deed of Agreement, the submission made a number of additional requests around post-MES conditions of listing for pembrolizumab.  These requests </w:t>
      </w:r>
      <w:r w:rsidR="00DE76CD" w:rsidRPr="00E60F06">
        <w:t>we</w:t>
      </w:r>
      <w:r w:rsidRPr="00E60F06">
        <w:t>re as follows:</w:t>
      </w:r>
    </w:p>
    <w:p w:rsidR="004F626D" w:rsidRPr="00E60F06" w:rsidRDefault="007B1DFD" w:rsidP="00423721">
      <w:pPr>
        <w:pStyle w:val="ListParagraph"/>
        <w:widowControl/>
        <w:numPr>
          <w:ilvl w:val="0"/>
          <w:numId w:val="5"/>
        </w:numPr>
        <w:ind w:left="993"/>
      </w:pPr>
      <w:r w:rsidRPr="00E60F06">
        <w:t>An increase in the number of patients initiated on treatment, including an adjustment to year 1 to account for patients accrued prior to PBS listing.</w:t>
      </w:r>
    </w:p>
    <w:p w:rsidR="007B1DFD" w:rsidRPr="00E60F06" w:rsidRDefault="007B1DFD" w:rsidP="00423721">
      <w:pPr>
        <w:pStyle w:val="ListParagraph"/>
        <w:widowControl/>
        <w:numPr>
          <w:ilvl w:val="0"/>
          <w:numId w:val="5"/>
        </w:numPr>
        <w:ind w:left="993"/>
      </w:pPr>
      <w:r w:rsidRPr="00E60F06">
        <w:t>Agreement on an effective dispensed price per vial of $</w:t>
      </w:r>
      <w:r w:rsidR="007F3403">
        <w:rPr>
          <w:noProof/>
          <w:color w:val="000000"/>
          <w:highlight w:val="black"/>
        </w:rPr>
        <w:t>'''''''''''''''''''''''</w:t>
      </w:r>
      <w:r w:rsidRPr="00E60F06">
        <w:t xml:space="preserve"> and effective AEMP price per vial of $</w:t>
      </w:r>
      <w:r w:rsidR="007F3403">
        <w:rPr>
          <w:noProof/>
          <w:color w:val="000000"/>
          <w:highlight w:val="black"/>
        </w:rPr>
        <w:t>'''''''''''''''''''''</w:t>
      </w:r>
      <w:r w:rsidRPr="00E60F06">
        <w:t xml:space="preserve">.  This price </w:t>
      </w:r>
      <w:r w:rsidR="00DE76CD" w:rsidRPr="00E60F06">
        <w:t>wa</w:t>
      </w:r>
      <w:r w:rsidRPr="00E60F06">
        <w:t>s based on the modelled economic evaluation, as under the Deed of Agreement</w:t>
      </w:r>
      <w:r w:rsidR="00DE76CD" w:rsidRPr="00E60F06">
        <w:t>,</w:t>
      </w:r>
      <w:r w:rsidRPr="00E60F06">
        <w:t xml:space="preserve"> the sponsor was to back-calculate the DPMQ to result in an ICER of $</w:t>
      </w:r>
      <w:r w:rsidR="00E92F7C" w:rsidRPr="00E60F06">
        <w:t>45,000/QALY - $75,000/QALY</w:t>
      </w:r>
      <w:r w:rsidRPr="00E60F06">
        <w:t xml:space="preserve">.  </w:t>
      </w:r>
      <w:r w:rsidR="002B7B68" w:rsidRPr="00E60F06">
        <w:t>I</w:t>
      </w:r>
      <w:r w:rsidRPr="00E60F06">
        <w:t>t was also revised during the evaluation to account for the use of the $102.67 preparation fee.</w:t>
      </w:r>
    </w:p>
    <w:p w:rsidR="007B1DFD" w:rsidRPr="00E60F06" w:rsidRDefault="007B1DFD" w:rsidP="00423721">
      <w:pPr>
        <w:pStyle w:val="ListParagraph"/>
        <w:widowControl/>
        <w:numPr>
          <w:ilvl w:val="0"/>
          <w:numId w:val="5"/>
        </w:numPr>
        <w:ind w:left="993"/>
      </w:pPr>
      <w:r w:rsidRPr="00E60F06">
        <w:t>Drug costs attributed to patients in the year of treatment, ie aligned to the PFS curve.</w:t>
      </w:r>
    </w:p>
    <w:p w:rsidR="007B1DFD" w:rsidRPr="00E60F06" w:rsidRDefault="007B1DFD" w:rsidP="00423721">
      <w:pPr>
        <w:pStyle w:val="ListParagraph"/>
        <w:widowControl/>
        <w:numPr>
          <w:ilvl w:val="0"/>
          <w:numId w:val="5"/>
        </w:numPr>
        <w:ind w:left="993"/>
      </w:pPr>
      <w:r w:rsidRPr="00E60F06">
        <w:t>Consequential changes to the budget caps in the Deed of Agre</w:t>
      </w:r>
      <w:r w:rsidR="00DE76CD" w:rsidRPr="00E60F06">
        <w:t>ement.  The submission specified</w:t>
      </w:r>
      <w:r w:rsidRPr="00E60F06">
        <w:t xml:space="preserve"> an update of the caps from year 2 onward to reflect payment for prevalent patients remaining on therapy beyond their first year of treatment.</w:t>
      </w:r>
    </w:p>
    <w:p w:rsidR="007B1DFD" w:rsidRPr="00E60F06" w:rsidRDefault="007B1DFD" w:rsidP="00423721">
      <w:pPr>
        <w:pStyle w:val="ListParagraph"/>
        <w:widowControl/>
        <w:numPr>
          <w:ilvl w:val="0"/>
          <w:numId w:val="5"/>
        </w:numPr>
        <w:ind w:left="993"/>
      </w:pPr>
      <w:r w:rsidRPr="00E60F06">
        <w:t>The existing Deed structure and gross list AEMP of $</w:t>
      </w:r>
      <w:r w:rsidR="007F3403">
        <w:rPr>
          <w:noProof/>
          <w:color w:val="000000"/>
          <w:highlight w:val="black"/>
        </w:rPr>
        <w:t>'''''''''''''''</w:t>
      </w:r>
      <w:r w:rsidRPr="00E60F06">
        <w:t xml:space="preserve"> to be maintained.</w:t>
      </w:r>
    </w:p>
    <w:p w:rsidR="007B1DFD" w:rsidRPr="00E60F06" w:rsidRDefault="007B1DFD" w:rsidP="004F626D">
      <w:pPr>
        <w:widowControl/>
      </w:pPr>
    </w:p>
    <w:p w:rsidR="004F626D" w:rsidRPr="00E60F06" w:rsidRDefault="003B495C" w:rsidP="00423721">
      <w:pPr>
        <w:pStyle w:val="ListParagraph"/>
        <w:widowControl/>
        <w:numPr>
          <w:ilvl w:val="1"/>
          <w:numId w:val="3"/>
        </w:numPr>
      </w:pPr>
      <w:r w:rsidRPr="00E60F06">
        <w:t xml:space="preserve">The above requests by the sponsor </w:t>
      </w:r>
      <w:r w:rsidR="00FD7E95" w:rsidRPr="00E60F06">
        <w:t>were</w:t>
      </w:r>
      <w:r w:rsidRPr="00E60F06">
        <w:t xml:space="preserve"> considered in light of the pos</w:t>
      </w:r>
      <w:r w:rsidR="00875E18" w:rsidRPr="00E60F06">
        <w:t>itiv</w:t>
      </w:r>
      <w:r w:rsidRPr="00E60F06">
        <w:t>e r</w:t>
      </w:r>
      <w:r w:rsidR="00875E18" w:rsidRPr="00E60F06">
        <w:t>e</w:t>
      </w:r>
      <w:r w:rsidRPr="00E60F06">
        <w:t xml:space="preserve">commendation made by the </w:t>
      </w:r>
      <w:r w:rsidR="00DE76CD" w:rsidRPr="00E60F06">
        <w:t xml:space="preserve">November 2015 PBAC meeting </w:t>
      </w:r>
      <w:r w:rsidRPr="00E60F06">
        <w:t xml:space="preserve">for </w:t>
      </w:r>
      <w:r w:rsidR="00875E18" w:rsidRPr="00E60F06">
        <w:t>nivolumab, on a cost-minimisatio</w:t>
      </w:r>
      <w:r w:rsidRPr="00E60F06">
        <w:t xml:space="preserve">n basis with pembrolizumab. </w:t>
      </w:r>
      <w:r w:rsidR="00DE76CD" w:rsidRPr="00E60F06">
        <w:t xml:space="preserve"> </w:t>
      </w:r>
      <w:r w:rsidRPr="00E60F06">
        <w:t>While information regarding the PBAC recommendation was not available prior to the lodging of the current submission, should nivolumab be listed on the PBS, then consideration of th</w:t>
      </w:r>
      <w:r w:rsidR="00875E18" w:rsidRPr="00E60F06">
        <w:t xml:space="preserve">e </w:t>
      </w:r>
      <w:r w:rsidR="00DE76CD" w:rsidRPr="00E60F06">
        <w:t xml:space="preserve">outcomes of the current </w:t>
      </w:r>
      <w:r w:rsidRPr="00E60F06">
        <w:t>submission, and the requests within it, w</w:t>
      </w:r>
      <w:r w:rsidR="00FD7E95" w:rsidRPr="00E60F06">
        <w:t>ould</w:t>
      </w:r>
      <w:r w:rsidRPr="00E60F06">
        <w:t xml:space="preserve"> be </w:t>
      </w:r>
      <w:r w:rsidR="00DE76CD" w:rsidRPr="00E60F06">
        <w:t>affected</w:t>
      </w:r>
      <w:r w:rsidRPr="00E60F06">
        <w:t>.</w:t>
      </w:r>
    </w:p>
    <w:p w:rsidR="000C2BCE" w:rsidRPr="00E60F06" w:rsidRDefault="000C2BCE" w:rsidP="000C2BCE">
      <w:pPr>
        <w:widowControl/>
        <w:rPr>
          <w:szCs w:val="22"/>
        </w:rPr>
      </w:pPr>
    </w:p>
    <w:p w:rsidR="000C2BCE" w:rsidRPr="00E60F06" w:rsidRDefault="000C2BCE" w:rsidP="006B48C6">
      <w:pPr>
        <w:pStyle w:val="ListParagraph"/>
        <w:ind w:left="709"/>
        <w:rPr>
          <w:i/>
          <w:szCs w:val="22"/>
        </w:rPr>
      </w:pPr>
      <w:r w:rsidRPr="00E60F06">
        <w:rPr>
          <w:i/>
          <w:szCs w:val="22"/>
        </w:rPr>
        <w:t>For more detail on PBAC’s view, see section 7 “PBAC outcome”</w:t>
      </w:r>
      <w:r w:rsidR="00FD7E95" w:rsidRPr="00E60F06">
        <w:rPr>
          <w:i/>
          <w:szCs w:val="22"/>
        </w:rPr>
        <w:t>.</w:t>
      </w:r>
    </w:p>
    <w:p w:rsidR="00B60939" w:rsidRPr="00E60F06" w:rsidRDefault="00B60939" w:rsidP="004B1CB4"/>
    <w:p w:rsidR="00E55BB5" w:rsidRPr="00E60F06" w:rsidRDefault="00E55BB5" w:rsidP="004B1CB4"/>
    <w:p w:rsidR="00B50DB8" w:rsidRPr="00E60F06" w:rsidRDefault="00B50DB8" w:rsidP="00BD6CF3">
      <w:pPr>
        <w:pStyle w:val="PBACHeading1"/>
      </w:pPr>
      <w:bookmarkStart w:id="4" w:name="_Toc440982032"/>
      <w:r w:rsidRPr="00E60F06">
        <w:t>Clinical place for the proposed therapy</w:t>
      </w:r>
      <w:bookmarkEnd w:id="4"/>
    </w:p>
    <w:p w:rsidR="00B60939" w:rsidRPr="00E60F06" w:rsidRDefault="00B60939" w:rsidP="00B60939">
      <w:pPr>
        <w:rPr>
          <w:szCs w:val="22"/>
        </w:rPr>
      </w:pPr>
    </w:p>
    <w:p w:rsidR="00B60939" w:rsidRPr="00E60F06" w:rsidRDefault="008E5F0A" w:rsidP="00423721">
      <w:pPr>
        <w:pStyle w:val="ListParagraph"/>
        <w:widowControl/>
        <w:numPr>
          <w:ilvl w:val="1"/>
          <w:numId w:val="3"/>
        </w:numPr>
        <w:rPr>
          <w:szCs w:val="22"/>
        </w:rPr>
      </w:pPr>
      <w:r w:rsidRPr="00E60F06">
        <w:t>The PBS restriction for pembrolizumab</w:t>
      </w:r>
      <w:r w:rsidR="005973BE" w:rsidRPr="00E60F06">
        <w:t xml:space="preserve"> for the treatment of unresectable or metastatic melanoma</w:t>
      </w:r>
      <w:r w:rsidRPr="00E60F06">
        <w:t xml:space="preserve"> places its use </w:t>
      </w:r>
      <w:r w:rsidR="005973BE" w:rsidRPr="00E60F06">
        <w:t>as follows:</w:t>
      </w:r>
    </w:p>
    <w:p w:rsidR="00894489" w:rsidRPr="00E60F06" w:rsidRDefault="00655C2D" w:rsidP="00423721">
      <w:pPr>
        <w:pStyle w:val="ListParagraph"/>
        <w:widowControl/>
        <w:numPr>
          <w:ilvl w:val="0"/>
          <w:numId w:val="6"/>
        </w:numPr>
        <w:ind w:left="1134"/>
        <w:rPr>
          <w:szCs w:val="22"/>
        </w:rPr>
      </w:pPr>
      <w:r w:rsidRPr="00E60F06">
        <w:rPr>
          <w:szCs w:val="22"/>
        </w:rPr>
        <w:t>f</w:t>
      </w:r>
      <w:r w:rsidR="005973BE" w:rsidRPr="00E60F06">
        <w:rPr>
          <w:szCs w:val="22"/>
        </w:rPr>
        <w:t>irst-line for patients who are BRAF mutation negative (BRAF wild type);</w:t>
      </w:r>
    </w:p>
    <w:p w:rsidR="005973BE" w:rsidRPr="00E60F06" w:rsidRDefault="00655C2D" w:rsidP="00423721">
      <w:pPr>
        <w:pStyle w:val="ListParagraph"/>
        <w:widowControl/>
        <w:numPr>
          <w:ilvl w:val="0"/>
          <w:numId w:val="6"/>
        </w:numPr>
        <w:ind w:left="1134"/>
        <w:rPr>
          <w:szCs w:val="22"/>
        </w:rPr>
      </w:pPr>
      <w:r w:rsidRPr="00E60F06">
        <w:rPr>
          <w:szCs w:val="22"/>
        </w:rPr>
        <w:t>s</w:t>
      </w:r>
      <w:r w:rsidR="005973BE" w:rsidRPr="00E60F06">
        <w:rPr>
          <w:szCs w:val="22"/>
        </w:rPr>
        <w:t>econd-line, following progression on a BRAF/MEK inhibitor</w:t>
      </w:r>
      <w:r w:rsidR="00FD7E95" w:rsidRPr="00E60F06">
        <w:rPr>
          <w:szCs w:val="22"/>
        </w:rPr>
        <w:t>,</w:t>
      </w:r>
      <w:r w:rsidR="005973BE" w:rsidRPr="00E60F06">
        <w:rPr>
          <w:szCs w:val="22"/>
        </w:rPr>
        <w:t xml:space="preserve"> for patients who are BRAF mutation positive.</w:t>
      </w:r>
    </w:p>
    <w:p w:rsidR="005973BE" w:rsidRPr="00E60F06" w:rsidRDefault="005973BE" w:rsidP="005973BE">
      <w:pPr>
        <w:widowControl/>
        <w:rPr>
          <w:szCs w:val="22"/>
        </w:rPr>
      </w:pPr>
    </w:p>
    <w:p w:rsidR="00BD5D2C" w:rsidRPr="00E60F06" w:rsidRDefault="005973BE" w:rsidP="00423721">
      <w:pPr>
        <w:pStyle w:val="ListParagraph"/>
        <w:widowControl/>
        <w:numPr>
          <w:ilvl w:val="1"/>
          <w:numId w:val="3"/>
        </w:numPr>
        <w:rPr>
          <w:szCs w:val="22"/>
        </w:rPr>
      </w:pPr>
      <w:r w:rsidRPr="00E60F06">
        <w:t>The submission did not discuss potential alterations in the clinical management algorithm, for example the possibility that</w:t>
      </w:r>
      <w:r w:rsidR="00BD5D2C" w:rsidRPr="00E60F06">
        <w:t xml:space="preserve"> the requirement under current PBS restrictions that patients with a BRAF mutation must use a BRAF/MEK inhibitor as fi</w:t>
      </w:r>
      <w:r w:rsidR="000A74ED" w:rsidRPr="00E60F06">
        <w:t>r</w:t>
      </w:r>
      <w:r w:rsidR="00BD5D2C" w:rsidRPr="00E60F06">
        <w:t xml:space="preserve">st-line therapy may be removed and PD-1 inhibitors will be able to be used as first-line therapy in patients with BRAF mutations.  Given the rapidly changing landscape of melanoma treatment, consideration of these possibilities would have been informative, particularly in regard to potential </w:t>
      </w:r>
      <w:r w:rsidR="00A50A05" w:rsidRPr="00E60F06">
        <w:t>uptake of pembrolizumab.</w:t>
      </w:r>
    </w:p>
    <w:p w:rsidR="000C2BCE" w:rsidRPr="00E60F06" w:rsidRDefault="000C2BCE" w:rsidP="00FD7E95">
      <w:pPr>
        <w:widowControl/>
      </w:pPr>
    </w:p>
    <w:p w:rsidR="00E20930" w:rsidRPr="00E60F06" w:rsidRDefault="00E20930">
      <w:pPr>
        <w:widowControl/>
        <w:jc w:val="left"/>
        <w:rPr>
          <w:szCs w:val="22"/>
        </w:rPr>
      </w:pPr>
      <w:r w:rsidRPr="00E60F06">
        <w:rPr>
          <w:szCs w:val="22"/>
        </w:rPr>
        <w:br w:type="page"/>
      </w:r>
    </w:p>
    <w:p w:rsidR="00E55BB5" w:rsidRPr="00E60F06" w:rsidRDefault="00E55BB5" w:rsidP="000A74ED">
      <w:pPr>
        <w:pStyle w:val="Header"/>
        <w:rPr>
          <w:szCs w:val="22"/>
        </w:rPr>
      </w:pPr>
    </w:p>
    <w:p w:rsidR="00B50DB8" w:rsidRPr="00E60F06" w:rsidRDefault="00B50DB8" w:rsidP="00953BF6">
      <w:pPr>
        <w:pStyle w:val="PBACHeading1"/>
        <w:rPr>
          <w:b w:val="0"/>
        </w:rPr>
      </w:pPr>
      <w:bookmarkStart w:id="5" w:name="_Toc440982033"/>
      <w:r w:rsidRPr="00E60F06">
        <w:t>Comparator</w:t>
      </w:r>
      <w:bookmarkEnd w:id="5"/>
    </w:p>
    <w:p w:rsidR="00B60939" w:rsidRPr="00E60F06" w:rsidRDefault="00B60939" w:rsidP="004B1CB4"/>
    <w:p w:rsidR="002C2775" w:rsidRPr="00E60F06" w:rsidRDefault="00655C2D" w:rsidP="00423721">
      <w:pPr>
        <w:pStyle w:val="ListParagraph"/>
        <w:widowControl/>
        <w:numPr>
          <w:ilvl w:val="1"/>
          <w:numId w:val="3"/>
        </w:numPr>
        <w:rPr>
          <w:szCs w:val="22"/>
        </w:rPr>
      </w:pPr>
      <w:r w:rsidRPr="00E60F06">
        <w:t>Ipilimumab wa</w:t>
      </w:r>
      <w:r w:rsidR="00A50A05" w:rsidRPr="00E60F06">
        <w:t>s the main comparator, as it was in the March 2015 submission.</w:t>
      </w:r>
      <w:r w:rsidR="002B226E" w:rsidRPr="00E60F06">
        <w:t xml:space="preserve">  </w:t>
      </w:r>
      <w:r w:rsidR="00A50A05" w:rsidRPr="00E60F06">
        <w:t>With the recent PBAC recommendation of nivolumab (which occurred after the submission was lodged)</w:t>
      </w:r>
      <w:r w:rsidR="00AF3A78" w:rsidRPr="00E60F06">
        <w:t>,</w:t>
      </w:r>
      <w:r w:rsidR="00A50A05" w:rsidRPr="00E60F06">
        <w:t xml:space="preserve"> </w:t>
      </w:r>
      <w:r w:rsidRPr="00E60F06">
        <w:t xml:space="preserve">nivolumab </w:t>
      </w:r>
      <w:r w:rsidR="00A50A05" w:rsidRPr="00E60F06">
        <w:t>w</w:t>
      </w:r>
      <w:r w:rsidRPr="00E60F06">
        <w:t xml:space="preserve">ould also </w:t>
      </w:r>
      <w:r w:rsidR="00A50A05" w:rsidRPr="00E60F06">
        <w:t>be a relevant comparator.</w:t>
      </w:r>
    </w:p>
    <w:p w:rsidR="000C2BCE" w:rsidRPr="00E60F06" w:rsidRDefault="000C2BCE" w:rsidP="000C2BCE">
      <w:pPr>
        <w:widowControl/>
        <w:rPr>
          <w:szCs w:val="22"/>
        </w:rPr>
      </w:pPr>
    </w:p>
    <w:p w:rsidR="000C2BCE" w:rsidRPr="00E60F06" w:rsidRDefault="000C2BCE" w:rsidP="006B48C6">
      <w:pPr>
        <w:pStyle w:val="ListParagraph"/>
        <w:ind w:left="709"/>
        <w:rPr>
          <w:i/>
          <w:szCs w:val="22"/>
        </w:rPr>
      </w:pPr>
      <w:r w:rsidRPr="00E60F06">
        <w:rPr>
          <w:i/>
          <w:szCs w:val="22"/>
        </w:rPr>
        <w:t>For more detail on PBAC’s view, see section 7 “PBAC outcome”</w:t>
      </w:r>
      <w:r w:rsidR="00FD7E95" w:rsidRPr="00E60F06">
        <w:rPr>
          <w:i/>
          <w:szCs w:val="22"/>
        </w:rPr>
        <w:t>.</w:t>
      </w:r>
    </w:p>
    <w:p w:rsidR="000C2BCE" w:rsidRPr="00E60F06" w:rsidRDefault="000C2BCE" w:rsidP="00FD7E95">
      <w:pPr>
        <w:widowControl/>
      </w:pPr>
    </w:p>
    <w:p w:rsidR="00F50EFA" w:rsidRPr="00E60F06" w:rsidRDefault="00F50EFA" w:rsidP="00DF5D2B">
      <w:pPr>
        <w:rPr>
          <w:szCs w:val="22"/>
        </w:rPr>
      </w:pPr>
    </w:p>
    <w:p w:rsidR="00B50DB8" w:rsidRPr="00E60F06" w:rsidRDefault="00BD6CF3" w:rsidP="00BD6CF3">
      <w:pPr>
        <w:pStyle w:val="PBACHeading1"/>
      </w:pPr>
      <w:bookmarkStart w:id="6" w:name="_Toc440982034"/>
      <w:r w:rsidRPr="00E60F06">
        <w:t>C</w:t>
      </w:r>
      <w:r w:rsidR="00B50DB8" w:rsidRPr="00E60F06">
        <w:t>onsideration of the evidence</w:t>
      </w:r>
      <w:bookmarkEnd w:id="6"/>
    </w:p>
    <w:p w:rsidR="00BD0F53" w:rsidRPr="00E60F06" w:rsidRDefault="00BD0F53" w:rsidP="00062B79"/>
    <w:p w:rsidR="00062B79" w:rsidRPr="00E60F06" w:rsidRDefault="00062B79" w:rsidP="00062B79">
      <w:pPr>
        <w:rPr>
          <w:b/>
          <w:i/>
        </w:rPr>
      </w:pPr>
      <w:r w:rsidRPr="00E60F06">
        <w:rPr>
          <w:b/>
          <w:i/>
        </w:rPr>
        <w:t>Sponsor hearing</w:t>
      </w:r>
    </w:p>
    <w:p w:rsidR="00062B79" w:rsidRPr="00E60F06" w:rsidRDefault="00062B79" w:rsidP="00062B79"/>
    <w:p w:rsidR="000C2BCE" w:rsidRPr="00E60F06" w:rsidRDefault="00062B79" w:rsidP="00FD7E95">
      <w:pPr>
        <w:pStyle w:val="PBACHeading1"/>
        <w:numPr>
          <w:ilvl w:val="1"/>
          <w:numId w:val="3"/>
        </w:numPr>
        <w:jc w:val="both"/>
        <w:rPr>
          <w:b w:val="0"/>
        </w:rPr>
      </w:pPr>
      <w:r w:rsidRPr="00E60F06">
        <w:rPr>
          <w:b w:val="0"/>
        </w:rPr>
        <w:t xml:space="preserve">The sponsor requested a hearing for this item.  The sponsor presented an overview of the </w:t>
      </w:r>
      <w:r w:rsidR="007560D7" w:rsidRPr="00E60F06">
        <w:rPr>
          <w:b w:val="0"/>
        </w:rPr>
        <w:t>key trial</w:t>
      </w:r>
      <w:r w:rsidRPr="00E60F06">
        <w:rPr>
          <w:b w:val="0"/>
        </w:rPr>
        <w:t>,</w:t>
      </w:r>
      <w:r w:rsidR="00380B18" w:rsidRPr="00E60F06">
        <w:rPr>
          <w:b w:val="0"/>
        </w:rPr>
        <w:t xml:space="preserve"> </w:t>
      </w:r>
      <w:r w:rsidRPr="00E60F06">
        <w:rPr>
          <w:b w:val="0"/>
        </w:rPr>
        <w:t xml:space="preserve">including the reasons for stopping </w:t>
      </w:r>
      <w:r w:rsidR="007560D7" w:rsidRPr="00E60F06">
        <w:rPr>
          <w:b w:val="0"/>
        </w:rPr>
        <w:t xml:space="preserve">it </w:t>
      </w:r>
      <w:r w:rsidRPr="00E60F06">
        <w:rPr>
          <w:b w:val="0"/>
        </w:rPr>
        <w:t>early</w:t>
      </w:r>
      <w:r w:rsidR="00BF7ECC" w:rsidRPr="00E60F06">
        <w:rPr>
          <w:b w:val="0"/>
        </w:rPr>
        <w:t>;</w:t>
      </w:r>
      <w:r w:rsidRPr="00E60F06">
        <w:rPr>
          <w:b w:val="0"/>
        </w:rPr>
        <w:t xml:space="preserve"> present</w:t>
      </w:r>
      <w:r w:rsidR="00380B18" w:rsidRPr="00E60F06">
        <w:rPr>
          <w:b w:val="0"/>
        </w:rPr>
        <w:t>ed</w:t>
      </w:r>
      <w:r w:rsidRPr="00E60F06">
        <w:rPr>
          <w:b w:val="0"/>
        </w:rPr>
        <w:t xml:space="preserve"> further arguments for an increase in the </w:t>
      </w:r>
      <w:r w:rsidR="001D2C24" w:rsidRPr="00E60F06">
        <w:rPr>
          <w:b w:val="0"/>
          <w:bCs/>
          <w:lang w:val="en-GB"/>
        </w:rPr>
        <w:t>risk share arrangements (</w:t>
      </w:r>
      <w:r w:rsidR="00380B18" w:rsidRPr="00E60F06">
        <w:rPr>
          <w:b w:val="0"/>
        </w:rPr>
        <w:t>RSA</w:t>
      </w:r>
      <w:r w:rsidR="001D2C24" w:rsidRPr="00E60F06">
        <w:rPr>
          <w:b w:val="0"/>
        </w:rPr>
        <w:t>)</w:t>
      </w:r>
      <w:r w:rsidR="00380B18" w:rsidRPr="00E60F06">
        <w:rPr>
          <w:b w:val="0"/>
        </w:rPr>
        <w:t xml:space="preserve"> cap based on a higher than expected </w:t>
      </w:r>
      <w:r w:rsidR="007560D7" w:rsidRPr="00E60F06">
        <w:rPr>
          <w:b w:val="0"/>
        </w:rPr>
        <w:t>“</w:t>
      </w:r>
      <w:r w:rsidR="00380B18" w:rsidRPr="00E60F06">
        <w:rPr>
          <w:b w:val="0"/>
        </w:rPr>
        <w:t>bolus</w:t>
      </w:r>
      <w:r w:rsidR="007560D7" w:rsidRPr="00E60F06">
        <w:rPr>
          <w:b w:val="0"/>
        </w:rPr>
        <w:t>”</w:t>
      </w:r>
      <w:r w:rsidR="00380B18" w:rsidRPr="00E60F06">
        <w:rPr>
          <w:b w:val="0"/>
        </w:rPr>
        <w:t xml:space="preserve"> of grandfathered patient</w:t>
      </w:r>
      <w:r w:rsidR="007560D7" w:rsidRPr="00E60F06">
        <w:rPr>
          <w:b w:val="0"/>
        </w:rPr>
        <w:t>s</w:t>
      </w:r>
      <w:r w:rsidR="00BF7ECC" w:rsidRPr="00E60F06">
        <w:rPr>
          <w:b w:val="0"/>
        </w:rPr>
        <w:t>;</w:t>
      </w:r>
      <w:r w:rsidRPr="00E60F06">
        <w:rPr>
          <w:b w:val="0"/>
        </w:rPr>
        <w:t xml:space="preserve"> and addressed other matters in respons</w:t>
      </w:r>
      <w:r w:rsidR="00380B18" w:rsidRPr="00E60F06">
        <w:rPr>
          <w:b w:val="0"/>
        </w:rPr>
        <w:t>e to the Committee’s questions.</w:t>
      </w:r>
      <w:r w:rsidRPr="00E60F06">
        <w:rPr>
          <w:b w:val="0"/>
        </w:rPr>
        <w:t xml:space="preserve">  The PBAC considered that the hearing did not add substantively to the evidence presented in the submission.</w:t>
      </w:r>
    </w:p>
    <w:p w:rsidR="00380B18" w:rsidRPr="00E60F06" w:rsidRDefault="00380B18" w:rsidP="00FD7E95">
      <w:pPr>
        <w:pStyle w:val="PBACHeading1"/>
        <w:numPr>
          <w:ilvl w:val="0"/>
          <w:numId w:val="0"/>
        </w:numPr>
        <w:jc w:val="both"/>
        <w:rPr>
          <w:b w:val="0"/>
        </w:rPr>
      </w:pPr>
    </w:p>
    <w:p w:rsidR="00380B18" w:rsidRPr="00E60F06" w:rsidRDefault="00380B18" w:rsidP="00380B18">
      <w:pPr>
        <w:rPr>
          <w:b/>
          <w:i/>
        </w:rPr>
      </w:pPr>
      <w:r w:rsidRPr="00E60F06">
        <w:rPr>
          <w:b/>
          <w:i/>
        </w:rPr>
        <w:t>Consumer comments</w:t>
      </w:r>
    </w:p>
    <w:p w:rsidR="00380B18" w:rsidRPr="00E60F06" w:rsidRDefault="00380B18" w:rsidP="00380B18"/>
    <w:p w:rsidR="00062B79" w:rsidRPr="00E60F06" w:rsidRDefault="00380B18" w:rsidP="00380B18">
      <w:pPr>
        <w:pStyle w:val="PBACHeading1"/>
        <w:numPr>
          <w:ilvl w:val="1"/>
          <w:numId w:val="3"/>
        </w:numPr>
        <w:rPr>
          <w:b w:val="0"/>
        </w:rPr>
      </w:pPr>
      <w:r w:rsidRPr="00E60F06">
        <w:rPr>
          <w:b w:val="0"/>
        </w:rPr>
        <w:t>The PBAC noted that no consumer comments were received for this item.</w:t>
      </w:r>
    </w:p>
    <w:p w:rsidR="00380B18" w:rsidRPr="00E60F06" w:rsidRDefault="00380B18" w:rsidP="00FD7E95">
      <w:pPr>
        <w:pStyle w:val="PBACHeading1"/>
        <w:numPr>
          <w:ilvl w:val="0"/>
          <w:numId w:val="0"/>
        </w:numPr>
        <w:rPr>
          <w:b w:val="0"/>
        </w:rPr>
      </w:pPr>
    </w:p>
    <w:p w:rsidR="00B60939" w:rsidRPr="00E60F06" w:rsidRDefault="00B60939" w:rsidP="002C2775">
      <w:pPr>
        <w:pStyle w:val="Heading2"/>
        <w:rPr>
          <w:i/>
        </w:rPr>
      </w:pPr>
      <w:bookmarkStart w:id="7" w:name="_Toc440982035"/>
      <w:r w:rsidRPr="00E60F06">
        <w:rPr>
          <w:i/>
        </w:rPr>
        <w:t>Clinical trials</w:t>
      </w:r>
      <w:bookmarkEnd w:id="7"/>
    </w:p>
    <w:p w:rsidR="00B60939" w:rsidRPr="00E60F06" w:rsidRDefault="00B60939" w:rsidP="00B60939">
      <w:pPr>
        <w:rPr>
          <w:szCs w:val="22"/>
        </w:rPr>
      </w:pPr>
    </w:p>
    <w:p w:rsidR="007F1017" w:rsidRPr="00E60F06" w:rsidRDefault="00A50A05" w:rsidP="00423721">
      <w:pPr>
        <w:pStyle w:val="ListParagraph"/>
        <w:widowControl/>
        <w:numPr>
          <w:ilvl w:val="1"/>
          <w:numId w:val="3"/>
        </w:numPr>
        <w:rPr>
          <w:szCs w:val="22"/>
        </w:rPr>
      </w:pPr>
      <w:r w:rsidRPr="00E60F06">
        <w:t xml:space="preserve">The submission </w:t>
      </w:r>
      <w:r w:rsidR="00655C2D" w:rsidRPr="00E60F06">
        <w:t>wa</w:t>
      </w:r>
      <w:r w:rsidRPr="00E60F06">
        <w:t>s based on KN-006</w:t>
      </w:r>
      <w:r w:rsidR="005B3138" w:rsidRPr="00E60F06">
        <w:t xml:space="preserve"> (N=834)</w:t>
      </w:r>
      <w:r w:rsidRPr="00E60F06">
        <w:t>, the randomised, op</w:t>
      </w:r>
      <w:r w:rsidR="00970922" w:rsidRPr="00E60F06">
        <w:t>e</w:t>
      </w:r>
      <w:r w:rsidRPr="00E60F06">
        <w:t>n-label trial</w:t>
      </w:r>
      <w:r w:rsidR="002B226E" w:rsidRPr="00E60F06">
        <w:t xml:space="preserve"> </w:t>
      </w:r>
      <w:r w:rsidR="00970922" w:rsidRPr="00E60F06">
        <w:t xml:space="preserve">comparing pembrolizumab and ipilimumab for which early results </w:t>
      </w:r>
      <w:r w:rsidR="005B3138" w:rsidRPr="00E60F06">
        <w:t>w</w:t>
      </w:r>
      <w:r w:rsidR="00970922" w:rsidRPr="00E60F06">
        <w:t>ere presented just prior to the March 2015 PBAC meeting.</w:t>
      </w:r>
    </w:p>
    <w:p w:rsidR="00862502" w:rsidRPr="00E60F06" w:rsidRDefault="00862502" w:rsidP="00862502">
      <w:pPr>
        <w:widowControl/>
        <w:rPr>
          <w:szCs w:val="22"/>
        </w:rPr>
      </w:pPr>
    </w:p>
    <w:p w:rsidR="00970922" w:rsidRPr="00E60F06" w:rsidRDefault="00FB55B4" w:rsidP="00423721">
      <w:pPr>
        <w:pStyle w:val="ListParagraph"/>
        <w:widowControl/>
        <w:numPr>
          <w:ilvl w:val="1"/>
          <w:numId w:val="3"/>
        </w:numPr>
        <w:rPr>
          <w:szCs w:val="22"/>
        </w:rPr>
      </w:pPr>
      <w:r w:rsidRPr="00E60F06">
        <w:rPr>
          <w:szCs w:val="22"/>
        </w:rPr>
        <w:t>Publication d</w:t>
      </w:r>
      <w:r w:rsidR="00862502" w:rsidRPr="00E60F06">
        <w:rPr>
          <w:szCs w:val="22"/>
        </w:rPr>
        <w:t xml:space="preserve">etails of </w:t>
      </w:r>
      <w:r w:rsidR="00970922" w:rsidRPr="00E60F06">
        <w:rPr>
          <w:szCs w:val="22"/>
        </w:rPr>
        <w:t xml:space="preserve">KN-006 are provided </w:t>
      </w:r>
      <w:r w:rsidR="005F5C16" w:rsidRPr="00E60F06">
        <w:rPr>
          <w:szCs w:val="22"/>
        </w:rPr>
        <w:t xml:space="preserve">in the table </w:t>
      </w:r>
      <w:r w:rsidR="00970922" w:rsidRPr="00E60F06">
        <w:rPr>
          <w:szCs w:val="22"/>
        </w:rPr>
        <w:t>below, and the key features of the trial are in the table following.</w:t>
      </w:r>
    </w:p>
    <w:p w:rsidR="00F50EFA" w:rsidRPr="00E60F06" w:rsidRDefault="00F50EFA" w:rsidP="00F50EFA">
      <w:pPr>
        <w:widowControl/>
        <w:jc w:val="left"/>
        <w:rPr>
          <w:szCs w:val="22"/>
        </w:rPr>
      </w:pPr>
    </w:p>
    <w:p w:rsidR="008F120A" w:rsidRPr="00E60F06" w:rsidRDefault="008F120A" w:rsidP="00F50EFA">
      <w:pPr>
        <w:widowControl/>
        <w:ind w:firstLine="720"/>
        <w:jc w:val="left"/>
        <w:rPr>
          <w:rStyle w:val="CommentReference"/>
        </w:rPr>
      </w:pPr>
      <w:r w:rsidRPr="00E60F06">
        <w:rPr>
          <w:rStyle w:val="CommentReference"/>
        </w:rPr>
        <w:t xml:space="preserve">Table </w:t>
      </w:r>
      <w:r w:rsidR="00D25A49" w:rsidRPr="00E60F06">
        <w:rPr>
          <w:rStyle w:val="CommentReference"/>
        </w:rPr>
        <w:t>2</w:t>
      </w:r>
      <w:r w:rsidRPr="00E60F06">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7"/>
        <w:gridCol w:w="4960"/>
        <w:gridCol w:w="2108"/>
      </w:tblGrid>
      <w:tr w:rsidR="008F120A" w:rsidRPr="00E60F06" w:rsidTr="00C17181">
        <w:tc>
          <w:tcPr>
            <w:tcW w:w="765" w:type="pct"/>
            <w:vAlign w:val="center"/>
          </w:tcPr>
          <w:p w:rsidR="008F120A" w:rsidRPr="00E60F06" w:rsidRDefault="008F120A" w:rsidP="00C17181">
            <w:pPr>
              <w:jc w:val="left"/>
              <w:rPr>
                <w:rFonts w:ascii="Arial Narrow" w:hAnsi="Arial Narrow"/>
                <w:b/>
                <w:sz w:val="20"/>
              </w:rPr>
            </w:pPr>
            <w:r w:rsidRPr="00E60F06">
              <w:rPr>
                <w:rFonts w:ascii="Arial Narrow" w:hAnsi="Arial Narrow"/>
                <w:b/>
                <w:sz w:val="20"/>
              </w:rPr>
              <w:t>Trial ID</w:t>
            </w:r>
          </w:p>
        </w:tc>
        <w:tc>
          <w:tcPr>
            <w:tcW w:w="2972" w:type="pct"/>
            <w:vAlign w:val="center"/>
          </w:tcPr>
          <w:p w:rsidR="008F120A" w:rsidRPr="00E60F06" w:rsidRDefault="008F120A" w:rsidP="0018752F">
            <w:pPr>
              <w:jc w:val="center"/>
              <w:rPr>
                <w:rFonts w:ascii="Arial Narrow" w:hAnsi="Arial Narrow"/>
                <w:b/>
                <w:sz w:val="20"/>
              </w:rPr>
            </w:pPr>
            <w:r w:rsidRPr="00E60F06">
              <w:rPr>
                <w:rFonts w:ascii="Arial Narrow" w:hAnsi="Arial Narrow"/>
                <w:b/>
                <w:sz w:val="20"/>
              </w:rPr>
              <w:t>Protocol title/ Publication title</w:t>
            </w:r>
          </w:p>
        </w:tc>
        <w:tc>
          <w:tcPr>
            <w:tcW w:w="1263" w:type="pct"/>
            <w:vAlign w:val="center"/>
          </w:tcPr>
          <w:p w:rsidR="008F120A" w:rsidRPr="00E60F06" w:rsidRDefault="008F120A" w:rsidP="0018752F">
            <w:pPr>
              <w:jc w:val="center"/>
              <w:rPr>
                <w:rFonts w:ascii="Arial Narrow" w:hAnsi="Arial Narrow"/>
                <w:b/>
                <w:sz w:val="20"/>
              </w:rPr>
            </w:pPr>
            <w:r w:rsidRPr="00E60F06">
              <w:rPr>
                <w:rFonts w:ascii="Arial Narrow" w:hAnsi="Arial Narrow"/>
                <w:b/>
                <w:sz w:val="20"/>
              </w:rPr>
              <w:t>Publication citation</w:t>
            </w:r>
          </w:p>
        </w:tc>
      </w:tr>
      <w:tr w:rsidR="008F120A" w:rsidRPr="00E60F06" w:rsidTr="00C17181">
        <w:tc>
          <w:tcPr>
            <w:tcW w:w="5000" w:type="pct"/>
            <w:gridSpan w:val="3"/>
            <w:vAlign w:val="center"/>
          </w:tcPr>
          <w:p w:rsidR="008F120A" w:rsidRPr="00E60F06" w:rsidRDefault="00C17181" w:rsidP="0018752F">
            <w:pPr>
              <w:jc w:val="left"/>
              <w:rPr>
                <w:rFonts w:ascii="Arial Narrow" w:hAnsi="Arial Narrow"/>
                <w:b/>
                <w:sz w:val="20"/>
              </w:rPr>
            </w:pPr>
            <w:r w:rsidRPr="00E60F06">
              <w:rPr>
                <w:rFonts w:ascii="Arial Narrow" w:hAnsi="Arial Narrow"/>
                <w:b/>
                <w:sz w:val="20"/>
              </w:rPr>
              <w:t>Direct randomised trial</w:t>
            </w:r>
          </w:p>
        </w:tc>
      </w:tr>
      <w:tr w:rsidR="00C17181" w:rsidRPr="00E60F06" w:rsidTr="00C17181">
        <w:tc>
          <w:tcPr>
            <w:tcW w:w="765" w:type="pct"/>
            <w:vMerge w:val="restart"/>
            <w:vAlign w:val="center"/>
          </w:tcPr>
          <w:p w:rsidR="00C17181" w:rsidRPr="00E60F06" w:rsidRDefault="00C17181" w:rsidP="0018752F">
            <w:pPr>
              <w:jc w:val="left"/>
              <w:rPr>
                <w:rFonts w:ascii="Arial Narrow" w:hAnsi="Arial Narrow"/>
                <w:sz w:val="20"/>
              </w:rPr>
            </w:pPr>
            <w:r w:rsidRPr="00E60F06">
              <w:rPr>
                <w:rFonts w:ascii="Arial Narrow" w:hAnsi="Arial Narrow"/>
                <w:sz w:val="20"/>
              </w:rPr>
              <w:t>KN-006</w:t>
            </w:r>
          </w:p>
        </w:tc>
        <w:tc>
          <w:tcPr>
            <w:tcW w:w="2972" w:type="pct"/>
            <w:vAlign w:val="center"/>
          </w:tcPr>
          <w:p w:rsidR="00C17181" w:rsidRPr="00E60F06" w:rsidRDefault="00C17181" w:rsidP="0018752F">
            <w:pPr>
              <w:jc w:val="left"/>
              <w:rPr>
                <w:rFonts w:ascii="Arial Narrow" w:hAnsi="Arial Narrow"/>
                <w:b/>
                <w:sz w:val="20"/>
              </w:rPr>
            </w:pPr>
            <w:r w:rsidRPr="00E60F06">
              <w:rPr>
                <w:rFonts w:ascii="Arial Narrow" w:hAnsi="Arial Narrow"/>
                <w:sz w:val="20"/>
              </w:rPr>
              <w:t>CSR P006V02</w:t>
            </w:r>
            <w:r w:rsidRPr="00E60F06">
              <w:rPr>
                <w:rFonts w:ascii="Arial Narrow" w:hAnsi="Arial Narrow"/>
                <w:sz w:val="20"/>
                <w:vertAlign w:val="superscript"/>
              </w:rPr>
              <w:t>a</w:t>
            </w:r>
            <w:r w:rsidRPr="00E60F06">
              <w:rPr>
                <w:rFonts w:ascii="Arial Narrow" w:hAnsi="Arial Narrow"/>
                <w:sz w:val="20"/>
              </w:rPr>
              <w:t xml:space="preserve">: </w:t>
            </w:r>
            <w:r w:rsidRPr="00E60F06">
              <w:rPr>
                <w:rFonts w:ascii="Arial Narrow" w:hAnsi="Arial Narrow"/>
                <w:color w:val="000000"/>
                <w:sz w:val="20"/>
                <w:lang w:val="en-US" w:eastAsia="en-AU"/>
              </w:rPr>
              <w:t>A Multicenter, Randomized, Controlled, Three-Arm, Phase III Study to Evaluate the Safety and Efficacy of Two Dosing Schedules of MK-3475 Compared to Ipilimumab in Patients with Advanced Melanoma.</w:t>
            </w:r>
          </w:p>
        </w:tc>
        <w:tc>
          <w:tcPr>
            <w:tcW w:w="1263" w:type="pct"/>
            <w:vAlign w:val="center"/>
          </w:tcPr>
          <w:p w:rsidR="00C17181" w:rsidRPr="00E60F06" w:rsidRDefault="00C17181" w:rsidP="0018752F">
            <w:pPr>
              <w:jc w:val="left"/>
              <w:rPr>
                <w:rFonts w:ascii="Arial Narrow" w:hAnsi="Arial Narrow"/>
                <w:b/>
                <w:sz w:val="20"/>
              </w:rPr>
            </w:pPr>
            <w:r w:rsidRPr="00E60F06">
              <w:rPr>
                <w:rFonts w:ascii="Arial Narrow" w:hAnsi="Arial Narrow"/>
                <w:sz w:val="20"/>
              </w:rPr>
              <w:t>MSD August 2015</w:t>
            </w:r>
          </w:p>
        </w:tc>
      </w:tr>
      <w:tr w:rsidR="00C17181" w:rsidRPr="00E60F06" w:rsidTr="00C17181">
        <w:tc>
          <w:tcPr>
            <w:tcW w:w="765" w:type="pct"/>
            <w:vMerge/>
            <w:vAlign w:val="center"/>
          </w:tcPr>
          <w:p w:rsidR="00C17181" w:rsidRPr="00E60F06" w:rsidRDefault="00C17181" w:rsidP="0018752F">
            <w:pPr>
              <w:jc w:val="left"/>
              <w:rPr>
                <w:rFonts w:ascii="Arial Narrow" w:hAnsi="Arial Narrow"/>
                <w:sz w:val="20"/>
              </w:rPr>
            </w:pPr>
          </w:p>
        </w:tc>
        <w:tc>
          <w:tcPr>
            <w:tcW w:w="2972" w:type="pct"/>
            <w:vAlign w:val="center"/>
          </w:tcPr>
          <w:p w:rsidR="00C17181" w:rsidRPr="00E60F06" w:rsidRDefault="00C17181" w:rsidP="0018752F">
            <w:pPr>
              <w:jc w:val="left"/>
              <w:rPr>
                <w:rFonts w:ascii="Arial Narrow" w:hAnsi="Arial Narrow"/>
                <w:b/>
                <w:sz w:val="20"/>
              </w:rPr>
            </w:pPr>
            <w:r w:rsidRPr="00E60F06">
              <w:rPr>
                <w:rFonts w:ascii="Arial Narrow" w:hAnsi="Arial Narrow"/>
                <w:sz w:val="20"/>
              </w:rPr>
              <w:t>Robert C, Schachter J, Long GV et al.  Pembrolizumab versus ipilimumab in advanced melanoma.</w:t>
            </w:r>
          </w:p>
        </w:tc>
        <w:tc>
          <w:tcPr>
            <w:tcW w:w="1263" w:type="pct"/>
            <w:vAlign w:val="center"/>
          </w:tcPr>
          <w:p w:rsidR="00C17181" w:rsidRPr="00E60F06" w:rsidRDefault="00C17181" w:rsidP="0018752F">
            <w:pPr>
              <w:jc w:val="left"/>
              <w:rPr>
                <w:rFonts w:ascii="Arial Narrow" w:hAnsi="Arial Narrow"/>
                <w:b/>
                <w:sz w:val="20"/>
              </w:rPr>
            </w:pPr>
            <w:r w:rsidRPr="00E60F06">
              <w:rPr>
                <w:rFonts w:ascii="Arial Narrow" w:hAnsi="Arial Narrow"/>
                <w:sz w:val="20"/>
              </w:rPr>
              <w:t>NEJM 2015; 372: 2521-32</w:t>
            </w:r>
          </w:p>
        </w:tc>
      </w:tr>
    </w:tbl>
    <w:p w:rsidR="00862502" w:rsidRPr="00E60F06" w:rsidRDefault="00C17181" w:rsidP="00C17181">
      <w:pPr>
        <w:pStyle w:val="TableFooter"/>
        <w:tabs>
          <w:tab w:val="left" w:pos="851"/>
        </w:tabs>
        <w:ind w:left="851" w:hanging="131"/>
      </w:pPr>
      <w:r w:rsidRPr="00E60F06">
        <w:rPr>
          <w:sz w:val="20"/>
          <w:vertAlign w:val="superscript"/>
        </w:rPr>
        <w:t>a</w:t>
      </w:r>
      <w:r w:rsidRPr="00E60F06">
        <w:rPr>
          <w:sz w:val="20"/>
        </w:rPr>
        <w:tab/>
      </w:r>
      <w:r w:rsidRPr="00E60F06">
        <w:t>While Table B.2-3 of the submission identified the CSR as P006V01 the actual CSR provided with the submission was labelled P006V02.</w:t>
      </w:r>
    </w:p>
    <w:p w:rsidR="00C17181" w:rsidRPr="00E60F06" w:rsidRDefault="00C17181" w:rsidP="00C17181">
      <w:pPr>
        <w:pStyle w:val="TableFooter"/>
        <w:tabs>
          <w:tab w:val="left" w:pos="851"/>
        </w:tabs>
        <w:ind w:left="851" w:hanging="131"/>
        <w:rPr>
          <w:szCs w:val="22"/>
        </w:rPr>
      </w:pPr>
      <w:r w:rsidRPr="00E60F06">
        <w:t>Source: Table B.2-3, p43 of the submission</w:t>
      </w:r>
      <w:r w:rsidR="00F6049A" w:rsidRPr="00E60F06">
        <w:t>.</w:t>
      </w:r>
    </w:p>
    <w:p w:rsidR="00E20930" w:rsidRPr="00E60F06" w:rsidRDefault="00E20930">
      <w:pPr>
        <w:widowControl/>
        <w:jc w:val="left"/>
        <w:rPr>
          <w:szCs w:val="22"/>
        </w:rPr>
      </w:pPr>
      <w:r w:rsidRPr="00E60F06">
        <w:rPr>
          <w:szCs w:val="22"/>
        </w:rPr>
        <w:br w:type="page"/>
      </w:r>
    </w:p>
    <w:p w:rsidR="00862502" w:rsidRPr="00E60F06" w:rsidRDefault="00862502" w:rsidP="008F120A">
      <w:pPr>
        <w:widowControl/>
        <w:rPr>
          <w:szCs w:val="22"/>
        </w:rPr>
      </w:pPr>
    </w:p>
    <w:p w:rsidR="005B3138" w:rsidRPr="00E60F06" w:rsidRDefault="005B3138" w:rsidP="009E3306">
      <w:pPr>
        <w:keepNext/>
        <w:ind w:left="709"/>
        <w:rPr>
          <w:rFonts w:ascii="Arial Narrow" w:hAnsi="Arial Narrow"/>
          <w:b/>
          <w:sz w:val="20"/>
        </w:rPr>
      </w:pPr>
      <w:r w:rsidRPr="00E60F06">
        <w:rPr>
          <w:rFonts w:ascii="Arial Narrow" w:hAnsi="Arial Narrow"/>
          <w:b/>
          <w:sz w:val="20"/>
        </w:rPr>
        <w:t xml:space="preserve">Table </w:t>
      </w:r>
      <w:r w:rsidR="00D25A49" w:rsidRPr="00E60F06">
        <w:rPr>
          <w:rFonts w:ascii="Arial Narrow" w:hAnsi="Arial Narrow"/>
          <w:b/>
          <w:sz w:val="20"/>
        </w:rPr>
        <w:t>3</w:t>
      </w:r>
      <w:r w:rsidRPr="00E60F06">
        <w:rPr>
          <w:rFonts w:ascii="Arial Narrow" w:hAnsi="Arial Narrow"/>
          <w:b/>
          <w:sz w:val="20"/>
        </w:rPr>
        <w:t>: Summary of KN-006</w:t>
      </w:r>
    </w:p>
    <w:tbl>
      <w:tblPr>
        <w:tblStyle w:val="TableGrid"/>
        <w:tblW w:w="4604" w:type="pct"/>
        <w:tblInd w:w="737" w:type="dxa"/>
        <w:tblCellMar>
          <w:left w:w="28" w:type="dxa"/>
          <w:right w:w="28" w:type="dxa"/>
        </w:tblCellMar>
        <w:tblLook w:val="04A0" w:firstRow="1" w:lastRow="0" w:firstColumn="1" w:lastColumn="0" w:noHBand="0" w:noVBand="1"/>
        <w:tblCaption w:val="Table 3: Summary of KN-006"/>
      </w:tblPr>
      <w:tblGrid>
        <w:gridCol w:w="714"/>
        <w:gridCol w:w="418"/>
        <w:gridCol w:w="3129"/>
        <w:gridCol w:w="1131"/>
        <w:gridCol w:w="989"/>
        <w:gridCol w:w="1982"/>
      </w:tblGrid>
      <w:tr w:rsidR="005B3138" w:rsidRPr="00E60F06" w:rsidTr="005B3138">
        <w:trPr>
          <w:tblHeader/>
        </w:trPr>
        <w:tc>
          <w:tcPr>
            <w:tcW w:w="427" w:type="pct"/>
            <w:vAlign w:val="center"/>
          </w:tcPr>
          <w:p w:rsidR="005B3138" w:rsidRPr="00E60F06" w:rsidRDefault="005B3138" w:rsidP="005B3138">
            <w:pPr>
              <w:keepNext/>
              <w:jc w:val="left"/>
              <w:rPr>
                <w:rFonts w:ascii="Arial Narrow" w:hAnsi="Arial Narrow"/>
                <w:b/>
                <w:sz w:val="20"/>
              </w:rPr>
            </w:pPr>
            <w:r w:rsidRPr="00E60F06">
              <w:rPr>
                <w:rFonts w:ascii="Arial Narrow" w:hAnsi="Arial Narrow"/>
                <w:b/>
                <w:sz w:val="20"/>
              </w:rPr>
              <w:t>Trial ID</w:t>
            </w:r>
          </w:p>
        </w:tc>
        <w:tc>
          <w:tcPr>
            <w:tcW w:w="250" w:type="pct"/>
            <w:vAlign w:val="center"/>
          </w:tcPr>
          <w:p w:rsidR="005B3138" w:rsidRPr="00E60F06" w:rsidRDefault="005B3138" w:rsidP="005B3138">
            <w:pPr>
              <w:keepNext/>
              <w:jc w:val="center"/>
              <w:rPr>
                <w:rFonts w:ascii="Arial Narrow" w:hAnsi="Arial Narrow"/>
                <w:b/>
                <w:sz w:val="20"/>
              </w:rPr>
            </w:pPr>
            <w:r w:rsidRPr="00E60F06">
              <w:rPr>
                <w:rFonts w:ascii="Arial Narrow" w:hAnsi="Arial Narrow"/>
                <w:b/>
                <w:sz w:val="20"/>
              </w:rPr>
              <w:t>N</w:t>
            </w:r>
          </w:p>
        </w:tc>
        <w:tc>
          <w:tcPr>
            <w:tcW w:w="1871" w:type="pct"/>
            <w:vAlign w:val="center"/>
          </w:tcPr>
          <w:p w:rsidR="005B3138" w:rsidRPr="00E60F06" w:rsidRDefault="005B3138" w:rsidP="005B3138">
            <w:pPr>
              <w:keepNext/>
              <w:jc w:val="center"/>
              <w:rPr>
                <w:rFonts w:ascii="Arial Narrow" w:hAnsi="Arial Narrow"/>
                <w:b/>
                <w:sz w:val="20"/>
              </w:rPr>
            </w:pPr>
            <w:r w:rsidRPr="00E60F06">
              <w:rPr>
                <w:rFonts w:ascii="Arial Narrow" w:hAnsi="Arial Narrow"/>
                <w:b/>
                <w:sz w:val="20"/>
              </w:rPr>
              <w:t>Treatment arms</w:t>
            </w:r>
          </w:p>
        </w:tc>
        <w:tc>
          <w:tcPr>
            <w:tcW w:w="676" w:type="pct"/>
            <w:vAlign w:val="center"/>
          </w:tcPr>
          <w:p w:rsidR="005B3138" w:rsidRPr="00E60F06" w:rsidRDefault="005B3138" w:rsidP="005B3138">
            <w:pPr>
              <w:keepNext/>
              <w:jc w:val="center"/>
              <w:rPr>
                <w:rFonts w:ascii="Arial Narrow" w:hAnsi="Arial Narrow"/>
                <w:b/>
                <w:sz w:val="20"/>
              </w:rPr>
            </w:pPr>
            <w:r w:rsidRPr="00E60F06">
              <w:rPr>
                <w:rFonts w:ascii="Arial Narrow" w:hAnsi="Arial Narrow"/>
                <w:b/>
                <w:sz w:val="20"/>
              </w:rPr>
              <w:t>Trial design</w:t>
            </w:r>
          </w:p>
        </w:tc>
        <w:tc>
          <w:tcPr>
            <w:tcW w:w="591" w:type="pct"/>
            <w:vAlign w:val="center"/>
          </w:tcPr>
          <w:p w:rsidR="005B3138" w:rsidRPr="00E60F06" w:rsidRDefault="005B3138" w:rsidP="005B3138">
            <w:pPr>
              <w:keepNext/>
              <w:jc w:val="center"/>
              <w:rPr>
                <w:rFonts w:ascii="Arial Narrow" w:hAnsi="Arial Narrow"/>
                <w:b/>
                <w:sz w:val="20"/>
              </w:rPr>
            </w:pPr>
            <w:r w:rsidRPr="00E60F06">
              <w:rPr>
                <w:rFonts w:ascii="Arial Narrow" w:hAnsi="Arial Narrow"/>
                <w:b/>
                <w:sz w:val="20"/>
              </w:rPr>
              <w:t>Primary outcome</w:t>
            </w:r>
          </w:p>
        </w:tc>
        <w:tc>
          <w:tcPr>
            <w:tcW w:w="1185" w:type="pct"/>
            <w:vAlign w:val="center"/>
          </w:tcPr>
          <w:p w:rsidR="005B3138" w:rsidRPr="00E60F06" w:rsidRDefault="005B3138" w:rsidP="005B3138">
            <w:pPr>
              <w:keepNext/>
              <w:jc w:val="center"/>
              <w:rPr>
                <w:rFonts w:ascii="Arial Narrow" w:hAnsi="Arial Narrow"/>
                <w:b/>
                <w:sz w:val="20"/>
              </w:rPr>
            </w:pPr>
            <w:r w:rsidRPr="00E60F06">
              <w:rPr>
                <w:rFonts w:ascii="Arial Narrow" w:hAnsi="Arial Narrow"/>
                <w:b/>
                <w:sz w:val="20"/>
              </w:rPr>
              <w:t>Use in the economic evaluation</w:t>
            </w:r>
          </w:p>
        </w:tc>
      </w:tr>
      <w:tr w:rsidR="005B3138" w:rsidRPr="00E60F06" w:rsidTr="005B3138">
        <w:tc>
          <w:tcPr>
            <w:tcW w:w="427" w:type="pct"/>
            <w:vMerge w:val="restart"/>
            <w:vAlign w:val="center"/>
          </w:tcPr>
          <w:p w:rsidR="005B3138" w:rsidRPr="00E60F06" w:rsidRDefault="005B3138" w:rsidP="005B3138">
            <w:pPr>
              <w:jc w:val="left"/>
              <w:rPr>
                <w:rFonts w:ascii="Arial Narrow" w:hAnsi="Arial Narrow"/>
                <w:sz w:val="20"/>
              </w:rPr>
            </w:pPr>
            <w:r w:rsidRPr="00E60F06">
              <w:rPr>
                <w:rFonts w:ascii="Arial Narrow" w:hAnsi="Arial Narrow"/>
                <w:sz w:val="20"/>
                <w:lang w:eastAsia="en-AU"/>
              </w:rPr>
              <w:t>KN-006</w:t>
            </w:r>
          </w:p>
        </w:tc>
        <w:tc>
          <w:tcPr>
            <w:tcW w:w="250" w:type="pct"/>
            <w:vMerge w:val="restart"/>
            <w:vAlign w:val="center"/>
          </w:tcPr>
          <w:p w:rsidR="005B3138" w:rsidRPr="00E60F06" w:rsidRDefault="005B3138" w:rsidP="005B3138">
            <w:pPr>
              <w:jc w:val="center"/>
              <w:rPr>
                <w:rFonts w:ascii="Arial Narrow" w:hAnsi="Arial Narrow"/>
                <w:sz w:val="20"/>
              </w:rPr>
            </w:pPr>
            <w:r w:rsidRPr="00E60F06">
              <w:rPr>
                <w:rFonts w:ascii="Arial Narrow" w:hAnsi="Arial Narrow"/>
                <w:sz w:val="20"/>
              </w:rPr>
              <w:t>834</w:t>
            </w:r>
          </w:p>
        </w:tc>
        <w:tc>
          <w:tcPr>
            <w:tcW w:w="1871" w:type="pct"/>
            <w:vAlign w:val="center"/>
          </w:tcPr>
          <w:p w:rsidR="005B3138" w:rsidRPr="00E60F06" w:rsidRDefault="005B3138" w:rsidP="00655C2D">
            <w:pPr>
              <w:jc w:val="center"/>
              <w:rPr>
                <w:rFonts w:ascii="Arial Narrow" w:hAnsi="Arial Narrow"/>
                <w:sz w:val="20"/>
              </w:rPr>
            </w:pPr>
            <w:r w:rsidRPr="00E60F06">
              <w:rPr>
                <w:rFonts w:ascii="Arial Narrow" w:hAnsi="Arial Narrow"/>
                <w:sz w:val="20"/>
                <w:lang w:eastAsia="en-AU"/>
              </w:rPr>
              <w:t>Pembrolizumab 1</w:t>
            </w:r>
            <w:r w:rsidR="0061061F" w:rsidRPr="00E60F06">
              <w:rPr>
                <w:rFonts w:ascii="Arial Narrow" w:hAnsi="Arial Narrow"/>
                <w:sz w:val="20"/>
                <w:lang w:eastAsia="en-AU"/>
              </w:rPr>
              <w:t>0</w:t>
            </w:r>
            <w:r w:rsidR="00655C2D" w:rsidRPr="00E60F06">
              <w:rPr>
                <w:rFonts w:ascii="Arial Narrow" w:hAnsi="Arial Narrow"/>
                <w:sz w:val="20"/>
                <w:lang w:eastAsia="en-AU"/>
              </w:rPr>
              <w:t> </w:t>
            </w:r>
            <w:r w:rsidR="0061061F" w:rsidRPr="00E60F06">
              <w:rPr>
                <w:rFonts w:ascii="Arial Narrow" w:hAnsi="Arial Narrow"/>
                <w:sz w:val="20"/>
                <w:lang w:eastAsia="en-AU"/>
              </w:rPr>
              <w:t>mg</w:t>
            </w:r>
            <w:r w:rsidRPr="00E60F06">
              <w:rPr>
                <w:rFonts w:ascii="Arial Narrow" w:hAnsi="Arial Narrow"/>
                <w:sz w:val="20"/>
                <w:lang w:eastAsia="en-AU"/>
              </w:rPr>
              <w:t>/kg Q2W n=279</w:t>
            </w:r>
          </w:p>
        </w:tc>
        <w:tc>
          <w:tcPr>
            <w:tcW w:w="676" w:type="pct"/>
            <w:vMerge w:val="restart"/>
            <w:vAlign w:val="center"/>
          </w:tcPr>
          <w:p w:rsidR="005B3138" w:rsidRPr="00E60F06" w:rsidRDefault="005B3138" w:rsidP="005B3138">
            <w:pPr>
              <w:jc w:val="center"/>
              <w:rPr>
                <w:rFonts w:ascii="Arial Narrow" w:hAnsi="Arial Narrow"/>
                <w:sz w:val="20"/>
                <w:lang w:eastAsia="en-AU"/>
              </w:rPr>
            </w:pPr>
            <w:r w:rsidRPr="00E60F06">
              <w:rPr>
                <w:rFonts w:ascii="Arial Narrow" w:hAnsi="Arial Narrow"/>
                <w:sz w:val="20"/>
                <w:lang w:eastAsia="en-AU"/>
              </w:rPr>
              <w:t xml:space="preserve">Phase III </w:t>
            </w:r>
          </w:p>
          <w:p w:rsidR="005B3138" w:rsidRPr="00E60F06" w:rsidRDefault="005B3138" w:rsidP="005B3138">
            <w:pPr>
              <w:jc w:val="center"/>
              <w:rPr>
                <w:rFonts w:ascii="Arial Narrow" w:hAnsi="Arial Narrow"/>
                <w:sz w:val="20"/>
              </w:rPr>
            </w:pPr>
            <w:r w:rsidRPr="00E60F06">
              <w:rPr>
                <w:rFonts w:ascii="Arial Narrow" w:hAnsi="Arial Narrow"/>
                <w:sz w:val="20"/>
                <w:lang w:eastAsia="en-AU"/>
              </w:rPr>
              <w:t>R, OL, MC</w:t>
            </w:r>
          </w:p>
        </w:tc>
        <w:tc>
          <w:tcPr>
            <w:tcW w:w="591" w:type="pct"/>
            <w:vMerge w:val="restart"/>
            <w:vAlign w:val="center"/>
          </w:tcPr>
          <w:p w:rsidR="005B3138" w:rsidRPr="00E60F06" w:rsidRDefault="005B3138" w:rsidP="005B3138">
            <w:pPr>
              <w:jc w:val="center"/>
              <w:rPr>
                <w:rFonts w:ascii="Arial Narrow" w:hAnsi="Arial Narrow"/>
                <w:sz w:val="20"/>
              </w:rPr>
            </w:pPr>
            <w:r w:rsidRPr="00E60F06">
              <w:rPr>
                <w:rFonts w:ascii="Arial Narrow" w:hAnsi="Arial Narrow"/>
                <w:sz w:val="20"/>
                <w:lang w:val="ru-RU" w:eastAsia="en-AU"/>
              </w:rPr>
              <w:t>OS; PFS</w:t>
            </w:r>
          </w:p>
        </w:tc>
        <w:tc>
          <w:tcPr>
            <w:tcW w:w="1185" w:type="pct"/>
            <w:vMerge w:val="restart"/>
            <w:vAlign w:val="center"/>
          </w:tcPr>
          <w:p w:rsidR="005B3138" w:rsidRPr="00E60F06" w:rsidRDefault="005B3138" w:rsidP="005B3138">
            <w:pPr>
              <w:jc w:val="center"/>
              <w:rPr>
                <w:rFonts w:ascii="Arial Narrow" w:hAnsi="Arial Narrow"/>
                <w:sz w:val="20"/>
              </w:rPr>
            </w:pPr>
            <w:r w:rsidRPr="00E60F06">
              <w:rPr>
                <w:rFonts w:ascii="Arial Narrow" w:hAnsi="Arial Narrow"/>
                <w:sz w:val="20"/>
                <w:lang w:val="hr-HR" w:eastAsia="en-AU"/>
              </w:rPr>
              <w:t>PFS+OS; utilities; AEs</w:t>
            </w:r>
          </w:p>
        </w:tc>
      </w:tr>
      <w:tr w:rsidR="005B3138" w:rsidRPr="00E60F06" w:rsidTr="005B3138">
        <w:tc>
          <w:tcPr>
            <w:tcW w:w="427" w:type="pct"/>
            <w:vMerge/>
            <w:vAlign w:val="center"/>
          </w:tcPr>
          <w:p w:rsidR="005B3138" w:rsidRPr="00E60F06" w:rsidRDefault="005B3138" w:rsidP="005B3138">
            <w:pPr>
              <w:jc w:val="left"/>
              <w:rPr>
                <w:rFonts w:ascii="Arial Narrow" w:hAnsi="Arial Narrow"/>
                <w:sz w:val="20"/>
              </w:rPr>
            </w:pPr>
          </w:p>
        </w:tc>
        <w:tc>
          <w:tcPr>
            <w:tcW w:w="250" w:type="pct"/>
            <w:vMerge/>
            <w:vAlign w:val="center"/>
          </w:tcPr>
          <w:p w:rsidR="005B3138" w:rsidRPr="00E60F06" w:rsidRDefault="005B3138" w:rsidP="005B3138">
            <w:pPr>
              <w:jc w:val="center"/>
              <w:rPr>
                <w:rFonts w:ascii="Arial Narrow" w:hAnsi="Arial Narrow"/>
                <w:sz w:val="20"/>
              </w:rPr>
            </w:pPr>
          </w:p>
        </w:tc>
        <w:tc>
          <w:tcPr>
            <w:tcW w:w="1871" w:type="pct"/>
            <w:vAlign w:val="center"/>
          </w:tcPr>
          <w:p w:rsidR="005B3138" w:rsidRPr="00E60F06" w:rsidRDefault="005B3138" w:rsidP="005B3138">
            <w:pPr>
              <w:jc w:val="center"/>
              <w:rPr>
                <w:rFonts w:ascii="Arial Narrow" w:hAnsi="Arial Narrow"/>
                <w:sz w:val="20"/>
              </w:rPr>
            </w:pPr>
            <w:r w:rsidRPr="00E60F06">
              <w:rPr>
                <w:rFonts w:ascii="Arial Narrow" w:hAnsi="Arial Narrow"/>
                <w:sz w:val="20"/>
                <w:lang w:eastAsia="en-AU"/>
              </w:rPr>
              <w:t>Pembrolizumab 1</w:t>
            </w:r>
            <w:r w:rsidR="00655C2D" w:rsidRPr="00E60F06">
              <w:rPr>
                <w:rFonts w:ascii="Arial Narrow" w:hAnsi="Arial Narrow"/>
                <w:sz w:val="20"/>
                <w:lang w:eastAsia="en-AU"/>
              </w:rPr>
              <w:t>0 </w:t>
            </w:r>
            <w:r w:rsidR="0061061F" w:rsidRPr="00E60F06">
              <w:rPr>
                <w:rFonts w:ascii="Arial Narrow" w:hAnsi="Arial Narrow"/>
                <w:sz w:val="20"/>
                <w:lang w:eastAsia="en-AU"/>
              </w:rPr>
              <w:t>mg</w:t>
            </w:r>
            <w:r w:rsidRPr="00E60F06">
              <w:rPr>
                <w:rFonts w:ascii="Arial Narrow" w:hAnsi="Arial Narrow"/>
                <w:sz w:val="20"/>
                <w:lang w:eastAsia="en-AU"/>
              </w:rPr>
              <w:t>/kg Q3W n=277</w:t>
            </w:r>
          </w:p>
        </w:tc>
        <w:tc>
          <w:tcPr>
            <w:tcW w:w="676" w:type="pct"/>
            <w:vMerge/>
            <w:vAlign w:val="center"/>
          </w:tcPr>
          <w:p w:rsidR="005B3138" w:rsidRPr="00E60F06" w:rsidRDefault="005B3138" w:rsidP="005B3138">
            <w:pPr>
              <w:jc w:val="center"/>
              <w:rPr>
                <w:rFonts w:ascii="Arial Narrow" w:hAnsi="Arial Narrow"/>
                <w:sz w:val="20"/>
              </w:rPr>
            </w:pPr>
          </w:p>
        </w:tc>
        <w:tc>
          <w:tcPr>
            <w:tcW w:w="591" w:type="pct"/>
            <w:vMerge/>
            <w:vAlign w:val="center"/>
          </w:tcPr>
          <w:p w:rsidR="005B3138" w:rsidRPr="00E60F06" w:rsidRDefault="005B3138" w:rsidP="005B3138">
            <w:pPr>
              <w:jc w:val="center"/>
              <w:rPr>
                <w:rFonts w:ascii="Arial Narrow" w:hAnsi="Arial Narrow"/>
                <w:sz w:val="20"/>
              </w:rPr>
            </w:pPr>
          </w:p>
        </w:tc>
        <w:tc>
          <w:tcPr>
            <w:tcW w:w="1185" w:type="pct"/>
            <w:vMerge/>
          </w:tcPr>
          <w:p w:rsidR="005B3138" w:rsidRPr="00E60F06" w:rsidRDefault="005B3138" w:rsidP="005B3138">
            <w:pPr>
              <w:jc w:val="center"/>
              <w:rPr>
                <w:rFonts w:ascii="Arial Narrow" w:hAnsi="Arial Narrow"/>
                <w:sz w:val="20"/>
              </w:rPr>
            </w:pPr>
          </w:p>
        </w:tc>
      </w:tr>
      <w:tr w:rsidR="005B3138" w:rsidRPr="00E60F06" w:rsidTr="005B3138">
        <w:tc>
          <w:tcPr>
            <w:tcW w:w="427" w:type="pct"/>
            <w:vMerge/>
            <w:vAlign w:val="center"/>
          </w:tcPr>
          <w:p w:rsidR="005B3138" w:rsidRPr="00E60F06" w:rsidRDefault="005B3138" w:rsidP="005B3138">
            <w:pPr>
              <w:jc w:val="left"/>
              <w:rPr>
                <w:rFonts w:ascii="Arial Narrow" w:hAnsi="Arial Narrow"/>
                <w:sz w:val="20"/>
              </w:rPr>
            </w:pPr>
          </w:p>
        </w:tc>
        <w:tc>
          <w:tcPr>
            <w:tcW w:w="250" w:type="pct"/>
            <w:vMerge/>
            <w:vAlign w:val="center"/>
          </w:tcPr>
          <w:p w:rsidR="005B3138" w:rsidRPr="00E60F06" w:rsidRDefault="005B3138" w:rsidP="005B3138">
            <w:pPr>
              <w:jc w:val="center"/>
              <w:rPr>
                <w:rFonts w:ascii="Arial Narrow" w:hAnsi="Arial Narrow"/>
                <w:sz w:val="20"/>
              </w:rPr>
            </w:pPr>
          </w:p>
        </w:tc>
        <w:tc>
          <w:tcPr>
            <w:tcW w:w="1871" w:type="pct"/>
            <w:vAlign w:val="center"/>
          </w:tcPr>
          <w:p w:rsidR="005B3138" w:rsidRPr="00E60F06" w:rsidRDefault="005B3138" w:rsidP="005B3138">
            <w:pPr>
              <w:jc w:val="center"/>
              <w:rPr>
                <w:rFonts w:ascii="Arial Narrow" w:hAnsi="Arial Narrow"/>
                <w:sz w:val="20"/>
              </w:rPr>
            </w:pPr>
            <w:r w:rsidRPr="00E60F06">
              <w:rPr>
                <w:rFonts w:ascii="Arial Narrow" w:hAnsi="Arial Narrow"/>
                <w:sz w:val="20"/>
                <w:lang w:eastAsia="en-AU"/>
              </w:rPr>
              <w:t xml:space="preserve">Ipilimumab </w:t>
            </w:r>
            <w:r w:rsidR="00655C2D" w:rsidRPr="00E60F06">
              <w:rPr>
                <w:rFonts w:ascii="Arial Narrow" w:hAnsi="Arial Narrow"/>
                <w:sz w:val="20"/>
                <w:lang w:eastAsia="en-AU"/>
              </w:rPr>
              <w:t>3 </w:t>
            </w:r>
            <w:r w:rsidR="00502545" w:rsidRPr="00E60F06">
              <w:rPr>
                <w:rFonts w:ascii="Arial Narrow" w:hAnsi="Arial Narrow"/>
                <w:sz w:val="20"/>
                <w:lang w:eastAsia="en-AU"/>
              </w:rPr>
              <w:t>mg</w:t>
            </w:r>
            <w:r w:rsidRPr="00E60F06">
              <w:rPr>
                <w:rFonts w:ascii="Arial Narrow" w:hAnsi="Arial Narrow"/>
                <w:sz w:val="20"/>
                <w:lang w:eastAsia="en-AU"/>
              </w:rPr>
              <w:t>/kg Q3W n=278</w:t>
            </w:r>
          </w:p>
        </w:tc>
        <w:tc>
          <w:tcPr>
            <w:tcW w:w="676" w:type="pct"/>
            <w:vMerge/>
            <w:vAlign w:val="center"/>
          </w:tcPr>
          <w:p w:rsidR="005B3138" w:rsidRPr="00E60F06" w:rsidRDefault="005B3138" w:rsidP="005B3138">
            <w:pPr>
              <w:jc w:val="center"/>
              <w:rPr>
                <w:rFonts w:ascii="Arial Narrow" w:hAnsi="Arial Narrow"/>
                <w:sz w:val="20"/>
              </w:rPr>
            </w:pPr>
          </w:p>
        </w:tc>
        <w:tc>
          <w:tcPr>
            <w:tcW w:w="591" w:type="pct"/>
            <w:vMerge/>
            <w:vAlign w:val="center"/>
          </w:tcPr>
          <w:p w:rsidR="005B3138" w:rsidRPr="00E60F06" w:rsidRDefault="005B3138" w:rsidP="005B3138">
            <w:pPr>
              <w:jc w:val="center"/>
              <w:rPr>
                <w:rFonts w:ascii="Arial Narrow" w:hAnsi="Arial Narrow"/>
                <w:sz w:val="20"/>
              </w:rPr>
            </w:pPr>
          </w:p>
        </w:tc>
        <w:tc>
          <w:tcPr>
            <w:tcW w:w="1185" w:type="pct"/>
            <w:vMerge/>
          </w:tcPr>
          <w:p w:rsidR="005B3138" w:rsidRPr="00E60F06" w:rsidRDefault="005B3138" w:rsidP="005B3138">
            <w:pPr>
              <w:jc w:val="center"/>
              <w:rPr>
                <w:rFonts w:ascii="Arial Narrow" w:hAnsi="Arial Narrow"/>
                <w:sz w:val="20"/>
              </w:rPr>
            </w:pPr>
          </w:p>
        </w:tc>
      </w:tr>
    </w:tbl>
    <w:p w:rsidR="005B3138" w:rsidRPr="00E60F06" w:rsidRDefault="005B3138" w:rsidP="009E3306">
      <w:pPr>
        <w:ind w:left="709"/>
        <w:rPr>
          <w:rFonts w:ascii="Arial Narrow" w:hAnsi="Arial Narrow"/>
          <w:sz w:val="18"/>
          <w:szCs w:val="18"/>
        </w:rPr>
      </w:pPr>
      <w:r w:rsidRPr="00E60F06">
        <w:rPr>
          <w:rFonts w:ascii="Arial Narrow" w:hAnsi="Arial Narrow"/>
          <w:sz w:val="18"/>
          <w:szCs w:val="18"/>
        </w:rPr>
        <w:t xml:space="preserve">MC=multicentre; OL=open label; OS=overall survival; PFS=progression-free survival; Q2W=every 2 weeks; </w:t>
      </w:r>
      <w:r w:rsidR="005A37A0" w:rsidRPr="00E60F06">
        <w:rPr>
          <w:rFonts w:ascii="Arial Narrow" w:hAnsi="Arial Narrow"/>
          <w:sz w:val="18"/>
          <w:szCs w:val="18"/>
        </w:rPr>
        <w:t>Q3W=every 3 weeks; R=randomised</w:t>
      </w:r>
    </w:p>
    <w:p w:rsidR="00C17181" w:rsidRPr="00E60F06" w:rsidRDefault="005B3138" w:rsidP="005B3138">
      <w:pPr>
        <w:widowControl/>
        <w:ind w:left="709"/>
        <w:rPr>
          <w:szCs w:val="22"/>
        </w:rPr>
      </w:pPr>
      <w:r w:rsidRPr="00E60F06">
        <w:rPr>
          <w:rFonts w:ascii="Arial Narrow" w:hAnsi="Arial Narrow"/>
          <w:sz w:val="18"/>
          <w:szCs w:val="18"/>
        </w:rPr>
        <w:t>Source: Table B.2-4, p43-44 of the submission</w:t>
      </w:r>
      <w:r w:rsidR="005A37A0" w:rsidRPr="00E60F06">
        <w:rPr>
          <w:rFonts w:ascii="Arial Narrow" w:hAnsi="Arial Narrow"/>
          <w:sz w:val="18"/>
          <w:szCs w:val="18"/>
        </w:rPr>
        <w:t>.</w:t>
      </w:r>
    </w:p>
    <w:p w:rsidR="00C17181" w:rsidRPr="00E60F06" w:rsidRDefault="00C17181" w:rsidP="008F120A">
      <w:pPr>
        <w:widowControl/>
        <w:rPr>
          <w:szCs w:val="22"/>
        </w:rPr>
      </w:pPr>
    </w:p>
    <w:p w:rsidR="00862502" w:rsidRPr="00E60F06" w:rsidRDefault="009E3306" w:rsidP="00423721">
      <w:pPr>
        <w:pStyle w:val="ListParagraph"/>
        <w:widowControl/>
        <w:numPr>
          <w:ilvl w:val="1"/>
          <w:numId w:val="3"/>
        </w:numPr>
        <w:rPr>
          <w:szCs w:val="22"/>
        </w:rPr>
      </w:pPr>
      <w:r w:rsidRPr="00E60F06">
        <w:rPr>
          <w:szCs w:val="22"/>
        </w:rPr>
        <w:t xml:space="preserve">While this trial </w:t>
      </w:r>
      <w:r w:rsidR="00FD7E95" w:rsidRPr="00E60F06">
        <w:rPr>
          <w:szCs w:val="22"/>
        </w:rPr>
        <w:t>wa</w:t>
      </w:r>
      <w:r w:rsidRPr="00E60F06">
        <w:rPr>
          <w:szCs w:val="22"/>
        </w:rPr>
        <w:t>s a head-to-head comparison of pembrolizumab and ipilimumab, it use</w:t>
      </w:r>
      <w:r w:rsidR="00AF3A78" w:rsidRPr="00E60F06">
        <w:rPr>
          <w:szCs w:val="22"/>
        </w:rPr>
        <w:t>d</w:t>
      </w:r>
      <w:r w:rsidRPr="00E60F06">
        <w:rPr>
          <w:szCs w:val="22"/>
        </w:rPr>
        <w:t xml:space="preserve"> a 1</w:t>
      </w:r>
      <w:r w:rsidR="0061061F" w:rsidRPr="00E60F06">
        <w:rPr>
          <w:szCs w:val="22"/>
        </w:rPr>
        <w:t>0</w:t>
      </w:r>
      <w:r w:rsidR="00655C2D" w:rsidRPr="00E60F06">
        <w:rPr>
          <w:szCs w:val="22"/>
        </w:rPr>
        <w:t> </w:t>
      </w:r>
      <w:r w:rsidR="0061061F" w:rsidRPr="00E60F06">
        <w:rPr>
          <w:szCs w:val="22"/>
        </w:rPr>
        <w:t>mg</w:t>
      </w:r>
      <w:r w:rsidRPr="00E60F06">
        <w:rPr>
          <w:szCs w:val="22"/>
        </w:rPr>
        <w:t>/kg dose of pembrolizumab, administered every 2 weeks (Q2W) or every 3 weeks (Q3W)</w:t>
      </w:r>
      <w:r w:rsidR="00001831" w:rsidRPr="00E60F06">
        <w:rPr>
          <w:szCs w:val="22"/>
        </w:rPr>
        <w:t xml:space="preserve">, which differs from the </w:t>
      </w:r>
      <w:r w:rsidR="00502545" w:rsidRPr="00E60F06">
        <w:rPr>
          <w:szCs w:val="22"/>
        </w:rPr>
        <w:t>2</w:t>
      </w:r>
      <w:r w:rsidR="00655C2D" w:rsidRPr="00E60F06">
        <w:rPr>
          <w:szCs w:val="22"/>
        </w:rPr>
        <w:t> </w:t>
      </w:r>
      <w:r w:rsidR="00502545" w:rsidRPr="00E60F06">
        <w:rPr>
          <w:szCs w:val="22"/>
        </w:rPr>
        <w:t>mg</w:t>
      </w:r>
      <w:r w:rsidR="00001831" w:rsidRPr="00E60F06">
        <w:rPr>
          <w:szCs w:val="22"/>
        </w:rPr>
        <w:t>/kg Q3W dose registered for use in Australia</w:t>
      </w:r>
      <w:r w:rsidRPr="00E60F06">
        <w:rPr>
          <w:szCs w:val="22"/>
        </w:rPr>
        <w:t>.</w:t>
      </w:r>
    </w:p>
    <w:p w:rsidR="009E3306" w:rsidRPr="00E60F06" w:rsidRDefault="009E3306" w:rsidP="009E3306">
      <w:pPr>
        <w:widowControl/>
        <w:rPr>
          <w:szCs w:val="22"/>
        </w:rPr>
      </w:pPr>
    </w:p>
    <w:p w:rsidR="009E3306" w:rsidRPr="00E60F06" w:rsidRDefault="00001831" w:rsidP="00423721">
      <w:pPr>
        <w:pStyle w:val="ListParagraph"/>
        <w:widowControl/>
        <w:numPr>
          <w:ilvl w:val="1"/>
          <w:numId w:val="3"/>
        </w:numPr>
        <w:rPr>
          <w:szCs w:val="22"/>
        </w:rPr>
      </w:pPr>
      <w:r w:rsidRPr="00E60F06">
        <w:t xml:space="preserve">The submission stated that both the TGA and the PBAC have accepted the equivalence of </w:t>
      </w:r>
      <w:r w:rsidR="00502545" w:rsidRPr="00E60F06">
        <w:t>2</w:t>
      </w:r>
      <w:r w:rsidR="00655C2D" w:rsidRPr="00E60F06">
        <w:t> </w:t>
      </w:r>
      <w:r w:rsidR="00502545" w:rsidRPr="00E60F06">
        <w:t>mg</w:t>
      </w:r>
      <w:r w:rsidRPr="00E60F06">
        <w:t>/kg and the 1</w:t>
      </w:r>
      <w:r w:rsidR="00655C2D" w:rsidRPr="00E60F06">
        <w:t>0 </w:t>
      </w:r>
      <w:r w:rsidR="0061061F" w:rsidRPr="00E60F06">
        <w:t>mg</w:t>
      </w:r>
      <w:r w:rsidRPr="00E60F06">
        <w:t>/kg based on the data from the KN-001 trial.</w:t>
      </w:r>
      <w:r w:rsidR="003168C6" w:rsidRPr="00E60F06">
        <w:t xml:space="preserve">  </w:t>
      </w:r>
      <w:r w:rsidR="00C414D2" w:rsidRPr="00E60F06">
        <w:t>As the PBAC noted</w:t>
      </w:r>
      <w:r w:rsidR="007B360C" w:rsidRPr="00E60F06">
        <w:t xml:space="preserve"> in paragraph 7.7 of the March 2015 PSD</w:t>
      </w:r>
      <w:r w:rsidR="00C414D2" w:rsidRPr="00E60F06">
        <w:t xml:space="preserve">, the evidence available at the time of the TGA assessment did </w:t>
      </w:r>
      <w:r w:rsidR="003B6A1D" w:rsidRPr="00E60F06">
        <w:t xml:space="preserve">rule out the possibility of </w:t>
      </w:r>
      <w:r w:rsidR="00C414D2" w:rsidRPr="00E60F06">
        <w:t xml:space="preserve">important differences in efficacy or safety across the dosage regimens.  Nothing </w:t>
      </w:r>
      <w:r w:rsidR="00FD7E95" w:rsidRPr="00E60F06">
        <w:t>w</w:t>
      </w:r>
      <w:r w:rsidR="00C414D2" w:rsidRPr="00E60F06">
        <w:t>as provided in the current submission to alleviate the possibility there may be differences in survival and safety for the 1</w:t>
      </w:r>
      <w:r w:rsidR="0061061F" w:rsidRPr="00E60F06">
        <w:t>0</w:t>
      </w:r>
      <w:r w:rsidR="00797CC6" w:rsidRPr="00E60F06">
        <w:t> </w:t>
      </w:r>
      <w:r w:rsidR="0061061F" w:rsidRPr="00E60F06">
        <w:t>mg</w:t>
      </w:r>
      <w:r w:rsidR="00C414D2" w:rsidRPr="00E60F06">
        <w:t xml:space="preserve">/kg dose compared to the </w:t>
      </w:r>
      <w:r w:rsidR="00797CC6" w:rsidRPr="00E60F06">
        <w:t>2 </w:t>
      </w:r>
      <w:r w:rsidR="00502545" w:rsidRPr="00E60F06">
        <w:t>mg</w:t>
      </w:r>
      <w:r w:rsidR="00C414D2" w:rsidRPr="00E60F06">
        <w:t xml:space="preserve">/kg dose.  Information on the efficacy and safety of the </w:t>
      </w:r>
      <w:r w:rsidR="00797CC6" w:rsidRPr="00E60F06">
        <w:t>2 </w:t>
      </w:r>
      <w:r w:rsidR="00502545" w:rsidRPr="00E60F06">
        <w:t>mg</w:t>
      </w:r>
      <w:r w:rsidR="00C414D2" w:rsidRPr="00E60F06">
        <w:t>/kg dose may become available with completion of a number of on-going trials</w:t>
      </w:r>
      <w:r w:rsidR="007B360C" w:rsidRPr="00E60F06">
        <w:t>.</w:t>
      </w:r>
      <w:r w:rsidR="00EC5203" w:rsidRPr="00E60F06">
        <w:t xml:space="preserve"> </w:t>
      </w:r>
      <w:r w:rsidR="00FD7E95" w:rsidRPr="00E60F06">
        <w:t xml:space="preserve"> </w:t>
      </w:r>
      <w:r w:rsidR="00EC5203" w:rsidRPr="00E60F06">
        <w:t xml:space="preserve">ESC noted that the </w:t>
      </w:r>
      <w:r w:rsidR="00396209" w:rsidRPr="00E60F06">
        <w:t>Pre-Sub-Committee Response (</w:t>
      </w:r>
      <w:r w:rsidR="00EC5203" w:rsidRPr="00E60F06">
        <w:t>PSCR</w:t>
      </w:r>
      <w:r w:rsidR="00396209" w:rsidRPr="00E60F06">
        <w:t>)</w:t>
      </w:r>
      <w:r w:rsidR="00EC5203" w:rsidRPr="00E60F06">
        <w:t xml:space="preserve"> </w:t>
      </w:r>
      <w:r w:rsidR="009D60F9" w:rsidRPr="00E60F06">
        <w:t xml:space="preserve">sought to </w:t>
      </w:r>
      <w:r w:rsidR="00EC5203" w:rsidRPr="00E60F06">
        <w:t>counter this claim by drawing attention to the MES which implicitly accept</w:t>
      </w:r>
      <w:r w:rsidR="009D60F9" w:rsidRPr="00E60F06">
        <w:t>ed</w:t>
      </w:r>
      <w:r w:rsidR="00EC5203" w:rsidRPr="00E60F06">
        <w:t xml:space="preserve"> the dosing in KN</w:t>
      </w:r>
      <w:r w:rsidR="009D60F9" w:rsidRPr="00E60F06">
        <w:t>-</w:t>
      </w:r>
      <w:r w:rsidR="00EC5203" w:rsidRPr="00E60F06">
        <w:t>006 as appropriate to decision-making.</w:t>
      </w:r>
    </w:p>
    <w:p w:rsidR="009E3306" w:rsidRPr="00E60F06" w:rsidRDefault="009E3306" w:rsidP="009E3306">
      <w:pPr>
        <w:widowControl/>
        <w:rPr>
          <w:szCs w:val="22"/>
        </w:rPr>
      </w:pPr>
    </w:p>
    <w:p w:rsidR="007B360C" w:rsidRPr="00E60F06" w:rsidRDefault="007B360C" w:rsidP="00423721">
      <w:pPr>
        <w:pStyle w:val="ListParagraph"/>
        <w:widowControl/>
        <w:numPr>
          <w:ilvl w:val="1"/>
          <w:numId w:val="3"/>
        </w:numPr>
        <w:rPr>
          <w:szCs w:val="22"/>
        </w:rPr>
      </w:pPr>
      <w:r w:rsidRPr="00E60F06">
        <w:t xml:space="preserve">The results presented in the current submission </w:t>
      </w:r>
      <w:r w:rsidR="00797CC6" w:rsidRPr="00E60F06">
        <w:t>we</w:t>
      </w:r>
      <w:r w:rsidRPr="00E60F06">
        <w:t>re based on the second interim analysis of KN-006</w:t>
      </w:r>
      <w:r w:rsidR="00A34396" w:rsidRPr="00E60F06">
        <w:t xml:space="preserve"> </w:t>
      </w:r>
      <w:r w:rsidR="00A34396" w:rsidRPr="00E60F06">
        <w:rPr>
          <w:szCs w:val="22"/>
        </w:rPr>
        <w:t xml:space="preserve">based on the </w:t>
      </w:r>
      <w:r w:rsidR="00A34396" w:rsidRPr="00E60F06">
        <w:t>3 March 2015 data cut</w:t>
      </w:r>
      <w:r w:rsidRPr="00E60F06">
        <w:t>.  Review of this analysis by the External Data Monitoring Committee (eDMC) found that the trial had met its two primary endpoints by demonstrating a statistically significant and clinically meaningful improvement in OS and PFS.  It was recommended that the trial be stopped early and patients who had been treated with ipilimumab be allowed to access pembrolizumab.  The eDMC also recommended that patients continue to be followed for OS until the planned final analysis, which is scheduled to be performed after 435 OS events have occurred or after all patients have at l</w:t>
      </w:r>
      <w:r w:rsidR="00A34396" w:rsidRPr="00E60F06">
        <w:t>e</w:t>
      </w:r>
      <w:r w:rsidRPr="00E60F06">
        <w:t>ast 21 months of follow-up, whichever occurs first.</w:t>
      </w:r>
      <w:r w:rsidR="00FD7E95" w:rsidRPr="00E60F06">
        <w:t xml:space="preserve">  </w:t>
      </w:r>
      <w:r w:rsidR="00FD7E95" w:rsidRPr="00E60F06">
        <w:rPr>
          <w:szCs w:val="22"/>
        </w:rPr>
        <w:t>ESC noted that this key clinical trial was stopped early for efficacy considerations, before the OS data could be considered to be mature, and that further OS data collection was continuing.</w:t>
      </w:r>
    </w:p>
    <w:p w:rsidR="00630118" w:rsidRPr="00E60F06" w:rsidRDefault="00630118" w:rsidP="00630118">
      <w:pPr>
        <w:widowControl/>
        <w:rPr>
          <w:szCs w:val="22"/>
        </w:rPr>
      </w:pPr>
    </w:p>
    <w:p w:rsidR="00630118" w:rsidRPr="00E60F06" w:rsidRDefault="00630118" w:rsidP="00423721">
      <w:pPr>
        <w:pStyle w:val="ListParagraph"/>
        <w:widowControl/>
        <w:numPr>
          <w:ilvl w:val="1"/>
          <w:numId w:val="3"/>
        </w:numPr>
        <w:rPr>
          <w:szCs w:val="22"/>
        </w:rPr>
      </w:pPr>
      <w:r w:rsidRPr="00E60F06">
        <w:t>PBAC had advised that the clinical (and economic) evaluations should be based on the standard ITT analysis given the risk of contamination due to patients receiving post-trial pembrolizumab or switching to other therapies (paragraph 6.79 of the March 2015 PSD)</w:t>
      </w:r>
      <w:r w:rsidR="00797CC6" w:rsidRPr="00E60F06">
        <w:t>,</w:t>
      </w:r>
      <w:r w:rsidRPr="00E60F06">
        <w:t xml:space="preserve"> with no statistical adjustments to be used to account for differential use of post-progression therapies (clause B.2.2.b of the Deed of Agreement).  The submission d</w:t>
      </w:r>
      <w:r w:rsidR="00797CC6" w:rsidRPr="00E60F06">
        <w:t>id</w:t>
      </w:r>
      <w:r w:rsidRPr="00E60F06">
        <w:t xml:space="preserve"> not provide any discussion of the planned use of the Rank Preserving Structural Failure Time (RPSFT) model to account for cross-over in KN-006</w:t>
      </w:r>
      <w:r w:rsidR="008704F2" w:rsidRPr="00E60F06">
        <w:t xml:space="preserve"> for the planned final analysis</w:t>
      </w:r>
      <w:r w:rsidRPr="00E60F06">
        <w:t xml:space="preserve">.  Patients treated with ipilimumab with progressive disease were able to access pembrolizumab once the trial was </w:t>
      </w:r>
      <w:r w:rsidR="00F639FC" w:rsidRPr="00E60F06">
        <w:t>stopped</w:t>
      </w:r>
      <w:r w:rsidRPr="00E60F06">
        <w:t xml:space="preserve">.  The clinical study report (CSR) </w:t>
      </w:r>
      <w:r w:rsidR="00F639FC" w:rsidRPr="00E60F06">
        <w:t>indicated</w:t>
      </w:r>
      <w:r w:rsidRPr="00E60F06">
        <w:t xml:space="preserve"> that the RPSFT methodology </w:t>
      </w:r>
      <w:r w:rsidR="00F639FC" w:rsidRPr="00E60F06">
        <w:t xml:space="preserve">would be </w:t>
      </w:r>
      <w:r w:rsidRPr="00E60F06">
        <w:t>used at the final analysis</w:t>
      </w:r>
      <w:r w:rsidR="00F639FC" w:rsidRPr="00E60F06">
        <w:t xml:space="preserve"> of this further data collection</w:t>
      </w:r>
      <w:r w:rsidRPr="00E60F06">
        <w:t>, ie after 435 deat</w:t>
      </w:r>
      <w:r w:rsidR="00F639FC" w:rsidRPr="00E60F06">
        <w:t xml:space="preserve">hs or 21 </w:t>
      </w:r>
      <w:r w:rsidR="00F639FC" w:rsidRPr="00E60F06">
        <w:lastRenderedPageBreak/>
        <w:t>months.  The CSR stated</w:t>
      </w:r>
      <w:r w:rsidRPr="00E60F06">
        <w:t xml:space="preserve"> that not all of the supportive or exploratory analyses such as RPSFT were performed and reported at the time of the current CSR</w:t>
      </w:r>
      <w:r w:rsidR="008704F2" w:rsidRPr="00E60F06">
        <w:t xml:space="preserve"> for the second interim analysis before cross-over was permitted</w:t>
      </w:r>
      <w:r w:rsidR="00797CC6" w:rsidRPr="00E60F06">
        <w:t>,</w:t>
      </w:r>
      <w:r w:rsidRPr="00E60F06">
        <w:t xml:space="preserve"> so it </w:t>
      </w:r>
      <w:r w:rsidR="008704F2" w:rsidRPr="00E60F06">
        <w:t>wa</w:t>
      </w:r>
      <w:r w:rsidRPr="00E60F06">
        <w:t xml:space="preserve">s assumed </w:t>
      </w:r>
      <w:r w:rsidR="00797CC6" w:rsidRPr="00E60F06">
        <w:t xml:space="preserve">for the purposes of the evaluation </w:t>
      </w:r>
      <w:r w:rsidRPr="00E60F06">
        <w:t>that such methodology was not applied to the analyses presented in the submission</w:t>
      </w:r>
      <w:r w:rsidR="00FE128F" w:rsidRPr="00E60F06">
        <w:t>.</w:t>
      </w:r>
    </w:p>
    <w:p w:rsidR="00B60939" w:rsidRPr="00E60F06" w:rsidRDefault="00B60939" w:rsidP="00B60939">
      <w:pPr>
        <w:rPr>
          <w:szCs w:val="22"/>
        </w:rPr>
      </w:pPr>
    </w:p>
    <w:p w:rsidR="00B60939" w:rsidRPr="00E60F06" w:rsidRDefault="00B60939" w:rsidP="002C2775">
      <w:pPr>
        <w:pStyle w:val="Heading2"/>
        <w:rPr>
          <w:i/>
        </w:rPr>
      </w:pPr>
      <w:bookmarkStart w:id="8" w:name="_Toc440982036"/>
      <w:r w:rsidRPr="00E60F06">
        <w:rPr>
          <w:i/>
        </w:rPr>
        <w:t>Comparative effectiveness</w:t>
      </w:r>
      <w:bookmarkEnd w:id="8"/>
    </w:p>
    <w:p w:rsidR="00B60939" w:rsidRPr="00E60F06" w:rsidRDefault="00B60939" w:rsidP="00B60939">
      <w:pPr>
        <w:rPr>
          <w:szCs w:val="22"/>
        </w:rPr>
      </w:pPr>
    </w:p>
    <w:p w:rsidR="002C2775" w:rsidRPr="00E60F06" w:rsidRDefault="00FE128F" w:rsidP="00423721">
      <w:pPr>
        <w:pStyle w:val="ListParagraph"/>
        <w:widowControl/>
        <w:numPr>
          <w:ilvl w:val="1"/>
          <w:numId w:val="3"/>
        </w:numPr>
        <w:rPr>
          <w:szCs w:val="22"/>
        </w:rPr>
      </w:pPr>
      <w:r w:rsidRPr="00E60F06">
        <w:rPr>
          <w:szCs w:val="22"/>
        </w:rPr>
        <w:t xml:space="preserve">Survival results from the second interim analysis of KN-006, based on the </w:t>
      </w:r>
      <w:r w:rsidRPr="00E60F06">
        <w:t>3 March 2015 data cut</w:t>
      </w:r>
      <w:r w:rsidR="003168C6" w:rsidRPr="00E60F06">
        <w:t xml:space="preserve"> </w:t>
      </w:r>
      <w:r w:rsidR="00006BEF" w:rsidRPr="00E60F06">
        <w:t>are provided in the table below, followed by the Kaplan-Meier curves for OS and PFS.</w:t>
      </w:r>
    </w:p>
    <w:p w:rsidR="007F1017" w:rsidRPr="00E60F06" w:rsidRDefault="007F1017" w:rsidP="007F1017">
      <w:pPr>
        <w:widowControl/>
        <w:rPr>
          <w:szCs w:val="22"/>
        </w:rPr>
      </w:pPr>
    </w:p>
    <w:p w:rsidR="00BD0F53" w:rsidRPr="00E60F06" w:rsidRDefault="00BD0F53">
      <w:pPr>
        <w:widowControl/>
        <w:jc w:val="left"/>
        <w:rPr>
          <w:rFonts w:ascii="Arial Narrow" w:hAnsi="Arial Narrow"/>
          <w:b/>
          <w:sz w:val="20"/>
        </w:rPr>
      </w:pPr>
      <w:r w:rsidRPr="00E60F06">
        <w:rPr>
          <w:rFonts w:ascii="Arial Narrow" w:hAnsi="Arial Narrow"/>
          <w:b/>
          <w:sz w:val="20"/>
        </w:rPr>
        <w:br w:type="page"/>
      </w:r>
    </w:p>
    <w:p w:rsidR="00FE128F" w:rsidRPr="00E60F06" w:rsidRDefault="00FE128F" w:rsidP="00FE128F">
      <w:pPr>
        <w:ind w:left="709"/>
        <w:rPr>
          <w:rFonts w:ascii="Arial Narrow" w:hAnsi="Arial Narrow"/>
          <w:b/>
          <w:sz w:val="20"/>
        </w:rPr>
      </w:pPr>
      <w:r w:rsidRPr="00E60F06">
        <w:rPr>
          <w:rFonts w:ascii="Arial Narrow" w:hAnsi="Arial Narrow"/>
          <w:b/>
          <w:sz w:val="20"/>
        </w:rPr>
        <w:lastRenderedPageBreak/>
        <w:t>Table 4</w:t>
      </w:r>
      <w:r w:rsidR="005A37A0" w:rsidRPr="00E60F06">
        <w:rPr>
          <w:rFonts w:ascii="Arial Narrow" w:hAnsi="Arial Narrow"/>
          <w:b/>
          <w:sz w:val="20"/>
        </w:rPr>
        <w:t xml:space="preserve">: </w:t>
      </w:r>
      <w:r w:rsidRPr="00E60F06">
        <w:rPr>
          <w:rFonts w:ascii="Arial Narrow" w:hAnsi="Arial Narrow"/>
          <w:b/>
          <w:sz w:val="20"/>
        </w:rPr>
        <w:t>OS and PFS results in KN-006</w:t>
      </w:r>
    </w:p>
    <w:tbl>
      <w:tblPr>
        <w:tblStyle w:val="TableGrid"/>
        <w:tblW w:w="8441" w:type="dxa"/>
        <w:tblInd w:w="817" w:type="dxa"/>
        <w:tblLayout w:type="fixed"/>
        <w:tblLook w:val="04A0" w:firstRow="1" w:lastRow="0" w:firstColumn="1" w:lastColumn="0" w:noHBand="0" w:noVBand="1"/>
        <w:tblCaption w:val="Table 4: OS and PFS results in KN-006"/>
      </w:tblPr>
      <w:tblGrid>
        <w:gridCol w:w="1418"/>
        <w:gridCol w:w="992"/>
        <w:gridCol w:w="992"/>
        <w:gridCol w:w="992"/>
        <w:gridCol w:w="993"/>
        <w:gridCol w:w="1134"/>
        <w:gridCol w:w="1920"/>
      </w:tblGrid>
      <w:tr w:rsidR="00FE128F" w:rsidRPr="00E60F06" w:rsidTr="00797CC6">
        <w:trPr>
          <w:tblHeader/>
        </w:trPr>
        <w:tc>
          <w:tcPr>
            <w:tcW w:w="1418" w:type="dxa"/>
            <w:vMerge w:val="restart"/>
            <w:vAlign w:val="center"/>
          </w:tcPr>
          <w:p w:rsidR="00FE128F" w:rsidRPr="00E60F06" w:rsidRDefault="00FE128F" w:rsidP="00463192">
            <w:pPr>
              <w:jc w:val="left"/>
              <w:rPr>
                <w:rFonts w:ascii="Arial Narrow" w:hAnsi="Arial Narrow"/>
                <w:b/>
                <w:sz w:val="18"/>
                <w:szCs w:val="18"/>
              </w:rPr>
            </w:pPr>
            <w:r w:rsidRPr="00E60F06">
              <w:rPr>
                <w:rFonts w:ascii="Arial Narrow" w:hAnsi="Arial Narrow"/>
                <w:b/>
                <w:sz w:val="18"/>
                <w:szCs w:val="18"/>
              </w:rPr>
              <w:t>Outcome</w:t>
            </w:r>
          </w:p>
        </w:tc>
        <w:tc>
          <w:tcPr>
            <w:tcW w:w="2976" w:type="dxa"/>
            <w:gridSpan w:val="3"/>
            <w:tcBorders>
              <w:right w:val="double" w:sz="4" w:space="0" w:color="auto"/>
            </w:tcBorders>
            <w:vAlign w:val="center"/>
          </w:tcPr>
          <w:p w:rsidR="00FE128F" w:rsidRPr="00E60F06" w:rsidRDefault="00FE128F" w:rsidP="00463192">
            <w:pPr>
              <w:jc w:val="center"/>
              <w:rPr>
                <w:rFonts w:ascii="Arial Narrow" w:hAnsi="Arial Narrow"/>
                <w:b/>
                <w:sz w:val="18"/>
                <w:szCs w:val="18"/>
              </w:rPr>
            </w:pPr>
            <w:r w:rsidRPr="00E60F06">
              <w:rPr>
                <w:rFonts w:ascii="Arial Narrow" w:hAnsi="Arial Narrow"/>
                <w:b/>
                <w:sz w:val="18"/>
                <w:szCs w:val="18"/>
              </w:rPr>
              <w:t>Pembrolizumab</w:t>
            </w:r>
          </w:p>
        </w:tc>
        <w:tc>
          <w:tcPr>
            <w:tcW w:w="993" w:type="dxa"/>
            <w:tcBorders>
              <w:left w:val="double" w:sz="4" w:space="0" w:color="auto"/>
            </w:tcBorders>
            <w:vAlign w:val="center"/>
          </w:tcPr>
          <w:p w:rsidR="00FE128F" w:rsidRPr="00E60F06" w:rsidRDefault="00FE128F" w:rsidP="00F6049A">
            <w:pPr>
              <w:ind w:left="-108" w:right="-108"/>
              <w:jc w:val="center"/>
              <w:rPr>
                <w:rFonts w:ascii="Arial Narrow" w:hAnsi="Arial Narrow"/>
                <w:b/>
                <w:sz w:val="18"/>
                <w:szCs w:val="18"/>
              </w:rPr>
            </w:pPr>
            <w:r w:rsidRPr="00E60F06">
              <w:rPr>
                <w:rFonts w:ascii="Arial Narrow" w:hAnsi="Arial Narrow"/>
                <w:b/>
                <w:sz w:val="18"/>
                <w:szCs w:val="18"/>
              </w:rPr>
              <w:t>Ipilimumab</w:t>
            </w:r>
          </w:p>
        </w:tc>
        <w:tc>
          <w:tcPr>
            <w:tcW w:w="1134" w:type="dxa"/>
            <w:vMerge w:val="restart"/>
            <w:vAlign w:val="center"/>
          </w:tcPr>
          <w:p w:rsidR="00FE128F" w:rsidRPr="00E60F06" w:rsidRDefault="00FE128F" w:rsidP="0005651A">
            <w:pPr>
              <w:jc w:val="center"/>
              <w:rPr>
                <w:rFonts w:ascii="Arial Narrow" w:hAnsi="Arial Narrow"/>
                <w:b/>
                <w:sz w:val="18"/>
                <w:szCs w:val="18"/>
              </w:rPr>
            </w:pPr>
            <w:r w:rsidRPr="00E60F06">
              <w:rPr>
                <w:rFonts w:ascii="Arial Narrow" w:hAnsi="Arial Narrow"/>
                <w:b/>
                <w:sz w:val="18"/>
                <w:szCs w:val="18"/>
              </w:rPr>
              <w:t>Absolute difference</w:t>
            </w:r>
          </w:p>
        </w:tc>
        <w:tc>
          <w:tcPr>
            <w:tcW w:w="1920" w:type="dxa"/>
            <w:vMerge w:val="restart"/>
            <w:vAlign w:val="center"/>
          </w:tcPr>
          <w:p w:rsidR="0005651A" w:rsidRPr="00E60F06" w:rsidRDefault="00F6049A" w:rsidP="0005651A">
            <w:pPr>
              <w:jc w:val="center"/>
              <w:rPr>
                <w:rFonts w:ascii="Arial Narrow" w:hAnsi="Arial Narrow"/>
                <w:b/>
                <w:sz w:val="18"/>
                <w:szCs w:val="18"/>
              </w:rPr>
            </w:pPr>
            <w:r w:rsidRPr="00E60F06">
              <w:rPr>
                <w:rFonts w:ascii="Arial Narrow" w:hAnsi="Arial Narrow"/>
                <w:b/>
                <w:sz w:val="18"/>
                <w:szCs w:val="18"/>
              </w:rPr>
              <w:t>HR (95% CI)</w:t>
            </w:r>
          </w:p>
          <w:p w:rsidR="00FE128F" w:rsidRPr="00E60F06" w:rsidRDefault="00FE128F" w:rsidP="00F6049A">
            <w:pPr>
              <w:jc w:val="center"/>
              <w:rPr>
                <w:rFonts w:ascii="Arial Narrow" w:hAnsi="Arial Narrow"/>
                <w:b/>
                <w:sz w:val="18"/>
                <w:szCs w:val="18"/>
              </w:rPr>
            </w:pPr>
            <w:r w:rsidRPr="00E60F06">
              <w:rPr>
                <w:rFonts w:ascii="Arial Narrow" w:hAnsi="Arial Narrow"/>
                <w:b/>
                <w:sz w:val="18"/>
                <w:szCs w:val="18"/>
              </w:rPr>
              <w:t xml:space="preserve">vs. </w:t>
            </w:r>
            <w:r w:rsidR="00F6049A" w:rsidRPr="00E60F06">
              <w:rPr>
                <w:rFonts w:ascii="Arial Narrow" w:hAnsi="Arial Narrow"/>
                <w:b/>
                <w:sz w:val="18"/>
                <w:szCs w:val="18"/>
              </w:rPr>
              <w:t>i</w:t>
            </w:r>
            <w:r w:rsidRPr="00E60F06">
              <w:rPr>
                <w:rFonts w:ascii="Arial Narrow" w:hAnsi="Arial Narrow"/>
                <w:b/>
                <w:sz w:val="18"/>
                <w:szCs w:val="18"/>
              </w:rPr>
              <w:t>pi</w:t>
            </w:r>
            <w:r w:rsidR="00F6049A" w:rsidRPr="00E60F06">
              <w:rPr>
                <w:rFonts w:ascii="Arial Narrow" w:hAnsi="Arial Narrow"/>
                <w:b/>
                <w:sz w:val="18"/>
                <w:szCs w:val="18"/>
              </w:rPr>
              <w:t>limumab</w:t>
            </w:r>
          </w:p>
        </w:tc>
      </w:tr>
      <w:tr w:rsidR="00FE128F" w:rsidRPr="00E60F06" w:rsidTr="00797CC6">
        <w:trPr>
          <w:tblHeader/>
        </w:trPr>
        <w:tc>
          <w:tcPr>
            <w:tcW w:w="1418" w:type="dxa"/>
            <w:vMerge/>
            <w:vAlign w:val="center"/>
          </w:tcPr>
          <w:p w:rsidR="00FE128F" w:rsidRPr="00E60F06" w:rsidRDefault="00FE128F" w:rsidP="00463192">
            <w:pPr>
              <w:jc w:val="left"/>
              <w:rPr>
                <w:rFonts w:ascii="Arial Narrow" w:hAnsi="Arial Narrow"/>
                <w:b/>
                <w:sz w:val="18"/>
                <w:szCs w:val="18"/>
              </w:rPr>
            </w:pPr>
          </w:p>
        </w:tc>
        <w:tc>
          <w:tcPr>
            <w:tcW w:w="992" w:type="dxa"/>
            <w:vAlign w:val="center"/>
          </w:tcPr>
          <w:p w:rsidR="00FE128F" w:rsidRPr="00E60F06" w:rsidRDefault="00FE128F" w:rsidP="00797CC6">
            <w:pPr>
              <w:ind w:left="-108" w:right="-142"/>
              <w:jc w:val="center"/>
              <w:rPr>
                <w:rFonts w:ascii="Arial Narrow" w:hAnsi="Arial Narrow"/>
                <w:b/>
                <w:sz w:val="18"/>
                <w:szCs w:val="18"/>
              </w:rPr>
            </w:pPr>
            <w:r w:rsidRPr="00E60F06">
              <w:rPr>
                <w:rFonts w:ascii="Arial Narrow" w:hAnsi="Arial Narrow"/>
                <w:b/>
                <w:sz w:val="18"/>
                <w:szCs w:val="18"/>
              </w:rPr>
              <w:t>1</w:t>
            </w:r>
            <w:r w:rsidR="00797CC6" w:rsidRPr="00E60F06">
              <w:rPr>
                <w:rFonts w:ascii="Arial Narrow" w:hAnsi="Arial Narrow"/>
                <w:b/>
                <w:sz w:val="18"/>
                <w:szCs w:val="18"/>
              </w:rPr>
              <w:t>0 </w:t>
            </w:r>
            <w:r w:rsidR="0061061F" w:rsidRPr="00E60F06">
              <w:rPr>
                <w:rFonts w:ascii="Arial Narrow" w:hAnsi="Arial Narrow"/>
                <w:b/>
                <w:sz w:val="18"/>
                <w:szCs w:val="18"/>
              </w:rPr>
              <w:t>mg</w:t>
            </w:r>
            <w:r w:rsidRPr="00E60F06">
              <w:rPr>
                <w:rFonts w:ascii="Arial Narrow" w:hAnsi="Arial Narrow"/>
                <w:b/>
                <w:sz w:val="18"/>
                <w:szCs w:val="18"/>
              </w:rPr>
              <w:t>/kg</w:t>
            </w:r>
            <w:r w:rsidR="00797CC6" w:rsidRPr="00E60F06">
              <w:rPr>
                <w:rFonts w:ascii="Arial Narrow" w:hAnsi="Arial Narrow"/>
                <w:b/>
                <w:sz w:val="18"/>
                <w:szCs w:val="18"/>
              </w:rPr>
              <w:br/>
            </w:r>
            <w:r w:rsidRPr="00E60F06">
              <w:rPr>
                <w:rFonts w:ascii="Arial Narrow" w:hAnsi="Arial Narrow"/>
                <w:b/>
                <w:sz w:val="18"/>
                <w:szCs w:val="18"/>
              </w:rPr>
              <w:t>Q2W N=279</w:t>
            </w:r>
          </w:p>
        </w:tc>
        <w:tc>
          <w:tcPr>
            <w:tcW w:w="992" w:type="dxa"/>
            <w:vAlign w:val="center"/>
          </w:tcPr>
          <w:p w:rsidR="00FE128F" w:rsidRPr="00E60F06" w:rsidRDefault="00FE128F" w:rsidP="00797CC6">
            <w:pPr>
              <w:ind w:left="-108" w:right="-108"/>
              <w:jc w:val="center"/>
              <w:rPr>
                <w:rFonts w:ascii="Arial Narrow" w:hAnsi="Arial Narrow"/>
                <w:b/>
                <w:sz w:val="18"/>
                <w:szCs w:val="18"/>
              </w:rPr>
            </w:pPr>
            <w:r w:rsidRPr="00E60F06">
              <w:rPr>
                <w:rFonts w:ascii="Arial Narrow" w:hAnsi="Arial Narrow"/>
                <w:b/>
                <w:sz w:val="18"/>
                <w:szCs w:val="18"/>
              </w:rPr>
              <w:t>1</w:t>
            </w:r>
            <w:r w:rsidR="0061061F" w:rsidRPr="00E60F06">
              <w:rPr>
                <w:rFonts w:ascii="Arial Narrow" w:hAnsi="Arial Narrow"/>
                <w:b/>
                <w:sz w:val="18"/>
                <w:szCs w:val="18"/>
              </w:rPr>
              <w:t>0</w:t>
            </w:r>
            <w:r w:rsidR="00797CC6" w:rsidRPr="00E60F06">
              <w:rPr>
                <w:rFonts w:ascii="Arial Narrow" w:hAnsi="Arial Narrow"/>
                <w:b/>
                <w:sz w:val="18"/>
                <w:szCs w:val="18"/>
              </w:rPr>
              <w:t> </w:t>
            </w:r>
            <w:r w:rsidR="0061061F" w:rsidRPr="00E60F06">
              <w:rPr>
                <w:rFonts w:ascii="Arial Narrow" w:hAnsi="Arial Narrow"/>
                <w:b/>
                <w:sz w:val="18"/>
                <w:szCs w:val="18"/>
              </w:rPr>
              <w:t>mg</w:t>
            </w:r>
            <w:r w:rsidRPr="00E60F06">
              <w:rPr>
                <w:rFonts w:ascii="Arial Narrow" w:hAnsi="Arial Narrow"/>
                <w:b/>
                <w:sz w:val="18"/>
                <w:szCs w:val="18"/>
              </w:rPr>
              <w:t>/kg</w:t>
            </w:r>
            <w:r w:rsidR="00797CC6" w:rsidRPr="00E60F06">
              <w:rPr>
                <w:rFonts w:ascii="Arial Narrow" w:hAnsi="Arial Narrow"/>
                <w:b/>
                <w:sz w:val="18"/>
                <w:szCs w:val="18"/>
              </w:rPr>
              <w:br/>
            </w:r>
            <w:r w:rsidRPr="00E60F06">
              <w:rPr>
                <w:rFonts w:ascii="Arial Narrow" w:hAnsi="Arial Narrow"/>
                <w:b/>
                <w:sz w:val="18"/>
                <w:szCs w:val="18"/>
              </w:rPr>
              <w:t>Q3W N=277</w:t>
            </w:r>
          </w:p>
        </w:tc>
        <w:tc>
          <w:tcPr>
            <w:tcW w:w="992" w:type="dxa"/>
            <w:tcBorders>
              <w:right w:val="double" w:sz="4" w:space="0" w:color="auto"/>
            </w:tcBorders>
            <w:vAlign w:val="center"/>
          </w:tcPr>
          <w:p w:rsidR="00FE128F" w:rsidRPr="00E60F06" w:rsidRDefault="00FE128F" w:rsidP="00463192">
            <w:pPr>
              <w:jc w:val="center"/>
              <w:rPr>
                <w:rFonts w:ascii="Arial Narrow" w:hAnsi="Arial Narrow"/>
                <w:b/>
                <w:sz w:val="18"/>
                <w:szCs w:val="18"/>
              </w:rPr>
            </w:pPr>
            <w:r w:rsidRPr="00E60F06">
              <w:rPr>
                <w:rFonts w:ascii="Arial Narrow" w:hAnsi="Arial Narrow"/>
                <w:b/>
                <w:sz w:val="18"/>
                <w:szCs w:val="18"/>
              </w:rPr>
              <w:t>Combined N=556</w:t>
            </w:r>
          </w:p>
        </w:tc>
        <w:tc>
          <w:tcPr>
            <w:tcW w:w="993" w:type="dxa"/>
            <w:tcBorders>
              <w:left w:val="double" w:sz="4" w:space="0" w:color="auto"/>
            </w:tcBorders>
            <w:vAlign w:val="center"/>
          </w:tcPr>
          <w:p w:rsidR="00FE128F" w:rsidRPr="00E60F06" w:rsidRDefault="00797CC6" w:rsidP="00797CC6">
            <w:pPr>
              <w:ind w:left="-108" w:right="-108"/>
              <w:jc w:val="center"/>
              <w:rPr>
                <w:rFonts w:ascii="Arial Narrow" w:hAnsi="Arial Narrow"/>
                <w:b/>
                <w:sz w:val="18"/>
                <w:szCs w:val="18"/>
              </w:rPr>
            </w:pPr>
            <w:r w:rsidRPr="00E60F06">
              <w:rPr>
                <w:rFonts w:ascii="Arial Narrow" w:hAnsi="Arial Narrow"/>
                <w:b/>
                <w:sz w:val="18"/>
                <w:szCs w:val="18"/>
              </w:rPr>
              <w:t>3 </w:t>
            </w:r>
            <w:r w:rsidR="00502545" w:rsidRPr="00E60F06">
              <w:rPr>
                <w:rFonts w:ascii="Arial Narrow" w:hAnsi="Arial Narrow"/>
                <w:b/>
                <w:sz w:val="18"/>
                <w:szCs w:val="18"/>
              </w:rPr>
              <w:t>mg</w:t>
            </w:r>
            <w:r w:rsidR="00FE128F" w:rsidRPr="00E60F06">
              <w:rPr>
                <w:rFonts w:ascii="Arial Narrow" w:hAnsi="Arial Narrow"/>
                <w:b/>
                <w:sz w:val="18"/>
                <w:szCs w:val="18"/>
              </w:rPr>
              <w:t>/kg</w:t>
            </w:r>
            <w:r w:rsidRPr="00E60F06">
              <w:rPr>
                <w:rFonts w:ascii="Arial Narrow" w:hAnsi="Arial Narrow"/>
                <w:b/>
                <w:sz w:val="18"/>
                <w:szCs w:val="18"/>
              </w:rPr>
              <w:br/>
            </w:r>
            <w:r w:rsidR="00FE128F" w:rsidRPr="00E60F06">
              <w:rPr>
                <w:rFonts w:ascii="Arial Narrow" w:hAnsi="Arial Narrow"/>
                <w:b/>
                <w:sz w:val="18"/>
                <w:szCs w:val="18"/>
              </w:rPr>
              <w:t>Q3W N=278</w:t>
            </w:r>
          </w:p>
        </w:tc>
        <w:tc>
          <w:tcPr>
            <w:tcW w:w="1134" w:type="dxa"/>
            <w:vMerge/>
            <w:vAlign w:val="center"/>
          </w:tcPr>
          <w:p w:rsidR="00FE128F" w:rsidRPr="00E60F06" w:rsidRDefault="00FE128F" w:rsidP="0005651A">
            <w:pPr>
              <w:jc w:val="center"/>
              <w:rPr>
                <w:rFonts w:ascii="Arial Narrow" w:hAnsi="Arial Narrow"/>
                <w:b/>
                <w:sz w:val="18"/>
                <w:szCs w:val="18"/>
              </w:rPr>
            </w:pPr>
          </w:p>
        </w:tc>
        <w:tc>
          <w:tcPr>
            <w:tcW w:w="1920" w:type="dxa"/>
            <w:vMerge/>
            <w:vAlign w:val="center"/>
          </w:tcPr>
          <w:p w:rsidR="00FE128F" w:rsidRPr="00E60F06" w:rsidRDefault="00FE128F" w:rsidP="0005651A">
            <w:pPr>
              <w:jc w:val="center"/>
              <w:rPr>
                <w:rFonts w:ascii="Arial Narrow" w:hAnsi="Arial Narrow"/>
                <w:b/>
                <w:sz w:val="18"/>
                <w:szCs w:val="18"/>
              </w:rPr>
            </w:pPr>
          </w:p>
        </w:tc>
      </w:tr>
      <w:tr w:rsidR="00FE128F" w:rsidRPr="00E60F06" w:rsidTr="0001490C">
        <w:tc>
          <w:tcPr>
            <w:tcW w:w="8441" w:type="dxa"/>
            <w:gridSpan w:val="7"/>
            <w:vAlign w:val="center"/>
          </w:tcPr>
          <w:p w:rsidR="00FE128F" w:rsidRPr="00E60F06" w:rsidRDefault="00FE128F" w:rsidP="0005651A">
            <w:pPr>
              <w:jc w:val="left"/>
              <w:rPr>
                <w:rFonts w:ascii="Arial Narrow" w:hAnsi="Arial Narrow"/>
                <w:b/>
                <w:sz w:val="18"/>
                <w:szCs w:val="18"/>
              </w:rPr>
            </w:pPr>
            <w:r w:rsidRPr="00E60F06">
              <w:rPr>
                <w:rFonts w:ascii="Arial Narrow" w:hAnsi="Arial Narrow"/>
                <w:b/>
                <w:sz w:val="18"/>
                <w:szCs w:val="18"/>
              </w:rPr>
              <w:t>Overall survival</w:t>
            </w:r>
          </w:p>
        </w:tc>
      </w:tr>
      <w:tr w:rsidR="00FE128F" w:rsidRPr="00E60F06" w:rsidTr="00797CC6">
        <w:tc>
          <w:tcPr>
            <w:tcW w:w="1418" w:type="dxa"/>
            <w:vAlign w:val="center"/>
          </w:tcPr>
          <w:p w:rsidR="00FE128F" w:rsidRPr="00E60F06" w:rsidRDefault="00797CC6" w:rsidP="00463192">
            <w:pPr>
              <w:jc w:val="left"/>
              <w:rPr>
                <w:rFonts w:ascii="Arial Narrow" w:hAnsi="Arial Narrow"/>
                <w:sz w:val="18"/>
                <w:szCs w:val="18"/>
              </w:rPr>
            </w:pPr>
            <w:r w:rsidRPr="00E60F06">
              <w:rPr>
                <w:rFonts w:ascii="Arial Narrow" w:hAnsi="Arial Narrow"/>
                <w:sz w:val="18"/>
                <w:szCs w:val="18"/>
              </w:rPr>
              <w:t>Median follow-up</w:t>
            </w:r>
          </w:p>
        </w:tc>
        <w:tc>
          <w:tcPr>
            <w:tcW w:w="3969" w:type="dxa"/>
            <w:gridSpan w:val="4"/>
            <w:vAlign w:val="center"/>
          </w:tcPr>
          <w:p w:rsidR="00FE128F" w:rsidRPr="00E60F06" w:rsidRDefault="00FE128F" w:rsidP="0005651A">
            <w:pPr>
              <w:jc w:val="center"/>
              <w:rPr>
                <w:rFonts w:ascii="Arial Narrow" w:hAnsi="Arial Narrow"/>
                <w:sz w:val="18"/>
                <w:szCs w:val="18"/>
              </w:rPr>
            </w:pPr>
            <w:r w:rsidRPr="00E60F06">
              <w:rPr>
                <w:rFonts w:ascii="Arial Narrow" w:hAnsi="Arial Narrow"/>
                <w:sz w:val="18"/>
                <w:szCs w:val="18"/>
              </w:rPr>
              <w:t>13.8 months</w:t>
            </w:r>
          </w:p>
        </w:tc>
        <w:tc>
          <w:tcPr>
            <w:tcW w:w="1134" w:type="dxa"/>
            <w:vAlign w:val="center"/>
          </w:tcPr>
          <w:p w:rsidR="00FE128F" w:rsidRPr="00E60F06" w:rsidRDefault="00FE128F" w:rsidP="0005651A">
            <w:pPr>
              <w:jc w:val="center"/>
              <w:rPr>
                <w:rFonts w:ascii="Arial Narrow" w:hAnsi="Arial Narrow"/>
                <w:sz w:val="18"/>
                <w:szCs w:val="18"/>
              </w:rPr>
            </w:pPr>
            <w:r w:rsidRPr="00E60F06">
              <w:rPr>
                <w:rFonts w:ascii="Arial Narrow" w:hAnsi="Arial Narrow"/>
                <w:sz w:val="18"/>
                <w:szCs w:val="18"/>
              </w:rPr>
              <w:t>-</w:t>
            </w:r>
          </w:p>
        </w:tc>
        <w:tc>
          <w:tcPr>
            <w:tcW w:w="1920" w:type="dxa"/>
            <w:vAlign w:val="center"/>
          </w:tcPr>
          <w:p w:rsidR="00FE128F" w:rsidRPr="00E60F06" w:rsidRDefault="00FE128F" w:rsidP="0005651A">
            <w:pPr>
              <w:jc w:val="center"/>
              <w:rPr>
                <w:rFonts w:ascii="Arial Narrow" w:hAnsi="Arial Narrow"/>
                <w:sz w:val="18"/>
                <w:szCs w:val="18"/>
              </w:rPr>
            </w:pPr>
            <w:r w:rsidRPr="00E60F06">
              <w:rPr>
                <w:rFonts w:ascii="Arial Narrow" w:hAnsi="Arial Narrow"/>
                <w:sz w:val="18"/>
                <w:szCs w:val="18"/>
              </w:rPr>
              <w:t>-</w:t>
            </w:r>
          </w:p>
        </w:tc>
      </w:tr>
      <w:tr w:rsidR="00CA557D" w:rsidRPr="00E60F06" w:rsidTr="00797CC6">
        <w:tc>
          <w:tcPr>
            <w:tcW w:w="1418" w:type="dxa"/>
            <w:vAlign w:val="center"/>
          </w:tcPr>
          <w:p w:rsidR="00CA557D" w:rsidRPr="00E60F06" w:rsidRDefault="00CA557D" w:rsidP="00463192">
            <w:pPr>
              <w:jc w:val="left"/>
              <w:rPr>
                <w:rFonts w:ascii="Arial Narrow" w:hAnsi="Arial Narrow"/>
                <w:sz w:val="18"/>
                <w:szCs w:val="18"/>
              </w:rPr>
            </w:pPr>
            <w:r w:rsidRPr="00E60F06">
              <w:rPr>
                <w:rFonts w:ascii="Arial Narrow" w:hAnsi="Arial Narrow"/>
                <w:sz w:val="18"/>
                <w:szCs w:val="18"/>
              </w:rPr>
              <w:t>Died</w:t>
            </w:r>
          </w:p>
        </w:tc>
        <w:tc>
          <w:tcPr>
            <w:tcW w:w="992" w:type="dxa"/>
            <w:vAlign w:val="center"/>
          </w:tcPr>
          <w:p w:rsidR="00CA557D" w:rsidRPr="00E60F06" w:rsidRDefault="00CA557D" w:rsidP="00463192">
            <w:pPr>
              <w:jc w:val="center"/>
              <w:rPr>
                <w:rFonts w:ascii="Arial Narrow" w:hAnsi="Arial Narrow"/>
                <w:sz w:val="18"/>
                <w:szCs w:val="18"/>
              </w:rPr>
            </w:pPr>
            <w:r w:rsidRPr="00E60F06">
              <w:rPr>
                <w:rFonts w:ascii="Arial Narrow" w:hAnsi="Arial Narrow"/>
                <w:sz w:val="18"/>
                <w:szCs w:val="18"/>
              </w:rPr>
              <w:t>85 (30.5%)</w:t>
            </w:r>
          </w:p>
        </w:tc>
        <w:tc>
          <w:tcPr>
            <w:tcW w:w="992" w:type="dxa"/>
            <w:vAlign w:val="center"/>
          </w:tcPr>
          <w:p w:rsidR="00CA557D" w:rsidRPr="00E60F06" w:rsidRDefault="00CA557D" w:rsidP="00463192">
            <w:pPr>
              <w:jc w:val="center"/>
              <w:rPr>
                <w:rFonts w:ascii="Arial Narrow" w:hAnsi="Arial Narrow"/>
                <w:sz w:val="18"/>
                <w:szCs w:val="18"/>
              </w:rPr>
            </w:pPr>
            <w:r w:rsidRPr="00E60F06">
              <w:rPr>
                <w:rFonts w:ascii="Arial Narrow" w:hAnsi="Arial Narrow"/>
                <w:sz w:val="18"/>
                <w:szCs w:val="18"/>
              </w:rPr>
              <w:t>92 (33.2%)</w:t>
            </w:r>
          </w:p>
        </w:tc>
        <w:tc>
          <w:tcPr>
            <w:tcW w:w="992" w:type="dxa"/>
            <w:tcBorders>
              <w:right w:val="double" w:sz="4" w:space="0" w:color="auto"/>
            </w:tcBorders>
            <w:vAlign w:val="center"/>
          </w:tcPr>
          <w:p w:rsidR="00CA557D" w:rsidRPr="00E60F06" w:rsidRDefault="00CA557D" w:rsidP="00463192">
            <w:pPr>
              <w:jc w:val="center"/>
              <w:rPr>
                <w:rFonts w:ascii="Arial Narrow" w:hAnsi="Arial Narrow"/>
                <w:sz w:val="18"/>
                <w:szCs w:val="18"/>
              </w:rPr>
            </w:pPr>
            <w:r w:rsidRPr="00E60F06">
              <w:rPr>
                <w:rFonts w:ascii="Arial Narrow" w:hAnsi="Arial Narrow"/>
                <w:sz w:val="18"/>
                <w:szCs w:val="18"/>
              </w:rPr>
              <w:t>177 (31.8%)</w:t>
            </w:r>
          </w:p>
        </w:tc>
        <w:tc>
          <w:tcPr>
            <w:tcW w:w="993" w:type="dxa"/>
            <w:tcBorders>
              <w:left w:val="double" w:sz="4" w:space="0" w:color="auto"/>
            </w:tcBorders>
            <w:vAlign w:val="center"/>
          </w:tcPr>
          <w:p w:rsidR="00CA557D" w:rsidRPr="00E60F06" w:rsidRDefault="00CA557D" w:rsidP="0005651A">
            <w:pPr>
              <w:jc w:val="center"/>
              <w:rPr>
                <w:rFonts w:ascii="Arial Narrow" w:hAnsi="Arial Narrow"/>
                <w:sz w:val="18"/>
                <w:szCs w:val="18"/>
              </w:rPr>
            </w:pPr>
            <w:r w:rsidRPr="00E60F06">
              <w:rPr>
                <w:rFonts w:ascii="Arial Narrow" w:hAnsi="Arial Narrow"/>
                <w:sz w:val="18"/>
                <w:szCs w:val="18"/>
              </w:rPr>
              <w:t>112 (40.3%)</w:t>
            </w:r>
          </w:p>
        </w:tc>
        <w:tc>
          <w:tcPr>
            <w:tcW w:w="1134" w:type="dxa"/>
            <w:vAlign w:val="center"/>
          </w:tcPr>
          <w:p w:rsidR="00CA557D" w:rsidRPr="00E60F06" w:rsidRDefault="00CA557D" w:rsidP="00E724C8">
            <w:pPr>
              <w:jc w:val="center"/>
              <w:rPr>
                <w:rFonts w:ascii="Arial Narrow" w:hAnsi="Arial Narrow"/>
                <w:sz w:val="18"/>
                <w:szCs w:val="18"/>
                <w:lang w:val="en-US"/>
              </w:rPr>
            </w:pPr>
            <w:r w:rsidRPr="00E60F06">
              <w:rPr>
                <w:rFonts w:ascii="Arial Narrow" w:hAnsi="Arial Narrow"/>
                <w:sz w:val="18"/>
                <w:szCs w:val="18"/>
                <w:lang w:val="en-US"/>
              </w:rPr>
              <w:t>Q2W: -9.8%</w:t>
            </w:r>
          </w:p>
          <w:p w:rsidR="00CA557D" w:rsidRPr="00E60F06" w:rsidRDefault="00CA557D" w:rsidP="00E724C8">
            <w:pPr>
              <w:jc w:val="center"/>
              <w:rPr>
                <w:rFonts w:ascii="Arial Narrow" w:hAnsi="Arial Narrow"/>
                <w:sz w:val="18"/>
                <w:szCs w:val="18"/>
                <w:lang w:val="en-US"/>
              </w:rPr>
            </w:pPr>
            <w:r w:rsidRPr="00E60F06">
              <w:rPr>
                <w:rFonts w:ascii="Arial Narrow" w:hAnsi="Arial Narrow"/>
                <w:sz w:val="18"/>
                <w:szCs w:val="18"/>
                <w:lang w:val="en-US"/>
              </w:rPr>
              <w:t>Q3W: -7.1%</w:t>
            </w:r>
          </w:p>
          <w:p w:rsidR="00CA557D" w:rsidRPr="00E60F06" w:rsidRDefault="00CA557D" w:rsidP="0005651A">
            <w:pPr>
              <w:jc w:val="center"/>
              <w:rPr>
                <w:rFonts w:ascii="Arial Narrow" w:hAnsi="Arial Narrow"/>
                <w:sz w:val="16"/>
                <w:szCs w:val="16"/>
              </w:rPr>
            </w:pPr>
            <w:r w:rsidRPr="00E60F06">
              <w:rPr>
                <w:rFonts w:ascii="Arial Narrow" w:hAnsi="Arial Narrow"/>
                <w:sz w:val="16"/>
                <w:szCs w:val="16"/>
                <w:lang w:val="en-US"/>
              </w:rPr>
              <w:t>Comb’d: -8.5%</w:t>
            </w:r>
          </w:p>
        </w:tc>
        <w:tc>
          <w:tcPr>
            <w:tcW w:w="1920" w:type="dxa"/>
            <w:vAlign w:val="center"/>
          </w:tcPr>
          <w:p w:rsidR="00CA557D" w:rsidRPr="00E60F06" w:rsidRDefault="00CA557D" w:rsidP="0005651A">
            <w:pPr>
              <w:jc w:val="center"/>
              <w:rPr>
                <w:rFonts w:ascii="Arial Narrow" w:hAnsi="Arial Narrow"/>
                <w:sz w:val="18"/>
                <w:szCs w:val="18"/>
              </w:rPr>
            </w:pPr>
            <w:r w:rsidRPr="00E60F06">
              <w:rPr>
                <w:rFonts w:ascii="Arial Narrow" w:hAnsi="Arial Narrow"/>
                <w:sz w:val="18"/>
                <w:szCs w:val="18"/>
              </w:rPr>
              <w:t>-</w:t>
            </w:r>
          </w:p>
        </w:tc>
      </w:tr>
      <w:tr w:rsidR="00CA557D" w:rsidRPr="00E60F06" w:rsidTr="00797CC6">
        <w:tc>
          <w:tcPr>
            <w:tcW w:w="1418" w:type="dxa"/>
            <w:vAlign w:val="center"/>
          </w:tcPr>
          <w:p w:rsidR="00CA557D" w:rsidRPr="00E60F06" w:rsidRDefault="00CA557D" w:rsidP="00E724C8">
            <w:pPr>
              <w:jc w:val="left"/>
              <w:rPr>
                <w:rFonts w:ascii="Arial Narrow" w:hAnsi="Arial Narrow"/>
                <w:sz w:val="18"/>
                <w:szCs w:val="18"/>
              </w:rPr>
            </w:pPr>
            <w:r w:rsidRPr="00E60F06">
              <w:rPr>
                <w:rFonts w:ascii="Arial Narrow" w:hAnsi="Arial Narrow"/>
                <w:sz w:val="18"/>
                <w:szCs w:val="18"/>
              </w:rPr>
              <w:t>Median OS</w:t>
            </w:r>
            <w:r w:rsidR="00797CC6" w:rsidRPr="00E60F06">
              <w:rPr>
                <w:rFonts w:ascii="Arial Narrow" w:hAnsi="Arial Narrow"/>
                <w:sz w:val="18"/>
                <w:szCs w:val="18"/>
              </w:rPr>
              <w:t>,</w:t>
            </w:r>
            <w:r w:rsidRPr="00E60F06">
              <w:rPr>
                <w:rFonts w:ascii="Arial Narrow" w:hAnsi="Arial Narrow"/>
                <w:sz w:val="18"/>
                <w:szCs w:val="18"/>
              </w:rPr>
              <w:t xml:space="preserve"> mths </w:t>
            </w:r>
          </w:p>
          <w:p w:rsidR="00CA557D" w:rsidRPr="00E60F06" w:rsidRDefault="00CA557D" w:rsidP="00463192">
            <w:pPr>
              <w:jc w:val="left"/>
              <w:rPr>
                <w:rFonts w:ascii="Arial Narrow" w:hAnsi="Arial Narrow"/>
                <w:sz w:val="18"/>
                <w:szCs w:val="18"/>
              </w:rPr>
            </w:pPr>
            <w:r w:rsidRPr="00E60F06">
              <w:rPr>
                <w:rFonts w:ascii="Arial Narrow" w:hAnsi="Arial Narrow"/>
                <w:sz w:val="18"/>
                <w:szCs w:val="18"/>
              </w:rPr>
              <w:t>(95% CI)</w:t>
            </w:r>
          </w:p>
        </w:tc>
        <w:tc>
          <w:tcPr>
            <w:tcW w:w="992" w:type="dxa"/>
            <w:vAlign w:val="center"/>
          </w:tcPr>
          <w:p w:rsidR="005A37A0" w:rsidRPr="00E60F06" w:rsidRDefault="00CA557D" w:rsidP="00463192">
            <w:pPr>
              <w:jc w:val="center"/>
              <w:rPr>
                <w:rFonts w:ascii="Arial Narrow" w:hAnsi="Arial Narrow"/>
                <w:sz w:val="18"/>
                <w:szCs w:val="18"/>
              </w:rPr>
            </w:pPr>
            <w:r w:rsidRPr="00E60F06">
              <w:rPr>
                <w:rFonts w:ascii="Arial Narrow" w:hAnsi="Arial Narrow"/>
                <w:sz w:val="18"/>
                <w:szCs w:val="18"/>
              </w:rPr>
              <w:t xml:space="preserve">NR </w:t>
            </w:r>
          </w:p>
          <w:p w:rsidR="00CA557D" w:rsidRPr="00E60F06" w:rsidRDefault="00CA557D" w:rsidP="00463192">
            <w:pPr>
              <w:jc w:val="center"/>
              <w:rPr>
                <w:rFonts w:ascii="Arial Narrow" w:hAnsi="Arial Narrow"/>
                <w:sz w:val="18"/>
                <w:szCs w:val="18"/>
              </w:rPr>
            </w:pPr>
            <w:r w:rsidRPr="00E60F06">
              <w:rPr>
                <w:rFonts w:ascii="Arial Narrow" w:hAnsi="Arial Narrow"/>
                <w:sz w:val="18"/>
                <w:szCs w:val="18"/>
              </w:rPr>
              <w:t>(., .)</w:t>
            </w:r>
          </w:p>
        </w:tc>
        <w:tc>
          <w:tcPr>
            <w:tcW w:w="992" w:type="dxa"/>
            <w:vAlign w:val="center"/>
          </w:tcPr>
          <w:p w:rsidR="005A37A0" w:rsidRPr="00E60F06" w:rsidRDefault="00CA557D" w:rsidP="00463192">
            <w:pPr>
              <w:jc w:val="center"/>
              <w:rPr>
                <w:rFonts w:ascii="Arial Narrow" w:hAnsi="Arial Narrow"/>
                <w:sz w:val="18"/>
                <w:szCs w:val="18"/>
              </w:rPr>
            </w:pPr>
            <w:r w:rsidRPr="00E60F06">
              <w:rPr>
                <w:rFonts w:ascii="Arial Narrow" w:hAnsi="Arial Narrow"/>
                <w:sz w:val="18"/>
                <w:szCs w:val="18"/>
              </w:rPr>
              <w:t xml:space="preserve">NR </w:t>
            </w:r>
          </w:p>
          <w:p w:rsidR="00CA557D" w:rsidRPr="00E60F06" w:rsidRDefault="00CA557D" w:rsidP="00463192">
            <w:pPr>
              <w:jc w:val="center"/>
              <w:rPr>
                <w:rFonts w:ascii="Arial Narrow" w:hAnsi="Arial Narrow"/>
                <w:sz w:val="18"/>
                <w:szCs w:val="18"/>
              </w:rPr>
            </w:pPr>
            <w:r w:rsidRPr="00E60F06">
              <w:rPr>
                <w:rFonts w:ascii="Arial Narrow" w:hAnsi="Arial Narrow"/>
                <w:sz w:val="18"/>
                <w:szCs w:val="18"/>
              </w:rPr>
              <w:t>(., .)</w:t>
            </w:r>
          </w:p>
        </w:tc>
        <w:tc>
          <w:tcPr>
            <w:tcW w:w="992" w:type="dxa"/>
            <w:tcBorders>
              <w:right w:val="double" w:sz="4" w:space="0" w:color="auto"/>
            </w:tcBorders>
            <w:vAlign w:val="center"/>
          </w:tcPr>
          <w:p w:rsidR="005A37A0" w:rsidRPr="00E60F06" w:rsidRDefault="00CA557D" w:rsidP="00463192">
            <w:pPr>
              <w:jc w:val="center"/>
              <w:rPr>
                <w:rFonts w:ascii="Arial Narrow" w:hAnsi="Arial Narrow"/>
                <w:sz w:val="18"/>
                <w:szCs w:val="18"/>
              </w:rPr>
            </w:pPr>
            <w:r w:rsidRPr="00E60F06">
              <w:rPr>
                <w:rFonts w:ascii="Arial Narrow" w:hAnsi="Arial Narrow"/>
                <w:sz w:val="18"/>
                <w:szCs w:val="18"/>
              </w:rPr>
              <w:t xml:space="preserve">NR </w:t>
            </w:r>
          </w:p>
          <w:p w:rsidR="00CA557D" w:rsidRPr="00E60F06" w:rsidRDefault="00CA557D" w:rsidP="00463192">
            <w:pPr>
              <w:jc w:val="center"/>
              <w:rPr>
                <w:rFonts w:ascii="Arial Narrow" w:hAnsi="Arial Narrow"/>
                <w:sz w:val="18"/>
                <w:szCs w:val="18"/>
              </w:rPr>
            </w:pPr>
            <w:r w:rsidRPr="00E60F06">
              <w:rPr>
                <w:rFonts w:ascii="Arial Narrow" w:hAnsi="Arial Narrow"/>
                <w:sz w:val="18"/>
                <w:szCs w:val="18"/>
              </w:rPr>
              <w:t>(., .)</w:t>
            </w:r>
          </w:p>
        </w:tc>
        <w:tc>
          <w:tcPr>
            <w:tcW w:w="993" w:type="dxa"/>
            <w:tcBorders>
              <w:left w:val="double" w:sz="4" w:space="0" w:color="auto"/>
            </w:tcBorders>
            <w:vAlign w:val="center"/>
          </w:tcPr>
          <w:p w:rsidR="00CA557D" w:rsidRPr="00E60F06" w:rsidRDefault="00CA557D" w:rsidP="0005651A">
            <w:pPr>
              <w:jc w:val="center"/>
              <w:rPr>
                <w:rFonts w:ascii="Arial Narrow" w:hAnsi="Arial Narrow"/>
                <w:sz w:val="18"/>
                <w:szCs w:val="18"/>
              </w:rPr>
            </w:pPr>
            <w:r w:rsidRPr="00E60F06">
              <w:rPr>
                <w:rFonts w:ascii="Arial Narrow" w:hAnsi="Arial Narrow"/>
                <w:sz w:val="18"/>
                <w:szCs w:val="18"/>
              </w:rPr>
              <w:t>NR (12.7, .)</w:t>
            </w:r>
          </w:p>
        </w:tc>
        <w:tc>
          <w:tcPr>
            <w:tcW w:w="1134" w:type="dxa"/>
            <w:vAlign w:val="center"/>
          </w:tcPr>
          <w:p w:rsidR="00CA557D" w:rsidRPr="00E60F06" w:rsidRDefault="00CA557D" w:rsidP="0005651A">
            <w:pPr>
              <w:jc w:val="center"/>
              <w:rPr>
                <w:rFonts w:ascii="Arial Narrow" w:hAnsi="Arial Narrow"/>
                <w:sz w:val="18"/>
                <w:szCs w:val="18"/>
              </w:rPr>
            </w:pPr>
            <w:r w:rsidRPr="00E60F06">
              <w:rPr>
                <w:rFonts w:ascii="Arial Narrow" w:hAnsi="Arial Narrow"/>
                <w:sz w:val="18"/>
                <w:szCs w:val="18"/>
              </w:rPr>
              <w:t>-</w:t>
            </w:r>
          </w:p>
        </w:tc>
        <w:tc>
          <w:tcPr>
            <w:tcW w:w="1920" w:type="dxa"/>
            <w:vAlign w:val="center"/>
          </w:tcPr>
          <w:p w:rsidR="00CA557D" w:rsidRPr="00E60F06" w:rsidRDefault="00CA557D" w:rsidP="00E724C8">
            <w:pPr>
              <w:jc w:val="center"/>
              <w:rPr>
                <w:rFonts w:ascii="Arial Narrow" w:hAnsi="Arial Narrow"/>
                <w:sz w:val="18"/>
                <w:szCs w:val="18"/>
              </w:rPr>
            </w:pPr>
            <w:r w:rsidRPr="00E60F06">
              <w:rPr>
                <w:rFonts w:ascii="Arial Narrow" w:hAnsi="Arial Narrow"/>
                <w:sz w:val="18"/>
                <w:szCs w:val="18"/>
              </w:rPr>
              <w:t>Q2W: 0.63</w:t>
            </w:r>
            <w:r w:rsidR="00797CC6" w:rsidRPr="00E60F06">
              <w:rPr>
                <w:rFonts w:ascii="Arial Narrow" w:hAnsi="Arial Narrow"/>
                <w:sz w:val="18"/>
                <w:szCs w:val="18"/>
              </w:rPr>
              <w:t xml:space="preserve"> </w:t>
            </w:r>
            <w:r w:rsidRPr="00E60F06">
              <w:rPr>
                <w:rFonts w:ascii="Arial Narrow" w:hAnsi="Arial Narrow"/>
                <w:sz w:val="18"/>
                <w:szCs w:val="18"/>
              </w:rPr>
              <w:t>(0.47,0.83)</w:t>
            </w:r>
          </w:p>
          <w:p w:rsidR="00CA557D" w:rsidRPr="00E60F06" w:rsidRDefault="00CA557D" w:rsidP="00E724C8">
            <w:pPr>
              <w:jc w:val="center"/>
              <w:rPr>
                <w:rFonts w:ascii="Arial Narrow" w:hAnsi="Arial Narrow"/>
                <w:sz w:val="18"/>
                <w:szCs w:val="18"/>
              </w:rPr>
            </w:pPr>
            <w:r w:rsidRPr="00E60F06">
              <w:rPr>
                <w:rFonts w:ascii="Arial Narrow" w:hAnsi="Arial Narrow"/>
                <w:sz w:val="18"/>
                <w:szCs w:val="18"/>
              </w:rPr>
              <w:t>Q3W: 0.69</w:t>
            </w:r>
            <w:r w:rsidR="00797CC6" w:rsidRPr="00E60F06">
              <w:rPr>
                <w:rFonts w:ascii="Arial Narrow" w:hAnsi="Arial Narrow"/>
                <w:sz w:val="18"/>
                <w:szCs w:val="18"/>
              </w:rPr>
              <w:t xml:space="preserve"> </w:t>
            </w:r>
            <w:r w:rsidRPr="00E60F06">
              <w:rPr>
                <w:rFonts w:ascii="Arial Narrow" w:hAnsi="Arial Narrow"/>
                <w:sz w:val="18"/>
                <w:szCs w:val="18"/>
              </w:rPr>
              <w:t>(0.52,0.90)</w:t>
            </w:r>
          </w:p>
          <w:p w:rsidR="00CA557D" w:rsidRPr="00E60F06" w:rsidRDefault="00CA557D" w:rsidP="0005651A">
            <w:pPr>
              <w:jc w:val="center"/>
              <w:rPr>
                <w:rFonts w:ascii="Arial Narrow" w:hAnsi="Arial Narrow"/>
                <w:sz w:val="18"/>
                <w:szCs w:val="18"/>
              </w:rPr>
            </w:pPr>
            <w:r w:rsidRPr="00E60F06">
              <w:rPr>
                <w:rFonts w:ascii="Arial Narrow" w:hAnsi="Arial Narrow"/>
                <w:sz w:val="18"/>
                <w:szCs w:val="18"/>
              </w:rPr>
              <w:t>Comb’d: 0.65</w:t>
            </w:r>
            <w:r w:rsidR="00797CC6" w:rsidRPr="00E60F06">
              <w:rPr>
                <w:rFonts w:ascii="Arial Narrow" w:hAnsi="Arial Narrow"/>
                <w:sz w:val="18"/>
                <w:szCs w:val="18"/>
              </w:rPr>
              <w:t xml:space="preserve"> </w:t>
            </w:r>
            <w:r w:rsidRPr="00E60F06">
              <w:rPr>
                <w:rFonts w:ascii="Arial Narrow" w:hAnsi="Arial Narrow"/>
                <w:sz w:val="18"/>
                <w:szCs w:val="18"/>
              </w:rPr>
              <w:t>(0.52. 0.83)</w:t>
            </w:r>
          </w:p>
        </w:tc>
      </w:tr>
      <w:tr w:rsidR="00FE128F" w:rsidRPr="00E60F06" w:rsidTr="00797CC6">
        <w:tc>
          <w:tcPr>
            <w:tcW w:w="1418" w:type="dxa"/>
            <w:vAlign w:val="center"/>
          </w:tcPr>
          <w:p w:rsidR="00FE128F" w:rsidRPr="00E60F06" w:rsidRDefault="00CA557D" w:rsidP="00463192">
            <w:pPr>
              <w:jc w:val="left"/>
              <w:rPr>
                <w:rFonts w:ascii="Arial Narrow" w:hAnsi="Arial Narrow"/>
                <w:sz w:val="18"/>
                <w:szCs w:val="18"/>
              </w:rPr>
            </w:pPr>
            <w:r w:rsidRPr="00E60F06">
              <w:rPr>
                <w:rFonts w:ascii="Arial Narrow" w:hAnsi="Arial Narrow"/>
                <w:sz w:val="18"/>
                <w:szCs w:val="18"/>
              </w:rPr>
              <w:t>OS rate at 12 mths</w:t>
            </w:r>
            <w:r w:rsidR="00FE128F" w:rsidRPr="00E60F06">
              <w:rPr>
                <w:rFonts w:ascii="Arial Narrow" w:hAnsi="Arial Narrow"/>
                <w:sz w:val="18"/>
                <w:szCs w:val="18"/>
              </w:rPr>
              <w:t xml:space="preserve"> (95% CI)</w:t>
            </w:r>
          </w:p>
        </w:tc>
        <w:tc>
          <w:tcPr>
            <w:tcW w:w="992" w:type="dxa"/>
            <w:vAlign w:val="center"/>
          </w:tcPr>
          <w:p w:rsidR="00FE128F" w:rsidRPr="00E60F06" w:rsidRDefault="00FE128F" w:rsidP="00463192">
            <w:pPr>
              <w:jc w:val="center"/>
              <w:rPr>
                <w:rFonts w:ascii="Arial Narrow" w:hAnsi="Arial Narrow"/>
                <w:sz w:val="18"/>
                <w:szCs w:val="18"/>
              </w:rPr>
            </w:pPr>
            <w:r w:rsidRPr="00E60F06">
              <w:rPr>
                <w:rFonts w:ascii="Arial Narrow" w:hAnsi="Arial Narrow"/>
                <w:sz w:val="18"/>
                <w:szCs w:val="18"/>
              </w:rPr>
              <w:t xml:space="preserve">74.1% </w:t>
            </w:r>
          </w:p>
          <w:p w:rsidR="00FE128F" w:rsidRPr="00E60F06" w:rsidRDefault="00FE128F" w:rsidP="00463192">
            <w:pPr>
              <w:jc w:val="center"/>
              <w:rPr>
                <w:rFonts w:ascii="Arial Narrow" w:hAnsi="Arial Narrow"/>
                <w:sz w:val="18"/>
                <w:szCs w:val="18"/>
              </w:rPr>
            </w:pPr>
            <w:r w:rsidRPr="00E60F06">
              <w:rPr>
                <w:rFonts w:ascii="Arial Narrow" w:hAnsi="Arial Narrow"/>
                <w:sz w:val="18"/>
                <w:szCs w:val="18"/>
              </w:rPr>
              <w:t>(68.5, 78.9)</w:t>
            </w:r>
          </w:p>
        </w:tc>
        <w:tc>
          <w:tcPr>
            <w:tcW w:w="992" w:type="dxa"/>
            <w:vAlign w:val="center"/>
          </w:tcPr>
          <w:p w:rsidR="00FE128F" w:rsidRPr="00E60F06" w:rsidRDefault="00FE128F" w:rsidP="00463192">
            <w:pPr>
              <w:jc w:val="center"/>
              <w:rPr>
                <w:rFonts w:ascii="Arial Narrow" w:hAnsi="Arial Narrow"/>
                <w:sz w:val="18"/>
                <w:szCs w:val="18"/>
              </w:rPr>
            </w:pPr>
            <w:r w:rsidRPr="00E60F06">
              <w:rPr>
                <w:rFonts w:ascii="Arial Narrow" w:hAnsi="Arial Narrow"/>
                <w:sz w:val="18"/>
                <w:szCs w:val="18"/>
              </w:rPr>
              <w:t xml:space="preserve">68.4% </w:t>
            </w:r>
          </w:p>
          <w:p w:rsidR="00FE128F" w:rsidRPr="00E60F06" w:rsidRDefault="00FE128F" w:rsidP="00463192">
            <w:pPr>
              <w:jc w:val="center"/>
              <w:rPr>
                <w:rFonts w:ascii="Arial Narrow" w:hAnsi="Arial Narrow"/>
                <w:sz w:val="18"/>
                <w:szCs w:val="18"/>
              </w:rPr>
            </w:pPr>
            <w:r w:rsidRPr="00E60F06">
              <w:rPr>
                <w:rFonts w:ascii="Arial Narrow" w:hAnsi="Arial Narrow"/>
                <w:sz w:val="18"/>
                <w:szCs w:val="18"/>
              </w:rPr>
              <w:t>(62.5, 73.5)</w:t>
            </w:r>
          </w:p>
        </w:tc>
        <w:tc>
          <w:tcPr>
            <w:tcW w:w="992" w:type="dxa"/>
            <w:tcBorders>
              <w:right w:val="double" w:sz="4" w:space="0" w:color="auto"/>
            </w:tcBorders>
            <w:vAlign w:val="center"/>
          </w:tcPr>
          <w:p w:rsidR="00FE128F" w:rsidRPr="00E60F06" w:rsidRDefault="00FE128F" w:rsidP="00463192">
            <w:pPr>
              <w:jc w:val="center"/>
              <w:rPr>
                <w:rFonts w:ascii="Arial Narrow" w:hAnsi="Arial Narrow"/>
                <w:sz w:val="18"/>
                <w:szCs w:val="18"/>
              </w:rPr>
            </w:pPr>
            <w:r w:rsidRPr="00E60F06">
              <w:rPr>
                <w:rFonts w:ascii="Arial Narrow" w:hAnsi="Arial Narrow"/>
                <w:sz w:val="18"/>
                <w:szCs w:val="18"/>
              </w:rPr>
              <w:t xml:space="preserve">71.3% </w:t>
            </w:r>
          </w:p>
          <w:p w:rsidR="00FE128F" w:rsidRPr="00E60F06" w:rsidRDefault="00FE128F" w:rsidP="00463192">
            <w:pPr>
              <w:jc w:val="center"/>
              <w:rPr>
                <w:rFonts w:ascii="Arial Narrow" w:hAnsi="Arial Narrow"/>
                <w:sz w:val="18"/>
                <w:szCs w:val="18"/>
              </w:rPr>
            </w:pPr>
            <w:r w:rsidRPr="00E60F06">
              <w:rPr>
                <w:rFonts w:ascii="Arial Narrow" w:hAnsi="Arial Narrow"/>
                <w:sz w:val="18"/>
                <w:szCs w:val="18"/>
              </w:rPr>
              <w:t>(67.2, 74.9)</w:t>
            </w:r>
          </w:p>
        </w:tc>
        <w:tc>
          <w:tcPr>
            <w:tcW w:w="993" w:type="dxa"/>
            <w:tcBorders>
              <w:left w:val="double" w:sz="4" w:space="0" w:color="auto"/>
            </w:tcBorders>
            <w:vAlign w:val="center"/>
          </w:tcPr>
          <w:p w:rsidR="00FE128F" w:rsidRPr="00E60F06" w:rsidRDefault="00FE128F" w:rsidP="0005651A">
            <w:pPr>
              <w:jc w:val="center"/>
              <w:rPr>
                <w:rFonts w:ascii="Arial Narrow" w:hAnsi="Arial Narrow"/>
                <w:sz w:val="18"/>
                <w:szCs w:val="18"/>
              </w:rPr>
            </w:pPr>
            <w:r w:rsidRPr="00E60F06">
              <w:rPr>
                <w:rFonts w:ascii="Arial Narrow" w:hAnsi="Arial Narrow"/>
                <w:sz w:val="18"/>
                <w:szCs w:val="18"/>
              </w:rPr>
              <w:t xml:space="preserve">58.2% </w:t>
            </w:r>
          </w:p>
          <w:p w:rsidR="00FE128F" w:rsidRPr="00E60F06" w:rsidRDefault="00FE128F" w:rsidP="0005651A">
            <w:pPr>
              <w:jc w:val="center"/>
              <w:rPr>
                <w:rFonts w:ascii="Arial Narrow" w:hAnsi="Arial Narrow"/>
                <w:sz w:val="18"/>
                <w:szCs w:val="18"/>
              </w:rPr>
            </w:pPr>
            <w:r w:rsidRPr="00E60F06">
              <w:rPr>
                <w:rFonts w:ascii="Arial Narrow" w:hAnsi="Arial Narrow"/>
                <w:sz w:val="18"/>
                <w:szCs w:val="18"/>
              </w:rPr>
              <w:t>(51.8, 64.0)</w:t>
            </w:r>
          </w:p>
        </w:tc>
        <w:tc>
          <w:tcPr>
            <w:tcW w:w="1134" w:type="dxa"/>
            <w:vAlign w:val="center"/>
          </w:tcPr>
          <w:p w:rsidR="00CA557D" w:rsidRPr="00E60F06" w:rsidRDefault="00CA557D" w:rsidP="00CA557D">
            <w:pPr>
              <w:jc w:val="center"/>
              <w:rPr>
                <w:rFonts w:ascii="Arial Narrow" w:hAnsi="Arial Narrow"/>
                <w:sz w:val="18"/>
                <w:szCs w:val="18"/>
                <w:lang w:val="en-US"/>
              </w:rPr>
            </w:pPr>
            <w:r w:rsidRPr="00E60F06">
              <w:rPr>
                <w:rFonts w:ascii="Arial Narrow" w:hAnsi="Arial Narrow"/>
                <w:sz w:val="18"/>
                <w:szCs w:val="18"/>
                <w:lang w:val="en-US"/>
              </w:rPr>
              <w:t>Q2W: 15.9%</w:t>
            </w:r>
          </w:p>
          <w:p w:rsidR="00CA557D" w:rsidRPr="00E60F06" w:rsidRDefault="00CA557D" w:rsidP="00CA557D">
            <w:pPr>
              <w:jc w:val="center"/>
              <w:rPr>
                <w:rFonts w:ascii="Arial Narrow" w:hAnsi="Arial Narrow"/>
                <w:sz w:val="18"/>
                <w:szCs w:val="18"/>
                <w:lang w:val="en-US"/>
              </w:rPr>
            </w:pPr>
            <w:r w:rsidRPr="00E60F06">
              <w:rPr>
                <w:rFonts w:ascii="Arial Narrow" w:hAnsi="Arial Narrow"/>
                <w:sz w:val="18"/>
                <w:szCs w:val="18"/>
                <w:lang w:val="en-US"/>
              </w:rPr>
              <w:t>Q3W: 10.2%</w:t>
            </w:r>
          </w:p>
          <w:p w:rsidR="00FE128F" w:rsidRPr="00E60F06" w:rsidRDefault="00CA557D" w:rsidP="00CA557D">
            <w:pPr>
              <w:jc w:val="center"/>
              <w:rPr>
                <w:rFonts w:ascii="Arial Narrow" w:hAnsi="Arial Narrow"/>
                <w:sz w:val="16"/>
                <w:szCs w:val="16"/>
              </w:rPr>
            </w:pPr>
            <w:r w:rsidRPr="00E60F06">
              <w:rPr>
                <w:rFonts w:ascii="Arial Narrow" w:hAnsi="Arial Narrow"/>
                <w:sz w:val="16"/>
                <w:szCs w:val="16"/>
                <w:lang w:val="en-US"/>
              </w:rPr>
              <w:t>Comb’d:</w:t>
            </w:r>
            <w:r w:rsidR="00797CC6" w:rsidRPr="00E60F06">
              <w:rPr>
                <w:rFonts w:ascii="Arial Narrow" w:hAnsi="Arial Narrow"/>
                <w:sz w:val="16"/>
                <w:szCs w:val="16"/>
                <w:lang w:val="en-US"/>
              </w:rPr>
              <w:t xml:space="preserve"> </w:t>
            </w:r>
            <w:r w:rsidRPr="00E60F06">
              <w:rPr>
                <w:rFonts w:ascii="Arial Narrow" w:hAnsi="Arial Narrow"/>
                <w:sz w:val="16"/>
                <w:szCs w:val="16"/>
                <w:lang w:val="en-US"/>
              </w:rPr>
              <w:t>13.1%</w:t>
            </w:r>
          </w:p>
        </w:tc>
        <w:tc>
          <w:tcPr>
            <w:tcW w:w="1920" w:type="dxa"/>
            <w:vAlign w:val="center"/>
          </w:tcPr>
          <w:p w:rsidR="00FE128F" w:rsidRPr="00E60F06" w:rsidRDefault="00FE128F" w:rsidP="0005651A">
            <w:pPr>
              <w:jc w:val="center"/>
              <w:rPr>
                <w:rFonts w:ascii="Arial Narrow" w:hAnsi="Arial Narrow"/>
                <w:sz w:val="18"/>
                <w:szCs w:val="18"/>
              </w:rPr>
            </w:pPr>
            <w:r w:rsidRPr="00E60F06">
              <w:rPr>
                <w:rFonts w:ascii="Arial Narrow" w:hAnsi="Arial Narrow"/>
                <w:sz w:val="18"/>
                <w:szCs w:val="18"/>
              </w:rPr>
              <w:t>-</w:t>
            </w:r>
          </w:p>
        </w:tc>
      </w:tr>
      <w:tr w:rsidR="00FE128F" w:rsidRPr="00E60F06" w:rsidTr="0001490C">
        <w:tc>
          <w:tcPr>
            <w:tcW w:w="8441" w:type="dxa"/>
            <w:gridSpan w:val="7"/>
            <w:vAlign w:val="center"/>
          </w:tcPr>
          <w:p w:rsidR="00FE128F" w:rsidRPr="00E60F06" w:rsidRDefault="00FE128F" w:rsidP="0005651A">
            <w:pPr>
              <w:jc w:val="left"/>
              <w:rPr>
                <w:rFonts w:ascii="Arial Narrow" w:hAnsi="Arial Narrow"/>
                <w:b/>
                <w:sz w:val="18"/>
                <w:szCs w:val="18"/>
              </w:rPr>
            </w:pPr>
            <w:r w:rsidRPr="00E60F06">
              <w:rPr>
                <w:rFonts w:ascii="Arial Narrow" w:hAnsi="Arial Narrow"/>
                <w:b/>
                <w:sz w:val="18"/>
                <w:szCs w:val="18"/>
              </w:rPr>
              <w:t>Progression-free survival - RECIST 1.1</w:t>
            </w:r>
          </w:p>
        </w:tc>
      </w:tr>
      <w:tr w:rsidR="00FE128F" w:rsidRPr="00E60F06" w:rsidTr="00797CC6">
        <w:tc>
          <w:tcPr>
            <w:tcW w:w="1418" w:type="dxa"/>
            <w:vAlign w:val="center"/>
          </w:tcPr>
          <w:p w:rsidR="00FE128F" w:rsidRPr="00E60F06" w:rsidRDefault="00FE128F" w:rsidP="00797CC6">
            <w:pPr>
              <w:jc w:val="left"/>
              <w:rPr>
                <w:rFonts w:ascii="Arial Narrow" w:hAnsi="Arial Narrow"/>
                <w:sz w:val="18"/>
                <w:szCs w:val="18"/>
              </w:rPr>
            </w:pPr>
            <w:r w:rsidRPr="00E60F06">
              <w:rPr>
                <w:rFonts w:ascii="Arial Narrow" w:hAnsi="Arial Narrow"/>
                <w:sz w:val="18"/>
                <w:szCs w:val="18"/>
              </w:rPr>
              <w:t>Median follow-up</w:t>
            </w:r>
          </w:p>
        </w:tc>
        <w:tc>
          <w:tcPr>
            <w:tcW w:w="3969" w:type="dxa"/>
            <w:gridSpan w:val="4"/>
            <w:vAlign w:val="center"/>
          </w:tcPr>
          <w:p w:rsidR="00FE128F" w:rsidRPr="00E60F06" w:rsidRDefault="00FE128F" w:rsidP="0005651A">
            <w:pPr>
              <w:jc w:val="center"/>
              <w:rPr>
                <w:rFonts w:ascii="Arial Narrow" w:hAnsi="Arial Narrow"/>
                <w:sz w:val="18"/>
                <w:szCs w:val="18"/>
              </w:rPr>
            </w:pPr>
            <w:r w:rsidRPr="00E60F06">
              <w:rPr>
                <w:rFonts w:ascii="Arial Narrow" w:hAnsi="Arial Narrow"/>
                <w:sz w:val="18"/>
                <w:szCs w:val="18"/>
              </w:rPr>
              <w:t>13.8 months</w:t>
            </w:r>
          </w:p>
        </w:tc>
        <w:tc>
          <w:tcPr>
            <w:tcW w:w="1134" w:type="dxa"/>
            <w:vAlign w:val="center"/>
          </w:tcPr>
          <w:p w:rsidR="00FE128F" w:rsidRPr="00E60F06" w:rsidRDefault="00FE128F" w:rsidP="0005651A">
            <w:pPr>
              <w:jc w:val="center"/>
              <w:rPr>
                <w:rFonts w:ascii="Arial Narrow" w:hAnsi="Arial Narrow"/>
                <w:sz w:val="18"/>
                <w:szCs w:val="18"/>
              </w:rPr>
            </w:pPr>
            <w:r w:rsidRPr="00E60F06">
              <w:rPr>
                <w:rFonts w:ascii="Arial Narrow" w:hAnsi="Arial Narrow"/>
                <w:sz w:val="18"/>
                <w:szCs w:val="18"/>
              </w:rPr>
              <w:t>-</w:t>
            </w:r>
          </w:p>
        </w:tc>
        <w:tc>
          <w:tcPr>
            <w:tcW w:w="1920" w:type="dxa"/>
            <w:vAlign w:val="center"/>
          </w:tcPr>
          <w:p w:rsidR="00FE128F" w:rsidRPr="00E60F06" w:rsidRDefault="00FE128F" w:rsidP="0005651A">
            <w:pPr>
              <w:jc w:val="center"/>
              <w:rPr>
                <w:rFonts w:ascii="Arial Narrow" w:hAnsi="Arial Narrow"/>
                <w:sz w:val="18"/>
                <w:szCs w:val="18"/>
              </w:rPr>
            </w:pPr>
            <w:r w:rsidRPr="00E60F06">
              <w:rPr>
                <w:rFonts w:ascii="Arial Narrow" w:hAnsi="Arial Narrow"/>
                <w:sz w:val="18"/>
                <w:szCs w:val="18"/>
              </w:rPr>
              <w:t>-</w:t>
            </w:r>
          </w:p>
        </w:tc>
      </w:tr>
      <w:tr w:rsidR="00A70CC3" w:rsidRPr="00E60F06" w:rsidTr="00797CC6">
        <w:tc>
          <w:tcPr>
            <w:tcW w:w="1418" w:type="dxa"/>
            <w:vAlign w:val="center"/>
          </w:tcPr>
          <w:p w:rsidR="00A70CC3" w:rsidRPr="00E60F06" w:rsidRDefault="00A70CC3" w:rsidP="00463192">
            <w:pPr>
              <w:jc w:val="left"/>
              <w:rPr>
                <w:rFonts w:ascii="Arial Narrow" w:hAnsi="Arial Narrow"/>
                <w:sz w:val="18"/>
                <w:szCs w:val="18"/>
              </w:rPr>
            </w:pPr>
            <w:r w:rsidRPr="00E60F06">
              <w:rPr>
                <w:rFonts w:ascii="Arial Narrow" w:hAnsi="Arial Narrow"/>
                <w:sz w:val="18"/>
                <w:szCs w:val="18"/>
              </w:rPr>
              <w:t>Progressed</w:t>
            </w:r>
          </w:p>
        </w:tc>
        <w:tc>
          <w:tcPr>
            <w:tcW w:w="992" w:type="dxa"/>
            <w:vAlign w:val="center"/>
          </w:tcPr>
          <w:p w:rsidR="00A70CC3" w:rsidRPr="00E60F06" w:rsidRDefault="00A70CC3" w:rsidP="00463192">
            <w:pPr>
              <w:jc w:val="center"/>
              <w:rPr>
                <w:rFonts w:ascii="Arial Narrow" w:hAnsi="Arial Narrow"/>
                <w:sz w:val="18"/>
                <w:szCs w:val="18"/>
              </w:rPr>
            </w:pPr>
            <w:r w:rsidRPr="00E60F06">
              <w:rPr>
                <w:rFonts w:ascii="Arial Narrow" w:hAnsi="Arial Narrow"/>
                <w:sz w:val="18"/>
                <w:szCs w:val="18"/>
              </w:rPr>
              <w:t>173 (62.0%)</w:t>
            </w:r>
          </w:p>
        </w:tc>
        <w:tc>
          <w:tcPr>
            <w:tcW w:w="992" w:type="dxa"/>
            <w:vAlign w:val="center"/>
          </w:tcPr>
          <w:p w:rsidR="00A70CC3" w:rsidRPr="00E60F06" w:rsidRDefault="00A70CC3" w:rsidP="00463192">
            <w:pPr>
              <w:jc w:val="center"/>
              <w:rPr>
                <w:rFonts w:ascii="Arial Narrow" w:hAnsi="Arial Narrow"/>
                <w:sz w:val="18"/>
                <w:szCs w:val="18"/>
              </w:rPr>
            </w:pPr>
            <w:r w:rsidRPr="00E60F06">
              <w:rPr>
                <w:rFonts w:ascii="Arial Narrow" w:hAnsi="Arial Narrow"/>
                <w:sz w:val="18"/>
                <w:szCs w:val="18"/>
              </w:rPr>
              <w:t>170 (61.4%)</w:t>
            </w:r>
          </w:p>
        </w:tc>
        <w:tc>
          <w:tcPr>
            <w:tcW w:w="992" w:type="dxa"/>
            <w:tcBorders>
              <w:right w:val="double" w:sz="4" w:space="0" w:color="auto"/>
            </w:tcBorders>
            <w:vAlign w:val="center"/>
          </w:tcPr>
          <w:p w:rsidR="00A70CC3" w:rsidRPr="00E60F06" w:rsidRDefault="00A70CC3" w:rsidP="00797CC6">
            <w:pPr>
              <w:jc w:val="center"/>
              <w:rPr>
                <w:rFonts w:ascii="Arial Narrow" w:hAnsi="Arial Narrow"/>
                <w:sz w:val="18"/>
                <w:szCs w:val="18"/>
              </w:rPr>
            </w:pPr>
            <w:r w:rsidRPr="00E60F06">
              <w:rPr>
                <w:rFonts w:ascii="Arial Narrow" w:hAnsi="Arial Narrow"/>
                <w:sz w:val="18"/>
                <w:szCs w:val="18"/>
              </w:rPr>
              <w:t>343 (61.7%)</w:t>
            </w:r>
          </w:p>
        </w:tc>
        <w:tc>
          <w:tcPr>
            <w:tcW w:w="993" w:type="dxa"/>
            <w:tcBorders>
              <w:left w:val="double" w:sz="4" w:space="0" w:color="auto"/>
            </w:tcBorders>
            <w:vAlign w:val="center"/>
          </w:tcPr>
          <w:p w:rsidR="00A70CC3" w:rsidRPr="00E60F06" w:rsidRDefault="00A70CC3" w:rsidP="0005651A">
            <w:pPr>
              <w:jc w:val="center"/>
              <w:rPr>
                <w:rFonts w:ascii="Arial Narrow" w:hAnsi="Arial Narrow"/>
                <w:sz w:val="18"/>
                <w:szCs w:val="18"/>
              </w:rPr>
            </w:pPr>
            <w:r w:rsidRPr="00E60F06">
              <w:rPr>
                <w:rFonts w:ascii="Arial Narrow" w:hAnsi="Arial Narrow"/>
                <w:sz w:val="18"/>
                <w:szCs w:val="18"/>
              </w:rPr>
              <w:t>198 (71.2%)</w:t>
            </w:r>
          </w:p>
        </w:tc>
        <w:tc>
          <w:tcPr>
            <w:tcW w:w="1134" w:type="dxa"/>
            <w:vAlign w:val="center"/>
          </w:tcPr>
          <w:p w:rsidR="00A70CC3" w:rsidRPr="00E60F06" w:rsidRDefault="00A70CC3" w:rsidP="00E724C8">
            <w:pPr>
              <w:ind w:left="-35"/>
              <w:jc w:val="center"/>
              <w:rPr>
                <w:rFonts w:ascii="Arial Narrow" w:hAnsi="Arial Narrow"/>
                <w:sz w:val="17"/>
                <w:szCs w:val="17"/>
              </w:rPr>
            </w:pPr>
            <w:r w:rsidRPr="00E60F06">
              <w:rPr>
                <w:rFonts w:ascii="Arial Narrow" w:hAnsi="Arial Narrow"/>
                <w:sz w:val="17"/>
                <w:szCs w:val="17"/>
              </w:rPr>
              <w:t>Q2W: -9.2%</w:t>
            </w:r>
          </w:p>
          <w:p w:rsidR="00A70CC3" w:rsidRPr="00E60F06" w:rsidRDefault="00A70CC3" w:rsidP="00E724C8">
            <w:pPr>
              <w:ind w:left="-35"/>
              <w:jc w:val="center"/>
              <w:rPr>
                <w:rFonts w:ascii="Arial Narrow" w:hAnsi="Arial Narrow"/>
                <w:sz w:val="17"/>
                <w:szCs w:val="17"/>
              </w:rPr>
            </w:pPr>
            <w:r w:rsidRPr="00E60F06">
              <w:rPr>
                <w:rFonts w:ascii="Arial Narrow" w:hAnsi="Arial Narrow"/>
                <w:sz w:val="17"/>
                <w:szCs w:val="17"/>
              </w:rPr>
              <w:t>Q3W: -9.8%</w:t>
            </w:r>
          </w:p>
          <w:p w:rsidR="00A70CC3" w:rsidRPr="00E60F06" w:rsidRDefault="00A70CC3" w:rsidP="0005651A">
            <w:pPr>
              <w:jc w:val="center"/>
              <w:rPr>
                <w:rFonts w:ascii="Arial Narrow" w:hAnsi="Arial Narrow"/>
                <w:sz w:val="16"/>
                <w:szCs w:val="16"/>
              </w:rPr>
            </w:pPr>
            <w:r w:rsidRPr="00E60F06">
              <w:rPr>
                <w:rFonts w:ascii="Arial Narrow" w:hAnsi="Arial Narrow"/>
                <w:sz w:val="16"/>
                <w:szCs w:val="16"/>
              </w:rPr>
              <w:t>Comb’d: -9.5%</w:t>
            </w:r>
          </w:p>
        </w:tc>
        <w:tc>
          <w:tcPr>
            <w:tcW w:w="1920" w:type="dxa"/>
            <w:vAlign w:val="center"/>
          </w:tcPr>
          <w:p w:rsidR="00A70CC3" w:rsidRPr="00E60F06" w:rsidRDefault="00A70CC3" w:rsidP="0005651A">
            <w:pPr>
              <w:jc w:val="center"/>
              <w:rPr>
                <w:rFonts w:ascii="Arial Narrow" w:hAnsi="Arial Narrow"/>
                <w:sz w:val="17"/>
                <w:szCs w:val="17"/>
              </w:rPr>
            </w:pPr>
            <w:r w:rsidRPr="00E60F06">
              <w:rPr>
                <w:rFonts w:ascii="Arial Narrow" w:hAnsi="Arial Narrow"/>
                <w:sz w:val="17"/>
                <w:szCs w:val="17"/>
              </w:rPr>
              <w:t>-</w:t>
            </w:r>
          </w:p>
        </w:tc>
      </w:tr>
      <w:tr w:rsidR="00A70CC3" w:rsidRPr="00E60F06" w:rsidTr="00797CC6">
        <w:tc>
          <w:tcPr>
            <w:tcW w:w="1418" w:type="dxa"/>
            <w:vAlign w:val="center"/>
          </w:tcPr>
          <w:p w:rsidR="00A70CC3" w:rsidRPr="00E60F06" w:rsidRDefault="00A70CC3" w:rsidP="005A37A0">
            <w:pPr>
              <w:ind w:right="-108"/>
              <w:jc w:val="left"/>
              <w:rPr>
                <w:rFonts w:ascii="Arial Narrow" w:hAnsi="Arial Narrow"/>
                <w:sz w:val="18"/>
                <w:szCs w:val="18"/>
              </w:rPr>
            </w:pPr>
            <w:r w:rsidRPr="00E60F06">
              <w:rPr>
                <w:rFonts w:ascii="Arial Narrow" w:hAnsi="Arial Narrow"/>
                <w:sz w:val="18"/>
                <w:szCs w:val="18"/>
              </w:rPr>
              <w:t>Median PFS</w:t>
            </w:r>
            <w:r w:rsidR="00797CC6" w:rsidRPr="00E60F06">
              <w:rPr>
                <w:rFonts w:ascii="Arial Narrow" w:hAnsi="Arial Narrow"/>
                <w:sz w:val="18"/>
                <w:szCs w:val="18"/>
              </w:rPr>
              <w:t>,</w:t>
            </w:r>
            <w:r w:rsidRPr="00E60F06">
              <w:rPr>
                <w:rFonts w:ascii="Arial Narrow" w:hAnsi="Arial Narrow"/>
                <w:sz w:val="18"/>
                <w:szCs w:val="18"/>
              </w:rPr>
              <w:t xml:space="preserve"> mths (95% CI)</w:t>
            </w:r>
          </w:p>
        </w:tc>
        <w:tc>
          <w:tcPr>
            <w:tcW w:w="992" w:type="dxa"/>
            <w:vAlign w:val="center"/>
          </w:tcPr>
          <w:p w:rsidR="00797CC6" w:rsidRPr="00E60F06" w:rsidRDefault="00A70CC3" w:rsidP="00B10A9F">
            <w:pPr>
              <w:jc w:val="center"/>
              <w:rPr>
                <w:rFonts w:ascii="Arial Narrow" w:hAnsi="Arial Narrow"/>
                <w:sz w:val="18"/>
                <w:szCs w:val="18"/>
              </w:rPr>
            </w:pPr>
            <w:r w:rsidRPr="00E60F06">
              <w:rPr>
                <w:rFonts w:ascii="Arial Narrow" w:hAnsi="Arial Narrow"/>
                <w:sz w:val="18"/>
                <w:szCs w:val="18"/>
              </w:rPr>
              <w:t xml:space="preserve">5.5 </w:t>
            </w:r>
          </w:p>
          <w:p w:rsidR="00A70CC3" w:rsidRPr="00E60F06" w:rsidRDefault="00A70CC3" w:rsidP="00B10A9F">
            <w:pPr>
              <w:jc w:val="center"/>
              <w:rPr>
                <w:rFonts w:ascii="Arial Narrow" w:hAnsi="Arial Narrow"/>
                <w:sz w:val="18"/>
                <w:szCs w:val="18"/>
              </w:rPr>
            </w:pPr>
            <w:r w:rsidRPr="00E60F06">
              <w:rPr>
                <w:rFonts w:ascii="Arial Narrow" w:hAnsi="Arial Narrow"/>
                <w:sz w:val="18"/>
                <w:szCs w:val="18"/>
              </w:rPr>
              <w:t>(3.4, 7.4)</w:t>
            </w:r>
          </w:p>
        </w:tc>
        <w:tc>
          <w:tcPr>
            <w:tcW w:w="992" w:type="dxa"/>
            <w:vAlign w:val="center"/>
          </w:tcPr>
          <w:p w:rsidR="005A37A0" w:rsidRPr="00E60F06" w:rsidRDefault="00A70CC3" w:rsidP="00B10A9F">
            <w:pPr>
              <w:jc w:val="center"/>
              <w:rPr>
                <w:rFonts w:ascii="Arial Narrow" w:hAnsi="Arial Narrow"/>
                <w:sz w:val="18"/>
                <w:szCs w:val="18"/>
              </w:rPr>
            </w:pPr>
            <w:r w:rsidRPr="00E60F06">
              <w:rPr>
                <w:rFonts w:ascii="Arial Narrow" w:hAnsi="Arial Narrow"/>
                <w:sz w:val="18"/>
                <w:szCs w:val="18"/>
              </w:rPr>
              <w:t xml:space="preserve">4.1 </w:t>
            </w:r>
          </w:p>
          <w:p w:rsidR="00A70CC3" w:rsidRPr="00E60F06" w:rsidRDefault="00A70CC3" w:rsidP="00B10A9F">
            <w:pPr>
              <w:jc w:val="center"/>
              <w:rPr>
                <w:rFonts w:ascii="Arial Narrow" w:hAnsi="Arial Narrow"/>
                <w:sz w:val="18"/>
                <w:szCs w:val="18"/>
              </w:rPr>
            </w:pPr>
            <w:r w:rsidRPr="00E60F06">
              <w:rPr>
                <w:rFonts w:ascii="Arial Narrow" w:hAnsi="Arial Narrow"/>
                <w:sz w:val="18"/>
                <w:szCs w:val="18"/>
              </w:rPr>
              <w:t>(2.9, 7.2)</w:t>
            </w:r>
          </w:p>
        </w:tc>
        <w:tc>
          <w:tcPr>
            <w:tcW w:w="992" w:type="dxa"/>
            <w:tcBorders>
              <w:right w:val="double" w:sz="4" w:space="0" w:color="auto"/>
            </w:tcBorders>
            <w:vAlign w:val="center"/>
          </w:tcPr>
          <w:p w:rsidR="005A37A0" w:rsidRPr="00E60F06" w:rsidRDefault="00A70CC3" w:rsidP="00797CC6">
            <w:pPr>
              <w:jc w:val="center"/>
              <w:rPr>
                <w:rFonts w:ascii="Arial Narrow" w:hAnsi="Arial Narrow"/>
                <w:sz w:val="18"/>
                <w:szCs w:val="18"/>
              </w:rPr>
            </w:pPr>
            <w:r w:rsidRPr="00E60F06">
              <w:rPr>
                <w:rFonts w:ascii="Arial Narrow" w:hAnsi="Arial Narrow"/>
                <w:sz w:val="18"/>
                <w:szCs w:val="18"/>
              </w:rPr>
              <w:t xml:space="preserve">4.8 </w:t>
            </w:r>
          </w:p>
          <w:p w:rsidR="00A70CC3" w:rsidRPr="00E60F06" w:rsidRDefault="00A70CC3" w:rsidP="00797CC6">
            <w:pPr>
              <w:jc w:val="center"/>
              <w:rPr>
                <w:rFonts w:ascii="Arial Narrow" w:hAnsi="Arial Narrow"/>
                <w:sz w:val="18"/>
                <w:szCs w:val="18"/>
              </w:rPr>
            </w:pPr>
            <w:r w:rsidRPr="00E60F06">
              <w:rPr>
                <w:rFonts w:ascii="Arial Narrow" w:hAnsi="Arial Narrow"/>
                <w:sz w:val="18"/>
                <w:szCs w:val="18"/>
              </w:rPr>
              <w:t>(3.7, 6.5)</w:t>
            </w:r>
          </w:p>
        </w:tc>
        <w:tc>
          <w:tcPr>
            <w:tcW w:w="993" w:type="dxa"/>
            <w:tcBorders>
              <w:left w:val="double" w:sz="4" w:space="0" w:color="auto"/>
            </w:tcBorders>
            <w:vAlign w:val="center"/>
          </w:tcPr>
          <w:p w:rsidR="005A37A0" w:rsidRPr="00E60F06" w:rsidRDefault="00A70CC3" w:rsidP="00B10A9F">
            <w:pPr>
              <w:jc w:val="center"/>
              <w:rPr>
                <w:rFonts w:ascii="Arial Narrow" w:hAnsi="Arial Narrow"/>
                <w:sz w:val="18"/>
                <w:szCs w:val="18"/>
              </w:rPr>
            </w:pPr>
            <w:r w:rsidRPr="00E60F06">
              <w:rPr>
                <w:rFonts w:ascii="Arial Narrow" w:hAnsi="Arial Narrow"/>
                <w:sz w:val="18"/>
                <w:szCs w:val="18"/>
              </w:rPr>
              <w:t xml:space="preserve">2.8 </w:t>
            </w:r>
          </w:p>
          <w:p w:rsidR="00A70CC3" w:rsidRPr="00E60F06" w:rsidRDefault="00A70CC3" w:rsidP="00B10A9F">
            <w:pPr>
              <w:jc w:val="center"/>
              <w:rPr>
                <w:rFonts w:ascii="Arial Narrow" w:hAnsi="Arial Narrow"/>
                <w:sz w:val="18"/>
                <w:szCs w:val="18"/>
              </w:rPr>
            </w:pPr>
            <w:r w:rsidRPr="00E60F06">
              <w:rPr>
                <w:rFonts w:ascii="Arial Narrow" w:hAnsi="Arial Narrow"/>
                <w:sz w:val="18"/>
                <w:szCs w:val="18"/>
              </w:rPr>
              <w:t>(2.8, 2.9)</w:t>
            </w:r>
          </w:p>
        </w:tc>
        <w:tc>
          <w:tcPr>
            <w:tcW w:w="1134" w:type="dxa"/>
            <w:vAlign w:val="center"/>
          </w:tcPr>
          <w:p w:rsidR="00A70CC3" w:rsidRPr="00E60F06" w:rsidRDefault="00A70CC3" w:rsidP="00E724C8">
            <w:pPr>
              <w:jc w:val="center"/>
              <w:rPr>
                <w:rFonts w:ascii="Arial Narrow" w:hAnsi="Arial Narrow"/>
                <w:sz w:val="17"/>
                <w:szCs w:val="17"/>
              </w:rPr>
            </w:pPr>
            <w:r w:rsidRPr="00E60F06">
              <w:rPr>
                <w:rFonts w:ascii="Arial Narrow" w:hAnsi="Arial Narrow"/>
                <w:sz w:val="17"/>
                <w:szCs w:val="17"/>
              </w:rPr>
              <w:t>Q2W: 2.7</w:t>
            </w:r>
          </w:p>
          <w:p w:rsidR="00A70CC3" w:rsidRPr="00E60F06" w:rsidRDefault="00A70CC3" w:rsidP="00E724C8">
            <w:pPr>
              <w:jc w:val="center"/>
              <w:rPr>
                <w:rFonts w:ascii="Arial Narrow" w:hAnsi="Arial Narrow"/>
                <w:sz w:val="17"/>
                <w:szCs w:val="17"/>
              </w:rPr>
            </w:pPr>
            <w:r w:rsidRPr="00E60F06">
              <w:rPr>
                <w:rFonts w:ascii="Arial Narrow" w:hAnsi="Arial Narrow"/>
                <w:sz w:val="17"/>
                <w:szCs w:val="17"/>
              </w:rPr>
              <w:t>Q3W: 1.3</w:t>
            </w:r>
          </w:p>
          <w:p w:rsidR="00A70CC3" w:rsidRPr="00E60F06" w:rsidRDefault="00A70CC3" w:rsidP="0005651A">
            <w:pPr>
              <w:jc w:val="center"/>
              <w:rPr>
                <w:rFonts w:ascii="Arial Narrow" w:hAnsi="Arial Narrow"/>
                <w:sz w:val="17"/>
                <w:szCs w:val="17"/>
              </w:rPr>
            </w:pPr>
            <w:r w:rsidRPr="00E60F06">
              <w:rPr>
                <w:rFonts w:ascii="Arial Narrow" w:hAnsi="Arial Narrow"/>
                <w:sz w:val="17"/>
                <w:szCs w:val="17"/>
              </w:rPr>
              <w:t>Comb’d: 2.0</w:t>
            </w:r>
          </w:p>
        </w:tc>
        <w:tc>
          <w:tcPr>
            <w:tcW w:w="1920" w:type="dxa"/>
            <w:vAlign w:val="center"/>
          </w:tcPr>
          <w:p w:rsidR="00A70CC3" w:rsidRPr="00E60F06" w:rsidRDefault="00A70CC3" w:rsidP="00E724C8">
            <w:pPr>
              <w:jc w:val="center"/>
              <w:rPr>
                <w:rFonts w:ascii="Arial Narrow" w:hAnsi="Arial Narrow"/>
                <w:sz w:val="17"/>
                <w:szCs w:val="17"/>
              </w:rPr>
            </w:pPr>
            <w:r w:rsidRPr="00E60F06">
              <w:rPr>
                <w:rFonts w:ascii="Arial Narrow" w:hAnsi="Arial Narrow"/>
                <w:sz w:val="17"/>
                <w:szCs w:val="17"/>
              </w:rPr>
              <w:t>Q2W: 0.60</w:t>
            </w:r>
            <w:r w:rsidR="00797CC6" w:rsidRPr="00E60F06">
              <w:rPr>
                <w:rFonts w:ascii="Arial Narrow" w:hAnsi="Arial Narrow"/>
                <w:sz w:val="17"/>
                <w:szCs w:val="17"/>
              </w:rPr>
              <w:t xml:space="preserve"> </w:t>
            </w:r>
            <w:r w:rsidRPr="00E60F06">
              <w:rPr>
                <w:rFonts w:ascii="Arial Narrow" w:hAnsi="Arial Narrow"/>
                <w:sz w:val="17"/>
                <w:szCs w:val="17"/>
              </w:rPr>
              <w:t>(0.49,0.74)</w:t>
            </w:r>
          </w:p>
          <w:p w:rsidR="00A70CC3" w:rsidRPr="00E60F06" w:rsidRDefault="00A70CC3" w:rsidP="00E724C8">
            <w:pPr>
              <w:jc w:val="center"/>
              <w:rPr>
                <w:rFonts w:ascii="Arial Narrow" w:hAnsi="Arial Narrow"/>
                <w:sz w:val="17"/>
                <w:szCs w:val="17"/>
              </w:rPr>
            </w:pPr>
            <w:r w:rsidRPr="00E60F06">
              <w:rPr>
                <w:rFonts w:ascii="Arial Narrow" w:hAnsi="Arial Narrow"/>
                <w:sz w:val="17"/>
                <w:szCs w:val="17"/>
              </w:rPr>
              <w:t>Q3W: 0.59</w:t>
            </w:r>
            <w:r w:rsidR="00797CC6" w:rsidRPr="00E60F06">
              <w:rPr>
                <w:rFonts w:ascii="Arial Narrow" w:hAnsi="Arial Narrow"/>
                <w:sz w:val="17"/>
                <w:szCs w:val="17"/>
              </w:rPr>
              <w:t xml:space="preserve"> </w:t>
            </w:r>
            <w:r w:rsidRPr="00E60F06">
              <w:rPr>
                <w:rFonts w:ascii="Arial Narrow" w:hAnsi="Arial Narrow"/>
                <w:sz w:val="17"/>
                <w:szCs w:val="17"/>
              </w:rPr>
              <w:t>(0.48,0.73)</w:t>
            </w:r>
          </w:p>
          <w:p w:rsidR="00A70CC3" w:rsidRPr="00E60F06" w:rsidRDefault="00A70CC3" w:rsidP="0005651A">
            <w:pPr>
              <w:jc w:val="center"/>
              <w:rPr>
                <w:rFonts w:ascii="Arial Narrow" w:hAnsi="Arial Narrow"/>
                <w:sz w:val="17"/>
                <w:szCs w:val="17"/>
              </w:rPr>
            </w:pPr>
            <w:r w:rsidRPr="00E60F06">
              <w:rPr>
                <w:rFonts w:ascii="Arial Narrow" w:hAnsi="Arial Narrow"/>
                <w:sz w:val="17"/>
                <w:szCs w:val="17"/>
              </w:rPr>
              <w:t>Comb’d: 0.60</w:t>
            </w:r>
            <w:r w:rsidR="00797CC6" w:rsidRPr="00E60F06">
              <w:rPr>
                <w:rFonts w:ascii="Arial Narrow" w:hAnsi="Arial Narrow"/>
                <w:sz w:val="17"/>
                <w:szCs w:val="17"/>
              </w:rPr>
              <w:t xml:space="preserve"> </w:t>
            </w:r>
            <w:r w:rsidRPr="00E60F06">
              <w:rPr>
                <w:rFonts w:ascii="Arial Narrow" w:hAnsi="Arial Narrow"/>
                <w:sz w:val="17"/>
                <w:szCs w:val="17"/>
              </w:rPr>
              <w:t>(0.50, 0.72)</w:t>
            </w:r>
          </w:p>
        </w:tc>
      </w:tr>
      <w:tr w:rsidR="00B3578F" w:rsidRPr="00E60F06" w:rsidTr="00797CC6">
        <w:tc>
          <w:tcPr>
            <w:tcW w:w="1418" w:type="dxa"/>
            <w:vAlign w:val="center"/>
          </w:tcPr>
          <w:p w:rsidR="00B3578F" w:rsidRPr="00E60F06" w:rsidRDefault="00B3578F" w:rsidP="00A70CC3">
            <w:pPr>
              <w:jc w:val="left"/>
              <w:rPr>
                <w:rFonts w:ascii="Arial Narrow" w:hAnsi="Arial Narrow"/>
                <w:sz w:val="18"/>
                <w:szCs w:val="18"/>
              </w:rPr>
            </w:pPr>
            <w:r w:rsidRPr="00E60F06">
              <w:rPr>
                <w:rFonts w:ascii="Arial Narrow" w:hAnsi="Arial Narrow"/>
                <w:sz w:val="18"/>
                <w:szCs w:val="18"/>
              </w:rPr>
              <w:t>PFS rate at 12 mths (95% CI)</w:t>
            </w:r>
          </w:p>
        </w:tc>
        <w:tc>
          <w:tcPr>
            <w:tcW w:w="992" w:type="dxa"/>
            <w:vAlign w:val="center"/>
          </w:tcPr>
          <w:p w:rsidR="00B3578F" w:rsidRPr="00E60F06" w:rsidRDefault="00B3578F" w:rsidP="004B37B0">
            <w:pPr>
              <w:jc w:val="center"/>
              <w:rPr>
                <w:rFonts w:ascii="Arial Narrow" w:hAnsi="Arial Narrow"/>
                <w:sz w:val="18"/>
                <w:szCs w:val="18"/>
              </w:rPr>
            </w:pPr>
            <w:r w:rsidRPr="00E60F06">
              <w:rPr>
                <w:rFonts w:ascii="Arial Narrow" w:hAnsi="Arial Narrow"/>
                <w:sz w:val="18"/>
                <w:szCs w:val="18"/>
              </w:rPr>
              <w:t xml:space="preserve">37.7% </w:t>
            </w:r>
          </w:p>
          <w:p w:rsidR="00B3578F" w:rsidRPr="00E60F06" w:rsidRDefault="00B3578F" w:rsidP="00463192">
            <w:pPr>
              <w:jc w:val="center"/>
              <w:rPr>
                <w:rFonts w:ascii="Arial Narrow" w:hAnsi="Arial Narrow"/>
                <w:sz w:val="18"/>
                <w:szCs w:val="18"/>
              </w:rPr>
            </w:pPr>
            <w:r w:rsidRPr="00E60F06">
              <w:rPr>
                <w:rFonts w:ascii="Arial Narrow" w:hAnsi="Arial Narrow"/>
                <w:sz w:val="18"/>
                <w:szCs w:val="18"/>
              </w:rPr>
              <w:t>(31.7, 43.7)</w:t>
            </w:r>
          </w:p>
        </w:tc>
        <w:tc>
          <w:tcPr>
            <w:tcW w:w="992" w:type="dxa"/>
            <w:vAlign w:val="center"/>
          </w:tcPr>
          <w:p w:rsidR="00B3578F" w:rsidRPr="00E60F06" w:rsidRDefault="00B3578F" w:rsidP="004B37B0">
            <w:pPr>
              <w:jc w:val="center"/>
              <w:rPr>
                <w:rFonts w:ascii="Arial Narrow" w:hAnsi="Arial Narrow"/>
                <w:sz w:val="18"/>
                <w:szCs w:val="18"/>
              </w:rPr>
            </w:pPr>
            <w:r w:rsidRPr="00E60F06">
              <w:rPr>
                <w:rFonts w:ascii="Arial Narrow" w:hAnsi="Arial Narrow"/>
                <w:sz w:val="18"/>
                <w:szCs w:val="18"/>
              </w:rPr>
              <w:t xml:space="preserve">36.3% </w:t>
            </w:r>
          </w:p>
          <w:p w:rsidR="00B3578F" w:rsidRPr="00E60F06" w:rsidRDefault="00B3578F" w:rsidP="00463192">
            <w:pPr>
              <w:jc w:val="center"/>
              <w:rPr>
                <w:rFonts w:ascii="Arial Narrow" w:hAnsi="Arial Narrow"/>
                <w:sz w:val="18"/>
                <w:szCs w:val="18"/>
              </w:rPr>
            </w:pPr>
            <w:r w:rsidRPr="00E60F06">
              <w:rPr>
                <w:rFonts w:ascii="Arial Narrow" w:hAnsi="Arial Narrow"/>
                <w:sz w:val="18"/>
                <w:szCs w:val="18"/>
              </w:rPr>
              <w:t>(30.3, 42.3)</w:t>
            </w:r>
          </w:p>
        </w:tc>
        <w:tc>
          <w:tcPr>
            <w:tcW w:w="992" w:type="dxa"/>
            <w:tcBorders>
              <w:right w:val="double" w:sz="4" w:space="0" w:color="auto"/>
            </w:tcBorders>
            <w:vAlign w:val="center"/>
          </w:tcPr>
          <w:p w:rsidR="00B3578F" w:rsidRPr="00E60F06" w:rsidRDefault="00B3578F" w:rsidP="004B37B0">
            <w:pPr>
              <w:jc w:val="center"/>
              <w:rPr>
                <w:rFonts w:ascii="Arial Narrow" w:hAnsi="Arial Narrow"/>
                <w:sz w:val="18"/>
                <w:szCs w:val="18"/>
              </w:rPr>
            </w:pPr>
            <w:r w:rsidRPr="00E60F06">
              <w:rPr>
                <w:rFonts w:ascii="Arial Narrow" w:hAnsi="Arial Narrow"/>
                <w:sz w:val="18"/>
                <w:szCs w:val="18"/>
              </w:rPr>
              <w:t xml:space="preserve">37.0% </w:t>
            </w:r>
          </w:p>
          <w:p w:rsidR="00B3578F" w:rsidRPr="00E60F06" w:rsidRDefault="00B3578F" w:rsidP="00463192">
            <w:pPr>
              <w:jc w:val="center"/>
              <w:rPr>
                <w:rFonts w:ascii="Arial Narrow" w:hAnsi="Arial Narrow"/>
                <w:sz w:val="18"/>
                <w:szCs w:val="18"/>
              </w:rPr>
            </w:pPr>
            <w:r w:rsidRPr="00E60F06">
              <w:rPr>
                <w:rFonts w:ascii="Arial Narrow" w:hAnsi="Arial Narrow"/>
                <w:sz w:val="18"/>
                <w:szCs w:val="18"/>
              </w:rPr>
              <w:t>(32.7, 41.2)</w:t>
            </w:r>
          </w:p>
        </w:tc>
        <w:tc>
          <w:tcPr>
            <w:tcW w:w="993" w:type="dxa"/>
            <w:tcBorders>
              <w:left w:val="double" w:sz="4" w:space="0" w:color="auto"/>
            </w:tcBorders>
            <w:vAlign w:val="center"/>
          </w:tcPr>
          <w:p w:rsidR="00B3578F" w:rsidRPr="00E60F06" w:rsidRDefault="00B3578F" w:rsidP="0005651A">
            <w:pPr>
              <w:jc w:val="center"/>
              <w:rPr>
                <w:rFonts w:ascii="Arial Narrow" w:hAnsi="Arial Narrow"/>
                <w:sz w:val="18"/>
                <w:szCs w:val="18"/>
              </w:rPr>
            </w:pPr>
            <w:r w:rsidRPr="00E60F06">
              <w:rPr>
                <w:rFonts w:ascii="Arial Narrow" w:hAnsi="Arial Narrow"/>
                <w:sz w:val="18"/>
                <w:szCs w:val="18"/>
              </w:rPr>
              <w:t xml:space="preserve">17.2% </w:t>
            </w:r>
          </w:p>
          <w:p w:rsidR="00B3578F" w:rsidRPr="00E60F06" w:rsidRDefault="00B3578F" w:rsidP="0005651A">
            <w:pPr>
              <w:jc w:val="center"/>
              <w:rPr>
                <w:rFonts w:ascii="Arial Narrow" w:hAnsi="Arial Narrow"/>
                <w:sz w:val="18"/>
                <w:szCs w:val="18"/>
              </w:rPr>
            </w:pPr>
            <w:r w:rsidRPr="00E60F06">
              <w:rPr>
                <w:rFonts w:ascii="Arial Narrow" w:hAnsi="Arial Narrow"/>
                <w:sz w:val="17"/>
                <w:szCs w:val="17"/>
              </w:rPr>
              <w:t>(12.4, 22.5)</w:t>
            </w:r>
          </w:p>
        </w:tc>
        <w:tc>
          <w:tcPr>
            <w:tcW w:w="1134" w:type="dxa"/>
            <w:vAlign w:val="center"/>
          </w:tcPr>
          <w:p w:rsidR="00B3578F" w:rsidRPr="00E60F06" w:rsidRDefault="00B3578F" w:rsidP="00E724C8">
            <w:pPr>
              <w:jc w:val="center"/>
              <w:rPr>
                <w:rFonts w:ascii="Arial Narrow" w:hAnsi="Arial Narrow"/>
                <w:sz w:val="17"/>
                <w:szCs w:val="17"/>
                <w:lang w:val="en-US"/>
              </w:rPr>
            </w:pPr>
            <w:r w:rsidRPr="00E60F06">
              <w:rPr>
                <w:rFonts w:ascii="Arial Narrow" w:hAnsi="Arial Narrow"/>
                <w:sz w:val="17"/>
                <w:szCs w:val="17"/>
                <w:lang w:val="en-US"/>
              </w:rPr>
              <w:t>Q2W: 20.5%</w:t>
            </w:r>
          </w:p>
          <w:p w:rsidR="00B3578F" w:rsidRPr="00E60F06" w:rsidRDefault="00B3578F" w:rsidP="00E724C8">
            <w:pPr>
              <w:jc w:val="center"/>
              <w:rPr>
                <w:rFonts w:ascii="Arial Narrow" w:hAnsi="Arial Narrow"/>
                <w:sz w:val="17"/>
                <w:szCs w:val="17"/>
                <w:lang w:val="en-US"/>
              </w:rPr>
            </w:pPr>
            <w:r w:rsidRPr="00E60F06">
              <w:rPr>
                <w:rFonts w:ascii="Arial Narrow" w:hAnsi="Arial Narrow"/>
                <w:sz w:val="17"/>
                <w:szCs w:val="17"/>
                <w:lang w:val="en-US"/>
              </w:rPr>
              <w:t>Q3W: 19.1%</w:t>
            </w:r>
          </w:p>
          <w:p w:rsidR="00B3578F" w:rsidRPr="00E60F06" w:rsidRDefault="00B3578F" w:rsidP="0005651A">
            <w:pPr>
              <w:jc w:val="center"/>
              <w:rPr>
                <w:rFonts w:ascii="Arial Narrow" w:hAnsi="Arial Narrow"/>
                <w:sz w:val="16"/>
                <w:szCs w:val="16"/>
              </w:rPr>
            </w:pPr>
            <w:r w:rsidRPr="00E60F06">
              <w:rPr>
                <w:rFonts w:ascii="Arial Narrow" w:hAnsi="Arial Narrow"/>
                <w:sz w:val="16"/>
                <w:szCs w:val="16"/>
                <w:lang w:val="en-US"/>
              </w:rPr>
              <w:t>Comb’d:</w:t>
            </w:r>
            <w:r w:rsidR="00797CC6" w:rsidRPr="00E60F06">
              <w:rPr>
                <w:rFonts w:ascii="Arial Narrow" w:hAnsi="Arial Narrow"/>
                <w:sz w:val="16"/>
                <w:szCs w:val="16"/>
                <w:lang w:val="en-US"/>
              </w:rPr>
              <w:t xml:space="preserve"> </w:t>
            </w:r>
            <w:r w:rsidRPr="00E60F06">
              <w:rPr>
                <w:rFonts w:ascii="Arial Narrow" w:hAnsi="Arial Narrow"/>
                <w:sz w:val="16"/>
                <w:szCs w:val="16"/>
                <w:lang w:val="en-US"/>
              </w:rPr>
              <w:t>19.8%</w:t>
            </w:r>
          </w:p>
        </w:tc>
        <w:tc>
          <w:tcPr>
            <w:tcW w:w="1920" w:type="dxa"/>
            <w:vAlign w:val="center"/>
          </w:tcPr>
          <w:p w:rsidR="00B3578F" w:rsidRPr="00E60F06" w:rsidRDefault="00B3578F" w:rsidP="0005651A">
            <w:pPr>
              <w:jc w:val="center"/>
              <w:rPr>
                <w:rFonts w:ascii="Arial Narrow" w:hAnsi="Arial Narrow"/>
                <w:sz w:val="17"/>
                <w:szCs w:val="17"/>
              </w:rPr>
            </w:pPr>
            <w:r w:rsidRPr="00E60F06">
              <w:rPr>
                <w:rFonts w:ascii="Arial Narrow" w:hAnsi="Arial Narrow"/>
                <w:sz w:val="17"/>
                <w:szCs w:val="17"/>
              </w:rPr>
              <w:t>-</w:t>
            </w:r>
          </w:p>
        </w:tc>
      </w:tr>
      <w:tr w:rsidR="00A70CC3" w:rsidRPr="00E60F06" w:rsidTr="003728B3">
        <w:tc>
          <w:tcPr>
            <w:tcW w:w="8441" w:type="dxa"/>
            <w:gridSpan w:val="7"/>
            <w:vAlign w:val="center"/>
          </w:tcPr>
          <w:p w:rsidR="00A70CC3" w:rsidRPr="00E60F06" w:rsidRDefault="00A70CC3" w:rsidP="00915932">
            <w:pPr>
              <w:jc w:val="left"/>
              <w:rPr>
                <w:rFonts w:ascii="Arial Narrow" w:hAnsi="Arial Narrow"/>
                <w:b/>
                <w:sz w:val="18"/>
                <w:szCs w:val="18"/>
              </w:rPr>
            </w:pPr>
            <w:r w:rsidRPr="00E60F06">
              <w:rPr>
                <w:rFonts w:ascii="Arial Narrow" w:hAnsi="Arial Narrow"/>
                <w:b/>
                <w:sz w:val="18"/>
                <w:szCs w:val="18"/>
              </w:rPr>
              <w:t xml:space="preserve">Progression-free survival </w:t>
            </w:r>
            <w:r w:rsidR="008704F2" w:rsidRPr="00E60F06">
              <w:rPr>
                <w:rFonts w:ascii="Arial Narrow" w:hAnsi="Arial Narrow"/>
                <w:b/>
                <w:sz w:val="18"/>
                <w:szCs w:val="18"/>
              </w:rPr>
              <w:t>–</w:t>
            </w:r>
            <w:r w:rsidRPr="00E60F06">
              <w:rPr>
                <w:rFonts w:ascii="Arial Narrow" w:hAnsi="Arial Narrow"/>
                <w:b/>
                <w:sz w:val="18"/>
                <w:szCs w:val="18"/>
              </w:rPr>
              <w:t xml:space="preserve"> irRC</w:t>
            </w:r>
          </w:p>
        </w:tc>
      </w:tr>
      <w:tr w:rsidR="00A70CC3" w:rsidRPr="00E60F06" w:rsidTr="005A37A0">
        <w:tc>
          <w:tcPr>
            <w:tcW w:w="1418" w:type="dxa"/>
            <w:vAlign w:val="center"/>
          </w:tcPr>
          <w:p w:rsidR="00A70CC3" w:rsidRPr="00E60F06" w:rsidRDefault="00A70CC3" w:rsidP="00463192">
            <w:pPr>
              <w:jc w:val="left"/>
              <w:rPr>
                <w:rFonts w:ascii="Arial Narrow" w:hAnsi="Arial Narrow"/>
                <w:sz w:val="18"/>
                <w:szCs w:val="18"/>
              </w:rPr>
            </w:pPr>
            <w:r w:rsidRPr="00E60F06">
              <w:rPr>
                <w:rFonts w:ascii="Arial Narrow" w:hAnsi="Arial Narrow"/>
                <w:sz w:val="18"/>
                <w:szCs w:val="18"/>
              </w:rPr>
              <w:t>Number of events</w:t>
            </w:r>
          </w:p>
        </w:tc>
        <w:tc>
          <w:tcPr>
            <w:tcW w:w="992" w:type="dxa"/>
            <w:vAlign w:val="center"/>
          </w:tcPr>
          <w:p w:rsidR="00A70CC3" w:rsidRPr="00E60F06" w:rsidRDefault="00A70CC3" w:rsidP="00463192">
            <w:pPr>
              <w:jc w:val="center"/>
              <w:rPr>
                <w:rFonts w:ascii="Arial Narrow" w:hAnsi="Arial Narrow"/>
                <w:sz w:val="18"/>
                <w:szCs w:val="18"/>
              </w:rPr>
            </w:pPr>
            <w:r w:rsidRPr="00E60F06">
              <w:rPr>
                <w:rFonts w:ascii="Arial Narrow" w:hAnsi="Arial Narrow"/>
                <w:sz w:val="18"/>
                <w:szCs w:val="18"/>
              </w:rPr>
              <w:t>158 (56.6%)</w:t>
            </w:r>
          </w:p>
        </w:tc>
        <w:tc>
          <w:tcPr>
            <w:tcW w:w="992" w:type="dxa"/>
            <w:vAlign w:val="center"/>
          </w:tcPr>
          <w:p w:rsidR="00A70CC3" w:rsidRPr="00E60F06" w:rsidRDefault="00A70CC3" w:rsidP="00463192">
            <w:pPr>
              <w:jc w:val="center"/>
              <w:rPr>
                <w:rFonts w:ascii="Arial Narrow" w:hAnsi="Arial Narrow"/>
                <w:sz w:val="18"/>
                <w:szCs w:val="18"/>
              </w:rPr>
            </w:pPr>
            <w:r w:rsidRPr="00E60F06">
              <w:rPr>
                <w:rFonts w:ascii="Arial Narrow" w:hAnsi="Arial Narrow"/>
                <w:sz w:val="18"/>
                <w:szCs w:val="18"/>
              </w:rPr>
              <w:t>153 (55.2%)</w:t>
            </w:r>
          </w:p>
        </w:tc>
        <w:tc>
          <w:tcPr>
            <w:tcW w:w="992" w:type="dxa"/>
            <w:tcBorders>
              <w:right w:val="double" w:sz="4" w:space="0" w:color="auto"/>
            </w:tcBorders>
            <w:vAlign w:val="center"/>
          </w:tcPr>
          <w:p w:rsidR="00A70CC3" w:rsidRPr="00E60F06" w:rsidRDefault="00A70CC3" w:rsidP="00463192">
            <w:pPr>
              <w:jc w:val="center"/>
              <w:rPr>
                <w:rFonts w:ascii="Arial Narrow" w:hAnsi="Arial Narrow"/>
                <w:sz w:val="18"/>
                <w:szCs w:val="18"/>
              </w:rPr>
            </w:pPr>
            <w:r w:rsidRPr="00E60F06">
              <w:rPr>
                <w:rFonts w:ascii="Arial Narrow" w:hAnsi="Arial Narrow"/>
                <w:sz w:val="18"/>
                <w:szCs w:val="18"/>
              </w:rPr>
              <w:t>311 (55.9%)</w:t>
            </w:r>
          </w:p>
        </w:tc>
        <w:tc>
          <w:tcPr>
            <w:tcW w:w="993" w:type="dxa"/>
            <w:tcBorders>
              <w:left w:val="double" w:sz="4" w:space="0" w:color="auto"/>
            </w:tcBorders>
            <w:vAlign w:val="center"/>
          </w:tcPr>
          <w:p w:rsidR="00A70CC3" w:rsidRPr="00E60F06" w:rsidRDefault="00A70CC3" w:rsidP="0005651A">
            <w:pPr>
              <w:jc w:val="center"/>
              <w:rPr>
                <w:rFonts w:ascii="Arial Narrow" w:hAnsi="Arial Narrow"/>
                <w:sz w:val="18"/>
                <w:szCs w:val="18"/>
              </w:rPr>
            </w:pPr>
            <w:r w:rsidRPr="00E60F06">
              <w:rPr>
                <w:rFonts w:ascii="Arial Narrow" w:hAnsi="Arial Narrow"/>
                <w:sz w:val="18"/>
                <w:szCs w:val="18"/>
              </w:rPr>
              <w:t>194 (69.8%)</w:t>
            </w:r>
          </w:p>
        </w:tc>
        <w:tc>
          <w:tcPr>
            <w:tcW w:w="1134" w:type="dxa"/>
            <w:vAlign w:val="center"/>
          </w:tcPr>
          <w:p w:rsidR="00B3578F" w:rsidRPr="00E60F06" w:rsidRDefault="00B3578F" w:rsidP="00B3578F">
            <w:pPr>
              <w:jc w:val="center"/>
              <w:rPr>
                <w:rFonts w:ascii="Arial Narrow" w:hAnsi="Arial Narrow"/>
                <w:sz w:val="17"/>
                <w:szCs w:val="17"/>
                <w:lang w:val="en-US"/>
              </w:rPr>
            </w:pPr>
            <w:r w:rsidRPr="00E60F06">
              <w:rPr>
                <w:rFonts w:ascii="Arial Narrow" w:hAnsi="Arial Narrow"/>
                <w:sz w:val="17"/>
                <w:szCs w:val="17"/>
                <w:lang w:val="en-US"/>
              </w:rPr>
              <w:t>Q2W: -13.2%</w:t>
            </w:r>
          </w:p>
          <w:p w:rsidR="00B3578F" w:rsidRPr="00E60F06" w:rsidRDefault="00B3578F" w:rsidP="00B3578F">
            <w:pPr>
              <w:jc w:val="center"/>
              <w:rPr>
                <w:rFonts w:ascii="Arial Narrow" w:hAnsi="Arial Narrow"/>
                <w:sz w:val="17"/>
                <w:szCs w:val="17"/>
                <w:lang w:val="en-US"/>
              </w:rPr>
            </w:pPr>
            <w:r w:rsidRPr="00E60F06">
              <w:rPr>
                <w:rFonts w:ascii="Arial Narrow" w:hAnsi="Arial Narrow"/>
                <w:sz w:val="17"/>
                <w:szCs w:val="17"/>
                <w:lang w:val="en-US"/>
              </w:rPr>
              <w:t>Q3W: -14.6%</w:t>
            </w:r>
          </w:p>
          <w:p w:rsidR="00A70CC3" w:rsidRPr="00E60F06" w:rsidRDefault="00B3578F" w:rsidP="005A37A0">
            <w:pPr>
              <w:ind w:left="-108"/>
              <w:jc w:val="center"/>
              <w:rPr>
                <w:rFonts w:ascii="Arial Narrow" w:hAnsi="Arial Narrow"/>
                <w:sz w:val="16"/>
                <w:szCs w:val="16"/>
              </w:rPr>
            </w:pPr>
            <w:r w:rsidRPr="00E60F06">
              <w:rPr>
                <w:rFonts w:ascii="Arial Narrow" w:hAnsi="Arial Narrow"/>
                <w:sz w:val="16"/>
                <w:szCs w:val="16"/>
                <w:lang w:val="en-US"/>
              </w:rPr>
              <w:t>Comb’d:</w:t>
            </w:r>
            <w:r w:rsidR="005A37A0" w:rsidRPr="00E60F06">
              <w:rPr>
                <w:rFonts w:ascii="Arial Narrow" w:hAnsi="Arial Narrow"/>
                <w:sz w:val="16"/>
                <w:szCs w:val="16"/>
                <w:lang w:val="en-US"/>
              </w:rPr>
              <w:t xml:space="preserve"> </w:t>
            </w:r>
            <w:r w:rsidRPr="00E60F06">
              <w:rPr>
                <w:rFonts w:ascii="Arial Narrow" w:hAnsi="Arial Narrow"/>
                <w:sz w:val="16"/>
                <w:szCs w:val="16"/>
                <w:lang w:val="en-US"/>
              </w:rPr>
              <w:t>-13.9%</w:t>
            </w:r>
          </w:p>
        </w:tc>
        <w:tc>
          <w:tcPr>
            <w:tcW w:w="1920" w:type="dxa"/>
            <w:vAlign w:val="center"/>
          </w:tcPr>
          <w:p w:rsidR="00A70CC3" w:rsidRPr="00E60F06" w:rsidRDefault="00A70CC3" w:rsidP="0005651A">
            <w:pPr>
              <w:jc w:val="center"/>
              <w:rPr>
                <w:rFonts w:ascii="Arial Narrow" w:hAnsi="Arial Narrow"/>
                <w:sz w:val="18"/>
                <w:szCs w:val="18"/>
              </w:rPr>
            </w:pPr>
            <w:r w:rsidRPr="00E60F06">
              <w:rPr>
                <w:rFonts w:ascii="Arial Narrow" w:hAnsi="Arial Narrow"/>
                <w:sz w:val="18"/>
                <w:szCs w:val="18"/>
              </w:rPr>
              <w:t>-</w:t>
            </w:r>
          </w:p>
        </w:tc>
      </w:tr>
      <w:tr w:rsidR="00E724C8" w:rsidRPr="00E60F06" w:rsidTr="005A37A0">
        <w:tc>
          <w:tcPr>
            <w:tcW w:w="1418" w:type="dxa"/>
            <w:vAlign w:val="center"/>
          </w:tcPr>
          <w:p w:rsidR="00E724C8" w:rsidRPr="00E60F06" w:rsidRDefault="00E724C8" w:rsidP="005A37A0">
            <w:pPr>
              <w:ind w:right="-108"/>
              <w:jc w:val="left"/>
              <w:rPr>
                <w:rFonts w:ascii="Arial Narrow" w:hAnsi="Arial Narrow"/>
                <w:sz w:val="18"/>
                <w:szCs w:val="18"/>
              </w:rPr>
            </w:pPr>
            <w:r w:rsidRPr="00E60F06">
              <w:rPr>
                <w:rFonts w:ascii="Arial Narrow" w:hAnsi="Arial Narrow"/>
                <w:sz w:val="18"/>
                <w:szCs w:val="18"/>
              </w:rPr>
              <w:t>Median PFS</w:t>
            </w:r>
            <w:r w:rsidR="00797CC6" w:rsidRPr="00E60F06">
              <w:rPr>
                <w:rFonts w:ascii="Arial Narrow" w:hAnsi="Arial Narrow"/>
                <w:sz w:val="18"/>
                <w:szCs w:val="18"/>
              </w:rPr>
              <w:t>,</w:t>
            </w:r>
            <w:r w:rsidRPr="00E60F06">
              <w:rPr>
                <w:rFonts w:ascii="Arial Narrow" w:hAnsi="Arial Narrow"/>
                <w:sz w:val="18"/>
                <w:szCs w:val="18"/>
              </w:rPr>
              <w:t xml:space="preserve"> mths (95% CI)</w:t>
            </w:r>
          </w:p>
        </w:tc>
        <w:tc>
          <w:tcPr>
            <w:tcW w:w="992" w:type="dxa"/>
            <w:vAlign w:val="center"/>
          </w:tcPr>
          <w:p w:rsidR="00E724C8" w:rsidRPr="00E60F06" w:rsidRDefault="00E724C8" w:rsidP="00E724C8">
            <w:pPr>
              <w:jc w:val="center"/>
              <w:rPr>
                <w:rFonts w:ascii="Arial Narrow" w:hAnsi="Arial Narrow"/>
                <w:sz w:val="18"/>
                <w:szCs w:val="18"/>
              </w:rPr>
            </w:pPr>
            <w:r w:rsidRPr="00E60F06">
              <w:rPr>
                <w:rFonts w:ascii="Arial Narrow" w:hAnsi="Arial Narrow"/>
                <w:sz w:val="18"/>
                <w:szCs w:val="18"/>
              </w:rPr>
              <w:t xml:space="preserve">8.4 </w:t>
            </w:r>
          </w:p>
          <w:p w:rsidR="00E724C8" w:rsidRPr="00E60F06" w:rsidRDefault="00E724C8" w:rsidP="003728B3">
            <w:pPr>
              <w:jc w:val="center"/>
              <w:rPr>
                <w:rFonts w:ascii="Arial Narrow" w:hAnsi="Arial Narrow"/>
                <w:sz w:val="18"/>
                <w:szCs w:val="18"/>
              </w:rPr>
            </w:pPr>
            <w:r w:rsidRPr="00E60F06">
              <w:rPr>
                <w:rFonts w:ascii="Arial Narrow" w:hAnsi="Arial Narrow"/>
                <w:sz w:val="18"/>
                <w:szCs w:val="18"/>
              </w:rPr>
              <w:t>(5.6, 12.3)</w:t>
            </w:r>
          </w:p>
        </w:tc>
        <w:tc>
          <w:tcPr>
            <w:tcW w:w="992" w:type="dxa"/>
            <w:vAlign w:val="center"/>
          </w:tcPr>
          <w:p w:rsidR="00E724C8" w:rsidRPr="00E60F06" w:rsidRDefault="00E724C8" w:rsidP="00E724C8">
            <w:pPr>
              <w:jc w:val="center"/>
              <w:rPr>
                <w:rFonts w:ascii="Arial Narrow" w:hAnsi="Arial Narrow"/>
                <w:sz w:val="18"/>
                <w:szCs w:val="18"/>
              </w:rPr>
            </w:pPr>
            <w:r w:rsidRPr="00E60F06">
              <w:rPr>
                <w:rFonts w:ascii="Arial Narrow" w:hAnsi="Arial Narrow"/>
                <w:sz w:val="18"/>
                <w:szCs w:val="18"/>
              </w:rPr>
              <w:t xml:space="preserve">8.4 </w:t>
            </w:r>
          </w:p>
          <w:p w:rsidR="00E724C8" w:rsidRPr="00E60F06" w:rsidRDefault="00E724C8" w:rsidP="003728B3">
            <w:pPr>
              <w:jc w:val="center"/>
              <w:rPr>
                <w:rFonts w:ascii="Arial Narrow" w:hAnsi="Arial Narrow"/>
                <w:sz w:val="18"/>
                <w:szCs w:val="18"/>
              </w:rPr>
            </w:pPr>
            <w:r w:rsidRPr="00E60F06">
              <w:rPr>
                <w:rFonts w:ascii="Arial Narrow" w:hAnsi="Arial Narrow"/>
                <w:sz w:val="18"/>
                <w:szCs w:val="18"/>
              </w:rPr>
              <w:t>(5.7, 12.0)</w:t>
            </w:r>
          </w:p>
        </w:tc>
        <w:tc>
          <w:tcPr>
            <w:tcW w:w="992" w:type="dxa"/>
            <w:tcBorders>
              <w:right w:val="double" w:sz="4" w:space="0" w:color="auto"/>
            </w:tcBorders>
            <w:vAlign w:val="center"/>
          </w:tcPr>
          <w:p w:rsidR="00E724C8" w:rsidRPr="00E60F06" w:rsidRDefault="00E724C8" w:rsidP="00E724C8">
            <w:pPr>
              <w:jc w:val="center"/>
              <w:rPr>
                <w:rFonts w:ascii="Arial Narrow" w:hAnsi="Arial Narrow"/>
                <w:sz w:val="18"/>
                <w:szCs w:val="18"/>
              </w:rPr>
            </w:pPr>
            <w:r w:rsidRPr="00E60F06">
              <w:rPr>
                <w:rFonts w:ascii="Arial Narrow" w:hAnsi="Arial Narrow"/>
                <w:sz w:val="18"/>
                <w:szCs w:val="18"/>
              </w:rPr>
              <w:t xml:space="preserve">8.4 </w:t>
            </w:r>
          </w:p>
          <w:p w:rsidR="00E724C8" w:rsidRPr="00E60F06" w:rsidRDefault="00E724C8" w:rsidP="003728B3">
            <w:pPr>
              <w:jc w:val="center"/>
              <w:rPr>
                <w:rFonts w:ascii="Arial Narrow" w:hAnsi="Arial Narrow"/>
                <w:sz w:val="18"/>
                <w:szCs w:val="18"/>
              </w:rPr>
            </w:pPr>
            <w:r w:rsidRPr="00E60F06">
              <w:rPr>
                <w:rFonts w:ascii="Arial Narrow" w:hAnsi="Arial Narrow"/>
                <w:sz w:val="18"/>
                <w:szCs w:val="18"/>
              </w:rPr>
              <w:t>(6.6, 11.2)</w:t>
            </w:r>
          </w:p>
        </w:tc>
        <w:tc>
          <w:tcPr>
            <w:tcW w:w="993" w:type="dxa"/>
            <w:tcBorders>
              <w:left w:val="double" w:sz="4" w:space="0" w:color="auto"/>
            </w:tcBorders>
            <w:vAlign w:val="center"/>
          </w:tcPr>
          <w:p w:rsidR="005A37A0" w:rsidRPr="00E60F06" w:rsidRDefault="00E724C8" w:rsidP="0005651A">
            <w:pPr>
              <w:jc w:val="center"/>
              <w:rPr>
                <w:rFonts w:ascii="Arial Narrow" w:hAnsi="Arial Narrow"/>
                <w:sz w:val="18"/>
                <w:szCs w:val="18"/>
              </w:rPr>
            </w:pPr>
            <w:r w:rsidRPr="00E60F06">
              <w:rPr>
                <w:rFonts w:ascii="Arial Narrow" w:hAnsi="Arial Narrow"/>
                <w:sz w:val="18"/>
                <w:szCs w:val="18"/>
              </w:rPr>
              <w:t xml:space="preserve">3.3 </w:t>
            </w:r>
          </w:p>
          <w:p w:rsidR="00E724C8" w:rsidRPr="00E60F06" w:rsidRDefault="00E724C8" w:rsidP="0005651A">
            <w:pPr>
              <w:jc w:val="center"/>
              <w:rPr>
                <w:rFonts w:ascii="Arial Narrow" w:hAnsi="Arial Narrow"/>
                <w:sz w:val="18"/>
                <w:szCs w:val="18"/>
              </w:rPr>
            </w:pPr>
            <w:r w:rsidRPr="00E60F06">
              <w:rPr>
                <w:rFonts w:ascii="Arial Narrow" w:hAnsi="Arial Narrow"/>
                <w:sz w:val="18"/>
                <w:szCs w:val="18"/>
              </w:rPr>
              <w:t>(2.9, 4.2)</w:t>
            </w:r>
          </w:p>
        </w:tc>
        <w:tc>
          <w:tcPr>
            <w:tcW w:w="1134" w:type="dxa"/>
            <w:vAlign w:val="center"/>
          </w:tcPr>
          <w:p w:rsidR="00E724C8" w:rsidRPr="00E60F06" w:rsidRDefault="00E724C8" w:rsidP="00E724C8">
            <w:pPr>
              <w:jc w:val="center"/>
              <w:rPr>
                <w:rFonts w:ascii="Arial Narrow" w:hAnsi="Arial Narrow"/>
                <w:sz w:val="18"/>
                <w:szCs w:val="18"/>
              </w:rPr>
            </w:pPr>
            <w:r w:rsidRPr="00E60F06">
              <w:rPr>
                <w:rFonts w:ascii="Arial Narrow" w:hAnsi="Arial Narrow"/>
                <w:sz w:val="18"/>
                <w:szCs w:val="18"/>
              </w:rPr>
              <w:t>Q2W: 5.1</w:t>
            </w:r>
          </w:p>
          <w:p w:rsidR="00E724C8" w:rsidRPr="00E60F06" w:rsidRDefault="00E724C8" w:rsidP="00E724C8">
            <w:pPr>
              <w:jc w:val="center"/>
              <w:rPr>
                <w:rFonts w:ascii="Arial Narrow" w:hAnsi="Arial Narrow"/>
                <w:sz w:val="18"/>
                <w:szCs w:val="18"/>
              </w:rPr>
            </w:pPr>
            <w:r w:rsidRPr="00E60F06">
              <w:rPr>
                <w:rFonts w:ascii="Arial Narrow" w:hAnsi="Arial Narrow"/>
                <w:sz w:val="18"/>
                <w:szCs w:val="18"/>
              </w:rPr>
              <w:t>Q3W: 5.1</w:t>
            </w:r>
          </w:p>
          <w:p w:rsidR="00E724C8" w:rsidRPr="00E60F06" w:rsidRDefault="00E724C8" w:rsidP="003728B3">
            <w:pPr>
              <w:jc w:val="center"/>
              <w:rPr>
                <w:rFonts w:ascii="Arial Narrow" w:hAnsi="Arial Narrow"/>
                <w:sz w:val="18"/>
                <w:szCs w:val="18"/>
              </w:rPr>
            </w:pPr>
            <w:r w:rsidRPr="00E60F06">
              <w:rPr>
                <w:rFonts w:ascii="Arial Narrow" w:hAnsi="Arial Narrow"/>
                <w:sz w:val="18"/>
                <w:szCs w:val="18"/>
              </w:rPr>
              <w:t>Comb’d: 5.1</w:t>
            </w:r>
          </w:p>
        </w:tc>
        <w:tc>
          <w:tcPr>
            <w:tcW w:w="1920" w:type="dxa"/>
            <w:vAlign w:val="center"/>
          </w:tcPr>
          <w:p w:rsidR="00E724C8" w:rsidRPr="00E60F06" w:rsidRDefault="00E724C8" w:rsidP="00E724C8">
            <w:pPr>
              <w:jc w:val="center"/>
              <w:rPr>
                <w:rFonts w:ascii="Arial Narrow" w:hAnsi="Arial Narrow"/>
                <w:sz w:val="18"/>
                <w:szCs w:val="18"/>
              </w:rPr>
            </w:pPr>
            <w:r w:rsidRPr="00E60F06">
              <w:rPr>
                <w:rFonts w:ascii="Arial Narrow" w:hAnsi="Arial Narrow"/>
                <w:sz w:val="18"/>
                <w:szCs w:val="18"/>
              </w:rPr>
              <w:t>Q2W: 0.53</w:t>
            </w:r>
            <w:r w:rsidR="005A37A0" w:rsidRPr="00E60F06">
              <w:rPr>
                <w:rFonts w:ascii="Arial Narrow" w:hAnsi="Arial Narrow"/>
                <w:sz w:val="18"/>
                <w:szCs w:val="18"/>
              </w:rPr>
              <w:t xml:space="preserve"> </w:t>
            </w:r>
            <w:r w:rsidRPr="00E60F06">
              <w:rPr>
                <w:rFonts w:ascii="Arial Narrow" w:hAnsi="Arial Narrow"/>
                <w:sz w:val="18"/>
                <w:szCs w:val="18"/>
              </w:rPr>
              <w:t>(0.43, 0.66)</w:t>
            </w:r>
          </w:p>
          <w:p w:rsidR="00E724C8" w:rsidRPr="00E60F06" w:rsidRDefault="00E724C8" w:rsidP="00E724C8">
            <w:pPr>
              <w:jc w:val="center"/>
              <w:rPr>
                <w:rFonts w:ascii="Arial Narrow" w:hAnsi="Arial Narrow"/>
                <w:sz w:val="18"/>
                <w:szCs w:val="18"/>
              </w:rPr>
            </w:pPr>
            <w:r w:rsidRPr="00E60F06">
              <w:rPr>
                <w:rFonts w:ascii="Arial Narrow" w:hAnsi="Arial Narrow"/>
                <w:sz w:val="18"/>
                <w:szCs w:val="18"/>
              </w:rPr>
              <w:t>Q3W: 0.53</w:t>
            </w:r>
            <w:r w:rsidR="005A37A0" w:rsidRPr="00E60F06">
              <w:rPr>
                <w:rFonts w:ascii="Arial Narrow" w:hAnsi="Arial Narrow"/>
                <w:sz w:val="18"/>
                <w:szCs w:val="18"/>
              </w:rPr>
              <w:t xml:space="preserve"> </w:t>
            </w:r>
            <w:r w:rsidRPr="00E60F06">
              <w:rPr>
                <w:rFonts w:ascii="Arial Narrow" w:hAnsi="Arial Narrow"/>
                <w:sz w:val="18"/>
                <w:szCs w:val="18"/>
              </w:rPr>
              <w:t>(0.43, 0.66)</w:t>
            </w:r>
          </w:p>
          <w:p w:rsidR="00E724C8" w:rsidRPr="00E60F06" w:rsidRDefault="00E724C8" w:rsidP="005A37A0">
            <w:pPr>
              <w:jc w:val="center"/>
              <w:rPr>
                <w:rFonts w:ascii="Arial Narrow" w:hAnsi="Arial Narrow"/>
                <w:sz w:val="18"/>
                <w:szCs w:val="18"/>
              </w:rPr>
            </w:pPr>
            <w:r w:rsidRPr="00E60F06">
              <w:rPr>
                <w:rFonts w:ascii="Arial Narrow" w:hAnsi="Arial Narrow"/>
                <w:sz w:val="18"/>
                <w:szCs w:val="18"/>
              </w:rPr>
              <w:t>Comb’d: 0.53(0.44, 0.64)</w:t>
            </w:r>
          </w:p>
        </w:tc>
      </w:tr>
      <w:tr w:rsidR="00B3578F" w:rsidRPr="00E60F06" w:rsidTr="005A37A0">
        <w:tc>
          <w:tcPr>
            <w:tcW w:w="1418" w:type="dxa"/>
            <w:vAlign w:val="center"/>
          </w:tcPr>
          <w:p w:rsidR="00B3578F" w:rsidRPr="00E60F06" w:rsidRDefault="00B3578F" w:rsidP="00463192">
            <w:pPr>
              <w:jc w:val="left"/>
              <w:rPr>
                <w:rFonts w:ascii="Arial Narrow" w:hAnsi="Arial Narrow"/>
                <w:sz w:val="18"/>
                <w:szCs w:val="18"/>
              </w:rPr>
            </w:pPr>
            <w:r w:rsidRPr="00E60F06">
              <w:rPr>
                <w:rFonts w:ascii="Arial Narrow" w:hAnsi="Arial Narrow"/>
                <w:sz w:val="18"/>
                <w:szCs w:val="18"/>
              </w:rPr>
              <w:t>PFS rate at 12 mths (95% CI)</w:t>
            </w:r>
          </w:p>
        </w:tc>
        <w:tc>
          <w:tcPr>
            <w:tcW w:w="992" w:type="dxa"/>
            <w:vAlign w:val="center"/>
          </w:tcPr>
          <w:p w:rsidR="00B3578F" w:rsidRPr="00E60F06" w:rsidRDefault="00B3578F" w:rsidP="004B37B0">
            <w:pPr>
              <w:jc w:val="center"/>
              <w:rPr>
                <w:rFonts w:ascii="Arial Narrow" w:hAnsi="Arial Narrow"/>
                <w:sz w:val="17"/>
                <w:szCs w:val="17"/>
              </w:rPr>
            </w:pPr>
            <w:r w:rsidRPr="00E60F06">
              <w:rPr>
                <w:rFonts w:ascii="Arial Narrow" w:hAnsi="Arial Narrow"/>
                <w:sz w:val="17"/>
                <w:szCs w:val="17"/>
              </w:rPr>
              <w:t xml:space="preserve">44.8% </w:t>
            </w:r>
          </w:p>
          <w:p w:rsidR="00B3578F" w:rsidRPr="00E60F06" w:rsidRDefault="00B3578F" w:rsidP="00463192">
            <w:pPr>
              <w:jc w:val="center"/>
              <w:rPr>
                <w:rFonts w:ascii="Arial Narrow" w:hAnsi="Arial Narrow"/>
                <w:sz w:val="17"/>
                <w:szCs w:val="17"/>
              </w:rPr>
            </w:pPr>
            <w:r w:rsidRPr="00E60F06">
              <w:rPr>
                <w:rFonts w:ascii="Arial Narrow" w:hAnsi="Arial Narrow"/>
                <w:sz w:val="17"/>
                <w:szCs w:val="17"/>
              </w:rPr>
              <w:t>(38.6, 50.7)</w:t>
            </w:r>
          </w:p>
        </w:tc>
        <w:tc>
          <w:tcPr>
            <w:tcW w:w="992" w:type="dxa"/>
            <w:vAlign w:val="center"/>
          </w:tcPr>
          <w:p w:rsidR="00B3578F" w:rsidRPr="00E60F06" w:rsidRDefault="00B3578F" w:rsidP="004B37B0">
            <w:pPr>
              <w:jc w:val="center"/>
              <w:rPr>
                <w:rFonts w:ascii="Arial Narrow" w:hAnsi="Arial Narrow"/>
                <w:sz w:val="17"/>
                <w:szCs w:val="17"/>
              </w:rPr>
            </w:pPr>
            <w:r w:rsidRPr="00E60F06">
              <w:rPr>
                <w:rFonts w:ascii="Arial Narrow" w:hAnsi="Arial Narrow"/>
                <w:sz w:val="17"/>
                <w:szCs w:val="17"/>
              </w:rPr>
              <w:t xml:space="preserve">43.0% </w:t>
            </w:r>
          </w:p>
          <w:p w:rsidR="00B3578F" w:rsidRPr="00E60F06" w:rsidRDefault="00B3578F" w:rsidP="00463192">
            <w:pPr>
              <w:jc w:val="center"/>
              <w:rPr>
                <w:rFonts w:ascii="Arial Narrow" w:hAnsi="Arial Narrow"/>
                <w:sz w:val="17"/>
                <w:szCs w:val="17"/>
              </w:rPr>
            </w:pPr>
            <w:r w:rsidRPr="00E60F06">
              <w:rPr>
                <w:rFonts w:ascii="Arial Narrow" w:hAnsi="Arial Narrow"/>
                <w:sz w:val="17"/>
                <w:szCs w:val="17"/>
              </w:rPr>
              <w:t>(36.9, 49.1)</w:t>
            </w:r>
          </w:p>
        </w:tc>
        <w:tc>
          <w:tcPr>
            <w:tcW w:w="992" w:type="dxa"/>
            <w:tcBorders>
              <w:right w:val="double" w:sz="4" w:space="0" w:color="auto"/>
            </w:tcBorders>
            <w:vAlign w:val="center"/>
          </w:tcPr>
          <w:p w:rsidR="00B3578F" w:rsidRPr="00E60F06" w:rsidRDefault="00B3578F" w:rsidP="004B37B0">
            <w:pPr>
              <w:jc w:val="center"/>
              <w:rPr>
                <w:rFonts w:ascii="Arial Narrow" w:hAnsi="Arial Narrow"/>
                <w:sz w:val="17"/>
                <w:szCs w:val="17"/>
              </w:rPr>
            </w:pPr>
            <w:r w:rsidRPr="00E60F06">
              <w:rPr>
                <w:rFonts w:ascii="Arial Narrow" w:hAnsi="Arial Narrow"/>
                <w:sz w:val="17"/>
                <w:szCs w:val="17"/>
              </w:rPr>
              <w:t xml:space="preserve">43.9% </w:t>
            </w:r>
          </w:p>
          <w:p w:rsidR="00B3578F" w:rsidRPr="00E60F06" w:rsidRDefault="00B3578F" w:rsidP="00463192">
            <w:pPr>
              <w:jc w:val="center"/>
              <w:rPr>
                <w:rFonts w:ascii="Arial Narrow" w:hAnsi="Arial Narrow"/>
                <w:sz w:val="17"/>
                <w:szCs w:val="17"/>
              </w:rPr>
            </w:pPr>
            <w:r w:rsidRPr="00E60F06">
              <w:rPr>
                <w:rFonts w:ascii="Arial Narrow" w:hAnsi="Arial Narrow"/>
                <w:sz w:val="17"/>
                <w:szCs w:val="17"/>
              </w:rPr>
              <w:t>(39.5, 48.1)</w:t>
            </w:r>
          </w:p>
        </w:tc>
        <w:tc>
          <w:tcPr>
            <w:tcW w:w="993" w:type="dxa"/>
            <w:tcBorders>
              <w:left w:val="double" w:sz="4" w:space="0" w:color="auto"/>
            </w:tcBorders>
            <w:vAlign w:val="center"/>
          </w:tcPr>
          <w:p w:rsidR="00B3578F" w:rsidRPr="00E60F06" w:rsidRDefault="00B3578F" w:rsidP="0005651A">
            <w:pPr>
              <w:jc w:val="center"/>
              <w:rPr>
                <w:rFonts w:ascii="Arial Narrow" w:hAnsi="Arial Narrow"/>
                <w:sz w:val="17"/>
                <w:szCs w:val="17"/>
              </w:rPr>
            </w:pPr>
            <w:r w:rsidRPr="00E60F06">
              <w:rPr>
                <w:rFonts w:ascii="Arial Narrow" w:hAnsi="Arial Narrow"/>
                <w:sz w:val="17"/>
                <w:szCs w:val="17"/>
              </w:rPr>
              <w:t xml:space="preserve">19.5% </w:t>
            </w:r>
          </w:p>
          <w:p w:rsidR="00B3578F" w:rsidRPr="00E60F06" w:rsidRDefault="00B3578F" w:rsidP="0005651A">
            <w:pPr>
              <w:jc w:val="center"/>
              <w:rPr>
                <w:rFonts w:ascii="Arial Narrow" w:hAnsi="Arial Narrow"/>
                <w:sz w:val="17"/>
                <w:szCs w:val="17"/>
              </w:rPr>
            </w:pPr>
            <w:r w:rsidRPr="00E60F06">
              <w:rPr>
                <w:rFonts w:ascii="Arial Narrow" w:hAnsi="Arial Narrow"/>
                <w:sz w:val="17"/>
                <w:szCs w:val="17"/>
              </w:rPr>
              <w:t>(14.5, 24.9)</w:t>
            </w:r>
          </w:p>
        </w:tc>
        <w:tc>
          <w:tcPr>
            <w:tcW w:w="1134" w:type="dxa"/>
            <w:vAlign w:val="center"/>
          </w:tcPr>
          <w:p w:rsidR="00B3578F" w:rsidRPr="00E60F06" w:rsidRDefault="00B3578F" w:rsidP="004B37B0">
            <w:pPr>
              <w:jc w:val="center"/>
              <w:rPr>
                <w:rFonts w:ascii="Arial Narrow" w:hAnsi="Arial Narrow"/>
                <w:sz w:val="17"/>
                <w:szCs w:val="17"/>
                <w:lang w:val="en-US"/>
              </w:rPr>
            </w:pPr>
            <w:r w:rsidRPr="00E60F06">
              <w:rPr>
                <w:rFonts w:ascii="Arial Narrow" w:hAnsi="Arial Narrow"/>
                <w:sz w:val="17"/>
                <w:szCs w:val="17"/>
                <w:lang w:val="en-US"/>
              </w:rPr>
              <w:t>Q2W: -25.3%</w:t>
            </w:r>
          </w:p>
          <w:p w:rsidR="00B3578F" w:rsidRPr="00E60F06" w:rsidRDefault="00B3578F" w:rsidP="004B37B0">
            <w:pPr>
              <w:jc w:val="center"/>
              <w:rPr>
                <w:rFonts w:ascii="Arial Narrow" w:hAnsi="Arial Narrow"/>
                <w:sz w:val="17"/>
                <w:szCs w:val="17"/>
                <w:lang w:val="en-US"/>
              </w:rPr>
            </w:pPr>
            <w:r w:rsidRPr="00E60F06">
              <w:rPr>
                <w:rFonts w:ascii="Arial Narrow" w:hAnsi="Arial Narrow"/>
                <w:sz w:val="17"/>
                <w:szCs w:val="17"/>
                <w:lang w:val="en-US"/>
              </w:rPr>
              <w:t>Q3W: -23.5%</w:t>
            </w:r>
          </w:p>
          <w:p w:rsidR="00B3578F" w:rsidRPr="00E60F06" w:rsidRDefault="00B3578F" w:rsidP="00B3578F">
            <w:pPr>
              <w:ind w:left="-143"/>
              <w:jc w:val="center"/>
              <w:rPr>
                <w:rFonts w:ascii="Arial Narrow" w:hAnsi="Arial Narrow"/>
                <w:sz w:val="17"/>
                <w:szCs w:val="17"/>
              </w:rPr>
            </w:pPr>
            <w:r w:rsidRPr="00E60F06">
              <w:rPr>
                <w:rFonts w:ascii="Arial Narrow" w:hAnsi="Arial Narrow"/>
                <w:sz w:val="17"/>
                <w:szCs w:val="17"/>
                <w:lang w:val="en-US"/>
              </w:rPr>
              <w:t>Comb’d: -24.4%</w:t>
            </w:r>
          </w:p>
        </w:tc>
        <w:tc>
          <w:tcPr>
            <w:tcW w:w="1920" w:type="dxa"/>
            <w:vAlign w:val="center"/>
          </w:tcPr>
          <w:p w:rsidR="00B3578F" w:rsidRPr="00E60F06" w:rsidRDefault="00B3578F" w:rsidP="0005651A">
            <w:pPr>
              <w:jc w:val="center"/>
              <w:rPr>
                <w:rFonts w:ascii="Arial Narrow" w:hAnsi="Arial Narrow"/>
                <w:sz w:val="17"/>
                <w:szCs w:val="17"/>
              </w:rPr>
            </w:pPr>
          </w:p>
        </w:tc>
      </w:tr>
    </w:tbl>
    <w:p w:rsidR="007F1017" w:rsidRPr="00E60F06" w:rsidRDefault="00FE128F" w:rsidP="00430BF3">
      <w:pPr>
        <w:pStyle w:val="TableFooter"/>
        <w:ind w:left="709"/>
      </w:pPr>
      <w:r w:rsidRPr="00E60F06">
        <w:t>Comb’d=combined 1</w:t>
      </w:r>
      <w:r w:rsidR="0061061F" w:rsidRPr="00E60F06">
        <w:t>0</w:t>
      </w:r>
      <w:r w:rsidR="005A37A0" w:rsidRPr="00E60F06">
        <w:t> </w:t>
      </w:r>
      <w:r w:rsidR="0061061F" w:rsidRPr="00E60F06">
        <w:t>mg</w:t>
      </w:r>
      <w:r w:rsidRPr="00E60F06">
        <w:t>/kg Q2W and 10</w:t>
      </w:r>
      <w:r w:rsidR="005A37A0" w:rsidRPr="00E60F06">
        <w:t> mg</w:t>
      </w:r>
      <w:r w:rsidRPr="00E60F06">
        <w:t xml:space="preserve">/kg Q3W; HR=hazard ratio; </w:t>
      </w:r>
      <w:r w:rsidR="004B37B0" w:rsidRPr="00E60F06">
        <w:t>irRC=</w:t>
      </w:r>
      <w:r w:rsidR="00AF3A78" w:rsidRPr="00E60F06">
        <w:t xml:space="preserve">immune-related response criteria; </w:t>
      </w:r>
      <w:r w:rsidRPr="00E60F06">
        <w:t>mth</w:t>
      </w:r>
      <w:r w:rsidR="00F6049A" w:rsidRPr="00E60F06">
        <w:t>s</w:t>
      </w:r>
      <w:r w:rsidRPr="00E60F06">
        <w:t>=month</w:t>
      </w:r>
      <w:r w:rsidR="00F6049A" w:rsidRPr="00E60F06">
        <w:t>s</w:t>
      </w:r>
      <w:r w:rsidRPr="00E60F06">
        <w:t>; NR=not reached; OS=overall survival; PFS=progression-free survival</w:t>
      </w:r>
    </w:p>
    <w:p w:rsidR="004B37B0" w:rsidRPr="00E60F06" w:rsidRDefault="004B37B0" w:rsidP="00FE128F">
      <w:pPr>
        <w:pStyle w:val="TableFooter"/>
        <w:ind w:left="709"/>
      </w:pPr>
      <w:r w:rsidRPr="00E60F06">
        <w:t>Source: Table B.6-1, p60; B.6-5, p68 of the submission and Table 11-1, p203; Table 11-2, p205; Table 11-3, p207; Table 11-4, p209; Table 11-5, p211 Table 11-6, p213</w:t>
      </w:r>
      <w:r w:rsidR="00430BF3" w:rsidRPr="00E60F06">
        <w:t xml:space="preserve">; </w:t>
      </w:r>
      <w:r w:rsidRPr="00E60F06">
        <w:t>Table 11-9, p225; Tabl</w:t>
      </w:r>
      <w:r w:rsidR="00F6049A" w:rsidRPr="00E60F06">
        <w:t>e 11-10, p227 of the KN-006 CSR.</w:t>
      </w:r>
    </w:p>
    <w:p w:rsidR="00B60939" w:rsidRPr="00E60F06" w:rsidRDefault="00B60939" w:rsidP="00B60939">
      <w:pPr>
        <w:rPr>
          <w:szCs w:val="22"/>
        </w:rPr>
      </w:pPr>
    </w:p>
    <w:p w:rsidR="007F78D0" w:rsidRPr="00E60F06" w:rsidRDefault="007F78D0" w:rsidP="007F78D0">
      <w:pPr>
        <w:keepNext/>
        <w:ind w:left="709"/>
        <w:rPr>
          <w:rFonts w:ascii="Arial Narrow" w:hAnsi="Arial Narrow"/>
          <w:b/>
          <w:sz w:val="20"/>
        </w:rPr>
      </w:pPr>
      <w:r w:rsidRPr="00E60F06">
        <w:rPr>
          <w:rFonts w:ascii="Arial Narrow" w:hAnsi="Arial Narrow"/>
          <w:b/>
          <w:sz w:val="20"/>
        </w:rPr>
        <w:t xml:space="preserve">Figure 1: Kaplan-Meier </w:t>
      </w:r>
      <w:r w:rsidR="00275039" w:rsidRPr="00E60F06">
        <w:rPr>
          <w:rFonts w:ascii="Arial Narrow" w:hAnsi="Arial Narrow"/>
          <w:b/>
          <w:sz w:val="20"/>
        </w:rPr>
        <w:t xml:space="preserve">curves </w:t>
      </w:r>
      <w:r w:rsidRPr="00E60F06">
        <w:rPr>
          <w:rFonts w:ascii="Arial Narrow" w:hAnsi="Arial Narrow"/>
          <w:b/>
          <w:sz w:val="20"/>
        </w:rPr>
        <w:t>of overall survival - KN-006</w:t>
      </w:r>
    </w:p>
    <w:p w:rsidR="007F78D0" w:rsidRPr="00E60F06" w:rsidRDefault="007F78D0" w:rsidP="007F78D0">
      <w:pPr>
        <w:keepNext/>
        <w:ind w:left="709"/>
      </w:pPr>
      <w:r w:rsidRPr="00E60F06">
        <w:rPr>
          <w:noProof/>
          <w:lang w:eastAsia="en-AU"/>
        </w:rPr>
        <w:drawing>
          <wp:inline distT="0" distB="0" distL="0" distR="0" wp14:anchorId="73B5F0F1" wp14:editId="25E93E52">
            <wp:extent cx="5095875" cy="3907808"/>
            <wp:effectExtent l="0" t="0" r="0" b="0"/>
            <wp:docPr id="14" name="Picture 14" title="Figure 1: Kaplan-Meier curves of overall survival - KN-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875" cy="3907808"/>
                    </a:xfrm>
                    <a:prstGeom prst="rect">
                      <a:avLst/>
                    </a:prstGeom>
                    <a:noFill/>
                    <a:ln>
                      <a:noFill/>
                    </a:ln>
                  </pic:spPr>
                </pic:pic>
              </a:graphicData>
            </a:graphic>
          </wp:inline>
        </w:drawing>
      </w:r>
    </w:p>
    <w:p w:rsidR="007F78D0" w:rsidRPr="00E60F06" w:rsidRDefault="005A37A0" w:rsidP="007F78D0">
      <w:pPr>
        <w:pStyle w:val="TableFooter"/>
        <w:keepNext/>
        <w:ind w:left="709"/>
      </w:pPr>
      <w:r w:rsidRPr="00E60F06">
        <w:t xml:space="preserve">Source: </w:t>
      </w:r>
      <w:r w:rsidR="007F78D0" w:rsidRPr="00E60F06">
        <w:t>Figure B.6-1, p63 of the submission</w:t>
      </w:r>
      <w:r w:rsidRPr="00E60F06">
        <w:t>.</w:t>
      </w:r>
    </w:p>
    <w:p w:rsidR="007F78D0" w:rsidRPr="00E60F06" w:rsidRDefault="007F78D0" w:rsidP="00B60939">
      <w:pPr>
        <w:rPr>
          <w:szCs w:val="22"/>
        </w:rPr>
      </w:pPr>
    </w:p>
    <w:p w:rsidR="007F78D0" w:rsidRPr="00E60F06" w:rsidRDefault="007F78D0" w:rsidP="007F78D0">
      <w:pPr>
        <w:keepNext/>
        <w:ind w:left="709"/>
      </w:pPr>
      <w:r w:rsidRPr="00E60F06">
        <w:rPr>
          <w:rFonts w:ascii="Arial Narrow" w:hAnsi="Arial Narrow"/>
          <w:b/>
          <w:sz w:val="20"/>
        </w:rPr>
        <w:t>Figure 2</w:t>
      </w:r>
      <w:r w:rsidR="005A37A0" w:rsidRPr="00E60F06">
        <w:rPr>
          <w:rFonts w:ascii="Arial Narrow" w:hAnsi="Arial Narrow"/>
          <w:b/>
          <w:sz w:val="20"/>
        </w:rPr>
        <w:t xml:space="preserve">: </w:t>
      </w:r>
      <w:r w:rsidRPr="00E60F06">
        <w:rPr>
          <w:rFonts w:ascii="Arial Narrow" w:hAnsi="Arial Narrow"/>
          <w:b/>
          <w:sz w:val="20"/>
        </w:rPr>
        <w:t xml:space="preserve">Kaplan-Meier </w:t>
      </w:r>
      <w:r w:rsidR="00275039" w:rsidRPr="00E60F06">
        <w:rPr>
          <w:rFonts w:ascii="Arial Narrow" w:hAnsi="Arial Narrow"/>
          <w:b/>
          <w:sz w:val="20"/>
        </w:rPr>
        <w:t xml:space="preserve">curves </w:t>
      </w:r>
      <w:r w:rsidRPr="00E60F06">
        <w:rPr>
          <w:rFonts w:ascii="Arial Narrow" w:hAnsi="Arial Narrow"/>
          <w:b/>
          <w:sz w:val="20"/>
        </w:rPr>
        <w:t>of</w:t>
      </w:r>
      <w:r w:rsidR="003168C6" w:rsidRPr="00E60F06">
        <w:rPr>
          <w:rFonts w:ascii="Arial Narrow" w:hAnsi="Arial Narrow"/>
          <w:b/>
          <w:sz w:val="20"/>
        </w:rPr>
        <w:t xml:space="preserve"> </w:t>
      </w:r>
      <w:r w:rsidRPr="00E60F06">
        <w:rPr>
          <w:rFonts w:ascii="Arial Narrow" w:hAnsi="Arial Narrow"/>
          <w:b/>
          <w:sz w:val="20"/>
        </w:rPr>
        <w:t>progression-free survival</w:t>
      </w:r>
      <w:r w:rsidR="00E20891" w:rsidRPr="00E60F06">
        <w:rPr>
          <w:rFonts w:ascii="Arial Narrow" w:hAnsi="Arial Narrow"/>
          <w:b/>
          <w:sz w:val="20"/>
        </w:rPr>
        <w:t xml:space="preserve"> - KN-006</w:t>
      </w:r>
    </w:p>
    <w:p w:rsidR="007F78D0" w:rsidRPr="00E60F06" w:rsidRDefault="007F78D0" w:rsidP="007F78D0">
      <w:pPr>
        <w:keepNext/>
        <w:ind w:left="709"/>
      </w:pPr>
      <w:r w:rsidRPr="00E60F06">
        <w:rPr>
          <w:noProof/>
          <w:snapToGrid/>
          <w:lang w:eastAsia="en-AU"/>
        </w:rPr>
        <w:drawing>
          <wp:inline distT="0" distB="0" distL="0" distR="0" wp14:anchorId="00089181" wp14:editId="63C2C0CD">
            <wp:extent cx="5134707" cy="4264270"/>
            <wp:effectExtent l="0" t="0" r="8890" b="3175"/>
            <wp:docPr id="17" name="Picture 1" title="Figure 1: Kaplan-Meier curves of overall survival - KN-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4124" cy="4263786"/>
                    </a:xfrm>
                    <a:prstGeom prst="rect">
                      <a:avLst/>
                    </a:prstGeom>
                    <a:noFill/>
                    <a:ln>
                      <a:noFill/>
                    </a:ln>
                  </pic:spPr>
                </pic:pic>
              </a:graphicData>
            </a:graphic>
          </wp:inline>
        </w:drawing>
      </w:r>
    </w:p>
    <w:p w:rsidR="007F78D0" w:rsidRPr="00E60F06" w:rsidRDefault="007F78D0" w:rsidP="007F78D0">
      <w:pPr>
        <w:pStyle w:val="TableFooter"/>
        <w:keepNext/>
        <w:ind w:left="709"/>
        <w:rPr>
          <w:szCs w:val="22"/>
        </w:rPr>
      </w:pPr>
      <w:r w:rsidRPr="00E60F06">
        <w:t>Source: Figure B.6-3, p67 of the submission</w:t>
      </w:r>
      <w:r w:rsidR="005A37A0" w:rsidRPr="00E60F06">
        <w:t>.</w:t>
      </w:r>
    </w:p>
    <w:p w:rsidR="007F78D0" w:rsidRPr="00E60F06" w:rsidRDefault="007F78D0" w:rsidP="00B60939">
      <w:pPr>
        <w:rPr>
          <w:szCs w:val="22"/>
        </w:rPr>
      </w:pPr>
    </w:p>
    <w:p w:rsidR="00FE128F" w:rsidRPr="00E60F06" w:rsidRDefault="008B14D3" w:rsidP="00423721">
      <w:pPr>
        <w:pStyle w:val="ListParagraph"/>
        <w:widowControl/>
        <w:numPr>
          <w:ilvl w:val="1"/>
          <w:numId w:val="3"/>
        </w:numPr>
        <w:rPr>
          <w:szCs w:val="22"/>
        </w:rPr>
      </w:pPr>
      <w:r w:rsidRPr="00E60F06">
        <w:t>Median overall survival had not been reached in any of the treatment groups at the time of analysis.</w:t>
      </w:r>
      <w:r w:rsidR="00D07C79" w:rsidRPr="00E60F06">
        <w:t xml:space="preserve">  </w:t>
      </w:r>
      <w:r w:rsidR="00463192" w:rsidRPr="00E60F06">
        <w:t>The statistical comparisons indicated significantly greater OS with both doses and the combined doses of pembrolizumab compared to ipilimumab.  While not displayed in the table above, there were no statistically significant differences between the two doses of pembrolizumab for OS.</w:t>
      </w:r>
    </w:p>
    <w:p w:rsidR="00FE128F" w:rsidRPr="00E60F06" w:rsidRDefault="00FE128F" w:rsidP="00FE128F">
      <w:pPr>
        <w:widowControl/>
        <w:rPr>
          <w:szCs w:val="22"/>
        </w:rPr>
      </w:pPr>
    </w:p>
    <w:p w:rsidR="00FE128F" w:rsidRPr="00E60F06" w:rsidRDefault="00463192" w:rsidP="00423721">
      <w:pPr>
        <w:pStyle w:val="ListParagraph"/>
        <w:widowControl/>
        <w:numPr>
          <w:ilvl w:val="1"/>
          <w:numId w:val="3"/>
        </w:numPr>
        <w:rPr>
          <w:szCs w:val="22"/>
        </w:rPr>
      </w:pPr>
      <w:r w:rsidRPr="00E60F06">
        <w:t>Progression-free survival results showed an absolute difference compared to ipilimumab of 2 months for the combined doses, 2.7 months for 1</w:t>
      </w:r>
      <w:r w:rsidR="0061061F" w:rsidRPr="00E60F06">
        <w:t>0</w:t>
      </w:r>
      <w:r w:rsidR="005A37A0" w:rsidRPr="00E60F06">
        <w:t> </w:t>
      </w:r>
      <w:r w:rsidR="0061061F" w:rsidRPr="00E60F06">
        <w:t>mg</w:t>
      </w:r>
      <w:r w:rsidRPr="00E60F06">
        <w:t>/kg Q2W and 1.3 months for the 1</w:t>
      </w:r>
      <w:r w:rsidR="005A37A0" w:rsidRPr="00E60F06">
        <w:t>0 </w:t>
      </w:r>
      <w:r w:rsidR="0061061F" w:rsidRPr="00E60F06">
        <w:t>mg</w:t>
      </w:r>
      <w:r w:rsidRPr="00E60F06">
        <w:t>/kg Q3W dose.  The hazard ratios indicate</w:t>
      </w:r>
      <w:r w:rsidR="005026B5" w:rsidRPr="00E60F06">
        <w:t>d</w:t>
      </w:r>
      <w:r w:rsidRPr="00E60F06">
        <w:t xml:space="preserve"> a statistically significant advantage over ipilimumab for both doses and the combined dose of pembrolizumab.  Results based on investigator assessment using irRC</w:t>
      </w:r>
      <w:r w:rsidR="00082870" w:rsidRPr="00E60F06">
        <w:t xml:space="preserve"> also found significant advantages for pembrolizumab, along with greater median months of PFS</w:t>
      </w:r>
      <w:r w:rsidR="001B571E" w:rsidRPr="00E60F06">
        <w:t xml:space="preserve"> (</w:t>
      </w:r>
      <w:r w:rsidR="00B10A9F" w:rsidRPr="00E60F06">
        <w:t>5.1</w:t>
      </w:r>
      <w:r w:rsidR="001B571E" w:rsidRPr="00E60F06">
        <w:t xml:space="preserve"> months for both pembrolizumab doses)</w:t>
      </w:r>
      <w:r w:rsidR="00082870" w:rsidRPr="00E60F06">
        <w:t xml:space="preserve"> than the primary results based on RECIST 1.1.</w:t>
      </w:r>
    </w:p>
    <w:p w:rsidR="001B571E" w:rsidRPr="00E60F06" w:rsidRDefault="001B571E" w:rsidP="001B571E">
      <w:pPr>
        <w:widowControl/>
        <w:rPr>
          <w:szCs w:val="22"/>
        </w:rPr>
      </w:pPr>
    </w:p>
    <w:p w:rsidR="001B571E" w:rsidRPr="00E60F06" w:rsidRDefault="001B571E" w:rsidP="00423721">
      <w:pPr>
        <w:pStyle w:val="ListParagraph"/>
        <w:widowControl/>
        <w:numPr>
          <w:ilvl w:val="1"/>
          <w:numId w:val="3"/>
        </w:numPr>
        <w:rPr>
          <w:szCs w:val="22"/>
        </w:rPr>
      </w:pPr>
      <w:r w:rsidRPr="00E60F06">
        <w:rPr>
          <w:szCs w:val="22"/>
        </w:rPr>
        <w:t>Results were very similar to those presented in February 2015 based on the September 2014 data cut</w:t>
      </w:r>
      <w:r w:rsidR="00891F0C" w:rsidRPr="00E60F06">
        <w:rPr>
          <w:szCs w:val="22"/>
        </w:rPr>
        <w:t xml:space="preserve"> – absolute </w:t>
      </w:r>
      <w:r w:rsidRPr="00E60F06">
        <w:rPr>
          <w:szCs w:val="22"/>
        </w:rPr>
        <w:t>difference</w:t>
      </w:r>
      <w:r w:rsidR="00F6049A" w:rsidRPr="00E60F06">
        <w:rPr>
          <w:szCs w:val="22"/>
        </w:rPr>
        <w:t>s</w:t>
      </w:r>
      <w:r w:rsidRPr="00E60F06">
        <w:rPr>
          <w:szCs w:val="22"/>
        </w:rPr>
        <w:t xml:space="preserve"> in median months of PFS </w:t>
      </w:r>
      <w:r w:rsidR="005A37A0" w:rsidRPr="00E60F06">
        <w:rPr>
          <w:szCs w:val="22"/>
        </w:rPr>
        <w:t>we</w:t>
      </w:r>
      <w:r w:rsidRPr="00E60F06">
        <w:rPr>
          <w:szCs w:val="22"/>
        </w:rPr>
        <w:t xml:space="preserve">re the same across groups (2.7 months for pembrolizumab Q2W and 1.3 months for Q3W) and median OS </w:t>
      </w:r>
      <w:r w:rsidR="00D83507" w:rsidRPr="00E60F06">
        <w:rPr>
          <w:szCs w:val="22"/>
        </w:rPr>
        <w:t>w</w:t>
      </w:r>
      <w:r w:rsidRPr="00E60F06">
        <w:rPr>
          <w:szCs w:val="22"/>
        </w:rPr>
        <w:t xml:space="preserve">as not reached.  The point estimates for the hazard ratios </w:t>
      </w:r>
      <w:r w:rsidR="005A37A0" w:rsidRPr="00E60F06">
        <w:rPr>
          <w:szCs w:val="22"/>
        </w:rPr>
        <w:t>did change</w:t>
      </w:r>
      <w:r w:rsidRPr="00E60F06">
        <w:rPr>
          <w:szCs w:val="22"/>
        </w:rPr>
        <w:t xml:space="preserve"> slightly, but all comparisons showed a statistically significant advantage for pembrolizumab.</w:t>
      </w:r>
    </w:p>
    <w:p w:rsidR="00463192" w:rsidRPr="00E60F06" w:rsidRDefault="00463192" w:rsidP="00463192">
      <w:pPr>
        <w:widowControl/>
        <w:rPr>
          <w:szCs w:val="22"/>
        </w:rPr>
      </w:pPr>
    </w:p>
    <w:p w:rsidR="00463192" w:rsidRPr="00E60F06" w:rsidRDefault="00685B27" w:rsidP="00423721">
      <w:pPr>
        <w:pStyle w:val="ListParagraph"/>
        <w:widowControl/>
        <w:numPr>
          <w:ilvl w:val="1"/>
          <w:numId w:val="3"/>
        </w:numPr>
        <w:rPr>
          <w:szCs w:val="22"/>
        </w:rPr>
      </w:pPr>
      <w:r w:rsidRPr="00E60F06">
        <w:rPr>
          <w:szCs w:val="22"/>
        </w:rPr>
        <w:t>The table below provides results for the quality of life scales used in KN-006,</w:t>
      </w:r>
      <w:r w:rsidR="005A37A0" w:rsidRPr="00E60F06">
        <w:rPr>
          <w:szCs w:val="22"/>
        </w:rPr>
        <w:t xml:space="preserve"> EORTC-QLQ-C30 and EQ-5D.</w:t>
      </w:r>
    </w:p>
    <w:p w:rsidR="00FE128F" w:rsidRPr="00E60F06" w:rsidRDefault="00FE128F" w:rsidP="00B60939">
      <w:pPr>
        <w:rPr>
          <w:szCs w:val="22"/>
        </w:rPr>
      </w:pPr>
    </w:p>
    <w:p w:rsidR="003728B3" w:rsidRPr="00E60F06" w:rsidRDefault="003728B3" w:rsidP="00685B27">
      <w:pPr>
        <w:ind w:left="709"/>
      </w:pPr>
      <w:r w:rsidRPr="00E60F06">
        <w:rPr>
          <w:rFonts w:ascii="Arial Narrow" w:hAnsi="Arial Narrow"/>
          <w:b/>
          <w:sz w:val="20"/>
        </w:rPr>
        <w:t xml:space="preserve">Table </w:t>
      </w:r>
      <w:r w:rsidR="00163818" w:rsidRPr="00E60F06">
        <w:rPr>
          <w:rFonts w:ascii="Arial Narrow" w:hAnsi="Arial Narrow"/>
          <w:b/>
          <w:sz w:val="20"/>
        </w:rPr>
        <w:t>5</w:t>
      </w:r>
      <w:r w:rsidR="00F6049A" w:rsidRPr="00E60F06">
        <w:rPr>
          <w:rFonts w:ascii="Arial Narrow" w:hAnsi="Arial Narrow"/>
          <w:b/>
          <w:sz w:val="20"/>
        </w:rPr>
        <w:t xml:space="preserve">: </w:t>
      </w:r>
      <w:r w:rsidRPr="00E60F06">
        <w:rPr>
          <w:rFonts w:ascii="Arial Narrow" w:hAnsi="Arial Narrow"/>
          <w:b/>
          <w:sz w:val="20"/>
        </w:rPr>
        <w:t>EORTC-QLQ-C30 and EQ-5D results in KN-006</w:t>
      </w:r>
    </w:p>
    <w:tbl>
      <w:tblPr>
        <w:tblStyle w:val="TableGrid"/>
        <w:tblW w:w="8363" w:type="dxa"/>
        <w:tblInd w:w="794" w:type="dxa"/>
        <w:tblLayout w:type="fixed"/>
        <w:tblCellMar>
          <w:left w:w="85" w:type="dxa"/>
          <w:right w:w="85" w:type="dxa"/>
        </w:tblCellMar>
        <w:tblLook w:val="04A0" w:firstRow="1" w:lastRow="0" w:firstColumn="1" w:lastColumn="0" w:noHBand="0" w:noVBand="1"/>
        <w:tblCaption w:val="Table 5: EORTC-QLQ-C30 and EQ-5D results in KN-006"/>
      </w:tblPr>
      <w:tblGrid>
        <w:gridCol w:w="1809"/>
        <w:gridCol w:w="476"/>
        <w:gridCol w:w="1117"/>
        <w:gridCol w:w="567"/>
        <w:gridCol w:w="1134"/>
        <w:gridCol w:w="567"/>
        <w:gridCol w:w="2693"/>
      </w:tblGrid>
      <w:tr w:rsidR="003728B3" w:rsidRPr="00E60F06" w:rsidTr="00685B27">
        <w:trPr>
          <w:tblHeader/>
        </w:trPr>
        <w:tc>
          <w:tcPr>
            <w:tcW w:w="1809" w:type="dxa"/>
            <w:vAlign w:val="center"/>
          </w:tcPr>
          <w:p w:rsidR="003728B3" w:rsidRPr="00E60F06" w:rsidRDefault="003728B3" w:rsidP="003728B3">
            <w:pPr>
              <w:jc w:val="left"/>
              <w:rPr>
                <w:rFonts w:ascii="Arial Narrow" w:hAnsi="Arial Narrow"/>
                <w:b/>
                <w:sz w:val="20"/>
              </w:rPr>
            </w:pPr>
          </w:p>
        </w:tc>
        <w:tc>
          <w:tcPr>
            <w:tcW w:w="476" w:type="dxa"/>
            <w:vAlign w:val="center"/>
          </w:tcPr>
          <w:p w:rsidR="003728B3" w:rsidRPr="00E60F06" w:rsidRDefault="003728B3" w:rsidP="003728B3">
            <w:pPr>
              <w:jc w:val="center"/>
              <w:rPr>
                <w:rFonts w:ascii="Arial Narrow" w:hAnsi="Arial Narrow"/>
                <w:b/>
                <w:sz w:val="20"/>
              </w:rPr>
            </w:pPr>
            <w:r w:rsidRPr="00E60F06">
              <w:rPr>
                <w:rFonts w:ascii="Arial Narrow" w:hAnsi="Arial Narrow"/>
                <w:b/>
                <w:sz w:val="19"/>
                <w:szCs w:val="19"/>
              </w:rPr>
              <w:t>N</w:t>
            </w:r>
          </w:p>
        </w:tc>
        <w:tc>
          <w:tcPr>
            <w:tcW w:w="1117" w:type="dxa"/>
            <w:vAlign w:val="center"/>
          </w:tcPr>
          <w:p w:rsidR="003728B3" w:rsidRPr="00E60F06" w:rsidRDefault="003728B3" w:rsidP="003728B3">
            <w:pPr>
              <w:jc w:val="center"/>
              <w:rPr>
                <w:rFonts w:ascii="Arial Narrow" w:hAnsi="Arial Narrow"/>
                <w:b/>
                <w:sz w:val="20"/>
              </w:rPr>
            </w:pPr>
            <w:r w:rsidRPr="00E60F06">
              <w:rPr>
                <w:rFonts w:ascii="Arial Narrow" w:hAnsi="Arial Narrow"/>
                <w:b/>
                <w:sz w:val="19"/>
                <w:szCs w:val="19"/>
              </w:rPr>
              <w:t>Baseline mean (SD)</w:t>
            </w:r>
          </w:p>
        </w:tc>
        <w:tc>
          <w:tcPr>
            <w:tcW w:w="567" w:type="dxa"/>
            <w:vAlign w:val="center"/>
          </w:tcPr>
          <w:p w:rsidR="003728B3" w:rsidRPr="00E60F06" w:rsidRDefault="003728B3" w:rsidP="003728B3">
            <w:pPr>
              <w:jc w:val="center"/>
              <w:rPr>
                <w:rFonts w:ascii="Arial Narrow" w:hAnsi="Arial Narrow"/>
                <w:b/>
                <w:sz w:val="20"/>
              </w:rPr>
            </w:pPr>
            <w:r w:rsidRPr="00E60F06">
              <w:rPr>
                <w:rFonts w:ascii="Arial Narrow" w:hAnsi="Arial Narrow"/>
                <w:b/>
                <w:sz w:val="19"/>
                <w:szCs w:val="19"/>
              </w:rPr>
              <w:t>N</w:t>
            </w:r>
          </w:p>
        </w:tc>
        <w:tc>
          <w:tcPr>
            <w:tcW w:w="1134" w:type="dxa"/>
            <w:vAlign w:val="center"/>
          </w:tcPr>
          <w:p w:rsidR="003728B3" w:rsidRPr="00E60F06" w:rsidRDefault="003728B3" w:rsidP="003728B3">
            <w:pPr>
              <w:jc w:val="center"/>
              <w:rPr>
                <w:rFonts w:ascii="Arial Narrow" w:hAnsi="Arial Narrow"/>
                <w:b/>
                <w:sz w:val="20"/>
              </w:rPr>
            </w:pPr>
            <w:r w:rsidRPr="00E60F06">
              <w:rPr>
                <w:rFonts w:ascii="Arial Narrow" w:hAnsi="Arial Narrow"/>
                <w:b/>
                <w:sz w:val="19"/>
                <w:szCs w:val="19"/>
              </w:rPr>
              <w:t>Week 12 mean (SD)</w:t>
            </w:r>
          </w:p>
        </w:tc>
        <w:tc>
          <w:tcPr>
            <w:tcW w:w="567" w:type="dxa"/>
            <w:vAlign w:val="center"/>
          </w:tcPr>
          <w:p w:rsidR="003728B3" w:rsidRPr="00E60F06" w:rsidRDefault="003728B3" w:rsidP="003728B3">
            <w:pPr>
              <w:jc w:val="center"/>
              <w:rPr>
                <w:rFonts w:ascii="Arial Narrow" w:hAnsi="Arial Narrow"/>
                <w:b/>
                <w:sz w:val="19"/>
                <w:szCs w:val="19"/>
              </w:rPr>
            </w:pPr>
            <w:r w:rsidRPr="00E60F06">
              <w:rPr>
                <w:rFonts w:ascii="Arial Narrow" w:hAnsi="Arial Narrow"/>
                <w:b/>
                <w:sz w:val="19"/>
                <w:szCs w:val="19"/>
              </w:rPr>
              <w:t>N</w:t>
            </w:r>
          </w:p>
        </w:tc>
        <w:tc>
          <w:tcPr>
            <w:tcW w:w="2693" w:type="dxa"/>
            <w:vAlign w:val="center"/>
          </w:tcPr>
          <w:p w:rsidR="00685B27" w:rsidRPr="00E60F06" w:rsidRDefault="003728B3" w:rsidP="003728B3">
            <w:pPr>
              <w:jc w:val="center"/>
              <w:rPr>
                <w:rFonts w:ascii="Arial Narrow" w:hAnsi="Arial Narrow"/>
                <w:b/>
                <w:sz w:val="19"/>
                <w:szCs w:val="19"/>
              </w:rPr>
            </w:pPr>
            <w:r w:rsidRPr="00E60F06">
              <w:rPr>
                <w:rFonts w:ascii="Arial Narrow" w:hAnsi="Arial Narrow"/>
                <w:b/>
                <w:sz w:val="19"/>
                <w:szCs w:val="19"/>
              </w:rPr>
              <w:t xml:space="preserve">Change from baseline </w:t>
            </w:r>
          </w:p>
          <w:p w:rsidR="003728B3" w:rsidRPr="00E60F06" w:rsidRDefault="003728B3" w:rsidP="00F6049A">
            <w:pPr>
              <w:jc w:val="center"/>
              <w:rPr>
                <w:rFonts w:ascii="Arial Narrow" w:hAnsi="Arial Narrow"/>
                <w:b/>
                <w:sz w:val="19"/>
                <w:szCs w:val="19"/>
              </w:rPr>
            </w:pPr>
            <w:r w:rsidRPr="00E60F06">
              <w:rPr>
                <w:rFonts w:ascii="Arial Narrow" w:hAnsi="Arial Narrow"/>
                <w:b/>
                <w:sz w:val="19"/>
                <w:szCs w:val="19"/>
              </w:rPr>
              <w:t xml:space="preserve">LS </w:t>
            </w:r>
            <w:r w:rsidR="00F6049A" w:rsidRPr="00E60F06">
              <w:rPr>
                <w:rFonts w:ascii="Arial Narrow" w:hAnsi="Arial Narrow"/>
                <w:b/>
                <w:sz w:val="19"/>
                <w:szCs w:val="19"/>
              </w:rPr>
              <w:t>m</w:t>
            </w:r>
            <w:r w:rsidRPr="00E60F06">
              <w:rPr>
                <w:rFonts w:ascii="Arial Narrow" w:hAnsi="Arial Narrow"/>
                <w:b/>
                <w:sz w:val="19"/>
                <w:szCs w:val="19"/>
              </w:rPr>
              <w:t>ean (95% CI)</w:t>
            </w:r>
          </w:p>
        </w:tc>
      </w:tr>
      <w:tr w:rsidR="003728B3" w:rsidRPr="00E60F06" w:rsidTr="00685B27">
        <w:tc>
          <w:tcPr>
            <w:tcW w:w="8363" w:type="dxa"/>
            <w:gridSpan w:val="7"/>
            <w:vAlign w:val="center"/>
          </w:tcPr>
          <w:p w:rsidR="003728B3" w:rsidRPr="00E60F06" w:rsidRDefault="003728B3" w:rsidP="003728B3">
            <w:pPr>
              <w:jc w:val="left"/>
              <w:rPr>
                <w:rFonts w:ascii="Arial Narrow" w:hAnsi="Arial Narrow"/>
                <w:b/>
                <w:sz w:val="19"/>
                <w:szCs w:val="19"/>
              </w:rPr>
            </w:pPr>
            <w:r w:rsidRPr="00E60F06">
              <w:rPr>
                <w:rFonts w:ascii="Arial Narrow" w:hAnsi="Arial Narrow"/>
                <w:b/>
                <w:sz w:val="19"/>
                <w:szCs w:val="19"/>
              </w:rPr>
              <w:t>EORTC-QLQ-C30</w:t>
            </w:r>
          </w:p>
        </w:tc>
      </w:tr>
      <w:tr w:rsidR="003728B3" w:rsidRPr="00E60F06" w:rsidTr="00685B27">
        <w:tc>
          <w:tcPr>
            <w:tcW w:w="1809" w:type="dxa"/>
            <w:vAlign w:val="center"/>
          </w:tcPr>
          <w:p w:rsidR="003728B3" w:rsidRPr="00E60F06" w:rsidRDefault="003728B3" w:rsidP="00ED4CE5">
            <w:pPr>
              <w:jc w:val="left"/>
              <w:rPr>
                <w:rFonts w:ascii="Arial Narrow" w:hAnsi="Arial Narrow"/>
                <w:sz w:val="19"/>
                <w:szCs w:val="19"/>
              </w:rPr>
            </w:pPr>
            <w:r w:rsidRPr="00E60F06">
              <w:rPr>
                <w:rFonts w:ascii="Arial Narrow" w:hAnsi="Arial Narrow"/>
                <w:sz w:val="19"/>
                <w:szCs w:val="19"/>
              </w:rPr>
              <w:t xml:space="preserve">Ipi </w:t>
            </w:r>
            <w:r w:rsidR="00502545" w:rsidRPr="00E60F06">
              <w:rPr>
                <w:rFonts w:ascii="Arial Narrow" w:hAnsi="Arial Narrow"/>
                <w:sz w:val="19"/>
                <w:szCs w:val="19"/>
              </w:rPr>
              <w:t>3</w:t>
            </w:r>
            <w:r w:rsidR="00ED4CE5" w:rsidRPr="00E60F06">
              <w:rPr>
                <w:rFonts w:ascii="Arial Narrow" w:hAnsi="Arial Narrow"/>
                <w:sz w:val="19"/>
                <w:szCs w:val="19"/>
              </w:rPr>
              <w:t> </w:t>
            </w:r>
            <w:r w:rsidR="00502545" w:rsidRPr="00E60F06">
              <w:rPr>
                <w:rFonts w:ascii="Arial Narrow" w:hAnsi="Arial Narrow"/>
                <w:sz w:val="19"/>
                <w:szCs w:val="19"/>
              </w:rPr>
              <w:t>mg</w:t>
            </w:r>
            <w:r w:rsidRPr="00E60F06">
              <w:rPr>
                <w:rFonts w:ascii="Arial Narrow" w:hAnsi="Arial Narrow"/>
                <w:sz w:val="19"/>
                <w:szCs w:val="19"/>
              </w:rPr>
              <w:t>/kg Q3W</w:t>
            </w:r>
          </w:p>
        </w:tc>
        <w:tc>
          <w:tcPr>
            <w:tcW w:w="476"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211</w:t>
            </w:r>
          </w:p>
        </w:tc>
        <w:tc>
          <w:tcPr>
            <w:tcW w:w="111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67.3 (24.0)</w:t>
            </w:r>
          </w:p>
        </w:tc>
        <w:tc>
          <w:tcPr>
            <w:tcW w:w="56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148</w:t>
            </w:r>
          </w:p>
        </w:tc>
        <w:tc>
          <w:tcPr>
            <w:tcW w:w="1134"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64.5 (25.6)</w:t>
            </w:r>
          </w:p>
        </w:tc>
        <w:tc>
          <w:tcPr>
            <w:tcW w:w="56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131</w:t>
            </w:r>
          </w:p>
        </w:tc>
        <w:tc>
          <w:tcPr>
            <w:tcW w:w="2693"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-9.9 (-13.01, -6.72)</w:t>
            </w:r>
          </w:p>
        </w:tc>
      </w:tr>
      <w:tr w:rsidR="003728B3" w:rsidRPr="00E60F06" w:rsidTr="00685B27">
        <w:tc>
          <w:tcPr>
            <w:tcW w:w="1809" w:type="dxa"/>
            <w:vAlign w:val="center"/>
          </w:tcPr>
          <w:p w:rsidR="003728B3" w:rsidRPr="00E60F06" w:rsidRDefault="003728B3" w:rsidP="005A37A0">
            <w:pPr>
              <w:jc w:val="left"/>
              <w:rPr>
                <w:rFonts w:ascii="Arial Narrow" w:hAnsi="Arial Narrow"/>
                <w:sz w:val="19"/>
                <w:szCs w:val="19"/>
              </w:rPr>
            </w:pPr>
            <w:r w:rsidRPr="00E60F06">
              <w:rPr>
                <w:rFonts w:ascii="Arial Narrow" w:hAnsi="Arial Narrow"/>
                <w:sz w:val="19"/>
                <w:szCs w:val="19"/>
              </w:rPr>
              <w:t>Pembro 1</w:t>
            </w:r>
            <w:r w:rsidR="0061061F" w:rsidRPr="00E60F06">
              <w:rPr>
                <w:rFonts w:ascii="Arial Narrow" w:hAnsi="Arial Narrow"/>
                <w:sz w:val="19"/>
                <w:szCs w:val="19"/>
              </w:rPr>
              <w:t>0</w:t>
            </w:r>
            <w:r w:rsidR="005A37A0" w:rsidRPr="00E60F06">
              <w:rPr>
                <w:rFonts w:ascii="Arial Narrow" w:hAnsi="Arial Narrow"/>
                <w:sz w:val="19"/>
                <w:szCs w:val="19"/>
              </w:rPr>
              <w:t> </w:t>
            </w:r>
            <w:r w:rsidR="0061061F" w:rsidRPr="00E60F06">
              <w:rPr>
                <w:rFonts w:ascii="Arial Narrow" w:hAnsi="Arial Narrow"/>
                <w:sz w:val="19"/>
                <w:szCs w:val="19"/>
              </w:rPr>
              <w:t>mg</w:t>
            </w:r>
            <w:r w:rsidRPr="00E60F06">
              <w:rPr>
                <w:rFonts w:ascii="Arial Narrow" w:hAnsi="Arial Narrow"/>
                <w:sz w:val="19"/>
                <w:szCs w:val="19"/>
              </w:rPr>
              <w:t>/kg Q2W</w:t>
            </w:r>
          </w:p>
        </w:tc>
        <w:tc>
          <w:tcPr>
            <w:tcW w:w="476"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239</w:t>
            </w:r>
          </w:p>
        </w:tc>
        <w:tc>
          <w:tcPr>
            <w:tcW w:w="111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71.4 (20.4)</w:t>
            </w:r>
          </w:p>
        </w:tc>
        <w:tc>
          <w:tcPr>
            <w:tcW w:w="56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172</w:t>
            </w:r>
          </w:p>
        </w:tc>
        <w:tc>
          <w:tcPr>
            <w:tcW w:w="1134"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71.1 (19.3)</w:t>
            </w:r>
          </w:p>
        </w:tc>
        <w:tc>
          <w:tcPr>
            <w:tcW w:w="56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159</w:t>
            </w:r>
          </w:p>
        </w:tc>
        <w:tc>
          <w:tcPr>
            <w:tcW w:w="2693"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-2.3 (-5.21, 0.62)</w:t>
            </w:r>
          </w:p>
        </w:tc>
      </w:tr>
      <w:tr w:rsidR="003728B3" w:rsidRPr="00E60F06" w:rsidTr="00685B27">
        <w:tc>
          <w:tcPr>
            <w:tcW w:w="1809" w:type="dxa"/>
            <w:vAlign w:val="center"/>
          </w:tcPr>
          <w:p w:rsidR="003728B3" w:rsidRPr="00E60F06" w:rsidRDefault="003728B3" w:rsidP="003728B3">
            <w:pPr>
              <w:jc w:val="left"/>
              <w:rPr>
                <w:rFonts w:ascii="Arial Narrow" w:hAnsi="Arial Narrow"/>
                <w:sz w:val="19"/>
                <w:szCs w:val="19"/>
              </w:rPr>
            </w:pPr>
            <w:r w:rsidRPr="00E60F06">
              <w:rPr>
                <w:rFonts w:ascii="Arial Narrow" w:hAnsi="Arial Narrow"/>
                <w:sz w:val="19"/>
                <w:szCs w:val="19"/>
              </w:rPr>
              <w:t>Pembro 1</w:t>
            </w:r>
            <w:r w:rsidR="005A37A0" w:rsidRPr="00E60F06">
              <w:rPr>
                <w:rFonts w:ascii="Arial Narrow" w:hAnsi="Arial Narrow"/>
                <w:sz w:val="19"/>
                <w:szCs w:val="19"/>
              </w:rPr>
              <w:t>0 </w:t>
            </w:r>
            <w:r w:rsidR="0061061F" w:rsidRPr="00E60F06">
              <w:rPr>
                <w:rFonts w:ascii="Arial Narrow" w:hAnsi="Arial Narrow"/>
                <w:sz w:val="19"/>
                <w:szCs w:val="19"/>
              </w:rPr>
              <w:t>mg</w:t>
            </w:r>
            <w:r w:rsidRPr="00E60F06">
              <w:rPr>
                <w:rFonts w:ascii="Arial Narrow" w:hAnsi="Arial Narrow"/>
                <w:sz w:val="19"/>
                <w:szCs w:val="19"/>
              </w:rPr>
              <w:t>/kg Q3W</w:t>
            </w:r>
          </w:p>
        </w:tc>
        <w:tc>
          <w:tcPr>
            <w:tcW w:w="476"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228</w:t>
            </w:r>
          </w:p>
        </w:tc>
        <w:tc>
          <w:tcPr>
            <w:tcW w:w="111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70.9 (21.6)</w:t>
            </w:r>
          </w:p>
        </w:tc>
        <w:tc>
          <w:tcPr>
            <w:tcW w:w="56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187</w:t>
            </w:r>
          </w:p>
        </w:tc>
        <w:tc>
          <w:tcPr>
            <w:tcW w:w="1134"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69.5 (22.4)</w:t>
            </w:r>
          </w:p>
        </w:tc>
        <w:tc>
          <w:tcPr>
            <w:tcW w:w="56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168</w:t>
            </w:r>
          </w:p>
        </w:tc>
        <w:tc>
          <w:tcPr>
            <w:tcW w:w="2693"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-2.6 (-5.44, 0.23)</w:t>
            </w:r>
          </w:p>
        </w:tc>
      </w:tr>
      <w:tr w:rsidR="003728B3" w:rsidRPr="00E60F06" w:rsidTr="00685B27">
        <w:tc>
          <w:tcPr>
            <w:tcW w:w="5103" w:type="dxa"/>
            <w:gridSpan w:val="5"/>
            <w:vAlign w:val="center"/>
          </w:tcPr>
          <w:p w:rsidR="003728B3" w:rsidRPr="00E60F06" w:rsidRDefault="003728B3" w:rsidP="003728B3">
            <w:pPr>
              <w:jc w:val="left"/>
              <w:rPr>
                <w:rFonts w:ascii="Arial Narrow" w:hAnsi="Arial Narrow"/>
                <w:b/>
                <w:sz w:val="19"/>
                <w:szCs w:val="19"/>
              </w:rPr>
            </w:pPr>
            <w:r w:rsidRPr="00E60F06">
              <w:rPr>
                <w:rFonts w:ascii="Arial Narrow" w:hAnsi="Arial Narrow"/>
                <w:b/>
                <w:sz w:val="19"/>
                <w:szCs w:val="19"/>
              </w:rPr>
              <w:t>Pairwise comparison - EORTC-QLQ-C30</w:t>
            </w:r>
          </w:p>
        </w:tc>
        <w:tc>
          <w:tcPr>
            <w:tcW w:w="567" w:type="dxa"/>
            <w:vAlign w:val="center"/>
          </w:tcPr>
          <w:p w:rsidR="003728B3" w:rsidRPr="00E60F06" w:rsidRDefault="003728B3" w:rsidP="003728B3">
            <w:pPr>
              <w:jc w:val="center"/>
              <w:rPr>
                <w:rFonts w:ascii="Arial Narrow" w:hAnsi="Arial Narrow"/>
                <w:b/>
                <w:sz w:val="19"/>
                <w:szCs w:val="19"/>
              </w:rPr>
            </w:pPr>
          </w:p>
        </w:tc>
        <w:tc>
          <w:tcPr>
            <w:tcW w:w="2693" w:type="dxa"/>
            <w:vAlign w:val="center"/>
          </w:tcPr>
          <w:p w:rsidR="003728B3" w:rsidRPr="00E60F06" w:rsidRDefault="003728B3" w:rsidP="003728B3">
            <w:pPr>
              <w:jc w:val="center"/>
              <w:rPr>
                <w:rFonts w:ascii="Arial Narrow" w:hAnsi="Arial Narrow"/>
                <w:b/>
                <w:sz w:val="19"/>
                <w:szCs w:val="19"/>
              </w:rPr>
            </w:pPr>
            <w:r w:rsidRPr="00E60F06">
              <w:rPr>
                <w:rFonts w:ascii="Arial Narrow" w:hAnsi="Arial Narrow"/>
                <w:b/>
                <w:sz w:val="19"/>
                <w:szCs w:val="19"/>
              </w:rPr>
              <w:t>Difference in LS means (95% CI)</w:t>
            </w:r>
          </w:p>
        </w:tc>
      </w:tr>
      <w:tr w:rsidR="003728B3" w:rsidRPr="00E60F06" w:rsidTr="00685B27">
        <w:tc>
          <w:tcPr>
            <w:tcW w:w="5670" w:type="dxa"/>
            <w:gridSpan w:val="6"/>
            <w:vAlign w:val="center"/>
          </w:tcPr>
          <w:p w:rsidR="003728B3" w:rsidRPr="00E60F06" w:rsidRDefault="003728B3" w:rsidP="003728B3">
            <w:pPr>
              <w:jc w:val="left"/>
              <w:rPr>
                <w:rFonts w:ascii="Arial Narrow" w:hAnsi="Arial Narrow"/>
                <w:sz w:val="19"/>
                <w:szCs w:val="19"/>
              </w:rPr>
            </w:pPr>
            <w:r w:rsidRPr="00E60F06">
              <w:rPr>
                <w:rFonts w:ascii="Arial Narrow" w:hAnsi="Arial Narrow"/>
                <w:sz w:val="19"/>
                <w:szCs w:val="19"/>
              </w:rPr>
              <w:t>Pembro 1</w:t>
            </w:r>
            <w:r w:rsidR="005A37A0" w:rsidRPr="00E60F06">
              <w:rPr>
                <w:rFonts w:ascii="Arial Narrow" w:hAnsi="Arial Narrow"/>
                <w:sz w:val="19"/>
                <w:szCs w:val="19"/>
              </w:rPr>
              <w:t>0 </w:t>
            </w:r>
            <w:r w:rsidR="0061061F" w:rsidRPr="00E60F06">
              <w:rPr>
                <w:rFonts w:ascii="Arial Narrow" w:hAnsi="Arial Narrow"/>
                <w:sz w:val="19"/>
                <w:szCs w:val="19"/>
              </w:rPr>
              <w:t>mg</w:t>
            </w:r>
            <w:r w:rsidRPr="00E60F06">
              <w:rPr>
                <w:rFonts w:ascii="Arial Narrow" w:hAnsi="Arial Narrow"/>
                <w:sz w:val="19"/>
                <w:szCs w:val="19"/>
              </w:rPr>
              <w:t>/kg Q2W vs. Q3W</w:t>
            </w:r>
          </w:p>
        </w:tc>
        <w:tc>
          <w:tcPr>
            <w:tcW w:w="2693"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-0.03 (-4.26, 3.63)</w:t>
            </w:r>
          </w:p>
        </w:tc>
      </w:tr>
      <w:tr w:rsidR="003728B3" w:rsidRPr="00E60F06" w:rsidTr="00685B27">
        <w:tc>
          <w:tcPr>
            <w:tcW w:w="5670" w:type="dxa"/>
            <w:gridSpan w:val="6"/>
            <w:vAlign w:val="center"/>
          </w:tcPr>
          <w:p w:rsidR="003728B3" w:rsidRPr="00E60F06" w:rsidRDefault="003728B3" w:rsidP="003728B3">
            <w:pPr>
              <w:jc w:val="left"/>
              <w:rPr>
                <w:rFonts w:ascii="Arial Narrow" w:hAnsi="Arial Narrow"/>
                <w:sz w:val="19"/>
                <w:szCs w:val="19"/>
              </w:rPr>
            </w:pPr>
            <w:r w:rsidRPr="00E60F06">
              <w:rPr>
                <w:rFonts w:ascii="Arial Narrow" w:hAnsi="Arial Narrow"/>
                <w:sz w:val="19"/>
                <w:szCs w:val="19"/>
              </w:rPr>
              <w:t>Pembro 1</w:t>
            </w:r>
            <w:r w:rsidR="005A37A0" w:rsidRPr="00E60F06">
              <w:rPr>
                <w:rFonts w:ascii="Arial Narrow" w:hAnsi="Arial Narrow"/>
                <w:sz w:val="19"/>
                <w:szCs w:val="19"/>
              </w:rPr>
              <w:t>0 </w:t>
            </w:r>
            <w:r w:rsidR="0061061F" w:rsidRPr="00E60F06">
              <w:rPr>
                <w:rFonts w:ascii="Arial Narrow" w:hAnsi="Arial Narrow"/>
                <w:sz w:val="19"/>
                <w:szCs w:val="19"/>
              </w:rPr>
              <w:t>mg</w:t>
            </w:r>
            <w:r w:rsidRPr="00E60F06">
              <w:rPr>
                <w:rFonts w:ascii="Arial Narrow" w:hAnsi="Arial Narrow"/>
                <w:sz w:val="19"/>
                <w:szCs w:val="19"/>
              </w:rPr>
              <w:t xml:space="preserve">/kg Q2W vs. ipi </w:t>
            </w:r>
            <w:r w:rsidR="005A37A0" w:rsidRPr="00E60F06">
              <w:rPr>
                <w:rFonts w:ascii="Arial Narrow" w:hAnsi="Arial Narrow"/>
                <w:sz w:val="19"/>
                <w:szCs w:val="19"/>
              </w:rPr>
              <w:t>3 </w:t>
            </w:r>
            <w:r w:rsidR="00502545" w:rsidRPr="00E60F06">
              <w:rPr>
                <w:rFonts w:ascii="Arial Narrow" w:hAnsi="Arial Narrow"/>
                <w:sz w:val="19"/>
                <w:szCs w:val="19"/>
              </w:rPr>
              <w:t>mg</w:t>
            </w:r>
            <w:r w:rsidRPr="00E60F06">
              <w:rPr>
                <w:rFonts w:ascii="Arial Narrow" w:hAnsi="Arial Narrow"/>
                <w:sz w:val="19"/>
                <w:szCs w:val="19"/>
              </w:rPr>
              <w:t>/kg Q3W</w:t>
            </w:r>
          </w:p>
        </w:tc>
        <w:tc>
          <w:tcPr>
            <w:tcW w:w="2693"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7.6 (3.40, 11.75)</w:t>
            </w:r>
          </w:p>
        </w:tc>
      </w:tr>
      <w:tr w:rsidR="003728B3" w:rsidRPr="00E60F06" w:rsidTr="00685B27">
        <w:tc>
          <w:tcPr>
            <w:tcW w:w="5670" w:type="dxa"/>
            <w:gridSpan w:val="6"/>
            <w:vAlign w:val="center"/>
          </w:tcPr>
          <w:p w:rsidR="003728B3" w:rsidRPr="00E60F06" w:rsidRDefault="003728B3" w:rsidP="003728B3">
            <w:pPr>
              <w:jc w:val="left"/>
              <w:rPr>
                <w:rFonts w:ascii="Arial Narrow" w:hAnsi="Arial Narrow"/>
                <w:sz w:val="19"/>
                <w:szCs w:val="19"/>
              </w:rPr>
            </w:pPr>
            <w:r w:rsidRPr="00E60F06">
              <w:rPr>
                <w:rFonts w:ascii="Arial Narrow" w:hAnsi="Arial Narrow"/>
                <w:sz w:val="19"/>
                <w:szCs w:val="19"/>
              </w:rPr>
              <w:t>Pembro 1</w:t>
            </w:r>
            <w:r w:rsidR="005A37A0" w:rsidRPr="00E60F06">
              <w:rPr>
                <w:rFonts w:ascii="Arial Narrow" w:hAnsi="Arial Narrow"/>
                <w:sz w:val="19"/>
                <w:szCs w:val="19"/>
              </w:rPr>
              <w:t>0 </w:t>
            </w:r>
            <w:r w:rsidR="0061061F" w:rsidRPr="00E60F06">
              <w:rPr>
                <w:rFonts w:ascii="Arial Narrow" w:hAnsi="Arial Narrow"/>
                <w:sz w:val="19"/>
                <w:szCs w:val="19"/>
              </w:rPr>
              <w:t>mg</w:t>
            </w:r>
            <w:r w:rsidRPr="00E60F06">
              <w:rPr>
                <w:rFonts w:ascii="Arial Narrow" w:hAnsi="Arial Narrow"/>
                <w:sz w:val="19"/>
                <w:szCs w:val="19"/>
              </w:rPr>
              <w:t xml:space="preserve">/kg Q3W vs. ipi </w:t>
            </w:r>
            <w:r w:rsidR="005A37A0" w:rsidRPr="00E60F06">
              <w:rPr>
                <w:rFonts w:ascii="Arial Narrow" w:hAnsi="Arial Narrow"/>
                <w:sz w:val="19"/>
                <w:szCs w:val="19"/>
              </w:rPr>
              <w:t>3 </w:t>
            </w:r>
            <w:r w:rsidR="00502545" w:rsidRPr="00E60F06">
              <w:rPr>
                <w:rFonts w:ascii="Arial Narrow" w:hAnsi="Arial Narrow"/>
                <w:sz w:val="19"/>
                <w:szCs w:val="19"/>
              </w:rPr>
              <w:t>mg</w:t>
            </w:r>
            <w:r w:rsidRPr="00E60F06">
              <w:rPr>
                <w:rFonts w:ascii="Arial Narrow" w:hAnsi="Arial Narrow"/>
                <w:sz w:val="19"/>
                <w:szCs w:val="19"/>
              </w:rPr>
              <w:t>/kg Q3W</w:t>
            </w:r>
          </w:p>
        </w:tc>
        <w:tc>
          <w:tcPr>
            <w:tcW w:w="2693"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7.3 (3.15, 11.38)</w:t>
            </w:r>
          </w:p>
        </w:tc>
      </w:tr>
      <w:tr w:rsidR="003728B3" w:rsidRPr="00E60F06" w:rsidTr="00685B27">
        <w:tc>
          <w:tcPr>
            <w:tcW w:w="5103" w:type="dxa"/>
            <w:gridSpan w:val="5"/>
            <w:vAlign w:val="center"/>
          </w:tcPr>
          <w:p w:rsidR="003728B3" w:rsidRPr="00E60F06" w:rsidRDefault="003728B3" w:rsidP="003728B3">
            <w:pPr>
              <w:jc w:val="left"/>
              <w:rPr>
                <w:rFonts w:ascii="Arial Narrow" w:hAnsi="Arial Narrow"/>
                <w:b/>
                <w:sz w:val="19"/>
                <w:szCs w:val="19"/>
              </w:rPr>
            </w:pPr>
            <w:r w:rsidRPr="00E60F06">
              <w:rPr>
                <w:rFonts w:ascii="Arial Narrow" w:hAnsi="Arial Narrow"/>
                <w:b/>
                <w:sz w:val="19"/>
                <w:szCs w:val="19"/>
              </w:rPr>
              <w:t>EQ-5D</w:t>
            </w:r>
          </w:p>
        </w:tc>
        <w:tc>
          <w:tcPr>
            <w:tcW w:w="567" w:type="dxa"/>
            <w:vAlign w:val="center"/>
          </w:tcPr>
          <w:p w:rsidR="003728B3" w:rsidRPr="00E60F06" w:rsidRDefault="003728B3" w:rsidP="003728B3">
            <w:pPr>
              <w:jc w:val="center"/>
              <w:rPr>
                <w:rFonts w:ascii="Arial Narrow" w:hAnsi="Arial Narrow"/>
                <w:b/>
                <w:sz w:val="19"/>
                <w:szCs w:val="19"/>
              </w:rPr>
            </w:pPr>
          </w:p>
        </w:tc>
        <w:tc>
          <w:tcPr>
            <w:tcW w:w="2693" w:type="dxa"/>
            <w:vAlign w:val="center"/>
          </w:tcPr>
          <w:p w:rsidR="00685B27" w:rsidRPr="00E60F06" w:rsidRDefault="003728B3" w:rsidP="003728B3">
            <w:pPr>
              <w:jc w:val="center"/>
              <w:rPr>
                <w:rFonts w:ascii="Arial Narrow" w:hAnsi="Arial Narrow"/>
                <w:b/>
                <w:sz w:val="19"/>
                <w:szCs w:val="19"/>
              </w:rPr>
            </w:pPr>
            <w:r w:rsidRPr="00E60F06">
              <w:rPr>
                <w:rFonts w:ascii="Arial Narrow" w:hAnsi="Arial Narrow"/>
                <w:b/>
                <w:sz w:val="19"/>
                <w:szCs w:val="19"/>
              </w:rPr>
              <w:t xml:space="preserve">Change from baseline </w:t>
            </w:r>
          </w:p>
          <w:p w:rsidR="003728B3" w:rsidRPr="00E60F06" w:rsidRDefault="00F6049A" w:rsidP="003728B3">
            <w:pPr>
              <w:jc w:val="center"/>
              <w:rPr>
                <w:rFonts w:ascii="Arial Narrow" w:hAnsi="Arial Narrow"/>
                <w:b/>
                <w:sz w:val="19"/>
                <w:szCs w:val="19"/>
              </w:rPr>
            </w:pPr>
            <w:r w:rsidRPr="00E60F06">
              <w:rPr>
                <w:rFonts w:ascii="Arial Narrow" w:hAnsi="Arial Narrow"/>
                <w:b/>
                <w:sz w:val="19"/>
                <w:szCs w:val="19"/>
              </w:rPr>
              <w:t>LS m</w:t>
            </w:r>
            <w:r w:rsidR="003728B3" w:rsidRPr="00E60F06">
              <w:rPr>
                <w:rFonts w:ascii="Arial Narrow" w:hAnsi="Arial Narrow"/>
                <w:b/>
                <w:sz w:val="19"/>
                <w:szCs w:val="19"/>
              </w:rPr>
              <w:t>ean (95% CI)</w:t>
            </w:r>
          </w:p>
        </w:tc>
      </w:tr>
      <w:tr w:rsidR="003728B3" w:rsidRPr="00E60F06" w:rsidTr="00685B27">
        <w:tc>
          <w:tcPr>
            <w:tcW w:w="1809" w:type="dxa"/>
            <w:vAlign w:val="center"/>
          </w:tcPr>
          <w:p w:rsidR="003728B3" w:rsidRPr="00E60F06" w:rsidRDefault="003728B3" w:rsidP="00ED4CE5">
            <w:pPr>
              <w:jc w:val="left"/>
              <w:rPr>
                <w:rFonts w:ascii="Arial Narrow" w:hAnsi="Arial Narrow"/>
                <w:sz w:val="19"/>
                <w:szCs w:val="19"/>
              </w:rPr>
            </w:pPr>
            <w:r w:rsidRPr="00E60F06">
              <w:rPr>
                <w:rFonts w:ascii="Arial Narrow" w:hAnsi="Arial Narrow"/>
                <w:sz w:val="19"/>
                <w:szCs w:val="19"/>
              </w:rPr>
              <w:t xml:space="preserve">Ipi </w:t>
            </w:r>
            <w:r w:rsidR="00502545" w:rsidRPr="00E60F06">
              <w:rPr>
                <w:rFonts w:ascii="Arial Narrow" w:hAnsi="Arial Narrow"/>
                <w:sz w:val="19"/>
                <w:szCs w:val="19"/>
              </w:rPr>
              <w:t>3</w:t>
            </w:r>
            <w:r w:rsidR="00ED4CE5" w:rsidRPr="00E60F06">
              <w:rPr>
                <w:rFonts w:ascii="Arial Narrow" w:hAnsi="Arial Narrow"/>
                <w:sz w:val="19"/>
                <w:szCs w:val="19"/>
              </w:rPr>
              <w:t> </w:t>
            </w:r>
            <w:r w:rsidR="00502545" w:rsidRPr="00E60F06">
              <w:rPr>
                <w:rFonts w:ascii="Arial Narrow" w:hAnsi="Arial Narrow"/>
                <w:sz w:val="19"/>
                <w:szCs w:val="19"/>
              </w:rPr>
              <w:t>mg</w:t>
            </w:r>
            <w:r w:rsidRPr="00E60F06">
              <w:rPr>
                <w:rFonts w:ascii="Arial Narrow" w:hAnsi="Arial Narrow"/>
                <w:sz w:val="19"/>
                <w:szCs w:val="19"/>
              </w:rPr>
              <w:t>/kg Q3W</w:t>
            </w:r>
          </w:p>
        </w:tc>
        <w:tc>
          <w:tcPr>
            <w:tcW w:w="476"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190</w:t>
            </w:r>
          </w:p>
        </w:tc>
        <w:tc>
          <w:tcPr>
            <w:tcW w:w="111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0.77 (0.22)</w:t>
            </w:r>
          </w:p>
        </w:tc>
        <w:tc>
          <w:tcPr>
            <w:tcW w:w="56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143</w:t>
            </w:r>
          </w:p>
        </w:tc>
        <w:tc>
          <w:tcPr>
            <w:tcW w:w="1134"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0.72 (0.24)</w:t>
            </w:r>
          </w:p>
        </w:tc>
        <w:tc>
          <w:tcPr>
            <w:tcW w:w="56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128</w:t>
            </w:r>
          </w:p>
        </w:tc>
        <w:tc>
          <w:tcPr>
            <w:tcW w:w="2693"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-0.10 (-0.13, -0.07)</w:t>
            </w:r>
          </w:p>
        </w:tc>
      </w:tr>
      <w:tr w:rsidR="003728B3" w:rsidRPr="00E60F06" w:rsidTr="00685B27">
        <w:tc>
          <w:tcPr>
            <w:tcW w:w="1809" w:type="dxa"/>
            <w:vAlign w:val="center"/>
          </w:tcPr>
          <w:p w:rsidR="003728B3" w:rsidRPr="00E60F06" w:rsidRDefault="003728B3" w:rsidP="005A37A0">
            <w:pPr>
              <w:jc w:val="left"/>
              <w:rPr>
                <w:rFonts w:ascii="Arial Narrow" w:hAnsi="Arial Narrow"/>
                <w:sz w:val="19"/>
                <w:szCs w:val="19"/>
              </w:rPr>
            </w:pPr>
            <w:r w:rsidRPr="00E60F06">
              <w:rPr>
                <w:rFonts w:ascii="Arial Narrow" w:hAnsi="Arial Narrow"/>
                <w:sz w:val="19"/>
                <w:szCs w:val="19"/>
              </w:rPr>
              <w:t>Pembro 1</w:t>
            </w:r>
            <w:r w:rsidR="0061061F" w:rsidRPr="00E60F06">
              <w:rPr>
                <w:rFonts w:ascii="Arial Narrow" w:hAnsi="Arial Narrow"/>
                <w:sz w:val="19"/>
                <w:szCs w:val="19"/>
              </w:rPr>
              <w:t>0</w:t>
            </w:r>
            <w:r w:rsidR="005A37A0" w:rsidRPr="00E60F06">
              <w:rPr>
                <w:rFonts w:ascii="Arial Narrow" w:hAnsi="Arial Narrow"/>
                <w:sz w:val="19"/>
                <w:szCs w:val="19"/>
              </w:rPr>
              <w:t> </w:t>
            </w:r>
            <w:r w:rsidR="0061061F" w:rsidRPr="00E60F06">
              <w:rPr>
                <w:rFonts w:ascii="Arial Narrow" w:hAnsi="Arial Narrow"/>
                <w:sz w:val="19"/>
                <w:szCs w:val="19"/>
              </w:rPr>
              <w:t>mg</w:t>
            </w:r>
            <w:r w:rsidRPr="00E60F06">
              <w:rPr>
                <w:rFonts w:ascii="Arial Narrow" w:hAnsi="Arial Narrow"/>
                <w:sz w:val="19"/>
                <w:szCs w:val="19"/>
              </w:rPr>
              <w:t>/kg Q2W</w:t>
            </w:r>
          </w:p>
        </w:tc>
        <w:tc>
          <w:tcPr>
            <w:tcW w:w="476"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233</w:t>
            </w:r>
          </w:p>
        </w:tc>
        <w:tc>
          <w:tcPr>
            <w:tcW w:w="111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0.80 (0.19)</w:t>
            </w:r>
          </w:p>
        </w:tc>
        <w:tc>
          <w:tcPr>
            <w:tcW w:w="56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169</w:t>
            </w:r>
          </w:p>
        </w:tc>
        <w:tc>
          <w:tcPr>
            <w:tcW w:w="1134"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0.80 (0.20)</w:t>
            </w:r>
          </w:p>
        </w:tc>
        <w:tc>
          <w:tcPr>
            <w:tcW w:w="56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156</w:t>
            </w:r>
          </w:p>
        </w:tc>
        <w:tc>
          <w:tcPr>
            <w:tcW w:w="2693"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-0.01 (-0.04, 0.01)</w:t>
            </w:r>
          </w:p>
        </w:tc>
      </w:tr>
      <w:tr w:rsidR="003728B3" w:rsidRPr="00E60F06" w:rsidTr="00685B27">
        <w:tc>
          <w:tcPr>
            <w:tcW w:w="1809" w:type="dxa"/>
            <w:vAlign w:val="center"/>
          </w:tcPr>
          <w:p w:rsidR="003728B3" w:rsidRPr="00E60F06" w:rsidRDefault="003728B3" w:rsidP="003728B3">
            <w:pPr>
              <w:jc w:val="left"/>
              <w:rPr>
                <w:rFonts w:ascii="Arial Narrow" w:hAnsi="Arial Narrow"/>
                <w:sz w:val="19"/>
                <w:szCs w:val="19"/>
              </w:rPr>
            </w:pPr>
            <w:r w:rsidRPr="00E60F06">
              <w:rPr>
                <w:rFonts w:ascii="Arial Narrow" w:hAnsi="Arial Narrow"/>
                <w:sz w:val="19"/>
                <w:szCs w:val="19"/>
              </w:rPr>
              <w:t>Pembro 1</w:t>
            </w:r>
            <w:r w:rsidR="005A37A0" w:rsidRPr="00E60F06">
              <w:rPr>
                <w:rFonts w:ascii="Arial Narrow" w:hAnsi="Arial Narrow"/>
                <w:sz w:val="19"/>
                <w:szCs w:val="19"/>
              </w:rPr>
              <w:t>0 </w:t>
            </w:r>
            <w:r w:rsidR="0061061F" w:rsidRPr="00E60F06">
              <w:rPr>
                <w:rFonts w:ascii="Arial Narrow" w:hAnsi="Arial Narrow"/>
                <w:sz w:val="19"/>
                <w:szCs w:val="19"/>
              </w:rPr>
              <w:t>mg</w:t>
            </w:r>
            <w:r w:rsidRPr="00E60F06">
              <w:rPr>
                <w:rFonts w:ascii="Arial Narrow" w:hAnsi="Arial Narrow"/>
                <w:sz w:val="19"/>
                <w:szCs w:val="19"/>
              </w:rPr>
              <w:t>/kg Q3W</w:t>
            </w:r>
          </w:p>
        </w:tc>
        <w:tc>
          <w:tcPr>
            <w:tcW w:w="476"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219</w:t>
            </w:r>
          </w:p>
        </w:tc>
        <w:tc>
          <w:tcPr>
            <w:tcW w:w="111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0.78 (0.19)</w:t>
            </w:r>
          </w:p>
        </w:tc>
        <w:tc>
          <w:tcPr>
            <w:tcW w:w="56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183</w:t>
            </w:r>
          </w:p>
        </w:tc>
        <w:tc>
          <w:tcPr>
            <w:tcW w:w="1134"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0.78 (0.21)</w:t>
            </w:r>
          </w:p>
        </w:tc>
        <w:tc>
          <w:tcPr>
            <w:tcW w:w="567"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165</w:t>
            </w:r>
          </w:p>
        </w:tc>
        <w:tc>
          <w:tcPr>
            <w:tcW w:w="2693"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-0.02 (-0.04, 0.01)</w:t>
            </w:r>
          </w:p>
        </w:tc>
      </w:tr>
      <w:tr w:rsidR="003728B3" w:rsidRPr="00E60F06" w:rsidTr="00685B27">
        <w:tc>
          <w:tcPr>
            <w:tcW w:w="5103" w:type="dxa"/>
            <w:gridSpan w:val="5"/>
            <w:vAlign w:val="center"/>
          </w:tcPr>
          <w:p w:rsidR="003728B3" w:rsidRPr="00E60F06" w:rsidRDefault="003728B3" w:rsidP="003728B3">
            <w:pPr>
              <w:jc w:val="left"/>
              <w:rPr>
                <w:rFonts w:ascii="Arial Narrow" w:hAnsi="Arial Narrow"/>
                <w:b/>
                <w:sz w:val="19"/>
                <w:szCs w:val="19"/>
              </w:rPr>
            </w:pPr>
            <w:r w:rsidRPr="00E60F06">
              <w:rPr>
                <w:rFonts w:ascii="Arial Narrow" w:hAnsi="Arial Narrow"/>
                <w:b/>
                <w:sz w:val="19"/>
                <w:szCs w:val="19"/>
              </w:rPr>
              <w:t>Pairwise comparison - EQ-5D</w:t>
            </w:r>
          </w:p>
        </w:tc>
        <w:tc>
          <w:tcPr>
            <w:tcW w:w="567" w:type="dxa"/>
            <w:vAlign w:val="center"/>
          </w:tcPr>
          <w:p w:rsidR="003728B3" w:rsidRPr="00E60F06" w:rsidRDefault="003728B3" w:rsidP="003728B3">
            <w:pPr>
              <w:jc w:val="center"/>
              <w:rPr>
                <w:rFonts w:ascii="Arial Narrow" w:hAnsi="Arial Narrow"/>
                <w:sz w:val="19"/>
                <w:szCs w:val="19"/>
              </w:rPr>
            </w:pPr>
          </w:p>
        </w:tc>
        <w:tc>
          <w:tcPr>
            <w:tcW w:w="2693"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b/>
                <w:sz w:val="19"/>
                <w:szCs w:val="19"/>
              </w:rPr>
              <w:t>Difference in LS means (95% CI)</w:t>
            </w:r>
          </w:p>
        </w:tc>
      </w:tr>
      <w:tr w:rsidR="003728B3" w:rsidRPr="00E60F06" w:rsidTr="00685B27">
        <w:tc>
          <w:tcPr>
            <w:tcW w:w="5670" w:type="dxa"/>
            <w:gridSpan w:val="6"/>
            <w:vAlign w:val="center"/>
          </w:tcPr>
          <w:p w:rsidR="003728B3" w:rsidRPr="00E60F06" w:rsidRDefault="003728B3" w:rsidP="003728B3">
            <w:pPr>
              <w:jc w:val="left"/>
              <w:rPr>
                <w:rFonts w:ascii="Arial Narrow" w:hAnsi="Arial Narrow"/>
                <w:sz w:val="19"/>
                <w:szCs w:val="19"/>
              </w:rPr>
            </w:pPr>
            <w:r w:rsidRPr="00E60F06">
              <w:rPr>
                <w:rFonts w:ascii="Arial Narrow" w:hAnsi="Arial Narrow"/>
                <w:sz w:val="19"/>
                <w:szCs w:val="19"/>
              </w:rPr>
              <w:t>Pembro 1</w:t>
            </w:r>
            <w:r w:rsidR="005A37A0" w:rsidRPr="00E60F06">
              <w:rPr>
                <w:rFonts w:ascii="Arial Narrow" w:hAnsi="Arial Narrow"/>
                <w:sz w:val="19"/>
                <w:szCs w:val="19"/>
              </w:rPr>
              <w:t>0 </w:t>
            </w:r>
            <w:r w:rsidR="0061061F" w:rsidRPr="00E60F06">
              <w:rPr>
                <w:rFonts w:ascii="Arial Narrow" w:hAnsi="Arial Narrow"/>
                <w:sz w:val="19"/>
                <w:szCs w:val="19"/>
              </w:rPr>
              <w:t>mg</w:t>
            </w:r>
            <w:r w:rsidRPr="00E60F06">
              <w:rPr>
                <w:rFonts w:ascii="Arial Narrow" w:hAnsi="Arial Narrow"/>
                <w:sz w:val="19"/>
                <w:szCs w:val="19"/>
              </w:rPr>
              <w:t>/kg Q2W vs. Q3W</w:t>
            </w:r>
          </w:p>
        </w:tc>
        <w:tc>
          <w:tcPr>
            <w:tcW w:w="2693"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-0.00 (-0.04, 0.04)</w:t>
            </w:r>
          </w:p>
        </w:tc>
      </w:tr>
      <w:tr w:rsidR="003728B3" w:rsidRPr="00E60F06" w:rsidTr="00685B27">
        <w:tc>
          <w:tcPr>
            <w:tcW w:w="5670" w:type="dxa"/>
            <w:gridSpan w:val="6"/>
            <w:vAlign w:val="center"/>
          </w:tcPr>
          <w:p w:rsidR="003728B3" w:rsidRPr="00E60F06" w:rsidRDefault="003728B3" w:rsidP="003728B3">
            <w:pPr>
              <w:jc w:val="left"/>
              <w:rPr>
                <w:rFonts w:ascii="Arial Narrow" w:hAnsi="Arial Narrow"/>
                <w:sz w:val="19"/>
                <w:szCs w:val="19"/>
              </w:rPr>
            </w:pPr>
            <w:r w:rsidRPr="00E60F06">
              <w:rPr>
                <w:rFonts w:ascii="Arial Narrow" w:hAnsi="Arial Narrow"/>
                <w:sz w:val="19"/>
                <w:szCs w:val="19"/>
              </w:rPr>
              <w:t>Pembro 1</w:t>
            </w:r>
            <w:r w:rsidR="005A37A0" w:rsidRPr="00E60F06">
              <w:rPr>
                <w:rFonts w:ascii="Arial Narrow" w:hAnsi="Arial Narrow"/>
                <w:sz w:val="19"/>
                <w:szCs w:val="19"/>
              </w:rPr>
              <w:t>0 </w:t>
            </w:r>
            <w:r w:rsidR="0061061F" w:rsidRPr="00E60F06">
              <w:rPr>
                <w:rFonts w:ascii="Arial Narrow" w:hAnsi="Arial Narrow"/>
                <w:sz w:val="19"/>
                <w:szCs w:val="19"/>
              </w:rPr>
              <w:t>mg</w:t>
            </w:r>
            <w:r w:rsidRPr="00E60F06">
              <w:rPr>
                <w:rFonts w:ascii="Arial Narrow" w:hAnsi="Arial Narrow"/>
                <w:sz w:val="19"/>
                <w:szCs w:val="19"/>
              </w:rPr>
              <w:t xml:space="preserve">/kg Q2W vs. ipi </w:t>
            </w:r>
            <w:r w:rsidR="005A37A0" w:rsidRPr="00E60F06">
              <w:rPr>
                <w:rFonts w:ascii="Arial Narrow" w:hAnsi="Arial Narrow"/>
                <w:sz w:val="19"/>
                <w:szCs w:val="19"/>
              </w:rPr>
              <w:t>3 </w:t>
            </w:r>
            <w:r w:rsidR="00502545" w:rsidRPr="00E60F06">
              <w:rPr>
                <w:rFonts w:ascii="Arial Narrow" w:hAnsi="Arial Narrow"/>
                <w:sz w:val="19"/>
                <w:szCs w:val="19"/>
              </w:rPr>
              <w:t>mg</w:t>
            </w:r>
            <w:r w:rsidRPr="00E60F06">
              <w:rPr>
                <w:rFonts w:ascii="Arial Narrow" w:hAnsi="Arial Narrow"/>
                <w:sz w:val="19"/>
                <w:szCs w:val="19"/>
              </w:rPr>
              <w:t>/kg Q3W</w:t>
            </w:r>
          </w:p>
        </w:tc>
        <w:tc>
          <w:tcPr>
            <w:tcW w:w="2693"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0.08 (0.04, 0.13)</w:t>
            </w:r>
          </w:p>
        </w:tc>
      </w:tr>
      <w:tr w:rsidR="003728B3" w:rsidRPr="00E60F06" w:rsidTr="00685B27">
        <w:tc>
          <w:tcPr>
            <w:tcW w:w="5670" w:type="dxa"/>
            <w:gridSpan w:val="6"/>
            <w:vAlign w:val="center"/>
          </w:tcPr>
          <w:p w:rsidR="003728B3" w:rsidRPr="00E60F06" w:rsidRDefault="003728B3" w:rsidP="003728B3">
            <w:pPr>
              <w:jc w:val="left"/>
              <w:rPr>
                <w:rFonts w:ascii="Arial Narrow" w:hAnsi="Arial Narrow"/>
                <w:sz w:val="19"/>
                <w:szCs w:val="19"/>
              </w:rPr>
            </w:pPr>
            <w:r w:rsidRPr="00E60F06">
              <w:rPr>
                <w:rFonts w:ascii="Arial Narrow" w:hAnsi="Arial Narrow"/>
                <w:sz w:val="19"/>
                <w:szCs w:val="19"/>
              </w:rPr>
              <w:t>Pembro 1</w:t>
            </w:r>
            <w:r w:rsidR="005A37A0" w:rsidRPr="00E60F06">
              <w:rPr>
                <w:rFonts w:ascii="Arial Narrow" w:hAnsi="Arial Narrow"/>
                <w:sz w:val="19"/>
                <w:szCs w:val="19"/>
              </w:rPr>
              <w:t>0 </w:t>
            </w:r>
            <w:r w:rsidR="0061061F" w:rsidRPr="00E60F06">
              <w:rPr>
                <w:rFonts w:ascii="Arial Narrow" w:hAnsi="Arial Narrow"/>
                <w:sz w:val="19"/>
                <w:szCs w:val="19"/>
              </w:rPr>
              <w:t>mg</w:t>
            </w:r>
            <w:r w:rsidRPr="00E60F06">
              <w:rPr>
                <w:rFonts w:ascii="Arial Narrow" w:hAnsi="Arial Narrow"/>
                <w:sz w:val="19"/>
                <w:szCs w:val="19"/>
              </w:rPr>
              <w:t xml:space="preserve">/kg Q3W vs. ipi </w:t>
            </w:r>
            <w:r w:rsidR="005A37A0" w:rsidRPr="00E60F06">
              <w:rPr>
                <w:rFonts w:ascii="Arial Narrow" w:hAnsi="Arial Narrow"/>
                <w:sz w:val="19"/>
                <w:szCs w:val="19"/>
              </w:rPr>
              <w:t>3 </w:t>
            </w:r>
            <w:r w:rsidR="00502545" w:rsidRPr="00E60F06">
              <w:rPr>
                <w:rFonts w:ascii="Arial Narrow" w:hAnsi="Arial Narrow"/>
                <w:sz w:val="19"/>
                <w:szCs w:val="19"/>
              </w:rPr>
              <w:t>mg</w:t>
            </w:r>
            <w:r w:rsidRPr="00E60F06">
              <w:rPr>
                <w:rFonts w:ascii="Arial Narrow" w:hAnsi="Arial Narrow"/>
                <w:sz w:val="19"/>
                <w:szCs w:val="19"/>
              </w:rPr>
              <w:t>/kg Q3W</w:t>
            </w:r>
          </w:p>
        </w:tc>
        <w:tc>
          <w:tcPr>
            <w:tcW w:w="2693" w:type="dxa"/>
            <w:vAlign w:val="center"/>
          </w:tcPr>
          <w:p w:rsidR="003728B3" w:rsidRPr="00E60F06" w:rsidRDefault="003728B3" w:rsidP="003728B3">
            <w:pPr>
              <w:jc w:val="center"/>
              <w:rPr>
                <w:rFonts w:ascii="Arial Narrow" w:hAnsi="Arial Narrow"/>
                <w:sz w:val="19"/>
                <w:szCs w:val="19"/>
              </w:rPr>
            </w:pPr>
            <w:r w:rsidRPr="00E60F06">
              <w:rPr>
                <w:rFonts w:ascii="Arial Narrow" w:hAnsi="Arial Narrow"/>
                <w:sz w:val="19"/>
                <w:szCs w:val="19"/>
              </w:rPr>
              <w:t>0.08 (0.04, 0.12)</w:t>
            </w:r>
          </w:p>
        </w:tc>
      </w:tr>
    </w:tbl>
    <w:p w:rsidR="003728B3" w:rsidRPr="00E60F06" w:rsidRDefault="003728B3" w:rsidP="00685B27">
      <w:pPr>
        <w:pStyle w:val="TableFooter"/>
        <w:ind w:left="709"/>
      </w:pPr>
      <w:r w:rsidRPr="00E60F06">
        <w:t>Source: Table B.6-11, p79 and Table B.6-12, p82 of the submission</w:t>
      </w:r>
      <w:r w:rsidR="00F6049A" w:rsidRPr="00E60F06">
        <w:t>.</w:t>
      </w:r>
    </w:p>
    <w:p w:rsidR="003728B3" w:rsidRPr="00E60F06" w:rsidRDefault="003728B3" w:rsidP="003728B3"/>
    <w:p w:rsidR="00685B27" w:rsidRPr="00E60F06" w:rsidRDefault="00685B27" w:rsidP="00423721">
      <w:pPr>
        <w:pStyle w:val="ListParagraph"/>
        <w:widowControl/>
        <w:numPr>
          <w:ilvl w:val="1"/>
          <w:numId w:val="3"/>
        </w:numPr>
        <w:rPr>
          <w:szCs w:val="22"/>
        </w:rPr>
      </w:pPr>
      <w:r w:rsidRPr="00E60F06">
        <w:rPr>
          <w:szCs w:val="22"/>
        </w:rPr>
        <w:t xml:space="preserve">Both scales showed </w:t>
      </w:r>
      <w:r w:rsidRPr="00E60F06">
        <w:t xml:space="preserve">statistically significantly greater change from baseline in quality of life for pembrolizumab compared to ipilimumab. </w:t>
      </w:r>
      <w:r w:rsidR="008704F2" w:rsidRPr="00E60F06">
        <w:t xml:space="preserve"> </w:t>
      </w:r>
      <w:r w:rsidR="00225FD7" w:rsidRPr="00E60F06">
        <w:t>However</w:t>
      </w:r>
      <w:r w:rsidR="00431047" w:rsidRPr="00E60F06">
        <w:t>,</w:t>
      </w:r>
      <w:r w:rsidR="00225FD7" w:rsidRPr="00E60F06">
        <w:t xml:space="preserve"> these differences did not reach the pre-specified MCID criteria of 10 points difference</w:t>
      </w:r>
      <w:r w:rsidR="00F639FC" w:rsidRPr="00E60F06">
        <w:t xml:space="preserve"> in mean change from baseline</w:t>
      </w:r>
      <w:r w:rsidR="00225FD7" w:rsidRPr="00E60F06">
        <w:t>. It is unknown what proportion of subjects</w:t>
      </w:r>
      <w:r w:rsidR="00F639FC" w:rsidRPr="00E60F06">
        <w:t xml:space="preserve"> in each group achieved a 10-</w:t>
      </w:r>
      <w:r w:rsidR="00225FD7" w:rsidRPr="00E60F06">
        <w:t>point or greater change from baseline to Week 12.</w:t>
      </w:r>
      <w:r w:rsidRPr="00E60F06">
        <w:t xml:space="preserve"> </w:t>
      </w:r>
      <w:r w:rsidR="008704F2" w:rsidRPr="00E60F06">
        <w:t xml:space="preserve"> </w:t>
      </w:r>
      <w:r w:rsidRPr="00E60F06">
        <w:t xml:space="preserve">The EQ-5D results </w:t>
      </w:r>
      <w:r w:rsidR="00F6049A" w:rsidRPr="00E60F06">
        <w:t>we</w:t>
      </w:r>
      <w:r w:rsidRPr="00E60F06">
        <w:t xml:space="preserve">re transformed using Australian weights and </w:t>
      </w:r>
      <w:r w:rsidR="00F6049A" w:rsidRPr="00E60F06">
        <w:t>we</w:t>
      </w:r>
      <w:r w:rsidRPr="00E60F06">
        <w:t>re applied in the modelled analysis.</w:t>
      </w:r>
    </w:p>
    <w:p w:rsidR="00685B27" w:rsidRPr="00E60F06" w:rsidRDefault="00685B27" w:rsidP="00685B27">
      <w:pPr>
        <w:widowControl/>
        <w:rPr>
          <w:szCs w:val="22"/>
        </w:rPr>
      </w:pPr>
    </w:p>
    <w:p w:rsidR="00B60939" w:rsidRPr="00E60F06" w:rsidRDefault="00B60939" w:rsidP="002C2775">
      <w:pPr>
        <w:pStyle w:val="Heading2"/>
        <w:rPr>
          <w:i/>
        </w:rPr>
      </w:pPr>
      <w:bookmarkStart w:id="9" w:name="_Toc440982037"/>
      <w:r w:rsidRPr="00E60F06">
        <w:rPr>
          <w:i/>
        </w:rPr>
        <w:t>Comparative harms</w:t>
      </w:r>
      <w:bookmarkEnd w:id="9"/>
    </w:p>
    <w:p w:rsidR="00B60939" w:rsidRPr="00E60F06" w:rsidRDefault="00B60939" w:rsidP="00B60939">
      <w:pPr>
        <w:ind w:left="720" w:hanging="720"/>
        <w:rPr>
          <w:szCs w:val="22"/>
        </w:rPr>
      </w:pPr>
    </w:p>
    <w:p w:rsidR="00143B22" w:rsidRPr="00E60F06" w:rsidRDefault="00ED4C98" w:rsidP="00423721">
      <w:pPr>
        <w:pStyle w:val="ListParagraph"/>
        <w:widowControl/>
        <w:numPr>
          <w:ilvl w:val="1"/>
          <w:numId w:val="3"/>
        </w:numPr>
        <w:rPr>
          <w:szCs w:val="22"/>
        </w:rPr>
      </w:pPr>
      <w:r w:rsidRPr="00E60F06">
        <w:rPr>
          <w:szCs w:val="22"/>
        </w:rPr>
        <w:t>A summary of adverse events (AEs)</w:t>
      </w:r>
      <w:r w:rsidR="00383F0A" w:rsidRPr="00E60F06">
        <w:rPr>
          <w:szCs w:val="22"/>
        </w:rPr>
        <w:t xml:space="preserve"> in KN-</w:t>
      </w:r>
      <w:r w:rsidRPr="00E60F06">
        <w:rPr>
          <w:szCs w:val="22"/>
        </w:rPr>
        <w:t>00</w:t>
      </w:r>
      <w:r w:rsidR="002C65AA" w:rsidRPr="00E60F06">
        <w:rPr>
          <w:szCs w:val="22"/>
        </w:rPr>
        <w:t xml:space="preserve">6 is provided in the </w:t>
      </w:r>
      <w:r w:rsidR="00755379" w:rsidRPr="00E60F06">
        <w:rPr>
          <w:szCs w:val="22"/>
        </w:rPr>
        <w:t>T</w:t>
      </w:r>
      <w:r w:rsidR="002C65AA" w:rsidRPr="00E60F06">
        <w:rPr>
          <w:szCs w:val="22"/>
        </w:rPr>
        <w:t>able 6</w:t>
      </w:r>
      <w:r w:rsidRPr="00E60F06">
        <w:rPr>
          <w:szCs w:val="22"/>
        </w:rPr>
        <w:t>.</w:t>
      </w:r>
    </w:p>
    <w:p w:rsidR="002C65AA" w:rsidRPr="00E60F06" w:rsidRDefault="002C65AA" w:rsidP="002C65AA">
      <w:pPr>
        <w:widowControl/>
        <w:jc w:val="left"/>
        <w:rPr>
          <w:szCs w:val="22"/>
        </w:rPr>
      </w:pPr>
    </w:p>
    <w:p w:rsidR="007912D4" w:rsidRPr="00E60F06" w:rsidRDefault="007912D4">
      <w:pPr>
        <w:widowControl/>
        <w:jc w:val="left"/>
        <w:rPr>
          <w:rFonts w:ascii="Arial Narrow" w:hAnsi="Arial Narrow"/>
          <w:b/>
          <w:sz w:val="20"/>
        </w:rPr>
      </w:pPr>
      <w:r w:rsidRPr="00E60F06">
        <w:rPr>
          <w:rFonts w:ascii="Arial Narrow" w:hAnsi="Arial Narrow"/>
          <w:b/>
          <w:sz w:val="20"/>
        </w:rPr>
        <w:br w:type="page"/>
      </w:r>
    </w:p>
    <w:p w:rsidR="00383F0A" w:rsidRPr="00E60F06" w:rsidRDefault="00383F0A" w:rsidP="002C65AA">
      <w:pPr>
        <w:widowControl/>
        <w:ind w:firstLine="720"/>
        <w:jc w:val="left"/>
        <w:rPr>
          <w:rFonts w:ascii="Arial Narrow" w:hAnsi="Arial Narrow"/>
          <w:b/>
          <w:sz w:val="20"/>
        </w:rPr>
      </w:pPr>
      <w:r w:rsidRPr="00E60F06">
        <w:rPr>
          <w:rFonts w:ascii="Arial Narrow" w:hAnsi="Arial Narrow"/>
          <w:b/>
          <w:sz w:val="20"/>
        </w:rPr>
        <w:t xml:space="preserve">Table </w:t>
      </w:r>
      <w:r w:rsidR="00163818" w:rsidRPr="00E60F06">
        <w:rPr>
          <w:rFonts w:ascii="Arial Narrow" w:hAnsi="Arial Narrow"/>
          <w:b/>
          <w:sz w:val="20"/>
        </w:rPr>
        <w:t>6</w:t>
      </w:r>
      <w:r w:rsidRPr="00E60F06">
        <w:rPr>
          <w:rFonts w:ascii="Arial Narrow" w:hAnsi="Arial Narrow"/>
          <w:b/>
          <w:sz w:val="20"/>
        </w:rPr>
        <w:t>: Summary of Tier 1 and Tier 2 adverse events in KN-006</w:t>
      </w:r>
    </w:p>
    <w:tbl>
      <w:tblPr>
        <w:tblStyle w:val="TableGrid"/>
        <w:tblW w:w="8363" w:type="dxa"/>
        <w:tblInd w:w="817" w:type="dxa"/>
        <w:tblLayout w:type="fixed"/>
        <w:tblLook w:val="04A0" w:firstRow="1" w:lastRow="0" w:firstColumn="1" w:lastColumn="0" w:noHBand="0" w:noVBand="1"/>
        <w:tblCaption w:val="Table 6: Summary of Tier 1 and Tier 2 adverse events in KN-006"/>
      </w:tblPr>
      <w:tblGrid>
        <w:gridCol w:w="1701"/>
        <w:gridCol w:w="1275"/>
        <w:gridCol w:w="1276"/>
        <w:gridCol w:w="1256"/>
        <w:gridCol w:w="1437"/>
        <w:gridCol w:w="1418"/>
      </w:tblGrid>
      <w:tr w:rsidR="00383F0A" w:rsidRPr="00E60F06" w:rsidTr="00685B27">
        <w:trPr>
          <w:tblHeader/>
        </w:trPr>
        <w:tc>
          <w:tcPr>
            <w:tcW w:w="1701" w:type="dxa"/>
            <w:vMerge w:val="restart"/>
            <w:vAlign w:val="center"/>
          </w:tcPr>
          <w:p w:rsidR="00383F0A" w:rsidRPr="00E60F06" w:rsidRDefault="00383F0A" w:rsidP="003E6364">
            <w:pPr>
              <w:jc w:val="left"/>
              <w:rPr>
                <w:rFonts w:ascii="Arial Narrow" w:hAnsi="Arial Narrow"/>
                <w:b/>
                <w:sz w:val="19"/>
                <w:szCs w:val="19"/>
              </w:rPr>
            </w:pPr>
            <w:r w:rsidRPr="00E60F06">
              <w:rPr>
                <w:rFonts w:ascii="Arial Narrow" w:hAnsi="Arial Narrow"/>
                <w:b/>
                <w:sz w:val="19"/>
                <w:szCs w:val="19"/>
              </w:rPr>
              <w:t>Adverse event</w:t>
            </w:r>
          </w:p>
        </w:tc>
        <w:tc>
          <w:tcPr>
            <w:tcW w:w="2551" w:type="dxa"/>
            <w:gridSpan w:val="2"/>
            <w:vAlign w:val="center"/>
          </w:tcPr>
          <w:p w:rsidR="00383F0A" w:rsidRPr="00E60F06" w:rsidRDefault="00383F0A" w:rsidP="003E6364">
            <w:pPr>
              <w:jc w:val="center"/>
              <w:rPr>
                <w:rFonts w:ascii="Arial Narrow" w:hAnsi="Arial Narrow"/>
                <w:b/>
                <w:sz w:val="19"/>
                <w:szCs w:val="19"/>
              </w:rPr>
            </w:pPr>
            <w:r w:rsidRPr="00E60F06">
              <w:rPr>
                <w:rFonts w:ascii="Arial Narrow" w:hAnsi="Arial Narrow"/>
                <w:b/>
                <w:sz w:val="19"/>
                <w:szCs w:val="19"/>
              </w:rPr>
              <w:t>Pembrolizumab</w:t>
            </w:r>
          </w:p>
        </w:tc>
        <w:tc>
          <w:tcPr>
            <w:tcW w:w="1256" w:type="dxa"/>
            <w:vMerge w:val="restart"/>
            <w:vAlign w:val="center"/>
          </w:tcPr>
          <w:p w:rsidR="00383F0A" w:rsidRPr="00E60F06" w:rsidRDefault="00383F0A" w:rsidP="003E6364">
            <w:pPr>
              <w:jc w:val="center"/>
              <w:rPr>
                <w:rFonts w:ascii="Arial Narrow" w:hAnsi="Arial Narrow"/>
                <w:b/>
                <w:sz w:val="19"/>
                <w:szCs w:val="19"/>
              </w:rPr>
            </w:pPr>
            <w:r w:rsidRPr="00E60F06">
              <w:rPr>
                <w:rFonts w:ascii="Arial Narrow" w:hAnsi="Arial Narrow"/>
                <w:b/>
                <w:sz w:val="19"/>
                <w:szCs w:val="19"/>
              </w:rPr>
              <w:t xml:space="preserve">Ipi </w:t>
            </w:r>
          </w:p>
          <w:p w:rsidR="00383F0A" w:rsidRPr="00E60F06" w:rsidRDefault="00502545" w:rsidP="00F6049A">
            <w:pPr>
              <w:jc w:val="center"/>
              <w:rPr>
                <w:rFonts w:ascii="Arial Narrow" w:hAnsi="Arial Narrow"/>
                <w:b/>
                <w:sz w:val="19"/>
                <w:szCs w:val="19"/>
              </w:rPr>
            </w:pPr>
            <w:r w:rsidRPr="00E60F06">
              <w:rPr>
                <w:rFonts w:ascii="Arial Narrow" w:hAnsi="Arial Narrow"/>
                <w:b/>
                <w:sz w:val="19"/>
                <w:szCs w:val="19"/>
              </w:rPr>
              <w:t>3</w:t>
            </w:r>
            <w:r w:rsidR="00F6049A" w:rsidRPr="00E60F06">
              <w:rPr>
                <w:rFonts w:ascii="Arial Narrow" w:hAnsi="Arial Narrow"/>
                <w:b/>
                <w:sz w:val="19"/>
                <w:szCs w:val="19"/>
              </w:rPr>
              <w:t> </w:t>
            </w:r>
            <w:r w:rsidRPr="00E60F06">
              <w:rPr>
                <w:rFonts w:ascii="Arial Narrow" w:hAnsi="Arial Narrow"/>
                <w:b/>
                <w:sz w:val="19"/>
                <w:szCs w:val="19"/>
              </w:rPr>
              <w:t>mg</w:t>
            </w:r>
            <w:r w:rsidR="00383F0A" w:rsidRPr="00E60F06">
              <w:rPr>
                <w:rFonts w:ascii="Arial Narrow" w:hAnsi="Arial Narrow"/>
                <w:b/>
                <w:sz w:val="19"/>
                <w:szCs w:val="19"/>
              </w:rPr>
              <w:t>/kg Q3W N=256</w:t>
            </w:r>
          </w:p>
        </w:tc>
        <w:tc>
          <w:tcPr>
            <w:tcW w:w="2855" w:type="dxa"/>
            <w:gridSpan w:val="2"/>
            <w:vAlign w:val="center"/>
          </w:tcPr>
          <w:p w:rsidR="00383F0A" w:rsidRPr="00E60F06" w:rsidRDefault="00383F0A" w:rsidP="003E6364">
            <w:pPr>
              <w:jc w:val="center"/>
              <w:rPr>
                <w:rFonts w:ascii="Arial Narrow" w:hAnsi="Arial Narrow"/>
                <w:b/>
                <w:sz w:val="19"/>
                <w:szCs w:val="19"/>
              </w:rPr>
            </w:pPr>
            <w:r w:rsidRPr="00E60F06">
              <w:rPr>
                <w:rFonts w:ascii="Arial Narrow" w:hAnsi="Arial Narrow"/>
                <w:b/>
                <w:sz w:val="19"/>
                <w:szCs w:val="19"/>
              </w:rPr>
              <w:t>Difference (95%)</w:t>
            </w:r>
          </w:p>
        </w:tc>
      </w:tr>
      <w:tr w:rsidR="00383F0A" w:rsidRPr="00E60F06" w:rsidTr="00685B27">
        <w:trPr>
          <w:tblHeader/>
        </w:trPr>
        <w:tc>
          <w:tcPr>
            <w:tcW w:w="1701" w:type="dxa"/>
            <w:vMerge/>
            <w:vAlign w:val="center"/>
          </w:tcPr>
          <w:p w:rsidR="00383F0A" w:rsidRPr="00E60F06" w:rsidRDefault="00383F0A" w:rsidP="003E6364">
            <w:pPr>
              <w:jc w:val="left"/>
              <w:rPr>
                <w:rFonts w:ascii="Arial Narrow" w:hAnsi="Arial Narrow"/>
                <w:b/>
                <w:sz w:val="19"/>
                <w:szCs w:val="19"/>
              </w:rPr>
            </w:pPr>
          </w:p>
        </w:tc>
        <w:tc>
          <w:tcPr>
            <w:tcW w:w="1275" w:type="dxa"/>
            <w:vAlign w:val="center"/>
          </w:tcPr>
          <w:p w:rsidR="00383F0A" w:rsidRPr="00E60F06" w:rsidRDefault="00383F0A" w:rsidP="00F6049A">
            <w:pPr>
              <w:jc w:val="center"/>
              <w:rPr>
                <w:rFonts w:ascii="Arial Narrow" w:hAnsi="Arial Narrow"/>
                <w:b/>
                <w:sz w:val="19"/>
                <w:szCs w:val="19"/>
              </w:rPr>
            </w:pPr>
            <w:r w:rsidRPr="00E60F06">
              <w:rPr>
                <w:rFonts w:ascii="Arial Narrow" w:hAnsi="Arial Narrow"/>
                <w:b/>
                <w:sz w:val="19"/>
                <w:szCs w:val="19"/>
              </w:rPr>
              <w:t>1</w:t>
            </w:r>
            <w:r w:rsidR="0061061F" w:rsidRPr="00E60F06">
              <w:rPr>
                <w:rFonts w:ascii="Arial Narrow" w:hAnsi="Arial Narrow"/>
                <w:b/>
                <w:sz w:val="19"/>
                <w:szCs w:val="19"/>
              </w:rPr>
              <w:t>0</w:t>
            </w:r>
            <w:r w:rsidR="00F6049A" w:rsidRPr="00E60F06">
              <w:rPr>
                <w:rFonts w:ascii="Arial Narrow" w:hAnsi="Arial Narrow"/>
                <w:b/>
                <w:sz w:val="19"/>
                <w:szCs w:val="19"/>
              </w:rPr>
              <w:t> </w:t>
            </w:r>
            <w:r w:rsidR="0061061F" w:rsidRPr="00E60F06">
              <w:rPr>
                <w:rFonts w:ascii="Arial Narrow" w:hAnsi="Arial Narrow"/>
                <w:b/>
                <w:sz w:val="19"/>
                <w:szCs w:val="19"/>
              </w:rPr>
              <w:t>mg</w:t>
            </w:r>
            <w:r w:rsidRPr="00E60F06">
              <w:rPr>
                <w:rFonts w:ascii="Arial Narrow" w:hAnsi="Arial Narrow"/>
                <w:b/>
                <w:sz w:val="19"/>
                <w:szCs w:val="19"/>
              </w:rPr>
              <w:t>/kg Q2W N=278</w:t>
            </w:r>
          </w:p>
        </w:tc>
        <w:tc>
          <w:tcPr>
            <w:tcW w:w="1276" w:type="dxa"/>
            <w:vAlign w:val="center"/>
          </w:tcPr>
          <w:p w:rsidR="00383F0A" w:rsidRPr="00E60F06" w:rsidRDefault="00383F0A" w:rsidP="00F6049A">
            <w:pPr>
              <w:jc w:val="center"/>
              <w:rPr>
                <w:rFonts w:ascii="Arial Narrow" w:hAnsi="Arial Narrow"/>
                <w:b/>
                <w:sz w:val="19"/>
                <w:szCs w:val="19"/>
              </w:rPr>
            </w:pPr>
            <w:r w:rsidRPr="00E60F06">
              <w:rPr>
                <w:rFonts w:ascii="Arial Narrow" w:hAnsi="Arial Narrow"/>
                <w:b/>
                <w:sz w:val="19"/>
                <w:szCs w:val="19"/>
              </w:rPr>
              <w:t>1</w:t>
            </w:r>
            <w:r w:rsidR="0061061F" w:rsidRPr="00E60F06">
              <w:rPr>
                <w:rFonts w:ascii="Arial Narrow" w:hAnsi="Arial Narrow"/>
                <w:b/>
                <w:sz w:val="19"/>
                <w:szCs w:val="19"/>
              </w:rPr>
              <w:t>0</w:t>
            </w:r>
            <w:r w:rsidR="00F6049A" w:rsidRPr="00E60F06">
              <w:rPr>
                <w:rFonts w:ascii="Arial Narrow" w:hAnsi="Arial Narrow"/>
                <w:b/>
                <w:sz w:val="19"/>
                <w:szCs w:val="19"/>
              </w:rPr>
              <w:t> </w:t>
            </w:r>
            <w:r w:rsidR="0061061F" w:rsidRPr="00E60F06">
              <w:rPr>
                <w:rFonts w:ascii="Arial Narrow" w:hAnsi="Arial Narrow"/>
                <w:b/>
                <w:sz w:val="19"/>
                <w:szCs w:val="19"/>
              </w:rPr>
              <w:t>mg</w:t>
            </w:r>
            <w:r w:rsidRPr="00E60F06">
              <w:rPr>
                <w:rFonts w:ascii="Arial Narrow" w:hAnsi="Arial Narrow"/>
                <w:b/>
                <w:sz w:val="19"/>
                <w:szCs w:val="19"/>
              </w:rPr>
              <w:t>/kg Q3W N=277</w:t>
            </w:r>
          </w:p>
        </w:tc>
        <w:tc>
          <w:tcPr>
            <w:tcW w:w="1256" w:type="dxa"/>
            <w:vMerge/>
            <w:vAlign w:val="center"/>
          </w:tcPr>
          <w:p w:rsidR="00383F0A" w:rsidRPr="00E60F06" w:rsidRDefault="00383F0A" w:rsidP="003E6364">
            <w:pPr>
              <w:jc w:val="center"/>
              <w:rPr>
                <w:rFonts w:ascii="Arial Narrow" w:hAnsi="Arial Narrow"/>
                <w:b/>
                <w:sz w:val="19"/>
                <w:szCs w:val="19"/>
              </w:rPr>
            </w:pPr>
          </w:p>
        </w:tc>
        <w:tc>
          <w:tcPr>
            <w:tcW w:w="1437" w:type="dxa"/>
            <w:vAlign w:val="center"/>
          </w:tcPr>
          <w:p w:rsidR="00383F0A" w:rsidRPr="00E60F06" w:rsidRDefault="00383F0A" w:rsidP="003E6364">
            <w:pPr>
              <w:jc w:val="center"/>
              <w:rPr>
                <w:rFonts w:ascii="Arial Narrow" w:hAnsi="Arial Narrow"/>
                <w:b/>
                <w:sz w:val="19"/>
                <w:szCs w:val="19"/>
              </w:rPr>
            </w:pPr>
            <w:r w:rsidRPr="00E60F06">
              <w:rPr>
                <w:rFonts w:ascii="Arial Narrow" w:hAnsi="Arial Narrow"/>
                <w:b/>
                <w:sz w:val="19"/>
                <w:szCs w:val="19"/>
              </w:rPr>
              <w:t>Pembro Q2W vs. ipi</w:t>
            </w:r>
          </w:p>
        </w:tc>
        <w:tc>
          <w:tcPr>
            <w:tcW w:w="1418" w:type="dxa"/>
            <w:vAlign w:val="center"/>
          </w:tcPr>
          <w:p w:rsidR="00383F0A" w:rsidRPr="00E60F06" w:rsidRDefault="00383F0A" w:rsidP="003E6364">
            <w:pPr>
              <w:jc w:val="center"/>
              <w:rPr>
                <w:rFonts w:ascii="Arial Narrow" w:hAnsi="Arial Narrow"/>
                <w:b/>
                <w:sz w:val="19"/>
                <w:szCs w:val="19"/>
              </w:rPr>
            </w:pPr>
            <w:r w:rsidRPr="00E60F06">
              <w:rPr>
                <w:rFonts w:ascii="Arial Narrow" w:hAnsi="Arial Narrow"/>
                <w:b/>
                <w:sz w:val="19"/>
                <w:szCs w:val="19"/>
              </w:rPr>
              <w:t>Pembro Q3W vs. ipi</w:t>
            </w:r>
          </w:p>
        </w:tc>
      </w:tr>
      <w:tr w:rsidR="00383F0A" w:rsidRPr="00E60F06" w:rsidTr="00383F0A">
        <w:tc>
          <w:tcPr>
            <w:tcW w:w="8363" w:type="dxa"/>
            <w:gridSpan w:val="6"/>
            <w:vAlign w:val="center"/>
          </w:tcPr>
          <w:p w:rsidR="00383F0A" w:rsidRPr="00E60F06" w:rsidRDefault="00383F0A" w:rsidP="003E6364">
            <w:pPr>
              <w:jc w:val="left"/>
              <w:rPr>
                <w:rFonts w:ascii="Arial Narrow" w:hAnsi="Arial Narrow"/>
                <w:b/>
                <w:sz w:val="19"/>
                <w:szCs w:val="19"/>
              </w:rPr>
            </w:pPr>
            <w:r w:rsidRPr="00E60F06">
              <w:rPr>
                <w:rFonts w:ascii="Arial Narrow" w:hAnsi="Arial Narrow"/>
                <w:b/>
                <w:sz w:val="19"/>
                <w:szCs w:val="19"/>
              </w:rPr>
              <w:t xml:space="preserve">Tier 1 events </w:t>
            </w:r>
          </w:p>
        </w:tc>
      </w:tr>
      <w:tr w:rsidR="00383F0A" w:rsidRPr="00E60F06" w:rsidTr="00383F0A">
        <w:tc>
          <w:tcPr>
            <w:tcW w:w="1701" w:type="dxa"/>
            <w:vAlign w:val="center"/>
          </w:tcPr>
          <w:p w:rsidR="00383F0A" w:rsidRPr="00E60F06" w:rsidRDefault="00383F0A" w:rsidP="003E6364">
            <w:pPr>
              <w:jc w:val="left"/>
              <w:rPr>
                <w:rFonts w:ascii="Arial Narrow" w:hAnsi="Arial Narrow"/>
                <w:sz w:val="19"/>
                <w:szCs w:val="19"/>
              </w:rPr>
            </w:pPr>
            <w:r w:rsidRPr="00E60F06">
              <w:rPr>
                <w:rFonts w:ascii="Arial Narrow" w:hAnsi="Arial Narrow"/>
                <w:sz w:val="19"/>
                <w:szCs w:val="19"/>
              </w:rPr>
              <w:t>Sponsor defined events of interest</w:t>
            </w:r>
          </w:p>
        </w:tc>
        <w:tc>
          <w:tcPr>
            <w:tcW w:w="1275"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62 (22.3%)</w:t>
            </w:r>
          </w:p>
        </w:tc>
        <w:tc>
          <w:tcPr>
            <w:tcW w:w="127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78 (28.2%)</w:t>
            </w:r>
          </w:p>
        </w:tc>
        <w:tc>
          <w:tcPr>
            <w:tcW w:w="125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48 (18.8%)</w:t>
            </w:r>
          </w:p>
        </w:tc>
        <w:tc>
          <w:tcPr>
            <w:tcW w:w="1437"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4.7 (-3.4, 13.1)</w:t>
            </w:r>
          </w:p>
        </w:tc>
        <w:tc>
          <w:tcPr>
            <w:tcW w:w="1418"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9.7 (0.7, 18.2)</w:t>
            </w:r>
          </w:p>
        </w:tc>
      </w:tr>
      <w:tr w:rsidR="00383F0A" w:rsidRPr="00E60F06" w:rsidTr="00383F0A">
        <w:tc>
          <w:tcPr>
            <w:tcW w:w="1701" w:type="dxa"/>
            <w:vAlign w:val="center"/>
          </w:tcPr>
          <w:p w:rsidR="00383F0A" w:rsidRPr="00E60F06" w:rsidRDefault="00383F0A" w:rsidP="003E6364">
            <w:pPr>
              <w:jc w:val="left"/>
              <w:rPr>
                <w:rFonts w:ascii="Arial Narrow" w:hAnsi="Arial Narrow"/>
                <w:sz w:val="19"/>
                <w:szCs w:val="19"/>
              </w:rPr>
            </w:pPr>
            <w:r w:rsidRPr="00E60F06">
              <w:rPr>
                <w:rFonts w:ascii="Arial Narrow" w:hAnsi="Arial Narrow"/>
                <w:sz w:val="19"/>
                <w:szCs w:val="19"/>
              </w:rPr>
              <w:t>Grade ≥3 diarrhoea</w:t>
            </w:r>
            <w:r w:rsidRPr="00E60F06">
              <w:rPr>
                <w:rFonts w:ascii="Arial Narrow" w:hAnsi="Arial Narrow"/>
                <w:sz w:val="19"/>
                <w:szCs w:val="19"/>
                <w:vertAlign w:val="superscript"/>
              </w:rPr>
              <w:t>a</w:t>
            </w:r>
          </w:p>
        </w:tc>
        <w:tc>
          <w:tcPr>
            <w:tcW w:w="1275"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8 (2.9%)</w:t>
            </w:r>
          </w:p>
        </w:tc>
        <w:tc>
          <w:tcPr>
            <w:tcW w:w="127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3 (1.1%)</w:t>
            </w:r>
          </w:p>
        </w:tc>
        <w:tc>
          <w:tcPr>
            <w:tcW w:w="125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9 (3.5%)</w:t>
            </w:r>
          </w:p>
        </w:tc>
        <w:tc>
          <w:tcPr>
            <w:tcW w:w="1437"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-1.3 (-5.4, 2.0)</w:t>
            </w:r>
          </w:p>
        </w:tc>
        <w:tc>
          <w:tcPr>
            <w:tcW w:w="1418"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-0.3 (-6.0, 4.3)</w:t>
            </w:r>
          </w:p>
        </w:tc>
      </w:tr>
      <w:tr w:rsidR="00383F0A" w:rsidRPr="00E60F06" w:rsidTr="00383F0A">
        <w:tc>
          <w:tcPr>
            <w:tcW w:w="1701" w:type="dxa"/>
            <w:vAlign w:val="center"/>
          </w:tcPr>
          <w:p w:rsidR="00383F0A" w:rsidRPr="00E60F06" w:rsidRDefault="00383F0A" w:rsidP="003E6364">
            <w:pPr>
              <w:jc w:val="left"/>
              <w:rPr>
                <w:rFonts w:ascii="Arial Narrow" w:hAnsi="Arial Narrow"/>
                <w:sz w:val="19"/>
                <w:szCs w:val="19"/>
              </w:rPr>
            </w:pPr>
            <w:r w:rsidRPr="00E60F06">
              <w:rPr>
                <w:rFonts w:ascii="Arial Narrow" w:hAnsi="Arial Narrow"/>
                <w:sz w:val="19"/>
                <w:szCs w:val="19"/>
              </w:rPr>
              <w:t>Grade ≥3 colitis</w:t>
            </w:r>
            <w:r w:rsidRPr="00E60F06">
              <w:rPr>
                <w:rFonts w:ascii="Arial Narrow" w:hAnsi="Arial Narrow"/>
                <w:sz w:val="19"/>
                <w:szCs w:val="19"/>
                <w:vertAlign w:val="superscript"/>
              </w:rPr>
              <w:t>a</w:t>
            </w:r>
          </w:p>
        </w:tc>
        <w:tc>
          <w:tcPr>
            <w:tcW w:w="1275"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4 (1.4%)</w:t>
            </w:r>
          </w:p>
        </w:tc>
        <w:tc>
          <w:tcPr>
            <w:tcW w:w="127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7 (2.5%)</w:t>
            </w:r>
          </w:p>
        </w:tc>
        <w:tc>
          <w:tcPr>
            <w:tcW w:w="125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18 (7.0%)</w:t>
            </w:r>
          </w:p>
        </w:tc>
        <w:tc>
          <w:tcPr>
            <w:tcW w:w="1437" w:type="dxa"/>
            <w:vAlign w:val="center"/>
          </w:tcPr>
          <w:p w:rsidR="00383F0A" w:rsidRPr="00E60F06" w:rsidRDefault="00383F0A" w:rsidP="003E6364">
            <w:pPr>
              <w:jc w:val="center"/>
              <w:rPr>
                <w:rFonts w:ascii="Arial Narrow" w:hAnsi="Arial Narrow"/>
                <w:b/>
                <w:sz w:val="19"/>
                <w:szCs w:val="19"/>
              </w:rPr>
            </w:pPr>
            <w:r w:rsidRPr="00E60F06">
              <w:rPr>
                <w:rFonts w:ascii="Arial Narrow" w:hAnsi="Arial Narrow"/>
                <w:b/>
                <w:sz w:val="19"/>
                <w:szCs w:val="19"/>
              </w:rPr>
              <w:t>-5.4 (-11.1, -1.3)</w:t>
            </w:r>
          </w:p>
        </w:tc>
        <w:tc>
          <w:tcPr>
            <w:tcW w:w="1418" w:type="dxa"/>
            <w:vAlign w:val="center"/>
          </w:tcPr>
          <w:p w:rsidR="00383F0A" w:rsidRPr="00E60F06" w:rsidRDefault="00383F0A" w:rsidP="003E6364">
            <w:pPr>
              <w:jc w:val="center"/>
              <w:rPr>
                <w:rFonts w:ascii="Arial Narrow" w:hAnsi="Arial Narrow"/>
                <w:b/>
                <w:sz w:val="19"/>
                <w:szCs w:val="19"/>
              </w:rPr>
            </w:pPr>
            <w:r w:rsidRPr="00E60F06">
              <w:rPr>
                <w:rFonts w:ascii="Arial Narrow" w:hAnsi="Arial Narrow"/>
                <w:b/>
                <w:sz w:val="19"/>
                <w:szCs w:val="19"/>
              </w:rPr>
              <w:t>-5.0 (-10.6, -1.0)</w:t>
            </w:r>
          </w:p>
        </w:tc>
      </w:tr>
      <w:tr w:rsidR="00383F0A" w:rsidRPr="00E60F06" w:rsidTr="00383F0A">
        <w:tc>
          <w:tcPr>
            <w:tcW w:w="1701" w:type="dxa"/>
            <w:vAlign w:val="center"/>
          </w:tcPr>
          <w:p w:rsidR="00383F0A" w:rsidRPr="00E60F06" w:rsidRDefault="00383F0A" w:rsidP="003E6364">
            <w:pPr>
              <w:jc w:val="left"/>
              <w:rPr>
                <w:rFonts w:ascii="Arial Narrow" w:hAnsi="Arial Narrow"/>
                <w:sz w:val="19"/>
                <w:szCs w:val="19"/>
              </w:rPr>
            </w:pPr>
            <w:r w:rsidRPr="00E60F06">
              <w:rPr>
                <w:rFonts w:ascii="Arial Narrow" w:hAnsi="Arial Narrow"/>
                <w:sz w:val="19"/>
                <w:szCs w:val="19"/>
              </w:rPr>
              <w:t>Grade ≥2 pneumonitis</w:t>
            </w:r>
            <w:r w:rsidRPr="00E60F06">
              <w:rPr>
                <w:rFonts w:ascii="Arial Narrow" w:hAnsi="Arial Narrow"/>
                <w:sz w:val="19"/>
                <w:szCs w:val="19"/>
                <w:vertAlign w:val="superscript"/>
              </w:rPr>
              <w:t>a</w:t>
            </w:r>
          </w:p>
        </w:tc>
        <w:tc>
          <w:tcPr>
            <w:tcW w:w="1275"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1 (0.4%)</w:t>
            </w:r>
          </w:p>
        </w:tc>
        <w:tc>
          <w:tcPr>
            <w:tcW w:w="127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7 (2.5%)</w:t>
            </w:r>
          </w:p>
        </w:tc>
        <w:tc>
          <w:tcPr>
            <w:tcW w:w="125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1 (0.4%)</w:t>
            </w:r>
          </w:p>
        </w:tc>
        <w:tc>
          <w:tcPr>
            <w:tcW w:w="1437"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-0.2 (-3.3, 2.6)</w:t>
            </w:r>
          </w:p>
        </w:tc>
        <w:tc>
          <w:tcPr>
            <w:tcW w:w="1418" w:type="dxa"/>
            <w:vAlign w:val="center"/>
          </w:tcPr>
          <w:p w:rsidR="00383F0A" w:rsidRPr="00E60F06" w:rsidRDefault="00383F0A" w:rsidP="003E6364">
            <w:pPr>
              <w:jc w:val="center"/>
              <w:rPr>
                <w:rFonts w:ascii="Arial Narrow" w:hAnsi="Arial Narrow"/>
                <w:b/>
                <w:sz w:val="19"/>
                <w:szCs w:val="19"/>
              </w:rPr>
            </w:pPr>
            <w:r w:rsidRPr="00E60F06">
              <w:rPr>
                <w:rFonts w:ascii="Arial Narrow" w:hAnsi="Arial Narrow"/>
                <w:b/>
                <w:sz w:val="19"/>
                <w:szCs w:val="19"/>
              </w:rPr>
              <w:t>3.6 (0.2, 8.1)</w:t>
            </w:r>
          </w:p>
        </w:tc>
      </w:tr>
      <w:tr w:rsidR="00383F0A" w:rsidRPr="00E60F06" w:rsidTr="00383F0A">
        <w:tc>
          <w:tcPr>
            <w:tcW w:w="1701" w:type="dxa"/>
            <w:vAlign w:val="center"/>
          </w:tcPr>
          <w:p w:rsidR="00383F0A" w:rsidRPr="00E60F06" w:rsidRDefault="00383F0A" w:rsidP="003E6364">
            <w:pPr>
              <w:jc w:val="left"/>
              <w:rPr>
                <w:rFonts w:ascii="Arial Narrow" w:hAnsi="Arial Narrow"/>
                <w:sz w:val="19"/>
                <w:szCs w:val="19"/>
              </w:rPr>
            </w:pPr>
            <w:r w:rsidRPr="00E60F06">
              <w:rPr>
                <w:rFonts w:ascii="Arial Narrow" w:hAnsi="Arial Narrow"/>
                <w:sz w:val="19"/>
                <w:szCs w:val="19"/>
              </w:rPr>
              <w:t>Grade ≥3 hypo- or hyperthyroidism</w:t>
            </w:r>
            <w:r w:rsidRPr="00E60F06">
              <w:rPr>
                <w:rFonts w:ascii="Arial Narrow" w:hAnsi="Arial Narrow"/>
                <w:sz w:val="19"/>
                <w:szCs w:val="19"/>
                <w:vertAlign w:val="superscript"/>
              </w:rPr>
              <w:t>a</w:t>
            </w:r>
          </w:p>
        </w:tc>
        <w:tc>
          <w:tcPr>
            <w:tcW w:w="1275"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0 (0%)</w:t>
            </w:r>
          </w:p>
        </w:tc>
        <w:tc>
          <w:tcPr>
            <w:tcW w:w="127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0 (0%)</w:t>
            </w:r>
          </w:p>
        </w:tc>
        <w:tc>
          <w:tcPr>
            <w:tcW w:w="125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1 (0.4%)</w:t>
            </w:r>
          </w:p>
        </w:tc>
        <w:tc>
          <w:tcPr>
            <w:tcW w:w="1437"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-0.3 (-3.5, 2.3)</w:t>
            </w:r>
          </w:p>
        </w:tc>
        <w:tc>
          <w:tcPr>
            <w:tcW w:w="1418"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-0.3 (-3.5, 2.2)</w:t>
            </w:r>
          </w:p>
        </w:tc>
      </w:tr>
      <w:tr w:rsidR="00383F0A" w:rsidRPr="00E60F06" w:rsidTr="00383F0A">
        <w:tc>
          <w:tcPr>
            <w:tcW w:w="1701" w:type="dxa"/>
            <w:vAlign w:val="center"/>
          </w:tcPr>
          <w:p w:rsidR="00383F0A" w:rsidRPr="00E60F06" w:rsidRDefault="00383F0A" w:rsidP="003E6364">
            <w:pPr>
              <w:jc w:val="left"/>
              <w:rPr>
                <w:rFonts w:ascii="Arial Narrow" w:hAnsi="Arial Narrow"/>
                <w:sz w:val="19"/>
                <w:szCs w:val="19"/>
              </w:rPr>
            </w:pPr>
            <w:r w:rsidRPr="00E60F06">
              <w:rPr>
                <w:rFonts w:ascii="Arial Narrow" w:hAnsi="Arial Narrow"/>
                <w:sz w:val="19"/>
                <w:szCs w:val="19"/>
              </w:rPr>
              <w:t>Grade ≥3 skin toxicity</w:t>
            </w:r>
            <w:r w:rsidRPr="00E60F06">
              <w:rPr>
                <w:rFonts w:ascii="Arial Narrow" w:hAnsi="Arial Narrow"/>
                <w:sz w:val="19"/>
                <w:szCs w:val="19"/>
                <w:vertAlign w:val="superscript"/>
              </w:rPr>
              <w:t>a</w:t>
            </w:r>
          </w:p>
        </w:tc>
        <w:tc>
          <w:tcPr>
            <w:tcW w:w="1275"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1 (0.4%)</w:t>
            </w:r>
          </w:p>
        </w:tc>
        <w:tc>
          <w:tcPr>
            <w:tcW w:w="127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4 (1.4%)</w:t>
            </w:r>
          </w:p>
        </w:tc>
        <w:tc>
          <w:tcPr>
            <w:tcW w:w="125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3 (1.2%)</w:t>
            </w:r>
          </w:p>
        </w:tc>
        <w:tc>
          <w:tcPr>
            <w:tcW w:w="1437"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-0.6 (-4.1, 2.1)</w:t>
            </w:r>
          </w:p>
        </w:tc>
        <w:tc>
          <w:tcPr>
            <w:tcW w:w="1418"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-0.0 (-3.2, 3.0)</w:t>
            </w:r>
          </w:p>
        </w:tc>
      </w:tr>
      <w:tr w:rsidR="00383F0A" w:rsidRPr="00E60F06" w:rsidTr="00383F0A">
        <w:tc>
          <w:tcPr>
            <w:tcW w:w="1701" w:type="dxa"/>
            <w:vAlign w:val="center"/>
          </w:tcPr>
          <w:p w:rsidR="00383F0A" w:rsidRPr="00E60F06" w:rsidRDefault="00383F0A" w:rsidP="003E6364">
            <w:pPr>
              <w:jc w:val="left"/>
              <w:rPr>
                <w:rFonts w:ascii="Arial Narrow" w:hAnsi="Arial Narrow"/>
                <w:sz w:val="19"/>
                <w:szCs w:val="19"/>
              </w:rPr>
            </w:pPr>
            <w:r w:rsidRPr="00E60F06">
              <w:rPr>
                <w:rFonts w:ascii="Arial Narrow" w:hAnsi="Arial Narrow"/>
                <w:sz w:val="19"/>
                <w:szCs w:val="19"/>
              </w:rPr>
              <w:t>Immune-related AE</w:t>
            </w:r>
          </w:p>
        </w:tc>
        <w:tc>
          <w:tcPr>
            <w:tcW w:w="1275"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127 (45.7%)</w:t>
            </w:r>
          </w:p>
        </w:tc>
        <w:tc>
          <w:tcPr>
            <w:tcW w:w="127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117 (42.2%)</w:t>
            </w:r>
          </w:p>
        </w:tc>
        <w:tc>
          <w:tcPr>
            <w:tcW w:w="125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111 (43.4%)</w:t>
            </w:r>
          </w:p>
        </w:tc>
        <w:tc>
          <w:tcPr>
            <w:tcW w:w="1437"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1.0 (-10.2, 11.5)</w:t>
            </w:r>
          </w:p>
        </w:tc>
        <w:tc>
          <w:tcPr>
            <w:tcW w:w="1418"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-1.8 (-12.9, 8.6)</w:t>
            </w:r>
          </w:p>
        </w:tc>
      </w:tr>
      <w:tr w:rsidR="00383F0A" w:rsidRPr="00E60F06" w:rsidTr="00383F0A">
        <w:tc>
          <w:tcPr>
            <w:tcW w:w="8363" w:type="dxa"/>
            <w:gridSpan w:val="6"/>
            <w:vAlign w:val="center"/>
          </w:tcPr>
          <w:p w:rsidR="00383F0A" w:rsidRPr="00E60F06" w:rsidRDefault="00383F0A" w:rsidP="003E6364">
            <w:pPr>
              <w:jc w:val="left"/>
              <w:rPr>
                <w:rFonts w:ascii="Arial Narrow" w:hAnsi="Arial Narrow"/>
                <w:b/>
                <w:sz w:val="19"/>
                <w:szCs w:val="19"/>
              </w:rPr>
            </w:pPr>
            <w:r w:rsidRPr="00E60F06">
              <w:rPr>
                <w:rFonts w:ascii="Arial Narrow" w:hAnsi="Arial Narrow"/>
                <w:b/>
                <w:sz w:val="19"/>
                <w:szCs w:val="19"/>
              </w:rPr>
              <w:t>Tier 2 events</w:t>
            </w:r>
          </w:p>
        </w:tc>
      </w:tr>
      <w:tr w:rsidR="00383F0A" w:rsidRPr="00E60F06" w:rsidTr="00383F0A">
        <w:tc>
          <w:tcPr>
            <w:tcW w:w="1701" w:type="dxa"/>
            <w:vAlign w:val="center"/>
          </w:tcPr>
          <w:p w:rsidR="00383F0A" w:rsidRPr="00E60F06" w:rsidRDefault="00383F0A" w:rsidP="003E6364">
            <w:pPr>
              <w:jc w:val="left"/>
              <w:rPr>
                <w:rFonts w:ascii="Arial Narrow" w:hAnsi="Arial Narrow"/>
                <w:sz w:val="19"/>
                <w:szCs w:val="19"/>
              </w:rPr>
            </w:pPr>
            <w:r w:rsidRPr="00E60F06">
              <w:rPr>
                <w:rFonts w:ascii="Arial Narrow" w:hAnsi="Arial Narrow"/>
                <w:sz w:val="19"/>
                <w:szCs w:val="19"/>
              </w:rPr>
              <w:t>Serious drug-related events</w:t>
            </w:r>
          </w:p>
        </w:tc>
        <w:tc>
          <w:tcPr>
            <w:tcW w:w="1275"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34 (12.2%)</w:t>
            </w:r>
          </w:p>
        </w:tc>
        <w:tc>
          <w:tcPr>
            <w:tcW w:w="127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26 (9.4%)</w:t>
            </w:r>
          </w:p>
        </w:tc>
        <w:tc>
          <w:tcPr>
            <w:tcW w:w="125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45 (17.6%)</w:t>
            </w:r>
          </w:p>
        </w:tc>
        <w:tc>
          <w:tcPr>
            <w:tcW w:w="1437" w:type="dxa"/>
            <w:vAlign w:val="center"/>
          </w:tcPr>
          <w:p w:rsidR="00383F0A" w:rsidRPr="00E60F06" w:rsidRDefault="00383F0A" w:rsidP="003E6364">
            <w:pPr>
              <w:jc w:val="center"/>
              <w:rPr>
                <w:rFonts w:ascii="Arial Narrow" w:hAnsi="Arial Narrow"/>
                <w:b/>
                <w:sz w:val="19"/>
                <w:szCs w:val="19"/>
              </w:rPr>
            </w:pPr>
            <w:r w:rsidRPr="00E60F06">
              <w:rPr>
                <w:rFonts w:ascii="Arial Narrow" w:hAnsi="Arial Narrow"/>
                <w:b/>
                <w:sz w:val="19"/>
                <w:szCs w:val="19"/>
              </w:rPr>
              <w:t>-7.8 (-15.6, -0.9)</w:t>
            </w:r>
          </w:p>
        </w:tc>
        <w:tc>
          <w:tcPr>
            <w:tcW w:w="1418"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-7.4 (-16.0, 0.6)</w:t>
            </w:r>
          </w:p>
        </w:tc>
      </w:tr>
      <w:tr w:rsidR="00383F0A" w:rsidRPr="00E60F06" w:rsidTr="00383F0A">
        <w:tc>
          <w:tcPr>
            <w:tcW w:w="1701" w:type="dxa"/>
            <w:vAlign w:val="center"/>
          </w:tcPr>
          <w:p w:rsidR="00383F0A" w:rsidRPr="00E60F06" w:rsidRDefault="00383F0A" w:rsidP="003E6364">
            <w:pPr>
              <w:jc w:val="left"/>
              <w:rPr>
                <w:rFonts w:ascii="Arial Narrow" w:hAnsi="Arial Narrow"/>
                <w:sz w:val="19"/>
                <w:szCs w:val="19"/>
              </w:rPr>
            </w:pPr>
            <w:r w:rsidRPr="00E60F06">
              <w:rPr>
                <w:rFonts w:ascii="Arial Narrow" w:hAnsi="Arial Narrow"/>
                <w:sz w:val="19"/>
                <w:szCs w:val="19"/>
              </w:rPr>
              <w:t>Discontinued - drug-related event</w:t>
            </w:r>
          </w:p>
        </w:tc>
        <w:tc>
          <w:tcPr>
            <w:tcW w:w="1275"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15 (5.4%)</w:t>
            </w:r>
          </w:p>
        </w:tc>
        <w:tc>
          <w:tcPr>
            <w:tcW w:w="127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22 (7.9%)</w:t>
            </w:r>
          </w:p>
        </w:tc>
        <w:tc>
          <w:tcPr>
            <w:tcW w:w="125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24 (9.4%)</w:t>
            </w:r>
          </w:p>
        </w:tc>
        <w:tc>
          <w:tcPr>
            <w:tcW w:w="1437"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-4.3 (-11.0, 1.1)</w:t>
            </w:r>
          </w:p>
        </w:tc>
        <w:tc>
          <w:tcPr>
            <w:tcW w:w="1418"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-2.7 (-9.3, 3.2)</w:t>
            </w:r>
          </w:p>
        </w:tc>
      </w:tr>
      <w:tr w:rsidR="00383F0A" w:rsidRPr="00E60F06" w:rsidTr="00383F0A">
        <w:tc>
          <w:tcPr>
            <w:tcW w:w="1701" w:type="dxa"/>
            <w:vAlign w:val="center"/>
          </w:tcPr>
          <w:p w:rsidR="00383F0A" w:rsidRPr="00E60F06" w:rsidRDefault="00383F0A" w:rsidP="003E6364">
            <w:pPr>
              <w:jc w:val="left"/>
              <w:rPr>
                <w:rFonts w:ascii="Arial Narrow" w:hAnsi="Arial Narrow"/>
                <w:sz w:val="19"/>
                <w:szCs w:val="19"/>
              </w:rPr>
            </w:pPr>
            <w:r w:rsidRPr="00E60F06">
              <w:rPr>
                <w:rFonts w:ascii="Arial Narrow" w:hAnsi="Arial Narrow"/>
                <w:sz w:val="19"/>
                <w:szCs w:val="19"/>
              </w:rPr>
              <w:t>Any drug-related grade 3-5 event</w:t>
            </w:r>
          </w:p>
        </w:tc>
        <w:tc>
          <w:tcPr>
            <w:tcW w:w="1275"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42 (15.1%)</w:t>
            </w:r>
          </w:p>
        </w:tc>
        <w:tc>
          <w:tcPr>
            <w:tcW w:w="127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35 (12.6%)</w:t>
            </w:r>
          </w:p>
        </w:tc>
        <w:tc>
          <w:tcPr>
            <w:tcW w:w="1256"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51 (19.9%)</w:t>
            </w:r>
          </w:p>
        </w:tc>
        <w:tc>
          <w:tcPr>
            <w:tcW w:w="1437"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b/>
                <w:sz w:val="19"/>
                <w:szCs w:val="19"/>
              </w:rPr>
              <w:t>-7.1 (-15.3, -0.1</w:t>
            </w:r>
            <w:r w:rsidRPr="00E60F06">
              <w:rPr>
                <w:rFonts w:ascii="Arial Narrow" w:hAnsi="Arial Narrow"/>
                <w:sz w:val="19"/>
                <w:szCs w:val="19"/>
              </w:rPr>
              <w:t>)</w:t>
            </w:r>
          </w:p>
        </w:tc>
        <w:tc>
          <w:tcPr>
            <w:tcW w:w="1418" w:type="dxa"/>
            <w:vAlign w:val="center"/>
          </w:tcPr>
          <w:p w:rsidR="00383F0A" w:rsidRPr="00E60F06" w:rsidRDefault="00383F0A" w:rsidP="003E6364">
            <w:pPr>
              <w:jc w:val="center"/>
              <w:rPr>
                <w:rFonts w:ascii="Arial Narrow" w:hAnsi="Arial Narrow"/>
                <w:sz w:val="19"/>
                <w:szCs w:val="19"/>
              </w:rPr>
            </w:pPr>
            <w:r w:rsidRPr="00E60F06">
              <w:rPr>
                <w:rFonts w:ascii="Arial Narrow" w:hAnsi="Arial Narrow"/>
                <w:sz w:val="19"/>
                <w:szCs w:val="19"/>
              </w:rPr>
              <w:t>-4.2 (-13.5, 4.5)</w:t>
            </w:r>
          </w:p>
        </w:tc>
      </w:tr>
    </w:tbl>
    <w:p w:rsidR="00383F0A" w:rsidRPr="00E60F06" w:rsidRDefault="00383F0A" w:rsidP="00383F0A">
      <w:pPr>
        <w:pStyle w:val="TableFooter"/>
        <w:tabs>
          <w:tab w:val="left" w:pos="142"/>
        </w:tabs>
        <w:ind w:left="709"/>
      </w:pPr>
      <w:r w:rsidRPr="00E60F06">
        <w:rPr>
          <w:vertAlign w:val="superscript"/>
        </w:rPr>
        <w:t>a</w:t>
      </w:r>
      <w:r w:rsidRPr="00E60F06">
        <w:t xml:space="preserve"> with potential immunologic aetiology</w:t>
      </w:r>
    </w:p>
    <w:p w:rsidR="00ED4C98" w:rsidRPr="00E60F06" w:rsidRDefault="00F6049A" w:rsidP="00383F0A">
      <w:pPr>
        <w:pStyle w:val="TableFooter"/>
        <w:ind w:left="709"/>
        <w:rPr>
          <w:szCs w:val="22"/>
        </w:rPr>
      </w:pPr>
      <w:r w:rsidRPr="00E60F06">
        <w:t xml:space="preserve">Source: </w:t>
      </w:r>
      <w:r w:rsidR="00383F0A" w:rsidRPr="00E60F06">
        <w:t>Table B.6-15, p86 and Table B.6-17, p87-88 of the submission</w:t>
      </w:r>
      <w:r w:rsidRPr="00E60F06">
        <w:t>.</w:t>
      </w:r>
    </w:p>
    <w:p w:rsidR="00ED4C98" w:rsidRPr="00E60F06" w:rsidRDefault="00ED4C98" w:rsidP="00ED4C98">
      <w:pPr>
        <w:widowControl/>
        <w:rPr>
          <w:szCs w:val="22"/>
        </w:rPr>
      </w:pPr>
    </w:p>
    <w:p w:rsidR="003E6364" w:rsidRPr="00E60F06" w:rsidRDefault="003E6364" w:rsidP="00423721">
      <w:pPr>
        <w:pStyle w:val="ListParagraph"/>
        <w:widowControl/>
        <w:numPr>
          <w:ilvl w:val="1"/>
          <w:numId w:val="3"/>
        </w:numPr>
        <w:rPr>
          <w:szCs w:val="22"/>
        </w:rPr>
      </w:pPr>
      <w:r w:rsidRPr="00E60F06">
        <w:t>The analyses showed statistically significantly fewer patients treated with pembrolizumab experienced grade ≥3 colitis, while significantly fewer patients treated with ipilimumab experienced grade ≥2 pneumonitis compared to those treated with pembrolizumab 1</w:t>
      </w:r>
      <w:r w:rsidR="00F6049A" w:rsidRPr="00E60F06">
        <w:t>0 </w:t>
      </w:r>
      <w:r w:rsidR="0061061F" w:rsidRPr="00E60F06">
        <w:t>mg</w:t>
      </w:r>
      <w:r w:rsidRPr="00E60F06">
        <w:t>/kg Q3W.  Significantly fewer patients treated with pembrolizumab 1</w:t>
      </w:r>
      <w:r w:rsidR="0061061F" w:rsidRPr="00E60F06">
        <w:t>0</w:t>
      </w:r>
      <w:r w:rsidR="00F6049A" w:rsidRPr="00E60F06">
        <w:t> </w:t>
      </w:r>
      <w:r w:rsidR="0061061F" w:rsidRPr="00E60F06">
        <w:t>mg</w:t>
      </w:r>
      <w:r w:rsidRPr="00E60F06">
        <w:t>/kg Q2W experienced serious drug-related AEs or any drug-related grade 3-5 AEs compared to those treated with ipilimumab.  This difference may have limited relevance given the Q2W frequency of dosing is not used in Australia.</w:t>
      </w:r>
    </w:p>
    <w:p w:rsidR="003E6364" w:rsidRPr="00E60F06" w:rsidRDefault="003E6364" w:rsidP="003E6364"/>
    <w:p w:rsidR="00B60939" w:rsidRPr="00E60F06" w:rsidRDefault="003E6364" w:rsidP="00BD0F53">
      <w:pPr>
        <w:pStyle w:val="ListParagraph"/>
        <w:widowControl/>
        <w:numPr>
          <w:ilvl w:val="1"/>
          <w:numId w:val="3"/>
        </w:numPr>
        <w:ind w:left="709"/>
        <w:rPr>
          <w:szCs w:val="22"/>
        </w:rPr>
      </w:pPr>
      <w:r w:rsidRPr="00E60F06">
        <w:t>The modelled evaluation included</w:t>
      </w:r>
      <w:r w:rsidR="00685B27" w:rsidRPr="00E60F06">
        <w:t xml:space="preserve"> the following AEs,</w:t>
      </w:r>
      <w:r w:rsidRPr="00E60F06">
        <w:t xml:space="preserve"> all </w:t>
      </w:r>
      <w:r w:rsidR="00F6049A" w:rsidRPr="00E60F06">
        <w:t xml:space="preserve">of which </w:t>
      </w:r>
      <w:r w:rsidR="00685B27" w:rsidRPr="00E60F06">
        <w:t xml:space="preserve">were </w:t>
      </w:r>
      <w:r w:rsidRPr="00E60F06">
        <w:t>grade ≥3</w:t>
      </w:r>
      <w:r w:rsidR="00685B27" w:rsidRPr="00E60F06">
        <w:t xml:space="preserve"> events</w:t>
      </w:r>
      <w:r w:rsidRPr="00E60F06">
        <w:t xml:space="preserve"> with</w:t>
      </w:r>
      <w:r w:rsidR="00D620CE" w:rsidRPr="00E60F06">
        <w:t xml:space="preserve"> p</w:t>
      </w:r>
      <w:r w:rsidR="00436C3B" w:rsidRPr="00E60F06">
        <w:t>otential immunologic aetiology (</w:t>
      </w:r>
      <w:r w:rsidR="00D620CE" w:rsidRPr="00E60F06">
        <w:t>with the</w:t>
      </w:r>
      <w:r w:rsidRPr="00E60F06">
        <w:t xml:space="preserve"> exception of thyroid disor</w:t>
      </w:r>
      <w:r w:rsidR="00D620CE" w:rsidRPr="00E60F06">
        <w:t>ders, which were of any grade</w:t>
      </w:r>
      <w:r w:rsidR="00436C3B" w:rsidRPr="00E60F06">
        <w:t>)</w:t>
      </w:r>
      <w:r w:rsidR="00D620CE" w:rsidRPr="00E60F06">
        <w:t xml:space="preserve">: </w:t>
      </w:r>
      <w:r w:rsidRPr="00E60F06">
        <w:t>endocrine disorders; colitis; diarrhoea; asthenia/fatigue; infections and infestations; hypertension and thyroid disorders.</w:t>
      </w:r>
      <w:r w:rsidR="001A54B1" w:rsidRPr="00E60F06">
        <w:t xml:space="preserve">  </w:t>
      </w:r>
      <w:r w:rsidR="00D620CE" w:rsidRPr="00E60F06">
        <w:t>Of the AEs included in the model there were only statistically significant differences between pembrolizumab and ipilimumab for colitis, favouring pembrolizumab</w:t>
      </w:r>
      <w:r w:rsidR="00436C3B" w:rsidRPr="00E60F06">
        <w:t>.</w:t>
      </w:r>
    </w:p>
    <w:p w:rsidR="00805784" w:rsidRPr="00E60F06" w:rsidRDefault="00805784" w:rsidP="00BD0F53">
      <w:pPr>
        <w:pStyle w:val="ListParagraph"/>
        <w:widowControl/>
        <w:ind w:left="709" w:hanging="709"/>
        <w:rPr>
          <w:szCs w:val="22"/>
        </w:rPr>
      </w:pPr>
    </w:p>
    <w:p w:rsidR="007F1017" w:rsidRPr="00E60F06" w:rsidRDefault="007F1017" w:rsidP="00BD0F53">
      <w:pPr>
        <w:pStyle w:val="Heading2"/>
        <w:ind w:left="709" w:hanging="709"/>
        <w:rPr>
          <w:i/>
          <w:szCs w:val="22"/>
        </w:rPr>
      </w:pPr>
      <w:bookmarkStart w:id="10" w:name="_Toc440982038"/>
      <w:r w:rsidRPr="00E60F06">
        <w:rPr>
          <w:i/>
        </w:rPr>
        <w:t>Benefits/harms</w:t>
      </w:r>
      <w:bookmarkEnd w:id="10"/>
    </w:p>
    <w:p w:rsidR="007F1017" w:rsidRPr="00E60F06" w:rsidRDefault="007F1017" w:rsidP="00BD0F53">
      <w:pPr>
        <w:ind w:left="709" w:hanging="709"/>
      </w:pPr>
    </w:p>
    <w:p w:rsidR="00EC00C9" w:rsidRPr="00E60F06" w:rsidRDefault="00EC00C9" w:rsidP="00BD0F53">
      <w:pPr>
        <w:pStyle w:val="ListParagraph"/>
        <w:widowControl/>
        <w:numPr>
          <w:ilvl w:val="1"/>
          <w:numId w:val="3"/>
        </w:numPr>
        <w:ind w:left="709" w:hanging="709"/>
        <w:rPr>
          <w:szCs w:val="22"/>
        </w:rPr>
      </w:pPr>
      <w:r w:rsidRPr="00E60F06">
        <w:rPr>
          <w:szCs w:val="22"/>
        </w:rPr>
        <w:t xml:space="preserve">A summary of the comparative benefits and harms for </w:t>
      </w:r>
      <w:r w:rsidR="00414E5C" w:rsidRPr="00E60F06">
        <w:rPr>
          <w:szCs w:val="22"/>
        </w:rPr>
        <w:t>p</w:t>
      </w:r>
      <w:r w:rsidR="000205CA" w:rsidRPr="00E60F06">
        <w:rPr>
          <w:szCs w:val="22"/>
        </w:rPr>
        <w:t>embrolizumab</w:t>
      </w:r>
      <w:r w:rsidRPr="00E60F06">
        <w:rPr>
          <w:szCs w:val="22"/>
        </w:rPr>
        <w:t xml:space="preserve"> versus </w:t>
      </w:r>
      <w:r w:rsidR="000205CA" w:rsidRPr="00E60F06">
        <w:rPr>
          <w:szCs w:val="22"/>
        </w:rPr>
        <w:t>ipilimumab</w:t>
      </w:r>
      <w:r w:rsidR="00E154B6" w:rsidRPr="00E60F06">
        <w:rPr>
          <w:szCs w:val="22"/>
        </w:rPr>
        <w:t xml:space="preserve"> is </w:t>
      </w:r>
      <w:r w:rsidR="00755379" w:rsidRPr="00E60F06">
        <w:rPr>
          <w:szCs w:val="22"/>
        </w:rPr>
        <w:t>presented in the T</w:t>
      </w:r>
      <w:r w:rsidR="00E154B6" w:rsidRPr="00E60F06">
        <w:rPr>
          <w:szCs w:val="22"/>
        </w:rPr>
        <w:t>able 7</w:t>
      </w:r>
      <w:r w:rsidRPr="00E60F06">
        <w:rPr>
          <w:szCs w:val="22"/>
        </w:rPr>
        <w:t>.</w:t>
      </w:r>
    </w:p>
    <w:p w:rsidR="00162913" w:rsidRPr="00E60F06" w:rsidRDefault="00162913" w:rsidP="00BD0F53">
      <w:pPr>
        <w:ind w:left="709" w:hanging="709"/>
      </w:pPr>
    </w:p>
    <w:p w:rsidR="00BD0F53" w:rsidRPr="00E60F06" w:rsidRDefault="00BD0F53">
      <w:pPr>
        <w:widowControl/>
        <w:jc w:val="left"/>
        <w:rPr>
          <w:rStyle w:val="CommentReference"/>
        </w:rPr>
      </w:pPr>
      <w:r w:rsidRPr="00E60F06">
        <w:rPr>
          <w:rStyle w:val="CommentReference"/>
        </w:rPr>
        <w:br w:type="page"/>
      </w:r>
    </w:p>
    <w:p w:rsidR="00656B2F" w:rsidRPr="00E60F06" w:rsidRDefault="00656B2F" w:rsidP="00656B2F">
      <w:pPr>
        <w:pStyle w:val="ListParagraph"/>
        <w:widowControl/>
        <w:rPr>
          <w:szCs w:val="22"/>
        </w:rPr>
      </w:pPr>
      <w:r w:rsidRPr="00E60F06">
        <w:rPr>
          <w:rStyle w:val="CommentReference"/>
        </w:rPr>
        <w:t>Table</w:t>
      </w:r>
      <w:r w:rsidR="00160BD4" w:rsidRPr="00E60F06">
        <w:rPr>
          <w:rStyle w:val="CommentReference"/>
        </w:rPr>
        <w:t xml:space="preserve"> </w:t>
      </w:r>
      <w:r w:rsidR="00163818" w:rsidRPr="00E60F06">
        <w:rPr>
          <w:rStyle w:val="CommentReference"/>
        </w:rPr>
        <w:t>7</w:t>
      </w:r>
      <w:r w:rsidR="006E36CC" w:rsidRPr="00E60F06">
        <w:rPr>
          <w:rStyle w:val="CommentReference"/>
        </w:rPr>
        <w:t>:</w:t>
      </w:r>
      <w:r w:rsidR="00F6049A" w:rsidRPr="00E60F06">
        <w:rPr>
          <w:rStyle w:val="CommentReference"/>
        </w:rPr>
        <w:t xml:space="preserve"> </w:t>
      </w:r>
      <w:r w:rsidRPr="00E60F06">
        <w:rPr>
          <w:rStyle w:val="CommentReference"/>
        </w:rPr>
        <w:t>Summary of benefits and harms for pembrolizumab and ipilimumab</w:t>
      </w:r>
      <w:r w:rsidR="00BF28F1" w:rsidRPr="00E60F06">
        <w:rPr>
          <w:rStyle w:val="CommentReference"/>
        </w:rPr>
        <w:t xml:space="preserve"> based on the second interim analysis of KN-006</w:t>
      </w:r>
    </w:p>
    <w:tbl>
      <w:tblPr>
        <w:tblStyle w:val="TableGrid"/>
        <w:tblW w:w="4665" w:type="pct"/>
        <w:tblInd w:w="698" w:type="dxa"/>
        <w:tblLayout w:type="fixed"/>
        <w:tblCellMar>
          <w:left w:w="28" w:type="dxa"/>
          <w:right w:w="28" w:type="dxa"/>
        </w:tblCellMar>
        <w:tblLook w:val="04A0" w:firstRow="1" w:lastRow="0" w:firstColumn="1" w:lastColumn="0" w:noHBand="0" w:noVBand="1"/>
        <w:tblCaption w:val="Table 7: Summary of benefits and harms for pembrolizumab and ipilimumab based on the second interim analysis of KN-006"/>
      </w:tblPr>
      <w:tblGrid>
        <w:gridCol w:w="1031"/>
        <w:gridCol w:w="1134"/>
        <w:gridCol w:w="854"/>
        <w:gridCol w:w="422"/>
        <w:gridCol w:w="1276"/>
        <w:gridCol w:w="300"/>
        <w:gridCol w:w="834"/>
        <w:gridCol w:w="851"/>
        <w:gridCol w:w="469"/>
        <w:gridCol w:w="1303"/>
      </w:tblGrid>
      <w:tr w:rsidR="00656B2F" w:rsidRPr="00E60F06" w:rsidTr="00C94A62">
        <w:trPr>
          <w:tblHeader/>
        </w:trPr>
        <w:tc>
          <w:tcPr>
            <w:tcW w:w="5000" w:type="pct"/>
            <w:gridSpan w:val="10"/>
            <w:shd w:val="clear" w:color="auto" w:fill="auto"/>
            <w:vAlign w:val="center"/>
          </w:tcPr>
          <w:p w:rsidR="00656B2F" w:rsidRPr="00E60F06" w:rsidRDefault="00656B2F" w:rsidP="005E4C68">
            <w:pPr>
              <w:keepNext/>
              <w:jc w:val="left"/>
              <w:rPr>
                <w:rFonts w:ascii="Arial Narrow" w:hAnsi="Arial Narrow"/>
                <w:b/>
                <w:color w:val="000000"/>
                <w:sz w:val="20"/>
              </w:rPr>
            </w:pPr>
            <w:r w:rsidRPr="00E60F06">
              <w:rPr>
                <w:rFonts w:ascii="Arial Narrow" w:hAnsi="Arial Narrow"/>
                <w:b/>
                <w:color w:val="000000"/>
                <w:sz w:val="20"/>
              </w:rPr>
              <w:t>Benefits</w:t>
            </w:r>
          </w:p>
        </w:tc>
      </w:tr>
      <w:tr w:rsidR="005E4C68" w:rsidRPr="00E60F06" w:rsidTr="006E36CC">
        <w:tc>
          <w:tcPr>
            <w:tcW w:w="608" w:type="pct"/>
            <w:tcBorders>
              <w:bottom w:val="single" w:sz="4" w:space="0" w:color="auto"/>
            </w:tcBorders>
            <w:shd w:val="clear" w:color="auto" w:fill="auto"/>
            <w:vAlign w:val="center"/>
          </w:tcPr>
          <w:p w:rsidR="005E4C68" w:rsidRPr="00E60F06" w:rsidRDefault="005E4C68" w:rsidP="005E4C68">
            <w:pPr>
              <w:keepNext/>
              <w:jc w:val="left"/>
              <w:rPr>
                <w:rFonts w:ascii="Arial Narrow" w:hAnsi="Arial Narrow"/>
                <w:b/>
                <w:sz w:val="20"/>
                <w:lang w:val="en-US"/>
              </w:rPr>
            </w:pPr>
          </w:p>
        </w:tc>
        <w:tc>
          <w:tcPr>
            <w:tcW w:w="1173" w:type="pct"/>
            <w:gridSpan w:val="2"/>
            <w:tcBorders>
              <w:bottom w:val="single" w:sz="4" w:space="0" w:color="auto"/>
            </w:tcBorders>
            <w:vAlign w:val="center"/>
          </w:tcPr>
          <w:p w:rsidR="006E36CC" w:rsidRPr="00E60F06" w:rsidRDefault="006E36CC" w:rsidP="005E4C68">
            <w:pPr>
              <w:keepNext/>
              <w:jc w:val="center"/>
              <w:rPr>
                <w:rFonts w:ascii="Arial Narrow" w:hAnsi="Arial Narrow"/>
                <w:b/>
                <w:sz w:val="20"/>
                <w:lang w:val="en-US"/>
              </w:rPr>
            </w:pPr>
            <w:r w:rsidRPr="00E60F06">
              <w:rPr>
                <w:rFonts w:ascii="Arial Narrow" w:hAnsi="Arial Narrow"/>
                <w:b/>
                <w:sz w:val="20"/>
                <w:lang w:val="en-US"/>
              </w:rPr>
              <w:t>Pembro1</w:t>
            </w:r>
            <w:r w:rsidR="0061061F" w:rsidRPr="00E60F06">
              <w:rPr>
                <w:rFonts w:ascii="Arial Narrow" w:hAnsi="Arial Narrow"/>
                <w:b/>
                <w:sz w:val="20"/>
                <w:lang w:val="en-US"/>
              </w:rPr>
              <w:t>0</w:t>
            </w:r>
            <w:r w:rsidR="00ED4CE5" w:rsidRPr="00E60F06">
              <w:rPr>
                <w:rFonts w:ascii="Arial Narrow" w:hAnsi="Arial Narrow"/>
                <w:b/>
                <w:sz w:val="20"/>
                <w:lang w:val="en-US"/>
              </w:rPr>
              <w:t> </w:t>
            </w:r>
            <w:r w:rsidR="0061061F" w:rsidRPr="00E60F06">
              <w:rPr>
                <w:rFonts w:ascii="Arial Narrow" w:hAnsi="Arial Narrow"/>
                <w:b/>
                <w:sz w:val="20"/>
                <w:lang w:val="en-US"/>
              </w:rPr>
              <w:t>mg</w:t>
            </w:r>
            <w:r w:rsidRPr="00E60F06">
              <w:rPr>
                <w:rFonts w:ascii="Arial Narrow" w:hAnsi="Arial Narrow"/>
                <w:b/>
                <w:sz w:val="20"/>
                <w:lang w:val="en-US"/>
              </w:rPr>
              <w:t xml:space="preserve">/kg </w:t>
            </w:r>
          </w:p>
          <w:p w:rsidR="005E4C68" w:rsidRPr="00E60F06" w:rsidRDefault="006E36CC" w:rsidP="005E4C68">
            <w:pPr>
              <w:keepNext/>
              <w:jc w:val="center"/>
              <w:rPr>
                <w:rFonts w:ascii="Arial Narrow" w:hAnsi="Arial Narrow"/>
                <w:b/>
                <w:sz w:val="20"/>
                <w:lang w:val="en-US"/>
              </w:rPr>
            </w:pPr>
            <w:r w:rsidRPr="00E60F06">
              <w:rPr>
                <w:rFonts w:ascii="Arial Narrow" w:hAnsi="Arial Narrow"/>
                <w:b/>
                <w:sz w:val="20"/>
                <w:lang w:val="en-US"/>
              </w:rPr>
              <w:t xml:space="preserve">Q2W + Q3W </w:t>
            </w:r>
            <w:r w:rsidR="005E4C68" w:rsidRPr="00E60F06">
              <w:rPr>
                <w:rFonts w:ascii="Arial Narrow" w:hAnsi="Arial Narrow"/>
                <w:b/>
                <w:sz w:val="20"/>
                <w:lang w:val="en-US"/>
              </w:rPr>
              <w:t>combined</w:t>
            </w:r>
          </w:p>
          <w:p w:rsidR="005E4C68" w:rsidRPr="00E60F06" w:rsidRDefault="005E4C68" w:rsidP="005E4C68">
            <w:pPr>
              <w:keepNext/>
              <w:jc w:val="center"/>
              <w:rPr>
                <w:rFonts w:ascii="Arial Narrow" w:hAnsi="Arial Narrow"/>
                <w:b/>
                <w:sz w:val="20"/>
                <w:lang w:val="en-US"/>
              </w:rPr>
            </w:pPr>
            <w:r w:rsidRPr="00E60F06">
              <w:rPr>
                <w:rFonts w:ascii="Arial Narrow" w:hAnsi="Arial Narrow"/>
                <w:b/>
                <w:sz w:val="20"/>
                <w:lang w:val="en-US"/>
              </w:rPr>
              <w:t>N=556</w:t>
            </w:r>
          </w:p>
        </w:tc>
        <w:tc>
          <w:tcPr>
            <w:tcW w:w="1179" w:type="pct"/>
            <w:gridSpan w:val="3"/>
            <w:tcBorders>
              <w:bottom w:val="single" w:sz="4" w:space="0" w:color="auto"/>
            </w:tcBorders>
            <w:vAlign w:val="center"/>
          </w:tcPr>
          <w:p w:rsidR="006E36CC" w:rsidRPr="00E60F06" w:rsidRDefault="006E36CC" w:rsidP="005E4C68">
            <w:pPr>
              <w:keepNext/>
              <w:jc w:val="center"/>
              <w:rPr>
                <w:rFonts w:ascii="Arial Narrow" w:hAnsi="Arial Narrow"/>
                <w:b/>
                <w:sz w:val="20"/>
                <w:lang w:val="en-US"/>
              </w:rPr>
            </w:pPr>
            <w:r w:rsidRPr="00E60F06">
              <w:rPr>
                <w:rFonts w:ascii="Arial Narrow" w:hAnsi="Arial Narrow"/>
                <w:b/>
                <w:sz w:val="20"/>
                <w:lang w:val="en-US"/>
              </w:rPr>
              <w:t>Ipi</w:t>
            </w:r>
          </w:p>
          <w:p w:rsidR="005E4C68" w:rsidRPr="00E60F06" w:rsidRDefault="005E4C68" w:rsidP="005E4C68">
            <w:pPr>
              <w:keepNext/>
              <w:jc w:val="center"/>
              <w:rPr>
                <w:rFonts w:ascii="Arial Narrow" w:hAnsi="Arial Narrow"/>
                <w:b/>
                <w:sz w:val="20"/>
                <w:lang w:val="en-US"/>
              </w:rPr>
            </w:pPr>
            <w:r w:rsidRPr="00E60F06">
              <w:rPr>
                <w:rFonts w:ascii="Arial Narrow" w:hAnsi="Arial Narrow"/>
                <w:b/>
                <w:sz w:val="20"/>
                <w:lang w:val="en-US"/>
              </w:rPr>
              <w:t>3 mg/kg Q3W</w:t>
            </w:r>
          </w:p>
          <w:p w:rsidR="005E4C68" w:rsidRPr="00E60F06" w:rsidRDefault="005E4C68" w:rsidP="005E4C68">
            <w:pPr>
              <w:keepNext/>
              <w:jc w:val="center"/>
              <w:rPr>
                <w:rFonts w:ascii="Arial Narrow" w:hAnsi="Arial Narrow"/>
                <w:b/>
                <w:sz w:val="20"/>
                <w:lang w:val="en-US"/>
              </w:rPr>
            </w:pPr>
            <w:r w:rsidRPr="00E60F06">
              <w:rPr>
                <w:rFonts w:ascii="Arial Narrow" w:hAnsi="Arial Narrow"/>
                <w:b/>
                <w:sz w:val="20"/>
                <w:lang w:val="en-US"/>
              </w:rPr>
              <w:t>N=278</w:t>
            </w:r>
          </w:p>
        </w:tc>
        <w:tc>
          <w:tcPr>
            <w:tcW w:w="994" w:type="pct"/>
            <w:gridSpan w:val="2"/>
            <w:tcBorders>
              <w:bottom w:val="single" w:sz="4" w:space="0" w:color="auto"/>
            </w:tcBorders>
            <w:vAlign w:val="center"/>
          </w:tcPr>
          <w:p w:rsidR="005E4C68" w:rsidRPr="00E60F06" w:rsidRDefault="005E4C68" w:rsidP="005E4C68">
            <w:pPr>
              <w:keepNext/>
              <w:jc w:val="center"/>
              <w:rPr>
                <w:rFonts w:ascii="Arial Narrow" w:hAnsi="Arial Narrow"/>
                <w:b/>
                <w:sz w:val="20"/>
                <w:lang w:val="en-US"/>
              </w:rPr>
            </w:pPr>
            <w:r w:rsidRPr="00E60F06">
              <w:rPr>
                <w:rFonts w:ascii="Arial Narrow" w:hAnsi="Arial Narrow"/>
                <w:b/>
                <w:sz w:val="20"/>
                <w:lang w:val="en-US"/>
              </w:rPr>
              <w:t>Absolute difference</w:t>
            </w:r>
          </w:p>
        </w:tc>
        <w:tc>
          <w:tcPr>
            <w:tcW w:w="1046" w:type="pct"/>
            <w:gridSpan w:val="2"/>
            <w:tcBorders>
              <w:bottom w:val="single" w:sz="4" w:space="0" w:color="auto"/>
            </w:tcBorders>
            <w:vAlign w:val="center"/>
          </w:tcPr>
          <w:p w:rsidR="005E4C68" w:rsidRPr="00E60F06" w:rsidRDefault="005E4C68" w:rsidP="005E4C68">
            <w:pPr>
              <w:keepNext/>
              <w:jc w:val="center"/>
              <w:rPr>
                <w:rFonts w:ascii="Arial Narrow" w:hAnsi="Arial Narrow"/>
                <w:b/>
                <w:sz w:val="20"/>
                <w:lang w:val="en-US"/>
              </w:rPr>
            </w:pPr>
            <w:r w:rsidRPr="00E60F06">
              <w:rPr>
                <w:rFonts w:ascii="Arial Narrow" w:hAnsi="Arial Narrow"/>
                <w:b/>
                <w:sz w:val="20"/>
                <w:lang w:val="en-US"/>
              </w:rPr>
              <w:t>HR (95% CI)</w:t>
            </w:r>
          </w:p>
        </w:tc>
      </w:tr>
      <w:tr w:rsidR="00656B2F" w:rsidRPr="00E60F06" w:rsidTr="00656B2F">
        <w:tc>
          <w:tcPr>
            <w:tcW w:w="5000" w:type="pct"/>
            <w:gridSpan w:val="10"/>
            <w:tcBorders>
              <w:bottom w:val="single" w:sz="4" w:space="0" w:color="auto"/>
            </w:tcBorders>
            <w:shd w:val="clear" w:color="auto" w:fill="auto"/>
          </w:tcPr>
          <w:p w:rsidR="00656B2F" w:rsidRPr="00E60F06" w:rsidRDefault="005E4C68" w:rsidP="005E4C68">
            <w:pPr>
              <w:jc w:val="left"/>
              <w:rPr>
                <w:rFonts w:ascii="Arial Narrow" w:hAnsi="Arial Narrow"/>
                <w:b/>
                <w:sz w:val="20"/>
                <w:lang w:val="en-US"/>
              </w:rPr>
            </w:pPr>
            <w:r w:rsidRPr="00E60F06">
              <w:rPr>
                <w:rFonts w:ascii="Arial Narrow" w:hAnsi="Arial Narrow"/>
                <w:b/>
                <w:sz w:val="20"/>
                <w:lang w:val="en-US"/>
              </w:rPr>
              <w:t>Overall survival</w:t>
            </w:r>
          </w:p>
        </w:tc>
      </w:tr>
      <w:tr w:rsidR="00290CF7" w:rsidRPr="00E60F06" w:rsidTr="006E36CC">
        <w:tc>
          <w:tcPr>
            <w:tcW w:w="608" w:type="pct"/>
            <w:tcBorders>
              <w:bottom w:val="single" w:sz="4" w:space="0" w:color="auto"/>
            </w:tcBorders>
            <w:shd w:val="clear" w:color="auto" w:fill="auto"/>
            <w:vAlign w:val="center"/>
          </w:tcPr>
          <w:p w:rsidR="00290CF7" w:rsidRPr="00E60F06" w:rsidRDefault="00290CF7" w:rsidP="005E4C68">
            <w:pPr>
              <w:jc w:val="left"/>
              <w:rPr>
                <w:rFonts w:ascii="Arial Narrow" w:hAnsi="Arial Narrow"/>
                <w:sz w:val="20"/>
              </w:rPr>
            </w:pPr>
            <w:r w:rsidRPr="00E60F06">
              <w:rPr>
                <w:rFonts w:ascii="Arial Narrow" w:hAnsi="Arial Narrow"/>
                <w:sz w:val="20"/>
              </w:rPr>
              <w:t>Died</w:t>
            </w:r>
          </w:p>
        </w:tc>
        <w:tc>
          <w:tcPr>
            <w:tcW w:w="1173" w:type="pct"/>
            <w:gridSpan w:val="2"/>
            <w:tcBorders>
              <w:bottom w:val="single" w:sz="4" w:space="0" w:color="auto"/>
            </w:tcBorders>
            <w:vAlign w:val="center"/>
          </w:tcPr>
          <w:p w:rsidR="00290CF7" w:rsidRPr="00E60F06" w:rsidRDefault="00B67691" w:rsidP="005E4C68">
            <w:pPr>
              <w:jc w:val="center"/>
              <w:rPr>
                <w:rFonts w:ascii="Arial Narrow" w:hAnsi="Arial Narrow"/>
                <w:sz w:val="20"/>
              </w:rPr>
            </w:pPr>
            <w:r w:rsidRPr="00E60F06">
              <w:rPr>
                <w:rFonts w:ascii="Arial Narrow" w:hAnsi="Arial Narrow"/>
                <w:sz w:val="20"/>
              </w:rPr>
              <w:t>177 (31.8%)</w:t>
            </w:r>
          </w:p>
        </w:tc>
        <w:tc>
          <w:tcPr>
            <w:tcW w:w="1179" w:type="pct"/>
            <w:gridSpan w:val="3"/>
            <w:tcBorders>
              <w:bottom w:val="single" w:sz="4" w:space="0" w:color="auto"/>
            </w:tcBorders>
            <w:vAlign w:val="center"/>
          </w:tcPr>
          <w:p w:rsidR="00290CF7" w:rsidRPr="00E60F06" w:rsidRDefault="00B67691" w:rsidP="005E4C68">
            <w:pPr>
              <w:jc w:val="center"/>
              <w:rPr>
                <w:rFonts w:ascii="Arial Narrow" w:hAnsi="Arial Narrow"/>
                <w:sz w:val="20"/>
              </w:rPr>
            </w:pPr>
            <w:r w:rsidRPr="00E60F06">
              <w:rPr>
                <w:rFonts w:ascii="Arial Narrow" w:hAnsi="Arial Narrow"/>
                <w:sz w:val="20"/>
              </w:rPr>
              <w:t>112 (40.3%)</w:t>
            </w:r>
          </w:p>
        </w:tc>
        <w:tc>
          <w:tcPr>
            <w:tcW w:w="994" w:type="pct"/>
            <w:gridSpan w:val="2"/>
            <w:tcBorders>
              <w:bottom w:val="single" w:sz="4" w:space="0" w:color="auto"/>
            </w:tcBorders>
            <w:vAlign w:val="center"/>
          </w:tcPr>
          <w:p w:rsidR="00290CF7" w:rsidRPr="00E60F06" w:rsidRDefault="006E36CC" w:rsidP="005E4C68">
            <w:pPr>
              <w:jc w:val="center"/>
              <w:rPr>
                <w:rFonts w:ascii="Arial Narrow" w:hAnsi="Arial Narrow"/>
                <w:sz w:val="20"/>
                <w:lang w:val="en-US"/>
              </w:rPr>
            </w:pPr>
            <w:r w:rsidRPr="00E60F06">
              <w:rPr>
                <w:rFonts w:ascii="Arial Narrow" w:hAnsi="Arial Narrow"/>
                <w:sz w:val="20"/>
                <w:lang w:val="en-US"/>
              </w:rPr>
              <w:t>-8.5%</w:t>
            </w:r>
          </w:p>
        </w:tc>
        <w:tc>
          <w:tcPr>
            <w:tcW w:w="1046" w:type="pct"/>
            <w:gridSpan w:val="2"/>
            <w:tcBorders>
              <w:bottom w:val="single" w:sz="4" w:space="0" w:color="auto"/>
            </w:tcBorders>
            <w:vAlign w:val="center"/>
          </w:tcPr>
          <w:p w:rsidR="00290CF7" w:rsidRPr="00E60F06" w:rsidRDefault="006E36CC" w:rsidP="005E4C68">
            <w:pPr>
              <w:jc w:val="center"/>
              <w:rPr>
                <w:rFonts w:ascii="Arial Narrow" w:hAnsi="Arial Narrow"/>
                <w:sz w:val="20"/>
              </w:rPr>
            </w:pPr>
            <w:r w:rsidRPr="00E60F06">
              <w:rPr>
                <w:rFonts w:ascii="Arial Narrow" w:hAnsi="Arial Narrow"/>
                <w:sz w:val="20"/>
              </w:rPr>
              <w:t>-</w:t>
            </w:r>
          </w:p>
        </w:tc>
      </w:tr>
      <w:tr w:rsidR="005E4C68" w:rsidRPr="00E60F06" w:rsidTr="006E36CC">
        <w:tc>
          <w:tcPr>
            <w:tcW w:w="608" w:type="pct"/>
            <w:tcBorders>
              <w:bottom w:val="single" w:sz="4" w:space="0" w:color="auto"/>
            </w:tcBorders>
            <w:shd w:val="clear" w:color="auto" w:fill="auto"/>
            <w:vAlign w:val="center"/>
          </w:tcPr>
          <w:p w:rsidR="005E4C68" w:rsidRPr="00E60F06" w:rsidRDefault="005E4C68" w:rsidP="005E4C68">
            <w:pPr>
              <w:jc w:val="left"/>
              <w:rPr>
                <w:rFonts w:ascii="Arial Narrow" w:hAnsi="Arial Narrow"/>
                <w:sz w:val="20"/>
              </w:rPr>
            </w:pPr>
            <w:r w:rsidRPr="00E60F06">
              <w:rPr>
                <w:rFonts w:ascii="Arial Narrow" w:hAnsi="Arial Narrow"/>
                <w:sz w:val="20"/>
              </w:rPr>
              <w:t>Median mths (95% CI)</w:t>
            </w:r>
          </w:p>
        </w:tc>
        <w:tc>
          <w:tcPr>
            <w:tcW w:w="1173" w:type="pct"/>
            <w:gridSpan w:val="2"/>
            <w:tcBorders>
              <w:bottom w:val="single" w:sz="4" w:space="0" w:color="auto"/>
            </w:tcBorders>
            <w:vAlign w:val="center"/>
          </w:tcPr>
          <w:p w:rsidR="005E4C68" w:rsidRPr="00E60F06" w:rsidRDefault="002E3D72" w:rsidP="005E4C68">
            <w:pPr>
              <w:jc w:val="center"/>
              <w:rPr>
                <w:rFonts w:ascii="Arial Narrow" w:hAnsi="Arial Narrow"/>
                <w:sz w:val="20"/>
                <w:lang w:val="en-US"/>
              </w:rPr>
            </w:pPr>
            <w:r w:rsidRPr="00E60F06">
              <w:rPr>
                <w:rFonts w:ascii="Arial Narrow" w:hAnsi="Arial Narrow"/>
                <w:sz w:val="20"/>
              </w:rPr>
              <w:t>NR (., .)</w:t>
            </w:r>
          </w:p>
        </w:tc>
        <w:tc>
          <w:tcPr>
            <w:tcW w:w="1179" w:type="pct"/>
            <w:gridSpan w:val="3"/>
            <w:tcBorders>
              <w:bottom w:val="single" w:sz="4" w:space="0" w:color="auto"/>
            </w:tcBorders>
            <w:vAlign w:val="center"/>
          </w:tcPr>
          <w:p w:rsidR="005E4C68" w:rsidRPr="00E60F06" w:rsidRDefault="002E3D72" w:rsidP="005E4C68">
            <w:pPr>
              <w:jc w:val="center"/>
              <w:rPr>
                <w:rFonts w:ascii="Arial Narrow" w:hAnsi="Arial Narrow"/>
                <w:sz w:val="20"/>
                <w:lang w:val="en-US"/>
              </w:rPr>
            </w:pPr>
            <w:r w:rsidRPr="00E60F06">
              <w:rPr>
                <w:rFonts w:ascii="Arial Narrow" w:hAnsi="Arial Narrow"/>
                <w:sz w:val="20"/>
              </w:rPr>
              <w:t>NR (12.7, .)</w:t>
            </w:r>
          </w:p>
        </w:tc>
        <w:tc>
          <w:tcPr>
            <w:tcW w:w="994" w:type="pct"/>
            <w:gridSpan w:val="2"/>
            <w:tcBorders>
              <w:bottom w:val="single" w:sz="4" w:space="0" w:color="auto"/>
            </w:tcBorders>
            <w:vAlign w:val="center"/>
          </w:tcPr>
          <w:p w:rsidR="005E4C68" w:rsidRPr="00E60F06" w:rsidRDefault="002E3D72" w:rsidP="005E4C68">
            <w:pPr>
              <w:jc w:val="center"/>
              <w:rPr>
                <w:rFonts w:ascii="Arial Narrow" w:hAnsi="Arial Narrow"/>
                <w:sz w:val="20"/>
                <w:lang w:val="en-US"/>
              </w:rPr>
            </w:pPr>
            <w:r w:rsidRPr="00E60F06">
              <w:rPr>
                <w:rFonts w:ascii="Arial Narrow" w:hAnsi="Arial Narrow"/>
                <w:sz w:val="20"/>
                <w:lang w:val="en-US"/>
              </w:rPr>
              <w:t>-</w:t>
            </w:r>
          </w:p>
        </w:tc>
        <w:tc>
          <w:tcPr>
            <w:tcW w:w="1046" w:type="pct"/>
            <w:gridSpan w:val="2"/>
            <w:tcBorders>
              <w:bottom w:val="single" w:sz="4" w:space="0" w:color="auto"/>
            </w:tcBorders>
            <w:vAlign w:val="center"/>
          </w:tcPr>
          <w:p w:rsidR="005E4C68" w:rsidRPr="00E60F06" w:rsidRDefault="002E3D72" w:rsidP="005E4C68">
            <w:pPr>
              <w:jc w:val="center"/>
              <w:rPr>
                <w:rFonts w:ascii="Arial Narrow" w:hAnsi="Arial Narrow"/>
                <w:sz w:val="20"/>
                <w:lang w:val="en-US"/>
              </w:rPr>
            </w:pPr>
            <w:r w:rsidRPr="00E60F06">
              <w:rPr>
                <w:rFonts w:ascii="Arial Narrow" w:hAnsi="Arial Narrow"/>
                <w:sz w:val="20"/>
              </w:rPr>
              <w:t>0.65 (0.52. 0.83)</w:t>
            </w:r>
          </w:p>
        </w:tc>
      </w:tr>
      <w:tr w:rsidR="005E4C68" w:rsidRPr="00E60F06" w:rsidTr="006E36CC">
        <w:tc>
          <w:tcPr>
            <w:tcW w:w="608" w:type="pct"/>
            <w:tcBorders>
              <w:bottom w:val="single" w:sz="4" w:space="0" w:color="auto"/>
            </w:tcBorders>
            <w:shd w:val="clear" w:color="auto" w:fill="auto"/>
            <w:vAlign w:val="center"/>
          </w:tcPr>
          <w:p w:rsidR="005E4C68" w:rsidRPr="00E60F06" w:rsidRDefault="005E4C68" w:rsidP="00B67691">
            <w:pPr>
              <w:jc w:val="left"/>
              <w:rPr>
                <w:rFonts w:ascii="Arial Narrow" w:hAnsi="Arial Narrow"/>
                <w:sz w:val="20"/>
              </w:rPr>
            </w:pPr>
            <w:r w:rsidRPr="00E60F06">
              <w:rPr>
                <w:rFonts w:ascii="Arial Narrow" w:hAnsi="Arial Narrow"/>
                <w:sz w:val="20"/>
              </w:rPr>
              <w:t xml:space="preserve">OS rate at </w:t>
            </w:r>
            <w:r w:rsidR="00B67691" w:rsidRPr="00E60F06">
              <w:rPr>
                <w:rFonts w:ascii="Arial Narrow" w:hAnsi="Arial Narrow"/>
                <w:sz w:val="20"/>
              </w:rPr>
              <w:t>12</w:t>
            </w:r>
            <w:r w:rsidRPr="00E60F06">
              <w:rPr>
                <w:rFonts w:ascii="Arial Narrow" w:hAnsi="Arial Narrow"/>
                <w:sz w:val="20"/>
              </w:rPr>
              <w:t xml:space="preserve"> months</w:t>
            </w:r>
          </w:p>
        </w:tc>
        <w:tc>
          <w:tcPr>
            <w:tcW w:w="1173" w:type="pct"/>
            <w:gridSpan w:val="2"/>
            <w:tcBorders>
              <w:bottom w:val="single" w:sz="4" w:space="0" w:color="auto"/>
            </w:tcBorders>
            <w:vAlign w:val="center"/>
          </w:tcPr>
          <w:p w:rsidR="005E4C68" w:rsidRPr="00E60F06" w:rsidRDefault="00B6340C" w:rsidP="00B6340C">
            <w:pPr>
              <w:jc w:val="center"/>
              <w:rPr>
                <w:rFonts w:ascii="Arial Narrow" w:hAnsi="Arial Narrow"/>
                <w:sz w:val="20"/>
              </w:rPr>
            </w:pPr>
            <w:r w:rsidRPr="00E60F06">
              <w:rPr>
                <w:rFonts w:ascii="Arial Narrow" w:hAnsi="Arial Narrow"/>
                <w:sz w:val="20"/>
              </w:rPr>
              <w:t>71.3% (67.2, 74.9)</w:t>
            </w:r>
          </w:p>
        </w:tc>
        <w:tc>
          <w:tcPr>
            <w:tcW w:w="1179" w:type="pct"/>
            <w:gridSpan w:val="3"/>
            <w:tcBorders>
              <w:bottom w:val="single" w:sz="4" w:space="0" w:color="auto"/>
            </w:tcBorders>
            <w:vAlign w:val="center"/>
          </w:tcPr>
          <w:p w:rsidR="005E4C68" w:rsidRPr="00E60F06" w:rsidRDefault="00B6340C" w:rsidP="006E36CC">
            <w:pPr>
              <w:jc w:val="center"/>
              <w:rPr>
                <w:rFonts w:ascii="Arial Narrow" w:hAnsi="Arial Narrow"/>
                <w:sz w:val="20"/>
              </w:rPr>
            </w:pPr>
            <w:r w:rsidRPr="00E60F06">
              <w:rPr>
                <w:rFonts w:ascii="Arial Narrow" w:hAnsi="Arial Narrow"/>
                <w:sz w:val="20"/>
              </w:rPr>
              <w:t>58.2% (51.8, 64.0)</w:t>
            </w:r>
          </w:p>
        </w:tc>
        <w:tc>
          <w:tcPr>
            <w:tcW w:w="994" w:type="pct"/>
            <w:gridSpan w:val="2"/>
            <w:tcBorders>
              <w:bottom w:val="single" w:sz="4" w:space="0" w:color="auto"/>
            </w:tcBorders>
            <w:vAlign w:val="center"/>
          </w:tcPr>
          <w:p w:rsidR="005E4C68" w:rsidRPr="00E60F06" w:rsidRDefault="006E36CC" w:rsidP="005E4C68">
            <w:pPr>
              <w:jc w:val="center"/>
              <w:rPr>
                <w:rFonts w:ascii="Arial Narrow" w:hAnsi="Arial Narrow"/>
                <w:sz w:val="20"/>
                <w:lang w:val="en-US"/>
              </w:rPr>
            </w:pPr>
            <w:r w:rsidRPr="00E60F06">
              <w:rPr>
                <w:rFonts w:ascii="Arial Narrow" w:hAnsi="Arial Narrow"/>
                <w:sz w:val="20"/>
                <w:lang w:val="en-US"/>
              </w:rPr>
              <w:t>13.1%</w:t>
            </w:r>
          </w:p>
        </w:tc>
        <w:tc>
          <w:tcPr>
            <w:tcW w:w="1046" w:type="pct"/>
            <w:gridSpan w:val="2"/>
            <w:tcBorders>
              <w:bottom w:val="single" w:sz="4" w:space="0" w:color="auto"/>
            </w:tcBorders>
            <w:vAlign w:val="center"/>
          </w:tcPr>
          <w:p w:rsidR="005E4C68" w:rsidRPr="00E60F06" w:rsidRDefault="005E4C68" w:rsidP="005E4C68">
            <w:pPr>
              <w:jc w:val="center"/>
              <w:rPr>
                <w:rFonts w:ascii="Arial Narrow" w:hAnsi="Arial Narrow"/>
                <w:sz w:val="20"/>
                <w:lang w:val="en-US"/>
              </w:rPr>
            </w:pPr>
            <w:r w:rsidRPr="00E60F06">
              <w:rPr>
                <w:rFonts w:ascii="Arial Narrow" w:hAnsi="Arial Narrow"/>
                <w:sz w:val="20"/>
                <w:lang w:val="en-US"/>
              </w:rPr>
              <w:t>-</w:t>
            </w:r>
          </w:p>
        </w:tc>
      </w:tr>
      <w:tr w:rsidR="00656B2F" w:rsidRPr="00E60F06" w:rsidTr="00656B2F">
        <w:tc>
          <w:tcPr>
            <w:tcW w:w="5000" w:type="pct"/>
            <w:gridSpan w:val="10"/>
            <w:tcBorders>
              <w:bottom w:val="single" w:sz="4" w:space="0" w:color="auto"/>
            </w:tcBorders>
            <w:shd w:val="clear" w:color="auto" w:fill="auto"/>
          </w:tcPr>
          <w:p w:rsidR="00656B2F" w:rsidRPr="00E60F06" w:rsidRDefault="005E4C68" w:rsidP="005E4C68">
            <w:pPr>
              <w:jc w:val="left"/>
              <w:rPr>
                <w:rFonts w:ascii="Arial Narrow" w:hAnsi="Arial Narrow"/>
                <w:b/>
                <w:sz w:val="20"/>
                <w:lang w:val="en-US"/>
              </w:rPr>
            </w:pPr>
            <w:r w:rsidRPr="00E60F06">
              <w:rPr>
                <w:rFonts w:ascii="Arial Narrow" w:hAnsi="Arial Narrow"/>
                <w:b/>
                <w:sz w:val="20"/>
                <w:lang w:val="en-US"/>
              </w:rPr>
              <w:t>Progression-free survival - RECIST 1.1</w:t>
            </w:r>
          </w:p>
        </w:tc>
      </w:tr>
      <w:tr w:rsidR="00290CF7" w:rsidRPr="00E60F06" w:rsidTr="006E36CC">
        <w:tc>
          <w:tcPr>
            <w:tcW w:w="608" w:type="pct"/>
            <w:tcBorders>
              <w:bottom w:val="single" w:sz="4" w:space="0" w:color="auto"/>
            </w:tcBorders>
            <w:shd w:val="clear" w:color="auto" w:fill="auto"/>
            <w:vAlign w:val="center"/>
          </w:tcPr>
          <w:p w:rsidR="00290CF7" w:rsidRPr="00E60F06" w:rsidRDefault="00290CF7" w:rsidP="005E4C68">
            <w:pPr>
              <w:jc w:val="left"/>
              <w:rPr>
                <w:rFonts w:ascii="Arial Narrow" w:hAnsi="Arial Narrow"/>
                <w:sz w:val="20"/>
              </w:rPr>
            </w:pPr>
            <w:r w:rsidRPr="00E60F06">
              <w:rPr>
                <w:rFonts w:ascii="Arial Narrow" w:hAnsi="Arial Narrow"/>
                <w:sz w:val="20"/>
              </w:rPr>
              <w:t>Progressed</w:t>
            </w:r>
          </w:p>
        </w:tc>
        <w:tc>
          <w:tcPr>
            <w:tcW w:w="1173" w:type="pct"/>
            <w:gridSpan w:val="2"/>
            <w:tcBorders>
              <w:bottom w:val="single" w:sz="4" w:space="0" w:color="auto"/>
            </w:tcBorders>
            <w:vAlign w:val="center"/>
          </w:tcPr>
          <w:p w:rsidR="00290CF7" w:rsidRPr="00E60F06" w:rsidRDefault="00B67691" w:rsidP="005E4C68">
            <w:pPr>
              <w:jc w:val="center"/>
              <w:rPr>
                <w:rFonts w:ascii="Arial Narrow" w:hAnsi="Arial Narrow"/>
                <w:sz w:val="20"/>
              </w:rPr>
            </w:pPr>
            <w:r w:rsidRPr="00E60F06">
              <w:rPr>
                <w:rFonts w:ascii="Arial Narrow" w:hAnsi="Arial Narrow"/>
                <w:sz w:val="20"/>
              </w:rPr>
              <w:t>343 (61.7%)</w:t>
            </w:r>
          </w:p>
        </w:tc>
        <w:tc>
          <w:tcPr>
            <w:tcW w:w="1179" w:type="pct"/>
            <w:gridSpan w:val="3"/>
            <w:tcBorders>
              <w:bottom w:val="single" w:sz="4" w:space="0" w:color="auto"/>
            </w:tcBorders>
            <w:vAlign w:val="center"/>
          </w:tcPr>
          <w:p w:rsidR="00290CF7" w:rsidRPr="00E60F06" w:rsidRDefault="00B67691" w:rsidP="005E4C68">
            <w:pPr>
              <w:jc w:val="center"/>
              <w:rPr>
                <w:rFonts w:ascii="Arial Narrow" w:hAnsi="Arial Narrow"/>
                <w:sz w:val="20"/>
              </w:rPr>
            </w:pPr>
            <w:r w:rsidRPr="00E60F06">
              <w:rPr>
                <w:rFonts w:ascii="Arial Narrow" w:hAnsi="Arial Narrow"/>
                <w:sz w:val="20"/>
              </w:rPr>
              <w:t>198 (71.2%)</w:t>
            </w:r>
          </w:p>
        </w:tc>
        <w:tc>
          <w:tcPr>
            <w:tcW w:w="994" w:type="pct"/>
            <w:gridSpan w:val="2"/>
            <w:tcBorders>
              <w:bottom w:val="single" w:sz="4" w:space="0" w:color="auto"/>
            </w:tcBorders>
            <w:vAlign w:val="center"/>
          </w:tcPr>
          <w:p w:rsidR="00290CF7" w:rsidRPr="00E60F06" w:rsidRDefault="006E36CC" w:rsidP="005E4C68">
            <w:pPr>
              <w:jc w:val="center"/>
              <w:rPr>
                <w:rFonts w:ascii="Arial Narrow" w:hAnsi="Arial Narrow"/>
                <w:sz w:val="20"/>
                <w:lang w:val="en-US"/>
              </w:rPr>
            </w:pPr>
            <w:r w:rsidRPr="00E60F06">
              <w:rPr>
                <w:rFonts w:ascii="Arial Narrow" w:hAnsi="Arial Narrow"/>
                <w:sz w:val="20"/>
                <w:lang w:val="en-US"/>
              </w:rPr>
              <w:t>-9.5%</w:t>
            </w:r>
          </w:p>
        </w:tc>
        <w:tc>
          <w:tcPr>
            <w:tcW w:w="1046" w:type="pct"/>
            <w:gridSpan w:val="2"/>
            <w:tcBorders>
              <w:bottom w:val="single" w:sz="4" w:space="0" w:color="auto"/>
            </w:tcBorders>
            <w:vAlign w:val="center"/>
          </w:tcPr>
          <w:p w:rsidR="00290CF7" w:rsidRPr="00E60F06" w:rsidRDefault="006E36CC" w:rsidP="005E4C68">
            <w:pPr>
              <w:jc w:val="center"/>
              <w:rPr>
                <w:rFonts w:ascii="Arial Narrow" w:hAnsi="Arial Narrow"/>
                <w:sz w:val="20"/>
              </w:rPr>
            </w:pPr>
            <w:r w:rsidRPr="00E60F06">
              <w:rPr>
                <w:rFonts w:ascii="Arial Narrow" w:hAnsi="Arial Narrow"/>
                <w:sz w:val="20"/>
              </w:rPr>
              <w:t>-</w:t>
            </w:r>
          </w:p>
        </w:tc>
      </w:tr>
      <w:tr w:rsidR="005E4C68" w:rsidRPr="00E60F06" w:rsidTr="006E36CC">
        <w:tc>
          <w:tcPr>
            <w:tcW w:w="608" w:type="pct"/>
            <w:tcBorders>
              <w:bottom w:val="single" w:sz="4" w:space="0" w:color="auto"/>
            </w:tcBorders>
            <w:shd w:val="clear" w:color="auto" w:fill="auto"/>
            <w:vAlign w:val="center"/>
          </w:tcPr>
          <w:p w:rsidR="005E4C68" w:rsidRPr="00E60F06" w:rsidRDefault="005E4C68" w:rsidP="005E4C68">
            <w:pPr>
              <w:jc w:val="left"/>
              <w:rPr>
                <w:rFonts w:ascii="Arial Narrow" w:hAnsi="Arial Narrow"/>
                <w:sz w:val="20"/>
                <w:lang w:val="en-US"/>
              </w:rPr>
            </w:pPr>
            <w:r w:rsidRPr="00E60F06">
              <w:rPr>
                <w:rFonts w:ascii="Arial Narrow" w:hAnsi="Arial Narrow"/>
                <w:sz w:val="20"/>
              </w:rPr>
              <w:t>Median mths (95% CI)</w:t>
            </w:r>
          </w:p>
        </w:tc>
        <w:tc>
          <w:tcPr>
            <w:tcW w:w="1173" w:type="pct"/>
            <w:gridSpan w:val="2"/>
            <w:tcBorders>
              <w:bottom w:val="single" w:sz="4" w:space="0" w:color="auto"/>
            </w:tcBorders>
            <w:vAlign w:val="center"/>
          </w:tcPr>
          <w:p w:rsidR="005E4C68" w:rsidRPr="00E60F06" w:rsidRDefault="002E3D72" w:rsidP="005E4C68">
            <w:pPr>
              <w:jc w:val="center"/>
              <w:rPr>
                <w:rFonts w:ascii="Arial Narrow" w:hAnsi="Arial Narrow"/>
                <w:sz w:val="20"/>
                <w:lang w:val="en-US"/>
              </w:rPr>
            </w:pPr>
            <w:r w:rsidRPr="00E60F06">
              <w:rPr>
                <w:rFonts w:ascii="Arial Narrow" w:hAnsi="Arial Narrow"/>
                <w:sz w:val="20"/>
              </w:rPr>
              <w:t>4.8 (3.7, 6.5)</w:t>
            </w:r>
          </w:p>
        </w:tc>
        <w:tc>
          <w:tcPr>
            <w:tcW w:w="1179" w:type="pct"/>
            <w:gridSpan w:val="3"/>
            <w:tcBorders>
              <w:bottom w:val="single" w:sz="4" w:space="0" w:color="auto"/>
            </w:tcBorders>
            <w:vAlign w:val="center"/>
          </w:tcPr>
          <w:p w:rsidR="005E4C68" w:rsidRPr="00E60F06" w:rsidRDefault="002E3D72" w:rsidP="005E4C68">
            <w:pPr>
              <w:jc w:val="center"/>
              <w:rPr>
                <w:rFonts w:ascii="Arial Narrow" w:hAnsi="Arial Narrow"/>
                <w:sz w:val="20"/>
                <w:lang w:val="en-US"/>
              </w:rPr>
            </w:pPr>
            <w:r w:rsidRPr="00E60F06">
              <w:rPr>
                <w:rFonts w:ascii="Arial Narrow" w:hAnsi="Arial Narrow"/>
                <w:sz w:val="20"/>
              </w:rPr>
              <w:t>2.8 (2.8, 2.9)</w:t>
            </w:r>
          </w:p>
        </w:tc>
        <w:tc>
          <w:tcPr>
            <w:tcW w:w="994" w:type="pct"/>
            <w:gridSpan w:val="2"/>
            <w:tcBorders>
              <w:bottom w:val="single" w:sz="4" w:space="0" w:color="auto"/>
            </w:tcBorders>
            <w:vAlign w:val="center"/>
          </w:tcPr>
          <w:p w:rsidR="005E4C68" w:rsidRPr="00E60F06" w:rsidRDefault="002E3D72" w:rsidP="005E4C68">
            <w:pPr>
              <w:jc w:val="center"/>
              <w:rPr>
                <w:rFonts w:ascii="Arial Narrow" w:hAnsi="Arial Narrow"/>
                <w:sz w:val="20"/>
                <w:lang w:val="en-US"/>
              </w:rPr>
            </w:pPr>
            <w:r w:rsidRPr="00E60F06">
              <w:rPr>
                <w:rFonts w:ascii="Arial Narrow" w:hAnsi="Arial Narrow"/>
                <w:sz w:val="20"/>
                <w:lang w:val="en-US"/>
              </w:rPr>
              <w:t>2.0 months</w:t>
            </w:r>
          </w:p>
        </w:tc>
        <w:tc>
          <w:tcPr>
            <w:tcW w:w="1046" w:type="pct"/>
            <w:gridSpan w:val="2"/>
            <w:tcBorders>
              <w:bottom w:val="single" w:sz="4" w:space="0" w:color="auto"/>
            </w:tcBorders>
            <w:vAlign w:val="center"/>
          </w:tcPr>
          <w:p w:rsidR="005E4C68" w:rsidRPr="00E60F06" w:rsidRDefault="002E3D72" w:rsidP="005E4C68">
            <w:pPr>
              <w:jc w:val="center"/>
              <w:rPr>
                <w:rFonts w:ascii="Arial Narrow" w:hAnsi="Arial Narrow"/>
                <w:sz w:val="20"/>
                <w:lang w:val="en-US"/>
              </w:rPr>
            </w:pPr>
            <w:r w:rsidRPr="00E60F06">
              <w:rPr>
                <w:rFonts w:ascii="Arial Narrow" w:hAnsi="Arial Narrow"/>
                <w:sz w:val="20"/>
              </w:rPr>
              <w:t>0.60 (0.50, 0.72)</w:t>
            </w:r>
          </w:p>
        </w:tc>
      </w:tr>
      <w:tr w:rsidR="005E4C68" w:rsidRPr="00E60F06" w:rsidTr="006E36CC">
        <w:tc>
          <w:tcPr>
            <w:tcW w:w="608" w:type="pct"/>
            <w:tcBorders>
              <w:bottom w:val="single" w:sz="4" w:space="0" w:color="auto"/>
            </w:tcBorders>
            <w:shd w:val="clear" w:color="auto" w:fill="auto"/>
            <w:vAlign w:val="center"/>
          </w:tcPr>
          <w:p w:rsidR="005E4C68" w:rsidRPr="00E60F06" w:rsidRDefault="005E4C68" w:rsidP="00BF297F">
            <w:pPr>
              <w:jc w:val="left"/>
              <w:rPr>
                <w:rFonts w:ascii="Arial Narrow" w:hAnsi="Arial Narrow"/>
                <w:sz w:val="20"/>
                <w:lang w:val="en-US"/>
              </w:rPr>
            </w:pPr>
            <w:r w:rsidRPr="00E60F06">
              <w:rPr>
                <w:rFonts w:ascii="Arial Narrow" w:hAnsi="Arial Narrow"/>
                <w:sz w:val="20"/>
              </w:rPr>
              <w:t xml:space="preserve">PFS rate at </w:t>
            </w:r>
            <w:r w:rsidR="00BF297F" w:rsidRPr="00E60F06">
              <w:rPr>
                <w:rFonts w:ascii="Arial Narrow" w:hAnsi="Arial Narrow"/>
                <w:sz w:val="20"/>
              </w:rPr>
              <w:t>12</w:t>
            </w:r>
            <w:r w:rsidRPr="00E60F06">
              <w:rPr>
                <w:rFonts w:ascii="Arial Narrow" w:hAnsi="Arial Narrow"/>
                <w:sz w:val="20"/>
              </w:rPr>
              <w:t xml:space="preserve"> mths (%)</w:t>
            </w:r>
          </w:p>
        </w:tc>
        <w:tc>
          <w:tcPr>
            <w:tcW w:w="1173" w:type="pct"/>
            <w:gridSpan w:val="2"/>
            <w:tcBorders>
              <w:bottom w:val="single" w:sz="4" w:space="0" w:color="auto"/>
            </w:tcBorders>
            <w:vAlign w:val="center"/>
          </w:tcPr>
          <w:p w:rsidR="005E4C68" w:rsidRPr="00E60F06" w:rsidRDefault="00BF297F" w:rsidP="00BF297F">
            <w:pPr>
              <w:jc w:val="center"/>
              <w:rPr>
                <w:rFonts w:ascii="Arial Narrow" w:hAnsi="Arial Narrow"/>
                <w:sz w:val="20"/>
              </w:rPr>
            </w:pPr>
            <w:r w:rsidRPr="00E60F06">
              <w:rPr>
                <w:rFonts w:ascii="Arial Narrow" w:hAnsi="Arial Narrow"/>
                <w:sz w:val="20"/>
              </w:rPr>
              <w:t>37.0</w:t>
            </w:r>
            <w:r w:rsidR="002E3D72" w:rsidRPr="00E60F06">
              <w:rPr>
                <w:rFonts w:ascii="Arial Narrow" w:hAnsi="Arial Narrow"/>
                <w:sz w:val="20"/>
              </w:rPr>
              <w:t>% (</w:t>
            </w:r>
            <w:r w:rsidRPr="00E60F06">
              <w:rPr>
                <w:rFonts w:ascii="Arial Narrow" w:hAnsi="Arial Narrow"/>
                <w:sz w:val="20"/>
              </w:rPr>
              <w:t>32.7</w:t>
            </w:r>
            <w:r w:rsidR="002E3D72" w:rsidRPr="00E60F06">
              <w:rPr>
                <w:rFonts w:ascii="Arial Narrow" w:hAnsi="Arial Narrow"/>
                <w:sz w:val="20"/>
              </w:rPr>
              <w:t xml:space="preserve">, </w:t>
            </w:r>
            <w:r w:rsidRPr="00E60F06">
              <w:rPr>
                <w:rFonts w:ascii="Arial Narrow" w:hAnsi="Arial Narrow"/>
                <w:sz w:val="20"/>
              </w:rPr>
              <w:t>41.2</w:t>
            </w:r>
            <w:r w:rsidR="002E3D72" w:rsidRPr="00E60F06">
              <w:rPr>
                <w:rFonts w:ascii="Arial Narrow" w:hAnsi="Arial Narrow"/>
                <w:sz w:val="20"/>
              </w:rPr>
              <w:t>)</w:t>
            </w:r>
          </w:p>
        </w:tc>
        <w:tc>
          <w:tcPr>
            <w:tcW w:w="1179" w:type="pct"/>
            <w:gridSpan w:val="3"/>
            <w:tcBorders>
              <w:bottom w:val="single" w:sz="4" w:space="0" w:color="auto"/>
            </w:tcBorders>
            <w:vAlign w:val="center"/>
          </w:tcPr>
          <w:p w:rsidR="005E4C68" w:rsidRPr="00E60F06" w:rsidRDefault="00BF297F" w:rsidP="00BF297F">
            <w:pPr>
              <w:jc w:val="center"/>
              <w:rPr>
                <w:rFonts w:ascii="Arial Narrow" w:hAnsi="Arial Narrow"/>
                <w:sz w:val="20"/>
              </w:rPr>
            </w:pPr>
            <w:r w:rsidRPr="00E60F06">
              <w:rPr>
                <w:rFonts w:ascii="Arial Narrow" w:hAnsi="Arial Narrow"/>
                <w:sz w:val="20"/>
              </w:rPr>
              <w:t>17.2</w:t>
            </w:r>
            <w:r w:rsidR="002E3D72" w:rsidRPr="00E60F06">
              <w:rPr>
                <w:rFonts w:ascii="Arial Narrow" w:hAnsi="Arial Narrow"/>
                <w:sz w:val="20"/>
              </w:rPr>
              <w:t>% (</w:t>
            </w:r>
            <w:r w:rsidRPr="00E60F06">
              <w:rPr>
                <w:rFonts w:ascii="Arial Narrow" w:hAnsi="Arial Narrow"/>
                <w:sz w:val="20"/>
              </w:rPr>
              <w:t>12.4</w:t>
            </w:r>
            <w:r w:rsidR="002E3D72" w:rsidRPr="00E60F06">
              <w:rPr>
                <w:rFonts w:ascii="Arial Narrow" w:hAnsi="Arial Narrow"/>
                <w:sz w:val="20"/>
              </w:rPr>
              <w:t xml:space="preserve">, </w:t>
            </w:r>
            <w:r w:rsidRPr="00E60F06">
              <w:rPr>
                <w:rFonts w:ascii="Arial Narrow" w:hAnsi="Arial Narrow"/>
                <w:sz w:val="20"/>
              </w:rPr>
              <w:t>22.5</w:t>
            </w:r>
            <w:r w:rsidR="002E3D72" w:rsidRPr="00E60F06">
              <w:rPr>
                <w:rFonts w:ascii="Arial Narrow" w:hAnsi="Arial Narrow"/>
                <w:sz w:val="20"/>
              </w:rPr>
              <w:t>)</w:t>
            </w:r>
          </w:p>
        </w:tc>
        <w:tc>
          <w:tcPr>
            <w:tcW w:w="994" w:type="pct"/>
            <w:gridSpan w:val="2"/>
            <w:tcBorders>
              <w:bottom w:val="single" w:sz="4" w:space="0" w:color="auto"/>
            </w:tcBorders>
            <w:vAlign w:val="center"/>
          </w:tcPr>
          <w:p w:rsidR="005E4C68" w:rsidRPr="00E60F06" w:rsidRDefault="00BF297F" w:rsidP="005E4C68">
            <w:pPr>
              <w:jc w:val="center"/>
              <w:rPr>
                <w:rFonts w:ascii="Arial Narrow" w:hAnsi="Arial Narrow"/>
                <w:sz w:val="20"/>
                <w:lang w:val="en-US"/>
              </w:rPr>
            </w:pPr>
            <w:r w:rsidRPr="00E60F06">
              <w:rPr>
                <w:rFonts w:ascii="Arial Narrow" w:hAnsi="Arial Narrow"/>
                <w:sz w:val="20"/>
                <w:lang w:val="en-US"/>
              </w:rPr>
              <w:t>19</w:t>
            </w:r>
            <w:r w:rsidR="002E3D72" w:rsidRPr="00E60F06">
              <w:rPr>
                <w:rFonts w:ascii="Arial Narrow" w:hAnsi="Arial Narrow"/>
                <w:sz w:val="20"/>
                <w:lang w:val="en-US"/>
              </w:rPr>
              <w:t>.8%</w:t>
            </w:r>
          </w:p>
        </w:tc>
        <w:tc>
          <w:tcPr>
            <w:tcW w:w="1046" w:type="pct"/>
            <w:gridSpan w:val="2"/>
            <w:tcBorders>
              <w:bottom w:val="single" w:sz="4" w:space="0" w:color="auto"/>
            </w:tcBorders>
            <w:vAlign w:val="center"/>
          </w:tcPr>
          <w:p w:rsidR="005E4C68" w:rsidRPr="00E60F06" w:rsidRDefault="002E3D72" w:rsidP="005E4C68">
            <w:pPr>
              <w:jc w:val="center"/>
              <w:rPr>
                <w:rFonts w:ascii="Arial Narrow" w:hAnsi="Arial Narrow"/>
                <w:sz w:val="20"/>
                <w:lang w:val="en-US"/>
              </w:rPr>
            </w:pPr>
            <w:r w:rsidRPr="00E60F06">
              <w:rPr>
                <w:rFonts w:ascii="Arial Narrow" w:hAnsi="Arial Narrow"/>
                <w:sz w:val="20"/>
                <w:lang w:val="en-US"/>
              </w:rPr>
              <w:t>-</w:t>
            </w:r>
          </w:p>
        </w:tc>
      </w:tr>
      <w:tr w:rsidR="00656B2F" w:rsidRPr="00E60F06" w:rsidTr="005E4C68">
        <w:tc>
          <w:tcPr>
            <w:tcW w:w="2960" w:type="pct"/>
            <w:gridSpan w:val="6"/>
            <w:tcBorders>
              <w:top w:val="single" w:sz="4" w:space="0" w:color="auto"/>
            </w:tcBorders>
            <w:shd w:val="clear" w:color="auto" w:fill="auto"/>
          </w:tcPr>
          <w:p w:rsidR="00656B2F" w:rsidRPr="00E60F06" w:rsidRDefault="007B5BA4" w:rsidP="005E4C68">
            <w:pPr>
              <w:jc w:val="left"/>
              <w:rPr>
                <w:rFonts w:ascii="Arial Narrow" w:hAnsi="Arial Narrow"/>
                <w:b/>
                <w:sz w:val="20"/>
                <w:lang w:val="en-US"/>
              </w:rPr>
            </w:pPr>
            <w:r w:rsidRPr="00E60F06">
              <w:rPr>
                <w:rFonts w:ascii="Arial Narrow" w:hAnsi="Arial Narrow"/>
                <w:b/>
                <w:sz w:val="20"/>
                <w:lang w:val="en-US"/>
              </w:rPr>
              <w:t xml:space="preserve">Progression-free survival </w:t>
            </w:r>
            <w:r w:rsidR="00934346" w:rsidRPr="00E60F06">
              <w:rPr>
                <w:rFonts w:ascii="Arial Narrow" w:hAnsi="Arial Narrow"/>
                <w:b/>
                <w:sz w:val="20"/>
                <w:lang w:val="en-US"/>
              </w:rPr>
              <w:t>–</w:t>
            </w:r>
            <w:r w:rsidR="005E4C68" w:rsidRPr="00E60F06">
              <w:rPr>
                <w:rFonts w:ascii="Arial Narrow" w:hAnsi="Arial Narrow"/>
                <w:b/>
                <w:sz w:val="20"/>
                <w:lang w:val="en-US"/>
              </w:rPr>
              <w:t xml:space="preserve"> irRC</w:t>
            </w:r>
          </w:p>
        </w:tc>
        <w:tc>
          <w:tcPr>
            <w:tcW w:w="994" w:type="pct"/>
            <w:gridSpan w:val="2"/>
            <w:tcBorders>
              <w:top w:val="single" w:sz="4" w:space="0" w:color="auto"/>
            </w:tcBorders>
            <w:vAlign w:val="center"/>
          </w:tcPr>
          <w:p w:rsidR="00656B2F" w:rsidRPr="00E60F06" w:rsidRDefault="00656B2F" w:rsidP="005E4C68">
            <w:pPr>
              <w:keepNext/>
              <w:jc w:val="center"/>
              <w:rPr>
                <w:rFonts w:ascii="Arial Narrow" w:hAnsi="Arial Narrow"/>
                <w:color w:val="000000"/>
                <w:sz w:val="20"/>
              </w:rPr>
            </w:pPr>
          </w:p>
        </w:tc>
        <w:tc>
          <w:tcPr>
            <w:tcW w:w="1046" w:type="pct"/>
            <w:gridSpan w:val="2"/>
            <w:tcBorders>
              <w:top w:val="single" w:sz="4" w:space="0" w:color="auto"/>
            </w:tcBorders>
            <w:vAlign w:val="center"/>
          </w:tcPr>
          <w:p w:rsidR="00656B2F" w:rsidRPr="00E60F06" w:rsidRDefault="00656B2F" w:rsidP="005E4C68">
            <w:pPr>
              <w:keepNext/>
              <w:tabs>
                <w:tab w:val="left" w:pos="647"/>
              </w:tabs>
              <w:jc w:val="center"/>
              <w:rPr>
                <w:rFonts w:ascii="Arial Narrow" w:hAnsi="Arial Narrow"/>
                <w:sz w:val="20"/>
                <w:lang w:val="en-US"/>
              </w:rPr>
            </w:pPr>
          </w:p>
        </w:tc>
      </w:tr>
      <w:tr w:rsidR="00290CF7" w:rsidRPr="00E60F06" w:rsidTr="006E36CC">
        <w:tc>
          <w:tcPr>
            <w:tcW w:w="608" w:type="pct"/>
            <w:shd w:val="clear" w:color="auto" w:fill="auto"/>
            <w:vAlign w:val="center"/>
          </w:tcPr>
          <w:p w:rsidR="00290CF7" w:rsidRPr="00E60F06" w:rsidRDefault="00290CF7" w:rsidP="005E4C68">
            <w:pPr>
              <w:tabs>
                <w:tab w:val="left" w:pos="114"/>
              </w:tabs>
              <w:jc w:val="left"/>
              <w:rPr>
                <w:rFonts w:ascii="Arial Narrow" w:hAnsi="Arial Narrow"/>
                <w:sz w:val="20"/>
              </w:rPr>
            </w:pPr>
            <w:r w:rsidRPr="00E60F06">
              <w:rPr>
                <w:rFonts w:ascii="Arial Narrow" w:hAnsi="Arial Narrow"/>
                <w:sz w:val="20"/>
              </w:rPr>
              <w:t>Progressed</w:t>
            </w:r>
          </w:p>
        </w:tc>
        <w:tc>
          <w:tcPr>
            <w:tcW w:w="1173" w:type="pct"/>
            <w:gridSpan w:val="2"/>
            <w:vAlign w:val="center"/>
          </w:tcPr>
          <w:p w:rsidR="00290CF7" w:rsidRPr="00E60F06" w:rsidRDefault="00B67691" w:rsidP="002E3D72">
            <w:pPr>
              <w:jc w:val="center"/>
              <w:rPr>
                <w:rFonts w:ascii="Arial Narrow" w:hAnsi="Arial Narrow"/>
                <w:sz w:val="20"/>
              </w:rPr>
            </w:pPr>
            <w:r w:rsidRPr="00E60F06">
              <w:rPr>
                <w:rFonts w:ascii="Arial Narrow" w:hAnsi="Arial Narrow"/>
                <w:sz w:val="20"/>
              </w:rPr>
              <w:t>311 (55.9%)</w:t>
            </w:r>
          </w:p>
        </w:tc>
        <w:tc>
          <w:tcPr>
            <w:tcW w:w="1179" w:type="pct"/>
            <w:gridSpan w:val="3"/>
            <w:vAlign w:val="center"/>
          </w:tcPr>
          <w:p w:rsidR="00290CF7" w:rsidRPr="00E60F06" w:rsidRDefault="00B67691" w:rsidP="005E4C68">
            <w:pPr>
              <w:jc w:val="center"/>
              <w:rPr>
                <w:rFonts w:ascii="Arial Narrow" w:hAnsi="Arial Narrow"/>
                <w:sz w:val="20"/>
              </w:rPr>
            </w:pPr>
            <w:r w:rsidRPr="00E60F06">
              <w:rPr>
                <w:rFonts w:ascii="Arial Narrow" w:hAnsi="Arial Narrow"/>
                <w:sz w:val="20"/>
              </w:rPr>
              <w:t>194 (69.8%)</w:t>
            </w:r>
          </w:p>
        </w:tc>
        <w:tc>
          <w:tcPr>
            <w:tcW w:w="994" w:type="pct"/>
            <w:gridSpan w:val="2"/>
            <w:vAlign w:val="center"/>
          </w:tcPr>
          <w:p w:rsidR="00290CF7" w:rsidRPr="00E60F06" w:rsidRDefault="006E36CC" w:rsidP="005E4C68">
            <w:pPr>
              <w:jc w:val="center"/>
              <w:rPr>
                <w:rFonts w:ascii="Arial Narrow" w:hAnsi="Arial Narrow"/>
                <w:sz w:val="20"/>
                <w:lang w:val="en-US"/>
              </w:rPr>
            </w:pPr>
            <w:r w:rsidRPr="00E60F06">
              <w:rPr>
                <w:rFonts w:ascii="Arial Narrow" w:hAnsi="Arial Narrow"/>
                <w:sz w:val="20"/>
                <w:lang w:val="en-US"/>
              </w:rPr>
              <w:t>-13.9%</w:t>
            </w:r>
          </w:p>
        </w:tc>
        <w:tc>
          <w:tcPr>
            <w:tcW w:w="1046" w:type="pct"/>
            <w:gridSpan w:val="2"/>
            <w:vAlign w:val="center"/>
          </w:tcPr>
          <w:p w:rsidR="00290CF7" w:rsidRPr="00E60F06" w:rsidRDefault="006E36CC" w:rsidP="005E4C68">
            <w:pPr>
              <w:jc w:val="center"/>
              <w:rPr>
                <w:rFonts w:ascii="Arial Narrow" w:hAnsi="Arial Narrow"/>
                <w:sz w:val="20"/>
              </w:rPr>
            </w:pPr>
            <w:r w:rsidRPr="00E60F06">
              <w:rPr>
                <w:rFonts w:ascii="Arial Narrow" w:hAnsi="Arial Narrow"/>
                <w:sz w:val="20"/>
              </w:rPr>
              <w:t>-</w:t>
            </w:r>
          </w:p>
        </w:tc>
      </w:tr>
      <w:tr w:rsidR="005E4C68" w:rsidRPr="00E60F06" w:rsidTr="006E36CC">
        <w:tc>
          <w:tcPr>
            <w:tcW w:w="608" w:type="pct"/>
            <w:shd w:val="clear" w:color="auto" w:fill="auto"/>
            <w:vAlign w:val="center"/>
          </w:tcPr>
          <w:p w:rsidR="005E4C68" w:rsidRPr="00E60F06" w:rsidRDefault="005E4C68" w:rsidP="005E4C68">
            <w:pPr>
              <w:tabs>
                <w:tab w:val="left" w:pos="114"/>
              </w:tabs>
              <w:jc w:val="left"/>
              <w:rPr>
                <w:rFonts w:ascii="Arial Narrow" w:hAnsi="Arial Narrow"/>
                <w:sz w:val="20"/>
                <w:lang w:val="en-US"/>
              </w:rPr>
            </w:pPr>
            <w:r w:rsidRPr="00E60F06">
              <w:rPr>
                <w:rFonts w:ascii="Arial Narrow" w:hAnsi="Arial Narrow"/>
                <w:sz w:val="20"/>
              </w:rPr>
              <w:t>Median mths (95% CI)</w:t>
            </w:r>
          </w:p>
        </w:tc>
        <w:tc>
          <w:tcPr>
            <w:tcW w:w="1173" w:type="pct"/>
            <w:gridSpan w:val="2"/>
            <w:vAlign w:val="center"/>
          </w:tcPr>
          <w:p w:rsidR="005E4C68" w:rsidRPr="00E60F06" w:rsidRDefault="002E3D72" w:rsidP="002E3D72">
            <w:pPr>
              <w:jc w:val="center"/>
              <w:rPr>
                <w:rFonts w:ascii="Arial Narrow" w:hAnsi="Arial Narrow"/>
                <w:sz w:val="20"/>
              </w:rPr>
            </w:pPr>
            <w:r w:rsidRPr="00E60F06">
              <w:rPr>
                <w:rFonts w:ascii="Arial Narrow" w:hAnsi="Arial Narrow"/>
                <w:sz w:val="20"/>
              </w:rPr>
              <w:t>8.4 (6.6, 11.2)</w:t>
            </w:r>
          </w:p>
        </w:tc>
        <w:tc>
          <w:tcPr>
            <w:tcW w:w="1179" w:type="pct"/>
            <w:gridSpan w:val="3"/>
            <w:vAlign w:val="center"/>
          </w:tcPr>
          <w:p w:rsidR="005E4C68" w:rsidRPr="00E60F06" w:rsidRDefault="002E3D72" w:rsidP="005E4C68">
            <w:pPr>
              <w:jc w:val="center"/>
              <w:rPr>
                <w:rFonts w:ascii="Arial Narrow" w:hAnsi="Arial Narrow"/>
                <w:sz w:val="20"/>
                <w:lang w:val="en-US"/>
              </w:rPr>
            </w:pPr>
            <w:r w:rsidRPr="00E60F06">
              <w:rPr>
                <w:rFonts w:ascii="Arial Narrow" w:hAnsi="Arial Narrow"/>
                <w:sz w:val="20"/>
              </w:rPr>
              <w:t>3.3 (2.9, 4.2)</w:t>
            </w:r>
          </w:p>
        </w:tc>
        <w:tc>
          <w:tcPr>
            <w:tcW w:w="994" w:type="pct"/>
            <w:gridSpan w:val="2"/>
            <w:vAlign w:val="center"/>
          </w:tcPr>
          <w:p w:rsidR="005E4C68" w:rsidRPr="00E60F06" w:rsidRDefault="002E3D72" w:rsidP="005E4C68">
            <w:pPr>
              <w:jc w:val="center"/>
              <w:rPr>
                <w:rFonts w:ascii="Arial Narrow" w:hAnsi="Arial Narrow"/>
                <w:sz w:val="20"/>
                <w:lang w:val="en-US"/>
              </w:rPr>
            </w:pPr>
            <w:r w:rsidRPr="00E60F06">
              <w:rPr>
                <w:rFonts w:ascii="Arial Narrow" w:hAnsi="Arial Narrow"/>
                <w:sz w:val="20"/>
                <w:lang w:val="en-US"/>
              </w:rPr>
              <w:t>5.1 months</w:t>
            </w:r>
          </w:p>
        </w:tc>
        <w:tc>
          <w:tcPr>
            <w:tcW w:w="1046" w:type="pct"/>
            <w:gridSpan w:val="2"/>
            <w:vAlign w:val="center"/>
          </w:tcPr>
          <w:p w:rsidR="005E4C68" w:rsidRPr="00E60F06" w:rsidRDefault="002E3D72" w:rsidP="005E4C68">
            <w:pPr>
              <w:jc w:val="center"/>
              <w:rPr>
                <w:rFonts w:ascii="Arial Narrow" w:hAnsi="Arial Narrow"/>
                <w:sz w:val="20"/>
                <w:lang w:val="en-US"/>
              </w:rPr>
            </w:pPr>
            <w:r w:rsidRPr="00E60F06">
              <w:rPr>
                <w:rFonts w:ascii="Arial Narrow" w:hAnsi="Arial Narrow"/>
                <w:sz w:val="20"/>
              </w:rPr>
              <w:t>0.53 (0.44, 0.64)</w:t>
            </w:r>
          </w:p>
        </w:tc>
      </w:tr>
      <w:tr w:rsidR="002E3D72" w:rsidRPr="00E60F06" w:rsidTr="006E36CC">
        <w:tc>
          <w:tcPr>
            <w:tcW w:w="608" w:type="pct"/>
            <w:tcBorders>
              <w:bottom w:val="double" w:sz="4" w:space="0" w:color="auto"/>
            </w:tcBorders>
            <w:shd w:val="clear" w:color="auto" w:fill="auto"/>
            <w:vAlign w:val="center"/>
          </w:tcPr>
          <w:p w:rsidR="002E3D72" w:rsidRPr="00E60F06" w:rsidRDefault="002E3D72" w:rsidP="003955F4">
            <w:pPr>
              <w:tabs>
                <w:tab w:val="left" w:pos="114"/>
              </w:tabs>
              <w:jc w:val="left"/>
              <w:rPr>
                <w:rFonts w:ascii="Arial Narrow" w:hAnsi="Arial Narrow"/>
                <w:sz w:val="20"/>
                <w:lang w:val="en-US"/>
              </w:rPr>
            </w:pPr>
            <w:r w:rsidRPr="00E60F06">
              <w:rPr>
                <w:rFonts w:ascii="Arial Narrow" w:hAnsi="Arial Narrow"/>
                <w:sz w:val="20"/>
              </w:rPr>
              <w:t xml:space="preserve">PFS rate at </w:t>
            </w:r>
            <w:r w:rsidR="003955F4" w:rsidRPr="00E60F06">
              <w:rPr>
                <w:rFonts w:ascii="Arial Narrow" w:hAnsi="Arial Narrow"/>
                <w:sz w:val="20"/>
              </w:rPr>
              <w:t>12</w:t>
            </w:r>
            <w:r w:rsidRPr="00E60F06">
              <w:rPr>
                <w:rFonts w:ascii="Arial Narrow" w:hAnsi="Arial Narrow"/>
                <w:sz w:val="20"/>
              </w:rPr>
              <w:t xml:space="preserve"> mths (%)</w:t>
            </w:r>
          </w:p>
        </w:tc>
        <w:tc>
          <w:tcPr>
            <w:tcW w:w="1173" w:type="pct"/>
            <w:gridSpan w:val="2"/>
            <w:tcBorders>
              <w:bottom w:val="double" w:sz="4" w:space="0" w:color="auto"/>
            </w:tcBorders>
            <w:vAlign w:val="center"/>
          </w:tcPr>
          <w:p w:rsidR="002E3D72" w:rsidRPr="00E60F06" w:rsidRDefault="003955F4" w:rsidP="00290CF7">
            <w:pPr>
              <w:jc w:val="center"/>
              <w:rPr>
                <w:rFonts w:ascii="Arial Narrow" w:hAnsi="Arial Narrow"/>
                <w:sz w:val="20"/>
                <w:lang w:val="en-US"/>
              </w:rPr>
            </w:pPr>
            <w:r w:rsidRPr="00E60F06">
              <w:rPr>
                <w:rFonts w:ascii="Arial Narrow" w:hAnsi="Arial Narrow"/>
                <w:sz w:val="20"/>
                <w:lang w:val="en-US"/>
              </w:rPr>
              <w:t>43.9% (39.5, 48.1)</w:t>
            </w:r>
          </w:p>
        </w:tc>
        <w:tc>
          <w:tcPr>
            <w:tcW w:w="1179" w:type="pct"/>
            <w:gridSpan w:val="3"/>
            <w:tcBorders>
              <w:bottom w:val="double" w:sz="4" w:space="0" w:color="auto"/>
            </w:tcBorders>
            <w:vAlign w:val="center"/>
          </w:tcPr>
          <w:p w:rsidR="002E3D72" w:rsidRPr="00E60F06" w:rsidRDefault="003955F4" w:rsidP="005E4C68">
            <w:pPr>
              <w:jc w:val="center"/>
              <w:rPr>
                <w:rFonts w:ascii="Arial Narrow" w:hAnsi="Arial Narrow"/>
                <w:sz w:val="20"/>
                <w:lang w:val="en-US"/>
              </w:rPr>
            </w:pPr>
            <w:r w:rsidRPr="00E60F06">
              <w:rPr>
                <w:rFonts w:ascii="Arial Narrow" w:hAnsi="Arial Narrow"/>
                <w:sz w:val="20"/>
                <w:lang w:val="en-US"/>
              </w:rPr>
              <w:t>19.5% (14.5, 24.9)</w:t>
            </w:r>
          </w:p>
        </w:tc>
        <w:tc>
          <w:tcPr>
            <w:tcW w:w="994" w:type="pct"/>
            <w:gridSpan w:val="2"/>
            <w:tcBorders>
              <w:bottom w:val="double" w:sz="4" w:space="0" w:color="auto"/>
            </w:tcBorders>
            <w:vAlign w:val="center"/>
          </w:tcPr>
          <w:p w:rsidR="002E3D72" w:rsidRPr="00E60F06" w:rsidRDefault="00BF297F" w:rsidP="005E4C68">
            <w:pPr>
              <w:jc w:val="center"/>
              <w:rPr>
                <w:rFonts w:ascii="Arial Narrow" w:hAnsi="Arial Narrow"/>
                <w:sz w:val="20"/>
                <w:lang w:val="en-US"/>
              </w:rPr>
            </w:pPr>
            <w:r w:rsidRPr="00E60F06">
              <w:rPr>
                <w:rFonts w:ascii="Arial Narrow" w:hAnsi="Arial Narrow"/>
                <w:sz w:val="20"/>
                <w:lang w:val="en-US"/>
              </w:rPr>
              <w:t>24.4%</w:t>
            </w:r>
          </w:p>
        </w:tc>
        <w:tc>
          <w:tcPr>
            <w:tcW w:w="1046" w:type="pct"/>
            <w:gridSpan w:val="2"/>
            <w:tcBorders>
              <w:bottom w:val="double" w:sz="4" w:space="0" w:color="auto"/>
            </w:tcBorders>
            <w:vAlign w:val="center"/>
          </w:tcPr>
          <w:p w:rsidR="002E3D72" w:rsidRPr="00E60F06" w:rsidRDefault="00F13102" w:rsidP="005E4C68">
            <w:pPr>
              <w:jc w:val="center"/>
              <w:rPr>
                <w:rFonts w:ascii="Arial Narrow" w:hAnsi="Arial Narrow"/>
                <w:sz w:val="20"/>
                <w:lang w:val="en-US"/>
              </w:rPr>
            </w:pPr>
            <w:r w:rsidRPr="00E60F06">
              <w:rPr>
                <w:rFonts w:ascii="Arial Narrow" w:hAnsi="Arial Narrow"/>
                <w:sz w:val="20"/>
                <w:lang w:val="en-US"/>
              </w:rPr>
              <w:t>-</w:t>
            </w:r>
          </w:p>
        </w:tc>
      </w:tr>
      <w:tr w:rsidR="00656B2F" w:rsidRPr="00E60F06" w:rsidTr="00656B2F">
        <w:tc>
          <w:tcPr>
            <w:tcW w:w="5000" w:type="pct"/>
            <w:gridSpan w:val="10"/>
            <w:tcBorders>
              <w:top w:val="double" w:sz="4" w:space="0" w:color="auto"/>
            </w:tcBorders>
            <w:shd w:val="clear" w:color="auto" w:fill="auto"/>
            <w:vAlign w:val="center"/>
          </w:tcPr>
          <w:p w:rsidR="00656B2F" w:rsidRPr="00E60F06" w:rsidRDefault="00656B2F" w:rsidP="005E4C68">
            <w:pPr>
              <w:keepNext/>
              <w:jc w:val="left"/>
              <w:rPr>
                <w:rFonts w:ascii="Arial Narrow" w:hAnsi="Arial Narrow"/>
                <w:b/>
                <w:color w:val="000000"/>
                <w:sz w:val="20"/>
              </w:rPr>
            </w:pPr>
            <w:r w:rsidRPr="00E60F06">
              <w:rPr>
                <w:rFonts w:ascii="Arial Narrow" w:hAnsi="Arial Narrow"/>
                <w:b/>
                <w:color w:val="000000"/>
                <w:sz w:val="20"/>
              </w:rPr>
              <w:t>Harms</w:t>
            </w:r>
          </w:p>
        </w:tc>
      </w:tr>
      <w:tr w:rsidR="00656B2F" w:rsidRPr="00E60F06" w:rsidTr="0021214F">
        <w:trPr>
          <w:trHeight w:val="246"/>
        </w:trPr>
        <w:tc>
          <w:tcPr>
            <w:tcW w:w="1277" w:type="pct"/>
            <w:gridSpan w:val="2"/>
            <w:vMerge w:val="restart"/>
            <w:shd w:val="clear" w:color="auto" w:fill="auto"/>
            <w:vAlign w:val="center"/>
          </w:tcPr>
          <w:p w:rsidR="00656B2F" w:rsidRPr="00E60F06" w:rsidRDefault="00656B2F" w:rsidP="005E4C68">
            <w:pPr>
              <w:keepNext/>
              <w:jc w:val="left"/>
              <w:rPr>
                <w:rFonts w:ascii="Arial Narrow" w:hAnsi="Arial Narrow"/>
                <w:b/>
                <w:sz w:val="20"/>
                <w:lang w:val="en-US"/>
              </w:rPr>
            </w:pPr>
          </w:p>
        </w:tc>
        <w:tc>
          <w:tcPr>
            <w:tcW w:w="753" w:type="pct"/>
            <w:gridSpan w:val="2"/>
            <w:vMerge w:val="restart"/>
            <w:vAlign w:val="center"/>
          </w:tcPr>
          <w:p w:rsidR="00656B2F" w:rsidRPr="00E60F06" w:rsidRDefault="00290CF7" w:rsidP="0021214F">
            <w:pPr>
              <w:keepNext/>
              <w:jc w:val="center"/>
              <w:rPr>
                <w:rFonts w:ascii="Arial Narrow" w:hAnsi="Arial Narrow"/>
                <w:b/>
                <w:sz w:val="20"/>
                <w:lang w:val="en-US"/>
              </w:rPr>
            </w:pPr>
            <w:r w:rsidRPr="00E60F06">
              <w:rPr>
                <w:rFonts w:ascii="Arial Narrow" w:hAnsi="Arial Narrow"/>
                <w:b/>
                <w:sz w:val="20"/>
                <w:lang w:val="en-US"/>
              </w:rPr>
              <w:t>Pembro</w:t>
            </w:r>
            <w:r w:rsidR="006E36CC" w:rsidRPr="00E60F06">
              <w:rPr>
                <w:rFonts w:ascii="Arial Narrow" w:hAnsi="Arial Narrow"/>
                <w:b/>
                <w:sz w:val="20"/>
                <w:lang w:val="en-US"/>
              </w:rPr>
              <w:t xml:space="preserve"> 1</w:t>
            </w:r>
            <w:r w:rsidR="0061061F" w:rsidRPr="00E60F06">
              <w:rPr>
                <w:rFonts w:ascii="Arial Narrow" w:hAnsi="Arial Narrow"/>
                <w:b/>
                <w:sz w:val="20"/>
                <w:lang w:val="en-US"/>
              </w:rPr>
              <w:t>0</w:t>
            </w:r>
            <w:r w:rsidR="0021214F" w:rsidRPr="00E60F06">
              <w:rPr>
                <w:rFonts w:ascii="Arial Narrow" w:hAnsi="Arial Narrow"/>
                <w:b/>
                <w:sz w:val="20"/>
                <w:lang w:val="en-US"/>
              </w:rPr>
              <w:t> </w:t>
            </w:r>
            <w:r w:rsidR="0061061F" w:rsidRPr="00E60F06">
              <w:rPr>
                <w:rFonts w:ascii="Arial Narrow" w:hAnsi="Arial Narrow"/>
                <w:b/>
                <w:sz w:val="20"/>
                <w:lang w:val="en-US"/>
              </w:rPr>
              <w:t>mg</w:t>
            </w:r>
            <w:r w:rsidR="00656B2F" w:rsidRPr="00E60F06">
              <w:rPr>
                <w:rFonts w:ascii="Arial Narrow" w:hAnsi="Arial Narrow"/>
                <w:b/>
                <w:sz w:val="20"/>
                <w:lang w:val="en-US"/>
              </w:rPr>
              <w:t>/kg Q2W</w:t>
            </w:r>
            <w:r w:rsidR="0021214F" w:rsidRPr="00E60F06">
              <w:rPr>
                <w:rFonts w:ascii="Arial Narrow" w:hAnsi="Arial Narrow"/>
                <w:b/>
                <w:sz w:val="20"/>
                <w:lang w:val="en-US"/>
              </w:rPr>
              <w:t xml:space="preserve"> </w:t>
            </w:r>
            <w:r w:rsidR="00656B2F" w:rsidRPr="00E60F06">
              <w:rPr>
                <w:rFonts w:ascii="Arial Narrow" w:hAnsi="Arial Narrow"/>
                <w:b/>
                <w:sz w:val="20"/>
                <w:lang w:val="en-US"/>
              </w:rPr>
              <w:t>N=27</w:t>
            </w:r>
            <w:r w:rsidR="005A70F8" w:rsidRPr="00E60F06">
              <w:rPr>
                <w:rFonts w:ascii="Arial Narrow" w:hAnsi="Arial Narrow"/>
                <w:b/>
                <w:sz w:val="20"/>
                <w:lang w:val="en-US"/>
              </w:rPr>
              <w:t>8</w:t>
            </w:r>
          </w:p>
        </w:tc>
        <w:tc>
          <w:tcPr>
            <w:tcW w:w="753" w:type="pct"/>
            <w:vMerge w:val="restart"/>
            <w:vAlign w:val="center"/>
          </w:tcPr>
          <w:p w:rsidR="00656B2F" w:rsidRPr="00E60F06" w:rsidRDefault="00656B2F" w:rsidP="0021214F">
            <w:pPr>
              <w:keepNext/>
              <w:jc w:val="center"/>
              <w:rPr>
                <w:rFonts w:ascii="Arial Narrow" w:hAnsi="Arial Narrow"/>
                <w:b/>
                <w:sz w:val="20"/>
                <w:lang w:val="en-US"/>
              </w:rPr>
            </w:pPr>
            <w:r w:rsidRPr="00E60F06">
              <w:rPr>
                <w:rFonts w:ascii="Arial Narrow" w:hAnsi="Arial Narrow"/>
                <w:b/>
                <w:sz w:val="20"/>
                <w:lang w:val="en-US"/>
              </w:rPr>
              <w:t>Pembro</w:t>
            </w:r>
            <w:r w:rsidR="006E36CC" w:rsidRPr="00E60F06">
              <w:rPr>
                <w:rFonts w:ascii="Arial Narrow" w:hAnsi="Arial Narrow"/>
                <w:b/>
                <w:sz w:val="20"/>
                <w:lang w:val="en-US"/>
              </w:rPr>
              <w:t xml:space="preserve"> 1</w:t>
            </w:r>
            <w:r w:rsidR="0021214F" w:rsidRPr="00E60F06">
              <w:rPr>
                <w:rFonts w:ascii="Arial Narrow" w:hAnsi="Arial Narrow"/>
                <w:b/>
                <w:sz w:val="20"/>
                <w:lang w:val="en-US"/>
              </w:rPr>
              <w:t>0 </w:t>
            </w:r>
            <w:r w:rsidR="0061061F" w:rsidRPr="00E60F06">
              <w:rPr>
                <w:rFonts w:ascii="Arial Narrow" w:hAnsi="Arial Narrow"/>
                <w:b/>
                <w:sz w:val="20"/>
                <w:lang w:val="en-US"/>
              </w:rPr>
              <w:t>mg</w:t>
            </w:r>
            <w:r w:rsidRPr="00E60F06">
              <w:rPr>
                <w:rFonts w:ascii="Arial Narrow" w:hAnsi="Arial Narrow"/>
                <w:b/>
                <w:sz w:val="20"/>
                <w:lang w:val="en-US"/>
              </w:rPr>
              <w:t>/kg Q3W</w:t>
            </w:r>
            <w:r w:rsidR="0021214F" w:rsidRPr="00E60F06">
              <w:rPr>
                <w:rFonts w:ascii="Arial Narrow" w:hAnsi="Arial Narrow"/>
                <w:b/>
                <w:sz w:val="20"/>
                <w:lang w:val="en-US"/>
              </w:rPr>
              <w:t xml:space="preserve"> </w:t>
            </w:r>
            <w:r w:rsidRPr="00E60F06">
              <w:rPr>
                <w:rFonts w:ascii="Arial Narrow" w:hAnsi="Arial Narrow"/>
                <w:b/>
                <w:sz w:val="20"/>
                <w:lang w:val="en-US"/>
              </w:rPr>
              <w:t>N=277</w:t>
            </w:r>
          </w:p>
        </w:tc>
        <w:tc>
          <w:tcPr>
            <w:tcW w:w="669" w:type="pct"/>
            <w:gridSpan w:val="2"/>
            <w:vMerge w:val="restart"/>
            <w:vAlign w:val="center"/>
          </w:tcPr>
          <w:p w:rsidR="00656B2F" w:rsidRPr="00E60F06" w:rsidRDefault="00656B2F" w:rsidP="0021214F">
            <w:pPr>
              <w:keepNext/>
              <w:jc w:val="center"/>
              <w:rPr>
                <w:rFonts w:ascii="Arial Narrow" w:hAnsi="Arial Narrow"/>
                <w:b/>
                <w:sz w:val="20"/>
                <w:lang w:val="en-US"/>
              </w:rPr>
            </w:pPr>
            <w:r w:rsidRPr="00E60F06">
              <w:rPr>
                <w:rFonts w:ascii="Arial Narrow" w:hAnsi="Arial Narrow"/>
                <w:b/>
                <w:sz w:val="20"/>
                <w:lang w:val="en-US"/>
              </w:rPr>
              <w:t xml:space="preserve">Ipi </w:t>
            </w:r>
            <w:r w:rsidR="00502545" w:rsidRPr="00E60F06">
              <w:rPr>
                <w:rFonts w:ascii="Arial Narrow" w:hAnsi="Arial Narrow"/>
                <w:b/>
                <w:sz w:val="20"/>
                <w:lang w:val="en-US"/>
              </w:rPr>
              <w:t>3</w:t>
            </w:r>
            <w:r w:rsidR="0021214F" w:rsidRPr="00E60F06">
              <w:rPr>
                <w:rFonts w:ascii="Arial Narrow" w:hAnsi="Arial Narrow"/>
                <w:b/>
                <w:sz w:val="20"/>
                <w:lang w:val="en-US"/>
              </w:rPr>
              <w:t> </w:t>
            </w:r>
            <w:r w:rsidR="00502545" w:rsidRPr="00E60F06">
              <w:rPr>
                <w:rFonts w:ascii="Arial Narrow" w:hAnsi="Arial Narrow"/>
                <w:b/>
                <w:sz w:val="20"/>
                <w:lang w:val="en-US"/>
              </w:rPr>
              <w:t>mg</w:t>
            </w:r>
            <w:r w:rsidRPr="00E60F06">
              <w:rPr>
                <w:rFonts w:ascii="Arial Narrow" w:hAnsi="Arial Narrow"/>
                <w:b/>
                <w:sz w:val="20"/>
                <w:lang w:val="en-US"/>
              </w:rPr>
              <w:t>/kg Q3W</w:t>
            </w:r>
            <w:r w:rsidR="0021214F" w:rsidRPr="00E60F06">
              <w:rPr>
                <w:rFonts w:ascii="Arial Narrow" w:hAnsi="Arial Narrow"/>
                <w:b/>
                <w:sz w:val="20"/>
                <w:lang w:val="en-US"/>
              </w:rPr>
              <w:t xml:space="preserve"> </w:t>
            </w:r>
            <w:r w:rsidRPr="00E60F06">
              <w:rPr>
                <w:rFonts w:ascii="Arial Narrow" w:hAnsi="Arial Narrow"/>
                <w:b/>
                <w:sz w:val="20"/>
                <w:lang w:val="en-US"/>
              </w:rPr>
              <w:t>N=</w:t>
            </w:r>
            <w:r w:rsidR="005E4C68" w:rsidRPr="00E60F06">
              <w:rPr>
                <w:rFonts w:ascii="Arial Narrow" w:hAnsi="Arial Narrow"/>
                <w:b/>
                <w:sz w:val="20"/>
                <w:lang w:val="en-US"/>
              </w:rPr>
              <w:t>256</w:t>
            </w:r>
          </w:p>
        </w:tc>
        <w:tc>
          <w:tcPr>
            <w:tcW w:w="1548" w:type="pct"/>
            <w:gridSpan w:val="3"/>
          </w:tcPr>
          <w:p w:rsidR="00656B2F" w:rsidRPr="00E60F06" w:rsidRDefault="00656B2F" w:rsidP="005E4C68">
            <w:pPr>
              <w:keepNext/>
              <w:jc w:val="center"/>
              <w:rPr>
                <w:rFonts w:ascii="Arial Narrow" w:hAnsi="Arial Narrow"/>
                <w:b/>
                <w:sz w:val="20"/>
                <w:lang w:val="en-US"/>
              </w:rPr>
            </w:pPr>
            <w:r w:rsidRPr="00E60F06">
              <w:rPr>
                <w:rFonts w:ascii="Arial Narrow" w:hAnsi="Arial Narrow"/>
                <w:b/>
                <w:sz w:val="20"/>
                <w:lang w:val="en-US"/>
              </w:rPr>
              <w:t>Difference in %</w:t>
            </w:r>
            <w:r w:rsidRPr="00E60F06">
              <w:rPr>
                <w:rFonts w:ascii="Arial Narrow" w:hAnsi="Arial Narrow"/>
                <w:b/>
                <w:sz w:val="20"/>
                <w:vertAlign w:val="superscript"/>
                <w:lang w:val="en-US"/>
              </w:rPr>
              <w:t>a</w:t>
            </w:r>
            <w:r w:rsidRPr="00E60F06">
              <w:rPr>
                <w:rFonts w:ascii="Arial Narrow" w:hAnsi="Arial Narrow"/>
                <w:b/>
                <w:sz w:val="20"/>
                <w:lang w:val="en-US"/>
              </w:rPr>
              <w:t xml:space="preserve"> (95% CI)</w:t>
            </w:r>
          </w:p>
        </w:tc>
      </w:tr>
      <w:tr w:rsidR="00656B2F" w:rsidRPr="00E60F06" w:rsidTr="0021214F">
        <w:trPr>
          <w:trHeight w:val="312"/>
        </w:trPr>
        <w:tc>
          <w:tcPr>
            <w:tcW w:w="1277" w:type="pct"/>
            <w:gridSpan w:val="2"/>
            <w:vMerge/>
            <w:shd w:val="clear" w:color="auto" w:fill="auto"/>
            <w:vAlign w:val="center"/>
          </w:tcPr>
          <w:p w:rsidR="00656B2F" w:rsidRPr="00E60F06" w:rsidRDefault="00656B2F" w:rsidP="005E4C68">
            <w:pPr>
              <w:keepNext/>
              <w:jc w:val="left"/>
              <w:rPr>
                <w:rFonts w:ascii="Arial Narrow" w:hAnsi="Arial Narrow"/>
                <w:b/>
                <w:sz w:val="20"/>
                <w:lang w:val="en-US"/>
              </w:rPr>
            </w:pPr>
          </w:p>
        </w:tc>
        <w:tc>
          <w:tcPr>
            <w:tcW w:w="753" w:type="pct"/>
            <w:gridSpan w:val="2"/>
            <w:vMerge/>
            <w:vAlign w:val="center"/>
          </w:tcPr>
          <w:p w:rsidR="00656B2F" w:rsidRPr="00E60F06" w:rsidRDefault="00656B2F" w:rsidP="005E4C68">
            <w:pPr>
              <w:keepNext/>
              <w:jc w:val="center"/>
              <w:rPr>
                <w:rFonts w:ascii="Arial Narrow" w:hAnsi="Arial Narrow"/>
                <w:b/>
                <w:sz w:val="20"/>
                <w:lang w:val="en-US"/>
              </w:rPr>
            </w:pPr>
          </w:p>
        </w:tc>
        <w:tc>
          <w:tcPr>
            <w:tcW w:w="753" w:type="pct"/>
            <w:vMerge/>
            <w:vAlign w:val="center"/>
          </w:tcPr>
          <w:p w:rsidR="00656B2F" w:rsidRPr="00E60F06" w:rsidRDefault="00656B2F" w:rsidP="005E4C68">
            <w:pPr>
              <w:keepNext/>
              <w:jc w:val="center"/>
              <w:rPr>
                <w:rFonts w:ascii="Arial Narrow" w:hAnsi="Arial Narrow"/>
                <w:b/>
                <w:sz w:val="20"/>
                <w:lang w:val="en-US"/>
              </w:rPr>
            </w:pPr>
          </w:p>
        </w:tc>
        <w:tc>
          <w:tcPr>
            <w:tcW w:w="669" w:type="pct"/>
            <w:gridSpan w:val="2"/>
            <w:vMerge/>
            <w:vAlign w:val="center"/>
          </w:tcPr>
          <w:p w:rsidR="00656B2F" w:rsidRPr="00E60F06" w:rsidRDefault="00656B2F" w:rsidP="005E4C68">
            <w:pPr>
              <w:keepNext/>
              <w:jc w:val="center"/>
              <w:rPr>
                <w:rFonts w:ascii="Arial Narrow" w:hAnsi="Arial Narrow"/>
                <w:b/>
                <w:sz w:val="20"/>
                <w:lang w:val="en-US"/>
              </w:rPr>
            </w:pPr>
          </w:p>
        </w:tc>
        <w:tc>
          <w:tcPr>
            <w:tcW w:w="779" w:type="pct"/>
            <w:gridSpan w:val="2"/>
            <w:vAlign w:val="center"/>
          </w:tcPr>
          <w:p w:rsidR="00656B2F" w:rsidRPr="00E60F06" w:rsidRDefault="006E36CC" w:rsidP="005E4C68">
            <w:pPr>
              <w:keepNext/>
              <w:jc w:val="center"/>
              <w:rPr>
                <w:rFonts w:ascii="Arial Narrow" w:hAnsi="Arial Narrow"/>
                <w:b/>
                <w:sz w:val="20"/>
                <w:lang w:val="en-US"/>
              </w:rPr>
            </w:pPr>
            <w:r w:rsidRPr="00E60F06">
              <w:rPr>
                <w:rFonts w:ascii="Arial Narrow" w:hAnsi="Arial Narrow"/>
                <w:b/>
                <w:sz w:val="20"/>
                <w:lang w:val="en-US"/>
              </w:rPr>
              <w:t>1</w:t>
            </w:r>
            <w:r w:rsidR="0021214F" w:rsidRPr="00E60F06">
              <w:rPr>
                <w:rFonts w:ascii="Arial Narrow" w:hAnsi="Arial Narrow"/>
                <w:b/>
                <w:sz w:val="20"/>
                <w:lang w:val="en-US"/>
              </w:rPr>
              <w:t>0 </w:t>
            </w:r>
            <w:r w:rsidR="0061061F" w:rsidRPr="00E60F06">
              <w:rPr>
                <w:rFonts w:ascii="Arial Narrow" w:hAnsi="Arial Narrow"/>
                <w:b/>
                <w:sz w:val="20"/>
                <w:lang w:val="en-US"/>
              </w:rPr>
              <w:t>mg</w:t>
            </w:r>
            <w:r w:rsidR="00656B2F" w:rsidRPr="00E60F06">
              <w:rPr>
                <w:rFonts w:ascii="Arial Narrow" w:hAnsi="Arial Narrow"/>
                <w:b/>
                <w:sz w:val="20"/>
                <w:lang w:val="en-US"/>
              </w:rPr>
              <w:t>/kg</w:t>
            </w:r>
            <w:r w:rsidR="0021214F" w:rsidRPr="00E60F06">
              <w:rPr>
                <w:rFonts w:ascii="Arial Narrow" w:hAnsi="Arial Narrow"/>
                <w:b/>
                <w:sz w:val="20"/>
                <w:lang w:val="en-US"/>
              </w:rPr>
              <w:t xml:space="preserve"> </w:t>
            </w:r>
            <w:r w:rsidR="00656B2F" w:rsidRPr="00E60F06">
              <w:rPr>
                <w:rFonts w:ascii="Arial Narrow" w:hAnsi="Arial Narrow"/>
                <w:b/>
                <w:sz w:val="20"/>
                <w:lang w:val="en-US"/>
              </w:rPr>
              <w:t>Q2W</w:t>
            </w:r>
          </w:p>
          <w:p w:rsidR="00656B2F" w:rsidRPr="00E60F06" w:rsidRDefault="006E36CC" w:rsidP="005E4C68">
            <w:pPr>
              <w:keepNext/>
              <w:jc w:val="center"/>
              <w:rPr>
                <w:rFonts w:ascii="Arial Narrow" w:hAnsi="Arial Narrow"/>
                <w:b/>
                <w:sz w:val="20"/>
                <w:lang w:val="en-US"/>
              </w:rPr>
            </w:pPr>
            <w:r w:rsidRPr="00E60F06">
              <w:rPr>
                <w:rFonts w:ascii="Arial Narrow" w:hAnsi="Arial Narrow"/>
                <w:b/>
                <w:sz w:val="20"/>
                <w:lang w:val="en-US"/>
              </w:rPr>
              <w:t>vs. ipi</w:t>
            </w:r>
          </w:p>
        </w:tc>
        <w:tc>
          <w:tcPr>
            <w:tcW w:w="769" w:type="pct"/>
            <w:vAlign w:val="center"/>
          </w:tcPr>
          <w:p w:rsidR="00656B2F" w:rsidRPr="00E60F06" w:rsidRDefault="006E36CC" w:rsidP="005E4C68">
            <w:pPr>
              <w:keepNext/>
              <w:jc w:val="center"/>
              <w:rPr>
                <w:rFonts w:ascii="Arial Narrow" w:hAnsi="Arial Narrow"/>
                <w:b/>
                <w:sz w:val="20"/>
                <w:lang w:val="en-US"/>
              </w:rPr>
            </w:pPr>
            <w:r w:rsidRPr="00E60F06">
              <w:rPr>
                <w:rFonts w:ascii="Arial Narrow" w:hAnsi="Arial Narrow"/>
                <w:b/>
                <w:sz w:val="20"/>
                <w:lang w:val="en-US"/>
              </w:rPr>
              <w:t>1</w:t>
            </w:r>
            <w:r w:rsidR="0061061F" w:rsidRPr="00E60F06">
              <w:rPr>
                <w:rFonts w:ascii="Arial Narrow" w:hAnsi="Arial Narrow"/>
                <w:b/>
                <w:sz w:val="20"/>
                <w:lang w:val="en-US"/>
              </w:rPr>
              <w:t>0</w:t>
            </w:r>
            <w:r w:rsidR="0021214F" w:rsidRPr="00E60F06">
              <w:rPr>
                <w:rFonts w:ascii="Arial Narrow" w:hAnsi="Arial Narrow"/>
                <w:b/>
                <w:sz w:val="20"/>
                <w:lang w:val="en-US"/>
              </w:rPr>
              <w:t> </w:t>
            </w:r>
            <w:r w:rsidR="0061061F" w:rsidRPr="00E60F06">
              <w:rPr>
                <w:rFonts w:ascii="Arial Narrow" w:hAnsi="Arial Narrow"/>
                <w:b/>
                <w:sz w:val="20"/>
                <w:lang w:val="en-US"/>
              </w:rPr>
              <w:t>mg</w:t>
            </w:r>
            <w:r w:rsidR="00656B2F" w:rsidRPr="00E60F06">
              <w:rPr>
                <w:rFonts w:ascii="Arial Narrow" w:hAnsi="Arial Narrow"/>
                <w:b/>
                <w:sz w:val="20"/>
                <w:lang w:val="en-US"/>
              </w:rPr>
              <w:t>/kg Q3W</w:t>
            </w:r>
          </w:p>
          <w:p w:rsidR="00656B2F" w:rsidRPr="00E60F06" w:rsidRDefault="006E36CC" w:rsidP="005E4C68">
            <w:pPr>
              <w:keepNext/>
              <w:jc w:val="center"/>
              <w:rPr>
                <w:rFonts w:ascii="Arial Narrow" w:hAnsi="Arial Narrow"/>
                <w:b/>
                <w:sz w:val="20"/>
                <w:lang w:val="en-US"/>
              </w:rPr>
            </w:pPr>
            <w:r w:rsidRPr="00E60F06">
              <w:rPr>
                <w:rFonts w:ascii="Arial Narrow" w:hAnsi="Arial Narrow"/>
                <w:b/>
                <w:sz w:val="20"/>
                <w:lang w:val="en-US"/>
              </w:rPr>
              <w:t>vs. ipi</w:t>
            </w:r>
          </w:p>
        </w:tc>
      </w:tr>
      <w:tr w:rsidR="00290CF7" w:rsidRPr="00E60F06" w:rsidTr="0021214F">
        <w:tc>
          <w:tcPr>
            <w:tcW w:w="1277" w:type="pct"/>
            <w:gridSpan w:val="2"/>
            <w:shd w:val="clear" w:color="auto" w:fill="auto"/>
            <w:vAlign w:val="center"/>
          </w:tcPr>
          <w:p w:rsidR="00290CF7" w:rsidRPr="00E60F06" w:rsidRDefault="00290CF7" w:rsidP="008B55B3">
            <w:pPr>
              <w:jc w:val="left"/>
              <w:rPr>
                <w:rFonts w:ascii="Arial Narrow" w:hAnsi="Arial Narrow"/>
                <w:sz w:val="20"/>
                <w:lang w:val="en-US"/>
              </w:rPr>
            </w:pPr>
            <w:r w:rsidRPr="00E60F06">
              <w:rPr>
                <w:rFonts w:ascii="Arial Narrow" w:hAnsi="Arial Narrow"/>
                <w:sz w:val="20"/>
              </w:rPr>
              <w:t>Grade ≥3 colitis</w:t>
            </w:r>
            <w:r w:rsidR="008B55B3" w:rsidRPr="00E60F06">
              <w:rPr>
                <w:rFonts w:ascii="Arial Narrow" w:hAnsi="Arial Narrow"/>
                <w:sz w:val="20"/>
                <w:vertAlign w:val="superscript"/>
              </w:rPr>
              <w:t>b</w:t>
            </w:r>
          </w:p>
        </w:tc>
        <w:tc>
          <w:tcPr>
            <w:tcW w:w="753" w:type="pct"/>
            <w:gridSpan w:val="2"/>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4 (1.4%)</w:t>
            </w:r>
          </w:p>
        </w:tc>
        <w:tc>
          <w:tcPr>
            <w:tcW w:w="753" w:type="pct"/>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7 (2.5%)</w:t>
            </w:r>
          </w:p>
        </w:tc>
        <w:tc>
          <w:tcPr>
            <w:tcW w:w="669" w:type="pct"/>
            <w:gridSpan w:val="2"/>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18 (7.0%)</w:t>
            </w:r>
          </w:p>
        </w:tc>
        <w:tc>
          <w:tcPr>
            <w:tcW w:w="779" w:type="pct"/>
            <w:gridSpan w:val="2"/>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-5.4 (-11.1, -1.3)</w:t>
            </w:r>
          </w:p>
        </w:tc>
        <w:tc>
          <w:tcPr>
            <w:tcW w:w="769" w:type="pct"/>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-5.0 (-10.6, -1.0)</w:t>
            </w:r>
          </w:p>
        </w:tc>
      </w:tr>
      <w:tr w:rsidR="00290CF7" w:rsidRPr="00E60F06" w:rsidTr="0021214F">
        <w:tc>
          <w:tcPr>
            <w:tcW w:w="1277" w:type="pct"/>
            <w:gridSpan w:val="2"/>
            <w:shd w:val="clear" w:color="auto" w:fill="auto"/>
            <w:vAlign w:val="center"/>
          </w:tcPr>
          <w:p w:rsidR="00290CF7" w:rsidRPr="00E60F06" w:rsidRDefault="00290CF7" w:rsidP="008B55B3">
            <w:pPr>
              <w:jc w:val="left"/>
              <w:rPr>
                <w:rFonts w:ascii="Arial Narrow" w:hAnsi="Arial Narrow"/>
                <w:sz w:val="20"/>
                <w:lang w:val="en-US"/>
              </w:rPr>
            </w:pPr>
            <w:r w:rsidRPr="00E60F06">
              <w:rPr>
                <w:rFonts w:ascii="Arial Narrow" w:hAnsi="Arial Narrow"/>
                <w:sz w:val="20"/>
              </w:rPr>
              <w:t>Grade ≥2 pneumonitis</w:t>
            </w:r>
            <w:r w:rsidR="008B55B3" w:rsidRPr="00E60F06">
              <w:rPr>
                <w:rFonts w:ascii="Arial Narrow" w:hAnsi="Arial Narrow"/>
                <w:sz w:val="20"/>
                <w:vertAlign w:val="superscript"/>
              </w:rPr>
              <w:t>b</w:t>
            </w:r>
          </w:p>
        </w:tc>
        <w:tc>
          <w:tcPr>
            <w:tcW w:w="753" w:type="pct"/>
            <w:gridSpan w:val="2"/>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1 (0.4%)</w:t>
            </w:r>
          </w:p>
        </w:tc>
        <w:tc>
          <w:tcPr>
            <w:tcW w:w="753" w:type="pct"/>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7 (2.5%)</w:t>
            </w:r>
          </w:p>
        </w:tc>
        <w:tc>
          <w:tcPr>
            <w:tcW w:w="669" w:type="pct"/>
            <w:gridSpan w:val="2"/>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1 (0.4%)</w:t>
            </w:r>
          </w:p>
        </w:tc>
        <w:tc>
          <w:tcPr>
            <w:tcW w:w="779" w:type="pct"/>
            <w:gridSpan w:val="2"/>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-0.2 (-3.3, 2.6)</w:t>
            </w:r>
          </w:p>
        </w:tc>
        <w:tc>
          <w:tcPr>
            <w:tcW w:w="769" w:type="pct"/>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3.6 (0.2, 8.1)</w:t>
            </w:r>
          </w:p>
        </w:tc>
      </w:tr>
      <w:tr w:rsidR="00290CF7" w:rsidRPr="00E60F06" w:rsidTr="0021214F">
        <w:tc>
          <w:tcPr>
            <w:tcW w:w="1277" w:type="pct"/>
            <w:gridSpan w:val="2"/>
            <w:shd w:val="clear" w:color="auto" w:fill="auto"/>
            <w:vAlign w:val="center"/>
          </w:tcPr>
          <w:p w:rsidR="00290CF7" w:rsidRPr="00E60F06" w:rsidRDefault="00290CF7" w:rsidP="005E4C68">
            <w:pPr>
              <w:jc w:val="left"/>
              <w:rPr>
                <w:rFonts w:ascii="Arial Narrow" w:hAnsi="Arial Narrow"/>
                <w:sz w:val="20"/>
                <w:lang w:val="en-US"/>
              </w:rPr>
            </w:pPr>
            <w:r w:rsidRPr="00E60F06">
              <w:rPr>
                <w:rFonts w:ascii="Arial Narrow" w:hAnsi="Arial Narrow"/>
                <w:sz w:val="20"/>
                <w:lang w:val="en-US"/>
              </w:rPr>
              <w:t>Sponsor-defined events of clinical interest</w:t>
            </w:r>
          </w:p>
        </w:tc>
        <w:tc>
          <w:tcPr>
            <w:tcW w:w="753" w:type="pct"/>
            <w:gridSpan w:val="2"/>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62 (22.3%)</w:t>
            </w:r>
          </w:p>
        </w:tc>
        <w:tc>
          <w:tcPr>
            <w:tcW w:w="753" w:type="pct"/>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78 (28.2%)</w:t>
            </w:r>
          </w:p>
        </w:tc>
        <w:tc>
          <w:tcPr>
            <w:tcW w:w="669" w:type="pct"/>
            <w:gridSpan w:val="2"/>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48 (18.8%)</w:t>
            </w:r>
          </w:p>
        </w:tc>
        <w:tc>
          <w:tcPr>
            <w:tcW w:w="779" w:type="pct"/>
            <w:gridSpan w:val="2"/>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4.7 (-3.4, 13.1)</w:t>
            </w:r>
          </w:p>
        </w:tc>
        <w:tc>
          <w:tcPr>
            <w:tcW w:w="769" w:type="pct"/>
            <w:vAlign w:val="center"/>
          </w:tcPr>
          <w:p w:rsidR="00290CF7" w:rsidRPr="00E60F06" w:rsidRDefault="00290CF7" w:rsidP="005E4C68">
            <w:pPr>
              <w:jc w:val="center"/>
              <w:rPr>
                <w:rFonts w:ascii="Arial Narrow" w:hAnsi="Arial Narrow"/>
                <w:sz w:val="20"/>
                <w:lang w:val="en-US"/>
              </w:rPr>
            </w:pPr>
            <w:r w:rsidRPr="00E60F06">
              <w:rPr>
                <w:rFonts w:ascii="Arial Narrow" w:hAnsi="Arial Narrow"/>
                <w:sz w:val="20"/>
              </w:rPr>
              <w:t>9.7 (0.7, 18.2)</w:t>
            </w:r>
          </w:p>
        </w:tc>
      </w:tr>
    </w:tbl>
    <w:p w:rsidR="00046A6B" w:rsidRPr="00E60F06" w:rsidRDefault="00046A6B" w:rsidP="00046A6B">
      <w:pPr>
        <w:pStyle w:val="TableFooter"/>
        <w:tabs>
          <w:tab w:val="left" w:pos="851"/>
        </w:tabs>
        <w:ind w:left="851" w:hanging="142"/>
        <w:rPr>
          <w:lang w:val="en-US"/>
        </w:rPr>
      </w:pPr>
      <w:r w:rsidRPr="00E60F06">
        <w:rPr>
          <w:vertAlign w:val="superscript"/>
        </w:rPr>
        <w:t>a</w:t>
      </w:r>
      <w:r w:rsidRPr="00E60F06">
        <w:tab/>
      </w:r>
      <w:r w:rsidRPr="00E60F06">
        <w:rPr>
          <w:lang w:val="en-US"/>
        </w:rPr>
        <w:t>Based on Miettinen &amp; Nurminen method stratified by line of</w:t>
      </w:r>
      <w:r w:rsidR="0021214F" w:rsidRPr="00E60F06">
        <w:rPr>
          <w:lang w:val="en-US"/>
        </w:rPr>
        <w:t xml:space="preserve"> therapy, PD-L1 status and ECOG</w:t>
      </w:r>
    </w:p>
    <w:p w:rsidR="00046A6B" w:rsidRPr="00E60F06" w:rsidRDefault="00046A6B" w:rsidP="00046A6B">
      <w:pPr>
        <w:pStyle w:val="TableFooter"/>
        <w:tabs>
          <w:tab w:val="left" w:pos="851"/>
        </w:tabs>
        <w:ind w:left="851" w:hanging="142"/>
      </w:pPr>
      <w:r w:rsidRPr="00E60F06">
        <w:rPr>
          <w:vertAlign w:val="superscript"/>
        </w:rPr>
        <w:t>b</w:t>
      </w:r>
      <w:r w:rsidRPr="00E60F06">
        <w:tab/>
        <w:t>with potential immunologic aetiology</w:t>
      </w:r>
    </w:p>
    <w:p w:rsidR="00656B2F" w:rsidRPr="00E60F06" w:rsidRDefault="00046A6B" w:rsidP="00046A6B">
      <w:pPr>
        <w:pStyle w:val="TableFooter"/>
        <w:ind w:left="709"/>
      </w:pPr>
      <w:r w:rsidRPr="00E60F06">
        <w:t>Comb’d=combined; diff=difference; HR=hazard ratio; ipi=ipilimumab; irRC=immune-related response criteria; mths=months; NR=not reached; OS=overall survival; PFS=progression-free survival; pembro=pembrolizumab; Q2W=every 2 weeks; Q3W=every 3 weeks</w:t>
      </w:r>
    </w:p>
    <w:p w:rsidR="00430BF3" w:rsidRPr="00E60F06" w:rsidRDefault="0021214F" w:rsidP="00046A6B">
      <w:pPr>
        <w:pStyle w:val="TableFooter"/>
        <w:ind w:left="709"/>
      </w:pPr>
      <w:r w:rsidRPr="00E60F06">
        <w:t xml:space="preserve">Source: </w:t>
      </w:r>
      <w:r w:rsidR="00430BF3" w:rsidRPr="00E60F06">
        <w:t>Table B.6-1, p60; B.6-5, p68 of the submission and Table 11-1, p203; Table 11-2, p205; Table 11-3, p207; Table 11-4, p209; Table 11-5, p211 Table 11-6, p213; Table 11-9, p225; Table 11-10, p227 of the KN-006 CSR</w:t>
      </w:r>
      <w:r w:rsidRPr="00E60F06">
        <w:t>.</w:t>
      </w:r>
    </w:p>
    <w:p w:rsidR="00656B2F" w:rsidRPr="00E60F06" w:rsidRDefault="00656B2F" w:rsidP="004B1CB4"/>
    <w:p w:rsidR="0024254E" w:rsidRPr="00E60F06" w:rsidRDefault="0024254E" w:rsidP="00423721">
      <w:pPr>
        <w:pStyle w:val="ListParagraph"/>
        <w:widowControl/>
        <w:numPr>
          <w:ilvl w:val="1"/>
          <w:numId w:val="3"/>
        </w:numPr>
        <w:rPr>
          <w:szCs w:val="22"/>
        </w:rPr>
      </w:pPr>
      <w:r w:rsidRPr="00E60F06">
        <w:rPr>
          <w:szCs w:val="22"/>
        </w:rPr>
        <w:t>On the basis of the KN-006 data</w:t>
      </w:r>
      <w:r w:rsidR="001A54B1" w:rsidRPr="00E60F06">
        <w:rPr>
          <w:szCs w:val="22"/>
        </w:rPr>
        <w:t xml:space="preserve"> </w:t>
      </w:r>
      <w:r w:rsidRPr="00E60F06">
        <w:rPr>
          <w:szCs w:val="22"/>
        </w:rPr>
        <w:t xml:space="preserve">with a median follow-up of </w:t>
      </w:r>
      <w:r w:rsidR="000205CA" w:rsidRPr="00E60F06">
        <w:rPr>
          <w:szCs w:val="22"/>
        </w:rPr>
        <w:t>13.8</w:t>
      </w:r>
      <w:r w:rsidRPr="00E60F06">
        <w:rPr>
          <w:szCs w:val="22"/>
        </w:rPr>
        <w:t xml:space="preserve"> months, for every 100 patients treated with pembrolizumab compared with ipilimumab:</w:t>
      </w:r>
    </w:p>
    <w:p w:rsidR="0024254E" w:rsidRPr="00E60F06" w:rsidRDefault="00046A6B" w:rsidP="00423721">
      <w:pPr>
        <w:pStyle w:val="ListParagraph"/>
        <w:numPr>
          <w:ilvl w:val="0"/>
          <w:numId w:val="4"/>
        </w:numPr>
        <w:ind w:left="993" w:hanging="284"/>
        <w:rPr>
          <w:szCs w:val="22"/>
        </w:rPr>
      </w:pPr>
      <w:r w:rsidRPr="00E60F06">
        <w:rPr>
          <w:szCs w:val="22"/>
        </w:rPr>
        <w:t>13</w:t>
      </w:r>
      <w:r w:rsidR="0024254E" w:rsidRPr="00E60F06">
        <w:rPr>
          <w:szCs w:val="22"/>
        </w:rPr>
        <w:t xml:space="preserve"> more patients will be alive at </w:t>
      </w:r>
      <w:r w:rsidR="003955F4" w:rsidRPr="00E60F06">
        <w:rPr>
          <w:szCs w:val="22"/>
        </w:rPr>
        <w:t>13.8</w:t>
      </w:r>
      <w:r w:rsidR="0024254E" w:rsidRPr="00E60F06">
        <w:rPr>
          <w:szCs w:val="22"/>
        </w:rPr>
        <w:t xml:space="preserve"> months</w:t>
      </w:r>
    </w:p>
    <w:p w:rsidR="0024254E" w:rsidRPr="00E60F06" w:rsidRDefault="0024254E" w:rsidP="00423721">
      <w:pPr>
        <w:pStyle w:val="ListParagraph"/>
        <w:numPr>
          <w:ilvl w:val="0"/>
          <w:numId w:val="4"/>
        </w:numPr>
        <w:ind w:left="993" w:hanging="284"/>
        <w:rPr>
          <w:szCs w:val="22"/>
        </w:rPr>
      </w:pPr>
      <w:r w:rsidRPr="00E60F06">
        <w:rPr>
          <w:szCs w:val="22"/>
        </w:rPr>
        <w:t>2</w:t>
      </w:r>
      <w:r w:rsidR="00414E5C" w:rsidRPr="00E60F06">
        <w:rPr>
          <w:szCs w:val="22"/>
        </w:rPr>
        <w:t>0</w:t>
      </w:r>
      <w:r w:rsidRPr="00E60F06">
        <w:rPr>
          <w:szCs w:val="22"/>
        </w:rPr>
        <w:t xml:space="preserve"> more patients will not have progressed at </w:t>
      </w:r>
      <w:r w:rsidR="003955F4" w:rsidRPr="00E60F06">
        <w:rPr>
          <w:szCs w:val="22"/>
        </w:rPr>
        <w:t>13.8</w:t>
      </w:r>
      <w:r w:rsidR="005B5699" w:rsidRPr="00E60F06">
        <w:rPr>
          <w:szCs w:val="22"/>
        </w:rPr>
        <w:t xml:space="preserve"> </w:t>
      </w:r>
      <w:r w:rsidRPr="00E60F06">
        <w:rPr>
          <w:szCs w:val="22"/>
        </w:rPr>
        <w:t>months</w:t>
      </w:r>
    </w:p>
    <w:p w:rsidR="0024254E" w:rsidRPr="00E60F06" w:rsidRDefault="00046A6B" w:rsidP="00423721">
      <w:pPr>
        <w:pStyle w:val="ListParagraph"/>
        <w:numPr>
          <w:ilvl w:val="0"/>
          <w:numId w:val="4"/>
        </w:numPr>
        <w:ind w:left="993" w:hanging="284"/>
        <w:rPr>
          <w:szCs w:val="22"/>
        </w:rPr>
      </w:pPr>
      <w:r w:rsidRPr="00E60F06">
        <w:rPr>
          <w:szCs w:val="22"/>
        </w:rPr>
        <w:t>5 fewer</w:t>
      </w:r>
      <w:r w:rsidR="0024254E" w:rsidRPr="00E60F06">
        <w:rPr>
          <w:szCs w:val="22"/>
        </w:rPr>
        <w:t xml:space="preserve"> patients will have experienced </w:t>
      </w:r>
      <w:r w:rsidRPr="00E60F06">
        <w:rPr>
          <w:szCs w:val="22"/>
        </w:rPr>
        <w:t>grade ≥3</w:t>
      </w:r>
      <w:r w:rsidR="005B5699" w:rsidRPr="00E60F06">
        <w:rPr>
          <w:szCs w:val="22"/>
        </w:rPr>
        <w:t xml:space="preserve"> </w:t>
      </w:r>
      <w:r w:rsidRPr="00E60F06">
        <w:rPr>
          <w:szCs w:val="22"/>
        </w:rPr>
        <w:t>colitis</w:t>
      </w:r>
    </w:p>
    <w:p w:rsidR="00B60939" w:rsidRPr="00E60F06" w:rsidRDefault="00046A6B" w:rsidP="00423721">
      <w:pPr>
        <w:pStyle w:val="ListParagraph"/>
        <w:widowControl/>
        <w:numPr>
          <w:ilvl w:val="0"/>
          <w:numId w:val="2"/>
        </w:numPr>
        <w:ind w:left="993" w:hanging="284"/>
        <w:rPr>
          <w:szCs w:val="22"/>
        </w:rPr>
      </w:pPr>
      <w:r w:rsidRPr="00E60F06">
        <w:rPr>
          <w:szCs w:val="22"/>
        </w:rPr>
        <w:t>4 more patients will have experienced grade ≥2 pneumonitis</w:t>
      </w:r>
    </w:p>
    <w:p w:rsidR="00B60939" w:rsidRPr="00E60F06" w:rsidRDefault="00B60939" w:rsidP="00FC1884"/>
    <w:p w:rsidR="00B60939" w:rsidRPr="00E60F06" w:rsidRDefault="00B60939" w:rsidP="002C2775">
      <w:pPr>
        <w:pStyle w:val="Heading2"/>
        <w:rPr>
          <w:i/>
        </w:rPr>
      </w:pPr>
      <w:bookmarkStart w:id="11" w:name="_Toc440982039"/>
      <w:r w:rsidRPr="00E60F06">
        <w:rPr>
          <w:i/>
        </w:rPr>
        <w:t>Clinical claim</w:t>
      </w:r>
      <w:bookmarkEnd w:id="11"/>
    </w:p>
    <w:p w:rsidR="00B60939" w:rsidRPr="00E60F06" w:rsidRDefault="00B60939" w:rsidP="00B60939">
      <w:pPr>
        <w:ind w:left="720" w:hanging="720"/>
        <w:rPr>
          <w:szCs w:val="22"/>
        </w:rPr>
      </w:pPr>
    </w:p>
    <w:p w:rsidR="00B60939" w:rsidRPr="00E60F06" w:rsidRDefault="0021214F" w:rsidP="00423721">
      <w:pPr>
        <w:pStyle w:val="ListParagraph"/>
        <w:widowControl/>
        <w:numPr>
          <w:ilvl w:val="1"/>
          <w:numId w:val="3"/>
        </w:numPr>
        <w:rPr>
          <w:szCs w:val="22"/>
        </w:rPr>
      </w:pPr>
      <w:r w:rsidRPr="00E60F06">
        <w:t>The submission described</w:t>
      </w:r>
      <w:r w:rsidR="009511BE" w:rsidRPr="00E60F06">
        <w:t xml:space="preserve"> pembrolizumab as superior in terms of comparative effectiveness and superior in terms of comparative safety over ipilimumab.</w:t>
      </w:r>
    </w:p>
    <w:p w:rsidR="00F060A9" w:rsidRPr="00E60F06" w:rsidRDefault="00F060A9" w:rsidP="00F060A9">
      <w:pPr>
        <w:widowControl/>
        <w:rPr>
          <w:szCs w:val="22"/>
        </w:rPr>
      </w:pPr>
    </w:p>
    <w:p w:rsidR="00F060A9" w:rsidRPr="00E60F06" w:rsidRDefault="00F060A9" w:rsidP="00423721">
      <w:pPr>
        <w:pStyle w:val="ListParagraph"/>
        <w:widowControl/>
        <w:numPr>
          <w:ilvl w:val="1"/>
          <w:numId w:val="3"/>
        </w:numPr>
        <w:rPr>
          <w:szCs w:val="22"/>
        </w:rPr>
      </w:pPr>
      <w:r w:rsidRPr="00E60F06">
        <w:t>The claim for superior safety is not strongly supported.</w:t>
      </w:r>
      <w:r w:rsidR="0021214F" w:rsidRPr="00E60F06">
        <w:t xml:space="preserve">  The submission argued</w:t>
      </w:r>
      <w:r w:rsidRPr="00E60F06">
        <w:t xml:space="preserve"> that while the frequency of drug-related adverse events of special interest (AEOSIs) was higher with pembrolizumab than ipilimumab, the frequency of high-grade AEOSIs, serious AEOSIs and AEOSIs leading to discontinuation was approximately 2-fold greater for ipilimumab-treated patients compared to those treated with pem</w:t>
      </w:r>
      <w:r w:rsidR="0021214F" w:rsidRPr="00E60F06">
        <w:t>brolizumab.  The submission added</w:t>
      </w:r>
      <w:r w:rsidRPr="00E60F06">
        <w:t xml:space="preserve"> that this suggests any AEOSIs due to pembrolizumab were milder and more easily managed.  This claim </w:t>
      </w:r>
      <w:r w:rsidR="0021214F" w:rsidRPr="00E60F06">
        <w:t>wa</w:t>
      </w:r>
      <w:r w:rsidRPr="00E60F06">
        <w:t>s not entirely accurate, as not all AEOSIs associated with pembrolizumab were milder.</w:t>
      </w:r>
      <w:r w:rsidR="005B5699" w:rsidRPr="00E60F06">
        <w:t xml:space="preserve">  </w:t>
      </w:r>
      <w:r w:rsidRPr="00E60F06">
        <w:t>In addition, while the analyses presented by the submission showed statistically significantly fewer patients treated with pembrolizumab experienced grade ≥3 colitis, there were also significantly fewer patients treated with ipilimumab who experienced grade ≥2 pneumonitis compared to those treated with pembrolizumab 1</w:t>
      </w:r>
      <w:r w:rsidR="0061061F" w:rsidRPr="00E60F06">
        <w:t>0</w:t>
      </w:r>
      <w:r w:rsidR="00BB1D4B" w:rsidRPr="00E60F06">
        <w:t> </w:t>
      </w:r>
      <w:r w:rsidR="0061061F" w:rsidRPr="00E60F06">
        <w:t>mg</w:t>
      </w:r>
      <w:r w:rsidRPr="00E60F06">
        <w:t>/kg Q3W.</w:t>
      </w:r>
      <w:r w:rsidR="00287479" w:rsidRPr="00E60F06">
        <w:t xml:space="preserve">  </w:t>
      </w:r>
      <w:r w:rsidR="00CB65F4" w:rsidRPr="00E60F06">
        <w:t>W</w:t>
      </w:r>
      <w:r w:rsidRPr="00E60F06">
        <w:t>hile there were significantly fewer patients treated with pembrolizumab 1</w:t>
      </w:r>
      <w:r w:rsidR="0061061F" w:rsidRPr="00E60F06">
        <w:t>0</w:t>
      </w:r>
      <w:r w:rsidR="00BB1D4B" w:rsidRPr="00E60F06">
        <w:t> </w:t>
      </w:r>
      <w:r w:rsidR="0061061F" w:rsidRPr="00E60F06">
        <w:t>mg</w:t>
      </w:r>
      <w:r w:rsidRPr="00E60F06">
        <w:t>/kg Q2W who experienced serious drug-related AEs or any drug-related grade 3-5 AEs compared to those treated with ipilimumab, this difference ha</w:t>
      </w:r>
      <w:r w:rsidR="00BB1D4B" w:rsidRPr="00E60F06">
        <w:t>d</w:t>
      </w:r>
      <w:r w:rsidRPr="00E60F06">
        <w:t xml:space="preserve"> limited relevance given the Q2W dosing frequency is not used in Australia.  Overall, with the exception of colitis, there </w:t>
      </w:r>
      <w:r w:rsidR="00BB1D4B" w:rsidRPr="00E60F06">
        <w:t>wa</w:t>
      </w:r>
      <w:r w:rsidRPr="00E60F06">
        <w:t>s little indication of statistically superior safety for pembrolizumab compared to ipilimumab.</w:t>
      </w:r>
    </w:p>
    <w:p w:rsidR="00423721" w:rsidRPr="00E60F06" w:rsidRDefault="00423721" w:rsidP="00423721">
      <w:pPr>
        <w:widowControl/>
        <w:rPr>
          <w:szCs w:val="22"/>
        </w:rPr>
      </w:pPr>
    </w:p>
    <w:p w:rsidR="00423721" w:rsidRPr="00E60F06" w:rsidRDefault="00423721" w:rsidP="008704F2">
      <w:pPr>
        <w:pStyle w:val="ListParagraph"/>
        <w:widowControl/>
        <w:numPr>
          <w:ilvl w:val="1"/>
          <w:numId w:val="3"/>
        </w:numPr>
        <w:rPr>
          <w:bCs/>
        </w:rPr>
      </w:pPr>
      <w:r w:rsidRPr="00E60F06">
        <w:rPr>
          <w:bCs/>
          <w:szCs w:val="22"/>
        </w:rPr>
        <w:t xml:space="preserve">The PBAC considered that the claim </w:t>
      </w:r>
      <w:r w:rsidR="00FD060B" w:rsidRPr="00E60F06">
        <w:rPr>
          <w:bCs/>
          <w:szCs w:val="22"/>
        </w:rPr>
        <w:t xml:space="preserve">of </w:t>
      </w:r>
      <w:r w:rsidRPr="00E60F06">
        <w:rPr>
          <w:bCs/>
          <w:szCs w:val="22"/>
        </w:rPr>
        <w:t>superior comparative effectiveness was reasonable.</w:t>
      </w:r>
    </w:p>
    <w:p w:rsidR="00423721" w:rsidRPr="00E60F06" w:rsidRDefault="00423721" w:rsidP="008704F2">
      <w:pPr>
        <w:widowControl/>
        <w:rPr>
          <w:bCs/>
          <w:szCs w:val="22"/>
        </w:rPr>
      </w:pPr>
    </w:p>
    <w:p w:rsidR="00423721" w:rsidRPr="00E60F06" w:rsidRDefault="00423721" w:rsidP="00423721">
      <w:pPr>
        <w:pStyle w:val="ListParagraph"/>
        <w:widowControl/>
        <w:numPr>
          <w:ilvl w:val="1"/>
          <w:numId w:val="3"/>
        </w:numPr>
        <w:rPr>
          <w:szCs w:val="22"/>
        </w:rPr>
      </w:pPr>
      <w:r w:rsidRPr="00E60F06">
        <w:rPr>
          <w:szCs w:val="22"/>
        </w:rPr>
        <w:t>The PBAC considered that the claim of superior comparative safety was not adequately supported by the data.</w:t>
      </w:r>
    </w:p>
    <w:p w:rsidR="00B60939" w:rsidRPr="00E60F06" w:rsidRDefault="00B60939" w:rsidP="00B60939">
      <w:pPr>
        <w:ind w:left="720" w:hanging="720"/>
        <w:rPr>
          <w:szCs w:val="22"/>
        </w:rPr>
      </w:pPr>
    </w:p>
    <w:p w:rsidR="00B60939" w:rsidRPr="00E60F06" w:rsidRDefault="00B60939" w:rsidP="002C2775">
      <w:pPr>
        <w:pStyle w:val="Heading2"/>
        <w:rPr>
          <w:i/>
        </w:rPr>
      </w:pPr>
      <w:bookmarkStart w:id="12" w:name="_Toc440982040"/>
      <w:r w:rsidRPr="00E60F06">
        <w:rPr>
          <w:i/>
        </w:rPr>
        <w:t>Economic analysis</w:t>
      </w:r>
      <w:bookmarkEnd w:id="12"/>
    </w:p>
    <w:p w:rsidR="00B60939" w:rsidRPr="00E60F06" w:rsidRDefault="00B60939" w:rsidP="00B60939">
      <w:pPr>
        <w:ind w:left="720" w:hanging="720"/>
        <w:rPr>
          <w:szCs w:val="22"/>
        </w:rPr>
      </w:pPr>
    </w:p>
    <w:p w:rsidR="00B60939" w:rsidRPr="00E60F06" w:rsidRDefault="00E274A1" w:rsidP="00423721">
      <w:pPr>
        <w:pStyle w:val="ListParagraph"/>
        <w:widowControl/>
        <w:numPr>
          <w:ilvl w:val="1"/>
          <w:numId w:val="3"/>
        </w:numPr>
        <w:rPr>
          <w:szCs w:val="22"/>
        </w:rPr>
      </w:pPr>
      <w:r w:rsidRPr="00E60F06">
        <w:t>The submission presented a cost-utility analysis based on KN-006, as required under the Deed of Agreement.  The table below provides a summary of the model structure.</w:t>
      </w:r>
    </w:p>
    <w:p w:rsidR="00275C5A" w:rsidRPr="00E60F06" w:rsidRDefault="00275C5A" w:rsidP="00275C5A">
      <w:pPr>
        <w:widowControl/>
        <w:rPr>
          <w:szCs w:val="22"/>
        </w:rPr>
      </w:pPr>
    </w:p>
    <w:p w:rsidR="00E274A1" w:rsidRPr="00E60F06" w:rsidRDefault="00E274A1" w:rsidP="00E274A1">
      <w:pPr>
        <w:ind w:firstLine="720"/>
        <w:rPr>
          <w:rStyle w:val="CommentReference"/>
        </w:rPr>
      </w:pPr>
      <w:r w:rsidRPr="00E60F06">
        <w:rPr>
          <w:rStyle w:val="CommentReference"/>
        </w:rPr>
        <w:t xml:space="preserve">Table </w:t>
      </w:r>
      <w:r w:rsidR="00163818" w:rsidRPr="00E60F06">
        <w:rPr>
          <w:rStyle w:val="CommentReference"/>
        </w:rPr>
        <w:t>8</w:t>
      </w:r>
      <w:r w:rsidRPr="00E60F06">
        <w:rPr>
          <w:rStyle w:val="CommentReference"/>
        </w:rPr>
        <w:t>: Summary of model structure and rationale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811"/>
      </w:tblGrid>
      <w:tr w:rsidR="00E274A1" w:rsidRPr="00E60F06" w:rsidTr="00050BD6">
        <w:trPr>
          <w:tblHeader/>
        </w:trPr>
        <w:tc>
          <w:tcPr>
            <w:tcW w:w="1526" w:type="pct"/>
            <w:shd w:val="clear" w:color="auto" w:fill="auto"/>
            <w:vAlign w:val="center"/>
          </w:tcPr>
          <w:p w:rsidR="00E274A1" w:rsidRPr="00E60F06" w:rsidRDefault="00E274A1" w:rsidP="00B01402">
            <w:pPr>
              <w:jc w:val="left"/>
              <w:rPr>
                <w:rFonts w:ascii="Arial Narrow" w:hAnsi="Arial Narrow"/>
                <w:b/>
                <w:sz w:val="20"/>
              </w:rPr>
            </w:pPr>
            <w:r w:rsidRPr="00E60F06">
              <w:rPr>
                <w:rFonts w:ascii="Arial Narrow" w:hAnsi="Arial Narrow"/>
                <w:b/>
                <w:sz w:val="20"/>
              </w:rPr>
              <w:t>Component</w:t>
            </w:r>
          </w:p>
        </w:tc>
        <w:tc>
          <w:tcPr>
            <w:tcW w:w="3474" w:type="pct"/>
            <w:shd w:val="clear" w:color="auto" w:fill="auto"/>
            <w:vAlign w:val="center"/>
          </w:tcPr>
          <w:p w:rsidR="00E274A1" w:rsidRPr="00E60F06" w:rsidRDefault="00E274A1" w:rsidP="00B01402">
            <w:pPr>
              <w:jc w:val="center"/>
              <w:rPr>
                <w:rFonts w:ascii="Arial Narrow" w:hAnsi="Arial Narrow"/>
                <w:b/>
                <w:sz w:val="20"/>
              </w:rPr>
            </w:pPr>
            <w:r w:rsidRPr="00E60F06">
              <w:rPr>
                <w:rFonts w:ascii="Arial Narrow" w:hAnsi="Arial Narrow"/>
                <w:b/>
                <w:sz w:val="20"/>
              </w:rPr>
              <w:t>Summary</w:t>
            </w:r>
          </w:p>
        </w:tc>
      </w:tr>
      <w:tr w:rsidR="00E274A1" w:rsidRPr="00E60F06" w:rsidTr="00050BD6">
        <w:tc>
          <w:tcPr>
            <w:tcW w:w="1526" w:type="pct"/>
            <w:shd w:val="clear" w:color="auto" w:fill="auto"/>
            <w:vAlign w:val="center"/>
          </w:tcPr>
          <w:p w:rsidR="00E274A1" w:rsidRPr="00E60F06" w:rsidRDefault="00E274A1" w:rsidP="00B01402">
            <w:pPr>
              <w:jc w:val="left"/>
              <w:rPr>
                <w:rFonts w:ascii="Arial Narrow" w:hAnsi="Arial Narrow"/>
                <w:sz w:val="20"/>
              </w:rPr>
            </w:pPr>
            <w:r w:rsidRPr="00E60F06">
              <w:rPr>
                <w:rFonts w:ascii="Arial Narrow" w:hAnsi="Arial Narrow"/>
                <w:sz w:val="20"/>
              </w:rPr>
              <w:t>Time horizon</w:t>
            </w:r>
          </w:p>
        </w:tc>
        <w:tc>
          <w:tcPr>
            <w:tcW w:w="3474" w:type="pct"/>
            <w:shd w:val="clear" w:color="auto" w:fill="auto"/>
            <w:vAlign w:val="center"/>
          </w:tcPr>
          <w:p w:rsidR="00E274A1" w:rsidRPr="00E60F06" w:rsidRDefault="00E274A1" w:rsidP="0006391E">
            <w:pPr>
              <w:jc w:val="left"/>
              <w:rPr>
                <w:rFonts w:ascii="Arial Narrow" w:hAnsi="Arial Narrow"/>
                <w:sz w:val="20"/>
              </w:rPr>
            </w:pPr>
            <w:r w:rsidRPr="00E60F06">
              <w:rPr>
                <w:rFonts w:ascii="Arial Narrow" w:hAnsi="Arial Narrow"/>
                <w:sz w:val="20"/>
              </w:rPr>
              <w:t>10 years in the base case versus 13.8 months median follow-up</w:t>
            </w:r>
            <w:r w:rsidR="0006391E" w:rsidRPr="00E60F06">
              <w:rPr>
                <w:rFonts w:ascii="Arial Narrow" w:hAnsi="Arial Narrow"/>
                <w:sz w:val="20"/>
              </w:rPr>
              <w:t xml:space="preserve"> in KN-006</w:t>
            </w:r>
          </w:p>
        </w:tc>
      </w:tr>
      <w:tr w:rsidR="00E274A1" w:rsidRPr="00E60F06" w:rsidTr="00050BD6">
        <w:tc>
          <w:tcPr>
            <w:tcW w:w="1526" w:type="pct"/>
            <w:shd w:val="clear" w:color="auto" w:fill="auto"/>
            <w:vAlign w:val="center"/>
          </w:tcPr>
          <w:p w:rsidR="00E274A1" w:rsidRPr="00E60F06" w:rsidRDefault="00E274A1" w:rsidP="00B01402">
            <w:pPr>
              <w:jc w:val="left"/>
              <w:rPr>
                <w:rFonts w:ascii="Arial Narrow" w:hAnsi="Arial Narrow"/>
                <w:sz w:val="20"/>
              </w:rPr>
            </w:pPr>
            <w:r w:rsidRPr="00E60F06">
              <w:rPr>
                <w:rFonts w:ascii="Arial Narrow" w:hAnsi="Arial Narrow"/>
                <w:sz w:val="20"/>
              </w:rPr>
              <w:t>Outcomes</w:t>
            </w:r>
          </w:p>
        </w:tc>
        <w:tc>
          <w:tcPr>
            <w:tcW w:w="3474" w:type="pct"/>
            <w:shd w:val="clear" w:color="auto" w:fill="auto"/>
            <w:vAlign w:val="center"/>
          </w:tcPr>
          <w:p w:rsidR="00E274A1" w:rsidRPr="00E60F06" w:rsidRDefault="00E274A1" w:rsidP="00B01402">
            <w:pPr>
              <w:jc w:val="left"/>
              <w:rPr>
                <w:rFonts w:ascii="Arial Narrow" w:hAnsi="Arial Narrow"/>
                <w:sz w:val="20"/>
              </w:rPr>
            </w:pPr>
            <w:r w:rsidRPr="00E60F06">
              <w:rPr>
                <w:rFonts w:ascii="Arial Narrow" w:hAnsi="Arial Narrow"/>
                <w:sz w:val="20"/>
              </w:rPr>
              <w:t>QALYs</w:t>
            </w:r>
          </w:p>
        </w:tc>
      </w:tr>
      <w:tr w:rsidR="00E274A1" w:rsidRPr="00E60F06" w:rsidTr="00050BD6">
        <w:tc>
          <w:tcPr>
            <w:tcW w:w="1526" w:type="pct"/>
            <w:shd w:val="clear" w:color="auto" w:fill="auto"/>
            <w:vAlign w:val="center"/>
          </w:tcPr>
          <w:p w:rsidR="00E274A1" w:rsidRPr="00E60F06" w:rsidRDefault="00E274A1" w:rsidP="00B01402">
            <w:pPr>
              <w:jc w:val="left"/>
              <w:rPr>
                <w:rFonts w:ascii="Arial Narrow" w:hAnsi="Arial Narrow"/>
                <w:sz w:val="20"/>
              </w:rPr>
            </w:pPr>
            <w:r w:rsidRPr="00E60F06">
              <w:rPr>
                <w:rFonts w:ascii="Arial Narrow" w:hAnsi="Arial Narrow"/>
                <w:sz w:val="20"/>
              </w:rPr>
              <w:t>Methods used to generate results</w:t>
            </w:r>
          </w:p>
        </w:tc>
        <w:tc>
          <w:tcPr>
            <w:tcW w:w="3474" w:type="pct"/>
            <w:shd w:val="clear" w:color="auto" w:fill="auto"/>
            <w:vAlign w:val="center"/>
          </w:tcPr>
          <w:p w:rsidR="00E274A1" w:rsidRPr="00E60F06" w:rsidRDefault="00E274A1" w:rsidP="00B01402">
            <w:pPr>
              <w:jc w:val="left"/>
              <w:rPr>
                <w:rFonts w:ascii="Arial Narrow" w:hAnsi="Arial Narrow"/>
                <w:sz w:val="20"/>
              </w:rPr>
            </w:pPr>
            <w:r w:rsidRPr="00E60F06">
              <w:rPr>
                <w:rFonts w:ascii="Arial Narrow" w:hAnsi="Arial Narrow"/>
                <w:sz w:val="20"/>
              </w:rPr>
              <w:t xml:space="preserve">Partitioned survival analysis: </w:t>
            </w:r>
          </w:p>
          <w:p w:rsidR="00E274A1" w:rsidRPr="00E60F06" w:rsidRDefault="00E274A1" w:rsidP="00B01402">
            <w:pPr>
              <w:jc w:val="left"/>
              <w:rPr>
                <w:rFonts w:ascii="Arial Narrow" w:hAnsi="Arial Narrow"/>
                <w:sz w:val="20"/>
              </w:rPr>
            </w:pPr>
            <w:r w:rsidRPr="00E60F06">
              <w:rPr>
                <w:rFonts w:ascii="Arial Narrow" w:hAnsi="Arial Narrow"/>
                <w:sz w:val="20"/>
              </w:rPr>
              <w:t>PFS: Kaplan-Meier curve</w:t>
            </w:r>
            <w:r w:rsidR="00275039" w:rsidRPr="00E60F06">
              <w:rPr>
                <w:rFonts w:ascii="Arial Narrow" w:hAnsi="Arial Narrow"/>
                <w:sz w:val="20"/>
              </w:rPr>
              <w:t>s</w:t>
            </w:r>
            <w:r w:rsidRPr="00E60F06">
              <w:rPr>
                <w:rFonts w:ascii="Arial Narrow" w:hAnsi="Arial Narrow"/>
                <w:sz w:val="20"/>
              </w:rPr>
              <w:t xml:space="preserve"> to 13.8months followed by fitted parametric functions to 5 years from baseline.</w:t>
            </w:r>
          </w:p>
          <w:p w:rsidR="00E274A1" w:rsidRPr="00E60F06" w:rsidRDefault="00E274A1" w:rsidP="00E1240D">
            <w:pPr>
              <w:jc w:val="left"/>
              <w:rPr>
                <w:rFonts w:ascii="Arial Narrow" w:hAnsi="Arial Narrow"/>
                <w:sz w:val="20"/>
              </w:rPr>
            </w:pPr>
            <w:r w:rsidRPr="00E60F06">
              <w:rPr>
                <w:rFonts w:ascii="Arial Narrow" w:hAnsi="Arial Narrow"/>
                <w:sz w:val="20"/>
              </w:rPr>
              <w:t>OS</w:t>
            </w:r>
            <w:r w:rsidR="005635C4" w:rsidRPr="00E60F06">
              <w:rPr>
                <w:rFonts w:ascii="Arial Narrow" w:hAnsi="Arial Narrow"/>
                <w:sz w:val="20"/>
              </w:rPr>
              <w:t>:</w:t>
            </w:r>
            <w:r w:rsidR="00275039" w:rsidRPr="00E60F06">
              <w:rPr>
                <w:rFonts w:ascii="Arial Narrow" w:hAnsi="Arial Narrow"/>
                <w:sz w:val="20"/>
              </w:rPr>
              <w:t xml:space="preserve"> </w:t>
            </w:r>
            <w:r w:rsidR="005635C4" w:rsidRPr="00E60F06">
              <w:rPr>
                <w:rFonts w:ascii="Arial Narrow" w:hAnsi="Arial Narrow"/>
                <w:sz w:val="20"/>
              </w:rPr>
              <w:t xml:space="preserve">for ipilimumab, Kaplan-Meier curve to 13.8 months followed by long-term ipilimumab data reported by Schadendorf 2015.  For pembrolizumab, Kaplan-Meier curve to 13.8 months followed by application of accelerated failure time model for hazard function applied to </w:t>
            </w:r>
            <w:r w:rsidR="00E1240D" w:rsidRPr="00E60F06">
              <w:rPr>
                <w:rFonts w:ascii="Arial Narrow" w:hAnsi="Arial Narrow"/>
                <w:sz w:val="20"/>
              </w:rPr>
              <w:t xml:space="preserve">ipilimumab </w:t>
            </w:r>
            <w:r w:rsidR="00DB4E5C" w:rsidRPr="00E60F06">
              <w:rPr>
                <w:rFonts w:ascii="Arial Narrow" w:hAnsi="Arial Narrow"/>
                <w:sz w:val="20"/>
              </w:rPr>
              <w:t>OS</w:t>
            </w:r>
            <w:r w:rsidR="005635C4" w:rsidRPr="00E60F06">
              <w:rPr>
                <w:rFonts w:ascii="Arial Narrow" w:hAnsi="Arial Narrow"/>
                <w:sz w:val="20"/>
              </w:rPr>
              <w:t>.</w:t>
            </w:r>
          </w:p>
        </w:tc>
      </w:tr>
      <w:tr w:rsidR="00E274A1" w:rsidRPr="00E60F06" w:rsidTr="00050BD6">
        <w:tc>
          <w:tcPr>
            <w:tcW w:w="1526" w:type="pct"/>
            <w:shd w:val="clear" w:color="auto" w:fill="auto"/>
            <w:vAlign w:val="center"/>
          </w:tcPr>
          <w:p w:rsidR="00E274A1" w:rsidRPr="00E60F06" w:rsidRDefault="00E274A1" w:rsidP="00B01402">
            <w:pPr>
              <w:jc w:val="left"/>
              <w:rPr>
                <w:rFonts w:ascii="Arial Narrow" w:hAnsi="Arial Narrow"/>
                <w:sz w:val="20"/>
              </w:rPr>
            </w:pPr>
            <w:r w:rsidRPr="00E60F06">
              <w:rPr>
                <w:rFonts w:ascii="Arial Narrow" w:hAnsi="Arial Narrow"/>
                <w:sz w:val="20"/>
              </w:rPr>
              <w:t>Health states</w:t>
            </w:r>
          </w:p>
        </w:tc>
        <w:tc>
          <w:tcPr>
            <w:tcW w:w="3474" w:type="pct"/>
            <w:shd w:val="clear" w:color="auto" w:fill="auto"/>
            <w:vAlign w:val="center"/>
          </w:tcPr>
          <w:p w:rsidR="00E274A1" w:rsidRPr="00E60F06" w:rsidRDefault="00E274A1" w:rsidP="00B01402">
            <w:pPr>
              <w:jc w:val="left"/>
              <w:rPr>
                <w:rFonts w:ascii="Arial Narrow" w:hAnsi="Arial Narrow"/>
                <w:sz w:val="20"/>
              </w:rPr>
            </w:pPr>
            <w:r w:rsidRPr="00E60F06">
              <w:rPr>
                <w:rFonts w:ascii="Arial Narrow" w:hAnsi="Arial Narrow"/>
                <w:sz w:val="20"/>
              </w:rPr>
              <w:t>Progression</w:t>
            </w:r>
            <w:r w:rsidR="00BB1D4B" w:rsidRPr="00E60F06">
              <w:rPr>
                <w:rFonts w:ascii="Arial Narrow" w:hAnsi="Arial Narrow"/>
                <w:sz w:val="20"/>
              </w:rPr>
              <w:t>-</w:t>
            </w:r>
            <w:r w:rsidRPr="00E60F06">
              <w:rPr>
                <w:rFonts w:ascii="Arial Narrow" w:hAnsi="Arial Narrow"/>
                <w:sz w:val="20"/>
              </w:rPr>
              <w:t>free survival (PFS)</w:t>
            </w:r>
          </w:p>
          <w:p w:rsidR="00E274A1" w:rsidRPr="00E60F06" w:rsidRDefault="00E274A1" w:rsidP="00B01402">
            <w:pPr>
              <w:jc w:val="left"/>
              <w:rPr>
                <w:rFonts w:ascii="Arial Narrow" w:hAnsi="Arial Narrow"/>
                <w:sz w:val="20"/>
              </w:rPr>
            </w:pPr>
            <w:r w:rsidRPr="00E60F06">
              <w:rPr>
                <w:rFonts w:ascii="Arial Narrow" w:hAnsi="Arial Narrow"/>
                <w:sz w:val="20"/>
              </w:rPr>
              <w:t>Progression (referred to in the submission model as post-PD)</w:t>
            </w:r>
          </w:p>
          <w:p w:rsidR="00E274A1" w:rsidRPr="00E60F06" w:rsidRDefault="00E274A1" w:rsidP="00B01402">
            <w:pPr>
              <w:jc w:val="left"/>
              <w:rPr>
                <w:rFonts w:ascii="Arial Narrow" w:hAnsi="Arial Narrow"/>
                <w:sz w:val="20"/>
              </w:rPr>
            </w:pPr>
            <w:r w:rsidRPr="00E60F06">
              <w:rPr>
                <w:rFonts w:ascii="Arial Narrow" w:hAnsi="Arial Narrow"/>
                <w:sz w:val="20"/>
              </w:rPr>
              <w:t>Death</w:t>
            </w:r>
          </w:p>
        </w:tc>
      </w:tr>
      <w:tr w:rsidR="00E274A1" w:rsidRPr="00E60F06" w:rsidTr="00050BD6">
        <w:tc>
          <w:tcPr>
            <w:tcW w:w="1526" w:type="pct"/>
            <w:shd w:val="clear" w:color="auto" w:fill="auto"/>
            <w:vAlign w:val="center"/>
          </w:tcPr>
          <w:p w:rsidR="00E274A1" w:rsidRPr="00E60F06" w:rsidRDefault="00E274A1" w:rsidP="00B01402">
            <w:pPr>
              <w:jc w:val="left"/>
              <w:rPr>
                <w:rFonts w:ascii="Arial Narrow" w:hAnsi="Arial Narrow"/>
                <w:sz w:val="20"/>
              </w:rPr>
            </w:pPr>
            <w:r w:rsidRPr="00E60F06">
              <w:rPr>
                <w:rFonts w:ascii="Arial Narrow" w:hAnsi="Arial Narrow"/>
                <w:sz w:val="20"/>
              </w:rPr>
              <w:t>Cycle length</w:t>
            </w:r>
          </w:p>
        </w:tc>
        <w:tc>
          <w:tcPr>
            <w:tcW w:w="3474" w:type="pct"/>
            <w:shd w:val="clear" w:color="auto" w:fill="auto"/>
            <w:vAlign w:val="center"/>
          </w:tcPr>
          <w:p w:rsidR="00E274A1" w:rsidRPr="00E60F06" w:rsidRDefault="00E274A1" w:rsidP="00B01402">
            <w:pPr>
              <w:jc w:val="left"/>
              <w:rPr>
                <w:rFonts w:ascii="Arial Narrow" w:hAnsi="Arial Narrow"/>
                <w:sz w:val="20"/>
              </w:rPr>
            </w:pPr>
            <w:r w:rsidRPr="00E60F06">
              <w:rPr>
                <w:rFonts w:ascii="Arial Narrow" w:hAnsi="Arial Narrow"/>
                <w:sz w:val="20"/>
              </w:rPr>
              <w:t>1 week</w:t>
            </w:r>
          </w:p>
        </w:tc>
      </w:tr>
      <w:tr w:rsidR="00E274A1" w:rsidRPr="00E60F06" w:rsidTr="00050BD6">
        <w:tc>
          <w:tcPr>
            <w:tcW w:w="1526" w:type="pct"/>
            <w:shd w:val="clear" w:color="auto" w:fill="auto"/>
            <w:vAlign w:val="center"/>
          </w:tcPr>
          <w:p w:rsidR="00E274A1" w:rsidRPr="00E60F06" w:rsidRDefault="00E274A1" w:rsidP="00B01402">
            <w:pPr>
              <w:jc w:val="left"/>
              <w:rPr>
                <w:rFonts w:ascii="Arial Narrow" w:hAnsi="Arial Narrow"/>
                <w:sz w:val="20"/>
              </w:rPr>
            </w:pPr>
            <w:r w:rsidRPr="00E60F06">
              <w:rPr>
                <w:rFonts w:ascii="Arial Narrow" w:hAnsi="Arial Narrow"/>
                <w:sz w:val="20"/>
              </w:rPr>
              <w:t>Transition probabilities (i.e. distributions; explicit transition probabilities not used)</w:t>
            </w:r>
          </w:p>
        </w:tc>
        <w:tc>
          <w:tcPr>
            <w:tcW w:w="3474" w:type="pct"/>
            <w:shd w:val="clear" w:color="auto" w:fill="auto"/>
            <w:vAlign w:val="center"/>
          </w:tcPr>
          <w:p w:rsidR="00E274A1" w:rsidRPr="00E60F06" w:rsidRDefault="00E274A1" w:rsidP="00B01402">
            <w:pPr>
              <w:jc w:val="left"/>
              <w:rPr>
                <w:rFonts w:ascii="Arial Narrow" w:hAnsi="Arial Narrow"/>
                <w:sz w:val="20"/>
              </w:rPr>
            </w:pPr>
            <w:r w:rsidRPr="00E60F06">
              <w:rPr>
                <w:rFonts w:ascii="Arial Narrow" w:hAnsi="Arial Narrow" w:cs="Times New Roman"/>
                <w:sz w:val="20"/>
              </w:rPr>
              <w:t>OS and PFS weekly distributions from Kaplan-Meier curves to 13.8</w:t>
            </w:r>
            <w:r w:rsidR="00275039" w:rsidRPr="00E60F06">
              <w:rPr>
                <w:rFonts w:ascii="Arial Narrow" w:hAnsi="Arial Narrow" w:cs="Times New Roman"/>
                <w:sz w:val="20"/>
              </w:rPr>
              <w:t xml:space="preserve"> </w:t>
            </w:r>
            <w:r w:rsidRPr="00E60F06">
              <w:rPr>
                <w:rFonts w:ascii="Arial Narrow" w:hAnsi="Arial Narrow" w:cs="Times New Roman"/>
                <w:sz w:val="20"/>
              </w:rPr>
              <w:t>months and thereafter from extrapolated curves to 5 years for PFS and 10 years for OS</w:t>
            </w:r>
            <w:r w:rsidR="0006391E" w:rsidRPr="00E60F06">
              <w:rPr>
                <w:rFonts w:ascii="Arial Narrow" w:hAnsi="Arial Narrow" w:cs="Times New Roman"/>
                <w:sz w:val="20"/>
              </w:rPr>
              <w:t>.</w:t>
            </w:r>
          </w:p>
        </w:tc>
      </w:tr>
    </w:tbl>
    <w:p w:rsidR="00E274A1" w:rsidRPr="00E60F06" w:rsidRDefault="00E274A1" w:rsidP="00E274A1">
      <w:pPr>
        <w:pStyle w:val="TableFooter"/>
        <w:ind w:firstLine="720"/>
      </w:pPr>
      <w:r w:rsidRPr="00E60F06">
        <w:t>Source: Compiled during the evaluation.</w:t>
      </w:r>
    </w:p>
    <w:p w:rsidR="00E274A1" w:rsidRPr="00E60F06" w:rsidRDefault="00E274A1" w:rsidP="00E274A1">
      <w:pPr>
        <w:widowControl/>
        <w:rPr>
          <w:szCs w:val="22"/>
        </w:rPr>
      </w:pPr>
    </w:p>
    <w:p w:rsidR="004552B3" w:rsidRPr="00E60F06" w:rsidRDefault="004552B3" w:rsidP="00423721">
      <w:pPr>
        <w:pStyle w:val="ListParagraph"/>
        <w:widowControl/>
        <w:numPr>
          <w:ilvl w:val="1"/>
          <w:numId w:val="3"/>
        </w:numPr>
        <w:rPr>
          <w:szCs w:val="22"/>
        </w:rPr>
      </w:pPr>
      <w:r w:rsidRPr="00E60F06">
        <w:t xml:space="preserve">The model complied with </w:t>
      </w:r>
      <w:r w:rsidR="00007C7B" w:rsidRPr="00E60F06">
        <w:t>most</w:t>
      </w:r>
      <w:r w:rsidRPr="00E60F06">
        <w:t xml:space="preserve"> clauses of the Deed</w:t>
      </w:r>
      <w:r w:rsidR="00287479" w:rsidRPr="00E60F06">
        <w:t xml:space="preserve"> </w:t>
      </w:r>
      <w:r w:rsidRPr="00E60F06">
        <w:t xml:space="preserve">of Agreement, </w:t>
      </w:r>
      <w:r w:rsidR="00007C7B" w:rsidRPr="00E60F06">
        <w:t xml:space="preserve">including the requirement to use Kaplan-Meier curves </w:t>
      </w:r>
      <w:r w:rsidR="0050691F" w:rsidRPr="00E60F06">
        <w:t>to</w:t>
      </w:r>
      <w:r w:rsidR="00007C7B" w:rsidRPr="00E60F06">
        <w:t xml:space="preserve"> med</w:t>
      </w:r>
      <w:r w:rsidR="0050691F" w:rsidRPr="00E60F06">
        <w:t>ian duration of follow-up and then apply extrapolation</w:t>
      </w:r>
      <w:r w:rsidR="00275039" w:rsidRPr="00E60F06">
        <w:t>.  T</w:t>
      </w:r>
      <w:r w:rsidRPr="00E60F06">
        <w:t>he exception</w:t>
      </w:r>
      <w:r w:rsidR="00275039" w:rsidRPr="00E60F06">
        <w:t>s were</w:t>
      </w:r>
      <w:r w:rsidRPr="00E60F06">
        <w:t xml:space="preserve"> time horizon of 5 years and the requirement for </w:t>
      </w:r>
      <w:r w:rsidR="000A32DC" w:rsidRPr="00E60F06">
        <w:t xml:space="preserve">extrapolated </w:t>
      </w:r>
      <w:r w:rsidRPr="00E60F06">
        <w:t>PFS and OS to both converge at 5 years.</w:t>
      </w:r>
      <w:r w:rsidR="00287479" w:rsidRPr="00E60F06">
        <w:t xml:space="preserve">  </w:t>
      </w:r>
      <w:r w:rsidRPr="00E60F06">
        <w:t>The submission argued that</w:t>
      </w:r>
      <w:r w:rsidR="00275039" w:rsidRPr="00E60F06">
        <w:t>,</w:t>
      </w:r>
      <w:r w:rsidRPr="00E60F06">
        <w:t xml:space="preserve"> </w:t>
      </w:r>
      <w:r w:rsidR="00275039" w:rsidRPr="00E60F06">
        <w:t xml:space="preserve">because </w:t>
      </w:r>
      <w:r w:rsidRPr="00E60F06">
        <w:t xml:space="preserve">the earliest convergence of </w:t>
      </w:r>
      <w:r w:rsidR="00275039" w:rsidRPr="00E60F06">
        <w:t xml:space="preserve">the </w:t>
      </w:r>
      <w:r w:rsidRPr="00E60F06">
        <w:t>PFS curves occur</w:t>
      </w:r>
      <w:r w:rsidR="00275039" w:rsidRPr="00E60F06">
        <w:t>red</w:t>
      </w:r>
      <w:r w:rsidRPr="00E60F06">
        <w:t xml:space="preserve"> at 5.2 years, it </w:t>
      </w:r>
      <w:r w:rsidR="00275039" w:rsidRPr="00E60F06">
        <w:t>wa</w:t>
      </w:r>
      <w:r w:rsidRPr="00E60F06">
        <w:t xml:space="preserve">s not plausible for both PFS and OS to converge at 5 years, as required under clause B.2.2.d of the Deed.  </w:t>
      </w:r>
      <w:r w:rsidR="0071390E" w:rsidRPr="00E60F06">
        <w:rPr>
          <w:bCs/>
          <w:szCs w:val="22"/>
          <w:lang w:val="en-GB"/>
        </w:rPr>
        <w:t>The PBAC considered that this extrapolation was not strongly evidence-based, because it depended on the assumptions built into the modelled extrapolation beyond the observed PFS results from the KN-006 trial up to 13.8 months</w:t>
      </w:r>
      <w:r w:rsidR="00F84096" w:rsidRPr="00E60F06">
        <w:rPr>
          <w:bCs/>
          <w:szCs w:val="22"/>
          <w:lang w:val="en-GB"/>
        </w:rPr>
        <w:t xml:space="preserve"> mean duration of follow-up across the trial population</w:t>
      </w:r>
      <w:r w:rsidR="0071390E" w:rsidRPr="00E60F06">
        <w:rPr>
          <w:bCs/>
          <w:szCs w:val="22"/>
          <w:lang w:val="en-GB"/>
        </w:rPr>
        <w:t>.</w:t>
      </w:r>
    </w:p>
    <w:p w:rsidR="004552B3" w:rsidRPr="00E60F06" w:rsidRDefault="004552B3" w:rsidP="004552B3">
      <w:pPr>
        <w:widowControl/>
        <w:rPr>
          <w:szCs w:val="22"/>
        </w:rPr>
      </w:pPr>
    </w:p>
    <w:p w:rsidR="00DD7DCB" w:rsidRPr="00E60F06" w:rsidRDefault="00AE2196" w:rsidP="00423721">
      <w:pPr>
        <w:pStyle w:val="ListParagraph"/>
        <w:widowControl/>
        <w:numPr>
          <w:ilvl w:val="1"/>
          <w:numId w:val="3"/>
        </w:numPr>
        <w:rPr>
          <w:szCs w:val="22"/>
        </w:rPr>
      </w:pPr>
      <w:r w:rsidRPr="00E60F06">
        <w:rPr>
          <w:szCs w:val="22"/>
        </w:rPr>
        <w:t>On the basis that extrapolation of ipilimumab data from KN-006 d</w:t>
      </w:r>
      <w:r w:rsidR="00275039" w:rsidRPr="00E60F06">
        <w:rPr>
          <w:szCs w:val="22"/>
        </w:rPr>
        <w:t>id</w:t>
      </w:r>
      <w:r w:rsidRPr="00E60F06">
        <w:rPr>
          <w:szCs w:val="22"/>
        </w:rPr>
        <w:t xml:space="preserve"> not adequately capture the long-term </w:t>
      </w:r>
      <w:r w:rsidR="00A04339" w:rsidRPr="00E60F06">
        <w:rPr>
          <w:szCs w:val="22"/>
        </w:rPr>
        <w:t>“</w:t>
      </w:r>
      <w:r w:rsidRPr="00E60F06">
        <w:rPr>
          <w:szCs w:val="22"/>
        </w:rPr>
        <w:t>plateauing</w:t>
      </w:r>
      <w:r w:rsidR="00A04339" w:rsidRPr="00E60F06">
        <w:rPr>
          <w:szCs w:val="22"/>
        </w:rPr>
        <w:t>”</w:t>
      </w:r>
      <w:r w:rsidRPr="00E60F06">
        <w:rPr>
          <w:szCs w:val="22"/>
        </w:rPr>
        <w:t xml:space="preserve"> effect for OS associated with ipilimumab, the submission instead use</w:t>
      </w:r>
      <w:r w:rsidR="00EA074F" w:rsidRPr="00E60F06">
        <w:rPr>
          <w:szCs w:val="22"/>
        </w:rPr>
        <w:t>d</w:t>
      </w:r>
      <w:r w:rsidRPr="00E60F06">
        <w:rPr>
          <w:szCs w:val="22"/>
        </w:rPr>
        <w:t xml:space="preserve"> results from Schadendorf 2015 (maximum follow-up of 119 months) to extrapolate </w:t>
      </w:r>
      <w:r w:rsidR="006E2EC6" w:rsidRPr="00E60F06">
        <w:rPr>
          <w:szCs w:val="22"/>
        </w:rPr>
        <w:t>OS from 13.8 months to 10 years for ipilimumab</w:t>
      </w:r>
      <w:r w:rsidR="00DB1727" w:rsidRPr="00E60F06">
        <w:rPr>
          <w:szCs w:val="22"/>
        </w:rPr>
        <w:t xml:space="preserve"> (see Figure 3)</w:t>
      </w:r>
      <w:r w:rsidR="006E2EC6" w:rsidRPr="00E60F06">
        <w:rPr>
          <w:szCs w:val="22"/>
        </w:rPr>
        <w:t xml:space="preserve">.  </w:t>
      </w:r>
      <w:r w:rsidR="00EA074F" w:rsidRPr="00E60F06">
        <w:t>The submission applied an accelerated failure time model hazard ratio based on the log-normal distribution of long-term ipilimumab OS data (Schadendorf 2015) to generate the OS extrapolation for pembrolizumab beyond the Kaplan-Meier curve</w:t>
      </w:r>
      <w:r w:rsidR="00634570" w:rsidRPr="00E60F06">
        <w:t xml:space="preserve"> (this curve</w:t>
      </w:r>
      <w:r w:rsidR="008D20BC" w:rsidRPr="00E60F06">
        <w:t xml:space="preserve"> is not plotted in Figure 3: it </w:t>
      </w:r>
      <w:r w:rsidR="00634570" w:rsidRPr="00E60F06">
        <w:t xml:space="preserve">would have a similar </w:t>
      </w:r>
      <w:r w:rsidR="008D20BC" w:rsidRPr="00E60F06">
        <w:t xml:space="preserve">“plateaued” </w:t>
      </w:r>
      <w:r w:rsidR="00634570" w:rsidRPr="00E60F06">
        <w:t>shape</w:t>
      </w:r>
      <w:r w:rsidR="008D20BC" w:rsidRPr="00E60F06">
        <w:t xml:space="preserve"> as the IPI-Schadendorf curve</w:t>
      </w:r>
      <w:r w:rsidR="00634570" w:rsidRPr="00E60F06">
        <w:t>, but would lie above</w:t>
      </w:r>
      <w:r w:rsidR="008D20BC" w:rsidRPr="00E60F06">
        <w:t xml:space="preserve"> the IPI-Schadendorf curve</w:t>
      </w:r>
      <w:r w:rsidR="00634570" w:rsidRPr="00E60F06">
        <w:t>)</w:t>
      </w:r>
      <w:r w:rsidR="00EA074F" w:rsidRPr="00E60F06">
        <w:rPr>
          <w:rFonts w:eastAsia="SimSun"/>
          <w:lang w:eastAsia="zh-CN"/>
        </w:rPr>
        <w:t>.</w:t>
      </w:r>
    </w:p>
    <w:p w:rsidR="00DD7DCB" w:rsidRPr="00E60F06" w:rsidRDefault="00DD7DCB" w:rsidP="00DD7DCB">
      <w:pPr>
        <w:widowControl/>
        <w:rPr>
          <w:rFonts w:eastAsia="SimSun"/>
          <w:lang w:eastAsia="zh-CN"/>
        </w:rPr>
      </w:pPr>
    </w:p>
    <w:p w:rsidR="00DB1727" w:rsidRPr="00E60F06" w:rsidRDefault="00DB1727" w:rsidP="00DB1727">
      <w:pPr>
        <w:keepNext/>
        <w:contextualSpacing/>
        <w:rPr>
          <w:rFonts w:ascii="Arial Narrow" w:hAnsi="Arial Narrow"/>
          <w:b/>
          <w:sz w:val="20"/>
        </w:rPr>
      </w:pPr>
      <w:r w:rsidRPr="00E60F06">
        <w:rPr>
          <w:rFonts w:ascii="Arial Narrow" w:hAnsi="Arial Narrow"/>
          <w:b/>
          <w:sz w:val="20"/>
        </w:rPr>
        <w:t>Figure</w:t>
      </w:r>
      <w:r w:rsidR="00423721" w:rsidRPr="00E60F06">
        <w:rPr>
          <w:rFonts w:ascii="Arial Narrow" w:hAnsi="Arial Narrow"/>
          <w:b/>
          <w:sz w:val="20"/>
        </w:rPr>
        <w:t xml:space="preserve"> </w:t>
      </w:r>
      <w:r w:rsidRPr="00E60F06">
        <w:rPr>
          <w:rFonts w:ascii="Arial Narrow" w:hAnsi="Arial Narrow"/>
          <w:b/>
          <w:sz w:val="20"/>
        </w:rPr>
        <w:t xml:space="preserve">3: OS extrapolations beyond </w:t>
      </w:r>
      <w:r w:rsidR="009D33FC" w:rsidRPr="00E60F06">
        <w:rPr>
          <w:rFonts w:ascii="Arial Narrow" w:hAnsi="Arial Narrow"/>
          <w:b/>
          <w:sz w:val="20"/>
        </w:rPr>
        <w:t>KN-006</w:t>
      </w:r>
    </w:p>
    <w:p w:rsidR="00DB1727" w:rsidRPr="00E60F06" w:rsidRDefault="00DB1727" w:rsidP="00DB1727">
      <w:pPr>
        <w:keepNext/>
        <w:contextualSpacing/>
        <w:rPr>
          <w:rFonts w:ascii="Arial Narrow" w:hAnsi="Arial Narrow"/>
          <w:b/>
          <w:sz w:val="20"/>
        </w:rPr>
      </w:pPr>
      <w:r w:rsidRPr="00E60F06">
        <w:rPr>
          <w:rFonts w:ascii="Arial Narrow" w:hAnsi="Arial Narrow"/>
          <w:b/>
          <w:noProof/>
          <w:sz w:val="20"/>
          <w:lang w:eastAsia="en-AU"/>
        </w:rPr>
        <w:drawing>
          <wp:inline distT="0" distB="0" distL="0" distR="0" wp14:anchorId="416B687E" wp14:editId="50948017">
            <wp:extent cx="5731510" cy="3042095"/>
            <wp:effectExtent l="0" t="0" r="2540" b="6350"/>
            <wp:docPr id="10" name="Picture 10" title="Figure 3: OS extrapolations beyond KN-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042095"/>
                    </a:xfrm>
                    <a:prstGeom prst="rect">
                      <a:avLst/>
                    </a:prstGeom>
                    <a:noFill/>
                  </pic:spPr>
                </pic:pic>
              </a:graphicData>
            </a:graphic>
          </wp:inline>
        </w:drawing>
      </w:r>
    </w:p>
    <w:p w:rsidR="00DB1727" w:rsidRPr="00E60F06" w:rsidRDefault="00DB1727" w:rsidP="00DB1727">
      <w:pPr>
        <w:pStyle w:val="TableFooter"/>
      </w:pPr>
      <w:r w:rsidRPr="00E60F06">
        <w:t>Source: Figure D.6-2, p. 193 of the submission.</w:t>
      </w:r>
    </w:p>
    <w:p w:rsidR="00DB1727" w:rsidRPr="00E60F06" w:rsidRDefault="00DB1727" w:rsidP="00DD7DCB">
      <w:pPr>
        <w:widowControl/>
        <w:rPr>
          <w:rFonts w:eastAsia="SimSun"/>
          <w:lang w:eastAsia="zh-CN"/>
        </w:rPr>
      </w:pPr>
    </w:p>
    <w:p w:rsidR="004B06F0" w:rsidRPr="00E60F06" w:rsidRDefault="009D33FC" w:rsidP="00423721">
      <w:pPr>
        <w:pStyle w:val="ListParagraph"/>
        <w:widowControl/>
        <w:numPr>
          <w:ilvl w:val="1"/>
          <w:numId w:val="3"/>
        </w:numPr>
        <w:rPr>
          <w:szCs w:val="22"/>
        </w:rPr>
      </w:pPr>
      <w:r w:rsidRPr="00E60F06">
        <w:t>ESC considered that t</w:t>
      </w:r>
      <w:r w:rsidR="0071390E" w:rsidRPr="00E60F06">
        <w:t xml:space="preserve">he methods used by the submission to extrapolate OS resulted in implausible outcomes.  </w:t>
      </w:r>
      <w:r w:rsidR="00DD7DCB" w:rsidRPr="00E60F06">
        <w:rPr>
          <w:rFonts w:eastAsia="SimSun"/>
          <w:lang w:eastAsia="zh-CN"/>
        </w:rPr>
        <w:t xml:space="preserve">While it may be reasonable to expect a </w:t>
      </w:r>
      <w:r w:rsidR="008704F2" w:rsidRPr="00E60F06">
        <w:rPr>
          <w:rFonts w:eastAsia="SimSun"/>
          <w:lang w:eastAsia="zh-CN"/>
        </w:rPr>
        <w:t>“</w:t>
      </w:r>
      <w:r w:rsidR="00DD7DCB" w:rsidRPr="00E60F06">
        <w:rPr>
          <w:rFonts w:eastAsia="SimSun"/>
          <w:lang w:eastAsia="zh-CN"/>
        </w:rPr>
        <w:t>plateau</w:t>
      </w:r>
      <w:r w:rsidR="008704F2" w:rsidRPr="00E60F06">
        <w:rPr>
          <w:rFonts w:eastAsia="SimSun"/>
          <w:lang w:eastAsia="zh-CN"/>
        </w:rPr>
        <w:t>”</w:t>
      </w:r>
      <w:r w:rsidR="00DD7DCB" w:rsidRPr="00E60F06">
        <w:rPr>
          <w:rFonts w:eastAsia="SimSun"/>
          <w:lang w:eastAsia="zh-CN"/>
        </w:rPr>
        <w:t xml:space="preserve"> for both ipilimumab and pembrolizumab, </w:t>
      </w:r>
      <w:r w:rsidR="00A13263" w:rsidRPr="00E60F06">
        <w:rPr>
          <w:rFonts w:eastAsia="SimSun"/>
          <w:lang w:eastAsia="zh-CN"/>
        </w:rPr>
        <w:t>the use of ipilimumab data from Schadendorf 2015 to generate the</w:t>
      </w:r>
      <w:r w:rsidR="00003FEF" w:rsidRPr="00E60F06">
        <w:rPr>
          <w:rFonts w:eastAsia="SimSun"/>
          <w:lang w:eastAsia="zh-CN"/>
        </w:rPr>
        <w:t xml:space="preserve"> </w:t>
      </w:r>
      <w:r w:rsidR="00A13263" w:rsidRPr="00E60F06">
        <w:rPr>
          <w:rFonts w:eastAsia="SimSun"/>
          <w:lang w:eastAsia="zh-CN"/>
        </w:rPr>
        <w:t>OS extrapolation for pembrolizumab</w:t>
      </w:r>
      <w:r w:rsidR="00430A2B" w:rsidRPr="00E60F06">
        <w:rPr>
          <w:rFonts w:eastAsia="SimSun"/>
          <w:lang w:eastAsia="zh-CN"/>
        </w:rPr>
        <w:t xml:space="preserve"> did not reflect actual pembrolizumab data.</w:t>
      </w:r>
      <w:r w:rsidR="00003FEF" w:rsidRPr="00E60F06">
        <w:rPr>
          <w:rFonts w:eastAsia="SimSun"/>
          <w:lang w:eastAsia="zh-CN"/>
        </w:rPr>
        <w:t xml:space="preserve">  </w:t>
      </w:r>
      <w:r w:rsidR="004B06F0" w:rsidRPr="00E60F06">
        <w:rPr>
          <w:rFonts w:eastAsia="SimSun"/>
          <w:lang w:eastAsia="zh-CN"/>
        </w:rPr>
        <w:t xml:space="preserve">Given available evidence, assuming the </w:t>
      </w:r>
      <w:r w:rsidR="00A04339" w:rsidRPr="00E60F06">
        <w:rPr>
          <w:rFonts w:eastAsia="SimSun"/>
          <w:lang w:eastAsia="zh-CN"/>
        </w:rPr>
        <w:t>“</w:t>
      </w:r>
      <w:r w:rsidR="004B06F0" w:rsidRPr="00E60F06">
        <w:rPr>
          <w:rFonts w:eastAsia="SimSun"/>
          <w:lang w:eastAsia="zh-CN"/>
        </w:rPr>
        <w:t>plateau</w:t>
      </w:r>
      <w:r w:rsidR="00A04339" w:rsidRPr="00E60F06">
        <w:rPr>
          <w:rFonts w:eastAsia="SimSun"/>
          <w:lang w:eastAsia="zh-CN"/>
        </w:rPr>
        <w:t>”</w:t>
      </w:r>
      <w:r w:rsidR="004B06F0" w:rsidRPr="00E60F06">
        <w:rPr>
          <w:rFonts w:eastAsia="SimSun"/>
          <w:lang w:eastAsia="zh-CN"/>
        </w:rPr>
        <w:t xml:space="preserve"> for pembrolizumab w</w:t>
      </w:r>
      <w:r w:rsidR="00275039" w:rsidRPr="00E60F06">
        <w:rPr>
          <w:rFonts w:eastAsia="SimSun"/>
          <w:lang w:eastAsia="zh-CN"/>
        </w:rPr>
        <w:t>ould</w:t>
      </w:r>
      <w:r w:rsidR="004B06F0" w:rsidRPr="00E60F06">
        <w:rPr>
          <w:rFonts w:eastAsia="SimSun"/>
          <w:lang w:eastAsia="zh-CN"/>
        </w:rPr>
        <w:t xml:space="preserve"> occur at a higher level</w:t>
      </w:r>
      <w:r w:rsidR="00003FEF" w:rsidRPr="00E60F06">
        <w:rPr>
          <w:rFonts w:eastAsia="SimSun"/>
          <w:lang w:eastAsia="zh-CN"/>
        </w:rPr>
        <w:t xml:space="preserve"> </w:t>
      </w:r>
      <w:r w:rsidR="004B06F0" w:rsidRPr="00E60F06">
        <w:rPr>
          <w:rFonts w:eastAsia="SimSun"/>
          <w:lang w:eastAsia="zh-CN"/>
        </w:rPr>
        <w:t>than ipilimumab c</w:t>
      </w:r>
      <w:r w:rsidR="00275039" w:rsidRPr="00E60F06">
        <w:rPr>
          <w:rFonts w:eastAsia="SimSun"/>
          <w:lang w:eastAsia="zh-CN"/>
        </w:rPr>
        <w:t xml:space="preserve">ould not </w:t>
      </w:r>
      <w:r w:rsidR="004B06F0" w:rsidRPr="00E60F06">
        <w:rPr>
          <w:rFonts w:eastAsia="SimSun"/>
          <w:lang w:eastAsia="zh-CN"/>
        </w:rPr>
        <w:t xml:space="preserve">be supported as the reasons for the </w:t>
      </w:r>
      <w:r w:rsidR="008704F2" w:rsidRPr="00E60F06">
        <w:rPr>
          <w:rFonts w:eastAsia="SimSun"/>
          <w:lang w:eastAsia="zh-CN"/>
        </w:rPr>
        <w:t>“</w:t>
      </w:r>
      <w:r w:rsidR="004B06F0" w:rsidRPr="00E60F06">
        <w:rPr>
          <w:rFonts w:eastAsia="SimSun"/>
          <w:lang w:eastAsia="zh-CN"/>
        </w:rPr>
        <w:t>plateau</w:t>
      </w:r>
      <w:r w:rsidR="008704F2" w:rsidRPr="00E60F06">
        <w:rPr>
          <w:rFonts w:eastAsia="SimSun"/>
          <w:lang w:eastAsia="zh-CN"/>
        </w:rPr>
        <w:t>”</w:t>
      </w:r>
      <w:r w:rsidR="004B06F0" w:rsidRPr="00E60F06">
        <w:rPr>
          <w:rFonts w:eastAsia="SimSun"/>
          <w:lang w:eastAsia="zh-CN"/>
        </w:rPr>
        <w:t xml:space="preserve"> </w:t>
      </w:r>
      <w:r w:rsidR="00275039" w:rsidRPr="00E60F06">
        <w:rPr>
          <w:rFonts w:eastAsia="SimSun"/>
          <w:lang w:eastAsia="zh-CN"/>
        </w:rPr>
        <w:t>we</w:t>
      </w:r>
      <w:r w:rsidR="004B06F0" w:rsidRPr="00E60F06">
        <w:rPr>
          <w:rFonts w:eastAsia="SimSun"/>
          <w:lang w:eastAsia="zh-CN"/>
        </w:rPr>
        <w:t>re not yet known.</w:t>
      </w:r>
      <w:r w:rsidR="00003FEF" w:rsidRPr="00E60F06">
        <w:rPr>
          <w:rFonts w:eastAsia="SimSun"/>
          <w:lang w:eastAsia="zh-CN"/>
        </w:rPr>
        <w:t xml:space="preserve">  </w:t>
      </w:r>
      <w:r w:rsidR="004B06F0" w:rsidRPr="00E60F06">
        <w:rPr>
          <w:iCs/>
        </w:rPr>
        <w:t xml:space="preserve">It </w:t>
      </w:r>
      <w:r w:rsidR="00275039" w:rsidRPr="00E60F06">
        <w:rPr>
          <w:iCs/>
        </w:rPr>
        <w:t>wa</w:t>
      </w:r>
      <w:r w:rsidR="004B06F0" w:rsidRPr="00E60F06">
        <w:rPr>
          <w:iCs/>
        </w:rPr>
        <w:t xml:space="preserve">s yet to be shown whether the </w:t>
      </w:r>
      <w:r w:rsidR="008704F2" w:rsidRPr="00E60F06">
        <w:rPr>
          <w:iCs/>
        </w:rPr>
        <w:t>“</w:t>
      </w:r>
      <w:r w:rsidR="004B06F0" w:rsidRPr="00E60F06">
        <w:rPr>
          <w:iCs/>
        </w:rPr>
        <w:t>plateau</w:t>
      </w:r>
      <w:r w:rsidR="008704F2" w:rsidRPr="00E60F06">
        <w:rPr>
          <w:iCs/>
        </w:rPr>
        <w:t>”</w:t>
      </w:r>
      <w:r w:rsidR="004B06F0" w:rsidRPr="00E60F06">
        <w:rPr>
          <w:iCs/>
        </w:rPr>
        <w:t xml:space="preserve"> </w:t>
      </w:r>
      <w:r w:rsidR="00275039" w:rsidRPr="00E60F06">
        <w:rPr>
          <w:iCs/>
        </w:rPr>
        <w:t>wa</w:t>
      </w:r>
      <w:r w:rsidR="004B06F0" w:rsidRPr="00E60F06">
        <w:rPr>
          <w:iCs/>
        </w:rPr>
        <w:t xml:space="preserve">s a disease effect (in which case pembrolizumab would serve merely to slow the progression towards this </w:t>
      </w:r>
      <w:r w:rsidR="00A04339" w:rsidRPr="00E60F06">
        <w:rPr>
          <w:iCs/>
        </w:rPr>
        <w:t>“</w:t>
      </w:r>
      <w:r w:rsidR="004B06F0" w:rsidRPr="00E60F06">
        <w:rPr>
          <w:iCs/>
        </w:rPr>
        <w:t>plateau</w:t>
      </w:r>
      <w:r w:rsidR="00A04339" w:rsidRPr="00E60F06">
        <w:rPr>
          <w:iCs/>
        </w:rPr>
        <w:t>”</w:t>
      </w:r>
      <w:r w:rsidR="004B06F0" w:rsidRPr="00E60F06">
        <w:rPr>
          <w:iCs/>
        </w:rPr>
        <w:t>), or whether specific products can modify outcomes for OS.</w:t>
      </w:r>
    </w:p>
    <w:p w:rsidR="00A04339" w:rsidRPr="00E60F06" w:rsidRDefault="00A04339" w:rsidP="00A04339">
      <w:pPr>
        <w:widowControl/>
        <w:rPr>
          <w:szCs w:val="22"/>
        </w:rPr>
      </w:pPr>
    </w:p>
    <w:p w:rsidR="00430A2B" w:rsidRPr="00E60F06" w:rsidRDefault="00430A2B" w:rsidP="00423721">
      <w:pPr>
        <w:pStyle w:val="ListParagraph"/>
        <w:widowControl/>
        <w:numPr>
          <w:ilvl w:val="1"/>
          <w:numId w:val="3"/>
        </w:numPr>
        <w:rPr>
          <w:szCs w:val="22"/>
        </w:rPr>
      </w:pPr>
      <w:r w:rsidRPr="00E60F06">
        <w:rPr>
          <w:rFonts w:eastAsia="SimSun"/>
          <w:lang w:eastAsia="zh-CN"/>
        </w:rPr>
        <w:t>Most importantly, the results generate</w:t>
      </w:r>
      <w:r w:rsidR="002779B4" w:rsidRPr="00E60F06">
        <w:rPr>
          <w:rFonts w:eastAsia="SimSun"/>
          <w:lang w:eastAsia="zh-CN"/>
        </w:rPr>
        <w:t xml:space="preserve">d by the model </w:t>
      </w:r>
      <w:r w:rsidR="00275039" w:rsidRPr="00E60F06">
        <w:rPr>
          <w:rFonts w:eastAsia="SimSun"/>
          <w:lang w:eastAsia="zh-CN"/>
        </w:rPr>
        <w:t>we</w:t>
      </w:r>
      <w:r w:rsidR="002779B4" w:rsidRPr="00E60F06">
        <w:rPr>
          <w:rFonts w:eastAsia="SimSun"/>
          <w:lang w:eastAsia="zh-CN"/>
        </w:rPr>
        <w:t xml:space="preserve">re </w:t>
      </w:r>
      <w:r w:rsidR="00225FD7" w:rsidRPr="00E60F06">
        <w:rPr>
          <w:rFonts w:eastAsia="SimSun"/>
          <w:lang w:eastAsia="zh-CN"/>
        </w:rPr>
        <w:t>unrealistic</w:t>
      </w:r>
      <w:r w:rsidR="002779B4" w:rsidRPr="00E60F06">
        <w:rPr>
          <w:rFonts w:eastAsia="SimSun"/>
          <w:lang w:eastAsia="zh-CN"/>
        </w:rPr>
        <w:t xml:space="preserve">, as incremental </w:t>
      </w:r>
      <w:r w:rsidR="0059247D" w:rsidRPr="00E60F06">
        <w:rPr>
          <w:rFonts w:eastAsia="SimSun"/>
          <w:lang w:eastAsia="zh-CN"/>
        </w:rPr>
        <w:t>lifie-year</w:t>
      </w:r>
      <w:r w:rsidR="0047197E" w:rsidRPr="00E60F06">
        <w:rPr>
          <w:rFonts w:eastAsia="SimSun"/>
          <w:lang w:eastAsia="zh-CN"/>
        </w:rPr>
        <w:t xml:space="preserve"> </w:t>
      </w:r>
      <w:r w:rsidR="002779B4" w:rsidRPr="00E60F06">
        <w:rPr>
          <w:rFonts w:eastAsia="SimSun"/>
          <w:lang w:eastAsia="zh-CN"/>
        </w:rPr>
        <w:t>gains accrued in the post-progression health state</w:t>
      </w:r>
      <w:r w:rsidR="0047197E" w:rsidRPr="00E60F06">
        <w:rPr>
          <w:rFonts w:eastAsia="SimSun"/>
          <w:lang w:eastAsia="zh-CN"/>
        </w:rPr>
        <w:t xml:space="preserve"> (0.53)</w:t>
      </w:r>
      <w:r w:rsidR="002779B4" w:rsidRPr="00E60F06">
        <w:rPr>
          <w:rFonts w:eastAsia="SimSun"/>
          <w:lang w:eastAsia="zh-CN"/>
        </w:rPr>
        <w:t xml:space="preserve"> </w:t>
      </w:r>
      <w:r w:rsidR="00275039" w:rsidRPr="00E60F06">
        <w:rPr>
          <w:rFonts w:eastAsia="SimSun"/>
          <w:lang w:eastAsia="zh-CN"/>
        </w:rPr>
        <w:t>we</w:t>
      </w:r>
      <w:r w:rsidR="002779B4" w:rsidRPr="00E60F06">
        <w:rPr>
          <w:rFonts w:eastAsia="SimSun"/>
          <w:lang w:eastAsia="zh-CN"/>
        </w:rPr>
        <w:t>re greater than gains in the PFS health state</w:t>
      </w:r>
      <w:r w:rsidR="0047197E" w:rsidRPr="00E60F06">
        <w:rPr>
          <w:rFonts w:eastAsia="SimSun"/>
          <w:lang w:eastAsia="zh-CN"/>
        </w:rPr>
        <w:t xml:space="preserve"> (0.37)</w:t>
      </w:r>
      <w:r w:rsidR="00AE621F" w:rsidRPr="00E60F06">
        <w:rPr>
          <w:rFonts w:eastAsia="SimSun"/>
          <w:lang w:eastAsia="zh-CN"/>
        </w:rPr>
        <w:t>,</w:t>
      </w:r>
      <w:r w:rsidR="002779B4" w:rsidRPr="00E60F06">
        <w:rPr>
          <w:rFonts w:eastAsia="SimSun"/>
          <w:lang w:eastAsia="zh-CN"/>
        </w:rPr>
        <w:t xml:space="preserve"> and</w:t>
      </w:r>
      <w:r w:rsidR="00275039" w:rsidRPr="00E60F06">
        <w:rPr>
          <w:rFonts w:eastAsia="SimSun"/>
          <w:lang w:eastAsia="zh-CN"/>
        </w:rPr>
        <w:t>,</w:t>
      </w:r>
      <w:r w:rsidR="002779B4" w:rsidRPr="00E60F06">
        <w:rPr>
          <w:rFonts w:eastAsia="SimSun"/>
          <w:lang w:eastAsia="zh-CN"/>
        </w:rPr>
        <w:t xml:space="preserve"> while convergence of </w:t>
      </w:r>
      <w:r w:rsidR="00275039" w:rsidRPr="00E60F06">
        <w:rPr>
          <w:rFonts w:eastAsia="SimSun"/>
          <w:lang w:eastAsia="zh-CN"/>
        </w:rPr>
        <w:t xml:space="preserve">extrapolated </w:t>
      </w:r>
      <w:r w:rsidR="002779B4" w:rsidRPr="00E60F06">
        <w:rPr>
          <w:rFonts w:eastAsia="SimSun"/>
          <w:lang w:eastAsia="zh-CN"/>
        </w:rPr>
        <w:t>PFS occur</w:t>
      </w:r>
      <w:r w:rsidR="00275039" w:rsidRPr="00E60F06">
        <w:rPr>
          <w:rFonts w:eastAsia="SimSun"/>
          <w:lang w:eastAsia="zh-CN"/>
        </w:rPr>
        <w:t>red</w:t>
      </w:r>
      <w:r w:rsidR="002779B4" w:rsidRPr="00E60F06">
        <w:rPr>
          <w:rFonts w:eastAsia="SimSun"/>
          <w:lang w:eastAsia="zh-CN"/>
        </w:rPr>
        <w:t xml:space="preserve"> at 5 years, the effect in terms of OS was maintained indefinitely thereafter</w:t>
      </w:r>
      <w:r w:rsidR="00917FC7" w:rsidRPr="00E60F06">
        <w:rPr>
          <w:rFonts w:eastAsia="SimSun"/>
          <w:lang w:eastAsia="zh-CN"/>
        </w:rPr>
        <w:t xml:space="preserve"> (see results below)</w:t>
      </w:r>
      <w:r w:rsidR="002779B4" w:rsidRPr="00E60F06">
        <w:rPr>
          <w:rFonts w:eastAsia="SimSun"/>
          <w:lang w:eastAsia="zh-CN"/>
        </w:rPr>
        <w:t>.</w:t>
      </w:r>
    </w:p>
    <w:p w:rsidR="001D1370" w:rsidRPr="00E60F06" w:rsidRDefault="001D1370" w:rsidP="001D1370">
      <w:pPr>
        <w:widowControl/>
        <w:rPr>
          <w:szCs w:val="22"/>
        </w:rPr>
      </w:pPr>
    </w:p>
    <w:p w:rsidR="001D1370" w:rsidRPr="00E60F06" w:rsidRDefault="001D1370" w:rsidP="001D1370">
      <w:pPr>
        <w:pStyle w:val="ListParagraph"/>
        <w:widowControl/>
        <w:numPr>
          <w:ilvl w:val="1"/>
          <w:numId w:val="3"/>
        </w:numPr>
        <w:rPr>
          <w:szCs w:val="22"/>
        </w:rPr>
      </w:pPr>
      <w:r w:rsidRPr="00E60F06">
        <w:rPr>
          <w:iCs/>
        </w:rPr>
        <w:t xml:space="preserve">The PBAC </w:t>
      </w:r>
      <w:r w:rsidRPr="00E60F06">
        <w:rPr>
          <w:bCs/>
          <w:szCs w:val="22"/>
          <w:lang w:val="en-GB"/>
        </w:rPr>
        <w:t xml:space="preserve">considered that level at which any “plateau” might occur in the long-term overall survival of </w:t>
      </w:r>
      <w:r w:rsidRPr="00E60F06">
        <w:t xml:space="preserve">melanoma patients treated </w:t>
      </w:r>
      <w:r w:rsidR="003B6A1D" w:rsidRPr="00E60F06">
        <w:t xml:space="preserve">“off-trial” </w:t>
      </w:r>
      <w:r w:rsidRPr="00E60F06">
        <w:t xml:space="preserve">with immune therapies remained uncertain.  In relation to this, the </w:t>
      </w:r>
      <w:r w:rsidRPr="00E60F06">
        <w:rPr>
          <w:iCs/>
        </w:rPr>
        <w:t xml:space="preserve">PBAC noted the publication in Oncology Letters 2016 Feb; 11(2): 1581-5 of long-term survival in metastatic melanoma patients treated with ipilimumab where “the 1- and 2-year overall survival rates were 42% and 13%, respectively, whilst survival for ≥3 years was observed in 8.6% of patients”.  The PBAC considered that these </w:t>
      </w:r>
      <w:r w:rsidR="003B6A1D" w:rsidRPr="00E60F06">
        <w:rPr>
          <w:iCs/>
        </w:rPr>
        <w:t xml:space="preserve">real world efficacy </w:t>
      </w:r>
      <w:r w:rsidRPr="00E60F06">
        <w:rPr>
          <w:iCs/>
        </w:rPr>
        <w:t xml:space="preserve">data provide less support than the </w:t>
      </w:r>
      <w:r w:rsidRPr="00E60F06">
        <w:t>Schadendorf</w:t>
      </w:r>
      <w:r w:rsidRPr="00E60F06">
        <w:rPr>
          <w:iCs/>
        </w:rPr>
        <w:t xml:space="preserve"> </w:t>
      </w:r>
      <w:r w:rsidR="00530866" w:rsidRPr="00E60F06">
        <w:rPr>
          <w:iCs/>
        </w:rPr>
        <w:t xml:space="preserve">2015 </w:t>
      </w:r>
      <w:r w:rsidRPr="00E60F06">
        <w:rPr>
          <w:iCs/>
        </w:rPr>
        <w:t xml:space="preserve">results for the level of any “plateau” effect from treatment with </w:t>
      </w:r>
      <w:r w:rsidRPr="00E60F06">
        <w:rPr>
          <w:rFonts w:eastAsia="SimSun"/>
          <w:lang w:eastAsia="zh-CN"/>
        </w:rPr>
        <w:t>ipilimumab and consequently the more favourable “plateau” effect claimed for pembrolizumab.</w:t>
      </w:r>
      <w:r w:rsidR="007A40EA" w:rsidRPr="00E60F06">
        <w:rPr>
          <w:rFonts w:eastAsia="SimSun"/>
          <w:lang w:eastAsia="zh-CN"/>
        </w:rPr>
        <w:t xml:space="preserve"> </w:t>
      </w:r>
      <w:r w:rsidR="003B6A1D" w:rsidRPr="00E60F06">
        <w:rPr>
          <w:rFonts w:eastAsia="SimSun"/>
          <w:lang w:eastAsia="zh-CN"/>
        </w:rPr>
        <w:t xml:space="preserve"> </w:t>
      </w:r>
      <w:r w:rsidR="007A40EA" w:rsidRPr="00E60F06">
        <w:rPr>
          <w:rFonts w:eastAsia="SimSun"/>
          <w:lang w:eastAsia="zh-CN"/>
        </w:rPr>
        <w:t xml:space="preserve">The </w:t>
      </w:r>
      <w:r w:rsidR="003B6A1D" w:rsidRPr="00E60F06">
        <w:rPr>
          <w:rFonts w:eastAsia="SimSun"/>
          <w:lang w:eastAsia="zh-CN"/>
        </w:rPr>
        <w:t xml:space="preserve">PBAC noted that the differences between </w:t>
      </w:r>
      <w:r w:rsidR="007A40EA" w:rsidRPr="00E60F06">
        <w:rPr>
          <w:rFonts w:eastAsia="SimSun"/>
          <w:lang w:eastAsia="zh-CN"/>
        </w:rPr>
        <w:t xml:space="preserve">these </w:t>
      </w:r>
      <w:r w:rsidR="003B6A1D" w:rsidRPr="00E60F06">
        <w:rPr>
          <w:rFonts w:eastAsia="SimSun"/>
          <w:lang w:eastAsia="zh-CN"/>
        </w:rPr>
        <w:t>results may reflect whether the study occurred in the context of a clinical trial (Schadendorf</w:t>
      </w:r>
      <w:r w:rsidR="00530866" w:rsidRPr="00E60F06">
        <w:rPr>
          <w:rFonts w:eastAsia="SimSun"/>
          <w:lang w:eastAsia="zh-CN"/>
        </w:rPr>
        <w:t xml:space="preserve"> 2015</w:t>
      </w:r>
      <w:r w:rsidR="003B6A1D" w:rsidRPr="00E60F06">
        <w:rPr>
          <w:rFonts w:eastAsia="SimSun"/>
          <w:lang w:eastAsia="zh-CN"/>
        </w:rPr>
        <w:t>) or in the real world setting.</w:t>
      </w:r>
    </w:p>
    <w:p w:rsidR="001D1370" w:rsidRPr="00E60F06" w:rsidRDefault="001D1370" w:rsidP="001D1370">
      <w:pPr>
        <w:widowControl/>
        <w:rPr>
          <w:rFonts w:eastAsia="SimSun"/>
          <w:lang w:eastAsia="zh-CN"/>
        </w:rPr>
      </w:pPr>
    </w:p>
    <w:p w:rsidR="009F4471" w:rsidRPr="00E60F06" w:rsidRDefault="009F4471" w:rsidP="00423721">
      <w:pPr>
        <w:pStyle w:val="ListParagraph"/>
        <w:widowControl/>
        <w:numPr>
          <w:ilvl w:val="1"/>
          <w:numId w:val="3"/>
        </w:numPr>
        <w:rPr>
          <w:szCs w:val="22"/>
        </w:rPr>
      </w:pPr>
      <w:r w:rsidRPr="00E60F06">
        <w:t>Key drivers of the model are identified in the table below.</w:t>
      </w:r>
    </w:p>
    <w:p w:rsidR="009F4471" w:rsidRPr="00E60F06" w:rsidRDefault="009F4471" w:rsidP="009F4471">
      <w:pPr>
        <w:widowControl/>
        <w:rPr>
          <w:szCs w:val="22"/>
        </w:rPr>
      </w:pPr>
    </w:p>
    <w:p w:rsidR="009F4471" w:rsidRPr="00E60F06" w:rsidRDefault="009F4471" w:rsidP="009F4471">
      <w:pPr>
        <w:ind w:firstLine="720"/>
        <w:rPr>
          <w:rStyle w:val="CommentReference"/>
        </w:rPr>
      </w:pPr>
      <w:r w:rsidRPr="00E60F06">
        <w:rPr>
          <w:rStyle w:val="CommentReference"/>
        </w:rPr>
        <w:t xml:space="preserve">Table </w:t>
      </w:r>
      <w:r w:rsidR="00163818" w:rsidRPr="00E60F06">
        <w:rPr>
          <w:rStyle w:val="CommentReference"/>
        </w:rPr>
        <w:t>9</w:t>
      </w:r>
      <w:r w:rsidRPr="00E60F06">
        <w:rPr>
          <w:rStyle w:val="CommentReference"/>
        </w:rPr>
        <w:t>: Key drivers of the model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2"/>
        <w:gridCol w:w="3686"/>
        <w:gridCol w:w="2835"/>
      </w:tblGrid>
      <w:tr w:rsidR="009F4471" w:rsidRPr="00E60F06" w:rsidTr="00275039">
        <w:trPr>
          <w:tblHeader/>
        </w:trPr>
        <w:tc>
          <w:tcPr>
            <w:tcW w:w="1101" w:type="pct"/>
            <w:shd w:val="clear" w:color="auto" w:fill="auto"/>
            <w:vAlign w:val="center"/>
          </w:tcPr>
          <w:p w:rsidR="009F4471" w:rsidRPr="00E60F06" w:rsidRDefault="009F4471" w:rsidP="00B01402">
            <w:pPr>
              <w:jc w:val="left"/>
              <w:rPr>
                <w:rFonts w:ascii="Arial Narrow" w:hAnsi="Arial Narrow"/>
                <w:b/>
                <w:sz w:val="20"/>
                <w:lang w:val="en-US"/>
              </w:rPr>
            </w:pPr>
            <w:r w:rsidRPr="00E60F06">
              <w:rPr>
                <w:rFonts w:ascii="Arial Narrow" w:hAnsi="Arial Narrow"/>
                <w:b/>
                <w:sz w:val="20"/>
                <w:lang w:val="en-US"/>
              </w:rPr>
              <w:t>Description</w:t>
            </w:r>
          </w:p>
        </w:tc>
        <w:tc>
          <w:tcPr>
            <w:tcW w:w="2204" w:type="pct"/>
            <w:shd w:val="clear" w:color="auto" w:fill="auto"/>
            <w:vAlign w:val="center"/>
          </w:tcPr>
          <w:p w:rsidR="009F4471" w:rsidRPr="00E60F06" w:rsidRDefault="009F4471" w:rsidP="00B01402">
            <w:pPr>
              <w:jc w:val="center"/>
              <w:rPr>
                <w:rFonts w:ascii="Arial Narrow" w:hAnsi="Arial Narrow"/>
                <w:b/>
                <w:sz w:val="20"/>
                <w:lang w:val="en-US"/>
              </w:rPr>
            </w:pPr>
            <w:r w:rsidRPr="00E60F06">
              <w:rPr>
                <w:rFonts w:ascii="Arial Narrow" w:hAnsi="Arial Narrow"/>
                <w:b/>
                <w:sz w:val="20"/>
                <w:lang w:val="en-US"/>
              </w:rPr>
              <w:t>Method/Value</w:t>
            </w:r>
          </w:p>
        </w:tc>
        <w:tc>
          <w:tcPr>
            <w:tcW w:w="1695" w:type="pct"/>
            <w:shd w:val="clear" w:color="auto" w:fill="auto"/>
            <w:vAlign w:val="center"/>
          </w:tcPr>
          <w:p w:rsidR="009F4471" w:rsidRPr="00E60F06" w:rsidRDefault="009F4471" w:rsidP="00B01402">
            <w:pPr>
              <w:jc w:val="center"/>
              <w:rPr>
                <w:rFonts w:ascii="Arial Narrow" w:hAnsi="Arial Narrow"/>
                <w:b/>
                <w:sz w:val="20"/>
                <w:lang w:val="en-US"/>
              </w:rPr>
            </w:pPr>
            <w:r w:rsidRPr="00E60F06">
              <w:rPr>
                <w:rFonts w:ascii="Arial Narrow" w:hAnsi="Arial Narrow"/>
                <w:b/>
                <w:sz w:val="20"/>
                <w:lang w:val="en-US"/>
              </w:rPr>
              <w:t>Impact</w:t>
            </w:r>
          </w:p>
        </w:tc>
      </w:tr>
      <w:tr w:rsidR="009F4471" w:rsidRPr="00E60F06" w:rsidTr="00275039">
        <w:tc>
          <w:tcPr>
            <w:tcW w:w="1101" w:type="pct"/>
            <w:shd w:val="clear" w:color="auto" w:fill="auto"/>
            <w:vAlign w:val="center"/>
          </w:tcPr>
          <w:p w:rsidR="009F4471" w:rsidRPr="00E60F06" w:rsidRDefault="009F4471" w:rsidP="00B01402">
            <w:pPr>
              <w:jc w:val="left"/>
              <w:rPr>
                <w:rFonts w:ascii="Arial Narrow" w:hAnsi="Arial Narrow"/>
                <w:sz w:val="20"/>
                <w:lang w:val="en-US"/>
              </w:rPr>
            </w:pPr>
            <w:r w:rsidRPr="00E60F06">
              <w:rPr>
                <w:rFonts w:ascii="Arial Narrow" w:hAnsi="Arial Narrow"/>
                <w:sz w:val="20"/>
                <w:lang w:val="en-US"/>
              </w:rPr>
              <w:t>Estimate of OS</w:t>
            </w:r>
          </w:p>
        </w:tc>
        <w:tc>
          <w:tcPr>
            <w:tcW w:w="2204" w:type="pct"/>
            <w:shd w:val="clear" w:color="auto" w:fill="auto"/>
            <w:vAlign w:val="center"/>
          </w:tcPr>
          <w:p w:rsidR="009F4471" w:rsidRPr="00E60F06" w:rsidRDefault="00CF3EBC" w:rsidP="00275039">
            <w:pPr>
              <w:jc w:val="left"/>
              <w:rPr>
                <w:rFonts w:ascii="Arial Narrow" w:hAnsi="Arial Narrow"/>
                <w:sz w:val="20"/>
              </w:rPr>
            </w:pPr>
            <w:r w:rsidRPr="00E60F06">
              <w:rPr>
                <w:rFonts w:ascii="Arial Narrow" w:hAnsi="Arial Narrow"/>
                <w:sz w:val="20"/>
              </w:rPr>
              <w:t>Extrapolation of OS for pembrolizumab</w:t>
            </w:r>
            <w:r w:rsidR="0047197E" w:rsidRPr="00E60F06">
              <w:rPr>
                <w:rFonts w:ascii="Arial Narrow" w:hAnsi="Arial Narrow"/>
                <w:sz w:val="20"/>
              </w:rPr>
              <w:t xml:space="preserve"> and ipilimumab</w:t>
            </w:r>
            <w:r w:rsidRPr="00E60F06">
              <w:rPr>
                <w:rFonts w:ascii="Arial Narrow" w:hAnsi="Arial Narrow"/>
                <w:sz w:val="20"/>
              </w:rPr>
              <w:t xml:space="preserve"> use</w:t>
            </w:r>
            <w:r w:rsidR="00275039" w:rsidRPr="00E60F06">
              <w:rPr>
                <w:rFonts w:ascii="Arial Narrow" w:hAnsi="Arial Narrow"/>
                <w:sz w:val="20"/>
              </w:rPr>
              <w:t>d</w:t>
            </w:r>
            <w:r w:rsidRPr="00E60F06">
              <w:rPr>
                <w:rFonts w:ascii="Arial Narrow" w:hAnsi="Arial Narrow"/>
                <w:sz w:val="20"/>
              </w:rPr>
              <w:t xml:space="preserve"> ipilimumab-based data (Schadendorf 2015) after the trial period.</w:t>
            </w:r>
          </w:p>
        </w:tc>
        <w:tc>
          <w:tcPr>
            <w:tcW w:w="1695" w:type="pct"/>
            <w:shd w:val="clear" w:color="auto" w:fill="auto"/>
            <w:vAlign w:val="center"/>
          </w:tcPr>
          <w:p w:rsidR="009F4471" w:rsidRPr="00E60F06" w:rsidRDefault="009F4471" w:rsidP="00B01402">
            <w:pPr>
              <w:jc w:val="center"/>
              <w:rPr>
                <w:rFonts w:ascii="Arial Narrow" w:hAnsi="Arial Narrow"/>
                <w:sz w:val="20"/>
                <w:lang w:val="en-US"/>
              </w:rPr>
            </w:pPr>
            <w:r w:rsidRPr="00E60F06">
              <w:rPr>
                <w:rFonts w:ascii="Arial Narrow" w:hAnsi="Arial Narrow"/>
                <w:sz w:val="20"/>
                <w:lang w:val="en-US"/>
              </w:rPr>
              <w:t>High, favours pembrolizumab</w:t>
            </w:r>
          </w:p>
        </w:tc>
      </w:tr>
      <w:tr w:rsidR="009F4471" w:rsidRPr="00E60F06" w:rsidTr="00275039">
        <w:tc>
          <w:tcPr>
            <w:tcW w:w="1101" w:type="pct"/>
            <w:shd w:val="clear" w:color="auto" w:fill="auto"/>
            <w:vAlign w:val="center"/>
          </w:tcPr>
          <w:p w:rsidR="009F4471" w:rsidRPr="00E60F06" w:rsidRDefault="009F4471" w:rsidP="00B01402">
            <w:pPr>
              <w:jc w:val="left"/>
              <w:rPr>
                <w:rFonts w:ascii="Arial Narrow" w:hAnsi="Arial Narrow"/>
                <w:sz w:val="20"/>
                <w:lang w:val="en-US"/>
              </w:rPr>
            </w:pPr>
            <w:r w:rsidRPr="00E60F06">
              <w:rPr>
                <w:rFonts w:ascii="Arial Narrow" w:hAnsi="Arial Narrow"/>
                <w:sz w:val="20"/>
              </w:rPr>
              <w:t>The relationship between PFS and OS</w:t>
            </w:r>
          </w:p>
        </w:tc>
        <w:tc>
          <w:tcPr>
            <w:tcW w:w="2204" w:type="pct"/>
            <w:shd w:val="clear" w:color="auto" w:fill="auto"/>
            <w:vAlign w:val="center"/>
          </w:tcPr>
          <w:p w:rsidR="009F4471" w:rsidRPr="00E60F06" w:rsidRDefault="009F4471" w:rsidP="00275039">
            <w:pPr>
              <w:jc w:val="left"/>
              <w:rPr>
                <w:rFonts w:ascii="Arial Narrow" w:hAnsi="Arial Narrow"/>
                <w:sz w:val="20"/>
              </w:rPr>
            </w:pPr>
            <w:r w:rsidRPr="00E60F06">
              <w:rPr>
                <w:rFonts w:ascii="Arial Narrow" w:hAnsi="Arial Narrow"/>
                <w:sz w:val="20"/>
              </w:rPr>
              <w:t>The submission assume</w:t>
            </w:r>
            <w:r w:rsidR="00275039" w:rsidRPr="00E60F06">
              <w:rPr>
                <w:rFonts w:ascii="Arial Narrow" w:hAnsi="Arial Narrow"/>
                <w:sz w:val="20"/>
              </w:rPr>
              <w:t>d</w:t>
            </w:r>
            <w:r w:rsidRPr="00E60F06">
              <w:rPr>
                <w:rFonts w:ascii="Arial Narrow" w:hAnsi="Arial Narrow"/>
                <w:sz w:val="20"/>
              </w:rPr>
              <w:t xml:space="preserve"> OS </w:t>
            </w:r>
            <w:r w:rsidR="00CF3EBC" w:rsidRPr="00E60F06">
              <w:rPr>
                <w:rFonts w:ascii="Arial Narrow" w:hAnsi="Arial Narrow"/>
                <w:sz w:val="20"/>
              </w:rPr>
              <w:t xml:space="preserve">for </w:t>
            </w:r>
            <w:r w:rsidRPr="00E60F06">
              <w:rPr>
                <w:rFonts w:ascii="Arial Narrow" w:hAnsi="Arial Narrow"/>
                <w:sz w:val="20"/>
              </w:rPr>
              <w:t>pembrolizumab w</w:t>
            </w:r>
            <w:r w:rsidR="00275039" w:rsidRPr="00E60F06">
              <w:rPr>
                <w:rFonts w:ascii="Arial Narrow" w:hAnsi="Arial Narrow"/>
                <w:sz w:val="20"/>
              </w:rPr>
              <w:t>ould</w:t>
            </w:r>
            <w:r w:rsidRPr="00E60F06">
              <w:rPr>
                <w:rFonts w:ascii="Arial Narrow" w:hAnsi="Arial Narrow"/>
                <w:sz w:val="20"/>
              </w:rPr>
              <w:t xml:space="preserve"> </w:t>
            </w:r>
            <w:r w:rsidR="00A04339" w:rsidRPr="00E60F06">
              <w:rPr>
                <w:rFonts w:ascii="Arial Narrow" w:hAnsi="Arial Narrow"/>
                <w:sz w:val="20"/>
              </w:rPr>
              <w:t>“</w:t>
            </w:r>
            <w:r w:rsidRPr="00E60F06">
              <w:rPr>
                <w:rFonts w:ascii="Arial Narrow" w:hAnsi="Arial Narrow"/>
                <w:sz w:val="20"/>
              </w:rPr>
              <w:t>plateau</w:t>
            </w:r>
            <w:r w:rsidR="00A04339" w:rsidRPr="00E60F06">
              <w:rPr>
                <w:rFonts w:ascii="Arial Narrow" w:hAnsi="Arial Narrow"/>
                <w:sz w:val="20"/>
              </w:rPr>
              <w:t>”</w:t>
            </w:r>
            <w:r w:rsidRPr="00E60F06">
              <w:rPr>
                <w:rFonts w:ascii="Arial Narrow" w:hAnsi="Arial Narrow"/>
                <w:sz w:val="20"/>
              </w:rPr>
              <w:t xml:space="preserve"> at a higher le</w:t>
            </w:r>
            <w:r w:rsidR="00DE6AE4" w:rsidRPr="00E60F06">
              <w:rPr>
                <w:rFonts w:ascii="Arial Narrow" w:hAnsi="Arial Narrow"/>
                <w:sz w:val="20"/>
              </w:rPr>
              <w:t xml:space="preserve">vel </w:t>
            </w:r>
            <w:r w:rsidR="00CF3EBC" w:rsidRPr="00E60F06">
              <w:rPr>
                <w:rFonts w:ascii="Arial Narrow" w:hAnsi="Arial Narrow"/>
                <w:sz w:val="20"/>
              </w:rPr>
              <w:t>than ipilimumab</w:t>
            </w:r>
            <w:r w:rsidR="00DE6AE4" w:rsidRPr="00E60F06">
              <w:rPr>
                <w:rFonts w:ascii="Arial Narrow" w:hAnsi="Arial Narrow"/>
                <w:sz w:val="20"/>
              </w:rPr>
              <w:t>.</w:t>
            </w:r>
          </w:p>
        </w:tc>
        <w:tc>
          <w:tcPr>
            <w:tcW w:w="1695" w:type="pct"/>
            <w:shd w:val="clear" w:color="auto" w:fill="auto"/>
            <w:vAlign w:val="center"/>
          </w:tcPr>
          <w:p w:rsidR="009F4471" w:rsidRPr="00E60F06" w:rsidRDefault="009F4471" w:rsidP="00B01402">
            <w:pPr>
              <w:jc w:val="center"/>
              <w:rPr>
                <w:rFonts w:ascii="Arial Narrow" w:hAnsi="Arial Narrow"/>
                <w:sz w:val="20"/>
                <w:lang w:val="en-US"/>
              </w:rPr>
            </w:pPr>
            <w:r w:rsidRPr="00E60F06">
              <w:rPr>
                <w:rFonts w:ascii="Arial Narrow" w:hAnsi="Arial Narrow"/>
                <w:sz w:val="20"/>
                <w:lang w:val="en-US"/>
              </w:rPr>
              <w:t>High, favours pembrolizumab</w:t>
            </w:r>
          </w:p>
        </w:tc>
      </w:tr>
      <w:tr w:rsidR="009F4471" w:rsidRPr="00E60F06" w:rsidTr="00275039">
        <w:tc>
          <w:tcPr>
            <w:tcW w:w="1101" w:type="pct"/>
            <w:shd w:val="clear" w:color="auto" w:fill="auto"/>
            <w:vAlign w:val="center"/>
          </w:tcPr>
          <w:p w:rsidR="009F4471" w:rsidRPr="00E60F06" w:rsidRDefault="009F4471" w:rsidP="00B01402">
            <w:pPr>
              <w:jc w:val="left"/>
              <w:rPr>
                <w:rFonts w:ascii="Arial Narrow" w:hAnsi="Arial Narrow"/>
                <w:sz w:val="20"/>
                <w:lang w:val="en-US"/>
              </w:rPr>
            </w:pPr>
            <w:r w:rsidRPr="00E60F06">
              <w:rPr>
                <w:rFonts w:ascii="Arial Narrow" w:hAnsi="Arial Narrow"/>
                <w:sz w:val="20"/>
                <w:lang w:val="en-US"/>
              </w:rPr>
              <w:t>Utility values</w:t>
            </w:r>
          </w:p>
        </w:tc>
        <w:tc>
          <w:tcPr>
            <w:tcW w:w="2204" w:type="pct"/>
            <w:shd w:val="clear" w:color="auto" w:fill="auto"/>
            <w:vAlign w:val="center"/>
          </w:tcPr>
          <w:p w:rsidR="009F4471" w:rsidRPr="00E60F06" w:rsidRDefault="009F4471" w:rsidP="009F4471">
            <w:pPr>
              <w:jc w:val="left"/>
              <w:rPr>
                <w:rFonts w:ascii="Arial Narrow" w:hAnsi="Arial Narrow"/>
                <w:sz w:val="20"/>
                <w:lang w:val="en-US"/>
              </w:rPr>
            </w:pPr>
            <w:r w:rsidRPr="00E60F06">
              <w:rPr>
                <w:rFonts w:ascii="Arial Narrow" w:hAnsi="Arial Narrow"/>
                <w:sz w:val="20"/>
                <w:lang w:val="en-US"/>
              </w:rPr>
              <w:t xml:space="preserve">KN-006 EQ-5D results </w:t>
            </w:r>
            <w:r w:rsidR="00275039" w:rsidRPr="00E60F06">
              <w:rPr>
                <w:rFonts w:ascii="Arial Narrow" w:hAnsi="Arial Narrow"/>
                <w:sz w:val="20"/>
                <w:lang w:val="en-US"/>
              </w:rPr>
              <w:t xml:space="preserve">were </w:t>
            </w:r>
            <w:r w:rsidRPr="00E60F06">
              <w:rPr>
                <w:rFonts w:ascii="Arial Narrow" w:hAnsi="Arial Narrow"/>
                <w:sz w:val="20"/>
                <w:lang w:val="en-US"/>
              </w:rPr>
              <w:t>transformed using Australian weights</w:t>
            </w:r>
            <w:r w:rsidR="00CF3EBC" w:rsidRPr="00E60F06">
              <w:rPr>
                <w:rFonts w:ascii="Arial Narrow" w:hAnsi="Arial Narrow"/>
                <w:sz w:val="20"/>
                <w:lang w:val="en-US"/>
              </w:rPr>
              <w:t>.</w:t>
            </w:r>
          </w:p>
        </w:tc>
        <w:tc>
          <w:tcPr>
            <w:tcW w:w="1695" w:type="pct"/>
            <w:shd w:val="clear" w:color="auto" w:fill="auto"/>
            <w:vAlign w:val="center"/>
          </w:tcPr>
          <w:p w:rsidR="009F4471" w:rsidRPr="00E60F06" w:rsidRDefault="006E78B6" w:rsidP="00B01402">
            <w:pPr>
              <w:jc w:val="center"/>
              <w:rPr>
                <w:rFonts w:ascii="Arial Narrow" w:hAnsi="Arial Narrow"/>
                <w:sz w:val="20"/>
                <w:lang w:val="en-US"/>
              </w:rPr>
            </w:pPr>
            <w:r w:rsidRPr="00E60F06">
              <w:rPr>
                <w:rFonts w:ascii="Arial Narrow" w:hAnsi="Arial Narrow"/>
                <w:sz w:val="20"/>
                <w:lang w:val="en-US"/>
              </w:rPr>
              <w:t>Moderate</w:t>
            </w:r>
            <w:r w:rsidR="009F4471" w:rsidRPr="00E60F06">
              <w:rPr>
                <w:rFonts w:ascii="Arial Narrow" w:hAnsi="Arial Narrow"/>
                <w:sz w:val="20"/>
                <w:lang w:val="en-US"/>
              </w:rPr>
              <w:t>, higher utility values for post PD favour pembrolizumab</w:t>
            </w:r>
          </w:p>
        </w:tc>
      </w:tr>
    </w:tbl>
    <w:p w:rsidR="009F4471" w:rsidRPr="00E60F06" w:rsidRDefault="009F4471" w:rsidP="009F4471">
      <w:pPr>
        <w:pStyle w:val="TableFooter"/>
        <w:ind w:firstLine="720"/>
      </w:pPr>
      <w:r w:rsidRPr="00E60F06">
        <w:t>OS=overall survival; Post-PD=progressive disease</w:t>
      </w:r>
    </w:p>
    <w:p w:rsidR="009F4471" w:rsidRPr="00E60F06" w:rsidRDefault="009F4471" w:rsidP="009F4471">
      <w:pPr>
        <w:pStyle w:val="TableFooter"/>
        <w:ind w:firstLine="720"/>
      </w:pPr>
      <w:r w:rsidRPr="00E60F06">
        <w:t>Source: Compiled during the evaluation</w:t>
      </w:r>
      <w:r w:rsidR="00275039" w:rsidRPr="00E60F06">
        <w:t>.</w:t>
      </w:r>
    </w:p>
    <w:p w:rsidR="00685F93" w:rsidRPr="00E60F06" w:rsidRDefault="00685F93" w:rsidP="00861C80">
      <w:pPr>
        <w:widowControl/>
        <w:rPr>
          <w:szCs w:val="22"/>
        </w:rPr>
      </w:pPr>
    </w:p>
    <w:p w:rsidR="00861C80" w:rsidRPr="00E60F06" w:rsidRDefault="00F71C7D" w:rsidP="00423721">
      <w:pPr>
        <w:pStyle w:val="ListParagraph"/>
        <w:widowControl/>
        <w:numPr>
          <w:ilvl w:val="1"/>
          <w:numId w:val="3"/>
        </w:numPr>
        <w:rPr>
          <w:szCs w:val="22"/>
        </w:rPr>
      </w:pPr>
      <w:r w:rsidRPr="00E60F06">
        <w:t>The results of the modelled evaluation ar</w:t>
      </w:r>
      <w:r w:rsidR="00275039" w:rsidRPr="00E60F06">
        <w:t>e provided in the table below.</w:t>
      </w:r>
    </w:p>
    <w:p w:rsidR="00D110BD" w:rsidRPr="00E60F06" w:rsidRDefault="00D110BD" w:rsidP="00D110BD">
      <w:pPr>
        <w:widowControl/>
        <w:rPr>
          <w:szCs w:val="22"/>
        </w:rPr>
      </w:pPr>
    </w:p>
    <w:p w:rsidR="00861C80" w:rsidRPr="00E60F06" w:rsidRDefault="00861C80" w:rsidP="00877902">
      <w:pPr>
        <w:keepNext/>
        <w:ind w:left="709"/>
        <w:rPr>
          <w:rStyle w:val="CommentReference"/>
        </w:rPr>
      </w:pPr>
      <w:r w:rsidRPr="00E60F06">
        <w:rPr>
          <w:rStyle w:val="CommentReference"/>
        </w:rPr>
        <w:t xml:space="preserve">Table </w:t>
      </w:r>
      <w:r w:rsidR="00163818" w:rsidRPr="00E60F06">
        <w:rPr>
          <w:rStyle w:val="CommentReference"/>
        </w:rPr>
        <w:t>10</w:t>
      </w:r>
      <w:r w:rsidRPr="00E60F06">
        <w:rPr>
          <w:rStyle w:val="CommentReference"/>
        </w:rPr>
        <w:t>: Results of the economic evaluation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6"/>
        <w:gridCol w:w="1985"/>
        <w:gridCol w:w="2129"/>
        <w:gridCol w:w="2123"/>
      </w:tblGrid>
      <w:tr w:rsidR="00861C80" w:rsidRPr="00E60F06" w:rsidTr="00877902">
        <w:tc>
          <w:tcPr>
            <w:tcW w:w="1271" w:type="pct"/>
          </w:tcPr>
          <w:p w:rsidR="00861C80" w:rsidRPr="00E60F06" w:rsidRDefault="00861C80" w:rsidP="00861C80">
            <w:pPr>
              <w:keepNext/>
              <w:rPr>
                <w:rFonts w:ascii="Arial Narrow" w:hAnsi="Arial Narrow"/>
                <w:b/>
                <w:sz w:val="20"/>
              </w:rPr>
            </w:pPr>
            <w:r w:rsidRPr="00E60F06">
              <w:rPr>
                <w:rFonts w:ascii="Arial Narrow" w:hAnsi="Arial Narrow"/>
                <w:b/>
                <w:sz w:val="20"/>
              </w:rPr>
              <w:t>Component</w:t>
            </w:r>
          </w:p>
        </w:tc>
        <w:tc>
          <w:tcPr>
            <w:tcW w:w="1187" w:type="pct"/>
          </w:tcPr>
          <w:p w:rsidR="00861C80" w:rsidRPr="00E60F06" w:rsidRDefault="00861C80" w:rsidP="00861C80">
            <w:pPr>
              <w:keepNext/>
              <w:jc w:val="center"/>
              <w:rPr>
                <w:rFonts w:ascii="Arial Narrow" w:hAnsi="Arial Narrow"/>
                <w:b/>
                <w:sz w:val="20"/>
              </w:rPr>
            </w:pPr>
            <w:r w:rsidRPr="00E60F06">
              <w:rPr>
                <w:rFonts w:ascii="Arial Narrow" w:hAnsi="Arial Narrow"/>
                <w:b/>
                <w:sz w:val="20"/>
              </w:rPr>
              <w:t>Pembrolizumab</w:t>
            </w:r>
          </w:p>
        </w:tc>
        <w:tc>
          <w:tcPr>
            <w:tcW w:w="1273" w:type="pct"/>
          </w:tcPr>
          <w:p w:rsidR="00861C80" w:rsidRPr="00E60F06" w:rsidRDefault="00861C80" w:rsidP="00861C80">
            <w:pPr>
              <w:keepNext/>
              <w:jc w:val="center"/>
              <w:rPr>
                <w:rFonts w:ascii="Arial Narrow" w:hAnsi="Arial Narrow"/>
                <w:b/>
                <w:sz w:val="20"/>
              </w:rPr>
            </w:pPr>
            <w:r w:rsidRPr="00E60F06">
              <w:rPr>
                <w:rFonts w:ascii="Arial Narrow" w:hAnsi="Arial Narrow"/>
                <w:b/>
                <w:sz w:val="20"/>
              </w:rPr>
              <w:t>Ipilimumab</w:t>
            </w:r>
          </w:p>
        </w:tc>
        <w:tc>
          <w:tcPr>
            <w:tcW w:w="1269" w:type="pct"/>
          </w:tcPr>
          <w:p w:rsidR="00861C80" w:rsidRPr="00E60F06" w:rsidRDefault="00861C80" w:rsidP="00861C80">
            <w:pPr>
              <w:keepNext/>
              <w:jc w:val="center"/>
              <w:rPr>
                <w:rFonts w:ascii="Arial Narrow" w:hAnsi="Arial Narrow"/>
                <w:b/>
                <w:sz w:val="20"/>
              </w:rPr>
            </w:pPr>
            <w:r w:rsidRPr="00E60F06">
              <w:rPr>
                <w:rFonts w:ascii="Arial Narrow" w:hAnsi="Arial Narrow"/>
                <w:b/>
                <w:sz w:val="20"/>
              </w:rPr>
              <w:t>Increment</w:t>
            </w:r>
          </w:p>
        </w:tc>
      </w:tr>
      <w:tr w:rsidR="00861C80" w:rsidRPr="00E60F06" w:rsidTr="00877902">
        <w:tc>
          <w:tcPr>
            <w:tcW w:w="1271" w:type="pct"/>
          </w:tcPr>
          <w:p w:rsidR="00861C80" w:rsidRPr="00E60F06" w:rsidRDefault="00861C80" w:rsidP="00861C80">
            <w:pPr>
              <w:keepNext/>
              <w:rPr>
                <w:rFonts w:ascii="Arial Narrow" w:hAnsi="Arial Narrow"/>
                <w:sz w:val="20"/>
              </w:rPr>
            </w:pPr>
            <w:r w:rsidRPr="00E60F06">
              <w:rPr>
                <w:rFonts w:ascii="Arial Narrow" w:hAnsi="Arial Narrow"/>
                <w:sz w:val="20"/>
              </w:rPr>
              <w:t>Costs</w:t>
            </w:r>
          </w:p>
        </w:tc>
        <w:tc>
          <w:tcPr>
            <w:tcW w:w="1187" w:type="pct"/>
          </w:tcPr>
          <w:p w:rsidR="00861C80" w:rsidRPr="00E60F06" w:rsidRDefault="00861C80" w:rsidP="00861C80">
            <w:pPr>
              <w:keepNext/>
              <w:jc w:val="center"/>
              <w:rPr>
                <w:rFonts w:ascii="Arial Narrow" w:hAnsi="Arial Narrow"/>
                <w:sz w:val="20"/>
              </w:rPr>
            </w:pPr>
            <w:r w:rsidRPr="00E60F06">
              <w:rPr>
                <w:rFonts w:ascii="Arial Narrow" w:hAnsi="Arial Narrow"/>
                <w:snapToGrid/>
                <w:sz w:val="20"/>
                <w:lang w:eastAsia="en-AU"/>
              </w:rPr>
              <w:t>$</w:t>
            </w:r>
            <w:r w:rsidR="007F3403">
              <w:rPr>
                <w:rFonts w:ascii="Arial Narrow" w:hAnsi="Arial Narrow"/>
                <w:noProof/>
                <w:snapToGrid/>
                <w:color w:val="000000"/>
                <w:sz w:val="20"/>
                <w:highlight w:val="black"/>
                <w:lang w:eastAsia="en-AU"/>
              </w:rPr>
              <w:t>'''''''''''''''''</w:t>
            </w:r>
          </w:p>
        </w:tc>
        <w:tc>
          <w:tcPr>
            <w:tcW w:w="1273" w:type="pct"/>
          </w:tcPr>
          <w:p w:rsidR="00861C80" w:rsidRPr="00E60F06" w:rsidRDefault="00861C80" w:rsidP="00861C80">
            <w:pPr>
              <w:keepNext/>
              <w:jc w:val="center"/>
              <w:rPr>
                <w:rFonts w:ascii="Arial Narrow" w:hAnsi="Arial Narrow"/>
                <w:sz w:val="20"/>
              </w:rPr>
            </w:pPr>
            <w:r w:rsidRPr="00E60F06">
              <w:rPr>
                <w:rFonts w:ascii="Arial Narrow" w:hAnsi="Arial Narrow"/>
                <w:snapToGrid/>
                <w:sz w:val="20"/>
                <w:lang w:eastAsia="en-AU"/>
              </w:rPr>
              <w:t>$</w:t>
            </w:r>
            <w:r w:rsidR="007F3403">
              <w:rPr>
                <w:rFonts w:ascii="Arial Narrow" w:hAnsi="Arial Narrow"/>
                <w:noProof/>
                <w:snapToGrid/>
                <w:color w:val="000000"/>
                <w:sz w:val="20"/>
                <w:highlight w:val="black"/>
                <w:lang w:eastAsia="en-AU"/>
              </w:rPr>
              <w:t>''''''''''''''''</w:t>
            </w:r>
          </w:p>
        </w:tc>
        <w:tc>
          <w:tcPr>
            <w:tcW w:w="1269" w:type="pct"/>
          </w:tcPr>
          <w:p w:rsidR="00861C80" w:rsidRPr="00E60F06" w:rsidRDefault="00861C80" w:rsidP="00861C80">
            <w:pPr>
              <w:keepNext/>
              <w:jc w:val="center"/>
              <w:rPr>
                <w:rFonts w:ascii="Arial Narrow" w:hAnsi="Arial Narrow"/>
                <w:sz w:val="20"/>
              </w:rPr>
            </w:pPr>
            <w:r w:rsidRPr="00E60F06">
              <w:rPr>
                <w:rFonts w:ascii="Arial Narrow" w:hAnsi="Arial Narrow"/>
                <w:snapToGrid/>
                <w:sz w:val="20"/>
                <w:lang w:eastAsia="en-AU"/>
              </w:rPr>
              <w:t>$</w:t>
            </w:r>
            <w:r w:rsidR="007F3403">
              <w:rPr>
                <w:rFonts w:ascii="Arial Narrow" w:hAnsi="Arial Narrow"/>
                <w:noProof/>
                <w:snapToGrid/>
                <w:color w:val="000000"/>
                <w:sz w:val="20"/>
                <w:highlight w:val="black"/>
                <w:lang w:eastAsia="en-AU"/>
              </w:rPr>
              <w:t>''''''''''''''''</w:t>
            </w:r>
          </w:p>
        </w:tc>
      </w:tr>
      <w:tr w:rsidR="00861C80" w:rsidRPr="00E60F06" w:rsidTr="00877902">
        <w:tc>
          <w:tcPr>
            <w:tcW w:w="1271" w:type="pct"/>
          </w:tcPr>
          <w:p w:rsidR="00861C80" w:rsidRPr="00E60F06" w:rsidRDefault="00861C80" w:rsidP="00861C80">
            <w:pPr>
              <w:keepNext/>
              <w:rPr>
                <w:rFonts w:ascii="Arial Narrow" w:hAnsi="Arial Narrow"/>
                <w:sz w:val="20"/>
              </w:rPr>
            </w:pPr>
            <w:r w:rsidRPr="00E60F06">
              <w:rPr>
                <w:rFonts w:ascii="Arial Narrow" w:hAnsi="Arial Narrow"/>
                <w:sz w:val="20"/>
              </w:rPr>
              <w:t>LYS</w:t>
            </w:r>
          </w:p>
        </w:tc>
        <w:tc>
          <w:tcPr>
            <w:tcW w:w="1187" w:type="pct"/>
          </w:tcPr>
          <w:p w:rsidR="00861C80" w:rsidRPr="00E60F06" w:rsidRDefault="00861C80" w:rsidP="00861C80">
            <w:pPr>
              <w:keepNext/>
              <w:jc w:val="center"/>
              <w:rPr>
                <w:rFonts w:ascii="Arial Narrow" w:hAnsi="Arial Narrow"/>
                <w:sz w:val="20"/>
              </w:rPr>
            </w:pPr>
            <w:r w:rsidRPr="00E60F06">
              <w:rPr>
                <w:rFonts w:ascii="Arial Narrow" w:hAnsi="Arial Narrow"/>
                <w:sz w:val="20"/>
              </w:rPr>
              <w:t>3.86</w:t>
            </w:r>
          </w:p>
        </w:tc>
        <w:tc>
          <w:tcPr>
            <w:tcW w:w="1273" w:type="pct"/>
          </w:tcPr>
          <w:p w:rsidR="00861C80" w:rsidRPr="00E60F06" w:rsidRDefault="00861C80" w:rsidP="00861C80">
            <w:pPr>
              <w:keepNext/>
              <w:jc w:val="center"/>
              <w:rPr>
                <w:rFonts w:ascii="Arial Narrow" w:hAnsi="Arial Narrow"/>
                <w:sz w:val="20"/>
              </w:rPr>
            </w:pPr>
            <w:r w:rsidRPr="00E60F06">
              <w:rPr>
                <w:rFonts w:ascii="Arial Narrow" w:hAnsi="Arial Narrow"/>
                <w:sz w:val="20"/>
              </w:rPr>
              <w:t>2.96</w:t>
            </w:r>
          </w:p>
        </w:tc>
        <w:tc>
          <w:tcPr>
            <w:tcW w:w="1269" w:type="pct"/>
          </w:tcPr>
          <w:p w:rsidR="00861C80" w:rsidRPr="00E60F06" w:rsidRDefault="00861C80" w:rsidP="00861C80">
            <w:pPr>
              <w:keepNext/>
              <w:jc w:val="center"/>
              <w:rPr>
                <w:rFonts w:ascii="Arial Narrow" w:hAnsi="Arial Narrow"/>
                <w:sz w:val="20"/>
              </w:rPr>
            </w:pPr>
            <w:r w:rsidRPr="00E60F06">
              <w:rPr>
                <w:rFonts w:ascii="Arial Narrow" w:hAnsi="Arial Narrow"/>
                <w:sz w:val="20"/>
              </w:rPr>
              <w:t>0.90</w:t>
            </w:r>
          </w:p>
        </w:tc>
      </w:tr>
      <w:tr w:rsidR="00861C80" w:rsidRPr="00E60F06" w:rsidTr="00877902">
        <w:tc>
          <w:tcPr>
            <w:tcW w:w="1271" w:type="pct"/>
          </w:tcPr>
          <w:p w:rsidR="00861C80" w:rsidRPr="00E60F06" w:rsidRDefault="00861C80" w:rsidP="00861C80">
            <w:pPr>
              <w:keepNext/>
              <w:rPr>
                <w:rFonts w:ascii="Arial Narrow" w:hAnsi="Arial Narrow"/>
                <w:sz w:val="20"/>
              </w:rPr>
            </w:pPr>
            <w:r w:rsidRPr="00E60F06">
              <w:rPr>
                <w:rFonts w:ascii="Arial Narrow" w:hAnsi="Arial Narrow"/>
                <w:sz w:val="20"/>
              </w:rPr>
              <w:t>QALY</w:t>
            </w:r>
          </w:p>
        </w:tc>
        <w:tc>
          <w:tcPr>
            <w:tcW w:w="1187" w:type="pct"/>
          </w:tcPr>
          <w:p w:rsidR="00861C80" w:rsidRPr="00E60F06" w:rsidRDefault="00861C80" w:rsidP="00861C80">
            <w:pPr>
              <w:keepNext/>
              <w:jc w:val="center"/>
              <w:rPr>
                <w:rFonts w:ascii="Arial Narrow" w:hAnsi="Arial Narrow"/>
                <w:sz w:val="20"/>
              </w:rPr>
            </w:pPr>
            <w:r w:rsidRPr="00E60F06">
              <w:rPr>
                <w:rFonts w:ascii="Arial Narrow" w:hAnsi="Arial Narrow"/>
                <w:sz w:val="20"/>
              </w:rPr>
              <w:t>2.32</w:t>
            </w:r>
          </w:p>
        </w:tc>
        <w:tc>
          <w:tcPr>
            <w:tcW w:w="1273" w:type="pct"/>
          </w:tcPr>
          <w:p w:rsidR="00861C80" w:rsidRPr="00E60F06" w:rsidRDefault="00861C80" w:rsidP="00861C80">
            <w:pPr>
              <w:keepNext/>
              <w:jc w:val="center"/>
              <w:rPr>
                <w:rFonts w:ascii="Arial Narrow" w:hAnsi="Arial Narrow"/>
                <w:sz w:val="20"/>
              </w:rPr>
            </w:pPr>
            <w:r w:rsidRPr="00E60F06">
              <w:rPr>
                <w:rFonts w:ascii="Arial Narrow" w:hAnsi="Arial Narrow"/>
                <w:sz w:val="20"/>
              </w:rPr>
              <w:t>1.78</w:t>
            </w:r>
          </w:p>
        </w:tc>
        <w:tc>
          <w:tcPr>
            <w:tcW w:w="1269" w:type="pct"/>
          </w:tcPr>
          <w:p w:rsidR="00861C80" w:rsidRPr="00E60F06" w:rsidRDefault="00861C80" w:rsidP="00861C80">
            <w:pPr>
              <w:keepNext/>
              <w:jc w:val="center"/>
              <w:rPr>
                <w:rFonts w:ascii="Arial Narrow" w:hAnsi="Arial Narrow"/>
                <w:sz w:val="20"/>
              </w:rPr>
            </w:pPr>
            <w:r w:rsidRPr="00E60F06">
              <w:rPr>
                <w:rFonts w:ascii="Arial Narrow" w:hAnsi="Arial Narrow"/>
                <w:sz w:val="20"/>
              </w:rPr>
              <w:t>0.55</w:t>
            </w:r>
          </w:p>
        </w:tc>
      </w:tr>
      <w:tr w:rsidR="00861C80" w:rsidRPr="00E60F06" w:rsidTr="00877902">
        <w:tc>
          <w:tcPr>
            <w:tcW w:w="3731" w:type="pct"/>
            <w:gridSpan w:val="3"/>
          </w:tcPr>
          <w:p w:rsidR="00861C80" w:rsidRPr="00E60F06" w:rsidRDefault="00861C80" w:rsidP="005169BE">
            <w:pPr>
              <w:keepNext/>
              <w:rPr>
                <w:rFonts w:ascii="Arial Narrow" w:hAnsi="Arial Narrow"/>
                <w:b/>
                <w:sz w:val="20"/>
              </w:rPr>
            </w:pPr>
            <w:r w:rsidRPr="00E60F06">
              <w:rPr>
                <w:rFonts w:ascii="Arial Narrow" w:hAnsi="Arial Narrow"/>
                <w:b/>
                <w:sz w:val="20"/>
              </w:rPr>
              <w:t xml:space="preserve">Incremental cost/extra </w:t>
            </w:r>
            <w:r w:rsidR="005169BE" w:rsidRPr="00E60F06">
              <w:rPr>
                <w:rFonts w:ascii="Arial Narrow" w:hAnsi="Arial Narrow"/>
                <w:b/>
                <w:sz w:val="20"/>
              </w:rPr>
              <w:t xml:space="preserve">life-year </w:t>
            </w:r>
            <w:r w:rsidRPr="00E60F06">
              <w:rPr>
                <w:rFonts w:ascii="Arial Narrow" w:hAnsi="Arial Narrow"/>
                <w:b/>
                <w:sz w:val="20"/>
              </w:rPr>
              <w:t>gained</w:t>
            </w:r>
          </w:p>
        </w:tc>
        <w:tc>
          <w:tcPr>
            <w:tcW w:w="1269" w:type="pct"/>
            <w:vAlign w:val="center"/>
          </w:tcPr>
          <w:p w:rsidR="00861C80" w:rsidRPr="00E60F06" w:rsidRDefault="00861C80" w:rsidP="00861C80">
            <w:pPr>
              <w:keepNext/>
              <w:jc w:val="center"/>
              <w:rPr>
                <w:rFonts w:ascii="Arial Narrow" w:hAnsi="Arial Narrow"/>
                <w:b/>
                <w:color w:val="000000" w:themeColor="text1"/>
                <w:sz w:val="20"/>
              </w:rPr>
            </w:pPr>
            <w:r w:rsidRPr="00E60F06">
              <w:rPr>
                <w:rFonts w:ascii="Arial Narrow" w:hAnsi="Arial Narrow"/>
                <w:color w:val="000000" w:themeColor="text1"/>
                <w:sz w:val="20"/>
              </w:rPr>
              <w:t>$</w:t>
            </w:r>
            <w:r w:rsidR="007F3403">
              <w:rPr>
                <w:rFonts w:ascii="Arial Narrow" w:hAnsi="Arial Narrow"/>
                <w:noProof/>
                <w:color w:val="000000"/>
                <w:sz w:val="20"/>
                <w:highlight w:val="black"/>
              </w:rPr>
              <w:t>'''''''''''''''''</w:t>
            </w:r>
          </w:p>
        </w:tc>
      </w:tr>
      <w:tr w:rsidR="00861C80" w:rsidRPr="00E60F06" w:rsidTr="00877902">
        <w:tc>
          <w:tcPr>
            <w:tcW w:w="3731" w:type="pct"/>
            <w:gridSpan w:val="3"/>
          </w:tcPr>
          <w:p w:rsidR="00861C80" w:rsidRPr="00E60F06" w:rsidRDefault="00861C80" w:rsidP="00861C80">
            <w:pPr>
              <w:keepNext/>
              <w:rPr>
                <w:rFonts w:ascii="Arial Narrow" w:hAnsi="Arial Narrow"/>
                <w:b/>
                <w:sz w:val="20"/>
              </w:rPr>
            </w:pPr>
            <w:r w:rsidRPr="00E60F06">
              <w:rPr>
                <w:rFonts w:ascii="Arial Narrow" w:hAnsi="Arial Narrow"/>
                <w:b/>
                <w:sz w:val="20"/>
              </w:rPr>
              <w:t xml:space="preserve">Incremental cost/extra </w:t>
            </w:r>
            <w:r w:rsidR="005169BE" w:rsidRPr="00E60F06">
              <w:rPr>
                <w:rFonts w:ascii="Arial Narrow" w:hAnsi="Arial Narrow"/>
                <w:b/>
                <w:sz w:val="20"/>
              </w:rPr>
              <w:t>quality-adjusted life-year (</w:t>
            </w:r>
            <w:r w:rsidRPr="00E60F06">
              <w:rPr>
                <w:rFonts w:ascii="Arial Narrow" w:hAnsi="Arial Narrow"/>
                <w:b/>
                <w:sz w:val="20"/>
              </w:rPr>
              <w:t>QALY</w:t>
            </w:r>
            <w:r w:rsidR="005169BE" w:rsidRPr="00E60F06">
              <w:rPr>
                <w:rFonts w:ascii="Arial Narrow" w:hAnsi="Arial Narrow"/>
                <w:b/>
                <w:sz w:val="20"/>
              </w:rPr>
              <w:t>)</w:t>
            </w:r>
            <w:r w:rsidRPr="00E60F06">
              <w:rPr>
                <w:rFonts w:ascii="Arial Narrow" w:hAnsi="Arial Narrow"/>
                <w:b/>
                <w:sz w:val="20"/>
              </w:rPr>
              <w:t xml:space="preserve"> gained</w:t>
            </w:r>
          </w:p>
        </w:tc>
        <w:tc>
          <w:tcPr>
            <w:tcW w:w="1269" w:type="pct"/>
            <w:vAlign w:val="center"/>
          </w:tcPr>
          <w:p w:rsidR="00861C80" w:rsidRPr="00E60F06" w:rsidRDefault="00861C80" w:rsidP="00861C80">
            <w:pPr>
              <w:keepNext/>
              <w:jc w:val="center"/>
              <w:rPr>
                <w:rFonts w:ascii="Arial Narrow" w:hAnsi="Arial Narrow"/>
                <w:b/>
                <w:color w:val="000000" w:themeColor="text1"/>
                <w:sz w:val="20"/>
              </w:rPr>
            </w:pPr>
            <w:r w:rsidRPr="00E60F06">
              <w:rPr>
                <w:rFonts w:ascii="Arial Narrow" w:hAnsi="Arial Narrow"/>
                <w:b/>
                <w:color w:val="000000" w:themeColor="text1"/>
                <w:sz w:val="20"/>
              </w:rPr>
              <w:t>$</w:t>
            </w:r>
            <w:r w:rsidR="007F3403">
              <w:rPr>
                <w:rFonts w:ascii="Arial Narrow" w:hAnsi="Arial Narrow"/>
                <w:b/>
                <w:noProof/>
                <w:color w:val="000000"/>
                <w:sz w:val="20"/>
                <w:highlight w:val="black"/>
              </w:rPr>
              <w:t>''''''''''''</w:t>
            </w:r>
          </w:p>
        </w:tc>
      </w:tr>
    </w:tbl>
    <w:p w:rsidR="00861C80" w:rsidRPr="00E60F06" w:rsidRDefault="00861C80" w:rsidP="00877902">
      <w:pPr>
        <w:pStyle w:val="TableFooter"/>
        <w:keepNext/>
        <w:ind w:left="709"/>
        <w:rPr>
          <w:rFonts w:eastAsia="SimSun"/>
          <w:lang w:eastAsia="zh-CN"/>
        </w:rPr>
      </w:pPr>
      <w:r w:rsidRPr="00E60F06">
        <w:t>Source: Table D.5-8, p190 of the submission</w:t>
      </w:r>
      <w:r w:rsidR="00275039" w:rsidRPr="00E60F06">
        <w:t>.</w:t>
      </w:r>
    </w:p>
    <w:p w:rsidR="00D110BD" w:rsidRPr="00E60F06" w:rsidRDefault="00D110BD" w:rsidP="00D110BD">
      <w:pPr>
        <w:widowControl/>
        <w:rPr>
          <w:szCs w:val="22"/>
        </w:rPr>
      </w:pPr>
    </w:p>
    <w:p w:rsidR="00083CEE" w:rsidRPr="00E60F06" w:rsidRDefault="00083CEE" w:rsidP="00D110BD">
      <w:pPr>
        <w:widowControl/>
        <w:rPr>
          <w:szCs w:val="22"/>
        </w:rPr>
      </w:pPr>
      <w:r w:rsidRPr="00E60F06">
        <w:rPr>
          <w:szCs w:val="22"/>
        </w:rPr>
        <w:tab/>
        <w:t>The redacted table shows ICER</w:t>
      </w:r>
      <w:r w:rsidR="007E17AB" w:rsidRPr="00E60F06">
        <w:rPr>
          <w:szCs w:val="22"/>
        </w:rPr>
        <w:t>s</w:t>
      </w:r>
      <w:r w:rsidRPr="00E60F06">
        <w:rPr>
          <w:szCs w:val="22"/>
        </w:rPr>
        <w:t xml:space="preserve"> in the range of $45,000/QALY - $75,000/QALY.</w:t>
      </w:r>
    </w:p>
    <w:p w:rsidR="00083CEE" w:rsidRPr="00E60F06" w:rsidRDefault="00083CEE" w:rsidP="00D110BD">
      <w:pPr>
        <w:widowControl/>
        <w:rPr>
          <w:szCs w:val="22"/>
        </w:rPr>
      </w:pPr>
    </w:p>
    <w:p w:rsidR="001423EB" w:rsidRPr="00E60F06" w:rsidRDefault="005E11DB" w:rsidP="00423721">
      <w:pPr>
        <w:pStyle w:val="ListParagraph"/>
        <w:widowControl/>
        <w:numPr>
          <w:ilvl w:val="1"/>
          <w:numId w:val="3"/>
        </w:numPr>
        <w:rPr>
          <w:szCs w:val="22"/>
        </w:rPr>
      </w:pPr>
      <w:r w:rsidRPr="00E60F06">
        <w:t>The</w:t>
      </w:r>
      <w:r w:rsidR="00003FEF" w:rsidRPr="00E60F06">
        <w:t xml:space="preserve"> </w:t>
      </w:r>
      <w:r w:rsidRPr="00E60F06">
        <w:t xml:space="preserve">base case ICER estimated by the model matched the </w:t>
      </w:r>
      <w:r w:rsidR="005169BE" w:rsidRPr="00E60F06">
        <w:t xml:space="preserve">numeric </w:t>
      </w:r>
      <w:r w:rsidRPr="00E60F06">
        <w:t>value specified in the Deed of Agreement</w:t>
      </w:r>
      <w:r w:rsidR="005169BE" w:rsidRPr="00E60F06">
        <w:t>.  However</w:t>
      </w:r>
      <w:r w:rsidRPr="00E60F06">
        <w:t>,</w:t>
      </w:r>
      <w:r w:rsidR="00DC457A" w:rsidRPr="00E60F06">
        <w:t xml:space="preserve"> </w:t>
      </w:r>
      <w:r w:rsidR="005169BE" w:rsidRPr="00E60F06">
        <w:t xml:space="preserve">it </w:t>
      </w:r>
      <w:r w:rsidR="00DC457A" w:rsidRPr="00E60F06">
        <w:t>wa</w:t>
      </w:r>
      <w:r w:rsidRPr="00E60F06">
        <w:t>s not likely to accurately represent the cost</w:t>
      </w:r>
      <w:r w:rsidR="00DC457A" w:rsidRPr="00E60F06">
        <w:t xml:space="preserve">-effectiveness of pembrolizumab.  Generation of this ICER relied upon convergence of </w:t>
      </w:r>
      <w:r w:rsidR="005169BE" w:rsidRPr="00E60F06">
        <w:t xml:space="preserve">extrapolated </w:t>
      </w:r>
      <w:r w:rsidR="00DC457A" w:rsidRPr="00E60F06">
        <w:t xml:space="preserve">PFS at 5 years and superiority </w:t>
      </w:r>
      <w:r w:rsidR="00917FC7" w:rsidRPr="00E60F06">
        <w:t xml:space="preserve">in OS </w:t>
      </w:r>
      <w:r w:rsidR="00DC457A" w:rsidRPr="00E60F06">
        <w:t xml:space="preserve">for pembrolizumab-treated patients </w:t>
      </w:r>
      <w:r w:rsidR="00917FC7" w:rsidRPr="00E60F06">
        <w:t>which continued in</w:t>
      </w:r>
      <w:r w:rsidR="005169BE" w:rsidRPr="00E60F06">
        <w:t>definitely thereafter.  In a 10-</w:t>
      </w:r>
      <w:r w:rsidR="00917FC7" w:rsidRPr="00E60F06">
        <w:t>year model, this overestimate</w:t>
      </w:r>
      <w:r w:rsidR="00587C38" w:rsidRPr="00E60F06">
        <w:t>d</w:t>
      </w:r>
      <w:r w:rsidR="00917FC7" w:rsidRPr="00E60F06">
        <w:t xml:space="preserve"> </w:t>
      </w:r>
      <w:r w:rsidR="00DB1727" w:rsidRPr="00E60F06">
        <w:t xml:space="preserve">incremental </w:t>
      </w:r>
      <w:r w:rsidR="00917FC7" w:rsidRPr="00E60F06">
        <w:t>OS.</w:t>
      </w:r>
    </w:p>
    <w:p w:rsidR="0090694B" w:rsidRPr="00E60F06" w:rsidRDefault="0090694B" w:rsidP="0090694B">
      <w:pPr>
        <w:widowControl/>
        <w:rPr>
          <w:szCs w:val="22"/>
        </w:rPr>
      </w:pPr>
    </w:p>
    <w:p w:rsidR="00391FD9" w:rsidRPr="00E60F06" w:rsidRDefault="00391FD9" w:rsidP="00423721">
      <w:pPr>
        <w:pStyle w:val="ListParagraph"/>
        <w:widowControl/>
        <w:numPr>
          <w:ilvl w:val="1"/>
          <w:numId w:val="3"/>
        </w:numPr>
        <w:rPr>
          <w:szCs w:val="22"/>
        </w:rPr>
      </w:pPr>
      <w:r w:rsidRPr="00E60F06">
        <w:t xml:space="preserve">The model produced the implausible result that the effect upon PFS diminished by 5 years, but the effect in terms of OS </w:t>
      </w:r>
      <w:r w:rsidR="005169BE" w:rsidRPr="00E60F06">
        <w:t>wa</w:t>
      </w:r>
      <w:r w:rsidRPr="00E60F06">
        <w:t>s maintained indefinitely thereafter.</w:t>
      </w:r>
      <w:r w:rsidR="00B04A14" w:rsidRPr="00E60F06">
        <w:t xml:space="preserve">  This did not support the claim, made in the 2015 submission (and not discussed in the current submission)</w:t>
      </w:r>
      <w:r w:rsidR="005169BE" w:rsidRPr="00E60F06">
        <w:t>,</w:t>
      </w:r>
      <w:r w:rsidR="00B04A14" w:rsidRPr="00E60F06">
        <w:t xml:space="preserve"> that PFS is a robust predictor of OS (Flaherty 2014).</w:t>
      </w:r>
    </w:p>
    <w:p w:rsidR="00391FD9" w:rsidRPr="00E60F06" w:rsidRDefault="00391FD9" w:rsidP="00391FD9">
      <w:pPr>
        <w:widowControl/>
        <w:rPr>
          <w:szCs w:val="22"/>
        </w:rPr>
      </w:pPr>
    </w:p>
    <w:p w:rsidR="00D110BD" w:rsidRPr="00E60F06" w:rsidRDefault="001423EB" w:rsidP="00423721">
      <w:pPr>
        <w:pStyle w:val="ListParagraph"/>
        <w:widowControl/>
        <w:numPr>
          <w:ilvl w:val="1"/>
          <w:numId w:val="3"/>
        </w:numPr>
        <w:rPr>
          <w:szCs w:val="22"/>
        </w:rPr>
      </w:pPr>
      <w:r w:rsidRPr="00E60F06">
        <w:t>Some issues remain</w:t>
      </w:r>
      <w:r w:rsidR="005169BE" w:rsidRPr="00E60F06">
        <w:t>ed</w:t>
      </w:r>
      <w:r w:rsidRPr="00E60F06">
        <w:t xml:space="preserve"> with the model in relation to the appropriateness of including all-cause mortality and the estimate of disease management costs, but the PBAC resolved in March 2015 that these issues would not be reopened due to their minor impact upon the ICER (paragraph 7.21, March 2015 PSD).</w:t>
      </w:r>
    </w:p>
    <w:p w:rsidR="00665FED" w:rsidRPr="00E60F06" w:rsidRDefault="00665FED" w:rsidP="00665FED">
      <w:pPr>
        <w:widowControl/>
        <w:rPr>
          <w:szCs w:val="22"/>
        </w:rPr>
      </w:pPr>
    </w:p>
    <w:p w:rsidR="00665FED" w:rsidRPr="00E60F06" w:rsidRDefault="00665FED" w:rsidP="00423721">
      <w:pPr>
        <w:pStyle w:val="ListParagraph"/>
        <w:widowControl/>
        <w:numPr>
          <w:ilvl w:val="1"/>
          <w:numId w:val="3"/>
        </w:numPr>
        <w:rPr>
          <w:szCs w:val="22"/>
        </w:rPr>
      </w:pPr>
      <w:r w:rsidRPr="00E60F06">
        <w:t>The model was highly sensitive to both the time horizon of the model, and the OS extrapolation function selected for pembrolizumab</w:t>
      </w:r>
      <w:r w:rsidR="00BF28F1" w:rsidRPr="00E60F06">
        <w:t xml:space="preserve">. </w:t>
      </w:r>
      <w:r w:rsidR="009900A8" w:rsidRPr="00E60F06">
        <w:t xml:space="preserve"> </w:t>
      </w:r>
      <w:r w:rsidR="00BF28F1" w:rsidRPr="00E60F06">
        <w:t xml:space="preserve">The </w:t>
      </w:r>
      <w:r w:rsidR="005169BE" w:rsidRPr="00E60F06">
        <w:t xml:space="preserve">incremental </w:t>
      </w:r>
      <w:r w:rsidR="00BF28F1" w:rsidRPr="00E60F06">
        <w:t>cost/QALY wa</w:t>
      </w:r>
      <w:r w:rsidRPr="00E60F06">
        <w:t xml:space="preserve">s consistently </w:t>
      </w:r>
      <w:r w:rsidR="00083CEE" w:rsidRPr="00E60F06">
        <w:t>$75,000</w:t>
      </w:r>
      <w:r w:rsidR="00D6384F" w:rsidRPr="00E60F06">
        <w:t>/QALY - $105,000/QALY</w:t>
      </w:r>
      <w:r w:rsidRPr="00E60F06">
        <w:t xml:space="preserve"> in response to changes in the survival parameters.  This demonstrated that the base case ICER estimated by the model, while it matched the </w:t>
      </w:r>
      <w:r w:rsidR="005169BE" w:rsidRPr="00E60F06">
        <w:t xml:space="preserve">numeric </w:t>
      </w:r>
      <w:r w:rsidRPr="00E60F06">
        <w:t>value specified in the Deed of Agreement, was not likely to accurately represent the cost-effectiveness of pembrolizumab.</w:t>
      </w:r>
    </w:p>
    <w:p w:rsidR="001907E4" w:rsidRPr="00E60F06" w:rsidRDefault="001907E4" w:rsidP="001907E4">
      <w:pPr>
        <w:rPr>
          <w:szCs w:val="22"/>
        </w:rPr>
      </w:pPr>
    </w:p>
    <w:p w:rsidR="001907E4" w:rsidRPr="00E60F06" w:rsidRDefault="00396209" w:rsidP="00423721">
      <w:pPr>
        <w:pStyle w:val="ListParagraph"/>
        <w:widowControl/>
        <w:numPr>
          <w:ilvl w:val="1"/>
          <w:numId w:val="3"/>
        </w:numPr>
        <w:rPr>
          <w:szCs w:val="22"/>
        </w:rPr>
      </w:pPr>
      <w:r w:rsidRPr="00E60F06">
        <w:rPr>
          <w:szCs w:val="22"/>
        </w:rPr>
        <w:t xml:space="preserve">The PSCR </w:t>
      </w:r>
      <w:r w:rsidR="002C72DF" w:rsidRPr="00E60F06">
        <w:rPr>
          <w:szCs w:val="22"/>
        </w:rPr>
        <w:t xml:space="preserve">examined the effect of </w:t>
      </w:r>
      <w:r w:rsidRPr="00E60F06">
        <w:rPr>
          <w:szCs w:val="22"/>
        </w:rPr>
        <w:t>alter</w:t>
      </w:r>
      <w:r w:rsidR="002C72DF" w:rsidRPr="00E60F06">
        <w:rPr>
          <w:szCs w:val="22"/>
        </w:rPr>
        <w:t>ing</w:t>
      </w:r>
      <w:r w:rsidRPr="00E60F06">
        <w:rPr>
          <w:szCs w:val="22"/>
        </w:rPr>
        <w:t xml:space="preserve"> the key modelling assumptions for OS in three analyses along with two supplementary analyses. </w:t>
      </w:r>
      <w:r w:rsidR="00FD060B" w:rsidRPr="00E60F06">
        <w:rPr>
          <w:szCs w:val="22"/>
        </w:rPr>
        <w:t xml:space="preserve"> </w:t>
      </w:r>
      <w:r w:rsidRPr="00E60F06">
        <w:rPr>
          <w:szCs w:val="22"/>
        </w:rPr>
        <w:t xml:space="preserve">However the </w:t>
      </w:r>
      <w:r w:rsidR="00EA6814" w:rsidRPr="00E60F06">
        <w:rPr>
          <w:szCs w:val="22"/>
        </w:rPr>
        <w:t xml:space="preserve">ESC noted that these analyses </w:t>
      </w:r>
      <w:r w:rsidRPr="00E60F06">
        <w:rPr>
          <w:szCs w:val="22"/>
        </w:rPr>
        <w:t xml:space="preserve">also: i) substantially increased the probability of colitis </w:t>
      </w:r>
      <w:r w:rsidR="003B6A1D" w:rsidRPr="00E60F06">
        <w:rPr>
          <w:szCs w:val="22"/>
        </w:rPr>
        <w:t>in the ipilimumab arm; and, ii)</w:t>
      </w:r>
      <w:r w:rsidRPr="00E60F06">
        <w:rPr>
          <w:szCs w:val="22"/>
        </w:rPr>
        <w:t xml:space="preserve"> doubled the costs of treating colitis in each of the new analyses. </w:t>
      </w:r>
      <w:r w:rsidR="00EA6814" w:rsidRPr="00E60F06">
        <w:rPr>
          <w:szCs w:val="22"/>
        </w:rPr>
        <w:t xml:space="preserve"> </w:t>
      </w:r>
      <w:r w:rsidRPr="00E60F06">
        <w:rPr>
          <w:szCs w:val="22"/>
        </w:rPr>
        <w:t xml:space="preserve">Both of these variations differed from what had previously been agreed under clause B.2.2.j of the Deed. </w:t>
      </w:r>
      <w:r w:rsidR="00FD060B" w:rsidRPr="00E60F06">
        <w:rPr>
          <w:szCs w:val="22"/>
        </w:rPr>
        <w:t xml:space="preserve"> </w:t>
      </w:r>
      <w:r w:rsidRPr="00E60F06">
        <w:rPr>
          <w:szCs w:val="22"/>
        </w:rPr>
        <w:t xml:space="preserve">They also both resulted in increasing the back-calculated dispensed price of pembrolizumab in all scenarios. </w:t>
      </w:r>
      <w:r w:rsidR="00FD060B" w:rsidRPr="00E60F06">
        <w:rPr>
          <w:szCs w:val="22"/>
        </w:rPr>
        <w:t xml:space="preserve"> </w:t>
      </w:r>
      <w:r w:rsidRPr="00E60F06">
        <w:rPr>
          <w:szCs w:val="22"/>
        </w:rPr>
        <w:t xml:space="preserve">This was not reasonable because the rate of colitis in the pembrolizumab arm of the model was not informed by similar data and may well be higher in routine care (as the PSCR argued for ipilimumab).  </w:t>
      </w:r>
      <w:r w:rsidR="001907E4" w:rsidRPr="00E60F06">
        <w:rPr>
          <w:szCs w:val="22"/>
        </w:rPr>
        <w:t xml:space="preserve">The PBAC </w:t>
      </w:r>
      <w:r w:rsidR="002C72DF" w:rsidRPr="00E60F06">
        <w:rPr>
          <w:szCs w:val="22"/>
        </w:rPr>
        <w:t xml:space="preserve">also </w:t>
      </w:r>
      <w:r w:rsidR="001907E4" w:rsidRPr="00E60F06">
        <w:rPr>
          <w:szCs w:val="22"/>
        </w:rPr>
        <w:t xml:space="preserve">noted, but did not accept as informative, the </w:t>
      </w:r>
      <w:r w:rsidRPr="00E60F06">
        <w:rPr>
          <w:szCs w:val="22"/>
        </w:rPr>
        <w:t xml:space="preserve">further </w:t>
      </w:r>
      <w:r w:rsidR="001907E4" w:rsidRPr="00E60F06">
        <w:rPr>
          <w:szCs w:val="22"/>
        </w:rPr>
        <w:t xml:space="preserve">variation of the model which was provided in the Pre-PBAC Response, and so was not independently verified.  This model converged the </w:t>
      </w:r>
      <w:r w:rsidR="002C72DF" w:rsidRPr="00E60F06">
        <w:rPr>
          <w:szCs w:val="22"/>
        </w:rPr>
        <w:t>overall survival</w:t>
      </w:r>
      <w:r w:rsidR="001907E4" w:rsidRPr="00E60F06">
        <w:rPr>
          <w:szCs w:val="22"/>
        </w:rPr>
        <w:t xml:space="preserve"> curves at 7 years, but also </w:t>
      </w:r>
      <w:r w:rsidRPr="00E60F06">
        <w:rPr>
          <w:szCs w:val="22"/>
        </w:rPr>
        <w:t xml:space="preserve">retained the </w:t>
      </w:r>
      <w:r w:rsidR="001907E4" w:rsidRPr="00E60F06">
        <w:rPr>
          <w:szCs w:val="22"/>
        </w:rPr>
        <w:t xml:space="preserve">imbalance </w:t>
      </w:r>
      <w:r w:rsidRPr="00E60F06">
        <w:rPr>
          <w:szCs w:val="22"/>
        </w:rPr>
        <w:t xml:space="preserve">in </w:t>
      </w:r>
      <w:r w:rsidR="001907E4" w:rsidRPr="00E60F06">
        <w:rPr>
          <w:szCs w:val="22"/>
        </w:rPr>
        <w:t xml:space="preserve">the sources of data </w:t>
      </w:r>
      <w:r w:rsidRPr="00E60F06">
        <w:rPr>
          <w:szCs w:val="22"/>
        </w:rPr>
        <w:t xml:space="preserve">to </w:t>
      </w:r>
      <w:r w:rsidR="001907E4" w:rsidRPr="00E60F06">
        <w:rPr>
          <w:szCs w:val="22"/>
        </w:rPr>
        <w:t>increas</w:t>
      </w:r>
      <w:r w:rsidRPr="00E60F06">
        <w:rPr>
          <w:szCs w:val="22"/>
        </w:rPr>
        <w:t xml:space="preserve">e </w:t>
      </w:r>
      <w:r w:rsidR="001907E4" w:rsidRPr="00E60F06">
        <w:rPr>
          <w:szCs w:val="22"/>
        </w:rPr>
        <w:t>the cost</w:t>
      </w:r>
      <w:r w:rsidRPr="00E60F06">
        <w:rPr>
          <w:szCs w:val="22"/>
        </w:rPr>
        <w:t xml:space="preserve"> offsets</w:t>
      </w:r>
      <w:r w:rsidR="001907E4" w:rsidRPr="00E60F06">
        <w:rPr>
          <w:szCs w:val="22"/>
        </w:rPr>
        <w:t xml:space="preserve"> of managing </w:t>
      </w:r>
      <w:r w:rsidRPr="00E60F06">
        <w:rPr>
          <w:szCs w:val="22"/>
        </w:rPr>
        <w:t>colitis</w:t>
      </w:r>
      <w:r w:rsidR="001907E4" w:rsidRPr="00E60F06">
        <w:rPr>
          <w:szCs w:val="22"/>
        </w:rPr>
        <w:t>.</w:t>
      </w:r>
    </w:p>
    <w:p w:rsidR="00C25D9C" w:rsidRPr="00E60F06" w:rsidRDefault="00C25D9C" w:rsidP="00C25D9C">
      <w:pPr>
        <w:widowControl/>
        <w:rPr>
          <w:szCs w:val="22"/>
        </w:rPr>
      </w:pPr>
    </w:p>
    <w:p w:rsidR="00C25D9C" w:rsidRPr="00E60F06" w:rsidRDefault="00C25D9C" w:rsidP="002C2775">
      <w:pPr>
        <w:pStyle w:val="Heading2"/>
        <w:rPr>
          <w:i/>
          <w:szCs w:val="22"/>
        </w:rPr>
      </w:pPr>
      <w:bookmarkStart w:id="13" w:name="_Toc440982041"/>
      <w:r w:rsidRPr="00E60F06">
        <w:rPr>
          <w:i/>
        </w:rPr>
        <w:t>Drug cost/patien</w:t>
      </w:r>
      <w:r w:rsidR="00941E38" w:rsidRPr="00E60F06">
        <w:rPr>
          <w:i/>
        </w:rPr>
        <w:t>t/course</w:t>
      </w:r>
      <w:r w:rsidRPr="00E60F06">
        <w:rPr>
          <w:i/>
        </w:rPr>
        <w:t>: $</w:t>
      </w:r>
      <w:bookmarkEnd w:id="13"/>
      <w:r w:rsidR="007F3403">
        <w:rPr>
          <w:i/>
          <w:noProof/>
          <w:color w:val="000000"/>
          <w:highlight w:val="black"/>
        </w:rPr>
        <w:t>''''''''''''''</w:t>
      </w:r>
    </w:p>
    <w:p w:rsidR="00C25D9C" w:rsidRPr="00E60F06" w:rsidRDefault="00C25D9C" w:rsidP="00C25D9C">
      <w:pPr>
        <w:widowControl/>
        <w:rPr>
          <w:szCs w:val="22"/>
        </w:rPr>
      </w:pPr>
    </w:p>
    <w:p w:rsidR="00A86E8B" w:rsidRPr="00E60F06" w:rsidRDefault="00941E38" w:rsidP="00423721">
      <w:pPr>
        <w:pStyle w:val="ListParagraph"/>
        <w:widowControl/>
        <w:numPr>
          <w:ilvl w:val="1"/>
          <w:numId w:val="3"/>
        </w:numPr>
        <w:rPr>
          <w:szCs w:val="22"/>
        </w:rPr>
      </w:pPr>
      <w:r w:rsidRPr="00E60F06">
        <w:rPr>
          <w:szCs w:val="22"/>
        </w:rPr>
        <w:t xml:space="preserve">The cost per patient (revised for use of </w:t>
      </w:r>
      <w:r w:rsidR="00021377" w:rsidRPr="00E60F06">
        <w:rPr>
          <w:szCs w:val="22"/>
        </w:rPr>
        <w:t xml:space="preserve">the </w:t>
      </w:r>
      <w:r w:rsidRPr="00E60F06">
        <w:rPr>
          <w:szCs w:val="22"/>
        </w:rPr>
        <w:t>upd</w:t>
      </w:r>
      <w:r w:rsidR="00400E1B" w:rsidRPr="00E60F06">
        <w:rPr>
          <w:szCs w:val="22"/>
        </w:rPr>
        <w:t xml:space="preserve">ated preparation fee) </w:t>
      </w:r>
      <w:r w:rsidR="00917FC7" w:rsidRPr="00E60F06">
        <w:rPr>
          <w:szCs w:val="22"/>
        </w:rPr>
        <w:t>wa</w:t>
      </w:r>
      <w:r w:rsidR="00400E1B" w:rsidRPr="00E60F06">
        <w:rPr>
          <w:szCs w:val="22"/>
        </w:rPr>
        <w:t>s based on average vial use (</w:t>
      </w:r>
      <w:r w:rsidR="007F3403">
        <w:rPr>
          <w:noProof/>
          <w:color w:val="000000"/>
          <w:szCs w:val="22"/>
          <w:highlight w:val="black"/>
        </w:rPr>
        <w:t>''''''''''</w:t>
      </w:r>
      <w:r w:rsidR="00400E1B" w:rsidRPr="00E60F06">
        <w:rPr>
          <w:szCs w:val="22"/>
        </w:rPr>
        <w:t xml:space="preserve"> vials) </w:t>
      </w:r>
      <w:r w:rsidR="00021377" w:rsidRPr="00E60F06">
        <w:rPr>
          <w:szCs w:val="22"/>
        </w:rPr>
        <w:t xml:space="preserve">over </w:t>
      </w:r>
      <w:r w:rsidR="007F3403">
        <w:rPr>
          <w:noProof/>
          <w:color w:val="000000"/>
          <w:szCs w:val="22"/>
          <w:highlight w:val="black"/>
        </w:rPr>
        <w:t>''''''''''</w:t>
      </w:r>
      <w:r w:rsidR="00021377" w:rsidRPr="00E60F06">
        <w:rPr>
          <w:szCs w:val="22"/>
        </w:rPr>
        <w:t xml:space="preserve"> weeks of treatment, </w:t>
      </w:r>
      <w:r w:rsidR="00400E1B" w:rsidRPr="00E60F06">
        <w:rPr>
          <w:szCs w:val="22"/>
        </w:rPr>
        <w:t>determined by PFS in the economic model</w:t>
      </w:r>
      <w:r w:rsidR="00021377" w:rsidRPr="00E60F06">
        <w:rPr>
          <w:szCs w:val="22"/>
        </w:rPr>
        <w:t>.  The viability of this cost depend</w:t>
      </w:r>
      <w:r w:rsidR="005169BE" w:rsidRPr="00E60F06">
        <w:rPr>
          <w:szCs w:val="22"/>
        </w:rPr>
        <w:t>ed</w:t>
      </w:r>
      <w:r w:rsidR="00021377" w:rsidRPr="00E60F06">
        <w:rPr>
          <w:szCs w:val="22"/>
        </w:rPr>
        <w:t xml:space="preserve"> on the accuracy of treatment duration as generated by the model.</w:t>
      </w:r>
    </w:p>
    <w:p w:rsidR="00DB1727" w:rsidRPr="00E60F06" w:rsidRDefault="00DB1727" w:rsidP="00DB1727">
      <w:pPr>
        <w:widowControl/>
        <w:rPr>
          <w:szCs w:val="22"/>
        </w:rPr>
      </w:pPr>
    </w:p>
    <w:p w:rsidR="00B60939" w:rsidRPr="00E60F06" w:rsidRDefault="00B60939" w:rsidP="002C2775">
      <w:pPr>
        <w:pStyle w:val="Heading2"/>
        <w:rPr>
          <w:i/>
        </w:rPr>
      </w:pPr>
      <w:bookmarkStart w:id="14" w:name="_Toc440982042"/>
      <w:r w:rsidRPr="00E60F06">
        <w:rPr>
          <w:i/>
        </w:rPr>
        <w:t>Estimated PBS usage &amp; financial implications</w:t>
      </w:r>
      <w:bookmarkEnd w:id="14"/>
    </w:p>
    <w:p w:rsidR="00B60939" w:rsidRPr="00E60F06" w:rsidRDefault="00B60939" w:rsidP="00B60939">
      <w:pPr>
        <w:ind w:left="720" w:hanging="720"/>
        <w:rPr>
          <w:szCs w:val="22"/>
        </w:rPr>
      </w:pPr>
    </w:p>
    <w:p w:rsidR="00AF3F21" w:rsidRPr="00E60F06" w:rsidRDefault="00C25D9C" w:rsidP="00423721">
      <w:pPr>
        <w:pStyle w:val="ListParagraph"/>
        <w:widowControl/>
        <w:numPr>
          <w:ilvl w:val="1"/>
          <w:numId w:val="3"/>
        </w:numPr>
      </w:pPr>
      <w:r w:rsidRPr="00E60F06">
        <w:t>Th</w:t>
      </w:r>
      <w:r w:rsidR="00B76165" w:rsidRPr="00E60F06">
        <w:t>e</w:t>
      </w:r>
      <w:r w:rsidR="00217195" w:rsidRPr="00E60F06">
        <w:t xml:space="preserve"> submission </w:t>
      </w:r>
      <w:r w:rsidR="00E62EDA" w:rsidRPr="00E60F06">
        <w:t>wa</w:t>
      </w:r>
      <w:r w:rsidR="00217195" w:rsidRPr="00E60F06">
        <w:t>s not</w:t>
      </w:r>
      <w:r w:rsidR="00E62EDA" w:rsidRPr="00E60F06">
        <w:t xml:space="preserve"> </w:t>
      </w:r>
      <w:r w:rsidRPr="00E60F06">
        <w:t>considered by DUSC</w:t>
      </w:r>
      <w:r w:rsidRPr="00E60F06">
        <w:rPr>
          <w:color w:val="0070C0"/>
        </w:rPr>
        <w:t>.</w:t>
      </w:r>
      <w:r w:rsidR="00A902CA" w:rsidRPr="00E60F06">
        <w:rPr>
          <w:color w:val="0070C0"/>
        </w:rPr>
        <w:t xml:space="preserve">  </w:t>
      </w:r>
      <w:r w:rsidR="0087632C" w:rsidRPr="00E60F06">
        <w:t>On the basis of us</w:t>
      </w:r>
      <w:r w:rsidR="005169BE" w:rsidRPr="00E60F06">
        <w:t xml:space="preserve">age data from the sponsor’s </w:t>
      </w:r>
      <w:r w:rsidR="007F3403">
        <w:rPr>
          <w:noProof/>
          <w:color w:val="000000"/>
          <w:highlight w:val="black"/>
        </w:rPr>
        <w:t>'''''''</w:t>
      </w:r>
      <w:r w:rsidR="005169BE" w:rsidRPr="00E60F06">
        <w:t>-</w:t>
      </w:r>
      <w:r w:rsidR="0087632C" w:rsidRPr="00E60F06">
        <w:t>month named patient program, the submiss</w:t>
      </w:r>
      <w:r w:rsidR="005169BE" w:rsidRPr="00E60F06">
        <w:t>ion claimed</w:t>
      </w:r>
      <w:r w:rsidR="0087632C" w:rsidRPr="00E60F06">
        <w:t xml:space="preserve"> that patient numbers used to determine the current caps</w:t>
      </w:r>
      <w:r w:rsidR="00064183" w:rsidRPr="00E60F06">
        <w:t xml:space="preserve">, </w:t>
      </w:r>
      <w:r w:rsidR="00C143BE" w:rsidRPr="00E60F06">
        <w:t>i.e.</w:t>
      </w:r>
      <w:r w:rsidR="00064183" w:rsidRPr="00E60F06">
        <w:t xml:space="preserve"> based on ipilimumab usage,</w:t>
      </w:r>
      <w:r w:rsidR="0087632C" w:rsidRPr="00E60F06">
        <w:t xml:space="preserve"> </w:t>
      </w:r>
      <w:r w:rsidR="005169BE" w:rsidRPr="00E60F06">
        <w:t>we</w:t>
      </w:r>
      <w:r w:rsidR="0087632C" w:rsidRPr="00E60F06">
        <w:t xml:space="preserve">re </w:t>
      </w:r>
      <w:r w:rsidR="00064183" w:rsidRPr="00E60F06">
        <w:t xml:space="preserve">‘grossly’ </w:t>
      </w:r>
      <w:r w:rsidR="0087632C" w:rsidRPr="00E60F06">
        <w:t xml:space="preserve">underestimated.  </w:t>
      </w:r>
      <w:r w:rsidR="00AF3F21" w:rsidRPr="00E60F06">
        <w:t xml:space="preserve">The named patient program recruited </w:t>
      </w:r>
      <w:r w:rsidR="007F3403">
        <w:rPr>
          <w:noProof/>
          <w:color w:val="000000"/>
          <w:highlight w:val="black"/>
        </w:rPr>
        <w:t>''''''''''</w:t>
      </w:r>
      <w:r w:rsidR="00AF3F21" w:rsidRPr="00E60F06">
        <w:t xml:space="preserve"> patients, from</w:t>
      </w:r>
      <w:r w:rsidR="0096647D" w:rsidRPr="00E60F06">
        <w:t xml:space="preserve"> which the submission calculated</w:t>
      </w:r>
      <w:r w:rsidR="00AF3F21" w:rsidRPr="00E60F06">
        <w:t xml:space="preserve"> an average of 116 patients per month accessing pembrolizumab (</w:t>
      </w:r>
      <w:r w:rsidR="007F3403">
        <w:rPr>
          <w:noProof/>
          <w:color w:val="000000"/>
          <w:highlight w:val="black"/>
        </w:rPr>
        <w:t>''''''''''</w:t>
      </w:r>
      <w:r w:rsidR="00AF3F21" w:rsidRPr="00E60F06">
        <w:t>/</w:t>
      </w:r>
      <w:r w:rsidR="007F3403">
        <w:rPr>
          <w:noProof/>
          <w:color w:val="000000"/>
          <w:highlight w:val="black"/>
        </w:rPr>
        <w:t>'''''''</w:t>
      </w:r>
      <w:r w:rsidR="00AF3F21" w:rsidRPr="00E60F06">
        <w:t xml:space="preserve"> months) </w:t>
      </w:r>
      <w:r w:rsidR="0096647D" w:rsidRPr="00E60F06">
        <w:t xml:space="preserve">to </w:t>
      </w:r>
      <w:r w:rsidR="00AF3F21" w:rsidRPr="00E60F06">
        <w:t xml:space="preserve">suggest </w:t>
      </w:r>
      <w:r w:rsidR="0096647D" w:rsidRPr="00E60F06">
        <w:t xml:space="preserve">that </w:t>
      </w:r>
      <w:r w:rsidR="00AF3F21" w:rsidRPr="00E60F06">
        <w:t>in excess of 1,400 new patients w</w:t>
      </w:r>
      <w:r w:rsidR="0096647D" w:rsidRPr="00E60F06">
        <w:t>ould</w:t>
      </w:r>
      <w:r w:rsidR="00AF3F21" w:rsidRPr="00E60F06">
        <w:t xml:space="preserve"> be treated with pembrolizumab per year.  </w:t>
      </w:r>
      <w:r w:rsidR="0096647D" w:rsidRPr="00E60F06">
        <w:t>Based on this, the submission argued again that an epidemiological approach is justified, rather than the approach recommended by the PBAC in March 2015.</w:t>
      </w:r>
    </w:p>
    <w:p w:rsidR="00AF3F21" w:rsidRPr="00E60F06" w:rsidRDefault="00AF3F21" w:rsidP="0096647D">
      <w:pPr>
        <w:pStyle w:val="PBACHeading1"/>
        <w:numPr>
          <w:ilvl w:val="0"/>
          <w:numId w:val="0"/>
        </w:numPr>
        <w:rPr>
          <w:b w:val="0"/>
        </w:rPr>
      </w:pPr>
    </w:p>
    <w:p w:rsidR="00064183" w:rsidRPr="00E60F06" w:rsidRDefault="0087632C" w:rsidP="00423721">
      <w:pPr>
        <w:pStyle w:val="ListParagraph"/>
        <w:widowControl/>
        <w:numPr>
          <w:ilvl w:val="1"/>
          <w:numId w:val="3"/>
        </w:numPr>
        <w:rPr>
          <w:szCs w:val="22"/>
        </w:rPr>
      </w:pPr>
      <w:r w:rsidRPr="00E60F06">
        <w:t>The submission</w:t>
      </w:r>
      <w:r w:rsidR="0096647D" w:rsidRPr="00E60F06">
        <w:t>’s</w:t>
      </w:r>
      <w:r w:rsidRPr="00E60F06">
        <w:t xml:space="preserve"> epidemiological approach us</w:t>
      </w:r>
      <w:r w:rsidR="0096647D" w:rsidRPr="00E60F06">
        <w:t>ed</w:t>
      </w:r>
      <w:r w:rsidRPr="00E60F06">
        <w:t xml:space="preserve"> </w:t>
      </w:r>
      <w:r w:rsidR="00BD6450" w:rsidRPr="00E60F06">
        <w:t xml:space="preserve">extrapolated melanoma </w:t>
      </w:r>
      <w:r w:rsidRPr="00E60F06">
        <w:t>mortality data</w:t>
      </w:r>
      <w:r w:rsidR="00BD6450" w:rsidRPr="00E60F06">
        <w:t xml:space="preserve"> sourced from the AIHW</w:t>
      </w:r>
      <w:r w:rsidR="00270679" w:rsidRPr="00E60F06">
        <w:t xml:space="preserve"> to estimate the eligible population</w:t>
      </w:r>
      <w:r w:rsidR="00BD6450" w:rsidRPr="00E60F06">
        <w:t>.  C</w:t>
      </w:r>
      <w:r w:rsidR="00270679" w:rsidRPr="00E60F06">
        <w:t>linician-sourced uptake rates</w:t>
      </w:r>
      <w:r w:rsidR="00BD6450" w:rsidRPr="00E60F06">
        <w:t xml:space="preserve"> were applied</w:t>
      </w:r>
      <w:r w:rsidR="00270679" w:rsidRPr="00E60F06">
        <w:t>.  The named patient program</w:t>
      </w:r>
      <w:r w:rsidR="00A902CA" w:rsidRPr="00E60F06">
        <w:t xml:space="preserve"> </w:t>
      </w:r>
      <w:r w:rsidR="00BD6450" w:rsidRPr="00E60F06">
        <w:t>wa</w:t>
      </w:r>
      <w:r w:rsidR="00064183" w:rsidRPr="00E60F06">
        <w:t>s used to estimate a revised number of grandfathered patients.  The submission calculate</w:t>
      </w:r>
      <w:r w:rsidR="00BD6450" w:rsidRPr="00E60F06">
        <w:t>d</w:t>
      </w:r>
      <w:r w:rsidR="00064183" w:rsidRPr="00E60F06">
        <w:t xml:space="preserve"> estimated costs for the revised patient numbers, and provide</w:t>
      </w:r>
      <w:r w:rsidR="00BD6450" w:rsidRPr="00E60F06">
        <w:t>d</w:t>
      </w:r>
      <w:r w:rsidR="00064183" w:rsidRPr="00E60F06">
        <w:t xml:space="preserve"> the difference between the revised costs and current cap levels</w:t>
      </w:r>
      <w:r w:rsidR="00BD6450" w:rsidRPr="00E60F06">
        <w:t xml:space="preserve"> as the net cost to the PBS</w:t>
      </w:r>
      <w:r w:rsidR="00064183" w:rsidRPr="00E60F06">
        <w:t>.  A summary of key components of the financial estimates is provided in the table below.</w:t>
      </w:r>
    </w:p>
    <w:p w:rsidR="00064183" w:rsidRPr="00E60F06" w:rsidRDefault="00064183" w:rsidP="00064183">
      <w:pPr>
        <w:widowControl/>
        <w:rPr>
          <w:szCs w:val="22"/>
        </w:rPr>
      </w:pPr>
    </w:p>
    <w:p w:rsidR="00270679" w:rsidRPr="00E60F06" w:rsidRDefault="002F0B02" w:rsidP="00423721">
      <w:pPr>
        <w:pStyle w:val="ListParagraph"/>
        <w:widowControl/>
        <w:numPr>
          <w:ilvl w:val="1"/>
          <w:numId w:val="3"/>
        </w:numPr>
        <w:rPr>
          <w:szCs w:val="22"/>
        </w:rPr>
      </w:pPr>
      <w:r w:rsidRPr="00E60F06">
        <w:t>For its estima</w:t>
      </w:r>
      <w:r w:rsidR="00064183" w:rsidRPr="00E60F06">
        <w:t>tes</w:t>
      </w:r>
      <w:r w:rsidR="005169BE" w:rsidRPr="00E60F06">
        <w:t>,</w:t>
      </w:r>
      <w:r w:rsidR="00064183" w:rsidRPr="00E60F06">
        <w:t xml:space="preserve"> the submission </w:t>
      </w:r>
      <w:r w:rsidR="005169BE" w:rsidRPr="00E60F06">
        <w:t>used</w:t>
      </w:r>
      <w:r w:rsidRPr="00E60F06">
        <w:t xml:space="preserve"> years 1 to 6, with year 1 being the first 12 months of listing of pembrolizumab under the MES (September 2015 to August 2016); year 2 the first full year of listing under the current submission; with years 2 to 6 representing the first 5 years of listing under the current submission.  Estimates are provided below including the MES year, with the following years presented as years 1 to 5.</w:t>
      </w:r>
    </w:p>
    <w:p w:rsidR="00C25D9C" w:rsidRPr="00E60F06" w:rsidRDefault="00C25D9C" w:rsidP="00C25D9C">
      <w:pPr>
        <w:widowControl/>
        <w:rPr>
          <w:szCs w:val="22"/>
        </w:rPr>
      </w:pPr>
    </w:p>
    <w:p w:rsidR="002F0B02" w:rsidRPr="00E60F06" w:rsidRDefault="002F0B02" w:rsidP="00666E24">
      <w:pPr>
        <w:ind w:left="709"/>
        <w:rPr>
          <w:rFonts w:ascii="Arial Narrow" w:hAnsi="Arial Narrow"/>
          <w:b/>
          <w:sz w:val="20"/>
        </w:rPr>
      </w:pPr>
      <w:r w:rsidRPr="00E60F06">
        <w:rPr>
          <w:rFonts w:ascii="Arial Narrow" w:hAnsi="Arial Narrow"/>
          <w:b/>
          <w:sz w:val="20"/>
        </w:rPr>
        <w:t xml:space="preserve">Table </w:t>
      </w:r>
      <w:r w:rsidR="00163818" w:rsidRPr="00E60F06">
        <w:rPr>
          <w:rFonts w:ascii="Arial Narrow" w:hAnsi="Arial Narrow"/>
          <w:b/>
          <w:sz w:val="20"/>
        </w:rPr>
        <w:t>11</w:t>
      </w:r>
      <w:r w:rsidR="005169BE" w:rsidRPr="00E60F06">
        <w:rPr>
          <w:rFonts w:ascii="Arial Narrow" w:hAnsi="Arial Narrow"/>
          <w:b/>
          <w:sz w:val="20"/>
        </w:rPr>
        <w:t xml:space="preserve">: </w:t>
      </w:r>
      <w:r w:rsidRPr="00E60F06">
        <w:rPr>
          <w:rFonts w:ascii="Arial Narrow" w:hAnsi="Arial Narrow"/>
          <w:b/>
          <w:sz w:val="20"/>
        </w:rPr>
        <w:t>Estimated patient numbers and cost</w:t>
      </w:r>
    </w:p>
    <w:tbl>
      <w:tblPr>
        <w:tblStyle w:val="TableGrid"/>
        <w:tblW w:w="8486" w:type="dxa"/>
        <w:tblInd w:w="817" w:type="dxa"/>
        <w:tblLook w:val="04A0" w:firstRow="1" w:lastRow="0" w:firstColumn="1" w:lastColumn="0" w:noHBand="0" w:noVBand="1"/>
        <w:tblCaption w:val="Table 11: Estimated patient numbers and cost"/>
      </w:tblPr>
      <w:tblGrid>
        <w:gridCol w:w="1359"/>
        <w:gridCol w:w="738"/>
        <w:gridCol w:w="1283"/>
        <w:gridCol w:w="1251"/>
        <w:gridCol w:w="1314"/>
        <w:gridCol w:w="1220"/>
        <w:gridCol w:w="1321"/>
      </w:tblGrid>
      <w:tr w:rsidR="002F0B02" w:rsidRPr="00E60F06" w:rsidTr="00AE13E8">
        <w:trPr>
          <w:tblHeader/>
        </w:trPr>
        <w:tc>
          <w:tcPr>
            <w:tcW w:w="1480" w:type="dxa"/>
            <w:vAlign w:val="center"/>
          </w:tcPr>
          <w:p w:rsidR="002F0B02" w:rsidRPr="00E60F06" w:rsidRDefault="002F0B02" w:rsidP="002F0B02">
            <w:pPr>
              <w:tabs>
                <w:tab w:val="left" w:pos="142"/>
              </w:tabs>
              <w:jc w:val="left"/>
              <w:rPr>
                <w:rFonts w:ascii="Arial Narrow" w:hAnsi="Arial Narrow"/>
                <w:b/>
                <w:sz w:val="20"/>
              </w:rPr>
            </w:pPr>
          </w:p>
        </w:tc>
        <w:tc>
          <w:tcPr>
            <w:tcW w:w="906" w:type="dxa"/>
          </w:tcPr>
          <w:p w:rsidR="002F0B02" w:rsidRPr="00E60F06" w:rsidRDefault="002F0B02" w:rsidP="002F0B02">
            <w:pPr>
              <w:jc w:val="center"/>
              <w:rPr>
                <w:rFonts w:ascii="Arial Narrow" w:hAnsi="Arial Narrow"/>
                <w:b/>
                <w:sz w:val="20"/>
              </w:rPr>
            </w:pPr>
            <w:r w:rsidRPr="00E60F06">
              <w:rPr>
                <w:rFonts w:ascii="Arial Narrow" w:hAnsi="Arial Narrow"/>
                <w:b/>
                <w:sz w:val="20"/>
              </w:rPr>
              <w:t>M</w:t>
            </w:r>
            <w:r w:rsidR="00E8239B" w:rsidRPr="00E60F06">
              <w:rPr>
                <w:rFonts w:ascii="Arial Narrow" w:hAnsi="Arial Narrow"/>
                <w:b/>
                <w:sz w:val="20"/>
              </w:rPr>
              <w:t>ES y</w:t>
            </w:r>
            <w:r w:rsidRPr="00E60F06">
              <w:rPr>
                <w:rFonts w:ascii="Arial Narrow" w:hAnsi="Arial Narrow"/>
                <w:b/>
                <w:sz w:val="20"/>
              </w:rPr>
              <w:t>r</w:t>
            </w:r>
          </w:p>
        </w:tc>
        <w:tc>
          <w:tcPr>
            <w:tcW w:w="1220" w:type="dxa"/>
            <w:vAlign w:val="center"/>
          </w:tcPr>
          <w:p w:rsidR="002F0B02" w:rsidRPr="00E60F06" w:rsidRDefault="002F0B02" w:rsidP="002F0B02">
            <w:pPr>
              <w:jc w:val="center"/>
              <w:rPr>
                <w:rFonts w:ascii="Arial Narrow" w:hAnsi="Arial Narrow"/>
                <w:b/>
                <w:sz w:val="20"/>
              </w:rPr>
            </w:pPr>
            <w:r w:rsidRPr="00E60F06">
              <w:rPr>
                <w:rFonts w:ascii="Arial Narrow" w:hAnsi="Arial Narrow"/>
                <w:b/>
                <w:sz w:val="20"/>
              </w:rPr>
              <w:t>Year 1</w:t>
            </w:r>
          </w:p>
        </w:tc>
        <w:tc>
          <w:tcPr>
            <w:tcW w:w="1220" w:type="dxa"/>
            <w:vAlign w:val="center"/>
          </w:tcPr>
          <w:p w:rsidR="002F0B02" w:rsidRPr="00E60F06" w:rsidRDefault="002F0B02" w:rsidP="002F0B02">
            <w:pPr>
              <w:jc w:val="center"/>
              <w:rPr>
                <w:rFonts w:ascii="Arial Narrow" w:hAnsi="Arial Narrow"/>
                <w:b/>
                <w:sz w:val="20"/>
              </w:rPr>
            </w:pPr>
            <w:r w:rsidRPr="00E60F06">
              <w:rPr>
                <w:rFonts w:ascii="Arial Narrow" w:hAnsi="Arial Narrow"/>
                <w:b/>
                <w:sz w:val="20"/>
              </w:rPr>
              <w:t>Year 2</w:t>
            </w:r>
          </w:p>
        </w:tc>
        <w:tc>
          <w:tcPr>
            <w:tcW w:w="1220" w:type="dxa"/>
            <w:vAlign w:val="center"/>
          </w:tcPr>
          <w:p w:rsidR="002F0B02" w:rsidRPr="00E60F06" w:rsidRDefault="002F0B02" w:rsidP="002F0B02">
            <w:pPr>
              <w:jc w:val="center"/>
              <w:rPr>
                <w:rFonts w:ascii="Arial Narrow" w:hAnsi="Arial Narrow"/>
                <w:b/>
                <w:sz w:val="20"/>
              </w:rPr>
            </w:pPr>
            <w:r w:rsidRPr="00E60F06">
              <w:rPr>
                <w:rFonts w:ascii="Arial Narrow" w:hAnsi="Arial Narrow"/>
                <w:b/>
                <w:sz w:val="20"/>
              </w:rPr>
              <w:t>Year 3</w:t>
            </w:r>
          </w:p>
        </w:tc>
        <w:tc>
          <w:tcPr>
            <w:tcW w:w="1220" w:type="dxa"/>
            <w:vAlign w:val="center"/>
          </w:tcPr>
          <w:p w:rsidR="002F0B02" w:rsidRPr="00E60F06" w:rsidRDefault="002F0B02" w:rsidP="002F0B02">
            <w:pPr>
              <w:jc w:val="center"/>
              <w:rPr>
                <w:rFonts w:ascii="Arial Narrow" w:hAnsi="Arial Narrow"/>
                <w:b/>
                <w:sz w:val="20"/>
              </w:rPr>
            </w:pPr>
            <w:r w:rsidRPr="00E60F06">
              <w:rPr>
                <w:rFonts w:ascii="Arial Narrow" w:hAnsi="Arial Narrow"/>
                <w:b/>
                <w:sz w:val="20"/>
              </w:rPr>
              <w:t>Year 4</w:t>
            </w:r>
          </w:p>
        </w:tc>
        <w:tc>
          <w:tcPr>
            <w:tcW w:w="1220" w:type="dxa"/>
            <w:vAlign w:val="center"/>
          </w:tcPr>
          <w:p w:rsidR="002F0B02" w:rsidRPr="00E60F06" w:rsidRDefault="002F0B02" w:rsidP="002F0B02">
            <w:pPr>
              <w:jc w:val="center"/>
              <w:rPr>
                <w:rFonts w:ascii="Arial Narrow" w:hAnsi="Arial Narrow"/>
                <w:b/>
                <w:sz w:val="20"/>
              </w:rPr>
            </w:pPr>
            <w:r w:rsidRPr="00E60F06">
              <w:rPr>
                <w:rFonts w:ascii="Arial Narrow" w:hAnsi="Arial Narrow"/>
                <w:b/>
                <w:sz w:val="20"/>
              </w:rPr>
              <w:t>Year 5</w:t>
            </w:r>
          </w:p>
        </w:tc>
      </w:tr>
      <w:tr w:rsidR="00050D6E" w:rsidRPr="00E60F06" w:rsidTr="00AE13E8">
        <w:tc>
          <w:tcPr>
            <w:tcW w:w="8486" w:type="dxa"/>
            <w:gridSpan w:val="7"/>
            <w:vAlign w:val="center"/>
          </w:tcPr>
          <w:p w:rsidR="00050D6E" w:rsidRPr="00E60F06" w:rsidRDefault="00050D6E" w:rsidP="00050D6E">
            <w:pPr>
              <w:jc w:val="left"/>
              <w:rPr>
                <w:rFonts w:ascii="Arial Narrow" w:hAnsi="Arial Narrow"/>
                <w:b/>
                <w:sz w:val="20"/>
              </w:rPr>
            </w:pPr>
            <w:r w:rsidRPr="00E60F06">
              <w:rPr>
                <w:rFonts w:ascii="Arial Narrow" w:hAnsi="Arial Narrow"/>
                <w:b/>
                <w:sz w:val="20"/>
              </w:rPr>
              <w:t>Eligible patients</w:t>
            </w:r>
          </w:p>
        </w:tc>
      </w:tr>
      <w:tr w:rsidR="00050D6E" w:rsidRPr="00E60F06" w:rsidTr="00AE13E8">
        <w:tc>
          <w:tcPr>
            <w:tcW w:w="1480" w:type="dxa"/>
            <w:vAlign w:val="center"/>
          </w:tcPr>
          <w:p w:rsidR="00050D6E" w:rsidRPr="00E60F06" w:rsidRDefault="00050D6E" w:rsidP="002F0B02">
            <w:pPr>
              <w:tabs>
                <w:tab w:val="left" w:pos="142"/>
              </w:tabs>
              <w:jc w:val="left"/>
              <w:rPr>
                <w:rFonts w:ascii="Arial Narrow" w:hAnsi="Arial Narrow"/>
                <w:sz w:val="20"/>
              </w:rPr>
            </w:pPr>
            <w:r w:rsidRPr="00E60F06">
              <w:rPr>
                <w:rFonts w:ascii="Arial Narrow" w:hAnsi="Arial Narrow"/>
                <w:sz w:val="20"/>
              </w:rPr>
              <w:t>BRAF mutant</w:t>
            </w:r>
          </w:p>
        </w:tc>
        <w:tc>
          <w:tcPr>
            <w:tcW w:w="906" w:type="dxa"/>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r>
      <w:tr w:rsidR="00050D6E" w:rsidRPr="00E60F06" w:rsidTr="00AE13E8">
        <w:tc>
          <w:tcPr>
            <w:tcW w:w="1480" w:type="dxa"/>
            <w:vAlign w:val="center"/>
          </w:tcPr>
          <w:p w:rsidR="00050D6E" w:rsidRPr="00E60F06" w:rsidRDefault="00050D6E" w:rsidP="002F0B02">
            <w:pPr>
              <w:tabs>
                <w:tab w:val="left" w:pos="142"/>
              </w:tabs>
              <w:jc w:val="left"/>
              <w:rPr>
                <w:rFonts w:ascii="Arial Narrow" w:hAnsi="Arial Narrow"/>
                <w:sz w:val="20"/>
              </w:rPr>
            </w:pPr>
            <w:r w:rsidRPr="00E60F06">
              <w:rPr>
                <w:rFonts w:ascii="Arial Narrow" w:hAnsi="Arial Narrow"/>
                <w:sz w:val="20"/>
              </w:rPr>
              <w:t>BRAF wild type</w:t>
            </w:r>
          </w:p>
        </w:tc>
        <w:tc>
          <w:tcPr>
            <w:tcW w:w="906" w:type="dxa"/>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r>
      <w:tr w:rsidR="00050D6E" w:rsidRPr="00E60F06" w:rsidTr="00AE13E8">
        <w:tc>
          <w:tcPr>
            <w:tcW w:w="1480" w:type="dxa"/>
            <w:vAlign w:val="center"/>
          </w:tcPr>
          <w:p w:rsidR="00050D6E" w:rsidRPr="00E60F06" w:rsidRDefault="00050D6E" w:rsidP="002F0B02">
            <w:pPr>
              <w:tabs>
                <w:tab w:val="left" w:pos="142"/>
              </w:tabs>
              <w:jc w:val="left"/>
              <w:rPr>
                <w:rFonts w:ascii="Arial Narrow" w:hAnsi="Arial Narrow"/>
                <w:sz w:val="20"/>
              </w:rPr>
            </w:pPr>
            <w:r w:rsidRPr="00E60F06">
              <w:rPr>
                <w:rFonts w:ascii="Arial Narrow" w:hAnsi="Arial Narrow"/>
                <w:sz w:val="20"/>
              </w:rPr>
              <w:t>Total eligible</w:t>
            </w:r>
          </w:p>
        </w:tc>
        <w:tc>
          <w:tcPr>
            <w:tcW w:w="906" w:type="dxa"/>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050D6E"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r>
      <w:tr w:rsidR="006F65BB" w:rsidRPr="00E60F06" w:rsidTr="00E8239B">
        <w:tc>
          <w:tcPr>
            <w:tcW w:w="8486" w:type="dxa"/>
            <w:gridSpan w:val="7"/>
            <w:vAlign w:val="center"/>
          </w:tcPr>
          <w:p w:rsidR="006F65BB" w:rsidRPr="00E60F06" w:rsidRDefault="006F65BB" w:rsidP="006F65BB">
            <w:pPr>
              <w:jc w:val="left"/>
              <w:rPr>
                <w:rFonts w:ascii="Arial Narrow" w:hAnsi="Arial Narrow"/>
                <w:b/>
                <w:sz w:val="20"/>
              </w:rPr>
            </w:pPr>
            <w:r w:rsidRPr="00E60F06">
              <w:rPr>
                <w:rFonts w:ascii="Arial Narrow" w:hAnsi="Arial Narrow"/>
                <w:b/>
                <w:sz w:val="20"/>
              </w:rPr>
              <w:t>Uptake</w:t>
            </w:r>
          </w:p>
        </w:tc>
      </w:tr>
      <w:tr w:rsidR="006F65BB" w:rsidRPr="00E60F06" w:rsidTr="00AE13E8">
        <w:tc>
          <w:tcPr>
            <w:tcW w:w="1480" w:type="dxa"/>
            <w:vAlign w:val="center"/>
          </w:tcPr>
          <w:p w:rsidR="006F65BB" w:rsidRPr="00E60F06" w:rsidRDefault="006F65BB" w:rsidP="002F0B02">
            <w:pPr>
              <w:tabs>
                <w:tab w:val="left" w:pos="142"/>
              </w:tabs>
              <w:jc w:val="left"/>
              <w:rPr>
                <w:rFonts w:ascii="Arial Narrow" w:hAnsi="Arial Narrow"/>
                <w:sz w:val="20"/>
              </w:rPr>
            </w:pPr>
            <w:r w:rsidRPr="00E60F06">
              <w:rPr>
                <w:rFonts w:ascii="Arial Narrow" w:hAnsi="Arial Narrow"/>
                <w:sz w:val="20"/>
              </w:rPr>
              <w:t>BRAF mutant</w:t>
            </w:r>
          </w:p>
        </w:tc>
        <w:tc>
          <w:tcPr>
            <w:tcW w:w="906" w:type="dxa"/>
            <w:vAlign w:val="center"/>
          </w:tcPr>
          <w:p w:rsidR="006F65BB" w:rsidRPr="00E60F06" w:rsidRDefault="007F3403" w:rsidP="002F0B02">
            <w:pPr>
              <w:jc w:val="center"/>
              <w:rPr>
                <w:rFonts w:ascii="Arial Narrow" w:hAnsi="Arial Narrow"/>
                <w:sz w:val="20"/>
              </w:rPr>
            </w:pPr>
            <w:r>
              <w:rPr>
                <w:rFonts w:ascii="Arial Narrow" w:hAnsi="Arial Narrow"/>
                <w:noProof/>
                <w:color w:val="000000"/>
                <w:sz w:val="20"/>
                <w:highlight w:val="black"/>
              </w:rPr>
              <w:t>'''''''''''</w:t>
            </w:r>
            <w:r w:rsidR="006F65BB" w:rsidRPr="00E60F06">
              <w:rPr>
                <w:rFonts w:ascii="Arial Narrow" w:hAnsi="Arial Narrow"/>
                <w:sz w:val="20"/>
              </w:rPr>
              <w:t>%</w:t>
            </w:r>
          </w:p>
        </w:tc>
        <w:tc>
          <w:tcPr>
            <w:tcW w:w="1220" w:type="dxa"/>
            <w:vAlign w:val="center"/>
          </w:tcPr>
          <w:p w:rsidR="006F65BB" w:rsidRPr="00E60F06" w:rsidRDefault="007F3403" w:rsidP="002F0B02">
            <w:pPr>
              <w:jc w:val="center"/>
              <w:rPr>
                <w:rFonts w:ascii="Arial Narrow" w:hAnsi="Arial Narrow"/>
                <w:sz w:val="20"/>
              </w:rPr>
            </w:pPr>
            <w:r>
              <w:rPr>
                <w:rFonts w:ascii="Arial Narrow" w:hAnsi="Arial Narrow"/>
                <w:noProof/>
                <w:color w:val="000000"/>
                <w:sz w:val="20"/>
                <w:highlight w:val="black"/>
              </w:rPr>
              <w:t>'''''''''''</w:t>
            </w:r>
            <w:r w:rsidR="006F65BB" w:rsidRPr="00E60F06">
              <w:rPr>
                <w:rFonts w:ascii="Arial Narrow" w:hAnsi="Arial Narrow"/>
                <w:sz w:val="20"/>
              </w:rPr>
              <w:t>%</w:t>
            </w:r>
          </w:p>
        </w:tc>
        <w:tc>
          <w:tcPr>
            <w:tcW w:w="1220" w:type="dxa"/>
            <w:vAlign w:val="center"/>
          </w:tcPr>
          <w:p w:rsidR="006F65BB" w:rsidRPr="00E60F06" w:rsidRDefault="007F3403" w:rsidP="002F0B02">
            <w:pPr>
              <w:jc w:val="center"/>
              <w:rPr>
                <w:rFonts w:ascii="Arial Narrow" w:hAnsi="Arial Narrow"/>
                <w:sz w:val="20"/>
              </w:rPr>
            </w:pPr>
            <w:r>
              <w:rPr>
                <w:rFonts w:ascii="Arial Narrow" w:hAnsi="Arial Narrow"/>
                <w:noProof/>
                <w:color w:val="000000"/>
                <w:sz w:val="20"/>
                <w:highlight w:val="black"/>
              </w:rPr>
              <w:t>'''''''''''</w:t>
            </w:r>
            <w:r w:rsidR="006F65BB" w:rsidRPr="00E60F06">
              <w:rPr>
                <w:rFonts w:ascii="Arial Narrow" w:hAnsi="Arial Narrow"/>
                <w:sz w:val="20"/>
              </w:rPr>
              <w:t>%</w:t>
            </w:r>
          </w:p>
        </w:tc>
        <w:tc>
          <w:tcPr>
            <w:tcW w:w="1220" w:type="dxa"/>
            <w:vAlign w:val="center"/>
          </w:tcPr>
          <w:p w:rsidR="006F65BB" w:rsidRPr="00E60F06" w:rsidRDefault="007F3403" w:rsidP="002F0B02">
            <w:pPr>
              <w:jc w:val="center"/>
              <w:rPr>
                <w:rFonts w:ascii="Arial Narrow" w:hAnsi="Arial Narrow"/>
                <w:sz w:val="20"/>
              </w:rPr>
            </w:pPr>
            <w:r>
              <w:rPr>
                <w:rFonts w:ascii="Arial Narrow" w:hAnsi="Arial Narrow"/>
                <w:noProof/>
                <w:color w:val="000000"/>
                <w:sz w:val="20"/>
                <w:highlight w:val="black"/>
              </w:rPr>
              <w:t>''''''''''</w:t>
            </w:r>
            <w:r w:rsidR="006F65BB" w:rsidRPr="00E60F06">
              <w:rPr>
                <w:rFonts w:ascii="Arial Narrow" w:hAnsi="Arial Narrow"/>
                <w:sz w:val="20"/>
              </w:rPr>
              <w:t>%</w:t>
            </w:r>
          </w:p>
        </w:tc>
        <w:tc>
          <w:tcPr>
            <w:tcW w:w="1220" w:type="dxa"/>
            <w:vAlign w:val="center"/>
          </w:tcPr>
          <w:p w:rsidR="006F65BB" w:rsidRPr="00E60F06" w:rsidRDefault="007F3403" w:rsidP="002F0B02">
            <w:pPr>
              <w:jc w:val="center"/>
              <w:rPr>
                <w:rFonts w:ascii="Arial Narrow" w:hAnsi="Arial Narrow"/>
                <w:sz w:val="20"/>
              </w:rPr>
            </w:pPr>
            <w:r>
              <w:rPr>
                <w:rFonts w:ascii="Arial Narrow" w:hAnsi="Arial Narrow"/>
                <w:noProof/>
                <w:color w:val="000000"/>
                <w:sz w:val="20"/>
                <w:highlight w:val="black"/>
              </w:rPr>
              <w:t>'''''''''''</w:t>
            </w:r>
            <w:r w:rsidR="006F65BB" w:rsidRPr="00E60F06">
              <w:rPr>
                <w:rFonts w:ascii="Arial Narrow" w:hAnsi="Arial Narrow"/>
                <w:sz w:val="20"/>
              </w:rPr>
              <w:t>%</w:t>
            </w:r>
          </w:p>
        </w:tc>
        <w:tc>
          <w:tcPr>
            <w:tcW w:w="1220" w:type="dxa"/>
            <w:vAlign w:val="center"/>
          </w:tcPr>
          <w:p w:rsidR="006F65BB" w:rsidRPr="00E60F06" w:rsidRDefault="007F3403" w:rsidP="002F0B02">
            <w:pPr>
              <w:jc w:val="center"/>
              <w:rPr>
                <w:rFonts w:ascii="Arial Narrow" w:hAnsi="Arial Narrow"/>
                <w:sz w:val="20"/>
              </w:rPr>
            </w:pPr>
            <w:r>
              <w:rPr>
                <w:rFonts w:ascii="Arial Narrow" w:hAnsi="Arial Narrow"/>
                <w:noProof/>
                <w:color w:val="000000"/>
                <w:sz w:val="20"/>
                <w:highlight w:val="black"/>
              </w:rPr>
              <w:t>''''''''''</w:t>
            </w:r>
            <w:r w:rsidR="006F65BB" w:rsidRPr="00E60F06">
              <w:rPr>
                <w:rFonts w:ascii="Arial Narrow" w:hAnsi="Arial Narrow"/>
                <w:sz w:val="20"/>
              </w:rPr>
              <w:t>%</w:t>
            </w:r>
          </w:p>
        </w:tc>
      </w:tr>
      <w:tr w:rsidR="006F65BB" w:rsidRPr="00E60F06" w:rsidTr="00AE13E8">
        <w:tc>
          <w:tcPr>
            <w:tcW w:w="1480" w:type="dxa"/>
            <w:vAlign w:val="center"/>
          </w:tcPr>
          <w:p w:rsidR="006F65BB" w:rsidRPr="00E60F06" w:rsidRDefault="006F65BB" w:rsidP="002F0B02">
            <w:pPr>
              <w:tabs>
                <w:tab w:val="left" w:pos="142"/>
              </w:tabs>
              <w:jc w:val="left"/>
              <w:rPr>
                <w:rFonts w:ascii="Arial Narrow" w:hAnsi="Arial Narrow"/>
                <w:sz w:val="20"/>
              </w:rPr>
            </w:pPr>
            <w:r w:rsidRPr="00E60F06">
              <w:rPr>
                <w:rFonts w:ascii="Arial Narrow" w:hAnsi="Arial Narrow"/>
                <w:sz w:val="20"/>
              </w:rPr>
              <w:t>BRAF wild type</w:t>
            </w:r>
          </w:p>
        </w:tc>
        <w:tc>
          <w:tcPr>
            <w:tcW w:w="906" w:type="dxa"/>
            <w:vAlign w:val="center"/>
          </w:tcPr>
          <w:p w:rsidR="006F65BB" w:rsidRPr="00E60F06" w:rsidRDefault="007F3403" w:rsidP="002F0B02">
            <w:pPr>
              <w:jc w:val="center"/>
              <w:rPr>
                <w:rFonts w:ascii="Arial Narrow" w:hAnsi="Arial Narrow"/>
                <w:sz w:val="20"/>
              </w:rPr>
            </w:pPr>
            <w:r>
              <w:rPr>
                <w:rFonts w:ascii="Arial Narrow" w:hAnsi="Arial Narrow"/>
                <w:noProof/>
                <w:color w:val="000000"/>
                <w:sz w:val="20"/>
                <w:highlight w:val="black"/>
              </w:rPr>
              <w:t>'''''''''''</w:t>
            </w:r>
            <w:r w:rsidR="006F65BB" w:rsidRPr="00E60F06">
              <w:rPr>
                <w:rFonts w:ascii="Arial Narrow" w:hAnsi="Arial Narrow"/>
                <w:sz w:val="20"/>
              </w:rPr>
              <w:t>%</w:t>
            </w:r>
          </w:p>
        </w:tc>
        <w:tc>
          <w:tcPr>
            <w:tcW w:w="1220" w:type="dxa"/>
            <w:vAlign w:val="center"/>
          </w:tcPr>
          <w:p w:rsidR="006F65BB" w:rsidRPr="00E60F06" w:rsidRDefault="007F3403" w:rsidP="002F0B02">
            <w:pPr>
              <w:jc w:val="center"/>
              <w:rPr>
                <w:rFonts w:ascii="Arial Narrow" w:hAnsi="Arial Narrow"/>
                <w:sz w:val="20"/>
              </w:rPr>
            </w:pPr>
            <w:r>
              <w:rPr>
                <w:rFonts w:ascii="Arial Narrow" w:hAnsi="Arial Narrow"/>
                <w:noProof/>
                <w:color w:val="000000"/>
                <w:sz w:val="20"/>
                <w:highlight w:val="black"/>
              </w:rPr>
              <w:t>'''''''''''</w:t>
            </w:r>
            <w:r w:rsidR="006F65BB" w:rsidRPr="00E60F06">
              <w:rPr>
                <w:rFonts w:ascii="Arial Narrow" w:hAnsi="Arial Narrow"/>
                <w:sz w:val="20"/>
              </w:rPr>
              <w:t>%</w:t>
            </w:r>
          </w:p>
        </w:tc>
        <w:tc>
          <w:tcPr>
            <w:tcW w:w="1220" w:type="dxa"/>
            <w:vAlign w:val="center"/>
          </w:tcPr>
          <w:p w:rsidR="006F65BB" w:rsidRPr="00E60F06" w:rsidRDefault="007F3403" w:rsidP="002F0B02">
            <w:pPr>
              <w:jc w:val="center"/>
              <w:rPr>
                <w:rFonts w:ascii="Arial Narrow" w:hAnsi="Arial Narrow"/>
                <w:sz w:val="20"/>
              </w:rPr>
            </w:pPr>
            <w:r>
              <w:rPr>
                <w:rFonts w:ascii="Arial Narrow" w:hAnsi="Arial Narrow"/>
                <w:noProof/>
                <w:color w:val="000000"/>
                <w:sz w:val="20"/>
                <w:highlight w:val="black"/>
              </w:rPr>
              <w:t>''''''''''''</w:t>
            </w:r>
            <w:r w:rsidR="006F65BB" w:rsidRPr="00E60F06">
              <w:rPr>
                <w:rFonts w:ascii="Arial Narrow" w:hAnsi="Arial Narrow"/>
                <w:sz w:val="20"/>
              </w:rPr>
              <w:t>%</w:t>
            </w:r>
          </w:p>
        </w:tc>
        <w:tc>
          <w:tcPr>
            <w:tcW w:w="1220" w:type="dxa"/>
            <w:vAlign w:val="center"/>
          </w:tcPr>
          <w:p w:rsidR="006F65BB" w:rsidRPr="00E60F06" w:rsidRDefault="007F3403" w:rsidP="002F0B02">
            <w:pPr>
              <w:jc w:val="center"/>
              <w:rPr>
                <w:rFonts w:ascii="Arial Narrow" w:hAnsi="Arial Narrow"/>
                <w:sz w:val="20"/>
              </w:rPr>
            </w:pPr>
            <w:r>
              <w:rPr>
                <w:rFonts w:ascii="Arial Narrow" w:hAnsi="Arial Narrow"/>
                <w:noProof/>
                <w:color w:val="000000"/>
                <w:sz w:val="20"/>
                <w:highlight w:val="black"/>
              </w:rPr>
              <w:t>''''''''''</w:t>
            </w:r>
            <w:r w:rsidR="006F65BB" w:rsidRPr="00E60F06">
              <w:rPr>
                <w:rFonts w:ascii="Arial Narrow" w:hAnsi="Arial Narrow"/>
                <w:sz w:val="20"/>
              </w:rPr>
              <w:t>%</w:t>
            </w:r>
          </w:p>
        </w:tc>
        <w:tc>
          <w:tcPr>
            <w:tcW w:w="1220" w:type="dxa"/>
            <w:vAlign w:val="center"/>
          </w:tcPr>
          <w:p w:rsidR="006F65BB" w:rsidRPr="00E60F06" w:rsidRDefault="007F3403" w:rsidP="002F0B02">
            <w:pPr>
              <w:jc w:val="center"/>
              <w:rPr>
                <w:rFonts w:ascii="Arial Narrow" w:hAnsi="Arial Narrow"/>
                <w:sz w:val="20"/>
              </w:rPr>
            </w:pPr>
            <w:r>
              <w:rPr>
                <w:rFonts w:ascii="Arial Narrow" w:hAnsi="Arial Narrow"/>
                <w:noProof/>
                <w:color w:val="000000"/>
                <w:sz w:val="20"/>
                <w:highlight w:val="black"/>
              </w:rPr>
              <w:t>'''''''''''</w:t>
            </w:r>
            <w:r w:rsidR="006F65BB" w:rsidRPr="00E60F06">
              <w:rPr>
                <w:rFonts w:ascii="Arial Narrow" w:hAnsi="Arial Narrow"/>
                <w:sz w:val="20"/>
              </w:rPr>
              <w:t>%</w:t>
            </w:r>
          </w:p>
        </w:tc>
        <w:tc>
          <w:tcPr>
            <w:tcW w:w="1220" w:type="dxa"/>
            <w:vAlign w:val="center"/>
          </w:tcPr>
          <w:p w:rsidR="006F65BB" w:rsidRPr="00E60F06" w:rsidRDefault="007F3403" w:rsidP="002F0B02">
            <w:pPr>
              <w:jc w:val="center"/>
              <w:rPr>
                <w:rFonts w:ascii="Arial Narrow" w:hAnsi="Arial Narrow"/>
                <w:sz w:val="20"/>
              </w:rPr>
            </w:pPr>
            <w:r>
              <w:rPr>
                <w:rFonts w:ascii="Arial Narrow" w:hAnsi="Arial Narrow"/>
                <w:noProof/>
                <w:color w:val="000000"/>
                <w:sz w:val="20"/>
                <w:highlight w:val="black"/>
              </w:rPr>
              <w:t>''''''''''</w:t>
            </w:r>
            <w:r w:rsidR="006F65BB" w:rsidRPr="00E60F06">
              <w:rPr>
                <w:rFonts w:ascii="Arial Narrow" w:hAnsi="Arial Narrow"/>
                <w:sz w:val="20"/>
              </w:rPr>
              <w:t>%</w:t>
            </w:r>
          </w:p>
        </w:tc>
      </w:tr>
      <w:tr w:rsidR="006F65BB" w:rsidRPr="00E60F06" w:rsidTr="00AE13E8">
        <w:tc>
          <w:tcPr>
            <w:tcW w:w="8486" w:type="dxa"/>
            <w:gridSpan w:val="7"/>
            <w:vAlign w:val="center"/>
          </w:tcPr>
          <w:p w:rsidR="006F65BB" w:rsidRPr="00E60F06" w:rsidRDefault="006F65BB" w:rsidP="002F0B02">
            <w:pPr>
              <w:jc w:val="left"/>
              <w:rPr>
                <w:rFonts w:ascii="Arial Narrow" w:hAnsi="Arial Narrow"/>
                <w:b/>
                <w:sz w:val="20"/>
              </w:rPr>
            </w:pPr>
            <w:r w:rsidRPr="00E60F06">
              <w:rPr>
                <w:rFonts w:ascii="Arial Narrow" w:hAnsi="Arial Narrow"/>
                <w:b/>
                <w:sz w:val="20"/>
              </w:rPr>
              <w:t>Treated patients</w:t>
            </w:r>
          </w:p>
        </w:tc>
      </w:tr>
      <w:tr w:rsidR="006F65BB" w:rsidRPr="00E60F06" w:rsidTr="00AE13E8">
        <w:tc>
          <w:tcPr>
            <w:tcW w:w="1480" w:type="dxa"/>
            <w:vAlign w:val="center"/>
          </w:tcPr>
          <w:p w:rsidR="006F65BB" w:rsidRPr="00E60F06" w:rsidRDefault="006F65BB" w:rsidP="002F0B02">
            <w:pPr>
              <w:tabs>
                <w:tab w:val="left" w:pos="142"/>
              </w:tabs>
              <w:jc w:val="left"/>
              <w:rPr>
                <w:rFonts w:ascii="Arial Narrow" w:hAnsi="Arial Narrow"/>
                <w:sz w:val="20"/>
              </w:rPr>
            </w:pPr>
            <w:r w:rsidRPr="00E60F06">
              <w:rPr>
                <w:rFonts w:ascii="Arial Narrow" w:hAnsi="Arial Narrow"/>
                <w:sz w:val="20"/>
              </w:rPr>
              <w:t>BRAF mutant</w:t>
            </w:r>
          </w:p>
        </w:tc>
        <w:tc>
          <w:tcPr>
            <w:tcW w:w="906" w:type="dxa"/>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r>
      <w:tr w:rsidR="006F65BB" w:rsidRPr="00E60F06" w:rsidTr="00AE13E8">
        <w:tc>
          <w:tcPr>
            <w:tcW w:w="1480" w:type="dxa"/>
            <w:vAlign w:val="center"/>
          </w:tcPr>
          <w:p w:rsidR="006F65BB" w:rsidRPr="00E60F06" w:rsidRDefault="006F65BB" w:rsidP="002F0B02">
            <w:pPr>
              <w:tabs>
                <w:tab w:val="left" w:pos="142"/>
              </w:tabs>
              <w:jc w:val="left"/>
              <w:rPr>
                <w:rFonts w:ascii="Arial Narrow" w:hAnsi="Arial Narrow"/>
                <w:sz w:val="20"/>
              </w:rPr>
            </w:pPr>
            <w:r w:rsidRPr="00E60F06">
              <w:rPr>
                <w:rFonts w:ascii="Arial Narrow" w:hAnsi="Arial Narrow"/>
                <w:sz w:val="20"/>
              </w:rPr>
              <w:t>BRAF wild type</w:t>
            </w:r>
          </w:p>
        </w:tc>
        <w:tc>
          <w:tcPr>
            <w:tcW w:w="906" w:type="dxa"/>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r>
      <w:tr w:rsidR="006F65BB" w:rsidRPr="00E60F06" w:rsidTr="00AE13E8">
        <w:tc>
          <w:tcPr>
            <w:tcW w:w="1480" w:type="dxa"/>
            <w:vAlign w:val="center"/>
          </w:tcPr>
          <w:p w:rsidR="006F65BB" w:rsidRPr="00E60F06" w:rsidRDefault="006F65BB" w:rsidP="006F65BB">
            <w:pPr>
              <w:tabs>
                <w:tab w:val="left" w:pos="142"/>
              </w:tabs>
              <w:jc w:val="left"/>
              <w:rPr>
                <w:rFonts w:ascii="Arial Narrow" w:hAnsi="Arial Narrow"/>
                <w:sz w:val="20"/>
              </w:rPr>
            </w:pPr>
            <w:r w:rsidRPr="00E60F06">
              <w:rPr>
                <w:rFonts w:ascii="Arial Narrow" w:hAnsi="Arial Narrow"/>
                <w:sz w:val="20"/>
              </w:rPr>
              <w:t xml:space="preserve">Grandfathered </w:t>
            </w:r>
          </w:p>
        </w:tc>
        <w:tc>
          <w:tcPr>
            <w:tcW w:w="906" w:type="dxa"/>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E60F06" w:rsidRDefault="006F65BB" w:rsidP="002F0B02">
            <w:pPr>
              <w:jc w:val="center"/>
              <w:rPr>
                <w:rFonts w:ascii="Arial Narrow" w:hAnsi="Arial Narrow"/>
                <w:sz w:val="20"/>
              </w:rPr>
            </w:pPr>
          </w:p>
        </w:tc>
        <w:tc>
          <w:tcPr>
            <w:tcW w:w="1220" w:type="dxa"/>
            <w:vAlign w:val="center"/>
          </w:tcPr>
          <w:p w:rsidR="006F65BB" w:rsidRPr="00E60F06" w:rsidRDefault="006F65BB" w:rsidP="002F0B02">
            <w:pPr>
              <w:jc w:val="center"/>
              <w:rPr>
                <w:rFonts w:ascii="Arial Narrow" w:hAnsi="Arial Narrow"/>
                <w:sz w:val="20"/>
              </w:rPr>
            </w:pPr>
          </w:p>
        </w:tc>
        <w:tc>
          <w:tcPr>
            <w:tcW w:w="1220" w:type="dxa"/>
            <w:vAlign w:val="center"/>
          </w:tcPr>
          <w:p w:rsidR="006F65BB" w:rsidRPr="00E60F06" w:rsidRDefault="006F65BB" w:rsidP="002F0B02">
            <w:pPr>
              <w:jc w:val="center"/>
              <w:rPr>
                <w:rFonts w:ascii="Arial Narrow" w:hAnsi="Arial Narrow"/>
                <w:sz w:val="20"/>
              </w:rPr>
            </w:pPr>
          </w:p>
        </w:tc>
        <w:tc>
          <w:tcPr>
            <w:tcW w:w="1220" w:type="dxa"/>
            <w:vAlign w:val="center"/>
          </w:tcPr>
          <w:p w:rsidR="006F65BB" w:rsidRPr="00E60F06" w:rsidRDefault="006F65BB" w:rsidP="002F0B02">
            <w:pPr>
              <w:jc w:val="center"/>
              <w:rPr>
                <w:rFonts w:ascii="Arial Narrow" w:hAnsi="Arial Narrow"/>
                <w:sz w:val="20"/>
              </w:rPr>
            </w:pPr>
          </w:p>
        </w:tc>
        <w:tc>
          <w:tcPr>
            <w:tcW w:w="1220" w:type="dxa"/>
            <w:vAlign w:val="center"/>
          </w:tcPr>
          <w:p w:rsidR="006F65BB" w:rsidRPr="00E60F06" w:rsidRDefault="006F65BB" w:rsidP="002F0B02">
            <w:pPr>
              <w:jc w:val="center"/>
              <w:rPr>
                <w:rFonts w:ascii="Arial Narrow" w:hAnsi="Arial Narrow"/>
                <w:sz w:val="20"/>
              </w:rPr>
            </w:pPr>
          </w:p>
        </w:tc>
      </w:tr>
      <w:tr w:rsidR="006F65BB" w:rsidRPr="00E60F06" w:rsidTr="00AE13E8">
        <w:tc>
          <w:tcPr>
            <w:tcW w:w="1480" w:type="dxa"/>
            <w:vAlign w:val="center"/>
          </w:tcPr>
          <w:p w:rsidR="006F65BB" w:rsidRPr="00E60F06" w:rsidRDefault="006F65BB" w:rsidP="006F65BB">
            <w:pPr>
              <w:tabs>
                <w:tab w:val="left" w:pos="142"/>
              </w:tabs>
              <w:jc w:val="left"/>
              <w:rPr>
                <w:rFonts w:ascii="Arial Narrow" w:hAnsi="Arial Narrow"/>
                <w:b/>
                <w:sz w:val="20"/>
              </w:rPr>
            </w:pPr>
            <w:r w:rsidRPr="00E60F06">
              <w:rPr>
                <w:rFonts w:ascii="Arial Narrow" w:hAnsi="Arial Narrow"/>
                <w:b/>
                <w:sz w:val="20"/>
              </w:rPr>
              <w:t xml:space="preserve">Total treated </w:t>
            </w:r>
          </w:p>
        </w:tc>
        <w:tc>
          <w:tcPr>
            <w:tcW w:w="906" w:type="dxa"/>
          </w:tcPr>
          <w:p w:rsidR="006F65BB" w:rsidRPr="007F3403" w:rsidRDefault="007F3403" w:rsidP="002F0B02">
            <w:pPr>
              <w:jc w:val="center"/>
              <w:rPr>
                <w:rFonts w:ascii="Arial Narrow" w:hAnsi="Arial Narrow"/>
                <w:b/>
                <w:sz w:val="20"/>
                <w:highlight w:val="black"/>
              </w:rPr>
            </w:pPr>
            <w:r>
              <w:rPr>
                <w:rFonts w:ascii="Arial Narrow" w:hAnsi="Arial Narrow"/>
                <w:b/>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b/>
                <w:sz w:val="20"/>
                <w:highlight w:val="black"/>
              </w:rPr>
            </w:pPr>
            <w:r>
              <w:rPr>
                <w:rFonts w:ascii="Arial Narrow" w:hAnsi="Arial Narrow"/>
                <w:b/>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b/>
                <w:sz w:val="20"/>
                <w:highlight w:val="black"/>
              </w:rPr>
            </w:pPr>
            <w:r>
              <w:rPr>
                <w:rFonts w:ascii="Arial Narrow" w:hAnsi="Arial Narrow"/>
                <w:b/>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b/>
                <w:sz w:val="20"/>
                <w:highlight w:val="black"/>
              </w:rPr>
            </w:pPr>
            <w:r>
              <w:rPr>
                <w:rFonts w:ascii="Arial Narrow" w:hAnsi="Arial Narrow"/>
                <w:b/>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b/>
                <w:sz w:val="20"/>
                <w:highlight w:val="black"/>
              </w:rPr>
            </w:pPr>
            <w:r>
              <w:rPr>
                <w:rFonts w:ascii="Arial Narrow" w:hAnsi="Arial Narrow"/>
                <w:b/>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b/>
                <w:sz w:val="20"/>
                <w:highlight w:val="black"/>
              </w:rPr>
            </w:pPr>
            <w:r>
              <w:rPr>
                <w:rFonts w:ascii="Arial Narrow" w:hAnsi="Arial Narrow"/>
                <w:b/>
                <w:noProof/>
                <w:color w:val="000000"/>
                <w:sz w:val="20"/>
                <w:highlight w:val="black"/>
              </w:rPr>
              <w:t>'''''''''''</w:t>
            </w:r>
          </w:p>
        </w:tc>
      </w:tr>
      <w:tr w:rsidR="006F65BB" w:rsidRPr="00E60F06" w:rsidTr="00AE13E8">
        <w:tc>
          <w:tcPr>
            <w:tcW w:w="1480" w:type="dxa"/>
            <w:vAlign w:val="center"/>
          </w:tcPr>
          <w:p w:rsidR="006F65BB" w:rsidRPr="00E60F06" w:rsidRDefault="006F65BB" w:rsidP="006F65BB">
            <w:pPr>
              <w:tabs>
                <w:tab w:val="left" w:pos="142"/>
              </w:tabs>
              <w:jc w:val="left"/>
              <w:rPr>
                <w:rFonts w:ascii="Arial Narrow" w:hAnsi="Arial Narrow"/>
                <w:sz w:val="20"/>
              </w:rPr>
            </w:pPr>
            <w:r w:rsidRPr="00E60F06">
              <w:rPr>
                <w:rFonts w:ascii="Arial Narrow" w:hAnsi="Arial Narrow"/>
                <w:sz w:val="20"/>
              </w:rPr>
              <w:t xml:space="preserve">Current MES cap </w:t>
            </w:r>
          </w:p>
        </w:tc>
        <w:tc>
          <w:tcPr>
            <w:tcW w:w="906" w:type="dxa"/>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 ''''''''''</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7F3403" w:rsidRDefault="007F3403" w:rsidP="002F0B02">
            <w:pPr>
              <w:jc w:val="center"/>
              <w:rPr>
                <w:rFonts w:ascii="Arial Narrow" w:hAnsi="Arial Narrow"/>
                <w:sz w:val="20"/>
                <w:highlight w:val="black"/>
              </w:rPr>
            </w:pPr>
            <w:r>
              <w:rPr>
                <w:rFonts w:ascii="Arial Narrow" w:hAnsi="Arial Narrow"/>
                <w:noProof/>
                <w:color w:val="000000"/>
                <w:sz w:val="20"/>
                <w:highlight w:val="black"/>
              </w:rPr>
              <w:t>''''''''''''</w:t>
            </w:r>
          </w:p>
        </w:tc>
        <w:tc>
          <w:tcPr>
            <w:tcW w:w="1220" w:type="dxa"/>
            <w:vAlign w:val="center"/>
          </w:tcPr>
          <w:p w:rsidR="006F65BB" w:rsidRPr="00E60F06" w:rsidRDefault="006F65BB" w:rsidP="002F0B02">
            <w:pPr>
              <w:jc w:val="center"/>
              <w:rPr>
                <w:rFonts w:ascii="Arial Narrow" w:hAnsi="Arial Narrow"/>
                <w:sz w:val="20"/>
              </w:rPr>
            </w:pPr>
            <w:r w:rsidRPr="00E60F06">
              <w:rPr>
                <w:rFonts w:ascii="Arial Narrow" w:hAnsi="Arial Narrow"/>
                <w:sz w:val="20"/>
              </w:rPr>
              <w:t>NA</w:t>
            </w:r>
          </w:p>
        </w:tc>
      </w:tr>
      <w:tr w:rsidR="00B467BF" w:rsidRPr="00E60F06" w:rsidTr="00B467BF">
        <w:tc>
          <w:tcPr>
            <w:tcW w:w="1480" w:type="dxa"/>
            <w:vAlign w:val="center"/>
          </w:tcPr>
          <w:p w:rsidR="00B467BF" w:rsidRPr="00E60F06" w:rsidRDefault="00B467BF" w:rsidP="002F0B02">
            <w:pPr>
              <w:tabs>
                <w:tab w:val="left" w:pos="142"/>
              </w:tabs>
              <w:jc w:val="left"/>
              <w:rPr>
                <w:rFonts w:ascii="Arial Narrow" w:hAnsi="Arial Narrow"/>
                <w:sz w:val="20"/>
              </w:rPr>
            </w:pPr>
            <w:r w:rsidRPr="00E60F06">
              <w:rPr>
                <w:rFonts w:ascii="Arial Narrow" w:hAnsi="Arial Narrow"/>
                <w:sz w:val="20"/>
              </w:rPr>
              <w:t>Administrations</w:t>
            </w:r>
          </w:p>
        </w:tc>
        <w:tc>
          <w:tcPr>
            <w:tcW w:w="906" w:type="dxa"/>
            <w:vMerge w:val="restart"/>
            <w:vAlign w:val="center"/>
          </w:tcPr>
          <w:p w:rsidR="00B467BF" w:rsidRPr="00E60F06" w:rsidRDefault="00B467BF" w:rsidP="002F0B02">
            <w:pPr>
              <w:jc w:val="center"/>
              <w:rPr>
                <w:rFonts w:ascii="Arial Narrow" w:hAnsi="Arial Narrow"/>
                <w:sz w:val="20"/>
              </w:rPr>
            </w:pPr>
            <w:r w:rsidRPr="00E60F06">
              <w:rPr>
                <w:rFonts w:ascii="Arial Narrow" w:hAnsi="Arial Narrow"/>
                <w:sz w:val="20"/>
              </w:rPr>
              <w:t>NA</w:t>
            </w:r>
          </w:p>
        </w:tc>
        <w:tc>
          <w:tcPr>
            <w:tcW w:w="1220" w:type="dxa"/>
            <w:vAlign w:val="center"/>
          </w:tcPr>
          <w:p w:rsidR="00B467BF" w:rsidRPr="007F3403" w:rsidRDefault="007F3403" w:rsidP="002F0B02">
            <w:pPr>
              <w:jc w:val="center"/>
              <w:rPr>
                <w:rFonts w:ascii="Arial Narrow" w:hAnsi="Arial Narrow"/>
                <w:b/>
                <w:sz w:val="20"/>
                <w:highlight w:val="black"/>
              </w:rPr>
            </w:pPr>
            <w:r>
              <w:rPr>
                <w:rFonts w:ascii="Arial Narrow" w:hAnsi="Arial Narrow"/>
                <w:noProof/>
                <w:color w:val="000000"/>
                <w:sz w:val="20"/>
                <w:highlight w:val="black"/>
              </w:rPr>
              <w:t>''''''''''''''''</w:t>
            </w:r>
          </w:p>
        </w:tc>
        <w:tc>
          <w:tcPr>
            <w:tcW w:w="1220" w:type="dxa"/>
            <w:vAlign w:val="center"/>
          </w:tcPr>
          <w:p w:rsidR="00B467BF" w:rsidRPr="007F3403" w:rsidRDefault="007F3403" w:rsidP="002F0B02">
            <w:pPr>
              <w:jc w:val="center"/>
              <w:rPr>
                <w:rFonts w:ascii="Arial Narrow" w:hAnsi="Arial Narrow"/>
                <w:b/>
                <w:sz w:val="20"/>
                <w:highlight w:val="black"/>
              </w:rPr>
            </w:pPr>
            <w:r>
              <w:rPr>
                <w:rFonts w:ascii="Arial Narrow" w:hAnsi="Arial Narrow"/>
                <w:noProof/>
                <w:color w:val="000000"/>
                <w:sz w:val="20"/>
                <w:highlight w:val="black"/>
              </w:rPr>
              <w:t>'''''''''''''''''</w:t>
            </w:r>
          </w:p>
        </w:tc>
        <w:tc>
          <w:tcPr>
            <w:tcW w:w="1220" w:type="dxa"/>
            <w:vAlign w:val="center"/>
          </w:tcPr>
          <w:p w:rsidR="00B467BF" w:rsidRPr="007F3403" w:rsidRDefault="007F3403" w:rsidP="002F0B02">
            <w:pPr>
              <w:jc w:val="center"/>
              <w:rPr>
                <w:rFonts w:ascii="Arial Narrow" w:hAnsi="Arial Narrow"/>
                <w:b/>
                <w:sz w:val="20"/>
                <w:highlight w:val="black"/>
              </w:rPr>
            </w:pPr>
            <w:r>
              <w:rPr>
                <w:rFonts w:ascii="Arial Narrow" w:hAnsi="Arial Narrow"/>
                <w:noProof/>
                <w:color w:val="000000"/>
                <w:sz w:val="20"/>
                <w:highlight w:val="black"/>
              </w:rPr>
              <w:t>''''''''''''''''</w:t>
            </w:r>
          </w:p>
        </w:tc>
        <w:tc>
          <w:tcPr>
            <w:tcW w:w="1220" w:type="dxa"/>
            <w:vAlign w:val="center"/>
          </w:tcPr>
          <w:p w:rsidR="00B467BF" w:rsidRPr="007F3403" w:rsidRDefault="007F3403" w:rsidP="002F0B02">
            <w:pPr>
              <w:jc w:val="center"/>
              <w:rPr>
                <w:rFonts w:ascii="Arial Narrow" w:hAnsi="Arial Narrow"/>
                <w:b/>
                <w:sz w:val="20"/>
                <w:highlight w:val="black"/>
              </w:rPr>
            </w:pPr>
            <w:r>
              <w:rPr>
                <w:rFonts w:ascii="Arial Narrow" w:hAnsi="Arial Narrow"/>
                <w:noProof/>
                <w:color w:val="000000"/>
                <w:sz w:val="20"/>
                <w:highlight w:val="black"/>
              </w:rPr>
              <w:t>''''''''''''''''</w:t>
            </w:r>
          </w:p>
        </w:tc>
        <w:tc>
          <w:tcPr>
            <w:tcW w:w="1220" w:type="dxa"/>
            <w:vAlign w:val="center"/>
          </w:tcPr>
          <w:p w:rsidR="00B467BF" w:rsidRPr="007F3403" w:rsidRDefault="007F3403" w:rsidP="002F0B02">
            <w:pPr>
              <w:jc w:val="center"/>
              <w:rPr>
                <w:rFonts w:ascii="Arial Narrow" w:hAnsi="Arial Narrow"/>
                <w:b/>
                <w:sz w:val="20"/>
                <w:highlight w:val="black"/>
              </w:rPr>
            </w:pPr>
            <w:r>
              <w:rPr>
                <w:rFonts w:ascii="Arial Narrow" w:hAnsi="Arial Narrow"/>
                <w:noProof/>
                <w:color w:val="000000"/>
                <w:sz w:val="20"/>
                <w:highlight w:val="black"/>
              </w:rPr>
              <w:t>'''''''''''''''</w:t>
            </w:r>
          </w:p>
        </w:tc>
      </w:tr>
      <w:tr w:rsidR="00B467BF" w:rsidRPr="00E60F06" w:rsidTr="00AE13E8">
        <w:tc>
          <w:tcPr>
            <w:tcW w:w="1480" w:type="dxa"/>
            <w:vAlign w:val="center"/>
          </w:tcPr>
          <w:p w:rsidR="00B467BF" w:rsidRPr="00E60F06" w:rsidRDefault="00B467BF" w:rsidP="002F0B02">
            <w:pPr>
              <w:tabs>
                <w:tab w:val="left" w:pos="142"/>
              </w:tabs>
              <w:jc w:val="left"/>
              <w:rPr>
                <w:rFonts w:ascii="Arial Narrow" w:hAnsi="Arial Narrow"/>
                <w:sz w:val="20"/>
              </w:rPr>
            </w:pPr>
            <w:r w:rsidRPr="00E60F06">
              <w:rPr>
                <w:rFonts w:ascii="Arial Narrow" w:hAnsi="Arial Narrow"/>
                <w:sz w:val="20"/>
              </w:rPr>
              <w:t>Scripts</w:t>
            </w:r>
            <w:r w:rsidRPr="00E60F06">
              <w:rPr>
                <w:rFonts w:ascii="Arial Narrow" w:hAnsi="Arial Narrow"/>
                <w:sz w:val="20"/>
                <w:vertAlign w:val="superscript"/>
              </w:rPr>
              <w:t>a</w:t>
            </w:r>
          </w:p>
        </w:tc>
        <w:tc>
          <w:tcPr>
            <w:tcW w:w="906" w:type="dxa"/>
            <w:vMerge/>
          </w:tcPr>
          <w:p w:rsidR="00B467BF" w:rsidRPr="00E60F06" w:rsidRDefault="00B467BF" w:rsidP="002F0B02">
            <w:pPr>
              <w:jc w:val="center"/>
              <w:rPr>
                <w:rFonts w:ascii="Arial Narrow" w:hAnsi="Arial Narrow"/>
                <w:sz w:val="20"/>
              </w:rPr>
            </w:pPr>
          </w:p>
        </w:tc>
        <w:tc>
          <w:tcPr>
            <w:tcW w:w="1220" w:type="dxa"/>
            <w:vAlign w:val="center"/>
          </w:tcPr>
          <w:p w:rsidR="00B467BF" w:rsidRPr="007F3403" w:rsidRDefault="007F3403" w:rsidP="002F0B02">
            <w:pPr>
              <w:jc w:val="center"/>
              <w:rPr>
                <w:rFonts w:ascii="Arial Narrow" w:hAnsi="Arial Narrow"/>
                <w:sz w:val="20"/>
                <w:highlight w:val="black"/>
              </w:rPr>
            </w:pPr>
            <w:r>
              <w:rPr>
                <w:rFonts w:ascii="Arial Narrow" w:hAnsi="Arial Narrow"/>
                <w:b/>
                <w:noProof/>
                <w:color w:val="000000"/>
                <w:sz w:val="20"/>
                <w:highlight w:val="black"/>
              </w:rPr>
              <w:t>'''''''''''''</w:t>
            </w:r>
          </w:p>
        </w:tc>
        <w:tc>
          <w:tcPr>
            <w:tcW w:w="1220" w:type="dxa"/>
            <w:vAlign w:val="center"/>
          </w:tcPr>
          <w:p w:rsidR="00B467BF" w:rsidRPr="007F3403" w:rsidRDefault="007F3403" w:rsidP="002F0B02">
            <w:pPr>
              <w:jc w:val="center"/>
              <w:rPr>
                <w:rFonts w:ascii="Arial Narrow" w:hAnsi="Arial Narrow"/>
                <w:sz w:val="20"/>
                <w:highlight w:val="black"/>
              </w:rPr>
            </w:pPr>
            <w:r>
              <w:rPr>
                <w:rFonts w:ascii="Arial Narrow" w:hAnsi="Arial Narrow"/>
                <w:b/>
                <w:noProof/>
                <w:color w:val="000000"/>
                <w:sz w:val="20"/>
                <w:highlight w:val="black"/>
              </w:rPr>
              <w:t>''''''''''''''''</w:t>
            </w:r>
          </w:p>
        </w:tc>
        <w:tc>
          <w:tcPr>
            <w:tcW w:w="1220" w:type="dxa"/>
            <w:vAlign w:val="center"/>
          </w:tcPr>
          <w:p w:rsidR="00B467BF" w:rsidRPr="007F3403" w:rsidRDefault="007F3403" w:rsidP="002F0B02">
            <w:pPr>
              <w:jc w:val="center"/>
              <w:rPr>
                <w:rFonts w:ascii="Arial Narrow" w:hAnsi="Arial Narrow"/>
                <w:sz w:val="20"/>
                <w:highlight w:val="black"/>
              </w:rPr>
            </w:pPr>
            <w:r>
              <w:rPr>
                <w:rFonts w:ascii="Arial Narrow" w:hAnsi="Arial Narrow"/>
                <w:b/>
                <w:noProof/>
                <w:color w:val="000000"/>
                <w:sz w:val="20"/>
                <w:highlight w:val="black"/>
              </w:rPr>
              <w:t>'''''''''''''''''</w:t>
            </w:r>
          </w:p>
        </w:tc>
        <w:tc>
          <w:tcPr>
            <w:tcW w:w="1220" w:type="dxa"/>
            <w:vAlign w:val="center"/>
          </w:tcPr>
          <w:p w:rsidR="00B467BF" w:rsidRPr="007F3403" w:rsidRDefault="007F3403" w:rsidP="002F0B02">
            <w:pPr>
              <w:jc w:val="center"/>
              <w:rPr>
                <w:rFonts w:ascii="Arial Narrow" w:hAnsi="Arial Narrow"/>
                <w:sz w:val="20"/>
                <w:highlight w:val="black"/>
              </w:rPr>
            </w:pPr>
            <w:r>
              <w:rPr>
                <w:rFonts w:ascii="Arial Narrow" w:hAnsi="Arial Narrow"/>
                <w:b/>
                <w:noProof/>
                <w:color w:val="000000"/>
                <w:sz w:val="20"/>
                <w:highlight w:val="black"/>
              </w:rPr>
              <w:t>'''''''''''''''</w:t>
            </w:r>
          </w:p>
        </w:tc>
        <w:tc>
          <w:tcPr>
            <w:tcW w:w="1220" w:type="dxa"/>
            <w:vAlign w:val="center"/>
          </w:tcPr>
          <w:p w:rsidR="00B467BF" w:rsidRPr="007F3403" w:rsidRDefault="007F3403" w:rsidP="002F0B02">
            <w:pPr>
              <w:jc w:val="center"/>
              <w:rPr>
                <w:rFonts w:ascii="Arial Narrow" w:hAnsi="Arial Narrow"/>
                <w:sz w:val="20"/>
                <w:highlight w:val="black"/>
              </w:rPr>
            </w:pPr>
            <w:r>
              <w:rPr>
                <w:rFonts w:ascii="Arial Narrow" w:hAnsi="Arial Narrow"/>
                <w:b/>
                <w:noProof/>
                <w:color w:val="000000"/>
                <w:sz w:val="20"/>
                <w:highlight w:val="black"/>
              </w:rPr>
              <w:t>''''''''''''''''</w:t>
            </w:r>
          </w:p>
        </w:tc>
      </w:tr>
      <w:tr w:rsidR="00B467BF" w:rsidRPr="00E60F06" w:rsidTr="00AE13E8">
        <w:tc>
          <w:tcPr>
            <w:tcW w:w="1480" w:type="dxa"/>
            <w:vAlign w:val="center"/>
          </w:tcPr>
          <w:p w:rsidR="00B467BF" w:rsidRPr="00E60F06" w:rsidRDefault="00B467BF" w:rsidP="002F0B02">
            <w:pPr>
              <w:tabs>
                <w:tab w:val="left" w:pos="142"/>
              </w:tabs>
              <w:jc w:val="left"/>
              <w:rPr>
                <w:rFonts w:ascii="Arial Narrow" w:hAnsi="Arial Narrow"/>
                <w:sz w:val="20"/>
              </w:rPr>
            </w:pPr>
            <w:r w:rsidRPr="00E60F06">
              <w:rPr>
                <w:rFonts w:ascii="Arial Narrow" w:hAnsi="Arial Narrow"/>
                <w:sz w:val="20"/>
              </w:rPr>
              <w:t>Net cost to PBS/RPBS</w:t>
            </w:r>
          </w:p>
        </w:tc>
        <w:tc>
          <w:tcPr>
            <w:tcW w:w="906" w:type="dxa"/>
            <w:vMerge/>
          </w:tcPr>
          <w:p w:rsidR="00B467BF" w:rsidRPr="00E60F06" w:rsidRDefault="00B467BF" w:rsidP="002F0B02">
            <w:pPr>
              <w:jc w:val="center"/>
              <w:rPr>
                <w:rFonts w:ascii="Arial Narrow" w:hAnsi="Arial Narrow"/>
                <w:sz w:val="20"/>
              </w:rPr>
            </w:pP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r>
      <w:tr w:rsidR="00B467BF" w:rsidRPr="00E60F06" w:rsidTr="00AE13E8">
        <w:tc>
          <w:tcPr>
            <w:tcW w:w="1480" w:type="dxa"/>
            <w:vAlign w:val="center"/>
          </w:tcPr>
          <w:p w:rsidR="00B467BF" w:rsidRPr="00E60F06" w:rsidRDefault="00B467BF" w:rsidP="005169BE">
            <w:pPr>
              <w:tabs>
                <w:tab w:val="left" w:pos="142"/>
              </w:tabs>
              <w:jc w:val="left"/>
              <w:rPr>
                <w:rFonts w:ascii="Arial Narrow" w:hAnsi="Arial Narrow"/>
                <w:sz w:val="20"/>
              </w:rPr>
            </w:pPr>
            <w:r w:rsidRPr="00E60F06">
              <w:rPr>
                <w:rFonts w:ascii="Arial Narrow" w:hAnsi="Arial Narrow"/>
                <w:sz w:val="20"/>
              </w:rPr>
              <w:t>Current cap</w:t>
            </w:r>
          </w:p>
        </w:tc>
        <w:tc>
          <w:tcPr>
            <w:tcW w:w="906" w:type="dxa"/>
            <w:vMerge/>
          </w:tcPr>
          <w:p w:rsidR="00B467BF" w:rsidRPr="00E60F06" w:rsidRDefault="00B467BF" w:rsidP="002F0B02">
            <w:pPr>
              <w:jc w:val="center"/>
              <w:rPr>
                <w:rFonts w:ascii="Arial Narrow" w:hAnsi="Arial Narrow"/>
                <w:sz w:val="20"/>
              </w:rPr>
            </w:pP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r>
      <w:tr w:rsidR="00B467BF" w:rsidRPr="00E60F06" w:rsidTr="00AE13E8">
        <w:tc>
          <w:tcPr>
            <w:tcW w:w="1480" w:type="dxa"/>
            <w:vAlign w:val="center"/>
          </w:tcPr>
          <w:p w:rsidR="00B467BF" w:rsidRPr="00E60F06" w:rsidRDefault="00B467BF" w:rsidP="006F65BB">
            <w:pPr>
              <w:tabs>
                <w:tab w:val="left" w:pos="142"/>
              </w:tabs>
              <w:jc w:val="left"/>
              <w:rPr>
                <w:rFonts w:ascii="Arial Narrow" w:hAnsi="Arial Narrow"/>
                <w:sz w:val="20"/>
              </w:rPr>
            </w:pPr>
            <w:r w:rsidRPr="00E60F06">
              <w:rPr>
                <w:rFonts w:ascii="Arial Narrow" w:hAnsi="Arial Narrow"/>
                <w:b/>
                <w:sz w:val="20"/>
              </w:rPr>
              <w:t>After cap net cost PBS/RPBS</w:t>
            </w:r>
          </w:p>
        </w:tc>
        <w:tc>
          <w:tcPr>
            <w:tcW w:w="906" w:type="dxa"/>
            <w:vMerge/>
          </w:tcPr>
          <w:p w:rsidR="00B467BF" w:rsidRPr="00E60F06" w:rsidRDefault="00B467BF" w:rsidP="002F0B02">
            <w:pPr>
              <w:jc w:val="center"/>
              <w:rPr>
                <w:rFonts w:ascii="Arial Narrow" w:hAnsi="Arial Narrow"/>
                <w:sz w:val="20"/>
              </w:rPr>
            </w:pP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b/>
                <w:sz w:val="20"/>
              </w:rPr>
              <w:t>$</w:t>
            </w:r>
            <w:r w:rsidR="007F3403">
              <w:rPr>
                <w:rFonts w:ascii="Arial Narrow" w:hAnsi="Arial Narrow"/>
                <w:b/>
                <w:noProof/>
                <w:color w:val="000000"/>
                <w:sz w:val="20"/>
                <w:highlight w:val="black"/>
              </w:rPr>
              <w:t>'''''''''''''''''''''</w:t>
            </w: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b/>
                <w:sz w:val="20"/>
              </w:rPr>
              <w:t>$</w:t>
            </w:r>
            <w:r w:rsidR="007F3403">
              <w:rPr>
                <w:rFonts w:ascii="Arial Narrow" w:hAnsi="Arial Narrow"/>
                <w:b/>
                <w:noProof/>
                <w:color w:val="000000"/>
                <w:sz w:val="20"/>
                <w:highlight w:val="black"/>
              </w:rPr>
              <w:t>'''''''''''''''''''''''</w:t>
            </w: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b/>
                <w:sz w:val="20"/>
              </w:rPr>
              <w:t>$</w:t>
            </w:r>
            <w:r w:rsidR="007F3403">
              <w:rPr>
                <w:rFonts w:ascii="Arial Narrow" w:hAnsi="Arial Narrow"/>
                <w:b/>
                <w:noProof/>
                <w:color w:val="000000"/>
                <w:sz w:val="20"/>
                <w:highlight w:val="black"/>
              </w:rPr>
              <w:t>''''''''''''''''''''''</w:t>
            </w: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b/>
                <w:sz w:val="20"/>
              </w:rPr>
              <w:t>$</w:t>
            </w:r>
            <w:r w:rsidR="007F3403">
              <w:rPr>
                <w:rFonts w:ascii="Arial Narrow" w:hAnsi="Arial Narrow"/>
                <w:b/>
                <w:noProof/>
                <w:color w:val="000000"/>
                <w:sz w:val="20"/>
                <w:highlight w:val="black"/>
              </w:rPr>
              <w:t>''''''''''''''''''''</w:t>
            </w:r>
          </w:p>
        </w:tc>
        <w:tc>
          <w:tcPr>
            <w:tcW w:w="1220" w:type="dxa"/>
            <w:vAlign w:val="center"/>
          </w:tcPr>
          <w:p w:rsidR="00B467BF" w:rsidRPr="00E60F06" w:rsidRDefault="00B467BF" w:rsidP="002F0B02">
            <w:pPr>
              <w:jc w:val="center"/>
              <w:rPr>
                <w:rFonts w:ascii="Arial Narrow" w:hAnsi="Arial Narrow"/>
                <w:sz w:val="20"/>
              </w:rPr>
            </w:pPr>
            <w:r w:rsidRPr="00E60F06">
              <w:rPr>
                <w:rFonts w:ascii="Arial Narrow" w:hAnsi="Arial Narrow"/>
                <w:b/>
                <w:sz w:val="20"/>
              </w:rPr>
              <w:t>$</w:t>
            </w:r>
            <w:r w:rsidR="007F3403">
              <w:rPr>
                <w:rFonts w:ascii="Arial Narrow" w:hAnsi="Arial Narrow"/>
                <w:b/>
                <w:noProof/>
                <w:color w:val="000000"/>
                <w:sz w:val="20"/>
                <w:highlight w:val="black"/>
              </w:rPr>
              <w:t>''''''''''''''''''''''''''</w:t>
            </w:r>
          </w:p>
        </w:tc>
      </w:tr>
    </w:tbl>
    <w:p w:rsidR="00050D6E" w:rsidRPr="00E60F06" w:rsidRDefault="00050D6E" w:rsidP="00666E24">
      <w:pPr>
        <w:pStyle w:val="TableFooter"/>
        <w:tabs>
          <w:tab w:val="left" w:pos="851"/>
        </w:tabs>
        <w:ind w:left="709"/>
      </w:pPr>
      <w:r w:rsidRPr="00E60F06">
        <w:rPr>
          <w:vertAlign w:val="superscript"/>
        </w:rPr>
        <w:t>a</w:t>
      </w:r>
      <w:r w:rsidRPr="00E60F06">
        <w:tab/>
        <w:t xml:space="preserve">The </w:t>
      </w:r>
      <w:r w:rsidR="00666E24" w:rsidRPr="00E60F06">
        <w:t>submission assumed 3.82 vials per administration.</w:t>
      </w:r>
    </w:p>
    <w:p w:rsidR="002F0B02" w:rsidRPr="00E60F06" w:rsidRDefault="002F0B02" w:rsidP="00666E24">
      <w:pPr>
        <w:pStyle w:val="TableFooter"/>
        <w:tabs>
          <w:tab w:val="left" w:pos="851"/>
        </w:tabs>
        <w:ind w:left="709"/>
      </w:pPr>
      <w:r w:rsidRPr="00E60F06">
        <w:t>NA=not applicable</w:t>
      </w:r>
      <w:r w:rsidR="00E8239B" w:rsidRPr="00E60F06">
        <w:t>; yr=year</w:t>
      </w:r>
    </w:p>
    <w:p w:rsidR="002F0B02" w:rsidRPr="00E60F06" w:rsidRDefault="00666E24" w:rsidP="00666E24">
      <w:pPr>
        <w:pStyle w:val="TableFooter"/>
        <w:tabs>
          <w:tab w:val="left" w:pos="851"/>
        </w:tabs>
        <w:ind w:left="709"/>
      </w:pPr>
      <w:r w:rsidRPr="00E60F06">
        <w:t xml:space="preserve">Source: </w:t>
      </w:r>
      <w:r w:rsidR="002F0B02" w:rsidRPr="00E60F06">
        <w:t>Table 13, p208; Table 16, p212; Table 20, p216 of the submission</w:t>
      </w:r>
      <w:r w:rsidR="00D11ABD" w:rsidRPr="00E60F06">
        <w:t>; ‘Cost of drug to the PBS RPBS’ and ‘Net cost to PBS’ worksheets of the ‘Nov 15 Section E’ Excel file provided with the submission</w:t>
      </w:r>
      <w:r w:rsidR="005169BE" w:rsidRPr="00E60F06">
        <w:t>.</w:t>
      </w:r>
    </w:p>
    <w:p w:rsidR="00C25D9C" w:rsidRPr="00E60F06" w:rsidRDefault="00C25D9C" w:rsidP="00C25D9C">
      <w:pPr>
        <w:widowControl/>
        <w:rPr>
          <w:szCs w:val="22"/>
        </w:rPr>
      </w:pPr>
    </w:p>
    <w:p w:rsidR="00D6384F" w:rsidRPr="00E60F06" w:rsidRDefault="00D6384F" w:rsidP="00D6384F">
      <w:pPr>
        <w:widowControl/>
        <w:ind w:left="709"/>
        <w:rPr>
          <w:szCs w:val="22"/>
        </w:rPr>
      </w:pPr>
      <w:r w:rsidRPr="00E60F06">
        <w:rPr>
          <w:szCs w:val="22"/>
        </w:rPr>
        <w:t>The redacted table shows that at year 5, the estimated number of patients was less than 10,000 per year and the net cost to the PBS would be more than $100 million per year.</w:t>
      </w:r>
    </w:p>
    <w:p w:rsidR="00D6384F" w:rsidRPr="00E60F06" w:rsidRDefault="00D6384F" w:rsidP="00D6384F">
      <w:pPr>
        <w:widowControl/>
        <w:ind w:left="709"/>
        <w:rPr>
          <w:szCs w:val="22"/>
        </w:rPr>
      </w:pPr>
    </w:p>
    <w:p w:rsidR="00E06962" w:rsidRPr="00E60F06" w:rsidRDefault="003F4EE0" w:rsidP="00423721">
      <w:pPr>
        <w:pStyle w:val="ListParagraph"/>
        <w:widowControl/>
        <w:numPr>
          <w:ilvl w:val="1"/>
          <w:numId w:val="3"/>
        </w:numPr>
        <w:rPr>
          <w:szCs w:val="22"/>
        </w:rPr>
      </w:pPr>
      <w:r w:rsidRPr="00E60F06">
        <w:t xml:space="preserve">If the changes to patient numbers requested by the submission </w:t>
      </w:r>
      <w:r w:rsidR="005169BE" w:rsidRPr="00E60F06">
        <w:t>we</w:t>
      </w:r>
      <w:r w:rsidRPr="00E60F06">
        <w:t>re implemented following the MES</w:t>
      </w:r>
      <w:r w:rsidR="005169BE" w:rsidRPr="00E60F06">
        <w:t>,</w:t>
      </w:r>
      <w:r w:rsidR="00A902CA" w:rsidRPr="00E60F06">
        <w:t xml:space="preserve"> </w:t>
      </w:r>
      <w:r w:rsidRPr="00E60F06">
        <w:t>t</w:t>
      </w:r>
      <w:r w:rsidR="00E06962" w:rsidRPr="00E60F06">
        <w:t xml:space="preserve">he estimated net costs to the PBS/RPBS </w:t>
      </w:r>
      <w:r w:rsidR="005169BE" w:rsidRPr="00E60F06">
        <w:t>would be</w:t>
      </w:r>
      <w:r w:rsidR="00E06962" w:rsidRPr="00E60F06">
        <w:t xml:space="preserve"> </w:t>
      </w:r>
      <w:r w:rsidR="0005007D" w:rsidRPr="00E60F06">
        <w:t xml:space="preserve">more than $100 million </w:t>
      </w:r>
      <w:r w:rsidR="00E06962" w:rsidRPr="00E60F06">
        <w:t xml:space="preserve">over the 5 years of listing.  The submission’s estimates </w:t>
      </w:r>
      <w:r w:rsidR="005169BE" w:rsidRPr="00E60F06">
        <w:t>we</w:t>
      </w:r>
      <w:r w:rsidR="00E06962" w:rsidRPr="00E60F06">
        <w:t>re not likely to be accurate, for the following reasons:</w:t>
      </w:r>
    </w:p>
    <w:p w:rsidR="00E06962" w:rsidRPr="00E60F06" w:rsidRDefault="00E06962" w:rsidP="00423721">
      <w:pPr>
        <w:pStyle w:val="ListParagraph"/>
        <w:widowControl/>
        <w:numPr>
          <w:ilvl w:val="0"/>
          <w:numId w:val="2"/>
        </w:numPr>
        <w:ind w:left="993"/>
        <w:rPr>
          <w:szCs w:val="22"/>
        </w:rPr>
      </w:pPr>
      <w:r w:rsidRPr="00E60F06">
        <w:t>The financial estimates rel</w:t>
      </w:r>
      <w:r w:rsidR="005169BE" w:rsidRPr="00E60F06">
        <w:t>ied</w:t>
      </w:r>
      <w:r w:rsidRPr="00E60F06">
        <w:t xml:space="preserve"> heavily on the modelled economic evaluation (ie to </w:t>
      </w:r>
      <w:r w:rsidR="00917FC7" w:rsidRPr="00E60F06">
        <w:t xml:space="preserve">generate </w:t>
      </w:r>
      <w:r w:rsidRPr="00E60F06">
        <w:t>the proportion with PFS and consequent duration of treatment</w:t>
      </w:r>
      <w:r w:rsidR="00917FC7" w:rsidRPr="00E60F06">
        <w:t xml:space="preserve"> as well as </w:t>
      </w:r>
      <w:r w:rsidR="005169BE" w:rsidRPr="00E60F06">
        <w:t xml:space="preserve">to </w:t>
      </w:r>
      <w:r w:rsidR="00917FC7" w:rsidRPr="00E60F06">
        <w:t>determine the requested price of pembrolizumab</w:t>
      </w:r>
      <w:r w:rsidRPr="00E60F06">
        <w:t xml:space="preserve">).  The </w:t>
      </w:r>
      <w:r w:rsidR="00917FC7" w:rsidRPr="00E60F06">
        <w:t xml:space="preserve">economic </w:t>
      </w:r>
      <w:r w:rsidRPr="00E60F06">
        <w:t>model ha</w:t>
      </w:r>
      <w:r w:rsidR="005169BE" w:rsidRPr="00E60F06">
        <w:t>d</w:t>
      </w:r>
      <w:r w:rsidRPr="00E60F06">
        <w:t xml:space="preserve"> a number of issues</w:t>
      </w:r>
      <w:r w:rsidR="00A902CA" w:rsidRPr="00E60F06">
        <w:t xml:space="preserve"> </w:t>
      </w:r>
      <w:r w:rsidR="00917FC7" w:rsidRPr="00E60F06">
        <w:t>(</w:t>
      </w:r>
      <w:r w:rsidR="005635C4" w:rsidRPr="00E60F06">
        <w:t>see Economic analysis above)</w:t>
      </w:r>
      <w:r w:rsidRPr="00E60F06">
        <w:t xml:space="preserve"> that dr</w:t>
      </w:r>
      <w:r w:rsidR="005169BE" w:rsidRPr="00E60F06">
        <w:t>e</w:t>
      </w:r>
      <w:r w:rsidRPr="00E60F06">
        <w:t>w into question its accuracy.</w:t>
      </w:r>
    </w:p>
    <w:p w:rsidR="00E06962" w:rsidRPr="00E60F06" w:rsidRDefault="00E06962" w:rsidP="00423721">
      <w:pPr>
        <w:pStyle w:val="ListParagraph"/>
        <w:widowControl/>
        <w:numPr>
          <w:ilvl w:val="0"/>
          <w:numId w:val="2"/>
        </w:numPr>
        <w:ind w:left="993"/>
        <w:rPr>
          <w:szCs w:val="22"/>
        </w:rPr>
      </w:pPr>
      <w:r w:rsidRPr="00E60F06">
        <w:t xml:space="preserve">A different </w:t>
      </w:r>
      <w:r w:rsidR="006E1A96" w:rsidRPr="00E60F06">
        <w:t>source</w:t>
      </w:r>
      <w:r w:rsidRPr="00E60F06">
        <w:t xml:space="preserve"> of determining </w:t>
      </w:r>
      <w:r w:rsidR="00E8239B" w:rsidRPr="00E60F06">
        <w:t xml:space="preserve">patient </w:t>
      </w:r>
      <w:r w:rsidRPr="00E60F06">
        <w:t xml:space="preserve">weight and consequent vial use </w:t>
      </w:r>
      <w:r w:rsidR="005169BE" w:rsidRPr="00E60F06">
        <w:t>wa</w:t>
      </w:r>
      <w:r w:rsidRPr="00E60F06">
        <w:t>s applied in the financial estimates (weight distribution</w:t>
      </w:r>
      <w:r w:rsidR="006E1A96" w:rsidRPr="00E60F06">
        <w:t xml:space="preserve"> by gender from the ABS</w:t>
      </w:r>
      <w:r w:rsidRPr="00E60F06">
        <w:t>) compared to that used in the model (</w:t>
      </w:r>
      <w:r w:rsidR="006E1A96" w:rsidRPr="00E60F06">
        <w:t>weight distribution from the named patient program</w:t>
      </w:r>
      <w:r w:rsidRPr="00E60F06">
        <w:t xml:space="preserve">).  </w:t>
      </w:r>
      <w:r w:rsidR="009A4CC6" w:rsidRPr="00E60F06">
        <w:t xml:space="preserve">This </w:t>
      </w:r>
      <w:r w:rsidR="005169BE" w:rsidRPr="00E60F06">
        <w:t>created</w:t>
      </w:r>
      <w:r w:rsidR="00E8239B" w:rsidRPr="00E60F06">
        <w:t xml:space="preserve"> an unnecessary inconsistency</w:t>
      </w:r>
      <w:r w:rsidR="006E1A96" w:rsidRPr="00E60F06">
        <w:t>, with different patient weights in the two models (</w:t>
      </w:r>
      <w:r w:rsidR="007F3403">
        <w:rPr>
          <w:noProof/>
          <w:color w:val="000000"/>
          <w:highlight w:val="black"/>
        </w:rPr>
        <w:t>''''''''''</w:t>
      </w:r>
      <w:r w:rsidR="005169BE" w:rsidRPr="00E60F06">
        <w:t> </w:t>
      </w:r>
      <w:r w:rsidR="006E1A96" w:rsidRPr="00E60F06">
        <w:t xml:space="preserve">kg for males and </w:t>
      </w:r>
      <w:r w:rsidR="007F3403">
        <w:rPr>
          <w:noProof/>
          <w:color w:val="000000"/>
          <w:highlight w:val="black"/>
        </w:rPr>
        <w:t>'''''''''''</w:t>
      </w:r>
      <w:r w:rsidR="005169BE" w:rsidRPr="00E60F06">
        <w:t> </w:t>
      </w:r>
      <w:r w:rsidR="006E1A96" w:rsidRPr="00E60F06">
        <w:t xml:space="preserve">kg for females in the financial estimates compared to </w:t>
      </w:r>
      <w:r w:rsidR="007F3403">
        <w:rPr>
          <w:noProof/>
          <w:color w:val="000000"/>
          <w:highlight w:val="black"/>
        </w:rPr>
        <w:t>''''''''''''</w:t>
      </w:r>
      <w:r w:rsidR="005169BE" w:rsidRPr="00E60F06">
        <w:t> </w:t>
      </w:r>
      <w:r w:rsidR="006E1A96" w:rsidRPr="00E60F06">
        <w:t>kg in the economic model)</w:t>
      </w:r>
      <w:r w:rsidRPr="00E60F06">
        <w:t>.</w:t>
      </w:r>
    </w:p>
    <w:p w:rsidR="00E06962" w:rsidRPr="00E60F06" w:rsidRDefault="00E8239B" w:rsidP="00423721">
      <w:pPr>
        <w:pStyle w:val="ListParagraph"/>
        <w:widowControl/>
        <w:numPr>
          <w:ilvl w:val="0"/>
          <w:numId w:val="2"/>
        </w:numPr>
        <w:ind w:left="993"/>
        <w:rPr>
          <w:szCs w:val="22"/>
        </w:rPr>
      </w:pPr>
      <w:r w:rsidRPr="00E60F06">
        <w:rPr>
          <w:szCs w:val="22"/>
        </w:rPr>
        <w:t xml:space="preserve">Uptake rates </w:t>
      </w:r>
      <w:r w:rsidR="003F4EE0" w:rsidRPr="00E60F06">
        <w:rPr>
          <w:szCs w:val="22"/>
        </w:rPr>
        <w:t>we</w:t>
      </w:r>
      <w:r w:rsidRPr="00E60F06">
        <w:rPr>
          <w:szCs w:val="22"/>
        </w:rPr>
        <w:t>re based on averages sourced from 8 clinicians</w:t>
      </w:r>
      <w:r w:rsidR="003F4EE0" w:rsidRPr="00E60F06">
        <w:rPr>
          <w:szCs w:val="22"/>
        </w:rPr>
        <w:t xml:space="preserve"> and </w:t>
      </w:r>
      <w:r w:rsidR="005635C4" w:rsidRPr="00E60F06">
        <w:rPr>
          <w:szCs w:val="22"/>
        </w:rPr>
        <w:t>w</w:t>
      </w:r>
      <w:r w:rsidR="00C24571" w:rsidRPr="00E60F06">
        <w:rPr>
          <w:szCs w:val="22"/>
        </w:rPr>
        <w:t>ere</w:t>
      </w:r>
      <w:r w:rsidR="003F4EE0" w:rsidRPr="00E60F06">
        <w:rPr>
          <w:szCs w:val="22"/>
        </w:rPr>
        <w:t xml:space="preserve"> likely to be biased</w:t>
      </w:r>
      <w:r w:rsidRPr="00E60F06">
        <w:rPr>
          <w:szCs w:val="22"/>
        </w:rPr>
        <w:t xml:space="preserve">.  </w:t>
      </w:r>
      <w:r w:rsidR="003F4EE0" w:rsidRPr="00E60F06">
        <w:rPr>
          <w:szCs w:val="22"/>
        </w:rPr>
        <w:t>It was a small</w:t>
      </w:r>
      <w:r w:rsidR="00A902CA" w:rsidRPr="00E60F06">
        <w:rPr>
          <w:szCs w:val="22"/>
        </w:rPr>
        <w:t xml:space="preserve"> </w:t>
      </w:r>
      <w:r w:rsidR="003F4EE0" w:rsidRPr="00E60F06">
        <w:rPr>
          <w:szCs w:val="22"/>
        </w:rPr>
        <w:t>sample of clinicians</w:t>
      </w:r>
      <w:r w:rsidRPr="00E60F06">
        <w:rPr>
          <w:szCs w:val="22"/>
        </w:rPr>
        <w:t xml:space="preserve">, and the submission provided no information regarding </w:t>
      </w:r>
      <w:r w:rsidR="003F4EE0" w:rsidRPr="00E60F06">
        <w:rPr>
          <w:szCs w:val="22"/>
        </w:rPr>
        <w:t>what criteria w</w:t>
      </w:r>
      <w:r w:rsidR="009F5AD9" w:rsidRPr="00E60F06">
        <w:rPr>
          <w:szCs w:val="22"/>
        </w:rPr>
        <w:t>ere</w:t>
      </w:r>
      <w:r w:rsidR="003F4EE0" w:rsidRPr="00E60F06">
        <w:rPr>
          <w:szCs w:val="22"/>
        </w:rPr>
        <w:t xml:space="preserve"> used to select the clinicians (outside of the statement the sponsor asked a question of ‘8 leading melanoma specialists in Australia’); whether conflict of interest was obtained from the clinicians</w:t>
      </w:r>
      <w:r w:rsidR="005169BE" w:rsidRPr="00E60F06">
        <w:rPr>
          <w:szCs w:val="22"/>
        </w:rPr>
        <w:t>;</w:t>
      </w:r>
      <w:r w:rsidR="003F4EE0" w:rsidRPr="00E60F06">
        <w:rPr>
          <w:szCs w:val="22"/>
        </w:rPr>
        <w:t xml:space="preserve"> and what background information was provided to them.</w:t>
      </w:r>
    </w:p>
    <w:p w:rsidR="009F4DCD" w:rsidRPr="00E60F06" w:rsidRDefault="009F4DCD" w:rsidP="00423721">
      <w:pPr>
        <w:pStyle w:val="ListParagraph"/>
        <w:widowControl/>
        <w:numPr>
          <w:ilvl w:val="0"/>
          <w:numId w:val="2"/>
        </w:numPr>
        <w:ind w:left="993"/>
        <w:rPr>
          <w:szCs w:val="22"/>
        </w:rPr>
      </w:pPr>
      <w:r w:rsidRPr="00E60F06">
        <w:rPr>
          <w:szCs w:val="22"/>
        </w:rPr>
        <w:t xml:space="preserve">The mortality extrapolations used by the submission to estimate eligible patients </w:t>
      </w:r>
      <w:r w:rsidR="005169BE" w:rsidRPr="00E60F06">
        <w:rPr>
          <w:szCs w:val="22"/>
        </w:rPr>
        <w:t>we</w:t>
      </w:r>
      <w:r w:rsidRPr="00E60F06">
        <w:rPr>
          <w:szCs w:val="22"/>
        </w:rPr>
        <w:t>re ba</w:t>
      </w:r>
      <w:r w:rsidR="005169BE" w:rsidRPr="00E60F06">
        <w:rPr>
          <w:szCs w:val="22"/>
        </w:rPr>
        <w:t>sed on a database that pre-dated</w:t>
      </w:r>
      <w:r w:rsidRPr="00E60F06">
        <w:rPr>
          <w:szCs w:val="22"/>
        </w:rPr>
        <w:t xml:space="preserve"> the availability of BRAF/MEK inhibitors in Australia.  Since pembrolizumab is currently restricted to second-line use in BRAF mutation positive patients, the impact of dabrafenib and trametinib on survival in this patient population </w:t>
      </w:r>
      <w:r w:rsidR="005169BE" w:rsidRPr="00E60F06">
        <w:rPr>
          <w:szCs w:val="22"/>
        </w:rPr>
        <w:t>wa</w:t>
      </w:r>
      <w:r w:rsidRPr="00E60F06">
        <w:rPr>
          <w:szCs w:val="22"/>
        </w:rPr>
        <w:t>s relevant to estimating population size.</w:t>
      </w:r>
      <w:r w:rsidR="005635C4" w:rsidRPr="00E60F06">
        <w:rPr>
          <w:szCs w:val="22"/>
        </w:rPr>
        <w:t xml:space="preserve">  Consequently, the submission’s estimates may not be accurate.</w:t>
      </w:r>
    </w:p>
    <w:p w:rsidR="00E06962" w:rsidRPr="00E60F06" w:rsidRDefault="00E06962" w:rsidP="00423721">
      <w:pPr>
        <w:pStyle w:val="ListParagraph"/>
        <w:widowControl/>
        <w:numPr>
          <w:ilvl w:val="0"/>
          <w:numId w:val="2"/>
        </w:numPr>
        <w:ind w:left="993"/>
        <w:rPr>
          <w:szCs w:val="22"/>
        </w:rPr>
      </w:pPr>
      <w:r w:rsidRPr="00E60F06">
        <w:t xml:space="preserve">Adverse event costs, which were included in the modelled evaluation, </w:t>
      </w:r>
      <w:r w:rsidR="005169BE" w:rsidRPr="00E60F06">
        <w:t>we</w:t>
      </w:r>
      <w:r w:rsidRPr="00E60F06">
        <w:t>re not included in the financial estimates.  This mean</w:t>
      </w:r>
      <w:r w:rsidR="005169BE" w:rsidRPr="00E60F06">
        <w:t xml:space="preserve">t that </w:t>
      </w:r>
      <w:r w:rsidRPr="00E60F06">
        <w:t xml:space="preserve">actual costs </w:t>
      </w:r>
      <w:r w:rsidR="005169BE" w:rsidRPr="00E60F06">
        <w:t>we</w:t>
      </w:r>
      <w:r w:rsidRPr="00E60F06">
        <w:t>re likely to be underestimated.</w:t>
      </w:r>
      <w:r w:rsidR="003F4EE0" w:rsidRPr="00E60F06">
        <w:t xml:space="preserve">  MBS costs were also not included.</w:t>
      </w:r>
    </w:p>
    <w:p w:rsidR="00E06962" w:rsidRPr="00E60F06" w:rsidRDefault="00C24571" w:rsidP="00423721">
      <w:pPr>
        <w:pStyle w:val="ListParagraph"/>
        <w:widowControl/>
        <w:numPr>
          <w:ilvl w:val="0"/>
          <w:numId w:val="2"/>
        </w:numPr>
        <w:ind w:left="993"/>
        <w:rPr>
          <w:szCs w:val="22"/>
        </w:rPr>
      </w:pPr>
      <w:r w:rsidRPr="00E60F06">
        <w:t>Although the sponsor was unaware of this prior to lodging the submission, g</w:t>
      </w:r>
      <w:r w:rsidR="00E06962" w:rsidRPr="00E60F06">
        <w:t>iven the recent PBAC recommendation of nivolumab on a cost-minimisation basis with pembrolizumab, market share between the two drugs w</w:t>
      </w:r>
      <w:r w:rsidR="005169BE" w:rsidRPr="00E60F06">
        <w:t>ould</w:t>
      </w:r>
      <w:r w:rsidR="00E06962" w:rsidRPr="00E60F06">
        <w:t xml:space="preserve"> become relevant should nivolumab be listed on the PBS.</w:t>
      </w:r>
    </w:p>
    <w:p w:rsidR="00B3282F" w:rsidRPr="00E60F06" w:rsidRDefault="00B3282F" w:rsidP="00B3282F">
      <w:pPr>
        <w:widowControl/>
        <w:rPr>
          <w:bCs/>
          <w:szCs w:val="22"/>
          <w:lang w:val="en-GB"/>
        </w:rPr>
      </w:pPr>
    </w:p>
    <w:p w:rsidR="00B3282F" w:rsidRPr="00E60F06" w:rsidRDefault="00B3282F" w:rsidP="00B3282F">
      <w:pPr>
        <w:pStyle w:val="ListParagraph"/>
        <w:widowControl/>
        <w:numPr>
          <w:ilvl w:val="1"/>
          <w:numId w:val="3"/>
        </w:numPr>
        <w:rPr>
          <w:szCs w:val="22"/>
        </w:rPr>
      </w:pPr>
      <w:r w:rsidRPr="00E60F06">
        <w:rPr>
          <w:bCs/>
          <w:szCs w:val="22"/>
          <w:lang w:val="en-GB"/>
        </w:rPr>
        <w:t xml:space="preserve">The Pre-PBAC Response further argued for increasing the patient numbers, noting greater than expected numbers of grandfathered patients, initial experience with ex-wholesaler data, the </w:t>
      </w:r>
      <w:r w:rsidR="00FD060B" w:rsidRPr="00E60F06">
        <w:rPr>
          <w:bCs/>
          <w:szCs w:val="22"/>
          <w:lang w:val="en-GB"/>
        </w:rPr>
        <w:t>fact that observed numbers of patients receiving dabrafenib or ipilimumab did not also take into account patients enrolled in clinical trials, and that more patients were likely to be treated with pembrolizumab</w:t>
      </w:r>
      <w:r w:rsidR="00EA6814" w:rsidRPr="00E60F06">
        <w:rPr>
          <w:bCs/>
          <w:szCs w:val="22"/>
          <w:lang w:val="en-GB"/>
        </w:rPr>
        <w:t xml:space="preserve"> than ipilimumab</w:t>
      </w:r>
      <w:r w:rsidR="00FD060B" w:rsidRPr="00E60F06">
        <w:rPr>
          <w:bCs/>
          <w:szCs w:val="22"/>
          <w:lang w:val="en-GB"/>
        </w:rPr>
        <w:t xml:space="preserve">.  The PBAC was </w:t>
      </w:r>
      <w:r w:rsidRPr="00E60F06">
        <w:rPr>
          <w:bCs/>
          <w:szCs w:val="22"/>
          <w:lang w:val="en-GB"/>
        </w:rPr>
        <w:t xml:space="preserve">not </w:t>
      </w:r>
      <w:r w:rsidRPr="00E60F06">
        <w:rPr>
          <w:szCs w:val="22"/>
        </w:rPr>
        <w:t>persuaded</w:t>
      </w:r>
      <w:r w:rsidRPr="00E60F06">
        <w:rPr>
          <w:bCs/>
          <w:szCs w:val="22"/>
          <w:lang w:val="en-GB"/>
        </w:rPr>
        <w:t xml:space="preserve"> by </w:t>
      </w:r>
      <w:r w:rsidR="00FD060B" w:rsidRPr="00E60F06">
        <w:rPr>
          <w:bCs/>
          <w:szCs w:val="22"/>
          <w:lang w:val="en-GB"/>
        </w:rPr>
        <w:t xml:space="preserve">these </w:t>
      </w:r>
      <w:r w:rsidRPr="00E60F06">
        <w:rPr>
          <w:bCs/>
          <w:szCs w:val="22"/>
          <w:lang w:val="en-GB"/>
        </w:rPr>
        <w:t xml:space="preserve">arguments which were either based on the first few months of listing – reflecting initial experience in the context of a prevalence pool (“pent up demand”) rather than the incidence-based approach proposed by the submission, or apparently and implausibly </w:t>
      </w:r>
      <w:r w:rsidR="00FD060B" w:rsidRPr="00E60F06">
        <w:rPr>
          <w:bCs/>
          <w:szCs w:val="22"/>
          <w:lang w:val="en-GB"/>
        </w:rPr>
        <w:t>inferr</w:t>
      </w:r>
      <w:r w:rsidR="00EA6814" w:rsidRPr="00E60F06">
        <w:rPr>
          <w:bCs/>
          <w:szCs w:val="22"/>
          <w:lang w:val="en-GB"/>
        </w:rPr>
        <w:t>ing</w:t>
      </w:r>
      <w:r w:rsidRPr="00E60F06">
        <w:rPr>
          <w:bCs/>
          <w:szCs w:val="22"/>
          <w:lang w:val="en-GB"/>
        </w:rPr>
        <w:t xml:space="preserve"> that trials in malignant melanoma would cease with the listing of pembrolizumab.</w:t>
      </w:r>
      <w:r w:rsidR="00EA6814" w:rsidRPr="00E60F06">
        <w:rPr>
          <w:bCs/>
          <w:szCs w:val="22"/>
          <w:lang w:val="en-GB"/>
        </w:rPr>
        <w:t xml:space="preserve">  The PBAC was also aware that the patient numbers in the existing RSA had already been increased to account for the claim that more patients were likely to be treated with pembrolizumab than ipilimumab.</w:t>
      </w:r>
    </w:p>
    <w:p w:rsidR="00DD076F" w:rsidRPr="00E60F06" w:rsidRDefault="00DD076F" w:rsidP="00DD076F">
      <w:pPr>
        <w:widowControl/>
        <w:rPr>
          <w:szCs w:val="22"/>
        </w:rPr>
      </w:pPr>
    </w:p>
    <w:p w:rsidR="00E06962" w:rsidRPr="00E60F06" w:rsidRDefault="00D577C3" w:rsidP="00423721">
      <w:pPr>
        <w:pStyle w:val="ListParagraph"/>
        <w:widowControl/>
        <w:numPr>
          <w:ilvl w:val="1"/>
          <w:numId w:val="3"/>
        </w:numPr>
        <w:rPr>
          <w:szCs w:val="22"/>
        </w:rPr>
      </w:pPr>
      <w:r w:rsidRPr="00E60F06">
        <w:rPr>
          <w:szCs w:val="22"/>
        </w:rPr>
        <w:t>Sensitivity analyses ha</w:t>
      </w:r>
      <w:r w:rsidR="005169BE" w:rsidRPr="00E60F06">
        <w:rPr>
          <w:szCs w:val="22"/>
        </w:rPr>
        <w:t>d</w:t>
      </w:r>
      <w:r w:rsidRPr="00E60F06">
        <w:rPr>
          <w:szCs w:val="22"/>
        </w:rPr>
        <w:t xml:space="preserve"> limited value given the reliance of the financial estimates on results of the economic model (ie PFS to determine treatment duration</w:t>
      </w:r>
      <w:r w:rsidR="005169BE" w:rsidRPr="00E60F06">
        <w:rPr>
          <w:szCs w:val="22"/>
        </w:rPr>
        <w:t xml:space="preserve"> and</w:t>
      </w:r>
      <w:r w:rsidRPr="00E60F06">
        <w:rPr>
          <w:szCs w:val="22"/>
        </w:rPr>
        <w:t xml:space="preserve"> cost of pembrolizumab).  As would be expected, increasing </w:t>
      </w:r>
      <w:r w:rsidR="003911B2" w:rsidRPr="00E60F06">
        <w:rPr>
          <w:szCs w:val="22"/>
        </w:rPr>
        <w:t xml:space="preserve">variables such as </w:t>
      </w:r>
      <w:r w:rsidRPr="00E60F06">
        <w:rPr>
          <w:szCs w:val="22"/>
        </w:rPr>
        <w:t xml:space="preserve">patient weight </w:t>
      </w:r>
      <w:r w:rsidR="003911B2" w:rsidRPr="00E60F06">
        <w:rPr>
          <w:szCs w:val="22"/>
        </w:rPr>
        <w:t>and</w:t>
      </w:r>
      <w:r w:rsidR="005169BE" w:rsidRPr="00E60F06">
        <w:rPr>
          <w:szCs w:val="22"/>
        </w:rPr>
        <w:t xml:space="preserve"> uptake rates increased</w:t>
      </w:r>
      <w:r w:rsidRPr="00E60F06">
        <w:rPr>
          <w:szCs w:val="22"/>
        </w:rPr>
        <w:t xml:space="preserve"> estimated net costs</w:t>
      </w:r>
      <w:r w:rsidR="003911B2" w:rsidRPr="00E60F06">
        <w:rPr>
          <w:szCs w:val="22"/>
        </w:rPr>
        <w:t xml:space="preserve">.  More informative analyses would require alteration of the current economic model and application of results to the financial estimates, as well as inclusion of variables such as adverse event costs that </w:t>
      </w:r>
      <w:r w:rsidR="00561B91" w:rsidRPr="00E60F06">
        <w:rPr>
          <w:szCs w:val="22"/>
        </w:rPr>
        <w:t>were</w:t>
      </w:r>
      <w:r w:rsidR="003911B2" w:rsidRPr="00E60F06">
        <w:rPr>
          <w:szCs w:val="22"/>
        </w:rPr>
        <w:t xml:space="preserve"> excluded by the submission.  Such re-structuring could not be completed during the evaluation period.</w:t>
      </w:r>
    </w:p>
    <w:p w:rsidR="00E154B6" w:rsidRPr="00E60F06" w:rsidRDefault="00E154B6" w:rsidP="00B26FD8">
      <w:pPr>
        <w:widowControl/>
        <w:rPr>
          <w:b/>
        </w:rPr>
      </w:pPr>
      <w:bookmarkStart w:id="15" w:name="_Toc440982043"/>
    </w:p>
    <w:p w:rsidR="00576972" w:rsidRPr="00E60F06" w:rsidRDefault="00576972" w:rsidP="002C2775">
      <w:pPr>
        <w:pStyle w:val="Heading2"/>
        <w:rPr>
          <w:i/>
          <w:szCs w:val="22"/>
        </w:rPr>
      </w:pPr>
      <w:r w:rsidRPr="00E60F06">
        <w:rPr>
          <w:i/>
        </w:rPr>
        <w:t>Financial Management – Risk Sharing Arrangements</w:t>
      </w:r>
      <w:bookmarkEnd w:id="15"/>
    </w:p>
    <w:p w:rsidR="00C25D9C" w:rsidRPr="00E60F06" w:rsidRDefault="00C25D9C" w:rsidP="00576972">
      <w:pPr>
        <w:widowControl/>
        <w:rPr>
          <w:szCs w:val="22"/>
        </w:rPr>
      </w:pPr>
    </w:p>
    <w:p w:rsidR="00C25D9C" w:rsidRPr="00E60F06" w:rsidRDefault="008A7562" w:rsidP="00423721">
      <w:pPr>
        <w:pStyle w:val="ListParagraph"/>
        <w:widowControl/>
        <w:numPr>
          <w:ilvl w:val="1"/>
          <w:numId w:val="3"/>
        </w:numPr>
        <w:rPr>
          <w:szCs w:val="22"/>
        </w:rPr>
      </w:pPr>
      <w:r w:rsidRPr="00E60F06">
        <w:t xml:space="preserve">The submission </w:t>
      </w:r>
      <w:r w:rsidR="00561B91" w:rsidRPr="00E60F06">
        <w:t xml:space="preserve">requested the following changes to Deed, </w:t>
      </w:r>
      <w:r w:rsidRPr="00E60F06">
        <w:t>stat</w:t>
      </w:r>
      <w:r w:rsidR="00561B91" w:rsidRPr="00E60F06">
        <w:t>ing</w:t>
      </w:r>
      <w:r w:rsidRPr="00E60F06">
        <w:t xml:space="preserve"> that</w:t>
      </w:r>
      <w:r w:rsidR="00561B91" w:rsidRPr="00E60F06">
        <w:t>,</w:t>
      </w:r>
      <w:r w:rsidRPr="00E60F06">
        <w:t xml:space="preserve"> based on the changes nominated in the submission and consistent with the PBAC’s view that a risk sharing arrangement with caps might be needed to address the risk that pembrolizumab may be continued in the setting of disease progression (paragraph 6.8</w:t>
      </w:r>
      <w:r w:rsidR="00EB03A6" w:rsidRPr="00E60F06">
        <w:t>3</w:t>
      </w:r>
      <w:r w:rsidRPr="00E60F06">
        <w:t xml:space="preserve">, March 2015 </w:t>
      </w:r>
      <w:r w:rsidR="00EB03A6" w:rsidRPr="00E60F06">
        <w:t>PSD</w:t>
      </w:r>
      <w:r w:rsidRPr="00E60F06">
        <w:t>):</w:t>
      </w:r>
    </w:p>
    <w:p w:rsidR="00E06962" w:rsidRPr="00E60F06" w:rsidRDefault="00EB03A6" w:rsidP="00423721">
      <w:pPr>
        <w:pStyle w:val="ListParagraph"/>
        <w:widowControl/>
        <w:numPr>
          <w:ilvl w:val="0"/>
          <w:numId w:val="7"/>
        </w:numPr>
        <w:ind w:left="1134"/>
        <w:rPr>
          <w:szCs w:val="22"/>
        </w:rPr>
      </w:pPr>
      <w:r w:rsidRPr="00E60F06">
        <w:t xml:space="preserve">Deletion of the further submission clause (clause 3.4) as the current submission in the further submission </w:t>
      </w:r>
      <w:r w:rsidR="001D1370" w:rsidRPr="00E60F06">
        <w:t xml:space="preserve">was </w:t>
      </w:r>
      <w:r w:rsidRPr="00E60F06">
        <w:t>based on comparative data from KN-006.</w:t>
      </w:r>
    </w:p>
    <w:p w:rsidR="00EB03A6" w:rsidRPr="00E60F06" w:rsidRDefault="00EB03A6" w:rsidP="00423721">
      <w:pPr>
        <w:pStyle w:val="ListParagraph"/>
        <w:widowControl/>
        <w:numPr>
          <w:ilvl w:val="0"/>
          <w:numId w:val="7"/>
        </w:numPr>
        <w:ind w:left="1134"/>
        <w:rPr>
          <w:szCs w:val="22"/>
        </w:rPr>
      </w:pPr>
      <w:r w:rsidRPr="00E60F06">
        <w:t>Update of the subsidisation caps from year 2 onward to reflect:</w:t>
      </w:r>
    </w:p>
    <w:p w:rsidR="00EB03A6" w:rsidRPr="00E60F06" w:rsidRDefault="00EB03A6" w:rsidP="00423721">
      <w:pPr>
        <w:pStyle w:val="ListParagraph"/>
        <w:widowControl/>
        <w:numPr>
          <w:ilvl w:val="0"/>
          <w:numId w:val="8"/>
        </w:numPr>
        <w:ind w:left="1418" w:hanging="284"/>
        <w:rPr>
          <w:szCs w:val="22"/>
        </w:rPr>
      </w:pPr>
      <w:r w:rsidRPr="00E60F06">
        <w:t>The agreed effective pembrolizumab price per vial as per the current submission, rather than being based on the effective ipilimumab price as is currently the case for the MES Deed.</w:t>
      </w:r>
    </w:p>
    <w:p w:rsidR="00EB03A6" w:rsidRPr="00E60F06" w:rsidRDefault="00EB03A6" w:rsidP="00423721">
      <w:pPr>
        <w:pStyle w:val="ListParagraph"/>
        <w:widowControl/>
        <w:numPr>
          <w:ilvl w:val="0"/>
          <w:numId w:val="8"/>
        </w:numPr>
        <w:ind w:left="1418" w:hanging="284"/>
        <w:rPr>
          <w:szCs w:val="22"/>
        </w:rPr>
      </w:pPr>
      <w:r w:rsidRPr="00E60F06">
        <w:t>Payment for prevalent patients remaining on therapy beyond their first year of treatment.  Having more than quadrupled the number of prevalent patients in the current submission</w:t>
      </w:r>
      <w:r w:rsidR="00561B91" w:rsidRPr="00E60F06">
        <w:t>, this represented</w:t>
      </w:r>
      <w:r w:rsidRPr="00E60F06">
        <w:t xml:space="preserve"> </w:t>
      </w:r>
      <w:r w:rsidR="00D13322" w:rsidRPr="00E60F06">
        <w:t>an ongoing increase</w:t>
      </w:r>
      <w:r w:rsidRPr="00E60F06">
        <w:t xml:space="preserve"> in net costs for th</w:t>
      </w:r>
      <w:r w:rsidR="009943F6" w:rsidRPr="00E60F06">
        <w:t>e</w:t>
      </w:r>
      <w:r w:rsidRPr="00E60F06">
        <w:t xml:space="preserve"> duration of treatment</w:t>
      </w:r>
      <w:r w:rsidR="00D13322" w:rsidRPr="00E60F06">
        <w:t xml:space="preserve"> for these patients</w:t>
      </w:r>
      <w:r w:rsidRPr="00E60F06">
        <w:t>.</w:t>
      </w:r>
    </w:p>
    <w:p w:rsidR="00BB0A36" w:rsidRPr="00E60F06" w:rsidRDefault="00BB0A36" w:rsidP="00423721">
      <w:pPr>
        <w:pStyle w:val="ListParagraph"/>
        <w:widowControl/>
        <w:numPr>
          <w:ilvl w:val="0"/>
          <w:numId w:val="8"/>
        </w:numPr>
        <w:ind w:left="1418" w:hanging="284"/>
        <w:rPr>
          <w:szCs w:val="22"/>
        </w:rPr>
      </w:pPr>
      <w:r w:rsidRPr="00E60F06">
        <w:t>Higher patient numbers to better reflect the true number of Australians with advanced melanoma who will be treated with a PD-1 inhibitor.</w:t>
      </w:r>
    </w:p>
    <w:p w:rsidR="00EB03A6" w:rsidRPr="00E60F06" w:rsidRDefault="00EB03A6" w:rsidP="00E06962">
      <w:pPr>
        <w:widowControl/>
        <w:rPr>
          <w:szCs w:val="22"/>
        </w:rPr>
      </w:pPr>
    </w:p>
    <w:p w:rsidR="00E06962" w:rsidRPr="00E60F06" w:rsidRDefault="00BB0A36" w:rsidP="00423721">
      <w:pPr>
        <w:pStyle w:val="ListParagraph"/>
        <w:widowControl/>
        <w:numPr>
          <w:ilvl w:val="1"/>
          <w:numId w:val="3"/>
        </w:numPr>
        <w:rPr>
          <w:szCs w:val="22"/>
        </w:rPr>
      </w:pPr>
      <w:r w:rsidRPr="00E60F06">
        <w:t>The submission nominate</w:t>
      </w:r>
      <w:r w:rsidR="009943F6" w:rsidRPr="00E60F06">
        <w:t>d</w:t>
      </w:r>
      <w:r w:rsidRPr="00E60F06">
        <w:t xml:space="preserve"> the estimated net costs to the PBS/RPBS in the current submission as the revised subsidisation caps.  The current caps and the revised caps are provided in </w:t>
      </w:r>
      <w:r w:rsidR="009943F6" w:rsidRPr="00E60F06">
        <w:t>the table</w:t>
      </w:r>
      <w:r w:rsidRPr="00E60F06">
        <w:t xml:space="preserve"> below, with differences between the two </w:t>
      </w:r>
      <w:r w:rsidR="00561B91" w:rsidRPr="00E60F06">
        <w:t xml:space="preserve">estimated </w:t>
      </w:r>
      <w:r w:rsidRPr="00E60F06">
        <w:t>during the evaluation.</w:t>
      </w:r>
    </w:p>
    <w:p w:rsidR="00E06962" w:rsidRPr="00E60F06" w:rsidRDefault="00E06962" w:rsidP="00E06962">
      <w:pPr>
        <w:widowControl/>
        <w:rPr>
          <w:szCs w:val="22"/>
        </w:rPr>
      </w:pPr>
    </w:p>
    <w:p w:rsidR="00BB0A36" w:rsidRPr="00E60F06" w:rsidRDefault="00BB0A36" w:rsidP="009943F6">
      <w:pPr>
        <w:ind w:left="709"/>
        <w:rPr>
          <w:rFonts w:ascii="Arial Narrow" w:hAnsi="Arial Narrow"/>
          <w:b/>
          <w:sz w:val="20"/>
        </w:rPr>
      </w:pPr>
      <w:r w:rsidRPr="00E60F06">
        <w:rPr>
          <w:rFonts w:ascii="Arial Narrow" w:hAnsi="Arial Narrow"/>
          <w:b/>
          <w:sz w:val="20"/>
        </w:rPr>
        <w:t xml:space="preserve">Table </w:t>
      </w:r>
      <w:r w:rsidR="00163818" w:rsidRPr="00E60F06">
        <w:rPr>
          <w:rFonts w:ascii="Arial Narrow" w:hAnsi="Arial Narrow"/>
          <w:b/>
          <w:sz w:val="20"/>
        </w:rPr>
        <w:t>12</w:t>
      </w:r>
      <w:r w:rsidR="00561B91" w:rsidRPr="00E60F06">
        <w:rPr>
          <w:rFonts w:ascii="Arial Narrow" w:hAnsi="Arial Narrow"/>
          <w:b/>
          <w:sz w:val="20"/>
        </w:rPr>
        <w:t xml:space="preserve">: </w:t>
      </w:r>
      <w:r w:rsidRPr="00E60F06">
        <w:rPr>
          <w:rFonts w:ascii="Arial Narrow" w:hAnsi="Arial Narrow"/>
          <w:b/>
          <w:sz w:val="20"/>
        </w:rPr>
        <w:t>Current and revised caps</w:t>
      </w:r>
    </w:p>
    <w:tbl>
      <w:tblPr>
        <w:tblStyle w:val="TableGrid"/>
        <w:tblW w:w="8358" w:type="dxa"/>
        <w:tblInd w:w="817" w:type="dxa"/>
        <w:tblLook w:val="04A0" w:firstRow="1" w:lastRow="0" w:firstColumn="1" w:lastColumn="0" w:noHBand="0" w:noVBand="1"/>
        <w:tblCaption w:val="Table 12: Current and revised caps"/>
      </w:tblPr>
      <w:tblGrid>
        <w:gridCol w:w="1267"/>
        <w:gridCol w:w="1209"/>
        <w:gridCol w:w="1283"/>
        <w:gridCol w:w="1283"/>
        <w:gridCol w:w="1345"/>
        <w:gridCol w:w="1220"/>
        <w:gridCol w:w="751"/>
      </w:tblGrid>
      <w:tr w:rsidR="00BB0A36" w:rsidRPr="00E60F06" w:rsidTr="00C94A62">
        <w:trPr>
          <w:tblHeader/>
        </w:trPr>
        <w:tc>
          <w:tcPr>
            <w:tcW w:w="1418" w:type="dxa"/>
            <w:vAlign w:val="center"/>
          </w:tcPr>
          <w:p w:rsidR="00BB0A36" w:rsidRPr="00E60F06" w:rsidRDefault="00BB0A36" w:rsidP="009943F6">
            <w:pPr>
              <w:jc w:val="left"/>
              <w:rPr>
                <w:rFonts w:ascii="Arial Narrow" w:hAnsi="Arial Narrow"/>
                <w:b/>
                <w:sz w:val="20"/>
              </w:rPr>
            </w:pPr>
          </w:p>
        </w:tc>
        <w:tc>
          <w:tcPr>
            <w:tcW w:w="1220" w:type="dxa"/>
          </w:tcPr>
          <w:p w:rsidR="00BB0A36" w:rsidRPr="00E60F06" w:rsidRDefault="00BB0A36" w:rsidP="009943F6">
            <w:pPr>
              <w:jc w:val="center"/>
              <w:rPr>
                <w:rFonts w:ascii="Arial Narrow" w:hAnsi="Arial Narrow"/>
                <w:b/>
                <w:sz w:val="20"/>
              </w:rPr>
            </w:pPr>
            <w:r w:rsidRPr="00E60F06">
              <w:rPr>
                <w:rFonts w:ascii="Arial Narrow" w:hAnsi="Arial Narrow"/>
                <w:b/>
                <w:sz w:val="20"/>
              </w:rPr>
              <w:t>MES year</w:t>
            </w:r>
          </w:p>
        </w:tc>
        <w:tc>
          <w:tcPr>
            <w:tcW w:w="1220" w:type="dxa"/>
            <w:vAlign w:val="center"/>
          </w:tcPr>
          <w:p w:rsidR="00BB0A36" w:rsidRPr="00E60F06" w:rsidRDefault="00BB0A36" w:rsidP="009943F6">
            <w:pPr>
              <w:jc w:val="center"/>
              <w:rPr>
                <w:rFonts w:ascii="Arial Narrow" w:hAnsi="Arial Narrow"/>
                <w:b/>
                <w:sz w:val="20"/>
              </w:rPr>
            </w:pPr>
            <w:r w:rsidRPr="00E60F06">
              <w:rPr>
                <w:rFonts w:ascii="Arial Narrow" w:hAnsi="Arial Narrow"/>
                <w:b/>
                <w:sz w:val="20"/>
              </w:rPr>
              <w:t>Year 1</w:t>
            </w:r>
          </w:p>
        </w:tc>
        <w:tc>
          <w:tcPr>
            <w:tcW w:w="1220" w:type="dxa"/>
            <w:vAlign w:val="center"/>
          </w:tcPr>
          <w:p w:rsidR="00BB0A36" w:rsidRPr="00E60F06" w:rsidRDefault="00BB0A36" w:rsidP="009943F6">
            <w:pPr>
              <w:jc w:val="center"/>
              <w:rPr>
                <w:rFonts w:ascii="Arial Narrow" w:hAnsi="Arial Narrow"/>
                <w:b/>
                <w:sz w:val="20"/>
              </w:rPr>
            </w:pPr>
            <w:r w:rsidRPr="00E60F06">
              <w:rPr>
                <w:rFonts w:ascii="Arial Narrow" w:hAnsi="Arial Narrow"/>
                <w:b/>
                <w:sz w:val="20"/>
              </w:rPr>
              <w:t>Year 2</w:t>
            </w:r>
          </w:p>
        </w:tc>
        <w:tc>
          <w:tcPr>
            <w:tcW w:w="1220" w:type="dxa"/>
            <w:vAlign w:val="center"/>
          </w:tcPr>
          <w:p w:rsidR="00BB0A36" w:rsidRPr="00E60F06" w:rsidRDefault="00BB0A36" w:rsidP="009943F6">
            <w:pPr>
              <w:jc w:val="center"/>
              <w:rPr>
                <w:rFonts w:ascii="Arial Narrow" w:hAnsi="Arial Narrow"/>
                <w:b/>
                <w:sz w:val="20"/>
              </w:rPr>
            </w:pPr>
            <w:r w:rsidRPr="00E60F06">
              <w:rPr>
                <w:rFonts w:ascii="Arial Narrow" w:hAnsi="Arial Narrow"/>
                <w:b/>
                <w:sz w:val="20"/>
              </w:rPr>
              <w:t>Year 3</w:t>
            </w:r>
          </w:p>
        </w:tc>
        <w:tc>
          <w:tcPr>
            <w:tcW w:w="1220" w:type="dxa"/>
            <w:vAlign w:val="center"/>
          </w:tcPr>
          <w:p w:rsidR="00BB0A36" w:rsidRPr="00E60F06" w:rsidRDefault="00BB0A36" w:rsidP="009943F6">
            <w:pPr>
              <w:jc w:val="center"/>
              <w:rPr>
                <w:rFonts w:ascii="Arial Narrow" w:hAnsi="Arial Narrow"/>
                <w:b/>
                <w:sz w:val="20"/>
              </w:rPr>
            </w:pPr>
            <w:r w:rsidRPr="00E60F06">
              <w:rPr>
                <w:rFonts w:ascii="Arial Narrow" w:hAnsi="Arial Narrow"/>
                <w:b/>
                <w:sz w:val="20"/>
              </w:rPr>
              <w:t>Year 4</w:t>
            </w:r>
          </w:p>
        </w:tc>
        <w:tc>
          <w:tcPr>
            <w:tcW w:w="840" w:type="dxa"/>
            <w:vAlign w:val="center"/>
          </w:tcPr>
          <w:p w:rsidR="00BB0A36" w:rsidRPr="00E60F06" w:rsidRDefault="00BB0A36" w:rsidP="009943F6">
            <w:pPr>
              <w:jc w:val="center"/>
              <w:rPr>
                <w:rFonts w:ascii="Arial Narrow" w:hAnsi="Arial Narrow"/>
                <w:b/>
                <w:sz w:val="20"/>
              </w:rPr>
            </w:pPr>
            <w:r w:rsidRPr="00E60F06">
              <w:rPr>
                <w:rFonts w:ascii="Arial Narrow" w:hAnsi="Arial Narrow"/>
                <w:b/>
                <w:sz w:val="20"/>
              </w:rPr>
              <w:t>Year 5</w:t>
            </w:r>
          </w:p>
        </w:tc>
      </w:tr>
      <w:tr w:rsidR="00BB0A36" w:rsidRPr="00E60F06" w:rsidTr="009943F6">
        <w:tc>
          <w:tcPr>
            <w:tcW w:w="1418" w:type="dxa"/>
            <w:vAlign w:val="center"/>
          </w:tcPr>
          <w:p w:rsidR="00BB0A36" w:rsidRPr="00E60F06" w:rsidRDefault="00BB0A36" w:rsidP="009943F6">
            <w:pPr>
              <w:jc w:val="left"/>
              <w:rPr>
                <w:rFonts w:ascii="Arial Narrow" w:hAnsi="Arial Narrow"/>
                <w:sz w:val="20"/>
              </w:rPr>
            </w:pPr>
            <w:r w:rsidRPr="00E60F06">
              <w:rPr>
                <w:rFonts w:ascii="Arial Narrow" w:hAnsi="Arial Narrow"/>
                <w:sz w:val="20"/>
              </w:rPr>
              <w:t>Current caps</w:t>
            </w:r>
          </w:p>
        </w:tc>
        <w:tc>
          <w:tcPr>
            <w:tcW w:w="1220" w:type="dxa"/>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84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r>
      <w:tr w:rsidR="00BB0A36" w:rsidRPr="00E60F06" w:rsidTr="009943F6">
        <w:tc>
          <w:tcPr>
            <w:tcW w:w="1418" w:type="dxa"/>
            <w:vAlign w:val="center"/>
          </w:tcPr>
          <w:p w:rsidR="00BB0A36" w:rsidRPr="00E60F06" w:rsidRDefault="00BB0A36" w:rsidP="009943F6">
            <w:pPr>
              <w:jc w:val="left"/>
              <w:rPr>
                <w:rFonts w:ascii="Arial Narrow" w:hAnsi="Arial Narrow"/>
                <w:sz w:val="20"/>
              </w:rPr>
            </w:pPr>
            <w:r w:rsidRPr="00E60F06">
              <w:rPr>
                <w:rFonts w:ascii="Arial Narrow" w:hAnsi="Arial Narrow"/>
                <w:sz w:val="20"/>
              </w:rPr>
              <w:t xml:space="preserve">Revised caps </w:t>
            </w:r>
          </w:p>
        </w:tc>
        <w:tc>
          <w:tcPr>
            <w:tcW w:w="122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84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NA</w:t>
            </w:r>
          </w:p>
        </w:tc>
      </w:tr>
      <w:tr w:rsidR="00BB0A36" w:rsidRPr="00E60F06" w:rsidTr="009943F6">
        <w:tc>
          <w:tcPr>
            <w:tcW w:w="1418" w:type="dxa"/>
            <w:vAlign w:val="center"/>
          </w:tcPr>
          <w:p w:rsidR="00BB0A36" w:rsidRPr="00E60F06" w:rsidRDefault="00BB0A36" w:rsidP="009943F6">
            <w:pPr>
              <w:jc w:val="left"/>
              <w:rPr>
                <w:rFonts w:ascii="Arial Narrow" w:hAnsi="Arial Narrow"/>
                <w:sz w:val="20"/>
              </w:rPr>
            </w:pPr>
            <w:r w:rsidRPr="00E60F06">
              <w:rPr>
                <w:rFonts w:ascii="Arial Narrow" w:hAnsi="Arial Narrow"/>
                <w:sz w:val="20"/>
              </w:rPr>
              <w:t>Difference</w:t>
            </w:r>
          </w:p>
        </w:tc>
        <w:tc>
          <w:tcPr>
            <w:tcW w:w="1220" w:type="dxa"/>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122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w:t>
            </w:r>
            <w:r w:rsidR="007F3403">
              <w:rPr>
                <w:rFonts w:ascii="Arial Narrow" w:hAnsi="Arial Narrow"/>
                <w:noProof/>
                <w:color w:val="000000"/>
                <w:sz w:val="20"/>
                <w:highlight w:val="black"/>
              </w:rPr>
              <w:t>'''''''''''''''''''''''''''</w:t>
            </w:r>
          </w:p>
        </w:tc>
        <w:tc>
          <w:tcPr>
            <w:tcW w:w="840" w:type="dxa"/>
            <w:vAlign w:val="center"/>
          </w:tcPr>
          <w:p w:rsidR="00BB0A36" w:rsidRPr="00E60F06" w:rsidRDefault="00BB0A36" w:rsidP="009943F6">
            <w:pPr>
              <w:jc w:val="center"/>
              <w:rPr>
                <w:rFonts w:ascii="Arial Narrow" w:hAnsi="Arial Narrow"/>
                <w:sz w:val="20"/>
              </w:rPr>
            </w:pPr>
            <w:r w:rsidRPr="00E60F06">
              <w:rPr>
                <w:rFonts w:ascii="Arial Narrow" w:hAnsi="Arial Narrow"/>
                <w:sz w:val="20"/>
              </w:rPr>
              <w:t>NA</w:t>
            </w:r>
          </w:p>
        </w:tc>
      </w:tr>
    </w:tbl>
    <w:p w:rsidR="00BB0A36" w:rsidRPr="00E60F06" w:rsidRDefault="00BB0A36" w:rsidP="009943F6">
      <w:pPr>
        <w:pStyle w:val="TableFooter"/>
        <w:ind w:left="709"/>
      </w:pPr>
      <w:r w:rsidRPr="00E60F06">
        <w:t>NA=not applicable</w:t>
      </w:r>
    </w:p>
    <w:p w:rsidR="00BB0A36" w:rsidRPr="00E60F06" w:rsidRDefault="00561B91" w:rsidP="009943F6">
      <w:pPr>
        <w:pStyle w:val="TableFooter"/>
        <w:ind w:left="709"/>
        <w:rPr>
          <w:szCs w:val="22"/>
        </w:rPr>
      </w:pPr>
      <w:r w:rsidRPr="00E60F06">
        <w:t xml:space="preserve">Source: </w:t>
      </w:r>
      <w:r w:rsidR="00BB0A36" w:rsidRPr="00E60F06">
        <w:t>Table F.1-1, p239 of the submission</w:t>
      </w:r>
      <w:r w:rsidRPr="00E60F06">
        <w:t>.</w:t>
      </w:r>
    </w:p>
    <w:p w:rsidR="00BB0A36" w:rsidRPr="00E60F06" w:rsidRDefault="00BB0A36" w:rsidP="00E06962">
      <w:pPr>
        <w:widowControl/>
        <w:rPr>
          <w:szCs w:val="22"/>
        </w:rPr>
      </w:pPr>
    </w:p>
    <w:p w:rsidR="00E06962" w:rsidRPr="00E60F06" w:rsidRDefault="002F75D5" w:rsidP="00423721">
      <w:pPr>
        <w:pStyle w:val="ListParagraph"/>
        <w:widowControl/>
        <w:numPr>
          <w:ilvl w:val="1"/>
          <w:numId w:val="3"/>
        </w:numPr>
        <w:rPr>
          <w:szCs w:val="22"/>
        </w:rPr>
      </w:pPr>
      <w:r w:rsidRPr="00E60F06">
        <w:t xml:space="preserve">The requested increase in the caps </w:t>
      </w:r>
      <w:r w:rsidR="00561B91" w:rsidRPr="00E60F06">
        <w:t>wa</w:t>
      </w:r>
      <w:r w:rsidRPr="00E60F06">
        <w:t>s essentially a doubling of the current caps.  The issues with the financial estimates and the underlying issues with the modelled evaluation d</w:t>
      </w:r>
      <w:r w:rsidR="00561B91" w:rsidRPr="00E60F06">
        <w:t>id</w:t>
      </w:r>
      <w:r w:rsidRPr="00E60F06">
        <w:t xml:space="preserve"> not support such an increase in the caps.</w:t>
      </w:r>
    </w:p>
    <w:p w:rsidR="000C2BCE" w:rsidRPr="00E60F06" w:rsidRDefault="000C2BCE" w:rsidP="000C2BCE">
      <w:pPr>
        <w:widowControl/>
        <w:rPr>
          <w:szCs w:val="22"/>
        </w:rPr>
      </w:pPr>
    </w:p>
    <w:p w:rsidR="000C2BCE" w:rsidRPr="00E60F06" w:rsidRDefault="000C2BCE" w:rsidP="006B48C6">
      <w:pPr>
        <w:pStyle w:val="ListParagraph"/>
        <w:ind w:left="709"/>
        <w:rPr>
          <w:i/>
          <w:szCs w:val="22"/>
        </w:rPr>
      </w:pPr>
      <w:r w:rsidRPr="00E60F06">
        <w:rPr>
          <w:i/>
          <w:szCs w:val="22"/>
        </w:rPr>
        <w:t>For more detail on PBAC’s view, see section 7 “PBAC outcome”</w:t>
      </w:r>
      <w:r w:rsidR="00F54FF5" w:rsidRPr="00E60F06">
        <w:rPr>
          <w:i/>
          <w:szCs w:val="22"/>
        </w:rPr>
        <w:t>.</w:t>
      </w:r>
    </w:p>
    <w:p w:rsidR="000C2BCE" w:rsidRPr="00E60F06" w:rsidRDefault="000C2BCE" w:rsidP="00F54FF5">
      <w:pPr>
        <w:widowControl/>
      </w:pPr>
    </w:p>
    <w:p w:rsidR="00423721" w:rsidRPr="00E60F06" w:rsidRDefault="00423721" w:rsidP="00F54FF5">
      <w:pPr>
        <w:spacing w:line="276" w:lineRule="auto"/>
        <w:rPr>
          <w:bCs/>
          <w:szCs w:val="22"/>
        </w:rPr>
      </w:pPr>
    </w:p>
    <w:p w:rsidR="00423721" w:rsidRPr="00E60F06" w:rsidRDefault="00423721" w:rsidP="006B48C6">
      <w:pPr>
        <w:numPr>
          <w:ilvl w:val="0"/>
          <w:numId w:val="3"/>
        </w:numPr>
        <w:rPr>
          <w:b/>
          <w:bCs/>
          <w:szCs w:val="22"/>
        </w:rPr>
      </w:pPr>
      <w:r w:rsidRPr="00E60F06">
        <w:rPr>
          <w:b/>
          <w:bCs/>
          <w:szCs w:val="22"/>
        </w:rPr>
        <w:t>PBAC Outcome</w:t>
      </w:r>
    </w:p>
    <w:p w:rsidR="00423721" w:rsidRPr="00E60F06" w:rsidRDefault="00423721" w:rsidP="00423721">
      <w:pPr>
        <w:contextualSpacing/>
        <w:rPr>
          <w:bCs/>
          <w:szCs w:val="22"/>
          <w:lang w:val="en-GB"/>
        </w:rPr>
      </w:pPr>
    </w:p>
    <w:p w:rsidR="00467870" w:rsidRPr="00E60F06" w:rsidRDefault="00EB2CED" w:rsidP="00423721">
      <w:pPr>
        <w:numPr>
          <w:ilvl w:val="1"/>
          <w:numId w:val="3"/>
        </w:numPr>
        <w:contextualSpacing/>
        <w:rPr>
          <w:bCs/>
          <w:szCs w:val="22"/>
          <w:lang w:val="en-GB"/>
        </w:rPr>
      </w:pPr>
      <w:r w:rsidRPr="00E60F06">
        <w:rPr>
          <w:szCs w:val="22"/>
        </w:rPr>
        <w:t>The PBAC decided not to recommend to the Minister (under section 101(3)) that the circumstances, under which pembrolizumab is made available as a pharmaceutical benefit, be changed.</w:t>
      </w:r>
    </w:p>
    <w:p w:rsidR="006D3FA9" w:rsidRPr="00E60F06" w:rsidRDefault="006D3FA9" w:rsidP="006D3FA9">
      <w:pPr>
        <w:contextualSpacing/>
        <w:rPr>
          <w:bCs/>
          <w:szCs w:val="22"/>
          <w:lang w:val="en-GB"/>
        </w:rPr>
      </w:pPr>
    </w:p>
    <w:p w:rsidR="006D3FA9" w:rsidRPr="00E60F06" w:rsidRDefault="006D3FA9" w:rsidP="006D3FA9">
      <w:pPr>
        <w:numPr>
          <w:ilvl w:val="1"/>
          <w:numId w:val="3"/>
        </w:numPr>
        <w:contextualSpacing/>
        <w:rPr>
          <w:bCs/>
          <w:szCs w:val="22"/>
          <w:lang w:val="en-GB"/>
        </w:rPr>
      </w:pPr>
      <w:r w:rsidRPr="00E60F06">
        <w:rPr>
          <w:bCs/>
          <w:szCs w:val="22"/>
          <w:lang w:val="en-GB"/>
        </w:rPr>
        <w:t xml:space="preserve">The PBAC noted that the submission brought to a close the Managed Entry Scheme (MES) component of the Deed of Agreement between the sponsor and the Commonwealth of Australia </w:t>
      </w:r>
      <w:r w:rsidR="000E664A" w:rsidRPr="00E60F06">
        <w:rPr>
          <w:bCs/>
          <w:szCs w:val="22"/>
          <w:lang w:val="en-GB"/>
        </w:rPr>
        <w:t xml:space="preserve">for pembrolizumab </w:t>
      </w:r>
      <w:r w:rsidRPr="00E60F06">
        <w:rPr>
          <w:bCs/>
          <w:szCs w:val="22"/>
          <w:lang w:val="en-GB"/>
        </w:rPr>
        <w:t>within the timeframe stipulated by clause 3.4.1 of the Deed.</w:t>
      </w:r>
    </w:p>
    <w:p w:rsidR="00B65F34" w:rsidRPr="00E60F06" w:rsidRDefault="00B65F34" w:rsidP="00F54FF5">
      <w:pPr>
        <w:contextualSpacing/>
        <w:rPr>
          <w:bCs/>
          <w:szCs w:val="22"/>
          <w:lang w:val="en-GB"/>
        </w:rPr>
      </w:pPr>
    </w:p>
    <w:p w:rsidR="00B65F34" w:rsidRPr="00E60F06" w:rsidRDefault="00B65F34" w:rsidP="00C0723C">
      <w:pPr>
        <w:numPr>
          <w:ilvl w:val="1"/>
          <w:numId w:val="3"/>
        </w:numPr>
        <w:contextualSpacing/>
        <w:rPr>
          <w:bCs/>
          <w:szCs w:val="22"/>
          <w:lang w:val="en-GB"/>
        </w:rPr>
      </w:pPr>
      <w:r w:rsidRPr="00E60F06">
        <w:rPr>
          <w:bCs/>
          <w:szCs w:val="22"/>
          <w:lang w:val="en-GB"/>
        </w:rPr>
        <w:t xml:space="preserve">The PBAC considered that the updated clinical trial </w:t>
      </w:r>
      <w:r w:rsidR="006D3FA9" w:rsidRPr="00E60F06">
        <w:rPr>
          <w:bCs/>
          <w:szCs w:val="22"/>
          <w:lang w:val="en-GB"/>
        </w:rPr>
        <w:t>results</w:t>
      </w:r>
      <w:r w:rsidRPr="00E60F06">
        <w:rPr>
          <w:bCs/>
          <w:szCs w:val="22"/>
          <w:lang w:val="en-GB"/>
        </w:rPr>
        <w:t xml:space="preserve"> from KN-006 w</w:t>
      </w:r>
      <w:r w:rsidR="006D3FA9" w:rsidRPr="00E60F06">
        <w:rPr>
          <w:bCs/>
          <w:szCs w:val="22"/>
          <w:lang w:val="en-GB"/>
        </w:rPr>
        <w:t>ere</w:t>
      </w:r>
      <w:r w:rsidRPr="00E60F06">
        <w:rPr>
          <w:bCs/>
          <w:szCs w:val="22"/>
          <w:lang w:val="en-GB"/>
        </w:rPr>
        <w:t xml:space="preserve"> </w:t>
      </w:r>
      <w:r w:rsidR="00C638EA" w:rsidRPr="00E60F06">
        <w:rPr>
          <w:bCs/>
          <w:szCs w:val="22"/>
          <w:lang w:val="en-GB"/>
        </w:rPr>
        <w:t xml:space="preserve">similar to </w:t>
      </w:r>
      <w:r w:rsidRPr="00E60F06">
        <w:rPr>
          <w:bCs/>
          <w:szCs w:val="22"/>
          <w:lang w:val="en-GB"/>
        </w:rPr>
        <w:t>th</w:t>
      </w:r>
      <w:r w:rsidR="006D3FA9" w:rsidRPr="00E60F06">
        <w:rPr>
          <w:bCs/>
          <w:szCs w:val="22"/>
          <w:lang w:val="en-GB"/>
        </w:rPr>
        <w:t>ose</w:t>
      </w:r>
      <w:r w:rsidRPr="00E60F06">
        <w:rPr>
          <w:bCs/>
          <w:szCs w:val="22"/>
          <w:lang w:val="en-GB"/>
        </w:rPr>
        <w:t xml:space="preserve"> </w:t>
      </w:r>
      <w:r w:rsidR="006D3FA9" w:rsidRPr="00E60F06">
        <w:rPr>
          <w:bCs/>
          <w:szCs w:val="22"/>
          <w:lang w:val="en-GB"/>
        </w:rPr>
        <w:t>provided</w:t>
      </w:r>
      <w:r w:rsidRPr="00E60F06">
        <w:rPr>
          <w:bCs/>
          <w:szCs w:val="22"/>
          <w:lang w:val="en-GB"/>
        </w:rPr>
        <w:t xml:space="preserve"> in </w:t>
      </w:r>
      <w:r w:rsidR="006D3FA9" w:rsidRPr="00E60F06">
        <w:rPr>
          <w:bCs/>
          <w:szCs w:val="22"/>
          <w:lang w:val="en-GB"/>
        </w:rPr>
        <w:t xml:space="preserve">preliminary form for its </w:t>
      </w:r>
      <w:r w:rsidRPr="00E60F06">
        <w:rPr>
          <w:bCs/>
          <w:szCs w:val="22"/>
          <w:lang w:val="en-GB"/>
        </w:rPr>
        <w:t xml:space="preserve">March 2015 </w:t>
      </w:r>
      <w:r w:rsidR="006D3FA9" w:rsidRPr="00E60F06">
        <w:rPr>
          <w:bCs/>
          <w:szCs w:val="22"/>
          <w:lang w:val="en-GB"/>
        </w:rPr>
        <w:t xml:space="preserve">consideration, particularly </w:t>
      </w:r>
      <w:r w:rsidRPr="00E60F06">
        <w:rPr>
          <w:bCs/>
          <w:szCs w:val="22"/>
          <w:lang w:val="en-GB"/>
        </w:rPr>
        <w:t>in terms of PFS and OS.</w:t>
      </w:r>
      <w:r w:rsidR="006D3FA9" w:rsidRPr="00E60F06">
        <w:rPr>
          <w:bCs/>
          <w:szCs w:val="22"/>
          <w:lang w:val="en-GB"/>
        </w:rPr>
        <w:t xml:space="preserve">  The main purpose of the </w:t>
      </w:r>
      <w:r w:rsidR="00B06FF5" w:rsidRPr="00E60F06">
        <w:rPr>
          <w:bCs/>
          <w:szCs w:val="22"/>
          <w:lang w:val="en-GB"/>
        </w:rPr>
        <w:t>submission</w:t>
      </w:r>
      <w:r w:rsidR="006D3FA9" w:rsidRPr="00E60F06">
        <w:rPr>
          <w:bCs/>
          <w:szCs w:val="22"/>
          <w:lang w:val="en-GB"/>
        </w:rPr>
        <w:t xml:space="preserve"> was to incorporate the</w:t>
      </w:r>
      <w:r w:rsidR="00C638EA" w:rsidRPr="00E60F06">
        <w:rPr>
          <w:bCs/>
          <w:szCs w:val="22"/>
          <w:lang w:val="en-GB"/>
        </w:rPr>
        <w:t xml:space="preserve"> </w:t>
      </w:r>
      <w:r w:rsidR="006D3FA9" w:rsidRPr="00E60F06">
        <w:rPr>
          <w:bCs/>
          <w:szCs w:val="22"/>
          <w:lang w:val="en-GB"/>
        </w:rPr>
        <w:t xml:space="preserve">results </w:t>
      </w:r>
      <w:r w:rsidR="00C638EA" w:rsidRPr="00E60F06">
        <w:rPr>
          <w:bCs/>
          <w:szCs w:val="22"/>
          <w:lang w:val="en-GB"/>
        </w:rPr>
        <w:t xml:space="preserve">of this trial </w:t>
      </w:r>
      <w:r w:rsidR="006D3FA9" w:rsidRPr="00E60F06">
        <w:rPr>
          <w:bCs/>
          <w:szCs w:val="22"/>
          <w:lang w:val="en-GB"/>
        </w:rPr>
        <w:t>in a revised economic evaluation</w:t>
      </w:r>
      <w:r w:rsidR="00C638EA" w:rsidRPr="00E60F06">
        <w:rPr>
          <w:bCs/>
          <w:szCs w:val="22"/>
          <w:lang w:val="en-GB"/>
        </w:rPr>
        <w:t xml:space="preserve"> once formally completed</w:t>
      </w:r>
      <w:r w:rsidR="006D3FA9" w:rsidRPr="00E60F06">
        <w:rPr>
          <w:bCs/>
          <w:szCs w:val="22"/>
          <w:lang w:val="en-GB"/>
        </w:rPr>
        <w:t>.</w:t>
      </w:r>
    </w:p>
    <w:p w:rsidR="00C0723C" w:rsidRPr="00E60F06" w:rsidRDefault="00C0723C" w:rsidP="00F54FF5">
      <w:pPr>
        <w:contextualSpacing/>
        <w:rPr>
          <w:bCs/>
          <w:szCs w:val="22"/>
          <w:lang w:val="en-GB"/>
        </w:rPr>
      </w:pPr>
    </w:p>
    <w:p w:rsidR="006D3FA9" w:rsidRPr="00E60F06" w:rsidRDefault="00C0723C" w:rsidP="00CE18AB">
      <w:pPr>
        <w:numPr>
          <w:ilvl w:val="1"/>
          <w:numId w:val="3"/>
        </w:numPr>
        <w:contextualSpacing/>
        <w:rPr>
          <w:bCs/>
          <w:szCs w:val="22"/>
          <w:lang w:val="en-GB"/>
        </w:rPr>
      </w:pPr>
      <w:r w:rsidRPr="00E60F06">
        <w:rPr>
          <w:bCs/>
          <w:szCs w:val="22"/>
          <w:lang w:val="en-GB"/>
        </w:rPr>
        <w:t xml:space="preserve">The PBAC rejected the </w:t>
      </w:r>
      <w:r w:rsidR="006D3FA9" w:rsidRPr="00E60F06">
        <w:rPr>
          <w:bCs/>
          <w:szCs w:val="22"/>
          <w:lang w:val="en-GB"/>
        </w:rPr>
        <w:t xml:space="preserve">modelling </w:t>
      </w:r>
      <w:r w:rsidRPr="00E60F06">
        <w:rPr>
          <w:bCs/>
          <w:szCs w:val="22"/>
          <w:lang w:val="en-GB"/>
        </w:rPr>
        <w:t xml:space="preserve">approach </w:t>
      </w:r>
      <w:r w:rsidR="006D3FA9" w:rsidRPr="00E60F06">
        <w:rPr>
          <w:bCs/>
          <w:szCs w:val="22"/>
          <w:lang w:val="en-GB"/>
        </w:rPr>
        <w:t xml:space="preserve">used in the economic evaluation </w:t>
      </w:r>
      <w:r w:rsidRPr="00E60F06">
        <w:rPr>
          <w:bCs/>
          <w:szCs w:val="22"/>
          <w:lang w:val="en-GB"/>
        </w:rPr>
        <w:t>which generate</w:t>
      </w:r>
      <w:r w:rsidR="006D3FA9" w:rsidRPr="00E60F06">
        <w:rPr>
          <w:bCs/>
          <w:szCs w:val="22"/>
          <w:lang w:val="en-GB"/>
        </w:rPr>
        <w:t>d</w:t>
      </w:r>
      <w:r w:rsidRPr="00E60F06">
        <w:rPr>
          <w:bCs/>
          <w:szCs w:val="22"/>
          <w:lang w:val="en-GB"/>
        </w:rPr>
        <w:t xml:space="preserve"> 58% of the </w:t>
      </w:r>
      <w:r w:rsidR="006D3FA9" w:rsidRPr="00E60F06">
        <w:rPr>
          <w:bCs/>
          <w:szCs w:val="22"/>
          <w:lang w:val="en-GB"/>
        </w:rPr>
        <w:t>incremental life-</w:t>
      </w:r>
      <w:r w:rsidRPr="00E60F06">
        <w:rPr>
          <w:bCs/>
          <w:szCs w:val="22"/>
          <w:lang w:val="en-GB"/>
        </w:rPr>
        <w:t xml:space="preserve">year gains </w:t>
      </w:r>
      <w:r w:rsidR="00EA6814" w:rsidRPr="00E60F06">
        <w:rPr>
          <w:bCs/>
          <w:szCs w:val="22"/>
          <w:lang w:val="en-GB"/>
        </w:rPr>
        <w:t xml:space="preserve">in the post-progression health state </w:t>
      </w:r>
      <w:r w:rsidRPr="00E60F06">
        <w:rPr>
          <w:bCs/>
          <w:szCs w:val="22"/>
          <w:lang w:val="en-GB"/>
        </w:rPr>
        <w:t xml:space="preserve">by extending the time horizon to 10 years and assuming an indefinite </w:t>
      </w:r>
      <w:r w:rsidR="00EA6814" w:rsidRPr="00E60F06">
        <w:rPr>
          <w:bCs/>
          <w:szCs w:val="22"/>
          <w:lang w:val="en-GB"/>
        </w:rPr>
        <w:t xml:space="preserve">incremental gain in overall </w:t>
      </w:r>
      <w:r w:rsidRPr="00E60F06">
        <w:rPr>
          <w:bCs/>
          <w:szCs w:val="22"/>
          <w:lang w:val="en-GB"/>
        </w:rPr>
        <w:t>survival beyond 3 years</w:t>
      </w:r>
      <w:r w:rsidR="006D3FA9" w:rsidRPr="00E60F06">
        <w:rPr>
          <w:bCs/>
          <w:szCs w:val="22"/>
          <w:lang w:val="en-GB"/>
        </w:rPr>
        <w:t>.</w:t>
      </w:r>
    </w:p>
    <w:p w:rsidR="006D3FA9" w:rsidRPr="00E60F06" w:rsidRDefault="006D3FA9" w:rsidP="006D3FA9">
      <w:pPr>
        <w:rPr>
          <w:bCs/>
          <w:szCs w:val="22"/>
          <w:lang w:val="en-GB"/>
        </w:rPr>
      </w:pPr>
    </w:p>
    <w:p w:rsidR="000A5AEC" w:rsidRPr="00E60F06" w:rsidRDefault="006D3FA9" w:rsidP="00CE18AB">
      <w:pPr>
        <w:numPr>
          <w:ilvl w:val="1"/>
          <w:numId w:val="3"/>
        </w:numPr>
        <w:contextualSpacing/>
        <w:rPr>
          <w:bCs/>
          <w:szCs w:val="22"/>
          <w:lang w:val="en-GB"/>
        </w:rPr>
      </w:pPr>
      <w:r w:rsidRPr="00E60F06">
        <w:rPr>
          <w:bCs/>
          <w:szCs w:val="22"/>
          <w:lang w:val="en-GB"/>
        </w:rPr>
        <w:t xml:space="preserve">The submission argued for the extension of the time horizon </w:t>
      </w:r>
      <w:r w:rsidR="000A5AEC" w:rsidRPr="00E60F06">
        <w:rPr>
          <w:bCs/>
          <w:szCs w:val="22"/>
          <w:lang w:val="en-GB"/>
        </w:rPr>
        <w:t xml:space="preserve">beyond the agreed 5 years </w:t>
      </w:r>
      <w:r w:rsidRPr="00E60F06">
        <w:rPr>
          <w:bCs/>
          <w:szCs w:val="22"/>
          <w:lang w:val="en-GB"/>
        </w:rPr>
        <w:t xml:space="preserve">on the basis that the modelled extrapolation of PFS suggested some patients were still progression-free </w:t>
      </w:r>
      <w:r w:rsidR="00C0723C" w:rsidRPr="00E60F06">
        <w:rPr>
          <w:bCs/>
          <w:szCs w:val="22"/>
          <w:lang w:val="en-GB"/>
        </w:rPr>
        <w:t>by year 5.</w:t>
      </w:r>
      <w:r w:rsidRPr="00E60F06">
        <w:rPr>
          <w:bCs/>
          <w:szCs w:val="22"/>
          <w:lang w:val="en-GB"/>
        </w:rPr>
        <w:t xml:space="preserve"> </w:t>
      </w:r>
      <w:r w:rsidR="00C0723C" w:rsidRPr="00E60F06">
        <w:rPr>
          <w:bCs/>
          <w:szCs w:val="22"/>
          <w:lang w:val="en-GB"/>
        </w:rPr>
        <w:t xml:space="preserve"> </w:t>
      </w:r>
      <w:r w:rsidR="00B65F34" w:rsidRPr="00E60F06">
        <w:rPr>
          <w:bCs/>
          <w:szCs w:val="22"/>
          <w:lang w:val="en-GB"/>
        </w:rPr>
        <w:t xml:space="preserve">The </w:t>
      </w:r>
      <w:r w:rsidRPr="00E60F06">
        <w:rPr>
          <w:bCs/>
          <w:szCs w:val="22"/>
          <w:lang w:val="en-GB"/>
        </w:rPr>
        <w:t xml:space="preserve">PBAC considered that this extrapolation was not strongly evidence-based, </w:t>
      </w:r>
      <w:r w:rsidR="000A5AEC" w:rsidRPr="00E60F06">
        <w:rPr>
          <w:bCs/>
          <w:szCs w:val="22"/>
          <w:lang w:val="en-GB"/>
        </w:rPr>
        <w:t xml:space="preserve">because it </w:t>
      </w:r>
      <w:r w:rsidRPr="00E60F06">
        <w:rPr>
          <w:bCs/>
          <w:szCs w:val="22"/>
          <w:lang w:val="en-GB"/>
        </w:rPr>
        <w:t xml:space="preserve">depended on </w:t>
      </w:r>
      <w:r w:rsidR="00493FB5" w:rsidRPr="00E60F06">
        <w:rPr>
          <w:bCs/>
          <w:szCs w:val="22"/>
          <w:lang w:val="en-GB"/>
        </w:rPr>
        <w:t xml:space="preserve">the </w:t>
      </w:r>
      <w:r w:rsidRPr="00E60F06">
        <w:rPr>
          <w:bCs/>
          <w:szCs w:val="22"/>
          <w:lang w:val="en-GB"/>
        </w:rPr>
        <w:t xml:space="preserve">assumptions </w:t>
      </w:r>
      <w:r w:rsidR="000A5AEC" w:rsidRPr="00E60F06">
        <w:rPr>
          <w:bCs/>
          <w:szCs w:val="22"/>
          <w:lang w:val="en-GB"/>
        </w:rPr>
        <w:t xml:space="preserve">built into the modelled extrapolation beyond the observed </w:t>
      </w:r>
      <w:r w:rsidR="00493FB5" w:rsidRPr="00E60F06">
        <w:rPr>
          <w:bCs/>
          <w:szCs w:val="22"/>
          <w:lang w:val="en-GB"/>
        </w:rPr>
        <w:t xml:space="preserve">PFS </w:t>
      </w:r>
      <w:r w:rsidR="000A5AEC" w:rsidRPr="00E60F06">
        <w:rPr>
          <w:bCs/>
          <w:szCs w:val="22"/>
          <w:lang w:val="en-GB"/>
        </w:rPr>
        <w:t xml:space="preserve">results from </w:t>
      </w:r>
      <w:r w:rsidR="00493FB5" w:rsidRPr="00E60F06">
        <w:rPr>
          <w:bCs/>
          <w:szCs w:val="22"/>
          <w:lang w:val="en-GB"/>
        </w:rPr>
        <w:t xml:space="preserve">the </w:t>
      </w:r>
      <w:r w:rsidR="000A5AEC" w:rsidRPr="00E60F06">
        <w:rPr>
          <w:bCs/>
          <w:szCs w:val="22"/>
          <w:lang w:val="en-GB"/>
        </w:rPr>
        <w:t>KN-006 trial</w:t>
      </w:r>
      <w:r w:rsidR="0071390E" w:rsidRPr="00E60F06">
        <w:rPr>
          <w:bCs/>
          <w:szCs w:val="22"/>
          <w:lang w:val="en-GB"/>
        </w:rPr>
        <w:t xml:space="preserve"> up to 13.8 months</w:t>
      </w:r>
      <w:r w:rsidR="00F84096" w:rsidRPr="00E60F06">
        <w:rPr>
          <w:bCs/>
          <w:szCs w:val="22"/>
          <w:lang w:val="en-GB"/>
        </w:rPr>
        <w:t xml:space="preserve"> mean duration of follow-up across the trial population</w:t>
      </w:r>
      <w:r w:rsidR="000A5AEC" w:rsidRPr="00E60F06">
        <w:rPr>
          <w:bCs/>
          <w:szCs w:val="22"/>
          <w:lang w:val="en-GB"/>
        </w:rPr>
        <w:t>.</w:t>
      </w:r>
    </w:p>
    <w:p w:rsidR="000A5AEC" w:rsidRPr="00E60F06" w:rsidRDefault="000A5AEC" w:rsidP="000A5AEC">
      <w:pPr>
        <w:rPr>
          <w:bCs/>
          <w:szCs w:val="22"/>
          <w:lang w:val="en-GB"/>
        </w:rPr>
      </w:pPr>
    </w:p>
    <w:p w:rsidR="00C0723C" w:rsidRPr="00E60F06" w:rsidRDefault="000A5AEC" w:rsidP="00CE18AB">
      <w:pPr>
        <w:numPr>
          <w:ilvl w:val="1"/>
          <w:numId w:val="3"/>
        </w:numPr>
        <w:contextualSpacing/>
        <w:rPr>
          <w:bCs/>
          <w:szCs w:val="22"/>
          <w:lang w:val="en-GB"/>
        </w:rPr>
      </w:pPr>
      <w:r w:rsidRPr="00E60F06">
        <w:rPr>
          <w:bCs/>
          <w:szCs w:val="22"/>
          <w:lang w:val="en-GB"/>
        </w:rPr>
        <w:t xml:space="preserve">More importantly, the PBAC considered that </w:t>
      </w:r>
      <w:r w:rsidR="00B65F34" w:rsidRPr="00E60F06">
        <w:rPr>
          <w:bCs/>
          <w:szCs w:val="22"/>
          <w:lang w:val="en-GB"/>
        </w:rPr>
        <w:t>lev</w:t>
      </w:r>
      <w:r w:rsidRPr="00E60F06">
        <w:rPr>
          <w:bCs/>
          <w:szCs w:val="22"/>
          <w:lang w:val="en-GB"/>
        </w:rPr>
        <w:t xml:space="preserve">el at which any </w:t>
      </w:r>
      <w:r w:rsidR="00A04339" w:rsidRPr="00E60F06">
        <w:rPr>
          <w:bCs/>
          <w:szCs w:val="22"/>
          <w:lang w:val="en-GB"/>
        </w:rPr>
        <w:t>“</w:t>
      </w:r>
      <w:r w:rsidRPr="00E60F06">
        <w:rPr>
          <w:bCs/>
          <w:szCs w:val="22"/>
          <w:lang w:val="en-GB"/>
        </w:rPr>
        <w:t>plateau</w:t>
      </w:r>
      <w:r w:rsidR="00A04339" w:rsidRPr="00E60F06">
        <w:rPr>
          <w:bCs/>
          <w:szCs w:val="22"/>
          <w:lang w:val="en-GB"/>
        </w:rPr>
        <w:t>”</w:t>
      </w:r>
      <w:r w:rsidRPr="00E60F06">
        <w:rPr>
          <w:bCs/>
          <w:szCs w:val="22"/>
          <w:lang w:val="en-GB"/>
        </w:rPr>
        <w:t xml:space="preserve"> </w:t>
      </w:r>
      <w:r w:rsidR="00F84096" w:rsidRPr="00E60F06">
        <w:rPr>
          <w:bCs/>
          <w:szCs w:val="22"/>
          <w:lang w:val="en-GB"/>
        </w:rPr>
        <w:t xml:space="preserve">might occur </w:t>
      </w:r>
      <w:r w:rsidRPr="00E60F06">
        <w:rPr>
          <w:bCs/>
          <w:szCs w:val="22"/>
          <w:lang w:val="en-GB"/>
        </w:rPr>
        <w:t xml:space="preserve">in </w:t>
      </w:r>
      <w:r w:rsidR="00F84096" w:rsidRPr="00E60F06">
        <w:rPr>
          <w:bCs/>
          <w:szCs w:val="22"/>
          <w:lang w:val="en-GB"/>
        </w:rPr>
        <w:t xml:space="preserve">the </w:t>
      </w:r>
      <w:r w:rsidRPr="00E60F06">
        <w:rPr>
          <w:bCs/>
          <w:szCs w:val="22"/>
          <w:lang w:val="en-GB"/>
        </w:rPr>
        <w:t>long-</w:t>
      </w:r>
      <w:r w:rsidR="00B65F34" w:rsidRPr="00E60F06">
        <w:rPr>
          <w:bCs/>
          <w:szCs w:val="22"/>
          <w:lang w:val="en-GB"/>
        </w:rPr>
        <w:t xml:space="preserve">term </w:t>
      </w:r>
      <w:r w:rsidRPr="00E60F06">
        <w:rPr>
          <w:bCs/>
          <w:szCs w:val="22"/>
          <w:lang w:val="en-GB"/>
        </w:rPr>
        <w:t xml:space="preserve">overall </w:t>
      </w:r>
      <w:r w:rsidR="00B65F34" w:rsidRPr="00E60F06">
        <w:rPr>
          <w:bCs/>
          <w:szCs w:val="22"/>
          <w:lang w:val="en-GB"/>
        </w:rPr>
        <w:t xml:space="preserve">survival of </w:t>
      </w:r>
      <w:r w:rsidR="00CE18AB" w:rsidRPr="00E60F06">
        <w:t>melanoma patients treated with immune therapies remain</w:t>
      </w:r>
      <w:r w:rsidR="00F84096" w:rsidRPr="00E60F06">
        <w:t>ed</w:t>
      </w:r>
      <w:r w:rsidR="00CE18AB" w:rsidRPr="00E60F06">
        <w:t xml:space="preserve"> uncertain. </w:t>
      </w:r>
      <w:r w:rsidRPr="00E60F06">
        <w:t xml:space="preserve"> </w:t>
      </w:r>
      <w:r w:rsidR="0059247D" w:rsidRPr="00E60F06">
        <w:t xml:space="preserve">The PBAC noted that, of the modelled incremental life-years gained of 0.90, 0.37 (42%) were modelled as being in the progression-free health state and 0.53 (58%) were modelled as being in the post-progression health state.  </w:t>
      </w:r>
      <w:r w:rsidRPr="00E60F06">
        <w:t xml:space="preserve">In relation to </w:t>
      </w:r>
      <w:r w:rsidR="0059247D" w:rsidRPr="00E60F06">
        <w:t>the level of any “plateau”</w:t>
      </w:r>
      <w:r w:rsidRPr="00E60F06">
        <w:t>,</w:t>
      </w:r>
      <w:r w:rsidR="00CE18AB" w:rsidRPr="00E60F06">
        <w:t xml:space="preserve"> the PBAC noted a recent publication of ipilimumab treatment in metastatic melanoma </w:t>
      </w:r>
      <w:r w:rsidR="003B6A1D" w:rsidRPr="00E60F06">
        <w:t>in a real world setting</w:t>
      </w:r>
      <w:r w:rsidR="00CE18AB" w:rsidRPr="00E60F06">
        <w:t xml:space="preserve"> showed that the 1- and 2-</w:t>
      </w:r>
      <w:bookmarkStart w:id="16" w:name="_GoBack"/>
      <w:bookmarkEnd w:id="16"/>
      <w:r w:rsidR="00CE18AB" w:rsidRPr="00E60F06">
        <w:t>year overall survival rates were 42% and 13%, respectively, whilst survival for ≥3 years was observed in 8.6% of patients.</w:t>
      </w:r>
      <w:r w:rsidRPr="00E60F06">
        <w:t xml:space="preserve">  Given these circumstances, the </w:t>
      </w:r>
      <w:r w:rsidR="00E17299" w:rsidRPr="00E60F06">
        <w:t xml:space="preserve">causal </w:t>
      </w:r>
      <w:r w:rsidRPr="00E60F06">
        <w:t xml:space="preserve">attribution of any claim for long-term survival in a proportion </w:t>
      </w:r>
      <w:r w:rsidR="00E17299" w:rsidRPr="00E60F06">
        <w:t>of patients commencing an immune therapy remains unclear.  Protagonists for this type of therapy</w:t>
      </w:r>
      <w:r w:rsidR="00493FB5" w:rsidRPr="00E60F06">
        <w:t xml:space="preserve"> have </w:t>
      </w:r>
      <w:r w:rsidR="00E17299" w:rsidRPr="00E60F06">
        <w:t>attribute</w:t>
      </w:r>
      <w:r w:rsidR="00493FB5" w:rsidRPr="00E60F06">
        <w:t>d</w:t>
      </w:r>
      <w:r w:rsidR="00E17299" w:rsidRPr="00E60F06">
        <w:t xml:space="preserve"> prolonged survival in a subset of patients </w:t>
      </w:r>
      <w:r w:rsidR="009C0068" w:rsidRPr="00E60F06">
        <w:t xml:space="preserve">(a “plateau”) </w:t>
      </w:r>
      <w:r w:rsidR="00E17299" w:rsidRPr="00E60F06">
        <w:t xml:space="preserve">to the use of the immune therapy for a </w:t>
      </w:r>
      <w:r w:rsidR="009D33FC" w:rsidRPr="00E60F06">
        <w:t>less prolonged duration</w:t>
      </w:r>
      <w:r w:rsidR="00E17299" w:rsidRPr="00E60F06">
        <w:t xml:space="preserve">.  However, this </w:t>
      </w:r>
      <w:r w:rsidR="00493FB5" w:rsidRPr="00E60F06">
        <w:t xml:space="preserve">attribution implicitly </w:t>
      </w:r>
      <w:r w:rsidR="00E17299" w:rsidRPr="00E60F06">
        <w:t>rel</w:t>
      </w:r>
      <w:r w:rsidR="00493FB5" w:rsidRPr="00E60F06">
        <w:t>ies</w:t>
      </w:r>
      <w:r w:rsidR="00E17299" w:rsidRPr="00E60F06">
        <w:t xml:space="preserve"> on non-randomised comparisons with other follow-up data</w:t>
      </w:r>
      <w:r w:rsidR="009D33FC" w:rsidRPr="00E60F06">
        <w:t xml:space="preserve"> following other management options</w:t>
      </w:r>
      <w:r w:rsidR="00DD076F" w:rsidRPr="00E60F06">
        <w:t xml:space="preserve"> (including no active intervention, suggesting a long-term historical survival of 10%</w:t>
      </w:r>
      <w:r w:rsidR="00530866" w:rsidRPr="00E60F06">
        <w:t xml:space="preserve">: </w:t>
      </w:r>
      <w:r w:rsidR="006F789E" w:rsidRPr="00E60F06">
        <w:t>Balch et al</w:t>
      </w:r>
      <w:r w:rsidR="00530866" w:rsidRPr="00E60F06">
        <w:t xml:space="preserve">, </w:t>
      </w:r>
      <w:r w:rsidR="006F789E" w:rsidRPr="00E60F06">
        <w:rPr>
          <w:i/>
        </w:rPr>
        <w:t>J Clin Oncol</w:t>
      </w:r>
      <w:r w:rsidR="00530866" w:rsidRPr="00E60F06">
        <w:t xml:space="preserve"> 20</w:t>
      </w:r>
      <w:r w:rsidR="006F789E" w:rsidRPr="00E60F06">
        <w:t>0</w:t>
      </w:r>
      <w:r w:rsidR="00530866" w:rsidRPr="00E60F06">
        <w:t>1;</w:t>
      </w:r>
      <w:r w:rsidR="00D44D5E" w:rsidRPr="00E60F06">
        <w:t>1</w:t>
      </w:r>
      <w:r w:rsidR="006F789E" w:rsidRPr="00E60F06">
        <w:t>9</w:t>
      </w:r>
      <w:r w:rsidR="00D44D5E" w:rsidRPr="00E60F06">
        <w:t>:</w:t>
      </w:r>
      <w:r w:rsidR="006F789E" w:rsidRPr="00E60F06">
        <w:t>363</w:t>
      </w:r>
      <w:r w:rsidR="00D44D5E" w:rsidRPr="00E60F06">
        <w:t>5-4</w:t>
      </w:r>
      <w:r w:rsidR="006F789E" w:rsidRPr="00E60F06">
        <w:t>8</w:t>
      </w:r>
      <w:r w:rsidR="00DD076F" w:rsidRPr="00E60F06">
        <w:t>)</w:t>
      </w:r>
      <w:r w:rsidR="00E17299" w:rsidRPr="00E60F06">
        <w:t>, which w</w:t>
      </w:r>
      <w:r w:rsidR="00493FB5" w:rsidRPr="00E60F06">
        <w:t>ere</w:t>
      </w:r>
      <w:r w:rsidR="00E17299" w:rsidRPr="00E60F06">
        <w:t xml:space="preserve"> not formally presented for assessment.</w:t>
      </w:r>
      <w:r w:rsidR="004048FC" w:rsidRPr="00E60F06">
        <w:t xml:space="preserve">  </w:t>
      </w:r>
      <w:r w:rsidR="003B6A1D" w:rsidRPr="00E60F06">
        <w:t>As noted previously, the PBAC accepted that immune therapy prolonged survival in a proportion of patients</w:t>
      </w:r>
      <w:r w:rsidR="007A40EA" w:rsidRPr="00E60F06">
        <w:t>,</w:t>
      </w:r>
      <w:r w:rsidR="003B6A1D" w:rsidRPr="00E60F06">
        <w:t xml:space="preserve"> however the incremental gain in survival and the duration of benefit still remain</w:t>
      </w:r>
      <w:r w:rsidR="007A40EA" w:rsidRPr="00E60F06">
        <w:t>ed</w:t>
      </w:r>
      <w:r w:rsidR="003B6A1D" w:rsidRPr="00E60F06">
        <w:t xml:space="preserve"> uncertain.  </w:t>
      </w:r>
      <w:r w:rsidR="004048FC" w:rsidRPr="00E60F06">
        <w:t>In addition, the PBAC noted that the model produced the implausible result that the effect upon PFS diminished by 5 years, but the effect in terms of OS was maintained indefinitely thereafter.  This did not support the claim, made in the 2015 submission (and not discussed in the current submission), that PFS is a robust predictor of OS (Flaherty 2014).</w:t>
      </w:r>
    </w:p>
    <w:p w:rsidR="00A04339" w:rsidRPr="00E60F06" w:rsidRDefault="00A04339" w:rsidP="00A04339">
      <w:pPr>
        <w:rPr>
          <w:bCs/>
          <w:szCs w:val="22"/>
          <w:lang w:val="en-GB"/>
        </w:rPr>
      </w:pPr>
    </w:p>
    <w:p w:rsidR="00A04339" w:rsidRPr="00E60F06" w:rsidRDefault="00A04339" w:rsidP="00CE18AB">
      <w:pPr>
        <w:numPr>
          <w:ilvl w:val="1"/>
          <w:numId w:val="3"/>
        </w:numPr>
        <w:contextualSpacing/>
        <w:rPr>
          <w:bCs/>
          <w:szCs w:val="22"/>
          <w:lang w:val="en-GB"/>
        </w:rPr>
      </w:pPr>
      <w:r w:rsidRPr="00E60F06">
        <w:rPr>
          <w:bCs/>
          <w:szCs w:val="22"/>
          <w:lang w:val="en-GB"/>
        </w:rPr>
        <w:t xml:space="preserve">The PBAC noted that no economic evaluation was presented that fully met the agreed </w:t>
      </w:r>
      <w:r w:rsidR="00B06FF5" w:rsidRPr="00E60F06">
        <w:rPr>
          <w:bCs/>
          <w:szCs w:val="22"/>
          <w:lang w:val="en-GB"/>
        </w:rPr>
        <w:t>outline of the MES as an alternative to the rejected economic evaluation.</w:t>
      </w:r>
    </w:p>
    <w:p w:rsidR="00493FB5" w:rsidRPr="00E60F06" w:rsidRDefault="00493FB5" w:rsidP="00493FB5">
      <w:pPr>
        <w:contextualSpacing/>
        <w:rPr>
          <w:bCs/>
          <w:szCs w:val="22"/>
          <w:lang w:val="en-GB"/>
        </w:rPr>
      </w:pPr>
    </w:p>
    <w:p w:rsidR="00B3282F" w:rsidRPr="00E60F06" w:rsidRDefault="00493FB5" w:rsidP="00B3282F">
      <w:pPr>
        <w:pStyle w:val="ListParagraph"/>
        <w:widowControl/>
        <w:numPr>
          <w:ilvl w:val="1"/>
          <w:numId w:val="3"/>
        </w:numPr>
        <w:rPr>
          <w:bCs/>
          <w:szCs w:val="22"/>
          <w:lang w:val="en-GB"/>
        </w:rPr>
      </w:pPr>
      <w:r w:rsidRPr="00E60F06">
        <w:rPr>
          <w:bCs/>
          <w:szCs w:val="22"/>
          <w:lang w:val="en-GB"/>
        </w:rPr>
        <w:t xml:space="preserve">The PBAC separately rejected the </w:t>
      </w:r>
      <w:r w:rsidR="00DD7116" w:rsidRPr="00E60F06">
        <w:rPr>
          <w:bCs/>
          <w:szCs w:val="22"/>
          <w:lang w:val="en-GB"/>
        </w:rPr>
        <w:t xml:space="preserve">submission’s request </w:t>
      </w:r>
      <w:r w:rsidRPr="00E60F06">
        <w:rPr>
          <w:bCs/>
          <w:szCs w:val="22"/>
          <w:lang w:val="en-GB"/>
        </w:rPr>
        <w:t xml:space="preserve">for an increase in patient numbers </w:t>
      </w:r>
      <w:r w:rsidR="00724824" w:rsidRPr="00E60F06">
        <w:rPr>
          <w:bCs/>
          <w:szCs w:val="22"/>
          <w:lang w:val="en-GB"/>
        </w:rPr>
        <w:t xml:space="preserve">contributing to </w:t>
      </w:r>
      <w:r w:rsidRPr="00E60F06">
        <w:rPr>
          <w:bCs/>
          <w:szCs w:val="22"/>
          <w:lang w:val="en-GB"/>
        </w:rPr>
        <w:t xml:space="preserve">the </w:t>
      </w:r>
      <w:r w:rsidR="000F694F" w:rsidRPr="00E60F06">
        <w:rPr>
          <w:bCs/>
          <w:szCs w:val="22"/>
          <w:lang w:val="en-GB"/>
        </w:rPr>
        <w:t>risk share arrangements (</w:t>
      </w:r>
      <w:r w:rsidR="00DD7116" w:rsidRPr="00E60F06">
        <w:rPr>
          <w:bCs/>
          <w:szCs w:val="22"/>
          <w:lang w:val="en-GB"/>
        </w:rPr>
        <w:t>RSA</w:t>
      </w:r>
      <w:r w:rsidR="000F694F" w:rsidRPr="00E60F06">
        <w:rPr>
          <w:bCs/>
          <w:szCs w:val="22"/>
          <w:lang w:val="en-GB"/>
        </w:rPr>
        <w:t>)</w:t>
      </w:r>
      <w:r w:rsidR="00B942DD" w:rsidRPr="00E60F06">
        <w:rPr>
          <w:bCs/>
          <w:szCs w:val="22"/>
          <w:lang w:val="en-GB"/>
        </w:rPr>
        <w:t xml:space="preserve"> </w:t>
      </w:r>
      <w:r w:rsidR="00DD076F" w:rsidRPr="00E60F06">
        <w:rPr>
          <w:bCs/>
          <w:szCs w:val="22"/>
          <w:lang w:val="en-GB"/>
        </w:rPr>
        <w:t xml:space="preserve">noting </w:t>
      </w:r>
      <w:r w:rsidR="00B942DD" w:rsidRPr="00E60F06">
        <w:rPr>
          <w:bCs/>
          <w:szCs w:val="22"/>
          <w:lang w:val="en-GB"/>
        </w:rPr>
        <w:t xml:space="preserve">concerns about the </w:t>
      </w:r>
      <w:r w:rsidR="00724824" w:rsidRPr="00E60F06">
        <w:rPr>
          <w:bCs/>
          <w:szCs w:val="22"/>
          <w:lang w:val="en-GB"/>
        </w:rPr>
        <w:t xml:space="preserve">basis for estimating the </w:t>
      </w:r>
      <w:r w:rsidR="00B942DD" w:rsidRPr="00E60F06">
        <w:rPr>
          <w:bCs/>
          <w:szCs w:val="22"/>
          <w:lang w:val="en-GB"/>
        </w:rPr>
        <w:t>duration of pembrolizumab</w:t>
      </w:r>
      <w:r w:rsidR="00724824" w:rsidRPr="00E60F06">
        <w:rPr>
          <w:bCs/>
          <w:szCs w:val="22"/>
          <w:lang w:val="en-GB"/>
        </w:rPr>
        <w:t xml:space="preserve"> treatment</w:t>
      </w:r>
      <w:r w:rsidR="00130973" w:rsidRPr="00E60F06">
        <w:rPr>
          <w:bCs/>
          <w:szCs w:val="22"/>
          <w:lang w:val="en-GB"/>
        </w:rPr>
        <w:t xml:space="preserve">, which increased the numbers of patients assumed to receive treatment for more than a year, and the </w:t>
      </w:r>
      <w:r w:rsidR="00724824" w:rsidRPr="00E60F06">
        <w:rPr>
          <w:bCs/>
          <w:szCs w:val="22"/>
          <w:lang w:val="en-GB"/>
        </w:rPr>
        <w:t xml:space="preserve">basis for estimating the </w:t>
      </w:r>
      <w:r w:rsidR="00130973" w:rsidRPr="00E60F06">
        <w:rPr>
          <w:bCs/>
          <w:szCs w:val="22"/>
          <w:lang w:val="en-GB"/>
        </w:rPr>
        <w:t>uptake rates</w:t>
      </w:r>
      <w:r w:rsidR="00724824" w:rsidRPr="00E60F06">
        <w:rPr>
          <w:bCs/>
          <w:szCs w:val="22"/>
          <w:lang w:val="en-GB"/>
        </w:rPr>
        <w:t>, which</w:t>
      </w:r>
      <w:r w:rsidR="00130973" w:rsidRPr="00E60F06">
        <w:rPr>
          <w:bCs/>
          <w:szCs w:val="22"/>
          <w:lang w:val="en-GB"/>
        </w:rPr>
        <w:t xml:space="preserve"> were likely to be biased upwards</w:t>
      </w:r>
      <w:r w:rsidR="00B3282F" w:rsidRPr="00E60F06">
        <w:rPr>
          <w:bCs/>
          <w:szCs w:val="22"/>
          <w:lang w:val="en-GB"/>
        </w:rPr>
        <w:t>.</w:t>
      </w:r>
    </w:p>
    <w:p w:rsidR="00B3282F" w:rsidRPr="00E60F06" w:rsidRDefault="00B3282F" w:rsidP="00B3282F">
      <w:pPr>
        <w:widowControl/>
        <w:rPr>
          <w:szCs w:val="22"/>
        </w:rPr>
      </w:pPr>
    </w:p>
    <w:p w:rsidR="00B3282F" w:rsidRPr="00E60F06" w:rsidRDefault="00B3282F" w:rsidP="00B3282F">
      <w:pPr>
        <w:pStyle w:val="ListParagraph"/>
        <w:widowControl/>
        <w:numPr>
          <w:ilvl w:val="1"/>
          <w:numId w:val="3"/>
        </w:numPr>
        <w:rPr>
          <w:szCs w:val="22"/>
        </w:rPr>
      </w:pPr>
      <w:r w:rsidRPr="00E60F06">
        <w:rPr>
          <w:bCs/>
          <w:szCs w:val="22"/>
          <w:lang w:val="en-GB"/>
        </w:rPr>
        <w:t>The PBAC was not persuaded by further arguments in the Pre-PBAC Response for increasing the patient numbers which were either based on the first few months of listing – reflecting initial experience in the context of a prevalence pool (“pent up demand”) rather than the incidence-based approach proposed by the submission, or apparently and implausibly assum</w:t>
      </w:r>
      <w:r w:rsidR="000F694F" w:rsidRPr="00E60F06">
        <w:rPr>
          <w:bCs/>
          <w:szCs w:val="22"/>
          <w:lang w:val="en-GB"/>
        </w:rPr>
        <w:t>ing</w:t>
      </w:r>
      <w:r w:rsidRPr="00E60F06">
        <w:rPr>
          <w:bCs/>
          <w:szCs w:val="22"/>
          <w:lang w:val="en-GB"/>
        </w:rPr>
        <w:t xml:space="preserve"> that trials in malignant melanoma would cease with the listing of pembrolizumab.</w:t>
      </w:r>
      <w:r w:rsidR="001D2C24" w:rsidRPr="00E60F06">
        <w:rPr>
          <w:bCs/>
          <w:szCs w:val="22"/>
          <w:lang w:val="en-GB"/>
        </w:rPr>
        <w:t xml:space="preserve">  The PBAC was also aware that the patient numbers in the existing RSA had already been increased to account for the claim that more patients were likely to be treated with pembrolizumab than ipilimumab.</w:t>
      </w:r>
    </w:p>
    <w:p w:rsidR="00B3282F" w:rsidRPr="00E60F06" w:rsidRDefault="00B3282F" w:rsidP="00B3282F">
      <w:pPr>
        <w:widowControl/>
        <w:rPr>
          <w:szCs w:val="22"/>
        </w:rPr>
      </w:pPr>
    </w:p>
    <w:p w:rsidR="00493FB5" w:rsidRPr="00E60F06" w:rsidRDefault="00724824" w:rsidP="00493FB5">
      <w:pPr>
        <w:numPr>
          <w:ilvl w:val="1"/>
          <w:numId w:val="3"/>
        </w:numPr>
        <w:contextualSpacing/>
        <w:rPr>
          <w:bCs/>
          <w:szCs w:val="22"/>
          <w:lang w:val="en-GB"/>
        </w:rPr>
      </w:pPr>
      <w:r w:rsidRPr="00E60F06">
        <w:rPr>
          <w:bCs/>
          <w:szCs w:val="22"/>
          <w:lang w:val="en-GB"/>
        </w:rPr>
        <w:t xml:space="preserve">Recalling that it had previously </w:t>
      </w:r>
      <w:r w:rsidR="00A676D4" w:rsidRPr="00E60F06">
        <w:rPr>
          <w:bCs/>
          <w:szCs w:val="22"/>
          <w:lang w:val="en-GB"/>
        </w:rPr>
        <w:t>considered that the annual numbers of patients projected from an epidemiological basis were overestimated, the PBAC was not satisfied that the current basis for this aspect of the RSA should be supplanted.</w:t>
      </w:r>
    </w:p>
    <w:p w:rsidR="000F694F" w:rsidRPr="00E60F06" w:rsidRDefault="000F694F" w:rsidP="000F694F">
      <w:pPr>
        <w:contextualSpacing/>
        <w:rPr>
          <w:bCs/>
          <w:szCs w:val="22"/>
          <w:lang w:val="en-GB"/>
        </w:rPr>
      </w:pPr>
    </w:p>
    <w:p w:rsidR="000F694F" w:rsidRPr="00E60F06" w:rsidRDefault="000F694F" w:rsidP="000F694F">
      <w:pPr>
        <w:numPr>
          <w:ilvl w:val="1"/>
          <w:numId w:val="3"/>
        </w:numPr>
        <w:contextualSpacing/>
        <w:rPr>
          <w:bCs/>
          <w:szCs w:val="22"/>
          <w:lang w:val="en-GB"/>
        </w:rPr>
      </w:pPr>
      <w:r w:rsidRPr="00E60F06">
        <w:rPr>
          <w:bCs/>
          <w:szCs w:val="22"/>
          <w:lang w:val="en-GB"/>
        </w:rPr>
        <w:t xml:space="preserve">The PBAC also noted that, since the Deed of Agreement, it had recommended nivolumab be listed </w:t>
      </w:r>
      <w:r w:rsidRPr="00E60F06">
        <w:t>for the treatment of unresectable Stage III or Stage IV metastatic melanoma,</w:t>
      </w:r>
      <w:r w:rsidRPr="00E60F06">
        <w:rPr>
          <w:bCs/>
          <w:szCs w:val="22"/>
          <w:lang w:val="en-GB"/>
        </w:rPr>
        <w:t xml:space="preserve"> considering that nivolumab is non-inferior to pembrolizumab.  Further, “[t]he PBAC recommended that the pricing of nivolumab upon PBS listing be determined only with reference to the initial pricing conditions of the pembrolizumab MES.  Any future pricing adjustment that may be sought for pembrolizumab as part of the conditions of the pembrolizumab MES would not apply to nivolumab, thus providing the Commonwealth certainty of the nivolumab pricing.  Future applications to prove cost effectiveness of nivolumab over pembrolizumab may be made at any time by the sponsor, if warranted by future clinical trial data. In the unlikely event that the pembrolizumab MES reveals pembrolizumab to be clinically inferior to ipilimumab, then the cost per patient to the PBS for both pembrolizumab and nivolumab monotherapy would need to be reconsidered.  The PBAC noted that a rebating arrangement would be needed to achieve the intended pricing outcome.  </w:t>
      </w:r>
      <w:r w:rsidRPr="00E60F06">
        <w:rPr>
          <w:bCs/>
          <w:szCs w:val="22"/>
        </w:rPr>
        <w:t>The Committee recommended that the Department negotiate a rebating arrangement with the sponsor in a manner that can be implemented and managed by the Department</w:t>
      </w:r>
      <w:r w:rsidRPr="00E60F06">
        <w:rPr>
          <w:bCs/>
          <w:szCs w:val="22"/>
          <w:lang w:val="en-GB"/>
        </w:rPr>
        <w:t>.” (paragraph 7.6, Nivolumab PSD November 2015 PBAC meeting)  The PBAC noted that, in the event that nivolumab is listed on the PBS on the basis of this recommendation, the price and RSA of pembrolizumab would also be linked to the price and RSA of nivolumab, which would remain consistent with the initial pricing and RSA conditions of the pembrolizumab MES.</w:t>
      </w:r>
    </w:p>
    <w:p w:rsidR="000F694F" w:rsidRPr="00E60F06" w:rsidRDefault="000F694F" w:rsidP="000F694F">
      <w:pPr>
        <w:contextualSpacing/>
        <w:rPr>
          <w:bCs/>
          <w:szCs w:val="22"/>
          <w:lang w:val="en-GB"/>
        </w:rPr>
      </w:pPr>
    </w:p>
    <w:p w:rsidR="006D3FA9" w:rsidRPr="00E60F06" w:rsidRDefault="006D3FA9" w:rsidP="00B06FF5">
      <w:pPr>
        <w:numPr>
          <w:ilvl w:val="1"/>
          <w:numId w:val="3"/>
        </w:numPr>
        <w:contextualSpacing/>
        <w:rPr>
          <w:bCs/>
          <w:szCs w:val="22"/>
          <w:lang w:val="en-GB"/>
        </w:rPr>
      </w:pPr>
      <w:r w:rsidRPr="00E60F06">
        <w:rPr>
          <w:bCs/>
          <w:szCs w:val="22"/>
          <w:lang w:val="en-GB"/>
        </w:rPr>
        <w:t xml:space="preserve">The PBAC </w:t>
      </w:r>
      <w:r w:rsidR="00B3282F" w:rsidRPr="00E60F06">
        <w:rPr>
          <w:bCs/>
          <w:szCs w:val="22"/>
          <w:lang w:val="en-GB"/>
        </w:rPr>
        <w:t xml:space="preserve">then </w:t>
      </w:r>
      <w:r w:rsidRPr="00E60F06">
        <w:rPr>
          <w:bCs/>
          <w:szCs w:val="22"/>
          <w:lang w:val="en-GB"/>
        </w:rPr>
        <w:t xml:space="preserve">noted that key aspects of its March 2015 requests relating to the specification of the economic evaluation to be presented at the end of the MES had not been adhered to despite the sponsor’s confirmation that it would do so in the subsequent Deed of Agreement.  The PBAC stated that it expected that its requests would first be adhered to in full as an initial base case economic evaluation at the end of the MES.  Then it </w:t>
      </w:r>
      <w:r w:rsidR="00B06FF5" w:rsidRPr="00E60F06">
        <w:rPr>
          <w:bCs/>
          <w:szCs w:val="22"/>
          <w:lang w:val="en-GB"/>
        </w:rPr>
        <w:t>may</w:t>
      </w:r>
      <w:r w:rsidRPr="00E60F06">
        <w:rPr>
          <w:bCs/>
          <w:szCs w:val="22"/>
          <w:lang w:val="en-GB"/>
        </w:rPr>
        <w:t xml:space="preserve"> also be appropriate to identify what else might have emerged since the start of the MES, and to present the consequences of these unforeseen circumstances in a revised economic evaluation for PBAC consideration alongside the initial</w:t>
      </w:r>
      <w:r w:rsidR="00B06FF5" w:rsidRPr="00E60F06">
        <w:rPr>
          <w:bCs/>
          <w:szCs w:val="22"/>
          <w:lang w:val="en-GB"/>
        </w:rPr>
        <w:t>ly agreed</w:t>
      </w:r>
      <w:r w:rsidRPr="00E60F06">
        <w:rPr>
          <w:bCs/>
          <w:szCs w:val="22"/>
          <w:lang w:val="en-GB"/>
        </w:rPr>
        <w:t xml:space="preserve"> base case.  This could be accompanied by arguments in the submission for why the alternative economic evaluation should instead be relied upon by the PBAC.</w:t>
      </w:r>
    </w:p>
    <w:p w:rsidR="006D3FA9" w:rsidRPr="00E60F06" w:rsidRDefault="006D3FA9" w:rsidP="006D3FA9">
      <w:pPr>
        <w:contextualSpacing/>
        <w:rPr>
          <w:bCs/>
          <w:szCs w:val="22"/>
          <w:lang w:val="en-GB"/>
        </w:rPr>
      </w:pPr>
    </w:p>
    <w:p w:rsidR="006D3FA9" w:rsidRPr="00E60F06" w:rsidRDefault="006D3FA9" w:rsidP="00B06FF5">
      <w:pPr>
        <w:numPr>
          <w:ilvl w:val="1"/>
          <w:numId w:val="3"/>
        </w:numPr>
        <w:contextualSpacing/>
        <w:rPr>
          <w:bCs/>
          <w:szCs w:val="22"/>
          <w:lang w:val="en-GB"/>
        </w:rPr>
      </w:pPr>
      <w:r w:rsidRPr="00E60F06">
        <w:rPr>
          <w:bCs/>
          <w:szCs w:val="22"/>
          <w:lang w:val="en-GB"/>
        </w:rPr>
        <w:t>Similarly, the PBAC noted that other unforeseen circumstances may also relevant to its reconsideration, despite not being included in the submission to close the MES.  In this case, the listing of nivolumab as monotherapy for melanoma on a cost-minimisation basis against pembrolizumab as listed at the start of the MES was unforeseen in March 2015, but now has relevant consequences for the implementation of any PBAC recommendation about the price of pembrolizumab following the completion of the MES.</w:t>
      </w:r>
    </w:p>
    <w:p w:rsidR="006D3FA9" w:rsidRPr="00E60F06" w:rsidRDefault="006D3FA9" w:rsidP="006D3FA9">
      <w:pPr>
        <w:contextualSpacing/>
        <w:rPr>
          <w:bCs/>
          <w:szCs w:val="22"/>
          <w:lang w:val="en-GB"/>
        </w:rPr>
      </w:pPr>
    </w:p>
    <w:p w:rsidR="006D3FA9" w:rsidRPr="00E60F06" w:rsidRDefault="006D3FA9" w:rsidP="00B06FF5">
      <w:pPr>
        <w:numPr>
          <w:ilvl w:val="1"/>
          <w:numId w:val="3"/>
        </w:numPr>
        <w:contextualSpacing/>
        <w:rPr>
          <w:bCs/>
          <w:szCs w:val="22"/>
          <w:lang w:val="en-GB"/>
        </w:rPr>
      </w:pPr>
      <w:r w:rsidRPr="00E60F06">
        <w:rPr>
          <w:bCs/>
          <w:szCs w:val="22"/>
          <w:lang w:val="en-GB"/>
        </w:rPr>
        <w:t xml:space="preserve">However, the PBAC remained concerned that its confidence in the value of the MES framework overall is diminished if any aspect of what is requested and agreed at the outset is not subsequently presented at all.  </w:t>
      </w:r>
      <w:r w:rsidR="00B06FF5" w:rsidRPr="00E60F06">
        <w:rPr>
          <w:bCs/>
          <w:szCs w:val="22"/>
          <w:lang w:val="en-GB"/>
        </w:rPr>
        <w:t>As the MES agreements are formalised in Deeds of Agreement that can also include other components such as Risk Share Arrangements and Special Price Arrangements, th</w:t>
      </w:r>
      <w:r w:rsidR="007560D7" w:rsidRPr="00E60F06">
        <w:rPr>
          <w:bCs/>
          <w:szCs w:val="22"/>
          <w:lang w:val="en-GB"/>
        </w:rPr>
        <w:t xml:space="preserve">e failure to provide </w:t>
      </w:r>
      <w:r w:rsidR="00B06FF5" w:rsidRPr="00E60F06">
        <w:rPr>
          <w:bCs/>
          <w:szCs w:val="22"/>
          <w:lang w:val="en-GB"/>
        </w:rPr>
        <w:t>what h</w:t>
      </w:r>
      <w:r w:rsidR="007560D7" w:rsidRPr="00E60F06">
        <w:rPr>
          <w:bCs/>
          <w:szCs w:val="22"/>
          <w:lang w:val="en-GB"/>
        </w:rPr>
        <w:t>ad previously been agreed raised</w:t>
      </w:r>
      <w:r w:rsidR="00B06FF5" w:rsidRPr="00E60F06">
        <w:rPr>
          <w:bCs/>
          <w:szCs w:val="22"/>
          <w:lang w:val="en-GB"/>
        </w:rPr>
        <w:t xml:space="preserve"> wider concerns about the confidence the Commonwealth can have in the wider Deed of Agreement framework.  </w:t>
      </w:r>
      <w:r w:rsidRPr="00E60F06">
        <w:rPr>
          <w:bCs/>
          <w:szCs w:val="22"/>
          <w:lang w:val="en-GB"/>
        </w:rPr>
        <w:t xml:space="preserve">Accordingly, the PBAC requested that the Department advise on the options (legal and otherwise) which may be explored in the event that any particular aspect of </w:t>
      </w:r>
      <w:r w:rsidR="00B06FF5" w:rsidRPr="00E60F06">
        <w:rPr>
          <w:bCs/>
          <w:szCs w:val="22"/>
          <w:lang w:val="en-GB"/>
        </w:rPr>
        <w:t>a</w:t>
      </w:r>
      <w:r w:rsidRPr="00E60F06">
        <w:rPr>
          <w:bCs/>
          <w:szCs w:val="22"/>
          <w:lang w:val="en-GB"/>
        </w:rPr>
        <w:t xml:space="preserve"> Deed of Agreement is ignored.</w:t>
      </w:r>
    </w:p>
    <w:p w:rsidR="00423721" w:rsidRPr="00E60F06" w:rsidRDefault="00423721" w:rsidP="00F54FF5">
      <w:pPr>
        <w:contextualSpacing/>
        <w:rPr>
          <w:bCs/>
          <w:szCs w:val="22"/>
          <w:lang w:val="en-GB"/>
        </w:rPr>
      </w:pPr>
    </w:p>
    <w:p w:rsidR="00423721" w:rsidRPr="00E60F06" w:rsidRDefault="00423721" w:rsidP="00CE18AB">
      <w:pPr>
        <w:numPr>
          <w:ilvl w:val="1"/>
          <w:numId w:val="3"/>
        </w:numPr>
        <w:contextualSpacing/>
        <w:rPr>
          <w:szCs w:val="22"/>
          <w:lang w:val="en-GB"/>
        </w:rPr>
      </w:pPr>
      <w:r w:rsidRPr="00E60F06">
        <w:rPr>
          <w:bCs/>
          <w:szCs w:val="22"/>
          <w:lang w:val="en-GB"/>
        </w:rPr>
        <w:t>The PBAC noted that this submission is not eligible for an Independent Review</w:t>
      </w:r>
      <w:r w:rsidR="00CE18AB" w:rsidRPr="00E60F06">
        <w:rPr>
          <w:bCs/>
          <w:szCs w:val="22"/>
          <w:lang w:val="en-GB"/>
        </w:rPr>
        <w:t xml:space="preserve"> as an Independent Review is not available in response to a request to modify or extend an existing listing</w:t>
      </w:r>
      <w:r w:rsidRPr="00E60F06">
        <w:rPr>
          <w:bCs/>
          <w:szCs w:val="22"/>
          <w:lang w:val="en-GB"/>
        </w:rPr>
        <w:t xml:space="preserve">. </w:t>
      </w:r>
    </w:p>
    <w:p w:rsidR="00423721" w:rsidRPr="00E60F06" w:rsidRDefault="00423721" w:rsidP="00423721">
      <w:pPr>
        <w:rPr>
          <w:bCs/>
          <w:szCs w:val="22"/>
          <w:lang w:val="en-GB"/>
        </w:rPr>
      </w:pPr>
    </w:p>
    <w:p w:rsidR="00423721" w:rsidRPr="00E60F06" w:rsidRDefault="00423721" w:rsidP="00423721">
      <w:pPr>
        <w:rPr>
          <w:b/>
          <w:bCs/>
          <w:i/>
          <w:szCs w:val="22"/>
          <w:lang w:val="en-GB"/>
        </w:rPr>
      </w:pPr>
      <w:r w:rsidRPr="00E60F06">
        <w:rPr>
          <w:b/>
          <w:bCs/>
          <w:i/>
          <w:szCs w:val="22"/>
          <w:lang w:val="en-GB"/>
        </w:rPr>
        <w:t>Outcome:</w:t>
      </w:r>
    </w:p>
    <w:p w:rsidR="00423721" w:rsidRPr="00E60F06" w:rsidRDefault="00423721" w:rsidP="00423721">
      <w:pPr>
        <w:rPr>
          <w:bCs/>
          <w:szCs w:val="22"/>
          <w:lang w:val="en-GB"/>
        </w:rPr>
      </w:pPr>
      <w:r w:rsidRPr="00E60F06">
        <w:rPr>
          <w:bCs/>
          <w:szCs w:val="22"/>
          <w:lang w:val="en-GB"/>
        </w:rPr>
        <w:t>Rejected</w:t>
      </w:r>
    </w:p>
    <w:p w:rsidR="00B46106" w:rsidRPr="00E60F06" w:rsidRDefault="00B46106" w:rsidP="00423721">
      <w:pPr>
        <w:rPr>
          <w:bCs/>
          <w:szCs w:val="22"/>
          <w:lang w:val="en-GB"/>
        </w:rPr>
      </w:pPr>
    </w:p>
    <w:p w:rsidR="00423721" w:rsidRPr="00E60F06" w:rsidRDefault="00423721" w:rsidP="00423721">
      <w:pPr>
        <w:rPr>
          <w:bCs/>
          <w:szCs w:val="22"/>
          <w:lang w:val="en-GB"/>
        </w:rPr>
      </w:pPr>
    </w:p>
    <w:p w:rsidR="00423721" w:rsidRPr="00E60F06" w:rsidRDefault="00423721" w:rsidP="00423721">
      <w:pPr>
        <w:numPr>
          <w:ilvl w:val="0"/>
          <w:numId w:val="3"/>
        </w:numPr>
        <w:rPr>
          <w:b/>
          <w:bCs/>
          <w:szCs w:val="22"/>
          <w:lang w:val="en-GB"/>
        </w:rPr>
      </w:pPr>
      <w:r w:rsidRPr="00E60F06">
        <w:rPr>
          <w:b/>
          <w:bCs/>
          <w:szCs w:val="22"/>
          <w:lang w:val="en-GB"/>
        </w:rPr>
        <w:t>Recommended listing</w:t>
      </w:r>
    </w:p>
    <w:p w:rsidR="00423721" w:rsidRPr="00E60F06" w:rsidRDefault="00423721" w:rsidP="00423721">
      <w:pPr>
        <w:rPr>
          <w:b/>
          <w:bCs/>
          <w:i/>
          <w:szCs w:val="22"/>
          <w:lang w:val="en-GB"/>
        </w:rPr>
      </w:pPr>
    </w:p>
    <w:p w:rsidR="00423721" w:rsidRPr="00E60F06" w:rsidRDefault="00423721" w:rsidP="00423721">
      <w:pPr>
        <w:ind w:firstLine="720"/>
        <w:rPr>
          <w:bCs/>
          <w:szCs w:val="22"/>
        </w:rPr>
      </w:pPr>
      <w:r w:rsidRPr="00E60F06">
        <w:rPr>
          <w:bCs/>
          <w:szCs w:val="22"/>
        </w:rPr>
        <w:t>No change to the existing listing</w:t>
      </w:r>
    </w:p>
    <w:p w:rsidR="00423721" w:rsidRDefault="00423721" w:rsidP="00423721">
      <w:pPr>
        <w:pStyle w:val="NoSpacing"/>
        <w:rPr>
          <w:lang w:val="en-GB"/>
        </w:rPr>
      </w:pPr>
    </w:p>
    <w:p w:rsidR="00E60F06" w:rsidRPr="00E60F06" w:rsidRDefault="00E60F06" w:rsidP="00423721">
      <w:pPr>
        <w:pStyle w:val="NoSpacing"/>
        <w:rPr>
          <w:lang w:val="en-GB"/>
        </w:rPr>
      </w:pPr>
    </w:p>
    <w:p w:rsidR="004368F7" w:rsidRPr="00E60F06" w:rsidRDefault="004368F7" w:rsidP="004368F7">
      <w:pPr>
        <w:pStyle w:val="PBACHeading1"/>
      </w:pPr>
      <w:r w:rsidRPr="00E60F06">
        <w:t>Context for Decision</w:t>
      </w:r>
    </w:p>
    <w:p w:rsidR="004368F7" w:rsidRPr="00E60F06" w:rsidRDefault="004368F7" w:rsidP="004368F7">
      <w:pPr>
        <w:ind w:left="720"/>
      </w:pPr>
    </w:p>
    <w:p w:rsidR="004368F7" w:rsidRPr="00E60F06" w:rsidRDefault="004368F7" w:rsidP="004368F7">
      <w:pPr>
        <w:ind w:left="720"/>
      </w:pPr>
      <w:r w:rsidRPr="00E60F0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368F7" w:rsidRDefault="004368F7" w:rsidP="004368F7">
      <w:pPr>
        <w:ind w:left="720"/>
      </w:pPr>
    </w:p>
    <w:p w:rsidR="00E60F06" w:rsidRPr="00E60F06" w:rsidRDefault="00E60F06" w:rsidP="004368F7">
      <w:pPr>
        <w:ind w:left="720"/>
      </w:pPr>
    </w:p>
    <w:p w:rsidR="004368F7" w:rsidRPr="00E60F06" w:rsidRDefault="004368F7" w:rsidP="004368F7">
      <w:pPr>
        <w:pStyle w:val="PBACHeading1"/>
      </w:pPr>
      <w:r w:rsidRPr="00E60F06">
        <w:t>Sponsor’s Comment</w:t>
      </w:r>
    </w:p>
    <w:p w:rsidR="004368F7" w:rsidRPr="00E60F06" w:rsidRDefault="004368F7" w:rsidP="004368F7">
      <w:pPr>
        <w:ind w:left="720"/>
        <w:rPr>
          <w:bCs/>
          <w:lang w:val="en-GB"/>
        </w:rPr>
      </w:pPr>
    </w:p>
    <w:p w:rsidR="00E60F06" w:rsidRDefault="00E60F06" w:rsidP="00E60F06">
      <w:pPr>
        <w:ind w:left="720"/>
      </w:pPr>
      <w:r w:rsidRPr="00E60F06">
        <w:t>MSD wishes to clarify the following matters raised in the minutes:</w:t>
      </w:r>
    </w:p>
    <w:p w:rsidR="00E60F06" w:rsidRDefault="00E60F06" w:rsidP="00E60F06">
      <w:pPr>
        <w:pStyle w:val="ListParagraph"/>
        <w:numPr>
          <w:ilvl w:val="0"/>
          <w:numId w:val="21"/>
        </w:numPr>
      </w:pPr>
      <w:r w:rsidRPr="00E60F06">
        <w:t>The submission provided a sensitivity analysis using the 5 year time horizon as required in the Deed (para 3.6 and 3.7)</w:t>
      </w:r>
    </w:p>
    <w:p w:rsidR="00E60F06" w:rsidRDefault="00E60F06" w:rsidP="00E60F06">
      <w:pPr>
        <w:pStyle w:val="ListParagraph"/>
        <w:numPr>
          <w:ilvl w:val="0"/>
          <w:numId w:val="21"/>
        </w:numPr>
      </w:pPr>
      <w:r w:rsidRPr="00E60F06">
        <w:t>MSD disagrees this submission brings to a close the managed entry scheme (MES) component of the Deed of Agreement (para 7.2). This misrepresents the content of the Deed because there are provisions enabling MSD to make an additional submission. The Deed provides for a process of good faith negotiations before any changes are made to any MES set up by the Deed.  It follows that any decision to close the MES would be by the agreement of both parties</w:t>
      </w:r>
    </w:p>
    <w:p w:rsidR="00E60F06" w:rsidRPr="00E60F06" w:rsidRDefault="00E60F06" w:rsidP="00E60F06">
      <w:pPr>
        <w:pStyle w:val="ListParagraph"/>
        <w:numPr>
          <w:ilvl w:val="0"/>
          <w:numId w:val="21"/>
        </w:numPr>
      </w:pPr>
      <w:r w:rsidRPr="00E60F06">
        <w:t>The “unforeseen circumstance” of the listing nivolumab on a cost minimization basis to pembrolizumab (para 7.13) misrepresents the both the 2011 MES policy and the draft 2015 Managed Access Program policy. There is nothing unforeseen about the listing of a second drug and this does not change the incremental benefit (the “QALY gain”) that the first product in the scheme would have over the original comparator</w:t>
      </w:r>
    </w:p>
    <w:p w:rsidR="00E60F06" w:rsidRPr="00E60F06" w:rsidRDefault="00E60F06" w:rsidP="00E60F06">
      <w:pPr>
        <w:pStyle w:val="ListParagraph"/>
        <w:ind w:hanging="360"/>
        <w:jc w:val="left"/>
      </w:pPr>
      <w:r w:rsidRPr="00E60F06">
        <w:t> </w:t>
      </w:r>
    </w:p>
    <w:p w:rsidR="00DF44D1" w:rsidRPr="00E62EDA" w:rsidRDefault="00E60F06" w:rsidP="00E60F06">
      <w:pPr>
        <w:pStyle w:val="ListParagraph"/>
      </w:pPr>
      <w:r w:rsidRPr="00E60F06">
        <w:t>The PBAC has accepted pembrolizumab’s superiority claim over ipilimumab, hence MSD finds the conclusion that the submission did not provide sufficient basis to justify any change in the conditions over ipilimumab difficult to understand. Pembrolizumab has already benefitted hundreds of PBS patients, at a cost to Government that substantially undervalues the product. MSD will lodge a further submission to ensure that pembrolizumab is fairly evaluated and that its incremental value over ipilimumab appropriately recognised</w:t>
      </w:r>
      <w:r>
        <w:t>.</w:t>
      </w:r>
    </w:p>
    <w:sectPr w:rsidR="00DF44D1" w:rsidRPr="00E62EDA" w:rsidSect="00E62ED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03" w:rsidRDefault="007F3403" w:rsidP="00124A51">
      <w:r>
        <w:separator/>
      </w:r>
    </w:p>
  </w:endnote>
  <w:endnote w:type="continuationSeparator" w:id="0">
    <w:p w:rsidR="007F3403" w:rsidRDefault="007F340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03" w:rsidRDefault="007F3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8674"/>
      <w:docPartObj>
        <w:docPartGallery w:val="Page Numbers (Bottom of Page)"/>
        <w:docPartUnique/>
      </w:docPartObj>
    </w:sdtPr>
    <w:sdtEndPr>
      <w:rPr>
        <w:noProof/>
        <w:sz w:val="20"/>
      </w:rPr>
    </w:sdtEndPr>
    <w:sdtContent>
      <w:p w:rsidR="00B26FD8" w:rsidRPr="00B46106" w:rsidRDefault="00B26FD8">
        <w:pPr>
          <w:pStyle w:val="Footer"/>
          <w:jc w:val="center"/>
          <w:rPr>
            <w:sz w:val="20"/>
          </w:rPr>
        </w:pPr>
        <w:r w:rsidRPr="00B46106">
          <w:rPr>
            <w:sz w:val="20"/>
          </w:rPr>
          <w:fldChar w:fldCharType="begin"/>
        </w:r>
        <w:r w:rsidRPr="00B46106">
          <w:rPr>
            <w:sz w:val="20"/>
          </w:rPr>
          <w:instrText xml:space="preserve"> PAGE   \* MERGEFORMAT </w:instrText>
        </w:r>
        <w:r w:rsidRPr="00B46106">
          <w:rPr>
            <w:sz w:val="20"/>
          </w:rPr>
          <w:fldChar w:fldCharType="separate"/>
        </w:r>
        <w:r w:rsidR="00B85677">
          <w:rPr>
            <w:noProof/>
            <w:sz w:val="20"/>
          </w:rPr>
          <w:t>22</w:t>
        </w:r>
        <w:r w:rsidRPr="00B46106">
          <w:rPr>
            <w:noProof/>
            <w:sz w:val="20"/>
          </w:rPr>
          <w:fldChar w:fldCharType="end"/>
        </w:r>
      </w:p>
    </w:sdtContent>
  </w:sdt>
  <w:p w:rsidR="00B26FD8" w:rsidRPr="00F50EFA" w:rsidRDefault="00B26FD8">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03" w:rsidRDefault="007F3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03" w:rsidRDefault="007F3403" w:rsidP="00124A51">
      <w:r>
        <w:separator/>
      </w:r>
    </w:p>
  </w:footnote>
  <w:footnote w:type="continuationSeparator" w:id="0">
    <w:p w:rsidR="007F3403" w:rsidRDefault="007F3403"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03" w:rsidRDefault="007F3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D8" w:rsidRDefault="00B26FD8" w:rsidP="000C2BCE">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Meeting</w:t>
    </w:r>
  </w:p>
  <w:p w:rsidR="00B26FD8" w:rsidRDefault="00B26F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03" w:rsidRDefault="007F3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6F00B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623BE"/>
    <w:multiLevelType w:val="hybridMultilevel"/>
    <w:tmpl w:val="CA6C48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403502"/>
    <w:multiLevelType w:val="hybridMultilevel"/>
    <w:tmpl w:val="76F4EB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B5513"/>
    <w:multiLevelType w:val="hybridMultilevel"/>
    <w:tmpl w:val="FF22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76F7D"/>
    <w:multiLevelType w:val="hybridMultilevel"/>
    <w:tmpl w:val="A5CAE3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81B79A7"/>
    <w:multiLevelType w:val="hybridMultilevel"/>
    <w:tmpl w:val="AE4E84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AB41F11"/>
    <w:multiLevelType w:val="hybridMultilevel"/>
    <w:tmpl w:val="1B72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1E5B88"/>
    <w:multiLevelType w:val="hybridMultilevel"/>
    <w:tmpl w:val="1E1426AC"/>
    <w:lvl w:ilvl="0" w:tplc="953A46C2">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B4107D0"/>
    <w:multiLevelType w:val="hybridMultilevel"/>
    <w:tmpl w:val="BA640D78"/>
    <w:lvl w:ilvl="0" w:tplc="04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A54040"/>
    <w:multiLevelType w:val="hybridMultilevel"/>
    <w:tmpl w:val="319C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4E16D4"/>
    <w:multiLevelType w:val="hybridMultilevel"/>
    <w:tmpl w:val="D95A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0B245F"/>
    <w:multiLevelType w:val="hybridMultilevel"/>
    <w:tmpl w:val="F956E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40E3CFA"/>
    <w:multiLevelType w:val="hybridMultilevel"/>
    <w:tmpl w:val="F668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D033C"/>
    <w:multiLevelType w:val="multilevel"/>
    <w:tmpl w:val="4C46A85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9225043"/>
    <w:multiLevelType w:val="hybridMultilevel"/>
    <w:tmpl w:val="A516D2A0"/>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281968"/>
    <w:multiLevelType w:val="hybridMultilevel"/>
    <w:tmpl w:val="AB34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8"/>
  </w:num>
  <w:num w:numId="4">
    <w:abstractNumId w:val="17"/>
  </w:num>
  <w:num w:numId="5">
    <w:abstractNumId w:val="12"/>
  </w:num>
  <w:num w:numId="6">
    <w:abstractNumId w:val="8"/>
  </w:num>
  <w:num w:numId="7">
    <w:abstractNumId w:val="20"/>
  </w:num>
  <w:num w:numId="8">
    <w:abstractNumId w:val="4"/>
  </w:num>
  <w:num w:numId="9">
    <w:abstractNumId w:val="5"/>
  </w:num>
  <w:num w:numId="10">
    <w:abstractNumId w:val="13"/>
  </w:num>
  <w:num w:numId="11">
    <w:abstractNumId w:val="11"/>
  </w:num>
  <w:num w:numId="12">
    <w:abstractNumId w:val="19"/>
  </w:num>
  <w:num w:numId="13">
    <w:abstractNumId w:val="14"/>
  </w:num>
  <w:num w:numId="14">
    <w:abstractNumId w:val="3"/>
  </w:num>
  <w:num w:numId="15">
    <w:abstractNumId w:val="0"/>
  </w:num>
  <w:num w:numId="16">
    <w:abstractNumId w:val="9"/>
  </w:num>
  <w:num w:numId="17">
    <w:abstractNumId w:val="6"/>
  </w:num>
  <w:num w:numId="18">
    <w:abstractNumId w:val="15"/>
  </w:num>
  <w:num w:numId="19">
    <w:abstractNumId w:val="10"/>
  </w:num>
  <w:num w:numId="20">
    <w:abstractNumId w:val="7"/>
  </w:num>
  <w:num w:numId="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831"/>
    <w:rsid w:val="00001CE9"/>
    <w:rsid w:val="000027B9"/>
    <w:rsid w:val="00003499"/>
    <w:rsid w:val="00003FEF"/>
    <w:rsid w:val="00004FD5"/>
    <w:rsid w:val="00006BEF"/>
    <w:rsid w:val="00007C7B"/>
    <w:rsid w:val="00010307"/>
    <w:rsid w:val="00013247"/>
    <w:rsid w:val="0001490C"/>
    <w:rsid w:val="00015886"/>
    <w:rsid w:val="000162EF"/>
    <w:rsid w:val="000205CA"/>
    <w:rsid w:val="00020913"/>
    <w:rsid w:val="00021377"/>
    <w:rsid w:val="00021CB9"/>
    <w:rsid w:val="00021CF6"/>
    <w:rsid w:val="0002225F"/>
    <w:rsid w:val="00023763"/>
    <w:rsid w:val="00033514"/>
    <w:rsid w:val="00035FB3"/>
    <w:rsid w:val="0004035B"/>
    <w:rsid w:val="0004056F"/>
    <w:rsid w:val="00040895"/>
    <w:rsid w:val="0004186C"/>
    <w:rsid w:val="000425FF"/>
    <w:rsid w:val="0004288E"/>
    <w:rsid w:val="00042A97"/>
    <w:rsid w:val="00043C37"/>
    <w:rsid w:val="00046A6B"/>
    <w:rsid w:val="0004786F"/>
    <w:rsid w:val="0005007D"/>
    <w:rsid w:val="000509A3"/>
    <w:rsid w:val="00050BD6"/>
    <w:rsid w:val="00050D6E"/>
    <w:rsid w:val="00052024"/>
    <w:rsid w:val="00054621"/>
    <w:rsid w:val="000546D7"/>
    <w:rsid w:val="00055BF6"/>
    <w:rsid w:val="0005651A"/>
    <w:rsid w:val="000570DD"/>
    <w:rsid w:val="000617B1"/>
    <w:rsid w:val="00062B79"/>
    <w:rsid w:val="0006391E"/>
    <w:rsid w:val="00063FEA"/>
    <w:rsid w:val="00064183"/>
    <w:rsid w:val="00064633"/>
    <w:rsid w:val="00066BD4"/>
    <w:rsid w:val="00071248"/>
    <w:rsid w:val="000720B9"/>
    <w:rsid w:val="000812CA"/>
    <w:rsid w:val="00082870"/>
    <w:rsid w:val="00083CEE"/>
    <w:rsid w:val="00084AF8"/>
    <w:rsid w:val="000853EA"/>
    <w:rsid w:val="00085FAE"/>
    <w:rsid w:val="00086012"/>
    <w:rsid w:val="000901AD"/>
    <w:rsid w:val="00090C7E"/>
    <w:rsid w:val="00092968"/>
    <w:rsid w:val="00092F4D"/>
    <w:rsid w:val="000959DE"/>
    <w:rsid w:val="0009771E"/>
    <w:rsid w:val="00097CF7"/>
    <w:rsid w:val="000A32DC"/>
    <w:rsid w:val="000A590C"/>
    <w:rsid w:val="000A5AEC"/>
    <w:rsid w:val="000A74ED"/>
    <w:rsid w:val="000A79D8"/>
    <w:rsid w:val="000B005A"/>
    <w:rsid w:val="000B0336"/>
    <w:rsid w:val="000B1C80"/>
    <w:rsid w:val="000B4AD6"/>
    <w:rsid w:val="000C191E"/>
    <w:rsid w:val="000C22A5"/>
    <w:rsid w:val="000C2BCE"/>
    <w:rsid w:val="000C2FE5"/>
    <w:rsid w:val="000C3F95"/>
    <w:rsid w:val="000C4C28"/>
    <w:rsid w:val="000C76A9"/>
    <w:rsid w:val="000D18E4"/>
    <w:rsid w:val="000D1BFC"/>
    <w:rsid w:val="000D286C"/>
    <w:rsid w:val="000D410C"/>
    <w:rsid w:val="000E0558"/>
    <w:rsid w:val="000E274A"/>
    <w:rsid w:val="000E2D9C"/>
    <w:rsid w:val="000E31B1"/>
    <w:rsid w:val="000E4726"/>
    <w:rsid w:val="000E5A4E"/>
    <w:rsid w:val="000E664A"/>
    <w:rsid w:val="000F483C"/>
    <w:rsid w:val="000F4BB8"/>
    <w:rsid w:val="000F5607"/>
    <w:rsid w:val="000F617E"/>
    <w:rsid w:val="000F68F9"/>
    <w:rsid w:val="000F694F"/>
    <w:rsid w:val="000F6BA2"/>
    <w:rsid w:val="000F701B"/>
    <w:rsid w:val="000F7127"/>
    <w:rsid w:val="000F77EE"/>
    <w:rsid w:val="00100F8A"/>
    <w:rsid w:val="00101153"/>
    <w:rsid w:val="0010149E"/>
    <w:rsid w:val="0010160B"/>
    <w:rsid w:val="0010201F"/>
    <w:rsid w:val="001033CF"/>
    <w:rsid w:val="0011032E"/>
    <w:rsid w:val="0011348B"/>
    <w:rsid w:val="00113F46"/>
    <w:rsid w:val="00113F9A"/>
    <w:rsid w:val="00121799"/>
    <w:rsid w:val="001222FC"/>
    <w:rsid w:val="00124A51"/>
    <w:rsid w:val="00125DE5"/>
    <w:rsid w:val="00126621"/>
    <w:rsid w:val="001301E9"/>
    <w:rsid w:val="00130973"/>
    <w:rsid w:val="00131586"/>
    <w:rsid w:val="001365CF"/>
    <w:rsid w:val="001369B6"/>
    <w:rsid w:val="00136EC6"/>
    <w:rsid w:val="001373AE"/>
    <w:rsid w:val="00137645"/>
    <w:rsid w:val="00137CF9"/>
    <w:rsid w:val="0014015A"/>
    <w:rsid w:val="00140E99"/>
    <w:rsid w:val="00140E9D"/>
    <w:rsid w:val="001421D5"/>
    <w:rsid w:val="001423EB"/>
    <w:rsid w:val="00143B22"/>
    <w:rsid w:val="00143C23"/>
    <w:rsid w:val="00145540"/>
    <w:rsid w:val="001456B0"/>
    <w:rsid w:val="00147D85"/>
    <w:rsid w:val="00150834"/>
    <w:rsid w:val="00152C42"/>
    <w:rsid w:val="00157130"/>
    <w:rsid w:val="00160BD4"/>
    <w:rsid w:val="00162913"/>
    <w:rsid w:val="00162CAF"/>
    <w:rsid w:val="00163818"/>
    <w:rsid w:val="00163EFF"/>
    <w:rsid w:val="001661FB"/>
    <w:rsid w:val="0017077F"/>
    <w:rsid w:val="0017122E"/>
    <w:rsid w:val="001712D6"/>
    <w:rsid w:val="001765EA"/>
    <w:rsid w:val="00176842"/>
    <w:rsid w:val="00177B55"/>
    <w:rsid w:val="0018111C"/>
    <w:rsid w:val="00182E31"/>
    <w:rsid w:val="0018329D"/>
    <w:rsid w:val="0018752F"/>
    <w:rsid w:val="0019021B"/>
    <w:rsid w:val="001907E4"/>
    <w:rsid w:val="00191B95"/>
    <w:rsid w:val="00195222"/>
    <w:rsid w:val="001975D8"/>
    <w:rsid w:val="001A0F97"/>
    <w:rsid w:val="001A2A56"/>
    <w:rsid w:val="001A3071"/>
    <w:rsid w:val="001A54B1"/>
    <w:rsid w:val="001A6B5A"/>
    <w:rsid w:val="001B0A24"/>
    <w:rsid w:val="001B315A"/>
    <w:rsid w:val="001B3443"/>
    <w:rsid w:val="001B3840"/>
    <w:rsid w:val="001B571E"/>
    <w:rsid w:val="001B66D1"/>
    <w:rsid w:val="001C2214"/>
    <w:rsid w:val="001C277D"/>
    <w:rsid w:val="001C5BFC"/>
    <w:rsid w:val="001C5EFF"/>
    <w:rsid w:val="001C6508"/>
    <w:rsid w:val="001C6E66"/>
    <w:rsid w:val="001C735D"/>
    <w:rsid w:val="001C7D4C"/>
    <w:rsid w:val="001D1370"/>
    <w:rsid w:val="001D2C24"/>
    <w:rsid w:val="001D4CBB"/>
    <w:rsid w:val="001D6D65"/>
    <w:rsid w:val="001D7986"/>
    <w:rsid w:val="001D7E34"/>
    <w:rsid w:val="001E1656"/>
    <w:rsid w:val="001E238E"/>
    <w:rsid w:val="001E2B1E"/>
    <w:rsid w:val="001E52EB"/>
    <w:rsid w:val="001E5538"/>
    <w:rsid w:val="001E64E7"/>
    <w:rsid w:val="001E68A2"/>
    <w:rsid w:val="001E740C"/>
    <w:rsid w:val="001F1235"/>
    <w:rsid w:val="001F1CB3"/>
    <w:rsid w:val="001F7361"/>
    <w:rsid w:val="00200E2E"/>
    <w:rsid w:val="002018C9"/>
    <w:rsid w:val="0020385F"/>
    <w:rsid w:val="002042B2"/>
    <w:rsid w:val="00207021"/>
    <w:rsid w:val="002074C4"/>
    <w:rsid w:val="00207D00"/>
    <w:rsid w:val="002104FF"/>
    <w:rsid w:val="002105C1"/>
    <w:rsid w:val="00211594"/>
    <w:rsid w:val="0021214F"/>
    <w:rsid w:val="0021381B"/>
    <w:rsid w:val="00217195"/>
    <w:rsid w:val="002210F7"/>
    <w:rsid w:val="002226D8"/>
    <w:rsid w:val="00223B49"/>
    <w:rsid w:val="00224DD4"/>
    <w:rsid w:val="00225F5B"/>
    <w:rsid w:val="00225FD7"/>
    <w:rsid w:val="00227F4C"/>
    <w:rsid w:val="002301D3"/>
    <w:rsid w:val="002305A0"/>
    <w:rsid w:val="002308C9"/>
    <w:rsid w:val="002309CC"/>
    <w:rsid w:val="00232512"/>
    <w:rsid w:val="00235B89"/>
    <w:rsid w:val="002361D7"/>
    <w:rsid w:val="00237255"/>
    <w:rsid w:val="0024254E"/>
    <w:rsid w:val="00246D03"/>
    <w:rsid w:val="0025246D"/>
    <w:rsid w:val="00254DCF"/>
    <w:rsid w:val="0025534B"/>
    <w:rsid w:val="00255BB7"/>
    <w:rsid w:val="00261744"/>
    <w:rsid w:val="00261F77"/>
    <w:rsid w:val="00262A87"/>
    <w:rsid w:val="002647B0"/>
    <w:rsid w:val="002671FD"/>
    <w:rsid w:val="0027028F"/>
    <w:rsid w:val="00270679"/>
    <w:rsid w:val="00273A7D"/>
    <w:rsid w:val="00275039"/>
    <w:rsid w:val="002759F7"/>
    <w:rsid w:val="00275C5A"/>
    <w:rsid w:val="002779B4"/>
    <w:rsid w:val="00280516"/>
    <w:rsid w:val="00280FD7"/>
    <w:rsid w:val="00281014"/>
    <w:rsid w:val="00281542"/>
    <w:rsid w:val="00282C33"/>
    <w:rsid w:val="00287395"/>
    <w:rsid w:val="00287479"/>
    <w:rsid w:val="00290CF7"/>
    <w:rsid w:val="002910FF"/>
    <w:rsid w:val="00292ED6"/>
    <w:rsid w:val="00296997"/>
    <w:rsid w:val="002A14AB"/>
    <w:rsid w:val="002A4201"/>
    <w:rsid w:val="002B0AC6"/>
    <w:rsid w:val="002B1C1F"/>
    <w:rsid w:val="002B215A"/>
    <w:rsid w:val="002B226E"/>
    <w:rsid w:val="002B432F"/>
    <w:rsid w:val="002B6CCE"/>
    <w:rsid w:val="002B78CA"/>
    <w:rsid w:val="002B7B68"/>
    <w:rsid w:val="002C105C"/>
    <w:rsid w:val="002C1C31"/>
    <w:rsid w:val="002C2775"/>
    <w:rsid w:val="002C27C1"/>
    <w:rsid w:val="002C2D39"/>
    <w:rsid w:val="002C3752"/>
    <w:rsid w:val="002C65AA"/>
    <w:rsid w:val="002C72DF"/>
    <w:rsid w:val="002D2214"/>
    <w:rsid w:val="002D3D0B"/>
    <w:rsid w:val="002D5478"/>
    <w:rsid w:val="002E0F3F"/>
    <w:rsid w:val="002E1CD3"/>
    <w:rsid w:val="002E3616"/>
    <w:rsid w:val="002E3D72"/>
    <w:rsid w:val="002E435D"/>
    <w:rsid w:val="002E471A"/>
    <w:rsid w:val="002E66FA"/>
    <w:rsid w:val="002E6A37"/>
    <w:rsid w:val="002F08AE"/>
    <w:rsid w:val="002F0B02"/>
    <w:rsid w:val="002F4148"/>
    <w:rsid w:val="002F62B3"/>
    <w:rsid w:val="002F72A4"/>
    <w:rsid w:val="002F75D5"/>
    <w:rsid w:val="00301017"/>
    <w:rsid w:val="003015E0"/>
    <w:rsid w:val="0030328B"/>
    <w:rsid w:val="00304B40"/>
    <w:rsid w:val="00307614"/>
    <w:rsid w:val="0030786C"/>
    <w:rsid w:val="00307A5E"/>
    <w:rsid w:val="00307E67"/>
    <w:rsid w:val="0031031A"/>
    <w:rsid w:val="00310981"/>
    <w:rsid w:val="0031228C"/>
    <w:rsid w:val="0031438A"/>
    <w:rsid w:val="00314EF1"/>
    <w:rsid w:val="00315498"/>
    <w:rsid w:val="00316789"/>
    <w:rsid w:val="003168C6"/>
    <w:rsid w:val="00320903"/>
    <w:rsid w:val="0032203D"/>
    <w:rsid w:val="003221BD"/>
    <w:rsid w:val="0032277F"/>
    <w:rsid w:val="0033049D"/>
    <w:rsid w:val="00333D53"/>
    <w:rsid w:val="00334572"/>
    <w:rsid w:val="00335D35"/>
    <w:rsid w:val="003366C9"/>
    <w:rsid w:val="003367EB"/>
    <w:rsid w:val="003371B0"/>
    <w:rsid w:val="003413C8"/>
    <w:rsid w:val="0034163F"/>
    <w:rsid w:val="00342A9A"/>
    <w:rsid w:val="003448A4"/>
    <w:rsid w:val="00344BA9"/>
    <w:rsid w:val="003454BA"/>
    <w:rsid w:val="003518CD"/>
    <w:rsid w:val="003528C7"/>
    <w:rsid w:val="00354631"/>
    <w:rsid w:val="0035620E"/>
    <w:rsid w:val="00360D85"/>
    <w:rsid w:val="00366936"/>
    <w:rsid w:val="00367011"/>
    <w:rsid w:val="00367A55"/>
    <w:rsid w:val="003728B3"/>
    <w:rsid w:val="0037295E"/>
    <w:rsid w:val="0037373C"/>
    <w:rsid w:val="003755AA"/>
    <w:rsid w:val="00375A1F"/>
    <w:rsid w:val="00377011"/>
    <w:rsid w:val="00380B18"/>
    <w:rsid w:val="00381686"/>
    <w:rsid w:val="0038365C"/>
    <w:rsid w:val="00383F0A"/>
    <w:rsid w:val="003911B2"/>
    <w:rsid w:val="00391FD9"/>
    <w:rsid w:val="003955F4"/>
    <w:rsid w:val="00396209"/>
    <w:rsid w:val="00396631"/>
    <w:rsid w:val="00396FD0"/>
    <w:rsid w:val="00397ED3"/>
    <w:rsid w:val="003A1A7A"/>
    <w:rsid w:val="003A482E"/>
    <w:rsid w:val="003A5E03"/>
    <w:rsid w:val="003A7070"/>
    <w:rsid w:val="003A70D7"/>
    <w:rsid w:val="003B39DD"/>
    <w:rsid w:val="003B450F"/>
    <w:rsid w:val="003B495C"/>
    <w:rsid w:val="003B643F"/>
    <w:rsid w:val="003B6A1D"/>
    <w:rsid w:val="003C0F22"/>
    <w:rsid w:val="003C1452"/>
    <w:rsid w:val="003D1828"/>
    <w:rsid w:val="003D2422"/>
    <w:rsid w:val="003D34CC"/>
    <w:rsid w:val="003D371F"/>
    <w:rsid w:val="003E0A61"/>
    <w:rsid w:val="003E3D0A"/>
    <w:rsid w:val="003E6364"/>
    <w:rsid w:val="003F4156"/>
    <w:rsid w:val="003F4EE0"/>
    <w:rsid w:val="003F6C5D"/>
    <w:rsid w:val="00400E1B"/>
    <w:rsid w:val="004025E0"/>
    <w:rsid w:val="004048FC"/>
    <w:rsid w:val="0040606C"/>
    <w:rsid w:val="00406147"/>
    <w:rsid w:val="00407EA2"/>
    <w:rsid w:val="00410708"/>
    <w:rsid w:val="00410EC7"/>
    <w:rsid w:val="00414476"/>
    <w:rsid w:val="00414C0F"/>
    <w:rsid w:val="00414E5C"/>
    <w:rsid w:val="004208BE"/>
    <w:rsid w:val="00420B9F"/>
    <w:rsid w:val="00421075"/>
    <w:rsid w:val="004223CC"/>
    <w:rsid w:val="00422544"/>
    <w:rsid w:val="00423721"/>
    <w:rsid w:val="00430A2B"/>
    <w:rsid w:val="00430BF3"/>
    <w:rsid w:val="00431047"/>
    <w:rsid w:val="004319F8"/>
    <w:rsid w:val="00433044"/>
    <w:rsid w:val="00435FD2"/>
    <w:rsid w:val="004368F7"/>
    <w:rsid w:val="00436C3B"/>
    <w:rsid w:val="00443DC1"/>
    <w:rsid w:val="004443A7"/>
    <w:rsid w:val="00445363"/>
    <w:rsid w:val="004464EB"/>
    <w:rsid w:val="004552B3"/>
    <w:rsid w:val="00455583"/>
    <w:rsid w:val="00455D45"/>
    <w:rsid w:val="00460155"/>
    <w:rsid w:val="00463192"/>
    <w:rsid w:val="00464595"/>
    <w:rsid w:val="00465D86"/>
    <w:rsid w:val="0046734E"/>
    <w:rsid w:val="00467870"/>
    <w:rsid w:val="0047197E"/>
    <w:rsid w:val="00474737"/>
    <w:rsid w:val="00477A6F"/>
    <w:rsid w:val="00480399"/>
    <w:rsid w:val="004864E7"/>
    <w:rsid w:val="004867E2"/>
    <w:rsid w:val="00491B3A"/>
    <w:rsid w:val="00492CFD"/>
    <w:rsid w:val="00492D74"/>
    <w:rsid w:val="00493B07"/>
    <w:rsid w:val="00493FB5"/>
    <w:rsid w:val="00494BCC"/>
    <w:rsid w:val="004959B6"/>
    <w:rsid w:val="004962D2"/>
    <w:rsid w:val="00496CF5"/>
    <w:rsid w:val="004972ED"/>
    <w:rsid w:val="004A0DA1"/>
    <w:rsid w:val="004A10FB"/>
    <w:rsid w:val="004A221C"/>
    <w:rsid w:val="004A6119"/>
    <w:rsid w:val="004A6597"/>
    <w:rsid w:val="004B06F0"/>
    <w:rsid w:val="004B1CB4"/>
    <w:rsid w:val="004B2F18"/>
    <w:rsid w:val="004B37B0"/>
    <w:rsid w:val="004B3DDB"/>
    <w:rsid w:val="004B4019"/>
    <w:rsid w:val="004B44FD"/>
    <w:rsid w:val="004B4537"/>
    <w:rsid w:val="004B5CFC"/>
    <w:rsid w:val="004B758C"/>
    <w:rsid w:val="004B774D"/>
    <w:rsid w:val="004C09FE"/>
    <w:rsid w:val="004C4AED"/>
    <w:rsid w:val="004D03AB"/>
    <w:rsid w:val="004D17BD"/>
    <w:rsid w:val="004D1E61"/>
    <w:rsid w:val="004E0D36"/>
    <w:rsid w:val="004E0EB8"/>
    <w:rsid w:val="004E2ADC"/>
    <w:rsid w:val="004E43B2"/>
    <w:rsid w:val="004E4D93"/>
    <w:rsid w:val="004F07B4"/>
    <w:rsid w:val="004F1D02"/>
    <w:rsid w:val="004F2679"/>
    <w:rsid w:val="004F48F2"/>
    <w:rsid w:val="004F626D"/>
    <w:rsid w:val="004F763C"/>
    <w:rsid w:val="004F7865"/>
    <w:rsid w:val="00500D93"/>
    <w:rsid w:val="00502545"/>
    <w:rsid w:val="005026B5"/>
    <w:rsid w:val="005056F4"/>
    <w:rsid w:val="0050691F"/>
    <w:rsid w:val="00506928"/>
    <w:rsid w:val="005116A8"/>
    <w:rsid w:val="00514629"/>
    <w:rsid w:val="005152B5"/>
    <w:rsid w:val="005169BE"/>
    <w:rsid w:val="005172BF"/>
    <w:rsid w:val="00521319"/>
    <w:rsid w:val="00521596"/>
    <w:rsid w:val="00521F2A"/>
    <w:rsid w:val="00523C28"/>
    <w:rsid w:val="005303D1"/>
    <w:rsid w:val="00530866"/>
    <w:rsid w:val="00530D91"/>
    <w:rsid w:val="00530D9C"/>
    <w:rsid w:val="00531DCB"/>
    <w:rsid w:val="00533366"/>
    <w:rsid w:val="00536018"/>
    <w:rsid w:val="00537E2C"/>
    <w:rsid w:val="00542C2D"/>
    <w:rsid w:val="00544C65"/>
    <w:rsid w:val="005476FD"/>
    <w:rsid w:val="00552472"/>
    <w:rsid w:val="00552BD3"/>
    <w:rsid w:val="00552FD8"/>
    <w:rsid w:val="00555109"/>
    <w:rsid w:val="0056105A"/>
    <w:rsid w:val="00561986"/>
    <w:rsid w:val="00561B91"/>
    <w:rsid w:val="0056212A"/>
    <w:rsid w:val="005635C4"/>
    <w:rsid w:val="005657FF"/>
    <w:rsid w:val="0056696F"/>
    <w:rsid w:val="005674F2"/>
    <w:rsid w:val="00571658"/>
    <w:rsid w:val="00572274"/>
    <w:rsid w:val="00575D8D"/>
    <w:rsid w:val="00576972"/>
    <w:rsid w:val="005775CF"/>
    <w:rsid w:val="00582097"/>
    <w:rsid w:val="00583699"/>
    <w:rsid w:val="00587C38"/>
    <w:rsid w:val="00591B3C"/>
    <w:rsid w:val="0059218F"/>
    <w:rsid w:val="0059247D"/>
    <w:rsid w:val="00594AD7"/>
    <w:rsid w:val="005973BE"/>
    <w:rsid w:val="005A3203"/>
    <w:rsid w:val="005A37A0"/>
    <w:rsid w:val="005A4D7A"/>
    <w:rsid w:val="005A64B7"/>
    <w:rsid w:val="005A6B63"/>
    <w:rsid w:val="005A70F8"/>
    <w:rsid w:val="005B21D6"/>
    <w:rsid w:val="005B3138"/>
    <w:rsid w:val="005B5699"/>
    <w:rsid w:val="005B5857"/>
    <w:rsid w:val="005C0DD9"/>
    <w:rsid w:val="005C1B83"/>
    <w:rsid w:val="005C346B"/>
    <w:rsid w:val="005C44FA"/>
    <w:rsid w:val="005D044D"/>
    <w:rsid w:val="005D0D5F"/>
    <w:rsid w:val="005D1617"/>
    <w:rsid w:val="005D18AD"/>
    <w:rsid w:val="005E11DB"/>
    <w:rsid w:val="005E4C68"/>
    <w:rsid w:val="005E4CD0"/>
    <w:rsid w:val="005E73C0"/>
    <w:rsid w:val="005E7479"/>
    <w:rsid w:val="005F2706"/>
    <w:rsid w:val="005F2DB7"/>
    <w:rsid w:val="005F5C16"/>
    <w:rsid w:val="005F6A8F"/>
    <w:rsid w:val="0060395A"/>
    <w:rsid w:val="00607669"/>
    <w:rsid w:val="0061061F"/>
    <w:rsid w:val="00612F97"/>
    <w:rsid w:val="00614038"/>
    <w:rsid w:val="00616802"/>
    <w:rsid w:val="00617E12"/>
    <w:rsid w:val="006201A0"/>
    <w:rsid w:val="00621477"/>
    <w:rsid w:val="0062267F"/>
    <w:rsid w:val="00622FC6"/>
    <w:rsid w:val="006248DE"/>
    <w:rsid w:val="00630118"/>
    <w:rsid w:val="00631D6B"/>
    <w:rsid w:val="00634354"/>
    <w:rsid w:val="00634570"/>
    <w:rsid w:val="0063479F"/>
    <w:rsid w:val="006364A1"/>
    <w:rsid w:val="00637BFD"/>
    <w:rsid w:val="00640609"/>
    <w:rsid w:val="00640AA5"/>
    <w:rsid w:val="006434E7"/>
    <w:rsid w:val="006446D5"/>
    <w:rsid w:val="006461F8"/>
    <w:rsid w:val="006471CC"/>
    <w:rsid w:val="00647B44"/>
    <w:rsid w:val="0065079F"/>
    <w:rsid w:val="00650BA0"/>
    <w:rsid w:val="00651F1D"/>
    <w:rsid w:val="0065457B"/>
    <w:rsid w:val="00654FBD"/>
    <w:rsid w:val="00655C2D"/>
    <w:rsid w:val="00656B2F"/>
    <w:rsid w:val="0066123B"/>
    <w:rsid w:val="006628A7"/>
    <w:rsid w:val="006640FB"/>
    <w:rsid w:val="00665451"/>
    <w:rsid w:val="00665FED"/>
    <w:rsid w:val="00666E24"/>
    <w:rsid w:val="0067088E"/>
    <w:rsid w:val="006736C0"/>
    <w:rsid w:val="00674E42"/>
    <w:rsid w:val="006763D8"/>
    <w:rsid w:val="00681A55"/>
    <w:rsid w:val="00682112"/>
    <w:rsid w:val="00685B27"/>
    <w:rsid w:val="00685F93"/>
    <w:rsid w:val="0068669B"/>
    <w:rsid w:val="006872BA"/>
    <w:rsid w:val="006879C7"/>
    <w:rsid w:val="006917D7"/>
    <w:rsid w:val="00693E0F"/>
    <w:rsid w:val="006940B2"/>
    <w:rsid w:val="00694F44"/>
    <w:rsid w:val="0069551D"/>
    <w:rsid w:val="00695843"/>
    <w:rsid w:val="006A358E"/>
    <w:rsid w:val="006A3E0C"/>
    <w:rsid w:val="006A75D9"/>
    <w:rsid w:val="006B4899"/>
    <w:rsid w:val="006B48C6"/>
    <w:rsid w:val="006B5544"/>
    <w:rsid w:val="006C0A30"/>
    <w:rsid w:val="006C1C81"/>
    <w:rsid w:val="006C2A8E"/>
    <w:rsid w:val="006C3A0E"/>
    <w:rsid w:val="006D3584"/>
    <w:rsid w:val="006D37A3"/>
    <w:rsid w:val="006D3C7D"/>
    <w:rsid w:val="006D3FA9"/>
    <w:rsid w:val="006D4952"/>
    <w:rsid w:val="006D5D5F"/>
    <w:rsid w:val="006E1A96"/>
    <w:rsid w:val="006E2EC6"/>
    <w:rsid w:val="006E36CC"/>
    <w:rsid w:val="006E4162"/>
    <w:rsid w:val="006E78B6"/>
    <w:rsid w:val="006F042D"/>
    <w:rsid w:val="006F350D"/>
    <w:rsid w:val="006F478F"/>
    <w:rsid w:val="006F63A5"/>
    <w:rsid w:val="006F65BB"/>
    <w:rsid w:val="006F789E"/>
    <w:rsid w:val="0070276E"/>
    <w:rsid w:val="00702F8F"/>
    <w:rsid w:val="00703277"/>
    <w:rsid w:val="00704BA7"/>
    <w:rsid w:val="00711A36"/>
    <w:rsid w:val="00712224"/>
    <w:rsid w:val="007138DA"/>
    <w:rsid w:val="0071390E"/>
    <w:rsid w:val="007158A3"/>
    <w:rsid w:val="0071650E"/>
    <w:rsid w:val="007172AD"/>
    <w:rsid w:val="00720DFD"/>
    <w:rsid w:val="00720FAD"/>
    <w:rsid w:val="00721539"/>
    <w:rsid w:val="007232F3"/>
    <w:rsid w:val="00724165"/>
    <w:rsid w:val="0072416F"/>
    <w:rsid w:val="00724824"/>
    <w:rsid w:val="00724FAC"/>
    <w:rsid w:val="00727273"/>
    <w:rsid w:val="007303F5"/>
    <w:rsid w:val="0073165C"/>
    <w:rsid w:val="00735328"/>
    <w:rsid w:val="0073685B"/>
    <w:rsid w:val="00742937"/>
    <w:rsid w:val="00746958"/>
    <w:rsid w:val="007472DB"/>
    <w:rsid w:val="00755379"/>
    <w:rsid w:val="007560D7"/>
    <w:rsid w:val="007638B2"/>
    <w:rsid w:val="007656E1"/>
    <w:rsid w:val="00765CE7"/>
    <w:rsid w:val="00767895"/>
    <w:rsid w:val="00771D12"/>
    <w:rsid w:val="00771E43"/>
    <w:rsid w:val="00774118"/>
    <w:rsid w:val="007746C9"/>
    <w:rsid w:val="00776874"/>
    <w:rsid w:val="00780317"/>
    <w:rsid w:val="007807EE"/>
    <w:rsid w:val="00781BB2"/>
    <w:rsid w:val="00787CD9"/>
    <w:rsid w:val="007912D4"/>
    <w:rsid w:val="00791E73"/>
    <w:rsid w:val="00795A2E"/>
    <w:rsid w:val="00796FD7"/>
    <w:rsid w:val="007970DF"/>
    <w:rsid w:val="00797CC6"/>
    <w:rsid w:val="007A0597"/>
    <w:rsid w:val="007A0A12"/>
    <w:rsid w:val="007A40EA"/>
    <w:rsid w:val="007A41F0"/>
    <w:rsid w:val="007A5A30"/>
    <w:rsid w:val="007B073E"/>
    <w:rsid w:val="007B0B5A"/>
    <w:rsid w:val="007B10EC"/>
    <w:rsid w:val="007B1DFD"/>
    <w:rsid w:val="007B251D"/>
    <w:rsid w:val="007B360C"/>
    <w:rsid w:val="007B4872"/>
    <w:rsid w:val="007B5BA4"/>
    <w:rsid w:val="007B604C"/>
    <w:rsid w:val="007B77D1"/>
    <w:rsid w:val="007C361D"/>
    <w:rsid w:val="007D004F"/>
    <w:rsid w:val="007D0B38"/>
    <w:rsid w:val="007D0F72"/>
    <w:rsid w:val="007D15A8"/>
    <w:rsid w:val="007D20FC"/>
    <w:rsid w:val="007D2705"/>
    <w:rsid w:val="007D645E"/>
    <w:rsid w:val="007D751D"/>
    <w:rsid w:val="007E17AB"/>
    <w:rsid w:val="007E4614"/>
    <w:rsid w:val="007E4E6F"/>
    <w:rsid w:val="007E58B5"/>
    <w:rsid w:val="007E7ABE"/>
    <w:rsid w:val="007F1017"/>
    <w:rsid w:val="007F14CB"/>
    <w:rsid w:val="007F3403"/>
    <w:rsid w:val="007F4A3F"/>
    <w:rsid w:val="007F78D0"/>
    <w:rsid w:val="00803CFB"/>
    <w:rsid w:val="00805142"/>
    <w:rsid w:val="00805784"/>
    <w:rsid w:val="00807A8B"/>
    <w:rsid w:val="00812149"/>
    <w:rsid w:val="0081366F"/>
    <w:rsid w:val="008145D2"/>
    <w:rsid w:val="008166EF"/>
    <w:rsid w:val="00816FAB"/>
    <w:rsid w:val="008202B3"/>
    <w:rsid w:val="00821263"/>
    <w:rsid w:val="00822015"/>
    <w:rsid w:val="0082330F"/>
    <w:rsid w:val="008264EB"/>
    <w:rsid w:val="00831D08"/>
    <w:rsid w:val="0083394E"/>
    <w:rsid w:val="00833B05"/>
    <w:rsid w:val="00835F44"/>
    <w:rsid w:val="008374F5"/>
    <w:rsid w:val="00840CA2"/>
    <w:rsid w:val="00841885"/>
    <w:rsid w:val="008425D3"/>
    <w:rsid w:val="008438D1"/>
    <w:rsid w:val="00843EC2"/>
    <w:rsid w:val="008464FC"/>
    <w:rsid w:val="00847226"/>
    <w:rsid w:val="00854127"/>
    <w:rsid w:val="008549BA"/>
    <w:rsid w:val="008550A9"/>
    <w:rsid w:val="00856E9A"/>
    <w:rsid w:val="00861C80"/>
    <w:rsid w:val="00862502"/>
    <w:rsid w:val="00866BDC"/>
    <w:rsid w:val="008704F2"/>
    <w:rsid w:val="00874059"/>
    <w:rsid w:val="00875E18"/>
    <w:rsid w:val="0087632C"/>
    <w:rsid w:val="008775F0"/>
    <w:rsid w:val="00877902"/>
    <w:rsid w:val="00882874"/>
    <w:rsid w:val="00883787"/>
    <w:rsid w:val="008838DE"/>
    <w:rsid w:val="00884F8D"/>
    <w:rsid w:val="00887FD1"/>
    <w:rsid w:val="00890E7C"/>
    <w:rsid w:val="00891F0C"/>
    <w:rsid w:val="00894489"/>
    <w:rsid w:val="00894FDE"/>
    <w:rsid w:val="008953E1"/>
    <w:rsid w:val="008963A5"/>
    <w:rsid w:val="00897D87"/>
    <w:rsid w:val="00897F60"/>
    <w:rsid w:val="008A14B9"/>
    <w:rsid w:val="008A3C3E"/>
    <w:rsid w:val="008A48C9"/>
    <w:rsid w:val="008A541F"/>
    <w:rsid w:val="008A5D62"/>
    <w:rsid w:val="008A6333"/>
    <w:rsid w:val="008A71B6"/>
    <w:rsid w:val="008A7562"/>
    <w:rsid w:val="008A79DE"/>
    <w:rsid w:val="008B14D3"/>
    <w:rsid w:val="008B55B3"/>
    <w:rsid w:val="008B6396"/>
    <w:rsid w:val="008B641A"/>
    <w:rsid w:val="008B65AC"/>
    <w:rsid w:val="008B7D7E"/>
    <w:rsid w:val="008C122B"/>
    <w:rsid w:val="008C3C1C"/>
    <w:rsid w:val="008C7B7B"/>
    <w:rsid w:val="008C7ECB"/>
    <w:rsid w:val="008D20BC"/>
    <w:rsid w:val="008D20BD"/>
    <w:rsid w:val="008D70A2"/>
    <w:rsid w:val="008E1B9E"/>
    <w:rsid w:val="008E2B85"/>
    <w:rsid w:val="008E3159"/>
    <w:rsid w:val="008E42AE"/>
    <w:rsid w:val="008E53CF"/>
    <w:rsid w:val="008E5F0A"/>
    <w:rsid w:val="008F120A"/>
    <w:rsid w:val="008F48EB"/>
    <w:rsid w:val="008F4F0B"/>
    <w:rsid w:val="009016D4"/>
    <w:rsid w:val="009020D7"/>
    <w:rsid w:val="009062A5"/>
    <w:rsid w:val="0090694B"/>
    <w:rsid w:val="00906B1D"/>
    <w:rsid w:val="00907261"/>
    <w:rsid w:val="00910A4A"/>
    <w:rsid w:val="00911272"/>
    <w:rsid w:val="009116FD"/>
    <w:rsid w:val="0091495E"/>
    <w:rsid w:val="00914D20"/>
    <w:rsid w:val="00915932"/>
    <w:rsid w:val="009179F6"/>
    <w:rsid w:val="00917FC7"/>
    <w:rsid w:val="009229EB"/>
    <w:rsid w:val="0092467F"/>
    <w:rsid w:val="00924E1C"/>
    <w:rsid w:val="00930CCF"/>
    <w:rsid w:val="00932570"/>
    <w:rsid w:val="009325D6"/>
    <w:rsid w:val="00934346"/>
    <w:rsid w:val="009419DF"/>
    <w:rsid w:val="00941E38"/>
    <w:rsid w:val="0094531B"/>
    <w:rsid w:val="0094796E"/>
    <w:rsid w:val="00951053"/>
    <w:rsid w:val="009511BE"/>
    <w:rsid w:val="00951A22"/>
    <w:rsid w:val="00953BF6"/>
    <w:rsid w:val="009601A7"/>
    <w:rsid w:val="00962CB9"/>
    <w:rsid w:val="0096319C"/>
    <w:rsid w:val="00964312"/>
    <w:rsid w:val="0096647D"/>
    <w:rsid w:val="00970922"/>
    <w:rsid w:val="00971FFB"/>
    <w:rsid w:val="00973EB9"/>
    <w:rsid w:val="00974B84"/>
    <w:rsid w:val="00976095"/>
    <w:rsid w:val="009761C7"/>
    <w:rsid w:val="00983E57"/>
    <w:rsid w:val="009847B0"/>
    <w:rsid w:val="009900A8"/>
    <w:rsid w:val="00993D70"/>
    <w:rsid w:val="009943F6"/>
    <w:rsid w:val="00996B1A"/>
    <w:rsid w:val="009A271F"/>
    <w:rsid w:val="009A36F3"/>
    <w:rsid w:val="009A3E6B"/>
    <w:rsid w:val="009A4CC6"/>
    <w:rsid w:val="009B167F"/>
    <w:rsid w:val="009B3E26"/>
    <w:rsid w:val="009B4367"/>
    <w:rsid w:val="009B5EB0"/>
    <w:rsid w:val="009B634A"/>
    <w:rsid w:val="009B7BDC"/>
    <w:rsid w:val="009C0068"/>
    <w:rsid w:val="009C25D7"/>
    <w:rsid w:val="009C38B9"/>
    <w:rsid w:val="009C4D51"/>
    <w:rsid w:val="009C4EBB"/>
    <w:rsid w:val="009C4F86"/>
    <w:rsid w:val="009C504A"/>
    <w:rsid w:val="009C5565"/>
    <w:rsid w:val="009C59C3"/>
    <w:rsid w:val="009C6573"/>
    <w:rsid w:val="009C7A9D"/>
    <w:rsid w:val="009D33FC"/>
    <w:rsid w:val="009D5B91"/>
    <w:rsid w:val="009D60F9"/>
    <w:rsid w:val="009E3306"/>
    <w:rsid w:val="009E4C07"/>
    <w:rsid w:val="009F181D"/>
    <w:rsid w:val="009F270D"/>
    <w:rsid w:val="009F34BD"/>
    <w:rsid w:val="009F4471"/>
    <w:rsid w:val="009F4DCD"/>
    <w:rsid w:val="009F5624"/>
    <w:rsid w:val="009F5785"/>
    <w:rsid w:val="009F5AD9"/>
    <w:rsid w:val="00A02A25"/>
    <w:rsid w:val="00A03D43"/>
    <w:rsid w:val="00A04339"/>
    <w:rsid w:val="00A04380"/>
    <w:rsid w:val="00A04A3E"/>
    <w:rsid w:val="00A05755"/>
    <w:rsid w:val="00A07BF1"/>
    <w:rsid w:val="00A13263"/>
    <w:rsid w:val="00A13948"/>
    <w:rsid w:val="00A203D7"/>
    <w:rsid w:val="00A21D0D"/>
    <w:rsid w:val="00A232CA"/>
    <w:rsid w:val="00A255C2"/>
    <w:rsid w:val="00A269C0"/>
    <w:rsid w:val="00A27AEC"/>
    <w:rsid w:val="00A30064"/>
    <w:rsid w:val="00A317D2"/>
    <w:rsid w:val="00A32D30"/>
    <w:rsid w:val="00A34396"/>
    <w:rsid w:val="00A35D16"/>
    <w:rsid w:val="00A37FA5"/>
    <w:rsid w:val="00A40DCE"/>
    <w:rsid w:val="00A413DE"/>
    <w:rsid w:val="00A43C59"/>
    <w:rsid w:val="00A467DC"/>
    <w:rsid w:val="00A50A05"/>
    <w:rsid w:val="00A50ECD"/>
    <w:rsid w:val="00A52729"/>
    <w:rsid w:val="00A53675"/>
    <w:rsid w:val="00A56B6A"/>
    <w:rsid w:val="00A578DC"/>
    <w:rsid w:val="00A651A5"/>
    <w:rsid w:val="00A65A27"/>
    <w:rsid w:val="00A661BB"/>
    <w:rsid w:val="00A6725B"/>
    <w:rsid w:val="00A676D4"/>
    <w:rsid w:val="00A70CC3"/>
    <w:rsid w:val="00A71A2B"/>
    <w:rsid w:val="00A72073"/>
    <w:rsid w:val="00A753B2"/>
    <w:rsid w:val="00A75AA2"/>
    <w:rsid w:val="00A77FCE"/>
    <w:rsid w:val="00A81D52"/>
    <w:rsid w:val="00A8267F"/>
    <w:rsid w:val="00A8406F"/>
    <w:rsid w:val="00A86E8B"/>
    <w:rsid w:val="00A86F4B"/>
    <w:rsid w:val="00A87049"/>
    <w:rsid w:val="00A902CA"/>
    <w:rsid w:val="00A916C8"/>
    <w:rsid w:val="00A91E9B"/>
    <w:rsid w:val="00A93072"/>
    <w:rsid w:val="00A959D8"/>
    <w:rsid w:val="00AA4E87"/>
    <w:rsid w:val="00AA57FB"/>
    <w:rsid w:val="00AA6285"/>
    <w:rsid w:val="00AB042A"/>
    <w:rsid w:val="00AB2D34"/>
    <w:rsid w:val="00AB3430"/>
    <w:rsid w:val="00AB64D5"/>
    <w:rsid w:val="00AB7557"/>
    <w:rsid w:val="00AB7CFA"/>
    <w:rsid w:val="00AB7F9A"/>
    <w:rsid w:val="00AC037F"/>
    <w:rsid w:val="00AC0D3F"/>
    <w:rsid w:val="00AC27AD"/>
    <w:rsid w:val="00AC2D3D"/>
    <w:rsid w:val="00AC5F0D"/>
    <w:rsid w:val="00AC6C5D"/>
    <w:rsid w:val="00AC7DE9"/>
    <w:rsid w:val="00AD1F82"/>
    <w:rsid w:val="00AD45A9"/>
    <w:rsid w:val="00AD4715"/>
    <w:rsid w:val="00AE13E8"/>
    <w:rsid w:val="00AE2050"/>
    <w:rsid w:val="00AE2196"/>
    <w:rsid w:val="00AE23B3"/>
    <w:rsid w:val="00AE2963"/>
    <w:rsid w:val="00AE621F"/>
    <w:rsid w:val="00AE632F"/>
    <w:rsid w:val="00AF3A78"/>
    <w:rsid w:val="00AF3F21"/>
    <w:rsid w:val="00AF5F75"/>
    <w:rsid w:val="00B0069B"/>
    <w:rsid w:val="00B01402"/>
    <w:rsid w:val="00B01889"/>
    <w:rsid w:val="00B01E3B"/>
    <w:rsid w:val="00B0281C"/>
    <w:rsid w:val="00B04A14"/>
    <w:rsid w:val="00B066E7"/>
    <w:rsid w:val="00B06AA4"/>
    <w:rsid w:val="00B06DBA"/>
    <w:rsid w:val="00B06FF5"/>
    <w:rsid w:val="00B07B55"/>
    <w:rsid w:val="00B07F7A"/>
    <w:rsid w:val="00B10A9F"/>
    <w:rsid w:val="00B12A5C"/>
    <w:rsid w:val="00B1754A"/>
    <w:rsid w:val="00B25356"/>
    <w:rsid w:val="00B26258"/>
    <w:rsid w:val="00B26FD8"/>
    <w:rsid w:val="00B3106C"/>
    <w:rsid w:val="00B31342"/>
    <w:rsid w:val="00B3282F"/>
    <w:rsid w:val="00B32CDC"/>
    <w:rsid w:val="00B3578F"/>
    <w:rsid w:val="00B42851"/>
    <w:rsid w:val="00B46106"/>
    <w:rsid w:val="00B467BF"/>
    <w:rsid w:val="00B50DB8"/>
    <w:rsid w:val="00B53905"/>
    <w:rsid w:val="00B54B5B"/>
    <w:rsid w:val="00B54B72"/>
    <w:rsid w:val="00B5562E"/>
    <w:rsid w:val="00B557AC"/>
    <w:rsid w:val="00B57000"/>
    <w:rsid w:val="00B606F7"/>
    <w:rsid w:val="00B60939"/>
    <w:rsid w:val="00B60AFD"/>
    <w:rsid w:val="00B6169C"/>
    <w:rsid w:val="00B618F4"/>
    <w:rsid w:val="00B62715"/>
    <w:rsid w:val="00B6340C"/>
    <w:rsid w:val="00B65F34"/>
    <w:rsid w:val="00B6768D"/>
    <w:rsid w:val="00B67691"/>
    <w:rsid w:val="00B71C8B"/>
    <w:rsid w:val="00B7415F"/>
    <w:rsid w:val="00B7582C"/>
    <w:rsid w:val="00B76165"/>
    <w:rsid w:val="00B76832"/>
    <w:rsid w:val="00B814BE"/>
    <w:rsid w:val="00B818A4"/>
    <w:rsid w:val="00B85677"/>
    <w:rsid w:val="00B8649C"/>
    <w:rsid w:val="00B87889"/>
    <w:rsid w:val="00B90F91"/>
    <w:rsid w:val="00B9275D"/>
    <w:rsid w:val="00B92D0B"/>
    <w:rsid w:val="00B9347A"/>
    <w:rsid w:val="00B942DD"/>
    <w:rsid w:val="00B94945"/>
    <w:rsid w:val="00B9642F"/>
    <w:rsid w:val="00BA3B2D"/>
    <w:rsid w:val="00BB0A36"/>
    <w:rsid w:val="00BB1D4B"/>
    <w:rsid w:val="00BB32DD"/>
    <w:rsid w:val="00BB3CD2"/>
    <w:rsid w:val="00BB4CD7"/>
    <w:rsid w:val="00BB7405"/>
    <w:rsid w:val="00BC06D3"/>
    <w:rsid w:val="00BC2E09"/>
    <w:rsid w:val="00BD0F53"/>
    <w:rsid w:val="00BD1588"/>
    <w:rsid w:val="00BD4478"/>
    <w:rsid w:val="00BD44B0"/>
    <w:rsid w:val="00BD4FBC"/>
    <w:rsid w:val="00BD5D2C"/>
    <w:rsid w:val="00BD6450"/>
    <w:rsid w:val="00BD6CF3"/>
    <w:rsid w:val="00BD700C"/>
    <w:rsid w:val="00BE2180"/>
    <w:rsid w:val="00BE317B"/>
    <w:rsid w:val="00BE4275"/>
    <w:rsid w:val="00BE58FB"/>
    <w:rsid w:val="00BF0440"/>
    <w:rsid w:val="00BF2433"/>
    <w:rsid w:val="00BF28F1"/>
    <w:rsid w:val="00BF297F"/>
    <w:rsid w:val="00BF42C1"/>
    <w:rsid w:val="00BF61C9"/>
    <w:rsid w:val="00BF759A"/>
    <w:rsid w:val="00BF7ECC"/>
    <w:rsid w:val="00C0072A"/>
    <w:rsid w:val="00C05BFB"/>
    <w:rsid w:val="00C0723C"/>
    <w:rsid w:val="00C143BE"/>
    <w:rsid w:val="00C16FF5"/>
    <w:rsid w:val="00C17181"/>
    <w:rsid w:val="00C1755C"/>
    <w:rsid w:val="00C2013A"/>
    <w:rsid w:val="00C20B3B"/>
    <w:rsid w:val="00C24571"/>
    <w:rsid w:val="00C25418"/>
    <w:rsid w:val="00C25D9C"/>
    <w:rsid w:val="00C26668"/>
    <w:rsid w:val="00C31649"/>
    <w:rsid w:val="00C339A9"/>
    <w:rsid w:val="00C35172"/>
    <w:rsid w:val="00C3524F"/>
    <w:rsid w:val="00C40385"/>
    <w:rsid w:val="00C414D2"/>
    <w:rsid w:val="00C454D1"/>
    <w:rsid w:val="00C555DE"/>
    <w:rsid w:val="00C561F8"/>
    <w:rsid w:val="00C638EA"/>
    <w:rsid w:val="00C65576"/>
    <w:rsid w:val="00C65747"/>
    <w:rsid w:val="00C65AAF"/>
    <w:rsid w:val="00C66165"/>
    <w:rsid w:val="00C66724"/>
    <w:rsid w:val="00C66F35"/>
    <w:rsid w:val="00C728D1"/>
    <w:rsid w:val="00C72EF3"/>
    <w:rsid w:val="00C750C8"/>
    <w:rsid w:val="00C75A52"/>
    <w:rsid w:val="00C76183"/>
    <w:rsid w:val="00C81587"/>
    <w:rsid w:val="00C8213F"/>
    <w:rsid w:val="00C8797A"/>
    <w:rsid w:val="00C938CF"/>
    <w:rsid w:val="00C94A62"/>
    <w:rsid w:val="00C96087"/>
    <w:rsid w:val="00C97D77"/>
    <w:rsid w:val="00CA08A2"/>
    <w:rsid w:val="00CA1369"/>
    <w:rsid w:val="00CA25C4"/>
    <w:rsid w:val="00CA28AF"/>
    <w:rsid w:val="00CA5245"/>
    <w:rsid w:val="00CA557D"/>
    <w:rsid w:val="00CA67B0"/>
    <w:rsid w:val="00CA7B09"/>
    <w:rsid w:val="00CB1A5E"/>
    <w:rsid w:val="00CB2872"/>
    <w:rsid w:val="00CB5B1A"/>
    <w:rsid w:val="00CB65F4"/>
    <w:rsid w:val="00CC133F"/>
    <w:rsid w:val="00CC19CD"/>
    <w:rsid w:val="00CD07CE"/>
    <w:rsid w:val="00CD2744"/>
    <w:rsid w:val="00CD30DF"/>
    <w:rsid w:val="00CD6ADC"/>
    <w:rsid w:val="00CE12E7"/>
    <w:rsid w:val="00CE18AB"/>
    <w:rsid w:val="00CE3430"/>
    <w:rsid w:val="00CE5095"/>
    <w:rsid w:val="00CE6274"/>
    <w:rsid w:val="00CF3EBC"/>
    <w:rsid w:val="00CF456B"/>
    <w:rsid w:val="00CF48B7"/>
    <w:rsid w:val="00CF5A22"/>
    <w:rsid w:val="00CF60CC"/>
    <w:rsid w:val="00D01A77"/>
    <w:rsid w:val="00D01ABF"/>
    <w:rsid w:val="00D01D9F"/>
    <w:rsid w:val="00D01EA4"/>
    <w:rsid w:val="00D0262E"/>
    <w:rsid w:val="00D03762"/>
    <w:rsid w:val="00D07C79"/>
    <w:rsid w:val="00D10554"/>
    <w:rsid w:val="00D10CD0"/>
    <w:rsid w:val="00D110BD"/>
    <w:rsid w:val="00D11ABD"/>
    <w:rsid w:val="00D1308B"/>
    <w:rsid w:val="00D13322"/>
    <w:rsid w:val="00D13A70"/>
    <w:rsid w:val="00D14CB5"/>
    <w:rsid w:val="00D175DA"/>
    <w:rsid w:val="00D17D6C"/>
    <w:rsid w:val="00D25A49"/>
    <w:rsid w:val="00D2790A"/>
    <w:rsid w:val="00D31199"/>
    <w:rsid w:val="00D31F97"/>
    <w:rsid w:val="00D33C2A"/>
    <w:rsid w:val="00D35093"/>
    <w:rsid w:val="00D357FF"/>
    <w:rsid w:val="00D43A5A"/>
    <w:rsid w:val="00D44D5E"/>
    <w:rsid w:val="00D45A8A"/>
    <w:rsid w:val="00D4673A"/>
    <w:rsid w:val="00D50F2A"/>
    <w:rsid w:val="00D51688"/>
    <w:rsid w:val="00D545C7"/>
    <w:rsid w:val="00D56B2D"/>
    <w:rsid w:val="00D577C3"/>
    <w:rsid w:val="00D620CE"/>
    <w:rsid w:val="00D6384F"/>
    <w:rsid w:val="00D67F76"/>
    <w:rsid w:val="00D70C39"/>
    <w:rsid w:val="00D72E62"/>
    <w:rsid w:val="00D7325A"/>
    <w:rsid w:val="00D76A44"/>
    <w:rsid w:val="00D83507"/>
    <w:rsid w:val="00D85C97"/>
    <w:rsid w:val="00D8762A"/>
    <w:rsid w:val="00D90A99"/>
    <w:rsid w:val="00D9235C"/>
    <w:rsid w:val="00D93753"/>
    <w:rsid w:val="00D938F5"/>
    <w:rsid w:val="00D94F05"/>
    <w:rsid w:val="00DA008B"/>
    <w:rsid w:val="00DA139B"/>
    <w:rsid w:val="00DA7206"/>
    <w:rsid w:val="00DA77A5"/>
    <w:rsid w:val="00DB1015"/>
    <w:rsid w:val="00DB1727"/>
    <w:rsid w:val="00DB3532"/>
    <w:rsid w:val="00DB35A6"/>
    <w:rsid w:val="00DB3640"/>
    <w:rsid w:val="00DB3C57"/>
    <w:rsid w:val="00DB42EF"/>
    <w:rsid w:val="00DB4E5C"/>
    <w:rsid w:val="00DC457A"/>
    <w:rsid w:val="00DC5501"/>
    <w:rsid w:val="00DC7A03"/>
    <w:rsid w:val="00DD076F"/>
    <w:rsid w:val="00DD1A0E"/>
    <w:rsid w:val="00DD3F28"/>
    <w:rsid w:val="00DD4537"/>
    <w:rsid w:val="00DD4E15"/>
    <w:rsid w:val="00DD7116"/>
    <w:rsid w:val="00DD7DCB"/>
    <w:rsid w:val="00DE001C"/>
    <w:rsid w:val="00DE1038"/>
    <w:rsid w:val="00DE1A25"/>
    <w:rsid w:val="00DE4FCB"/>
    <w:rsid w:val="00DE6AE4"/>
    <w:rsid w:val="00DE76CD"/>
    <w:rsid w:val="00DF034E"/>
    <w:rsid w:val="00DF0825"/>
    <w:rsid w:val="00DF18FC"/>
    <w:rsid w:val="00DF4307"/>
    <w:rsid w:val="00DF44D1"/>
    <w:rsid w:val="00DF4D14"/>
    <w:rsid w:val="00DF5766"/>
    <w:rsid w:val="00DF5D2B"/>
    <w:rsid w:val="00DF75FD"/>
    <w:rsid w:val="00E06962"/>
    <w:rsid w:val="00E10149"/>
    <w:rsid w:val="00E11950"/>
    <w:rsid w:val="00E1240D"/>
    <w:rsid w:val="00E154B6"/>
    <w:rsid w:val="00E16372"/>
    <w:rsid w:val="00E17299"/>
    <w:rsid w:val="00E20891"/>
    <w:rsid w:val="00E20930"/>
    <w:rsid w:val="00E20ED6"/>
    <w:rsid w:val="00E21358"/>
    <w:rsid w:val="00E2249B"/>
    <w:rsid w:val="00E22A0D"/>
    <w:rsid w:val="00E274A1"/>
    <w:rsid w:val="00E2771E"/>
    <w:rsid w:val="00E31518"/>
    <w:rsid w:val="00E33B47"/>
    <w:rsid w:val="00E34647"/>
    <w:rsid w:val="00E3687E"/>
    <w:rsid w:val="00E37569"/>
    <w:rsid w:val="00E37C19"/>
    <w:rsid w:val="00E41E30"/>
    <w:rsid w:val="00E43D70"/>
    <w:rsid w:val="00E4729B"/>
    <w:rsid w:val="00E47B2C"/>
    <w:rsid w:val="00E50E97"/>
    <w:rsid w:val="00E51560"/>
    <w:rsid w:val="00E55424"/>
    <w:rsid w:val="00E55BB5"/>
    <w:rsid w:val="00E60F06"/>
    <w:rsid w:val="00E62EDA"/>
    <w:rsid w:val="00E6310C"/>
    <w:rsid w:val="00E65E79"/>
    <w:rsid w:val="00E6601F"/>
    <w:rsid w:val="00E67416"/>
    <w:rsid w:val="00E71369"/>
    <w:rsid w:val="00E718B6"/>
    <w:rsid w:val="00E7236B"/>
    <w:rsid w:val="00E724C8"/>
    <w:rsid w:val="00E73581"/>
    <w:rsid w:val="00E739C8"/>
    <w:rsid w:val="00E7481E"/>
    <w:rsid w:val="00E757BA"/>
    <w:rsid w:val="00E80452"/>
    <w:rsid w:val="00E81E4A"/>
    <w:rsid w:val="00E8239B"/>
    <w:rsid w:val="00E83BDF"/>
    <w:rsid w:val="00E90FFE"/>
    <w:rsid w:val="00E91FA2"/>
    <w:rsid w:val="00E92F7C"/>
    <w:rsid w:val="00E9390C"/>
    <w:rsid w:val="00E942E2"/>
    <w:rsid w:val="00E948A0"/>
    <w:rsid w:val="00EA02CB"/>
    <w:rsid w:val="00EA074F"/>
    <w:rsid w:val="00EA3864"/>
    <w:rsid w:val="00EA3939"/>
    <w:rsid w:val="00EA4622"/>
    <w:rsid w:val="00EA6814"/>
    <w:rsid w:val="00EB03A6"/>
    <w:rsid w:val="00EB15B6"/>
    <w:rsid w:val="00EB2CED"/>
    <w:rsid w:val="00EB3995"/>
    <w:rsid w:val="00EB4916"/>
    <w:rsid w:val="00EB69D8"/>
    <w:rsid w:val="00EC00C9"/>
    <w:rsid w:val="00EC5203"/>
    <w:rsid w:val="00EC5F24"/>
    <w:rsid w:val="00ED39E2"/>
    <w:rsid w:val="00ED4C98"/>
    <w:rsid w:val="00ED4CE5"/>
    <w:rsid w:val="00ED5A43"/>
    <w:rsid w:val="00EE07D3"/>
    <w:rsid w:val="00EE3B53"/>
    <w:rsid w:val="00EE4E96"/>
    <w:rsid w:val="00EE5006"/>
    <w:rsid w:val="00EF0E74"/>
    <w:rsid w:val="00EF286B"/>
    <w:rsid w:val="00EF57BC"/>
    <w:rsid w:val="00F02783"/>
    <w:rsid w:val="00F02A23"/>
    <w:rsid w:val="00F05CEE"/>
    <w:rsid w:val="00F060A9"/>
    <w:rsid w:val="00F067A2"/>
    <w:rsid w:val="00F06DC1"/>
    <w:rsid w:val="00F0757E"/>
    <w:rsid w:val="00F108C1"/>
    <w:rsid w:val="00F1102C"/>
    <w:rsid w:val="00F13102"/>
    <w:rsid w:val="00F151D1"/>
    <w:rsid w:val="00F17E05"/>
    <w:rsid w:val="00F203D6"/>
    <w:rsid w:val="00F211B6"/>
    <w:rsid w:val="00F2248D"/>
    <w:rsid w:val="00F23C1C"/>
    <w:rsid w:val="00F24634"/>
    <w:rsid w:val="00F24837"/>
    <w:rsid w:val="00F250CC"/>
    <w:rsid w:val="00F25649"/>
    <w:rsid w:val="00F2575F"/>
    <w:rsid w:val="00F26A73"/>
    <w:rsid w:val="00F26D84"/>
    <w:rsid w:val="00F33DE9"/>
    <w:rsid w:val="00F34899"/>
    <w:rsid w:val="00F3619A"/>
    <w:rsid w:val="00F40B92"/>
    <w:rsid w:val="00F4104D"/>
    <w:rsid w:val="00F438B9"/>
    <w:rsid w:val="00F45024"/>
    <w:rsid w:val="00F46CB6"/>
    <w:rsid w:val="00F46F0C"/>
    <w:rsid w:val="00F50EFA"/>
    <w:rsid w:val="00F515AD"/>
    <w:rsid w:val="00F51EFD"/>
    <w:rsid w:val="00F54FF5"/>
    <w:rsid w:val="00F55E73"/>
    <w:rsid w:val="00F5619B"/>
    <w:rsid w:val="00F60092"/>
    <w:rsid w:val="00F6049A"/>
    <w:rsid w:val="00F62FF2"/>
    <w:rsid w:val="00F639FC"/>
    <w:rsid w:val="00F64383"/>
    <w:rsid w:val="00F65DC5"/>
    <w:rsid w:val="00F71C7D"/>
    <w:rsid w:val="00F75666"/>
    <w:rsid w:val="00F759B4"/>
    <w:rsid w:val="00F7771C"/>
    <w:rsid w:val="00F80E5D"/>
    <w:rsid w:val="00F83D72"/>
    <w:rsid w:val="00F84096"/>
    <w:rsid w:val="00F851CE"/>
    <w:rsid w:val="00F9216A"/>
    <w:rsid w:val="00F97A78"/>
    <w:rsid w:val="00FA1D1F"/>
    <w:rsid w:val="00FA24E7"/>
    <w:rsid w:val="00FA2DE3"/>
    <w:rsid w:val="00FA3C8C"/>
    <w:rsid w:val="00FB06DE"/>
    <w:rsid w:val="00FB102B"/>
    <w:rsid w:val="00FB1092"/>
    <w:rsid w:val="00FB2FCB"/>
    <w:rsid w:val="00FB4A74"/>
    <w:rsid w:val="00FB55B4"/>
    <w:rsid w:val="00FB6660"/>
    <w:rsid w:val="00FC1074"/>
    <w:rsid w:val="00FC1884"/>
    <w:rsid w:val="00FC3DE1"/>
    <w:rsid w:val="00FD060B"/>
    <w:rsid w:val="00FD15D9"/>
    <w:rsid w:val="00FD2100"/>
    <w:rsid w:val="00FD3FE5"/>
    <w:rsid w:val="00FD446D"/>
    <w:rsid w:val="00FD49A4"/>
    <w:rsid w:val="00FD4E0B"/>
    <w:rsid w:val="00FD5BBB"/>
    <w:rsid w:val="00FD7E95"/>
    <w:rsid w:val="00FE01DC"/>
    <w:rsid w:val="00FE128F"/>
    <w:rsid w:val="00FE138F"/>
    <w:rsid w:val="00FE58CF"/>
    <w:rsid w:val="00FE58FA"/>
    <w:rsid w:val="00FF0F07"/>
    <w:rsid w:val="00FF1401"/>
    <w:rsid w:val="00FF3DCF"/>
    <w:rsid w:val="00FF52BC"/>
    <w:rsid w:val="00FF5AA3"/>
    <w:rsid w:val="00FF5B49"/>
    <w:rsid w:val="00FF5EF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aliases w:val="H2,Heading h2,h2,Heading 2x,p2 Char,H21,Heading h21,h21,Heading 2x1,p2 Char1,H22,Heading h22,h22,Heading 2x2,p2 Char2,PBAC 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H2 Char,Heading h2 Char,h2 Char,Heading 2x Char,p2 Char Char,H21 Char,Heading h21 Char,h21 Char,Heading 2x1 Char,p2 Char1 Char,H22 Char,Heading h22 Char,h22 Char,Heading 2x2 Char,p2 Char2 Char,PBAC 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character" w:customStyle="1" w:styleId="hitinf">
    <w:name w:val="hit_inf"/>
    <w:basedOn w:val="DefaultParagraphFont"/>
    <w:rsid w:val="00F06DC1"/>
  </w:style>
  <w:style w:type="character" w:customStyle="1" w:styleId="hitsyn">
    <w:name w:val="hit_syn"/>
    <w:basedOn w:val="DefaultParagraphFont"/>
    <w:rsid w:val="00F06DC1"/>
  </w:style>
  <w:style w:type="character" w:customStyle="1" w:styleId="li-content">
    <w:name w:val="li-content"/>
    <w:basedOn w:val="DefaultParagraphFont"/>
    <w:rsid w:val="00F06DC1"/>
  </w:style>
  <w:style w:type="character" w:styleId="FollowedHyperlink">
    <w:name w:val="FollowedHyperlink"/>
    <w:basedOn w:val="DefaultParagraphFont"/>
    <w:semiHidden/>
    <w:unhideWhenUsed/>
    <w:rsid w:val="00CB1A5E"/>
    <w:rPr>
      <w:color w:val="800080" w:themeColor="followedHyperlink"/>
      <w:u w:val="single"/>
    </w:rPr>
  </w:style>
  <w:style w:type="table" w:customStyle="1" w:styleId="Summarybox1">
    <w:name w:val="Summary box1"/>
    <w:basedOn w:val="TableNormal"/>
    <w:next w:val="TableGrid"/>
    <w:uiPriority w:val="59"/>
    <w:rsid w:val="00FF5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link w:val="TableTextChar0"/>
    <w:qFormat/>
    <w:rsid w:val="001365CF"/>
    <w:pPr>
      <w:tabs>
        <w:tab w:val="left" w:pos="416"/>
        <w:tab w:val="left" w:pos="582"/>
      </w:tabs>
      <w:spacing w:before="40" w:after="20"/>
    </w:pPr>
    <w:rPr>
      <w:rFonts w:ascii="Arial" w:hAnsi="Arial"/>
      <w:sz w:val="18"/>
      <w:szCs w:val="18"/>
      <w:lang w:eastAsia="en-US"/>
    </w:rPr>
  </w:style>
  <w:style w:type="character" w:customStyle="1" w:styleId="TableTextChar0">
    <w:name w:val="Table Text Char"/>
    <w:link w:val="TableText1"/>
    <w:rsid w:val="001365CF"/>
    <w:rPr>
      <w:rFonts w:ascii="Arial" w:hAnsi="Arial"/>
      <w:sz w:val="18"/>
      <w:szCs w:val="18"/>
      <w:lang w:eastAsia="en-US"/>
    </w:rPr>
  </w:style>
  <w:style w:type="paragraph" w:customStyle="1" w:styleId="Tableheader1">
    <w:name w:val="Table header 1"/>
    <w:basedOn w:val="Normal"/>
    <w:link w:val="Tableheader1Char"/>
    <w:qFormat/>
    <w:rsid w:val="00DD1A0E"/>
    <w:pPr>
      <w:widowControl/>
      <w:spacing w:after="120"/>
      <w:jc w:val="center"/>
    </w:pPr>
    <w:rPr>
      <w:rFonts w:cs="Times New Roman"/>
      <w:b/>
      <w:snapToGrid/>
      <w:sz w:val="18"/>
      <w:szCs w:val="22"/>
      <w:lang w:eastAsia="en-AU"/>
    </w:rPr>
  </w:style>
  <w:style w:type="character" w:customStyle="1" w:styleId="Tableheader1Char">
    <w:name w:val="Table header 1 Char"/>
    <w:link w:val="Tableheader1"/>
    <w:rsid w:val="00DD1A0E"/>
    <w:rPr>
      <w:rFonts w:ascii="Arial" w:hAnsi="Arial"/>
      <w:b/>
      <w:sz w:val="18"/>
      <w:szCs w:val="22"/>
    </w:rPr>
  </w:style>
  <w:style w:type="paragraph" w:customStyle="1" w:styleId="Footnote">
    <w:name w:val="Footnote"/>
    <w:basedOn w:val="Normal"/>
    <w:rsid w:val="000959DE"/>
    <w:pPr>
      <w:widowControl/>
      <w:spacing w:before="40"/>
      <w:jc w:val="left"/>
    </w:pPr>
    <w:rPr>
      <w:rFonts w:cs="Times New Roman"/>
      <w:snapToGrid/>
      <w:sz w:val="18"/>
      <w:szCs w:val="18"/>
      <w:lang w:eastAsia="en-AU"/>
    </w:rPr>
  </w:style>
  <w:style w:type="paragraph" w:styleId="FootnoteText">
    <w:name w:val="footnote text"/>
    <w:basedOn w:val="Normal"/>
    <w:link w:val="FootnoteTextChar"/>
    <w:unhideWhenUsed/>
    <w:rsid w:val="00136EC6"/>
    <w:rPr>
      <w:sz w:val="24"/>
      <w:szCs w:val="24"/>
    </w:rPr>
  </w:style>
  <w:style w:type="character" w:customStyle="1" w:styleId="FootnoteTextChar">
    <w:name w:val="Footnote Text Char"/>
    <w:basedOn w:val="DefaultParagraphFont"/>
    <w:link w:val="FootnoteText"/>
    <w:rsid w:val="00136EC6"/>
    <w:rPr>
      <w:rFonts w:ascii="Arial" w:hAnsi="Arial" w:cs="Arial"/>
      <w:snapToGrid w:val="0"/>
      <w:sz w:val="24"/>
      <w:szCs w:val="24"/>
      <w:lang w:eastAsia="en-US"/>
    </w:rPr>
  </w:style>
  <w:style w:type="character" w:styleId="FootnoteReference">
    <w:name w:val="footnote reference"/>
    <w:basedOn w:val="DefaultParagraphFont"/>
    <w:unhideWhenUsed/>
    <w:rsid w:val="00136EC6"/>
    <w:rPr>
      <w:vertAlign w:val="superscript"/>
    </w:rPr>
  </w:style>
  <w:style w:type="character" w:customStyle="1" w:styleId="Heading3Char">
    <w:name w:val="Heading 3 Char"/>
    <w:link w:val="Heading3"/>
    <w:rsid w:val="000B005A"/>
    <w:rPr>
      <w:rFonts w:ascii="Arial" w:hAnsi="Arial" w:cs="Arial"/>
      <w:snapToGrid w:val="0"/>
      <w:sz w:val="22"/>
      <w:u w:val="single"/>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02A23"/>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0C2BCE"/>
    <w:rPr>
      <w:rFonts w:ascii="Arial" w:hAnsi="Arial" w:cs="Arial"/>
      <w:snapToGrid w:val="0"/>
      <w:sz w:val="22"/>
      <w:lang w:eastAsia="en-US"/>
    </w:rPr>
  </w:style>
  <w:style w:type="paragraph" w:customStyle="1" w:styleId="BodyText31">
    <w:name w:val="Body Text 31"/>
    <w:basedOn w:val="BodyText"/>
    <w:next w:val="BodyText"/>
    <w:link w:val="Bodytext3Char0"/>
    <w:qFormat/>
    <w:rsid w:val="00DB42EF"/>
    <w:pPr>
      <w:widowControl/>
      <w:spacing w:after="120" w:line="360" w:lineRule="auto"/>
    </w:pPr>
    <w:rPr>
      <w:i/>
      <w:snapToGrid/>
      <w:sz w:val="20"/>
      <w:szCs w:val="28"/>
      <w:lang w:val="en-US" w:eastAsia="en-AU"/>
    </w:rPr>
  </w:style>
  <w:style w:type="character" w:customStyle="1" w:styleId="Bodytext3Char0">
    <w:name w:val="Body text 3 Char"/>
    <w:link w:val="BodyText31"/>
    <w:rsid w:val="00DB42EF"/>
    <w:rPr>
      <w:rFonts w:ascii="Arial" w:hAnsi="Arial" w:cs="Arial"/>
      <w:i/>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aliases w:val="H2,Heading h2,h2,Heading 2x,p2 Char,H21,Heading h21,h21,Heading 2x1,p2 Char1,H22,Heading h22,h22,Heading 2x2,p2 Char2,PBAC 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H2 Char,Heading h2 Char,h2 Char,Heading 2x Char,p2 Char Char,H21 Char,Heading h21 Char,h21 Char,Heading 2x1 Char,p2 Char1 Char,H22 Char,Heading h22 Char,h22 Char,Heading 2x2 Char,p2 Char2 Char,PBAC 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character" w:customStyle="1" w:styleId="hitinf">
    <w:name w:val="hit_inf"/>
    <w:basedOn w:val="DefaultParagraphFont"/>
    <w:rsid w:val="00F06DC1"/>
  </w:style>
  <w:style w:type="character" w:customStyle="1" w:styleId="hitsyn">
    <w:name w:val="hit_syn"/>
    <w:basedOn w:val="DefaultParagraphFont"/>
    <w:rsid w:val="00F06DC1"/>
  </w:style>
  <w:style w:type="character" w:customStyle="1" w:styleId="li-content">
    <w:name w:val="li-content"/>
    <w:basedOn w:val="DefaultParagraphFont"/>
    <w:rsid w:val="00F06DC1"/>
  </w:style>
  <w:style w:type="character" w:styleId="FollowedHyperlink">
    <w:name w:val="FollowedHyperlink"/>
    <w:basedOn w:val="DefaultParagraphFont"/>
    <w:semiHidden/>
    <w:unhideWhenUsed/>
    <w:rsid w:val="00CB1A5E"/>
    <w:rPr>
      <w:color w:val="800080" w:themeColor="followedHyperlink"/>
      <w:u w:val="single"/>
    </w:rPr>
  </w:style>
  <w:style w:type="table" w:customStyle="1" w:styleId="Summarybox1">
    <w:name w:val="Summary box1"/>
    <w:basedOn w:val="TableNormal"/>
    <w:next w:val="TableGrid"/>
    <w:uiPriority w:val="59"/>
    <w:rsid w:val="00FF5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link w:val="TableTextChar0"/>
    <w:qFormat/>
    <w:rsid w:val="001365CF"/>
    <w:pPr>
      <w:tabs>
        <w:tab w:val="left" w:pos="416"/>
        <w:tab w:val="left" w:pos="582"/>
      </w:tabs>
      <w:spacing w:before="40" w:after="20"/>
    </w:pPr>
    <w:rPr>
      <w:rFonts w:ascii="Arial" w:hAnsi="Arial"/>
      <w:sz w:val="18"/>
      <w:szCs w:val="18"/>
      <w:lang w:eastAsia="en-US"/>
    </w:rPr>
  </w:style>
  <w:style w:type="character" w:customStyle="1" w:styleId="TableTextChar0">
    <w:name w:val="Table Text Char"/>
    <w:link w:val="TableText1"/>
    <w:rsid w:val="001365CF"/>
    <w:rPr>
      <w:rFonts w:ascii="Arial" w:hAnsi="Arial"/>
      <w:sz w:val="18"/>
      <w:szCs w:val="18"/>
      <w:lang w:eastAsia="en-US"/>
    </w:rPr>
  </w:style>
  <w:style w:type="paragraph" w:customStyle="1" w:styleId="Tableheader1">
    <w:name w:val="Table header 1"/>
    <w:basedOn w:val="Normal"/>
    <w:link w:val="Tableheader1Char"/>
    <w:qFormat/>
    <w:rsid w:val="00DD1A0E"/>
    <w:pPr>
      <w:widowControl/>
      <w:spacing w:after="120"/>
      <w:jc w:val="center"/>
    </w:pPr>
    <w:rPr>
      <w:rFonts w:cs="Times New Roman"/>
      <w:b/>
      <w:snapToGrid/>
      <w:sz w:val="18"/>
      <w:szCs w:val="22"/>
      <w:lang w:eastAsia="en-AU"/>
    </w:rPr>
  </w:style>
  <w:style w:type="character" w:customStyle="1" w:styleId="Tableheader1Char">
    <w:name w:val="Table header 1 Char"/>
    <w:link w:val="Tableheader1"/>
    <w:rsid w:val="00DD1A0E"/>
    <w:rPr>
      <w:rFonts w:ascii="Arial" w:hAnsi="Arial"/>
      <w:b/>
      <w:sz w:val="18"/>
      <w:szCs w:val="22"/>
    </w:rPr>
  </w:style>
  <w:style w:type="paragraph" w:customStyle="1" w:styleId="Footnote">
    <w:name w:val="Footnote"/>
    <w:basedOn w:val="Normal"/>
    <w:rsid w:val="000959DE"/>
    <w:pPr>
      <w:widowControl/>
      <w:spacing w:before="40"/>
      <w:jc w:val="left"/>
    </w:pPr>
    <w:rPr>
      <w:rFonts w:cs="Times New Roman"/>
      <w:snapToGrid/>
      <w:sz w:val="18"/>
      <w:szCs w:val="18"/>
      <w:lang w:eastAsia="en-AU"/>
    </w:rPr>
  </w:style>
  <w:style w:type="paragraph" w:styleId="FootnoteText">
    <w:name w:val="footnote text"/>
    <w:basedOn w:val="Normal"/>
    <w:link w:val="FootnoteTextChar"/>
    <w:unhideWhenUsed/>
    <w:rsid w:val="00136EC6"/>
    <w:rPr>
      <w:sz w:val="24"/>
      <w:szCs w:val="24"/>
    </w:rPr>
  </w:style>
  <w:style w:type="character" w:customStyle="1" w:styleId="FootnoteTextChar">
    <w:name w:val="Footnote Text Char"/>
    <w:basedOn w:val="DefaultParagraphFont"/>
    <w:link w:val="FootnoteText"/>
    <w:rsid w:val="00136EC6"/>
    <w:rPr>
      <w:rFonts w:ascii="Arial" w:hAnsi="Arial" w:cs="Arial"/>
      <w:snapToGrid w:val="0"/>
      <w:sz w:val="24"/>
      <w:szCs w:val="24"/>
      <w:lang w:eastAsia="en-US"/>
    </w:rPr>
  </w:style>
  <w:style w:type="character" w:styleId="FootnoteReference">
    <w:name w:val="footnote reference"/>
    <w:basedOn w:val="DefaultParagraphFont"/>
    <w:unhideWhenUsed/>
    <w:rsid w:val="00136EC6"/>
    <w:rPr>
      <w:vertAlign w:val="superscript"/>
    </w:rPr>
  </w:style>
  <w:style w:type="character" w:customStyle="1" w:styleId="Heading3Char">
    <w:name w:val="Heading 3 Char"/>
    <w:link w:val="Heading3"/>
    <w:rsid w:val="000B005A"/>
    <w:rPr>
      <w:rFonts w:ascii="Arial" w:hAnsi="Arial" w:cs="Arial"/>
      <w:snapToGrid w:val="0"/>
      <w:sz w:val="22"/>
      <w:u w:val="single"/>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02A23"/>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0C2BCE"/>
    <w:rPr>
      <w:rFonts w:ascii="Arial" w:hAnsi="Arial" w:cs="Arial"/>
      <w:snapToGrid w:val="0"/>
      <w:sz w:val="22"/>
      <w:lang w:eastAsia="en-US"/>
    </w:rPr>
  </w:style>
  <w:style w:type="paragraph" w:customStyle="1" w:styleId="BodyText31">
    <w:name w:val="Body Text 31"/>
    <w:basedOn w:val="BodyText"/>
    <w:next w:val="BodyText"/>
    <w:link w:val="Bodytext3Char0"/>
    <w:qFormat/>
    <w:rsid w:val="00DB42EF"/>
    <w:pPr>
      <w:widowControl/>
      <w:spacing w:after="120" w:line="360" w:lineRule="auto"/>
    </w:pPr>
    <w:rPr>
      <w:i/>
      <w:snapToGrid/>
      <w:sz w:val="20"/>
      <w:szCs w:val="28"/>
      <w:lang w:val="en-US" w:eastAsia="en-AU"/>
    </w:rPr>
  </w:style>
  <w:style w:type="character" w:customStyle="1" w:styleId="Bodytext3Char0">
    <w:name w:val="Body text 3 Char"/>
    <w:link w:val="BodyText31"/>
    <w:rsid w:val="00DB42EF"/>
    <w:rPr>
      <w:rFonts w:ascii="Arial" w:hAnsi="Arial" w:cs="Arial"/>
      <w:i/>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2995">
      <w:bodyDiv w:val="1"/>
      <w:marLeft w:val="0"/>
      <w:marRight w:val="0"/>
      <w:marTop w:val="0"/>
      <w:marBottom w:val="0"/>
      <w:divBdr>
        <w:top w:val="none" w:sz="0" w:space="0" w:color="auto"/>
        <w:left w:val="none" w:sz="0" w:space="0" w:color="auto"/>
        <w:bottom w:val="none" w:sz="0" w:space="0" w:color="auto"/>
        <w:right w:val="none" w:sz="0" w:space="0" w:color="auto"/>
      </w:divBdr>
    </w:div>
    <w:div w:id="19215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2D714-F350-457B-AD6C-F2C9FC43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9184</Words>
  <Characters>50447</Characters>
  <Application>Microsoft Office Word</Application>
  <DocSecurity>0</DocSecurity>
  <Lines>420</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2016-07-06T04:28:00Z</dcterms:created>
  <dcterms:modified xsi:type="dcterms:W3CDTF">2016-07-06T04:35:00Z</dcterms:modified>
</cp:coreProperties>
</file>