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F0" w:rsidRPr="006D6EC7" w:rsidRDefault="006405F0" w:rsidP="00E10B08">
      <w:pPr>
        <w:pStyle w:val="PBACHeading10"/>
        <w:rPr>
          <w:sz w:val="28"/>
          <w:szCs w:val="28"/>
        </w:rPr>
      </w:pPr>
      <w:r>
        <w:rPr>
          <w:sz w:val="28"/>
          <w:szCs w:val="28"/>
        </w:rPr>
        <w:t>7.20</w:t>
      </w:r>
      <w:r w:rsidRPr="006D6EC7">
        <w:rPr>
          <w:sz w:val="28"/>
          <w:szCs w:val="28"/>
        </w:rPr>
        <w:tab/>
      </w:r>
      <w:r>
        <w:rPr>
          <w:sz w:val="28"/>
          <w:szCs w:val="28"/>
        </w:rPr>
        <w:t>PIRFENIDONE</w:t>
      </w:r>
      <w:r w:rsidR="00E10B08">
        <w:rPr>
          <w:sz w:val="28"/>
          <w:szCs w:val="28"/>
        </w:rPr>
        <w:br/>
      </w:r>
      <w:r w:rsidR="00686D07" w:rsidRPr="00686D07">
        <w:rPr>
          <w:sz w:val="28"/>
          <w:szCs w:val="28"/>
        </w:rPr>
        <w:t xml:space="preserve">267 mg capsule, 270 </w:t>
      </w:r>
      <w:r w:rsidR="00E10B08">
        <w:rPr>
          <w:sz w:val="28"/>
          <w:szCs w:val="28"/>
        </w:rPr>
        <w:br/>
      </w:r>
      <w:r w:rsidR="00686D07" w:rsidRPr="00977598">
        <w:rPr>
          <w:sz w:val="28"/>
          <w:szCs w:val="28"/>
        </w:rPr>
        <w:t>Esbriet</w:t>
      </w:r>
      <w:r w:rsidRPr="00977598">
        <w:rPr>
          <w:sz w:val="28"/>
          <w:szCs w:val="28"/>
          <w:vertAlign w:val="superscript"/>
        </w:rPr>
        <w:t>®</w:t>
      </w:r>
      <w:r w:rsidRPr="00977598">
        <w:rPr>
          <w:sz w:val="28"/>
          <w:szCs w:val="28"/>
        </w:rPr>
        <w:t xml:space="preserve">, </w:t>
      </w:r>
      <w:r w:rsidR="00686D07" w:rsidRPr="00977598">
        <w:rPr>
          <w:sz w:val="28"/>
          <w:szCs w:val="28"/>
        </w:rPr>
        <w:t>Roche Products Pty Ltd</w:t>
      </w:r>
    </w:p>
    <w:p w:rsidR="006405F0" w:rsidRDefault="006405F0" w:rsidP="006405F0">
      <w:pPr>
        <w:pStyle w:val="NoSpacing"/>
      </w:pPr>
    </w:p>
    <w:p w:rsidR="006405F0" w:rsidRDefault="006405F0" w:rsidP="006F5487">
      <w:pPr>
        <w:pStyle w:val="NoSpacing"/>
        <w:jc w:val="center"/>
      </w:pPr>
    </w:p>
    <w:p w:rsidR="006405F0" w:rsidRPr="000A0ABB" w:rsidRDefault="006405F0" w:rsidP="000A0ABB">
      <w:pPr>
        <w:pStyle w:val="Heading1"/>
      </w:pPr>
      <w:r w:rsidRPr="000A0ABB">
        <w:t>Purpose of Application</w:t>
      </w:r>
    </w:p>
    <w:p w:rsidR="006405F0" w:rsidRPr="00882085" w:rsidRDefault="006405F0" w:rsidP="006405F0">
      <w:pPr>
        <w:rPr>
          <w:szCs w:val="22"/>
        </w:rPr>
      </w:pPr>
    </w:p>
    <w:p w:rsidR="00E06CB1" w:rsidRPr="00492F39" w:rsidRDefault="006405F0" w:rsidP="00E06CB1">
      <w:pPr>
        <w:pStyle w:val="ListParagraph"/>
        <w:widowControl/>
        <w:numPr>
          <w:ilvl w:val="1"/>
          <w:numId w:val="1"/>
        </w:numPr>
        <w:rPr>
          <w:szCs w:val="22"/>
        </w:rPr>
      </w:pPr>
      <w:r w:rsidRPr="00492F39">
        <w:rPr>
          <w:szCs w:val="22"/>
        </w:rPr>
        <w:t xml:space="preserve">The minor re-submission requested </w:t>
      </w:r>
      <w:r w:rsidR="00E06CB1" w:rsidRPr="00492F39">
        <w:rPr>
          <w:szCs w:val="22"/>
        </w:rPr>
        <w:t>a Section 100</w:t>
      </w:r>
      <w:r w:rsidR="00D1430C" w:rsidRPr="00492F39">
        <w:rPr>
          <w:szCs w:val="22"/>
        </w:rPr>
        <w:t xml:space="preserve"> or Section 85</w:t>
      </w:r>
      <w:r w:rsidR="00E06CB1" w:rsidRPr="00492F39">
        <w:rPr>
          <w:szCs w:val="22"/>
        </w:rPr>
        <w:t>, Authority Required listing for pirfenidone</w:t>
      </w:r>
      <w:r w:rsidRPr="00492F39">
        <w:rPr>
          <w:szCs w:val="22"/>
        </w:rPr>
        <w:t xml:space="preserve"> for the treatment</w:t>
      </w:r>
      <w:r w:rsidR="00686D07" w:rsidRPr="00492F39">
        <w:rPr>
          <w:szCs w:val="22"/>
        </w:rPr>
        <w:t xml:space="preserve"> of idiopathic pulmonary fibrosis.</w:t>
      </w:r>
    </w:p>
    <w:p w:rsidR="00492F39" w:rsidRPr="00492F39" w:rsidRDefault="00492F39" w:rsidP="00492F39">
      <w:pPr>
        <w:pStyle w:val="ListParagraph"/>
        <w:widowControl/>
        <w:rPr>
          <w:szCs w:val="22"/>
        </w:rPr>
      </w:pPr>
    </w:p>
    <w:p w:rsidR="00E06CB1" w:rsidRPr="00664652" w:rsidRDefault="00E06CB1" w:rsidP="006137B7">
      <w:pPr>
        <w:pStyle w:val="ListParagraph"/>
        <w:widowControl/>
        <w:numPr>
          <w:ilvl w:val="1"/>
          <w:numId w:val="1"/>
        </w:numPr>
        <w:rPr>
          <w:szCs w:val="22"/>
        </w:rPr>
      </w:pPr>
      <w:r>
        <w:rPr>
          <w:szCs w:val="22"/>
        </w:rPr>
        <w:t xml:space="preserve">This was a re-submission which sought to address the following concerns raised by the PBAC for the November 2015 submission: (1) whether the inclusion of a stopping rule would improve the cost-effectiveness of pirfendione; (2) the appropriateness of the overall survival (OS) extrapolation associated with </w:t>
      </w:r>
      <w:r w:rsidR="00374DDA">
        <w:rPr>
          <w:szCs w:val="22"/>
        </w:rPr>
        <w:t>best supportive care (BSC); (3)</w:t>
      </w:r>
      <w:r>
        <w:rPr>
          <w:szCs w:val="22"/>
        </w:rPr>
        <w:t xml:space="preserve"> the appropriateness of the time horizon for the economic evaluation; (4) the appropriateness of the utility weight applied for the progression health state; and (5) the appropriateness of incorporating an assumed price reduction after the expiry of the five-year data exclusivity period into the economic model and financial estimates.</w:t>
      </w:r>
    </w:p>
    <w:p w:rsidR="006405F0" w:rsidRDefault="006405F0" w:rsidP="006405F0">
      <w:pPr>
        <w:pStyle w:val="NoSpacing"/>
      </w:pPr>
    </w:p>
    <w:p w:rsidR="007730AD" w:rsidRPr="00C27B58" w:rsidRDefault="007730AD" w:rsidP="006405F0">
      <w:pPr>
        <w:pStyle w:val="NoSpacing"/>
      </w:pPr>
    </w:p>
    <w:p w:rsidR="006405F0" w:rsidRPr="00882085" w:rsidRDefault="006405F0" w:rsidP="000A0ABB">
      <w:pPr>
        <w:pStyle w:val="Heading1"/>
      </w:pPr>
      <w:r w:rsidRPr="00882085">
        <w:t>Requested listing</w:t>
      </w:r>
    </w:p>
    <w:p w:rsidR="006405F0" w:rsidRPr="00882085" w:rsidRDefault="006405F0" w:rsidP="006405F0">
      <w:pPr>
        <w:rPr>
          <w:b/>
          <w:szCs w:val="22"/>
        </w:rPr>
      </w:pPr>
    </w:p>
    <w:p w:rsidR="005E21DF" w:rsidRDefault="00446505" w:rsidP="00492F39">
      <w:pPr>
        <w:pStyle w:val="ListParagraph"/>
        <w:widowControl/>
        <w:numPr>
          <w:ilvl w:val="1"/>
          <w:numId w:val="1"/>
        </w:numPr>
      </w:pPr>
      <w:r w:rsidRPr="00EF112E">
        <w:t xml:space="preserve">No requested listing was provided as part of the minor re-submission. It </w:t>
      </w:r>
      <w:r w:rsidR="00492F39" w:rsidRPr="00EF112E">
        <w:t>wa</w:t>
      </w:r>
      <w:r w:rsidRPr="00EF112E">
        <w:t xml:space="preserve">s assumed the sponsor </w:t>
      </w:r>
      <w:r w:rsidR="00664652" w:rsidRPr="00EF112E">
        <w:t>is requesting the same restriction as that from November 2015.</w:t>
      </w:r>
    </w:p>
    <w:p w:rsidR="00407C4E" w:rsidRDefault="00407C4E" w:rsidP="00407C4E">
      <w:pPr>
        <w:pStyle w:val="ListParagraph"/>
        <w:widowControl/>
      </w:pPr>
      <w:r>
        <w:t xml:space="preserve"> </w:t>
      </w:r>
    </w:p>
    <w:p w:rsidR="00407C4E" w:rsidRDefault="00407C4E" w:rsidP="00407C4E">
      <w:pPr>
        <w:pStyle w:val="ListParagraph"/>
        <w:widowControl/>
        <w:numPr>
          <w:ilvl w:val="1"/>
          <w:numId w:val="1"/>
        </w:numPr>
      </w:pPr>
      <w:r>
        <w:t>The Secretariat suggested restriction is below. Additions are italicised and deletions are in strikethrough.</w:t>
      </w:r>
      <w:bookmarkStart w:id="0" w:name="_GoBack"/>
      <w:bookmarkEnd w:id="0"/>
    </w:p>
    <w:p w:rsidR="00977598" w:rsidRPr="00521CCC" w:rsidRDefault="00977598" w:rsidP="00407C4E">
      <w:pPr>
        <w:widowControl/>
        <w:jc w:val="left"/>
        <w:rPr>
          <w:i/>
          <w:szCs w:val="22"/>
        </w:rPr>
      </w:pPr>
    </w:p>
    <w:p w:rsidR="00977598" w:rsidRPr="0004297B" w:rsidRDefault="00977598" w:rsidP="00E10B08">
      <w:pPr>
        <w:pStyle w:val="ListParagraph"/>
        <w:widowControl/>
      </w:pPr>
    </w:p>
    <w:p w:rsidR="00407C4E" w:rsidRDefault="00407C4E">
      <w:pPr>
        <w:widowControl/>
        <w:jc w:val="left"/>
      </w:pPr>
      <w:r>
        <w:br w:type="page"/>
      </w:r>
    </w:p>
    <w:p w:rsidR="009C49D5" w:rsidRPr="00FC1AA8" w:rsidRDefault="009C49D5" w:rsidP="00407C4E">
      <w:pPr>
        <w:rPr>
          <w:b/>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2126"/>
        <w:gridCol w:w="1134"/>
        <w:gridCol w:w="1276"/>
      </w:tblGrid>
      <w:tr w:rsidR="009C49D5" w:rsidRPr="00423A22" w:rsidTr="00CA1EE4">
        <w:trPr>
          <w:cantSplit/>
          <w:trHeight w:val="471"/>
        </w:trPr>
        <w:tc>
          <w:tcPr>
            <w:tcW w:w="2552" w:type="dxa"/>
            <w:gridSpan w:val="2"/>
            <w:tcBorders>
              <w:bottom w:val="single" w:sz="4" w:space="0" w:color="auto"/>
            </w:tcBorders>
          </w:tcPr>
          <w:p w:rsidR="009C49D5" w:rsidRPr="00DF50AA" w:rsidRDefault="009C49D5" w:rsidP="00492F39">
            <w:pPr>
              <w:ind w:hanging="108"/>
              <w:rPr>
                <w:rFonts w:ascii="Arial Narrow" w:hAnsi="Arial Narrow"/>
                <w:sz w:val="20"/>
              </w:rPr>
            </w:pPr>
            <w:r w:rsidRPr="00DF50AA">
              <w:rPr>
                <w:rFonts w:ascii="Arial Narrow" w:hAnsi="Arial Narrow"/>
                <w:sz w:val="20"/>
              </w:rPr>
              <w:t>Name, Restriction,</w:t>
            </w:r>
          </w:p>
          <w:p w:rsidR="009C49D5" w:rsidRPr="00423A22" w:rsidRDefault="009C49D5" w:rsidP="00B23859">
            <w:pPr>
              <w:keepNext/>
              <w:widowControl/>
              <w:ind w:left="-108"/>
              <w:rPr>
                <w:rFonts w:ascii="Arial Narrow" w:hAnsi="Arial Narrow"/>
                <w:snapToGrid/>
                <w:sz w:val="20"/>
                <w:lang w:eastAsia="en-AU"/>
              </w:rPr>
            </w:pPr>
            <w:r w:rsidRPr="00DF50AA">
              <w:rPr>
                <w:rFonts w:ascii="Arial Narrow" w:hAnsi="Arial Narrow"/>
                <w:sz w:val="20"/>
              </w:rPr>
              <w:t>Manner of administration and form</w:t>
            </w:r>
          </w:p>
        </w:tc>
        <w:tc>
          <w:tcPr>
            <w:tcW w:w="567" w:type="dxa"/>
            <w:tcBorders>
              <w:bottom w:val="single" w:sz="4" w:space="0" w:color="auto"/>
            </w:tcBorders>
          </w:tcPr>
          <w:p w:rsidR="009C49D5" w:rsidRPr="00423A22" w:rsidRDefault="009C49D5"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Max.</w:t>
            </w:r>
          </w:p>
          <w:p w:rsidR="009C49D5" w:rsidRPr="00423A22" w:rsidRDefault="009C49D5"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Qty</w:t>
            </w:r>
          </w:p>
        </w:tc>
        <w:tc>
          <w:tcPr>
            <w:tcW w:w="850" w:type="dxa"/>
            <w:tcBorders>
              <w:bottom w:val="single" w:sz="4" w:space="0" w:color="auto"/>
            </w:tcBorders>
          </w:tcPr>
          <w:p w:rsidR="009C49D5" w:rsidRPr="00423A22" w:rsidRDefault="009C49D5"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№.of</w:t>
            </w:r>
          </w:p>
          <w:p w:rsidR="009C49D5" w:rsidRPr="00423A22" w:rsidRDefault="009C49D5"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Rpts</w:t>
            </w:r>
          </w:p>
        </w:tc>
        <w:tc>
          <w:tcPr>
            <w:tcW w:w="2126" w:type="dxa"/>
            <w:tcBorders>
              <w:bottom w:val="single" w:sz="4" w:space="0" w:color="auto"/>
            </w:tcBorders>
          </w:tcPr>
          <w:p w:rsidR="009C49D5" w:rsidRPr="00423A22" w:rsidRDefault="009C49D5"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Dispensed Price for Max. Qty</w:t>
            </w:r>
          </w:p>
        </w:tc>
        <w:tc>
          <w:tcPr>
            <w:tcW w:w="2410" w:type="dxa"/>
            <w:gridSpan w:val="2"/>
            <w:tcBorders>
              <w:bottom w:val="single" w:sz="4" w:space="0" w:color="auto"/>
            </w:tcBorders>
          </w:tcPr>
          <w:p w:rsidR="009C49D5" w:rsidRPr="00423A22" w:rsidRDefault="009C49D5" w:rsidP="00B23859">
            <w:pPr>
              <w:keepNext/>
              <w:widowControl/>
              <w:rPr>
                <w:rFonts w:ascii="Arial Narrow" w:hAnsi="Arial Narrow"/>
                <w:snapToGrid/>
                <w:sz w:val="20"/>
                <w:lang w:eastAsia="en-AU"/>
              </w:rPr>
            </w:pPr>
            <w:r w:rsidRPr="00423A22">
              <w:rPr>
                <w:rFonts w:ascii="Arial Narrow" w:hAnsi="Arial Narrow"/>
                <w:snapToGrid/>
                <w:sz w:val="20"/>
                <w:lang w:eastAsia="en-AU"/>
              </w:rPr>
              <w:t>Proprietary Name and Manufacturer</w:t>
            </w:r>
          </w:p>
          <w:p w:rsidR="009C49D5" w:rsidRPr="00423A22" w:rsidRDefault="009C49D5" w:rsidP="00B23859">
            <w:pPr>
              <w:keepNext/>
              <w:widowControl/>
              <w:rPr>
                <w:rFonts w:ascii="Arial Narrow" w:hAnsi="Arial Narrow"/>
                <w:snapToGrid/>
                <w:sz w:val="20"/>
                <w:lang w:val="fr-FR" w:eastAsia="en-AU"/>
              </w:rPr>
            </w:pPr>
            <w:r w:rsidRPr="00423A22">
              <w:rPr>
                <w:rFonts w:ascii="Arial Narrow" w:hAnsi="Arial Narrow"/>
                <w:snapToGrid/>
                <w:sz w:val="20"/>
                <w:lang w:eastAsia="en-AU"/>
              </w:rPr>
              <w:t xml:space="preserve">  </w:t>
            </w:r>
          </w:p>
        </w:tc>
      </w:tr>
      <w:tr w:rsidR="00E930B8" w:rsidRPr="00423A22" w:rsidTr="00CA1EE4">
        <w:trPr>
          <w:cantSplit/>
          <w:trHeight w:val="982"/>
        </w:trPr>
        <w:tc>
          <w:tcPr>
            <w:tcW w:w="2552" w:type="dxa"/>
            <w:gridSpan w:val="2"/>
          </w:tcPr>
          <w:p w:rsidR="00E930B8" w:rsidRPr="00423A22" w:rsidRDefault="00E930B8" w:rsidP="00B23859">
            <w:pPr>
              <w:keepNext/>
              <w:widowControl/>
              <w:ind w:left="-108"/>
              <w:rPr>
                <w:rFonts w:ascii="Arial Narrow" w:hAnsi="Arial Narrow"/>
                <w:snapToGrid/>
                <w:sz w:val="20"/>
                <w:lang w:eastAsia="en-AU"/>
              </w:rPr>
            </w:pPr>
            <w:r w:rsidRPr="00423A22">
              <w:rPr>
                <w:rFonts w:ascii="Arial Narrow" w:hAnsi="Arial Narrow"/>
                <w:smallCaps/>
                <w:snapToGrid/>
                <w:sz w:val="20"/>
                <w:lang w:eastAsia="en-AU"/>
              </w:rPr>
              <w:t>PIRFENIDONE</w:t>
            </w:r>
          </w:p>
          <w:p w:rsidR="00E930B8" w:rsidRPr="00423A22" w:rsidRDefault="00E930B8"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Capsule 267</w:t>
            </w:r>
            <w:r>
              <w:rPr>
                <w:rFonts w:ascii="Arial Narrow" w:hAnsi="Arial Narrow"/>
                <w:snapToGrid/>
                <w:sz w:val="20"/>
                <w:lang w:eastAsia="en-AU"/>
              </w:rPr>
              <w:t> </w:t>
            </w:r>
            <w:r w:rsidRPr="00423A22">
              <w:rPr>
                <w:rFonts w:ascii="Arial Narrow" w:hAnsi="Arial Narrow"/>
                <w:snapToGrid/>
                <w:sz w:val="20"/>
                <w:lang w:eastAsia="en-AU"/>
              </w:rPr>
              <w:t>mg, 270</w:t>
            </w:r>
          </w:p>
        </w:tc>
        <w:tc>
          <w:tcPr>
            <w:tcW w:w="567" w:type="dxa"/>
          </w:tcPr>
          <w:p w:rsidR="00E930B8" w:rsidRPr="00423A22" w:rsidRDefault="00E930B8" w:rsidP="00B23859">
            <w:pPr>
              <w:keepNext/>
              <w:widowControl/>
              <w:rPr>
                <w:rFonts w:ascii="Arial Narrow" w:hAnsi="Arial Narrow"/>
                <w:snapToGrid/>
                <w:sz w:val="20"/>
                <w:lang w:eastAsia="en-AU"/>
              </w:rPr>
            </w:pPr>
          </w:p>
          <w:p w:rsidR="00E930B8" w:rsidRPr="00423A22" w:rsidRDefault="00E930B8" w:rsidP="00B23859">
            <w:pPr>
              <w:keepNext/>
              <w:widowControl/>
              <w:rPr>
                <w:rFonts w:ascii="Arial Narrow" w:hAnsi="Arial Narrow"/>
                <w:snapToGrid/>
                <w:sz w:val="20"/>
                <w:lang w:eastAsia="en-AU"/>
              </w:rPr>
            </w:pPr>
            <w:r>
              <w:rPr>
                <w:rFonts w:ascii="Arial Narrow" w:hAnsi="Arial Narrow"/>
                <w:snapToGrid/>
                <w:sz w:val="20"/>
                <w:lang w:eastAsia="en-AU"/>
              </w:rPr>
              <w:t>1</w:t>
            </w:r>
          </w:p>
        </w:tc>
        <w:tc>
          <w:tcPr>
            <w:tcW w:w="850" w:type="dxa"/>
          </w:tcPr>
          <w:p w:rsidR="00E930B8" w:rsidRPr="00423A22" w:rsidRDefault="00E930B8" w:rsidP="00B23859">
            <w:pPr>
              <w:keepNext/>
              <w:widowControl/>
              <w:rPr>
                <w:rFonts w:ascii="Arial Narrow" w:hAnsi="Arial Narrow"/>
                <w:snapToGrid/>
                <w:sz w:val="20"/>
                <w:lang w:eastAsia="en-AU"/>
              </w:rPr>
            </w:pPr>
          </w:p>
          <w:p w:rsidR="00E930B8" w:rsidRPr="00423A22" w:rsidRDefault="00E930B8" w:rsidP="00B23859">
            <w:pPr>
              <w:keepNext/>
              <w:widowControl/>
              <w:ind w:left="-108"/>
              <w:rPr>
                <w:rFonts w:ascii="Arial Narrow" w:hAnsi="Arial Narrow"/>
                <w:snapToGrid/>
                <w:sz w:val="20"/>
                <w:lang w:eastAsia="en-AU"/>
              </w:rPr>
            </w:pPr>
            <w:r w:rsidRPr="00423A22">
              <w:rPr>
                <w:rFonts w:ascii="Arial Narrow" w:hAnsi="Arial Narrow"/>
                <w:snapToGrid/>
                <w:sz w:val="20"/>
                <w:lang w:eastAsia="en-AU"/>
              </w:rPr>
              <w:t>5</w:t>
            </w:r>
          </w:p>
        </w:tc>
        <w:tc>
          <w:tcPr>
            <w:tcW w:w="2126" w:type="dxa"/>
          </w:tcPr>
          <w:p w:rsidR="00E930B8" w:rsidRPr="00DF50AA" w:rsidRDefault="00E930B8" w:rsidP="00CA1EE4">
            <w:pPr>
              <w:jc w:val="center"/>
              <w:rPr>
                <w:rFonts w:ascii="Arial Narrow" w:hAnsi="Arial Narrow"/>
                <w:sz w:val="20"/>
              </w:rPr>
            </w:pPr>
            <w:r>
              <w:rPr>
                <w:rFonts w:ascii="Arial Narrow" w:hAnsi="Arial Narrow"/>
                <w:sz w:val="20"/>
              </w:rPr>
              <w:t xml:space="preserve">Public hospital: </w:t>
            </w:r>
            <w:r w:rsidRPr="00DF50AA">
              <w:rPr>
                <w:rFonts w:ascii="Arial Narrow" w:hAnsi="Arial Narrow"/>
                <w:sz w:val="20"/>
              </w:rPr>
              <w:t>$</w:t>
            </w:r>
            <w:r w:rsidR="001778C8">
              <w:rPr>
                <w:rFonts w:ascii="Arial Narrow" w:hAnsi="Arial Narrow"/>
                <w:noProof/>
                <w:color w:val="000000"/>
                <w:sz w:val="20"/>
                <w:highlight w:val="black"/>
              </w:rPr>
              <w:t>''''''''''''''''''</w:t>
            </w:r>
          </w:p>
          <w:p w:rsidR="00CA1EE4" w:rsidRDefault="00E930B8" w:rsidP="00CA1EE4">
            <w:pPr>
              <w:keepNext/>
              <w:widowControl/>
              <w:jc w:val="center"/>
              <w:rPr>
                <w:rFonts w:ascii="Arial Narrow" w:hAnsi="Arial Narrow"/>
                <w:sz w:val="20"/>
              </w:rPr>
            </w:pPr>
            <w:r w:rsidRPr="00DF50AA">
              <w:rPr>
                <w:rFonts w:ascii="Arial Narrow" w:hAnsi="Arial Narrow"/>
                <w:sz w:val="20"/>
              </w:rPr>
              <w:t>(effective price: $</w:t>
            </w:r>
            <w:r w:rsidR="001778C8">
              <w:rPr>
                <w:rFonts w:ascii="Arial Narrow" w:hAnsi="Arial Narrow"/>
                <w:noProof/>
                <w:color w:val="000000"/>
                <w:sz w:val="20"/>
                <w:highlight w:val="black"/>
              </w:rPr>
              <w:t>'''''''''''''''''</w:t>
            </w:r>
            <w:r w:rsidRPr="00DF50AA">
              <w:rPr>
                <w:rFonts w:ascii="Arial Narrow" w:hAnsi="Arial Narrow"/>
                <w:sz w:val="20"/>
              </w:rPr>
              <w:t>)</w:t>
            </w:r>
          </w:p>
          <w:p w:rsidR="00CA1EE4" w:rsidRPr="00DF50AA" w:rsidRDefault="00CA1EE4" w:rsidP="00CA1EE4">
            <w:pPr>
              <w:jc w:val="center"/>
              <w:rPr>
                <w:rFonts w:ascii="Arial Narrow" w:hAnsi="Arial Narrow"/>
                <w:sz w:val="20"/>
              </w:rPr>
            </w:pPr>
            <w:r>
              <w:rPr>
                <w:rFonts w:ascii="Arial Narrow" w:hAnsi="Arial Narrow"/>
                <w:sz w:val="20"/>
              </w:rPr>
              <w:t xml:space="preserve">Private hospital: </w:t>
            </w:r>
            <w:r w:rsidRPr="00DF50AA">
              <w:rPr>
                <w:rFonts w:ascii="Arial Narrow" w:hAnsi="Arial Narrow"/>
                <w:sz w:val="20"/>
              </w:rPr>
              <w:t>$</w:t>
            </w:r>
            <w:r w:rsidR="001778C8">
              <w:rPr>
                <w:rFonts w:ascii="Arial Narrow" w:hAnsi="Arial Narrow"/>
                <w:noProof/>
                <w:color w:val="000000"/>
                <w:sz w:val="20"/>
                <w:highlight w:val="black"/>
              </w:rPr>
              <w:t>'''''''''''''''''''</w:t>
            </w:r>
          </w:p>
          <w:p w:rsidR="00E930B8" w:rsidRPr="00423A22" w:rsidRDefault="00CA1EE4" w:rsidP="00CA1EE4">
            <w:pPr>
              <w:keepNext/>
              <w:widowControl/>
              <w:jc w:val="center"/>
              <w:rPr>
                <w:rFonts w:ascii="Arial Narrow" w:hAnsi="Arial Narrow"/>
                <w:snapToGrid/>
                <w:sz w:val="20"/>
                <w:lang w:eastAsia="en-AU"/>
              </w:rPr>
            </w:pPr>
            <w:r w:rsidRPr="00DF50AA">
              <w:rPr>
                <w:rFonts w:ascii="Arial Narrow" w:hAnsi="Arial Narrow"/>
                <w:sz w:val="20"/>
              </w:rPr>
              <w:t>(effective price: $</w:t>
            </w:r>
            <w:r w:rsidR="001778C8">
              <w:rPr>
                <w:rFonts w:ascii="Arial Narrow" w:hAnsi="Arial Narrow"/>
                <w:noProof/>
                <w:color w:val="000000"/>
                <w:sz w:val="20"/>
                <w:highlight w:val="black"/>
              </w:rPr>
              <w:t>'''''''''''''''''</w:t>
            </w:r>
            <w:r>
              <w:rPr>
                <w:rFonts w:ascii="Arial Narrow" w:hAnsi="Arial Narrow"/>
                <w:sz w:val="20"/>
              </w:rPr>
              <w:t>)</w:t>
            </w:r>
          </w:p>
        </w:tc>
        <w:tc>
          <w:tcPr>
            <w:tcW w:w="1134" w:type="dxa"/>
          </w:tcPr>
          <w:p w:rsidR="00E930B8" w:rsidRPr="00423A22" w:rsidRDefault="00E930B8" w:rsidP="00B23859">
            <w:pPr>
              <w:keepNext/>
              <w:widowControl/>
              <w:rPr>
                <w:rFonts w:ascii="Arial Narrow" w:hAnsi="Arial Narrow"/>
                <w:snapToGrid/>
                <w:sz w:val="20"/>
                <w:lang w:eastAsia="en-AU"/>
              </w:rPr>
            </w:pPr>
          </w:p>
          <w:p w:rsidR="00E930B8" w:rsidRPr="00423A22" w:rsidRDefault="00E930B8" w:rsidP="00B23859">
            <w:pPr>
              <w:keepNext/>
              <w:widowControl/>
              <w:rPr>
                <w:rFonts w:ascii="Arial Narrow" w:hAnsi="Arial Narrow"/>
                <w:snapToGrid/>
                <w:sz w:val="20"/>
                <w:lang w:eastAsia="en-AU"/>
              </w:rPr>
            </w:pPr>
            <w:r w:rsidRPr="00423A22">
              <w:rPr>
                <w:rFonts w:ascii="Arial Narrow" w:hAnsi="Arial Narrow"/>
                <w:snapToGrid/>
                <w:sz w:val="20"/>
                <w:lang w:eastAsia="en-AU"/>
              </w:rPr>
              <w:t>Esbriet</w:t>
            </w:r>
            <w:r w:rsidRPr="008B79AA">
              <w:rPr>
                <w:rFonts w:ascii="Arial Narrow" w:hAnsi="Arial Narrow"/>
                <w:snapToGrid/>
                <w:sz w:val="20"/>
                <w:vertAlign w:val="superscript"/>
                <w:lang w:val="en-NZ" w:eastAsia="en-AU"/>
              </w:rPr>
              <w:t>®</w:t>
            </w:r>
          </w:p>
        </w:tc>
        <w:tc>
          <w:tcPr>
            <w:tcW w:w="1276" w:type="dxa"/>
          </w:tcPr>
          <w:p w:rsidR="00E930B8" w:rsidRPr="00423A22" w:rsidRDefault="00E930B8" w:rsidP="00B23859">
            <w:pPr>
              <w:keepNext/>
              <w:widowControl/>
              <w:rPr>
                <w:rFonts w:ascii="Arial Narrow" w:hAnsi="Arial Narrow"/>
                <w:snapToGrid/>
                <w:sz w:val="20"/>
                <w:lang w:eastAsia="en-AU"/>
              </w:rPr>
            </w:pPr>
          </w:p>
          <w:p w:rsidR="00E930B8" w:rsidRPr="00423A22" w:rsidRDefault="00E930B8" w:rsidP="00B23859">
            <w:pPr>
              <w:keepNext/>
              <w:widowControl/>
              <w:rPr>
                <w:rFonts w:ascii="Arial Narrow" w:hAnsi="Arial Narrow"/>
                <w:snapToGrid/>
                <w:sz w:val="20"/>
                <w:lang w:eastAsia="en-AU"/>
              </w:rPr>
            </w:pPr>
            <w:r w:rsidRPr="00423A22">
              <w:rPr>
                <w:rFonts w:ascii="Arial Narrow" w:hAnsi="Arial Narrow"/>
                <w:snapToGrid/>
                <w:sz w:val="20"/>
                <w:lang w:eastAsia="en-AU"/>
              </w:rPr>
              <w:t>RO</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trike/>
                <w:snapToGrid/>
                <w:sz w:val="20"/>
                <w:lang w:eastAsia="en-AU"/>
              </w:rPr>
            </w:pPr>
            <w:r w:rsidRPr="00423A22">
              <w:rPr>
                <w:rFonts w:ascii="Arial Narrow" w:hAnsi="Arial Narrow"/>
                <w:strike/>
                <w:snapToGrid/>
                <w:sz w:val="20"/>
                <w:lang w:eastAsia="en-AU"/>
              </w:rPr>
              <w:t>Section 100 – Highly Specialised Drugs Program</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t>GENERAL – General Schedule (Code GE)</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7730AD"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t>Initial treatment</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i/>
                <w:snapToGrid/>
                <w:sz w:val="20"/>
                <w:lang w:eastAsia="en-AU"/>
              </w:rPr>
            </w:pPr>
            <w:r w:rsidRPr="00423A22">
              <w:rPr>
                <w:rFonts w:ascii="Arial Narrow" w:hAnsi="Arial Narrow"/>
                <w:b/>
                <w:snapToGrid/>
                <w:sz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Telephone</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be </w:t>
            </w:r>
            <w:r w:rsidRPr="00423A22">
              <w:rPr>
                <w:rFonts w:ascii="Arial Narrow" w:hAnsi="Arial Narrow"/>
                <w:i/>
                <w:iCs/>
                <w:sz w:val="20"/>
                <w:lang w:eastAsia="en-AU"/>
              </w:rPr>
              <w:t>treated by a respiratory physician or specialist physician experienced in the management of patients with idiopathic pulmonary fibrosis.</w:t>
            </w:r>
          </w:p>
        </w:tc>
      </w:tr>
      <w:tr w:rsidR="00E930B8" w:rsidRPr="00423A22" w:rsidTr="007730AD">
        <w:trPr>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Clinical criteria:</w:t>
            </w:r>
          </w:p>
          <w:p w:rsidR="00E930B8" w:rsidRPr="00423A22" w:rsidRDefault="00E930B8" w:rsidP="00B23859">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Patient must have confirmed diagnosis of idiopathic pulmonary fibrosis;</w:t>
            </w:r>
          </w:p>
          <w:p w:rsidR="00E930B8" w:rsidRPr="00423A22" w:rsidRDefault="00E930B8" w:rsidP="00B23859">
            <w:pPr>
              <w:widowControl/>
              <w:ind w:left="176" w:hanging="176"/>
              <w:jc w:val="left"/>
              <w:rPr>
                <w:rFonts w:ascii="Arial Narrow" w:hAnsi="Arial Narrow"/>
                <w:i/>
                <w:snapToGrid/>
                <w:sz w:val="20"/>
                <w:lang w:eastAsia="en-AU"/>
              </w:rPr>
            </w:pPr>
            <w:r w:rsidRPr="00423A22">
              <w:rPr>
                <w:rFonts w:ascii="Arial Narrow" w:hAnsi="Arial Narrow"/>
                <w:i/>
                <w:snapToGrid/>
                <w:sz w:val="20"/>
                <w:lang w:eastAsia="en-AU"/>
              </w:rPr>
              <w:t>AND</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have chest high resolution computed tomography (HRCT)  with surgical lung biopsy consistent with the diagnosis of idiopathic pulmonary fibrosis; OR </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have chest high resolution computed tomography (HRCT)  without  surgical lung biopsy consistent with the diagnosis of idiopathic pulmonary fibrosis </w:t>
            </w:r>
          </w:p>
          <w:p w:rsidR="00E930B8" w:rsidRPr="00423A22" w:rsidRDefault="00E930B8" w:rsidP="00B23859">
            <w:pPr>
              <w:widowControl/>
              <w:jc w:val="left"/>
              <w:rPr>
                <w:rFonts w:ascii="Arial Narrow" w:hAnsi="Arial Narrow"/>
                <w:i/>
                <w:snapToGrid/>
                <w:sz w:val="20"/>
                <w:lang w:eastAsia="en-AU"/>
              </w:rPr>
            </w:pPr>
            <w:r w:rsidRPr="00423A22">
              <w:rPr>
                <w:rFonts w:ascii="Arial Narrow" w:hAnsi="Arial Narrow"/>
                <w:i/>
                <w:snapToGrid/>
                <w:sz w:val="20"/>
                <w:lang w:eastAsia="en-AU"/>
              </w:rPr>
              <w:t>AND</w:t>
            </w:r>
          </w:p>
          <w:p w:rsidR="00E930B8" w:rsidRPr="00423A22" w:rsidRDefault="00E930B8" w:rsidP="00B23859">
            <w:pPr>
              <w:widowControl/>
              <w:jc w:val="left"/>
              <w:rPr>
                <w:rFonts w:ascii="Arial Narrow" w:hAnsi="Arial Narrow"/>
                <w:i/>
                <w:snapToGrid/>
                <w:sz w:val="20"/>
                <w:lang w:eastAsia="en-AU"/>
              </w:rPr>
            </w:pPr>
            <w:r w:rsidRPr="00423A22">
              <w:rPr>
                <w:rFonts w:ascii="Arial Narrow" w:hAnsi="Arial Narrow"/>
                <w:i/>
                <w:snapToGrid/>
                <w:sz w:val="20"/>
                <w:lang w:eastAsia="en-AU"/>
              </w:rPr>
              <w:t>Patient must have percent predicted Forced Vital Capacity (FVC) equal or greater than 50%</w:t>
            </w:r>
          </w:p>
          <w:p w:rsidR="00E930B8" w:rsidRPr="00423A22" w:rsidRDefault="00E930B8" w:rsidP="00B23859">
            <w:pPr>
              <w:widowControl/>
              <w:jc w:val="left"/>
              <w:rPr>
                <w:rFonts w:ascii="Arial Narrow" w:hAnsi="Arial Narrow"/>
                <w:bCs/>
                <w:i/>
                <w:snapToGrid/>
                <w:sz w:val="20"/>
              </w:rPr>
            </w:pPr>
            <w:r w:rsidRPr="00423A22">
              <w:rPr>
                <w:rFonts w:ascii="Arial Narrow" w:hAnsi="Arial Narrow"/>
                <w:bCs/>
                <w:i/>
                <w:snapToGrid/>
                <w:sz w:val="20"/>
              </w:rPr>
              <w:t>AND</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Patient must have percent predicted carbon monoxide diffusing capacity (DL</w:t>
            </w:r>
            <w:r w:rsidRPr="00423A22">
              <w:rPr>
                <w:rFonts w:ascii="Arial Narrow" w:hAnsi="Arial Narrow"/>
                <w:i/>
                <w:snapToGrid/>
                <w:sz w:val="20"/>
                <w:vertAlign w:val="subscript"/>
                <w:lang w:eastAsia="en-AU"/>
              </w:rPr>
              <w:t>CO</w:t>
            </w:r>
            <w:r w:rsidRPr="00423A22">
              <w:rPr>
                <w:rFonts w:ascii="Arial Narrow" w:hAnsi="Arial Narrow"/>
                <w:i/>
                <w:snapToGrid/>
                <w:sz w:val="20"/>
                <w:lang w:eastAsia="en-AU"/>
              </w:rPr>
              <w:t>) equal to or greater than 30%.</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i/>
                <w:snapToGrid/>
                <w:sz w:val="20"/>
                <w:lang w:eastAsia="en-AU"/>
              </w:rPr>
              <w:t>Patient must be aged 40 years or older.</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t>Prescriber Instruction 1</w:t>
            </w:r>
          </w:p>
          <w:p w:rsidR="00E930B8" w:rsidRPr="00423A22" w:rsidRDefault="00E930B8" w:rsidP="00B23859">
            <w:pPr>
              <w:widowControl/>
              <w:rPr>
                <w:rFonts w:ascii="Arial Narrow" w:hAnsi="Arial Narrow"/>
                <w:i/>
                <w:snapToGrid/>
                <w:sz w:val="20"/>
                <w:lang w:eastAsia="en-AU"/>
              </w:rPr>
            </w:pPr>
            <w:r>
              <w:rPr>
                <w:rFonts w:ascii="Arial Narrow" w:hAnsi="Arial Narrow"/>
                <w:i/>
                <w:snapToGrid/>
                <w:sz w:val="20"/>
                <w:lang w:eastAsia="en-AU"/>
              </w:rPr>
              <w:t>(To be finalised)</w:t>
            </w:r>
          </w:p>
          <w:p w:rsidR="00E930B8" w:rsidRPr="00423A22" w:rsidRDefault="00E930B8" w:rsidP="00B23859">
            <w:pPr>
              <w:widowControl/>
              <w:rPr>
                <w:rFonts w:ascii="Arial Narrow" w:hAnsi="Arial Narrow"/>
                <w:b/>
                <w:snapToGrid/>
                <w:sz w:val="20"/>
                <w:lang w:eastAsia="en-AU"/>
              </w:rPr>
            </w:pPr>
          </w:p>
          <w:p w:rsidR="00E930B8" w:rsidRPr="00423A22" w:rsidRDefault="00E930B8" w:rsidP="00B23859">
            <w:pPr>
              <w:widowControl/>
              <w:rPr>
                <w:rFonts w:ascii="Arial Narrow" w:hAnsi="Arial Narrow"/>
                <w:b/>
                <w:snapToGrid/>
                <w:sz w:val="20"/>
                <w:lang w:eastAsia="en-AU"/>
              </w:rPr>
            </w:pPr>
          </w:p>
          <w:p w:rsidR="00E930B8" w:rsidRPr="00423A22" w:rsidRDefault="00E930B8" w:rsidP="00B23859">
            <w:pPr>
              <w:widowControl/>
              <w:rPr>
                <w:rFonts w:ascii="Arial Narrow" w:hAnsi="Arial Narrow"/>
                <w:snapToGrid/>
                <w:sz w:val="20"/>
                <w:lang w:eastAsia="en-AU"/>
              </w:rPr>
            </w:pPr>
            <w:r w:rsidRPr="00423A22">
              <w:rPr>
                <w:rFonts w:ascii="Arial Narrow" w:hAnsi="Arial Narrow"/>
                <w:b/>
                <w:snapToGrid/>
                <w:sz w:val="20"/>
                <w:lang w:eastAsia="en-AU"/>
              </w:rPr>
              <w:t>Prescriber Instruction 2</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i/>
                <w:iCs/>
                <w:sz w:val="20"/>
                <w:lang w:eastAsia="en-AU"/>
              </w:rPr>
            </w:pPr>
            <w:r w:rsidRPr="00423A22">
              <w:rPr>
                <w:rFonts w:ascii="Arial Narrow" w:hAnsi="Arial Narrow"/>
                <w:i/>
                <w:iCs/>
                <w:sz w:val="20"/>
                <w:lang w:eastAsia="en-AU"/>
              </w:rPr>
              <w:t xml:space="preserve">Consultation with a multidisciplinary team </w:t>
            </w:r>
            <w:r>
              <w:rPr>
                <w:rFonts w:ascii="Arial Narrow" w:hAnsi="Arial Narrow"/>
                <w:i/>
                <w:iCs/>
                <w:sz w:val="20"/>
                <w:lang w:eastAsia="en-AU"/>
              </w:rPr>
              <w:t>is</w:t>
            </w:r>
            <w:r w:rsidRPr="00423A22">
              <w:rPr>
                <w:rFonts w:ascii="Arial Narrow" w:hAnsi="Arial Narrow"/>
                <w:i/>
                <w:iCs/>
                <w:sz w:val="20"/>
                <w:lang w:eastAsia="en-AU"/>
              </w:rPr>
              <w:t xml:space="preserve"> necessary in the diagnosis of idiopathic pulmonary fibrosis (IPF). The multidisciplinary team </w:t>
            </w:r>
            <w:r>
              <w:rPr>
                <w:rFonts w:ascii="Arial Narrow" w:hAnsi="Arial Narrow"/>
                <w:i/>
                <w:iCs/>
                <w:sz w:val="20"/>
                <w:lang w:eastAsia="en-AU"/>
              </w:rPr>
              <w:t>may</w:t>
            </w:r>
            <w:r w:rsidRPr="00423A22">
              <w:rPr>
                <w:rFonts w:ascii="Arial Narrow" w:hAnsi="Arial Narrow"/>
                <w:i/>
                <w:iCs/>
                <w:sz w:val="20"/>
                <w:lang w:eastAsia="en-AU"/>
              </w:rPr>
              <w:t xml:space="preserve"> comprise of at least a pulmonologist, radiologist and where required, pathologist.</w:t>
            </w:r>
          </w:p>
          <w:p w:rsidR="00E930B8" w:rsidRPr="00423A22" w:rsidRDefault="00E930B8" w:rsidP="00B23859">
            <w:pPr>
              <w:widowControl/>
              <w:jc w:val="left"/>
              <w:rPr>
                <w:rFonts w:ascii="Arial Narrow" w:hAnsi="Arial Narrow" w:cs="Calibri"/>
                <w:bCs/>
                <w:i/>
                <w:snapToGrid/>
                <w:sz w:val="20"/>
              </w:rPr>
            </w:pP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Authority applications for initial treatment must be made in writing and must include:</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(a) a completed authority prescription form; and</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(b) a completed IPF Initial PBS authority application form which includes:</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(i) a copy of the high-resolution computed tomographic scan with or without surgical lung biopsy results confirming the diagnosis of IPF</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(ii) a copy of the respiratory function test results showing Forced Vital Capacity (FVC) equal to or greater than</w:t>
            </w:r>
            <w:r>
              <w:rPr>
                <w:rFonts w:ascii="Arial Narrow" w:hAnsi="Arial Narrow" w:cs="Calibri"/>
                <w:bCs/>
                <w:i/>
                <w:snapToGrid/>
                <w:sz w:val="20"/>
              </w:rPr>
              <w:t xml:space="preserve"> </w:t>
            </w:r>
            <w:r w:rsidRPr="00423A22">
              <w:rPr>
                <w:rFonts w:ascii="Arial Narrow" w:hAnsi="Arial Narrow" w:cs="Calibri"/>
                <w:bCs/>
                <w:i/>
                <w:snapToGrid/>
                <w:sz w:val="20"/>
              </w:rPr>
              <w:t>50%</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AND</w:t>
            </w:r>
          </w:p>
          <w:p w:rsidR="00E930B8" w:rsidRPr="00423A22" w:rsidRDefault="00E930B8" w:rsidP="00B23859">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(iii) a copy of the percent predicted carbon monoxide diffusing capacity (DL</w:t>
            </w:r>
            <w:r w:rsidRPr="00423A22">
              <w:rPr>
                <w:rFonts w:ascii="Arial Narrow" w:hAnsi="Arial Narrow" w:cs="Times New Roman"/>
                <w:i/>
                <w:snapToGrid/>
                <w:sz w:val="20"/>
                <w:vertAlign w:val="subscript"/>
                <w:lang w:eastAsia="en-AU"/>
              </w:rPr>
              <w:t>CO</w:t>
            </w:r>
            <w:r w:rsidRPr="00423A22">
              <w:rPr>
                <w:rFonts w:ascii="Arial Narrow" w:hAnsi="Arial Narrow" w:cs="Times New Roman"/>
                <w:i/>
                <w:snapToGrid/>
                <w:sz w:val="20"/>
                <w:lang w:eastAsia="en-AU"/>
              </w:rPr>
              <w:t>) equal or greater than 30%.</w:t>
            </w:r>
          </w:p>
        </w:tc>
      </w:tr>
      <w:tr w:rsidR="00E930B8"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rPr>
                <w:rFonts w:ascii="Arial Narrow" w:hAnsi="Arial Narrow"/>
                <w:b/>
                <w:snapToGrid/>
                <w:sz w:val="20"/>
                <w:lang w:eastAsia="en-AU"/>
              </w:rPr>
            </w:pPr>
            <w:r w:rsidRPr="00423A22">
              <w:rPr>
                <w:rFonts w:ascii="Arial Narrow" w:hAnsi="Arial Narrow"/>
                <w:b/>
                <w:snapToGrid/>
                <w:sz w:val="20"/>
                <w:lang w:eastAsia="en-AU"/>
              </w:rPr>
              <w:lastRenderedPageBreak/>
              <w:t>Administrative Advice 1</w:t>
            </w:r>
          </w:p>
          <w:p w:rsidR="00E930B8" w:rsidRPr="00423A22" w:rsidRDefault="00E930B8" w:rsidP="00B23859">
            <w:pPr>
              <w:widowControl/>
              <w:rPr>
                <w:rFonts w:ascii="Arial Narrow" w:hAnsi="Arial Narrow"/>
                <w:i/>
                <w:snapToGrid/>
                <w:sz w:val="20"/>
                <w:lang w:eastAsia="en-AU"/>
              </w:rPr>
            </w:pPr>
          </w:p>
          <w:p w:rsidR="00E930B8" w:rsidRPr="00423A22" w:rsidRDefault="00E930B8" w:rsidP="00B23859">
            <w:pPr>
              <w:widowControl/>
              <w:rPr>
                <w:rFonts w:ascii="Arial Narrow" w:hAnsi="Arial Narrow"/>
                <w:i/>
                <w:snapToGrid/>
                <w:sz w:val="20"/>
                <w:lang w:eastAsia="en-AU"/>
              </w:rPr>
            </w:pPr>
          </w:p>
          <w:p w:rsidR="00E930B8" w:rsidRPr="00423A22" w:rsidRDefault="00E930B8" w:rsidP="00B23859">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gridSpan w:val="6"/>
            <w:tcBorders>
              <w:top w:val="single" w:sz="4" w:space="0" w:color="auto"/>
              <w:left w:val="single" w:sz="4" w:space="0" w:color="auto"/>
              <w:bottom w:val="single" w:sz="4" w:space="0" w:color="auto"/>
              <w:right w:val="single" w:sz="4" w:space="0" w:color="auto"/>
            </w:tcBorders>
          </w:tcPr>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E930B8" w:rsidRPr="00423A22" w:rsidRDefault="00E930B8" w:rsidP="00B23859">
            <w:pPr>
              <w:widowControl/>
              <w:jc w:val="left"/>
              <w:rPr>
                <w:rFonts w:ascii="Arial Narrow" w:hAnsi="Arial Narrow" w:cs="Calibri"/>
                <w:bCs/>
                <w:i/>
                <w:snapToGrid/>
                <w:sz w:val="20"/>
              </w:rPr>
            </w:pP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E930B8" w:rsidRPr="00423A22"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E930B8" w:rsidRPr="00745EA4" w:rsidRDefault="00E930B8" w:rsidP="00B23859">
            <w:pPr>
              <w:widowControl/>
              <w:jc w:val="left"/>
              <w:rPr>
                <w:rFonts w:ascii="Arial Narrow" w:hAnsi="Arial Narrow" w:cs="Calibri"/>
                <w:bCs/>
                <w:i/>
                <w:snapToGrid/>
                <w:sz w:val="20"/>
              </w:rPr>
            </w:pPr>
            <w:r w:rsidRPr="00423A22">
              <w:rPr>
                <w:rFonts w:ascii="Arial Narrow" w:hAnsi="Arial Narrow" w:cs="Calibri"/>
                <w:bCs/>
                <w:i/>
                <w:snapToGrid/>
                <w:sz w:val="20"/>
              </w:rPr>
              <w:t>HOBART TAS 7001</w:t>
            </w:r>
          </w:p>
        </w:tc>
      </w:tr>
    </w:tbl>
    <w:p w:rsidR="009C49D5" w:rsidRDefault="009C49D5" w:rsidP="009C49D5">
      <w:pPr>
        <w:widowControl/>
      </w:pPr>
    </w:p>
    <w:tbl>
      <w:tblPr>
        <w:tblW w:w="8505" w:type="dxa"/>
        <w:tblInd w:w="817" w:type="dxa"/>
        <w:tblLayout w:type="fixed"/>
        <w:tblLook w:val="0000" w:firstRow="0" w:lastRow="0" w:firstColumn="0" w:lastColumn="0" w:noHBand="0" w:noVBand="0"/>
      </w:tblPr>
      <w:tblGrid>
        <w:gridCol w:w="2126"/>
        <w:gridCol w:w="6379"/>
      </w:tblGrid>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Category / Program</w:t>
            </w:r>
          </w:p>
        </w:tc>
        <w:tc>
          <w:tcPr>
            <w:tcW w:w="6379" w:type="dxa"/>
            <w:tcBorders>
              <w:top w:val="single" w:sz="4" w:space="0" w:color="auto"/>
              <w:left w:val="single" w:sz="4" w:space="0" w:color="auto"/>
              <w:bottom w:val="single" w:sz="4" w:space="0" w:color="auto"/>
              <w:right w:val="single" w:sz="4" w:space="0" w:color="auto"/>
            </w:tcBorders>
          </w:tcPr>
          <w:p w:rsidR="009C49D5" w:rsidRPr="00745EA4" w:rsidRDefault="009C49D5" w:rsidP="00B23859">
            <w:pPr>
              <w:widowControl/>
              <w:spacing w:before="20" w:after="20"/>
              <w:jc w:val="left"/>
              <w:rPr>
                <w:rFonts w:ascii="Arial Narrow" w:hAnsi="Arial Narrow" w:cs="Calibri"/>
                <w:bCs/>
                <w:i/>
                <w:strike/>
                <w:snapToGrid/>
                <w:sz w:val="20"/>
              </w:rPr>
            </w:pPr>
            <w:r w:rsidRPr="00745EA4">
              <w:rPr>
                <w:rFonts w:ascii="Arial Narrow" w:hAnsi="Arial Narrow" w:cs="Calibri"/>
                <w:bCs/>
                <w:i/>
                <w:strike/>
                <w:snapToGrid/>
                <w:sz w:val="20"/>
              </w:rPr>
              <w:t>Section 100 – Highly Specialised Drugs Program (Community Access)</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GENERAL – General Schedule (Code GE)</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Continuing treatment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CA1EE4">
            <w:pPr>
              <w:widowControl/>
              <w:jc w:val="left"/>
              <w:rPr>
                <w:rFonts w:ascii="Arial Narrow" w:hAnsi="Arial Narrow"/>
                <w:i/>
                <w:snapToGrid/>
                <w:sz w:val="20"/>
                <w:lang w:eastAsia="en-AU"/>
              </w:rPr>
            </w:pPr>
            <w:r w:rsidRPr="00423A22">
              <w:rPr>
                <w:rFonts w:ascii="Arial Narrow" w:hAnsi="Arial Narrow"/>
                <w:b/>
                <w:snapToGrid/>
                <w:sz w:val="20"/>
                <w:lang w:eastAsia="en-AU"/>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1"/>
                  </w:checkBox>
                </w:ffData>
              </w:fldChar>
            </w:r>
            <w:bookmarkStart w:id="1" w:name="Check3"/>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bookmarkEnd w:id="1"/>
            <w:r w:rsidRPr="00423A22">
              <w:rPr>
                <w:rFonts w:ascii="Arial Narrow" w:hAnsi="Arial Narrow"/>
                <w:snapToGrid/>
                <w:sz w:val="20"/>
                <w:lang w:eastAsia="en-AU"/>
              </w:rPr>
              <w:t>Authority Required - Telephone</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Must be treated by a respiratory physician or specialist physician experienced in the management of patients with 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Clinical criteria:</w:t>
            </w:r>
          </w:p>
          <w:p w:rsidR="009C49D5" w:rsidRPr="00423A22" w:rsidRDefault="009C49D5" w:rsidP="00B23859">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tcBorders>
              <w:top w:val="single" w:sz="4" w:space="0" w:color="auto"/>
              <w:left w:val="single" w:sz="4" w:space="0" w:color="auto"/>
              <w:bottom w:val="single" w:sz="4" w:space="0" w:color="auto"/>
              <w:right w:val="single" w:sz="4" w:space="0" w:color="auto"/>
            </w:tcBorders>
          </w:tcPr>
          <w:p w:rsidR="009C49D5" w:rsidRPr="00AE3D1A" w:rsidRDefault="009C49D5" w:rsidP="00B23859">
            <w:pPr>
              <w:widowControl/>
              <w:spacing w:before="20" w:after="20"/>
              <w:jc w:val="left"/>
              <w:rPr>
                <w:rFonts w:ascii="Arial Narrow" w:hAnsi="Arial Narrow" w:cs="Calibri"/>
                <w:bCs/>
                <w:i/>
                <w:snapToGrid/>
                <w:sz w:val="20"/>
              </w:rPr>
            </w:pPr>
            <w:r w:rsidRPr="00423A22">
              <w:rPr>
                <w:rFonts w:ascii="Arial Narrow" w:hAnsi="Arial Narrow" w:cs="Calibri"/>
                <w:bCs/>
                <w:i/>
                <w:snapToGrid/>
                <w:sz w:val="20"/>
              </w:rPr>
              <w:t>Patient must have previously received PBS subsidised treatment with this drug.</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9C49D5" w:rsidRPr="00AE3D1A" w:rsidRDefault="009C49D5" w:rsidP="00B23859">
            <w:pPr>
              <w:widowControl/>
              <w:jc w:val="left"/>
              <w:rPr>
                <w:rFonts w:ascii="Arial Narrow" w:hAnsi="Arial Narrow"/>
                <w:i/>
                <w:snapToGrid/>
                <w:sz w:val="20"/>
                <w:lang w:eastAsia="en-AU"/>
              </w:rPr>
            </w:pPr>
            <w:r w:rsidRPr="00423A22">
              <w:rPr>
                <w:rFonts w:ascii="Arial Narrow" w:hAnsi="Arial Narrow"/>
                <w:i/>
                <w:snapToGrid/>
                <w:sz w:val="20"/>
                <w:lang w:eastAsia="en-AU"/>
              </w:rPr>
              <w:t>Patient must be aged 40 years or older.</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Administrative Advice 1</w:t>
            </w:r>
          </w:p>
          <w:p w:rsidR="009C49D5" w:rsidRDefault="009C49D5" w:rsidP="00B23859">
            <w:pPr>
              <w:widowControl/>
              <w:rPr>
                <w:rFonts w:ascii="Arial Narrow" w:hAnsi="Arial Narrow"/>
                <w:b/>
                <w:snapToGrid/>
                <w:sz w:val="20"/>
                <w:lang w:eastAsia="en-AU"/>
              </w:rPr>
            </w:pPr>
          </w:p>
          <w:p w:rsidR="009C49D5" w:rsidRPr="00423A22" w:rsidRDefault="009C49D5" w:rsidP="00B23859">
            <w:pPr>
              <w:widowControl/>
              <w:rPr>
                <w:rFonts w:ascii="Arial Narrow" w:hAnsi="Arial Narrow"/>
                <w:b/>
                <w:snapToGrid/>
                <w:sz w:val="20"/>
                <w:lang w:eastAsia="en-AU"/>
              </w:rPr>
            </w:pPr>
          </w:p>
          <w:p w:rsidR="009C49D5" w:rsidRPr="00423A22" w:rsidRDefault="009C49D5" w:rsidP="00B23859">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9C49D5"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9C49D5" w:rsidRPr="00423A22" w:rsidRDefault="009C49D5" w:rsidP="00B23859">
            <w:pPr>
              <w:widowControl/>
              <w:jc w:val="left"/>
              <w:rPr>
                <w:rFonts w:ascii="Arial Narrow" w:hAnsi="Arial Narrow" w:cs="Calibri"/>
                <w:bCs/>
                <w:i/>
                <w:snapToGrid/>
                <w:sz w:val="20"/>
              </w:rPr>
            </w:pP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cs="Calibri"/>
                <w:bCs/>
                <w:i/>
                <w:snapToGrid/>
                <w:sz w:val="20"/>
              </w:rPr>
              <w:t>HOBART TAS 7001</w:t>
            </w:r>
          </w:p>
        </w:tc>
      </w:tr>
    </w:tbl>
    <w:p w:rsidR="009C49D5" w:rsidRDefault="009C49D5" w:rsidP="009C49D5">
      <w:pPr>
        <w:widowControl/>
      </w:pPr>
    </w:p>
    <w:tbl>
      <w:tblPr>
        <w:tblW w:w="8505" w:type="dxa"/>
        <w:tblInd w:w="817" w:type="dxa"/>
        <w:tblLayout w:type="fixed"/>
        <w:tblLook w:val="0000" w:firstRow="0" w:lastRow="0" w:firstColumn="0" w:lastColumn="0" w:noHBand="0" w:noVBand="0"/>
      </w:tblPr>
      <w:tblGrid>
        <w:gridCol w:w="2126"/>
        <w:gridCol w:w="6379"/>
      </w:tblGrid>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lastRenderedPageBreak/>
              <w:t>Category / Program</w:t>
            </w:r>
          </w:p>
        </w:tc>
        <w:tc>
          <w:tcPr>
            <w:tcW w:w="6379" w:type="dxa"/>
            <w:tcBorders>
              <w:top w:val="single" w:sz="4" w:space="0" w:color="auto"/>
              <w:left w:val="single" w:sz="4" w:space="0" w:color="auto"/>
              <w:bottom w:val="single" w:sz="4" w:space="0" w:color="auto"/>
              <w:right w:val="single" w:sz="4" w:space="0" w:color="auto"/>
            </w:tcBorders>
          </w:tcPr>
          <w:p w:rsidR="009C49D5" w:rsidRPr="00244C81" w:rsidRDefault="009C49D5" w:rsidP="00B23859">
            <w:pPr>
              <w:widowControl/>
              <w:spacing w:before="20" w:after="20"/>
              <w:jc w:val="left"/>
              <w:rPr>
                <w:rFonts w:ascii="Arial Narrow" w:hAnsi="Arial Narrow" w:cs="Calibri"/>
                <w:bCs/>
                <w:i/>
                <w:strike/>
                <w:snapToGrid/>
                <w:sz w:val="20"/>
              </w:rPr>
            </w:pPr>
            <w:r w:rsidRPr="00244C81">
              <w:rPr>
                <w:rFonts w:ascii="Arial Narrow" w:hAnsi="Arial Narrow" w:cs="Calibri"/>
                <w:bCs/>
                <w:i/>
                <w:strike/>
                <w:snapToGrid/>
                <w:sz w:val="20"/>
              </w:rPr>
              <w:t>Section 100 – Highly Specialised Drugs Program (Community Access)</w:t>
            </w:r>
          </w:p>
          <w:p w:rsidR="009C49D5" w:rsidRPr="00423A22" w:rsidRDefault="009C49D5" w:rsidP="00B23859">
            <w:pPr>
              <w:widowControl/>
              <w:spacing w:before="20" w:after="20"/>
              <w:jc w:val="left"/>
              <w:rPr>
                <w:rFonts w:ascii="Arial Narrow" w:hAnsi="Arial Narrow"/>
                <w:snapToGrid/>
                <w:sz w:val="20"/>
                <w:lang w:eastAsia="en-AU"/>
              </w:rPr>
            </w:pPr>
            <w:r w:rsidRPr="00423A22">
              <w:rPr>
                <w:rFonts w:ascii="Arial Narrow" w:hAnsi="Arial Narrow"/>
                <w:bCs/>
                <w:snapToGrid/>
                <w:sz w:val="20"/>
              </w:rPr>
              <w:t>GENERAL – General Schedule (Code GE)</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i/>
                <w:snapToGrid/>
                <w:sz w:val="20"/>
                <w:lang w:eastAsia="en-AU"/>
              </w:rPr>
              <w:t>Initial PBS-subsidised treatment</w:t>
            </w:r>
            <w:r w:rsidRPr="00423A22">
              <w:rPr>
                <w:rFonts w:ascii="Arial Narrow" w:hAnsi="Arial Narrow"/>
                <w:snapToGrid/>
                <w:sz w:val="20"/>
                <w:lang w:eastAsia="en-AU"/>
              </w:rPr>
              <w:t xml:space="preserve"> (grandfather patient)</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492F39">
            <w:pPr>
              <w:widowControl/>
              <w:jc w:val="left"/>
              <w:rPr>
                <w:rFonts w:ascii="Arial Narrow" w:hAnsi="Arial Narrow"/>
                <w:i/>
                <w:snapToGrid/>
                <w:sz w:val="20"/>
                <w:lang w:eastAsia="en-AU"/>
              </w:rPr>
            </w:pPr>
            <w:r w:rsidRPr="00423A22">
              <w:rPr>
                <w:rFonts w:ascii="Arial Narrow" w:hAnsi="Arial Narrow"/>
                <w:b/>
                <w:snapToGrid/>
                <w:sz w:val="20"/>
                <w:lang w:eastAsia="en-AU"/>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1"/>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Telephone</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675AA9">
              <w:rPr>
                <w:rFonts w:ascii="Arial Narrow" w:hAnsi="Arial Narrow"/>
                <w:snapToGrid/>
                <w:sz w:val="20"/>
                <w:lang w:eastAsia="en-AU"/>
              </w:rPr>
            </w:r>
            <w:r w:rsidR="00675AA9">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Must be treated by a respiratory physician or specialist physician experienced in the management of patients with idiopathic pulmonary fibrosis.</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snapToGrid/>
                <w:sz w:val="20"/>
                <w:lang w:eastAsia="en-AU"/>
              </w:rPr>
            </w:pPr>
            <w:r w:rsidRPr="00423A22">
              <w:rPr>
                <w:rFonts w:ascii="Arial Narrow" w:hAnsi="Arial Narrow"/>
                <w:b/>
                <w:snapToGrid/>
                <w:sz w:val="20"/>
                <w:lang w:eastAsia="en-AU"/>
              </w:rPr>
              <w:t>Clinical criteria</w:t>
            </w:r>
          </w:p>
          <w:p w:rsidR="009C49D5" w:rsidRPr="00423A22" w:rsidRDefault="009C49D5" w:rsidP="00B23859">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Patient must have received non-PBS subsidised treatment with this drug prior to [listing date]</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snapToGrid/>
                <w:sz w:val="20"/>
                <w:lang w:eastAsia="en-AU"/>
              </w:rPr>
            </w:pPr>
            <w:r w:rsidRPr="00423A22">
              <w:rPr>
                <w:rFonts w:ascii="Arial Narrow" w:hAnsi="Arial Narrow"/>
                <w:iCs/>
                <w:sz w:val="20"/>
                <w:lang w:eastAsia="en-AU"/>
              </w:rPr>
              <w:t>Patient must be aged 40 years or older.</w:t>
            </w:r>
          </w:p>
        </w:tc>
      </w:tr>
      <w:tr w:rsidR="009C49D5" w:rsidRPr="00423A22" w:rsidTr="00CA1E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rPr>
                <w:rFonts w:ascii="Arial Narrow" w:hAnsi="Arial Narrow"/>
                <w:b/>
                <w:snapToGrid/>
                <w:sz w:val="20"/>
                <w:lang w:eastAsia="en-AU"/>
              </w:rPr>
            </w:pPr>
            <w:r w:rsidRPr="00423A22">
              <w:rPr>
                <w:rFonts w:ascii="Arial Narrow" w:hAnsi="Arial Narrow"/>
                <w:b/>
                <w:snapToGrid/>
                <w:sz w:val="20"/>
                <w:lang w:eastAsia="en-AU"/>
              </w:rPr>
              <w:t>Administrative Advice 1</w:t>
            </w:r>
          </w:p>
          <w:p w:rsidR="009C49D5" w:rsidRDefault="009C49D5" w:rsidP="00B23859">
            <w:pPr>
              <w:widowControl/>
              <w:rPr>
                <w:rFonts w:ascii="Arial Narrow" w:hAnsi="Arial Narrow"/>
                <w:i/>
                <w:snapToGrid/>
                <w:sz w:val="20"/>
                <w:lang w:eastAsia="en-AU"/>
              </w:rPr>
            </w:pPr>
          </w:p>
          <w:p w:rsidR="009C49D5" w:rsidRPr="00423A22" w:rsidRDefault="009C49D5" w:rsidP="00B23859">
            <w:pPr>
              <w:widowControl/>
              <w:rPr>
                <w:rFonts w:ascii="Arial Narrow" w:hAnsi="Arial Narrow"/>
                <w:i/>
                <w:snapToGrid/>
                <w:sz w:val="20"/>
                <w:lang w:eastAsia="en-AU"/>
              </w:rPr>
            </w:pPr>
          </w:p>
          <w:p w:rsidR="009C49D5" w:rsidRPr="00423A22" w:rsidRDefault="009C49D5" w:rsidP="00B23859">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tcBorders>
              <w:top w:val="single" w:sz="4" w:space="0" w:color="auto"/>
              <w:left w:val="single" w:sz="4" w:space="0" w:color="auto"/>
              <w:bottom w:val="single" w:sz="4" w:space="0" w:color="auto"/>
              <w:right w:val="single" w:sz="4" w:space="0" w:color="auto"/>
            </w:tcBorders>
          </w:tcPr>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9C49D5"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9C49D5" w:rsidRPr="00423A22" w:rsidRDefault="009C49D5" w:rsidP="00B23859">
            <w:pPr>
              <w:widowControl/>
              <w:jc w:val="left"/>
              <w:rPr>
                <w:rFonts w:ascii="Arial Narrow" w:hAnsi="Arial Narrow" w:cs="Calibri"/>
                <w:bCs/>
                <w:i/>
                <w:snapToGrid/>
                <w:sz w:val="20"/>
              </w:rPr>
            </w:pP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9C49D5" w:rsidRPr="00423A22"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9C49D5" w:rsidRPr="00AE3D1A" w:rsidRDefault="009C49D5" w:rsidP="00B23859">
            <w:pPr>
              <w:widowControl/>
              <w:jc w:val="left"/>
              <w:rPr>
                <w:rFonts w:ascii="Arial Narrow" w:hAnsi="Arial Narrow" w:cs="Calibri"/>
                <w:bCs/>
                <w:i/>
                <w:snapToGrid/>
                <w:sz w:val="20"/>
              </w:rPr>
            </w:pPr>
            <w:r w:rsidRPr="00423A22">
              <w:rPr>
                <w:rFonts w:ascii="Arial Narrow" w:hAnsi="Arial Narrow" w:cs="Calibri"/>
                <w:bCs/>
                <w:i/>
                <w:snapToGrid/>
                <w:sz w:val="20"/>
              </w:rPr>
              <w:t>HOBART TAS 7001</w:t>
            </w:r>
          </w:p>
        </w:tc>
      </w:tr>
    </w:tbl>
    <w:p w:rsidR="0004297B" w:rsidRDefault="0004297B" w:rsidP="0004297B">
      <w:pPr>
        <w:rPr>
          <w:b/>
          <w:szCs w:val="22"/>
        </w:rPr>
      </w:pPr>
    </w:p>
    <w:p w:rsidR="00407C4E" w:rsidRDefault="00407C4E" w:rsidP="00407C4E">
      <w:pPr>
        <w:pStyle w:val="ListParagraph"/>
        <w:widowControl/>
        <w:numPr>
          <w:ilvl w:val="1"/>
          <w:numId w:val="1"/>
        </w:numPr>
      </w:pPr>
      <w:r>
        <w:t xml:space="preserve">The Pre-PBAC response accepted the Secretariat suggested restriction with the following change to prescriber instruction 2 (suggested additions are bolded and deletions are in strikethrough). </w:t>
      </w:r>
    </w:p>
    <w:p w:rsidR="00407C4E" w:rsidRDefault="00407C4E" w:rsidP="00E10B08">
      <w:pPr>
        <w:pStyle w:val="ListParagraph"/>
        <w:widowControl/>
      </w:pPr>
    </w:p>
    <w:p w:rsidR="00407C4E" w:rsidRPr="00423A22" w:rsidRDefault="00407C4E" w:rsidP="00407C4E">
      <w:pPr>
        <w:widowControl/>
        <w:ind w:firstLine="720"/>
        <w:jc w:val="left"/>
        <w:rPr>
          <w:rFonts w:ascii="Arial Narrow" w:hAnsi="Arial Narrow" w:cs="Calibri"/>
          <w:bCs/>
          <w:i/>
          <w:snapToGrid/>
          <w:sz w:val="20"/>
        </w:rPr>
      </w:pPr>
      <w:r w:rsidRPr="00423A22">
        <w:rPr>
          <w:rFonts w:ascii="Arial Narrow" w:hAnsi="Arial Narrow" w:cs="Calibri"/>
          <w:bCs/>
          <w:i/>
          <w:snapToGrid/>
          <w:sz w:val="20"/>
        </w:rPr>
        <w:t>Authority applications for initial treatment must be made in writing and must include:</w:t>
      </w:r>
    </w:p>
    <w:p w:rsidR="00407C4E" w:rsidRPr="00423A22" w:rsidRDefault="00407C4E" w:rsidP="00407C4E">
      <w:pPr>
        <w:widowControl/>
        <w:ind w:firstLine="720"/>
        <w:jc w:val="left"/>
        <w:rPr>
          <w:rFonts w:ascii="Arial Narrow" w:hAnsi="Arial Narrow" w:cs="Calibri"/>
          <w:bCs/>
          <w:i/>
          <w:snapToGrid/>
          <w:sz w:val="20"/>
        </w:rPr>
      </w:pPr>
      <w:r w:rsidRPr="00423A22">
        <w:rPr>
          <w:rFonts w:ascii="Arial Narrow" w:hAnsi="Arial Narrow" w:cs="Calibri"/>
          <w:bCs/>
          <w:i/>
          <w:snapToGrid/>
          <w:sz w:val="20"/>
        </w:rPr>
        <w:t>(a) a completed authority prescription form; and</w:t>
      </w:r>
    </w:p>
    <w:p w:rsidR="00407C4E" w:rsidRPr="00423A22" w:rsidRDefault="00407C4E" w:rsidP="00407C4E">
      <w:pPr>
        <w:widowControl/>
        <w:ind w:firstLine="720"/>
        <w:jc w:val="left"/>
        <w:rPr>
          <w:rFonts w:ascii="Arial Narrow" w:hAnsi="Arial Narrow" w:cs="Calibri"/>
          <w:bCs/>
          <w:i/>
          <w:snapToGrid/>
          <w:sz w:val="20"/>
        </w:rPr>
      </w:pPr>
      <w:r w:rsidRPr="00423A22">
        <w:rPr>
          <w:rFonts w:ascii="Arial Narrow" w:hAnsi="Arial Narrow" w:cs="Calibri"/>
          <w:bCs/>
          <w:i/>
          <w:snapToGrid/>
          <w:sz w:val="20"/>
        </w:rPr>
        <w:t>(b) a completed IPF Initial PBS authority application form which includes:</w:t>
      </w:r>
    </w:p>
    <w:p w:rsidR="00407C4E" w:rsidRPr="00423A22" w:rsidRDefault="00407C4E" w:rsidP="00407C4E">
      <w:pPr>
        <w:widowControl/>
        <w:ind w:left="720"/>
        <w:jc w:val="left"/>
        <w:rPr>
          <w:rFonts w:ascii="Arial Narrow" w:hAnsi="Arial Narrow" w:cs="Calibri"/>
          <w:bCs/>
          <w:i/>
          <w:snapToGrid/>
          <w:sz w:val="20"/>
        </w:rPr>
      </w:pPr>
      <w:r w:rsidRPr="00423A22">
        <w:rPr>
          <w:rFonts w:ascii="Arial Narrow" w:hAnsi="Arial Narrow" w:cs="Calibri"/>
          <w:bCs/>
          <w:i/>
          <w:snapToGrid/>
          <w:sz w:val="20"/>
        </w:rPr>
        <w:t xml:space="preserve">(i) a copy of the high-resolution computed tomographic scan </w:t>
      </w:r>
      <w:r>
        <w:rPr>
          <w:rFonts w:ascii="Arial Narrow" w:hAnsi="Arial Narrow" w:cs="Calibri"/>
          <w:b/>
          <w:bCs/>
          <w:i/>
          <w:snapToGrid/>
          <w:sz w:val="20"/>
        </w:rPr>
        <w:t xml:space="preserve">results </w:t>
      </w:r>
      <w:r w:rsidRPr="00423A22">
        <w:rPr>
          <w:rFonts w:ascii="Arial Narrow" w:hAnsi="Arial Narrow" w:cs="Calibri"/>
          <w:bCs/>
          <w:i/>
          <w:snapToGrid/>
          <w:sz w:val="20"/>
        </w:rPr>
        <w:t>with or without surgical lung biopsy results confirming the diagnosis of IPF</w:t>
      </w:r>
    </w:p>
    <w:p w:rsidR="00407C4E" w:rsidRPr="00423A22" w:rsidRDefault="00407C4E" w:rsidP="00407C4E">
      <w:pPr>
        <w:widowControl/>
        <w:ind w:left="720"/>
        <w:jc w:val="left"/>
        <w:rPr>
          <w:rFonts w:ascii="Arial Narrow" w:hAnsi="Arial Narrow" w:cs="Calibri"/>
          <w:bCs/>
          <w:i/>
          <w:snapToGrid/>
          <w:sz w:val="20"/>
        </w:rPr>
      </w:pPr>
      <w:r w:rsidRPr="00423A22">
        <w:rPr>
          <w:rFonts w:ascii="Arial Narrow" w:hAnsi="Arial Narrow" w:cs="Calibri"/>
          <w:bCs/>
          <w:i/>
          <w:snapToGrid/>
          <w:sz w:val="20"/>
        </w:rPr>
        <w:t>(ii) a copy of the respiratory function test results showing Forced Vital Capacity (FVC) equal to or greater than</w:t>
      </w:r>
      <w:r>
        <w:rPr>
          <w:rFonts w:ascii="Arial Narrow" w:hAnsi="Arial Narrow" w:cs="Calibri"/>
          <w:bCs/>
          <w:i/>
          <w:snapToGrid/>
          <w:sz w:val="20"/>
        </w:rPr>
        <w:t xml:space="preserve"> </w:t>
      </w:r>
      <w:r w:rsidRPr="00423A22">
        <w:rPr>
          <w:rFonts w:ascii="Arial Narrow" w:hAnsi="Arial Narrow" w:cs="Calibri"/>
          <w:bCs/>
          <w:i/>
          <w:snapToGrid/>
          <w:sz w:val="20"/>
        </w:rPr>
        <w:t>50%</w:t>
      </w:r>
    </w:p>
    <w:p w:rsidR="00407C4E" w:rsidRPr="00423A22" w:rsidRDefault="00407C4E" w:rsidP="00407C4E">
      <w:pPr>
        <w:widowControl/>
        <w:ind w:firstLine="720"/>
        <w:jc w:val="left"/>
        <w:rPr>
          <w:rFonts w:ascii="Arial Narrow" w:hAnsi="Arial Narrow" w:cs="Calibri"/>
          <w:bCs/>
          <w:i/>
          <w:snapToGrid/>
          <w:sz w:val="20"/>
        </w:rPr>
      </w:pPr>
      <w:r w:rsidRPr="00423A22">
        <w:rPr>
          <w:rFonts w:ascii="Arial Narrow" w:hAnsi="Arial Narrow" w:cs="Calibri"/>
          <w:bCs/>
          <w:i/>
          <w:snapToGrid/>
          <w:sz w:val="20"/>
        </w:rPr>
        <w:t>AND</w:t>
      </w:r>
    </w:p>
    <w:p w:rsidR="00407C4E" w:rsidRPr="00E10B08" w:rsidRDefault="00407C4E" w:rsidP="00E10B08">
      <w:pPr>
        <w:pStyle w:val="ListParagraph"/>
        <w:widowControl/>
        <w:rPr>
          <w:rFonts w:ascii="Arial Narrow" w:hAnsi="Arial Narrow" w:cs="Calibri"/>
          <w:bCs/>
          <w:i/>
          <w:snapToGrid/>
          <w:sz w:val="20"/>
        </w:rPr>
      </w:pPr>
      <w:r w:rsidRPr="00E10B08">
        <w:rPr>
          <w:rFonts w:ascii="Arial Narrow" w:hAnsi="Arial Narrow" w:cs="Calibri"/>
          <w:bCs/>
          <w:i/>
          <w:snapToGrid/>
          <w:sz w:val="20"/>
        </w:rPr>
        <w:t>(iii) percent predicted carbon monoxide diffusing capacity (DLCO) equal to or greater than 30%.</w:t>
      </w:r>
    </w:p>
    <w:p w:rsidR="00407C4E" w:rsidRDefault="00407C4E" w:rsidP="00407C4E">
      <w:pPr>
        <w:pStyle w:val="ListParagraph"/>
        <w:widowControl/>
      </w:pPr>
    </w:p>
    <w:p w:rsidR="00407C4E" w:rsidRDefault="00407C4E" w:rsidP="00407C4E">
      <w:pPr>
        <w:pStyle w:val="ListParagraph"/>
        <w:widowControl/>
        <w:numPr>
          <w:ilvl w:val="1"/>
          <w:numId w:val="1"/>
        </w:numPr>
      </w:pPr>
      <w:r w:rsidRPr="0004297B">
        <w:t xml:space="preserve">In November 2015, the PBAC advised that a future resubmission should explore the cost effectiveness of a stopping rule in restricting use of pirfenidone to patients likely to receive the most benefit. The re-submission states that the proposed </w:t>
      </w:r>
      <w:r w:rsidR="001778C8">
        <w:rPr>
          <w:noProof/>
          <w:color w:val="000000"/>
          <w:highlight w:val="black"/>
        </w:rPr>
        <w:t>'''''''</w:t>
      </w:r>
      <w:r w:rsidRPr="0004297B">
        <w:t xml:space="preserve">% rebate </w:t>
      </w:r>
      <w:r w:rsidRPr="0004297B">
        <w:lastRenderedPageBreak/>
        <w:t xml:space="preserve">would improve the cost-effectiveness of pirfenidone, and thus a stopping rule would not be required. Therefore, no stopping rule has been included in the requested restriction. </w:t>
      </w:r>
    </w:p>
    <w:p w:rsidR="00407C4E" w:rsidRPr="0004297B" w:rsidRDefault="00407C4E" w:rsidP="00407C4E">
      <w:pPr>
        <w:pStyle w:val="ListParagraph"/>
        <w:widowControl/>
      </w:pPr>
    </w:p>
    <w:p w:rsidR="0004297B" w:rsidRPr="00324BAB" w:rsidRDefault="0004297B" w:rsidP="0004297B">
      <w:pPr>
        <w:ind w:left="709"/>
        <w:contextualSpacing/>
        <w:rPr>
          <w:i/>
          <w:szCs w:val="22"/>
        </w:rPr>
      </w:pPr>
      <w:r w:rsidRPr="00324BAB">
        <w:rPr>
          <w:i/>
          <w:szCs w:val="22"/>
        </w:rPr>
        <w:t xml:space="preserve">For more detail on PBAC’s view, see section </w:t>
      </w:r>
      <w:r w:rsidR="0009034F" w:rsidRPr="00324BAB">
        <w:rPr>
          <w:i/>
          <w:szCs w:val="22"/>
        </w:rPr>
        <w:t>5</w:t>
      </w:r>
      <w:r w:rsidRPr="00324BAB">
        <w:rPr>
          <w:i/>
          <w:szCs w:val="22"/>
        </w:rPr>
        <w:t xml:space="preserve"> “PBAC outcome”</w:t>
      </w:r>
    </w:p>
    <w:p w:rsidR="00446505" w:rsidRPr="00324BAB" w:rsidRDefault="00446505" w:rsidP="006405F0">
      <w:pPr>
        <w:rPr>
          <w:b/>
          <w:szCs w:val="22"/>
        </w:rPr>
      </w:pPr>
    </w:p>
    <w:p w:rsidR="00492F39" w:rsidRPr="00324BAB" w:rsidRDefault="00492F39" w:rsidP="006405F0">
      <w:pPr>
        <w:rPr>
          <w:b/>
          <w:szCs w:val="22"/>
        </w:rPr>
      </w:pPr>
    </w:p>
    <w:p w:rsidR="006405F0" w:rsidRPr="00324BAB" w:rsidRDefault="006405F0" w:rsidP="000A0ABB">
      <w:pPr>
        <w:pStyle w:val="Heading1"/>
      </w:pPr>
      <w:r w:rsidRPr="00324BAB">
        <w:t xml:space="preserve">Background and current submission </w:t>
      </w:r>
    </w:p>
    <w:p w:rsidR="006405F0" w:rsidRPr="00324BAB" w:rsidRDefault="006405F0" w:rsidP="007730AD">
      <w:pPr>
        <w:keepNext/>
        <w:rPr>
          <w:szCs w:val="22"/>
        </w:rPr>
      </w:pPr>
    </w:p>
    <w:p w:rsidR="00407C4E" w:rsidRPr="00324BAB" w:rsidRDefault="006405F0" w:rsidP="006137B7">
      <w:pPr>
        <w:pStyle w:val="ListParagraph"/>
        <w:widowControl/>
        <w:numPr>
          <w:ilvl w:val="1"/>
          <w:numId w:val="1"/>
        </w:numPr>
        <w:rPr>
          <w:szCs w:val="22"/>
        </w:rPr>
      </w:pPr>
      <w:r w:rsidRPr="00324BAB">
        <w:rPr>
          <w:szCs w:val="22"/>
        </w:rPr>
        <w:t xml:space="preserve">Pirfenidone </w:t>
      </w:r>
      <w:r w:rsidR="00407C4E" w:rsidRPr="00324BAB">
        <w:rPr>
          <w:szCs w:val="22"/>
        </w:rPr>
        <w:t>sought</w:t>
      </w:r>
      <w:r w:rsidRPr="00324BAB">
        <w:rPr>
          <w:szCs w:val="22"/>
        </w:rPr>
        <w:t xml:space="preserve"> TGA approval</w:t>
      </w:r>
      <w:r w:rsidR="00664652" w:rsidRPr="00324BAB">
        <w:rPr>
          <w:szCs w:val="22"/>
        </w:rPr>
        <w:t xml:space="preserve"> under TGA-PBAC parallel process</w:t>
      </w:r>
      <w:r w:rsidR="00032FD1" w:rsidRPr="00324BAB">
        <w:rPr>
          <w:szCs w:val="22"/>
        </w:rPr>
        <w:t xml:space="preserve">. </w:t>
      </w:r>
      <w:r w:rsidR="00407C4E" w:rsidRPr="00324BAB">
        <w:rPr>
          <w:szCs w:val="22"/>
        </w:rPr>
        <w:t>It was approved for registration on 25 February 2016 with t</w:t>
      </w:r>
      <w:r w:rsidR="00324BAB" w:rsidRPr="00324BAB">
        <w:rPr>
          <w:szCs w:val="22"/>
        </w:rPr>
        <w:t xml:space="preserve">he indication </w:t>
      </w:r>
      <w:r w:rsidR="00324BAB">
        <w:rPr>
          <w:szCs w:val="22"/>
        </w:rPr>
        <w:t>of</w:t>
      </w:r>
      <w:r w:rsidR="00324BAB" w:rsidRPr="00324BAB">
        <w:rPr>
          <w:szCs w:val="22"/>
        </w:rPr>
        <w:t xml:space="preserve"> idiopathic pulmonary fibrosis (IPF).</w:t>
      </w:r>
    </w:p>
    <w:p w:rsidR="00407C4E" w:rsidRPr="00324BAB" w:rsidRDefault="00407C4E" w:rsidP="00407C4E">
      <w:pPr>
        <w:pStyle w:val="ListParagraph"/>
        <w:widowControl/>
        <w:rPr>
          <w:szCs w:val="22"/>
        </w:rPr>
      </w:pPr>
      <w:r w:rsidRPr="00324BAB">
        <w:rPr>
          <w:szCs w:val="22"/>
        </w:rPr>
        <w:t xml:space="preserve"> </w:t>
      </w:r>
    </w:p>
    <w:p w:rsidR="006405F0" w:rsidRPr="00324BAB" w:rsidRDefault="00407C4E" w:rsidP="006137B7">
      <w:pPr>
        <w:pStyle w:val="ListParagraph"/>
        <w:widowControl/>
        <w:numPr>
          <w:ilvl w:val="1"/>
          <w:numId w:val="1"/>
        </w:numPr>
        <w:rPr>
          <w:szCs w:val="22"/>
        </w:rPr>
      </w:pPr>
      <w:r w:rsidRPr="00324BAB">
        <w:rPr>
          <w:szCs w:val="22"/>
        </w:rPr>
        <w:t>The Pre</w:t>
      </w:r>
      <w:r w:rsidR="00324BAB" w:rsidRPr="00324BAB">
        <w:rPr>
          <w:szCs w:val="22"/>
        </w:rPr>
        <w:t xml:space="preserve">-PBAC response noted the approved indication was in line with requested PBS indication. </w:t>
      </w:r>
    </w:p>
    <w:p w:rsidR="006405F0" w:rsidRPr="006405F0" w:rsidRDefault="006405F0" w:rsidP="006405F0">
      <w:pPr>
        <w:pStyle w:val="ListParagraph"/>
        <w:widowControl/>
        <w:rPr>
          <w:szCs w:val="22"/>
        </w:rPr>
      </w:pPr>
    </w:p>
    <w:p w:rsidR="00401E66" w:rsidRPr="00664652" w:rsidRDefault="006405F0" w:rsidP="006137B7">
      <w:pPr>
        <w:pStyle w:val="ListParagraph"/>
        <w:widowControl/>
        <w:numPr>
          <w:ilvl w:val="1"/>
          <w:numId w:val="1"/>
        </w:numPr>
        <w:rPr>
          <w:szCs w:val="22"/>
        </w:rPr>
      </w:pPr>
      <w:r>
        <w:rPr>
          <w:szCs w:val="22"/>
        </w:rPr>
        <w:t>Pirfenidone was previously considered by the PBAC in November 2015. The following table provides a summary of the previous submission and the current re</w:t>
      </w:r>
      <w:r w:rsidR="00492F39">
        <w:rPr>
          <w:szCs w:val="22"/>
        </w:rPr>
        <w:noBreakHyphen/>
      </w:r>
      <w:r>
        <w:rPr>
          <w:szCs w:val="22"/>
        </w:rPr>
        <w:t xml:space="preserve">submission. </w:t>
      </w:r>
    </w:p>
    <w:p w:rsidR="00401E66" w:rsidRPr="00401E66" w:rsidRDefault="00401E66" w:rsidP="00401E66">
      <w:pPr>
        <w:pStyle w:val="ListParagraph"/>
        <w:widowControl/>
        <w:rPr>
          <w:szCs w:val="22"/>
        </w:rPr>
      </w:pPr>
    </w:p>
    <w:p w:rsidR="006405F0" w:rsidRPr="00ED0F04" w:rsidRDefault="00222C18" w:rsidP="006405F0">
      <w:pPr>
        <w:ind w:firstLine="720"/>
        <w:rPr>
          <w:rStyle w:val="CommentReference"/>
        </w:rPr>
      </w:pPr>
      <w:r>
        <w:rPr>
          <w:rStyle w:val="CommentReference"/>
        </w:rPr>
        <w:t xml:space="preserve">Table 1: </w:t>
      </w:r>
      <w:r w:rsidR="006405F0" w:rsidRPr="00ED0F04">
        <w:rPr>
          <w:rStyle w:val="CommentReference"/>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3686"/>
        <w:gridCol w:w="3056"/>
      </w:tblGrid>
      <w:tr w:rsidR="006405F0" w:rsidRPr="00ED0F04" w:rsidTr="006833BA">
        <w:trPr>
          <w:trHeight w:val="220"/>
          <w:tblHeader/>
        </w:trPr>
        <w:tc>
          <w:tcPr>
            <w:tcW w:w="1701" w:type="dxa"/>
          </w:tcPr>
          <w:p w:rsidR="006405F0" w:rsidRPr="00492F39" w:rsidRDefault="00492F39" w:rsidP="00401E66">
            <w:pPr>
              <w:jc w:val="left"/>
              <w:rPr>
                <w:rFonts w:ascii="Arial Narrow" w:hAnsi="Arial Narrow"/>
                <w:b/>
                <w:sz w:val="19"/>
                <w:szCs w:val="19"/>
              </w:rPr>
            </w:pPr>
            <w:r w:rsidRPr="00492F39">
              <w:rPr>
                <w:rFonts w:ascii="Arial Narrow" w:hAnsi="Arial Narrow"/>
                <w:b/>
                <w:sz w:val="19"/>
                <w:szCs w:val="19"/>
              </w:rPr>
              <w:t>Component</w:t>
            </w:r>
          </w:p>
        </w:tc>
        <w:tc>
          <w:tcPr>
            <w:tcW w:w="3686" w:type="dxa"/>
            <w:vAlign w:val="center"/>
          </w:tcPr>
          <w:p w:rsidR="006405F0" w:rsidRPr="00ED0F04" w:rsidRDefault="00686D07" w:rsidP="00686D07">
            <w:pPr>
              <w:jc w:val="center"/>
              <w:rPr>
                <w:rFonts w:ascii="Arial Narrow" w:hAnsi="Arial Narrow"/>
                <w:b/>
                <w:sz w:val="19"/>
                <w:szCs w:val="19"/>
              </w:rPr>
            </w:pPr>
            <w:r>
              <w:rPr>
                <w:rFonts w:ascii="Arial Narrow" w:hAnsi="Arial Narrow"/>
                <w:b/>
                <w:sz w:val="19"/>
                <w:szCs w:val="19"/>
              </w:rPr>
              <w:t xml:space="preserve">Pirfenidone November 2015 submission </w:t>
            </w:r>
          </w:p>
        </w:tc>
        <w:tc>
          <w:tcPr>
            <w:tcW w:w="3056" w:type="dxa"/>
            <w:vAlign w:val="center"/>
          </w:tcPr>
          <w:p w:rsidR="006405F0" w:rsidRPr="00ED0F04" w:rsidRDefault="006405F0" w:rsidP="00401E66">
            <w:pPr>
              <w:jc w:val="center"/>
              <w:rPr>
                <w:rFonts w:ascii="Arial Narrow" w:hAnsi="Arial Narrow"/>
                <w:b/>
                <w:sz w:val="19"/>
                <w:szCs w:val="19"/>
              </w:rPr>
            </w:pPr>
            <w:r w:rsidRPr="00ED0F04">
              <w:rPr>
                <w:rFonts w:ascii="Arial Narrow" w:hAnsi="Arial Narrow"/>
                <w:b/>
                <w:sz w:val="19"/>
                <w:szCs w:val="19"/>
              </w:rPr>
              <w:t>Current re-submission</w:t>
            </w:r>
          </w:p>
        </w:tc>
      </w:tr>
      <w:tr w:rsidR="006405F0" w:rsidRPr="00ED0F04" w:rsidTr="006833BA">
        <w:trPr>
          <w:trHeight w:val="794"/>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Requested PBS listing</w:t>
            </w:r>
          </w:p>
        </w:tc>
        <w:tc>
          <w:tcPr>
            <w:tcW w:w="3686" w:type="dxa"/>
          </w:tcPr>
          <w:p w:rsidR="006405F0" w:rsidRPr="00ED0F04" w:rsidRDefault="00D1430C" w:rsidP="00492F39">
            <w:pPr>
              <w:ind w:left="-28"/>
              <w:jc w:val="left"/>
              <w:rPr>
                <w:rFonts w:ascii="Arial Narrow" w:hAnsi="Arial Narrow"/>
                <w:color w:val="0000FF"/>
                <w:sz w:val="19"/>
                <w:szCs w:val="19"/>
              </w:rPr>
            </w:pPr>
            <w:r>
              <w:rPr>
                <w:rFonts w:ascii="Arial Narrow" w:hAnsi="Arial Narrow"/>
                <w:sz w:val="19"/>
                <w:szCs w:val="19"/>
              </w:rPr>
              <w:t>I</w:t>
            </w:r>
            <w:r w:rsidR="00664652" w:rsidRPr="00D1430C">
              <w:rPr>
                <w:rFonts w:ascii="Arial Narrow" w:hAnsi="Arial Narrow"/>
                <w:sz w:val="19"/>
                <w:szCs w:val="19"/>
              </w:rPr>
              <w:t>diopathic pulm</w:t>
            </w:r>
            <w:r w:rsidR="00492F39">
              <w:rPr>
                <w:rFonts w:ascii="Arial Narrow" w:hAnsi="Arial Narrow"/>
                <w:sz w:val="19"/>
                <w:szCs w:val="19"/>
              </w:rPr>
              <w:t>on</w:t>
            </w:r>
            <w:r w:rsidR="00664652" w:rsidRPr="00D1430C">
              <w:rPr>
                <w:rFonts w:ascii="Arial Narrow" w:hAnsi="Arial Narrow"/>
                <w:sz w:val="19"/>
                <w:szCs w:val="19"/>
              </w:rPr>
              <w:t xml:space="preserve">ary fibrosis, where the patient </w:t>
            </w:r>
            <w:r w:rsidR="00032FD1" w:rsidRPr="00D1430C">
              <w:rPr>
                <w:rFonts w:ascii="Arial Narrow" w:hAnsi="Arial Narrow"/>
                <w:sz w:val="19"/>
                <w:szCs w:val="19"/>
              </w:rPr>
              <w:t xml:space="preserve"> </w:t>
            </w:r>
            <w:r>
              <w:rPr>
                <w:rFonts w:ascii="Arial Narrow" w:hAnsi="Arial Narrow"/>
                <w:sz w:val="19"/>
                <w:szCs w:val="19"/>
              </w:rPr>
              <w:t>must have confirmed  di</w:t>
            </w:r>
            <w:r w:rsidRPr="00D1430C">
              <w:rPr>
                <w:rFonts w:ascii="Arial Narrow" w:hAnsi="Arial Narrow"/>
                <w:sz w:val="19"/>
                <w:szCs w:val="19"/>
              </w:rPr>
              <w:t>agnosis of IPF</w:t>
            </w:r>
            <w:r w:rsidR="00A6603A">
              <w:rPr>
                <w:rFonts w:ascii="Arial Narrow" w:hAnsi="Arial Narrow"/>
                <w:sz w:val="19"/>
                <w:szCs w:val="19"/>
              </w:rPr>
              <w:t xml:space="preserve"> </w:t>
            </w:r>
            <w:r w:rsidRPr="00D1430C">
              <w:rPr>
                <w:rFonts w:ascii="Arial Narrow" w:hAnsi="Arial Narrow"/>
                <w:sz w:val="19"/>
                <w:szCs w:val="19"/>
              </w:rPr>
              <w:t>as assessed by a multidisciplinary team</w:t>
            </w:r>
            <w:r w:rsidR="00A6603A">
              <w:rPr>
                <w:rFonts w:ascii="Arial Narrow" w:hAnsi="Arial Narrow"/>
                <w:sz w:val="19"/>
                <w:szCs w:val="19"/>
              </w:rPr>
              <w:t xml:space="preserve">, a </w:t>
            </w:r>
            <w:r>
              <w:rPr>
                <w:rFonts w:ascii="Arial Narrow" w:hAnsi="Arial Narrow"/>
                <w:sz w:val="19"/>
                <w:szCs w:val="19"/>
              </w:rPr>
              <w:t>p</w:t>
            </w:r>
            <w:r w:rsidRPr="00D1430C">
              <w:rPr>
                <w:rFonts w:ascii="Arial Narrow" w:hAnsi="Arial Narrow"/>
                <w:sz w:val="19"/>
                <w:szCs w:val="19"/>
              </w:rPr>
              <w:t xml:space="preserve">redicted Forced vital capacity (FVC) ) ≥50%, and </w:t>
            </w:r>
            <w:r w:rsidR="00A6603A">
              <w:rPr>
                <w:rFonts w:ascii="Arial Narrow" w:hAnsi="Arial Narrow"/>
                <w:sz w:val="19"/>
                <w:szCs w:val="19"/>
              </w:rPr>
              <w:t xml:space="preserve">a predicted  </w:t>
            </w:r>
            <w:r>
              <w:rPr>
                <w:rFonts w:ascii="Arial Narrow" w:hAnsi="Arial Narrow"/>
                <w:sz w:val="19"/>
                <w:szCs w:val="19"/>
              </w:rPr>
              <w:t>c</w:t>
            </w:r>
            <w:r w:rsidRPr="00D1430C">
              <w:rPr>
                <w:rFonts w:ascii="Arial Narrow" w:hAnsi="Arial Narrow"/>
                <w:sz w:val="19"/>
                <w:szCs w:val="19"/>
              </w:rPr>
              <w:t>arbon monoxide diffusing capacity (DLCO) ≥ 30%.</w:t>
            </w:r>
          </w:p>
          <w:p w:rsidR="006405F0" w:rsidRPr="00ED0F04" w:rsidRDefault="006405F0" w:rsidP="00492F39">
            <w:pPr>
              <w:ind w:left="-28"/>
              <w:jc w:val="left"/>
              <w:rPr>
                <w:rFonts w:ascii="Arial Narrow" w:hAnsi="Arial Narrow"/>
                <w:b/>
                <w:sz w:val="19"/>
                <w:szCs w:val="19"/>
              </w:rPr>
            </w:pPr>
            <w:r w:rsidRPr="00ED0F04">
              <w:rPr>
                <w:rFonts w:ascii="Arial Narrow" w:hAnsi="Arial Narrow"/>
                <w:b/>
                <w:sz w:val="19"/>
                <w:szCs w:val="19"/>
              </w:rPr>
              <w:t xml:space="preserve"> </w:t>
            </w:r>
          </w:p>
          <w:p w:rsidR="006405F0" w:rsidRPr="000C7085" w:rsidRDefault="006405F0" w:rsidP="00492F39">
            <w:pPr>
              <w:ind w:left="-28"/>
              <w:jc w:val="left"/>
              <w:rPr>
                <w:rFonts w:ascii="Arial Narrow" w:hAnsi="Arial Narrow"/>
                <w:b/>
                <w:sz w:val="19"/>
                <w:szCs w:val="19"/>
              </w:rPr>
            </w:pPr>
            <w:r w:rsidRPr="000C7085">
              <w:rPr>
                <w:rFonts w:ascii="Arial Narrow" w:hAnsi="Arial Narrow"/>
                <w:b/>
                <w:sz w:val="19"/>
                <w:szCs w:val="19"/>
              </w:rPr>
              <w:t>PBAC Comment</w:t>
            </w:r>
            <w:r w:rsidR="00A6603A" w:rsidRPr="000C7085">
              <w:rPr>
                <w:rFonts w:ascii="Arial Narrow" w:hAnsi="Arial Narrow"/>
                <w:b/>
                <w:sz w:val="19"/>
                <w:szCs w:val="19"/>
              </w:rPr>
              <w:t xml:space="preserve"> (5.12 PBAC </w:t>
            </w:r>
            <w:r w:rsidR="00F94FDB">
              <w:rPr>
                <w:rFonts w:ascii="Arial Narrow" w:hAnsi="Arial Narrow"/>
                <w:b/>
                <w:sz w:val="19"/>
                <w:szCs w:val="19"/>
              </w:rPr>
              <w:t>Public Summary Document (PSD)</w:t>
            </w:r>
            <w:r w:rsidR="00F94FDB" w:rsidRPr="000C7085">
              <w:rPr>
                <w:rFonts w:ascii="Arial Narrow" w:hAnsi="Arial Narrow"/>
                <w:b/>
                <w:sz w:val="19"/>
                <w:szCs w:val="19"/>
              </w:rPr>
              <w:t xml:space="preserve"> </w:t>
            </w:r>
            <w:r w:rsidR="00A6603A" w:rsidRPr="000C7085">
              <w:rPr>
                <w:rFonts w:ascii="Arial Narrow" w:hAnsi="Arial Narrow"/>
                <w:b/>
                <w:sz w:val="19"/>
                <w:szCs w:val="19"/>
              </w:rPr>
              <w:t>November 2015, pirfenidone, paragraph 7.</w:t>
            </w:r>
            <w:r w:rsidR="00AD5DEA" w:rsidRPr="000C7085">
              <w:rPr>
                <w:rFonts w:ascii="Arial Narrow" w:hAnsi="Arial Narrow"/>
                <w:b/>
                <w:sz w:val="19"/>
                <w:szCs w:val="19"/>
              </w:rPr>
              <w:t xml:space="preserve">4): </w:t>
            </w:r>
            <w:r w:rsidR="00AD5DEA" w:rsidRPr="000C7085">
              <w:rPr>
                <w:rFonts w:ascii="Arial Narrow" w:hAnsi="Arial Narrow"/>
                <w:sz w:val="19"/>
                <w:szCs w:val="19"/>
              </w:rPr>
              <w:t>“The PBAC agreed that a one-off requirement for diagnosis by the multidisciplinary team for initiating therapy would be appropriate.”</w:t>
            </w:r>
          </w:p>
          <w:p w:rsidR="00AD5DEA" w:rsidRPr="000C7085" w:rsidRDefault="00AD5DEA" w:rsidP="00492F39">
            <w:pPr>
              <w:ind w:left="-28"/>
              <w:jc w:val="left"/>
              <w:rPr>
                <w:rFonts w:ascii="Arial Narrow" w:hAnsi="Arial Narrow"/>
                <w:b/>
                <w:sz w:val="19"/>
                <w:szCs w:val="19"/>
              </w:rPr>
            </w:pPr>
          </w:p>
          <w:p w:rsidR="00AD5DEA" w:rsidRPr="00ED0F04" w:rsidRDefault="00AD5DEA" w:rsidP="00F94FDB">
            <w:pPr>
              <w:ind w:left="-28"/>
              <w:jc w:val="left"/>
              <w:rPr>
                <w:rFonts w:ascii="Arial Narrow" w:hAnsi="Arial Narrow"/>
                <w:sz w:val="19"/>
                <w:szCs w:val="19"/>
              </w:rPr>
            </w:pPr>
            <w:r w:rsidRPr="000C7085">
              <w:rPr>
                <w:rFonts w:ascii="Arial Narrow" w:hAnsi="Arial Narrow"/>
                <w:b/>
                <w:sz w:val="19"/>
                <w:szCs w:val="19"/>
              </w:rPr>
              <w:t xml:space="preserve">PBAC Comment (5.12 PBAC </w:t>
            </w:r>
            <w:r w:rsidR="00F94FDB">
              <w:rPr>
                <w:rFonts w:ascii="Arial Narrow" w:hAnsi="Arial Narrow"/>
                <w:b/>
                <w:sz w:val="19"/>
                <w:szCs w:val="19"/>
              </w:rPr>
              <w:t>PSD</w:t>
            </w:r>
            <w:r w:rsidR="00F94FDB" w:rsidRPr="000C7085">
              <w:rPr>
                <w:rFonts w:ascii="Arial Narrow" w:hAnsi="Arial Narrow"/>
                <w:b/>
                <w:sz w:val="19"/>
                <w:szCs w:val="19"/>
              </w:rPr>
              <w:t xml:space="preserve"> </w:t>
            </w:r>
            <w:r w:rsidRPr="000C7085">
              <w:rPr>
                <w:rFonts w:ascii="Arial Narrow" w:hAnsi="Arial Narrow"/>
                <w:b/>
                <w:sz w:val="19"/>
                <w:szCs w:val="19"/>
              </w:rPr>
              <w:t xml:space="preserve">November 2015, pirfenidone, paragraph 7.5): </w:t>
            </w:r>
            <w:r w:rsidRPr="000C7085">
              <w:rPr>
                <w:rFonts w:ascii="Arial Narrow" w:hAnsi="Arial Narrow"/>
                <w:sz w:val="19"/>
                <w:szCs w:val="19"/>
              </w:rPr>
              <w:t>“PBAC considered a future resubmission should explore the likelihood of such a [stopping] rule proving effective by exploring the numbers of patients who may discontinue treatment based on the clinical trial evidence and the proposed model.”</w:t>
            </w:r>
          </w:p>
        </w:tc>
        <w:tc>
          <w:tcPr>
            <w:tcW w:w="3056" w:type="dxa"/>
          </w:tcPr>
          <w:p w:rsidR="006405F0" w:rsidRPr="00ED0F04" w:rsidRDefault="00D1430C" w:rsidP="00401E66">
            <w:pPr>
              <w:jc w:val="left"/>
              <w:rPr>
                <w:rFonts w:ascii="Arial Narrow" w:hAnsi="Arial Narrow"/>
                <w:color w:val="0000FF"/>
                <w:sz w:val="19"/>
                <w:szCs w:val="19"/>
              </w:rPr>
            </w:pPr>
            <w:r w:rsidRPr="00D1430C">
              <w:rPr>
                <w:rFonts w:ascii="Arial Narrow" w:hAnsi="Arial Narrow"/>
                <w:sz w:val="19"/>
                <w:szCs w:val="19"/>
              </w:rPr>
              <w:t>Although not explicitly stated, the Secretariat assume</w:t>
            </w:r>
            <w:r w:rsidR="00492F39">
              <w:rPr>
                <w:rFonts w:ascii="Arial Narrow" w:hAnsi="Arial Narrow"/>
                <w:sz w:val="19"/>
                <w:szCs w:val="19"/>
              </w:rPr>
              <w:t>d</w:t>
            </w:r>
            <w:r w:rsidRPr="00D1430C">
              <w:rPr>
                <w:rFonts w:ascii="Arial Narrow" w:hAnsi="Arial Narrow"/>
                <w:sz w:val="19"/>
                <w:szCs w:val="19"/>
              </w:rPr>
              <w:t xml:space="preserve"> this to</w:t>
            </w:r>
            <w:r w:rsidR="00664652" w:rsidRPr="00D1430C">
              <w:rPr>
                <w:rFonts w:ascii="Arial Narrow" w:hAnsi="Arial Narrow"/>
                <w:sz w:val="19"/>
                <w:szCs w:val="19"/>
              </w:rPr>
              <w:t xml:space="preserve"> be unchanged from the November 2015 submission</w:t>
            </w:r>
            <w:r w:rsidR="00442542">
              <w:rPr>
                <w:rFonts w:ascii="Arial Narrow" w:hAnsi="Arial Narrow"/>
                <w:color w:val="0000FF"/>
                <w:sz w:val="19"/>
                <w:szCs w:val="19"/>
              </w:rPr>
              <w:t>.</w:t>
            </w:r>
          </w:p>
          <w:p w:rsidR="006405F0" w:rsidRPr="00ED0F04" w:rsidRDefault="006405F0" w:rsidP="00401E66">
            <w:pPr>
              <w:jc w:val="left"/>
              <w:rPr>
                <w:rFonts w:ascii="Arial Narrow" w:hAnsi="Arial Narrow"/>
                <w:sz w:val="19"/>
                <w:szCs w:val="19"/>
              </w:rPr>
            </w:pPr>
          </w:p>
        </w:tc>
      </w:tr>
      <w:tr w:rsidR="006405F0" w:rsidRPr="00ED0F04" w:rsidTr="006833BA">
        <w:trPr>
          <w:trHeight w:val="422"/>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Requested price</w:t>
            </w:r>
          </w:p>
        </w:tc>
        <w:tc>
          <w:tcPr>
            <w:tcW w:w="3686" w:type="dxa"/>
          </w:tcPr>
          <w:p w:rsidR="006405F0" w:rsidRPr="00AD5DEA" w:rsidRDefault="00041EB5" w:rsidP="00401E66">
            <w:pPr>
              <w:jc w:val="left"/>
              <w:rPr>
                <w:rFonts w:ascii="Arial Narrow" w:hAnsi="Arial Narrow"/>
                <w:sz w:val="19"/>
                <w:szCs w:val="19"/>
              </w:rPr>
            </w:pPr>
            <w:r w:rsidRPr="00AD5DEA">
              <w:rPr>
                <w:rFonts w:ascii="Arial Narrow" w:hAnsi="Arial Narrow"/>
                <w:sz w:val="19"/>
                <w:szCs w:val="19"/>
              </w:rPr>
              <w:t>Ex-manufacturer price: $</w:t>
            </w:r>
            <w:r w:rsidR="001778C8">
              <w:rPr>
                <w:rFonts w:ascii="Arial Narrow" w:hAnsi="Arial Narrow"/>
                <w:noProof/>
                <w:color w:val="000000"/>
                <w:sz w:val="19"/>
                <w:szCs w:val="19"/>
                <w:highlight w:val="black"/>
              </w:rPr>
              <w:t>''''''''''''''''''''''</w:t>
            </w:r>
          </w:p>
          <w:p w:rsidR="00041EB5" w:rsidRPr="00AD5DEA" w:rsidRDefault="00041EB5" w:rsidP="00401E66">
            <w:pPr>
              <w:jc w:val="left"/>
              <w:rPr>
                <w:rFonts w:ascii="Arial Narrow" w:hAnsi="Arial Narrow"/>
                <w:sz w:val="19"/>
                <w:szCs w:val="19"/>
              </w:rPr>
            </w:pPr>
            <w:r w:rsidRPr="00AD5DEA">
              <w:rPr>
                <w:rFonts w:ascii="Arial Narrow" w:hAnsi="Arial Narrow"/>
                <w:sz w:val="19"/>
                <w:szCs w:val="19"/>
              </w:rPr>
              <w:t>Proposed rebate on ex-man</w:t>
            </w:r>
            <w:r w:rsidR="00492F39">
              <w:rPr>
                <w:rFonts w:ascii="Arial Narrow" w:hAnsi="Arial Narrow"/>
                <w:sz w:val="19"/>
                <w:szCs w:val="19"/>
              </w:rPr>
              <w:t>ufacturer</w:t>
            </w:r>
            <w:r w:rsidRPr="00AD5DEA">
              <w:rPr>
                <w:rFonts w:ascii="Arial Narrow" w:hAnsi="Arial Narrow"/>
                <w:sz w:val="19"/>
                <w:szCs w:val="19"/>
              </w:rPr>
              <w:t xml:space="preserve"> price:</w:t>
            </w:r>
            <w:r w:rsidR="001778C8">
              <w:rPr>
                <w:rFonts w:ascii="Arial Narrow" w:hAnsi="Arial Narrow"/>
                <w:noProof/>
                <w:color w:val="000000"/>
                <w:sz w:val="19"/>
                <w:szCs w:val="19"/>
                <w:highlight w:val="black"/>
              </w:rPr>
              <w:t xml:space="preserve"> '''</w:t>
            </w:r>
            <w:r w:rsidRPr="00AD5DEA">
              <w:rPr>
                <w:rFonts w:ascii="Arial Narrow" w:hAnsi="Arial Narrow"/>
                <w:sz w:val="19"/>
                <w:szCs w:val="19"/>
              </w:rPr>
              <w:t>%</w:t>
            </w:r>
          </w:p>
          <w:p w:rsidR="00041EB5" w:rsidRPr="00AD5DEA" w:rsidRDefault="00041EB5" w:rsidP="00401E66">
            <w:pPr>
              <w:jc w:val="left"/>
              <w:rPr>
                <w:rFonts w:ascii="Arial Narrow" w:hAnsi="Arial Narrow"/>
                <w:sz w:val="19"/>
                <w:szCs w:val="19"/>
              </w:rPr>
            </w:pPr>
            <w:r w:rsidRPr="00AD5DEA">
              <w:rPr>
                <w:rFonts w:ascii="Arial Narrow" w:hAnsi="Arial Narrow"/>
                <w:sz w:val="19"/>
                <w:szCs w:val="19"/>
              </w:rPr>
              <w:t xml:space="preserve">Effective </w:t>
            </w:r>
            <w:r w:rsidR="00492F39">
              <w:rPr>
                <w:rFonts w:ascii="Arial Narrow" w:hAnsi="Arial Narrow"/>
                <w:sz w:val="19"/>
                <w:szCs w:val="19"/>
              </w:rPr>
              <w:t>ex-</w:t>
            </w:r>
            <w:r w:rsidRPr="00AD5DEA">
              <w:rPr>
                <w:rFonts w:ascii="Arial Narrow" w:hAnsi="Arial Narrow"/>
                <w:sz w:val="19"/>
                <w:szCs w:val="19"/>
              </w:rPr>
              <w:t>manufacturer price: $</w:t>
            </w:r>
            <w:r w:rsidR="001778C8">
              <w:rPr>
                <w:rFonts w:ascii="Arial Narrow" w:hAnsi="Arial Narrow"/>
                <w:noProof/>
                <w:color w:val="000000"/>
                <w:sz w:val="19"/>
                <w:szCs w:val="19"/>
                <w:highlight w:val="black"/>
              </w:rPr>
              <w:t>''''''''''''''''''''''</w:t>
            </w:r>
            <w:r w:rsidRPr="00AD5DEA">
              <w:rPr>
                <w:rFonts w:ascii="Arial Narrow" w:hAnsi="Arial Narrow"/>
                <w:sz w:val="19"/>
                <w:szCs w:val="19"/>
              </w:rPr>
              <w:t xml:space="preserve"> </w:t>
            </w:r>
          </w:p>
          <w:p w:rsidR="00041EB5" w:rsidRPr="00AD5DEA" w:rsidRDefault="00041EB5" w:rsidP="00401E66">
            <w:pPr>
              <w:jc w:val="left"/>
              <w:rPr>
                <w:rFonts w:ascii="Arial Narrow" w:hAnsi="Arial Narrow"/>
                <w:sz w:val="19"/>
                <w:szCs w:val="19"/>
              </w:rPr>
            </w:pPr>
            <w:r w:rsidRPr="00AD5DEA">
              <w:rPr>
                <w:rFonts w:ascii="Arial Narrow" w:hAnsi="Arial Narrow"/>
                <w:sz w:val="19"/>
                <w:szCs w:val="19"/>
              </w:rPr>
              <w:t>S100 HSD fees and mark-ups: $0 (public), $46.93 (private)</w:t>
            </w:r>
          </w:p>
          <w:p w:rsidR="00041EB5" w:rsidRPr="00AD5DEA" w:rsidRDefault="00041EB5" w:rsidP="00401E66">
            <w:pPr>
              <w:jc w:val="left"/>
              <w:rPr>
                <w:rFonts w:ascii="Arial Narrow" w:hAnsi="Arial Narrow"/>
                <w:sz w:val="19"/>
                <w:szCs w:val="19"/>
              </w:rPr>
            </w:pPr>
            <w:r w:rsidRPr="00AD5DEA">
              <w:rPr>
                <w:rFonts w:ascii="Arial Narrow" w:hAnsi="Arial Narrow"/>
                <w:sz w:val="19"/>
                <w:szCs w:val="19"/>
              </w:rPr>
              <w:t xml:space="preserve">Split public/private setting: 79.9% (public), 20.1% (private) </w:t>
            </w:r>
          </w:p>
          <w:p w:rsidR="00A6603A" w:rsidRPr="00AD5DEA" w:rsidRDefault="00041EB5" w:rsidP="00401E66">
            <w:pPr>
              <w:jc w:val="left"/>
              <w:rPr>
                <w:rFonts w:ascii="Arial Narrow" w:hAnsi="Arial Narrow"/>
                <w:sz w:val="19"/>
                <w:szCs w:val="19"/>
              </w:rPr>
            </w:pPr>
            <w:r w:rsidRPr="00AD5DEA">
              <w:rPr>
                <w:rFonts w:ascii="Arial Narrow" w:hAnsi="Arial Narrow"/>
                <w:sz w:val="19"/>
                <w:szCs w:val="19"/>
              </w:rPr>
              <w:t>Weighted DPMQ/pack: $</w:t>
            </w:r>
            <w:r w:rsidR="001778C8">
              <w:rPr>
                <w:rFonts w:ascii="Arial Narrow" w:hAnsi="Arial Narrow"/>
                <w:noProof/>
                <w:color w:val="000000"/>
                <w:sz w:val="19"/>
                <w:szCs w:val="19"/>
                <w:highlight w:val="black"/>
              </w:rPr>
              <w:t>'''''''''''''''''''</w:t>
            </w:r>
            <w:r w:rsidRPr="00AD5DEA">
              <w:rPr>
                <w:rFonts w:ascii="Arial Narrow" w:hAnsi="Arial Narrow"/>
                <w:sz w:val="19"/>
                <w:szCs w:val="19"/>
              </w:rPr>
              <w:t xml:space="preserve"> </w:t>
            </w:r>
            <w:r w:rsidR="00A6603A">
              <w:rPr>
                <w:rFonts w:ascii="Arial Narrow" w:hAnsi="Arial Narrow"/>
                <w:b/>
                <w:sz w:val="19"/>
                <w:szCs w:val="19"/>
              </w:rPr>
              <w:t xml:space="preserve"> </w:t>
            </w:r>
          </w:p>
        </w:tc>
        <w:tc>
          <w:tcPr>
            <w:tcW w:w="3056" w:type="dxa"/>
          </w:tcPr>
          <w:p w:rsidR="00A6603A" w:rsidRPr="00AD5DEA" w:rsidRDefault="00A6603A" w:rsidP="00A6603A">
            <w:pPr>
              <w:jc w:val="left"/>
              <w:rPr>
                <w:rFonts w:ascii="Arial Narrow" w:hAnsi="Arial Narrow"/>
                <w:sz w:val="19"/>
                <w:szCs w:val="19"/>
              </w:rPr>
            </w:pPr>
            <w:r w:rsidRPr="00AD5DEA">
              <w:rPr>
                <w:rFonts w:ascii="Arial Narrow" w:hAnsi="Arial Narrow"/>
                <w:sz w:val="19"/>
                <w:szCs w:val="19"/>
              </w:rPr>
              <w:t>Ex-manufacturer price: $</w:t>
            </w:r>
            <w:r w:rsidR="001778C8">
              <w:rPr>
                <w:rFonts w:ascii="Arial Narrow" w:hAnsi="Arial Narrow"/>
                <w:noProof/>
                <w:color w:val="000000"/>
                <w:sz w:val="19"/>
                <w:szCs w:val="19"/>
                <w:highlight w:val="black"/>
              </w:rPr>
              <w:t>''''''''''''''''''</w:t>
            </w:r>
          </w:p>
          <w:p w:rsidR="00A6603A" w:rsidRPr="00AD5DEA" w:rsidRDefault="00A6603A" w:rsidP="00A6603A">
            <w:pPr>
              <w:jc w:val="left"/>
              <w:rPr>
                <w:rFonts w:ascii="Arial Narrow" w:hAnsi="Arial Narrow"/>
                <w:sz w:val="19"/>
                <w:szCs w:val="19"/>
              </w:rPr>
            </w:pPr>
            <w:r w:rsidRPr="00AD5DEA">
              <w:rPr>
                <w:rFonts w:ascii="Arial Narrow" w:hAnsi="Arial Narrow"/>
                <w:sz w:val="19"/>
                <w:szCs w:val="19"/>
              </w:rPr>
              <w:t>Proposed rebate on ex-man</w:t>
            </w:r>
            <w:r w:rsidR="00492F39">
              <w:rPr>
                <w:rFonts w:ascii="Arial Narrow" w:hAnsi="Arial Narrow"/>
                <w:sz w:val="19"/>
                <w:szCs w:val="19"/>
              </w:rPr>
              <w:t>ufacturer</w:t>
            </w:r>
            <w:r w:rsidRPr="00AD5DEA">
              <w:rPr>
                <w:rFonts w:ascii="Arial Narrow" w:hAnsi="Arial Narrow"/>
                <w:sz w:val="19"/>
                <w:szCs w:val="19"/>
              </w:rPr>
              <w:t xml:space="preserve"> price: </w:t>
            </w:r>
            <w:r w:rsidR="001778C8">
              <w:rPr>
                <w:rFonts w:ascii="Arial Narrow" w:hAnsi="Arial Narrow"/>
                <w:noProof/>
                <w:color w:val="000000"/>
                <w:sz w:val="19"/>
                <w:szCs w:val="19"/>
                <w:highlight w:val="black"/>
              </w:rPr>
              <w:t>''''''</w:t>
            </w:r>
            <w:r w:rsidRPr="00AD5DEA">
              <w:rPr>
                <w:rFonts w:ascii="Arial Narrow" w:hAnsi="Arial Narrow"/>
                <w:sz w:val="19"/>
                <w:szCs w:val="19"/>
              </w:rPr>
              <w:t>%</w:t>
            </w:r>
          </w:p>
          <w:p w:rsidR="00A6603A" w:rsidRPr="00AD5DEA" w:rsidRDefault="00A6603A" w:rsidP="00A6603A">
            <w:pPr>
              <w:jc w:val="left"/>
              <w:rPr>
                <w:rFonts w:ascii="Arial Narrow" w:hAnsi="Arial Narrow"/>
                <w:sz w:val="19"/>
                <w:szCs w:val="19"/>
              </w:rPr>
            </w:pPr>
            <w:r w:rsidRPr="00AD5DEA">
              <w:rPr>
                <w:rFonts w:ascii="Arial Narrow" w:hAnsi="Arial Narrow"/>
                <w:sz w:val="19"/>
                <w:szCs w:val="19"/>
              </w:rPr>
              <w:t xml:space="preserve">Effective </w:t>
            </w:r>
            <w:r w:rsidR="00492F39">
              <w:rPr>
                <w:rFonts w:ascii="Arial Narrow" w:hAnsi="Arial Narrow"/>
                <w:sz w:val="19"/>
                <w:szCs w:val="19"/>
              </w:rPr>
              <w:t>ex-</w:t>
            </w:r>
            <w:r w:rsidRPr="00AD5DEA">
              <w:rPr>
                <w:rFonts w:ascii="Arial Narrow" w:hAnsi="Arial Narrow"/>
                <w:sz w:val="19"/>
                <w:szCs w:val="19"/>
              </w:rPr>
              <w:t>manufacturer price: $</w:t>
            </w:r>
            <w:r w:rsidR="001778C8">
              <w:rPr>
                <w:rFonts w:ascii="Arial Narrow" w:hAnsi="Arial Narrow"/>
                <w:noProof/>
                <w:color w:val="000000"/>
                <w:sz w:val="19"/>
                <w:szCs w:val="19"/>
                <w:highlight w:val="black"/>
              </w:rPr>
              <w:t>''''''''''''''''''''</w:t>
            </w:r>
            <w:r w:rsidRPr="00AD5DEA">
              <w:rPr>
                <w:rFonts w:ascii="Arial Narrow" w:hAnsi="Arial Narrow"/>
                <w:sz w:val="19"/>
                <w:szCs w:val="19"/>
              </w:rPr>
              <w:t xml:space="preserve"> </w:t>
            </w:r>
          </w:p>
          <w:p w:rsidR="00A6603A" w:rsidRPr="00AD5DEA" w:rsidRDefault="00A6603A" w:rsidP="00A6603A">
            <w:pPr>
              <w:jc w:val="left"/>
              <w:rPr>
                <w:rFonts w:ascii="Arial Narrow" w:hAnsi="Arial Narrow"/>
                <w:sz w:val="19"/>
                <w:szCs w:val="19"/>
              </w:rPr>
            </w:pPr>
            <w:r w:rsidRPr="00AD5DEA">
              <w:rPr>
                <w:rFonts w:ascii="Arial Narrow" w:hAnsi="Arial Narrow"/>
                <w:sz w:val="19"/>
                <w:szCs w:val="19"/>
              </w:rPr>
              <w:t xml:space="preserve">S100 HSD fees and mark-ups: unchanged from November 2015 </w:t>
            </w:r>
          </w:p>
          <w:p w:rsidR="00A6603A" w:rsidRPr="00AD5DEA" w:rsidRDefault="00A6603A" w:rsidP="00A6603A">
            <w:pPr>
              <w:jc w:val="left"/>
              <w:rPr>
                <w:rFonts w:ascii="Arial Narrow" w:hAnsi="Arial Narrow"/>
                <w:sz w:val="19"/>
                <w:szCs w:val="19"/>
              </w:rPr>
            </w:pPr>
            <w:r w:rsidRPr="00AD5DEA">
              <w:rPr>
                <w:rFonts w:ascii="Arial Narrow" w:hAnsi="Arial Narrow"/>
                <w:sz w:val="19"/>
                <w:szCs w:val="19"/>
              </w:rPr>
              <w:t xml:space="preserve">Split public/private setting: Unchanged from November 2015 </w:t>
            </w:r>
          </w:p>
          <w:p w:rsidR="006405F0" w:rsidRPr="00ED0F04" w:rsidRDefault="00A6603A" w:rsidP="00A6603A">
            <w:pPr>
              <w:jc w:val="left"/>
              <w:rPr>
                <w:rFonts w:ascii="Arial Narrow" w:hAnsi="Arial Narrow"/>
                <w:color w:val="0000FF"/>
                <w:sz w:val="19"/>
                <w:szCs w:val="19"/>
              </w:rPr>
            </w:pPr>
            <w:r w:rsidRPr="00AD5DEA">
              <w:rPr>
                <w:rFonts w:ascii="Arial Narrow" w:hAnsi="Arial Narrow"/>
                <w:sz w:val="19"/>
                <w:szCs w:val="19"/>
              </w:rPr>
              <w:t>Weighted DPMQ/pack: $</w:t>
            </w:r>
            <w:r w:rsidR="001778C8">
              <w:rPr>
                <w:rFonts w:ascii="Arial Narrow" w:hAnsi="Arial Narrow"/>
                <w:noProof/>
                <w:color w:val="000000"/>
                <w:sz w:val="19"/>
                <w:szCs w:val="19"/>
                <w:highlight w:val="black"/>
              </w:rPr>
              <w:t>''''''''''''''''''''''</w:t>
            </w:r>
          </w:p>
        </w:tc>
      </w:tr>
      <w:tr w:rsidR="006405F0" w:rsidRPr="00ED0F04" w:rsidTr="006833BA">
        <w:trPr>
          <w:trHeight w:val="642"/>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Main comparator</w:t>
            </w:r>
          </w:p>
        </w:tc>
        <w:tc>
          <w:tcPr>
            <w:tcW w:w="3686" w:type="dxa"/>
          </w:tcPr>
          <w:p w:rsidR="006405F0" w:rsidRPr="000C7085" w:rsidRDefault="00AD5DEA" w:rsidP="00401E66">
            <w:pPr>
              <w:jc w:val="left"/>
              <w:rPr>
                <w:rFonts w:ascii="Arial Narrow" w:hAnsi="Arial Narrow"/>
                <w:sz w:val="19"/>
                <w:szCs w:val="19"/>
              </w:rPr>
            </w:pPr>
            <w:r w:rsidRPr="000C7085">
              <w:rPr>
                <w:rFonts w:ascii="Arial Narrow" w:hAnsi="Arial Narrow"/>
                <w:sz w:val="19"/>
                <w:szCs w:val="19"/>
              </w:rPr>
              <w:t>Best supportive care</w:t>
            </w:r>
            <w:r w:rsidR="000C7085">
              <w:rPr>
                <w:rFonts w:ascii="Arial Narrow" w:hAnsi="Arial Narrow"/>
                <w:sz w:val="19"/>
                <w:szCs w:val="19"/>
              </w:rPr>
              <w:t xml:space="preserve">. </w:t>
            </w:r>
          </w:p>
          <w:p w:rsidR="006405F0" w:rsidRPr="000C7085" w:rsidRDefault="006405F0" w:rsidP="00401E66">
            <w:pPr>
              <w:jc w:val="left"/>
              <w:rPr>
                <w:rFonts w:ascii="Arial Narrow" w:hAnsi="Arial Narrow"/>
                <w:sz w:val="19"/>
                <w:szCs w:val="19"/>
              </w:rPr>
            </w:pPr>
          </w:p>
          <w:p w:rsidR="006405F0" w:rsidRPr="000C7085" w:rsidRDefault="006405F0" w:rsidP="00F94FDB">
            <w:pPr>
              <w:jc w:val="left"/>
              <w:rPr>
                <w:rFonts w:ascii="Arial Narrow" w:hAnsi="Arial Narrow"/>
                <w:sz w:val="19"/>
                <w:szCs w:val="19"/>
              </w:rPr>
            </w:pPr>
            <w:r w:rsidRPr="000C7085">
              <w:rPr>
                <w:rFonts w:ascii="Arial Narrow" w:hAnsi="Arial Narrow"/>
                <w:b/>
                <w:sz w:val="19"/>
                <w:szCs w:val="19"/>
              </w:rPr>
              <w:t>PBAC Comment</w:t>
            </w:r>
            <w:r w:rsidR="000C7085" w:rsidRPr="000C7085">
              <w:rPr>
                <w:rFonts w:ascii="Arial Narrow" w:hAnsi="Arial Narrow"/>
                <w:b/>
                <w:sz w:val="19"/>
                <w:szCs w:val="19"/>
              </w:rPr>
              <w:t xml:space="preserve"> </w:t>
            </w:r>
            <w:r w:rsidR="000C7085">
              <w:rPr>
                <w:rFonts w:ascii="Arial Narrow" w:hAnsi="Arial Narrow"/>
                <w:b/>
                <w:sz w:val="19"/>
                <w:szCs w:val="19"/>
              </w:rPr>
              <w:t>(</w:t>
            </w:r>
            <w:r w:rsidR="000C7085" w:rsidRPr="000C7085">
              <w:rPr>
                <w:rFonts w:ascii="Arial Narrow" w:hAnsi="Arial Narrow"/>
                <w:b/>
                <w:sz w:val="19"/>
                <w:szCs w:val="19"/>
              </w:rPr>
              <w:t xml:space="preserve">5.12 PBAC </w:t>
            </w:r>
            <w:r w:rsidR="00F94FDB">
              <w:rPr>
                <w:rFonts w:ascii="Arial Narrow" w:hAnsi="Arial Narrow"/>
                <w:b/>
                <w:sz w:val="19"/>
                <w:szCs w:val="19"/>
              </w:rPr>
              <w:t>PSD</w:t>
            </w:r>
            <w:r w:rsidR="00F94FDB" w:rsidRPr="000C7085">
              <w:rPr>
                <w:rFonts w:ascii="Arial Narrow" w:hAnsi="Arial Narrow"/>
                <w:b/>
                <w:sz w:val="19"/>
                <w:szCs w:val="19"/>
              </w:rPr>
              <w:t xml:space="preserve"> </w:t>
            </w:r>
            <w:r w:rsidR="000C7085" w:rsidRPr="000C7085">
              <w:rPr>
                <w:rFonts w:ascii="Arial Narrow" w:hAnsi="Arial Narrow"/>
                <w:b/>
                <w:sz w:val="19"/>
                <w:szCs w:val="19"/>
              </w:rPr>
              <w:t>November 2015, pirfenidone, paragraph 7.6)</w:t>
            </w:r>
            <w:r w:rsidRPr="000C7085">
              <w:rPr>
                <w:rFonts w:ascii="Arial Narrow" w:hAnsi="Arial Narrow"/>
                <w:b/>
                <w:sz w:val="19"/>
                <w:szCs w:val="19"/>
              </w:rPr>
              <w:t>:</w:t>
            </w:r>
            <w:r w:rsidRPr="000C7085">
              <w:rPr>
                <w:rFonts w:ascii="Arial Narrow" w:hAnsi="Arial Narrow"/>
                <w:sz w:val="19"/>
                <w:szCs w:val="19"/>
              </w:rPr>
              <w:t xml:space="preserve"> </w:t>
            </w:r>
            <w:r w:rsidR="00173D5E">
              <w:rPr>
                <w:rFonts w:ascii="Arial Narrow" w:hAnsi="Arial Narrow"/>
                <w:sz w:val="19"/>
                <w:szCs w:val="19"/>
              </w:rPr>
              <w:t>“</w:t>
            </w:r>
            <w:r w:rsidR="000C7085" w:rsidRPr="000C7085">
              <w:rPr>
                <w:rFonts w:ascii="Arial Narrow" w:hAnsi="Arial Narrow"/>
                <w:sz w:val="19"/>
                <w:szCs w:val="19"/>
              </w:rPr>
              <w:t xml:space="preserve">The PBAC confirmed that best supportive care was the </w:t>
            </w:r>
            <w:r w:rsidR="000C7085" w:rsidRPr="000C7085">
              <w:rPr>
                <w:rFonts w:ascii="Arial Narrow" w:hAnsi="Arial Narrow"/>
                <w:sz w:val="19"/>
                <w:szCs w:val="19"/>
              </w:rPr>
              <w:lastRenderedPageBreak/>
              <w:t>appropriate main comparator for pirfenidone for IPF.  Another novel agent for the treatment of IPF, nintedanib, was considered at the same November 2015 PBAC meeting and although not currently PBS listed, nintedanib was considered to be a relevant secondary comparator.  The PBAC noted its concern that, should both drugs become PBS subsidised in the future, the risk of concomitant use would need to be addressed.</w:t>
            </w:r>
            <w:r w:rsidR="00173D5E">
              <w:rPr>
                <w:rFonts w:ascii="Arial Narrow" w:hAnsi="Arial Narrow"/>
                <w:sz w:val="19"/>
                <w:szCs w:val="19"/>
              </w:rPr>
              <w:t>”</w:t>
            </w:r>
          </w:p>
        </w:tc>
        <w:tc>
          <w:tcPr>
            <w:tcW w:w="3056" w:type="dxa"/>
          </w:tcPr>
          <w:p w:rsidR="006405F0" w:rsidRPr="000C7085" w:rsidRDefault="00AD5DEA" w:rsidP="00401E66">
            <w:pPr>
              <w:jc w:val="left"/>
              <w:rPr>
                <w:rFonts w:ascii="Arial Narrow" w:hAnsi="Arial Narrow"/>
                <w:sz w:val="19"/>
                <w:szCs w:val="19"/>
              </w:rPr>
            </w:pPr>
            <w:r w:rsidRPr="000C7085">
              <w:rPr>
                <w:rFonts w:ascii="Arial Narrow" w:hAnsi="Arial Narrow"/>
                <w:sz w:val="19"/>
                <w:szCs w:val="19"/>
              </w:rPr>
              <w:lastRenderedPageBreak/>
              <w:t xml:space="preserve">Unchanged from November 2015 submission. </w:t>
            </w:r>
          </w:p>
        </w:tc>
      </w:tr>
      <w:tr w:rsidR="006405F0" w:rsidRPr="00ED0F04" w:rsidTr="006833BA">
        <w:trPr>
          <w:trHeight w:val="860"/>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lastRenderedPageBreak/>
              <w:t>Clinical evidence</w:t>
            </w:r>
          </w:p>
        </w:tc>
        <w:tc>
          <w:tcPr>
            <w:tcW w:w="3686" w:type="dxa"/>
          </w:tcPr>
          <w:p w:rsidR="006405F0" w:rsidRPr="00915A53" w:rsidRDefault="00915A53" w:rsidP="00401E66">
            <w:pPr>
              <w:jc w:val="left"/>
              <w:rPr>
                <w:rFonts w:ascii="Arial Narrow" w:hAnsi="Arial Narrow"/>
                <w:sz w:val="19"/>
                <w:szCs w:val="19"/>
              </w:rPr>
            </w:pPr>
            <w:r w:rsidRPr="00915A53">
              <w:rPr>
                <w:rFonts w:ascii="Arial Narrow" w:hAnsi="Arial Narrow"/>
                <w:sz w:val="19"/>
                <w:szCs w:val="19"/>
              </w:rPr>
              <w:t xml:space="preserve">3 trials: ASCEND (n=555), CAPACITY-2 (n=435) and CAPACITY-1 (n=344). </w:t>
            </w:r>
          </w:p>
          <w:p w:rsidR="006405F0" w:rsidRPr="00915A53" w:rsidRDefault="006405F0" w:rsidP="00401E66">
            <w:pPr>
              <w:jc w:val="left"/>
              <w:rPr>
                <w:rFonts w:ascii="Arial Narrow" w:hAnsi="Arial Narrow"/>
                <w:sz w:val="19"/>
                <w:szCs w:val="19"/>
              </w:rPr>
            </w:pPr>
          </w:p>
          <w:p w:rsidR="006405F0" w:rsidRPr="00915A53" w:rsidRDefault="000C7085" w:rsidP="00A438C9">
            <w:pPr>
              <w:jc w:val="left"/>
              <w:rPr>
                <w:rFonts w:ascii="Arial Narrow" w:hAnsi="Arial Narrow"/>
                <w:sz w:val="19"/>
                <w:szCs w:val="19"/>
              </w:rPr>
            </w:pPr>
            <w:r w:rsidRPr="00915A53">
              <w:rPr>
                <w:rFonts w:ascii="Arial Narrow" w:hAnsi="Arial Narrow"/>
                <w:b/>
                <w:sz w:val="19"/>
                <w:szCs w:val="19"/>
              </w:rPr>
              <w:t xml:space="preserve">PBAC Comment (5.12 PBAC </w:t>
            </w:r>
            <w:r w:rsidR="00A438C9">
              <w:rPr>
                <w:rFonts w:ascii="Arial Narrow" w:hAnsi="Arial Narrow"/>
                <w:b/>
                <w:sz w:val="19"/>
                <w:szCs w:val="19"/>
              </w:rPr>
              <w:t>PSD</w:t>
            </w:r>
            <w:r w:rsidR="00A438C9" w:rsidRPr="00915A53">
              <w:rPr>
                <w:rFonts w:ascii="Arial Narrow" w:hAnsi="Arial Narrow"/>
                <w:b/>
                <w:sz w:val="19"/>
                <w:szCs w:val="19"/>
              </w:rPr>
              <w:t xml:space="preserve"> </w:t>
            </w:r>
            <w:r w:rsidRPr="00915A53">
              <w:rPr>
                <w:rFonts w:ascii="Arial Narrow" w:hAnsi="Arial Narrow"/>
                <w:b/>
                <w:sz w:val="19"/>
                <w:szCs w:val="19"/>
              </w:rPr>
              <w:t>November 2015, pirfenidone, paragraph 7.7)</w:t>
            </w:r>
            <w:r w:rsidR="006405F0" w:rsidRPr="00915A53">
              <w:rPr>
                <w:rFonts w:ascii="Arial Narrow" w:hAnsi="Arial Narrow"/>
                <w:b/>
                <w:sz w:val="19"/>
                <w:szCs w:val="19"/>
              </w:rPr>
              <w:t>:</w:t>
            </w:r>
            <w:r w:rsidR="006405F0" w:rsidRPr="00915A53">
              <w:rPr>
                <w:rFonts w:ascii="Arial Narrow" w:hAnsi="Arial Narrow"/>
                <w:sz w:val="19"/>
                <w:szCs w:val="19"/>
              </w:rPr>
              <w:t xml:space="preserve"> </w:t>
            </w:r>
            <w:r w:rsidR="00173D5E">
              <w:rPr>
                <w:rFonts w:ascii="Arial Narrow" w:hAnsi="Arial Narrow"/>
                <w:sz w:val="19"/>
                <w:szCs w:val="19"/>
              </w:rPr>
              <w:t>“</w:t>
            </w:r>
            <w:r w:rsidR="00915A53">
              <w:rPr>
                <w:rFonts w:ascii="Arial Narrow" w:hAnsi="Arial Narrow"/>
                <w:sz w:val="19"/>
                <w:szCs w:val="19"/>
              </w:rPr>
              <w:t xml:space="preserve">The PBAC noted the </w:t>
            </w:r>
            <w:r w:rsidRPr="00915A53">
              <w:rPr>
                <w:rFonts w:ascii="Arial Narrow" w:hAnsi="Arial Narrow"/>
                <w:sz w:val="19"/>
                <w:szCs w:val="19"/>
              </w:rPr>
              <w:t>submission presented three head-to-head trials comparing pirfenidone to placebo: ASCEND (n=555), CAPACITY-2 (n=435) and CAPACITY-1 (n=344). The Pre-PBAC response (p1) reiterated that the pooled analysis of mortality from ASCEND, CAPACITY-2 and CAPACITY-1 was pre-specified in the statistical analysis plan for ASCEND which was finalised before unblinding.</w:t>
            </w:r>
            <w:r w:rsidR="00173D5E">
              <w:rPr>
                <w:rFonts w:ascii="Arial Narrow" w:hAnsi="Arial Narrow"/>
                <w:sz w:val="19"/>
                <w:szCs w:val="19"/>
              </w:rPr>
              <w:t>”</w:t>
            </w:r>
          </w:p>
        </w:tc>
        <w:tc>
          <w:tcPr>
            <w:tcW w:w="3056" w:type="dxa"/>
          </w:tcPr>
          <w:p w:rsidR="00D9286C" w:rsidRPr="00915A53" w:rsidRDefault="00D9286C" w:rsidP="00D9286C">
            <w:pPr>
              <w:jc w:val="left"/>
              <w:rPr>
                <w:rFonts w:ascii="Arial Narrow" w:hAnsi="Arial Narrow"/>
                <w:sz w:val="19"/>
                <w:szCs w:val="19"/>
              </w:rPr>
            </w:pPr>
            <w:r w:rsidRPr="00150515">
              <w:rPr>
                <w:rFonts w:ascii="Arial Narrow" w:hAnsi="Arial Narrow"/>
                <w:sz w:val="19"/>
                <w:szCs w:val="19"/>
              </w:rPr>
              <w:t xml:space="preserve">The re-submission presented additional supportive data from Nathan 2015. </w:t>
            </w:r>
            <w:r w:rsidRPr="00150515">
              <w:rPr>
                <w:rFonts w:ascii="Arial Narrow" w:hAnsi="Arial Narrow"/>
                <w:i/>
                <w:sz w:val="19"/>
                <w:szCs w:val="19"/>
              </w:rPr>
              <w:t xml:space="preserve">The submission claimed this evidence supported the assertion that patients continue to benefit from pirfenidone treatment following an FVC decline ≥10%. </w:t>
            </w:r>
          </w:p>
        </w:tc>
      </w:tr>
      <w:tr w:rsidR="006405F0" w:rsidRPr="00ED0F04" w:rsidTr="006833BA">
        <w:trPr>
          <w:trHeight w:val="1064"/>
        </w:trPr>
        <w:tc>
          <w:tcPr>
            <w:tcW w:w="1701" w:type="dxa"/>
          </w:tcPr>
          <w:p w:rsidR="006405F0" w:rsidRPr="007730AD" w:rsidRDefault="006405F0" w:rsidP="00401E66">
            <w:pPr>
              <w:jc w:val="left"/>
              <w:rPr>
                <w:rFonts w:ascii="Arial Narrow" w:hAnsi="Arial Narrow"/>
                <w:sz w:val="19"/>
                <w:szCs w:val="19"/>
              </w:rPr>
            </w:pPr>
            <w:r w:rsidRPr="007730AD">
              <w:rPr>
                <w:rFonts w:ascii="Arial Narrow" w:hAnsi="Arial Narrow"/>
                <w:sz w:val="19"/>
                <w:szCs w:val="19"/>
              </w:rPr>
              <w:t>Key effectiveness data</w:t>
            </w:r>
          </w:p>
        </w:tc>
        <w:tc>
          <w:tcPr>
            <w:tcW w:w="3686" w:type="dxa"/>
          </w:tcPr>
          <w:p w:rsidR="00645657" w:rsidRPr="007730AD" w:rsidRDefault="006405F0" w:rsidP="00645657">
            <w:pPr>
              <w:jc w:val="left"/>
              <w:rPr>
                <w:rFonts w:ascii="Arial Narrow" w:hAnsi="Arial Narrow"/>
                <w:sz w:val="19"/>
                <w:szCs w:val="19"/>
              </w:rPr>
            </w:pPr>
            <w:r w:rsidRPr="007730AD">
              <w:rPr>
                <w:rFonts w:ascii="Arial Narrow" w:hAnsi="Arial Narrow"/>
                <w:b/>
                <w:sz w:val="19"/>
                <w:szCs w:val="19"/>
              </w:rPr>
              <w:t>PBAC Comment</w:t>
            </w:r>
            <w:r w:rsidR="00645657" w:rsidRPr="007730AD">
              <w:rPr>
                <w:rFonts w:ascii="Arial Narrow" w:hAnsi="Arial Narrow"/>
                <w:b/>
                <w:sz w:val="19"/>
                <w:szCs w:val="19"/>
              </w:rPr>
              <w:t xml:space="preserve"> (5.12 PBAC </w:t>
            </w:r>
            <w:r w:rsidR="003F254B">
              <w:rPr>
                <w:rFonts w:ascii="Arial Narrow" w:hAnsi="Arial Narrow"/>
                <w:b/>
                <w:sz w:val="19"/>
                <w:szCs w:val="19"/>
              </w:rPr>
              <w:t>PSD</w:t>
            </w:r>
            <w:r w:rsidR="003F254B" w:rsidRPr="007730AD">
              <w:rPr>
                <w:rFonts w:ascii="Arial Narrow" w:hAnsi="Arial Narrow"/>
                <w:b/>
                <w:sz w:val="19"/>
                <w:szCs w:val="19"/>
              </w:rPr>
              <w:t xml:space="preserve"> </w:t>
            </w:r>
            <w:r w:rsidR="00645657" w:rsidRPr="007730AD">
              <w:rPr>
                <w:rFonts w:ascii="Arial Narrow" w:hAnsi="Arial Narrow"/>
                <w:b/>
                <w:sz w:val="19"/>
                <w:szCs w:val="19"/>
              </w:rPr>
              <w:t>November 2015, pirfenidone, paragraph 7.8</w:t>
            </w:r>
            <w:r w:rsidR="00EE07DB" w:rsidRPr="007730AD">
              <w:rPr>
                <w:rFonts w:ascii="Arial Narrow" w:hAnsi="Arial Narrow"/>
                <w:b/>
                <w:sz w:val="19"/>
                <w:szCs w:val="19"/>
              </w:rPr>
              <w:t xml:space="preserve"> and 7.11</w:t>
            </w:r>
            <w:r w:rsidR="00645657" w:rsidRPr="007730AD">
              <w:rPr>
                <w:rFonts w:ascii="Arial Narrow" w:hAnsi="Arial Narrow"/>
                <w:b/>
                <w:sz w:val="19"/>
                <w:szCs w:val="19"/>
              </w:rPr>
              <w:t>)</w:t>
            </w:r>
            <w:r w:rsidRPr="007730AD">
              <w:rPr>
                <w:rFonts w:ascii="Arial Narrow" w:hAnsi="Arial Narrow"/>
                <w:b/>
                <w:sz w:val="19"/>
                <w:szCs w:val="19"/>
              </w:rPr>
              <w:t>:</w:t>
            </w:r>
            <w:r w:rsidRPr="007730AD">
              <w:rPr>
                <w:rFonts w:ascii="Arial Narrow" w:hAnsi="Arial Narrow"/>
                <w:sz w:val="19"/>
                <w:szCs w:val="19"/>
              </w:rPr>
              <w:t xml:space="preserve"> </w:t>
            </w:r>
            <w:r w:rsidR="00645657" w:rsidRPr="007730AD">
              <w:rPr>
                <w:rFonts w:ascii="Arial Narrow" w:hAnsi="Arial Narrow"/>
                <w:sz w:val="19"/>
                <w:szCs w:val="19"/>
              </w:rPr>
              <w:t>On the basis of direct evidence in comparison to placebo presented by the submission, pirfenidone was associated with:</w:t>
            </w:r>
          </w:p>
          <w:p w:rsidR="00645657" w:rsidRPr="007730AD" w:rsidRDefault="00645657" w:rsidP="00645657">
            <w:pPr>
              <w:jc w:val="left"/>
              <w:rPr>
                <w:rFonts w:ascii="Arial Narrow" w:hAnsi="Arial Narrow"/>
                <w:sz w:val="19"/>
                <w:szCs w:val="19"/>
              </w:rPr>
            </w:pPr>
            <w:r w:rsidRPr="007730AD">
              <w:rPr>
                <w:rFonts w:ascii="Arial Narrow" w:hAnsi="Arial Narrow"/>
                <w:sz w:val="19"/>
                <w:szCs w:val="19"/>
              </w:rPr>
              <w:t xml:space="preserve">• Approximately a </w:t>
            </w:r>
            <w:r w:rsidR="001778C8">
              <w:rPr>
                <w:rFonts w:ascii="Arial Narrow" w:hAnsi="Arial Narrow"/>
                <w:noProof/>
                <w:color w:val="000000"/>
                <w:sz w:val="19"/>
                <w:szCs w:val="19"/>
                <w:highlight w:val="black"/>
              </w:rPr>
              <w:t>'''''''</w:t>
            </w:r>
            <w:r w:rsidRPr="007730AD">
              <w:rPr>
                <w:rFonts w:ascii="Arial Narrow" w:hAnsi="Arial Narrow"/>
                <w:sz w:val="19"/>
                <w:szCs w:val="19"/>
              </w:rPr>
              <w:t>% reduction in absolute change in FVC%Pred from baseline to week 52.</w:t>
            </w:r>
          </w:p>
          <w:p w:rsidR="006405F0" w:rsidRPr="007730AD" w:rsidRDefault="00645657" w:rsidP="004B172C">
            <w:pPr>
              <w:jc w:val="left"/>
              <w:rPr>
                <w:rFonts w:ascii="Arial Narrow" w:hAnsi="Arial Narrow"/>
                <w:color w:val="0000FF"/>
                <w:sz w:val="19"/>
                <w:szCs w:val="19"/>
              </w:rPr>
            </w:pPr>
            <w:r w:rsidRPr="007730AD">
              <w:rPr>
                <w:rFonts w:ascii="Arial Narrow" w:hAnsi="Arial Narrow"/>
                <w:sz w:val="19"/>
                <w:szCs w:val="19"/>
              </w:rPr>
              <w:t>• No significant difference for overall survival, as reported in the vital status-end of study analysis, which was considered by the FDA cross discipline team leader review for pirfenidone to be most representative of the efficacy of a drug in terms of disease modification/survival.</w:t>
            </w:r>
            <w:r w:rsidRPr="007730AD" w:rsidDel="00645657">
              <w:rPr>
                <w:rFonts w:ascii="Arial Narrow" w:hAnsi="Arial Narrow"/>
                <w:color w:val="0000FF"/>
                <w:sz w:val="19"/>
                <w:szCs w:val="19"/>
              </w:rPr>
              <w:t xml:space="preserve"> </w:t>
            </w:r>
          </w:p>
          <w:p w:rsidR="00EE07DB" w:rsidRPr="007730AD" w:rsidRDefault="00EE07DB" w:rsidP="004B172C">
            <w:pPr>
              <w:jc w:val="left"/>
              <w:rPr>
                <w:rFonts w:ascii="Arial Narrow" w:hAnsi="Arial Narrow"/>
                <w:color w:val="0000FF"/>
                <w:sz w:val="19"/>
                <w:szCs w:val="19"/>
              </w:rPr>
            </w:pPr>
          </w:p>
          <w:p w:rsidR="00EE07DB" w:rsidRPr="007730AD" w:rsidRDefault="00EE07DB" w:rsidP="004B172C">
            <w:pPr>
              <w:jc w:val="left"/>
              <w:rPr>
                <w:rFonts w:ascii="Arial Narrow" w:hAnsi="Arial Narrow"/>
                <w:sz w:val="19"/>
                <w:szCs w:val="19"/>
              </w:rPr>
            </w:pPr>
            <w:r w:rsidRPr="007730AD">
              <w:rPr>
                <w:rFonts w:ascii="Arial Narrow" w:hAnsi="Arial Narrow"/>
                <w:sz w:val="19"/>
                <w:szCs w:val="19"/>
              </w:rPr>
              <w:t xml:space="preserve">Interpretation of the indirect comparison with nintedanib is difficult given the differences in the trial populations and the outcomes. The network meta-analysis from Loveman et al </w:t>
            </w:r>
            <w:r w:rsidR="00657F8B" w:rsidRPr="007730AD">
              <w:rPr>
                <w:rFonts w:ascii="Arial Narrow" w:hAnsi="Arial Narrow"/>
                <w:sz w:val="19"/>
                <w:szCs w:val="19"/>
              </w:rPr>
              <w:t>2015 suggests</w:t>
            </w:r>
            <w:r w:rsidRPr="007730AD">
              <w:rPr>
                <w:rFonts w:ascii="Arial Narrow" w:hAnsi="Arial Narrow"/>
                <w:sz w:val="19"/>
                <w:szCs w:val="19"/>
              </w:rPr>
              <w:t xml:space="preserve"> a trend to better overall survival for pirfenidone (OR = 1.39, 95% CI: 0.70, 2.82), but a superior benefit in slowing FVC decline for nintedanib (OR = 0.67, 95% CI: 0.51, 0.88) and a trend to better prevention of exacerbations with nintedanib (no OR provided but only nintedanib had a superior result to placebo).  However, PBAC considered both drugs are likely to be similarly clinically effective.</w:t>
            </w:r>
          </w:p>
        </w:tc>
        <w:tc>
          <w:tcPr>
            <w:tcW w:w="3056" w:type="dxa"/>
          </w:tcPr>
          <w:p w:rsidR="006405F0" w:rsidRPr="00CD1DBE" w:rsidRDefault="00915A53" w:rsidP="00401E66">
            <w:pPr>
              <w:jc w:val="left"/>
              <w:rPr>
                <w:rFonts w:ascii="Arial Narrow" w:hAnsi="Arial Narrow"/>
                <w:sz w:val="19"/>
                <w:szCs w:val="19"/>
                <w:highlight w:val="yellow"/>
              </w:rPr>
            </w:pPr>
            <w:r w:rsidRPr="00173D5E">
              <w:rPr>
                <w:rFonts w:ascii="Arial Narrow" w:hAnsi="Arial Narrow"/>
                <w:sz w:val="19"/>
                <w:szCs w:val="19"/>
              </w:rPr>
              <w:t xml:space="preserve">Unchanged from November 2015 submission. </w:t>
            </w:r>
          </w:p>
        </w:tc>
      </w:tr>
      <w:tr w:rsidR="006405F0" w:rsidRPr="00ED0F04" w:rsidTr="006833BA">
        <w:trPr>
          <w:trHeight w:val="860"/>
        </w:trPr>
        <w:tc>
          <w:tcPr>
            <w:tcW w:w="1701" w:type="dxa"/>
          </w:tcPr>
          <w:p w:rsidR="006405F0" w:rsidRPr="007730AD" w:rsidRDefault="006405F0" w:rsidP="00401E66">
            <w:pPr>
              <w:jc w:val="left"/>
              <w:rPr>
                <w:rFonts w:ascii="Arial Narrow" w:hAnsi="Arial Narrow"/>
                <w:sz w:val="19"/>
                <w:szCs w:val="19"/>
              </w:rPr>
            </w:pPr>
            <w:r w:rsidRPr="007730AD">
              <w:rPr>
                <w:rFonts w:ascii="Arial Narrow" w:hAnsi="Arial Narrow"/>
                <w:sz w:val="19"/>
                <w:szCs w:val="19"/>
              </w:rPr>
              <w:t>Key safety data</w:t>
            </w:r>
          </w:p>
        </w:tc>
        <w:tc>
          <w:tcPr>
            <w:tcW w:w="3686" w:type="dxa"/>
          </w:tcPr>
          <w:p w:rsidR="006405F0" w:rsidRPr="007730AD" w:rsidRDefault="00592A73" w:rsidP="00401E66">
            <w:pPr>
              <w:jc w:val="left"/>
              <w:rPr>
                <w:rFonts w:ascii="Arial Narrow" w:hAnsi="Arial Narrow"/>
                <w:sz w:val="19"/>
                <w:szCs w:val="19"/>
              </w:rPr>
            </w:pPr>
            <w:r w:rsidRPr="007730AD">
              <w:rPr>
                <w:rFonts w:ascii="Arial Narrow" w:hAnsi="Arial Narrow"/>
                <w:sz w:val="19"/>
                <w:szCs w:val="19"/>
              </w:rPr>
              <w:t>The incidence of photosensitivity reaction, rash, stomach discomfort, dyspepsia, dysgeusia, nausea, anorexia, decreased appetite, weight decrease, asthenia, insomnia, dizziness, gastro-oesophageal reflux disease, fatigue and diarrhoea were significant higher in pirfenidone treated patients.  Incidence of IPF and peripheral oedema was significantly lower in the pirfenidone treatment group when compared to placebo.</w:t>
            </w:r>
          </w:p>
          <w:p w:rsidR="00592A73" w:rsidRPr="007730AD" w:rsidRDefault="00592A73" w:rsidP="00401E66">
            <w:pPr>
              <w:jc w:val="left"/>
              <w:rPr>
                <w:rFonts w:ascii="Arial Narrow" w:hAnsi="Arial Narrow"/>
                <w:sz w:val="19"/>
                <w:szCs w:val="19"/>
              </w:rPr>
            </w:pPr>
          </w:p>
          <w:p w:rsidR="006405F0" w:rsidRPr="007730AD" w:rsidRDefault="00592A73" w:rsidP="00DF0913">
            <w:pPr>
              <w:jc w:val="left"/>
              <w:rPr>
                <w:rFonts w:ascii="Arial Narrow" w:hAnsi="Arial Narrow"/>
                <w:sz w:val="19"/>
                <w:szCs w:val="19"/>
              </w:rPr>
            </w:pPr>
            <w:r w:rsidRPr="007730AD">
              <w:rPr>
                <w:rFonts w:ascii="Arial Narrow" w:hAnsi="Arial Narrow"/>
                <w:b/>
                <w:sz w:val="19"/>
                <w:szCs w:val="19"/>
              </w:rPr>
              <w:lastRenderedPageBreak/>
              <w:t xml:space="preserve">PBAC Comment (5.12 PBAC </w:t>
            </w:r>
            <w:r w:rsidR="00DF0913">
              <w:rPr>
                <w:rFonts w:ascii="Arial Narrow" w:hAnsi="Arial Narrow"/>
                <w:b/>
                <w:sz w:val="19"/>
                <w:szCs w:val="19"/>
              </w:rPr>
              <w:t>PSD</w:t>
            </w:r>
            <w:r w:rsidR="00DF0913" w:rsidRPr="007730AD">
              <w:rPr>
                <w:rFonts w:ascii="Arial Narrow" w:hAnsi="Arial Narrow"/>
                <w:b/>
                <w:sz w:val="19"/>
                <w:szCs w:val="19"/>
              </w:rPr>
              <w:t xml:space="preserve"> </w:t>
            </w:r>
            <w:r w:rsidRPr="007730AD">
              <w:rPr>
                <w:rFonts w:ascii="Arial Narrow" w:hAnsi="Arial Narrow"/>
                <w:b/>
                <w:sz w:val="19"/>
                <w:szCs w:val="19"/>
              </w:rPr>
              <w:t>November 2015, pirfenidone, paragraph 7.10)</w:t>
            </w:r>
            <w:r w:rsidR="006405F0" w:rsidRPr="007730AD">
              <w:rPr>
                <w:rFonts w:ascii="Arial Narrow" w:hAnsi="Arial Narrow"/>
                <w:b/>
                <w:sz w:val="19"/>
                <w:szCs w:val="19"/>
              </w:rPr>
              <w:t>:</w:t>
            </w:r>
            <w:r w:rsidR="006405F0" w:rsidRPr="007730AD">
              <w:rPr>
                <w:rFonts w:ascii="Arial Narrow" w:hAnsi="Arial Narrow"/>
                <w:sz w:val="19"/>
                <w:szCs w:val="19"/>
              </w:rPr>
              <w:t xml:space="preserve"> </w:t>
            </w:r>
            <w:r w:rsidRPr="007730AD">
              <w:rPr>
                <w:rFonts w:ascii="Arial Narrow" w:hAnsi="Arial Narrow"/>
                <w:sz w:val="19"/>
                <w:szCs w:val="19"/>
              </w:rPr>
              <w:t>“PBAC also noted pirfenidone was associated with statistically significantly higher instances of adverse events in several items across system organ classes.  The highest relative differences were observed in the skin and subcutaneous tissue disorders (photosensitivity reaction, rash) and gastrointestinal disorders (stomach discomfort, dyspepsia). Also a significant increase was observed in gastro-oesophageal reflux disease, a known co-morbidity of IPF.  A statistically significant reduction in peripheral oedema as observed.”</w:t>
            </w:r>
          </w:p>
        </w:tc>
        <w:tc>
          <w:tcPr>
            <w:tcW w:w="3056" w:type="dxa"/>
          </w:tcPr>
          <w:p w:rsidR="006405F0" w:rsidRPr="00915A53" w:rsidRDefault="00915A53" w:rsidP="00401E66">
            <w:pPr>
              <w:jc w:val="left"/>
              <w:rPr>
                <w:rFonts w:ascii="Arial Narrow" w:hAnsi="Arial Narrow"/>
                <w:sz w:val="19"/>
                <w:szCs w:val="19"/>
              </w:rPr>
            </w:pPr>
            <w:r w:rsidRPr="00915A53">
              <w:rPr>
                <w:rFonts w:ascii="Arial Narrow" w:hAnsi="Arial Narrow"/>
                <w:sz w:val="19"/>
                <w:szCs w:val="19"/>
              </w:rPr>
              <w:lastRenderedPageBreak/>
              <w:t xml:space="preserve">Unchanged from November 2015 submission. </w:t>
            </w:r>
          </w:p>
        </w:tc>
      </w:tr>
      <w:tr w:rsidR="006405F0" w:rsidRPr="00ED0F04" w:rsidTr="006833BA">
        <w:trPr>
          <w:trHeight w:val="860"/>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lastRenderedPageBreak/>
              <w:t>Clinical claim</w:t>
            </w:r>
          </w:p>
        </w:tc>
        <w:tc>
          <w:tcPr>
            <w:tcW w:w="3686" w:type="dxa"/>
          </w:tcPr>
          <w:p w:rsidR="006405F0" w:rsidRPr="00282408" w:rsidRDefault="00D9286C" w:rsidP="00401E66">
            <w:pPr>
              <w:jc w:val="left"/>
              <w:rPr>
                <w:rFonts w:ascii="Arial Narrow" w:hAnsi="Arial Narrow"/>
                <w:b/>
                <w:sz w:val="19"/>
                <w:szCs w:val="19"/>
              </w:rPr>
            </w:pPr>
            <w:r w:rsidRPr="00282408">
              <w:rPr>
                <w:rFonts w:ascii="Arial Narrow" w:hAnsi="Arial Narrow"/>
                <w:sz w:val="19"/>
                <w:szCs w:val="19"/>
              </w:rPr>
              <w:t>Superior efficacy and acceptable safety profile compared with placebo.</w:t>
            </w:r>
          </w:p>
          <w:p w:rsidR="00D9286C" w:rsidRDefault="00D9286C" w:rsidP="00401E66">
            <w:pPr>
              <w:jc w:val="left"/>
              <w:rPr>
                <w:rFonts w:ascii="Arial Narrow" w:hAnsi="Arial Narrow"/>
                <w:b/>
                <w:sz w:val="19"/>
                <w:szCs w:val="19"/>
              </w:rPr>
            </w:pPr>
          </w:p>
          <w:p w:rsidR="00EE07DB" w:rsidRDefault="006405F0" w:rsidP="00EE07DB">
            <w:pPr>
              <w:jc w:val="left"/>
              <w:rPr>
                <w:rFonts w:ascii="Arial Narrow" w:hAnsi="Arial Narrow"/>
                <w:sz w:val="19"/>
                <w:szCs w:val="19"/>
              </w:rPr>
            </w:pPr>
            <w:r w:rsidRPr="00ED0F04">
              <w:rPr>
                <w:rFonts w:ascii="Arial Narrow" w:hAnsi="Arial Narrow"/>
                <w:b/>
                <w:sz w:val="19"/>
                <w:szCs w:val="19"/>
              </w:rPr>
              <w:t>PBAC Comment</w:t>
            </w:r>
            <w:r w:rsidR="00282408">
              <w:rPr>
                <w:rFonts w:ascii="Arial Narrow" w:hAnsi="Arial Narrow"/>
                <w:b/>
                <w:sz w:val="19"/>
                <w:szCs w:val="19"/>
              </w:rPr>
              <w:t xml:space="preserve"> (</w:t>
            </w:r>
            <w:r w:rsidR="00282408" w:rsidRPr="00915A53">
              <w:rPr>
                <w:rFonts w:ascii="Arial Narrow" w:hAnsi="Arial Narrow"/>
                <w:b/>
                <w:sz w:val="19"/>
                <w:szCs w:val="19"/>
              </w:rPr>
              <w:t xml:space="preserve">5.12 PBAC </w:t>
            </w:r>
            <w:r w:rsidR="00500B2E">
              <w:rPr>
                <w:rFonts w:ascii="Arial Narrow" w:hAnsi="Arial Narrow"/>
                <w:b/>
                <w:sz w:val="19"/>
                <w:szCs w:val="19"/>
              </w:rPr>
              <w:t>PSD</w:t>
            </w:r>
            <w:r w:rsidR="00500B2E" w:rsidRPr="00915A53">
              <w:rPr>
                <w:rFonts w:ascii="Arial Narrow" w:hAnsi="Arial Narrow"/>
                <w:b/>
                <w:sz w:val="19"/>
                <w:szCs w:val="19"/>
              </w:rPr>
              <w:t xml:space="preserve"> </w:t>
            </w:r>
            <w:r w:rsidR="00282408" w:rsidRPr="00915A53">
              <w:rPr>
                <w:rFonts w:ascii="Arial Narrow" w:hAnsi="Arial Narrow"/>
                <w:b/>
                <w:sz w:val="19"/>
                <w:szCs w:val="19"/>
              </w:rPr>
              <w:t xml:space="preserve">November 2015, pirfenidone, paragraph </w:t>
            </w:r>
            <w:r w:rsidR="00EE07DB">
              <w:rPr>
                <w:rFonts w:ascii="Arial Narrow" w:hAnsi="Arial Narrow"/>
                <w:b/>
                <w:sz w:val="19"/>
                <w:szCs w:val="19"/>
              </w:rPr>
              <w:t>6.25-6</w:t>
            </w:r>
            <w:r w:rsidR="00282408" w:rsidRPr="00915A53">
              <w:rPr>
                <w:rFonts w:ascii="Arial Narrow" w:hAnsi="Arial Narrow"/>
                <w:b/>
                <w:sz w:val="19"/>
                <w:szCs w:val="19"/>
              </w:rPr>
              <w:t>):</w:t>
            </w:r>
            <w:r w:rsidR="00282408">
              <w:rPr>
                <w:rFonts w:ascii="Arial Narrow" w:hAnsi="Arial Narrow"/>
                <w:b/>
                <w:sz w:val="19"/>
                <w:szCs w:val="19"/>
              </w:rPr>
              <w:t xml:space="preserve"> </w:t>
            </w:r>
          </w:p>
          <w:p w:rsidR="006405F0" w:rsidRPr="00ED0F04" w:rsidRDefault="00EE07DB" w:rsidP="00FB661C">
            <w:pPr>
              <w:jc w:val="left"/>
              <w:rPr>
                <w:rFonts w:ascii="Arial Narrow" w:hAnsi="Arial Narrow"/>
                <w:sz w:val="19"/>
                <w:szCs w:val="19"/>
              </w:rPr>
            </w:pPr>
            <w:r w:rsidRPr="00EE07DB">
              <w:rPr>
                <w:rFonts w:ascii="Arial Narrow" w:hAnsi="Arial Narrow"/>
                <w:sz w:val="19"/>
                <w:szCs w:val="19"/>
              </w:rPr>
              <w:t>The ESC considered that pirfenidone is superior in efficacy to placebo and has an inferior safety profile.</w:t>
            </w:r>
            <w:r>
              <w:rPr>
                <w:rFonts w:ascii="Arial Narrow" w:hAnsi="Arial Narrow"/>
                <w:sz w:val="19"/>
                <w:szCs w:val="19"/>
              </w:rPr>
              <w:t xml:space="preserve"> </w:t>
            </w:r>
            <w:r w:rsidRPr="00EE07DB">
              <w:rPr>
                <w:rFonts w:ascii="Arial Narrow" w:hAnsi="Arial Narrow"/>
                <w:sz w:val="19"/>
                <w:szCs w:val="19"/>
              </w:rPr>
              <w:t>The PBAC agreed with the ESC’s conclusion.</w:t>
            </w:r>
            <w:r w:rsidR="00592A73">
              <w:rPr>
                <w:rFonts w:ascii="Arial Narrow" w:hAnsi="Arial Narrow"/>
                <w:sz w:val="19"/>
                <w:szCs w:val="19"/>
              </w:rPr>
              <w:t xml:space="preserve"> </w:t>
            </w:r>
          </w:p>
        </w:tc>
        <w:tc>
          <w:tcPr>
            <w:tcW w:w="3056" w:type="dxa"/>
          </w:tcPr>
          <w:p w:rsidR="006405F0" w:rsidRPr="00915A53" w:rsidRDefault="00282408" w:rsidP="00401E66">
            <w:pPr>
              <w:jc w:val="left"/>
              <w:rPr>
                <w:rFonts w:ascii="Arial Narrow" w:hAnsi="Arial Narrow"/>
                <w:sz w:val="19"/>
                <w:szCs w:val="19"/>
              </w:rPr>
            </w:pPr>
            <w:r>
              <w:rPr>
                <w:rFonts w:ascii="Arial Narrow" w:hAnsi="Arial Narrow"/>
                <w:sz w:val="19"/>
                <w:szCs w:val="19"/>
              </w:rPr>
              <w:t>Although not explicitly stated, it appears to be u</w:t>
            </w:r>
            <w:r w:rsidR="00915A53">
              <w:rPr>
                <w:rFonts w:ascii="Arial Narrow" w:hAnsi="Arial Narrow"/>
                <w:sz w:val="19"/>
                <w:szCs w:val="19"/>
              </w:rPr>
              <w:t xml:space="preserve">nchanged from November 2015 </w:t>
            </w:r>
            <w:r w:rsidR="00915A53" w:rsidRPr="00915A53">
              <w:rPr>
                <w:rFonts w:ascii="Arial Narrow" w:hAnsi="Arial Narrow"/>
                <w:sz w:val="19"/>
                <w:szCs w:val="19"/>
              </w:rPr>
              <w:t xml:space="preserve">submission. </w:t>
            </w:r>
          </w:p>
        </w:tc>
      </w:tr>
      <w:tr w:rsidR="006405F0" w:rsidRPr="00ED0F04" w:rsidTr="00EE07DB">
        <w:trPr>
          <w:trHeight w:val="964"/>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Economic evaluation</w:t>
            </w:r>
          </w:p>
        </w:tc>
        <w:tc>
          <w:tcPr>
            <w:tcW w:w="3686" w:type="dxa"/>
          </w:tcPr>
          <w:p w:rsidR="006405F0" w:rsidRPr="00ED0F04" w:rsidRDefault="006405F0" w:rsidP="00401E66">
            <w:pPr>
              <w:jc w:val="left"/>
              <w:rPr>
                <w:rFonts w:ascii="Arial Narrow" w:hAnsi="Arial Narrow"/>
                <w:b/>
                <w:sz w:val="19"/>
                <w:szCs w:val="19"/>
              </w:rPr>
            </w:pPr>
            <w:r w:rsidRPr="00ED0F04">
              <w:rPr>
                <w:rFonts w:ascii="Arial Narrow" w:hAnsi="Arial Narrow"/>
                <w:sz w:val="19"/>
                <w:szCs w:val="19"/>
              </w:rPr>
              <w:t>•Cost-utility model with cost/QALY</w:t>
            </w:r>
            <w:r w:rsidR="00672379">
              <w:rPr>
                <w:rFonts w:ascii="Arial Narrow" w:hAnsi="Arial Narrow"/>
                <w:sz w:val="19"/>
                <w:szCs w:val="19"/>
              </w:rPr>
              <w:t xml:space="preserve"> $75,000 - $105,000</w:t>
            </w:r>
            <w:r w:rsidR="00282408">
              <w:rPr>
                <w:rFonts w:ascii="Arial Narrow" w:hAnsi="Arial Narrow"/>
                <w:sz w:val="19"/>
                <w:szCs w:val="19"/>
              </w:rPr>
              <w:t xml:space="preserve"> (this included the submission’s anticipated </w:t>
            </w:r>
            <w:r w:rsidR="00407F6E">
              <w:rPr>
                <w:rFonts w:ascii="Arial Narrow" w:hAnsi="Arial Narrow"/>
                <w:noProof/>
                <w:color w:val="000000"/>
                <w:sz w:val="19"/>
                <w:szCs w:val="19"/>
                <w:highlight w:val="black"/>
              </w:rPr>
              <w:t>'''''''</w:t>
            </w:r>
            <w:r w:rsidR="00282408">
              <w:rPr>
                <w:rFonts w:ascii="Arial Narrow" w:hAnsi="Arial Narrow"/>
                <w:sz w:val="19"/>
                <w:szCs w:val="19"/>
              </w:rPr>
              <w:t>% price reduction after 5 years due to generic competition).</w:t>
            </w:r>
          </w:p>
          <w:p w:rsidR="006405F0" w:rsidRPr="00ED0F04" w:rsidRDefault="006405F0" w:rsidP="00282408">
            <w:pPr>
              <w:jc w:val="left"/>
              <w:rPr>
                <w:rFonts w:ascii="Arial Narrow" w:hAnsi="Arial Narrow"/>
                <w:sz w:val="19"/>
                <w:szCs w:val="19"/>
              </w:rPr>
            </w:pPr>
          </w:p>
          <w:p w:rsidR="00282408" w:rsidRPr="00282408" w:rsidRDefault="00282408" w:rsidP="00282408">
            <w:pPr>
              <w:jc w:val="left"/>
              <w:rPr>
                <w:rFonts w:ascii="Arial Narrow" w:hAnsi="Arial Narrow"/>
                <w:sz w:val="19"/>
                <w:szCs w:val="19"/>
              </w:rPr>
            </w:pPr>
            <w:r w:rsidRPr="00ED0F04">
              <w:rPr>
                <w:rFonts w:ascii="Arial Narrow" w:hAnsi="Arial Narrow"/>
                <w:b/>
                <w:sz w:val="19"/>
                <w:szCs w:val="19"/>
              </w:rPr>
              <w:t>PBAC Comment</w:t>
            </w:r>
            <w:r>
              <w:rPr>
                <w:rFonts w:ascii="Arial Narrow" w:hAnsi="Arial Narrow"/>
                <w:b/>
                <w:sz w:val="19"/>
                <w:szCs w:val="19"/>
              </w:rPr>
              <w:t xml:space="preserve"> (</w:t>
            </w:r>
            <w:r w:rsidRPr="00915A53">
              <w:rPr>
                <w:rFonts w:ascii="Arial Narrow" w:hAnsi="Arial Narrow"/>
                <w:b/>
                <w:sz w:val="19"/>
                <w:szCs w:val="19"/>
              </w:rPr>
              <w:t xml:space="preserve">5.12 PBAC </w:t>
            </w:r>
            <w:r w:rsidR="00F0411E">
              <w:rPr>
                <w:rFonts w:ascii="Arial Narrow" w:hAnsi="Arial Narrow"/>
                <w:b/>
                <w:sz w:val="19"/>
                <w:szCs w:val="19"/>
              </w:rPr>
              <w:t>PSD</w:t>
            </w:r>
            <w:r w:rsidR="00F0411E" w:rsidRPr="00915A53">
              <w:rPr>
                <w:rFonts w:ascii="Arial Narrow" w:hAnsi="Arial Narrow"/>
                <w:b/>
                <w:sz w:val="19"/>
                <w:szCs w:val="19"/>
              </w:rPr>
              <w:t xml:space="preserve"> </w:t>
            </w:r>
            <w:r w:rsidRPr="00915A53">
              <w:rPr>
                <w:rFonts w:ascii="Arial Narrow" w:hAnsi="Arial Narrow"/>
                <w:b/>
                <w:sz w:val="19"/>
                <w:szCs w:val="19"/>
              </w:rPr>
              <w:t>November 2015, pirfenidone, paragraph 7.</w:t>
            </w:r>
            <w:r>
              <w:rPr>
                <w:rFonts w:ascii="Arial Narrow" w:hAnsi="Arial Narrow"/>
                <w:b/>
                <w:sz w:val="19"/>
                <w:szCs w:val="19"/>
              </w:rPr>
              <w:t>18</w:t>
            </w:r>
            <w:r w:rsidRPr="00915A53">
              <w:rPr>
                <w:rFonts w:ascii="Arial Narrow" w:hAnsi="Arial Narrow"/>
                <w:b/>
                <w:sz w:val="19"/>
                <w:szCs w:val="19"/>
              </w:rPr>
              <w:t>):</w:t>
            </w:r>
            <w:r>
              <w:rPr>
                <w:rFonts w:ascii="Arial Narrow" w:hAnsi="Arial Narrow"/>
                <w:b/>
                <w:sz w:val="19"/>
                <w:szCs w:val="19"/>
              </w:rPr>
              <w:t xml:space="preserve"> </w:t>
            </w:r>
            <w:r>
              <w:rPr>
                <w:rFonts w:ascii="Arial Narrow" w:hAnsi="Arial Narrow"/>
                <w:sz w:val="19"/>
                <w:szCs w:val="19"/>
              </w:rPr>
              <w:t>“</w:t>
            </w:r>
            <w:r w:rsidRPr="00282408">
              <w:rPr>
                <w:rFonts w:ascii="Arial Narrow" w:hAnsi="Arial Narrow"/>
                <w:sz w:val="19"/>
                <w:szCs w:val="19"/>
              </w:rPr>
              <w:t>Overall, the PBAC did not consider that the model could be relied upon as a basis for considering the cost-effectiveness of pirfenidone.  It recommended that the base case of a modelled economic evaluation in any re-submission should:</w:t>
            </w:r>
          </w:p>
          <w:p w:rsidR="00282408" w:rsidRPr="00282408" w:rsidRDefault="00282408" w:rsidP="00282408">
            <w:pPr>
              <w:ind w:hanging="28"/>
              <w:jc w:val="left"/>
              <w:rPr>
                <w:rFonts w:ascii="Arial Narrow" w:hAnsi="Arial Narrow"/>
                <w:sz w:val="19"/>
                <w:szCs w:val="19"/>
              </w:rPr>
            </w:pPr>
            <w:r>
              <w:rPr>
                <w:rFonts w:ascii="Arial Narrow" w:hAnsi="Arial Narrow"/>
                <w:sz w:val="19"/>
                <w:szCs w:val="19"/>
              </w:rPr>
              <w:t>•</w:t>
            </w:r>
            <w:r w:rsidRPr="00282408">
              <w:rPr>
                <w:rFonts w:ascii="Arial Narrow" w:hAnsi="Arial Narrow"/>
                <w:sz w:val="19"/>
                <w:szCs w:val="19"/>
              </w:rPr>
              <w:t>omit potential price reductions associated with any multi-brand competition</w:t>
            </w:r>
          </w:p>
          <w:p w:rsidR="00282408" w:rsidRPr="00282408" w:rsidRDefault="00282408" w:rsidP="00282408">
            <w:pPr>
              <w:jc w:val="left"/>
              <w:rPr>
                <w:rFonts w:ascii="Arial Narrow" w:hAnsi="Arial Narrow"/>
                <w:sz w:val="19"/>
                <w:szCs w:val="19"/>
              </w:rPr>
            </w:pPr>
            <w:r>
              <w:rPr>
                <w:rFonts w:ascii="Arial Narrow" w:hAnsi="Arial Narrow"/>
                <w:sz w:val="19"/>
                <w:szCs w:val="19"/>
              </w:rPr>
              <w:t>•</w:t>
            </w:r>
            <w:r w:rsidRPr="00282408">
              <w:rPr>
                <w:rFonts w:ascii="Arial Narrow" w:hAnsi="Arial Narrow"/>
                <w:sz w:val="19"/>
                <w:szCs w:val="19"/>
              </w:rPr>
              <w:t>examine the consequences of including a continuation rule reflecting or modified from that proposed in other countries</w:t>
            </w:r>
          </w:p>
          <w:p w:rsidR="00282408" w:rsidRPr="00282408" w:rsidRDefault="00282408" w:rsidP="00282408">
            <w:pPr>
              <w:jc w:val="left"/>
              <w:rPr>
                <w:rFonts w:ascii="Arial Narrow" w:hAnsi="Arial Narrow"/>
                <w:sz w:val="19"/>
                <w:szCs w:val="19"/>
              </w:rPr>
            </w:pPr>
            <w:r>
              <w:rPr>
                <w:rFonts w:ascii="Arial Narrow" w:hAnsi="Arial Narrow"/>
                <w:sz w:val="19"/>
                <w:szCs w:val="19"/>
              </w:rPr>
              <w:t>•</w:t>
            </w:r>
            <w:r w:rsidRPr="00282408">
              <w:rPr>
                <w:rFonts w:ascii="Arial Narrow" w:hAnsi="Arial Narrow"/>
                <w:sz w:val="19"/>
                <w:szCs w:val="19"/>
              </w:rPr>
              <w:t>reduce the time horizon to 10 years</w:t>
            </w:r>
          </w:p>
          <w:p w:rsidR="00282408" w:rsidRPr="00ED0F04" w:rsidRDefault="00282408" w:rsidP="00282408">
            <w:pPr>
              <w:jc w:val="left"/>
              <w:rPr>
                <w:rFonts w:ascii="Arial Narrow" w:hAnsi="Arial Narrow"/>
                <w:sz w:val="19"/>
                <w:szCs w:val="19"/>
              </w:rPr>
            </w:pPr>
            <w:r>
              <w:rPr>
                <w:rFonts w:ascii="Arial Narrow" w:hAnsi="Arial Narrow"/>
                <w:sz w:val="19"/>
                <w:szCs w:val="19"/>
              </w:rPr>
              <w:t>•</w:t>
            </w:r>
            <w:r w:rsidRPr="00282408">
              <w:rPr>
                <w:rFonts w:ascii="Arial Narrow" w:hAnsi="Arial Narrow"/>
                <w:sz w:val="19"/>
                <w:szCs w:val="19"/>
              </w:rPr>
              <w:t>revise the extrapolation methods and the post-progression utility so that they no longer overestimate the incremental QALYs gained.</w:t>
            </w:r>
          </w:p>
        </w:tc>
        <w:tc>
          <w:tcPr>
            <w:tcW w:w="3056" w:type="dxa"/>
          </w:tcPr>
          <w:p w:rsidR="00125484" w:rsidRDefault="006405F0" w:rsidP="00125484">
            <w:pPr>
              <w:jc w:val="left"/>
              <w:rPr>
                <w:rFonts w:ascii="Arial Narrow" w:hAnsi="Arial Narrow"/>
                <w:sz w:val="19"/>
                <w:szCs w:val="19"/>
              </w:rPr>
            </w:pPr>
            <w:r w:rsidRPr="00ED0F04">
              <w:rPr>
                <w:rFonts w:ascii="Arial Narrow" w:hAnsi="Arial Narrow"/>
                <w:sz w:val="19"/>
                <w:szCs w:val="19"/>
              </w:rPr>
              <w:t xml:space="preserve">•Cost-utility model with cost/QALY </w:t>
            </w:r>
            <w:r w:rsidR="001F431E">
              <w:rPr>
                <w:rFonts w:ascii="Arial Narrow" w:hAnsi="Arial Narrow"/>
                <w:sz w:val="19"/>
                <w:szCs w:val="19"/>
              </w:rPr>
              <w:t>$45,000 - $75,000</w:t>
            </w:r>
            <w:r w:rsidR="00125484">
              <w:rPr>
                <w:rFonts w:ascii="Arial Narrow" w:hAnsi="Arial Narrow"/>
                <w:sz w:val="19"/>
                <w:szCs w:val="19"/>
              </w:rPr>
              <w:t xml:space="preserve"> (10 year time horizon); </w:t>
            </w:r>
            <w:r w:rsidR="001F431E">
              <w:rPr>
                <w:rFonts w:ascii="Arial Narrow" w:hAnsi="Arial Narrow"/>
                <w:sz w:val="19"/>
                <w:szCs w:val="19"/>
              </w:rPr>
              <w:t>$45,000 - $75,000</w:t>
            </w:r>
            <w:r w:rsidR="00125484">
              <w:rPr>
                <w:rFonts w:ascii="Arial Narrow" w:hAnsi="Arial Narrow"/>
                <w:sz w:val="19"/>
                <w:szCs w:val="19"/>
              </w:rPr>
              <w:t xml:space="preserve"> (16 year time horizon). </w:t>
            </w:r>
          </w:p>
          <w:p w:rsidR="00125484" w:rsidRDefault="00125484" w:rsidP="00125484">
            <w:pPr>
              <w:jc w:val="left"/>
              <w:rPr>
                <w:rFonts w:ascii="Arial Narrow" w:hAnsi="Arial Narrow"/>
                <w:sz w:val="19"/>
                <w:szCs w:val="19"/>
              </w:rPr>
            </w:pPr>
          </w:p>
          <w:p w:rsidR="00592A73" w:rsidRPr="00592A73" w:rsidRDefault="00592A73" w:rsidP="00592A73">
            <w:pPr>
              <w:jc w:val="left"/>
              <w:rPr>
                <w:rFonts w:ascii="Arial Narrow" w:hAnsi="Arial Narrow"/>
                <w:i/>
                <w:sz w:val="19"/>
                <w:szCs w:val="19"/>
              </w:rPr>
            </w:pPr>
            <w:r w:rsidRPr="00592A73">
              <w:rPr>
                <w:rFonts w:ascii="Arial Narrow" w:hAnsi="Arial Narrow"/>
                <w:i/>
                <w:sz w:val="19"/>
                <w:szCs w:val="19"/>
              </w:rPr>
              <w:t xml:space="preserve">The minor re-submission </w:t>
            </w:r>
            <w:r>
              <w:rPr>
                <w:rFonts w:ascii="Arial Narrow" w:hAnsi="Arial Narrow"/>
                <w:i/>
                <w:sz w:val="19"/>
                <w:szCs w:val="19"/>
              </w:rPr>
              <w:t>respecified the</w:t>
            </w:r>
            <w:r w:rsidRPr="00592A73">
              <w:rPr>
                <w:rFonts w:ascii="Arial Narrow" w:hAnsi="Arial Narrow"/>
                <w:i/>
                <w:sz w:val="19"/>
                <w:szCs w:val="19"/>
              </w:rPr>
              <w:t xml:space="preserve"> base case ICER through the following:</w:t>
            </w:r>
          </w:p>
          <w:p w:rsidR="00592A73" w:rsidRPr="00592A73" w:rsidRDefault="00592A73" w:rsidP="00592A73">
            <w:pPr>
              <w:jc w:val="left"/>
              <w:rPr>
                <w:rFonts w:ascii="Arial Narrow" w:hAnsi="Arial Narrow"/>
                <w:i/>
                <w:sz w:val="19"/>
                <w:szCs w:val="19"/>
              </w:rPr>
            </w:pPr>
            <w:r>
              <w:rPr>
                <w:rFonts w:ascii="Arial Narrow" w:hAnsi="Arial Narrow"/>
                <w:i/>
                <w:sz w:val="19"/>
                <w:szCs w:val="19"/>
              </w:rPr>
              <w:t>•</w:t>
            </w:r>
            <w:r w:rsidRPr="00592A73">
              <w:rPr>
                <w:rFonts w:ascii="Arial Narrow" w:hAnsi="Arial Narrow"/>
                <w:i/>
                <w:sz w:val="19"/>
                <w:szCs w:val="19"/>
              </w:rPr>
              <w:t>removing the assumed price reduction following expiry of data exclusivity;</w:t>
            </w:r>
          </w:p>
          <w:p w:rsidR="00592A73" w:rsidRPr="00592A73" w:rsidRDefault="00592A73" w:rsidP="00592A73">
            <w:pPr>
              <w:jc w:val="left"/>
              <w:rPr>
                <w:rFonts w:ascii="Arial Narrow" w:hAnsi="Arial Narrow"/>
                <w:i/>
                <w:sz w:val="19"/>
                <w:szCs w:val="19"/>
              </w:rPr>
            </w:pPr>
            <w:r>
              <w:rPr>
                <w:rFonts w:ascii="Arial Narrow" w:hAnsi="Arial Narrow"/>
                <w:i/>
                <w:sz w:val="19"/>
                <w:szCs w:val="19"/>
              </w:rPr>
              <w:t>•</w:t>
            </w:r>
            <w:r w:rsidRPr="00592A73">
              <w:rPr>
                <w:rFonts w:ascii="Arial Narrow" w:hAnsi="Arial Narrow"/>
                <w:i/>
                <w:sz w:val="19"/>
                <w:szCs w:val="19"/>
              </w:rPr>
              <w:t xml:space="preserve">increasing the proposed rebate from </w:t>
            </w:r>
            <w:r w:rsidR="001778C8">
              <w:rPr>
                <w:rFonts w:ascii="Arial Narrow" w:hAnsi="Arial Narrow"/>
                <w:i/>
                <w:noProof/>
                <w:color w:val="000000"/>
                <w:sz w:val="19"/>
                <w:szCs w:val="19"/>
                <w:highlight w:val="black"/>
              </w:rPr>
              <w:t>''''</w:t>
            </w:r>
            <w:r w:rsidRPr="00592A73">
              <w:rPr>
                <w:rFonts w:ascii="Arial Narrow" w:hAnsi="Arial Narrow"/>
                <w:i/>
                <w:sz w:val="19"/>
                <w:szCs w:val="19"/>
              </w:rPr>
              <w:t xml:space="preserve">% to </w:t>
            </w:r>
            <w:r w:rsidR="001778C8">
              <w:rPr>
                <w:rFonts w:ascii="Arial Narrow" w:hAnsi="Arial Narrow"/>
                <w:i/>
                <w:noProof/>
                <w:color w:val="000000"/>
                <w:sz w:val="19"/>
                <w:szCs w:val="19"/>
                <w:highlight w:val="black"/>
              </w:rPr>
              <w:t>''''''</w:t>
            </w:r>
            <w:r w:rsidRPr="00592A73">
              <w:rPr>
                <w:rFonts w:ascii="Arial Narrow" w:hAnsi="Arial Narrow"/>
                <w:i/>
                <w:sz w:val="19"/>
                <w:szCs w:val="19"/>
              </w:rPr>
              <w:t xml:space="preserve">%; and </w:t>
            </w:r>
          </w:p>
          <w:p w:rsidR="006405F0" w:rsidRPr="00ED0F04" w:rsidRDefault="00592A73" w:rsidP="00592A73">
            <w:pPr>
              <w:jc w:val="left"/>
              <w:rPr>
                <w:rFonts w:ascii="Arial Narrow" w:hAnsi="Arial Narrow"/>
                <w:color w:val="0000FF"/>
                <w:sz w:val="19"/>
                <w:szCs w:val="19"/>
              </w:rPr>
            </w:pPr>
            <w:r>
              <w:rPr>
                <w:rFonts w:ascii="Arial Narrow" w:hAnsi="Arial Narrow"/>
                <w:i/>
                <w:sz w:val="19"/>
                <w:szCs w:val="19"/>
              </w:rPr>
              <w:t>•</w:t>
            </w:r>
            <w:r w:rsidRPr="00592A73">
              <w:rPr>
                <w:rFonts w:ascii="Arial Narrow" w:hAnsi="Arial Narrow"/>
                <w:i/>
                <w:sz w:val="19"/>
                <w:szCs w:val="19"/>
              </w:rPr>
              <w:t xml:space="preserve">providing the option of a 10 year or 16 year time horizon (the previous model only included the 10 year time horizon). </w:t>
            </w:r>
          </w:p>
        </w:tc>
      </w:tr>
      <w:tr w:rsidR="006405F0" w:rsidRPr="00ED0F04" w:rsidTr="00EE07DB">
        <w:trPr>
          <w:trHeight w:val="426"/>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Number of patients</w:t>
            </w:r>
          </w:p>
        </w:tc>
        <w:tc>
          <w:tcPr>
            <w:tcW w:w="3686" w:type="dxa"/>
          </w:tcPr>
          <w:p w:rsidR="006405F0" w:rsidRPr="00ED0F04" w:rsidRDefault="00F12A31" w:rsidP="00401E66">
            <w:pPr>
              <w:jc w:val="left"/>
              <w:rPr>
                <w:rFonts w:ascii="Arial Narrow" w:hAnsi="Arial Narrow"/>
                <w:sz w:val="19"/>
                <w:szCs w:val="19"/>
              </w:rPr>
            </w:pPr>
            <w:r>
              <w:rPr>
                <w:rFonts w:ascii="Arial Narrow" w:hAnsi="Arial Narrow"/>
                <w:sz w:val="19"/>
                <w:szCs w:val="19"/>
              </w:rPr>
              <w:t>Less than 10,000</w:t>
            </w:r>
            <w:r w:rsidR="0071556F">
              <w:rPr>
                <w:rFonts w:ascii="Arial Narrow" w:hAnsi="Arial Narrow"/>
                <w:sz w:val="19"/>
                <w:szCs w:val="19"/>
              </w:rPr>
              <w:t xml:space="preserve"> in Year 1 increasing to </w:t>
            </w:r>
            <w:r>
              <w:rPr>
                <w:rFonts w:ascii="Arial Narrow" w:hAnsi="Arial Narrow"/>
                <w:sz w:val="19"/>
                <w:szCs w:val="19"/>
              </w:rPr>
              <w:t>less than 10,000</w:t>
            </w:r>
            <w:r w:rsidR="006405F0" w:rsidRPr="00ED0F04">
              <w:rPr>
                <w:rFonts w:ascii="Arial Narrow" w:hAnsi="Arial Narrow"/>
                <w:sz w:val="19"/>
                <w:szCs w:val="19"/>
              </w:rPr>
              <w:t xml:space="preserve"> in Year 5.</w:t>
            </w:r>
          </w:p>
          <w:p w:rsidR="006405F0" w:rsidRPr="00ED0F04" w:rsidRDefault="006405F0" w:rsidP="001A49E4">
            <w:pPr>
              <w:jc w:val="left"/>
              <w:rPr>
                <w:rFonts w:ascii="Arial Narrow" w:hAnsi="Arial Narrow"/>
                <w:sz w:val="19"/>
                <w:szCs w:val="19"/>
              </w:rPr>
            </w:pPr>
            <w:r w:rsidRPr="00ED0F04">
              <w:rPr>
                <w:rFonts w:ascii="Arial Narrow" w:hAnsi="Arial Narrow"/>
                <w:sz w:val="19"/>
                <w:szCs w:val="19"/>
              </w:rPr>
              <w:t xml:space="preserve"> </w:t>
            </w:r>
          </w:p>
        </w:tc>
        <w:tc>
          <w:tcPr>
            <w:tcW w:w="3056" w:type="dxa"/>
          </w:tcPr>
          <w:p w:rsidR="006405F0" w:rsidRPr="00ED0F04" w:rsidRDefault="00DF607D" w:rsidP="00DF607D">
            <w:pPr>
              <w:jc w:val="left"/>
              <w:rPr>
                <w:rFonts w:ascii="Arial Narrow" w:hAnsi="Arial Narrow"/>
                <w:color w:val="0000FF"/>
                <w:sz w:val="19"/>
                <w:szCs w:val="19"/>
              </w:rPr>
            </w:pPr>
            <w:r>
              <w:rPr>
                <w:rFonts w:ascii="Arial Narrow" w:hAnsi="Arial Narrow"/>
                <w:sz w:val="19"/>
                <w:szCs w:val="19"/>
              </w:rPr>
              <w:t xml:space="preserve">Unchanged from November 2015 submission. </w:t>
            </w:r>
          </w:p>
        </w:tc>
      </w:tr>
      <w:tr w:rsidR="006405F0" w:rsidRPr="00ED0F04" w:rsidTr="006833BA">
        <w:trPr>
          <w:trHeight w:val="1080"/>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sz w:val="19"/>
                <w:szCs w:val="19"/>
              </w:rPr>
              <w:t>Estimated cost to PBS</w:t>
            </w:r>
          </w:p>
        </w:tc>
        <w:tc>
          <w:tcPr>
            <w:tcW w:w="3686" w:type="dxa"/>
          </w:tcPr>
          <w:p w:rsidR="006405F0" w:rsidRPr="00ED0F04" w:rsidRDefault="004D6B90" w:rsidP="00E92BA1">
            <w:pPr>
              <w:jc w:val="left"/>
              <w:rPr>
                <w:rFonts w:ascii="Arial Narrow" w:hAnsi="Arial Narrow"/>
                <w:sz w:val="19"/>
                <w:szCs w:val="19"/>
              </w:rPr>
            </w:pPr>
            <w:r>
              <w:rPr>
                <w:rFonts w:ascii="Arial Narrow" w:hAnsi="Arial Narrow"/>
                <w:sz w:val="19"/>
                <w:szCs w:val="19"/>
              </w:rPr>
              <w:t>$30</w:t>
            </w:r>
            <w:r w:rsidR="00C4050C">
              <w:rPr>
                <w:rFonts w:ascii="Arial Narrow" w:hAnsi="Arial Narrow"/>
                <w:sz w:val="19"/>
                <w:szCs w:val="19"/>
              </w:rPr>
              <w:t xml:space="preserve"> – </w:t>
            </w:r>
            <w:r>
              <w:rPr>
                <w:rFonts w:ascii="Arial Narrow" w:hAnsi="Arial Narrow"/>
                <w:sz w:val="19"/>
                <w:szCs w:val="19"/>
              </w:rPr>
              <w:t>$60 million</w:t>
            </w:r>
            <w:r w:rsidR="001A49E4">
              <w:rPr>
                <w:rFonts w:ascii="Arial Narrow" w:hAnsi="Arial Narrow"/>
                <w:sz w:val="19"/>
                <w:szCs w:val="19"/>
              </w:rPr>
              <w:t xml:space="preserve"> </w:t>
            </w:r>
            <w:r w:rsidR="006405F0" w:rsidRPr="00ED0F04">
              <w:rPr>
                <w:rFonts w:ascii="Arial Narrow" w:hAnsi="Arial Narrow"/>
                <w:sz w:val="19"/>
                <w:szCs w:val="19"/>
              </w:rPr>
              <w:t xml:space="preserve">in Year 1 increasing to </w:t>
            </w:r>
            <w:r w:rsidR="00E92BA1">
              <w:rPr>
                <w:rFonts w:ascii="Arial Narrow" w:hAnsi="Arial Narrow"/>
                <w:sz w:val="19"/>
                <w:szCs w:val="19"/>
              </w:rPr>
              <w:t>more than $100 million</w:t>
            </w:r>
            <w:r w:rsidR="001A49E4">
              <w:rPr>
                <w:rFonts w:ascii="Arial Narrow" w:hAnsi="Arial Narrow"/>
                <w:sz w:val="19"/>
                <w:szCs w:val="19"/>
              </w:rPr>
              <w:t xml:space="preserve"> </w:t>
            </w:r>
            <w:r w:rsidR="006405F0" w:rsidRPr="00ED0F04">
              <w:rPr>
                <w:rFonts w:ascii="Arial Narrow" w:hAnsi="Arial Narrow"/>
                <w:sz w:val="19"/>
                <w:szCs w:val="19"/>
              </w:rPr>
              <w:t>in Year 5.</w:t>
            </w:r>
            <w:r w:rsidR="00EE07DB" w:rsidDel="00EE07DB">
              <w:t xml:space="preserve"> </w:t>
            </w:r>
          </w:p>
        </w:tc>
        <w:tc>
          <w:tcPr>
            <w:tcW w:w="3056" w:type="dxa"/>
          </w:tcPr>
          <w:p w:rsidR="006405F0" w:rsidRPr="00ED0F04" w:rsidRDefault="00021A8E" w:rsidP="00460499">
            <w:pPr>
              <w:jc w:val="left"/>
              <w:rPr>
                <w:rFonts w:ascii="Arial Narrow" w:hAnsi="Arial Narrow"/>
                <w:color w:val="0000FF"/>
                <w:sz w:val="19"/>
                <w:szCs w:val="19"/>
              </w:rPr>
            </w:pPr>
            <w:r>
              <w:rPr>
                <w:rFonts w:ascii="Arial Narrow" w:hAnsi="Arial Narrow"/>
                <w:sz w:val="19"/>
                <w:szCs w:val="19"/>
              </w:rPr>
              <w:t>$30 - $60 million in</w:t>
            </w:r>
            <w:r w:rsidR="001A49E4">
              <w:rPr>
                <w:rFonts w:ascii="Arial Narrow" w:hAnsi="Arial Narrow"/>
                <w:sz w:val="19"/>
                <w:szCs w:val="19"/>
              </w:rPr>
              <w:t xml:space="preserve"> Year 1 increasing to </w:t>
            </w:r>
            <w:r w:rsidR="00460499">
              <w:rPr>
                <w:rFonts w:ascii="Arial Narrow" w:hAnsi="Arial Narrow"/>
                <w:sz w:val="19"/>
                <w:szCs w:val="19"/>
              </w:rPr>
              <w:t>$60 - $100 million</w:t>
            </w:r>
            <w:r w:rsidR="006405F0" w:rsidRPr="00ED0F04">
              <w:rPr>
                <w:rFonts w:ascii="Arial Narrow" w:hAnsi="Arial Narrow"/>
                <w:sz w:val="19"/>
                <w:szCs w:val="19"/>
              </w:rPr>
              <w:t xml:space="preserve"> in Year 5.</w:t>
            </w:r>
          </w:p>
        </w:tc>
      </w:tr>
      <w:tr w:rsidR="006405F0" w:rsidRPr="00ED0F04" w:rsidTr="006833BA">
        <w:trPr>
          <w:trHeight w:val="438"/>
        </w:trPr>
        <w:tc>
          <w:tcPr>
            <w:tcW w:w="1701" w:type="dxa"/>
          </w:tcPr>
          <w:p w:rsidR="006405F0" w:rsidRPr="00ED0F04" w:rsidRDefault="006405F0" w:rsidP="00401E66">
            <w:pPr>
              <w:jc w:val="left"/>
              <w:rPr>
                <w:rFonts w:ascii="Arial Narrow" w:hAnsi="Arial Narrow"/>
                <w:sz w:val="19"/>
                <w:szCs w:val="19"/>
              </w:rPr>
            </w:pPr>
            <w:r w:rsidRPr="00ED0F04">
              <w:rPr>
                <w:rFonts w:ascii="Arial Narrow" w:hAnsi="Arial Narrow"/>
              </w:rPr>
              <w:br w:type="page"/>
            </w:r>
            <w:r w:rsidRPr="00ED0F04">
              <w:rPr>
                <w:rFonts w:ascii="Arial Narrow" w:hAnsi="Arial Narrow"/>
                <w:sz w:val="19"/>
                <w:szCs w:val="19"/>
              </w:rPr>
              <w:t>PBAC decision</w:t>
            </w:r>
          </w:p>
        </w:tc>
        <w:tc>
          <w:tcPr>
            <w:tcW w:w="3686" w:type="dxa"/>
          </w:tcPr>
          <w:p w:rsidR="006405F0" w:rsidRDefault="00915A53" w:rsidP="00401E66">
            <w:pPr>
              <w:jc w:val="left"/>
              <w:rPr>
                <w:rFonts w:ascii="Arial Narrow" w:hAnsi="Arial Narrow"/>
                <w:sz w:val="19"/>
                <w:szCs w:val="19"/>
              </w:rPr>
            </w:pPr>
            <w:r>
              <w:rPr>
                <w:rFonts w:ascii="Arial Narrow" w:hAnsi="Arial Narrow"/>
                <w:sz w:val="19"/>
                <w:szCs w:val="19"/>
              </w:rPr>
              <w:t xml:space="preserve">Reject </w:t>
            </w:r>
          </w:p>
          <w:p w:rsidR="00915A53" w:rsidRDefault="00915A53" w:rsidP="00401E66">
            <w:pPr>
              <w:jc w:val="left"/>
              <w:rPr>
                <w:rFonts w:ascii="Arial Narrow" w:hAnsi="Arial Narrow"/>
                <w:sz w:val="19"/>
                <w:szCs w:val="19"/>
              </w:rPr>
            </w:pPr>
          </w:p>
          <w:p w:rsidR="00915A53" w:rsidRPr="00ED0F04" w:rsidRDefault="001A49E4" w:rsidP="00F82BDF">
            <w:pPr>
              <w:jc w:val="left"/>
              <w:rPr>
                <w:rFonts w:ascii="Arial Narrow" w:hAnsi="Arial Narrow"/>
                <w:sz w:val="19"/>
                <w:szCs w:val="19"/>
              </w:rPr>
            </w:pPr>
            <w:r w:rsidRPr="00ED0F04">
              <w:rPr>
                <w:rFonts w:ascii="Arial Narrow" w:hAnsi="Arial Narrow"/>
                <w:b/>
                <w:sz w:val="19"/>
                <w:szCs w:val="19"/>
              </w:rPr>
              <w:t>PBAC Comment</w:t>
            </w:r>
            <w:r>
              <w:rPr>
                <w:rFonts w:ascii="Arial Narrow" w:hAnsi="Arial Narrow"/>
                <w:b/>
                <w:sz w:val="19"/>
                <w:szCs w:val="19"/>
              </w:rPr>
              <w:t xml:space="preserve"> (</w:t>
            </w:r>
            <w:r w:rsidRPr="00915A53">
              <w:rPr>
                <w:rFonts w:ascii="Arial Narrow" w:hAnsi="Arial Narrow"/>
                <w:b/>
                <w:sz w:val="19"/>
                <w:szCs w:val="19"/>
              </w:rPr>
              <w:t xml:space="preserve">5.12 PBAC </w:t>
            </w:r>
            <w:r w:rsidR="00F82BDF">
              <w:rPr>
                <w:rFonts w:ascii="Arial Narrow" w:hAnsi="Arial Narrow"/>
                <w:b/>
                <w:sz w:val="19"/>
                <w:szCs w:val="19"/>
              </w:rPr>
              <w:t>PSD</w:t>
            </w:r>
            <w:r w:rsidR="00F82BDF" w:rsidRPr="00915A53">
              <w:rPr>
                <w:rFonts w:ascii="Arial Narrow" w:hAnsi="Arial Narrow"/>
                <w:b/>
                <w:sz w:val="19"/>
                <w:szCs w:val="19"/>
              </w:rPr>
              <w:t xml:space="preserve"> </w:t>
            </w:r>
            <w:r w:rsidRPr="00915A53">
              <w:rPr>
                <w:rFonts w:ascii="Arial Narrow" w:hAnsi="Arial Narrow"/>
                <w:b/>
                <w:sz w:val="19"/>
                <w:szCs w:val="19"/>
              </w:rPr>
              <w:t>November 2015, pirfenidone, paragraph 7.</w:t>
            </w:r>
            <w:r>
              <w:rPr>
                <w:rFonts w:ascii="Arial Narrow" w:hAnsi="Arial Narrow"/>
                <w:b/>
                <w:sz w:val="19"/>
                <w:szCs w:val="19"/>
              </w:rPr>
              <w:t>1</w:t>
            </w:r>
            <w:r w:rsidRPr="00915A53">
              <w:rPr>
                <w:rFonts w:ascii="Arial Narrow" w:hAnsi="Arial Narrow"/>
                <w:b/>
                <w:sz w:val="19"/>
                <w:szCs w:val="19"/>
              </w:rPr>
              <w:t>):</w:t>
            </w:r>
            <w:r>
              <w:rPr>
                <w:rFonts w:ascii="Arial Narrow" w:hAnsi="Arial Narrow"/>
                <w:b/>
                <w:sz w:val="19"/>
                <w:szCs w:val="19"/>
              </w:rPr>
              <w:t xml:space="preserve"> </w:t>
            </w:r>
            <w:r w:rsidRPr="001A49E4">
              <w:rPr>
                <w:rFonts w:ascii="Arial Narrow" w:hAnsi="Arial Narrow"/>
                <w:sz w:val="19"/>
                <w:szCs w:val="19"/>
              </w:rPr>
              <w:t>“The PBAC decided not to recommend pirfenidone for PBS listing for idiopathic pulmonary fibrosis (IPF) on the basis of unacceptably high and uncertain cost-effectiveness.”</w:t>
            </w:r>
          </w:p>
        </w:tc>
        <w:tc>
          <w:tcPr>
            <w:tcW w:w="3056" w:type="dxa"/>
          </w:tcPr>
          <w:p w:rsidR="006405F0" w:rsidRPr="00ED0F04" w:rsidRDefault="006405F0" w:rsidP="00401E66">
            <w:pPr>
              <w:jc w:val="left"/>
              <w:rPr>
                <w:rFonts w:ascii="Arial Narrow" w:hAnsi="Arial Narrow"/>
                <w:color w:val="0000FF"/>
                <w:sz w:val="19"/>
                <w:szCs w:val="19"/>
              </w:rPr>
            </w:pPr>
            <w:r w:rsidRPr="00ED0F04">
              <w:rPr>
                <w:rFonts w:ascii="Arial Narrow" w:hAnsi="Arial Narrow"/>
                <w:sz w:val="19"/>
                <w:szCs w:val="19"/>
              </w:rPr>
              <w:t>-</w:t>
            </w:r>
          </w:p>
        </w:tc>
      </w:tr>
    </w:tbl>
    <w:p w:rsidR="006405F0" w:rsidRPr="005D736C" w:rsidRDefault="006405F0" w:rsidP="005D736C">
      <w:pPr>
        <w:pStyle w:val="TableFooter"/>
        <w:ind w:firstLine="720"/>
      </w:pPr>
      <w:r w:rsidRPr="001D112E">
        <w:lastRenderedPageBreak/>
        <w:t xml:space="preserve">Source: Compiled during the </w:t>
      </w:r>
      <w:r w:rsidR="00915A53">
        <w:t xml:space="preserve">minor overview </w:t>
      </w:r>
      <w:bookmarkStart w:id="2" w:name="_Toc301533749"/>
      <w:bookmarkStart w:id="3" w:name="_Toc341702041"/>
      <w:bookmarkStart w:id="4" w:name="_Toc380679762"/>
      <w:bookmarkStart w:id="5" w:name="_Toc380742619"/>
      <w:bookmarkStart w:id="6" w:name="_Toc380746186"/>
      <w:bookmarkStart w:id="7" w:name="_Toc380746312"/>
      <w:bookmarkStart w:id="8" w:name="_Toc380746593"/>
      <w:bookmarkStart w:id="9" w:name="_Toc381019902"/>
      <w:bookmarkStart w:id="10" w:name="_Toc382553533"/>
      <w:bookmarkStart w:id="11" w:name="_Toc392857620"/>
    </w:p>
    <w:bookmarkEnd w:id="2"/>
    <w:bookmarkEnd w:id="3"/>
    <w:bookmarkEnd w:id="4"/>
    <w:bookmarkEnd w:id="5"/>
    <w:bookmarkEnd w:id="6"/>
    <w:bookmarkEnd w:id="7"/>
    <w:bookmarkEnd w:id="8"/>
    <w:bookmarkEnd w:id="9"/>
    <w:bookmarkEnd w:id="10"/>
    <w:bookmarkEnd w:id="11"/>
    <w:p w:rsidR="0004297B" w:rsidRDefault="0004297B" w:rsidP="0004297B">
      <w:pPr>
        <w:rPr>
          <w:b/>
          <w:szCs w:val="22"/>
        </w:rPr>
      </w:pPr>
    </w:p>
    <w:p w:rsidR="0004297B" w:rsidRPr="002D1FDC" w:rsidRDefault="0004297B" w:rsidP="0004297B">
      <w:pPr>
        <w:ind w:left="709"/>
        <w:contextualSpacing/>
        <w:rPr>
          <w:i/>
          <w:szCs w:val="22"/>
        </w:rPr>
      </w:pPr>
      <w:r w:rsidRPr="00C96DDD">
        <w:rPr>
          <w:i/>
          <w:szCs w:val="22"/>
        </w:rPr>
        <w:t xml:space="preserve">For more detail on PBAC’s view, see section </w:t>
      </w:r>
      <w:r w:rsidR="0009034F" w:rsidRPr="00C96DDD">
        <w:rPr>
          <w:i/>
          <w:szCs w:val="22"/>
        </w:rPr>
        <w:t>5</w:t>
      </w:r>
      <w:r w:rsidRPr="00C96DDD">
        <w:rPr>
          <w:i/>
          <w:szCs w:val="22"/>
        </w:rPr>
        <w:t xml:space="preserve"> “PBAC outcome”</w:t>
      </w:r>
    </w:p>
    <w:p w:rsidR="00177963" w:rsidRDefault="00177963">
      <w:pPr>
        <w:widowControl/>
        <w:jc w:val="left"/>
        <w:rPr>
          <w:szCs w:val="22"/>
        </w:rPr>
      </w:pPr>
    </w:p>
    <w:p w:rsidR="0004297B" w:rsidRDefault="0004297B">
      <w:pPr>
        <w:widowControl/>
        <w:jc w:val="left"/>
        <w:rPr>
          <w:szCs w:val="22"/>
        </w:rPr>
      </w:pPr>
    </w:p>
    <w:p w:rsidR="002173A3" w:rsidRPr="009C49D5" w:rsidRDefault="009C49D5" w:rsidP="000A0ABB">
      <w:pPr>
        <w:pStyle w:val="Heading1"/>
      </w:pPr>
      <w:r>
        <w:t>Consideration of the evidence</w:t>
      </w:r>
    </w:p>
    <w:p w:rsidR="0004297B" w:rsidRDefault="0004297B">
      <w:pPr>
        <w:widowControl/>
        <w:jc w:val="left"/>
        <w:rPr>
          <w:bCs/>
          <w:szCs w:val="22"/>
        </w:rPr>
      </w:pPr>
    </w:p>
    <w:p w:rsidR="00C96DDD" w:rsidRPr="00C96DDD" w:rsidRDefault="00C96DDD" w:rsidP="00C96DDD">
      <w:pPr>
        <w:rPr>
          <w:b/>
          <w:i/>
          <w:szCs w:val="22"/>
        </w:rPr>
      </w:pPr>
      <w:r w:rsidRPr="00C96DDD">
        <w:rPr>
          <w:b/>
          <w:i/>
          <w:szCs w:val="22"/>
        </w:rPr>
        <w:t>Sponsor hearing</w:t>
      </w:r>
    </w:p>
    <w:p w:rsidR="00C96DDD" w:rsidRDefault="00C96DDD" w:rsidP="00C96DDD">
      <w:pPr>
        <w:widowControl/>
        <w:jc w:val="left"/>
        <w:rPr>
          <w:szCs w:val="22"/>
        </w:rPr>
      </w:pPr>
    </w:p>
    <w:p w:rsidR="00C96DDD" w:rsidRPr="00C96DDD" w:rsidRDefault="00C96DDD" w:rsidP="00C96DDD">
      <w:pPr>
        <w:pStyle w:val="ListParagraph"/>
        <w:widowControl/>
        <w:numPr>
          <w:ilvl w:val="1"/>
          <w:numId w:val="1"/>
        </w:numPr>
        <w:jc w:val="left"/>
        <w:rPr>
          <w:szCs w:val="22"/>
        </w:rPr>
      </w:pPr>
      <w:r w:rsidRPr="00C96DDD">
        <w:rPr>
          <w:szCs w:val="22"/>
        </w:rPr>
        <w:t>There was no hearing for this item as it was a minor submission.</w:t>
      </w:r>
    </w:p>
    <w:p w:rsidR="00C96DDD" w:rsidRPr="00C96DDD" w:rsidRDefault="00C96DDD" w:rsidP="00C96DDD">
      <w:pPr>
        <w:widowControl/>
        <w:jc w:val="left"/>
        <w:rPr>
          <w:szCs w:val="22"/>
        </w:rPr>
      </w:pPr>
    </w:p>
    <w:p w:rsidR="00C96DDD" w:rsidRPr="00C96DDD" w:rsidRDefault="00C96DDD" w:rsidP="00C96DDD">
      <w:pPr>
        <w:rPr>
          <w:b/>
          <w:i/>
          <w:szCs w:val="22"/>
        </w:rPr>
      </w:pPr>
      <w:r w:rsidRPr="00C96DDD">
        <w:rPr>
          <w:b/>
          <w:i/>
          <w:szCs w:val="22"/>
        </w:rPr>
        <w:t>Consumer comments</w:t>
      </w:r>
    </w:p>
    <w:p w:rsidR="00C96DDD" w:rsidRDefault="00C96DDD" w:rsidP="00C96DDD">
      <w:pPr>
        <w:widowControl/>
        <w:jc w:val="left"/>
        <w:rPr>
          <w:szCs w:val="22"/>
        </w:rPr>
      </w:pPr>
    </w:p>
    <w:p w:rsidR="00C96DDD" w:rsidRPr="00C96DDD" w:rsidRDefault="00C96DDD" w:rsidP="00A40FBD">
      <w:pPr>
        <w:pStyle w:val="ListParagraph"/>
        <w:widowControl/>
        <w:numPr>
          <w:ilvl w:val="1"/>
          <w:numId w:val="1"/>
        </w:numPr>
        <w:rPr>
          <w:szCs w:val="22"/>
        </w:rPr>
      </w:pPr>
      <w:r w:rsidRPr="00C96DDD">
        <w:rPr>
          <w:szCs w:val="22"/>
        </w:rPr>
        <w:t>The PBAC noted and welcomed the input from individuals (1) and organisations (1) via the Consumer Comments facility on the PBS website.  The comments noted that there are only two medicines for idiopathic pulmonary fibrosis, pirfenidone and nintedanib; for the patients who cannot tolerate nintedanib, pirfenidone is the only option available.</w:t>
      </w:r>
    </w:p>
    <w:p w:rsidR="00C96DDD" w:rsidRDefault="00C96DDD" w:rsidP="00C96DDD">
      <w:pPr>
        <w:widowControl/>
        <w:jc w:val="left"/>
        <w:rPr>
          <w:szCs w:val="22"/>
        </w:rPr>
      </w:pPr>
    </w:p>
    <w:p w:rsidR="009C49D5" w:rsidRPr="00882085" w:rsidRDefault="009C49D5" w:rsidP="009C49D5">
      <w:pPr>
        <w:rPr>
          <w:b/>
          <w:i/>
          <w:szCs w:val="22"/>
        </w:rPr>
      </w:pPr>
      <w:r>
        <w:rPr>
          <w:b/>
          <w:i/>
          <w:szCs w:val="22"/>
        </w:rPr>
        <w:t>Clinical trials</w:t>
      </w:r>
    </w:p>
    <w:p w:rsidR="009C49D5" w:rsidRPr="00F9629A" w:rsidRDefault="009C49D5" w:rsidP="009C49D5">
      <w:pPr>
        <w:rPr>
          <w:szCs w:val="22"/>
        </w:rPr>
      </w:pPr>
    </w:p>
    <w:p w:rsidR="009C49D5" w:rsidRDefault="009C49D5" w:rsidP="00714F0E">
      <w:pPr>
        <w:pStyle w:val="ListParagraph"/>
        <w:widowControl/>
        <w:numPr>
          <w:ilvl w:val="1"/>
          <w:numId w:val="1"/>
        </w:numPr>
        <w:rPr>
          <w:szCs w:val="22"/>
        </w:rPr>
      </w:pPr>
      <w:r>
        <w:rPr>
          <w:szCs w:val="22"/>
        </w:rPr>
        <w:t>As a minor submission, no new clinical trials were presented in the minor re</w:t>
      </w:r>
      <w:r w:rsidR="0095767B">
        <w:rPr>
          <w:szCs w:val="22"/>
        </w:rPr>
        <w:noBreakHyphen/>
      </w:r>
      <w:r>
        <w:rPr>
          <w:szCs w:val="22"/>
        </w:rPr>
        <w:t>submission.</w:t>
      </w:r>
    </w:p>
    <w:p w:rsidR="00244C81" w:rsidRDefault="00244C81" w:rsidP="00244C81">
      <w:pPr>
        <w:pStyle w:val="ListParagraph"/>
        <w:widowControl/>
        <w:jc w:val="left"/>
        <w:rPr>
          <w:szCs w:val="22"/>
        </w:rPr>
      </w:pPr>
    </w:p>
    <w:p w:rsidR="00244C81" w:rsidRDefault="00244C81" w:rsidP="00714F0E">
      <w:pPr>
        <w:pStyle w:val="ListParagraph"/>
        <w:widowControl/>
        <w:numPr>
          <w:ilvl w:val="1"/>
          <w:numId w:val="1"/>
        </w:numPr>
        <w:rPr>
          <w:szCs w:val="22"/>
        </w:rPr>
      </w:pPr>
      <w:r>
        <w:rPr>
          <w:szCs w:val="22"/>
        </w:rPr>
        <w:t>The minor submission addressed the matters of concern to the PBAC as per the following table.</w:t>
      </w:r>
    </w:p>
    <w:p w:rsidR="0004297B" w:rsidRDefault="0004297B" w:rsidP="0004297B">
      <w:pPr>
        <w:pStyle w:val="ListParagraph"/>
        <w:widowControl/>
        <w:jc w:val="left"/>
        <w:rPr>
          <w:szCs w:val="22"/>
        </w:rPr>
      </w:pPr>
    </w:p>
    <w:p w:rsidR="00244C81" w:rsidRPr="00DB7B9E" w:rsidRDefault="00244C81" w:rsidP="007730AD">
      <w:pPr>
        <w:keepNext/>
        <w:ind w:firstLine="709"/>
        <w:rPr>
          <w:rFonts w:ascii="Arial Narrow" w:hAnsi="Arial Narrow"/>
          <w:b/>
          <w:sz w:val="20"/>
        </w:rPr>
      </w:pPr>
      <w:r w:rsidRPr="00DB7B9E">
        <w:rPr>
          <w:rFonts w:ascii="Arial Narrow" w:hAnsi="Arial Narrow"/>
          <w:b/>
          <w:sz w:val="20"/>
        </w:rPr>
        <w:t>Table 2: Outstanding matters of concern to the PBAC</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5"/>
        <w:gridCol w:w="4540"/>
      </w:tblGrid>
      <w:tr w:rsidR="00244C81" w:rsidRPr="00ED0F04" w:rsidTr="00E16734">
        <w:trPr>
          <w:trHeight w:val="323"/>
          <w:tblHeader/>
        </w:trPr>
        <w:tc>
          <w:tcPr>
            <w:tcW w:w="2280" w:type="pct"/>
            <w:shd w:val="clear" w:color="auto" w:fill="auto"/>
          </w:tcPr>
          <w:p w:rsidR="00244C81" w:rsidRPr="00ED0F04" w:rsidRDefault="00244C81" w:rsidP="007730AD">
            <w:pPr>
              <w:keepNext/>
              <w:rPr>
                <w:rFonts w:ascii="Arial Narrow" w:hAnsi="Arial Narrow"/>
                <w:b/>
                <w:sz w:val="20"/>
              </w:rPr>
            </w:pPr>
            <w:r w:rsidRPr="00ED0F04">
              <w:rPr>
                <w:rFonts w:ascii="Arial Narrow" w:hAnsi="Arial Narrow"/>
                <w:b/>
                <w:sz w:val="20"/>
              </w:rPr>
              <w:t>Matters of concern</w:t>
            </w:r>
          </w:p>
        </w:tc>
        <w:tc>
          <w:tcPr>
            <w:tcW w:w="2720" w:type="pct"/>
            <w:shd w:val="clear" w:color="auto" w:fill="auto"/>
          </w:tcPr>
          <w:p w:rsidR="00244C81" w:rsidRPr="00ED0F04" w:rsidRDefault="00244C81" w:rsidP="007730AD">
            <w:pPr>
              <w:keepNext/>
              <w:jc w:val="center"/>
              <w:rPr>
                <w:rFonts w:ascii="Arial Narrow" w:hAnsi="Arial Narrow"/>
                <w:b/>
                <w:sz w:val="20"/>
              </w:rPr>
            </w:pPr>
            <w:r w:rsidRPr="00ED0F04">
              <w:rPr>
                <w:rFonts w:ascii="Arial Narrow" w:hAnsi="Arial Narrow"/>
                <w:b/>
                <w:sz w:val="20"/>
              </w:rPr>
              <w:t xml:space="preserve">How the </w:t>
            </w:r>
            <w:r>
              <w:rPr>
                <w:rFonts w:ascii="Arial Narrow" w:hAnsi="Arial Narrow"/>
                <w:b/>
                <w:sz w:val="20"/>
              </w:rPr>
              <w:t xml:space="preserve">minor </w:t>
            </w:r>
            <w:r w:rsidRPr="00ED0F04">
              <w:rPr>
                <w:rFonts w:ascii="Arial Narrow" w:hAnsi="Arial Narrow"/>
                <w:b/>
                <w:sz w:val="20"/>
              </w:rPr>
              <w:t>re-submission addresses it</w:t>
            </w:r>
          </w:p>
        </w:tc>
      </w:tr>
      <w:tr w:rsidR="00244C81" w:rsidRPr="00ED0F04" w:rsidTr="00E16734">
        <w:trPr>
          <w:trHeight w:val="930"/>
        </w:trPr>
        <w:tc>
          <w:tcPr>
            <w:tcW w:w="2280" w:type="pct"/>
            <w:shd w:val="clear" w:color="auto" w:fill="auto"/>
          </w:tcPr>
          <w:p w:rsidR="00244C81" w:rsidRPr="00FC7BF9" w:rsidRDefault="00244C81" w:rsidP="007730AD">
            <w:pPr>
              <w:keepNext/>
              <w:rPr>
                <w:rFonts w:ascii="Arial Narrow" w:hAnsi="Arial Narrow"/>
                <w:sz w:val="20"/>
              </w:rPr>
            </w:pPr>
            <w:r w:rsidRPr="00FC7BF9">
              <w:rPr>
                <w:rFonts w:ascii="Arial Narrow" w:hAnsi="Arial Narrow"/>
                <w:sz w:val="20"/>
              </w:rPr>
              <w:t xml:space="preserve">Inclusion of a continuation rule </w:t>
            </w:r>
          </w:p>
          <w:p w:rsidR="00244C81" w:rsidRPr="005F03E2" w:rsidRDefault="00244C81" w:rsidP="004D7C59">
            <w:pPr>
              <w:keepNext/>
              <w:rPr>
                <w:rFonts w:ascii="Arial Narrow" w:hAnsi="Arial Narrow"/>
                <w:color w:val="3366FF"/>
                <w:sz w:val="20"/>
              </w:rPr>
            </w:pPr>
            <w:r w:rsidRPr="005F03E2">
              <w:rPr>
                <w:rFonts w:ascii="Arial Narrow" w:hAnsi="Arial Narrow"/>
                <w:b/>
                <w:sz w:val="20"/>
              </w:rPr>
              <w:t xml:space="preserve">PBAC Comment (5.12 PBAC </w:t>
            </w:r>
            <w:r w:rsidR="004D7C59">
              <w:rPr>
                <w:rFonts w:ascii="Arial Narrow" w:hAnsi="Arial Narrow"/>
                <w:b/>
                <w:sz w:val="20"/>
              </w:rPr>
              <w:t>PSD</w:t>
            </w:r>
            <w:r w:rsidR="004D7C59" w:rsidRPr="005F03E2">
              <w:rPr>
                <w:rFonts w:ascii="Arial Narrow" w:hAnsi="Arial Narrow"/>
                <w:b/>
                <w:sz w:val="20"/>
              </w:rPr>
              <w:t xml:space="preserve"> </w:t>
            </w:r>
            <w:r w:rsidRPr="005F03E2">
              <w:rPr>
                <w:rFonts w:ascii="Arial Narrow" w:hAnsi="Arial Narrow"/>
                <w:b/>
                <w:sz w:val="20"/>
              </w:rPr>
              <w:t>November 2015, pirfenidone, paragraph 7.5):</w:t>
            </w:r>
            <w:r w:rsidRPr="005F03E2">
              <w:rPr>
                <w:rFonts w:ascii="Arial Narrow" w:hAnsi="Arial Narrow"/>
                <w:sz w:val="20"/>
              </w:rPr>
              <w:t xml:space="preserve">”PBAC considered a future re-submission should explore the likelihood of such a rule proving effective by exploring the numbers of patients who may discontinue treatment based on the clinical trial evidence and the proposed model.” </w:t>
            </w:r>
          </w:p>
        </w:tc>
        <w:tc>
          <w:tcPr>
            <w:tcW w:w="2720" w:type="pct"/>
            <w:shd w:val="clear" w:color="auto" w:fill="auto"/>
          </w:tcPr>
          <w:p w:rsidR="00244C81" w:rsidRPr="002943B3" w:rsidRDefault="00244C81" w:rsidP="007730AD">
            <w:pPr>
              <w:keepNext/>
              <w:rPr>
                <w:rFonts w:ascii="Arial Narrow" w:hAnsi="Arial Narrow"/>
                <w:i/>
                <w:color w:val="3366FF"/>
                <w:sz w:val="20"/>
              </w:rPr>
            </w:pPr>
            <w:r w:rsidRPr="00FC7BF9">
              <w:rPr>
                <w:rFonts w:ascii="Arial Narrow" w:hAnsi="Arial Narrow"/>
                <w:sz w:val="20"/>
              </w:rPr>
              <w:t>The minor re-submission asserts</w:t>
            </w:r>
            <w:r>
              <w:rPr>
                <w:rFonts w:ascii="Arial Narrow" w:hAnsi="Arial Narrow"/>
                <w:sz w:val="20"/>
              </w:rPr>
              <w:t xml:space="preserve"> that the application of any stopping rule for IPF patients treated with pirfenidone is not evidenced based, and that the stopping criteria is unjustifiable as progression with treatment does not constitute treatment failure. The minor re-submission references the Nathan (2015) data which examines outcomes (</w:t>
            </w:r>
            <w:r w:rsidRPr="00FC7BF9">
              <w:rPr>
                <w:rFonts w:ascii="Arial Narrow" w:hAnsi="Arial Narrow"/>
                <w:sz w:val="20"/>
              </w:rPr>
              <w:t>≥10% decline in FVC or death</w:t>
            </w:r>
            <w:r>
              <w:rPr>
                <w:rFonts w:ascii="Arial Narrow" w:hAnsi="Arial Narrow"/>
                <w:sz w:val="20"/>
              </w:rPr>
              <w:t xml:space="preserve">; death; </w:t>
            </w:r>
            <w:r w:rsidRPr="00FC7BF9">
              <w:rPr>
                <w:sz w:val="20"/>
              </w:rPr>
              <w:t>˃</w:t>
            </w:r>
            <w:r w:rsidRPr="00FC7BF9">
              <w:rPr>
                <w:rFonts w:ascii="Arial Narrow" w:hAnsi="Arial Narrow"/>
                <w:sz w:val="20"/>
              </w:rPr>
              <w:t>0% to &lt;10% decline in FVC</w:t>
            </w:r>
            <w:r>
              <w:rPr>
                <w:rFonts w:ascii="Arial Narrow" w:hAnsi="Arial Narrow"/>
                <w:sz w:val="20"/>
              </w:rPr>
              <w:t xml:space="preserve">; and no further decline in FVC) between patients treated with pirfenidone or placebo following a FVC decline </w:t>
            </w:r>
            <w:r w:rsidRPr="00FC7BF9">
              <w:rPr>
                <w:rFonts w:ascii="Arial Narrow" w:hAnsi="Arial Narrow"/>
                <w:sz w:val="20"/>
              </w:rPr>
              <w:t>≥10%</w:t>
            </w:r>
            <w:r>
              <w:rPr>
                <w:rFonts w:ascii="Arial Narrow" w:hAnsi="Arial Narrow"/>
                <w:sz w:val="20"/>
              </w:rPr>
              <w:t xml:space="preserve">. The submission asserts that this data shows that continued pirfenidone treatment significantly reduced the risk of death and increased disease stabilisation compared with placebo patients. </w:t>
            </w:r>
            <w:r>
              <w:rPr>
                <w:rFonts w:ascii="Arial Narrow" w:hAnsi="Arial Narrow"/>
                <w:i/>
                <w:sz w:val="20"/>
              </w:rPr>
              <w:t xml:space="preserve">The sponsor has not made any attempt to explore the number of patients who may discontinue treatment based on the clinical trial evidence and the proposed model. </w:t>
            </w:r>
          </w:p>
        </w:tc>
      </w:tr>
      <w:tr w:rsidR="00244C81" w:rsidRPr="00ED0F04" w:rsidTr="00E16734">
        <w:trPr>
          <w:trHeight w:val="930"/>
        </w:trPr>
        <w:tc>
          <w:tcPr>
            <w:tcW w:w="2280" w:type="pct"/>
            <w:shd w:val="clear" w:color="auto" w:fill="auto"/>
          </w:tcPr>
          <w:p w:rsidR="00244C81" w:rsidRPr="005F03E2" w:rsidRDefault="00244C81" w:rsidP="00E16734">
            <w:pPr>
              <w:rPr>
                <w:rFonts w:ascii="Arial Narrow" w:hAnsi="Arial Narrow"/>
                <w:sz w:val="20"/>
              </w:rPr>
            </w:pPr>
            <w:r w:rsidRPr="005F03E2">
              <w:rPr>
                <w:rFonts w:ascii="Arial Narrow" w:hAnsi="Arial Narrow"/>
                <w:sz w:val="20"/>
              </w:rPr>
              <w:t>OS extrapolation associated with BSC</w:t>
            </w:r>
          </w:p>
          <w:p w:rsidR="00244C81" w:rsidRPr="005F03E2" w:rsidRDefault="00244C81" w:rsidP="00BC3507">
            <w:pPr>
              <w:rPr>
                <w:rFonts w:ascii="Arial Narrow" w:hAnsi="Arial Narrow"/>
                <w:sz w:val="20"/>
              </w:rPr>
            </w:pPr>
            <w:r w:rsidRPr="005F03E2">
              <w:rPr>
                <w:rFonts w:ascii="Arial Narrow" w:hAnsi="Arial Narrow"/>
                <w:b/>
                <w:sz w:val="20"/>
              </w:rPr>
              <w:t xml:space="preserve">PBAC Comment (5.12 PBAC </w:t>
            </w:r>
            <w:r w:rsidR="00BC3507">
              <w:rPr>
                <w:rFonts w:ascii="Arial Narrow" w:hAnsi="Arial Narrow"/>
                <w:b/>
                <w:sz w:val="20"/>
              </w:rPr>
              <w:t>PSD</w:t>
            </w:r>
            <w:r w:rsidR="00BC3507" w:rsidRPr="005F03E2">
              <w:rPr>
                <w:rFonts w:ascii="Arial Narrow" w:hAnsi="Arial Narrow"/>
                <w:b/>
                <w:sz w:val="20"/>
              </w:rPr>
              <w:t xml:space="preserve"> </w:t>
            </w:r>
            <w:r w:rsidRPr="005F03E2">
              <w:rPr>
                <w:rFonts w:ascii="Arial Narrow" w:hAnsi="Arial Narrow"/>
                <w:b/>
                <w:sz w:val="20"/>
              </w:rPr>
              <w:t xml:space="preserve">November 2015, pirfenidone, paragraph 7.16): </w:t>
            </w:r>
            <w:r w:rsidRPr="005F03E2">
              <w:rPr>
                <w:rFonts w:ascii="Arial Narrow" w:hAnsi="Arial Narrow"/>
                <w:sz w:val="20"/>
              </w:rPr>
              <w:t xml:space="preserve">”The PBAC was particularly concerned that the model  was sensitive to the use of this historical data [Strand] to extrapolate OS in the BSC arm and that the Strand data may have underestimated BSC compared with BSC in the trials, therefore over-estimating the benefit from pirfenidone” </w:t>
            </w:r>
          </w:p>
        </w:tc>
        <w:tc>
          <w:tcPr>
            <w:tcW w:w="2720" w:type="pct"/>
            <w:shd w:val="clear" w:color="auto" w:fill="auto"/>
          </w:tcPr>
          <w:p w:rsidR="00244C81" w:rsidRPr="00D65670" w:rsidRDefault="00244C81" w:rsidP="007730AD">
            <w:pPr>
              <w:rPr>
                <w:rFonts w:ascii="Arial Narrow" w:hAnsi="Arial Narrow"/>
                <w:i/>
                <w:sz w:val="20"/>
              </w:rPr>
            </w:pPr>
            <w:r>
              <w:rPr>
                <w:rFonts w:ascii="Arial Narrow" w:hAnsi="Arial Narrow"/>
                <w:sz w:val="20"/>
              </w:rPr>
              <w:t xml:space="preserve">The minor re-submission made reference to patient level data from two different </w:t>
            </w:r>
            <w:r w:rsidR="00A53486">
              <w:rPr>
                <w:rFonts w:ascii="Arial Narrow" w:hAnsi="Arial Narrow"/>
                <w:sz w:val="20"/>
              </w:rPr>
              <w:t>registries</w:t>
            </w:r>
            <w:r>
              <w:rPr>
                <w:rFonts w:ascii="Arial Narrow" w:hAnsi="Arial Narrow"/>
                <w:sz w:val="20"/>
              </w:rPr>
              <w:t xml:space="preserve"> enrolling patients with IPF (Lung Fibrosis Clinic at the University of Edinburgh (UK) and the Inova Fairfax Hospital in Virginia (USA)) and compared the patient demograph</w:t>
            </w:r>
            <w:r w:rsidR="00FB661C">
              <w:rPr>
                <w:rFonts w:ascii="Arial Narrow" w:hAnsi="Arial Narrow"/>
                <w:sz w:val="20"/>
              </w:rPr>
              <w:t>ic</w:t>
            </w:r>
            <w:r>
              <w:rPr>
                <w:rFonts w:ascii="Arial Narrow" w:hAnsi="Arial Narrow"/>
                <w:sz w:val="20"/>
              </w:rPr>
              <w:t>s and disease characteristics from the registries with the Strand data and the pooled BSC arms of the ASCEND and CAPACITY trials . The submission also presented a Kaplan-Meier estimate of the comparison between strand and the two regist</w:t>
            </w:r>
            <w:r w:rsidRPr="00AD2223">
              <w:rPr>
                <w:rFonts w:ascii="Arial Narrow" w:hAnsi="Arial Narrow"/>
                <w:sz w:val="20"/>
              </w:rPr>
              <w:t>ries.</w:t>
            </w:r>
          </w:p>
        </w:tc>
      </w:tr>
      <w:tr w:rsidR="00244C81" w:rsidRPr="00ED0F04" w:rsidTr="00E16734">
        <w:trPr>
          <w:trHeight w:val="930"/>
        </w:trPr>
        <w:tc>
          <w:tcPr>
            <w:tcW w:w="2280" w:type="pct"/>
            <w:shd w:val="clear" w:color="auto" w:fill="auto"/>
          </w:tcPr>
          <w:p w:rsidR="00244C81" w:rsidRPr="005F03E2" w:rsidRDefault="00244C81" w:rsidP="00E16734">
            <w:pPr>
              <w:rPr>
                <w:rFonts w:ascii="Arial Narrow" w:hAnsi="Arial Narrow"/>
                <w:sz w:val="20"/>
              </w:rPr>
            </w:pPr>
            <w:r w:rsidRPr="005F03E2">
              <w:rPr>
                <w:rFonts w:ascii="Arial Narrow" w:hAnsi="Arial Narrow"/>
                <w:sz w:val="20"/>
              </w:rPr>
              <w:lastRenderedPageBreak/>
              <w:t>Time horizon for the economic evaluation</w:t>
            </w:r>
          </w:p>
          <w:p w:rsidR="00244C81" w:rsidRPr="005F03E2" w:rsidRDefault="00244C81" w:rsidP="00BC3507">
            <w:pPr>
              <w:rPr>
                <w:rFonts w:ascii="Arial Narrow" w:hAnsi="Arial Narrow"/>
                <w:sz w:val="20"/>
              </w:rPr>
            </w:pPr>
            <w:r w:rsidRPr="005F03E2">
              <w:rPr>
                <w:rFonts w:ascii="Arial Narrow" w:hAnsi="Arial Narrow"/>
                <w:b/>
                <w:sz w:val="20"/>
              </w:rPr>
              <w:t xml:space="preserve">PBAC Comment (5.12 PBAC </w:t>
            </w:r>
            <w:r w:rsidR="00BC3507">
              <w:rPr>
                <w:rFonts w:ascii="Arial Narrow" w:hAnsi="Arial Narrow"/>
                <w:b/>
                <w:sz w:val="20"/>
              </w:rPr>
              <w:t>PSD</w:t>
            </w:r>
            <w:r w:rsidR="00BC3507" w:rsidRPr="005F03E2">
              <w:rPr>
                <w:rFonts w:ascii="Arial Narrow" w:hAnsi="Arial Narrow"/>
                <w:b/>
                <w:sz w:val="20"/>
              </w:rPr>
              <w:t xml:space="preserve"> </w:t>
            </w:r>
            <w:r w:rsidRPr="005F03E2">
              <w:rPr>
                <w:rFonts w:ascii="Arial Narrow" w:hAnsi="Arial Narrow"/>
                <w:b/>
                <w:sz w:val="20"/>
              </w:rPr>
              <w:t xml:space="preserve">November 2015, pirfenidone, paragraph 7.15): </w:t>
            </w:r>
            <w:r w:rsidRPr="005F03E2">
              <w:rPr>
                <w:rFonts w:ascii="Arial Narrow" w:hAnsi="Arial Narrow"/>
                <w:sz w:val="20"/>
              </w:rPr>
              <w:t xml:space="preserve">“The 16 year time horizon was considered optimistic in this patient population, and the PBAC noted…a substantial number of patients remained alive at 10 years”. </w:t>
            </w:r>
          </w:p>
        </w:tc>
        <w:tc>
          <w:tcPr>
            <w:tcW w:w="2720" w:type="pct"/>
            <w:shd w:val="clear" w:color="auto" w:fill="auto"/>
          </w:tcPr>
          <w:p w:rsidR="00244C81" w:rsidRPr="00FC7BF9" w:rsidRDefault="00244C81" w:rsidP="00E16734">
            <w:pPr>
              <w:rPr>
                <w:rFonts w:ascii="Arial Narrow" w:hAnsi="Arial Narrow"/>
                <w:sz w:val="20"/>
              </w:rPr>
            </w:pPr>
            <w:r>
              <w:rPr>
                <w:rFonts w:ascii="Arial Narrow" w:hAnsi="Arial Narrow"/>
                <w:sz w:val="20"/>
              </w:rPr>
              <w:t xml:space="preserve">The minor re-submission disagreed with the PBAC’s view that the 16 year time horizon is overly </w:t>
            </w:r>
            <w:r w:rsidR="00FC2344">
              <w:rPr>
                <w:rFonts w:ascii="Arial Narrow" w:hAnsi="Arial Narrow"/>
                <w:sz w:val="20"/>
              </w:rPr>
              <w:t>optimistic</w:t>
            </w:r>
            <w:r>
              <w:rPr>
                <w:rFonts w:ascii="Arial Narrow" w:hAnsi="Arial Narrow"/>
                <w:sz w:val="20"/>
              </w:rPr>
              <w:t xml:space="preserve">, stating that </w:t>
            </w:r>
            <w:r w:rsidR="001778C8">
              <w:rPr>
                <w:rFonts w:ascii="Arial Narrow" w:hAnsi="Arial Narrow"/>
                <w:noProof/>
                <w:color w:val="000000"/>
                <w:sz w:val="20"/>
                <w:highlight w:val="black"/>
              </w:rPr>
              <w:t>''''''</w:t>
            </w:r>
            <w:r>
              <w:rPr>
                <w:rFonts w:ascii="Arial Narrow" w:hAnsi="Arial Narrow"/>
                <w:sz w:val="20"/>
              </w:rPr>
              <w:t>%-</w:t>
            </w:r>
            <w:r w:rsidR="001778C8">
              <w:rPr>
                <w:rFonts w:ascii="Arial Narrow" w:hAnsi="Arial Narrow"/>
                <w:noProof/>
                <w:color w:val="000000"/>
                <w:sz w:val="20"/>
                <w:highlight w:val="black"/>
              </w:rPr>
              <w:t>''''''</w:t>
            </w:r>
            <w:r>
              <w:rPr>
                <w:rFonts w:ascii="Arial Narrow" w:hAnsi="Arial Narrow"/>
                <w:sz w:val="20"/>
              </w:rPr>
              <w:t xml:space="preserve">% of patients were still alive at that point. However, the minor re-submission has presented the 10 year and 16 year time horizons in parallel to enable a comparison between the two. </w:t>
            </w:r>
          </w:p>
        </w:tc>
      </w:tr>
      <w:tr w:rsidR="00244C81" w:rsidRPr="00ED0F04" w:rsidTr="00E16734">
        <w:trPr>
          <w:trHeight w:val="930"/>
        </w:trPr>
        <w:tc>
          <w:tcPr>
            <w:tcW w:w="2280" w:type="pct"/>
            <w:shd w:val="clear" w:color="auto" w:fill="auto"/>
          </w:tcPr>
          <w:p w:rsidR="00244C81" w:rsidRPr="005F03E2" w:rsidRDefault="00244C81" w:rsidP="00E16734">
            <w:pPr>
              <w:rPr>
                <w:rFonts w:ascii="Arial Narrow" w:hAnsi="Arial Narrow"/>
                <w:sz w:val="20"/>
              </w:rPr>
            </w:pPr>
            <w:r w:rsidRPr="005F03E2">
              <w:rPr>
                <w:rFonts w:ascii="Arial Narrow" w:hAnsi="Arial Narrow"/>
                <w:sz w:val="20"/>
              </w:rPr>
              <w:t>Progression health state utility weight</w:t>
            </w:r>
          </w:p>
          <w:p w:rsidR="00244C81" w:rsidRPr="005F03E2" w:rsidRDefault="00244C81" w:rsidP="00D92DBC">
            <w:pPr>
              <w:rPr>
                <w:rFonts w:ascii="Arial Narrow" w:hAnsi="Arial Narrow"/>
                <w:sz w:val="20"/>
              </w:rPr>
            </w:pPr>
            <w:r w:rsidRPr="005F03E2">
              <w:rPr>
                <w:rFonts w:ascii="Arial Narrow" w:hAnsi="Arial Narrow"/>
                <w:b/>
                <w:sz w:val="20"/>
              </w:rPr>
              <w:t xml:space="preserve">PBAC Comment (5.12 PBAC </w:t>
            </w:r>
            <w:r w:rsidR="00D92DBC">
              <w:rPr>
                <w:rFonts w:ascii="Arial Narrow" w:hAnsi="Arial Narrow"/>
                <w:b/>
                <w:sz w:val="20"/>
              </w:rPr>
              <w:t>PSD</w:t>
            </w:r>
            <w:r w:rsidR="00D92DBC" w:rsidRPr="005F03E2">
              <w:rPr>
                <w:rFonts w:ascii="Arial Narrow" w:hAnsi="Arial Narrow"/>
                <w:b/>
                <w:sz w:val="20"/>
              </w:rPr>
              <w:t xml:space="preserve"> </w:t>
            </w:r>
            <w:r w:rsidRPr="005F03E2">
              <w:rPr>
                <w:rFonts w:ascii="Arial Narrow" w:hAnsi="Arial Narrow"/>
                <w:b/>
                <w:sz w:val="20"/>
              </w:rPr>
              <w:t>November 2015, pirfenidone, paragraph 7.1</w:t>
            </w:r>
            <w:r w:rsidR="00D92DBC">
              <w:rPr>
                <w:rFonts w:ascii="Arial Narrow" w:hAnsi="Arial Narrow"/>
                <w:b/>
                <w:sz w:val="20"/>
              </w:rPr>
              <w:t>7</w:t>
            </w:r>
            <w:r w:rsidRPr="005F03E2">
              <w:rPr>
                <w:rFonts w:ascii="Arial Narrow" w:hAnsi="Arial Narrow"/>
                <w:b/>
                <w:sz w:val="20"/>
              </w:rPr>
              <w:t xml:space="preserve">): </w:t>
            </w:r>
            <w:r w:rsidRPr="005F03E2">
              <w:rPr>
                <w:rFonts w:ascii="Arial Narrow" w:hAnsi="Arial Narrow"/>
                <w:sz w:val="20"/>
              </w:rPr>
              <w:t xml:space="preserve">“The PBAC noted the utility values sourced from the literature appeared reasonable, however, given the age of the proposed eligible PBS population they may overstate the utility associated with progression”. </w:t>
            </w:r>
          </w:p>
        </w:tc>
        <w:tc>
          <w:tcPr>
            <w:tcW w:w="2720" w:type="pct"/>
            <w:shd w:val="clear" w:color="auto" w:fill="auto"/>
          </w:tcPr>
          <w:p w:rsidR="00244C81" w:rsidRPr="00FC7BF9" w:rsidRDefault="00244C81" w:rsidP="00E16734">
            <w:pPr>
              <w:rPr>
                <w:rFonts w:ascii="Arial Narrow" w:hAnsi="Arial Narrow"/>
                <w:sz w:val="20"/>
              </w:rPr>
            </w:pPr>
            <w:r>
              <w:rPr>
                <w:rFonts w:ascii="Arial Narrow" w:hAnsi="Arial Narrow"/>
                <w:sz w:val="20"/>
              </w:rPr>
              <w:t xml:space="preserve">The minor re-submission represented data from Section C of the 2015 Major submission for pirfenidone and reiterated its’ claim that the utility value is representative of patients with progressive IPF in the proposed PBS population. The minor-resubmission further stated that the economic evaluation is only somewhat sensitive to the utility weight, and that the sensitivity is reduced further if the time horizon is reduced to the PBAC’s preference of 10 years. </w:t>
            </w:r>
          </w:p>
        </w:tc>
      </w:tr>
      <w:tr w:rsidR="00244C81" w:rsidRPr="00ED0F04" w:rsidTr="00E16734">
        <w:trPr>
          <w:trHeight w:val="930"/>
        </w:trPr>
        <w:tc>
          <w:tcPr>
            <w:tcW w:w="2280" w:type="pct"/>
            <w:shd w:val="clear" w:color="auto" w:fill="auto"/>
          </w:tcPr>
          <w:p w:rsidR="00244C81" w:rsidRPr="005F03E2" w:rsidRDefault="00244C81" w:rsidP="00E16734">
            <w:pPr>
              <w:rPr>
                <w:rFonts w:ascii="Arial Narrow" w:hAnsi="Arial Narrow"/>
                <w:sz w:val="20"/>
              </w:rPr>
            </w:pPr>
            <w:r w:rsidRPr="005F03E2">
              <w:rPr>
                <w:rFonts w:ascii="Arial Narrow" w:hAnsi="Arial Narrow"/>
                <w:sz w:val="20"/>
              </w:rPr>
              <w:t>Price reduction following expiry of five-year data exclusivity period</w:t>
            </w:r>
          </w:p>
          <w:p w:rsidR="00244C81" w:rsidRPr="005F03E2" w:rsidRDefault="00244C81" w:rsidP="00EA4E09">
            <w:pPr>
              <w:rPr>
                <w:rFonts w:ascii="Arial Narrow" w:hAnsi="Arial Narrow"/>
                <w:sz w:val="20"/>
              </w:rPr>
            </w:pPr>
            <w:r w:rsidRPr="005F03E2">
              <w:rPr>
                <w:rFonts w:ascii="Arial Narrow" w:hAnsi="Arial Narrow"/>
                <w:b/>
                <w:sz w:val="20"/>
              </w:rPr>
              <w:t xml:space="preserve">PBAC Comment (5.12 PBAC </w:t>
            </w:r>
            <w:r w:rsidR="00EA4E09">
              <w:rPr>
                <w:rFonts w:ascii="Arial Narrow" w:hAnsi="Arial Narrow"/>
                <w:b/>
                <w:sz w:val="20"/>
              </w:rPr>
              <w:t>PSD</w:t>
            </w:r>
            <w:r w:rsidR="00EA4E09" w:rsidRPr="005F03E2">
              <w:rPr>
                <w:rFonts w:ascii="Arial Narrow" w:hAnsi="Arial Narrow"/>
                <w:b/>
                <w:sz w:val="20"/>
              </w:rPr>
              <w:t xml:space="preserve"> </w:t>
            </w:r>
            <w:r w:rsidRPr="005F03E2">
              <w:rPr>
                <w:rFonts w:ascii="Arial Narrow" w:hAnsi="Arial Narrow"/>
                <w:b/>
                <w:sz w:val="20"/>
              </w:rPr>
              <w:t xml:space="preserve">November 2015, pirfenidone, paragraph 7.12): </w:t>
            </w:r>
            <w:r w:rsidRPr="005F03E2">
              <w:rPr>
                <w:rFonts w:ascii="Arial Narrow" w:hAnsi="Arial Narrow"/>
                <w:sz w:val="20"/>
              </w:rPr>
              <w:t xml:space="preserve"> “The PBAC did not consider it appropriate to estimate the cost-effectiveness of a medicine for initial PBS listing by including potential future price reductions due to generic competition.  This would not be consistent with previous considerations of ICERs and would create major additional uncertainty in the consideration of cost-effectiveness”. </w:t>
            </w:r>
          </w:p>
        </w:tc>
        <w:tc>
          <w:tcPr>
            <w:tcW w:w="2720" w:type="pct"/>
            <w:shd w:val="clear" w:color="auto" w:fill="auto"/>
          </w:tcPr>
          <w:p w:rsidR="00244C81" w:rsidRPr="00521CCC" w:rsidRDefault="00244C81" w:rsidP="00E16734">
            <w:pPr>
              <w:rPr>
                <w:rFonts w:ascii="Arial Narrow" w:hAnsi="Arial Narrow"/>
                <w:i/>
                <w:sz w:val="20"/>
              </w:rPr>
            </w:pPr>
            <w:r>
              <w:rPr>
                <w:rFonts w:ascii="Arial Narrow" w:hAnsi="Arial Narrow"/>
                <w:sz w:val="20"/>
              </w:rPr>
              <w:t xml:space="preserve">The minor re-submission has not included any future price reductions due to generic competition. The proposed rebate, however, has been increased from </w:t>
            </w:r>
            <w:r w:rsidR="001778C8">
              <w:rPr>
                <w:rFonts w:ascii="Arial Narrow" w:hAnsi="Arial Narrow"/>
                <w:noProof/>
                <w:color w:val="000000"/>
                <w:sz w:val="20"/>
                <w:highlight w:val="black"/>
              </w:rPr>
              <w:t>''''</w:t>
            </w:r>
            <w:r>
              <w:rPr>
                <w:rFonts w:ascii="Arial Narrow" w:hAnsi="Arial Narrow"/>
                <w:sz w:val="20"/>
              </w:rPr>
              <w:t xml:space="preserve">% to </w:t>
            </w:r>
            <w:r w:rsidR="001778C8">
              <w:rPr>
                <w:rFonts w:ascii="Arial Narrow" w:hAnsi="Arial Narrow"/>
                <w:noProof/>
                <w:color w:val="000000"/>
                <w:sz w:val="20"/>
                <w:highlight w:val="black"/>
              </w:rPr>
              <w:t>'''''</w:t>
            </w:r>
            <w:r>
              <w:rPr>
                <w:rFonts w:ascii="Arial Narrow" w:hAnsi="Arial Narrow"/>
                <w:sz w:val="20"/>
              </w:rPr>
              <w:t xml:space="preserve">%. </w:t>
            </w:r>
            <w:r>
              <w:rPr>
                <w:rFonts w:ascii="Arial Narrow" w:hAnsi="Arial Narrow"/>
                <w:i/>
                <w:sz w:val="20"/>
              </w:rPr>
              <w:t xml:space="preserve">This has substantial impact on the ICER and financial estimates, as explored above. </w:t>
            </w:r>
          </w:p>
        </w:tc>
      </w:tr>
    </w:tbl>
    <w:p w:rsidR="00244C81" w:rsidRDefault="00244C81" w:rsidP="00B23859">
      <w:pPr>
        <w:pStyle w:val="ListParagraph"/>
        <w:widowControl/>
        <w:jc w:val="left"/>
        <w:rPr>
          <w:szCs w:val="22"/>
        </w:rPr>
      </w:pPr>
    </w:p>
    <w:p w:rsidR="0004297B" w:rsidRDefault="0004297B" w:rsidP="00B23859">
      <w:pPr>
        <w:pStyle w:val="ListParagraph"/>
        <w:widowControl/>
        <w:jc w:val="left"/>
        <w:rPr>
          <w:szCs w:val="22"/>
        </w:rPr>
      </w:pPr>
    </w:p>
    <w:p w:rsidR="00B23859" w:rsidRPr="00882085" w:rsidRDefault="00B23859" w:rsidP="00DB7B9E">
      <w:pPr>
        <w:keepNext/>
        <w:rPr>
          <w:b/>
          <w:i/>
          <w:szCs w:val="22"/>
        </w:rPr>
      </w:pPr>
      <w:r w:rsidRPr="00882085">
        <w:rPr>
          <w:b/>
          <w:i/>
          <w:szCs w:val="22"/>
        </w:rPr>
        <w:t>Economic analysis</w:t>
      </w:r>
    </w:p>
    <w:p w:rsidR="00B23859" w:rsidRPr="00882085" w:rsidRDefault="00B23859" w:rsidP="00DB7B9E">
      <w:pPr>
        <w:pStyle w:val="NoSpacing"/>
        <w:keepNext/>
      </w:pPr>
    </w:p>
    <w:p w:rsidR="0095767B" w:rsidRPr="0004297B" w:rsidRDefault="0095767B" w:rsidP="00901B99">
      <w:pPr>
        <w:pStyle w:val="ListParagraph"/>
        <w:widowControl/>
        <w:numPr>
          <w:ilvl w:val="1"/>
          <w:numId w:val="1"/>
        </w:numPr>
      </w:pPr>
      <w:r w:rsidRPr="0004297B">
        <w:rPr>
          <w:szCs w:val="22"/>
        </w:rPr>
        <w:t xml:space="preserve">The November 2015 major submission presented a cost-effectiveness analysis against best supportive care.  </w:t>
      </w:r>
      <w:r w:rsidRPr="0004297B">
        <w:t>The minor re-submission recalculated the base case ICER by:</w:t>
      </w:r>
    </w:p>
    <w:p w:rsidR="0095767B" w:rsidRPr="0004297B" w:rsidRDefault="0095767B" w:rsidP="0095767B">
      <w:pPr>
        <w:pStyle w:val="ListParagraph"/>
        <w:widowControl/>
        <w:numPr>
          <w:ilvl w:val="0"/>
          <w:numId w:val="3"/>
        </w:numPr>
        <w:ind w:left="993" w:hanging="284"/>
        <w:jc w:val="left"/>
      </w:pPr>
      <w:r w:rsidRPr="0004297B">
        <w:t>removing the assumed price reduction following expiry of data exclusivity;</w:t>
      </w:r>
    </w:p>
    <w:p w:rsidR="0095767B" w:rsidRPr="0004297B" w:rsidRDefault="0095767B" w:rsidP="0095767B">
      <w:pPr>
        <w:pStyle w:val="ListParagraph"/>
        <w:widowControl/>
        <w:numPr>
          <w:ilvl w:val="0"/>
          <w:numId w:val="3"/>
        </w:numPr>
        <w:ind w:left="993" w:hanging="284"/>
        <w:jc w:val="left"/>
      </w:pPr>
      <w:r w:rsidRPr="0004297B">
        <w:t xml:space="preserve">increasing the proposed rebate from </w:t>
      </w:r>
      <w:r w:rsidR="001778C8">
        <w:rPr>
          <w:noProof/>
          <w:color w:val="000000"/>
          <w:highlight w:val="black"/>
        </w:rPr>
        <w:t>''''</w:t>
      </w:r>
      <w:r w:rsidRPr="0004297B">
        <w:t xml:space="preserve">% to </w:t>
      </w:r>
      <w:r w:rsidR="001778C8">
        <w:rPr>
          <w:noProof/>
          <w:color w:val="000000"/>
          <w:highlight w:val="black"/>
        </w:rPr>
        <w:t>''''''</w:t>
      </w:r>
      <w:r w:rsidRPr="0004297B">
        <w:t xml:space="preserve">%; and </w:t>
      </w:r>
    </w:p>
    <w:p w:rsidR="0095767B" w:rsidRPr="0004297B" w:rsidRDefault="0095767B" w:rsidP="0095767B">
      <w:pPr>
        <w:pStyle w:val="ListParagraph"/>
        <w:widowControl/>
        <w:numPr>
          <w:ilvl w:val="0"/>
          <w:numId w:val="3"/>
        </w:numPr>
        <w:ind w:left="993" w:hanging="284"/>
        <w:jc w:val="left"/>
      </w:pPr>
      <w:r w:rsidRPr="0004297B">
        <w:t>providing the option of a 10 year or 16 year time horizon (the previous model only included the 10 year time horizon).</w:t>
      </w:r>
    </w:p>
    <w:p w:rsidR="0095767B" w:rsidRPr="0004297B" w:rsidRDefault="0095767B" w:rsidP="0095767B">
      <w:pPr>
        <w:pStyle w:val="ListParagraph"/>
        <w:widowControl/>
        <w:rPr>
          <w:szCs w:val="22"/>
        </w:rPr>
      </w:pPr>
    </w:p>
    <w:p w:rsidR="00B23859" w:rsidRPr="0004297B" w:rsidRDefault="0095767B" w:rsidP="0095767B">
      <w:pPr>
        <w:pStyle w:val="ListParagraph"/>
        <w:widowControl/>
        <w:numPr>
          <w:ilvl w:val="1"/>
          <w:numId w:val="1"/>
        </w:numPr>
        <w:rPr>
          <w:szCs w:val="22"/>
        </w:rPr>
      </w:pPr>
      <w:r w:rsidRPr="0004297B">
        <w:rPr>
          <w:szCs w:val="22"/>
        </w:rPr>
        <w:t xml:space="preserve">The re-submission presented a revised ICER of </w:t>
      </w:r>
      <w:r w:rsidR="00AC44AC">
        <w:rPr>
          <w:szCs w:val="22"/>
        </w:rPr>
        <w:t>$45,000/QALY – $75,000/QALY</w:t>
      </w:r>
      <w:r w:rsidRPr="0004297B">
        <w:rPr>
          <w:szCs w:val="22"/>
        </w:rPr>
        <w:t xml:space="preserve"> using a 10 year time horizon and </w:t>
      </w:r>
      <w:r w:rsidR="002F68B1">
        <w:rPr>
          <w:szCs w:val="22"/>
        </w:rPr>
        <w:t>$45,000/QALY -$75,000/QALY</w:t>
      </w:r>
      <w:r w:rsidRPr="0004297B">
        <w:rPr>
          <w:szCs w:val="22"/>
        </w:rPr>
        <w:t xml:space="preserve"> using a 16 year time horizon. </w:t>
      </w:r>
      <w:r w:rsidR="00410E22" w:rsidRPr="0004297B">
        <w:rPr>
          <w:szCs w:val="22"/>
        </w:rPr>
        <w:t xml:space="preserve"> </w:t>
      </w:r>
      <w:r w:rsidR="00B23859" w:rsidRPr="0004297B">
        <w:rPr>
          <w:szCs w:val="22"/>
        </w:rPr>
        <w:t xml:space="preserve">The respecified base case ICER was verified by the </w:t>
      </w:r>
      <w:r w:rsidRPr="0004297B">
        <w:rPr>
          <w:szCs w:val="22"/>
        </w:rPr>
        <w:t>Secretariat</w:t>
      </w:r>
      <w:r w:rsidR="00B23859" w:rsidRPr="0004297B">
        <w:rPr>
          <w:szCs w:val="22"/>
        </w:rPr>
        <w:t>.</w:t>
      </w:r>
    </w:p>
    <w:p w:rsidR="00B23859" w:rsidRDefault="00B23859" w:rsidP="00B23859">
      <w:pPr>
        <w:pStyle w:val="ListParagraph"/>
        <w:widowControl/>
        <w:jc w:val="left"/>
      </w:pPr>
      <w:r>
        <w:t xml:space="preserve"> </w:t>
      </w:r>
    </w:p>
    <w:p w:rsidR="00410E22" w:rsidRPr="00A55FEE" w:rsidRDefault="00410E22" w:rsidP="00410E22">
      <w:pPr>
        <w:ind w:left="720" w:hanging="720"/>
        <w:rPr>
          <w:b/>
          <w:i/>
          <w:szCs w:val="22"/>
        </w:rPr>
      </w:pPr>
      <w:r w:rsidRPr="00A55FEE">
        <w:rPr>
          <w:b/>
          <w:i/>
          <w:szCs w:val="22"/>
        </w:rPr>
        <w:t>Drug c</w:t>
      </w:r>
      <w:r>
        <w:rPr>
          <w:b/>
          <w:i/>
          <w:szCs w:val="22"/>
        </w:rPr>
        <w:t>ost/patient/year: $</w:t>
      </w:r>
      <w:r w:rsidR="001778C8">
        <w:rPr>
          <w:b/>
          <w:i/>
          <w:noProof/>
          <w:color w:val="000000"/>
          <w:szCs w:val="22"/>
          <w:highlight w:val="black"/>
        </w:rPr>
        <w:t>'''''''''''''''''''''</w:t>
      </w:r>
    </w:p>
    <w:p w:rsidR="00410E22" w:rsidRPr="00A55FEE" w:rsidRDefault="00410E22" w:rsidP="00410E22">
      <w:pPr>
        <w:ind w:left="720" w:hanging="720"/>
        <w:rPr>
          <w:b/>
          <w:i/>
          <w:szCs w:val="22"/>
        </w:rPr>
      </w:pPr>
    </w:p>
    <w:p w:rsidR="00410E22" w:rsidRPr="0004297B" w:rsidRDefault="009530CE" w:rsidP="006137B7">
      <w:pPr>
        <w:pStyle w:val="ListParagraph"/>
        <w:widowControl/>
        <w:numPr>
          <w:ilvl w:val="1"/>
          <w:numId w:val="1"/>
        </w:numPr>
        <w:rPr>
          <w:szCs w:val="22"/>
        </w:rPr>
      </w:pPr>
      <w:r w:rsidRPr="0004297B">
        <w:rPr>
          <w:szCs w:val="22"/>
        </w:rPr>
        <w:t xml:space="preserve">The minor re-submission estimated patients would receive </w:t>
      </w:r>
      <w:r w:rsidR="001778C8">
        <w:rPr>
          <w:noProof/>
          <w:color w:val="000000"/>
          <w:szCs w:val="22"/>
          <w:highlight w:val="black"/>
        </w:rPr>
        <w:t>''''''''''''''</w:t>
      </w:r>
      <w:r w:rsidRPr="0004297B">
        <w:rPr>
          <w:szCs w:val="22"/>
        </w:rPr>
        <w:t xml:space="preserve"> scripts per year</w:t>
      </w:r>
      <w:r w:rsidR="00410E22" w:rsidRPr="0004297B">
        <w:rPr>
          <w:szCs w:val="22"/>
        </w:rPr>
        <w:t>.</w:t>
      </w:r>
      <w:r w:rsidRPr="0004297B">
        <w:rPr>
          <w:szCs w:val="22"/>
        </w:rPr>
        <w:t xml:space="preserve"> </w:t>
      </w:r>
      <w:r w:rsidR="00222C18" w:rsidRPr="0004297B">
        <w:rPr>
          <w:szCs w:val="22"/>
        </w:rPr>
        <w:t>Using the weighted DPMQ of $</w:t>
      </w:r>
      <w:r w:rsidR="001778C8">
        <w:rPr>
          <w:noProof/>
          <w:color w:val="000000"/>
          <w:szCs w:val="22"/>
          <w:highlight w:val="black"/>
        </w:rPr>
        <w:t>'''''''''''''''''''''</w:t>
      </w:r>
      <w:r w:rsidR="00222C18" w:rsidRPr="0004297B">
        <w:rPr>
          <w:szCs w:val="22"/>
        </w:rPr>
        <w:t>, the drug cost per patient per year was estimated to be $</w:t>
      </w:r>
      <w:r w:rsidR="001778C8">
        <w:rPr>
          <w:noProof/>
          <w:color w:val="000000"/>
          <w:szCs w:val="22"/>
          <w:highlight w:val="black"/>
        </w:rPr>
        <w:t>''''''''''''''''''''''''''</w:t>
      </w:r>
      <w:r w:rsidR="00222C18" w:rsidRPr="0004297B">
        <w:rPr>
          <w:szCs w:val="22"/>
        </w:rPr>
        <w:t xml:space="preserve">. </w:t>
      </w:r>
      <w:r w:rsidRPr="0004297B">
        <w:rPr>
          <w:szCs w:val="22"/>
        </w:rPr>
        <w:t>As no stopping rule has been included, it is likely that patients will receive treatment for the rest of their life following commencement on pirfenidone.</w:t>
      </w:r>
    </w:p>
    <w:p w:rsidR="00B23859" w:rsidRDefault="00410E22" w:rsidP="00410E22">
      <w:pPr>
        <w:pStyle w:val="ListParagraph"/>
        <w:widowControl/>
        <w:jc w:val="left"/>
      </w:pPr>
      <w:r>
        <w:t xml:space="preserve"> </w:t>
      </w:r>
    </w:p>
    <w:p w:rsidR="009530CE" w:rsidRPr="00882085" w:rsidRDefault="009530CE" w:rsidP="0008598F">
      <w:pPr>
        <w:keepNext/>
        <w:ind w:left="720" w:hanging="720"/>
        <w:rPr>
          <w:b/>
          <w:i/>
          <w:szCs w:val="22"/>
        </w:rPr>
      </w:pPr>
      <w:r w:rsidRPr="00882085">
        <w:rPr>
          <w:b/>
          <w:i/>
          <w:szCs w:val="22"/>
        </w:rPr>
        <w:lastRenderedPageBreak/>
        <w:t>Estimated PBS usage &amp; financial implications</w:t>
      </w:r>
    </w:p>
    <w:p w:rsidR="009530CE" w:rsidRPr="00882085" w:rsidRDefault="009530CE" w:rsidP="0008598F">
      <w:pPr>
        <w:keepNext/>
        <w:ind w:left="720" w:hanging="720"/>
        <w:rPr>
          <w:b/>
          <w:i/>
          <w:szCs w:val="22"/>
        </w:rPr>
      </w:pPr>
    </w:p>
    <w:p w:rsidR="009530CE" w:rsidRPr="00C00DA7" w:rsidRDefault="005C6ED3" w:rsidP="0095767B">
      <w:pPr>
        <w:pStyle w:val="ListParagraph"/>
        <w:widowControl/>
        <w:numPr>
          <w:ilvl w:val="1"/>
          <w:numId w:val="1"/>
        </w:numPr>
        <w:rPr>
          <w:szCs w:val="22"/>
        </w:rPr>
      </w:pPr>
      <w:r>
        <w:rPr>
          <w:szCs w:val="22"/>
        </w:rPr>
        <w:t xml:space="preserve">The minor </w:t>
      </w:r>
      <w:r w:rsidR="009530CE">
        <w:rPr>
          <w:szCs w:val="22"/>
        </w:rPr>
        <w:t>re-submission’s revised financial implications estimated</w:t>
      </w:r>
      <w:r w:rsidR="009530CE" w:rsidRPr="00C00DA7">
        <w:rPr>
          <w:szCs w:val="22"/>
        </w:rPr>
        <w:t xml:space="preserve"> a net cost to the PBS of </w:t>
      </w:r>
      <w:r w:rsidR="009F3477">
        <w:rPr>
          <w:szCs w:val="22"/>
        </w:rPr>
        <w:t>$60</w:t>
      </w:r>
      <w:r w:rsidR="00F14C9A">
        <w:rPr>
          <w:szCs w:val="22"/>
        </w:rPr>
        <w:t xml:space="preserve"> </w:t>
      </w:r>
      <w:r w:rsidR="009F3477">
        <w:rPr>
          <w:szCs w:val="22"/>
        </w:rPr>
        <w:t>-</w:t>
      </w:r>
      <w:r w:rsidR="00F14C9A">
        <w:rPr>
          <w:szCs w:val="22"/>
        </w:rPr>
        <w:t xml:space="preserve"> </w:t>
      </w:r>
      <w:r w:rsidR="009F3477">
        <w:rPr>
          <w:szCs w:val="22"/>
        </w:rPr>
        <w:t>$100 million</w:t>
      </w:r>
      <w:r w:rsidR="00CD1831">
        <w:rPr>
          <w:szCs w:val="22"/>
        </w:rPr>
        <w:t xml:space="preserve"> in </w:t>
      </w:r>
      <w:r w:rsidR="009530CE" w:rsidRPr="00C00DA7">
        <w:rPr>
          <w:szCs w:val="22"/>
        </w:rPr>
        <w:t>Year 5 of listing, with a tot</w:t>
      </w:r>
      <w:r>
        <w:rPr>
          <w:szCs w:val="22"/>
        </w:rPr>
        <w:t xml:space="preserve">al net cost to the PBS of </w:t>
      </w:r>
      <w:r w:rsidR="00C1253B">
        <w:rPr>
          <w:szCs w:val="22"/>
        </w:rPr>
        <w:t>more than $100 million</w:t>
      </w:r>
      <w:r w:rsidR="00CD1831">
        <w:rPr>
          <w:szCs w:val="22"/>
        </w:rPr>
        <w:t xml:space="preserve"> </w:t>
      </w:r>
      <w:r w:rsidR="009530CE" w:rsidRPr="00C00DA7">
        <w:rPr>
          <w:szCs w:val="22"/>
        </w:rPr>
        <w:t xml:space="preserve">over the first 5 years of listing.  This is summarised in the table below </w:t>
      </w:r>
      <w:r w:rsidR="00222C18">
        <w:rPr>
          <w:szCs w:val="22"/>
        </w:rPr>
        <w:t>with</w:t>
      </w:r>
      <w:r w:rsidR="009530CE">
        <w:rPr>
          <w:szCs w:val="22"/>
        </w:rPr>
        <w:t xml:space="preserve"> the expected patient and </w:t>
      </w:r>
      <w:r w:rsidR="009530CE" w:rsidRPr="00C00DA7">
        <w:rPr>
          <w:szCs w:val="22"/>
        </w:rPr>
        <w:t>prescription numbers.</w:t>
      </w:r>
      <w:r w:rsidR="009530CE">
        <w:rPr>
          <w:szCs w:val="22"/>
        </w:rPr>
        <w:t xml:space="preserve"> </w:t>
      </w:r>
      <w:r>
        <w:rPr>
          <w:szCs w:val="22"/>
        </w:rPr>
        <w:t xml:space="preserve">Revised costs from the previous November 2015 submission have been shaded in grey. </w:t>
      </w:r>
    </w:p>
    <w:p w:rsidR="00410E22" w:rsidRDefault="00410E22" w:rsidP="009530CE">
      <w:pPr>
        <w:pStyle w:val="ListParagraph"/>
        <w:widowControl/>
        <w:jc w:val="left"/>
      </w:pPr>
    </w:p>
    <w:p w:rsidR="009530CE" w:rsidRDefault="009530CE" w:rsidP="00222C18">
      <w:pPr>
        <w:keepNext/>
        <w:ind w:firstLine="709"/>
        <w:rPr>
          <w:rStyle w:val="CommentReference"/>
        </w:rPr>
      </w:pPr>
      <w:r w:rsidRPr="001222FC">
        <w:rPr>
          <w:rStyle w:val="CommentReference"/>
        </w:rPr>
        <w:t xml:space="preserve">Table </w:t>
      </w:r>
      <w:r w:rsidR="0008598F">
        <w:rPr>
          <w:rStyle w:val="CommentReference"/>
        </w:rPr>
        <w:t>3</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5"/>
        <w:gridCol w:w="1131"/>
        <w:gridCol w:w="1130"/>
        <w:gridCol w:w="1130"/>
        <w:gridCol w:w="1130"/>
        <w:gridCol w:w="1130"/>
      </w:tblGrid>
      <w:tr w:rsidR="009530CE" w:rsidRPr="002B2E9D" w:rsidTr="005C6ED3">
        <w:trPr>
          <w:tblHeader/>
        </w:trPr>
        <w:tc>
          <w:tcPr>
            <w:tcW w:w="1614" w:type="pct"/>
            <w:shd w:val="clear" w:color="auto" w:fill="auto"/>
            <w:vAlign w:val="center"/>
          </w:tcPr>
          <w:p w:rsidR="009530CE" w:rsidRPr="005C6ED3" w:rsidRDefault="009530CE" w:rsidP="00222C18">
            <w:pPr>
              <w:keepNext/>
              <w:tabs>
                <w:tab w:val="left" w:pos="142"/>
              </w:tabs>
              <w:jc w:val="left"/>
              <w:rPr>
                <w:rFonts w:ascii="Arial Narrow" w:hAnsi="Arial Narrow"/>
                <w:b/>
                <w:sz w:val="20"/>
              </w:rPr>
            </w:pPr>
          </w:p>
        </w:tc>
        <w:tc>
          <w:tcPr>
            <w:tcW w:w="677" w:type="pct"/>
            <w:shd w:val="clear" w:color="auto" w:fill="auto"/>
            <w:vAlign w:val="center"/>
          </w:tcPr>
          <w:p w:rsidR="009530CE" w:rsidRPr="005C6ED3" w:rsidRDefault="009530CE" w:rsidP="00222C18">
            <w:pPr>
              <w:keepNext/>
              <w:jc w:val="center"/>
              <w:rPr>
                <w:rFonts w:ascii="Arial Narrow" w:hAnsi="Arial Narrow"/>
                <w:b/>
                <w:sz w:val="20"/>
              </w:rPr>
            </w:pPr>
            <w:r w:rsidRPr="005C6ED3">
              <w:rPr>
                <w:rFonts w:ascii="Arial Narrow" w:hAnsi="Arial Narrow"/>
                <w:b/>
                <w:sz w:val="20"/>
              </w:rPr>
              <w:t>Year 1</w:t>
            </w:r>
          </w:p>
        </w:tc>
        <w:tc>
          <w:tcPr>
            <w:tcW w:w="677" w:type="pct"/>
            <w:shd w:val="clear" w:color="auto" w:fill="auto"/>
            <w:vAlign w:val="center"/>
          </w:tcPr>
          <w:p w:rsidR="009530CE" w:rsidRPr="005C6ED3" w:rsidRDefault="009530CE" w:rsidP="00222C18">
            <w:pPr>
              <w:keepNext/>
              <w:jc w:val="center"/>
              <w:rPr>
                <w:rFonts w:ascii="Arial Narrow" w:hAnsi="Arial Narrow"/>
                <w:b/>
                <w:sz w:val="20"/>
              </w:rPr>
            </w:pPr>
            <w:r w:rsidRPr="005C6ED3">
              <w:rPr>
                <w:rFonts w:ascii="Arial Narrow" w:hAnsi="Arial Narrow"/>
                <w:b/>
                <w:sz w:val="20"/>
              </w:rPr>
              <w:t>Year 2</w:t>
            </w:r>
          </w:p>
        </w:tc>
        <w:tc>
          <w:tcPr>
            <w:tcW w:w="677" w:type="pct"/>
            <w:shd w:val="clear" w:color="auto" w:fill="auto"/>
            <w:vAlign w:val="center"/>
          </w:tcPr>
          <w:p w:rsidR="009530CE" w:rsidRPr="005C6ED3" w:rsidRDefault="009530CE" w:rsidP="00222C18">
            <w:pPr>
              <w:keepNext/>
              <w:jc w:val="center"/>
              <w:rPr>
                <w:rFonts w:ascii="Arial Narrow" w:hAnsi="Arial Narrow"/>
                <w:b/>
                <w:sz w:val="20"/>
              </w:rPr>
            </w:pPr>
            <w:r w:rsidRPr="005C6ED3">
              <w:rPr>
                <w:rFonts w:ascii="Arial Narrow" w:hAnsi="Arial Narrow"/>
                <w:b/>
                <w:sz w:val="20"/>
              </w:rPr>
              <w:t>Year 3</w:t>
            </w:r>
          </w:p>
        </w:tc>
        <w:tc>
          <w:tcPr>
            <w:tcW w:w="677" w:type="pct"/>
            <w:shd w:val="clear" w:color="auto" w:fill="auto"/>
            <w:vAlign w:val="center"/>
          </w:tcPr>
          <w:p w:rsidR="009530CE" w:rsidRPr="005C6ED3" w:rsidRDefault="009530CE" w:rsidP="00222C18">
            <w:pPr>
              <w:keepNext/>
              <w:jc w:val="center"/>
              <w:rPr>
                <w:rFonts w:ascii="Arial Narrow" w:hAnsi="Arial Narrow"/>
                <w:b/>
                <w:sz w:val="20"/>
              </w:rPr>
            </w:pPr>
            <w:r w:rsidRPr="005C6ED3">
              <w:rPr>
                <w:rFonts w:ascii="Arial Narrow" w:hAnsi="Arial Narrow"/>
                <w:b/>
                <w:sz w:val="20"/>
              </w:rPr>
              <w:t>Year 4</w:t>
            </w:r>
          </w:p>
        </w:tc>
        <w:tc>
          <w:tcPr>
            <w:tcW w:w="677" w:type="pct"/>
            <w:shd w:val="clear" w:color="auto" w:fill="auto"/>
            <w:vAlign w:val="center"/>
          </w:tcPr>
          <w:p w:rsidR="009530CE" w:rsidRPr="005C6ED3" w:rsidRDefault="009530CE" w:rsidP="00222C18">
            <w:pPr>
              <w:keepNext/>
              <w:jc w:val="center"/>
              <w:rPr>
                <w:rFonts w:ascii="Arial Narrow" w:hAnsi="Arial Narrow"/>
                <w:b/>
                <w:sz w:val="20"/>
              </w:rPr>
            </w:pPr>
            <w:r w:rsidRPr="005C6ED3">
              <w:rPr>
                <w:rFonts w:ascii="Arial Narrow" w:hAnsi="Arial Narrow"/>
                <w:b/>
                <w:sz w:val="20"/>
              </w:rPr>
              <w:t>Year 5</w:t>
            </w:r>
          </w:p>
        </w:tc>
      </w:tr>
      <w:tr w:rsidR="009530CE" w:rsidRPr="002B2E9D" w:rsidTr="005C6ED3">
        <w:tc>
          <w:tcPr>
            <w:tcW w:w="1614" w:type="pct"/>
            <w:shd w:val="clear" w:color="auto" w:fill="auto"/>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Incident IPF population</w:t>
            </w:r>
          </w:p>
        </w:tc>
        <w:tc>
          <w:tcPr>
            <w:tcW w:w="677" w:type="pct"/>
            <w:shd w:val="clear" w:color="auto" w:fill="auto"/>
            <w:vAlign w:val="center"/>
          </w:tcPr>
          <w:p w:rsidR="009530CE" w:rsidRPr="001778C8" w:rsidRDefault="001778C8" w:rsidP="00222C18">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r>
      <w:tr w:rsidR="009530CE" w:rsidRPr="002B2E9D" w:rsidTr="005C6ED3">
        <w:tc>
          <w:tcPr>
            <w:tcW w:w="1614" w:type="pct"/>
            <w:shd w:val="clear" w:color="auto" w:fill="auto"/>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Patients treated with pirfenidone</w:t>
            </w:r>
          </w:p>
        </w:tc>
        <w:tc>
          <w:tcPr>
            <w:tcW w:w="677" w:type="pct"/>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9530CE" w:rsidRPr="002B2E9D" w:rsidTr="005C6ED3">
        <w:tc>
          <w:tcPr>
            <w:tcW w:w="1614" w:type="pct"/>
            <w:tcBorders>
              <w:bottom w:val="double" w:sz="4" w:space="0" w:color="auto"/>
            </w:tcBorders>
            <w:shd w:val="clear" w:color="auto" w:fill="auto"/>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Pirfenidone packs</w:t>
            </w:r>
          </w:p>
        </w:tc>
        <w:tc>
          <w:tcPr>
            <w:tcW w:w="677" w:type="pct"/>
            <w:tcBorders>
              <w:bottom w:val="double" w:sz="4" w:space="0" w:color="auto"/>
            </w:tcBorders>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9530CE" w:rsidRPr="001778C8" w:rsidRDefault="001778C8" w:rsidP="00222C18">
            <w:pPr>
              <w:keepNext/>
              <w:jc w:val="center"/>
              <w:rPr>
                <w:rFonts w:ascii="Arial Narrow" w:hAnsi="Arial Narrow"/>
                <w:bCs/>
                <w:sz w:val="20"/>
                <w:highlight w:val="black"/>
              </w:rPr>
            </w:pPr>
            <w:r>
              <w:rPr>
                <w:rFonts w:ascii="Arial Narrow" w:hAnsi="Arial Narrow" w:cs="Calibri"/>
                <w:noProof/>
                <w:color w:val="000000"/>
                <w:sz w:val="20"/>
                <w:highlight w:val="black"/>
              </w:rPr>
              <w:t>'''''''''''''''''</w:t>
            </w:r>
          </w:p>
        </w:tc>
      </w:tr>
      <w:tr w:rsidR="009530CE" w:rsidRPr="002B2E9D" w:rsidTr="005C6ED3">
        <w:tc>
          <w:tcPr>
            <w:tcW w:w="1614" w:type="pct"/>
            <w:tcBorders>
              <w:top w:val="double" w:sz="4" w:space="0" w:color="auto"/>
            </w:tcBorders>
            <w:shd w:val="clear" w:color="auto" w:fill="D9D9D9" w:themeFill="background1" w:themeFillShade="D9"/>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Net costs to PBS/RPBS</w:t>
            </w:r>
            <w:r w:rsidR="005C6ED3">
              <w:rPr>
                <w:rFonts w:ascii="Arial Narrow" w:hAnsi="Arial Narrow"/>
                <w:sz w:val="20"/>
              </w:rPr>
              <w:t>*</w:t>
            </w:r>
          </w:p>
        </w:tc>
        <w:tc>
          <w:tcPr>
            <w:tcW w:w="677" w:type="pct"/>
            <w:tcBorders>
              <w:top w:val="double" w:sz="4" w:space="0" w:color="auto"/>
            </w:tcBorders>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iCs/>
                <w:sz w:val="20"/>
              </w:rPr>
              <w:t>$</w:t>
            </w:r>
            <w:r w:rsidR="001778C8">
              <w:rPr>
                <w:rFonts w:ascii="Arial Narrow" w:hAnsi="Arial Narrow"/>
                <w:iCs/>
                <w:noProof/>
                <w:color w:val="000000"/>
                <w:sz w:val="20"/>
                <w:highlight w:val="black"/>
              </w:rPr>
              <w:t>''''''''''''''''''''''''''</w:t>
            </w:r>
          </w:p>
        </w:tc>
        <w:tc>
          <w:tcPr>
            <w:tcW w:w="677" w:type="pct"/>
            <w:tcBorders>
              <w:top w:val="double" w:sz="4" w:space="0" w:color="auto"/>
            </w:tcBorders>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iCs/>
                <w:sz w:val="20"/>
              </w:rPr>
              <w:t>$</w:t>
            </w:r>
            <w:r w:rsidR="001778C8">
              <w:rPr>
                <w:rFonts w:ascii="Arial Narrow" w:hAnsi="Arial Narrow"/>
                <w:iCs/>
                <w:noProof/>
                <w:color w:val="000000"/>
                <w:sz w:val="20"/>
                <w:highlight w:val="black"/>
              </w:rPr>
              <w:t>''''''''''''''''''''''''''</w:t>
            </w:r>
          </w:p>
        </w:tc>
        <w:tc>
          <w:tcPr>
            <w:tcW w:w="677" w:type="pct"/>
            <w:tcBorders>
              <w:top w:val="double" w:sz="4" w:space="0" w:color="auto"/>
            </w:tcBorders>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iCs/>
                <w:sz w:val="20"/>
              </w:rPr>
              <w:t>$</w:t>
            </w:r>
            <w:r w:rsidR="001778C8">
              <w:rPr>
                <w:rFonts w:ascii="Arial Narrow" w:hAnsi="Arial Narrow"/>
                <w:iCs/>
                <w:noProof/>
                <w:color w:val="000000"/>
                <w:sz w:val="20"/>
                <w:highlight w:val="black"/>
              </w:rPr>
              <w:t>''''''''''''''''''''''''</w:t>
            </w:r>
          </w:p>
        </w:tc>
        <w:tc>
          <w:tcPr>
            <w:tcW w:w="677" w:type="pct"/>
            <w:tcBorders>
              <w:top w:val="double" w:sz="4" w:space="0" w:color="auto"/>
            </w:tcBorders>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iCs/>
                <w:sz w:val="20"/>
              </w:rPr>
              <w:t>$</w:t>
            </w:r>
            <w:r w:rsidR="001778C8">
              <w:rPr>
                <w:rFonts w:ascii="Arial Narrow" w:hAnsi="Arial Narrow"/>
                <w:iCs/>
                <w:noProof/>
                <w:color w:val="000000"/>
                <w:sz w:val="20"/>
                <w:highlight w:val="black"/>
              </w:rPr>
              <w:t>'''''''''''''''''''''''''</w:t>
            </w:r>
          </w:p>
        </w:tc>
        <w:tc>
          <w:tcPr>
            <w:tcW w:w="677" w:type="pct"/>
            <w:tcBorders>
              <w:top w:val="double" w:sz="4" w:space="0" w:color="auto"/>
            </w:tcBorders>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iCs/>
                <w:sz w:val="20"/>
              </w:rPr>
              <w:t>$</w:t>
            </w:r>
            <w:r w:rsidR="001778C8">
              <w:rPr>
                <w:rFonts w:ascii="Arial Narrow" w:hAnsi="Arial Narrow"/>
                <w:iCs/>
                <w:noProof/>
                <w:color w:val="000000"/>
                <w:sz w:val="20"/>
                <w:highlight w:val="black"/>
              </w:rPr>
              <w:t>''''''''''''''''''''''''''''</w:t>
            </w:r>
          </w:p>
        </w:tc>
      </w:tr>
      <w:tr w:rsidR="009530CE" w:rsidRPr="002B2E9D" w:rsidTr="005C6ED3">
        <w:tc>
          <w:tcPr>
            <w:tcW w:w="1614" w:type="pct"/>
            <w:shd w:val="clear" w:color="auto" w:fill="auto"/>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Net costs to MBS</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sz w:val="20"/>
              </w:rPr>
              <w:t>$</w:t>
            </w:r>
            <w:r w:rsidR="001778C8">
              <w:rPr>
                <w:rFonts w:ascii="Arial Narrow" w:hAnsi="Arial Narrow"/>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sz w:val="20"/>
              </w:rPr>
              <w:t>$</w:t>
            </w:r>
            <w:r w:rsidR="001778C8">
              <w:rPr>
                <w:rFonts w:ascii="Arial Narrow" w:hAnsi="Arial Narrow"/>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sz w:val="20"/>
              </w:rPr>
              <w:t>$</w:t>
            </w:r>
            <w:r w:rsidR="001778C8">
              <w:rPr>
                <w:rFonts w:ascii="Arial Narrow" w:hAnsi="Arial Narrow"/>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sz w:val="20"/>
              </w:rPr>
              <w:t>$</w:t>
            </w:r>
            <w:r w:rsidR="001778C8">
              <w:rPr>
                <w:rFonts w:ascii="Arial Narrow" w:hAnsi="Arial Narrow"/>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sz w:val="20"/>
              </w:rPr>
              <w:t>$</w:t>
            </w:r>
            <w:r w:rsidR="001778C8">
              <w:rPr>
                <w:rFonts w:ascii="Arial Narrow" w:hAnsi="Arial Narrow"/>
                <w:noProof/>
                <w:color w:val="000000"/>
                <w:sz w:val="20"/>
                <w:highlight w:val="black"/>
              </w:rPr>
              <w:t>'''''''''''''''''</w:t>
            </w:r>
          </w:p>
        </w:tc>
      </w:tr>
      <w:tr w:rsidR="009530CE" w:rsidRPr="002B2E9D" w:rsidTr="005C6ED3">
        <w:tc>
          <w:tcPr>
            <w:tcW w:w="1614" w:type="pct"/>
            <w:shd w:val="clear" w:color="auto" w:fill="auto"/>
            <w:vAlign w:val="center"/>
          </w:tcPr>
          <w:p w:rsidR="009530CE" w:rsidRPr="005C6ED3" w:rsidRDefault="009530CE" w:rsidP="00222C18">
            <w:pPr>
              <w:keepNext/>
              <w:tabs>
                <w:tab w:val="left" w:pos="142"/>
              </w:tabs>
              <w:jc w:val="left"/>
              <w:rPr>
                <w:rFonts w:ascii="Arial Narrow" w:hAnsi="Arial Narrow"/>
                <w:sz w:val="20"/>
              </w:rPr>
            </w:pPr>
            <w:r w:rsidRPr="005C6ED3">
              <w:rPr>
                <w:rFonts w:ascii="Arial Narrow" w:hAnsi="Arial Narrow"/>
                <w:sz w:val="20"/>
              </w:rPr>
              <w:t>Net savings to state and territory governments</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bCs/>
                <w:sz w:val="20"/>
              </w:rPr>
              <w:t>$</w:t>
            </w:r>
            <w:r w:rsidR="001778C8">
              <w:rPr>
                <w:rFonts w:ascii="Arial Narrow" w:hAnsi="Arial Narrow"/>
                <w:bCs/>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bCs/>
                <w:sz w:val="20"/>
              </w:rPr>
              <w:t>$</w:t>
            </w:r>
            <w:r w:rsidR="001778C8">
              <w:rPr>
                <w:rFonts w:ascii="Arial Narrow" w:hAnsi="Arial Narrow"/>
                <w:bCs/>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bCs/>
                <w:sz w:val="20"/>
              </w:rPr>
              <w:t>$</w:t>
            </w:r>
            <w:r w:rsidR="001778C8">
              <w:rPr>
                <w:rFonts w:ascii="Arial Narrow" w:hAnsi="Arial Narrow"/>
                <w:bCs/>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bCs/>
                <w:sz w:val="20"/>
              </w:rPr>
              <w:t>$</w:t>
            </w:r>
            <w:r w:rsidR="001778C8">
              <w:rPr>
                <w:rFonts w:ascii="Arial Narrow" w:hAnsi="Arial Narrow"/>
                <w:bCs/>
                <w:noProof/>
                <w:color w:val="000000"/>
                <w:sz w:val="20"/>
                <w:highlight w:val="black"/>
              </w:rPr>
              <w:t>''''''''''''''''''''''''</w:t>
            </w:r>
          </w:p>
        </w:tc>
        <w:tc>
          <w:tcPr>
            <w:tcW w:w="677" w:type="pct"/>
            <w:shd w:val="clear" w:color="auto" w:fill="auto"/>
            <w:vAlign w:val="center"/>
          </w:tcPr>
          <w:p w:rsidR="009530CE" w:rsidRPr="005C6ED3" w:rsidRDefault="009530CE" w:rsidP="00222C18">
            <w:pPr>
              <w:keepNext/>
              <w:jc w:val="center"/>
              <w:rPr>
                <w:rFonts w:ascii="Arial Narrow" w:hAnsi="Arial Narrow"/>
                <w:b/>
                <w:bCs/>
                <w:sz w:val="20"/>
              </w:rPr>
            </w:pPr>
            <w:r w:rsidRPr="005C6ED3">
              <w:rPr>
                <w:rFonts w:ascii="Arial Narrow" w:hAnsi="Arial Narrow"/>
                <w:bCs/>
                <w:sz w:val="20"/>
              </w:rPr>
              <w:t>$</w:t>
            </w:r>
            <w:r w:rsidR="001778C8">
              <w:rPr>
                <w:rFonts w:ascii="Arial Narrow" w:hAnsi="Arial Narrow"/>
                <w:bCs/>
                <w:noProof/>
                <w:color w:val="000000"/>
                <w:sz w:val="20"/>
                <w:highlight w:val="black"/>
              </w:rPr>
              <w:t>'''''''''''''''''''''''''</w:t>
            </w:r>
          </w:p>
        </w:tc>
      </w:tr>
      <w:tr w:rsidR="009530CE" w:rsidRPr="002B2E9D" w:rsidTr="005C6ED3">
        <w:tc>
          <w:tcPr>
            <w:tcW w:w="1614" w:type="pct"/>
            <w:shd w:val="clear" w:color="auto" w:fill="D9D9D9" w:themeFill="background1" w:themeFillShade="D9"/>
            <w:vAlign w:val="center"/>
          </w:tcPr>
          <w:p w:rsidR="009530CE" w:rsidRPr="005C6ED3" w:rsidRDefault="009530CE" w:rsidP="00222C18">
            <w:pPr>
              <w:keepNext/>
              <w:tabs>
                <w:tab w:val="left" w:pos="142"/>
              </w:tabs>
              <w:jc w:val="left"/>
              <w:rPr>
                <w:rFonts w:ascii="Arial Narrow" w:hAnsi="Arial Narrow"/>
                <w:b/>
                <w:sz w:val="20"/>
              </w:rPr>
            </w:pPr>
            <w:r w:rsidRPr="005C6ED3">
              <w:rPr>
                <w:rFonts w:ascii="Arial Narrow" w:hAnsi="Arial Narrow"/>
                <w:b/>
                <w:sz w:val="20"/>
              </w:rPr>
              <w:t>Overall net cost to government</w:t>
            </w:r>
            <w:r w:rsidR="005C6ED3">
              <w:rPr>
                <w:rFonts w:ascii="Arial Narrow" w:hAnsi="Arial Narrow"/>
                <w:b/>
                <w:sz w:val="20"/>
              </w:rPr>
              <w:t>*</w:t>
            </w:r>
          </w:p>
        </w:tc>
        <w:tc>
          <w:tcPr>
            <w:tcW w:w="677" w:type="pct"/>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b/>
                <w:bCs/>
                <w:iCs/>
                <w:sz w:val="20"/>
              </w:rPr>
              <w:t>$</w:t>
            </w:r>
            <w:r w:rsidR="001778C8">
              <w:rPr>
                <w:rFonts w:ascii="Arial Narrow" w:hAnsi="Arial Narrow"/>
                <w:b/>
                <w:bCs/>
                <w:iCs/>
                <w:noProof/>
                <w:color w:val="000000"/>
                <w:sz w:val="20"/>
                <w:highlight w:val="black"/>
              </w:rPr>
              <w:t>'''''''''''''''''''''''</w:t>
            </w:r>
          </w:p>
        </w:tc>
        <w:tc>
          <w:tcPr>
            <w:tcW w:w="677" w:type="pct"/>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b/>
                <w:bCs/>
                <w:iCs/>
                <w:sz w:val="20"/>
              </w:rPr>
              <w:t>$</w:t>
            </w:r>
            <w:r w:rsidR="001778C8">
              <w:rPr>
                <w:rFonts w:ascii="Arial Narrow" w:hAnsi="Arial Narrow"/>
                <w:b/>
                <w:bCs/>
                <w:iCs/>
                <w:noProof/>
                <w:color w:val="000000"/>
                <w:sz w:val="20"/>
                <w:highlight w:val="black"/>
              </w:rPr>
              <w:t>''''''''''''''''''''</w:t>
            </w:r>
          </w:p>
        </w:tc>
        <w:tc>
          <w:tcPr>
            <w:tcW w:w="677" w:type="pct"/>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b/>
                <w:bCs/>
                <w:iCs/>
                <w:sz w:val="20"/>
              </w:rPr>
              <w:t>$</w:t>
            </w:r>
            <w:r w:rsidR="001778C8">
              <w:rPr>
                <w:rFonts w:ascii="Arial Narrow" w:hAnsi="Arial Narrow"/>
                <w:b/>
                <w:bCs/>
                <w:iCs/>
                <w:noProof/>
                <w:color w:val="000000"/>
                <w:sz w:val="20"/>
                <w:highlight w:val="black"/>
              </w:rPr>
              <w:t>'''''''''''''''''''</w:t>
            </w:r>
          </w:p>
        </w:tc>
        <w:tc>
          <w:tcPr>
            <w:tcW w:w="677" w:type="pct"/>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b/>
                <w:bCs/>
                <w:iCs/>
                <w:sz w:val="20"/>
              </w:rPr>
              <w:t>$</w:t>
            </w:r>
            <w:r w:rsidR="001778C8">
              <w:rPr>
                <w:rFonts w:ascii="Arial Narrow" w:hAnsi="Arial Narrow"/>
                <w:b/>
                <w:bCs/>
                <w:iCs/>
                <w:noProof/>
                <w:color w:val="000000"/>
                <w:sz w:val="20"/>
                <w:highlight w:val="black"/>
              </w:rPr>
              <w:t>'''''''''''''''''''''</w:t>
            </w:r>
          </w:p>
        </w:tc>
        <w:tc>
          <w:tcPr>
            <w:tcW w:w="677" w:type="pct"/>
            <w:shd w:val="clear" w:color="auto" w:fill="D9D9D9" w:themeFill="background1" w:themeFillShade="D9"/>
            <w:vAlign w:val="center"/>
          </w:tcPr>
          <w:p w:rsidR="009530CE" w:rsidRPr="005C6ED3" w:rsidRDefault="005C6ED3" w:rsidP="00222C18">
            <w:pPr>
              <w:keepNext/>
              <w:jc w:val="center"/>
              <w:rPr>
                <w:rFonts w:ascii="Arial Narrow" w:hAnsi="Arial Narrow"/>
                <w:b/>
                <w:bCs/>
                <w:sz w:val="20"/>
              </w:rPr>
            </w:pPr>
            <w:r w:rsidRPr="005C6ED3">
              <w:rPr>
                <w:rFonts w:ascii="Arial Narrow" w:hAnsi="Arial Narrow"/>
                <w:b/>
                <w:bCs/>
                <w:iCs/>
                <w:sz w:val="20"/>
              </w:rPr>
              <w:t>$</w:t>
            </w:r>
            <w:r w:rsidR="001778C8">
              <w:rPr>
                <w:rFonts w:ascii="Arial Narrow" w:hAnsi="Arial Narrow"/>
                <w:b/>
                <w:bCs/>
                <w:iCs/>
                <w:noProof/>
                <w:color w:val="000000"/>
                <w:sz w:val="20"/>
                <w:highlight w:val="black"/>
              </w:rPr>
              <w:t>'''''''''''''''''''''''</w:t>
            </w:r>
          </w:p>
        </w:tc>
      </w:tr>
    </w:tbl>
    <w:p w:rsidR="009530CE" w:rsidRDefault="009530CE" w:rsidP="00222C18">
      <w:pPr>
        <w:pStyle w:val="TableFooter"/>
        <w:keepNext/>
        <w:ind w:firstLine="720"/>
        <w:rPr>
          <w:szCs w:val="18"/>
        </w:rPr>
      </w:pPr>
      <w:r>
        <w:rPr>
          <w:szCs w:val="18"/>
        </w:rPr>
        <w:t>Abbreviations: IPF = idiopathic pulmonary fibrosis</w:t>
      </w:r>
    </w:p>
    <w:p w:rsidR="005C6ED3" w:rsidRDefault="005C6ED3" w:rsidP="00222C18">
      <w:pPr>
        <w:pStyle w:val="TableFooter"/>
        <w:keepNext/>
        <w:ind w:firstLine="720"/>
        <w:rPr>
          <w:szCs w:val="18"/>
        </w:rPr>
      </w:pPr>
      <w:r>
        <w:rPr>
          <w:szCs w:val="18"/>
        </w:rPr>
        <w:t xml:space="preserve">*inclusive of proposed </w:t>
      </w:r>
      <w:r w:rsidR="001778C8">
        <w:rPr>
          <w:noProof/>
          <w:color w:val="000000"/>
          <w:szCs w:val="18"/>
          <w:highlight w:val="black"/>
        </w:rPr>
        <w:t>''''''</w:t>
      </w:r>
      <w:r>
        <w:rPr>
          <w:szCs w:val="18"/>
        </w:rPr>
        <w:t xml:space="preserve">% rebate </w:t>
      </w:r>
    </w:p>
    <w:p w:rsidR="009530CE" w:rsidRPr="002B2E9D" w:rsidRDefault="005C6ED3" w:rsidP="009530CE">
      <w:pPr>
        <w:pStyle w:val="TableFooter"/>
        <w:ind w:firstLine="720"/>
        <w:rPr>
          <w:szCs w:val="18"/>
        </w:rPr>
      </w:pPr>
      <w:r>
        <w:rPr>
          <w:szCs w:val="18"/>
        </w:rPr>
        <w:t xml:space="preserve">Source: Updated Financial Cost to PBS Spreadsheet </w:t>
      </w:r>
    </w:p>
    <w:p w:rsidR="009C49D5" w:rsidRDefault="009C49D5" w:rsidP="00E10B08">
      <w:pPr>
        <w:ind w:firstLine="709"/>
      </w:pPr>
    </w:p>
    <w:p w:rsidR="0009034F" w:rsidRPr="002D1FDC" w:rsidRDefault="0009034F" w:rsidP="0009034F">
      <w:pPr>
        <w:ind w:left="709"/>
        <w:contextualSpacing/>
        <w:rPr>
          <w:i/>
          <w:szCs w:val="22"/>
        </w:rPr>
      </w:pPr>
      <w:r w:rsidRPr="00077319">
        <w:rPr>
          <w:i/>
          <w:szCs w:val="22"/>
        </w:rPr>
        <w:t>For more detail on PBAC’s view, see section 5 “PBAC outcome”</w:t>
      </w:r>
    </w:p>
    <w:p w:rsidR="0004297B" w:rsidRDefault="0004297B" w:rsidP="0004297B">
      <w:pPr>
        <w:ind w:firstLine="709"/>
        <w:rPr>
          <w:rFonts w:ascii="Arial Narrow" w:hAnsi="Arial Narrow"/>
          <w:szCs w:val="22"/>
        </w:rPr>
      </w:pPr>
    </w:p>
    <w:p w:rsidR="008C79D3" w:rsidRDefault="008C79D3" w:rsidP="0004297B">
      <w:pPr>
        <w:ind w:firstLine="709"/>
        <w:rPr>
          <w:rFonts w:ascii="Arial Narrow" w:hAnsi="Arial Narrow"/>
          <w:szCs w:val="22"/>
        </w:rPr>
      </w:pPr>
    </w:p>
    <w:p w:rsidR="0004297B" w:rsidRPr="00E10B08" w:rsidRDefault="0004297B" w:rsidP="000A0ABB">
      <w:pPr>
        <w:pStyle w:val="Heading1"/>
      </w:pPr>
      <w:r w:rsidRPr="00E10B08">
        <w:t>PBAC Outcome</w:t>
      </w:r>
    </w:p>
    <w:p w:rsidR="0004297B" w:rsidRPr="009630D9" w:rsidRDefault="0004297B" w:rsidP="0004297B">
      <w:pPr>
        <w:ind w:left="720"/>
        <w:contextualSpacing/>
        <w:rPr>
          <w:bCs/>
          <w:szCs w:val="22"/>
          <w:highlight w:val="yellow"/>
          <w:lang w:val="en-GB"/>
        </w:rPr>
      </w:pPr>
    </w:p>
    <w:p w:rsidR="0004297B" w:rsidRDefault="00077319" w:rsidP="0004297B">
      <w:pPr>
        <w:numPr>
          <w:ilvl w:val="1"/>
          <w:numId w:val="1"/>
        </w:numPr>
        <w:contextualSpacing/>
        <w:rPr>
          <w:bCs/>
          <w:szCs w:val="22"/>
          <w:lang w:val="en-GB"/>
        </w:rPr>
      </w:pPr>
      <w:r w:rsidRPr="00F0564E">
        <w:rPr>
          <w:bCs/>
          <w:szCs w:val="22"/>
          <w:lang w:val="en-GB"/>
        </w:rPr>
        <w:t xml:space="preserve">The PBAC did not recommend the PBS listing of pirfenidone for the treatment of idiopathic pulmonary fibrosis on the basis of unacceptably high </w:t>
      </w:r>
      <w:r w:rsidR="00E65CA7">
        <w:rPr>
          <w:bCs/>
          <w:szCs w:val="22"/>
          <w:lang w:val="en-GB"/>
        </w:rPr>
        <w:t xml:space="preserve">cost effectiveness, in the context of </w:t>
      </w:r>
      <w:r w:rsidR="003154AE">
        <w:rPr>
          <w:bCs/>
          <w:szCs w:val="22"/>
          <w:lang w:val="en-GB"/>
        </w:rPr>
        <w:t xml:space="preserve">total cost </w:t>
      </w:r>
      <w:r w:rsidR="00E65CA7">
        <w:rPr>
          <w:bCs/>
          <w:szCs w:val="22"/>
          <w:lang w:val="en-GB"/>
        </w:rPr>
        <w:t>and uncertain utilisation</w:t>
      </w:r>
      <w:r w:rsidR="003154AE">
        <w:rPr>
          <w:bCs/>
          <w:szCs w:val="22"/>
          <w:lang w:val="en-GB"/>
        </w:rPr>
        <w:t>.</w:t>
      </w:r>
    </w:p>
    <w:p w:rsidR="00F0564E" w:rsidRDefault="00F0564E" w:rsidP="00F0564E">
      <w:pPr>
        <w:ind w:left="720"/>
        <w:contextualSpacing/>
        <w:rPr>
          <w:bCs/>
          <w:szCs w:val="22"/>
          <w:lang w:val="en-GB"/>
        </w:rPr>
      </w:pPr>
      <w:r>
        <w:rPr>
          <w:bCs/>
          <w:szCs w:val="22"/>
          <w:lang w:val="en-GB"/>
        </w:rPr>
        <w:t xml:space="preserve"> </w:t>
      </w:r>
    </w:p>
    <w:p w:rsidR="00F0564E" w:rsidRPr="00F0564E" w:rsidRDefault="00F0564E" w:rsidP="00F0564E">
      <w:pPr>
        <w:numPr>
          <w:ilvl w:val="1"/>
          <w:numId w:val="1"/>
        </w:numPr>
        <w:contextualSpacing/>
        <w:rPr>
          <w:bCs/>
          <w:szCs w:val="22"/>
          <w:lang w:val="en-GB"/>
        </w:rPr>
      </w:pPr>
      <w:r>
        <w:rPr>
          <w:bCs/>
          <w:szCs w:val="22"/>
          <w:lang w:val="en-GB"/>
        </w:rPr>
        <w:t xml:space="preserve">The PBAC noted that the minor re-submission did not explore </w:t>
      </w:r>
      <w:r w:rsidRPr="00F0564E">
        <w:rPr>
          <w:bCs/>
          <w:szCs w:val="22"/>
          <w:lang w:val="en-GB"/>
        </w:rPr>
        <w:t xml:space="preserve">the number of patients who may discontinue treatment based on the clinical trial </w:t>
      </w:r>
      <w:r w:rsidR="008047C9">
        <w:rPr>
          <w:bCs/>
          <w:szCs w:val="22"/>
          <w:lang w:val="en-GB"/>
        </w:rPr>
        <w:t xml:space="preserve">evidence and the proposed model, </w:t>
      </w:r>
      <w:r>
        <w:rPr>
          <w:bCs/>
          <w:szCs w:val="22"/>
          <w:lang w:val="en-GB"/>
        </w:rPr>
        <w:t xml:space="preserve">stating that </w:t>
      </w:r>
      <w:r w:rsidR="00D5627C">
        <w:rPr>
          <w:bCs/>
          <w:szCs w:val="22"/>
          <w:lang w:val="en-GB"/>
        </w:rPr>
        <w:t>progression with treatment does not constitute treatment failure</w:t>
      </w:r>
      <w:r>
        <w:rPr>
          <w:bCs/>
          <w:szCs w:val="22"/>
          <w:lang w:val="en-GB"/>
        </w:rPr>
        <w:t xml:space="preserve">. </w:t>
      </w:r>
      <w:r w:rsidR="008047C9">
        <w:rPr>
          <w:bCs/>
          <w:szCs w:val="22"/>
          <w:lang w:val="en-GB"/>
        </w:rPr>
        <w:t xml:space="preserve">The </w:t>
      </w:r>
      <w:r w:rsidR="00D5627C">
        <w:rPr>
          <w:bCs/>
          <w:szCs w:val="22"/>
          <w:lang w:val="en-GB"/>
        </w:rPr>
        <w:t>minor re-submission argued that,</w:t>
      </w:r>
      <w:r w:rsidR="008047C9">
        <w:rPr>
          <w:bCs/>
          <w:szCs w:val="22"/>
          <w:lang w:val="en-GB"/>
        </w:rPr>
        <w:t xml:space="preserve"> </w:t>
      </w:r>
      <w:r w:rsidR="00D5627C" w:rsidRPr="00D5627C">
        <w:rPr>
          <w:bCs/>
          <w:szCs w:val="22"/>
        </w:rPr>
        <w:t>following a FVC decline ≥10% with pirfenidone, continued treatment significantly reduced the risk of death and increased disease stabilisation compared to placebo patients who continued treatment with placebo following a FVC decline ≥10%</w:t>
      </w:r>
      <w:r w:rsidR="00D5627C">
        <w:rPr>
          <w:bCs/>
          <w:szCs w:val="22"/>
        </w:rPr>
        <w:t>.</w:t>
      </w:r>
      <w:r w:rsidR="00D5627C" w:rsidRPr="00D5627C">
        <w:rPr>
          <w:bCs/>
          <w:szCs w:val="22"/>
        </w:rPr>
        <w:t xml:space="preserve"> </w:t>
      </w:r>
      <w:r w:rsidR="00D5627C">
        <w:rPr>
          <w:bCs/>
          <w:szCs w:val="22"/>
          <w:lang w:val="en-GB"/>
        </w:rPr>
        <w:t xml:space="preserve">Noting this, the PBAC </w:t>
      </w:r>
      <w:r w:rsidR="008975AC">
        <w:rPr>
          <w:bCs/>
          <w:szCs w:val="22"/>
          <w:lang w:val="en-GB"/>
        </w:rPr>
        <w:t xml:space="preserve">considered that implementing a </w:t>
      </w:r>
      <w:r w:rsidR="008047C9">
        <w:rPr>
          <w:bCs/>
          <w:szCs w:val="22"/>
          <w:lang w:val="en-GB"/>
        </w:rPr>
        <w:t xml:space="preserve">stopping rule </w:t>
      </w:r>
      <w:r w:rsidR="008975AC">
        <w:rPr>
          <w:bCs/>
          <w:szCs w:val="22"/>
          <w:lang w:val="en-GB"/>
        </w:rPr>
        <w:t>would be difficult in clinical practice</w:t>
      </w:r>
      <w:r w:rsidR="008047C9">
        <w:rPr>
          <w:bCs/>
          <w:szCs w:val="22"/>
          <w:lang w:val="en-GB"/>
        </w:rPr>
        <w:t>.</w:t>
      </w:r>
    </w:p>
    <w:p w:rsidR="00077319" w:rsidRPr="00F0564E" w:rsidRDefault="00077319" w:rsidP="00077319">
      <w:pPr>
        <w:ind w:left="720"/>
        <w:contextualSpacing/>
        <w:rPr>
          <w:bCs/>
          <w:szCs w:val="22"/>
          <w:lang w:val="en-GB"/>
        </w:rPr>
      </w:pPr>
      <w:r w:rsidRPr="00F0564E">
        <w:rPr>
          <w:bCs/>
          <w:szCs w:val="22"/>
          <w:lang w:val="en-GB"/>
        </w:rPr>
        <w:t xml:space="preserve"> </w:t>
      </w:r>
    </w:p>
    <w:p w:rsidR="00077319" w:rsidRPr="00F0564E" w:rsidRDefault="00077319" w:rsidP="0004297B">
      <w:pPr>
        <w:numPr>
          <w:ilvl w:val="1"/>
          <w:numId w:val="1"/>
        </w:numPr>
        <w:contextualSpacing/>
        <w:rPr>
          <w:bCs/>
          <w:szCs w:val="22"/>
          <w:lang w:val="en-GB"/>
        </w:rPr>
      </w:pPr>
      <w:r w:rsidRPr="00F0564E">
        <w:rPr>
          <w:bCs/>
          <w:szCs w:val="22"/>
          <w:lang w:val="en-GB"/>
        </w:rPr>
        <w:t xml:space="preserve">The PBAC noted that no new data had been presented in the submission. The PBAC recalled that it had considered pirfenidone </w:t>
      </w:r>
      <w:r w:rsidR="003154AE">
        <w:rPr>
          <w:bCs/>
          <w:szCs w:val="22"/>
          <w:lang w:val="en-GB"/>
        </w:rPr>
        <w:t xml:space="preserve">to be superior in </w:t>
      </w:r>
      <w:r w:rsidRPr="00F0564E">
        <w:rPr>
          <w:bCs/>
          <w:szCs w:val="22"/>
          <w:lang w:val="en-GB"/>
        </w:rPr>
        <w:t xml:space="preserve">efficacy to placebo with an inferior safety profile. </w:t>
      </w:r>
    </w:p>
    <w:p w:rsidR="00F0564E" w:rsidRPr="00F0564E" w:rsidRDefault="00F0564E" w:rsidP="00F0564E">
      <w:pPr>
        <w:pStyle w:val="ListParagraph"/>
        <w:rPr>
          <w:bCs/>
          <w:szCs w:val="22"/>
          <w:lang w:val="en-GB"/>
        </w:rPr>
      </w:pPr>
    </w:p>
    <w:p w:rsidR="008047C9" w:rsidRDefault="00F0564E" w:rsidP="0004297B">
      <w:pPr>
        <w:numPr>
          <w:ilvl w:val="1"/>
          <w:numId w:val="1"/>
        </w:numPr>
        <w:contextualSpacing/>
        <w:rPr>
          <w:bCs/>
          <w:szCs w:val="22"/>
          <w:lang w:val="en-GB"/>
        </w:rPr>
      </w:pPr>
      <w:r w:rsidRPr="00F0564E">
        <w:rPr>
          <w:bCs/>
          <w:szCs w:val="22"/>
          <w:lang w:val="en-GB"/>
        </w:rPr>
        <w:t xml:space="preserve">The PBAC recalled its concern </w:t>
      </w:r>
      <w:r>
        <w:rPr>
          <w:bCs/>
          <w:szCs w:val="22"/>
          <w:lang w:val="en-GB"/>
        </w:rPr>
        <w:t xml:space="preserve">from November 2015 </w:t>
      </w:r>
      <w:r w:rsidRPr="00F0564E">
        <w:rPr>
          <w:bCs/>
          <w:szCs w:val="22"/>
          <w:lang w:val="en-GB"/>
        </w:rPr>
        <w:t xml:space="preserve">that the use of historical data to extrapolate OS in the modelled BSC arm may have underestimated survival compared with the BSC arm in the trials. The PBAC noted the minor re-submission presented Kaplan-Meier curves comparing the survival in two IPF registries </w:t>
      </w:r>
      <w:r w:rsidR="003154AE">
        <w:rPr>
          <w:bCs/>
          <w:szCs w:val="22"/>
          <w:lang w:val="en-GB"/>
        </w:rPr>
        <w:t>with</w:t>
      </w:r>
      <w:r w:rsidRPr="00F0564E">
        <w:rPr>
          <w:bCs/>
          <w:szCs w:val="22"/>
          <w:lang w:val="en-GB"/>
        </w:rPr>
        <w:t xml:space="preserve"> the historical data. The </w:t>
      </w:r>
      <w:r w:rsidR="003154AE">
        <w:rPr>
          <w:bCs/>
          <w:szCs w:val="22"/>
          <w:lang w:val="en-GB"/>
        </w:rPr>
        <w:t>PBAC considered</w:t>
      </w:r>
      <w:r w:rsidRPr="00F0564E">
        <w:rPr>
          <w:bCs/>
          <w:szCs w:val="22"/>
          <w:lang w:val="en-GB"/>
        </w:rPr>
        <w:t xml:space="preserve"> that the survival </w:t>
      </w:r>
      <w:r>
        <w:rPr>
          <w:bCs/>
          <w:szCs w:val="22"/>
          <w:lang w:val="en-GB"/>
        </w:rPr>
        <w:t xml:space="preserve">demonstrated in the historical data was </w:t>
      </w:r>
      <w:r w:rsidR="003154AE">
        <w:rPr>
          <w:bCs/>
          <w:szCs w:val="22"/>
          <w:lang w:val="en-GB"/>
        </w:rPr>
        <w:t xml:space="preserve">acceptably </w:t>
      </w:r>
      <w:r>
        <w:rPr>
          <w:bCs/>
          <w:szCs w:val="22"/>
          <w:lang w:val="en-GB"/>
        </w:rPr>
        <w:t>sim</w:t>
      </w:r>
      <w:r w:rsidR="00442542">
        <w:rPr>
          <w:bCs/>
          <w:szCs w:val="22"/>
          <w:lang w:val="en-GB"/>
        </w:rPr>
        <w:t>ilar to that of the registries.</w:t>
      </w:r>
    </w:p>
    <w:p w:rsidR="00DF6F0D" w:rsidRDefault="00DF6F0D" w:rsidP="00DF6F0D">
      <w:pPr>
        <w:pStyle w:val="ListParagraph"/>
        <w:rPr>
          <w:bCs/>
          <w:szCs w:val="22"/>
          <w:lang w:val="en-GB"/>
        </w:rPr>
      </w:pPr>
    </w:p>
    <w:p w:rsidR="00DF6F0D" w:rsidRPr="002018E7" w:rsidRDefault="00DF6F0D" w:rsidP="0004297B">
      <w:pPr>
        <w:numPr>
          <w:ilvl w:val="1"/>
          <w:numId w:val="1"/>
        </w:numPr>
        <w:contextualSpacing/>
        <w:rPr>
          <w:bCs/>
          <w:szCs w:val="22"/>
          <w:lang w:val="en-GB"/>
        </w:rPr>
      </w:pPr>
      <w:r>
        <w:rPr>
          <w:bCs/>
          <w:szCs w:val="22"/>
          <w:lang w:val="en-GB"/>
        </w:rPr>
        <w:t xml:space="preserve">The PBAC noted that the submission applied a </w:t>
      </w:r>
      <w:r w:rsidR="001778C8">
        <w:rPr>
          <w:bCs/>
          <w:noProof/>
          <w:color w:val="000000"/>
          <w:szCs w:val="22"/>
          <w:highlight w:val="black"/>
          <w:lang w:val="en-GB"/>
        </w:rPr>
        <w:t>''''''</w:t>
      </w:r>
      <w:r>
        <w:rPr>
          <w:bCs/>
          <w:szCs w:val="22"/>
          <w:lang w:val="en-GB"/>
        </w:rPr>
        <w:t xml:space="preserve">% rebate to the monthly cost of </w:t>
      </w:r>
      <w:r w:rsidRPr="002018E7">
        <w:rPr>
          <w:bCs/>
          <w:szCs w:val="22"/>
          <w:lang w:val="en-GB"/>
        </w:rPr>
        <w:lastRenderedPageBreak/>
        <w:t xml:space="preserve">pirfenidone, which had a substantial impact on the cost-effectiveness and financial estimates. </w:t>
      </w:r>
    </w:p>
    <w:p w:rsidR="008047C9" w:rsidRPr="002018E7" w:rsidRDefault="008047C9" w:rsidP="008047C9">
      <w:pPr>
        <w:pStyle w:val="ListParagraph"/>
        <w:rPr>
          <w:bCs/>
          <w:szCs w:val="22"/>
          <w:lang w:val="en-GB"/>
        </w:rPr>
      </w:pPr>
    </w:p>
    <w:p w:rsidR="009B262D" w:rsidRDefault="008047C9" w:rsidP="009B262D">
      <w:pPr>
        <w:numPr>
          <w:ilvl w:val="1"/>
          <w:numId w:val="1"/>
        </w:numPr>
        <w:contextualSpacing/>
        <w:rPr>
          <w:szCs w:val="22"/>
        </w:rPr>
      </w:pPr>
      <w:r w:rsidRPr="002018E7">
        <w:rPr>
          <w:bCs/>
          <w:szCs w:val="22"/>
          <w:lang w:val="en-GB"/>
        </w:rPr>
        <w:t>The PBAC recalled its consideration from November 2015 that a 16 year time horizon would be optimistic, and noted that the minor re-submission evaluated both a 10 and 16 year time horizon within the economic model</w:t>
      </w:r>
      <w:r w:rsidR="00DF6F0D" w:rsidRPr="002018E7">
        <w:rPr>
          <w:bCs/>
          <w:szCs w:val="22"/>
          <w:lang w:val="en-GB"/>
        </w:rPr>
        <w:t xml:space="preserve"> (including the </w:t>
      </w:r>
      <w:r w:rsidR="001778C8">
        <w:rPr>
          <w:bCs/>
          <w:noProof/>
          <w:color w:val="000000"/>
          <w:szCs w:val="22"/>
          <w:highlight w:val="black"/>
          <w:lang w:val="en-GB"/>
        </w:rPr>
        <w:t>''''''</w:t>
      </w:r>
      <w:r w:rsidR="00DF6F0D" w:rsidRPr="002018E7">
        <w:rPr>
          <w:bCs/>
          <w:szCs w:val="22"/>
          <w:lang w:val="en-GB"/>
        </w:rPr>
        <w:t>% rebate)</w:t>
      </w:r>
      <w:r w:rsidRPr="002018E7">
        <w:rPr>
          <w:bCs/>
          <w:szCs w:val="22"/>
          <w:lang w:val="en-GB"/>
        </w:rPr>
        <w:t>. The 10 year time horizon yielded an ICER of</w:t>
      </w:r>
      <w:r w:rsidRPr="002018E7">
        <w:rPr>
          <w:szCs w:val="22"/>
        </w:rPr>
        <w:t xml:space="preserve"> </w:t>
      </w:r>
      <w:r w:rsidR="00AE2DBD">
        <w:rPr>
          <w:szCs w:val="22"/>
        </w:rPr>
        <w:t>$45,000/QALY - $75,000/QALY</w:t>
      </w:r>
      <w:r w:rsidRPr="002018E7">
        <w:rPr>
          <w:szCs w:val="22"/>
        </w:rPr>
        <w:t xml:space="preserve">, and the 16 year time horizon yielded an ICER of </w:t>
      </w:r>
      <w:r w:rsidR="00AE2DBD">
        <w:rPr>
          <w:szCs w:val="22"/>
        </w:rPr>
        <w:t>$45,000/QALY - $75,000/QALY</w:t>
      </w:r>
      <w:r w:rsidRPr="002018E7">
        <w:rPr>
          <w:szCs w:val="22"/>
        </w:rPr>
        <w:t>.</w:t>
      </w:r>
    </w:p>
    <w:p w:rsidR="009B262D" w:rsidRDefault="009B262D" w:rsidP="009B262D">
      <w:pPr>
        <w:pStyle w:val="ListParagraph"/>
        <w:rPr>
          <w:szCs w:val="22"/>
        </w:rPr>
      </w:pPr>
    </w:p>
    <w:p w:rsidR="006C0F93" w:rsidRPr="009B262D" w:rsidRDefault="009B262D" w:rsidP="009B262D">
      <w:pPr>
        <w:numPr>
          <w:ilvl w:val="1"/>
          <w:numId w:val="1"/>
        </w:numPr>
        <w:contextualSpacing/>
        <w:rPr>
          <w:szCs w:val="22"/>
        </w:rPr>
      </w:pPr>
      <w:r w:rsidRPr="009B262D">
        <w:rPr>
          <w:szCs w:val="22"/>
        </w:rPr>
        <w:t xml:space="preserve">The PBAC recalled its key concerns in November 2015 regarding the derivation of the pirfenidone treated population (potentially higher IPF incidence rate; limiting calculation of prevalent population to IPF patients in the year prior to listing) and hospitalisations are likely to result in underestimated net costs to the government.  The evaluation also noted additional factors (application of ABS population projections; potential duplication of deaths in the pirfenidone treatment continuation rates) that were likely to further contribute to this underestimate.  The PBAC considered that the minor resubmission did not sufficiently address these issues, and </w:t>
      </w:r>
      <w:r w:rsidRPr="009B262D">
        <w:rPr>
          <w:bCs/>
          <w:szCs w:val="22"/>
          <w:lang w:val="en-GB"/>
        </w:rPr>
        <w:t>noted the potential for the absence of a stopping rule to increase the utilisation estimates.</w:t>
      </w:r>
    </w:p>
    <w:p w:rsidR="009B262D" w:rsidRPr="002018E7" w:rsidRDefault="009B262D" w:rsidP="00BE37E5">
      <w:pPr>
        <w:ind w:left="720"/>
        <w:contextualSpacing/>
        <w:rPr>
          <w:szCs w:val="22"/>
        </w:rPr>
      </w:pPr>
    </w:p>
    <w:p w:rsidR="00F0564E" w:rsidRPr="002018E7" w:rsidRDefault="002018E7" w:rsidP="002018E7">
      <w:pPr>
        <w:numPr>
          <w:ilvl w:val="1"/>
          <w:numId w:val="1"/>
        </w:numPr>
        <w:contextualSpacing/>
        <w:rPr>
          <w:bCs/>
          <w:szCs w:val="22"/>
          <w:lang w:val="en-GB"/>
        </w:rPr>
      </w:pPr>
      <w:r w:rsidRPr="002018E7">
        <w:rPr>
          <w:snapToGrid/>
          <w:szCs w:val="22"/>
          <w:lang w:eastAsia="en-AU"/>
        </w:rPr>
        <w:t xml:space="preserve">The PBAC considered that the most plausible ICER using the current adjustments to the model was </w:t>
      </w:r>
      <w:r w:rsidR="005B1B5E">
        <w:rPr>
          <w:snapToGrid/>
          <w:szCs w:val="22"/>
          <w:lang w:eastAsia="en-AU"/>
        </w:rPr>
        <w:t>$45,000/QALY - $75,000/QALY</w:t>
      </w:r>
      <w:r w:rsidRPr="002018E7">
        <w:rPr>
          <w:snapToGrid/>
          <w:szCs w:val="22"/>
          <w:lang w:eastAsia="en-AU"/>
        </w:rPr>
        <w:t xml:space="preserve">. </w:t>
      </w:r>
      <w:r w:rsidR="009B262D">
        <w:rPr>
          <w:snapToGrid/>
          <w:szCs w:val="22"/>
          <w:lang w:eastAsia="en-AU"/>
        </w:rPr>
        <w:t xml:space="preserve">The PBAC </w:t>
      </w:r>
      <w:r w:rsidRPr="002018E7">
        <w:rPr>
          <w:snapToGrid/>
          <w:szCs w:val="22"/>
          <w:lang w:eastAsia="en-AU"/>
        </w:rPr>
        <w:t xml:space="preserve">considered </w:t>
      </w:r>
      <w:r w:rsidR="009B262D">
        <w:rPr>
          <w:snapToGrid/>
          <w:szCs w:val="22"/>
          <w:lang w:eastAsia="en-AU"/>
        </w:rPr>
        <w:t xml:space="preserve">that the minor resubmission had not adequately established the </w:t>
      </w:r>
      <w:r w:rsidRPr="002018E7">
        <w:rPr>
          <w:snapToGrid/>
          <w:szCs w:val="22"/>
          <w:lang w:eastAsia="en-AU"/>
        </w:rPr>
        <w:t>cost-effective</w:t>
      </w:r>
      <w:r w:rsidR="009B262D">
        <w:rPr>
          <w:snapToGrid/>
          <w:szCs w:val="22"/>
          <w:lang w:eastAsia="en-AU"/>
        </w:rPr>
        <w:t>ness of pirfenidone</w:t>
      </w:r>
      <w:r w:rsidRPr="002018E7">
        <w:rPr>
          <w:snapToGrid/>
          <w:szCs w:val="22"/>
          <w:lang w:eastAsia="en-AU"/>
        </w:rPr>
        <w:t>, particularly in the context of the high total cost</w:t>
      </w:r>
      <w:r w:rsidR="009B262D">
        <w:rPr>
          <w:snapToGrid/>
          <w:szCs w:val="22"/>
          <w:lang w:eastAsia="en-AU"/>
        </w:rPr>
        <w:t xml:space="preserve"> and remaining concerns about utilisation</w:t>
      </w:r>
      <w:r w:rsidRPr="002018E7">
        <w:rPr>
          <w:snapToGrid/>
          <w:szCs w:val="22"/>
          <w:lang w:eastAsia="en-AU"/>
        </w:rPr>
        <w:t xml:space="preserve">. The PBAC considered that </w:t>
      </w:r>
      <w:r w:rsidR="009B262D">
        <w:rPr>
          <w:snapToGrid/>
          <w:szCs w:val="22"/>
          <w:lang w:eastAsia="en-AU"/>
        </w:rPr>
        <w:t xml:space="preserve">the </w:t>
      </w:r>
      <w:r w:rsidR="001778C8">
        <w:rPr>
          <w:noProof/>
          <w:snapToGrid/>
          <w:color w:val="000000"/>
          <w:szCs w:val="22"/>
          <w:highlight w:val="black"/>
          <w:lang w:eastAsia="en-AU"/>
        </w:rPr>
        <w:t>''''''</w:t>
      </w:r>
      <w:r w:rsidR="009B262D">
        <w:rPr>
          <w:snapToGrid/>
          <w:szCs w:val="22"/>
          <w:lang w:eastAsia="en-AU"/>
        </w:rPr>
        <w:t>% rebate offered in the minor resubmission did not sufficiently address these concerns</w:t>
      </w:r>
      <w:r w:rsidR="00442542">
        <w:rPr>
          <w:snapToGrid/>
          <w:szCs w:val="22"/>
          <w:lang w:eastAsia="en-AU"/>
        </w:rPr>
        <w:t>.</w:t>
      </w:r>
    </w:p>
    <w:p w:rsidR="009B262D" w:rsidRDefault="009B262D" w:rsidP="009B262D">
      <w:pPr>
        <w:pStyle w:val="ListParagraph"/>
        <w:rPr>
          <w:bCs/>
          <w:szCs w:val="22"/>
          <w:lang w:val="en-GB"/>
        </w:rPr>
      </w:pPr>
    </w:p>
    <w:p w:rsidR="009B262D" w:rsidRPr="002018E7" w:rsidRDefault="009B262D" w:rsidP="002018E7">
      <w:pPr>
        <w:numPr>
          <w:ilvl w:val="1"/>
          <w:numId w:val="1"/>
        </w:numPr>
        <w:contextualSpacing/>
        <w:rPr>
          <w:bCs/>
          <w:szCs w:val="22"/>
          <w:lang w:val="en-GB"/>
        </w:rPr>
      </w:pPr>
      <w:r>
        <w:rPr>
          <w:bCs/>
          <w:szCs w:val="22"/>
          <w:lang w:val="en-GB"/>
        </w:rPr>
        <w:t>The PBAC noted that this submission was eligible for an Independent Review.</w:t>
      </w:r>
    </w:p>
    <w:p w:rsidR="0004297B" w:rsidRPr="009630D9" w:rsidRDefault="0004297B" w:rsidP="0004297B">
      <w:pPr>
        <w:rPr>
          <w:b/>
          <w:bCs/>
          <w:szCs w:val="22"/>
          <w:highlight w:val="yellow"/>
          <w:lang w:val="en-GB"/>
        </w:rPr>
      </w:pPr>
    </w:p>
    <w:p w:rsidR="0004297B" w:rsidRPr="002018E7" w:rsidRDefault="0004297B" w:rsidP="0004297B">
      <w:pPr>
        <w:rPr>
          <w:b/>
          <w:bCs/>
          <w:szCs w:val="22"/>
          <w:lang w:val="en-GB"/>
        </w:rPr>
      </w:pPr>
      <w:r w:rsidRPr="002018E7">
        <w:rPr>
          <w:b/>
          <w:bCs/>
          <w:szCs w:val="22"/>
          <w:lang w:val="en-GB"/>
        </w:rPr>
        <w:t>Outcome:</w:t>
      </w:r>
    </w:p>
    <w:p w:rsidR="001D112E" w:rsidRDefault="0004297B" w:rsidP="00D159C8">
      <w:pPr>
        <w:rPr>
          <w:bCs/>
          <w:szCs w:val="22"/>
          <w:lang w:val="en-GB"/>
        </w:rPr>
      </w:pPr>
      <w:r w:rsidRPr="002018E7">
        <w:rPr>
          <w:bCs/>
          <w:szCs w:val="22"/>
          <w:lang w:val="en-GB"/>
        </w:rPr>
        <w:t>Reject</w:t>
      </w:r>
      <w:r w:rsidR="00D45F64">
        <w:rPr>
          <w:bCs/>
          <w:szCs w:val="22"/>
          <w:lang w:val="en-GB"/>
        </w:rPr>
        <w:t>ed</w:t>
      </w:r>
    </w:p>
    <w:p w:rsidR="000A0ABB" w:rsidRDefault="000A0ABB" w:rsidP="00D159C8">
      <w:pPr>
        <w:rPr>
          <w:bCs/>
          <w:szCs w:val="22"/>
          <w:lang w:val="en-GB"/>
        </w:rPr>
      </w:pPr>
    </w:p>
    <w:p w:rsidR="003D6B54" w:rsidRDefault="003D6B54" w:rsidP="00D159C8">
      <w:pPr>
        <w:rPr>
          <w:bCs/>
          <w:szCs w:val="22"/>
          <w:lang w:val="en-GB"/>
        </w:rPr>
      </w:pPr>
    </w:p>
    <w:p w:rsidR="000A0ABB" w:rsidRPr="000A0ABB" w:rsidRDefault="000A0ABB" w:rsidP="000A0ABB">
      <w:pPr>
        <w:pStyle w:val="Heading1"/>
      </w:pPr>
      <w:r w:rsidRPr="000A0ABB">
        <w:t>Context for Decision</w:t>
      </w:r>
    </w:p>
    <w:p w:rsidR="000A0ABB" w:rsidRDefault="000A0ABB" w:rsidP="000A0ABB">
      <w:pPr>
        <w:ind w:left="720"/>
      </w:pPr>
    </w:p>
    <w:p w:rsidR="000A0ABB" w:rsidRDefault="000A0ABB" w:rsidP="000A0ABB">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A0ABB" w:rsidRDefault="000A0ABB" w:rsidP="000A0ABB">
      <w:pPr>
        <w:ind w:left="720"/>
      </w:pPr>
    </w:p>
    <w:p w:rsidR="000A0ABB" w:rsidRPr="000A0ABB" w:rsidRDefault="000A0ABB" w:rsidP="000A0ABB">
      <w:pPr>
        <w:pStyle w:val="Heading1"/>
      </w:pPr>
      <w:r w:rsidRPr="000A0ABB">
        <w:t>Sponsor’s Comment</w:t>
      </w:r>
    </w:p>
    <w:p w:rsidR="000A0ABB" w:rsidRDefault="000A0ABB" w:rsidP="000A0ABB">
      <w:pPr>
        <w:ind w:left="720"/>
        <w:rPr>
          <w:bCs/>
          <w:highlight w:val="yellow"/>
          <w:lang w:val="en-GB"/>
        </w:rPr>
      </w:pPr>
    </w:p>
    <w:p w:rsidR="000A0ABB" w:rsidRPr="0004297B" w:rsidRDefault="00940E53" w:rsidP="00940E53">
      <w:pPr>
        <w:ind w:left="709"/>
      </w:pPr>
      <w:r w:rsidRPr="00940E53">
        <w:t>Roche is disappointed with this outcome and, given the high unmet need, continues to work with the PBAC to provide access at the earliest opportunity to pirfenidone for patients with idiopathic pulmonary fibrosis</w:t>
      </w:r>
      <w:r>
        <w:t>.</w:t>
      </w:r>
    </w:p>
    <w:sectPr w:rsidR="000A0ABB" w:rsidRPr="0004297B" w:rsidSect="00D159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6E" w:rsidRDefault="00407F6E" w:rsidP="00124A51">
      <w:r>
        <w:separator/>
      </w:r>
    </w:p>
  </w:endnote>
  <w:endnote w:type="continuationSeparator" w:id="0">
    <w:p w:rsidR="00407F6E" w:rsidRDefault="00407F6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8" w:rsidRDefault="0017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22313"/>
      <w:docPartObj>
        <w:docPartGallery w:val="Page Numbers (Bottom of Page)"/>
        <w:docPartUnique/>
      </w:docPartObj>
    </w:sdtPr>
    <w:sdtEndPr>
      <w:rPr>
        <w:noProof/>
      </w:rPr>
    </w:sdtEndPr>
    <w:sdtContent>
      <w:p w:rsidR="0062400B" w:rsidRDefault="0062400B">
        <w:pPr>
          <w:pStyle w:val="Footer"/>
          <w:jc w:val="center"/>
        </w:pPr>
        <w:r>
          <w:fldChar w:fldCharType="begin"/>
        </w:r>
        <w:r>
          <w:instrText xml:space="preserve"> PAGE   \* MERGEFORMAT </w:instrText>
        </w:r>
        <w:r>
          <w:fldChar w:fldCharType="separate"/>
        </w:r>
        <w:r w:rsidR="00675AA9">
          <w:rPr>
            <w:noProof/>
          </w:rPr>
          <w:t>2</w:t>
        </w:r>
        <w:r>
          <w:rPr>
            <w:noProof/>
          </w:rPr>
          <w:fldChar w:fldCharType="end"/>
        </w:r>
      </w:p>
    </w:sdtContent>
  </w:sdt>
  <w:p w:rsidR="0062400B" w:rsidRDefault="006240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8" w:rsidRDefault="0017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6E" w:rsidRDefault="00407F6E" w:rsidP="00124A51">
      <w:r>
        <w:separator/>
      </w:r>
    </w:p>
  </w:footnote>
  <w:footnote w:type="continuationSeparator" w:id="0">
    <w:p w:rsidR="00407F6E" w:rsidRDefault="00407F6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8" w:rsidRDefault="0017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0B" w:rsidRPr="00454ADA" w:rsidRDefault="0062400B" w:rsidP="0004297B">
    <w:pPr>
      <w:tabs>
        <w:tab w:val="center" w:pos="4513"/>
        <w:tab w:val="right" w:pos="9026"/>
      </w:tabs>
      <w:ind w:left="360"/>
      <w:jc w:val="center"/>
      <w:rPr>
        <w:i/>
        <w:color w:val="808080"/>
      </w:rPr>
    </w:pPr>
    <w:r>
      <w:rPr>
        <w:i/>
        <w:color w:val="808080"/>
      </w:rPr>
      <w:t>Public Summary Document</w:t>
    </w:r>
    <w:r w:rsidRPr="00454ADA">
      <w:rPr>
        <w:i/>
        <w:color w:val="808080"/>
      </w:rPr>
      <w:t xml:space="preserve"> – March 2016 PBAC Meeting</w:t>
    </w:r>
  </w:p>
  <w:p w:rsidR="0062400B" w:rsidRDefault="006240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8" w:rsidRDefault="00177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8C0AF1"/>
    <w:multiLevelType w:val="hybridMultilevel"/>
    <w:tmpl w:val="C8CCEB46"/>
    <w:lvl w:ilvl="0" w:tplc="E7C8A24C">
      <w:start w:val="1"/>
      <w:numFmt w:val="decimal"/>
      <w:lvlText w:val="%1."/>
      <w:lvlJc w:val="left"/>
      <w:pPr>
        <w:ind w:left="1080" w:hanging="360"/>
      </w:pPr>
      <w:rPr>
        <w:rFonts w:hint="default"/>
        <w:i w:val="0"/>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DE39E1"/>
    <w:multiLevelType w:val="hybridMultilevel"/>
    <w:tmpl w:val="35C645B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5CFE12D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 w:numId="8">
    <w:abstractNumId w:val="6"/>
  </w:num>
  <w:num w:numId="9">
    <w:abstractNumId w:val="6"/>
  </w:num>
  <w:num w:numId="10">
    <w:abstractNumId w:val="6"/>
  </w:num>
  <w:num w:numId="11">
    <w:abstractNumId w:val="6"/>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13247"/>
    <w:rsid w:val="00015886"/>
    <w:rsid w:val="000162EF"/>
    <w:rsid w:val="00021A8E"/>
    <w:rsid w:val="0002225F"/>
    <w:rsid w:val="00023763"/>
    <w:rsid w:val="00032FD1"/>
    <w:rsid w:val="0004025D"/>
    <w:rsid w:val="00040895"/>
    <w:rsid w:val="00041EB5"/>
    <w:rsid w:val="0004231D"/>
    <w:rsid w:val="0004297B"/>
    <w:rsid w:val="00043C37"/>
    <w:rsid w:val="000546D7"/>
    <w:rsid w:val="00066B5E"/>
    <w:rsid w:val="00071248"/>
    <w:rsid w:val="000720B9"/>
    <w:rsid w:val="00077319"/>
    <w:rsid w:val="000812CA"/>
    <w:rsid w:val="0008598F"/>
    <w:rsid w:val="0009034F"/>
    <w:rsid w:val="00090C7E"/>
    <w:rsid w:val="000A0ABB"/>
    <w:rsid w:val="000A24A6"/>
    <w:rsid w:val="000C7085"/>
    <w:rsid w:val="000D1BFC"/>
    <w:rsid w:val="000D5614"/>
    <w:rsid w:val="000F6EAF"/>
    <w:rsid w:val="00100F8A"/>
    <w:rsid w:val="0011032E"/>
    <w:rsid w:val="00121799"/>
    <w:rsid w:val="001222FC"/>
    <w:rsid w:val="00124A51"/>
    <w:rsid w:val="00125484"/>
    <w:rsid w:val="00126621"/>
    <w:rsid w:val="001301E9"/>
    <w:rsid w:val="00137645"/>
    <w:rsid w:val="0014015A"/>
    <w:rsid w:val="00140E99"/>
    <w:rsid w:val="001456B0"/>
    <w:rsid w:val="00150515"/>
    <w:rsid w:val="00152F61"/>
    <w:rsid w:val="00157130"/>
    <w:rsid w:val="00162913"/>
    <w:rsid w:val="00163EFF"/>
    <w:rsid w:val="001661FB"/>
    <w:rsid w:val="00173D5E"/>
    <w:rsid w:val="00176BD2"/>
    <w:rsid w:val="001778C8"/>
    <w:rsid w:val="00177963"/>
    <w:rsid w:val="00195222"/>
    <w:rsid w:val="001971A6"/>
    <w:rsid w:val="001975D8"/>
    <w:rsid w:val="001A49E4"/>
    <w:rsid w:val="001B2D68"/>
    <w:rsid w:val="001B3443"/>
    <w:rsid w:val="001B6188"/>
    <w:rsid w:val="001B6C96"/>
    <w:rsid w:val="001C1030"/>
    <w:rsid w:val="001C6A51"/>
    <w:rsid w:val="001C6E66"/>
    <w:rsid w:val="001D112E"/>
    <w:rsid w:val="001E238E"/>
    <w:rsid w:val="001E52EB"/>
    <w:rsid w:val="001E740C"/>
    <w:rsid w:val="001F04C9"/>
    <w:rsid w:val="001F1235"/>
    <w:rsid w:val="001F1CB3"/>
    <w:rsid w:val="001F431E"/>
    <w:rsid w:val="001F7361"/>
    <w:rsid w:val="002018E7"/>
    <w:rsid w:val="002025FE"/>
    <w:rsid w:val="00206D0C"/>
    <w:rsid w:val="002105C1"/>
    <w:rsid w:val="002173A3"/>
    <w:rsid w:val="00222C18"/>
    <w:rsid w:val="00223B49"/>
    <w:rsid w:val="00224DD4"/>
    <w:rsid w:val="002309CC"/>
    <w:rsid w:val="00244C81"/>
    <w:rsid w:val="0025534B"/>
    <w:rsid w:val="00255BB7"/>
    <w:rsid w:val="002570C5"/>
    <w:rsid w:val="00262A87"/>
    <w:rsid w:val="00275C5A"/>
    <w:rsid w:val="00282408"/>
    <w:rsid w:val="002943B3"/>
    <w:rsid w:val="00295843"/>
    <w:rsid w:val="00295DBA"/>
    <w:rsid w:val="002A14AB"/>
    <w:rsid w:val="002A67D5"/>
    <w:rsid w:val="002B1C1F"/>
    <w:rsid w:val="002B432F"/>
    <w:rsid w:val="002B6CCE"/>
    <w:rsid w:val="002C27C1"/>
    <w:rsid w:val="002E14F0"/>
    <w:rsid w:val="002E18C6"/>
    <w:rsid w:val="002E4449"/>
    <w:rsid w:val="002F68B1"/>
    <w:rsid w:val="00301017"/>
    <w:rsid w:val="0030786C"/>
    <w:rsid w:val="0031031A"/>
    <w:rsid w:val="00315498"/>
    <w:rsid w:val="003154AE"/>
    <w:rsid w:val="00315A16"/>
    <w:rsid w:val="003247A8"/>
    <w:rsid w:val="00324BAB"/>
    <w:rsid w:val="003366C9"/>
    <w:rsid w:val="003451E5"/>
    <w:rsid w:val="00352C97"/>
    <w:rsid w:val="0035620E"/>
    <w:rsid w:val="00360711"/>
    <w:rsid w:val="00366C76"/>
    <w:rsid w:val="00374DDA"/>
    <w:rsid w:val="00382198"/>
    <w:rsid w:val="0038365C"/>
    <w:rsid w:val="00393F75"/>
    <w:rsid w:val="00396FD0"/>
    <w:rsid w:val="003A1A7A"/>
    <w:rsid w:val="003A2C74"/>
    <w:rsid w:val="003D1828"/>
    <w:rsid w:val="003D2422"/>
    <w:rsid w:val="003D34D8"/>
    <w:rsid w:val="003D6B54"/>
    <w:rsid w:val="003D76EC"/>
    <w:rsid w:val="003F254B"/>
    <w:rsid w:val="003F4156"/>
    <w:rsid w:val="003F6965"/>
    <w:rsid w:val="00401E66"/>
    <w:rsid w:val="00407C4E"/>
    <w:rsid w:val="00407F6E"/>
    <w:rsid w:val="004102AF"/>
    <w:rsid w:val="00410E22"/>
    <w:rsid w:val="00410EC7"/>
    <w:rsid w:val="00413E05"/>
    <w:rsid w:val="00414476"/>
    <w:rsid w:val="00420B9F"/>
    <w:rsid w:val="00425CB2"/>
    <w:rsid w:val="004319F8"/>
    <w:rsid w:val="00442542"/>
    <w:rsid w:val="004443A7"/>
    <w:rsid w:val="004464EB"/>
    <w:rsid w:val="00446505"/>
    <w:rsid w:val="00451543"/>
    <w:rsid w:val="00454BD6"/>
    <w:rsid w:val="00455D45"/>
    <w:rsid w:val="00460499"/>
    <w:rsid w:val="0046340F"/>
    <w:rsid w:val="00464595"/>
    <w:rsid w:val="00472359"/>
    <w:rsid w:val="0047456A"/>
    <w:rsid w:val="00474612"/>
    <w:rsid w:val="00474DF2"/>
    <w:rsid w:val="004867E2"/>
    <w:rsid w:val="00491B3A"/>
    <w:rsid w:val="00492F39"/>
    <w:rsid w:val="00497F10"/>
    <w:rsid w:val="004A0DA1"/>
    <w:rsid w:val="004A6597"/>
    <w:rsid w:val="004A7338"/>
    <w:rsid w:val="004B172C"/>
    <w:rsid w:val="004B2F18"/>
    <w:rsid w:val="004B3DDB"/>
    <w:rsid w:val="004B44FD"/>
    <w:rsid w:val="004B5CFC"/>
    <w:rsid w:val="004C4AED"/>
    <w:rsid w:val="004D6B90"/>
    <w:rsid w:val="004D7C59"/>
    <w:rsid w:val="004E0EB8"/>
    <w:rsid w:val="004E2ADC"/>
    <w:rsid w:val="004F1D02"/>
    <w:rsid w:val="004F2679"/>
    <w:rsid w:val="00500B2E"/>
    <w:rsid w:val="00500CA5"/>
    <w:rsid w:val="00506E16"/>
    <w:rsid w:val="005152B5"/>
    <w:rsid w:val="00521319"/>
    <w:rsid w:val="00521CCC"/>
    <w:rsid w:val="00523C28"/>
    <w:rsid w:val="005339BB"/>
    <w:rsid w:val="005356AE"/>
    <w:rsid w:val="00555109"/>
    <w:rsid w:val="0055606D"/>
    <w:rsid w:val="0056276A"/>
    <w:rsid w:val="0056696F"/>
    <w:rsid w:val="00572E6D"/>
    <w:rsid w:val="005730C5"/>
    <w:rsid w:val="00576972"/>
    <w:rsid w:val="00577717"/>
    <w:rsid w:val="005801E9"/>
    <w:rsid w:val="00583699"/>
    <w:rsid w:val="00592A73"/>
    <w:rsid w:val="005A2F06"/>
    <w:rsid w:val="005B1B5E"/>
    <w:rsid w:val="005B5857"/>
    <w:rsid w:val="005C1B83"/>
    <w:rsid w:val="005C346B"/>
    <w:rsid w:val="005C6ED3"/>
    <w:rsid w:val="005D18AD"/>
    <w:rsid w:val="005D736C"/>
    <w:rsid w:val="005D79B7"/>
    <w:rsid w:val="005D7E3E"/>
    <w:rsid w:val="005E21DF"/>
    <w:rsid w:val="005F03E2"/>
    <w:rsid w:val="005F2706"/>
    <w:rsid w:val="005F6A8F"/>
    <w:rsid w:val="0060587C"/>
    <w:rsid w:val="00607669"/>
    <w:rsid w:val="00612F97"/>
    <w:rsid w:val="006137B7"/>
    <w:rsid w:val="00616802"/>
    <w:rsid w:val="00617E12"/>
    <w:rsid w:val="00621477"/>
    <w:rsid w:val="00623984"/>
    <w:rsid w:val="0062400B"/>
    <w:rsid w:val="00631D6B"/>
    <w:rsid w:val="0063479F"/>
    <w:rsid w:val="006364A1"/>
    <w:rsid w:val="00637BFD"/>
    <w:rsid w:val="006405F0"/>
    <w:rsid w:val="00645657"/>
    <w:rsid w:val="006471CC"/>
    <w:rsid w:val="0065079F"/>
    <w:rsid w:val="00657F8B"/>
    <w:rsid w:val="00664652"/>
    <w:rsid w:val="00672379"/>
    <w:rsid w:val="00674E42"/>
    <w:rsid w:val="00675AA9"/>
    <w:rsid w:val="00682112"/>
    <w:rsid w:val="006833BA"/>
    <w:rsid w:val="00686D07"/>
    <w:rsid w:val="00694F44"/>
    <w:rsid w:val="006A1F8F"/>
    <w:rsid w:val="006C0F93"/>
    <w:rsid w:val="006C2A8E"/>
    <w:rsid w:val="006C3467"/>
    <w:rsid w:val="006D3C7D"/>
    <w:rsid w:val="006D54C0"/>
    <w:rsid w:val="006D67AD"/>
    <w:rsid w:val="006F5487"/>
    <w:rsid w:val="006F63A5"/>
    <w:rsid w:val="0070276E"/>
    <w:rsid w:val="00711A36"/>
    <w:rsid w:val="00714F0E"/>
    <w:rsid w:val="0071556F"/>
    <w:rsid w:val="00716C84"/>
    <w:rsid w:val="007172AD"/>
    <w:rsid w:val="007265FB"/>
    <w:rsid w:val="00735328"/>
    <w:rsid w:val="0073685B"/>
    <w:rsid w:val="007474AD"/>
    <w:rsid w:val="00761134"/>
    <w:rsid w:val="007730AD"/>
    <w:rsid w:val="00775123"/>
    <w:rsid w:val="007769F8"/>
    <w:rsid w:val="007A30D5"/>
    <w:rsid w:val="007B251D"/>
    <w:rsid w:val="007B77D1"/>
    <w:rsid w:val="007C1168"/>
    <w:rsid w:val="007D0B38"/>
    <w:rsid w:val="007E578B"/>
    <w:rsid w:val="007F1017"/>
    <w:rsid w:val="007F4A3F"/>
    <w:rsid w:val="0080308A"/>
    <w:rsid w:val="008047C9"/>
    <w:rsid w:val="00805142"/>
    <w:rsid w:val="00807A8B"/>
    <w:rsid w:val="00812149"/>
    <w:rsid w:val="008166EF"/>
    <w:rsid w:val="008264EB"/>
    <w:rsid w:val="00833C1D"/>
    <w:rsid w:val="00840CA2"/>
    <w:rsid w:val="00856E9A"/>
    <w:rsid w:val="00862200"/>
    <w:rsid w:val="00872F19"/>
    <w:rsid w:val="00882874"/>
    <w:rsid w:val="00883787"/>
    <w:rsid w:val="00892BF1"/>
    <w:rsid w:val="008963A5"/>
    <w:rsid w:val="008975AC"/>
    <w:rsid w:val="008A3C3E"/>
    <w:rsid w:val="008A79DE"/>
    <w:rsid w:val="008B7D7E"/>
    <w:rsid w:val="008C79D3"/>
    <w:rsid w:val="008C7ECB"/>
    <w:rsid w:val="008D0D71"/>
    <w:rsid w:val="008E1B9E"/>
    <w:rsid w:val="008F48EB"/>
    <w:rsid w:val="008F4F0B"/>
    <w:rsid w:val="00901B99"/>
    <w:rsid w:val="009062A5"/>
    <w:rsid w:val="00911272"/>
    <w:rsid w:val="0091510D"/>
    <w:rsid w:val="00915A53"/>
    <w:rsid w:val="00925941"/>
    <w:rsid w:val="0092610E"/>
    <w:rsid w:val="00940E53"/>
    <w:rsid w:val="009530CE"/>
    <w:rsid w:val="0095767B"/>
    <w:rsid w:val="00961AF9"/>
    <w:rsid w:val="00962623"/>
    <w:rsid w:val="00962CB9"/>
    <w:rsid w:val="00964312"/>
    <w:rsid w:val="00977598"/>
    <w:rsid w:val="0098002F"/>
    <w:rsid w:val="00983E57"/>
    <w:rsid w:val="00996B1A"/>
    <w:rsid w:val="009B262D"/>
    <w:rsid w:val="009B3E26"/>
    <w:rsid w:val="009C49D5"/>
    <w:rsid w:val="009D55C7"/>
    <w:rsid w:val="009D5B91"/>
    <w:rsid w:val="009E2193"/>
    <w:rsid w:val="009E4C07"/>
    <w:rsid w:val="009F3477"/>
    <w:rsid w:val="00A03D43"/>
    <w:rsid w:val="00A04380"/>
    <w:rsid w:val="00A13948"/>
    <w:rsid w:val="00A20CCF"/>
    <w:rsid w:val="00A27AEC"/>
    <w:rsid w:val="00A35D16"/>
    <w:rsid w:val="00A40FBD"/>
    <w:rsid w:val="00A41A44"/>
    <w:rsid w:val="00A438C9"/>
    <w:rsid w:val="00A43B4C"/>
    <w:rsid w:val="00A43C59"/>
    <w:rsid w:val="00A50ECD"/>
    <w:rsid w:val="00A52729"/>
    <w:rsid w:val="00A53486"/>
    <w:rsid w:val="00A53675"/>
    <w:rsid w:val="00A56B6A"/>
    <w:rsid w:val="00A578DC"/>
    <w:rsid w:val="00A602DD"/>
    <w:rsid w:val="00A64966"/>
    <w:rsid w:val="00A6603A"/>
    <w:rsid w:val="00A6725B"/>
    <w:rsid w:val="00A802F5"/>
    <w:rsid w:val="00A86E8B"/>
    <w:rsid w:val="00A93072"/>
    <w:rsid w:val="00A97667"/>
    <w:rsid w:val="00AA0A07"/>
    <w:rsid w:val="00AB042A"/>
    <w:rsid w:val="00AB07F3"/>
    <w:rsid w:val="00AB3430"/>
    <w:rsid w:val="00AB7CFA"/>
    <w:rsid w:val="00AC44AC"/>
    <w:rsid w:val="00AD00B8"/>
    <w:rsid w:val="00AD2223"/>
    <w:rsid w:val="00AD3B0D"/>
    <w:rsid w:val="00AD5DEA"/>
    <w:rsid w:val="00AD747D"/>
    <w:rsid w:val="00AE2DBD"/>
    <w:rsid w:val="00B01DDA"/>
    <w:rsid w:val="00B121D4"/>
    <w:rsid w:val="00B23859"/>
    <w:rsid w:val="00B365F9"/>
    <w:rsid w:val="00B405D9"/>
    <w:rsid w:val="00B42851"/>
    <w:rsid w:val="00B4737C"/>
    <w:rsid w:val="00B515A6"/>
    <w:rsid w:val="00B54B5B"/>
    <w:rsid w:val="00B5562E"/>
    <w:rsid w:val="00B57000"/>
    <w:rsid w:val="00B608CF"/>
    <w:rsid w:val="00B60939"/>
    <w:rsid w:val="00B60AFD"/>
    <w:rsid w:val="00B62715"/>
    <w:rsid w:val="00B634AE"/>
    <w:rsid w:val="00B77A3A"/>
    <w:rsid w:val="00B818A4"/>
    <w:rsid w:val="00B8302B"/>
    <w:rsid w:val="00B8649C"/>
    <w:rsid w:val="00B92D0B"/>
    <w:rsid w:val="00B94945"/>
    <w:rsid w:val="00BC3507"/>
    <w:rsid w:val="00BE2180"/>
    <w:rsid w:val="00BE2C83"/>
    <w:rsid w:val="00BE37E5"/>
    <w:rsid w:val="00BE4275"/>
    <w:rsid w:val="00BE5384"/>
    <w:rsid w:val="00BF23ED"/>
    <w:rsid w:val="00BF2433"/>
    <w:rsid w:val="00BF61C9"/>
    <w:rsid w:val="00BF7473"/>
    <w:rsid w:val="00C1253B"/>
    <w:rsid w:val="00C25418"/>
    <w:rsid w:val="00C25D9C"/>
    <w:rsid w:val="00C31649"/>
    <w:rsid w:val="00C40385"/>
    <w:rsid w:val="00C4050C"/>
    <w:rsid w:val="00C55923"/>
    <w:rsid w:val="00C65576"/>
    <w:rsid w:val="00C66165"/>
    <w:rsid w:val="00C8213F"/>
    <w:rsid w:val="00C8797A"/>
    <w:rsid w:val="00C91E88"/>
    <w:rsid w:val="00C938CF"/>
    <w:rsid w:val="00C96DDD"/>
    <w:rsid w:val="00C9712A"/>
    <w:rsid w:val="00C97D26"/>
    <w:rsid w:val="00CA1EE4"/>
    <w:rsid w:val="00CA5245"/>
    <w:rsid w:val="00CA7B09"/>
    <w:rsid w:val="00CB5B1A"/>
    <w:rsid w:val="00CC238E"/>
    <w:rsid w:val="00CC451B"/>
    <w:rsid w:val="00CD1831"/>
    <w:rsid w:val="00CD1DBE"/>
    <w:rsid w:val="00CD6ADC"/>
    <w:rsid w:val="00CE258A"/>
    <w:rsid w:val="00CE6274"/>
    <w:rsid w:val="00CF456B"/>
    <w:rsid w:val="00CF5A22"/>
    <w:rsid w:val="00D0262E"/>
    <w:rsid w:val="00D04C42"/>
    <w:rsid w:val="00D06FD4"/>
    <w:rsid w:val="00D110BD"/>
    <w:rsid w:val="00D12AF5"/>
    <w:rsid w:val="00D1430C"/>
    <w:rsid w:val="00D159C8"/>
    <w:rsid w:val="00D17D6C"/>
    <w:rsid w:val="00D21E10"/>
    <w:rsid w:val="00D45F64"/>
    <w:rsid w:val="00D5627C"/>
    <w:rsid w:val="00D65670"/>
    <w:rsid w:val="00D7542D"/>
    <w:rsid w:val="00D76A44"/>
    <w:rsid w:val="00D86AA1"/>
    <w:rsid w:val="00D9286C"/>
    <w:rsid w:val="00D92DBC"/>
    <w:rsid w:val="00D93753"/>
    <w:rsid w:val="00DA77A5"/>
    <w:rsid w:val="00DB7B9E"/>
    <w:rsid w:val="00DC5501"/>
    <w:rsid w:val="00DD2072"/>
    <w:rsid w:val="00DD3F28"/>
    <w:rsid w:val="00DD4537"/>
    <w:rsid w:val="00DD4E15"/>
    <w:rsid w:val="00DE4FCB"/>
    <w:rsid w:val="00DF0913"/>
    <w:rsid w:val="00DF607D"/>
    <w:rsid w:val="00DF6F0D"/>
    <w:rsid w:val="00E06CB1"/>
    <w:rsid w:val="00E10149"/>
    <w:rsid w:val="00E10B08"/>
    <w:rsid w:val="00E16372"/>
    <w:rsid w:val="00E16734"/>
    <w:rsid w:val="00E16F2F"/>
    <w:rsid w:val="00E172B0"/>
    <w:rsid w:val="00E2013F"/>
    <w:rsid w:val="00E20ED6"/>
    <w:rsid w:val="00E21358"/>
    <w:rsid w:val="00E2249B"/>
    <w:rsid w:val="00E263F0"/>
    <w:rsid w:val="00E2771E"/>
    <w:rsid w:val="00E37569"/>
    <w:rsid w:val="00E41E30"/>
    <w:rsid w:val="00E469F4"/>
    <w:rsid w:val="00E47B2C"/>
    <w:rsid w:val="00E5126A"/>
    <w:rsid w:val="00E55424"/>
    <w:rsid w:val="00E64217"/>
    <w:rsid w:val="00E65CA7"/>
    <w:rsid w:val="00E65E79"/>
    <w:rsid w:val="00E67416"/>
    <w:rsid w:val="00E718B6"/>
    <w:rsid w:val="00E73581"/>
    <w:rsid w:val="00E74560"/>
    <w:rsid w:val="00E80D69"/>
    <w:rsid w:val="00E83BDF"/>
    <w:rsid w:val="00E92BA1"/>
    <w:rsid w:val="00E930B8"/>
    <w:rsid w:val="00EA3864"/>
    <w:rsid w:val="00EA4E09"/>
    <w:rsid w:val="00EC00C9"/>
    <w:rsid w:val="00EE07D3"/>
    <w:rsid w:val="00EE07DB"/>
    <w:rsid w:val="00EF112E"/>
    <w:rsid w:val="00F0411E"/>
    <w:rsid w:val="00F0564E"/>
    <w:rsid w:val="00F058C9"/>
    <w:rsid w:val="00F067A2"/>
    <w:rsid w:val="00F07C6A"/>
    <w:rsid w:val="00F12A31"/>
    <w:rsid w:val="00F14C9A"/>
    <w:rsid w:val="00F24837"/>
    <w:rsid w:val="00F2575F"/>
    <w:rsid w:val="00F338FF"/>
    <w:rsid w:val="00F33DE9"/>
    <w:rsid w:val="00F3619A"/>
    <w:rsid w:val="00F42C00"/>
    <w:rsid w:val="00F45F54"/>
    <w:rsid w:val="00F46CB6"/>
    <w:rsid w:val="00F55E73"/>
    <w:rsid w:val="00F80E5D"/>
    <w:rsid w:val="00F82BDF"/>
    <w:rsid w:val="00F851CE"/>
    <w:rsid w:val="00F94FDB"/>
    <w:rsid w:val="00F97A78"/>
    <w:rsid w:val="00FA0ED5"/>
    <w:rsid w:val="00FB2FCB"/>
    <w:rsid w:val="00FB661C"/>
    <w:rsid w:val="00FC1074"/>
    <w:rsid w:val="00FC1884"/>
    <w:rsid w:val="00FC1AA8"/>
    <w:rsid w:val="00FC2344"/>
    <w:rsid w:val="00FC7BF9"/>
    <w:rsid w:val="00FD2100"/>
    <w:rsid w:val="00FD446D"/>
    <w:rsid w:val="00FE70B2"/>
    <w:rsid w:val="00FF3DCF"/>
    <w:rsid w:val="00FF5AA3"/>
    <w:rsid w:val="00FF6F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0A0ABB"/>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0A0ABB"/>
    <w:pPr>
      <w:numPr>
        <w:numId w:val="1"/>
      </w:numPr>
      <w:outlineLvl w:val="0"/>
    </w:pPr>
    <w:rPr>
      <w:rFonts w:ascii="Arial" w:hAnsi="Arial" w:cs="Arial"/>
      <w:b/>
      <w:snapToGrid w:val="0"/>
      <w:sz w:val="22"/>
      <w:szCs w:val="22"/>
      <w:lang w:eastAsia="en-US"/>
    </w:rPr>
  </w:style>
  <w:style w:type="paragraph" w:customStyle="1" w:styleId="tablenotes">
    <w:name w:val="table notes"/>
    <w:basedOn w:val="BodyText2"/>
    <w:qFormat/>
    <w:rsid w:val="006405F0"/>
    <w:pPr>
      <w:spacing w:after="0" w:line="240" w:lineRule="auto"/>
    </w:pPr>
    <w:rPr>
      <w:rFonts w:cs="Times New Roman"/>
      <w:sz w:val="20"/>
    </w:rPr>
  </w:style>
  <w:style w:type="character" w:customStyle="1" w:styleId="ListParagraphChar">
    <w:name w:val="List Paragraph Char"/>
    <w:aliases w:val="BulletPoints Char"/>
    <w:basedOn w:val="DefaultParagraphFont"/>
    <w:link w:val="ListParagraph"/>
    <w:uiPriority w:val="34"/>
    <w:rsid w:val="00977598"/>
    <w:rPr>
      <w:rFonts w:ascii="Arial" w:hAnsi="Arial" w:cs="Arial"/>
      <w:snapToGrid w:val="0"/>
      <w:sz w:val="22"/>
      <w:lang w:eastAsia="en-US"/>
    </w:rPr>
  </w:style>
  <w:style w:type="character" w:styleId="IntenseReference">
    <w:name w:val="Intense Reference"/>
    <w:uiPriority w:val="32"/>
    <w:qFormat/>
    <w:rsid w:val="00977598"/>
    <w:rPr>
      <w:b/>
      <w:bCs/>
      <w:i/>
      <w:smallCaps/>
      <w:color w:val="C0504D"/>
      <w:spacing w:val="5"/>
      <w:u w:val="none"/>
    </w:rPr>
  </w:style>
  <w:style w:type="table" w:customStyle="1" w:styleId="Summarybox1">
    <w:name w:val="Summary box1"/>
    <w:basedOn w:val="TableNormal"/>
    <w:next w:val="TableGrid"/>
    <w:uiPriority w:val="59"/>
    <w:rsid w:val="0021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FF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B23859"/>
    <w:rPr>
      <w:lang w:eastAsia="en-US"/>
    </w:rPr>
  </w:style>
  <w:style w:type="paragraph" w:styleId="Subtitle">
    <w:name w:val="Subtitle"/>
    <w:basedOn w:val="Normal"/>
    <w:link w:val="SubtitleChar"/>
    <w:qFormat/>
    <w:rsid w:val="00B23859"/>
    <w:pPr>
      <w:widowControl/>
    </w:pPr>
    <w:rPr>
      <w:rFonts w:ascii="Times New Roman" w:hAnsi="Times New Roman" w:cs="Times New Roman"/>
      <w:snapToGrid/>
      <w:sz w:val="20"/>
    </w:rPr>
  </w:style>
  <w:style w:type="character" w:customStyle="1" w:styleId="SubtitleChar1">
    <w:name w:val="Subtitle Char1"/>
    <w:basedOn w:val="DefaultParagraphFont"/>
    <w:rsid w:val="00B2385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E10B08"/>
    <w:pPr>
      <w:ind w:left="720" w:hanging="720"/>
      <w:outlineLvl w:val="0"/>
    </w:pPr>
    <w:rPr>
      <w:rFonts w:ascii="Arial" w:hAnsi="Arial" w:cs="Arial"/>
      <w:b/>
      <w:snapToGrid w:val="0"/>
      <w:sz w:val="22"/>
      <w:szCs w:val="22"/>
      <w:lang w:eastAsia="en-US"/>
    </w:rPr>
  </w:style>
  <w:style w:type="paragraph" w:styleId="ListBullet">
    <w:name w:val="List Bullet"/>
    <w:basedOn w:val="Normal"/>
    <w:autoRedefine/>
    <w:rsid w:val="00382198"/>
    <w:pPr>
      <w:widowControl/>
      <w:jc w:val="left"/>
    </w:pPr>
    <w:rPr>
      <w:sz w:val="20"/>
    </w:rPr>
  </w:style>
  <w:style w:type="character" w:styleId="FollowedHyperlink">
    <w:name w:val="FollowedHyperlink"/>
    <w:basedOn w:val="DefaultParagraphFont"/>
    <w:semiHidden/>
    <w:unhideWhenUsed/>
    <w:rsid w:val="00077319"/>
    <w:rPr>
      <w:color w:val="800080" w:themeColor="followedHyperlink"/>
      <w:u w:val="single"/>
    </w:rPr>
  </w:style>
  <w:style w:type="paragraph" w:customStyle="1" w:styleId="Default">
    <w:name w:val="Default"/>
    <w:rsid w:val="00A802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0A0ABB"/>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0A0ABB"/>
    <w:pPr>
      <w:numPr>
        <w:numId w:val="1"/>
      </w:numPr>
      <w:outlineLvl w:val="0"/>
    </w:pPr>
    <w:rPr>
      <w:rFonts w:ascii="Arial" w:hAnsi="Arial" w:cs="Arial"/>
      <w:b/>
      <w:snapToGrid w:val="0"/>
      <w:sz w:val="22"/>
      <w:szCs w:val="22"/>
      <w:lang w:eastAsia="en-US"/>
    </w:rPr>
  </w:style>
  <w:style w:type="paragraph" w:customStyle="1" w:styleId="tablenotes">
    <w:name w:val="table notes"/>
    <w:basedOn w:val="BodyText2"/>
    <w:qFormat/>
    <w:rsid w:val="006405F0"/>
    <w:pPr>
      <w:spacing w:after="0" w:line="240" w:lineRule="auto"/>
    </w:pPr>
    <w:rPr>
      <w:rFonts w:cs="Times New Roman"/>
      <w:sz w:val="20"/>
    </w:rPr>
  </w:style>
  <w:style w:type="character" w:customStyle="1" w:styleId="ListParagraphChar">
    <w:name w:val="List Paragraph Char"/>
    <w:aliases w:val="BulletPoints Char"/>
    <w:basedOn w:val="DefaultParagraphFont"/>
    <w:link w:val="ListParagraph"/>
    <w:uiPriority w:val="34"/>
    <w:rsid w:val="00977598"/>
    <w:rPr>
      <w:rFonts w:ascii="Arial" w:hAnsi="Arial" w:cs="Arial"/>
      <w:snapToGrid w:val="0"/>
      <w:sz w:val="22"/>
      <w:lang w:eastAsia="en-US"/>
    </w:rPr>
  </w:style>
  <w:style w:type="character" w:styleId="IntenseReference">
    <w:name w:val="Intense Reference"/>
    <w:uiPriority w:val="32"/>
    <w:qFormat/>
    <w:rsid w:val="00977598"/>
    <w:rPr>
      <w:b/>
      <w:bCs/>
      <w:i/>
      <w:smallCaps/>
      <w:color w:val="C0504D"/>
      <w:spacing w:val="5"/>
      <w:u w:val="none"/>
    </w:rPr>
  </w:style>
  <w:style w:type="table" w:customStyle="1" w:styleId="Summarybox1">
    <w:name w:val="Summary box1"/>
    <w:basedOn w:val="TableNormal"/>
    <w:next w:val="TableGrid"/>
    <w:uiPriority w:val="59"/>
    <w:rsid w:val="0021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FF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B23859"/>
    <w:rPr>
      <w:lang w:eastAsia="en-US"/>
    </w:rPr>
  </w:style>
  <w:style w:type="paragraph" w:styleId="Subtitle">
    <w:name w:val="Subtitle"/>
    <w:basedOn w:val="Normal"/>
    <w:link w:val="SubtitleChar"/>
    <w:qFormat/>
    <w:rsid w:val="00B23859"/>
    <w:pPr>
      <w:widowControl/>
    </w:pPr>
    <w:rPr>
      <w:rFonts w:ascii="Times New Roman" w:hAnsi="Times New Roman" w:cs="Times New Roman"/>
      <w:snapToGrid/>
      <w:sz w:val="20"/>
    </w:rPr>
  </w:style>
  <w:style w:type="character" w:customStyle="1" w:styleId="SubtitleChar1">
    <w:name w:val="Subtitle Char1"/>
    <w:basedOn w:val="DefaultParagraphFont"/>
    <w:rsid w:val="00B2385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E10B08"/>
    <w:pPr>
      <w:ind w:left="720" w:hanging="720"/>
      <w:outlineLvl w:val="0"/>
    </w:pPr>
    <w:rPr>
      <w:rFonts w:ascii="Arial" w:hAnsi="Arial" w:cs="Arial"/>
      <w:b/>
      <w:snapToGrid w:val="0"/>
      <w:sz w:val="22"/>
      <w:szCs w:val="22"/>
      <w:lang w:eastAsia="en-US"/>
    </w:rPr>
  </w:style>
  <w:style w:type="paragraph" w:styleId="ListBullet">
    <w:name w:val="List Bullet"/>
    <w:basedOn w:val="Normal"/>
    <w:autoRedefine/>
    <w:rsid w:val="00382198"/>
    <w:pPr>
      <w:widowControl/>
      <w:jc w:val="left"/>
    </w:pPr>
    <w:rPr>
      <w:sz w:val="20"/>
    </w:rPr>
  </w:style>
  <w:style w:type="character" w:styleId="FollowedHyperlink">
    <w:name w:val="FollowedHyperlink"/>
    <w:basedOn w:val="DefaultParagraphFont"/>
    <w:semiHidden/>
    <w:unhideWhenUsed/>
    <w:rsid w:val="00077319"/>
    <w:rPr>
      <w:color w:val="800080" w:themeColor="followedHyperlink"/>
      <w:u w:val="single"/>
    </w:rPr>
  </w:style>
  <w:style w:type="paragraph" w:customStyle="1" w:styleId="Default">
    <w:name w:val="Default"/>
    <w:rsid w:val="00A802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0330">
      <w:bodyDiv w:val="1"/>
      <w:marLeft w:val="0"/>
      <w:marRight w:val="0"/>
      <w:marTop w:val="0"/>
      <w:marBottom w:val="0"/>
      <w:divBdr>
        <w:top w:val="none" w:sz="0" w:space="0" w:color="auto"/>
        <w:left w:val="none" w:sz="0" w:space="0" w:color="auto"/>
        <w:bottom w:val="none" w:sz="0" w:space="0" w:color="auto"/>
        <w:right w:val="none" w:sz="0" w:space="0" w:color="auto"/>
      </w:divBdr>
    </w:div>
    <w:div w:id="393545770">
      <w:bodyDiv w:val="1"/>
      <w:marLeft w:val="0"/>
      <w:marRight w:val="0"/>
      <w:marTop w:val="0"/>
      <w:marBottom w:val="0"/>
      <w:divBdr>
        <w:top w:val="none" w:sz="0" w:space="0" w:color="auto"/>
        <w:left w:val="none" w:sz="0" w:space="0" w:color="auto"/>
        <w:bottom w:val="none" w:sz="0" w:space="0" w:color="auto"/>
        <w:right w:val="none" w:sz="0" w:space="0" w:color="auto"/>
      </w:divBdr>
    </w:div>
    <w:div w:id="435445449">
      <w:bodyDiv w:val="1"/>
      <w:marLeft w:val="0"/>
      <w:marRight w:val="0"/>
      <w:marTop w:val="0"/>
      <w:marBottom w:val="0"/>
      <w:divBdr>
        <w:top w:val="none" w:sz="0" w:space="0" w:color="auto"/>
        <w:left w:val="none" w:sz="0" w:space="0" w:color="auto"/>
        <w:bottom w:val="none" w:sz="0" w:space="0" w:color="auto"/>
        <w:right w:val="none" w:sz="0" w:space="0" w:color="auto"/>
      </w:divBdr>
    </w:div>
    <w:div w:id="653606531">
      <w:bodyDiv w:val="1"/>
      <w:marLeft w:val="0"/>
      <w:marRight w:val="0"/>
      <w:marTop w:val="0"/>
      <w:marBottom w:val="0"/>
      <w:divBdr>
        <w:top w:val="none" w:sz="0" w:space="0" w:color="auto"/>
        <w:left w:val="none" w:sz="0" w:space="0" w:color="auto"/>
        <w:bottom w:val="none" w:sz="0" w:space="0" w:color="auto"/>
        <w:right w:val="none" w:sz="0" w:space="0" w:color="auto"/>
      </w:divBdr>
    </w:div>
    <w:div w:id="1168012776">
      <w:bodyDiv w:val="1"/>
      <w:marLeft w:val="0"/>
      <w:marRight w:val="0"/>
      <w:marTop w:val="0"/>
      <w:marBottom w:val="0"/>
      <w:divBdr>
        <w:top w:val="none" w:sz="0" w:space="0" w:color="auto"/>
        <w:left w:val="none" w:sz="0" w:space="0" w:color="auto"/>
        <w:bottom w:val="none" w:sz="0" w:space="0" w:color="auto"/>
        <w:right w:val="none" w:sz="0" w:space="0" w:color="auto"/>
      </w:divBdr>
    </w:div>
    <w:div w:id="1187719153">
      <w:bodyDiv w:val="1"/>
      <w:marLeft w:val="0"/>
      <w:marRight w:val="0"/>
      <w:marTop w:val="0"/>
      <w:marBottom w:val="0"/>
      <w:divBdr>
        <w:top w:val="none" w:sz="0" w:space="0" w:color="auto"/>
        <w:left w:val="none" w:sz="0" w:space="0" w:color="auto"/>
        <w:bottom w:val="none" w:sz="0" w:space="0" w:color="auto"/>
        <w:right w:val="none" w:sz="0" w:space="0" w:color="auto"/>
      </w:divBdr>
    </w:div>
    <w:div w:id="1192450609">
      <w:bodyDiv w:val="1"/>
      <w:marLeft w:val="0"/>
      <w:marRight w:val="0"/>
      <w:marTop w:val="0"/>
      <w:marBottom w:val="0"/>
      <w:divBdr>
        <w:top w:val="none" w:sz="0" w:space="0" w:color="auto"/>
        <w:left w:val="none" w:sz="0" w:space="0" w:color="auto"/>
        <w:bottom w:val="none" w:sz="0" w:space="0" w:color="auto"/>
        <w:right w:val="none" w:sz="0" w:space="0" w:color="auto"/>
      </w:divBdr>
    </w:div>
    <w:div w:id="1203785278">
      <w:bodyDiv w:val="1"/>
      <w:marLeft w:val="0"/>
      <w:marRight w:val="0"/>
      <w:marTop w:val="0"/>
      <w:marBottom w:val="0"/>
      <w:divBdr>
        <w:top w:val="none" w:sz="0" w:space="0" w:color="auto"/>
        <w:left w:val="none" w:sz="0" w:space="0" w:color="auto"/>
        <w:bottom w:val="none" w:sz="0" w:space="0" w:color="auto"/>
        <w:right w:val="none" w:sz="0" w:space="0" w:color="auto"/>
      </w:divBdr>
    </w:div>
    <w:div w:id="1381243367">
      <w:bodyDiv w:val="1"/>
      <w:marLeft w:val="0"/>
      <w:marRight w:val="0"/>
      <w:marTop w:val="0"/>
      <w:marBottom w:val="0"/>
      <w:divBdr>
        <w:top w:val="none" w:sz="0" w:space="0" w:color="auto"/>
        <w:left w:val="none" w:sz="0" w:space="0" w:color="auto"/>
        <w:bottom w:val="none" w:sz="0" w:space="0" w:color="auto"/>
        <w:right w:val="none" w:sz="0" w:space="0" w:color="auto"/>
      </w:divBdr>
    </w:div>
    <w:div w:id="1529876807">
      <w:bodyDiv w:val="1"/>
      <w:marLeft w:val="0"/>
      <w:marRight w:val="0"/>
      <w:marTop w:val="0"/>
      <w:marBottom w:val="0"/>
      <w:divBdr>
        <w:top w:val="none" w:sz="0" w:space="0" w:color="auto"/>
        <w:left w:val="none" w:sz="0" w:space="0" w:color="auto"/>
        <w:bottom w:val="none" w:sz="0" w:space="0" w:color="auto"/>
        <w:right w:val="none" w:sz="0" w:space="0" w:color="auto"/>
      </w:divBdr>
    </w:div>
    <w:div w:id="1530877266">
      <w:bodyDiv w:val="1"/>
      <w:marLeft w:val="0"/>
      <w:marRight w:val="0"/>
      <w:marTop w:val="0"/>
      <w:marBottom w:val="0"/>
      <w:divBdr>
        <w:top w:val="none" w:sz="0" w:space="0" w:color="auto"/>
        <w:left w:val="none" w:sz="0" w:space="0" w:color="auto"/>
        <w:bottom w:val="none" w:sz="0" w:space="0" w:color="auto"/>
        <w:right w:val="none" w:sz="0" w:space="0" w:color="auto"/>
      </w:divBdr>
    </w:div>
    <w:div w:id="1564483590">
      <w:bodyDiv w:val="1"/>
      <w:marLeft w:val="0"/>
      <w:marRight w:val="0"/>
      <w:marTop w:val="0"/>
      <w:marBottom w:val="0"/>
      <w:divBdr>
        <w:top w:val="none" w:sz="0" w:space="0" w:color="auto"/>
        <w:left w:val="none" w:sz="0" w:space="0" w:color="auto"/>
        <w:bottom w:val="none" w:sz="0" w:space="0" w:color="auto"/>
        <w:right w:val="none" w:sz="0" w:space="0" w:color="auto"/>
      </w:divBdr>
    </w:div>
    <w:div w:id="1585339914">
      <w:bodyDiv w:val="1"/>
      <w:marLeft w:val="0"/>
      <w:marRight w:val="0"/>
      <w:marTop w:val="0"/>
      <w:marBottom w:val="0"/>
      <w:divBdr>
        <w:top w:val="none" w:sz="0" w:space="0" w:color="auto"/>
        <w:left w:val="none" w:sz="0" w:space="0" w:color="auto"/>
        <w:bottom w:val="none" w:sz="0" w:space="0" w:color="auto"/>
        <w:right w:val="none" w:sz="0" w:space="0" w:color="auto"/>
      </w:divBdr>
    </w:div>
    <w:div w:id="1706559728">
      <w:bodyDiv w:val="1"/>
      <w:marLeft w:val="0"/>
      <w:marRight w:val="0"/>
      <w:marTop w:val="0"/>
      <w:marBottom w:val="0"/>
      <w:divBdr>
        <w:top w:val="none" w:sz="0" w:space="0" w:color="auto"/>
        <w:left w:val="none" w:sz="0" w:space="0" w:color="auto"/>
        <w:bottom w:val="none" w:sz="0" w:space="0" w:color="auto"/>
        <w:right w:val="none" w:sz="0" w:space="0" w:color="auto"/>
      </w:divBdr>
    </w:div>
    <w:div w:id="1750888917">
      <w:bodyDiv w:val="1"/>
      <w:marLeft w:val="0"/>
      <w:marRight w:val="0"/>
      <w:marTop w:val="0"/>
      <w:marBottom w:val="0"/>
      <w:divBdr>
        <w:top w:val="none" w:sz="0" w:space="0" w:color="auto"/>
        <w:left w:val="none" w:sz="0" w:space="0" w:color="auto"/>
        <w:bottom w:val="none" w:sz="0" w:space="0" w:color="auto"/>
        <w:right w:val="none" w:sz="0" w:space="0" w:color="auto"/>
      </w:divBdr>
    </w:div>
    <w:div w:id="1821800497">
      <w:bodyDiv w:val="1"/>
      <w:marLeft w:val="0"/>
      <w:marRight w:val="0"/>
      <w:marTop w:val="0"/>
      <w:marBottom w:val="0"/>
      <w:divBdr>
        <w:top w:val="none" w:sz="0" w:space="0" w:color="auto"/>
        <w:left w:val="none" w:sz="0" w:space="0" w:color="auto"/>
        <w:bottom w:val="none" w:sz="0" w:space="0" w:color="auto"/>
        <w:right w:val="none" w:sz="0" w:space="0" w:color="auto"/>
      </w:divBdr>
    </w:div>
    <w:div w:id="1902473022">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6219-FDAE-4968-A9BB-9F09CDC1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4172</Words>
  <Characters>25746</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2016-06-21T03:53:00Z</dcterms:created>
  <dcterms:modified xsi:type="dcterms:W3CDTF">2016-06-22T02:39:00Z</dcterms:modified>
</cp:coreProperties>
</file>