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AF3FB1" w:rsidRDefault="00ED1FB5" w:rsidP="006652B4">
      <w:pPr>
        <w:pStyle w:val="Title"/>
        <w:ind w:left="0" w:firstLine="0"/>
      </w:pPr>
      <w:r w:rsidRPr="00AF3FB1">
        <w:t>4.02</w:t>
      </w:r>
      <w:r w:rsidR="00DF6AAE" w:rsidRPr="00AF3FB1">
        <w:tab/>
      </w:r>
      <w:r w:rsidR="0038442E" w:rsidRPr="00AF3FB1">
        <w:t xml:space="preserve">AMINO ACID FORMULA WITH </w:t>
      </w:r>
      <w:r w:rsidR="004C6E62" w:rsidRPr="00AF3FB1">
        <w:t xml:space="preserve">CARBOHYDRATE, </w:t>
      </w:r>
      <w:r w:rsidR="0038442E" w:rsidRPr="00AF3FB1">
        <w:t xml:space="preserve">VITAMINS MINERALS </w:t>
      </w:r>
      <w:r w:rsidR="004C6E62" w:rsidRPr="00AF3FB1">
        <w:t xml:space="preserve">AND TRACE ELEMENTS </w:t>
      </w:r>
      <w:r w:rsidR="0038442E" w:rsidRPr="00AF3FB1">
        <w:t>WITHOUT PHENYLALANINE</w:t>
      </w:r>
      <w:r w:rsidR="00F038B2">
        <w:t xml:space="preserve"> </w:t>
      </w:r>
      <w:r w:rsidR="00F038B2">
        <w:br/>
      </w:r>
      <w:r w:rsidR="007D3C2D" w:rsidRPr="00AF3FB1">
        <w:t>Oral liquid: powder for, 30 x 20 g sachets</w:t>
      </w:r>
      <w:r w:rsidR="0038442E" w:rsidRPr="00AF3FB1">
        <w:t>;</w:t>
      </w:r>
      <w:r w:rsidR="007D3C2D" w:rsidRPr="00AF3FB1">
        <w:t xml:space="preserve"> </w:t>
      </w:r>
      <w:r w:rsidR="00F038B2">
        <w:br/>
      </w:r>
      <w:r w:rsidR="0038442E" w:rsidRPr="00AF3FB1">
        <w:t xml:space="preserve">PKU Go, </w:t>
      </w:r>
      <w:proofErr w:type="spellStart"/>
      <w:r w:rsidR="007D3C2D" w:rsidRPr="00AF3FB1">
        <w:t>Orpharma</w:t>
      </w:r>
      <w:proofErr w:type="spellEnd"/>
      <w:r w:rsidR="007D3C2D" w:rsidRPr="00AF3FB1">
        <w:t xml:space="preserve"> Pty Ltd</w:t>
      </w:r>
      <w:r w:rsidR="0038442E" w:rsidRPr="00AF3FB1">
        <w:t>.</w:t>
      </w:r>
    </w:p>
    <w:p w:rsidR="00CE10C4" w:rsidRDefault="00CE10C4" w:rsidP="00C27B58">
      <w:pPr>
        <w:pStyle w:val="NoSpacing"/>
      </w:pPr>
    </w:p>
    <w:p w:rsidR="00C27B58" w:rsidRDefault="00C27B58" w:rsidP="00C27B58">
      <w:pPr>
        <w:pStyle w:val="NoSpacing"/>
      </w:pPr>
    </w:p>
    <w:p w:rsidR="00CE10C4" w:rsidRPr="00D7018A" w:rsidRDefault="00CE10C4" w:rsidP="00D7018A">
      <w:pPr>
        <w:pStyle w:val="Heading1"/>
      </w:pPr>
      <w:r w:rsidRPr="00D7018A">
        <w:t xml:space="preserve">Purpose of </w:t>
      </w:r>
      <w:r w:rsidR="0004240E" w:rsidRPr="00D7018A">
        <w:t>Application</w:t>
      </w:r>
    </w:p>
    <w:p w:rsidR="006A12A5" w:rsidRPr="00882085" w:rsidRDefault="006A12A5" w:rsidP="00882085">
      <w:pPr>
        <w:jc w:val="both"/>
        <w:rPr>
          <w:rFonts w:ascii="Arial" w:hAnsi="Arial"/>
          <w:sz w:val="22"/>
          <w:szCs w:val="22"/>
        </w:rPr>
      </w:pPr>
    </w:p>
    <w:p w:rsidR="00F9629A" w:rsidRPr="00F9629A" w:rsidRDefault="000A4E96" w:rsidP="00C27B58">
      <w:pPr>
        <w:pStyle w:val="NoSpacing"/>
      </w:pPr>
      <w:r>
        <w:t xml:space="preserve">1.1 </w:t>
      </w:r>
      <w:r>
        <w:tab/>
        <w:t xml:space="preserve">The minor submission requested a </w:t>
      </w:r>
      <w:r w:rsidR="005D16E1">
        <w:t>R</w:t>
      </w:r>
      <w:r>
        <w:t xml:space="preserve">estricted </w:t>
      </w:r>
      <w:r w:rsidR="005D16E1">
        <w:t>B</w:t>
      </w:r>
      <w:r>
        <w:t>enefit listing for phenylketonuria</w:t>
      </w:r>
      <w:r w:rsidR="00ED1FB5">
        <w:t>.</w:t>
      </w:r>
    </w:p>
    <w:p w:rsidR="00EF44A0" w:rsidRPr="00C27B58" w:rsidRDefault="00EF44A0" w:rsidP="00C27B58">
      <w:pPr>
        <w:pStyle w:val="NoSpacing"/>
      </w:pPr>
    </w:p>
    <w:p w:rsidR="00614159" w:rsidRPr="00882085" w:rsidRDefault="006A12A5" w:rsidP="00D7018A">
      <w:pPr>
        <w:pStyle w:val="Heading1"/>
        <w:rPr>
          <w:b w:val="0"/>
        </w:rPr>
      </w:pPr>
      <w:r w:rsidRPr="00882085">
        <w:t>Requested listing</w:t>
      </w:r>
    </w:p>
    <w:p w:rsidR="000A4E96" w:rsidRPr="00247CF5" w:rsidRDefault="000A4E96" w:rsidP="00247CF5">
      <w:pPr>
        <w:jc w:val="both"/>
        <w:rPr>
          <w:rFonts w:ascii="Arial" w:hAnsi="Arial"/>
          <w:sz w:val="22"/>
          <w:szCs w:val="22"/>
        </w:rPr>
      </w:pP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0A4E96" w:rsidRPr="00263CB8" w:rsidRDefault="000A4E96" w:rsidP="000A4E96">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826F6D" w:rsidRPr="00260CE3" w:rsidRDefault="000A4E96" w:rsidP="000A4E96">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20g sachets</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0A4E96" w:rsidP="00C27B58">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0A4E96"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C27B58">
            <w:pPr>
              <w:keepNext/>
              <w:ind w:left="-108"/>
              <w:jc w:val="both"/>
              <w:rPr>
                <w:rFonts w:ascii="Arial Narrow" w:hAnsi="Arial Narrow" w:cs="Arial"/>
                <w:sz w:val="20"/>
                <w:szCs w:val="20"/>
              </w:rPr>
            </w:pPr>
            <w:r w:rsidRPr="00260CE3">
              <w:rPr>
                <w:rFonts w:ascii="Arial Narrow" w:hAnsi="Arial Narrow" w:cs="Arial"/>
                <w:sz w:val="20"/>
                <w:szCs w:val="20"/>
              </w:rPr>
              <w:t>$</w:t>
            </w:r>
            <w:r w:rsidR="006D127F">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0A4E96" w:rsidRPr="00263CB8" w:rsidRDefault="000A4E96" w:rsidP="000A4E96">
            <w:pPr>
              <w:keepNext/>
              <w:rPr>
                <w:rFonts w:ascii="Arial Narrow" w:hAnsi="Arial Narrow" w:cs="Arial"/>
                <w:sz w:val="20"/>
              </w:rPr>
            </w:pPr>
            <w:r w:rsidRPr="00263CB8">
              <w:rPr>
                <w:rFonts w:ascii="Arial Narrow" w:hAnsi="Arial Narrow" w:cs="Arial"/>
                <w:sz w:val="20"/>
              </w:rPr>
              <w:t xml:space="preserve">PKU </w:t>
            </w:r>
            <w:r w:rsidRPr="00783832">
              <w:rPr>
                <w:rFonts w:ascii="Arial Narrow" w:hAnsi="Arial Narrow" w:cs="Arial"/>
                <w:sz w:val="20"/>
              </w:rPr>
              <w:t>Go</w:t>
            </w:r>
          </w:p>
          <w:p w:rsidR="00826F6D" w:rsidRPr="00260CE3" w:rsidRDefault="00826F6D" w:rsidP="00C27B58">
            <w:pPr>
              <w:keepNext/>
              <w:jc w:val="both"/>
              <w:rPr>
                <w:rFonts w:ascii="Arial Narrow" w:hAnsi="Arial Narrow" w:cs="Arial"/>
                <w:sz w:val="20"/>
                <w:szCs w:val="20"/>
              </w:rPr>
            </w:pPr>
          </w:p>
        </w:tc>
        <w:tc>
          <w:tcPr>
            <w:tcW w:w="1134" w:type="dxa"/>
          </w:tcPr>
          <w:p w:rsidR="000A4E96" w:rsidRDefault="009947BB" w:rsidP="000A4E96">
            <w:pPr>
              <w:keepNext/>
              <w:rPr>
                <w:rFonts w:ascii="Arial Narrow" w:hAnsi="Arial Narrow" w:cs="Arial"/>
                <w:sz w:val="20"/>
              </w:rPr>
            </w:pPr>
            <w:proofErr w:type="spellStart"/>
            <w:r>
              <w:rPr>
                <w:rFonts w:ascii="Arial Narrow" w:hAnsi="Arial Narrow" w:cs="Arial"/>
                <w:sz w:val="20"/>
              </w:rPr>
              <w:t>Orphama</w:t>
            </w:r>
            <w:proofErr w:type="spellEnd"/>
            <w:r>
              <w:rPr>
                <w:rFonts w:ascii="Arial Narrow" w:hAnsi="Arial Narrow" w:cs="Arial"/>
                <w:sz w:val="20"/>
              </w:rPr>
              <w:t xml:space="preserve"> Pty Ltd</w:t>
            </w:r>
          </w:p>
          <w:p w:rsidR="00826F6D" w:rsidRPr="00260CE3" w:rsidRDefault="00826F6D" w:rsidP="00C27B58">
            <w:pPr>
              <w:keepNext/>
              <w:jc w:val="both"/>
              <w:rPr>
                <w:rFonts w:ascii="Arial Narrow" w:hAnsi="Arial Narrow" w:cs="Arial"/>
                <w:sz w:val="20"/>
                <w:szCs w:val="20"/>
              </w:rPr>
            </w:pP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A4E96">
              <w:rPr>
                <w:rFonts w:ascii="Arial Narrow" w:hAnsi="Arial Narrow" w:cs="Arial"/>
                <w:sz w:val="20"/>
                <w:szCs w:val="20"/>
              </w:rPr>
              <w:fldChar w:fldCharType="begin">
                <w:ffData>
                  <w:name w:val=""/>
                  <w:enabled/>
                  <w:calcOnExit w:val="0"/>
                  <w:checkBox>
                    <w:sizeAuto/>
                    <w:default w:val="1"/>
                  </w:checkBox>
                </w:ffData>
              </w:fldChar>
            </w:r>
            <w:r w:rsidR="000A4E96">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000A4E9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0A4E96">
              <w:rPr>
                <w:rFonts w:ascii="Arial Narrow" w:hAnsi="Arial Narrow" w:cs="Arial"/>
                <w:sz w:val="20"/>
                <w:szCs w:val="20"/>
              </w:rPr>
              <w:fldChar w:fldCharType="begin">
                <w:ffData>
                  <w:name w:val="Check3"/>
                  <w:enabled/>
                  <w:calcOnExit w:val="0"/>
                  <w:checkBox>
                    <w:sizeAuto/>
                    <w:default w:val="1"/>
                  </w:checkBox>
                </w:ffData>
              </w:fldChar>
            </w:r>
            <w:bookmarkStart w:id="0" w:name="Check3"/>
            <w:r w:rsidR="000A4E96">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000A4E96">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0A4E96"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826F6D" w:rsidRPr="00826F6D" w:rsidRDefault="00826F6D" w:rsidP="00826F6D">
      <w:pPr>
        <w:pStyle w:val="ListParagraph"/>
        <w:jc w:val="both"/>
        <w:rPr>
          <w:rFonts w:ascii="Arial" w:hAnsi="Arial"/>
          <w:sz w:val="22"/>
          <w:szCs w:val="22"/>
        </w:rPr>
      </w:pPr>
    </w:p>
    <w:p w:rsidR="000A4E96" w:rsidRDefault="000A4E96" w:rsidP="00067955">
      <w:pPr>
        <w:rPr>
          <w:rFonts w:ascii="Arial" w:hAnsi="Arial"/>
          <w:b/>
          <w:i/>
          <w:sz w:val="22"/>
          <w:szCs w:val="22"/>
        </w:rPr>
      </w:pPr>
    </w:p>
    <w:p w:rsidR="00CE10C4" w:rsidRPr="00882085" w:rsidRDefault="00CE10C4" w:rsidP="00D7018A">
      <w:pPr>
        <w:pStyle w:val="Heading1"/>
      </w:pPr>
      <w:r w:rsidRPr="00882085">
        <w:t>Background</w:t>
      </w:r>
    </w:p>
    <w:p w:rsidR="006A12A5" w:rsidRPr="00882085" w:rsidRDefault="006A12A5" w:rsidP="00882085">
      <w:pPr>
        <w:jc w:val="both"/>
        <w:rPr>
          <w:rFonts w:ascii="Arial" w:hAnsi="Arial"/>
          <w:sz w:val="22"/>
          <w:szCs w:val="22"/>
        </w:rPr>
      </w:pPr>
    </w:p>
    <w:p w:rsidR="00111ED6" w:rsidRPr="00DF6AAE" w:rsidRDefault="00111ED6" w:rsidP="00111ED6">
      <w:pPr>
        <w:pStyle w:val="ListParagraph"/>
        <w:numPr>
          <w:ilvl w:val="1"/>
          <w:numId w:val="2"/>
        </w:numPr>
        <w:spacing w:after="240"/>
        <w:contextualSpacing w:val="0"/>
        <w:jc w:val="both"/>
        <w:rPr>
          <w:rFonts w:ascii="Arial" w:hAnsi="Arial"/>
          <w:sz w:val="22"/>
          <w:szCs w:val="22"/>
        </w:rPr>
      </w:pPr>
      <w:r w:rsidRPr="00DF6AAE">
        <w:rPr>
          <w:rFonts w:ascii="Arial" w:hAnsi="Arial"/>
          <w:sz w:val="22"/>
          <w:szCs w:val="22"/>
        </w:rPr>
        <w:t xml:space="preserve">PKU </w:t>
      </w:r>
      <w:r w:rsidR="00793BB5" w:rsidRPr="00DF6AAE">
        <w:rPr>
          <w:rFonts w:ascii="Arial" w:hAnsi="Arial"/>
          <w:sz w:val="22"/>
          <w:szCs w:val="22"/>
        </w:rPr>
        <w:t>Go</w:t>
      </w:r>
      <w:r w:rsidRPr="00DF6AAE">
        <w:rPr>
          <w:rFonts w:ascii="Arial" w:hAnsi="Arial"/>
          <w:sz w:val="22"/>
          <w:szCs w:val="22"/>
        </w:rPr>
        <w:t xml:space="preserve"> does not requ</w:t>
      </w:r>
      <w:r w:rsidR="009E3375">
        <w:rPr>
          <w:rFonts w:ascii="Arial" w:hAnsi="Arial"/>
          <w:sz w:val="22"/>
          <w:szCs w:val="22"/>
        </w:rPr>
        <w:t>ire registration with the TGA. The sponsor confirmed</w:t>
      </w:r>
      <w:r w:rsidRPr="00DF6AAE">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9E3375">
        <w:rPr>
          <w:rFonts w:ascii="Arial" w:hAnsi="Arial"/>
          <w:sz w:val="22"/>
          <w:szCs w:val="22"/>
        </w:rPr>
        <w:t>.</w:t>
      </w:r>
    </w:p>
    <w:p w:rsidR="005D16E1" w:rsidRPr="005D16E1" w:rsidRDefault="00111ED6" w:rsidP="00111ED6">
      <w:pPr>
        <w:pStyle w:val="ListParagraph"/>
        <w:numPr>
          <w:ilvl w:val="1"/>
          <w:numId w:val="2"/>
        </w:numPr>
        <w:jc w:val="both"/>
        <w:rPr>
          <w:rFonts w:ascii="Arial" w:hAnsi="Arial"/>
          <w:b/>
          <w:sz w:val="22"/>
          <w:szCs w:val="22"/>
        </w:rPr>
      </w:pPr>
      <w:r w:rsidRPr="00DF6AAE">
        <w:rPr>
          <w:rFonts w:ascii="Arial" w:hAnsi="Arial"/>
          <w:sz w:val="22"/>
          <w:szCs w:val="22"/>
        </w:rPr>
        <w:t xml:space="preserve">PKU </w:t>
      </w:r>
      <w:r w:rsidR="00793BB5" w:rsidRPr="00DF6AAE">
        <w:rPr>
          <w:rFonts w:ascii="Arial" w:hAnsi="Arial"/>
          <w:sz w:val="22"/>
          <w:szCs w:val="22"/>
        </w:rPr>
        <w:t>Go</w:t>
      </w:r>
      <w:r w:rsidRPr="00DF6AAE">
        <w:rPr>
          <w:rFonts w:ascii="Arial" w:hAnsi="Arial"/>
          <w:sz w:val="22"/>
          <w:szCs w:val="22"/>
        </w:rPr>
        <w:t xml:space="preserve"> </w:t>
      </w:r>
      <w:r w:rsidR="00ED1FB5">
        <w:rPr>
          <w:rFonts w:ascii="Arial" w:hAnsi="Arial"/>
          <w:sz w:val="22"/>
          <w:szCs w:val="22"/>
        </w:rPr>
        <w:t>was</w:t>
      </w:r>
      <w:r w:rsidRPr="00DF6AAE">
        <w:rPr>
          <w:rFonts w:ascii="Arial" w:hAnsi="Arial"/>
          <w:sz w:val="22"/>
          <w:szCs w:val="22"/>
        </w:rPr>
        <w:t xml:space="preserve"> considered by</w:t>
      </w:r>
      <w:r w:rsidR="005D16E1">
        <w:rPr>
          <w:rFonts w:ascii="Arial" w:hAnsi="Arial"/>
          <w:sz w:val="22"/>
          <w:szCs w:val="22"/>
        </w:rPr>
        <w:t xml:space="preserve"> the Nutritional Products Working Party (NPWP) in September 2015 and</w:t>
      </w:r>
      <w:r w:rsidRPr="00DF6AAE">
        <w:rPr>
          <w:rFonts w:ascii="Arial" w:hAnsi="Arial"/>
          <w:sz w:val="22"/>
          <w:szCs w:val="22"/>
        </w:rPr>
        <w:t xml:space="preserve"> the PBAC </w:t>
      </w:r>
      <w:r w:rsidR="00ED1FB5">
        <w:rPr>
          <w:rFonts w:ascii="Arial" w:hAnsi="Arial"/>
          <w:sz w:val="22"/>
          <w:szCs w:val="22"/>
        </w:rPr>
        <w:t xml:space="preserve">in November 2015. </w:t>
      </w:r>
    </w:p>
    <w:p w:rsidR="005D16E1" w:rsidRPr="005D16E1" w:rsidRDefault="005D16E1" w:rsidP="005D16E1">
      <w:pPr>
        <w:pStyle w:val="ListParagraph"/>
        <w:numPr>
          <w:ilvl w:val="2"/>
          <w:numId w:val="2"/>
        </w:numPr>
        <w:ind w:left="993" w:hanging="284"/>
        <w:jc w:val="both"/>
        <w:rPr>
          <w:rFonts w:ascii="Arial" w:hAnsi="Arial"/>
          <w:sz w:val="22"/>
          <w:szCs w:val="22"/>
        </w:rPr>
      </w:pPr>
      <w:r>
        <w:rPr>
          <w:rFonts w:ascii="Arial" w:hAnsi="Arial"/>
          <w:sz w:val="22"/>
          <w:szCs w:val="22"/>
        </w:rPr>
        <w:lastRenderedPageBreak/>
        <w:t>In September 2015,</w:t>
      </w:r>
      <w:r w:rsidR="00ED1FB5">
        <w:rPr>
          <w:rFonts w:ascii="Arial" w:hAnsi="Arial"/>
          <w:sz w:val="22"/>
          <w:szCs w:val="22"/>
        </w:rPr>
        <w:t xml:space="preserve">The NPWP </w:t>
      </w:r>
      <w:r w:rsidR="00ED1FB5" w:rsidRPr="00F83D06">
        <w:rPr>
          <w:rFonts w:ascii="Arial" w:hAnsi="Arial"/>
          <w:sz w:val="22"/>
          <w:szCs w:val="22"/>
        </w:rPr>
        <w:t xml:space="preserve">deferred its consideration of </w:t>
      </w:r>
      <w:r w:rsidR="00ED1FB5">
        <w:rPr>
          <w:rFonts w:ascii="Arial" w:hAnsi="Arial"/>
          <w:sz w:val="22"/>
          <w:szCs w:val="22"/>
        </w:rPr>
        <w:t>the</w:t>
      </w:r>
      <w:r w:rsidR="00ED1FB5" w:rsidRPr="00F83D06">
        <w:rPr>
          <w:rFonts w:ascii="Arial" w:hAnsi="Arial"/>
          <w:sz w:val="22"/>
          <w:szCs w:val="22"/>
        </w:rPr>
        <w:t xml:space="preserve"> submission until such time that clarification from the sponsor could be sought regarding:</w:t>
      </w:r>
      <w:r>
        <w:rPr>
          <w:rFonts w:ascii="Arial" w:hAnsi="Arial"/>
          <w:sz w:val="22"/>
          <w:szCs w:val="22"/>
        </w:rPr>
        <w:t xml:space="preserve"> </w:t>
      </w:r>
      <w:r w:rsidR="00ED1FB5" w:rsidRPr="005D16E1">
        <w:rPr>
          <w:rFonts w:ascii="Arial" w:hAnsi="Arial"/>
          <w:sz w:val="22"/>
          <w:szCs w:val="22"/>
        </w:rPr>
        <w:t>whether the product meets “Australia New Zealand Food Standards Code - Standard 2.9.1 - Infant Formula Products”; and</w:t>
      </w:r>
      <w:r>
        <w:rPr>
          <w:rFonts w:ascii="Arial" w:hAnsi="Arial"/>
          <w:sz w:val="22"/>
          <w:szCs w:val="22"/>
        </w:rPr>
        <w:t xml:space="preserve"> </w:t>
      </w:r>
      <w:r w:rsidR="00ED1FB5" w:rsidRPr="005D16E1">
        <w:rPr>
          <w:rFonts w:ascii="Arial" w:hAnsi="Arial"/>
          <w:sz w:val="22"/>
          <w:szCs w:val="22"/>
        </w:rPr>
        <w:t>the vitamin and mineral values for the product.</w:t>
      </w:r>
    </w:p>
    <w:p w:rsidR="00ED1FB5" w:rsidRPr="005D16E1" w:rsidRDefault="005D16E1" w:rsidP="005D16E1">
      <w:pPr>
        <w:pStyle w:val="ListParagraph"/>
        <w:numPr>
          <w:ilvl w:val="2"/>
          <w:numId w:val="2"/>
        </w:numPr>
        <w:ind w:left="993" w:hanging="284"/>
        <w:jc w:val="both"/>
        <w:rPr>
          <w:rFonts w:ascii="Arial" w:hAnsi="Arial"/>
          <w:sz w:val="22"/>
          <w:szCs w:val="22"/>
        </w:rPr>
      </w:pPr>
      <w:r>
        <w:rPr>
          <w:rFonts w:ascii="Arial" w:hAnsi="Arial"/>
          <w:sz w:val="22"/>
          <w:szCs w:val="22"/>
        </w:rPr>
        <w:t>In November 2015, t</w:t>
      </w:r>
      <w:r w:rsidR="00ED1FB5" w:rsidRPr="005D16E1">
        <w:rPr>
          <w:rFonts w:ascii="Arial" w:hAnsi="Arial"/>
          <w:sz w:val="22"/>
          <w:szCs w:val="22"/>
        </w:rPr>
        <w:t>he PBAC noted that the sponsor provided additional information post-submission to address the NPWP concerns. The PBAC then deferred its recommendation until further advice could be provided by the NPWP on the submission in view of this additional information.</w:t>
      </w:r>
    </w:p>
    <w:p w:rsidR="00ED1FB5" w:rsidRDefault="00ED1FB5" w:rsidP="00ED1FB5">
      <w:pPr>
        <w:pStyle w:val="Header"/>
        <w:tabs>
          <w:tab w:val="clear" w:pos="4153"/>
          <w:tab w:val="clear" w:pos="8306"/>
        </w:tabs>
        <w:jc w:val="both"/>
        <w:rPr>
          <w:rFonts w:ascii="Arial" w:hAnsi="Arial"/>
          <w:sz w:val="22"/>
          <w:szCs w:val="22"/>
        </w:rPr>
      </w:pPr>
    </w:p>
    <w:p w:rsidR="00ED1FB5" w:rsidRPr="00F83D06" w:rsidRDefault="00ED1FB5" w:rsidP="00ED1FB5">
      <w:pPr>
        <w:pStyle w:val="ListParagraph"/>
        <w:numPr>
          <w:ilvl w:val="1"/>
          <w:numId w:val="2"/>
        </w:numPr>
        <w:jc w:val="both"/>
        <w:rPr>
          <w:rFonts w:ascii="Arial" w:hAnsi="Arial"/>
          <w:b/>
          <w:sz w:val="22"/>
          <w:szCs w:val="22"/>
        </w:rPr>
      </w:pPr>
      <w:r>
        <w:rPr>
          <w:rFonts w:ascii="Arial" w:hAnsi="Arial"/>
          <w:sz w:val="22"/>
          <w:szCs w:val="22"/>
        </w:rPr>
        <w:t>The NPWP considered the additional information for this submission in January</w:t>
      </w:r>
      <w:r w:rsidR="005D16E1">
        <w:rPr>
          <w:rFonts w:ascii="Arial" w:hAnsi="Arial"/>
          <w:sz w:val="22"/>
          <w:szCs w:val="22"/>
        </w:rPr>
        <w:t> </w:t>
      </w:r>
      <w:r>
        <w:rPr>
          <w:rFonts w:ascii="Arial" w:hAnsi="Arial"/>
          <w:sz w:val="22"/>
          <w:szCs w:val="22"/>
        </w:rPr>
        <w:t>2016, and its updated advice is noted below under ‘Consideration of the evidence’.</w:t>
      </w:r>
    </w:p>
    <w:p w:rsidR="00ED1FB5" w:rsidRDefault="00ED1FB5" w:rsidP="00ED1FB5">
      <w:pPr>
        <w:pStyle w:val="Header"/>
        <w:tabs>
          <w:tab w:val="clear" w:pos="4153"/>
          <w:tab w:val="clear" w:pos="8306"/>
        </w:tabs>
        <w:jc w:val="both"/>
        <w:rPr>
          <w:rFonts w:ascii="Arial" w:hAnsi="Arial"/>
          <w:sz w:val="22"/>
          <w:szCs w:val="22"/>
        </w:rPr>
      </w:pPr>
    </w:p>
    <w:p w:rsidR="00E5246B" w:rsidRPr="00882085" w:rsidRDefault="00E5246B" w:rsidP="00ED1FB5">
      <w:pPr>
        <w:pStyle w:val="Header"/>
        <w:tabs>
          <w:tab w:val="clear" w:pos="4153"/>
          <w:tab w:val="clear" w:pos="8306"/>
        </w:tabs>
        <w:jc w:val="both"/>
        <w:rPr>
          <w:rFonts w:ascii="Arial" w:hAnsi="Arial"/>
          <w:sz w:val="22"/>
          <w:szCs w:val="22"/>
        </w:rPr>
      </w:pPr>
    </w:p>
    <w:p w:rsidR="005A3173" w:rsidRPr="00882085" w:rsidRDefault="005A3173" w:rsidP="00D7018A">
      <w:pPr>
        <w:pStyle w:val="Heading1"/>
        <w:rPr>
          <w:b w:val="0"/>
        </w:rPr>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DF6AAE" w:rsidRDefault="00793BB5" w:rsidP="00476245">
      <w:pPr>
        <w:pStyle w:val="ListParagraph"/>
        <w:numPr>
          <w:ilvl w:val="1"/>
          <w:numId w:val="2"/>
        </w:numPr>
        <w:jc w:val="both"/>
        <w:rPr>
          <w:rFonts w:ascii="Arial" w:hAnsi="Arial"/>
          <w:sz w:val="22"/>
          <w:szCs w:val="22"/>
        </w:rPr>
      </w:pPr>
      <w:r w:rsidRPr="00DF6AAE">
        <w:rPr>
          <w:rFonts w:ascii="Arial" w:hAnsi="Arial"/>
          <w:sz w:val="22"/>
          <w:szCs w:val="22"/>
        </w:rPr>
        <w:t xml:space="preserve">The submission nominates PKU Gel and PKU </w:t>
      </w:r>
      <w:proofErr w:type="spellStart"/>
      <w:r w:rsidRPr="00DF6AAE">
        <w:rPr>
          <w:rFonts w:ascii="Arial" w:hAnsi="Arial"/>
          <w:sz w:val="22"/>
          <w:szCs w:val="22"/>
        </w:rPr>
        <w:t>Anamix</w:t>
      </w:r>
      <w:proofErr w:type="spellEnd"/>
      <w:r w:rsidRPr="00DF6AAE">
        <w:rPr>
          <w:rFonts w:ascii="Arial" w:hAnsi="Arial"/>
          <w:sz w:val="22"/>
          <w:szCs w:val="22"/>
        </w:rPr>
        <w:t xml:space="preserve"> Junior as the main comparator</w:t>
      </w:r>
      <w:r w:rsidR="00E5246B">
        <w:rPr>
          <w:rFonts w:ascii="Arial" w:hAnsi="Arial"/>
          <w:sz w:val="22"/>
          <w:szCs w:val="22"/>
        </w:rPr>
        <w:t>s</w:t>
      </w:r>
      <w:r w:rsidRPr="00E5246B">
        <w:rPr>
          <w:rFonts w:ascii="Arial" w:hAnsi="Arial"/>
          <w:sz w:val="22"/>
          <w:szCs w:val="22"/>
        </w:rPr>
        <w:t>.</w:t>
      </w:r>
      <w:r w:rsidRPr="00DF6AAE">
        <w:rPr>
          <w:rFonts w:ascii="Arial" w:hAnsi="Arial"/>
          <w:b/>
          <w:color w:val="FF00FF"/>
          <w:sz w:val="22"/>
          <w:szCs w:val="22"/>
        </w:rPr>
        <w:t xml:space="preserve"> </w:t>
      </w:r>
      <w:r w:rsidRPr="00DF6AAE">
        <w:rPr>
          <w:rFonts w:ascii="Arial" w:hAnsi="Arial"/>
          <w:sz w:val="22"/>
          <w:szCs w:val="22"/>
        </w:rPr>
        <w:t>All 3 products are supplied as a powder sachet and contain 10g protein equivalent per single use pack.</w:t>
      </w:r>
    </w:p>
    <w:p w:rsidR="008A1956" w:rsidRDefault="008A1956" w:rsidP="00476245">
      <w:pPr>
        <w:jc w:val="both"/>
        <w:rPr>
          <w:rFonts w:ascii="Arial" w:hAnsi="Arial"/>
          <w:sz w:val="22"/>
          <w:szCs w:val="22"/>
        </w:rPr>
      </w:pPr>
    </w:p>
    <w:p w:rsidR="00E5246B" w:rsidRPr="00476245" w:rsidRDefault="00E5246B" w:rsidP="00476245">
      <w:pPr>
        <w:jc w:val="both"/>
        <w:rPr>
          <w:rFonts w:ascii="Arial" w:hAnsi="Arial"/>
          <w:sz w:val="22"/>
          <w:szCs w:val="22"/>
        </w:rPr>
      </w:pPr>
    </w:p>
    <w:p w:rsidR="000B558D" w:rsidRDefault="008D7A41" w:rsidP="00D7018A">
      <w:pPr>
        <w:pStyle w:val="Heading1"/>
        <w:rPr>
          <w:b w:val="0"/>
        </w:rPr>
      </w:pPr>
      <w:r>
        <w:t>C</w:t>
      </w:r>
      <w:r w:rsidR="00D84934">
        <w:t>onsideration of the evidence</w:t>
      </w:r>
    </w:p>
    <w:p w:rsidR="00DF6AAE" w:rsidRDefault="00DF6AAE" w:rsidP="00DF6AAE">
      <w:pPr>
        <w:jc w:val="both"/>
        <w:rPr>
          <w:rFonts w:ascii="Arial" w:hAnsi="Arial"/>
          <w:b/>
          <w:sz w:val="22"/>
          <w:szCs w:val="22"/>
          <w:highlight w:val="yellow"/>
        </w:rPr>
      </w:pPr>
    </w:p>
    <w:p w:rsidR="00DF6AAE" w:rsidRPr="00D7018A" w:rsidRDefault="00DF6AAE" w:rsidP="00D7018A">
      <w:pPr>
        <w:pStyle w:val="Heading2"/>
      </w:pPr>
      <w:r w:rsidRPr="00D7018A">
        <w:t>Sponsor hearing</w:t>
      </w:r>
    </w:p>
    <w:p w:rsidR="00DF6AAE" w:rsidRPr="004E4E73" w:rsidRDefault="00DF6AAE" w:rsidP="00DF6AAE">
      <w:pPr>
        <w:jc w:val="both"/>
        <w:rPr>
          <w:rFonts w:ascii="Arial" w:hAnsi="Arial"/>
          <w:b/>
          <w:sz w:val="22"/>
          <w:szCs w:val="22"/>
        </w:rPr>
      </w:pPr>
    </w:p>
    <w:p w:rsidR="00DF6AAE" w:rsidRPr="004E4E73" w:rsidRDefault="00DF6AAE" w:rsidP="00DF6AAE">
      <w:pPr>
        <w:pStyle w:val="ListParagraph"/>
        <w:numPr>
          <w:ilvl w:val="1"/>
          <w:numId w:val="2"/>
        </w:numPr>
        <w:jc w:val="both"/>
        <w:rPr>
          <w:rFonts w:ascii="Arial" w:hAnsi="Arial"/>
          <w:b/>
          <w:sz w:val="22"/>
          <w:szCs w:val="22"/>
        </w:rPr>
      </w:pPr>
      <w:r w:rsidRPr="004E4E73">
        <w:rPr>
          <w:rFonts w:ascii="Arial" w:hAnsi="Arial" w:cs="Arial"/>
          <w:bCs/>
          <w:snapToGrid w:val="0"/>
          <w:sz w:val="22"/>
          <w:szCs w:val="22"/>
        </w:rPr>
        <w:t>There was no hearing for this item as it was a minor submission.</w:t>
      </w:r>
    </w:p>
    <w:p w:rsidR="00DF6AAE" w:rsidRPr="004E4E73" w:rsidRDefault="00DF6AAE" w:rsidP="00DF6AAE">
      <w:pPr>
        <w:jc w:val="both"/>
        <w:rPr>
          <w:rFonts w:ascii="Arial" w:hAnsi="Arial"/>
          <w:b/>
          <w:sz w:val="22"/>
          <w:szCs w:val="22"/>
        </w:rPr>
      </w:pPr>
    </w:p>
    <w:p w:rsidR="00DF6AAE" w:rsidRPr="001E5907" w:rsidRDefault="00DF6AAE" w:rsidP="00D7018A">
      <w:pPr>
        <w:pStyle w:val="Heading2"/>
        <w:rPr>
          <w:b w:val="0"/>
          <w:i w:val="0"/>
        </w:rPr>
      </w:pPr>
      <w:r w:rsidRPr="001E5907">
        <w:t>Consumer comments</w:t>
      </w:r>
    </w:p>
    <w:p w:rsidR="00DF6AAE" w:rsidRPr="004E4E73" w:rsidRDefault="00DF6AAE" w:rsidP="00DF6AAE">
      <w:pPr>
        <w:jc w:val="both"/>
        <w:rPr>
          <w:rFonts w:ascii="Arial" w:hAnsi="Arial"/>
          <w:b/>
          <w:sz w:val="22"/>
          <w:szCs w:val="22"/>
        </w:rPr>
      </w:pPr>
    </w:p>
    <w:p w:rsidR="00DF6AAE" w:rsidRPr="004E4E73" w:rsidRDefault="00DF6AAE" w:rsidP="00DF6AAE">
      <w:pPr>
        <w:pStyle w:val="ListParagraph"/>
        <w:numPr>
          <w:ilvl w:val="1"/>
          <w:numId w:val="2"/>
        </w:numPr>
        <w:jc w:val="both"/>
        <w:rPr>
          <w:rFonts w:ascii="Arial" w:hAnsi="Arial"/>
          <w:b/>
          <w:sz w:val="22"/>
          <w:szCs w:val="22"/>
        </w:rPr>
      </w:pPr>
      <w:r w:rsidRPr="004E4E73">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1E5907" w:rsidRDefault="00D84934" w:rsidP="00D7018A">
      <w:pPr>
        <w:pStyle w:val="Heading2"/>
        <w:rPr>
          <w:b w:val="0"/>
          <w:i w:val="0"/>
        </w:rPr>
      </w:pPr>
      <w:r w:rsidRPr="001E5907">
        <w:t>Clinical trials</w:t>
      </w:r>
    </w:p>
    <w:p w:rsidR="00D84934" w:rsidRPr="00F9629A" w:rsidRDefault="00D84934" w:rsidP="00F9629A">
      <w:pPr>
        <w:jc w:val="both"/>
        <w:rPr>
          <w:rFonts w:ascii="Arial" w:hAnsi="Arial"/>
          <w:sz w:val="22"/>
          <w:szCs w:val="22"/>
        </w:rPr>
      </w:pPr>
    </w:p>
    <w:p w:rsidR="0076420C" w:rsidRDefault="005C4322" w:rsidP="00C7792B">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Pr>
          <w:rFonts w:ascii="Arial" w:hAnsi="Arial"/>
          <w:sz w:val="22"/>
          <w:szCs w:val="22"/>
        </w:rPr>
        <w:t xml:space="preserve"> presented in the </w:t>
      </w:r>
      <w:r w:rsidR="0076420C">
        <w:rPr>
          <w:rFonts w:ascii="Arial" w:hAnsi="Arial"/>
          <w:sz w:val="22"/>
          <w:szCs w:val="22"/>
        </w:rPr>
        <w:t>submission.</w:t>
      </w:r>
    </w:p>
    <w:p w:rsidR="001748CE" w:rsidRPr="001748CE" w:rsidRDefault="001748CE" w:rsidP="001748CE">
      <w:pPr>
        <w:jc w:val="both"/>
        <w:rPr>
          <w:rFonts w:ascii="Arial" w:hAnsi="Arial"/>
          <w:sz w:val="22"/>
          <w:szCs w:val="22"/>
        </w:rPr>
      </w:pPr>
    </w:p>
    <w:p w:rsidR="001748CE" w:rsidRDefault="00E5246B" w:rsidP="001748CE">
      <w:pPr>
        <w:pStyle w:val="ListParagraph"/>
        <w:numPr>
          <w:ilvl w:val="1"/>
          <w:numId w:val="2"/>
        </w:numPr>
        <w:jc w:val="both"/>
        <w:rPr>
          <w:rFonts w:ascii="Arial" w:hAnsi="Arial"/>
          <w:sz w:val="22"/>
          <w:szCs w:val="22"/>
        </w:rPr>
      </w:pPr>
      <w:r>
        <w:rPr>
          <w:rFonts w:ascii="Arial" w:hAnsi="Arial"/>
          <w:sz w:val="22"/>
          <w:szCs w:val="22"/>
        </w:rPr>
        <w:t>In September 2015, i</w:t>
      </w:r>
      <w:r w:rsidR="001748CE" w:rsidRPr="003C3F75">
        <w:rPr>
          <w:rFonts w:ascii="Arial" w:hAnsi="Arial"/>
          <w:sz w:val="22"/>
          <w:szCs w:val="22"/>
        </w:rPr>
        <w:t>n consideration of the submission, the NPWP noted:</w:t>
      </w:r>
    </w:p>
    <w:p w:rsidR="001748CE" w:rsidRP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 xml:space="preserve">This product has a similar proportion of amino acids to the comparators, PKU Gel® and PKU </w:t>
      </w:r>
      <w:proofErr w:type="spellStart"/>
      <w:r w:rsidRPr="001748CE">
        <w:rPr>
          <w:rFonts w:ascii="Arial" w:hAnsi="Arial"/>
          <w:sz w:val="22"/>
          <w:szCs w:val="22"/>
        </w:rPr>
        <w:t>Anamix</w:t>
      </w:r>
      <w:proofErr w:type="spellEnd"/>
      <w:r w:rsidRPr="001748CE">
        <w:rPr>
          <w:rFonts w:ascii="Arial" w:hAnsi="Arial"/>
          <w:sz w:val="22"/>
          <w:szCs w:val="22"/>
        </w:rPr>
        <w:t xml:space="preserve"> Infant®; but it does not contain choline. There is an RDI level for choline, and patients on a PKU-suitable diet are likely to have low levels of choline. The sponsor was therefore encouraged to consider adding choline to future formulations of the product.</w:t>
      </w:r>
    </w:p>
    <w:p w:rsidR="001748CE" w:rsidRP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 xml:space="preserve">This product can be used across the age range of 6 months to 10 years of age. </w:t>
      </w:r>
    </w:p>
    <w:p w:rsidR="001748CE" w:rsidRP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Although the sponsor stated that this product meets “Australia New Zealand Food Standards Code - Standard 2.9.5 - Food for Special Medical Purposes”, the NPWP noted that the submission, for a formula proposed to be used in infants younger than 12 months, did not provide a comparison with the requirements of the “Australia New Zealand Food Standards Code - Standard 2.9.1 - Infant Formula Products”, as recommended in the PBAC Guidelines.</w:t>
      </w:r>
    </w:p>
    <w:p w:rsidR="001748CE" w:rsidRP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The sponsor did not provide any information about the osmola</w:t>
      </w:r>
      <w:r w:rsidR="001E072D">
        <w:rPr>
          <w:rFonts w:ascii="Arial" w:hAnsi="Arial"/>
          <w:sz w:val="22"/>
          <w:szCs w:val="22"/>
        </w:rPr>
        <w:t>l</w:t>
      </w:r>
      <w:r w:rsidRPr="001748CE">
        <w:rPr>
          <w:rFonts w:ascii="Arial" w:hAnsi="Arial"/>
          <w:sz w:val="22"/>
          <w:szCs w:val="22"/>
        </w:rPr>
        <w:t xml:space="preserve">ity when this product is mixed with 20mL of water. This is important in clinical practice as high </w:t>
      </w:r>
      <w:r w:rsidRPr="001748CE">
        <w:rPr>
          <w:rFonts w:ascii="Arial" w:hAnsi="Arial"/>
          <w:sz w:val="22"/>
          <w:szCs w:val="22"/>
        </w:rPr>
        <w:lastRenderedPageBreak/>
        <w:t>levels can cause gastrointestinal upsets in young children (for example, the 3000</w:t>
      </w:r>
      <w:r w:rsidR="005D16E1">
        <w:rPr>
          <w:rFonts w:ascii="Arial" w:hAnsi="Arial"/>
          <w:sz w:val="22"/>
          <w:szCs w:val="22"/>
        </w:rPr>
        <w:t> </w:t>
      </w:r>
      <w:proofErr w:type="spellStart"/>
      <w:r w:rsidRPr="001748CE">
        <w:rPr>
          <w:rFonts w:ascii="Arial" w:hAnsi="Arial"/>
          <w:sz w:val="22"/>
          <w:szCs w:val="22"/>
        </w:rPr>
        <w:t>mOsm</w:t>
      </w:r>
      <w:proofErr w:type="spellEnd"/>
      <w:r w:rsidRPr="001748CE">
        <w:rPr>
          <w:rFonts w:ascii="Arial" w:hAnsi="Arial"/>
          <w:sz w:val="22"/>
          <w:szCs w:val="22"/>
        </w:rPr>
        <w:t>/kg per 30mL water measured in PKU Gel®).</w:t>
      </w:r>
    </w:p>
    <w:p w:rsidR="001748CE" w:rsidRP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The sponsor presented different vitamin and mineral levels in Table A.17 (p. 10) and Attachment 3</w:t>
      </w:r>
      <w:r w:rsidR="005D16E1">
        <w:rPr>
          <w:rFonts w:ascii="Arial" w:hAnsi="Arial"/>
          <w:sz w:val="22"/>
          <w:szCs w:val="22"/>
        </w:rPr>
        <w:t xml:space="preserve"> of the submission</w:t>
      </w:r>
      <w:r w:rsidRPr="001748CE">
        <w:rPr>
          <w:rFonts w:ascii="Arial" w:hAnsi="Arial"/>
          <w:sz w:val="22"/>
          <w:szCs w:val="22"/>
        </w:rPr>
        <w:t>.</w:t>
      </w:r>
    </w:p>
    <w:p w:rsidR="001748CE" w:rsidRDefault="001748CE" w:rsidP="005D16E1">
      <w:pPr>
        <w:pStyle w:val="ListParagraph"/>
        <w:numPr>
          <w:ilvl w:val="2"/>
          <w:numId w:val="2"/>
        </w:numPr>
        <w:ind w:left="993" w:hanging="284"/>
        <w:jc w:val="both"/>
        <w:rPr>
          <w:rFonts w:ascii="Arial" w:hAnsi="Arial"/>
          <w:sz w:val="22"/>
          <w:szCs w:val="22"/>
        </w:rPr>
      </w:pPr>
      <w:r w:rsidRPr="001748CE">
        <w:rPr>
          <w:rFonts w:ascii="Arial" w:hAnsi="Arial"/>
          <w:sz w:val="22"/>
          <w:szCs w:val="22"/>
        </w:rPr>
        <w:t>At the price proposed, the submission estimated no net cost to the PBS.</w:t>
      </w:r>
    </w:p>
    <w:p w:rsidR="00E5246B" w:rsidRDefault="00E5246B" w:rsidP="001748CE">
      <w:pPr>
        <w:pStyle w:val="ListParagraph"/>
        <w:jc w:val="both"/>
        <w:rPr>
          <w:rFonts w:ascii="Arial" w:hAnsi="Arial"/>
          <w:sz w:val="22"/>
          <w:szCs w:val="22"/>
        </w:rPr>
      </w:pPr>
    </w:p>
    <w:p w:rsidR="00E5246B" w:rsidRDefault="00E5246B" w:rsidP="00E5246B">
      <w:pPr>
        <w:pStyle w:val="ListParagraph"/>
        <w:numPr>
          <w:ilvl w:val="1"/>
          <w:numId w:val="2"/>
        </w:numPr>
        <w:jc w:val="both"/>
        <w:rPr>
          <w:rFonts w:ascii="Arial" w:hAnsi="Arial"/>
          <w:sz w:val="22"/>
          <w:szCs w:val="22"/>
        </w:rPr>
      </w:pPr>
      <w:r>
        <w:rPr>
          <w:rFonts w:ascii="Arial" w:hAnsi="Arial"/>
          <w:sz w:val="22"/>
          <w:szCs w:val="22"/>
        </w:rPr>
        <w:t>In January 2016, in consideration of information received post-submission, the NPWP noted that:</w:t>
      </w:r>
    </w:p>
    <w:p w:rsidR="00E5246B" w:rsidRDefault="00E5246B" w:rsidP="005D16E1">
      <w:pPr>
        <w:pStyle w:val="ListParagraph"/>
        <w:numPr>
          <w:ilvl w:val="2"/>
          <w:numId w:val="2"/>
        </w:numPr>
        <w:ind w:left="993" w:hanging="284"/>
        <w:jc w:val="both"/>
        <w:rPr>
          <w:rFonts w:ascii="Arial" w:hAnsi="Arial"/>
          <w:sz w:val="22"/>
          <w:szCs w:val="22"/>
        </w:rPr>
      </w:pPr>
      <w:r>
        <w:rPr>
          <w:rFonts w:ascii="Arial" w:hAnsi="Arial"/>
          <w:sz w:val="22"/>
          <w:szCs w:val="22"/>
        </w:rPr>
        <w:t>T</w:t>
      </w:r>
      <w:r w:rsidRPr="00E5246B">
        <w:rPr>
          <w:rFonts w:ascii="Arial" w:hAnsi="Arial"/>
          <w:sz w:val="22"/>
          <w:szCs w:val="22"/>
        </w:rPr>
        <w:t>he sponsor provided a suitable comparison against the requirements of the “Australia New Zealand Food Standards Code - Standard 2.9.1 - Infant Formula Products”.</w:t>
      </w:r>
    </w:p>
    <w:p w:rsidR="00E5246B" w:rsidRDefault="00E5246B" w:rsidP="005D16E1">
      <w:pPr>
        <w:pStyle w:val="ListParagraph"/>
        <w:numPr>
          <w:ilvl w:val="2"/>
          <w:numId w:val="2"/>
        </w:numPr>
        <w:ind w:left="993" w:hanging="284"/>
        <w:jc w:val="both"/>
        <w:rPr>
          <w:rFonts w:ascii="Arial" w:hAnsi="Arial"/>
          <w:sz w:val="22"/>
          <w:szCs w:val="22"/>
        </w:rPr>
      </w:pPr>
      <w:r>
        <w:rPr>
          <w:rFonts w:ascii="Arial" w:hAnsi="Arial"/>
          <w:sz w:val="22"/>
          <w:szCs w:val="22"/>
        </w:rPr>
        <w:t>T</w:t>
      </w:r>
      <w:r w:rsidRPr="00E5246B">
        <w:rPr>
          <w:rFonts w:ascii="Arial" w:hAnsi="Arial"/>
          <w:sz w:val="22"/>
          <w:szCs w:val="22"/>
        </w:rPr>
        <w:t>he sponsor provided corrected vitamin and minerals values for Attachment 3, to align with the values in Attachment A.1.7, page 10 of the original submission, which were accurate. The NPWP noted that the product adequately meets the recommended daily intake for risk nutrients. Whilst the levels were viewed as low among the ‘toddler’ age group, the NPWP considered that higher amounts of product would be used in practice than suggested by the submission.</w:t>
      </w:r>
    </w:p>
    <w:p w:rsidR="00E5246B" w:rsidRPr="00E5246B" w:rsidRDefault="00E5246B" w:rsidP="005D16E1">
      <w:pPr>
        <w:pStyle w:val="ListParagraph"/>
        <w:numPr>
          <w:ilvl w:val="2"/>
          <w:numId w:val="2"/>
        </w:numPr>
        <w:ind w:left="993" w:hanging="284"/>
        <w:jc w:val="both"/>
        <w:rPr>
          <w:rFonts w:ascii="Arial" w:hAnsi="Arial"/>
          <w:sz w:val="22"/>
          <w:szCs w:val="22"/>
        </w:rPr>
      </w:pPr>
      <w:r w:rsidRPr="00E5246B">
        <w:rPr>
          <w:rFonts w:ascii="Arial" w:hAnsi="Arial"/>
          <w:sz w:val="22"/>
          <w:szCs w:val="22"/>
        </w:rPr>
        <w:t>The sponsor advised that the manufacturer has begun work to add choline to future formulations of the product, in line with NPWP advice.</w:t>
      </w:r>
    </w:p>
    <w:p w:rsidR="00E5246B" w:rsidRPr="00E5246B" w:rsidRDefault="00E5246B" w:rsidP="005D16E1">
      <w:pPr>
        <w:pStyle w:val="ListParagraph"/>
        <w:numPr>
          <w:ilvl w:val="2"/>
          <w:numId w:val="2"/>
        </w:numPr>
        <w:ind w:left="993" w:hanging="284"/>
        <w:jc w:val="both"/>
        <w:rPr>
          <w:rFonts w:ascii="Arial" w:hAnsi="Arial"/>
          <w:sz w:val="22"/>
          <w:szCs w:val="22"/>
        </w:rPr>
      </w:pPr>
      <w:r w:rsidRPr="00E5246B">
        <w:rPr>
          <w:rFonts w:ascii="Arial" w:hAnsi="Arial"/>
          <w:sz w:val="22"/>
          <w:szCs w:val="22"/>
        </w:rPr>
        <w:t>The sponsor provided osmolality results for this product. The NPWP noted that the osmolality was higher than for the comparator PKU Gel®, clinicians prescribing such products, and their colleague dieticians, will be generally aware of recommended water consumption levels.</w:t>
      </w:r>
    </w:p>
    <w:p w:rsidR="001748CE" w:rsidRDefault="001748CE" w:rsidP="001748CE">
      <w:pPr>
        <w:pStyle w:val="ListParagraph"/>
        <w:jc w:val="both"/>
        <w:rPr>
          <w:rFonts w:ascii="Arial" w:hAnsi="Arial"/>
          <w:sz w:val="22"/>
          <w:szCs w:val="22"/>
        </w:rPr>
      </w:pPr>
    </w:p>
    <w:p w:rsidR="00E5246B" w:rsidRDefault="00E5246B" w:rsidP="00E5246B">
      <w:pPr>
        <w:pStyle w:val="ListParagraph"/>
        <w:numPr>
          <w:ilvl w:val="1"/>
          <w:numId w:val="2"/>
        </w:numPr>
        <w:jc w:val="both"/>
        <w:rPr>
          <w:rFonts w:ascii="Arial" w:hAnsi="Arial"/>
          <w:sz w:val="22"/>
          <w:szCs w:val="22"/>
        </w:rPr>
      </w:pPr>
      <w:r>
        <w:rPr>
          <w:rFonts w:ascii="Arial" w:hAnsi="Arial"/>
          <w:sz w:val="22"/>
          <w:szCs w:val="22"/>
        </w:rPr>
        <w:t>T</w:t>
      </w:r>
      <w:r w:rsidRPr="00E5246B">
        <w:rPr>
          <w:rFonts w:ascii="Arial" w:hAnsi="Arial"/>
          <w:sz w:val="22"/>
          <w:szCs w:val="22"/>
        </w:rPr>
        <w:t>he NPWP supported the listing of PKU Go® as a Restricted Benefit for phenylketonuria on a cost-minimisation basis against PKU Gel</w:t>
      </w:r>
      <w:r w:rsidR="00246AB3" w:rsidRPr="00E5246B">
        <w:rPr>
          <w:rFonts w:ascii="Arial" w:hAnsi="Arial"/>
          <w:sz w:val="22"/>
          <w:szCs w:val="22"/>
        </w:rPr>
        <w:t>® at</w:t>
      </w:r>
      <w:r w:rsidRPr="00E5246B">
        <w:rPr>
          <w:rFonts w:ascii="Arial" w:hAnsi="Arial"/>
          <w:sz w:val="22"/>
          <w:szCs w:val="22"/>
        </w:rPr>
        <w:t xml:space="preserve"> an equivalent price per gram of protein.</w:t>
      </w:r>
    </w:p>
    <w:p w:rsidR="00E5246B" w:rsidRDefault="00E5246B" w:rsidP="001748CE">
      <w:pPr>
        <w:pStyle w:val="ListParagraph"/>
        <w:jc w:val="both"/>
        <w:rPr>
          <w:rFonts w:ascii="Arial" w:hAnsi="Arial"/>
          <w:sz w:val="22"/>
          <w:szCs w:val="22"/>
        </w:rPr>
      </w:pPr>
    </w:p>
    <w:p w:rsidR="005A3173" w:rsidRPr="001E5907" w:rsidRDefault="005A3173" w:rsidP="00D7018A">
      <w:pPr>
        <w:pStyle w:val="Heading2"/>
        <w:rPr>
          <w:b w:val="0"/>
          <w:i w:val="0"/>
        </w:rPr>
      </w:pPr>
      <w:r w:rsidRPr="001E5907">
        <w:t>Estimated PBS usage &amp; financial implications</w:t>
      </w:r>
    </w:p>
    <w:p w:rsidR="005A3173" w:rsidRPr="00882085" w:rsidRDefault="005A3173" w:rsidP="00882085">
      <w:pPr>
        <w:ind w:left="720" w:hanging="720"/>
        <w:jc w:val="both"/>
        <w:rPr>
          <w:rFonts w:ascii="Arial" w:hAnsi="Arial"/>
          <w:b/>
          <w:i/>
          <w:sz w:val="22"/>
          <w:szCs w:val="22"/>
        </w:rPr>
      </w:pPr>
    </w:p>
    <w:p w:rsidR="00A15C90" w:rsidRPr="00DF6AAE" w:rsidRDefault="005C4322" w:rsidP="00247CF5">
      <w:pPr>
        <w:pStyle w:val="ListParagraph"/>
        <w:numPr>
          <w:ilvl w:val="1"/>
          <w:numId w:val="2"/>
        </w:numPr>
        <w:jc w:val="both"/>
        <w:rPr>
          <w:rFonts w:ascii="Arial" w:hAnsi="Arial"/>
          <w:sz w:val="22"/>
          <w:szCs w:val="22"/>
        </w:rPr>
      </w:pPr>
      <w:r w:rsidRPr="00DF6AAE">
        <w:rPr>
          <w:rFonts w:ascii="Arial" w:hAnsi="Arial"/>
          <w:sz w:val="22"/>
          <w:szCs w:val="22"/>
        </w:rPr>
        <w:t>The DPMQ has been calculated based on the same cost per protein equivalent of t</w:t>
      </w:r>
      <w:r w:rsidR="005072A3" w:rsidRPr="00DF6AAE">
        <w:rPr>
          <w:rFonts w:ascii="Arial" w:hAnsi="Arial"/>
          <w:sz w:val="22"/>
          <w:szCs w:val="22"/>
        </w:rPr>
        <w:t xml:space="preserve">he comparator PKU </w:t>
      </w:r>
      <w:proofErr w:type="spellStart"/>
      <w:r w:rsidR="005072A3" w:rsidRPr="00DF6AAE">
        <w:rPr>
          <w:rFonts w:ascii="Arial" w:hAnsi="Arial"/>
          <w:sz w:val="22"/>
          <w:szCs w:val="22"/>
        </w:rPr>
        <w:t>Anamix</w:t>
      </w:r>
      <w:proofErr w:type="spellEnd"/>
      <w:r w:rsidR="005072A3" w:rsidRPr="00DF6AAE">
        <w:rPr>
          <w:rFonts w:ascii="Arial" w:hAnsi="Arial"/>
          <w:sz w:val="22"/>
          <w:szCs w:val="22"/>
        </w:rPr>
        <w:t xml:space="preserve"> Junior</w:t>
      </w:r>
      <w:r w:rsidRPr="00DF6AAE">
        <w:rPr>
          <w:rFonts w:ascii="Arial" w:hAnsi="Arial"/>
          <w:sz w:val="22"/>
          <w:szCs w:val="22"/>
        </w:rPr>
        <w:t>, consistent with the pricing of all similar nutritional products for PKU.</w:t>
      </w:r>
    </w:p>
    <w:p w:rsidR="005072A3" w:rsidRPr="00DF6AAE" w:rsidRDefault="005072A3" w:rsidP="005072A3">
      <w:pPr>
        <w:jc w:val="both"/>
        <w:rPr>
          <w:rFonts w:ascii="Arial" w:hAnsi="Arial"/>
          <w:sz w:val="22"/>
          <w:szCs w:val="22"/>
        </w:rPr>
      </w:pPr>
    </w:p>
    <w:p w:rsidR="00A21683" w:rsidRPr="00DF6AAE" w:rsidRDefault="005C4322" w:rsidP="005C4322">
      <w:pPr>
        <w:pStyle w:val="ListParagraph"/>
        <w:numPr>
          <w:ilvl w:val="1"/>
          <w:numId w:val="2"/>
        </w:numPr>
        <w:jc w:val="both"/>
        <w:rPr>
          <w:rFonts w:ascii="Arial" w:hAnsi="Arial"/>
          <w:sz w:val="22"/>
          <w:szCs w:val="22"/>
        </w:rPr>
      </w:pPr>
      <w:r w:rsidRPr="00DF6AAE">
        <w:rPr>
          <w:rFonts w:ascii="Arial" w:hAnsi="Arial"/>
          <w:sz w:val="22"/>
          <w:szCs w:val="22"/>
        </w:rPr>
        <w:t xml:space="preserve">The submission assumes </w:t>
      </w:r>
      <w:r w:rsidR="00DA7527">
        <w:rPr>
          <w:rFonts w:ascii="Arial" w:hAnsi="Arial"/>
          <w:sz w:val="22"/>
          <w:szCs w:val="22"/>
        </w:rPr>
        <w:t>less than 10,000</w:t>
      </w:r>
      <w:r w:rsidRPr="00DF6AAE">
        <w:rPr>
          <w:rFonts w:ascii="Arial" w:hAnsi="Arial"/>
          <w:sz w:val="22"/>
          <w:szCs w:val="22"/>
        </w:rPr>
        <w:t xml:space="preserve"> </w:t>
      </w:r>
      <w:proofErr w:type="spellStart"/>
      <w:r w:rsidR="00670D57" w:rsidRPr="00DF6AAE">
        <w:rPr>
          <w:rFonts w:ascii="Arial" w:hAnsi="Arial"/>
          <w:sz w:val="22"/>
          <w:szCs w:val="22"/>
        </w:rPr>
        <w:t>dispensing</w:t>
      </w:r>
      <w:r w:rsidR="00DA7527">
        <w:rPr>
          <w:rFonts w:ascii="Arial" w:hAnsi="Arial"/>
          <w:sz w:val="22"/>
          <w:szCs w:val="22"/>
        </w:rPr>
        <w:t>s</w:t>
      </w:r>
      <w:proofErr w:type="spellEnd"/>
      <w:r w:rsidR="00247CF5" w:rsidRPr="00DF6AAE">
        <w:rPr>
          <w:rFonts w:ascii="Arial" w:hAnsi="Arial"/>
          <w:sz w:val="22"/>
          <w:szCs w:val="22"/>
        </w:rPr>
        <w:t xml:space="preserve"> per</w:t>
      </w:r>
      <w:r w:rsidRPr="00DF6AAE">
        <w:rPr>
          <w:rFonts w:ascii="Arial" w:hAnsi="Arial"/>
          <w:sz w:val="22"/>
          <w:szCs w:val="22"/>
        </w:rPr>
        <w:t xml:space="preserve"> year for this product.</w:t>
      </w:r>
    </w:p>
    <w:p w:rsidR="00247CF5" w:rsidRPr="00DF6AAE" w:rsidRDefault="00247CF5" w:rsidP="00247CF5">
      <w:pPr>
        <w:jc w:val="both"/>
        <w:rPr>
          <w:rFonts w:ascii="Arial" w:hAnsi="Arial"/>
          <w:sz w:val="22"/>
          <w:szCs w:val="22"/>
        </w:rPr>
      </w:pPr>
    </w:p>
    <w:p w:rsidR="00A21683" w:rsidRPr="00DF6AAE" w:rsidRDefault="00A15C90" w:rsidP="00A15C90">
      <w:pPr>
        <w:pStyle w:val="ListParagraph"/>
        <w:numPr>
          <w:ilvl w:val="1"/>
          <w:numId w:val="2"/>
        </w:numPr>
        <w:jc w:val="both"/>
        <w:rPr>
          <w:rFonts w:ascii="Arial" w:hAnsi="Arial"/>
          <w:sz w:val="22"/>
          <w:szCs w:val="22"/>
        </w:rPr>
      </w:pPr>
      <w:r w:rsidRPr="00DF6AAE">
        <w:rPr>
          <w:rFonts w:ascii="Arial" w:hAnsi="Arial"/>
          <w:sz w:val="22"/>
          <w:szCs w:val="22"/>
        </w:rPr>
        <w:t>Based on the DPMQ in the submission</w:t>
      </w:r>
      <w:r w:rsidR="005C4322" w:rsidRPr="00DF6AAE">
        <w:rPr>
          <w:rFonts w:ascii="Arial" w:hAnsi="Arial"/>
          <w:sz w:val="22"/>
          <w:szCs w:val="22"/>
        </w:rPr>
        <w:t xml:space="preserve">, </w:t>
      </w:r>
      <w:r w:rsidR="00247CF5" w:rsidRPr="00DF6AAE">
        <w:rPr>
          <w:rFonts w:ascii="Arial" w:hAnsi="Arial"/>
          <w:sz w:val="22"/>
          <w:szCs w:val="22"/>
        </w:rPr>
        <w:t>there was e</w:t>
      </w:r>
      <w:r w:rsidR="005C4322" w:rsidRPr="00DF6AAE">
        <w:rPr>
          <w:rFonts w:ascii="Arial" w:hAnsi="Arial"/>
          <w:sz w:val="22"/>
          <w:szCs w:val="22"/>
        </w:rPr>
        <w:t xml:space="preserve">stimated </w:t>
      </w:r>
      <w:r w:rsidR="00247CF5" w:rsidRPr="00DF6AAE">
        <w:rPr>
          <w:rFonts w:ascii="Arial" w:hAnsi="Arial"/>
          <w:sz w:val="22"/>
          <w:szCs w:val="22"/>
        </w:rPr>
        <w:t xml:space="preserve">to be </w:t>
      </w:r>
      <w:r w:rsidR="005C4322" w:rsidRPr="00DF6AAE">
        <w:rPr>
          <w:rFonts w:ascii="Arial" w:hAnsi="Arial"/>
          <w:sz w:val="22"/>
          <w:szCs w:val="22"/>
        </w:rPr>
        <w:t xml:space="preserve">no net cost to the PBS as the submission expects PKU Go to only replace the use of </w:t>
      </w:r>
      <w:r w:rsidR="00670D57" w:rsidRPr="00DF6AAE">
        <w:rPr>
          <w:rFonts w:ascii="Arial" w:hAnsi="Arial"/>
          <w:sz w:val="22"/>
          <w:szCs w:val="22"/>
        </w:rPr>
        <w:t>other PBS</w:t>
      </w:r>
      <w:r w:rsidR="005C4322" w:rsidRPr="00DF6AAE">
        <w:rPr>
          <w:rFonts w:ascii="Arial" w:hAnsi="Arial"/>
          <w:sz w:val="22"/>
          <w:szCs w:val="22"/>
        </w:rPr>
        <w:t xml:space="preserve"> listed nutritional products for PKU</w:t>
      </w:r>
      <w:r w:rsidR="00247CF5" w:rsidRPr="00DF6AAE">
        <w:rPr>
          <w:rFonts w:ascii="Arial" w:hAnsi="Arial"/>
          <w:sz w:val="22"/>
          <w:szCs w:val="22"/>
        </w:rPr>
        <w:t>.</w:t>
      </w:r>
    </w:p>
    <w:p w:rsidR="00A15C90" w:rsidRDefault="00A15C90" w:rsidP="00C00DA7">
      <w:pPr>
        <w:jc w:val="both"/>
        <w:rPr>
          <w:rFonts w:ascii="Arial" w:hAnsi="Arial"/>
          <w:sz w:val="22"/>
          <w:szCs w:val="22"/>
        </w:rPr>
      </w:pPr>
    </w:p>
    <w:p w:rsidR="00DF6AAE" w:rsidRDefault="00DF6AAE" w:rsidP="00C00DA7">
      <w:pPr>
        <w:jc w:val="both"/>
        <w:rPr>
          <w:rFonts w:ascii="Arial" w:hAnsi="Arial"/>
          <w:sz w:val="22"/>
          <w:szCs w:val="22"/>
        </w:rPr>
      </w:pPr>
    </w:p>
    <w:p w:rsidR="00DF6AAE" w:rsidRDefault="00DF6AAE" w:rsidP="00D7018A">
      <w:pPr>
        <w:pStyle w:val="Heading1"/>
        <w:rPr>
          <w:rFonts w:cs="Arial"/>
          <w:b w:val="0"/>
          <w:bCs/>
          <w:snapToGrid w:val="0"/>
          <w:lang w:eastAsia="en-US"/>
        </w:rPr>
      </w:pPr>
      <w:r w:rsidRPr="004E4E73">
        <w:rPr>
          <w:rFonts w:cs="Arial"/>
          <w:bCs/>
          <w:snapToGrid w:val="0"/>
          <w:lang w:eastAsia="en-US"/>
        </w:rPr>
        <w:t>PBAC Outcome</w:t>
      </w:r>
    </w:p>
    <w:p w:rsidR="00246AB3" w:rsidRDefault="00246AB3" w:rsidP="005D16E1">
      <w:pPr>
        <w:widowControl w:val="0"/>
        <w:ind w:left="720"/>
        <w:jc w:val="both"/>
        <w:rPr>
          <w:rFonts w:ascii="Arial" w:hAnsi="Arial" w:cs="Arial"/>
          <w:b/>
          <w:bCs/>
          <w:snapToGrid w:val="0"/>
          <w:sz w:val="22"/>
          <w:szCs w:val="22"/>
          <w:lang w:eastAsia="en-US"/>
        </w:rPr>
      </w:pPr>
    </w:p>
    <w:p w:rsidR="00246AB3" w:rsidRPr="00811AEB" w:rsidRDefault="00246AB3" w:rsidP="00811AEB">
      <w:pPr>
        <w:pStyle w:val="ListParagraph"/>
        <w:numPr>
          <w:ilvl w:val="1"/>
          <w:numId w:val="2"/>
        </w:numPr>
        <w:jc w:val="both"/>
        <w:rPr>
          <w:rFonts w:ascii="Arial" w:hAnsi="Arial" w:cs="Arial"/>
          <w:bCs/>
          <w:snapToGrid w:val="0"/>
          <w:sz w:val="22"/>
          <w:szCs w:val="22"/>
          <w:lang w:eastAsia="en-US"/>
        </w:rPr>
      </w:pPr>
      <w:r w:rsidRPr="00811AEB">
        <w:rPr>
          <w:rFonts w:ascii="Arial" w:hAnsi="Arial" w:cs="Arial"/>
          <w:bCs/>
          <w:snapToGrid w:val="0"/>
          <w:sz w:val="22"/>
          <w:szCs w:val="22"/>
          <w:lang w:eastAsia="en-US"/>
        </w:rPr>
        <w:t xml:space="preserve">The PBAC recommended listing </w:t>
      </w:r>
      <w:r w:rsidR="00811AEB" w:rsidRPr="00811AEB">
        <w:rPr>
          <w:rFonts w:ascii="Arial" w:hAnsi="Arial" w:cs="Arial"/>
          <w:bCs/>
          <w:snapToGrid w:val="0"/>
          <w:sz w:val="22"/>
          <w:szCs w:val="22"/>
          <w:lang w:eastAsia="en-US"/>
        </w:rPr>
        <w:t>a</w:t>
      </w:r>
      <w:r w:rsidR="002071C8" w:rsidRPr="00811AEB">
        <w:rPr>
          <w:rFonts w:ascii="Arial" w:hAnsi="Arial" w:cs="Arial"/>
          <w:bCs/>
          <w:snapToGrid w:val="0"/>
          <w:sz w:val="22"/>
          <w:szCs w:val="22"/>
          <w:lang w:eastAsia="en-US"/>
        </w:rPr>
        <w:t xml:space="preserve">mino acid formula with vitamins carbohydrate, vitamins, and minerals and trace elements without phenylalanine, </w:t>
      </w:r>
      <w:r w:rsidR="00811AEB" w:rsidRPr="00811AEB">
        <w:rPr>
          <w:rFonts w:ascii="Arial" w:hAnsi="Arial" w:cs="Arial"/>
          <w:sz w:val="22"/>
          <w:szCs w:val="22"/>
        </w:rPr>
        <w:t>s</w:t>
      </w:r>
      <w:r w:rsidR="002071C8" w:rsidRPr="00811AEB">
        <w:rPr>
          <w:rFonts w:ascii="Arial" w:hAnsi="Arial" w:cs="Arial"/>
          <w:sz w:val="22"/>
          <w:szCs w:val="22"/>
        </w:rPr>
        <w:t>achets containing oral powder 20 g, 30 (PKU Go)</w:t>
      </w:r>
      <w:r w:rsidR="002071C8" w:rsidRPr="00811AEB">
        <w:rPr>
          <w:rFonts w:ascii="Arial" w:hAnsi="Arial" w:cs="Arial"/>
          <w:bCs/>
          <w:snapToGrid w:val="0"/>
          <w:sz w:val="22"/>
          <w:szCs w:val="22"/>
          <w:lang w:eastAsia="en-US"/>
        </w:rPr>
        <w:t xml:space="preserve"> </w:t>
      </w:r>
      <w:r w:rsidRPr="00811AEB">
        <w:rPr>
          <w:rFonts w:ascii="Arial" w:hAnsi="Arial" w:cs="Arial"/>
          <w:bCs/>
          <w:snapToGrid w:val="0"/>
          <w:sz w:val="22"/>
          <w:szCs w:val="22"/>
          <w:lang w:eastAsia="en-US"/>
        </w:rPr>
        <w:t>as a Restricted Benefi</w:t>
      </w:r>
      <w:r w:rsidR="00811AEB" w:rsidRPr="00811AEB">
        <w:rPr>
          <w:rFonts w:ascii="Arial" w:hAnsi="Arial" w:cs="Arial"/>
          <w:bCs/>
          <w:snapToGrid w:val="0"/>
          <w:sz w:val="22"/>
          <w:szCs w:val="22"/>
          <w:lang w:eastAsia="en-US"/>
        </w:rPr>
        <w:t>t for phenylketonuria on a cost</w:t>
      </w:r>
      <w:r w:rsidR="00811AEB" w:rsidRPr="00811AEB">
        <w:rPr>
          <w:rFonts w:ascii="Arial" w:hAnsi="Arial" w:cs="Arial"/>
          <w:bCs/>
          <w:snapToGrid w:val="0"/>
          <w:sz w:val="22"/>
          <w:szCs w:val="22"/>
          <w:lang w:eastAsia="en-US"/>
        </w:rPr>
        <w:noBreakHyphen/>
      </w:r>
      <w:r w:rsidRPr="00811AEB">
        <w:rPr>
          <w:rFonts w:ascii="Arial" w:hAnsi="Arial" w:cs="Arial"/>
          <w:bCs/>
          <w:snapToGrid w:val="0"/>
          <w:sz w:val="22"/>
          <w:szCs w:val="22"/>
          <w:lang w:eastAsia="en-US"/>
        </w:rPr>
        <w:t xml:space="preserve">minimisation basis against </w:t>
      </w:r>
      <w:r w:rsidR="00811AEB" w:rsidRPr="00811AEB">
        <w:rPr>
          <w:rFonts w:ascii="Arial" w:hAnsi="Arial" w:cs="Arial"/>
          <w:bCs/>
          <w:snapToGrid w:val="0"/>
          <w:sz w:val="22"/>
          <w:szCs w:val="22"/>
          <w:lang w:eastAsia="en-US"/>
        </w:rPr>
        <w:t>a</w:t>
      </w:r>
      <w:r w:rsidR="002071C8" w:rsidRPr="00811AEB">
        <w:rPr>
          <w:rFonts w:ascii="Arial" w:hAnsi="Arial" w:cs="Arial"/>
          <w:bCs/>
          <w:snapToGrid w:val="0"/>
          <w:sz w:val="22"/>
          <w:szCs w:val="22"/>
          <w:lang w:eastAsia="en-US"/>
        </w:rPr>
        <w:t>mino acid formula with vitamins and m</w:t>
      </w:r>
      <w:r w:rsidR="00811AEB" w:rsidRPr="00811AEB">
        <w:rPr>
          <w:rFonts w:ascii="Arial" w:hAnsi="Arial" w:cs="Arial"/>
          <w:bCs/>
          <w:snapToGrid w:val="0"/>
          <w:sz w:val="22"/>
          <w:szCs w:val="22"/>
          <w:lang w:eastAsia="en-US"/>
        </w:rPr>
        <w:t>inerals without phenylalanine, s</w:t>
      </w:r>
      <w:r w:rsidR="002071C8" w:rsidRPr="00811AEB">
        <w:rPr>
          <w:rFonts w:ascii="Arial" w:hAnsi="Arial" w:cs="Arial"/>
          <w:bCs/>
          <w:snapToGrid w:val="0"/>
          <w:sz w:val="22"/>
          <w:szCs w:val="22"/>
          <w:lang w:eastAsia="en-US"/>
        </w:rPr>
        <w:t xml:space="preserve">achets containing oral powder 24 g, 30 </w:t>
      </w:r>
      <w:r w:rsidR="005D16E1" w:rsidRPr="00811AEB">
        <w:rPr>
          <w:rFonts w:ascii="Arial" w:hAnsi="Arial" w:cs="Arial"/>
          <w:bCs/>
          <w:snapToGrid w:val="0"/>
          <w:sz w:val="22"/>
          <w:szCs w:val="22"/>
          <w:lang w:eastAsia="en-US"/>
        </w:rPr>
        <w:t>(</w:t>
      </w:r>
      <w:r w:rsidRPr="00811AEB">
        <w:rPr>
          <w:rFonts w:ascii="Arial" w:hAnsi="Arial" w:cs="Arial"/>
          <w:bCs/>
          <w:snapToGrid w:val="0"/>
          <w:sz w:val="22"/>
          <w:szCs w:val="22"/>
          <w:lang w:eastAsia="en-US"/>
        </w:rPr>
        <w:t>PKU Gel</w:t>
      </w:r>
      <w:r w:rsidR="005D16E1" w:rsidRPr="00811AEB">
        <w:rPr>
          <w:rFonts w:ascii="Arial" w:hAnsi="Arial" w:cs="Arial"/>
          <w:bCs/>
          <w:snapToGrid w:val="0"/>
          <w:sz w:val="22"/>
          <w:szCs w:val="22"/>
          <w:lang w:eastAsia="en-US"/>
        </w:rPr>
        <w:t>)</w:t>
      </w:r>
      <w:r w:rsidRPr="00811AEB">
        <w:rPr>
          <w:rFonts w:ascii="Arial" w:hAnsi="Arial" w:cs="Arial"/>
          <w:bCs/>
          <w:snapToGrid w:val="0"/>
          <w:sz w:val="22"/>
          <w:szCs w:val="22"/>
          <w:lang w:eastAsia="en-US"/>
        </w:rPr>
        <w:t xml:space="preserve"> at an equivalent price per gram of protein.</w:t>
      </w:r>
    </w:p>
    <w:p w:rsidR="00246AB3" w:rsidRDefault="00246AB3" w:rsidP="005D16E1">
      <w:pPr>
        <w:pStyle w:val="ListParagraph"/>
        <w:rPr>
          <w:rFonts w:ascii="Arial" w:hAnsi="Arial" w:cs="Arial"/>
          <w:bCs/>
          <w:snapToGrid w:val="0"/>
          <w:sz w:val="22"/>
          <w:szCs w:val="22"/>
          <w:lang w:eastAsia="en-US"/>
        </w:rPr>
      </w:pPr>
    </w:p>
    <w:p w:rsidR="00246AB3" w:rsidRPr="00C22974" w:rsidRDefault="00246AB3" w:rsidP="005D16E1">
      <w:pPr>
        <w:widowControl w:val="0"/>
        <w:numPr>
          <w:ilvl w:val="1"/>
          <w:numId w:val="2"/>
        </w:numPr>
        <w:contextualSpacing/>
        <w:jc w:val="both"/>
        <w:rPr>
          <w:rFonts w:ascii="Arial" w:hAnsi="Arial" w:cs="Arial"/>
          <w:b/>
          <w:bCs/>
          <w:snapToGrid w:val="0"/>
          <w:sz w:val="22"/>
          <w:szCs w:val="22"/>
          <w:lang w:val="en-GB" w:eastAsia="en-US"/>
        </w:rPr>
      </w:pPr>
      <w:r w:rsidRPr="0059402E">
        <w:rPr>
          <w:rFonts w:ascii="Arial" w:hAnsi="Arial" w:cs="Arial"/>
          <w:bCs/>
          <w:snapToGrid w:val="0"/>
          <w:sz w:val="22"/>
          <w:szCs w:val="22"/>
          <w:lang w:val="en-GB" w:eastAsia="en-US"/>
        </w:rPr>
        <w:t xml:space="preserve">The PBAC noted the advice of the </w:t>
      </w:r>
      <w:r w:rsidR="005D16E1">
        <w:rPr>
          <w:rFonts w:ascii="Arial" w:hAnsi="Arial" w:cs="Arial"/>
          <w:bCs/>
          <w:snapToGrid w:val="0"/>
          <w:sz w:val="22"/>
          <w:szCs w:val="22"/>
          <w:lang w:val="en-GB" w:eastAsia="en-US"/>
        </w:rPr>
        <w:t>NPWP</w:t>
      </w:r>
      <w:r w:rsidRPr="0059402E">
        <w:rPr>
          <w:rFonts w:ascii="Arial" w:hAnsi="Arial" w:cs="Arial"/>
          <w:bCs/>
          <w:snapToGrid w:val="0"/>
          <w:sz w:val="22"/>
          <w:szCs w:val="22"/>
          <w:lang w:val="en-GB" w:eastAsia="en-US"/>
        </w:rPr>
        <w:t xml:space="preserve"> that supported the listing of </w:t>
      </w:r>
      <w:r>
        <w:rPr>
          <w:rFonts w:ascii="Arial" w:hAnsi="Arial" w:cs="Arial"/>
          <w:bCs/>
          <w:snapToGrid w:val="0"/>
          <w:sz w:val="22"/>
          <w:szCs w:val="22"/>
          <w:lang w:val="en-GB" w:eastAsia="en-US"/>
        </w:rPr>
        <w:t>PKU Go</w:t>
      </w:r>
      <w:r w:rsidRPr="0059402E">
        <w:rPr>
          <w:rFonts w:ascii="Arial" w:hAnsi="Arial" w:cs="Arial"/>
          <w:bCs/>
          <w:snapToGrid w:val="0"/>
          <w:sz w:val="22"/>
          <w:szCs w:val="22"/>
          <w:lang w:val="en-GB" w:eastAsia="en-US"/>
        </w:rPr>
        <w:t xml:space="preserve">® on </w:t>
      </w:r>
      <w:r w:rsidRPr="0059402E">
        <w:rPr>
          <w:rFonts w:ascii="Arial" w:hAnsi="Arial" w:cs="Arial"/>
          <w:bCs/>
          <w:snapToGrid w:val="0"/>
          <w:sz w:val="22"/>
          <w:szCs w:val="22"/>
          <w:lang w:val="en-GB" w:eastAsia="en-US"/>
        </w:rPr>
        <w:lastRenderedPageBreak/>
        <w:t>the PBS</w:t>
      </w:r>
      <w:r>
        <w:rPr>
          <w:rFonts w:ascii="Arial" w:hAnsi="Arial" w:cs="Arial"/>
          <w:bCs/>
          <w:snapToGrid w:val="0"/>
          <w:sz w:val="22"/>
          <w:szCs w:val="22"/>
          <w:lang w:val="en-GB" w:eastAsia="en-US"/>
        </w:rPr>
        <w:t>, following its consideration of additional information received from the sponsor post-submission.</w:t>
      </w:r>
    </w:p>
    <w:p w:rsidR="00246AB3" w:rsidRPr="00246AB3" w:rsidRDefault="00246AB3" w:rsidP="005D16E1">
      <w:pPr>
        <w:pStyle w:val="ListParagraph"/>
        <w:rPr>
          <w:rFonts w:ascii="Arial" w:hAnsi="Arial" w:cs="Arial"/>
          <w:bCs/>
          <w:snapToGrid w:val="0"/>
          <w:sz w:val="22"/>
          <w:szCs w:val="22"/>
          <w:lang w:eastAsia="en-US"/>
        </w:rPr>
      </w:pPr>
    </w:p>
    <w:p w:rsidR="00246AB3" w:rsidRDefault="00246AB3" w:rsidP="005D16E1">
      <w:pPr>
        <w:widowControl w:val="0"/>
        <w:numPr>
          <w:ilvl w:val="1"/>
          <w:numId w:val="2"/>
        </w:numPr>
        <w:jc w:val="both"/>
        <w:rPr>
          <w:rFonts w:ascii="Arial" w:hAnsi="Arial" w:cs="Arial"/>
          <w:bCs/>
          <w:snapToGrid w:val="0"/>
          <w:sz w:val="22"/>
          <w:szCs w:val="22"/>
          <w:lang w:eastAsia="en-US"/>
        </w:rPr>
      </w:pPr>
      <w:r w:rsidRPr="00246AB3">
        <w:rPr>
          <w:rFonts w:ascii="Arial" w:hAnsi="Arial" w:cs="Arial"/>
          <w:bCs/>
          <w:snapToGrid w:val="0"/>
          <w:sz w:val="22"/>
          <w:szCs w:val="22"/>
          <w:lang w:eastAsia="en-US"/>
        </w:rPr>
        <w:t xml:space="preserve">In accordance with subsection 101(3BA) of the Act the PBAC advised that it is of the opinion that, on the basis if the material available to it at its March 2016 meeting, PKU </w:t>
      </w:r>
      <w:r>
        <w:rPr>
          <w:rFonts w:ascii="Arial" w:hAnsi="Arial" w:cs="Arial"/>
          <w:bCs/>
          <w:snapToGrid w:val="0"/>
          <w:sz w:val="22"/>
          <w:szCs w:val="22"/>
          <w:lang w:eastAsia="en-US"/>
        </w:rPr>
        <w:t>Go</w:t>
      </w:r>
      <w:r w:rsidRPr="00246AB3">
        <w:rPr>
          <w:rFonts w:ascii="Arial" w:hAnsi="Arial" w:cs="Arial"/>
          <w:bCs/>
          <w:snapToGrid w:val="0"/>
          <w:sz w:val="22"/>
          <w:szCs w:val="22"/>
          <w:lang w:eastAsia="en-US"/>
        </w:rPr>
        <w:t>® should not be treated as interchangeable on an individual patient basis with any other drugs.</w:t>
      </w:r>
    </w:p>
    <w:p w:rsidR="005D16E1" w:rsidRPr="00246AB3" w:rsidRDefault="005D16E1" w:rsidP="005D16E1">
      <w:pPr>
        <w:widowControl w:val="0"/>
        <w:jc w:val="both"/>
        <w:rPr>
          <w:rFonts w:ascii="Arial" w:hAnsi="Arial" w:cs="Arial"/>
          <w:bCs/>
          <w:snapToGrid w:val="0"/>
          <w:sz w:val="22"/>
          <w:szCs w:val="22"/>
          <w:lang w:eastAsia="en-US"/>
        </w:rPr>
      </w:pPr>
    </w:p>
    <w:p w:rsidR="00246AB3" w:rsidRPr="00246AB3" w:rsidRDefault="00246AB3" w:rsidP="005D16E1">
      <w:pPr>
        <w:widowControl w:val="0"/>
        <w:numPr>
          <w:ilvl w:val="1"/>
          <w:numId w:val="2"/>
        </w:numPr>
        <w:jc w:val="both"/>
        <w:rPr>
          <w:rFonts w:ascii="Arial" w:hAnsi="Arial" w:cs="Arial"/>
          <w:bCs/>
          <w:snapToGrid w:val="0"/>
          <w:sz w:val="22"/>
          <w:szCs w:val="22"/>
          <w:lang w:eastAsia="en-US"/>
        </w:rPr>
      </w:pPr>
      <w:r w:rsidRPr="00246AB3">
        <w:rPr>
          <w:rFonts w:ascii="Arial" w:hAnsi="Arial" w:cs="Arial"/>
          <w:bCs/>
          <w:snapToGrid w:val="0"/>
          <w:sz w:val="22"/>
          <w:szCs w:val="22"/>
          <w:lang w:eastAsia="en-US"/>
        </w:rPr>
        <w:t xml:space="preserve">The PBAC recommended that PKU </w:t>
      </w:r>
      <w:r>
        <w:rPr>
          <w:rFonts w:ascii="Arial" w:hAnsi="Arial" w:cs="Arial"/>
          <w:bCs/>
          <w:snapToGrid w:val="0"/>
          <w:sz w:val="22"/>
          <w:szCs w:val="22"/>
          <w:lang w:eastAsia="en-US"/>
        </w:rPr>
        <w:t>Go</w:t>
      </w:r>
      <w:r w:rsidRPr="00246AB3">
        <w:rPr>
          <w:rFonts w:ascii="Arial" w:hAnsi="Arial" w:cs="Arial"/>
          <w:bCs/>
          <w:snapToGrid w:val="0"/>
          <w:sz w:val="22"/>
          <w:szCs w:val="22"/>
          <w:lang w:eastAsia="en-US"/>
        </w:rPr>
        <w:t>® is suitable for inclusion in the PBS medicines for prescribing by nurse practitioners within collaborative arrangements.</w:t>
      </w:r>
    </w:p>
    <w:p w:rsidR="005D16E1" w:rsidRDefault="005D16E1" w:rsidP="005D16E1">
      <w:pPr>
        <w:widowControl w:val="0"/>
        <w:ind w:left="720"/>
        <w:jc w:val="both"/>
        <w:rPr>
          <w:rFonts w:ascii="Arial" w:hAnsi="Arial" w:cs="Arial"/>
          <w:bCs/>
          <w:snapToGrid w:val="0"/>
          <w:sz w:val="22"/>
          <w:szCs w:val="22"/>
          <w:lang w:eastAsia="en-US"/>
        </w:rPr>
      </w:pPr>
    </w:p>
    <w:p w:rsidR="00246AB3" w:rsidRPr="00246AB3" w:rsidRDefault="00246AB3" w:rsidP="005D16E1">
      <w:pPr>
        <w:widowControl w:val="0"/>
        <w:numPr>
          <w:ilvl w:val="1"/>
          <w:numId w:val="2"/>
        </w:numPr>
        <w:jc w:val="both"/>
        <w:rPr>
          <w:rFonts w:ascii="Arial" w:hAnsi="Arial" w:cs="Arial"/>
          <w:bCs/>
          <w:snapToGrid w:val="0"/>
          <w:sz w:val="22"/>
          <w:szCs w:val="22"/>
          <w:lang w:eastAsia="en-US"/>
        </w:rPr>
      </w:pPr>
      <w:r w:rsidRPr="00246AB3">
        <w:rPr>
          <w:rFonts w:ascii="Arial" w:hAnsi="Arial" w:cs="Arial"/>
          <w:bCs/>
          <w:snapToGrid w:val="0"/>
          <w:sz w:val="22"/>
          <w:szCs w:val="22"/>
          <w:lang w:eastAsia="en-US"/>
        </w:rPr>
        <w:t xml:space="preserve">The PBAC recommended that the </w:t>
      </w:r>
      <w:r w:rsidR="005D16E1">
        <w:rPr>
          <w:rFonts w:ascii="Arial" w:hAnsi="Arial" w:cs="Arial"/>
          <w:bCs/>
          <w:snapToGrid w:val="0"/>
          <w:sz w:val="22"/>
          <w:szCs w:val="22"/>
          <w:lang w:eastAsia="en-US"/>
        </w:rPr>
        <w:t xml:space="preserve">Early Supply </w:t>
      </w:r>
      <w:r w:rsidRPr="00246AB3">
        <w:rPr>
          <w:rFonts w:ascii="Arial" w:hAnsi="Arial" w:cs="Arial"/>
          <w:bCs/>
          <w:snapToGrid w:val="0"/>
          <w:sz w:val="22"/>
          <w:szCs w:val="22"/>
          <w:lang w:eastAsia="en-US"/>
        </w:rPr>
        <w:t>Rule should not apply as it has been the PBAC’s view that general nutrients be exempt.</w:t>
      </w:r>
    </w:p>
    <w:p w:rsidR="00DF6AAE" w:rsidRPr="004E4E73" w:rsidRDefault="00DF6AAE" w:rsidP="00DF6AAE">
      <w:pPr>
        <w:contextualSpacing/>
        <w:jc w:val="both"/>
        <w:rPr>
          <w:rFonts w:ascii="Arial" w:hAnsi="Arial" w:cs="Arial"/>
          <w:b/>
          <w:bCs/>
          <w:snapToGrid w:val="0"/>
          <w:sz w:val="22"/>
          <w:szCs w:val="22"/>
          <w:lang w:val="en-GB" w:eastAsia="en-US"/>
        </w:rPr>
      </w:pPr>
    </w:p>
    <w:p w:rsidR="00DF6AAE" w:rsidRPr="004E4E73" w:rsidRDefault="00DF6AAE" w:rsidP="00DF6AAE">
      <w:pPr>
        <w:jc w:val="both"/>
        <w:rPr>
          <w:rFonts w:ascii="Arial" w:hAnsi="Arial" w:cs="Arial"/>
          <w:b/>
          <w:bCs/>
          <w:snapToGrid w:val="0"/>
          <w:sz w:val="22"/>
          <w:szCs w:val="22"/>
          <w:lang w:val="en-GB" w:eastAsia="en-US"/>
        </w:rPr>
      </w:pPr>
    </w:p>
    <w:p w:rsidR="00DF6AAE" w:rsidRPr="004E4E73" w:rsidRDefault="00DF6AAE" w:rsidP="00DF6AAE">
      <w:pPr>
        <w:jc w:val="both"/>
        <w:rPr>
          <w:rFonts w:ascii="Arial" w:hAnsi="Arial" w:cs="Arial"/>
          <w:b/>
          <w:bCs/>
          <w:snapToGrid w:val="0"/>
          <w:sz w:val="22"/>
          <w:szCs w:val="22"/>
          <w:lang w:val="en-GB" w:eastAsia="en-US"/>
        </w:rPr>
      </w:pPr>
      <w:r w:rsidRPr="004E4E73">
        <w:rPr>
          <w:rFonts w:ascii="Arial" w:hAnsi="Arial" w:cs="Arial"/>
          <w:b/>
          <w:bCs/>
          <w:snapToGrid w:val="0"/>
          <w:sz w:val="22"/>
          <w:szCs w:val="22"/>
          <w:lang w:val="en-GB" w:eastAsia="en-US"/>
        </w:rPr>
        <w:t>Outcome:</w:t>
      </w:r>
    </w:p>
    <w:p w:rsidR="00DF6AAE" w:rsidRDefault="00246AB3" w:rsidP="00DF6AAE">
      <w:p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Recommended</w:t>
      </w:r>
    </w:p>
    <w:p w:rsidR="009947BB" w:rsidRDefault="009947BB" w:rsidP="00DF6AAE">
      <w:pPr>
        <w:jc w:val="both"/>
        <w:rPr>
          <w:rFonts w:ascii="Arial" w:hAnsi="Arial" w:cs="Arial"/>
          <w:b/>
          <w:sz w:val="22"/>
          <w:szCs w:val="22"/>
        </w:rPr>
      </w:pPr>
    </w:p>
    <w:p w:rsidR="009947BB" w:rsidRPr="00BE6825" w:rsidRDefault="009947BB" w:rsidP="00D7018A">
      <w:pPr>
        <w:pStyle w:val="Heading1"/>
        <w:rPr>
          <w:rFonts w:cs="Arial"/>
          <w:b w:val="0"/>
          <w:bCs/>
          <w:i/>
          <w:snapToGrid w:val="0"/>
          <w:lang w:val="en-GB"/>
        </w:rPr>
      </w:pPr>
      <w:r w:rsidRPr="00BE6825">
        <w:rPr>
          <w:rFonts w:cs="Arial"/>
          <w:bCs/>
          <w:snapToGrid w:val="0"/>
          <w:lang w:val="en-GB"/>
        </w:rPr>
        <w:t>Recommended listing</w:t>
      </w:r>
    </w:p>
    <w:p w:rsidR="009947BB" w:rsidRPr="00BE6825" w:rsidRDefault="009947BB" w:rsidP="009947BB">
      <w:pPr>
        <w:jc w:val="both"/>
        <w:rPr>
          <w:rFonts w:ascii="Arial" w:hAnsi="Arial" w:cs="Arial"/>
          <w:b/>
          <w:bCs/>
          <w:i/>
          <w:snapToGrid w:val="0"/>
          <w:sz w:val="22"/>
          <w:szCs w:val="22"/>
          <w:lang w:val="en-GB"/>
        </w:rPr>
      </w:pPr>
    </w:p>
    <w:p w:rsidR="009947BB" w:rsidRPr="00BE6825" w:rsidRDefault="009947BB" w:rsidP="009947BB">
      <w:pPr>
        <w:widowControl w:val="0"/>
        <w:numPr>
          <w:ilvl w:val="1"/>
          <w:numId w:val="2"/>
        </w:numPr>
        <w:contextualSpacing/>
        <w:jc w:val="both"/>
        <w:rPr>
          <w:rFonts w:ascii="Arial" w:hAnsi="Arial" w:cs="Arial"/>
          <w:b/>
          <w:bCs/>
          <w:snapToGrid w:val="0"/>
          <w:sz w:val="22"/>
          <w:szCs w:val="22"/>
        </w:rPr>
      </w:pPr>
      <w:r w:rsidRPr="00BE6825">
        <w:rPr>
          <w:rFonts w:ascii="Arial" w:hAnsi="Arial" w:cs="Arial"/>
          <w:bCs/>
          <w:snapToGrid w:val="0"/>
          <w:sz w:val="22"/>
          <w:szCs w:val="22"/>
        </w:rPr>
        <w:t>Add new item:</w:t>
      </w:r>
    </w:p>
    <w:p w:rsidR="009947BB" w:rsidRDefault="009947BB" w:rsidP="00DF6AAE">
      <w:pPr>
        <w:jc w:val="both"/>
        <w:rPr>
          <w:rFonts w:ascii="Arial" w:hAnsi="Arial" w:cs="Arial"/>
          <w:b/>
          <w:sz w:val="22"/>
          <w:szCs w:val="22"/>
        </w:rPr>
      </w:pPr>
    </w:p>
    <w:p w:rsidR="009947BB" w:rsidRDefault="009947BB" w:rsidP="00DF6AAE">
      <w:pPr>
        <w:jc w:val="both"/>
        <w:rPr>
          <w:rFonts w:ascii="Arial" w:hAnsi="Arial" w:cs="Arial"/>
          <w:b/>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9947BB" w:rsidRPr="0039782C" w:rsidTr="007253BC">
        <w:trPr>
          <w:gridAfter w:val="1"/>
          <w:wAfter w:w="1276" w:type="dxa"/>
          <w:cantSplit/>
          <w:trHeight w:val="471"/>
        </w:trPr>
        <w:tc>
          <w:tcPr>
            <w:tcW w:w="3119" w:type="dxa"/>
            <w:gridSpan w:val="2"/>
            <w:tcBorders>
              <w:bottom w:val="single" w:sz="4" w:space="0" w:color="auto"/>
            </w:tcBorders>
          </w:tcPr>
          <w:p w:rsidR="009947BB" w:rsidRPr="0039782C" w:rsidRDefault="009947BB" w:rsidP="007253B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947BB" w:rsidRPr="0039782C" w:rsidRDefault="009947BB" w:rsidP="007253B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947BB" w:rsidRPr="0039782C" w:rsidRDefault="009947BB" w:rsidP="007253BC">
            <w:pPr>
              <w:keepNext/>
              <w:ind w:left="-108"/>
              <w:jc w:val="both"/>
              <w:rPr>
                <w:rFonts w:ascii="Arial Narrow" w:hAnsi="Arial Narrow" w:cs="Arial"/>
                <w:b/>
                <w:sz w:val="20"/>
                <w:szCs w:val="20"/>
              </w:rPr>
            </w:pPr>
            <w:r w:rsidRPr="0039782C">
              <w:rPr>
                <w:rFonts w:ascii="Arial Narrow" w:hAnsi="Arial Narrow" w:cs="Arial"/>
                <w:b/>
                <w:sz w:val="20"/>
                <w:szCs w:val="20"/>
              </w:rPr>
              <w:t>Max.</w:t>
            </w:r>
          </w:p>
          <w:p w:rsidR="009947BB" w:rsidRPr="0039782C" w:rsidRDefault="009947BB" w:rsidP="007253B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9947BB" w:rsidRPr="0039782C" w:rsidRDefault="009947BB" w:rsidP="007253BC">
            <w:pPr>
              <w:keepNext/>
              <w:ind w:left="-108"/>
              <w:jc w:val="both"/>
              <w:rPr>
                <w:rFonts w:ascii="Arial Narrow" w:hAnsi="Arial Narrow" w:cs="Arial"/>
                <w:b/>
                <w:sz w:val="20"/>
                <w:szCs w:val="20"/>
              </w:rPr>
            </w:pPr>
            <w:r w:rsidRPr="0039782C">
              <w:rPr>
                <w:rFonts w:ascii="Arial Narrow" w:hAnsi="Arial Narrow" w:cs="Arial"/>
                <w:b/>
                <w:sz w:val="20"/>
                <w:szCs w:val="20"/>
              </w:rPr>
              <w:t>№.of</w:t>
            </w:r>
          </w:p>
          <w:p w:rsidR="009947BB" w:rsidRPr="0039782C" w:rsidRDefault="009947BB" w:rsidP="007253B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409" w:type="dxa"/>
            <w:gridSpan w:val="2"/>
            <w:tcBorders>
              <w:bottom w:val="single" w:sz="4" w:space="0" w:color="auto"/>
            </w:tcBorders>
          </w:tcPr>
          <w:p w:rsidR="009947BB" w:rsidRPr="0039782C" w:rsidRDefault="009947BB" w:rsidP="007253BC">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947BB" w:rsidRPr="00260CE3" w:rsidTr="007253BC">
        <w:trPr>
          <w:gridAfter w:val="1"/>
          <w:wAfter w:w="1276" w:type="dxa"/>
          <w:cantSplit/>
          <w:trHeight w:val="577"/>
        </w:trPr>
        <w:tc>
          <w:tcPr>
            <w:tcW w:w="3119" w:type="dxa"/>
            <w:gridSpan w:val="2"/>
          </w:tcPr>
          <w:p w:rsidR="009947BB" w:rsidRPr="00263CB8" w:rsidRDefault="009947BB" w:rsidP="007253BC">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w:t>
            </w:r>
            <w:r w:rsidR="004C6E62">
              <w:rPr>
                <w:rFonts w:ascii="Arial Narrow" w:hAnsi="Arial Narrow" w:cs="Arial"/>
                <w:sz w:val="20"/>
              </w:rPr>
              <w:t xml:space="preserve">CARBOHYDRATE, </w:t>
            </w:r>
            <w:r w:rsidRPr="00263CB8">
              <w:rPr>
                <w:rFonts w:ascii="Arial Narrow" w:hAnsi="Arial Narrow" w:cs="Arial"/>
                <w:sz w:val="20"/>
              </w:rPr>
              <w:t>VITAMINS</w:t>
            </w:r>
            <w:r w:rsidR="004C6E62">
              <w:rPr>
                <w:rFonts w:ascii="Arial Narrow" w:hAnsi="Arial Narrow" w:cs="Arial"/>
                <w:sz w:val="20"/>
              </w:rPr>
              <w:t>,</w:t>
            </w:r>
            <w:r w:rsidRPr="00263CB8">
              <w:rPr>
                <w:rFonts w:ascii="Arial Narrow" w:hAnsi="Arial Narrow" w:cs="Arial"/>
                <w:sz w:val="20"/>
              </w:rPr>
              <w:t xml:space="preserve"> MINERALS</w:t>
            </w:r>
            <w:r w:rsidR="004C6E62">
              <w:rPr>
                <w:rFonts w:ascii="Arial Narrow" w:hAnsi="Arial Narrow" w:cs="Arial"/>
                <w:sz w:val="20"/>
              </w:rPr>
              <w:t xml:space="preserve"> AND TRACE ELEMENTS</w:t>
            </w:r>
            <w:r w:rsidRPr="00263CB8">
              <w:rPr>
                <w:rFonts w:ascii="Arial Narrow" w:hAnsi="Arial Narrow" w:cs="Arial"/>
                <w:sz w:val="20"/>
              </w:rPr>
              <w:t xml:space="preserve"> </w:t>
            </w:r>
            <w:r>
              <w:rPr>
                <w:rFonts w:ascii="Arial Narrow" w:hAnsi="Arial Narrow" w:cs="Arial"/>
                <w:sz w:val="20"/>
              </w:rPr>
              <w:t>WITHOUT PHENYLALANINE</w:t>
            </w:r>
          </w:p>
          <w:p w:rsidR="009947BB" w:rsidRPr="00260CE3" w:rsidRDefault="009947BB" w:rsidP="004C6E62">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w:t>
            </w:r>
            <w:r w:rsidR="004C6E62">
              <w:rPr>
                <w:rFonts w:ascii="Arial Narrow" w:hAnsi="Arial Narrow" w:cs="Arial"/>
                <w:sz w:val="20"/>
              </w:rPr>
              <w:t xml:space="preserve"> carbohydrate, vitamins,</w:t>
            </w:r>
            <w:r w:rsidRPr="00263CB8">
              <w:rPr>
                <w:rFonts w:ascii="Arial Narrow" w:hAnsi="Arial Narrow" w:cs="Arial"/>
                <w:sz w:val="20"/>
              </w:rPr>
              <w:t xml:space="preserve"> minerals</w:t>
            </w:r>
            <w:r w:rsidR="004C6E62">
              <w:rPr>
                <w:rFonts w:ascii="Arial Narrow" w:hAnsi="Arial Narrow" w:cs="Arial"/>
                <w:sz w:val="20"/>
              </w:rPr>
              <w:t xml:space="preserve"> and trace elements</w:t>
            </w:r>
            <w:r>
              <w:rPr>
                <w:rFonts w:ascii="Arial Narrow" w:hAnsi="Arial Narrow" w:cs="Arial"/>
                <w:sz w:val="20"/>
              </w:rPr>
              <w:t xml:space="preserve"> without phenylalanine</w:t>
            </w:r>
            <w:r w:rsidRPr="00263CB8">
              <w:rPr>
                <w:rFonts w:ascii="Arial Narrow" w:hAnsi="Arial Narrow" w:cs="Arial"/>
                <w:sz w:val="20"/>
              </w:rPr>
              <w:t xml:space="preserve"> oral liquid</w:t>
            </w:r>
            <w:r>
              <w:rPr>
                <w:rFonts w:ascii="Arial Narrow" w:hAnsi="Arial Narrow" w:cs="Arial"/>
                <w:sz w:val="20"/>
              </w:rPr>
              <w:t>: powder</w:t>
            </w:r>
            <w:r w:rsidR="004C6E62">
              <w:rPr>
                <w:rFonts w:ascii="Arial Narrow" w:hAnsi="Arial Narrow" w:cs="Arial"/>
                <w:sz w:val="20"/>
              </w:rPr>
              <w:t xml:space="preserve"> for</w:t>
            </w:r>
            <w:r w:rsidRPr="00263CB8">
              <w:rPr>
                <w:rFonts w:ascii="Arial Narrow" w:hAnsi="Arial Narrow" w:cs="Arial"/>
                <w:sz w:val="20"/>
              </w:rPr>
              <w:t xml:space="preserve">, </w:t>
            </w:r>
            <w:r>
              <w:rPr>
                <w:rFonts w:ascii="Arial Narrow" w:hAnsi="Arial Narrow" w:cs="Arial"/>
                <w:sz w:val="20"/>
              </w:rPr>
              <w:t>30</w:t>
            </w:r>
            <w:r w:rsidR="004C6E62">
              <w:rPr>
                <w:rFonts w:ascii="Arial Narrow" w:hAnsi="Arial Narrow" w:cs="Arial"/>
                <w:sz w:val="20"/>
              </w:rPr>
              <w:t xml:space="preserve"> x</w:t>
            </w:r>
            <w:r>
              <w:rPr>
                <w:rFonts w:ascii="Arial Narrow" w:hAnsi="Arial Narrow" w:cs="Arial"/>
                <w:sz w:val="20"/>
              </w:rPr>
              <w:t xml:space="preserve"> 20g sachets</w:t>
            </w:r>
          </w:p>
        </w:tc>
        <w:tc>
          <w:tcPr>
            <w:tcW w:w="850" w:type="dxa"/>
          </w:tcPr>
          <w:p w:rsidR="009947BB" w:rsidRPr="00260CE3" w:rsidRDefault="009947BB" w:rsidP="007253BC">
            <w:pPr>
              <w:keepNext/>
              <w:ind w:left="-108"/>
              <w:jc w:val="both"/>
              <w:rPr>
                <w:rFonts w:ascii="Arial Narrow" w:hAnsi="Arial Narrow" w:cs="Arial"/>
                <w:sz w:val="20"/>
                <w:szCs w:val="20"/>
              </w:rPr>
            </w:pPr>
          </w:p>
          <w:p w:rsidR="009947BB" w:rsidRPr="00260CE3" w:rsidRDefault="009947BB" w:rsidP="007253BC">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9947BB" w:rsidRPr="00260CE3" w:rsidRDefault="009947BB" w:rsidP="007253BC">
            <w:pPr>
              <w:keepNext/>
              <w:ind w:left="-108"/>
              <w:jc w:val="both"/>
              <w:rPr>
                <w:rFonts w:ascii="Arial Narrow" w:hAnsi="Arial Narrow" w:cs="Arial"/>
                <w:sz w:val="20"/>
                <w:szCs w:val="20"/>
              </w:rPr>
            </w:pPr>
          </w:p>
          <w:p w:rsidR="009947BB" w:rsidRPr="00260CE3" w:rsidRDefault="009947BB" w:rsidP="007253BC">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9947BB" w:rsidRDefault="009947BB" w:rsidP="007253BC">
            <w:pPr>
              <w:keepNext/>
              <w:jc w:val="both"/>
              <w:rPr>
                <w:rFonts w:ascii="Arial Narrow" w:hAnsi="Arial Narrow" w:cs="Arial"/>
                <w:sz w:val="20"/>
                <w:szCs w:val="20"/>
              </w:rPr>
            </w:pPr>
          </w:p>
          <w:p w:rsidR="009947BB" w:rsidRPr="00263CB8" w:rsidRDefault="009947BB" w:rsidP="007253BC">
            <w:pPr>
              <w:keepNext/>
              <w:rPr>
                <w:rFonts w:ascii="Arial Narrow" w:hAnsi="Arial Narrow" w:cs="Arial"/>
                <w:sz w:val="20"/>
              </w:rPr>
            </w:pPr>
            <w:r w:rsidRPr="00263CB8">
              <w:rPr>
                <w:rFonts w:ascii="Arial Narrow" w:hAnsi="Arial Narrow" w:cs="Arial"/>
                <w:sz w:val="20"/>
              </w:rPr>
              <w:t xml:space="preserve">PKU </w:t>
            </w:r>
            <w:r w:rsidRPr="00783832">
              <w:rPr>
                <w:rFonts w:ascii="Arial Narrow" w:hAnsi="Arial Narrow" w:cs="Arial"/>
                <w:sz w:val="20"/>
              </w:rPr>
              <w:t>Go</w:t>
            </w:r>
          </w:p>
          <w:p w:rsidR="009947BB" w:rsidRPr="00260CE3" w:rsidRDefault="009947BB" w:rsidP="007253BC">
            <w:pPr>
              <w:keepNext/>
              <w:jc w:val="both"/>
              <w:rPr>
                <w:rFonts w:ascii="Arial Narrow" w:hAnsi="Arial Narrow" w:cs="Arial"/>
                <w:sz w:val="20"/>
                <w:szCs w:val="20"/>
              </w:rPr>
            </w:pPr>
          </w:p>
        </w:tc>
        <w:tc>
          <w:tcPr>
            <w:tcW w:w="1134" w:type="dxa"/>
          </w:tcPr>
          <w:p w:rsidR="00403E90" w:rsidRDefault="00403E90" w:rsidP="007253BC">
            <w:pPr>
              <w:keepNext/>
              <w:rPr>
                <w:rFonts w:ascii="Arial Narrow" w:hAnsi="Arial Narrow" w:cs="Arial"/>
                <w:sz w:val="20"/>
              </w:rPr>
            </w:pPr>
          </w:p>
          <w:p w:rsidR="009947BB" w:rsidRDefault="00403E90" w:rsidP="007253BC">
            <w:pPr>
              <w:keepNext/>
              <w:rPr>
                <w:rFonts w:ascii="Arial Narrow" w:hAnsi="Arial Narrow" w:cs="Arial"/>
                <w:sz w:val="20"/>
              </w:rPr>
            </w:pPr>
            <w:proofErr w:type="spellStart"/>
            <w:r>
              <w:rPr>
                <w:rFonts w:ascii="Arial Narrow" w:hAnsi="Arial Narrow" w:cs="Arial"/>
                <w:sz w:val="20"/>
              </w:rPr>
              <w:t>Orpharma</w:t>
            </w:r>
            <w:proofErr w:type="spellEnd"/>
            <w:r>
              <w:rPr>
                <w:rFonts w:ascii="Arial Narrow" w:hAnsi="Arial Narrow" w:cs="Arial"/>
                <w:sz w:val="20"/>
              </w:rPr>
              <w:t xml:space="preserve"> Pty Ltd</w:t>
            </w:r>
          </w:p>
          <w:p w:rsidR="009947BB" w:rsidRPr="00260CE3" w:rsidRDefault="009947BB" w:rsidP="007253BC">
            <w:pPr>
              <w:keepNext/>
              <w:jc w:val="both"/>
              <w:rPr>
                <w:rFonts w:ascii="Arial Narrow" w:hAnsi="Arial Narrow" w:cs="Arial"/>
                <w:sz w:val="20"/>
                <w:szCs w:val="20"/>
              </w:rPr>
            </w:pPr>
          </w:p>
        </w:tc>
      </w:tr>
      <w:tr w:rsidR="009947BB" w:rsidRPr="00260CE3" w:rsidTr="007253BC">
        <w:trPr>
          <w:cantSplit/>
          <w:trHeight w:val="360"/>
        </w:trPr>
        <w:tc>
          <w:tcPr>
            <w:tcW w:w="8363" w:type="dxa"/>
            <w:gridSpan w:val="7"/>
            <w:tcBorders>
              <w:bottom w:val="single" w:sz="4" w:space="0" w:color="auto"/>
            </w:tcBorders>
          </w:tcPr>
          <w:p w:rsidR="009947BB" w:rsidRPr="00260CE3" w:rsidRDefault="009947BB" w:rsidP="007253BC">
            <w:pPr>
              <w:jc w:val="both"/>
              <w:rPr>
                <w:rFonts w:ascii="Arial Narrow" w:hAnsi="Arial Narrow" w:cs="Arial"/>
                <w:sz w:val="20"/>
                <w:szCs w:val="20"/>
              </w:rPr>
            </w:pP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 xml:space="preserve">Category / </w:t>
            </w:r>
          </w:p>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sidRPr="00260CE3">
              <w:rPr>
                <w:rFonts w:ascii="Arial Narrow" w:hAnsi="Arial Narrow" w:cs="Arial"/>
                <w:sz w:val="20"/>
                <w:szCs w:val="20"/>
              </w:rPr>
              <w:t>GENERAL – General Schedule (Code GE)</w:t>
            </w:r>
          </w:p>
          <w:p w:rsidR="009947BB" w:rsidRPr="00260CE3" w:rsidRDefault="009947BB" w:rsidP="007253BC">
            <w:pPr>
              <w:rPr>
                <w:rFonts w:ascii="Arial Narrow" w:hAnsi="Arial Narrow" w:cs="Arial"/>
                <w:sz w:val="20"/>
                <w:szCs w:val="20"/>
              </w:rPr>
            </w:pP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947BB" w:rsidRPr="00260CE3" w:rsidRDefault="009947BB" w:rsidP="007253B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Pr>
                <w:rFonts w:ascii="Arial Narrow" w:hAnsi="Arial Narrow" w:cs="Arial"/>
                <w:sz w:val="20"/>
                <w:szCs w:val="20"/>
              </w:rPr>
              <w:t>-</w:t>
            </w: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Pr>
                <w:rFonts w:ascii="Arial Narrow" w:hAnsi="Arial Narrow" w:cs="Arial"/>
                <w:sz w:val="20"/>
                <w:szCs w:val="20"/>
              </w:rPr>
              <w:t>-</w:t>
            </w: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sidRPr="00263CB8">
              <w:rPr>
                <w:rFonts w:ascii="Arial Narrow" w:hAnsi="Arial Narrow" w:cs="Arial"/>
                <w:sz w:val="20"/>
              </w:rPr>
              <w:t>Phenylketonuria</w:t>
            </w: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9947BB" w:rsidRPr="00260CE3" w:rsidRDefault="009947BB" w:rsidP="007253BC">
            <w:pPr>
              <w:rPr>
                <w:rFonts w:ascii="Arial Narrow" w:hAnsi="Arial Narrow" w:cs="Arial"/>
                <w:sz w:val="20"/>
                <w:szCs w:val="20"/>
              </w:rPr>
            </w:pPr>
            <w:r w:rsidRPr="00263CB8">
              <w:rPr>
                <w:rFonts w:ascii="Arial Narrow" w:hAnsi="Arial Narrow" w:cs="Arial"/>
                <w:sz w:val="20"/>
              </w:rPr>
              <w:t>Phenylketonuria</w:t>
            </w:r>
          </w:p>
        </w:tc>
      </w:tr>
      <w:tr w:rsidR="009947BB"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9947BB" w:rsidRPr="00260CE3" w:rsidRDefault="009947BB" w:rsidP="007253B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947BB" w:rsidRPr="00260CE3" w:rsidRDefault="009947BB" w:rsidP="007253BC">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947BB" w:rsidRPr="00106BCF" w:rsidRDefault="009947BB" w:rsidP="007253B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9947BB" w:rsidRPr="00106BCF" w:rsidRDefault="009947BB" w:rsidP="007253B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947BB" w:rsidRPr="00106BCF" w:rsidRDefault="009947BB" w:rsidP="007253B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947BB" w:rsidRPr="00106BCF" w:rsidRDefault="009947BB" w:rsidP="007253B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947BB" w:rsidRPr="00106BCF" w:rsidRDefault="009947BB" w:rsidP="007253B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947BB" w:rsidRPr="00260CE3" w:rsidRDefault="009947BB" w:rsidP="007253B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A32E0">
              <w:rPr>
                <w:rFonts w:ascii="Arial Narrow" w:hAnsi="Arial Narrow" w:cs="Arial"/>
                <w:sz w:val="20"/>
                <w:szCs w:val="20"/>
              </w:rPr>
            </w:r>
            <w:r w:rsidR="008A32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8C2805" w:rsidRDefault="008C2805" w:rsidP="008C2805">
      <w:pPr>
        <w:widowControl w:val="0"/>
        <w:jc w:val="both"/>
        <w:rPr>
          <w:rFonts w:ascii="Arial" w:hAnsi="Arial" w:cs="Arial"/>
          <w:b/>
          <w:bCs/>
          <w:snapToGrid w:val="0"/>
          <w:sz w:val="22"/>
          <w:szCs w:val="22"/>
          <w:highlight w:val="yellow"/>
        </w:rPr>
      </w:pPr>
    </w:p>
    <w:p w:rsidR="008C2805" w:rsidRPr="00EA0EDA" w:rsidRDefault="008C2805" w:rsidP="008C2805">
      <w:pPr>
        <w:widowControl w:val="0"/>
        <w:jc w:val="both"/>
        <w:rPr>
          <w:rFonts w:ascii="Arial" w:hAnsi="Arial" w:cs="Arial"/>
          <w:b/>
          <w:bCs/>
          <w:snapToGrid w:val="0"/>
          <w:sz w:val="22"/>
          <w:szCs w:val="22"/>
          <w:highlight w:val="yellow"/>
        </w:rPr>
      </w:pPr>
    </w:p>
    <w:p w:rsidR="008C2805" w:rsidRPr="00017169" w:rsidRDefault="008C2805" w:rsidP="008C2805">
      <w:pPr>
        <w:jc w:val="both"/>
        <w:rPr>
          <w:rFonts w:ascii="Arial" w:hAnsi="Arial" w:cs="Arial"/>
          <w:bCs/>
          <w:snapToGrid w:val="0"/>
          <w:sz w:val="22"/>
          <w:szCs w:val="22"/>
          <w:lang w:val="en-GB" w:eastAsia="en-US"/>
        </w:rPr>
      </w:pPr>
      <w:bookmarkStart w:id="2" w:name="_GoBack"/>
      <w:bookmarkEnd w:id="2"/>
    </w:p>
    <w:p w:rsidR="00D7018A" w:rsidRDefault="00D7018A" w:rsidP="00D7018A">
      <w:pPr>
        <w:pStyle w:val="Heading1"/>
      </w:pPr>
      <w:r w:rsidRPr="004304F6">
        <w:lastRenderedPageBreak/>
        <w:t>Context for Decision</w:t>
      </w:r>
    </w:p>
    <w:p w:rsidR="00005D28" w:rsidRPr="00005D28" w:rsidRDefault="00005D28" w:rsidP="00005D28"/>
    <w:p w:rsidR="00D7018A" w:rsidRDefault="00D7018A" w:rsidP="00D7018A">
      <w:pPr>
        <w:ind w:left="720"/>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018A" w:rsidRPr="004304F6" w:rsidRDefault="00D7018A" w:rsidP="00D7018A">
      <w:pPr>
        <w:ind w:left="720"/>
        <w:rPr>
          <w:rFonts w:ascii="Arial" w:hAnsi="Arial" w:cs="Arial"/>
          <w:sz w:val="22"/>
        </w:rPr>
      </w:pPr>
    </w:p>
    <w:p w:rsidR="00D7018A" w:rsidRPr="004304F6" w:rsidRDefault="00D7018A" w:rsidP="00D7018A">
      <w:pPr>
        <w:pStyle w:val="Heading1"/>
      </w:pPr>
      <w:r w:rsidRPr="004304F6">
        <w:t>Sponsor’s Comment</w:t>
      </w:r>
    </w:p>
    <w:p w:rsidR="008C2805" w:rsidRDefault="008C2805" w:rsidP="00DF6AAE">
      <w:pPr>
        <w:jc w:val="both"/>
        <w:rPr>
          <w:rFonts w:ascii="Arial" w:hAnsi="Arial" w:cs="Arial"/>
          <w:b/>
          <w:sz w:val="22"/>
          <w:szCs w:val="22"/>
        </w:rPr>
      </w:pPr>
    </w:p>
    <w:p w:rsidR="002A2ED2" w:rsidRDefault="002A2ED2" w:rsidP="00C319E9">
      <w:pPr>
        <w:spacing w:after="120"/>
        <w:ind w:firstLine="720"/>
        <w:jc w:val="both"/>
        <w:rPr>
          <w:rFonts w:ascii="Arial" w:hAnsi="Arial" w:cs="Arial"/>
          <w:bCs/>
          <w:sz w:val="22"/>
        </w:rPr>
      </w:pPr>
      <w:r w:rsidRPr="003035CC">
        <w:rPr>
          <w:rFonts w:ascii="Arial" w:hAnsi="Arial" w:cs="Arial"/>
          <w:bCs/>
          <w:sz w:val="22"/>
        </w:rPr>
        <w:t>The sponsor had no comment.</w:t>
      </w:r>
    </w:p>
    <w:p w:rsidR="002A2ED2" w:rsidRDefault="002A2ED2" w:rsidP="002A2ED2">
      <w:pPr>
        <w:ind w:left="720"/>
        <w:jc w:val="both"/>
        <w:rPr>
          <w:rFonts w:ascii="Arial" w:hAnsi="Arial" w:cs="Arial"/>
          <w:b/>
          <w:sz w:val="22"/>
          <w:szCs w:val="22"/>
        </w:rPr>
      </w:pPr>
    </w:p>
    <w:sectPr w:rsidR="002A2ED2"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7F" w:rsidRDefault="006D127F">
      <w:r>
        <w:separator/>
      </w:r>
    </w:p>
    <w:p w:rsidR="006D127F" w:rsidRDefault="006D127F"/>
  </w:endnote>
  <w:endnote w:type="continuationSeparator" w:id="0">
    <w:p w:rsidR="006D127F" w:rsidRDefault="006D127F">
      <w:r>
        <w:continuationSeparator/>
      </w:r>
    </w:p>
    <w:p w:rsidR="006D127F" w:rsidRDefault="006D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DF6AAE" w:rsidRDefault="00DF6AAE" w:rsidP="00DF6AAE">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8A32E0">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7F" w:rsidRDefault="006D127F">
      <w:r>
        <w:separator/>
      </w:r>
    </w:p>
    <w:p w:rsidR="006D127F" w:rsidRDefault="006D127F"/>
  </w:footnote>
  <w:footnote w:type="continuationSeparator" w:id="0">
    <w:p w:rsidR="006D127F" w:rsidRDefault="006D127F">
      <w:r>
        <w:continuationSeparator/>
      </w:r>
    </w:p>
    <w:p w:rsidR="006D127F" w:rsidRDefault="006D12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E4" w:rsidRPr="00DF217D" w:rsidRDefault="000055E4" w:rsidP="000055E4">
    <w:pPr>
      <w:pStyle w:val="Header"/>
      <w:ind w:left="360"/>
      <w:jc w:val="center"/>
      <w:rPr>
        <w:rFonts w:ascii="Arial" w:hAnsi="Arial" w:cs="Arial"/>
        <w:i/>
        <w:color w:val="808080"/>
        <w:sz w:val="22"/>
      </w:rPr>
    </w:pPr>
    <w:r>
      <w:rPr>
        <w:rFonts w:ascii="Arial" w:hAnsi="Arial" w:cs="Arial"/>
        <w:i/>
        <w:color w:val="808080"/>
        <w:sz w:val="22"/>
      </w:rPr>
      <w:t xml:space="preserve">Public Summary Document – 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4E4E73" w:rsidRPr="00DF6AAE" w:rsidRDefault="004E4E73" w:rsidP="00DF6AAE">
    <w:pPr>
      <w:pStyle w:val="Header"/>
      <w:ind w:left="360"/>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FC2565"/>
    <w:multiLevelType w:val="hybridMultilevel"/>
    <w:tmpl w:val="A6EE912A"/>
    <w:lvl w:ilvl="0" w:tplc="09B24FA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C154D20"/>
    <w:multiLevelType w:val="hybridMultilevel"/>
    <w:tmpl w:val="3334D5D2"/>
    <w:lvl w:ilvl="0" w:tplc="09B24FA6">
      <w:numFmt w:val="bullet"/>
      <w:lvlText w:val="•"/>
      <w:lvlJc w:val="left"/>
      <w:pPr>
        <w:ind w:left="2160" w:hanging="72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1967C06"/>
    <w:multiLevelType w:val="hybridMultilevel"/>
    <w:tmpl w:val="1E7A9B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1E0230A"/>
    <w:multiLevelType w:val="hybridMultilevel"/>
    <w:tmpl w:val="DA440F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784D033C"/>
    <w:multiLevelType w:val="multilevel"/>
    <w:tmpl w:val="F934EF82"/>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7212F4"/>
    <w:multiLevelType w:val="hybridMultilevel"/>
    <w:tmpl w:val="1EC25D80"/>
    <w:lvl w:ilvl="0" w:tplc="09B24FA6">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
  </w:num>
  <w:num w:numId="4">
    <w:abstractNumId w:val="15"/>
  </w:num>
  <w:num w:numId="5">
    <w:abstractNumId w:val="2"/>
  </w:num>
  <w:num w:numId="6">
    <w:abstractNumId w:val="5"/>
  </w:num>
  <w:num w:numId="7">
    <w:abstractNumId w:val="9"/>
  </w:num>
  <w:num w:numId="8">
    <w:abstractNumId w:val="6"/>
  </w:num>
  <w:num w:numId="9">
    <w:abstractNumId w:val="16"/>
  </w:num>
  <w:num w:numId="10">
    <w:abstractNumId w:val="14"/>
  </w:num>
  <w:num w:numId="11">
    <w:abstractNumId w:val="7"/>
  </w:num>
  <w:num w:numId="12">
    <w:abstractNumId w:val="8"/>
  </w:num>
  <w:num w:numId="13">
    <w:abstractNumId w:val="3"/>
  </w:num>
  <w:num w:numId="14">
    <w:abstractNumId w:val="0"/>
  </w:num>
  <w:num w:numId="15">
    <w:abstractNumId w:val="13"/>
  </w:num>
  <w:num w:numId="16">
    <w:abstractNumId w:val="18"/>
  </w:num>
  <w:num w:numId="17">
    <w:abstractNumId w:val="11"/>
  </w:num>
  <w:num w:numId="18">
    <w:abstractNumId w:val="10"/>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5E4"/>
    <w:rsid w:val="00005D28"/>
    <w:rsid w:val="0001283A"/>
    <w:rsid w:val="0002464A"/>
    <w:rsid w:val="0003106B"/>
    <w:rsid w:val="0003116E"/>
    <w:rsid w:val="000421A1"/>
    <w:rsid w:val="0004240E"/>
    <w:rsid w:val="00045E26"/>
    <w:rsid w:val="000514B5"/>
    <w:rsid w:val="0005154F"/>
    <w:rsid w:val="0005748D"/>
    <w:rsid w:val="00060E64"/>
    <w:rsid w:val="00066755"/>
    <w:rsid w:val="00067955"/>
    <w:rsid w:val="00067964"/>
    <w:rsid w:val="000969AD"/>
    <w:rsid w:val="000A4E96"/>
    <w:rsid w:val="000B558D"/>
    <w:rsid w:val="000C6996"/>
    <w:rsid w:val="000D23BA"/>
    <w:rsid w:val="000E681E"/>
    <w:rsid w:val="000F4E6A"/>
    <w:rsid w:val="001107BF"/>
    <w:rsid w:val="00111ED6"/>
    <w:rsid w:val="0012417C"/>
    <w:rsid w:val="00142395"/>
    <w:rsid w:val="00142714"/>
    <w:rsid w:val="001452ED"/>
    <w:rsid w:val="00156E58"/>
    <w:rsid w:val="0016410F"/>
    <w:rsid w:val="001748CE"/>
    <w:rsid w:val="001830CE"/>
    <w:rsid w:val="00187CF9"/>
    <w:rsid w:val="00196307"/>
    <w:rsid w:val="001B017F"/>
    <w:rsid w:val="001B5129"/>
    <w:rsid w:val="001C1195"/>
    <w:rsid w:val="001E072D"/>
    <w:rsid w:val="001E5907"/>
    <w:rsid w:val="002071C8"/>
    <w:rsid w:val="00213CFB"/>
    <w:rsid w:val="0022550F"/>
    <w:rsid w:val="002341BA"/>
    <w:rsid w:val="00246AB3"/>
    <w:rsid w:val="00247CF5"/>
    <w:rsid w:val="00271BA1"/>
    <w:rsid w:val="00277505"/>
    <w:rsid w:val="0029458F"/>
    <w:rsid w:val="002A104C"/>
    <w:rsid w:val="002A2ED2"/>
    <w:rsid w:val="002A4960"/>
    <w:rsid w:val="002B1AE6"/>
    <w:rsid w:val="002B30F8"/>
    <w:rsid w:val="002C14A4"/>
    <w:rsid w:val="002C212F"/>
    <w:rsid w:val="002D5C51"/>
    <w:rsid w:val="002E3153"/>
    <w:rsid w:val="002E72CA"/>
    <w:rsid w:val="00326E79"/>
    <w:rsid w:val="003367EF"/>
    <w:rsid w:val="00341AE4"/>
    <w:rsid w:val="00367455"/>
    <w:rsid w:val="00377334"/>
    <w:rsid w:val="0038442E"/>
    <w:rsid w:val="003872CF"/>
    <w:rsid w:val="0039782C"/>
    <w:rsid w:val="003A5B4A"/>
    <w:rsid w:val="003A5FCF"/>
    <w:rsid w:val="003B1855"/>
    <w:rsid w:val="003B23C5"/>
    <w:rsid w:val="003B2A75"/>
    <w:rsid w:val="003D4AC4"/>
    <w:rsid w:val="003D63B7"/>
    <w:rsid w:val="003E468B"/>
    <w:rsid w:val="003F5C8C"/>
    <w:rsid w:val="00403E90"/>
    <w:rsid w:val="00437468"/>
    <w:rsid w:val="004465BD"/>
    <w:rsid w:val="00466ADA"/>
    <w:rsid w:val="00476245"/>
    <w:rsid w:val="004779A4"/>
    <w:rsid w:val="00485940"/>
    <w:rsid w:val="0049407A"/>
    <w:rsid w:val="004A08DA"/>
    <w:rsid w:val="004A5A85"/>
    <w:rsid w:val="004B5640"/>
    <w:rsid w:val="004C1BD7"/>
    <w:rsid w:val="004C691D"/>
    <w:rsid w:val="004C6E62"/>
    <w:rsid w:val="004E4E73"/>
    <w:rsid w:val="004E60A9"/>
    <w:rsid w:val="004E692D"/>
    <w:rsid w:val="00501554"/>
    <w:rsid w:val="005072A3"/>
    <w:rsid w:val="00514CD7"/>
    <w:rsid w:val="00522647"/>
    <w:rsid w:val="005319B2"/>
    <w:rsid w:val="00532C74"/>
    <w:rsid w:val="00534E2E"/>
    <w:rsid w:val="00543742"/>
    <w:rsid w:val="00544552"/>
    <w:rsid w:val="00581932"/>
    <w:rsid w:val="00591733"/>
    <w:rsid w:val="005963BB"/>
    <w:rsid w:val="005A3173"/>
    <w:rsid w:val="005A3223"/>
    <w:rsid w:val="005A3DA3"/>
    <w:rsid w:val="005A52C4"/>
    <w:rsid w:val="005B2207"/>
    <w:rsid w:val="005C4322"/>
    <w:rsid w:val="005D03AB"/>
    <w:rsid w:val="005D16E1"/>
    <w:rsid w:val="005D5017"/>
    <w:rsid w:val="00601A91"/>
    <w:rsid w:val="00602BA3"/>
    <w:rsid w:val="00614159"/>
    <w:rsid w:val="00617C00"/>
    <w:rsid w:val="006263BF"/>
    <w:rsid w:val="0062748A"/>
    <w:rsid w:val="00630A2C"/>
    <w:rsid w:val="00633D36"/>
    <w:rsid w:val="00635B9A"/>
    <w:rsid w:val="0064012F"/>
    <w:rsid w:val="00644FBF"/>
    <w:rsid w:val="00651169"/>
    <w:rsid w:val="00653D69"/>
    <w:rsid w:val="006652B4"/>
    <w:rsid w:val="00670A76"/>
    <w:rsid w:val="00670D57"/>
    <w:rsid w:val="006711AA"/>
    <w:rsid w:val="00672B57"/>
    <w:rsid w:val="00675622"/>
    <w:rsid w:val="00680B43"/>
    <w:rsid w:val="00680E9E"/>
    <w:rsid w:val="006856CD"/>
    <w:rsid w:val="006906DB"/>
    <w:rsid w:val="00692ACF"/>
    <w:rsid w:val="006A12A5"/>
    <w:rsid w:val="006A37C1"/>
    <w:rsid w:val="006B0D94"/>
    <w:rsid w:val="006B485D"/>
    <w:rsid w:val="006C3A82"/>
    <w:rsid w:val="006C708E"/>
    <w:rsid w:val="006D127F"/>
    <w:rsid w:val="006D22A0"/>
    <w:rsid w:val="006D6EC7"/>
    <w:rsid w:val="006F5125"/>
    <w:rsid w:val="00704DE3"/>
    <w:rsid w:val="00713A79"/>
    <w:rsid w:val="007174BB"/>
    <w:rsid w:val="007461DB"/>
    <w:rsid w:val="0076420C"/>
    <w:rsid w:val="007753C2"/>
    <w:rsid w:val="007838B8"/>
    <w:rsid w:val="00793BB5"/>
    <w:rsid w:val="007A2B91"/>
    <w:rsid w:val="007C065B"/>
    <w:rsid w:val="007C0F57"/>
    <w:rsid w:val="007C40B6"/>
    <w:rsid w:val="007C729F"/>
    <w:rsid w:val="007D3C2D"/>
    <w:rsid w:val="007E1D28"/>
    <w:rsid w:val="007F2641"/>
    <w:rsid w:val="007F7C36"/>
    <w:rsid w:val="00806796"/>
    <w:rsid w:val="00811AEB"/>
    <w:rsid w:val="00826F6D"/>
    <w:rsid w:val="00831C3D"/>
    <w:rsid w:val="00856DDD"/>
    <w:rsid w:val="00863E68"/>
    <w:rsid w:val="00882085"/>
    <w:rsid w:val="00883188"/>
    <w:rsid w:val="00897D58"/>
    <w:rsid w:val="008A1956"/>
    <w:rsid w:val="008A32E0"/>
    <w:rsid w:val="008A4937"/>
    <w:rsid w:val="008B58E0"/>
    <w:rsid w:val="008C2805"/>
    <w:rsid w:val="008C2E00"/>
    <w:rsid w:val="008C4C93"/>
    <w:rsid w:val="008D3C82"/>
    <w:rsid w:val="008D447E"/>
    <w:rsid w:val="008D7A41"/>
    <w:rsid w:val="008E3680"/>
    <w:rsid w:val="008E5870"/>
    <w:rsid w:val="008F1434"/>
    <w:rsid w:val="008F7355"/>
    <w:rsid w:val="009067B7"/>
    <w:rsid w:val="009104C6"/>
    <w:rsid w:val="00930937"/>
    <w:rsid w:val="00933E6C"/>
    <w:rsid w:val="00942160"/>
    <w:rsid w:val="00946C55"/>
    <w:rsid w:val="009602C5"/>
    <w:rsid w:val="00964C23"/>
    <w:rsid w:val="00974C21"/>
    <w:rsid w:val="009947BB"/>
    <w:rsid w:val="009B0F67"/>
    <w:rsid w:val="009C703C"/>
    <w:rsid w:val="009D20F5"/>
    <w:rsid w:val="009D3CAA"/>
    <w:rsid w:val="009E3375"/>
    <w:rsid w:val="009F4E46"/>
    <w:rsid w:val="009F5B65"/>
    <w:rsid w:val="009F5F2E"/>
    <w:rsid w:val="00A06225"/>
    <w:rsid w:val="00A128E6"/>
    <w:rsid w:val="00A15C90"/>
    <w:rsid w:val="00A21683"/>
    <w:rsid w:val="00A37C8D"/>
    <w:rsid w:val="00A51804"/>
    <w:rsid w:val="00A5273B"/>
    <w:rsid w:val="00A53A9D"/>
    <w:rsid w:val="00A55FEE"/>
    <w:rsid w:val="00A62C1A"/>
    <w:rsid w:val="00A6426D"/>
    <w:rsid w:val="00A70622"/>
    <w:rsid w:val="00A70977"/>
    <w:rsid w:val="00A8390C"/>
    <w:rsid w:val="00A87ED4"/>
    <w:rsid w:val="00A928BD"/>
    <w:rsid w:val="00AA4D1C"/>
    <w:rsid w:val="00AB1F97"/>
    <w:rsid w:val="00AC5206"/>
    <w:rsid w:val="00AE11A5"/>
    <w:rsid w:val="00AE13E2"/>
    <w:rsid w:val="00AF3FB1"/>
    <w:rsid w:val="00AF68CC"/>
    <w:rsid w:val="00B205AA"/>
    <w:rsid w:val="00B22E84"/>
    <w:rsid w:val="00B25F75"/>
    <w:rsid w:val="00B43B7E"/>
    <w:rsid w:val="00B43E90"/>
    <w:rsid w:val="00B56118"/>
    <w:rsid w:val="00B6773F"/>
    <w:rsid w:val="00B72022"/>
    <w:rsid w:val="00B801BA"/>
    <w:rsid w:val="00B95324"/>
    <w:rsid w:val="00BB69F5"/>
    <w:rsid w:val="00BB7EC3"/>
    <w:rsid w:val="00BC4B9A"/>
    <w:rsid w:val="00BD589B"/>
    <w:rsid w:val="00BD784C"/>
    <w:rsid w:val="00BE4594"/>
    <w:rsid w:val="00BF4CB6"/>
    <w:rsid w:val="00C00DA7"/>
    <w:rsid w:val="00C12768"/>
    <w:rsid w:val="00C27B58"/>
    <w:rsid w:val="00C319E9"/>
    <w:rsid w:val="00C35996"/>
    <w:rsid w:val="00C5342C"/>
    <w:rsid w:val="00C6256A"/>
    <w:rsid w:val="00C67BF2"/>
    <w:rsid w:val="00C7792B"/>
    <w:rsid w:val="00C91449"/>
    <w:rsid w:val="00C92D10"/>
    <w:rsid w:val="00CA3B47"/>
    <w:rsid w:val="00CE10C4"/>
    <w:rsid w:val="00CE27B5"/>
    <w:rsid w:val="00D0321E"/>
    <w:rsid w:val="00D046D8"/>
    <w:rsid w:val="00D06A5E"/>
    <w:rsid w:val="00D13347"/>
    <w:rsid w:val="00D1455A"/>
    <w:rsid w:val="00D3280C"/>
    <w:rsid w:val="00D3406A"/>
    <w:rsid w:val="00D469B2"/>
    <w:rsid w:val="00D7018A"/>
    <w:rsid w:val="00D741EB"/>
    <w:rsid w:val="00D84934"/>
    <w:rsid w:val="00D91271"/>
    <w:rsid w:val="00D9160A"/>
    <w:rsid w:val="00DA2CB5"/>
    <w:rsid w:val="00DA4BAC"/>
    <w:rsid w:val="00DA7527"/>
    <w:rsid w:val="00DE6D27"/>
    <w:rsid w:val="00DF217D"/>
    <w:rsid w:val="00DF26A7"/>
    <w:rsid w:val="00DF6AAE"/>
    <w:rsid w:val="00E07E6D"/>
    <w:rsid w:val="00E164B3"/>
    <w:rsid w:val="00E16910"/>
    <w:rsid w:val="00E5246B"/>
    <w:rsid w:val="00E65E54"/>
    <w:rsid w:val="00E72ED6"/>
    <w:rsid w:val="00E80155"/>
    <w:rsid w:val="00E807BB"/>
    <w:rsid w:val="00E848C0"/>
    <w:rsid w:val="00E91B96"/>
    <w:rsid w:val="00E941A1"/>
    <w:rsid w:val="00E95CE3"/>
    <w:rsid w:val="00EA2825"/>
    <w:rsid w:val="00EB2E81"/>
    <w:rsid w:val="00EB5088"/>
    <w:rsid w:val="00ED1644"/>
    <w:rsid w:val="00ED1FB5"/>
    <w:rsid w:val="00EE5C63"/>
    <w:rsid w:val="00EF44A0"/>
    <w:rsid w:val="00EF4FED"/>
    <w:rsid w:val="00F020E1"/>
    <w:rsid w:val="00F038B2"/>
    <w:rsid w:val="00F050BD"/>
    <w:rsid w:val="00F05657"/>
    <w:rsid w:val="00F22606"/>
    <w:rsid w:val="00F243F5"/>
    <w:rsid w:val="00F25578"/>
    <w:rsid w:val="00F258E5"/>
    <w:rsid w:val="00F300BC"/>
    <w:rsid w:val="00F3334E"/>
    <w:rsid w:val="00F45BFC"/>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7018A"/>
    <w:pPr>
      <w:numPr>
        <w:numId w:val="2"/>
      </w:numPr>
      <w:jc w:val="both"/>
      <w:outlineLvl w:val="0"/>
    </w:pPr>
    <w:rPr>
      <w:rFonts w:ascii="Arial" w:hAnsi="Arial"/>
      <w:b/>
      <w:sz w:val="22"/>
      <w:szCs w:val="22"/>
    </w:rPr>
  </w:style>
  <w:style w:type="paragraph" w:styleId="Heading2">
    <w:name w:val="heading 2"/>
    <w:basedOn w:val="Normal"/>
    <w:next w:val="Normal"/>
    <w:qFormat/>
    <w:rsid w:val="00D7018A"/>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styleId="Revision">
    <w:name w:val="Revision"/>
    <w:hidden/>
    <w:uiPriority w:val="71"/>
    <w:rsid w:val="005D16E1"/>
    <w:rPr>
      <w:sz w:val="24"/>
      <w:szCs w:val="24"/>
    </w:rPr>
  </w:style>
  <w:style w:type="paragraph" w:styleId="Title">
    <w:name w:val="Title"/>
    <w:basedOn w:val="Normal"/>
    <w:next w:val="Normal"/>
    <w:link w:val="TitleChar"/>
    <w:qFormat/>
    <w:rsid w:val="00AF3FB1"/>
    <w:pPr>
      <w:ind w:left="720" w:hanging="720"/>
      <w:outlineLvl w:val="0"/>
    </w:pPr>
    <w:rPr>
      <w:rFonts w:ascii="Arial" w:hAnsi="Arial" w:cs="Arial"/>
      <w:b/>
      <w:sz w:val="28"/>
    </w:rPr>
  </w:style>
  <w:style w:type="character" w:customStyle="1" w:styleId="TitleChar">
    <w:name w:val="Title Char"/>
    <w:basedOn w:val="DefaultParagraphFont"/>
    <w:link w:val="Title"/>
    <w:rsid w:val="00AF3FB1"/>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7018A"/>
    <w:pPr>
      <w:numPr>
        <w:numId w:val="2"/>
      </w:numPr>
      <w:jc w:val="both"/>
      <w:outlineLvl w:val="0"/>
    </w:pPr>
    <w:rPr>
      <w:rFonts w:ascii="Arial" w:hAnsi="Arial"/>
      <w:b/>
      <w:sz w:val="22"/>
      <w:szCs w:val="22"/>
    </w:rPr>
  </w:style>
  <w:style w:type="paragraph" w:styleId="Heading2">
    <w:name w:val="heading 2"/>
    <w:basedOn w:val="Normal"/>
    <w:next w:val="Normal"/>
    <w:qFormat/>
    <w:rsid w:val="00D7018A"/>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styleId="Revision">
    <w:name w:val="Revision"/>
    <w:hidden/>
    <w:uiPriority w:val="71"/>
    <w:rsid w:val="005D16E1"/>
    <w:rPr>
      <w:sz w:val="24"/>
      <w:szCs w:val="24"/>
    </w:rPr>
  </w:style>
  <w:style w:type="paragraph" w:styleId="Title">
    <w:name w:val="Title"/>
    <w:basedOn w:val="Normal"/>
    <w:next w:val="Normal"/>
    <w:link w:val="TitleChar"/>
    <w:qFormat/>
    <w:rsid w:val="00AF3FB1"/>
    <w:pPr>
      <w:ind w:left="720" w:hanging="720"/>
      <w:outlineLvl w:val="0"/>
    </w:pPr>
    <w:rPr>
      <w:rFonts w:ascii="Arial" w:hAnsi="Arial" w:cs="Arial"/>
      <w:b/>
      <w:sz w:val="28"/>
    </w:rPr>
  </w:style>
  <w:style w:type="character" w:customStyle="1" w:styleId="TitleChar">
    <w:name w:val="Title Char"/>
    <w:basedOn w:val="DefaultParagraphFont"/>
    <w:link w:val="Title"/>
    <w:rsid w:val="00AF3FB1"/>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92FE-335F-4E7B-83FB-36FCF7CE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7590</Characters>
  <Application>Microsoft Office Word</Application>
  <DocSecurity>0</DocSecurity>
  <Lines>244</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2016-06-07T03:14:00Z</dcterms:created>
  <dcterms:modified xsi:type="dcterms:W3CDTF">2016-06-21T23:52:00Z</dcterms:modified>
</cp:coreProperties>
</file>