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54F" w:rsidRDefault="00B1454F" w:rsidP="00B1454F">
      <w:pPr>
        <w:widowControl/>
      </w:pPr>
    </w:p>
    <w:p w:rsidR="004B3DDB" w:rsidRPr="00C27D17" w:rsidRDefault="004B3DDB" w:rsidP="00207D00"/>
    <w:p w:rsidR="00FB3F33" w:rsidRDefault="002B1A79" w:rsidP="00E6165E">
      <w:pPr>
        <w:pStyle w:val="Heading1"/>
        <w:jc w:val="left"/>
        <w:rPr>
          <w:sz w:val="28"/>
        </w:rPr>
      </w:pPr>
      <w:bookmarkStart w:id="0" w:name="_Toc441048463"/>
      <w:r w:rsidRPr="00C27D17">
        <w:rPr>
          <w:sz w:val="28"/>
        </w:rPr>
        <w:t>6</w:t>
      </w:r>
      <w:r w:rsidR="00433044" w:rsidRPr="00C27D17">
        <w:rPr>
          <w:sz w:val="28"/>
        </w:rPr>
        <w:t>.</w:t>
      </w:r>
      <w:r w:rsidRPr="00C27D17">
        <w:rPr>
          <w:sz w:val="28"/>
        </w:rPr>
        <w:t>0</w:t>
      </w:r>
      <w:r w:rsidR="00CB191C">
        <w:rPr>
          <w:sz w:val="28"/>
        </w:rPr>
        <w:t>8</w:t>
      </w:r>
      <w:r w:rsidR="00A94C10" w:rsidRPr="00C27D17">
        <w:rPr>
          <w:sz w:val="28"/>
        </w:rPr>
        <w:t xml:space="preserve"> </w:t>
      </w:r>
      <w:r w:rsidR="00B60939" w:rsidRPr="00C27D17">
        <w:rPr>
          <w:sz w:val="28"/>
        </w:rPr>
        <w:tab/>
      </w:r>
      <w:r w:rsidR="00FB3F33" w:rsidRPr="00C27D17">
        <w:rPr>
          <w:sz w:val="28"/>
        </w:rPr>
        <w:t>SECUKINUMAB,</w:t>
      </w:r>
      <w:r w:rsidR="00E6165E">
        <w:rPr>
          <w:sz w:val="28"/>
        </w:rPr>
        <w:br/>
      </w:r>
      <w:r w:rsidR="00FB3F33" w:rsidRPr="00C27D17">
        <w:rPr>
          <w:sz w:val="28"/>
        </w:rPr>
        <w:t xml:space="preserve"> </w:t>
      </w:r>
      <w:r w:rsidR="00FB3F33" w:rsidRPr="00C27D17">
        <w:rPr>
          <w:caps w:val="0"/>
          <w:sz w:val="28"/>
        </w:rPr>
        <w:t>15</w:t>
      </w:r>
      <w:r w:rsidR="00992EE2">
        <w:rPr>
          <w:caps w:val="0"/>
          <w:sz w:val="28"/>
        </w:rPr>
        <w:t>0 mg</w:t>
      </w:r>
      <w:r w:rsidR="00FB3F33" w:rsidRPr="00C27D17">
        <w:rPr>
          <w:caps w:val="0"/>
          <w:sz w:val="28"/>
        </w:rPr>
        <w:t>/</w:t>
      </w:r>
      <w:r w:rsidR="00992EE2">
        <w:rPr>
          <w:caps w:val="0"/>
          <w:sz w:val="28"/>
        </w:rPr>
        <w:t>1 mL</w:t>
      </w:r>
      <w:r w:rsidR="00FB3F33" w:rsidRPr="00C27D17">
        <w:rPr>
          <w:caps w:val="0"/>
          <w:sz w:val="28"/>
        </w:rPr>
        <w:t xml:space="preserve"> pre-filled pen</w:t>
      </w:r>
      <w:r w:rsidR="00FB3F33" w:rsidRPr="00C27D17">
        <w:rPr>
          <w:sz w:val="28"/>
        </w:rPr>
        <w:t xml:space="preserve">, </w:t>
      </w:r>
      <w:r w:rsidR="00E6165E">
        <w:rPr>
          <w:sz w:val="28"/>
        </w:rPr>
        <w:br/>
      </w:r>
      <w:r w:rsidR="00FB3F33" w:rsidRPr="00C27D17">
        <w:rPr>
          <w:caps w:val="0"/>
          <w:sz w:val="28"/>
        </w:rPr>
        <w:t>Cosentyx</w:t>
      </w:r>
      <w:r w:rsidR="00FB3F33" w:rsidRPr="00C27D17">
        <w:rPr>
          <w:sz w:val="28"/>
          <w:vertAlign w:val="superscript"/>
        </w:rPr>
        <w:t>®</w:t>
      </w:r>
      <w:r w:rsidR="00FB3F33" w:rsidRPr="00C27D17">
        <w:rPr>
          <w:sz w:val="28"/>
        </w:rPr>
        <w:t xml:space="preserve">, </w:t>
      </w:r>
      <w:r w:rsidR="00E6165E">
        <w:rPr>
          <w:sz w:val="28"/>
        </w:rPr>
        <w:br/>
      </w:r>
      <w:r w:rsidR="00FB3F33" w:rsidRPr="00C27D17">
        <w:rPr>
          <w:caps w:val="0"/>
          <w:sz w:val="28"/>
        </w:rPr>
        <w:t>Novartis Pharmaceuticals Australia Pty Ltd</w:t>
      </w:r>
      <w:r w:rsidR="00FB3F33" w:rsidRPr="00C27D17">
        <w:rPr>
          <w:sz w:val="28"/>
        </w:rPr>
        <w:t>.</w:t>
      </w:r>
      <w:bookmarkEnd w:id="0"/>
    </w:p>
    <w:p w:rsidR="00433044" w:rsidRDefault="00433044" w:rsidP="00281014">
      <w:pPr>
        <w:pStyle w:val="BodyText"/>
      </w:pPr>
    </w:p>
    <w:p w:rsidR="00F05FF4" w:rsidRDefault="00F05FF4" w:rsidP="00281014">
      <w:pPr>
        <w:pStyle w:val="BodyText"/>
      </w:pPr>
    </w:p>
    <w:p w:rsidR="00812FE8" w:rsidRPr="00E6165E" w:rsidRDefault="00812FE8" w:rsidP="00E6165E">
      <w:pPr>
        <w:pStyle w:val="PBACHeading1"/>
      </w:pPr>
      <w:bookmarkStart w:id="1" w:name="_Toc441048465"/>
      <w:r w:rsidRPr="00E6165E">
        <w:t>Purpose of Application</w:t>
      </w:r>
      <w:bookmarkEnd w:id="1"/>
    </w:p>
    <w:p w:rsidR="00812FE8" w:rsidRPr="002D023E" w:rsidRDefault="00812FE8" w:rsidP="00812FE8">
      <w:pPr>
        <w:rPr>
          <w:szCs w:val="22"/>
        </w:rPr>
      </w:pPr>
    </w:p>
    <w:p w:rsidR="00812FE8" w:rsidRPr="002D023E" w:rsidRDefault="00F05FF4" w:rsidP="00812FE8">
      <w:pPr>
        <w:pStyle w:val="ListParagraph"/>
        <w:widowControl/>
        <w:numPr>
          <w:ilvl w:val="1"/>
          <w:numId w:val="7"/>
        </w:numPr>
        <w:rPr>
          <w:szCs w:val="22"/>
        </w:rPr>
      </w:pPr>
      <w:r>
        <w:t>To request an</w:t>
      </w:r>
      <w:r w:rsidR="00DB0F74">
        <w:t xml:space="preserve"> </w:t>
      </w:r>
      <w:r w:rsidR="00812FE8" w:rsidRPr="002D023E">
        <w:t>Authority Required (in writing) listing for the treatment of severe active psoriatic arthritis in patients meeting certain criteria.</w:t>
      </w:r>
    </w:p>
    <w:p w:rsidR="00812FE8" w:rsidRDefault="00812FE8" w:rsidP="00812FE8"/>
    <w:p w:rsidR="005A2F5D" w:rsidRPr="002D023E" w:rsidRDefault="005A2F5D" w:rsidP="00812FE8"/>
    <w:p w:rsidR="00812FE8" w:rsidRPr="002D023E" w:rsidRDefault="00812FE8" w:rsidP="00812FE8">
      <w:pPr>
        <w:pStyle w:val="PBACHeading1"/>
      </w:pPr>
      <w:bookmarkStart w:id="2" w:name="_Toc441048466"/>
      <w:r w:rsidRPr="002D023E">
        <w:t>Requested listing</w:t>
      </w:r>
      <w:bookmarkEnd w:id="2"/>
    </w:p>
    <w:p w:rsidR="00812FE8" w:rsidRPr="002D023E" w:rsidRDefault="00812FE8" w:rsidP="00812FE8"/>
    <w:p w:rsidR="00812FE8" w:rsidRPr="000A5B0E" w:rsidRDefault="00812FE8" w:rsidP="00812FE8">
      <w:pPr>
        <w:pStyle w:val="ListParagraph"/>
        <w:numPr>
          <w:ilvl w:val="1"/>
          <w:numId w:val="7"/>
        </w:numPr>
        <w:rPr>
          <w:szCs w:val="22"/>
        </w:rPr>
      </w:pPr>
      <w:r w:rsidRPr="000A5B0E">
        <w:rPr>
          <w:szCs w:val="22"/>
        </w:rPr>
        <w:t>The requested listing was generally consistent with the current PBS restrictions of the other biological disease-modifying antirheumatic drugs (bDMARDs) listed for severe active psoriatic arthritis: adalimumab, etanercept, infliximab, golimumab, and certolizumab pegol.</w:t>
      </w:r>
    </w:p>
    <w:p w:rsidR="00812FE8" w:rsidRPr="000A5B0E" w:rsidRDefault="00812FE8" w:rsidP="00812FE8">
      <w:pPr>
        <w:widowControl/>
        <w:rPr>
          <w:szCs w:val="22"/>
        </w:rPr>
      </w:pPr>
    </w:p>
    <w:tbl>
      <w:tblPr>
        <w:tblW w:w="4595" w:type="pct"/>
        <w:tblInd w:w="737" w:type="dxa"/>
        <w:tblLayout w:type="fixed"/>
        <w:tblCellMar>
          <w:left w:w="28" w:type="dxa"/>
          <w:right w:w="28" w:type="dxa"/>
        </w:tblCellMar>
        <w:tblLook w:val="04A0" w:firstRow="1" w:lastRow="0" w:firstColumn="1" w:lastColumn="0" w:noHBand="0" w:noVBand="1"/>
      </w:tblPr>
      <w:tblGrid>
        <w:gridCol w:w="3115"/>
        <w:gridCol w:w="568"/>
        <w:gridCol w:w="568"/>
        <w:gridCol w:w="1559"/>
        <w:gridCol w:w="992"/>
        <w:gridCol w:w="1544"/>
      </w:tblGrid>
      <w:tr w:rsidR="00812FE8" w:rsidRPr="000A5B0E" w:rsidTr="008763E6">
        <w:trPr>
          <w:cantSplit/>
          <w:trHeight w:val="471"/>
        </w:trPr>
        <w:tc>
          <w:tcPr>
            <w:tcW w:w="1867" w:type="pct"/>
            <w:tcBorders>
              <w:top w:val="nil"/>
              <w:left w:val="nil"/>
              <w:bottom w:val="single" w:sz="4" w:space="0" w:color="auto"/>
              <w:right w:val="nil"/>
            </w:tcBorders>
            <w:hideMark/>
          </w:tcPr>
          <w:p w:rsidR="00812FE8" w:rsidRPr="000A5B0E" w:rsidRDefault="00812FE8" w:rsidP="008763E6">
            <w:pPr>
              <w:keepNext/>
              <w:rPr>
                <w:rFonts w:ascii="Arial Narrow" w:hAnsi="Arial Narrow"/>
                <w:sz w:val="20"/>
              </w:rPr>
            </w:pPr>
            <w:r w:rsidRPr="000A5B0E">
              <w:rPr>
                <w:rFonts w:ascii="Arial Narrow" w:hAnsi="Arial Narrow"/>
                <w:sz w:val="20"/>
              </w:rPr>
              <w:t>Name, Restriction,</w:t>
            </w:r>
          </w:p>
          <w:p w:rsidR="00812FE8" w:rsidRPr="000A5B0E" w:rsidRDefault="00812FE8" w:rsidP="008763E6">
            <w:pPr>
              <w:keepNext/>
              <w:rPr>
                <w:rFonts w:ascii="Arial Narrow" w:hAnsi="Arial Narrow"/>
                <w:sz w:val="20"/>
              </w:rPr>
            </w:pPr>
            <w:r w:rsidRPr="000A5B0E">
              <w:rPr>
                <w:rFonts w:ascii="Arial Narrow" w:hAnsi="Arial Narrow"/>
                <w:sz w:val="20"/>
              </w:rPr>
              <w:t>Manner of administration and form</w:t>
            </w:r>
          </w:p>
        </w:tc>
        <w:tc>
          <w:tcPr>
            <w:tcW w:w="340" w:type="pct"/>
            <w:tcBorders>
              <w:top w:val="nil"/>
              <w:left w:val="nil"/>
              <w:bottom w:val="single" w:sz="4" w:space="0" w:color="auto"/>
              <w:right w:val="nil"/>
            </w:tcBorders>
            <w:hideMark/>
          </w:tcPr>
          <w:p w:rsidR="00812FE8" w:rsidRPr="000A5B0E" w:rsidRDefault="00812FE8" w:rsidP="008763E6">
            <w:pPr>
              <w:keepNext/>
              <w:jc w:val="center"/>
              <w:rPr>
                <w:rFonts w:ascii="Arial Narrow" w:hAnsi="Arial Narrow"/>
                <w:sz w:val="20"/>
              </w:rPr>
            </w:pPr>
            <w:r w:rsidRPr="000A5B0E">
              <w:rPr>
                <w:rFonts w:ascii="Arial Narrow" w:hAnsi="Arial Narrow"/>
                <w:sz w:val="20"/>
              </w:rPr>
              <w:t>Max.</w:t>
            </w:r>
          </w:p>
          <w:p w:rsidR="00812FE8" w:rsidRPr="000A5B0E" w:rsidRDefault="00812FE8" w:rsidP="008763E6">
            <w:pPr>
              <w:keepNext/>
              <w:jc w:val="center"/>
              <w:rPr>
                <w:rFonts w:ascii="Arial Narrow" w:hAnsi="Arial Narrow"/>
                <w:sz w:val="20"/>
              </w:rPr>
            </w:pPr>
            <w:r w:rsidRPr="000A5B0E">
              <w:rPr>
                <w:rFonts w:ascii="Arial Narrow" w:hAnsi="Arial Narrow"/>
                <w:sz w:val="20"/>
              </w:rPr>
              <w:t>Qty</w:t>
            </w:r>
          </w:p>
        </w:tc>
        <w:tc>
          <w:tcPr>
            <w:tcW w:w="340" w:type="pct"/>
            <w:tcBorders>
              <w:top w:val="nil"/>
              <w:left w:val="nil"/>
              <w:bottom w:val="single" w:sz="4" w:space="0" w:color="auto"/>
              <w:right w:val="nil"/>
            </w:tcBorders>
            <w:hideMark/>
          </w:tcPr>
          <w:p w:rsidR="00812FE8" w:rsidRPr="000A5B0E" w:rsidRDefault="00812FE8" w:rsidP="008763E6">
            <w:pPr>
              <w:keepNext/>
              <w:jc w:val="center"/>
              <w:rPr>
                <w:rFonts w:ascii="Arial Narrow" w:hAnsi="Arial Narrow"/>
                <w:sz w:val="20"/>
              </w:rPr>
            </w:pPr>
            <w:r w:rsidRPr="000A5B0E">
              <w:rPr>
                <w:rFonts w:ascii="Arial Narrow" w:hAnsi="Arial Narrow"/>
                <w:sz w:val="20"/>
              </w:rPr>
              <w:t>№.of</w:t>
            </w:r>
          </w:p>
          <w:p w:rsidR="00812FE8" w:rsidRPr="000A5B0E" w:rsidRDefault="00812FE8" w:rsidP="008763E6">
            <w:pPr>
              <w:keepNext/>
              <w:jc w:val="center"/>
              <w:rPr>
                <w:rFonts w:ascii="Arial Narrow" w:hAnsi="Arial Narrow"/>
                <w:sz w:val="20"/>
              </w:rPr>
            </w:pPr>
            <w:r w:rsidRPr="000A5B0E">
              <w:rPr>
                <w:rFonts w:ascii="Arial Narrow" w:hAnsi="Arial Narrow"/>
                <w:sz w:val="20"/>
              </w:rPr>
              <w:t>Rpts</w:t>
            </w:r>
          </w:p>
        </w:tc>
        <w:tc>
          <w:tcPr>
            <w:tcW w:w="934" w:type="pct"/>
            <w:tcBorders>
              <w:top w:val="nil"/>
              <w:left w:val="nil"/>
              <w:bottom w:val="single" w:sz="4" w:space="0" w:color="auto"/>
              <w:right w:val="nil"/>
            </w:tcBorders>
            <w:hideMark/>
          </w:tcPr>
          <w:p w:rsidR="00812FE8" w:rsidRPr="000A5B0E" w:rsidRDefault="00812FE8" w:rsidP="008763E6">
            <w:pPr>
              <w:keepNext/>
              <w:jc w:val="center"/>
              <w:rPr>
                <w:rFonts w:ascii="Arial Narrow" w:hAnsi="Arial Narrow"/>
                <w:sz w:val="20"/>
              </w:rPr>
            </w:pPr>
            <w:r w:rsidRPr="000A5B0E">
              <w:rPr>
                <w:rFonts w:ascii="Arial Narrow" w:hAnsi="Arial Narrow"/>
                <w:sz w:val="20"/>
              </w:rPr>
              <w:t>Dispensed Price for Max. Qty</w:t>
            </w:r>
          </w:p>
        </w:tc>
        <w:tc>
          <w:tcPr>
            <w:tcW w:w="1519" w:type="pct"/>
            <w:gridSpan w:val="2"/>
            <w:tcBorders>
              <w:top w:val="nil"/>
              <w:left w:val="nil"/>
              <w:bottom w:val="single" w:sz="4" w:space="0" w:color="auto"/>
              <w:right w:val="nil"/>
            </w:tcBorders>
            <w:hideMark/>
          </w:tcPr>
          <w:p w:rsidR="00812FE8" w:rsidRPr="000A5B0E" w:rsidRDefault="00812FE8" w:rsidP="008763E6">
            <w:pPr>
              <w:keepNext/>
              <w:jc w:val="center"/>
              <w:rPr>
                <w:rFonts w:ascii="Arial Narrow" w:hAnsi="Arial Narrow"/>
                <w:sz w:val="20"/>
              </w:rPr>
            </w:pPr>
            <w:r w:rsidRPr="000A5B0E">
              <w:rPr>
                <w:rFonts w:ascii="Arial Narrow" w:hAnsi="Arial Narrow"/>
                <w:sz w:val="20"/>
              </w:rPr>
              <w:t>Proprietary Name and Manufacturer</w:t>
            </w:r>
          </w:p>
        </w:tc>
      </w:tr>
      <w:tr w:rsidR="00812FE8" w:rsidRPr="000A5B0E" w:rsidTr="008763E6">
        <w:trPr>
          <w:cantSplit/>
          <w:trHeight w:val="478"/>
        </w:trPr>
        <w:tc>
          <w:tcPr>
            <w:tcW w:w="1867" w:type="pct"/>
            <w:hideMark/>
          </w:tcPr>
          <w:p w:rsidR="00812FE8" w:rsidRPr="000A5B0E" w:rsidRDefault="00812FE8" w:rsidP="008763E6">
            <w:pPr>
              <w:keepNext/>
              <w:rPr>
                <w:rFonts w:ascii="Arial Narrow" w:hAnsi="Arial Narrow"/>
                <w:sz w:val="20"/>
              </w:rPr>
            </w:pPr>
            <w:r w:rsidRPr="000A5B0E">
              <w:rPr>
                <w:rFonts w:ascii="Arial Narrow" w:hAnsi="Arial Narrow"/>
                <w:smallCaps/>
                <w:sz w:val="20"/>
              </w:rPr>
              <w:t>Secukinumab</w:t>
            </w:r>
          </w:p>
          <w:p w:rsidR="00812FE8" w:rsidRPr="000A5B0E" w:rsidRDefault="00812FE8" w:rsidP="008763E6">
            <w:pPr>
              <w:keepNext/>
              <w:rPr>
                <w:rFonts w:ascii="Arial Narrow" w:hAnsi="Arial Narrow"/>
                <w:sz w:val="20"/>
              </w:rPr>
            </w:pPr>
            <w:r w:rsidRPr="000A5B0E">
              <w:rPr>
                <w:rFonts w:ascii="Arial Narrow" w:hAnsi="Arial Narrow"/>
                <w:sz w:val="20"/>
              </w:rPr>
              <w:t>150 mg in 1 mL pre-filled pen, 1</w:t>
            </w:r>
          </w:p>
        </w:tc>
        <w:tc>
          <w:tcPr>
            <w:tcW w:w="340" w:type="pct"/>
            <w:vAlign w:val="center"/>
          </w:tcPr>
          <w:p w:rsidR="00812FE8" w:rsidRPr="000A5B0E" w:rsidRDefault="00812FE8" w:rsidP="008763E6">
            <w:pPr>
              <w:keepNext/>
              <w:jc w:val="center"/>
              <w:rPr>
                <w:rFonts w:ascii="Arial Narrow" w:hAnsi="Arial Narrow"/>
                <w:sz w:val="20"/>
              </w:rPr>
            </w:pPr>
            <w:r w:rsidRPr="000A5B0E">
              <w:rPr>
                <w:rFonts w:ascii="Arial Narrow" w:hAnsi="Arial Narrow"/>
                <w:sz w:val="20"/>
              </w:rPr>
              <w:t>5</w:t>
            </w:r>
          </w:p>
        </w:tc>
        <w:tc>
          <w:tcPr>
            <w:tcW w:w="340" w:type="pct"/>
            <w:vAlign w:val="center"/>
          </w:tcPr>
          <w:p w:rsidR="00812FE8" w:rsidRPr="000A5B0E" w:rsidRDefault="00812FE8" w:rsidP="008763E6">
            <w:pPr>
              <w:keepNext/>
              <w:jc w:val="center"/>
              <w:rPr>
                <w:rFonts w:ascii="Arial Narrow" w:hAnsi="Arial Narrow"/>
                <w:sz w:val="20"/>
              </w:rPr>
            </w:pPr>
            <w:r w:rsidRPr="000A5B0E">
              <w:rPr>
                <w:rFonts w:ascii="Arial Narrow" w:hAnsi="Arial Narrow"/>
                <w:sz w:val="20"/>
              </w:rPr>
              <w:t>0</w:t>
            </w:r>
          </w:p>
        </w:tc>
        <w:tc>
          <w:tcPr>
            <w:tcW w:w="934" w:type="pct"/>
            <w:vAlign w:val="center"/>
          </w:tcPr>
          <w:p w:rsidR="00812FE8" w:rsidRPr="000A5B0E" w:rsidRDefault="00812FE8" w:rsidP="008763E6">
            <w:pPr>
              <w:keepNext/>
              <w:jc w:val="center"/>
              <w:rPr>
                <w:rFonts w:ascii="Arial Narrow" w:hAnsi="Arial Narrow"/>
                <w:sz w:val="20"/>
              </w:rPr>
            </w:pPr>
            <w:r w:rsidRPr="000A5B0E">
              <w:rPr>
                <w:rFonts w:ascii="Arial Narrow" w:hAnsi="Arial Narrow"/>
                <w:sz w:val="20"/>
              </w:rPr>
              <w:t>$</w:t>
            </w:r>
            <w:r w:rsidR="000039CC">
              <w:rPr>
                <w:rFonts w:ascii="Arial Narrow" w:hAnsi="Arial Narrow"/>
                <w:noProof/>
                <w:color w:val="000000"/>
                <w:sz w:val="20"/>
                <w:highlight w:val="black"/>
              </w:rPr>
              <w:t>'''''''''''''''''''''</w:t>
            </w:r>
          </w:p>
        </w:tc>
        <w:tc>
          <w:tcPr>
            <w:tcW w:w="594" w:type="pct"/>
            <w:vMerge w:val="restart"/>
            <w:vAlign w:val="center"/>
            <w:hideMark/>
          </w:tcPr>
          <w:p w:rsidR="00812FE8" w:rsidRPr="000A5B0E" w:rsidRDefault="00812FE8" w:rsidP="008763E6">
            <w:pPr>
              <w:keepNext/>
              <w:jc w:val="center"/>
              <w:rPr>
                <w:rFonts w:ascii="Arial Narrow" w:hAnsi="Arial Narrow"/>
                <w:sz w:val="20"/>
              </w:rPr>
            </w:pPr>
            <w:r w:rsidRPr="000A5B0E">
              <w:rPr>
                <w:rFonts w:ascii="Arial Narrow" w:hAnsi="Arial Narrow"/>
                <w:sz w:val="20"/>
              </w:rPr>
              <w:t>Cosentyx</w:t>
            </w:r>
            <w:r w:rsidRPr="000A5B0E">
              <w:rPr>
                <w:rFonts w:ascii="Arial Narrow" w:hAnsi="Arial Narrow"/>
                <w:sz w:val="20"/>
                <w:vertAlign w:val="superscript"/>
              </w:rPr>
              <w:t>®</w:t>
            </w:r>
          </w:p>
        </w:tc>
        <w:tc>
          <w:tcPr>
            <w:tcW w:w="925" w:type="pct"/>
            <w:vMerge w:val="restart"/>
            <w:vAlign w:val="center"/>
            <w:hideMark/>
          </w:tcPr>
          <w:p w:rsidR="00812FE8" w:rsidRPr="000A5B0E" w:rsidRDefault="00812FE8" w:rsidP="008763E6">
            <w:pPr>
              <w:keepNext/>
              <w:jc w:val="center"/>
              <w:rPr>
                <w:rFonts w:ascii="Arial Narrow" w:hAnsi="Arial Narrow"/>
                <w:sz w:val="20"/>
              </w:rPr>
            </w:pPr>
            <w:r w:rsidRPr="000A5B0E">
              <w:rPr>
                <w:rFonts w:ascii="Arial Narrow" w:hAnsi="Arial Narrow"/>
                <w:sz w:val="20"/>
              </w:rPr>
              <w:t>Novartis Pharmaceuticals</w:t>
            </w:r>
          </w:p>
        </w:tc>
      </w:tr>
      <w:tr w:rsidR="00812FE8" w:rsidRPr="00EF484E" w:rsidTr="008763E6">
        <w:trPr>
          <w:cantSplit/>
          <w:trHeight w:val="410"/>
        </w:trPr>
        <w:tc>
          <w:tcPr>
            <w:tcW w:w="1867" w:type="pct"/>
          </w:tcPr>
          <w:p w:rsidR="00812FE8" w:rsidRPr="000A5B0E" w:rsidRDefault="00812FE8" w:rsidP="008763E6">
            <w:pPr>
              <w:keepNext/>
              <w:rPr>
                <w:rFonts w:ascii="Arial Narrow" w:hAnsi="Arial Narrow"/>
                <w:sz w:val="20"/>
              </w:rPr>
            </w:pPr>
            <w:r w:rsidRPr="000A5B0E">
              <w:rPr>
                <w:rFonts w:ascii="Arial Narrow" w:hAnsi="Arial Narrow"/>
                <w:smallCaps/>
                <w:sz w:val="20"/>
              </w:rPr>
              <w:t>Secukinumab</w:t>
            </w:r>
          </w:p>
          <w:p w:rsidR="00812FE8" w:rsidRPr="000A5B0E" w:rsidRDefault="00812FE8" w:rsidP="008763E6">
            <w:pPr>
              <w:keepNext/>
              <w:rPr>
                <w:rFonts w:ascii="Arial Narrow" w:hAnsi="Arial Narrow"/>
                <w:smallCaps/>
                <w:sz w:val="20"/>
              </w:rPr>
            </w:pPr>
            <w:r w:rsidRPr="000A5B0E">
              <w:rPr>
                <w:rFonts w:ascii="Arial Narrow" w:hAnsi="Arial Narrow"/>
                <w:sz w:val="20"/>
              </w:rPr>
              <w:t>150 mg in 1 mL pre-filled pen, 1</w:t>
            </w:r>
          </w:p>
        </w:tc>
        <w:tc>
          <w:tcPr>
            <w:tcW w:w="340" w:type="pct"/>
            <w:vAlign w:val="center"/>
          </w:tcPr>
          <w:p w:rsidR="00812FE8" w:rsidRPr="000A5B0E" w:rsidRDefault="00812FE8" w:rsidP="008763E6">
            <w:pPr>
              <w:keepNext/>
              <w:jc w:val="center"/>
              <w:rPr>
                <w:rFonts w:ascii="Arial Narrow" w:hAnsi="Arial Narrow"/>
                <w:sz w:val="20"/>
              </w:rPr>
            </w:pPr>
            <w:r w:rsidRPr="000A5B0E">
              <w:rPr>
                <w:rFonts w:ascii="Arial Narrow" w:hAnsi="Arial Narrow"/>
                <w:sz w:val="20"/>
              </w:rPr>
              <w:t>1</w:t>
            </w:r>
          </w:p>
        </w:tc>
        <w:tc>
          <w:tcPr>
            <w:tcW w:w="340" w:type="pct"/>
            <w:vAlign w:val="center"/>
          </w:tcPr>
          <w:p w:rsidR="00812FE8" w:rsidRPr="000A5B0E" w:rsidRDefault="00812FE8" w:rsidP="008763E6">
            <w:pPr>
              <w:keepNext/>
              <w:jc w:val="center"/>
              <w:rPr>
                <w:rFonts w:ascii="Arial Narrow" w:hAnsi="Arial Narrow"/>
                <w:sz w:val="20"/>
              </w:rPr>
            </w:pPr>
            <w:r w:rsidRPr="000A5B0E">
              <w:rPr>
                <w:rFonts w:ascii="Arial Narrow" w:hAnsi="Arial Narrow"/>
                <w:sz w:val="20"/>
              </w:rPr>
              <w:t>1</w:t>
            </w:r>
          </w:p>
        </w:tc>
        <w:tc>
          <w:tcPr>
            <w:tcW w:w="934" w:type="pct"/>
            <w:vAlign w:val="center"/>
          </w:tcPr>
          <w:p w:rsidR="00812FE8" w:rsidRPr="00EF484E" w:rsidRDefault="00812FE8" w:rsidP="008763E6">
            <w:pPr>
              <w:keepNext/>
              <w:jc w:val="center"/>
              <w:rPr>
                <w:rFonts w:ascii="Arial Narrow" w:hAnsi="Arial Narrow"/>
                <w:sz w:val="20"/>
              </w:rPr>
            </w:pPr>
            <w:r w:rsidRPr="000A5B0E">
              <w:rPr>
                <w:rFonts w:ascii="Arial Narrow" w:hAnsi="Arial Narrow"/>
                <w:sz w:val="20"/>
              </w:rPr>
              <w:t>$</w:t>
            </w:r>
            <w:r w:rsidR="000039CC">
              <w:rPr>
                <w:rFonts w:ascii="Arial Narrow" w:hAnsi="Arial Narrow"/>
                <w:noProof/>
                <w:color w:val="000000"/>
                <w:sz w:val="20"/>
                <w:highlight w:val="black"/>
              </w:rPr>
              <w:t>'''''''''''''''''''</w:t>
            </w:r>
          </w:p>
        </w:tc>
        <w:tc>
          <w:tcPr>
            <w:tcW w:w="594" w:type="pct"/>
            <w:vMerge/>
            <w:vAlign w:val="center"/>
          </w:tcPr>
          <w:p w:rsidR="00812FE8" w:rsidRPr="00EF484E" w:rsidRDefault="00812FE8" w:rsidP="008763E6">
            <w:pPr>
              <w:keepNext/>
              <w:jc w:val="center"/>
              <w:rPr>
                <w:rFonts w:ascii="Arial Narrow" w:hAnsi="Arial Narrow"/>
                <w:sz w:val="20"/>
              </w:rPr>
            </w:pPr>
          </w:p>
        </w:tc>
        <w:tc>
          <w:tcPr>
            <w:tcW w:w="925" w:type="pct"/>
            <w:vMerge/>
            <w:vAlign w:val="center"/>
          </w:tcPr>
          <w:p w:rsidR="00812FE8" w:rsidRPr="00EF484E" w:rsidRDefault="00812FE8" w:rsidP="008763E6">
            <w:pPr>
              <w:keepNext/>
              <w:jc w:val="center"/>
              <w:rPr>
                <w:rFonts w:ascii="Arial Narrow" w:hAnsi="Arial Narrow"/>
                <w:sz w:val="20"/>
              </w:rPr>
            </w:pPr>
          </w:p>
        </w:tc>
      </w:tr>
      <w:tr w:rsidR="00812FE8" w:rsidRPr="00EF484E" w:rsidTr="008763E6">
        <w:trPr>
          <w:cantSplit/>
          <w:trHeight w:val="389"/>
        </w:trPr>
        <w:tc>
          <w:tcPr>
            <w:tcW w:w="1867" w:type="pct"/>
          </w:tcPr>
          <w:p w:rsidR="00812FE8" w:rsidRPr="00EF484E" w:rsidRDefault="00812FE8" w:rsidP="008763E6">
            <w:pPr>
              <w:keepNext/>
              <w:rPr>
                <w:rFonts w:ascii="Arial Narrow" w:hAnsi="Arial Narrow"/>
                <w:sz w:val="20"/>
              </w:rPr>
            </w:pPr>
            <w:r w:rsidRPr="00EF484E">
              <w:rPr>
                <w:rFonts w:ascii="Arial Narrow" w:hAnsi="Arial Narrow"/>
                <w:smallCaps/>
                <w:sz w:val="20"/>
              </w:rPr>
              <w:t>Secukinumab</w:t>
            </w:r>
          </w:p>
          <w:p w:rsidR="00812FE8" w:rsidRPr="00EF484E" w:rsidRDefault="00812FE8" w:rsidP="008763E6">
            <w:pPr>
              <w:keepNext/>
              <w:rPr>
                <w:rFonts w:ascii="Arial Narrow" w:hAnsi="Arial Narrow"/>
                <w:smallCaps/>
                <w:sz w:val="20"/>
              </w:rPr>
            </w:pPr>
            <w:r w:rsidRPr="00EF484E">
              <w:rPr>
                <w:rFonts w:ascii="Arial Narrow" w:hAnsi="Arial Narrow"/>
                <w:sz w:val="20"/>
              </w:rPr>
              <w:t>150 mg in 1 mL pre-filled pen, 2</w:t>
            </w:r>
          </w:p>
        </w:tc>
        <w:tc>
          <w:tcPr>
            <w:tcW w:w="340" w:type="pct"/>
            <w:vAlign w:val="center"/>
          </w:tcPr>
          <w:p w:rsidR="00812FE8" w:rsidRPr="00EF484E" w:rsidRDefault="00812FE8" w:rsidP="008763E6">
            <w:pPr>
              <w:keepNext/>
              <w:jc w:val="center"/>
              <w:rPr>
                <w:rFonts w:ascii="Arial Narrow" w:hAnsi="Arial Narrow"/>
                <w:sz w:val="20"/>
              </w:rPr>
            </w:pPr>
            <w:r w:rsidRPr="00EF484E">
              <w:rPr>
                <w:rFonts w:ascii="Arial Narrow" w:hAnsi="Arial Narrow"/>
                <w:sz w:val="20"/>
              </w:rPr>
              <w:t>5</w:t>
            </w:r>
          </w:p>
        </w:tc>
        <w:tc>
          <w:tcPr>
            <w:tcW w:w="340" w:type="pct"/>
            <w:vAlign w:val="center"/>
          </w:tcPr>
          <w:p w:rsidR="00812FE8" w:rsidRPr="00EF484E" w:rsidRDefault="00812FE8" w:rsidP="008763E6">
            <w:pPr>
              <w:keepNext/>
              <w:jc w:val="center"/>
              <w:rPr>
                <w:rFonts w:ascii="Arial Narrow" w:hAnsi="Arial Narrow"/>
                <w:sz w:val="20"/>
              </w:rPr>
            </w:pPr>
            <w:r w:rsidRPr="00EF484E">
              <w:rPr>
                <w:rFonts w:ascii="Arial Narrow" w:hAnsi="Arial Narrow"/>
                <w:sz w:val="20"/>
              </w:rPr>
              <w:t>0</w:t>
            </w:r>
          </w:p>
        </w:tc>
        <w:tc>
          <w:tcPr>
            <w:tcW w:w="934" w:type="pct"/>
            <w:vAlign w:val="center"/>
          </w:tcPr>
          <w:p w:rsidR="00812FE8" w:rsidRPr="00EF484E" w:rsidRDefault="00812FE8" w:rsidP="008763E6">
            <w:pPr>
              <w:keepNext/>
              <w:jc w:val="center"/>
              <w:rPr>
                <w:rFonts w:ascii="Arial Narrow" w:hAnsi="Arial Narrow"/>
                <w:sz w:val="20"/>
              </w:rPr>
            </w:pPr>
            <w:r w:rsidRPr="00EF484E">
              <w:rPr>
                <w:rFonts w:ascii="Arial Narrow" w:hAnsi="Arial Narrow"/>
                <w:sz w:val="20"/>
              </w:rPr>
              <w:t>$</w:t>
            </w:r>
            <w:r w:rsidR="000039CC">
              <w:rPr>
                <w:rFonts w:ascii="Arial Narrow" w:hAnsi="Arial Narrow"/>
                <w:noProof/>
                <w:color w:val="000000"/>
                <w:sz w:val="20"/>
                <w:highlight w:val="black"/>
              </w:rPr>
              <w:t>'''''''''''''''''''''''</w:t>
            </w:r>
          </w:p>
        </w:tc>
        <w:tc>
          <w:tcPr>
            <w:tcW w:w="594" w:type="pct"/>
            <w:vMerge/>
            <w:vAlign w:val="center"/>
          </w:tcPr>
          <w:p w:rsidR="00812FE8" w:rsidRPr="00EF484E" w:rsidRDefault="00812FE8" w:rsidP="008763E6">
            <w:pPr>
              <w:keepNext/>
              <w:jc w:val="center"/>
              <w:rPr>
                <w:rFonts w:ascii="Arial Narrow" w:hAnsi="Arial Narrow"/>
                <w:sz w:val="20"/>
              </w:rPr>
            </w:pPr>
          </w:p>
        </w:tc>
        <w:tc>
          <w:tcPr>
            <w:tcW w:w="925" w:type="pct"/>
            <w:vMerge/>
            <w:vAlign w:val="center"/>
          </w:tcPr>
          <w:p w:rsidR="00812FE8" w:rsidRPr="00EF484E" w:rsidRDefault="00812FE8" w:rsidP="008763E6">
            <w:pPr>
              <w:keepNext/>
              <w:jc w:val="center"/>
              <w:rPr>
                <w:rFonts w:ascii="Arial Narrow" w:hAnsi="Arial Narrow"/>
                <w:sz w:val="20"/>
              </w:rPr>
            </w:pPr>
          </w:p>
        </w:tc>
      </w:tr>
      <w:tr w:rsidR="00812FE8" w:rsidRPr="00EF484E" w:rsidTr="008763E6">
        <w:trPr>
          <w:cantSplit/>
          <w:trHeight w:val="425"/>
        </w:trPr>
        <w:tc>
          <w:tcPr>
            <w:tcW w:w="1867" w:type="pct"/>
          </w:tcPr>
          <w:p w:rsidR="00812FE8" w:rsidRPr="00EF484E" w:rsidRDefault="00812FE8" w:rsidP="008763E6">
            <w:pPr>
              <w:keepNext/>
              <w:rPr>
                <w:rFonts w:ascii="Arial Narrow" w:hAnsi="Arial Narrow"/>
                <w:sz w:val="20"/>
              </w:rPr>
            </w:pPr>
            <w:r w:rsidRPr="00EF484E">
              <w:rPr>
                <w:rFonts w:ascii="Arial Narrow" w:hAnsi="Arial Narrow"/>
                <w:smallCaps/>
                <w:sz w:val="20"/>
              </w:rPr>
              <w:t>Secukinumab</w:t>
            </w:r>
          </w:p>
          <w:p w:rsidR="00812FE8" w:rsidRPr="00EF484E" w:rsidRDefault="00812FE8" w:rsidP="008763E6">
            <w:pPr>
              <w:keepNext/>
              <w:rPr>
                <w:rFonts w:ascii="Arial Narrow" w:hAnsi="Arial Narrow"/>
                <w:smallCaps/>
                <w:sz w:val="20"/>
              </w:rPr>
            </w:pPr>
            <w:r w:rsidRPr="00EF484E">
              <w:rPr>
                <w:rFonts w:ascii="Arial Narrow" w:hAnsi="Arial Narrow"/>
                <w:sz w:val="20"/>
              </w:rPr>
              <w:t>150 mg in 1 mL pre-filled pen, 2</w:t>
            </w:r>
          </w:p>
        </w:tc>
        <w:tc>
          <w:tcPr>
            <w:tcW w:w="340" w:type="pct"/>
            <w:vAlign w:val="center"/>
          </w:tcPr>
          <w:p w:rsidR="00812FE8" w:rsidRPr="00EF484E" w:rsidRDefault="00812FE8" w:rsidP="008763E6">
            <w:pPr>
              <w:keepNext/>
              <w:jc w:val="center"/>
              <w:rPr>
                <w:rFonts w:ascii="Arial Narrow" w:hAnsi="Arial Narrow"/>
                <w:sz w:val="20"/>
              </w:rPr>
            </w:pPr>
            <w:r w:rsidRPr="00EF484E">
              <w:rPr>
                <w:rFonts w:ascii="Arial Narrow" w:hAnsi="Arial Narrow"/>
                <w:sz w:val="20"/>
              </w:rPr>
              <w:t>1</w:t>
            </w:r>
          </w:p>
        </w:tc>
        <w:tc>
          <w:tcPr>
            <w:tcW w:w="340" w:type="pct"/>
            <w:vAlign w:val="center"/>
          </w:tcPr>
          <w:p w:rsidR="00812FE8" w:rsidRPr="00EF484E" w:rsidRDefault="00812FE8" w:rsidP="008763E6">
            <w:pPr>
              <w:keepNext/>
              <w:jc w:val="center"/>
              <w:rPr>
                <w:rFonts w:ascii="Arial Narrow" w:hAnsi="Arial Narrow"/>
                <w:sz w:val="20"/>
              </w:rPr>
            </w:pPr>
            <w:r w:rsidRPr="00EF484E">
              <w:rPr>
                <w:rFonts w:ascii="Arial Narrow" w:hAnsi="Arial Narrow"/>
                <w:sz w:val="20"/>
              </w:rPr>
              <w:t>1</w:t>
            </w:r>
          </w:p>
        </w:tc>
        <w:tc>
          <w:tcPr>
            <w:tcW w:w="934" w:type="pct"/>
            <w:vAlign w:val="center"/>
          </w:tcPr>
          <w:p w:rsidR="00812FE8" w:rsidRPr="00EF484E" w:rsidRDefault="00812FE8" w:rsidP="008763E6">
            <w:pPr>
              <w:keepNext/>
              <w:jc w:val="center"/>
              <w:rPr>
                <w:rFonts w:ascii="Arial Narrow" w:hAnsi="Arial Narrow"/>
                <w:sz w:val="20"/>
              </w:rPr>
            </w:pPr>
            <w:r w:rsidRPr="00EF484E">
              <w:rPr>
                <w:rFonts w:ascii="Arial Narrow" w:hAnsi="Arial Narrow"/>
                <w:sz w:val="20"/>
              </w:rPr>
              <w:t>$</w:t>
            </w:r>
            <w:r w:rsidR="000039CC">
              <w:rPr>
                <w:rFonts w:ascii="Arial Narrow" w:hAnsi="Arial Narrow"/>
                <w:noProof/>
                <w:color w:val="000000"/>
                <w:sz w:val="20"/>
                <w:highlight w:val="black"/>
              </w:rPr>
              <w:t>'''''''''''''''''''''''</w:t>
            </w:r>
          </w:p>
        </w:tc>
        <w:tc>
          <w:tcPr>
            <w:tcW w:w="594" w:type="pct"/>
            <w:vMerge/>
            <w:vAlign w:val="center"/>
          </w:tcPr>
          <w:p w:rsidR="00812FE8" w:rsidRPr="00EF484E" w:rsidRDefault="00812FE8" w:rsidP="008763E6">
            <w:pPr>
              <w:keepNext/>
              <w:jc w:val="center"/>
              <w:rPr>
                <w:rFonts w:ascii="Arial Narrow" w:hAnsi="Arial Narrow"/>
                <w:sz w:val="20"/>
              </w:rPr>
            </w:pPr>
          </w:p>
        </w:tc>
        <w:tc>
          <w:tcPr>
            <w:tcW w:w="925" w:type="pct"/>
            <w:vMerge/>
            <w:vAlign w:val="center"/>
          </w:tcPr>
          <w:p w:rsidR="00812FE8" w:rsidRPr="00EF484E" w:rsidRDefault="00812FE8" w:rsidP="008763E6">
            <w:pPr>
              <w:keepNext/>
              <w:jc w:val="center"/>
              <w:rPr>
                <w:rFonts w:ascii="Arial Narrow" w:hAnsi="Arial Narrow"/>
                <w:sz w:val="20"/>
              </w:rPr>
            </w:pPr>
          </w:p>
        </w:tc>
      </w:tr>
    </w:tbl>
    <w:tbl>
      <w:tblPr>
        <w:tblStyle w:val="TableGrid"/>
        <w:tblW w:w="8363" w:type="dxa"/>
        <w:tblInd w:w="817" w:type="dxa"/>
        <w:tblLayout w:type="fixed"/>
        <w:tblLook w:val="04A0" w:firstRow="1" w:lastRow="0" w:firstColumn="1" w:lastColumn="0" w:noHBand="0" w:noVBand="1"/>
        <w:tblCaption w:val="Requested listing"/>
      </w:tblPr>
      <w:tblGrid>
        <w:gridCol w:w="1134"/>
        <w:gridCol w:w="7229"/>
      </w:tblGrid>
      <w:tr w:rsidR="00812FE8" w:rsidRPr="002D023E" w:rsidTr="00CA7493">
        <w:trPr>
          <w:tblHeader/>
        </w:trPr>
        <w:tc>
          <w:tcPr>
            <w:tcW w:w="1134" w:type="dxa"/>
          </w:tcPr>
          <w:p w:rsidR="00812FE8" w:rsidRPr="002D023E" w:rsidRDefault="00812FE8" w:rsidP="008763E6">
            <w:pPr>
              <w:rPr>
                <w:rFonts w:ascii="Arial Narrow" w:hAnsi="Arial Narrow"/>
                <w:b/>
                <w:sz w:val="20"/>
              </w:rPr>
            </w:pPr>
            <w:r w:rsidRPr="002D023E">
              <w:rPr>
                <w:rFonts w:ascii="Arial Narrow" w:hAnsi="Arial Narrow"/>
                <w:b/>
                <w:sz w:val="20"/>
              </w:rPr>
              <w:t>Treatment phase</w:t>
            </w:r>
          </w:p>
        </w:tc>
        <w:tc>
          <w:tcPr>
            <w:tcW w:w="7229" w:type="dxa"/>
          </w:tcPr>
          <w:p w:rsidR="00812FE8" w:rsidRPr="002D023E" w:rsidRDefault="00812FE8" w:rsidP="008763E6">
            <w:pPr>
              <w:rPr>
                <w:rFonts w:ascii="Arial Narrow" w:hAnsi="Arial Narrow"/>
                <w:sz w:val="20"/>
              </w:rPr>
            </w:pPr>
            <w:r w:rsidRPr="002D023E">
              <w:rPr>
                <w:rFonts w:ascii="Arial Narrow" w:hAnsi="Arial Narrow"/>
                <w:sz w:val="20"/>
              </w:rPr>
              <w:t>Initial treatment – Initial 1 (new patient or patient recommencing treatment after a break of 5 years or more)</w:t>
            </w:r>
          </w:p>
        </w:tc>
      </w:tr>
      <w:tr w:rsidR="00812FE8" w:rsidRPr="002D023E" w:rsidTr="008763E6">
        <w:tc>
          <w:tcPr>
            <w:tcW w:w="1134" w:type="dxa"/>
          </w:tcPr>
          <w:p w:rsidR="00812FE8" w:rsidRPr="002D023E" w:rsidRDefault="00812FE8" w:rsidP="008763E6">
            <w:pPr>
              <w:rPr>
                <w:rFonts w:ascii="Arial Narrow" w:hAnsi="Arial Narrow"/>
                <w:b/>
                <w:sz w:val="20"/>
              </w:rPr>
            </w:pPr>
            <w:r w:rsidRPr="002D023E">
              <w:rPr>
                <w:rFonts w:ascii="Arial Narrow" w:hAnsi="Arial Narrow"/>
                <w:b/>
                <w:sz w:val="20"/>
              </w:rPr>
              <w:t>Clinical criteria:</w:t>
            </w:r>
          </w:p>
          <w:p w:rsidR="00812FE8" w:rsidRPr="002D023E" w:rsidRDefault="00812FE8" w:rsidP="008763E6">
            <w:pPr>
              <w:rPr>
                <w:rFonts w:ascii="Arial Narrow" w:hAnsi="Arial Narrow"/>
                <w:b/>
                <w:sz w:val="20"/>
              </w:rPr>
            </w:pPr>
          </w:p>
        </w:tc>
        <w:tc>
          <w:tcPr>
            <w:tcW w:w="7229" w:type="dxa"/>
          </w:tcPr>
          <w:p w:rsidR="00812FE8" w:rsidRPr="002D023E" w:rsidRDefault="00812FE8" w:rsidP="008763E6">
            <w:pPr>
              <w:rPr>
                <w:rFonts w:ascii="Arial Narrow" w:hAnsi="Arial Narrow"/>
                <w:sz w:val="20"/>
              </w:rPr>
            </w:pPr>
            <w:r w:rsidRPr="002D023E">
              <w:rPr>
                <w:rFonts w:ascii="Arial Narrow" w:hAnsi="Arial Narrow"/>
                <w:sz w:val="20"/>
              </w:rPr>
              <w:t xml:space="preserve">Patient must have severe active psoriatic arthritis, </w:t>
            </w:r>
            <w:r w:rsidRPr="002D023E">
              <w:rPr>
                <w:rFonts w:ascii="Arial Narrow" w:hAnsi="Arial Narrow"/>
                <w:b/>
                <w:bCs/>
                <w:sz w:val="20"/>
              </w:rPr>
              <w:t>AND</w:t>
            </w:r>
          </w:p>
          <w:p w:rsidR="00812FE8" w:rsidRPr="002D023E" w:rsidRDefault="00812FE8" w:rsidP="008763E6">
            <w:pPr>
              <w:rPr>
                <w:rFonts w:ascii="Arial Narrow" w:hAnsi="Arial Narrow"/>
                <w:sz w:val="20"/>
              </w:rPr>
            </w:pPr>
            <w:r w:rsidRPr="002D023E">
              <w:rPr>
                <w:rFonts w:ascii="Arial Narrow" w:hAnsi="Arial Narrow"/>
                <w:sz w:val="20"/>
              </w:rPr>
              <w:t>Patient must have received no prior PBS-subsidised treatment with a biological agent for this condition; OR</w:t>
            </w:r>
          </w:p>
          <w:p w:rsidR="00812FE8" w:rsidRPr="002D023E" w:rsidRDefault="00812FE8" w:rsidP="008763E6">
            <w:pPr>
              <w:rPr>
                <w:rFonts w:ascii="Arial Narrow" w:hAnsi="Arial Narrow"/>
                <w:sz w:val="20"/>
              </w:rPr>
            </w:pPr>
            <w:r w:rsidRPr="002D023E">
              <w:rPr>
                <w:rFonts w:ascii="Arial Narrow" w:hAnsi="Arial Narrow"/>
                <w:sz w:val="20"/>
              </w:rPr>
              <w:t xml:space="preserve">Patient must have received no PBS-subsidised treatment with a biological agent for at least 5 years if they have previously received PBS-subsidised treatment with a biological agent for this condition, </w:t>
            </w:r>
            <w:r w:rsidRPr="002D023E">
              <w:rPr>
                <w:rFonts w:ascii="Arial Narrow" w:hAnsi="Arial Narrow"/>
                <w:b/>
                <w:bCs/>
                <w:sz w:val="20"/>
              </w:rPr>
              <w:t>AND</w:t>
            </w:r>
          </w:p>
          <w:p w:rsidR="00812FE8" w:rsidRPr="002D023E" w:rsidRDefault="00812FE8" w:rsidP="008763E6">
            <w:pPr>
              <w:rPr>
                <w:rFonts w:ascii="Arial Narrow" w:hAnsi="Arial Narrow"/>
                <w:sz w:val="20"/>
              </w:rPr>
            </w:pPr>
            <w:r w:rsidRPr="002D023E">
              <w:rPr>
                <w:rFonts w:ascii="Arial Narrow" w:hAnsi="Arial Narrow"/>
                <w:sz w:val="20"/>
              </w:rPr>
              <w:t xml:space="preserve">Patient must have failed to achieve an adequate response to methotrexate at a dose of at least 20 mg weekly for a minimum period of 3 months, </w:t>
            </w:r>
            <w:r w:rsidRPr="002D023E">
              <w:rPr>
                <w:rFonts w:ascii="Arial Narrow" w:hAnsi="Arial Narrow"/>
                <w:b/>
                <w:bCs/>
                <w:sz w:val="20"/>
              </w:rPr>
              <w:t>AND</w:t>
            </w:r>
          </w:p>
          <w:p w:rsidR="00812FE8" w:rsidRPr="002D023E" w:rsidRDefault="00812FE8" w:rsidP="008763E6">
            <w:pPr>
              <w:rPr>
                <w:rFonts w:ascii="Arial Narrow" w:hAnsi="Arial Narrow"/>
                <w:sz w:val="20"/>
              </w:rPr>
            </w:pPr>
            <w:r w:rsidRPr="002D023E">
              <w:rPr>
                <w:rFonts w:ascii="Arial Narrow" w:hAnsi="Arial Narrow"/>
                <w:sz w:val="20"/>
              </w:rPr>
              <w:t>Patient must have failed to achieve an adequate response to sulfasalazine at a dose of at least 2 g per day for a minimum period of 3 months; OR</w:t>
            </w:r>
          </w:p>
          <w:p w:rsidR="00812FE8" w:rsidRPr="002D023E" w:rsidRDefault="00812FE8" w:rsidP="008763E6">
            <w:pPr>
              <w:rPr>
                <w:rFonts w:ascii="Arial Narrow" w:hAnsi="Arial Narrow"/>
                <w:sz w:val="20"/>
              </w:rPr>
            </w:pPr>
            <w:r w:rsidRPr="002D023E">
              <w:rPr>
                <w:rFonts w:ascii="Arial Narrow" w:hAnsi="Arial Narrow"/>
                <w:sz w:val="20"/>
              </w:rPr>
              <w:t xml:space="preserve">Patient must have failed to achieve an adequate response to leflunomide at a dose of up to 20 mg daily for a minimum period of 3 months </w:t>
            </w:r>
            <w:r w:rsidRPr="002D023E">
              <w:rPr>
                <w:rFonts w:ascii="Arial Narrow" w:hAnsi="Arial Narrow"/>
                <w:b/>
                <w:bCs/>
                <w:sz w:val="20"/>
              </w:rPr>
              <w:t>AND</w:t>
            </w:r>
          </w:p>
          <w:p w:rsidR="00812FE8" w:rsidRPr="002D023E" w:rsidRDefault="00812FE8" w:rsidP="008763E6">
            <w:pPr>
              <w:rPr>
                <w:rFonts w:ascii="Arial Narrow" w:hAnsi="Arial Narrow"/>
                <w:sz w:val="20"/>
              </w:rPr>
            </w:pPr>
            <w:r w:rsidRPr="002D023E">
              <w:rPr>
                <w:rFonts w:ascii="Arial Narrow" w:hAnsi="Arial Narrow"/>
                <w:sz w:val="20"/>
              </w:rPr>
              <w:t>Patient must not receive more than 16 weeks of treatment under this restriction.</w:t>
            </w:r>
          </w:p>
        </w:tc>
      </w:tr>
      <w:tr w:rsidR="00812FE8" w:rsidRPr="002D023E" w:rsidTr="008763E6">
        <w:tc>
          <w:tcPr>
            <w:tcW w:w="1134" w:type="dxa"/>
          </w:tcPr>
          <w:p w:rsidR="00812FE8" w:rsidRPr="002D023E" w:rsidRDefault="00812FE8" w:rsidP="008763E6">
            <w:pPr>
              <w:rPr>
                <w:rFonts w:ascii="Arial Narrow" w:hAnsi="Arial Narrow"/>
                <w:b/>
                <w:sz w:val="20"/>
              </w:rPr>
            </w:pPr>
            <w:r w:rsidRPr="002D023E">
              <w:rPr>
                <w:rFonts w:ascii="Arial Narrow" w:hAnsi="Arial Narrow"/>
                <w:b/>
                <w:sz w:val="20"/>
              </w:rPr>
              <w:t>Treatment phase</w:t>
            </w:r>
          </w:p>
        </w:tc>
        <w:tc>
          <w:tcPr>
            <w:tcW w:w="7229" w:type="dxa"/>
          </w:tcPr>
          <w:p w:rsidR="00812FE8" w:rsidRPr="002D023E" w:rsidRDefault="00812FE8" w:rsidP="008763E6">
            <w:pPr>
              <w:rPr>
                <w:rFonts w:ascii="Arial Narrow" w:hAnsi="Arial Narrow"/>
                <w:sz w:val="20"/>
              </w:rPr>
            </w:pPr>
            <w:r w:rsidRPr="002D023E">
              <w:rPr>
                <w:rFonts w:ascii="Arial Narrow" w:hAnsi="Arial Narrow"/>
                <w:sz w:val="20"/>
              </w:rPr>
              <w:t>Initial 2 (change or recommencement of treatment)</w:t>
            </w:r>
          </w:p>
        </w:tc>
      </w:tr>
      <w:tr w:rsidR="00812FE8" w:rsidRPr="002D023E" w:rsidTr="008763E6">
        <w:tc>
          <w:tcPr>
            <w:tcW w:w="1134" w:type="dxa"/>
          </w:tcPr>
          <w:p w:rsidR="00812FE8" w:rsidRPr="002D023E" w:rsidRDefault="00812FE8" w:rsidP="008763E6">
            <w:pPr>
              <w:rPr>
                <w:rFonts w:ascii="Arial Narrow" w:hAnsi="Arial Narrow"/>
                <w:b/>
                <w:sz w:val="20"/>
              </w:rPr>
            </w:pPr>
            <w:r w:rsidRPr="002D023E">
              <w:rPr>
                <w:rFonts w:ascii="Arial Narrow" w:hAnsi="Arial Narrow"/>
                <w:b/>
                <w:sz w:val="20"/>
              </w:rPr>
              <w:t>Clinical criteria:</w:t>
            </w:r>
          </w:p>
          <w:p w:rsidR="00812FE8" w:rsidRPr="002D023E" w:rsidRDefault="00812FE8" w:rsidP="008763E6">
            <w:pPr>
              <w:rPr>
                <w:rFonts w:ascii="Arial Narrow" w:hAnsi="Arial Narrow"/>
                <w:b/>
                <w:sz w:val="20"/>
              </w:rPr>
            </w:pPr>
          </w:p>
        </w:tc>
        <w:tc>
          <w:tcPr>
            <w:tcW w:w="7229" w:type="dxa"/>
          </w:tcPr>
          <w:p w:rsidR="00812FE8" w:rsidRPr="002D023E" w:rsidRDefault="00812FE8" w:rsidP="008763E6">
            <w:pPr>
              <w:rPr>
                <w:rFonts w:ascii="Arial Narrow" w:hAnsi="Arial Narrow"/>
                <w:sz w:val="20"/>
              </w:rPr>
            </w:pPr>
            <w:r w:rsidRPr="002D023E">
              <w:rPr>
                <w:rFonts w:ascii="Arial Narrow" w:hAnsi="Arial Narrow"/>
                <w:sz w:val="20"/>
              </w:rPr>
              <w:t xml:space="preserve">Patient must have a documented history of severe active psoriatic arthritis, </w:t>
            </w:r>
            <w:r w:rsidRPr="002D023E">
              <w:rPr>
                <w:rFonts w:ascii="Arial Narrow" w:hAnsi="Arial Narrow"/>
                <w:b/>
                <w:bCs/>
                <w:sz w:val="20"/>
              </w:rPr>
              <w:t>AND</w:t>
            </w:r>
          </w:p>
          <w:p w:rsidR="00812FE8" w:rsidRPr="002D023E" w:rsidRDefault="00812FE8" w:rsidP="008763E6">
            <w:pPr>
              <w:rPr>
                <w:rFonts w:ascii="Arial Narrow" w:hAnsi="Arial Narrow"/>
                <w:sz w:val="20"/>
              </w:rPr>
            </w:pPr>
            <w:r w:rsidRPr="002D023E">
              <w:rPr>
                <w:rFonts w:ascii="Arial Narrow" w:hAnsi="Arial Narrow"/>
                <w:sz w:val="20"/>
              </w:rPr>
              <w:t xml:space="preserve">Patient must have received prior PBS-subsidised treatment with a biological agent for this condition in this Treatment Cycle, </w:t>
            </w:r>
            <w:r w:rsidRPr="002D023E">
              <w:rPr>
                <w:rFonts w:ascii="Arial Narrow" w:hAnsi="Arial Narrow"/>
                <w:b/>
                <w:bCs/>
                <w:sz w:val="20"/>
              </w:rPr>
              <w:t>AND</w:t>
            </w:r>
          </w:p>
          <w:p w:rsidR="00812FE8" w:rsidRPr="002D023E" w:rsidRDefault="00812FE8" w:rsidP="008763E6">
            <w:pPr>
              <w:rPr>
                <w:rFonts w:ascii="Arial Narrow" w:hAnsi="Arial Narrow"/>
                <w:sz w:val="20"/>
              </w:rPr>
            </w:pPr>
            <w:r w:rsidRPr="002D023E">
              <w:rPr>
                <w:rFonts w:ascii="Arial Narrow" w:hAnsi="Arial Narrow"/>
                <w:sz w:val="20"/>
              </w:rPr>
              <w:t xml:space="preserve">Patient must not have already failed, or ceased to respond to, PBS-subsidised treatment with 3 </w:t>
            </w:r>
            <w:r w:rsidRPr="002D023E">
              <w:rPr>
                <w:rFonts w:ascii="Arial Narrow" w:hAnsi="Arial Narrow"/>
                <w:sz w:val="20"/>
              </w:rPr>
              <w:lastRenderedPageBreak/>
              <w:t xml:space="preserve">biological agents within this Treatment Cycle, </w:t>
            </w:r>
            <w:r w:rsidRPr="002D023E">
              <w:rPr>
                <w:rFonts w:ascii="Arial Narrow" w:hAnsi="Arial Narrow"/>
                <w:b/>
                <w:bCs/>
                <w:sz w:val="20"/>
              </w:rPr>
              <w:t>AND</w:t>
            </w:r>
          </w:p>
          <w:p w:rsidR="00812FE8" w:rsidRPr="002D023E" w:rsidRDefault="00812FE8" w:rsidP="008763E6">
            <w:pPr>
              <w:rPr>
                <w:rFonts w:ascii="Arial Narrow" w:hAnsi="Arial Narrow"/>
                <w:sz w:val="20"/>
              </w:rPr>
            </w:pPr>
            <w:r w:rsidRPr="002D023E">
              <w:rPr>
                <w:rFonts w:ascii="Arial Narrow" w:hAnsi="Arial Narrow"/>
                <w:sz w:val="20"/>
              </w:rPr>
              <w:t xml:space="preserve">Patient must not have failed, or ceased to respond to, PBS-subsidised treatment with this drug during the current Treatment Cycle, </w:t>
            </w:r>
            <w:r w:rsidRPr="002D023E">
              <w:rPr>
                <w:rFonts w:ascii="Arial Narrow" w:hAnsi="Arial Narrow"/>
                <w:b/>
                <w:bCs/>
                <w:sz w:val="20"/>
              </w:rPr>
              <w:t>AND</w:t>
            </w:r>
          </w:p>
          <w:p w:rsidR="00812FE8" w:rsidRPr="002D023E" w:rsidRDefault="00812FE8" w:rsidP="008763E6">
            <w:pPr>
              <w:rPr>
                <w:rFonts w:ascii="Arial Narrow" w:hAnsi="Arial Narrow"/>
                <w:sz w:val="20"/>
              </w:rPr>
            </w:pPr>
            <w:r w:rsidRPr="002D023E">
              <w:rPr>
                <w:rFonts w:ascii="Arial Narrow" w:hAnsi="Arial Narrow"/>
                <w:sz w:val="20"/>
              </w:rPr>
              <w:t>Patient must not receive more than 16 weeks of treatment under this restriction.</w:t>
            </w:r>
          </w:p>
        </w:tc>
      </w:tr>
      <w:tr w:rsidR="00812FE8" w:rsidRPr="002D023E" w:rsidTr="008763E6">
        <w:tc>
          <w:tcPr>
            <w:tcW w:w="1134" w:type="dxa"/>
          </w:tcPr>
          <w:p w:rsidR="00812FE8" w:rsidRPr="002D023E" w:rsidRDefault="00812FE8" w:rsidP="008763E6">
            <w:pPr>
              <w:rPr>
                <w:rFonts w:ascii="Arial Narrow" w:hAnsi="Arial Narrow"/>
                <w:i/>
                <w:sz w:val="20"/>
              </w:rPr>
            </w:pPr>
            <w:r w:rsidRPr="002D023E">
              <w:rPr>
                <w:rFonts w:ascii="Arial Narrow" w:hAnsi="Arial Narrow"/>
                <w:b/>
                <w:sz w:val="20"/>
              </w:rPr>
              <w:lastRenderedPageBreak/>
              <w:t>Treatment phase:</w:t>
            </w:r>
          </w:p>
        </w:tc>
        <w:tc>
          <w:tcPr>
            <w:tcW w:w="7229" w:type="dxa"/>
          </w:tcPr>
          <w:p w:rsidR="00812FE8" w:rsidRPr="002D023E" w:rsidRDefault="00812FE8" w:rsidP="008763E6">
            <w:pPr>
              <w:rPr>
                <w:rFonts w:ascii="Arial Narrow" w:hAnsi="Arial Narrow"/>
                <w:sz w:val="20"/>
              </w:rPr>
            </w:pPr>
            <w:r w:rsidRPr="002D023E">
              <w:rPr>
                <w:rFonts w:ascii="Arial Narrow" w:hAnsi="Arial Narrow"/>
                <w:sz w:val="20"/>
              </w:rPr>
              <w:t>Initial treatment – Initial 3 (initial PBS-subsidised supply for continuing treatment in a patient commenced on non-PBS-subsidised therapy)</w:t>
            </w:r>
          </w:p>
        </w:tc>
      </w:tr>
      <w:tr w:rsidR="00812FE8" w:rsidRPr="002D023E" w:rsidTr="008763E6">
        <w:tc>
          <w:tcPr>
            <w:tcW w:w="1134" w:type="dxa"/>
          </w:tcPr>
          <w:p w:rsidR="00812FE8" w:rsidRPr="002D023E" w:rsidRDefault="00812FE8" w:rsidP="008763E6">
            <w:pPr>
              <w:rPr>
                <w:rFonts w:ascii="Arial Narrow" w:hAnsi="Arial Narrow"/>
                <w:b/>
                <w:sz w:val="20"/>
              </w:rPr>
            </w:pPr>
            <w:r w:rsidRPr="002D023E">
              <w:rPr>
                <w:rFonts w:ascii="Arial Narrow" w:hAnsi="Arial Narrow"/>
                <w:b/>
                <w:sz w:val="20"/>
              </w:rPr>
              <w:t>Clinical criteria:</w:t>
            </w:r>
          </w:p>
          <w:p w:rsidR="00812FE8" w:rsidRPr="002D023E" w:rsidRDefault="00812FE8" w:rsidP="008763E6">
            <w:pPr>
              <w:rPr>
                <w:rFonts w:ascii="Arial Narrow" w:hAnsi="Arial Narrow"/>
                <w:b/>
                <w:sz w:val="20"/>
              </w:rPr>
            </w:pPr>
          </w:p>
        </w:tc>
        <w:tc>
          <w:tcPr>
            <w:tcW w:w="7229" w:type="dxa"/>
          </w:tcPr>
          <w:p w:rsidR="00812FE8" w:rsidRPr="002D023E" w:rsidRDefault="00812FE8" w:rsidP="008763E6">
            <w:pPr>
              <w:rPr>
                <w:rFonts w:ascii="Arial Narrow" w:hAnsi="Arial Narrow"/>
                <w:sz w:val="20"/>
              </w:rPr>
            </w:pPr>
            <w:r w:rsidRPr="002D023E">
              <w:rPr>
                <w:rFonts w:ascii="Arial Narrow" w:hAnsi="Arial Narrow"/>
                <w:sz w:val="20"/>
              </w:rPr>
              <w:t xml:space="preserve">Patient must have a documented history of severe active psoriatic arthritis, </w:t>
            </w:r>
            <w:r w:rsidRPr="002D023E">
              <w:rPr>
                <w:rFonts w:ascii="Arial Narrow" w:hAnsi="Arial Narrow"/>
                <w:b/>
                <w:bCs/>
                <w:sz w:val="20"/>
              </w:rPr>
              <w:t>AND</w:t>
            </w:r>
          </w:p>
          <w:p w:rsidR="00812FE8" w:rsidRPr="002D023E" w:rsidRDefault="00812FE8" w:rsidP="008763E6">
            <w:pPr>
              <w:rPr>
                <w:rFonts w:ascii="Arial Narrow" w:hAnsi="Arial Narrow"/>
                <w:sz w:val="20"/>
              </w:rPr>
            </w:pPr>
            <w:r w:rsidRPr="002D023E">
              <w:rPr>
                <w:rFonts w:ascii="Arial Narrow" w:hAnsi="Arial Narrow"/>
                <w:sz w:val="20"/>
              </w:rPr>
              <w:t xml:space="preserve">Patient must have been receiving treatment with secukinumab for this condition prior to 1 April 2015, </w:t>
            </w:r>
            <w:r w:rsidRPr="002D023E">
              <w:rPr>
                <w:rFonts w:ascii="Arial Narrow" w:hAnsi="Arial Narrow"/>
                <w:b/>
                <w:bCs/>
                <w:sz w:val="20"/>
              </w:rPr>
              <w:t>AND</w:t>
            </w:r>
          </w:p>
          <w:p w:rsidR="00812FE8" w:rsidRPr="002D023E" w:rsidRDefault="00812FE8" w:rsidP="008763E6">
            <w:pPr>
              <w:rPr>
                <w:rFonts w:ascii="Arial Narrow" w:hAnsi="Arial Narrow"/>
                <w:sz w:val="20"/>
              </w:rPr>
            </w:pPr>
            <w:r w:rsidRPr="002D023E">
              <w:rPr>
                <w:rFonts w:ascii="Arial Narrow" w:hAnsi="Arial Narrow"/>
                <w:sz w:val="20"/>
              </w:rPr>
              <w:t xml:space="preserve">Patient must be receiving treatment with secukinumab at the time of application, </w:t>
            </w:r>
            <w:r w:rsidRPr="002D023E">
              <w:rPr>
                <w:rFonts w:ascii="Arial Narrow" w:hAnsi="Arial Narrow"/>
                <w:b/>
                <w:bCs/>
                <w:sz w:val="20"/>
              </w:rPr>
              <w:t>AND</w:t>
            </w:r>
          </w:p>
          <w:p w:rsidR="00812FE8" w:rsidRPr="002D023E" w:rsidRDefault="00812FE8" w:rsidP="008763E6">
            <w:pPr>
              <w:rPr>
                <w:rFonts w:ascii="Arial Narrow" w:hAnsi="Arial Narrow"/>
                <w:sz w:val="20"/>
              </w:rPr>
            </w:pPr>
            <w:r w:rsidRPr="002D023E">
              <w:rPr>
                <w:rFonts w:ascii="Arial Narrow" w:hAnsi="Arial Narrow"/>
                <w:sz w:val="20"/>
              </w:rPr>
              <w:t xml:space="preserve">Patient must have demonstrated a response to treatment as specified in the criteria for continuing PBS-subsidised treatment with secukinumab, </w:t>
            </w:r>
            <w:r w:rsidRPr="002D023E">
              <w:rPr>
                <w:rFonts w:ascii="Arial Narrow" w:hAnsi="Arial Narrow"/>
                <w:b/>
                <w:bCs/>
                <w:sz w:val="20"/>
              </w:rPr>
              <w:t>AND</w:t>
            </w:r>
          </w:p>
          <w:p w:rsidR="00812FE8" w:rsidRPr="002D023E" w:rsidRDefault="00812FE8" w:rsidP="008763E6">
            <w:pPr>
              <w:rPr>
                <w:rFonts w:ascii="Arial Narrow" w:hAnsi="Arial Narrow"/>
                <w:sz w:val="20"/>
              </w:rPr>
            </w:pPr>
            <w:r w:rsidRPr="002D023E">
              <w:rPr>
                <w:rFonts w:ascii="Arial Narrow" w:hAnsi="Arial Narrow"/>
                <w:sz w:val="20"/>
              </w:rPr>
              <w:t>Patient must not receive more than 24 weeks of treatment under this restriction.</w:t>
            </w:r>
          </w:p>
        </w:tc>
      </w:tr>
    </w:tbl>
    <w:p w:rsidR="00812FE8" w:rsidRPr="002D023E" w:rsidRDefault="00812FE8" w:rsidP="00812FE8">
      <w:pPr>
        <w:rPr>
          <w:b/>
        </w:rPr>
      </w:pPr>
    </w:p>
    <w:tbl>
      <w:tblPr>
        <w:tblW w:w="4595" w:type="pct"/>
        <w:tblInd w:w="737" w:type="dxa"/>
        <w:tblCellMar>
          <w:left w:w="28" w:type="dxa"/>
          <w:right w:w="28" w:type="dxa"/>
        </w:tblCellMar>
        <w:tblLook w:val="04A0" w:firstRow="1" w:lastRow="0" w:firstColumn="1" w:lastColumn="0" w:noHBand="0" w:noVBand="1"/>
      </w:tblPr>
      <w:tblGrid>
        <w:gridCol w:w="3119"/>
        <w:gridCol w:w="566"/>
        <w:gridCol w:w="568"/>
        <w:gridCol w:w="1571"/>
        <w:gridCol w:w="986"/>
        <w:gridCol w:w="1536"/>
      </w:tblGrid>
      <w:tr w:rsidR="00812FE8" w:rsidRPr="00EF484E" w:rsidTr="008763E6">
        <w:trPr>
          <w:cantSplit/>
          <w:trHeight w:val="471"/>
        </w:trPr>
        <w:tc>
          <w:tcPr>
            <w:tcW w:w="1868" w:type="pct"/>
            <w:tcBorders>
              <w:top w:val="nil"/>
              <w:left w:val="nil"/>
              <w:bottom w:val="single" w:sz="4" w:space="0" w:color="auto"/>
              <w:right w:val="nil"/>
            </w:tcBorders>
            <w:hideMark/>
          </w:tcPr>
          <w:p w:rsidR="00812FE8" w:rsidRPr="00EF484E" w:rsidRDefault="00812FE8" w:rsidP="008763E6">
            <w:pPr>
              <w:keepNext/>
              <w:rPr>
                <w:rFonts w:ascii="Arial Narrow" w:hAnsi="Arial Narrow"/>
                <w:sz w:val="20"/>
              </w:rPr>
            </w:pPr>
            <w:r w:rsidRPr="00EF484E">
              <w:rPr>
                <w:rFonts w:ascii="Arial Narrow" w:hAnsi="Arial Narrow"/>
                <w:sz w:val="20"/>
              </w:rPr>
              <w:t>Name, Restriction,</w:t>
            </w:r>
          </w:p>
          <w:p w:rsidR="00812FE8" w:rsidRPr="00EF484E" w:rsidRDefault="00812FE8" w:rsidP="008763E6">
            <w:pPr>
              <w:keepNext/>
              <w:rPr>
                <w:rFonts w:ascii="Arial Narrow" w:hAnsi="Arial Narrow"/>
                <w:sz w:val="20"/>
              </w:rPr>
            </w:pPr>
            <w:r w:rsidRPr="00EF484E">
              <w:rPr>
                <w:rFonts w:ascii="Arial Narrow" w:hAnsi="Arial Narrow"/>
                <w:sz w:val="20"/>
              </w:rPr>
              <w:t>Manner of administration and form</w:t>
            </w:r>
          </w:p>
        </w:tc>
        <w:tc>
          <w:tcPr>
            <w:tcW w:w="339" w:type="pct"/>
            <w:tcBorders>
              <w:top w:val="nil"/>
              <w:left w:val="nil"/>
              <w:bottom w:val="single" w:sz="4" w:space="0" w:color="auto"/>
              <w:right w:val="nil"/>
            </w:tcBorders>
            <w:hideMark/>
          </w:tcPr>
          <w:p w:rsidR="00812FE8" w:rsidRPr="00EF484E" w:rsidRDefault="00812FE8" w:rsidP="008763E6">
            <w:pPr>
              <w:keepNext/>
              <w:jc w:val="center"/>
              <w:rPr>
                <w:rFonts w:ascii="Arial Narrow" w:hAnsi="Arial Narrow"/>
                <w:sz w:val="20"/>
              </w:rPr>
            </w:pPr>
            <w:r w:rsidRPr="00EF484E">
              <w:rPr>
                <w:rFonts w:ascii="Arial Narrow" w:hAnsi="Arial Narrow"/>
                <w:sz w:val="20"/>
              </w:rPr>
              <w:t>Max.</w:t>
            </w:r>
          </w:p>
          <w:p w:rsidR="00812FE8" w:rsidRPr="00EF484E" w:rsidRDefault="00812FE8" w:rsidP="008763E6">
            <w:pPr>
              <w:keepNext/>
              <w:jc w:val="center"/>
              <w:rPr>
                <w:rFonts w:ascii="Arial Narrow" w:hAnsi="Arial Narrow"/>
                <w:sz w:val="20"/>
              </w:rPr>
            </w:pPr>
            <w:r w:rsidRPr="00EF484E">
              <w:rPr>
                <w:rFonts w:ascii="Arial Narrow" w:hAnsi="Arial Narrow"/>
                <w:sz w:val="20"/>
              </w:rPr>
              <w:t>Qty</w:t>
            </w:r>
          </w:p>
        </w:tc>
        <w:tc>
          <w:tcPr>
            <w:tcW w:w="340" w:type="pct"/>
            <w:tcBorders>
              <w:top w:val="nil"/>
              <w:left w:val="nil"/>
              <w:bottom w:val="single" w:sz="4" w:space="0" w:color="auto"/>
              <w:right w:val="nil"/>
            </w:tcBorders>
            <w:hideMark/>
          </w:tcPr>
          <w:p w:rsidR="00812FE8" w:rsidRPr="00EF484E" w:rsidRDefault="00812FE8" w:rsidP="008763E6">
            <w:pPr>
              <w:keepNext/>
              <w:jc w:val="center"/>
              <w:rPr>
                <w:rFonts w:ascii="Arial Narrow" w:hAnsi="Arial Narrow"/>
                <w:sz w:val="20"/>
              </w:rPr>
            </w:pPr>
            <w:r w:rsidRPr="00EF484E">
              <w:rPr>
                <w:rFonts w:ascii="Arial Narrow" w:hAnsi="Arial Narrow"/>
                <w:sz w:val="20"/>
              </w:rPr>
              <w:t>№.of</w:t>
            </w:r>
          </w:p>
          <w:p w:rsidR="00812FE8" w:rsidRPr="00EF484E" w:rsidRDefault="00812FE8" w:rsidP="008763E6">
            <w:pPr>
              <w:keepNext/>
              <w:jc w:val="center"/>
              <w:rPr>
                <w:rFonts w:ascii="Arial Narrow" w:hAnsi="Arial Narrow"/>
                <w:sz w:val="20"/>
              </w:rPr>
            </w:pPr>
            <w:r w:rsidRPr="00EF484E">
              <w:rPr>
                <w:rFonts w:ascii="Arial Narrow" w:hAnsi="Arial Narrow"/>
                <w:sz w:val="20"/>
              </w:rPr>
              <w:t>Rpts</w:t>
            </w:r>
          </w:p>
        </w:tc>
        <w:tc>
          <w:tcPr>
            <w:tcW w:w="941" w:type="pct"/>
            <w:tcBorders>
              <w:top w:val="nil"/>
              <w:left w:val="nil"/>
              <w:bottom w:val="single" w:sz="4" w:space="0" w:color="auto"/>
              <w:right w:val="nil"/>
            </w:tcBorders>
            <w:hideMark/>
          </w:tcPr>
          <w:p w:rsidR="00812FE8" w:rsidRPr="00EF484E" w:rsidRDefault="00812FE8" w:rsidP="008763E6">
            <w:pPr>
              <w:keepNext/>
              <w:jc w:val="center"/>
              <w:rPr>
                <w:rFonts w:ascii="Arial Narrow" w:hAnsi="Arial Narrow"/>
                <w:sz w:val="20"/>
              </w:rPr>
            </w:pPr>
            <w:r w:rsidRPr="00EF484E">
              <w:rPr>
                <w:rFonts w:ascii="Arial Narrow" w:hAnsi="Arial Narrow"/>
                <w:sz w:val="20"/>
              </w:rPr>
              <w:t>Dispensed Price for Max. Qty</w:t>
            </w:r>
          </w:p>
        </w:tc>
        <w:tc>
          <w:tcPr>
            <w:tcW w:w="1511" w:type="pct"/>
            <w:gridSpan w:val="2"/>
            <w:tcBorders>
              <w:top w:val="nil"/>
              <w:left w:val="nil"/>
              <w:bottom w:val="single" w:sz="4" w:space="0" w:color="auto"/>
              <w:right w:val="nil"/>
            </w:tcBorders>
            <w:hideMark/>
          </w:tcPr>
          <w:p w:rsidR="00812FE8" w:rsidRPr="00EF484E" w:rsidRDefault="00812FE8" w:rsidP="008763E6">
            <w:pPr>
              <w:keepNext/>
              <w:jc w:val="center"/>
              <w:rPr>
                <w:rFonts w:ascii="Arial Narrow" w:hAnsi="Arial Narrow"/>
                <w:sz w:val="20"/>
              </w:rPr>
            </w:pPr>
            <w:r w:rsidRPr="00EF484E">
              <w:rPr>
                <w:rFonts w:ascii="Arial Narrow" w:hAnsi="Arial Narrow"/>
                <w:sz w:val="20"/>
              </w:rPr>
              <w:t>Proprietary Name and Manufacturer</w:t>
            </w:r>
          </w:p>
        </w:tc>
      </w:tr>
      <w:tr w:rsidR="00812FE8" w:rsidRPr="00EF484E" w:rsidTr="008763E6">
        <w:trPr>
          <w:cantSplit/>
          <w:trHeight w:val="478"/>
        </w:trPr>
        <w:tc>
          <w:tcPr>
            <w:tcW w:w="1868" w:type="pct"/>
            <w:hideMark/>
          </w:tcPr>
          <w:p w:rsidR="00812FE8" w:rsidRPr="00EF484E" w:rsidRDefault="00812FE8" w:rsidP="008763E6">
            <w:pPr>
              <w:keepNext/>
              <w:rPr>
                <w:rFonts w:ascii="Arial Narrow" w:hAnsi="Arial Narrow"/>
                <w:sz w:val="20"/>
              </w:rPr>
            </w:pPr>
            <w:r w:rsidRPr="00EF484E">
              <w:rPr>
                <w:rFonts w:ascii="Arial Narrow" w:hAnsi="Arial Narrow"/>
                <w:smallCaps/>
                <w:sz w:val="20"/>
              </w:rPr>
              <w:t>Secukinumab</w:t>
            </w:r>
          </w:p>
          <w:p w:rsidR="00812FE8" w:rsidRPr="00EF484E" w:rsidRDefault="00812FE8" w:rsidP="008763E6">
            <w:pPr>
              <w:keepNext/>
              <w:rPr>
                <w:rFonts w:ascii="Arial Narrow" w:hAnsi="Arial Narrow"/>
                <w:sz w:val="20"/>
              </w:rPr>
            </w:pPr>
            <w:r w:rsidRPr="00EF484E">
              <w:rPr>
                <w:rFonts w:ascii="Arial Narrow" w:hAnsi="Arial Narrow"/>
                <w:sz w:val="20"/>
              </w:rPr>
              <w:t>150 mg in 1 mL pre-filled pen, 1</w:t>
            </w:r>
          </w:p>
        </w:tc>
        <w:tc>
          <w:tcPr>
            <w:tcW w:w="339" w:type="pct"/>
            <w:vAlign w:val="center"/>
          </w:tcPr>
          <w:p w:rsidR="00812FE8" w:rsidRPr="00EF484E" w:rsidRDefault="00812FE8" w:rsidP="008763E6">
            <w:pPr>
              <w:keepNext/>
              <w:jc w:val="center"/>
              <w:rPr>
                <w:rFonts w:ascii="Arial Narrow" w:hAnsi="Arial Narrow"/>
                <w:sz w:val="20"/>
              </w:rPr>
            </w:pPr>
            <w:r w:rsidRPr="00EF484E">
              <w:rPr>
                <w:rFonts w:ascii="Arial Narrow" w:hAnsi="Arial Narrow"/>
                <w:sz w:val="20"/>
              </w:rPr>
              <w:t>1</w:t>
            </w:r>
          </w:p>
        </w:tc>
        <w:tc>
          <w:tcPr>
            <w:tcW w:w="340" w:type="pct"/>
            <w:vAlign w:val="center"/>
          </w:tcPr>
          <w:p w:rsidR="00812FE8" w:rsidRPr="00EF484E" w:rsidRDefault="00812FE8" w:rsidP="008763E6">
            <w:pPr>
              <w:keepNext/>
              <w:jc w:val="center"/>
              <w:rPr>
                <w:rFonts w:ascii="Arial Narrow" w:hAnsi="Arial Narrow"/>
                <w:sz w:val="20"/>
              </w:rPr>
            </w:pPr>
            <w:r w:rsidRPr="00EF484E">
              <w:rPr>
                <w:rFonts w:ascii="Arial Narrow" w:hAnsi="Arial Narrow"/>
                <w:sz w:val="20"/>
              </w:rPr>
              <w:t>5</w:t>
            </w:r>
          </w:p>
        </w:tc>
        <w:tc>
          <w:tcPr>
            <w:tcW w:w="941" w:type="pct"/>
            <w:vAlign w:val="center"/>
          </w:tcPr>
          <w:p w:rsidR="00812FE8" w:rsidRPr="00EF484E" w:rsidRDefault="00812FE8" w:rsidP="008763E6">
            <w:pPr>
              <w:keepNext/>
              <w:jc w:val="center"/>
              <w:rPr>
                <w:rFonts w:ascii="Arial Narrow" w:hAnsi="Arial Narrow"/>
                <w:sz w:val="20"/>
              </w:rPr>
            </w:pPr>
            <w:r w:rsidRPr="00EF484E">
              <w:rPr>
                <w:rFonts w:ascii="Arial Narrow" w:hAnsi="Arial Narrow"/>
                <w:sz w:val="20"/>
              </w:rPr>
              <w:t>$</w:t>
            </w:r>
            <w:r w:rsidR="000039CC">
              <w:rPr>
                <w:rFonts w:ascii="Arial Narrow" w:hAnsi="Arial Narrow"/>
                <w:noProof/>
                <w:color w:val="000000"/>
                <w:sz w:val="20"/>
                <w:highlight w:val="black"/>
              </w:rPr>
              <w:t>'''''''''''''''''''</w:t>
            </w:r>
          </w:p>
        </w:tc>
        <w:tc>
          <w:tcPr>
            <w:tcW w:w="591" w:type="pct"/>
            <w:vMerge w:val="restart"/>
            <w:vAlign w:val="center"/>
            <w:hideMark/>
          </w:tcPr>
          <w:p w:rsidR="00812FE8" w:rsidRPr="00EF484E" w:rsidRDefault="00812FE8" w:rsidP="008763E6">
            <w:pPr>
              <w:keepNext/>
              <w:jc w:val="center"/>
              <w:rPr>
                <w:rFonts w:ascii="Arial Narrow" w:hAnsi="Arial Narrow"/>
                <w:sz w:val="20"/>
              </w:rPr>
            </w:pPr>
            <w:r w:rsidRPr="00EF484E">
              <w:rPr>
                <w:rFonts w:ascii="Arial Narrow" w:hAnsi="Arial Narrow"/>
                <w:sz w:val="20"/>
              </w:rPr>
              <w:t>Cosentyx</w:t>
            </w:r>
            <w:r w:rsidRPr="00EF484E">
              <w:rPr>
                <w:rFonts w:ascii="Arial Narrow" w:hAnsi="Arial Narrow"/>
                <w:sz w:val="20"/>
                <w:vertAlign w:val="superscript"/>
              </w:rPr>
              <w:t>®</w:t>
            </w:r>
          </w:p>
        </w:tc>
        <w:tc>
          <w:tcPr>
            <w:tcW w:w="920" w:type="pct"/>
            <w:vMerge w:val="restart"/>
            <w:vAlign w:val="center"/>
            <w:hideMark/>
          </w:tcPr>
          <w:p w:rsidR="00812FE8" w:rsidRPr="00EF484E" w:rsidRDefault="00812FE8" w:rsidP="008763E6">
            <w:pPr>
              <w:keepNext/>
              <w:jc w:val="center"/>
              <w:rPr>
                <w:rFonts w:ascii="Arial Narrow" w:hAnsi="Arial Narrow"/>
                <w:sz w:val="20"/>
              </w:rPr>
            </w:pPr>
            <w:r w:rsidRPr="00EF484E">
              <w:rPr>
                <w:rFonts w:ascii="Arial Narrow" w:hAnsi="Arial Narrow"/>
                <w:sz w:val="20"/>
              </w:rPr>
              <w:t>Novartis Pharmaceuticals</w:t>
            </w:r>
          </w:p>
        </w:tc>
      </w:tr>
      <w:tr w:rsidR="00812FE8" w:rsidRPr="00EF484E" w:rsidTr="008763E6">
        <w:trPr>
          <w:cantSplit/>
          <w:trHeight w:val="425"/>
        </w:trPr>
        <w:tc>
          <w:tcPr>
            <w:tcW w:w="1868" w:type="pct"/>
          </w:tcPr>
          <w:p w:rsidR="00812FE8" w:rsidRPr="00EF484E" w:rsidRDefault="00812FE8" w:rsidP="008763E6">
            <w:pPr>
              <w:keepNext/>
              <w:rPr>
                <w:rFonts w:ascii="Arial Narrow" w:hAnsi="Arial Narrow"/>
                <w:sz w:val="20"/>
              </w:rPr>
            </w:pPr>
            <w:r w:rsidRPr="00EF484E">
              <w:rPr>
                <w:rFonts w:ascii="Arial Narrow" w:hAnsi="Arial Narrow"/>
                <w:smallCaps/>
                <w:sz w:val="20"/>
              </w:rPr>
              <w:t>Secukinumab</w:t>
            </w:r>
          </w:p>
          <w:p w:rsidR="00812FE8" w:rsidRPr="00EF484E" w:rsidRDefault="00812FE8" w:rsidP="008763E6">
            <w:pPr>
              <w:keepNext/>
              <w:rPr>
                <w:rFonts w:ascii="Arial Narrow" w:hAnsi="Arial Narrow"/>
                <w:smallCaps/>
                <w:sz w:val="20"/>
              </w:rPr>
            </w:pPr>
            <w:r w:rsidRPr="00EF484E">
              <w:rPr>
                <w:rFonts w:ascii="Arial Narrow" w:hAnsi="Arial Narrow"/>
                <w:sz w:val="20"/>
              </w:rPr>
              <w:t>150 mg in 1 mL pre-filled pen, 2</w:t>
            </w:r>
          </w:p>
        </w:tc>
        <w:tc>
          <w:tcPr>
            <w:tcW w:w="339" w:type="pct"/>
            <w:vAlign w:val="center"/>
          </w:tcPr>
          <w:p w:rsidR="00812FE8" w:rsidRPr="00EF484E" w:rsidRDefault="00812FE8" w:rsidP="008763E6">
            <w:pPr>
              <w:keepNext/>
              <w:jc w:val="center"/>
              <w:rPr>
                <w:rFonts w:ascii="Arial Narrow" w:hAnsi="Arial Narrow"/>
                <w:sz w:val="20"/>
              </w:rPr>
            </w:pPr>
            <w:r w:rsidRPr="00EF484E">
              <w:rPr>
                <w:rFonts w:ascii="Arial Narrow" w:hAnsi="Arial Narrow"/>
                <w:sz w:val="20"/>
              </w:rPr>
              <w:t>1</w:t>
            </w:r>
          </w:p>
        </w:tc>
        <w:tc>
          <w:tcPr>
            <w:tcW w:w="340" w:type="pct"/>
            <w:vAlign w:val="center"/>
          </w:tcPr>
          <w:p w:rsidR="00812FE8" w:rsidRPr="00EF484E" w:rsidRDefault="00812FE8" w:rsidP="008763E6">
            <w:pPr>
              <w:keepNext/>
              <w:jc w:val="center"/>
              <w:rPr>
                <w:rFonts w:ascii="Arial Narrow" w:hAnsi="Arial Narrow"/>
                <w:sz w:val="20"/>
              </w:rPr>
            </w:pPr>
            <w:r w:rsidRPr="00EF484E">
              <w:rPr>
                <w:rFonts w:ascii="Arial Narrow" w:hAnsi="Arial Narrow"/>
                <w:sz w:val="20"/>
              </w:rPr>
              <w:t>5</w:t>
            </w:r>
          </w:p>
        </w:tc>
        <w:tc>
          <w:tcPr>
            <w:tcW w:w="941" w:type="pct"/>
            <w:vAlign w:val="center"/>
          </w:tcPr>
          <w:p w:rsidR="00812FE8" w:rsidRPr="00EF484E" w:rsidRDefault="00812FE8" w:rsidP="008763E6">
            <w:pPr>
              <w:keepNext/>
              <w:jc w:val="center"/>
              <w:rPr>
                <w:rFonts w:ascii="Arial Narrow" w:hAnsi="Arial Narrow"/>
                <w:sz w:val="20"/>
              </w:rPr>
            </w:pPr>
            <w:r w:rsidRPr="00EF484E">
              <w:rPr>
                <w:rFonts w:ascii="Arial Narrow" w:hAnsi="Arial Narrow"/>
                <w:sz w:val="20"/>
              </w:rPr>
              <w:t>$</w:t>
            </w:r>
            <w:r w:rsidR="000039CC">
              <w:rPr>
                <w:rFonts w:ascii="Arial Narrow" w:hAnsi="Arial Narrow"/>
                <w:noProof/>
                <w:color w:val="000000"/>
                <w:sz w:val="20"/>
                <w:highlight w:val="black"/>
              </w:rPr>
              <w:t>'''''''''''''''''''''</w:t>
            </w:r>
          </w:p>
        </w:tc>
        <w:tc>
          <w:tcPr>
            <w:tcW w:w="591" w:type="pct"/>
            <w:vMerge/>
            <w:vAlign w:val="center"/>
          </w:tcPr>
          <w:p w:rsidR="00812FE8" w:rsidRPr="00EF484E" w:rsidRDefault="00812FE8" w:rsidP="008763E6">
            <w:pPr>
              <w:keepNext/>
              <w:jc w:val="center"/>
              <w:rPr>
                <w:rFonts w:ascii="Arial Narrow" w:hAnsi="Arial Narrow"/>
                <w:sz w:val="20"/>
              </w:rPr>
            </w:pPr>
          </w:p>
        </w:tc>
        <w:tc>
          <w:tcPr>
            <w:tcW w:w="920" w:type="pct"/>
            <w:vMerge/>
            <w:vAlign w:val="center"/>
          </w:tcPr>
          <w:p w:rsidR="00812FE8" w:rsidRPr="00EF484E" w:rsidRDefault="00812FE8" w:rsidP="008763E6">
            <w:pPr>
              <w:keepNext/>
              <w:jc w:val="center"/>
              <w:rPr>
                <w:rFonts w:ascii="Arial Narrow" w:hAnsi="Arial Narrow"/>
                <w:sz w:val="20"/>
              </w:rPr>
            </w:pPr>
          </w:p>
        </w:tc>
      </w:tr>
    </w:tbl>
    <w:tbl>
      <w:tblPr>
        <w:tblStyle w:val="TableGrid"/>
        <w:tblW w:w="0" w:type="auto"/>
        <w:tblInd w:w="817" w:type="dxa"/>
        <w:tblLook w:val="04A0" w:firstRow="1" w:lastRow="0" w:firstColumn="1" w:lastColumn="0" w:noHBand="0" w:noVBand="1"/>
        <w:tblCaption w:val="Requested listing"/>
      </w:tblPr>
      <w:tblGrid>
        <w:gridCol w:w="1009"/>
        <w:gridCol w:w="7371"/>
      </w:tblGrid>
      <w:tr w:rsidR="00812FE8" w:rsidRPr="002D023E" w:rsidTr="00CA7493">
        <w:trPr>
          <w:tblHeader/>
        </w:trPr>
        <w:tc>
          <w:tcPr>
            <w:tcW w:w="992" w:type="dxa"/>
          </w:tcPr>
          <w:p w:rsidR="00812FE8" w:rsidRPr="002D023E" w:rsidRDefault="00812FE8" w:rsidP="008763E6">
            <w:pPr>
              <w:rPr>
                <w:rFonts w:ascii="Arial Narrow" w:hAnsi="Arial Narrow"/>
                <w:i/>
                <w:sz w:val="20"/>
              </w:rPr>
            </w:pPr>
            <w:r w:rsidRPr="002D023E">
              <w:rPr>
                <w:rFonts w:ascii="Arial Narrow" w:hAnsi="Arial Narrow"/>
                <w:b/>
                <w:sz w:val="20"/>
              </w:rPr>
              <w:t>Treatment phase:</w:t>
            </w:r>
          </w:p>
        </w:tc>
        <w:tc>
          <w:tcPr>
            <w:tcW w:w="7371" w:type="dxa"/>
          </w:tcPr>
          <w:p w:rsidR="00812FE8" w:rsidRPr="002D023E" w:rsidRDefault="00812FE8" w:rsidP="008763E6">
            <w:pPr>
              <w:rPr>
                <w:rFonts w:ascii="Arial Narrow" w:hAnsi="Arial Narrow"/>
                <w:sz w:val="20"/>
              </w:rPr>
            </w:pPr>
            <w:r w:rsidRPr="002D023E">
              <w:rPr>
                <w:rFonts w:ascii="Arial Narrow" w:hAnsi="Arial Narrow"/>
                <w:sz w:val="20"/>
              </w:rPr>
              <w:t xml:space="preserve"> Continuing treatment </w:t>
            </w:r>
          </w:p>
        </w:tc>
      </w:tr>
      <w:tr w:rsidR="00812FE8" w:rsidRPr="002D023E" w:rsidTr="008763E6">
        <w:tc>
          <w:tcPr>
            <w:tcW w:w="992" w:type="dxa"/>
          </w:tcPr>
          <w:p w:rsidR="00812FE8" w:rsidRPr="002D023E" w:rsidRDefault="00812FE8" w:rsidP="008763E6">
            <w:pPr>
              <w:rPr>
                <w:rFonts w:ascii="Arial Narrow" w:hAnsi="Arial Narrow"/>
                <w:b/>
                <w:sz w:val="20"/>
              </w:rPr>
            </w:pPr>
            <w:r w:rsidRPr="002D023E">
              <w:rPr>
                <w:rFonts w:ascii="Arial Narrow" w:hAnsi="Arial Narrow"/>
                <w:b/>
                <w:sz w:val="20"/>
              </w:rPr>
              <w:t>Clinical criteria:</w:t>
            </w:r>
          </w:p>
          <w:p w:rsidR="00812FE8" w:rsidRPr="002D023E" w:rsidRDefault="00812FE8" w:rsidP="008763E6">
            <w:pPr>
              <w:rPr>
                <w:rFonts w:ascii="Arial Narrow" w:hAnsi="Arial Narrow"/>
                <w:b/>
                <w:sz w:val="20"/>
              </w:rPr>
            </w:pPr>
          </w:p>
        </w:tc>
        <w:tc>
          <w:tcPr>
            <w:tcW w:w="7371" w:type="dxa"/>
          </w:tcPr>
          <w:p w:rsidR="00812FE8" w:rsidRPr="002D023E" w:rsidRDefault="00812FE8" w:rsidP="008763E6">
            <w:pPr>
              <w:rPr>
                <w:rFonts w:ascii="Arial Narrow" w:hAnsi="Arial Narrow"/>
                <w:sz w:val="20"/>
              </w:rPr>
            </w:pPr>
            <w:r w:rsidRPr="002D023E">
              <w:rPr>
                <w:rFonts w:ascii="Arial Narrow" w:hAnsi="Arial Narrow"/>
                <w:sz w:val="20"/>
              </w:rPr>
              <w:t xml:space="preserve">Patient must have a documented history of severe active psoriatic arthritis </w:t>
            </w:r>
            <w:r w:rsidRPr="002D023E">
              <w:rPr>
                <w:rFonts w:ascii="Arial Narrow" w:hAnsi="Arial Narrow"/>
                <w:b/>
                <w:bCs/>
                <w:sz w:val="20"/>
              </w:rPr>
              <w:t>AND</w:t>
            </w:r>
          </w:p>
          <w:p w:rsidR="00812FE8" w:rsidRPr="002D023E" w:rsidRDefault="00812FE8" w:rsidP="008763E6">
            <w:pPr>
              <w:rPr>
                <w:rFonts w:ascii="Arial Narrow" w:hAnsi="Arial Narrow"/>
                <w:sz w:val="20"/>
              </w:rPr>
            </w:pPr>
            <w:r w:rsidRPr="002D023E">
              <w:rPr>
                <w:rFonts w:ascii="Arial Narrow" w:hAnsi="Arial Narrow"/>
                <w:sz w:val="20"/>
              </w:rPr>
              <w:t xml:space="preserve">Patient must have received this drug as their most recent course of PBS-subsidised treatment with a biological agent for this condition in the current Treatment Cycle </w:t>
            </w:r>
            <w:r w:rsidRPr="002D023E">
              <w:rPr>
                <w:rFonts w:ascii="Arial Narrow" w:hAnsi="Arial Narrow"/>
                <w:b/>
                <w:bCs/>
                <w:sz w:val="20"/>
              </w:rPr>
              <w:t>AND</w:t>
            </w:r>
          </w:p>
          <w:p w:rsidR="00812FE8" w:rsidRPr="002D023E" w:rsidRDefault="00812FE8" w:rsidP="008763E6">
            <w:pPr>
              <w:rPr>
                <w:rFonts w:ascii="Arial Narrow" w:hAnsi="Arial Narrow"/>
                <w:sz w:val="20"/>
              </w:rPr>
            </w:pPr>
            <w:r w:rsidRPr="002D023E">
              <w:rPr>
                <w:rFonts w:ascii="Arial Narrow" w:hAnsi="Arial Narrow"/>
                <w:sz w:val="20"/>
              </w:rPr>
              <w:t xml:space="preserve">Patient must demonstrate, at the time of application, an adequate response to treatment with this drug </w:t>
            </w:r>
            <w:r w:rsidRPr="002D023E">
              <w:rPr>
                <w:rFonts w:ascii="Arial Narrow" w:hAnsi="Arial Narrow"/>
                <w:b/>
                <w:bCs/>
                <w:sz w:val="20"/>
              </w:rPr>
              <w:t>AND</w:t>
            </w:r>
          </w:p>
          <w:p w:rsidR="00812FE8" w:rsidRPr="002D023E" w:rsidRDefault="00812FE8" w:rsidP="008763E6">
            <w:pPr>
              <w:rPr>
                <w:rFonts w:ascii="Arial Narrow" w:hAnsi="Arial Narrow"/>
                <w:sz w:val="20"/>
              </w:rPr>
            </w:pPr>
            <w:r w:rsidRPr="002D023E">
              <w:rPr>
                <w:rFonts w:ascii="Arial Narrow" w:hAnsi="Arial Narrow"/>
                <w:sz w:val="20"/>
              </w:rPr>
              <w:t>Patient must not receive more than 24 weeks of treatment per continuing treatment course authorised under this restriction.</w:t>
            </w:r>
          </w:p>
        </w:tc>
      </w:tr>
    </w:tbl>
    <w:p w:rsidR="00812FE8" w:rsidRPr="003E0F0F" w:rsidRDefault="00812FE8" w:rsidP="00812FE8"/>
    <w:p w:rsidR="00812FE8" w:rsidRDefault="00812FE8" w:rsidP="00812FE8">
      <w:pPr>
        <w:pStyle w:val="ListParagraph"/>
        <w:numPr>
          <w:ilvl w:val="1"/>
          <w:numId w:val="7"/>
        </w:numPr>
        <w:rPr>
          <w:szCs w:val="22"/>
        </w:rPr>
      </w:pPr>
      <w:r w:rsidRPr="003E0F0F">
        <w:rPr>
          <w:szCs w:val="22"/>
        </w:rPr>
        <w:t>The requested basis for listing was a cost-minimisation analysis versus adalimumab.</w:t>
      </w:r>
    </w:p>
    <w:p w:rsidR="003739A8" w:rsidRDefault="003739A8" w:rsidP="003739A8">
      <w:pPr>
        <w:widowControl/>
        <w:rPr>
          <w:szCs w:val="22"/>
        </w:rPr>
      </w:pPr>
    </w:p>
    <w:p w:rsidR="003739A8" w:rsidRDefault="003739A8" w:rsidP="0049591F">
      <w:pPr>
        <w:pStyle w:val="ListParagraph"/>
        <w:ind w:left="709"/>
        <w:rPr>
          <w:i/>
          <w:szCs w:val="22"/>
        </w:rPr>
      </w:pPr>
      <w:r w:rsidRPr="009D3F57">
        <w:rPr>
          <w:i/>
          <w:szCs w:val="22"/>
        </w:rPr>
        <w:t>For more detail on PBAC’s view, see section 7 “PBAC outcome”</w:t>
      </w:r>
    </w:p>
    <w:p w:rsidR="00812FE8" w:rsidRDefault="00812FE8" w:rsidP="00812FE8">
      <w:bookmarkStart w:id="3" w:name="_GoBack"/>
      <w:bookmarkEnd w:id="3"/>
    </w:p>
    <w:p w:rsidR="00F05FF4" w:rsidRDefault="00F05FF4">
      <w:pPr>
        <w:widowControl/>
        <w:jc w:val="left"/>
      </w:pPr>
      <w:r>
        <w:br w:type="page"/>
      </w:r>
    </w:p>
    <w:p w:rsidR="003739A8" w:rsidRPr="003E0F0F" w:rsidRDefault="003739A8" w:rsidP="00812FE8"/>
    <w:p w:rsidR="00812FE8" w:rsidRDefault="00812FE8" w:rsidP="00812FE8">
      <w:pPr>
        <w:pStyle w:val="PBACHeading1"/>
      </w:pPr>
      <w:bookmarkStart w:id="4" w:name="_Toc441048467"/>
      <w:r w:rsidRPr="000A5B0E">
        <w:t>Background</w:t>
      </w:r>
      <w:bookmarkEnd w:id="4"/>
    </w:p>
    <w:p w:rsidR="009D01F1" w:rsidRPr="000A5B0E" w:rsidRDefault="009D01F1" w:rsidP="00E6165E">
      <w:pPr>
        <w:pStyle w:val="ListParagraph"/>
      </w:pPr>
    </w:p>
    <w:p w:rsidR="009D01F1" w:rsidRPr="009D01F1" w:rsidRDefault="009D01F1" w:rsidP="009D01F1">
      <w:pPr>
        <w:pStyle w:val="ListParagraph"/>
        <w:numPr>
          <w:ilvl w:val="1"/>
          <w:numId w:val="7"/>
        </w:numPr>
        <w:rPr>
          <w:szCs w:val="22"/>
        </w:rPr>
      </w:pPr>
      <w:r w:rsidRPr="009D01F1">
        <w:t xml:space="preserve">TGA status at the time of PBAC consideration: The submission was made under TGA/PBAC Parallel Process. The Round 1 and 2 Clinical Evaluation Reports were provided prior to the ESC meeting.  The </w:t>
      </w:r>
      <w:r w:rsidRPr="009D01F1">
        <w:rPr>
          <w:bCs/>
          <w:lang w:val="en-GB"/>
        </w:rPr>
        <w:t xml:space="preserve">TGA Delegates Overview was </w:t>
      </w:r>
      <w:r>
        <w:rPr>
          <w:bCs/>
          <w:lang w:val="en-GB"/>
        </w:rPr>
        <w:t>available</w:t>
      </w:r>
      <w:r w:rsidRPr="009D01F1">
        <w:t xml:space="preserve"> at the time of the PBAC consideration</w:t>
      </w:r>
      <w:r>
        <w:t>.</w:t>
      </w:r>
    </w:p>
    <w:p w:rsidR="00812FE8" w:rsidRPr="000A5B0E" w:rsidRDefault="00812FE8" w:rsidP="00812FE8">
      <w:pPr>
        <w:rPr>
          <w:szCs w:val="22"/>
        </w:rPr>
      </w:pPr>
    </w:p>
    <w:p w:rsidR="009D01F1" w:rsidRDefault="00812FE8" w:rsidP="009D01F1">
      <w:pPr>
        <w:pStyle w:val="ListParagraph"/>
        <w:numPr>
          <w:ilvl w:val="1"/>
          <w:numId w:val="7"/>
        </w:numPr>
        <w:rPr>
          <w:szCs w:val="22"/>
        </w:rPr>
      </w:pPr>
      <w:r w:rsidRPr="000A5B0E">
        <w:rPr>
          <w:szCs w:val="22"/>
        </w:rPr>
        <w:t>Secukinumab</w:t>
      </w:r>
      <w:r w:rsidRPr="00645D10">
        <w:rPr>
          <w:szCs w:val="22"/>
        </w:rPr>
        <w:t xml:space="preserve"> has not been considered by PBAC previously for this indication.  A </w:t>
      </w:r>
      <w:r>
        <w:rPr>
          <w:szCs w:val="22"/>
        </w:rPr>
        <w:t xml:space="preserve">concurrent </w:t>
      </w:r>
      <w:r w:rsidRPr="00645D10">
        <w:rPr>
          <w:szCs w:val="22"/>
        </w:rPr>
        <w:t>submission seeking listing of secukinumab for</w:t>
      </w:r>
      <w:r>
        <w:rPr>
          <w:szCs w:val="22"/>
        </w:rPr>
        <w:t xml:space="preserve"> </w:t>
      </w:r>
      <w:r w:rsidRPr="002D023E">
        <w:t xml:space="preserve">the treatment of ankylosing spondylitis </w:t>
      </w:r>
      <w:r>
        <w:t>was</w:t>
      </w:r>
      <w:r w:rsidRPr="002D023E">
        <w:t xml:space="preserve"> </w:t>
      </w:r>
      <w:r>
        <w:t xml:space="preserve">also </w:t>
      </w:r>
      <w:r w:rsidRPr="002D023E">
        <w:t>considered at the March 201</w:t>
      </w:r>
      <w:r w:rsidR="006D10A8">
        <w:t>6 PBAC meeting (Item 6.07</w:t>
      </w:r>
      <w:r w:rsidR="000A5B0E">
        <w:t xml:space="preserve"> refers</w:t>
      </w:r>
      <w:r w:rsidRPr="002D023E">
        <w:t>)</w:t>
      </w:r>
      <w:r w:rsidRPr="00645D10">
        <w:rPr>
          <w:szCs w:val="22"/>
        </w:rPr>
        <w:t>.</w:t>
      </w:r>
    </w:p>
    <w:p w:rsidR="009D01F1" w:rsidRDefault="009D01F1" w:rsidP="009D01F1">
      <w:pPr>
        <w:pStyle w:val="ListParagraph"/>
        <w:rPr>
          <w:szCs w:val="22"/>
        </w:rPr>
      </w:pPr>
    </w:p>
    <w:p w:rsidR="000A5B0E" w:rsidRPr="000A5B0E" w:rsidRDefault="000A5B0E" w:rsidP="000A5B0E">
      <w:pPr>
        <w:pStyle w:val="ListParagraph"/>
        <w:rPr>
          <w:szCs w:val="22"/>
        </w:rPr>
      </w:pPr>
    </w:p>
    <w:p w:rsidR="00812FE8" w:rsidRPr="00645D10" w:rsidRDefault="00812FE8" w:rsidP="00812FE8">
      <w:pPr>
        <w:pStyle w:val="ListParagraph"/>
        <w:numPr>
          <w:ilvl w:val="1"/>
          <w:numId w:val="7"/>
        </w:numPr>
        <w:rPr>
          <w:szCs w:val="22"/>
        </w:rPr>
      </w:pPr>
      <w:r w:rsidRPr="00645D10">
        <w:rPr>
          <w:szCs w:val="22"/>
        </w:rPr>
        <w:t>Secukinumab was recommended for the treatment of severe chronic plaque psoriasis on a cost-minimisation basis versus adalimumab at the March 2015 PBAC meeting.</w:t>
      </w:r>
    </w:p>
    <w:p w:rsidR="003739A8" w:rsidRDefault="003739A8" w:rsidP="003739A8">
      <w:pPr>
        <w:widowControl/>
        <w:rPr>
          <w:szCs w:val="22"/>
        </w:rPr>
      </w:pPr>
    </w:p>
    <w:p w:rsidR="003739A8" w:rsidRDefault="003739A8" w:rsidP="0049591F">
      <w:pPr>
        <w:pStyle w:val="ListParagraph"/>
        <w:ind w:left="709"/>
        <w:rPr>
          <w:i/>
          <w:szCs w:val="22"/>
        </w:rPr>
      </w:pPr>
      <w:r w:rsidRPr="00776A70">
        <w:rPr>
          <w:i/>
          <w:szCs w:val="22"/>
        </w:rPr>
        <w:t>For more detail on PBAC’s view, see section 7 “PBAC outcome”</w:t>
      </w:r>
    </w:p>
    <w:p w:rsidR="00812FE8" w:rsidRDefault="00812FE8" w:rsidP="00812FE8"/>
    <w:p w:rsidR="000A5B0E" w:rsidRPr="00645D10" w:rsidRDefault="000A5B0E" w:rsidP="00812FE8"/>
    <w:p w:rsidR="00812FE8" w:rsidRPr="00645D10" w:rsidRDefault="00812FE8" w:rsidP="00812FE8">
      <w:pPr>
        <w:pStyle w:val="PBACHeading1"/>
      </w:pPr>
      <w:bookmarkStart w:id="5" w:name="_Toc441048468"/>
      <w:r w:rsidRPr="00645D10">
        <w:t>Clinical place for the proposed therapy</w:t>
      </w:r>
      <w:bookmarkEnd w:id="5"/>
    </w:p>
    <w:p w:rsidR="00812FE8" w:rsidRPr="002D023E" w:rsidRDefault="00812FE8" w:rsidP="00812FE8">
      <w:pPr>
        <w:widowControl/>
        <w:rPr>
          <w:szCs w:val="22"/>
        </w:rPr>
      </w:pPr>
    </w:p>
    <w:p w:rsidR="00812FE8" w:rsidRDefault="00812FE8" w:rsidP="00812FE8">
      <w:pPr>
        <w:pStyle w:val="ListParagraph"/>
        <w:widowControl/>
        <w:numPr>
          <w:ilvl w:val="1"/>
          <w:numId w:val="7"/>
        </w:numPr>
        <w:rPr>
          <w:szCs w:val="22"/>
        </w:rPr>
      </w:pPr>
      <w:r>
        <w:rPr>
          <w:szCs w:val="22"/>
        </w:rPr>
        <w:t>The submission proposed s</w:t>
      </w:r>
      <w:r w:rsidRPr="00336BDF">
        <w:rPr>
          <w:szCs w:val="22"/>
        </w:rPr>
        <w:t xml:space="preserve">ecukinumab </w:t>
      </w:r>
      <w:r>
        <w:rPr>
          <w:szCs w:val="22"/>
        </w:rPr>
        <w:t xml:space="preserve">as </w:t>
      </w:r>
      <w:r w:rsidRPr="00336BDF">
        <w:rPr>
          <w:szCs w:val="22"/>
        </w:rPr>
        <w:t>an alternative to the currently PBS-listed bDMARDs (adalimumab, etanercept, infliximab</w:t>
      </w:r>
      <w:r>
        <w:rPr>
          <w:szCs w:val="22"/>
        </w:rPr>
        <w:t>,</w:t>
      </w:r>
      <w:r w:rsidRPr="00336BDF">
        <w:rPr>
          <w:szCs w:val="22"/>
        </w:rPr>
        <w:t xml:space="preserve"> golimumab, and certolizumab pegol).</w:t>
      </w:r>
    </w:p>
    <w:p w:rsidR="00812FE8" w:rsidRPr="0049158F" w:rsidRDefault="00812FE8" w:rsidP="00812FE8">
      <w:pPr>
        <w:pStyle w:val="ListParagraph"/>
        <w:rPr>
          <w:szCs w:val="22"/>
        </w:rPr>
      </w:pPr>
    </w:p>
    <w:p w:rsidR="00812FE8" w:rsidRPr="00CA6B3B" w:rsidRDefault="00812FE8" w:rsidP="00812FE8">
      <w:pPr>
        <w:pStyle w:val="ListParagraph"/>
        <w:widowControl/>
        <w:numPr>
          <w:ilvl w:val="1"/>
          <w:numId w:val="7"/>
        </w:numPr>
        <w:rPr>
          <w:szCs w:val="22"/>
        </w:rPr>
      </w:pPr>
      <w:r w:rsidRPr="00CA6B3B">
        <w:rPr>
          <w:iCs/>
          <w:szCs w:val="22"/>
        </w:rPr>
        <w:t>Secukinumab (interleukin (IL)-17A inhibitor) and ustekinumab (IL12</w:t>
      </w:r>
      <w:r w:rsidR="009D01F1">
        <w:rPr>
          <w:iCs/>
          <w:szCs w:val="22"/>
        </w:rPr>
        <w:t>/23 inhibitor</w:t>
      </w:r>
      <w:r w:rsidRPr="00CA6B3B">
        <w:rPr>
          <w:iCs/>
          <w:szCs w:val="22"/>
        </w:rPr>
        <w:t xml:space="preserve">) are in a different class </w:t>
      </w:r>
      <w:r w:rsidRPr="00CA6B3B">
        <w:rPr>
          <w:iCs/>
        </w:rPr>
        <w:t xml:space="preserve">of biological treatment </w:t>
      </w:r>
      <w:r w:rsidRPr="00CA6B3B">
        <w:rPr>
          <w:iCs/>
          <w:szCs w:val="22"/>
        </w:rPr>
        <w:t>to the currently PBS-listed bDMARDs for psoriatic arthritis, which are tumour necrosis factor alpha (TNFα) inhibitors.</w:t>
      </w:r>
    </w:p>
    <w:p w:rsidR="00812FE8" w:rsidRDefault="00812FE8" w:rsidP="00812FE8">
      <w:pPr>
        <w:widowControl/>
        <w:rPr>
          <w:szCs w:val="22"/>
        </w:rPr>
      </w:pPr>
    </w:p>
    <w:p w:rsidR="003739A8" w:rsidRPr="0009126B" w:rsidRDefault="003739A8" w:rsidP="00812FE8">
      <w:pPr>
        <w:widowControl/>
        <w:rPr>
          <w:szCs w:val="22"/>
        </w:rPr>
      </w:pPr>
    </w:p>
    <w:p w:rsidR="00812FE8" w:rsidRPr="002D023E" w:rsidRDefault="00812FE8" w:rsidP="00E6165E">
      <w:pPr>
        <w:pStyle w:val="PBACHeading1"/>
        <w:rPr>
          <w:b w:val="0"/>
        </w:rPr>
      </w:pPr>
      <w:r w:rsidRPr="002D023E">
        <w:t>Comparator</w:t>
      </w:r>
    </w:p>
    <w:p w:rsidR="00812FE8" w:rsidRPr="00086E9A" w:rsidRDefault="00812FE8" w:rsidP="00812FE8"/>
    <w:p w:rsidR="00812FE8" w:rsidRPr="00BA1CC2" w:rsidRDefault="00812FE8" w:rsidP="00812FE8">
      <w:pPr>
        <w:pStyle w:val="ListParagraph"/>
        <w:numPr>
          <w:ilvl w:val="1"/>
          <w:numId w:val="7"/>
        </w:numPr>
      </w:pPr>
      <w:r w:rsidRPr="00BA1CC2">
        <w:t xml:space="preserve">Adalimumab (main comparator); etanercept, infliximab, golimumab, certolizumab pegol (secondary comparators).  </w:t>
      </w:r>
      <w:r w:rsidRPr="00BA1CC2">
        <w:rPr>
          <w:iCs/>
        </w:rPr>
        <w:t>These were appropriate comparators.</w:t>
      </w:r>
    </w:p>
    <w:p w:rsidR="00812FE8" w:rsidRPr="00BA1CC2" w:rsidRDefault="00812FE8" w:rsidP="00812FE8">
      <w:pPr>
        <w:pStyle w:val="ListParagraph"/>
        <w:widowControl/>
        <w:rPr>
          <w:szCs w:val="22"/>
        </w:rPr>
      </w:pPr>
    </w:p>
    <w:p w:rsidR="00812FE8" w:rsidRPr="00BA1CC2" w:rsidRDefault="00994EA5" w:rsidP="00812FE8">
      <w:pPr>
        <w:pStyle w:val="ListParagraph"/>
        <w:widowControl/>
        <w:numPr>
          <w:ilvl w:val="1"/>
          <w:numId w:val="7"/>
        </w:numPr>
        <w:rPr>
          <w:szCs w:val="22"/>
        </w:rPr>
      </w:pPr>
      <w:r>
        <w:rPr>
          <w:iCs/>
          <w:szCs w:val="22"/>
        </w:rPr>
        <w:t>In addition</w:t>
      </w:r>
      <w:r w:rsidR="00812FE8" w:rsidRPr="00BA1CC2">
        <w:rPr>
          <w:iCs/>
          <w:szCs w:val="22"/>
        </w:rPr>
        <w:t>, the PBAC recommended ustekinumab for the treatment of psoriatic arthritis during its November 2015 meeting, thus ustekinumab may also be an appropriate comparator.</w:t>
      </w:r>
    </w:p>
    <w:p w:rsidR="001A3953" w:rsidRPr="00BA1CC2" w:rsidRDefault="001A3953" w:rsidP="001A3953">
      <w:pPr>
        <w:pStyle w:val="ListParagraph"/>
        <w:rPr>
          <w:szCs w:val="22"/>
        </w:rPr>
      </w:pPr>
    </w:p>
    <w:p w:rsidR="001A3953" w:rsidRDefault="001A3953" w:rsidP="00812FE8">
      <w:pPr>
        <w:pStyle w:val="ListParagraph"/>
        <w:widowControl/>
        <w:numPr>
          <w:ilvl w:val="1"/>
          <w:numId w:val="7"/>
        </w:numPr>
        <w:rPr>
          <w:szCs w:val="22"/>
        </w:rPr>
      </w:pPr>
      <w:r w:rsidRPr="00BA1CC2">
        <w:rPr>
          <w:szCs w:val="22"/>
        </w:rPr>
        <w:t>The ESC noted that the PSCR claimed with regard to ustekin</w:t>
      </w:r>
      <w:r w:rsidR="0015055E" w:rsidRPr="00BA1CC2">
        <w:rPr>
          <w:szCs w:val="22"/>
        </w:rPr>
        <w:t>u</w:t>
      </w:r>
      <w:r w:rsidRPr="00BA1CC2">
        <w:rPr>
          <w:szCs w:val="22"/>
        </w:rPr>
        <w:t>mab as a possible comparator that as it was, “…unclear when it will be PBS listed… ustekin</w:t>
      </w:r>
      <w:r w:rsidR="0015055E" w:rsidRPr="00BA1CC2">
        <w:rPr>
          <w:szCs w:val="22"/>
        </w:rPr>
        <w:t>u</w:t>
      </w:r>
      <w:r w:rsidRPr="00BA1CC2">
        <w:rPr>
          <w:szCs w:val="22"/>
        </w:rPr>
        <w:t>mab as a secondary comparator is not supported and as such information regarding the comparison with ustekin</w:t>
      </w:r>
      <w:r w:rsidR="0015055E" w:rsidRPr="00BA1CC2">
        <w:rPr>
          <w:szCs w:val="22"/>
        </w:rPr>
        <w:t>u</w:t>
      </w:r>
      <w:r w:rsidRPr="00BA1CC2">
        <w:rPr>
          <w:szCs w:val="22"/>
        </w:rPr>
        <w:t>mab is of less relevance.”  The ESC noted that drugs previously recommended by the PBAC but not yet PBS listed may still be relevant comparators.</w:t>
      </w:r>
    </w:p>
    <w:p w:rsidR="003739A8" w:rsidRDefault="003739A8" w:rsidP="003739A8">
      <w:pPr>
        <w:widowControl/>
        <w:rPr>
          <w:szCs w:val="22"/>
        </w:rPr>
      </w:pPr>
    </w:p>
    <w:p w:rsidR="003739A8" w:rsidRDefault="003739A8" w:rsidP="0049591F">
      <w:pPr>
        <w:pStyle w:val="ListParagraph"/>
        <w:ind w:left="709"/>
        <w:rPr>
          <w:i/>
          <w:szCs w:val="22"/>
        </w:rPr>
      </w:pPr>
      <w:r w:rsidRPr="00776A70">
        <w:rPr>
          <w:i/>
          <w:szCs w:val="22"/>
        </w:rPr>
        <w:t>For more detail on PBAC’s view, see section 7 “PBAC outcome”</w:t>
      </w:r>
    </w:p>
    <w:p w:rsidR="00812FE8" w:rsidRDefault="00812FE8" w:rsidP="00812FE8">
      <w:pPr>
        <w:widowControl/>
        <w:rPr>
          <w:szCs w:val="22"/>
        </w:rPr>
      </w:pPr>
    </w:p>
    <w:p w:rsidR="00F05FF4" w:rsidRDefault="00F05FF4">
      <w:pPr>
        <w:widowControl/>
        <w:jc w:val="left"/>
        <w:rPr>
          <w:szCs w:val="22"/>
        </w:rPr>
      </w:pPr>
      <w:r>
        <w:rPr>
          <w:szCs w:val="22"/>
        </w:rPr>
        <w:br w:type="page"/>
      </w:r>
    </w:p>
    <w:p w:rsidR="003739A8" w:rsidRPr="00CA6B3B" w:rsidRDefault="003739A8" w:rsidP="00812FE8">
      <w:pPr>
        <w:widowControl/>
        <w:rPr>
          <w:szCs w:val="22"/>
        </w:rPr>
      </w:pPr>
    </w:p>
    <w:p w:rsidR="00812FE8" w:rsidRPr="00E70803" w:rsidRDefault="00812FE8" w:rsidP="00E70803">
      <w:pPr>
        <w:pStyle w:val="PBACHeading1"/>
      </w:pPr>
      <w:bookmarkStart w:id="6" w:name="_Toc441048469"/>
      <w:r w:rsidRPr="00E70803">
        <w:t>Consideration of the evidence</w:t>
      </w:r>
      <w:bookmarkEnd w:id="6"/>
    </w:p>
    <w:p w:rsidR="003739A8" w:rsidRPr="00E70803" w:rsidRDefault="003739A8" w:rsidP="00E70803"/>
    <w:p w:rsidR="003739A8" w:rsidRDefault="003739A8" w:rsidP="008D6872">
      <w:pPr>
        <w:pStyle w:val="Heading2"/>
        <w:rPr>
          <w:bCs/>
          <w:szCs w:val="22"/>
        </w:rPr>
      </w:pPr>
      <w:r w:rsidRPr="00E70803">
        <w:rPr>
          <w:bCs/>
          <w:szCs w:val="22"/>
        </w:rPr>
        <w:t>Sponsor hearing</w:t>
      </w:r>
    </w:p>
    <w:p w:rsidR="008D6872" w:rsidRPr="008D6872" w:rsidRDefault="008D6872" w:rsidP="008D6872"/>
    <w:p w:rsidR="003739A8" w:rsidRPr="00E70803" w:rsidRDefault="00E70803" w:rsidP="00E70803">
      <w:pPr>
        <w:numPr>
          <w:ilvl w:val="1"/>
          <w:numId w:val="7"/>
        </w:numPr>
        <w:contextualSpacing/>
        <w:rPr>
          <w:bCs/>
          <w:szCs w:val="22"/>
        </w:rPr>
      </w:pPr>
      <w:r>
        <w:rPr>
          <w:bCs/>
          <w:szCs w:val="22"/>
        </w:rPr>
        <w:t xml:space="preserve"> </w:t>
      </w:r>
      <w:r w:rsidR="003739A8" w:rsidRPr="00E70803">
        <w:rPr>
          <w:bCs/>
          <w:szCs w:val="22"/>
        </w:rPr>
        <w:t>The</w:t>
      </w:r>
      <w:r>
        <w:rPr>
          <w:bCs/>
          <w:szCs w:val="22"/>
        </w:rPr>
        <w:t>re was no hearing for this item</w:t>
      </w:r>
      <w:r w:rsidR="003739A8" w:rsidRPr="00E70803">
        <w:rPr>
          <w:bCs/>
          <w:szCs w:val="22"/>
        </w:rPr>
        <w:t>.</w:t>
      </w:r>
    </w:p>
    <w:p w:rsidR="003739A8" w:rsidRPr="00E70803" w:rsidRDefault="003739A8" w:rsidP="00E70803">
      <w:pPr>
        <w:rPr>
          <w:bCs/>
          <w:szCs w:val="22"/>
        </w:rPr>
      </w:pPr>
    </w:p>
    <w:p w:rsidR="003739A8" w:rsidRDefault="003739A8" w:rsidP="008D6872">
      <w:pPr>
        <w:pStyle w:val="Heading2"/>
        <w:rPr>
          <w:bCs/>
          <w:szCs w:val="22"/>
        </w:rPr>
      </w:pPr>
      <w:r w:rsidRPr="00E70803">
        <w:rPr>
          <w:bCs/>
          <w:szCs w:val="22"/>
        </w:rPr>
        <w:t>Consumer comments</w:t>
      </w:r>
    </w:p>
    <w:p w:rsidR="008D6872" w:rsidRPr="008D6872" w:rsidRDefault="008D6872" w:rsidP="008D6872"/>
    <w:p w:rsidR="003739A8" w:rsidRPr="00E70803" w:rsidRDefault="003739A8" w:rsidP="00E70803">
      <w:pPr>
        <w:numPr>
          <w:ilvl w:val="1"/>
          <w:numId w:val="7"/>
        </w:numPr>
        <w:contextualSpacing/>
        <w:rPr>
          <w:bCs/>
          <w:szCs w:val="22"/>
        </w:rPr>
      </w:pPr>
      <w:r w:rsidRPr="00E70803">
        <w:rPr>
          <w:bCs/>
          <w:szCs w:val="22"/>
        </w:rPr>
        <w:t>The PBAC noted that no consumer comments were received for this item.</w:t>
      </w:r>
    </w:p>
    <w:p w:rsidR="00812FE8" w:rsidRPr="002D023E" w:rsidRDefault="00812FE8" w:rsidP="00812FE8"/>
    <w:p w:rsidR="00812FE8" w:rsidRPr="002D023E" w:rsidRDefault="00812FE8" w:rsidP="00812FE8">
      <w:pPr>
        <w:pStyle w:val="Heading2"/>
        <w:rPr>
          <w:i/>
        </w:rPr>
      </w:pPr>
      <w:bookmarkStart w:id="7" w:name="_Toc441048470"/>
      <w:r w:rsidRPr="002D023E">
        <w:rPr>
          <w:i/>
        </w:rPr>
        <w:t>Clinical trials</w:t>
      </w:r>
      <w:bookmarkEnd w:id="7"/>
    </w:p>
    <w:p w:rsidR="00812FE8" w:rsidRPr="00BB7029" w:rsidRDefault="00812FE8" w:rsidP="00812FE8">
      <w:pPr>
        <w:rPr>
          <w:szCs w:val="22"/>
        </w:rPr>
      </w:pPr>
    </w:p>
    <w:p w:rsidR="00812FE8" w:rsidRPr="00BA1CC2" w:rsidRDefault="00812FE8" w:rsidP="00812FE8">
      <w:pPr>
        <w:pStyle w:val="ListParagraph"/>
        <w:widowControl/>
        <w:numPr>
          <w:ilvl w:val="1"/>
          <w:numId w:val="7"/>
        </w:numPr>
        <w:rPr>
          <w:szCs w:val="22"/>
        </w:rPr>
      </w:pPr>
      <w:r w:rsidRPr="00BA1CC2">
        <w:t xml:space="preserve">No head-to-head trial was available.  The submission was based on a series of </w:t>
      </w:r>
      <w:r w:rsidR="001A3953" w:rsidRPr="00BA1CC2">
        <w:t xml:space="preserve">five </w:t>
      </w:r>
      <w:r w:rsidRPr="00BA1CC2">
        <w:t xml:space="preserve">indirect comparisons </w:t>
      </w:r>
      <w:r w:rsidR="001A3953" w:rsidRPr="00BA1CC2">
        <w:t xml:space="preserve">sourced from nine placebo-controlled clinical trials </w:t>
      </w:r>
      <w:r w:rsidRPr="00BA1CC2">
        <w:t xml:space="preserve">of secukinumab versus adalimumab and its secondary comparators, using placebo as the common reference.  </w:t>
      </w:r>
      <w:r w:rsidR="001A3953" w:rsidRPr="00BA1CC2">
        <w:t>A sixth indirect comparison was constructed between secukinumab and a meta-analysed pooled group of all bDMARDs.</w:t>
      </w:r>
    </w:p>
    <w:p w:rsidR="00812FE8" w:rsidRPr="00BA1CC2" w:rsidRDefault="00812FE8" w:rsidP="00812FE8">
      <w:pPr>
        <w:pStyle w:val="ListParagraph"/>
        <w:widowControl/>
        <w:rPr>
          <w:szCs w:val="22"/>
        </w:rPr>
      </w:pPr>
    </w:p>
    <w:p w:rsidR="00812FE8" w:rsidRPr="00BA1CC2" w:rsidRDefault="001A3953" w:rsidP="00AE22C5">
      <w:pPr>
        <w:pStyle w:val="ListParagraph"/>
        <w:widowControl/>
        <w:numPr>
          <w:ilvl w:val="1"/>
          <w:numId w:val="7"/>
        </w:numPr>
        <w:rPr>
          <w:iCs/>
          <w:szCs w:val="22"/>
        </w:rPr>
      </w:pPr>
      <w:r w:rsidRPr="00BA1CC2">
        <w:rPr>
          <w:iCs/>
          <w:szCs w:val="22"/>
        </w:rPr>
        <w:t>Whilst not nominated by the sponsor as a secondary comparator, a</w:t>
      </w:r>
      <w:r w:rsidR="00812FE8" w:rsidRPr="00BA1CC2">
        <w:rPr>
          <w:iCs/>
          <w:szCs w:val="22"/>
        </w:rPr>
        <w:t xml:space="preserve">dditional data for ustekinumab were extracted from two </w:t>
      </w:r>
      <w:r w:rsidR="00AE22C5" w:rsidRPr="00BA1CC2">
        <w:rPr>
          <w:iCs/>
          <w:szCs w:val="22"/>
        </w:rPr>
        <w:t>randomised</w:t>
      </w:r>
      <w:r w:rsidR="00812FE8" w:rsidRPr="00BA1CC2">
        <w:rPr>
          <w:iCs/>
          <w:szCs w:val="22"/>
        </w:rPr>
        <w:t xml:space="preserve"> trials during the evaluation given its positive recommendation during the November 2015 PBAC meeting.  The results extracted were consistent with the ustekinumab results included in the Public Summary Document (PSD) for the de</w:t>
      </w:r>
      <w:r w:rsidR="00CA7493">
        <w:rPr>
          <w:iCs/>
          <w:szCs w:val="22"/>
        </w:rPr>
        <w:t>ferred July 2015 re-submission.</w:t>
      </w:r>
    </w:p>
    <w:p w:rsidR="00812FE8" w:rsidRPr="00BA1CC2" w:rsidRDefault="00812FE8" w:rsidP="00812FE8">
      <w:pPr>
        <w:widowControl/>
        <w:rPr>
          <w:szCs w:val="22"/>
        </w:rPr>
      </w:pPr>
    </w:p>
    <w:p w:rsidR="00812FE8" w:rsidRPr="00BA1CC2" w:rsidRDefault="00812FE8" w:rsidP="00812FE8">
      <w:pPr>
        <w:pStyle w:val="ListParagraph"/>
        <w:widowControl/>
        <w:numPr>
          <w:ilvl w:val="1"/>
          <w:numId w:val="7"/>
        </w:numPr>
        <w:rPr>
          <w:szCs w:val="22"/>
        </w:rPr>
      </w:pPr>
      <w:r w:rsidRPr="00BA1CC2">
        <w:rPr>
          <w:szCs w:val="22"/>
        </w:rPr>
        <w:t xml:space="preserve">Details of the trials presented in the submission </w:t>
      </w:r>
      <w:r w:rsidRPr="00BA1CC2">
        <w:rPr>
          <w:iCs/>
          <w:szCs w:val="22"/>
        </w:rPr>
        <w:t>and the additional ustekinumab trials</w:t>
      </w:r>
      <w:r w:rsidRPr="00BA1CC2">
        <w:rPr>
          <w:szCs w:val="22"/>
        </w:rPr>
        <w:t xml:space="preserve"> are provided in </w:t>
      </w:r>
      <w:r w:rsidR="004F4CEF" w:rsidRPr="00BA1CC2">
        <w:rPr>
          <w:szCs w:val="22"/>
        </w:rPr>
        <w:t>Table 1</w:t>
      </w:r>
      <w:r w:rsidR="000A5B0E" w:rsidRPr="00BA1CC2">
        <w:rPr>
          <w:szCs w:val="22"/>
        </w:rPr>
        <w:t xml:space="preserve"> below</w:t>
      </w:r>
      <w:r w:rsidRPr="00BA1CC2">
        <w:rPr>
          <w:szCs w:val="22"/>
        </w:rPr>
        <w:t>.</w:t>
      </w:r>
    </w:p>
    <w:p w:rsidR="00812FE8" w:rsidRDefault="00812FE8" w:rsidP="00812FE8">
      <w:pPr>
        <w:widowControl/>
        <w:rPr>
          <w:szCs w:val="22"/>
        </w:rPr>
      </w:pPr>
    </w:p>
    <w:p w:rsidR="00812FE8" w:rsidRDefault="00812FE8" w:rsidP="00812FE8">
      <w:pPr>
        <w:ind w:firstLine="720"/>
        <w:rPr>
          <w:rStyle w:val="CommentReference"/>
        </w:rPr>
      </w:pPr>
      <w:r w:rsidRPr="002D023E">
        <w:rPr>
          <w:rStyle w:val="CommentReference"/>
        </w:rPr>
        <w:t xml:space="preserve">Table </w:t>
      </w:r>
      <w:r>
        <w:rPr>
          <w:rStyle w:val="CommentReference"/>
        </w:rPr>
        <w:t>1</w:t>
      </w:r>
      <w:r w:rsidRPr="002D023E">
        <w:rPr>
          <w:rStyle w:val="CommentReference"/>
        </w:rPr>
        <w:t>: Trials and associated reports presented in the submission</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245"/>
        <w:gridCol w:w="1966"/>
      </w:tblGrid>
      <w:tr w:rsidR="00812FE8" w:rsidRPr="002D023E" w:rsidTr="008763E6">
        <w:trPr>
          <w:cantSplit/>
          <w:tblHeader/>
        </w:trPr>
        <w:tc>
          <w:tcPr>
            <w:tcW w:w="1134" w:type="dxa"/>
            <w:shd w:val="clear" w:color="auto" w:fill="auto"/>
          </w:tcPr>
          <w:p w:rsidR="00812FE8" w:rsidRPr="002D023E" w:rsidRDefault="00812FE8" w:rsidP="008763E6">
            <w:pPr>
              <w:jc w:val="left"/>
              <w:rPr>
                <w:rFonts w:ascii="Arial Narrow" w:hAnsi="Arial Narrow"/>
                <w:b/>
                <w:sz w:val="20"/>
              </w:rPr>
            </w:pPr>
            <w:r w:rsidRPr="002D023E">
              <w:rPr>
                <w:rFonts w:ascii="Arial Narrow" w:hAnsi="Arial Narrow"/>
                <w:b/>
                <w:sz w:val="20"/>
              </w:rPr>
              <w:t>Trial ID</w:t>
            </w:r>
          </w:p>
        </w:tc>
        <w:tc>
          <w:tcPr>
            <w:tcW w:w="5245" w:type="dxa"/>
            <w:shd w:val="clear" w:color="auto" w:fill="auto"/>
            <w:vAlign w:val="center"/>
          </w:tcPr>
          <w:p w:rsidR="00812FE8" w:rsidRPr="002D023E" w:rsidRDefault="00812FE8" w:rsidP="008763E6">
            <w:pPr>
              <w:jc w:val="center"/>
              <w:rPr>
                <w:rFonts w:ascii="Arial Narrow" w:hAnsi="Arial Narrow"/>
                <w:b/>
                <w:sz w:val="20"/>
              </w:rPr>
            </w:pPr>
            <w:r w:rsidRPr="002D023E">
              <w:rPr>
                <w:rFonts w:ascii="Arial Narrow" w:hAnsi="Arial Narrow"/>
                <w:b/>
                <w:sz w:val="20"/>
              </w:rPr>
              <w:t>Protocol title/Publication title</w:t>
            </w:r>
          </w:p>
        </w:tc>
        <w:tc>
          <w:tcPr>
            <w:tcW w:w="1966" w:type="dxa"/>
            <w:vAlign w:val="center"/>
          </w:tcPr>
          <w:p w:rsidR="00812FE8" w:rsidRPr="002D023E" w:rsidRDefault="00812FE8" w:rsidP="008763E6">
            <w:pPr>
              <w:jc w:val="center"/>
              <w:rPr>
                <w:rFonts w:ascii="Arial Narrow" w:hAnsi="Arial Narrow"/>
                <w:b/>
                <w:sz w:val="20"/>
              </w:rPr>
            </w:pPr>
            <w:r w:rsidRPr="002D023E">
              <w:rPr>
                <w:rFonts w:ascii="Arial Narrow" w:hAnsi="Arial Narrow"/>
                <w:b/>
                <w:sz w:val="20"/>
              </w:rPr>
              <w:t>Publication citation</w:t>
            </w:r>
          </w:p>
        </w:tc>
      </w:tr>
      <w:tr w:rsidR="00812FE8" w:rsidRPr="002D023E" w:rsidTr="008763E6">
        <w:trPr>
          <w:cantSplit/>
        </w:trPr>
        <w:tc>
          <w:tcPr>
            <w:tcW w:w="8345" w:type="dxa"/>
            <w:gridSpan w:val="3"/>
            <w:shd w:val="clear" w:color="auto" w:fill="auto"/>
          </w:tcPr>
          <w:p w:rsidR="00812FE8" w:rsidRPr="002D023E" w:rsidRDefault="00812FE8" w:rsidP="008763E6">
            <w:pPr>
              <w:jc w:val="left"/>
              <w:rPr>
                <w:rFonts w:ascii="Arial Narrow" w:hAnsi="Arial Narrow"/>
                <w:b/>
                <w:sz w:val="20"/>
              </w:rPr>
            </w:pPr>
            <w:r w:rsidRPr="002D023E">
              <w:rPr>
                <w:rFonts w:ascii="Arial Narrow" w:hAnsi="Arial Narrow"/>
                <w:b/>
                <w:sz w:val="20"/>
              </w:rPr>
              <w:t>Secukinumab vs placebo</w:t>
            </w:r>
          </w:p>
        </w:tc>
      </w:tr>
      <w:tr w:rsidR="00812FE8" w:rsidRPr="002D023E" w:rsidTr="008763E6">
        <w:trPr>
          <w:cantSplit/>
        </w:trPr>
        <w:tc>
          <w:tcPr>
            <w:tcW w:w="1134" w:type="dxa"/>
            <w:vMerge w:val="restart"/>
            <w:shd w:val="clear" w:color="auto" w:fill="auto"/>
          </w:tcPr>
          <w:p w:rsidR="00812FE8" w:rsidRPr="002D023E" w:rsidRDefault="00812FE8" w:rsidP="008763E6">
            <w:pPr>
              <w:rPr>
                <w:rFonts w:ascii="Arial Narrow" w:hAnsi="Arial Narrow"/>
                <w:bCs/>
                <w:sz w:val="20"/>
              </w:rPr>
            </w:pPr>
            <w:r w:rsidRPr="002D023E">
              <w:rPr>
                <w:rFonts w:ascii="Arial Narrow" w:hAnsi="Arial Narrow"/>
                <w:bCs/>
                <w:sz w:val="20"/>
              </w:rPr>
              <w:t>FUTURE2</w:t>
            </w:r>
          </w:p>
          <w:p w:rsidR="00812FE8" w:rsidRPr="002D023E" w:rsidRDefault="00812FE8" w:rsidP="008763E6">
            <w:pPr>
              <w:jc w:val="left"/>
              <w:rPr>
                <w:rFonts w:ascii="Arial Narrow" w:hAnsi="Arial Narrow"/>
                <w:bCs/>
                <w:sz w:val="20"/>
              </w:rPr>
            </w:pPr>
            <w:r w:rsidRPr="002D023E">
              <w:rPr>
                <w:rFonts w:ascii="Arial Narrow" w:hAnsi="Arial Narrow"/>
                <w:bCs/>
                <w:sz w:val="20"/>
              </w:rPr>
              <w:t>(Trial 2312)</w:t>
            </w:r>
          </w:p>
        </w:tc>
        <w:tc>
          <w:tcPr>
            <w:tcW w:w="5245" w:type="dxa"/>
            <w:shd w:val="clear" w:color="auto" w:fill="auto"/>
          </w:tcPr>
          <w:p w:rsidR="00812FE8" w:rsidRPr="002D023E" w:rsidRDefault="00812FE8" w:rsidP="008763E6">
            <w:pPr>
              <w:jc w:val="left"/>
              <w:rPr>
                <w:rFonts w:ascii="Arial Narrow" w:hAnsi="Arial Narrow"/>
                <w:bCs/>
                <w:sz w:val="20"/>
              </w:rPr>
            </w:pPr>
            <w:r w:rsidRPr="002D023E">
              <w:rPr>
                <w:rFonts w:ascii="Arial Narrow" w:hAnsi="Arial Narrow"/>
                <w:bCs/>
                <w:sz w:val="20"/>
              </w:rPr>
              <w:t>A Phase III randomized, double-blind, placebo-controlled multicenter study of subcutaneous secukinumab in prefilled syringes to demonstrate the efficacy at 24 weeks and to assess the long term efficacy, safety and tolerability up to 5 years in patients with Active Psoriatic Arthritis</w:t>
            </w:r>
          </w:p>
        </w:tc>
        <w:tc>
          <w:tcPr>
            <w:tcW w:w="1966" w:type="dxa"/>
          </w:tcPr>
          <w:p w:rsidR="00812FE8" w:rsidRPr="002D023E" w:rsidRDefault="00812FE8" w:rsidP="008763E6">
            <w:pPr>
              <w:jc w:val="left"/>
              <w:rPr>
                <w:rFonts w:ascii="Arial Narrow" w:hAnsi="Arial Narrow"/>
                <w:bCs/>
                <w:sz w:val="20"/>
              </w:rPr>
            </w:pPr>
            <w:r w:rsidRPr="002D023E">
              <w:rPr>
                <w:rFonts w:ascii="Arial Narrow" w:hAnsi="Arial Narrow"/>
                <w:bCs/>
                <w:sz w:val="20"/>
              </w:rPr>
              <w:t>Interim analyses at Week 24: 22 October 2014.</w:t>
            </w:r>
          </w:p>
          <w:p w:rsidR="00812FE8" w:rsidRPr="002D023E" w:rsidRDefault="00812FE8" w:rsidP="008763E6">
            <w:pPr>
              <w:jc w:val="left"/>
              <w:rPr>
                <w:rFonts w:ascii="Arial Narrow" w:hAnsi="Arial Narrow"/>
                <w:bCs/>
                <w:sz w:val="20"/>
              </w:rPr>
            </w:pPr>
            <w:r w:rsidRPr="002D023E">
              <w:rPr>
                <w:rFonts w:ascii="Arial Narrow" w:hAnsi="Arial Narrow"/>
                <w:bCs/>
                <w:sz w:val="20"/>
              </w:rPr>
              <w:t>Interim analyses at Week 52: 5 June 2015.</w:t>
            </w:r>
          </w:p>
        </w:tc>
      </w:tr>
      <w:tr w:rsidR="00812FE8" w:rsidRPr="002D023E" w:rsidTr="008763E6">
        <w:trPr>
          <w:cantSplit/>
        </w:trPr>
        <w:tc>
          <w:tcPr>
            <w:tcW w:w="1134" w:type="dxa"/>
            <w:vMerge/>
            <w:shd w:val="clear" w:color="auto" w:fill="auto"/>
          </w:tcPr>
          <w:p w:rsidR="00812FE8" w:rsidRPr="002D023E" w:rsidRDefault="00812FE8" w:rsidP="008763E6">
            <w:pPr>
              <w:jc w:val="left"/>
              <w:rPr>
                <w:rFonts w:ascii="Arial Narrow" w:hAnsi="Arial Narrow"/>
                <w:bCs/>
                <w:sz w:val="20"/>
              </w:rPr>
            </w:pPr>
          </w:p>
        </w:tc>
        <w:tc>
          <w:tcPr>
            <w:tcW w:w="5245" w:type="dxa"/>
            <w:shd w:val="clear" w:color="auto" w:fill="auto"/>
          </w:tcPr>
          <w:p w:rsidR="00812FE8" w:rsidRPr="002D023E" w:rsidRDefault="00812FE8" w:rsidP="008763E6">
            <w:pPr>
              <w:jc w:val="left"/>
              <w:rPr>
                <w:rFonts w:ascii="Arial Narrow" w:hAnsi="Arial Narrow"/>
                <w:bCs/>
                <w:sz w:val="20"/>
              </w:rPr>
            </w:pPr>
            <w:r w:rsidRPr="002D023E">
              <w:rPr>
                <w:rFonts w:ascii="Arial Narrow" w:hAnsi="Arial Narrow"/>
                <w:bCs/>
                <w:sz w:val="20"/>
              </w:rPr>
              <w:t xml:space="preserve">McInnes IB, Mease PJ, Kirkham B, Kavanaugh A, Ritchlin CT, Rahman P </w:t>
            </w:r>
            <w:r w:rsidRPr="002D023E">
              <w:rPr>
                <w:rFonts w:ascii="Arial Narrow" w:hAnsi="Arial Narrow"/>
                <w:bCs/>
                <w:i/>
                <w:iCs/>
                <w:sz w:val="20"/>
              </w:rPr>
              <w:t>et al</w:t>
            </w:r>
            <w:r w:rsidRPr="002D023E">
              <w:rPr>
                <w:rFonts w:ascii="Arial Narrow" w:hAnsi="Arial Narrow"/>
                <w:bCs/>
                <w:sz w:val="20"/>
              </w:rPr>
              <w:t xml:space="preserve">. Secukinumab, a human anti-interleukin-17A monoclonal antibody, in patients with psoriatic arthritis (FUTURE 2): A randomised, double-blind, placebo-controlled, phase 3 trial. </w:t>
            </w:r>
          </w:p>
        </w:tc>
        <w:tc>
          <w:tcPr>
            <w:tcW w:w="1966" w:type="dxa"/>
          </w:tcPr>
          <w:p w:rsidR="00812FE8" w:rsidRPr="002D023E" w:rsidRDefault="00812FE8" w:rsidP="008763E6">
            <w:pPr>
              <w:jc w:val="left"/>
              <w:rPr>
                <w:rFonts w:ascii="Arial Narrow" w:hAnsi="Arial Narrow"/>
                <w:bCs/>
                <w:sz w:val="20"/>
              </w:rPr>
            </w:pPr>
            <w:r w:rsidRPr="002D023E">
              <w:rPr>
                <w:rFonts w:ascii="Arial Narrow" w:hAnsi="Arial Narrow"/>
                <w:bCs/>
                <w:i/>
                <w:iCs/>
                <w:sz w:val="20"/>
              </w:rPr>
              <w:t>Lancet</w:t>
            </w:r>
            <w:r w:rsidRPr="002D023E">
              <w:rPr>
                <w:rFonts w:ascii="Arial Narrow" w:hAnsi="Arial Narrow"/>
                <w:bCs/>
                <w:sz w:val="20"/>
              </w:rPr>
              <w:t xml:space="preserve"> 2015; 386(9999): 1137-46.</w:t>
            </w:r>
          </w:p>
        </w:tc>
      </w:tr>
      <w:tr w:rsidR="00812FE8" w:rsidRPr="002D023E" w:rsidTr="008763E6">
        <w:trPr>
          <w:cantSplit/>
        </w:trPr>
        <w:tc>
          <w:tcPr>
            <w:tcW w:w="8345" w:type="dxa"/>
            <w:gridSpan w:val="3"/>
            <w:shd w:val="clear" w:color="auto" w:fill="auto"/>
          </w:tcPr>
          <w:p w:rsidR="00812FE8" w:rsidRPr="002D023E" w:rsidRDefault="00812FE8" w:rsidP="008763E6">
            <w:pPr>
              <w:jc w:val="left"/>
              <w:rPr>
                <w:rFonts w:ascii="Arial Narrow" w:hAnsi="Arial Narrow"/>
                <w:b/>
                <w:sz w:val="20"/>
              </w:rPr>
            </w:pPr>
            <w:r w:rsidRPr="002D023E">
              <w:rPr>
                <w:rFonts w:ascii="Arial Narrow" w:hAnsi="Arial Narrow"/>
                <w:b/>
                <w:sz w:val="20"/>
              </w:rPr>
              <w:t>Adalimumab vs placebo</w:t>
            </w:r>
          </w:p>
        </w:tc>
      </w:tr>
      <w:tr w:rsidR="00812FE8" w:rsidRPr="002D023E" w:rsidTr="008763E6">
        <w:trPr>
          <w:cantSplit/>
        </w:trPr>
        <w:tc>
          <w:tcPr>
            <w:tcW w:w="1134" w:type="dxa"/>
            <w:vMerge w:val="restart"/>
            <w:shd w:val="clear" w:color="auto" w:fill="auto"/>
          </w:tcPr>
          <w:p w:rsidR="00812FE8" w:rsidRPr="002D023E" w:rsidRDefault="00812FE8" w:rsidP="008763E6">
            <w:pPr>
              <w:jc w:val="left"/>
              <w:rPr>
                <w:rFonts w:ascii="Arial Narrow" w:hAnsi="Arial Narrow"/>
                <w:sz w:val="20"/>
              </w:rPr>
            </w:pPr>
            <w:r w:rsidRPr="002D023E">
              <w:rPr>
                <w:rFonts w:ascii="Arial Narrow" w:hAnsi="Arial Narrow"/>
                <w:sz w:val="20"/>
              </w:rPr>
              <w:t>ADEPT</w:t>
            </w:r>
          </w:p>
          <w:p w:rsidR="00812FE8" w:rsidRPr="002D023E" w:rsidRDefault="00812FE8" w:rsidP="008763E6">
            <w:pPr>
              <w:jc w:val="left"/>
              <w:rPr>
                <w:rFonts w:ascii="Arial Narrow" w:hAnsi="Arial Narrow"/>
                <w:sz w:val="20"/>
              </w:rPr>
            </w:pPr>
            <w:r w:rsidRPr="002D023E">
              <w:rPr>
                <w:rFonts w:ascii="Arial Narrow" w:hAnsi="Arial Narrow"/>
                <w:sz w:val="20"/>
              </w:rPr>
              <w:t>Mease 2005</w:t>
            </w:r>
          </w:p>
        </w:tc>
        <w:tc>
          <w:tcPr>
            <w:tcW w:w="5245" w:type="dxa"/>
            <w:shd w:val="clear" w:color="auto" w:fill="auto"/>
          </w:tcPr>
          <w:p w:rsidR="00812FE8" w:rsidRPr="002D023E" w:rsidRDefault="00812FE8" w:rsidP="008763E6">
            <w:pPr>
              <w:jc w:val="left"/>
              <w:rPr>
                <w:rFonts w:ascii="Arial Narrow" w:hAnsi="Arial Narrow"/>
                <w:sz w:val="20"/>
              </w:rPr>
            </w:pPr>
            <w:r w:rsidRPr="002D023E">
              <w:rPr>
                <w:rFonts w:ascii="Arial Narrow" w:hAnsi="Arial Narrow"/>
                <w:sz w:val="20"/>
              </w:rPr>
              <w:t xml:space="preserve">Mease PJ, Gladman DD, Ritchlin C, </w:t>
            </w:r>
            <w:r w:rsidRPr="002D023E">
              <w:rPr>
                <w:rFonts w:ascii="Arial Narrow" w:hAnsi="Arial Narrow"/>
                <w:i/>
                <w:iCs/>
                <w:sz w:val="20"/>
              </w:rPr>
              <w:t>et al.</w:t>
            </w:r>
            <w:r w:rsidRPr="002D023E">
              <w:rPr>
                <w:rFonts w:ascii="Arial Narrow" w:hAnsi="Arial Narrow"/>
                <w:sz w:val="20"/>
              </w:rPr>
              <w:t xml:space="preserve"> Adalimumab for the treatment of patients with moderately to severely active psoriatic arthritis: results of a double-blind, randomised, placebo controlled trial.</w:t>
            </w:r>
          </w:p>
        </w:tc>
        <w:tc>
          <w:tcPr>
            <w:tcW w:w="1966" w:type="dxa"/>
          </w:tcPr>
          <w:p w:rsidR="00812FE8" w:rsidRPr="002D023E" w:rsidRDefault="00812FE8" w:rsidP="008763E6">
            <w:pPr>
              <w:jc w:val="left"/>
              <w:rPr>
                <w:rFonts w:ascii="Arial Narrow" w:hAnsi="Arial Narrow"/>
                <w:sz w:val="20"/>
              </w:rPr>
            </w:pPr>
            <w:r w:rsidRPr="002D023E">
              <w:rPr>
                <w:rFonts w:ascii="Arial Narrow" w:hAnsi="Arial Narrow"/>
                <w:i/>
                <w:sz w:val="20"/>
              </w:rPr>
              <w:t>Arthritis &amp; Rheumatism</w:t>
            </w:r>
            <w:r w:rsidRPr="002D023E">
              <w:rPr>
                <w:rFonts w:ascii="Arial Narrow" w:hAnsi="Arial Narrow"/>
                <w:sz w:val="20"/>
              </w:rPr>
              <w:t xml:space="preserve"> 2005; 52(10):3279-89</w:t>
            </w:r>
          </w:p>
        </w:tc>
      </w:tr>
      <w:tr w:rsidR="00812FE8" w:rsidRPr="002D023E" w:rsidTr="008763E6">
        <w:trPr>
          <w:cantSplit/>
        </w:trPr>
        <w:tc>
          <w:tcPr>
            <w:tcW w:w="1134" w:type="dxa"/>
            <w:vMerge/>
            <w:shd w:val="clear" w:color="auto" w:fill="auto"/>
          </w:tcPr>
          <w:p w:rsidR="00812FE8" w:rsidRPr="002D023E" w:rsidRDefault="00812FE8" w:rsidP="008763E6">
            <w:pPr>
              <w:jc w:val="left"/>
              <w:rPr>
                <w:rFonts w:ascii="Arial Narrow" w:hAnsi="Arial Narrow"/>
                <w:sz w:val="20"/>
              </w:rPr>
            </w:pPr>
          </w:p>
        </w:tc>
        <w:tc>
          <w:tcPr>
            <w:tcW w:w="5245" w:type="dxa"/>
            <w:shd w:val="clear" w:color="auto" w:fill="auto"/>
          </w:tcPr>
          <w:p w:rsidR="00812FE8" w:rsidRPr="002D023E" w:rsidRDefault="00812FE8" w:rsidP="008763E6">
            <w:pPr>
              <w:jc w:val="left"/>
              <w:rPr>
                <w:rFonts w:ascii="Arial Narrow" w:hAnsi="Arial Narrow"/>
                <w:sz w:val="20"/>
              </w:rPr>
            </w:pPr>
            <w:r w:rsidRPr="002A2183">
              <w:rPr>
                <w:rFonts w:ascii="Arial Narrow" w:hAnsi="Arial Narrow"/>
                <w:sz w:val="20"/>
                <w:lang w:val="it-IT"/>
              </w:rPr>
              <w:t xml:space="preserve">Gladman DD, Mease PJ, Cifaldi MA, </w:t>
            </w:r>
            <w:r w:rsidRPr="002A2183">
              <w:rPr>
                <w:rFonts w:ascii="Arial Narrow" w:hAnsi="Arial Narrow"/>
                <w:i/>
                <w:iCs/>
                <w:sz w:val="20"/>
                <w:lang w:val="it-IT"/>
              </w:rPr>
              <w:t>et al</w:t>
            </w:r>
            <w:r w:rsidRPr="002A2183">
              <w:rPr>
                <w:rFonts w:ascii="Arial Narrow" w:hAnsi="Arial Narrow"/>
                <w:sz w:val="20"/>
                <w:lang w:val="it-IT"/>
              </w:rPr>
              <w:t xml:space="preserve">. </w:t>
            </w:r>
            <w:r w:rsidRPr="002D023E">
              <w:rPr>
                <w:rFonts w:ascii="Arial Narrow" w:hAnsi="Arial Narrow"/>
                <w:sz w:val="20"/>
              </w:rPr>
              <w:t>Adalimumab improves joint-related and skin-related functional impairment in patients with psoriatic arthritis: patient-reported outcomes of the Adalimumab Effectiveness in Psoriatic Arthritis Trial.</w:t>
            </w:r>
          </w:p>
        </w:tc>
        <w:tc>
          <w:tcPr>
            <w:tcW w:w="1966" w:type="dxa"/>
          </w:tcPr>
          <w:p w:rsidR="00812FE8" w:rsidRPr="002D023E" w:rsidRDefault="00812FE8" w:rsidP="008763E6">
            <w:pPr>
              <w:jc w:val="left"/>
              <w:rPr>
                <w:rFonts w:ascii="Arial Narrow" w:hAnsi="Arial Narrow"/>
                <w:sz w:val="20"/>
              </w:rPr>
            </w:pPr>
            <w:r w:rsidRPr="002D023E">
              <w:rPr>
                <w:rFonts w:ascii="Arial Narrow" w:hAnsi="Arial Narrow"/>
                <w:i/>
                <w:sz w:val="20"/>
              </w:rPr>
              <w:t xml:space="preserve">Annals of the Rheumatic Diseases </w:t>
            </w:r>
            <w:r w:rsidRPr="002D023E">
              <w:rPr>
                <w:rFonts w:ascii="Arial Narrow" w:hAnsi="Arial Narrow"/>
                <w:sz w:val="20"/>
              </w:rPr>
              <w:t>2007; 66(2):163-168</w:t>
            </w:r>
          </w:p>
        </w:tc>
      </w:tr>
      <w:tr w:rsidR="00812FE8" w:rsidRPr="002D023E" w:rsidTr="008763E6">
        <w:trPr>
          <w:cantSplit/>
        </w:trPr>
        <w:tc>
          <w:tcPr>
            <w:tcW w:w="1134" w:type="dxa"/>
            <w:vMerge/>
            <w:shd w:val="clear" w:color="auto" w:fill="auto"/>
          </w:tcPr>
          <w:p w:rsidR="00812FE8" w:rsidRPr="002D023E" w:rsidRDefault="00812FE8" w:rsidP="008763E6">
            <w:pPr>
              <w:jc w:val="left"/>
              <w:rPr>
                <w:rFonts w:ascii="Arial Narrow" w:hAnsi="Arial Narrow"/>
                <w:sz w:val="20"/>
              </w:rPr>
            </w:pPr>
          </w:p>
        </w:tc>
        <w:tc>
          <w:tcPr>
            <w:tcW w:w="5245" w:type="dxa"/>
            <w:shd w:val="clear" w:color="auto" w:fill="auto"/>
          </w:tcPr>
          <w:p w:rsidR="00812FE8" w:rsidRPr="002D023E" w:rsidRDefault="00812FE8" w:rsidP="008763E6">
            <w:pPr>
              <w:jc w:val="left"/>
              <w:rPr>
                <w:rFonts w:ascii="Arial Narrow" w:hAnsi="Arial Narrow"/>
                <w:sz w:val="20"/>
              </w:rPr>
            </w:pPr>
            <w:r w:rsidRPr="002D023E">
              <w:rPr>
                <w:rFonts w:ascii="Arial Narrow" w:hAnsi="Arial Narrow"/>
                <w:sz w:val="20"/>
              </w:rPr>
              <w:t xml:space="preserve">Gladman DD, Mease PJ, Ritchlin C, </w:t>
            </w:r>
            <w:r w:rsidRPr="002D023E">
              <w:rPr>
                <w:rFonts w:ascii="Arial Narrow" w:hAnsi="Arial Narrow"/>
                <w:i/>
                <w:iCs/>
                <w:sz w:val="20"/>
              </w:rPr>
              <w:t>et al</w:t>
            </w:r>
            <w:r w:rsidRPr="002D023E">
              <w:rPr>
                <w:rFonts w:ascii="Arial Narrow" w:hAnsi="Arial Narrow"/>
                <w:sz w:val="20"/>
              </w:rPr>
              <w:t xml:space="preserve">. Adalimumab for long-term treatment of psoriatic arthritis: forty-eight week data from the adalimumab effectiveness in psoriatic arthritis trial. </w:t>
            </w:r>
          </w:p>
        </w:tc>
        <w:tc>
          <w:tcPr>
            <w:tcW w:w="1966" w:type="dxa"/>
            <w:vAlign w:val="center"/>
          </w:tcPr>
          <w:p w:rsidR="00812FE8" w:rsidRPr="002D023E" w:rsidRDefault="00812FE8" w:rsidP="008763E6">
            <w:pPr>
              <w:jc w:val="left"/>
              <w:rPr>
                <w:rFonts w:ascii="Arial Narrow" w:hAnsi="Arial Narrow"/>
                <w:i/>
                <w:sz w:val="20"/>
              </w:rPr>
            </w:pPr>
            <w:r w:rsidRPr="002D023E">
              <w:rPr>
                <w:rFonts w:ascii="Arial Narrow" w:hAnsi="Arial Narrow"/>
                <w:i/>
                <w:iCs/>
                <w:sz w:val="20"/>
              </w:rPr>
              <w:t>Arthritis &amp; Rheumatism</w:t>
            </w:r>
            <w:r w:rsidRPr="002D023E">
              <w:rPr>
                <w:rFonts w:ascii="Arial Narrow" w:hAnsi="Arial Narrow"/>
                <w:sz w:val="20"/>
              </w:rPr>
              <w:t xml:space="preserve"> 2007; 56(2):476-88.</w:t>
            </w:r>
          </w:p>
        </w:tc>
      </w:tr>
      <w:tr w:rsidR="00812FE8" w:rsidRPr="002D023E" w:rsidTr="008763E6">
        <w:trPr>
          <w:cantSplit/>
        </w:trPr>
        <w:tc>
          <w:tcPr>
            <w:tcW w:w="1134" w:type="dxa"/>
            <w:vMerge/>
            <w:shd w:val="clear" w:color="auto" w:fill="auto"/>
          </w:tcPr>
          <w:p w:rsidR="00812FE8" w:rsidRPr="002D023E" w:rsidRDefault="00812FE8" w:rsidP="008763E6">
            <w:pPr>
              <w:jc w:val="left"/>
              <w:rPr>
                <w:rFonts w:ascii="Arial Narrow" w:hAnsi="Arial Narrow"/>
                <w:sz w:val="20"/>
              </w:rPr>
            </w:pPr>
          </w:p>
        </w:tc>
        <w:tc>
          <w:tcPr>
            <w:tcW w:w="5245" w:type="dxa"/>
            <w:shd w:val="clear" w:color="auto" w:fill="auto"/>
          </w:tcPr>
          <w:p w:rsidR="00812FE8" w:rsidRPr="002D023E" w:rsidRDefault="00812FE8" w:rsidP="008763E6">
            <w:pPr>
              <w:jc w:val="left"/>
              <w:rPr>
                <w:rFonts w:ascii="Arial Narrow" w:hAnsi="Arial Narrow"/>
                <w:sz w:val="20"/>
              </w:rPr>
            </w:pPr>
            <w:r w:rsidRPr="002D023E">
              <w:rPr>
                <w:rFonts w:ascii="Arial Narrow" w:hAnsi="Arial Narrow"/>
                <w:sz w:val="20"/>
              </w:rPr>
              <w:t xml:space="preserve">Mease PJ, Ory P, Sharp JT, </w:t>
            </w:r>
            <w:r w:rsidRPr="002D023E">
              <w:rPr>
                <w:rFonts w:ascii="Arial Narrow" w:hAnsi="Arial Narrow"/>
                <w:i/>
                <w:iCs/>
                <w:sz w:val="20"/>
              </w:rPr>
              <w:t>et al.</w:t>
            </w:r>
            <w:r w:rsidRPr="002D023E">
              <w:rPr>
                <w:rFonts w:ascii="Arial Narrow" w:hAnsi="Arial Narrow"/>
                <w:sz w:val="20"/>
              </w:rPr>
              <w:t xml:space="preserve"> Adalimumab for long-term treatment of psoriatic arthritis: 2-year data from the adalimumab effectiveness in psoriatic arthritis trial (ADEPT). </w:t>
            </w:r>
          </w:p>
        </w:tc>
        <w:tc>
          <w:tcPr>
            <w:tcW w:w="1966" w:type="dxa"/>
          </w:tcPr>
          <w:p w:rsidR="00812FE8" w:rsidRPr="002D023E" w:rsidRDefault="00812FE8" w:rsidP="008763E6">
            <w:pPr>
              <w:jc w:val="left"/>
              <w:rPr>
                <w:rFonts w:ascii="Arial Narrow" w:hAnsi="Arial Narrow"/>
                <w:i/>
                <w:iCs/>
                <w:sz w:val="20"/>
              </w:rPr>
            </w:pPr>
            <w:r w:rsidRPr="002D023E">
              <w:rPr>
                <w:rFonts w:ascii="Arial Narrow" w:hAnsi="Arial Narrow"/>
                <w:i/>
                <w:iCs/>
                <w:sz w:val="20"/>
              </w:rPr>
              <w:t>Annals of Rheumatic Disease</w:t>
            </w:r>
            <w:r w:rsidRPr="002D023E">
              <w:rPr>
                <w:rFonts w:ascii="Arial Narrow" w:hAnsi="Arial Narrow"/>
                <w:sz w:val="20"/>
              </w:rPr>
              <w:t xml:space="preserve"> 2009; 68: 702-9.</w:t>
            </w:r>
          </w:p>
        </w:tc>
      </w:tr>
      <w:tr w:rsidR="00812FE8" w:rsidRPr="002D023E" w:rsidTr="008763E6">
        <w:trPr>
          <w:cantSplit/>
        </w:trPr>
        <w:tc>
          <w:tcPr>
            <w:tcW w:w="1134" w:type="dxa"/>
            <w:vMerge/>
            <w:shd w:val="clear" w:color="auto" w:fill="auto"/>
          </w:tcPr>
          <w:p w:rsidR="00812FE8" w:rsidRPr="002D023E" w:rsidRDefault="00812FE8" w:rsidP="008763E6">
            <w:pPr>
              <w:jc w:val="left"/>
              <w:rPr>
                <w:rFonts w:ascii="Arial Narrow" w:hAnsi="Arial Narrow"/>
                <w:sz w:val="20"/>
              </w:rPr>
            </w:pPr>
          </w:p>
        </w:tc>
        <w:tc>
          <w:tcPr>
            <w:tcW w:w="5245" w:type="dxa"/>
            <w:shd w:val="clear" w:color="auto" w:fill="auto"/>
          </w:tcPr>
          <w:p w:rsidR="00812FE8" w:rsidRPr="002D023E" w:rsidRDefault="00812FE8" w:rsidP="008763E6">
            <w:pPr>
              <w:jc w:val="left"/>
              <w:rPr>
                <w:rFonts w:ascii="Arial Narrow" w:hAnsi="Arial Narrow"/>
                <w:sz w:val="20"/>
              </w:rPr>
            </w:pPr>
            <w:r w:rsidRPr="002D023E">
              <w:rPr>
                <w:rFonts w:ascii="Arial Narrow" w:hAnsi="Arial Narrow"/>
                <w:sz w:val="20"/>
              </w:rPr>
              <w:t xml:space="preserve">Mease PJ, Heckaman M, Kary S, </w:t>
            </w:r>
            <w:r w:rsidRPr="002D023E">
              <w:rPr>
                <w:rFonts w:ascii="Arial Narrow" w:hAnsi="Arial Narrow"/>
                <w:i/>
                <w:iCs/>
                <w:sz w:val="20"/>
              </w:rPr>
              <w:t>et al.</w:t>
            </w:r>
            <w:r w:rsidRPr="002D023E">
              <w:rPr>
                <w:rFonts w:ascii="Arial Narrow" w:hAnsi="Arial Narrow"/>
                <w:sz w:val="20"/>
              </w:rPr>
              <w:t xml:space="preserve"> Application and modifications of minimal disease activity measures for patients with psoriatic arthritis treated with adalimumab: subanalyses of ADEPT. </w:t>
            </w:r>
          </w:p>
        </w:tc>
        <w:tc>
          <w:tcPr>
            <w:tcW w:w="1966" w:type="dxa"/>
            <w:vAlign w:val="center"/>
          </w:tcPr>
          <w:p w:rsidR="00812FE8" w:rsidRPr="002D023E" w:rsidRDefault="00812FE8" w:rsidP="008763E6">
            <w:pPr>
              <w:jc w:val="left"/>
              <w:rPr>
                <w:rFonts w:ascii="Arial Narrow" w:hAnsi="Arial Narrow"/>
                <w:i/>
                <w:iCs/>
                <w:sz w:val="20"/>
              </w:rPr>
            </w:pPr>
            <w:r w:rsidRPr="002D023E">
              <w:rPr>
                <w:rFonts w:ascii="Arial Narrow" w:hAnsi="Arial Narrow"/>
                <w:i/>
                <w:iCs/>
                <w:sz w:val="20"/>
              </w:rPr>
              <w:t xml:space="preserve">Journal of Rheumatology </w:t>
            </w:r>
            <w:r w:rsidRPr="002D023E">
              <w:rPr>
                <w:rFonts w:ascii="Arial Narrow" w:hAnsi="Arial Narrow"/>
                <w:sz w:val="20"/>
              </w:rPr>
              <w:t>2013; 40(5); 647-652.</w:t>
            </w:r>
          </w:p>
        </w:tc>
      </w:tr>
      <w:tr w:rsidR="00812FE8" w:rsidRPr="002D023E" w:rsidTr="008763E6">
        <w:trPr>
          <w:cantSplit/>
        </w:trPr>
        <w:tc>
          <w:tcPr>
            <w:tcW w:w="1134" w:type="dxa"/>
            <w:shd w:val="clear" w:color="auto" w:fill="auto"/>
          </w:tcPr>
          <w:p w:rsidR="00812FE8" w:rsidRPr="002D023E" w:rsidRDefault="00812FE8" w:rsidP="008763E6">
            <w:pPr>
              <w:jc w:val="left"/>
              <w:rPr>
                <w:rFonts w:ascii="Arial Narrow" w:hAnsi="Arial Narrow"/>
                <w:bCs/>
                <w:sz w:val="20"/>
              </w:rPr>
            </w:pPr>
            <w:r w:rsidRPr="002D023E">
              <w:rPr>
                <w:rFonts w:ascii="Arial Narrow" w:hAnsi="Arial Narrow"/>
                <w:bCs/>
                <w:sz w:val="20"/>
              </w:rPr>
              <w:t>Genovese 2007</w:t>
            </w:r>
          </w:p>
        </w:tc>
        <w:tc>
          <w:tcPr>
            <w:tcW w:w="5245" w:type="dxa"/>
            <w:shd w:val="clear" w:color="auto" w:fill="auto"/>
          </w:tcPr>
          <w:p w:rsidR="00812FE8" w:rsidRPr="002D023E" w:rsidRDefault="00812FE8" w:rsidP="008763E6">
            <w:pPr>
              <w:jc w:val="left"/>
              <w:rPr>
                <w:rFonts w:ascii="Arial Narrow" w:hAnsi="Arial Narrow"/>
                <w:sz w:val="20"/>
              </w:rPr>
            </w:pPr>
            <w:r w:rsidRPr="002D023E">
              <w:rPr>
                <w:rFonts w:ascii="Arial Narrow" w:hAnsi="Arial Narrow"/>
                <w:sz w:val="20"/>
              </w:rPr>
              <w:t xml:space="preserve">Genovese MC, Mease PJ, Thomson GTD, </w:t>
            </w:r>
            <w:r w:rsidRPr="002D023E">
              <w:rPr>
                <w:rFonts w:ascii="Arial Narrow" w:hAnsi="Arial Narrow"/>
                <w:i/>
                <w:iCs/>
                <w:sz w:val="20"/>
              </w:rPr>
              <w:t>et al.</w:t>
            </w:r>
            <w:r w:rsidRPr="002D023E">
              <w:rPr>
                <w:rFonts w:ascii="Arial Narrow" w:hAnsi="Arial Narrow"/>
                <w:sz w:val="20"/>
              </w:rPr>
              <w:t xml:space="preserve"> Safety and efficacy of adalimumab in treatment of patients with psoriatic arthritis who had failed disease modifying antirheumatic drug therapy. </w:t>
            </w:r>
          </w:p>
        </w:tc>
        <w:tc>
          <w:tcPr>
            <w:tcW w:w="1966" w:type="dxa"/>
          </w:tcPr>
          <w:p w:rsidR="00812FE8" w:rsidRPr="002D023E" w:rsidRDefault="00812FE8" w:rsidP="008763E6">
            <w:pPr>
              <w:jc w:val="left"/>
              <w:rPr>
                <w:rFonts w:ascii="Arial Narrow" w:hAnsi="Arial Narrow"/>
                <w:sz w:val="20"/>
              </w:rPr>
            </w:pPr>
            <w:r w:rsidRPr="002D023E">
              <w:rPr>
                <w:rFonts w:ascii="Arial Narrow" w:hAnsi="Arial Narrow"/>
                <w:i/>
                <w:sz w:val="20"/>
              </w:rPr>
              <w:t>Journal of Rheumatology</w:t>
            </w:r>
            <w:r w:rsidRPr="002D023E">
              <w:rPr>
                <w:rFonts w:ascii="Arial Narrow" w:hAnsi="Arial Narrow"/>
                <w:sz w:val="20"/>
              </w:rPr>
              <w:t xml:space="preserve"> 2007; 34(5):1040-50. [Erratum appears in </w:t>
            </w:r>
            <w:r w:rsidRPr="002D023E">
              <w:rPr>
                <w:rFonts w:ascii="Arial Narrow" w:hAnsi="Arial Narrow"/>
                <w:i/>
                <w:sz w:val="20"/>
              </w:rPr>
              <w:t>Journal of Rheumatology</w:t>
            </w:r>
            <w:r w:rsidRPr="002D023E">
              <w:rPr>
                <w:rFonts w:ascii="Arial Narrow" w:hAnsi="Arial Narrow"/>
                <w:sz w:val="20"/>
              </w:rPr>
              <w:t xml:space="preserve"> 2007; 34(6):1439]</w:t>
            </w:r>
          </w:p>
        </w:tc>
      </w:tr>
      <w:tr w:rsidR="00812FE8" w:rsidRPr="002D023E" w:rsidTr="008763E6">
        <w:trPr>
          <w:cantSplit/>
        </w:trPr>
        <w:tc>
          <w:tcPr>
            <w:tcW w:w="8345" w:type="dxa"/>
            <w:gridSpan w:val="3"/>
            <w:shd w:val="clear" w:color="auto" w:fill="auto"/>
          </w:tcPr>
          <w:p w:rsidR="00812FE8" w:rsidRPr="002D023E" w:rsidRDefault="00812FE8" w:rsidP="008763E6">
            <w:pPr>
              <w:jc w:val="left"/>
              <w:rPr>
                <w:rFonts w:ascii="Arial Narrow" w:hAnsi="Arial Narrow"/>
                <w:b/>
                <w:sz w:val="20"/>
              </w:rPr>
            </w:pPr>
            <w:r w:rsidRPr="002D023E">
              <w:rPr>
                <w:rFonts w:ascii="Arial Narrow" w:hAnsi="Arial Narrow"/>
                <w:b/>
                <w:sz w:val="20"/>
              </w:rPr>
              <w:t>Etanercept vs placebo</w:t>
            </w:r>
          </w:p>
        </w:tc>
      </w:tr>
      <w:tr w:rsidR="00812FE8" w:rsidRPr="002D023E" w:rsidTr="008763E6">
        <w:trPr>
          <w:cantSplit/>
        </w:trPr>
        <w:tc>
          <w:tcPr>
            <w:tcW w:w="1134" w:type="dxa"/>
            <w:vMerge w:val="restart"/>
            <w:shd w:val="clear" w:color="auto" w:fill="auto"/>
          </w:tcPr>
          <w:p w:rsidR="00812FE8" w:rsidRPr="002D023E" w:rsidRDefault="00812FE8" w:rsidP="008763E6">
            <w:pPr>
              <w:jc w:val="left"/>
              <w:rPr>
                <w:rFonts w:ascii="Arial Narrow" w:hAnsi="Arial Narrow"/>
                <w:sz w:val="20"/>
              </w:rPr>
            </w:pPr>
            <w:r w:rsidRPr="002D023E">
              <w:rPr>
                <w:rFonts w:ascii="Arial Narrow" w:hAnsi="Arial Narrow"/>
                <w:sz w:val="20"/>
              </w:rPr>
              <w:t>Mease 2004</w:t>
            </w:r>
          </w:p>
        </w:tc>
        <w:tc>
          <w:tcPr>
            <w:tcW w:w="5245" w:type="dxa"/>
            <w:shd w:val="clear" w:color="auto" w:fill="auto"/>
          </w:tcPr>
          <w:p w:rsidR="00812FE8" w:rsidRPr="002D023E" w:rsidRDefault="00812FE8" w:rsidP="008763E6">
            <w:pPr>
              <w:jc w:val="left"/>
              <w:rPr>
                <w:rFonts w:ascii="Arial Narrow" w:hAnsi="Arial Narrow"/>
                <w:sz w:val="20"/>
              </w:rPr>
            </w:pPr>
            <w:r w:rsidRPr="002D023E">
              <w:rPr>
                <w:rFonts w:ascii="Arial Narrow" w:hAnsi="Arial Narrow"/>
                <w:sz w:val="20"/>
              </w:rPr>
              <w:t xml:space="preserve">Mease PJ, Kivitz AJ, Burch FX, </w:t>
            </w:r>
            <w:r w:rsidRPr="002D023E">
              <w:rPr>
                <w:rFonts w:ascii="Arial Narrow" w:hAnsi="Arial Narrow"/>
                <w:i/>
                <w:iCs/>
                <w:sz w:val="20"/>
              </w:rPr>
              <w:t>et al.</w:t>
            </w:r>
            <w:r w:rsidRPr="002D023E">
              <w:rPr>
                <w:rFonts w:ascii="Arial Narrow" w:hAnsi="Arial Narrow"/>
                <w:sz w:val="20"/>
              </w:rPr>
              <w:t xml:space="preserve"> Etanercept treatment of psoriatic arthritis; safety, efficacy, and effect on disease progression. </w:t>
            </w:r>
          </w:p>
        </w:tc>
        <w:tc>
          <w:tcPr>
            <w:tcW w:w="1966" w:type="dxa"/>
          </w:tcPr>
          <w:p w:rsidR="00812FE8" w:rsidRPr="002D023E" w:rsidRDefault="00812FE8" w:rsidP="008763E6">
            <w:pPr>
              <w:jc w:val="left"/>
              <w:rPr>
                <w:rFonts w:ascii="Arial Narrow" w:hAnsi="Arial Narrow"/>
                <w:sz w:val="20"/>
              </w:rPr>
            </w:pPr>
            <w:r w:rsidRPr="002D023E">
              <w:rPr>
                <w:rFonts w:ascii="Arial Narrow" w:hAnsi="Arial Narrow"/>
                <w:i/>
                <w:sz w:val="20"/>
              </w:rPr>
              <w:t>Arthritis and Rheumatism</w:t>
            </w:r>
            <w:r w:rsidRPr="002D023E">
              <w:rPr>
                <w:rFonts w:ascii="Arial Narrow" w:hAnsi="Arial Narrow"/>
                <w:sz w:val="20"/>
              </w:rPr>
              <w:t xml:space="preserve"> 2004; 50(7):2264–72</w:t>
            </w:r>
          </w:p>
        </w:tc>
      </w:tr>
      <w:tr w:rsidR="00812FE8" w:rsidRPr="002D023E" w:rsidTr="008763E6">
        <w:trPr>
          <w:cantSplit/>
        </w:trPr>
        <w:tc>
          <w:tcPr>
            <w:tcW w:w="1134" w:type="dxa"/>
            <w:vMerge/>
            <w:shd w:val="clear" w:color="auto" w:fill="auto"/>
          </w:tcPr>
          <w:p w:rsidR="00812FE8" w:rsidRPr="002D023E" w:rsidRDefault="00812FE8" w:rsidP="008763E6">
            <w:pPr>
              <w:jc w:val="left"/>
              <w:rPr>
                <w:rFonts w:ascii="Arial Narrow" w:hAnsi="Arial Narrow"/>
                <w:sz w:val="20"/>
              </w:rPr>
            </w:pPr>
          </w:p>
        </w:tc>
        <w:tc>
          <w:tcPr>
            <w:tcW w:w="5245" w:type="dxa"/>
            <w:shd w:val="clear" w:color="auto" w:fill="auto"/>
          </w:tcPr>
          <w:p w:rsidR="00812FE8" w:rsidRPr="002D023E" w:rsidRDefault="00812FE8" w:rsidP="008763E6">
            <w:pPr>
              <w:jc w:val="left"/>
              <w:rPr>
                <w:rFonts w:ascii="Arial Narrow" w:hAnsi="Arial Narrow"/>
                <w:sz w:val="20"/>
              </w:rPr>
            </w:pPr>
            <w:r w:rsidRPr="002D023E">
              <w:rPr>
                <w:rFonts w:ascii="Arial Narrow" w:hAnsi="Arial Narrow"/>
                <w:sz w:val="20"/>
              </w:rPr>
              <w:t>Mease PJ, Kivitz AJ, Burch FX,</w:t>
            </w:r>
            <w:r w:rsidRPr="002D023E">
              <w:rPr>
                <w:rFonts w:ascii="Arial Narrow" w:hAnsi="Arial Narrow"/>
                <w:i/>
                <w:iCs/>
                <w:sz w:val="20"/>
              </w:rPr>
              <w:t xml:space="preserve"> et al</w:t>
            </w:r>
            <w:r w:rsidRPr="002D023E">
              <w:rPr>
                <w:rFonts w:ascii="Arial Narrow" w:hAnsi="Arial Narrow"/>
                <w:sz w:val="20"/>
              </w:rPr>
              <w:t xml:space="preserve">. Continued inhibition of radiographic progression in patients with psoriatic arthritis following 2 years of treatment with etanercept. </w:t>
            </w:r>
          </w:p>
        </w:tc>
        <w:tc>
          <w:tcPr>
            <w:tcW w:w="1966" w:type="dxa"/>
          </w:tcPr>
          <w:p w:rsidR="00812FE8" w:rsidRPr="002D023E" w:rsidRDefault="00812FE8" w:rsidP="008763E6">
            <w:pPr>
              <w:jc w:val="left"/>
              <w:rPr>
                <w:rFonts w:ascii="Arial Narrow" w:hAnsi="Arial Narrow"/>
                <w:sz w:val="20"/>
              </w:rPr>
            </w:pPr>
            <w:r w:rsidRPr="002D023E">
              <w:rPr>
                <w:rFonts w:ascii="Arial Narrow" w:hAnsi="Arial Narrow"/>
                <w:i/>
                <w:iCs/>
                <w:sz w:val="20"/>
              </w:rPr>
              <w:t xml:space="preserve">Journal of Rheumatology </w:t>
            </w:r>
            <w:r w:rsidRPr="002D023E">
              <w:rPr>
                <w:rFonts w:ascii="Arial Narrow" w:hAnsi="Arial Narrow"/>
                <w:sz w:val="20"/>
              </w:rPr>
              <w:t>2006; 33:712-21.</w:t>
            </w:r>
          </w:p>
        </w:tc>
      </w:tr>
      <w:tr w:rsidR="00812FE8" w:rsidRPr="002D023E" w:rsidTr="008763E6">
        <w:trPr>
          <w:cantSplit/>
        </w:trPr>
        <w:tc>
          <w:tcPr>
            <w:tcW w:w="1134" w:type="dxa"/>
            <w:vMerge/>
            <w:shd w:val="clear" w:color="auto" w:fill="auto"/>
          </w:tcPr>
          <w:p w:rsidR="00812FE8" w:rsidRPr="002D023E" w:rsidRDefault="00812FE8" w:rsidP="008763E6">
            <w:pPr>
              <w:jc w:val="left"/>
              <w:rPr>
                <w:rFonts w:ascii="Arial Narrow" w:hAnsi="Arial Narrow"/>
                <w:sz w:val="20"/>
              </w:rPr>
            </w:pPr>
          </w:p>
        </w:tc>
        <w:tc>
          <w:tcPr>
            <w:tcW w:w="5245" w:type="dxa"/>
            <w:shd w:val="clear" w:color="auto" w:fill="auto"/>
          </w:tcPr>
          <w:p w:rsidR="00812FE8" w:rsidRPr="002D023E" w:rsidRDefault="00812FE8" w:rsidP="008763E6">
            <w:pPr>
              <w:jc w:val="left"/>
              <w:rPr>
                <w:rFonts w:ascii="Arial Narrow" w:hAnsi="Arial Narrow"/>
                <w:sz w:val="20"/>
              </w:rPr>
            </w:pPr>
            <w:r w:rsidRPr="002D023E">
              <w:rPr>
                <w:rFonts w:ascii="Arial Narrow" w:hAnsi="Arial Narrow"/>
                <w:sz w:val="20"/>
              </w:rPr>
              <w:t>Mease PJ, Woolley JM, Singh A,</w:t>
            </w:r>
            <w:r w:rsidRPr="002D023E">
              <w:rPr>
                <w:rFonts w:ascii="Arial Narrow" w:hAnsi="Arial Narrow"/>
                <w:i/>
                <w:iCs/>
                <w:sz w:val="20"/>
              </w:rPr>
              <w:t xml:space="preserve"> et al.</w:t>
            </w:r>
            <w:r w:rsidRPr="002D023E">
              <w:rPr>
                <w:rFonts w:ascii="Arial Narrow" w:hAnsi="Arial Narrow"/>
                <w:sz w:val="20"/>
              </w:rPr>
              <w:t xml:space="preserve"> Patient-reported outcomes in a randomised trial of etanercept in psoriatic arthritis. </w:t>
            </w:r>
          </w:p>
        </w:tc>
        <w:tc>
          <w:tcPr>
            <w:tcW w:w="1966" w:type="dxa"/>
          </w:tcPr>
          <w:p w:rsidR="00812FE8" w:rsidRPr="002D023E" w:rsidRDefault="00812FE8" w:rsidP="008763E6">
            <w:pPr>
              <w:jc w:val="left"/>
              <w:rPr>
                <w:rFonts w:ascii="Arial Narrow" w:hAnsi="Arial Narrow"/>
                <w:sz w:val="20"/>
              </w:rPr>
            </w:pPr>
            <w:r w:rsidRPr="002D023E">
              <w:rPr>
                <w:rFonts w:ascii="Arial Narrow" w:hAnsi="Arial Narrow"/>
                <w:i/>
                <w:sz w:val="20"/>
              </w:rPr>
              <w:t>Journal of Rheumatology</w:t>
            </w:r>
            <w:r w:rsidRPr="002D023E">
              <w:rPr>
                <w:rFonts w:ascii="Arial Narrow" w:hAnsi="Arial Narrow"/>
                <w:sz w:val="20"/>
              </w:rPr>
              <w:t>, 2010; 37(6):1221-7.</w:t>
            </w:r>
          </w:p>
        </w:tc>
      </w:tr>
      <w:tr w:rsidR="00812FE8" w:rsidRPr="002D023E" w:rsidTr="008763E6">
        <w:trPr>
          <w:cantSplit/>
        </w:trPr>
        <w:tc>
          <w:tcPr>
            <w:tcW w:w="1134" w:type="dxa"/>
            <w:vMerge/>
            <w:shd w:val="clear" w:color="auto" w:fill="auto"/>
          </w:tcPr>
          <w:p w:rsidR="00812FE8" w:rsidRPr="002D023E" w:rsidRDefault="00812FE8" w:rsidP="008763E6">
            <w:pPr>
              <w:jc w:val="left"/>
              <w:rPr>
                <w:rFonts w:ascii="Arial Narrow" w:hAnsi="Arial Narrow"/>
                <w:sz w:val="20"/>
              </w:rPr>
            </w:pPr>
          </w:p>
        </w:tc>
        <w:tc>
          <w:tcPr>
            <w:tcW w:w="5245" w:type="dxa"/>
            <w:shd w:val="clear" w:color="auto" w:fill="auto"/>
          </w:tcPr>
          <w:p w:rsidR="00812FE8" w:rsidRPr="002D023E" w:rsidRDefault="00812FE8" w:rsidP="008763E6">
            <w:pPr>
              <w:jc w:val="left"/>
              <w:rPr>
                <w:rFonts w:ascii="Arial Narrow" w:hAnsi="Arial Narrow"/>
                <w:i/>
                <w:iCs/>
                <w:sz w:val="20"/>
              </w:rPr>
            </w:pPr>
            <w:r w:rsidRPr="002D023E">
              <w:rPr>
                <w:rFonts w:ascii="Arial Narrow" w:hAnsi="Arial Narrow"/>
                <w:i/>
                <w:iCs/>
                <w:sz w:val="20"/>
              </w:rPr>
              <w:t xml:space="preserve">Mease PJ, Woolley JM, Bitman B, et al. Minimally important difference of Health Assessment Questionnaire in psoriatic arthritis: relating thresholds of improvement in functional ability to patient-rated importance and satisfaction. </w:t>
            </w:r>
          </w:p>
        </w:tc>
        <w:tc>
          <w:tcPr>
            <w:tcW w:w="1966" w:type="dxa"/>
          </w:tcPr>
          <w:p w:rsidR="00812FE8" w:rsidRPr="002D023E" w:rsidRDefault="00812FE8" w:rsidP="008763E6">
            <w:pPr>
              <w:jc w:val="left"/>
              <w:rPr>
                <w:rFonts w:ascii="Arial Narrow" w:hAnsi="Arial Narrow"/>
                <w:i/>
                <w:iCs/>
                <w:sz w:val="20"/>
              </w:rPr>
            </w:pPr>
            <w:r w:rsidRPr="002D023E">
              <w:rPr>
                <w:rFonts w:ascii="Arial Narrow" w:hAnsi="Arial Narrow"/>
                <w:i/>
                <w:iCs/>
                <w:sz w:val="20"/>
              </w:rPr>
              <w:t>Journal of Rheumatology, 2011; 38(11):2461-5.</w:t>
            </w:r>
          </w:p>
        </w:tc>
      </w:tr>
      <w:tr w:rsidR="00812FE8" w:rsidRPr="002D023E" w:rsidTr="008763E6">
        <w:trPr>
          <w:cantSplit/>
        </w:trPr>
        <w:tc>
          <w:tcPr>
            <w:tcW w:w="1134" w:type="dxa"/>
            <w:shd w:val="clear" w:color="auto" w:fill="auto"/>
          </w:tcPr>
          <w:p w:rsidR="00812FE8" w:rsidRPr="002D023E" w:rsidRDefault="00812FE8" w:rsidP="008763E6">
            <w:pPr>
              <w:jc w:val="left"/>
              <w:rPr>
                <w:rFonts w:ascii="Arial Narrow" w:hAnsi="Arial Narrow"/>
                <w:sz w:val="20"/>
              </w:rPr>
            </w:pPr>
            <w:r w:rsidRPr="002D023E">
              <w:rPr>
                <w:rFonts w:ascii="Arial Narrow" w:hAnsi="Arial Narrow"/>
                <w:sz w:val="20"/>
              </w:rPr>
              <w:t>Mease 2000</w:t>
            </w:r>
          </w:p>
          <w:p w:rsidR="00812FE8" w:rsidRPr="002D023E" w:rsidRDefault="00812FE8" w:rsidP="008763E6">
            <w:pPr>
              <w:jc w:val="left"/>
              <w:rPr>
                <w:rFonts w:ascii="Arial Narrow" w:hAnsi="Arial Narrow"/>
                <w:sz w:val="20"/>
              </w:rPr>
            </w:pPr>
          </w:p>
        </w:tc>
        <w:tc>
          <w:tcPr>
            <w:tcW w:w="5245" w:type="dxa"/>
            <w:shd w:val="clear" w:color="auto" w:fill="auto"/>
          </w:tcPr>
          <w:p w:rsidR="00812FE8" w:rsidRPr="002D023E" w:rsidRDefault="00812FE8" w:rsidP="008763E6">
            <w:pPr>
              <w:jc w:val="left"/>
              <w:rPr>
                <w:rFonts w:ascii="Arial Narrow" w:hAnsi="Arial Narrow"/>
                <w:sz w:val="20"/>
              </w:rPr>
            </w:pPr>
            <w:r w:rsidRPr="002D023E">
              <w:rPr>
                <w:rFonts w:ascii="Arial Narrow" w:hAnsi="Arial Narrow"/>
                <w:sz w:val="20"/>
              </w:rPr>
              <w:t xml:space="preserve">Mease PJ, Goffe BS, Metz J, </w:t>
            </w:r>
            <w:r w:rsidRPr="002D023E">
              <w:rPr>
                <w:rFonts w:ascii="Arial Narrow" w:hAnsi="Arial Narrow"/>
                <w:i/>
                <w:iCs/>
                <w:sz w:val="20"/>
              </w:rPr>
              <w:t>et al.</w:t>
            </w:r>
            <w:r w:rsidRPr="002D023E">
              <w:rPr>
                <w:rFonts w:ascii="Arial Narrow" w:hAnsi="Arial Narrow"/>
                <w:sz w:val="20"/>
              </w:rPr>
              <w:t xml:space="preserve"> Etanercept in the treatment of psoriatic arthritis and psoriasis: a randomised trial. </w:t>
            </w:r>
          </w:p>
        </w:tc>
        <w:tc>
          <w:tcPr>
            <w:tcW w:w="1966" w:type="dxa"/>
          </w:tcPr>
          <w:p w:rsidR="00812FE8" w:rsidRPr="002D023E" w:rsidRDefault="00812FE8" w:rsidP="008763E6">
            <w:pPr>
              <w:jc w:val="left"/>
              <w:rPr>
                <w:rFonts w:ascii="Arial Narrow" w:hAnsi="Arial Narrow"/>
                <w:i/>
                <w:sz w:val="20"/>
              </w:rPr>
            </w:pPr>
            <w:r w:rsidRPr="002D023E">
              <w:rPr>
                <w:rFonts w:ascii="Arial Narrow" w:hAnsi="Arial Narrow"/>
                <w:i/>
                <w:sz w:val="20"/>
              </w:rPr>
              <w:t>Lancet</w:t>
            </w:r>
            <w:r w:rsidRPr="002D023E">
              <w:rPr>
                <w:rFonts w:ascii="Arial Narrow" w:hAnsi="Arial Narrow"/>
                <w:sz w:val="20"/>
              </w:rPr>
              <w:t xml:space="preserve"> 2000; 356:385–90.</w:t>
            </w:r>
          </w:p>
        </w:tc>
      </w:tr>
      <w:tr w:rsidR="00812FE8" w:rsidRPr="002D023E" w:rsidTr="008763E6">
        <w:trPr>
          <w:cantSplit/>
        </w:trPr>
        <w:tc>
          <w:tcPr>
            <w:tcW w:w="8345" w:type="dxa"/>
            <w:gridSpan w:val="3"/>
            <w:shd w:val="clear" w:color="auto" w:fill="auto"/>
          </w:tcPr>
          <w:p w:rsidR="00812FE8" w:rsidRPr="002D023E" w:rsidRDefault="00812FE8" w:rsidP="008763E6">
            <w:pPr>
              <w:jc w:val="left"/>
              <w:rPr>
                <w:rFonts w:ascii="Arial Narrow" w:hAnsi="Arial Narrow"/>
                <w:b/>
                <w:sz w:val="20"/>
              </w:rPr>
            </w:pPr>
            <w:r w:rsidRPr="002D023E">
              <w:rPr>
                <w:rFonts w:ascii="Arial Narrow" w:hAnsi="Arial Narrow"/>
                <w:b/>
                <w:sz w:val="20"/>
              </w:rPr>
              <w:t>Infliximab vs placebo</w:t>
            </w:r>
          </w:p>
        </w:tc>
      </w:tr>
      <w:tr w:rsidR="00812FE8" w:rsidRPr="002D023E" w:rsidTr="008763E6">
        <w:trPr>
          <w:cantSplit/>
        </w:trPr>
        <w:tc>
          <w:tcPr>
            <w:tcW w:w="1134" w:type="dxa"/>
            <w:vMerge w:val="restart"/>
            <w:shd w:val="clear" w:color="auto" w:fill="auto"/>
          </w:tcPr>
          <w:p w:rsidR="00812FE8" w:rsidRPr="002D023E" w:rsidRDefault="00812FE8" w:rsidP="008763E6">
            <w:pPr>
              <w:jc w:val="left"/>
              <w:rPr>
                <w:rFonts w:ascii="Arial Narrow" w:hAnsi="Arial Narrow"/>
                <w:sz w:val="20"/>
              </w:rPr>
            </w:pPr>
            <w:r w:rsidRPr="002D023E">
              <w:rPr>
                <w:rFonts w:ascii="Arial Narrow" w:hAnsi="Arial Narrow"/>
                <w:sz w:val="20"/>
              </w:rPr>
              <w:t>IMPACT</w:t>
            </w:r>
          </w:p>
          <w:p w:rsidR="00812FE8" w:rsidRPr="002D023E" w:rsidRDefault="00812FE8" w:rsidP="008763E6">
            <w:pPr>
              <w:jc w:val="left"/>
              <w:rPr>
                <w:rFonts w:ascii="Arial Narrow" w:hAnsi="Arial Narrow"/>
                <w:sz w:val="20"/>
              </w:rPr>
            </w:pPr>
            <w:r w:rsidRPr="002D023E">
              <w:rPr>
                <w:rFonts w:ascii="Arial Narrow" w:hAnsi="Arial Narrow"/>
                <w:sz w:val="20"/>
              </w:rPr>
              <w:t>Antoni 2005a</w:t>
            </w:r>
          </w:p>
        </w:tc>
        <w:tc>
          <w:tcPr>
            <w:tcW w:w="5245" w:type="dxa"/>
            <w:shd w:val="clear" w:color="auto" w:fill="auto"/>
          </w:tcPr>
          <w:p w:rsidR="00812FE8" w:rsidRPr="002D023E" w:rsidRDefault="00812FE8" w:rsidP="008763E6">
            <w:pPr>
              <w:jc w:val="left"/>
              <w:rPr>
                <w:rFonts w:ascii="Arial Narrow" w:hAnsi="Arial Narrow"/>
                <w:sz w:val="20"/>
              </w:rPr>
            </w:pPr>
            <w:r w:rsidRPr="002D023E">
              <w:rPr>
                <w:rFonts w:ascii="Arial Narrow" w:hAnsi="Arial Narrow"/>
                <w:sz w:val="20"/>
              </w:rPr>
              <w:t xml:space="preserve">Antoni CE, Kavanaugh A, Kirkham B, </w:t>
            </w:r>
            <w:r w:rsidRPr="002D023E">
              <w:rPr>
                <w:rFonts w:ascii="Arial Narrow" w:hAnsi="Arial Narrow"/>
                <w:i/>
                <w:iCs/>
                <w:sz w:val="20"/>
              </w:rPr>
              <w:t>et al.</w:t>
            </w:r>
            <w:r w:rsidRPr="002D023E">
              <w:rPr>
                <w:rFonts w:ascii="Arial Narrow" w:hAnsi="Arial Narrow"/>
                <w:sz w:val="20"/>
              </w:rPr>
              <w:t xml:space="preserve"> Sustained Benefits of Infliximab Therapy for Dermatologic and Articular Manifestations of Psoriatic Arthritis: Results From the Infliximab Multinational Psoriatic Arthritis Controlled Trial (IMPACT).  </w:t>
            </w:r>
          </w:p>
        </w:tc>
        <w:tc>
          <w:tcPr>
            <w:tcW w:w="1966" w:type="dxa"/>
          </w:tcPr>
          <w:p w:rsidR="00812FE8" w:rsidRPr="002D023E" w:rsidRDefault="00812FE8" w:rsidP="008763E6">
            <w:pPr>
              <w:jc w:val="left"/>
              <w:rPr>
                <w:rFonts w:ascii="Arial Narrow" w:hAnsi="Arial Narrow"/>
                <w:sz w:val="20"/>
              </w:rPr>
            </w:pPr>
            <w:r w:rsidRPr="002D023E">
              <w:rPr>
                <w:rFonts w:ascii="Arial Narrow" w:hAnsi="Arial Narrow"/>
                <w:i/>
                <w:sz w:val="20"/>
              </w:rPr>
              <w:t>Arthritis and Rheumatism</w:t>
            </w:r>
            <w:r w:rsidRPr="002D023E">
              <w:rPr>
                <w:rFonts w:ascii="Arial Narrow" w:hAnsi="Arial Narrow"/>
                <w:sz w:val="20"/>
              </w:rPr>
              <w:t xml:space="preserve"> 2005a; 52(4):1227–1236</w:t>
            </w:r>
          </w:p>
          <w:p w:rsidR="00812FE8" w:rsidRPr="002D023E" w:rsidRDefault="00812FE8" w:rsidP="008763E6">
            <w:pPr>
              <w:jc w:val="left"/>
              <w:rPr>
                <w:rFonts w:ascii="Arial Narrow" w:hAnsi="Arial Narrow"/>
                <w:sz w:val="20"/>
              </w:rPr>
            </w:pPr>
          </w:p>
        </w:tc>
      </w:tr>
      <w:tr w:rsidR="00812FE8" w:rsidRPr="002D023E" w:rsidTr="008763E6">
        <w:trPr>
          <w:cantSplit/>
        </w:trPr>
        <w:tc>
          <w:tcPr>
            <w:tcW w:w="1134" w:type="dxa"/>
            <w:vMerge/>
            <w:shd w:val="clear" w:color="auto" w:fill="auto"/>
          </w:tcPr>
          <w:p w:rsidR="00812FE8" w:rsidRPr="002D023E" w:rsidRDefault="00812FE8" w:rsidP="008763E6">
            <w:pPr>
              <w:jc w:val="left"/>
              <w:rPr>
                <w:rFonts w:ascii="Arial Narrow" w:hAnsi="Arial Narrow"/>
                <w:sz w:val="20"/>
              </w:rPr>
            </w:pPr>
          </w:p>
        </w:tc>
        <w:tc>
          <w:tcPr>
            <w:tcW w:w="5245" w:type="dxa"/>
            <w:shd w:val="clear" w:color="auto" w:fill="auto"/>
          </w:tcPr>
          <w:p w:rsidR="00812FE8" w:rsidRPr="002D023E" w:rsidRDefault="00812FE8" w:rsidP="008763E6">
            <w:pPr>
              <w:jc w:val="left"/>
              <w:rPr>
                <w:rFonts w:ascii="Arial Narrow" w:hAnsi="Arial Narrow"/>
                <w:sz w:val="20"/>
              </w:rPr>
            </w:pPr>
            <w:r w:rsidRPr="002D023E">
              <w:rPr>
                <w:rFonts w:ascii="Arial Narrow" w:hAnsi="Arial Narrow"/>
                <w:sz w:val="20"/>
              </w:rPr>
              <w:t xml:space="preserve">Kavanaugh A, Antoni CE, Gladman D, </w:t>
            </w:r>
            <w:r w:rsidRPr="002D023E">
              <w:rPr>
                <w:rFonts w:ascii="Arial Narrow" w:hAnsi="Arial Narrow"/>
                <w:i/>
                <w:iCs/>
                <w:sz w:val="20"/>
              </w:rPr>
              <w:t>et al.</w:t>
            </w:r>
            <w:r w:rsidRPr="002D023E">
              <w:rPr>
                <w:rFonts w:ascii="Arial Narrow" w:hAnsi="Arial Narrow"/>
                <w:sz w:val="20"/>
              </w:rPr>
              <w:t xml:space="preserve"> The Infliximab Multinational Psoriatic Arthritis Controlled Trial (IMPACT): results of radiographic analyses after 1 year. </w:t>
            </w:r>
          </w:p>
        </w:tc>
        <w:tc>
          <w:tcPr>
            <w:tcW w:w="1966" w:type="dxa"/>
          </w:tcPr>
          <w:p w:rsidR="00812FE8" w:rsidRPr="002D023E" w:rsidRDefault="00812FE8" w:rsidP="008763E6">
            <w:pPr>
              <w:jc w:val="left"/>
              <w:rPr>
                <w:rFonts w:ascii="Arial Narrow" w:hAnsi="Arial Narrow"/>
                <w:sz w:val="20"/>
              </w:rPr>
            </w:pPr>
            <w:r w:rsidRPr="002D023E">
              <w:rPr>
                <w:rFonts w:ascii="Arial Narrow" w:hAnsi="Arial Narrow"/>
                <w:i/>
                <w:sz w:val="20"/>
              </w:rPr>
              <w:t>Annals of the Rheumatic Diseases</w:t>
            </w:r>
            <w:r w:rsidRPr="002D023E">
              <w:rPr>
                <w:rFonts w:ascii="Arial Narrow" w:hAnsi="Arial Narrow"/>
                <w:sz w:val="20"/>
              </w:rPr>
              <w:t xml:space="preserve"> 2006; 65(8):1038-43.</w:t>
            </w:r>
          </w:p>
        </w:tc>
      </w:tr>
      <w:tr w:rsidR="00812FE8" w:rsidRPr="002D023E" w:rsidTr="008763E6">
        <w:trPr>
          <w:cantSplit/>
        </w:trPr>
        <w:tc>
          <w:tcPr>
            <w:tcW w:w="1134" w:type="dxa"/>
            <w:vMerge/>
            <w:shd w:val="clear" w:color="auto" w:fill="auto"/>
          </w:tcPr>
          <w:p w:rsidR="00812FE8" w:rsidRPr="002D023E" w:rsidRDefault="00812FE8" w:rsidP="008763E6">
            <w:pPr>
              <w:jc w:val="left"/>
              <w:rPr>
                <w:rFonts w:ascii="Arial Narrow" w:hAnsi="Arial Narrow"/>
                <w:sz w:val="20"/>
              </w:rPr>
            </w:pPr>
          </w:p>
        </w:tc>
        <w:tc>
          <w:tcPr>
            <w:tcW w:w="5245" w:type="dxa"/>
            <w:shd w:val="clear" w:color="auto" w:fill="auto"/>
          </w:tcPr>
          <w:p w:rsidR="00812FE8" w:rsidRPr="002D023E" w:rsidRDefault="00812FE8" w:rsidP="008763E6">
            <w:pPr>
              <w:jc w:val="left"/>
              <w:rPr>
                <w:rFonts w:ascii="Arial Narrow" w:hAnsi="Arial Narrow"/>
                <w:sz w:val="20"/>
              </w:rPr>
            </w:pPr>
            <w:r w:rsidRPr="002D023E">
              <w:rPr>
                <w:rFonts w:ascii="Arial Narrow" w:hAnsi="Arial Narrow"/>
                <w:sz w:val="20"/>
              </w:rPr>
              <w:t xml:space="preserve">Antoni CE, Kavanaugh A, Van Der Heijde D, </w:t>
            </w:r>
            <w:r w:rsidRPr="002D023E">
              <w:rPr>
                <w:rFonts w:ascii="Arial Narrow" w:hAnsi="Arial Narrow"/>
                <w:i/>
                <w:iCs/>
                <w:sz w:val="20"/>
              </w:rPr>
              <w:t>et al</w:t>
            </w:r>
            <w:r w:rsidRPr="002D023E">
              <w:rPr>
                <w:rFonts w:ascii="Arial Narrow" w:hAnsi="Arial Narrow"/>
                <w:sz w:val="20"/>
              </w:rPr>
              <w:t xml:space="preserve">. Two-year efficacy and safety of infliximab treatment in patients with active psoriatic arthritis: Findings of the Infliximab Multinational Psoriatic Arthritis Controlled Trial (IMPACT). </w:t>
            </w:r>
          </w:p>
        </w:tc>
        <w:tc>
          <w:tcPr>
            <w:tcW w:w="1966" w:type="dxa"/>
          </w:tcPr>
          <w:p w:rsidR="00812FE8" w:rsidRPr="002D023E" w:rsidRDefault="00812FE8" w:rsidP="008763E6">
            <w:pPr>
              <w:jc w:val="left"/>
              <w:rPr>
                <w:rFonts w:ascii="Arial Narrow" w:hAnsi="Arial Narrow"/>
                <w:i/>
                <w:sz w:val="20"/>
              </w:rPr>
            </w:pPr>
            <w:r w:rsidRPr="002D023E">
              <w:rPr>
                <w:rFonts w:ascii="Arial Narrow" w:hAnsi="Arial Narrow"/>
                <w:i/>
                <w:iCs/>
                <w:sz w:val="20"/>
              </w:rPr>
              <w:t xml:space="preserve">Journal of Rheumatology </w:t>
            </w:r>
            <w:r w:rsidRPr="002D023E">
              <w:rPr>
                <w:rFonts w:ascii="Arial Narrow" w:hAnsi="Arial Narrow"/>
                <w:sz w:val="20"/>
              </w:rPr>
              <w:t>2008; 35:869-76.</w:t>
            </w:r>
          </w:p>
        </w:tc>
      </w:tr>
      <w:tr w:rsidR="00812FE8" w:rsidRPr="002D023E" w:rsidTr="008763E6">
        <w:trPr>
          <w:cantSplit/>
        </w:trPr>
        <w:tc>
          <w:tcPr>
            <w:tcW w:w="1134" w:type="dxa"/>
            <w:vMerge w:val="restart"/>
            <w:shd w:val="clear" w:color="auto" w:fill="auto"/>
          </w:tcPr>
          <w:p w:rsidR="00812FE8" w:rsidRPr="002D023E" w:rsidRDefault="00812FE8" w:rsidP="008763E6">
            <w:pPr>
              <w:jc w:val="left"/>
              <w:rPr>
                <w:rFonts w:ascii="Arial Narrow" w:hAnsi="Arial Narrow"/>
                <w:sz w:val="20"/>
              </w:rPr>
            </w:pPr>
            <w:r w:rsidRPr="002D023E">
              <w:rPr>
                <w:rFonts w:ascii="Arial Narrow" w:hAnsi="Arial Narrow"/>
                <w:sz w:val="20"/>
              </w:rPr>
              <w:t>IMPACT2</w:t>
            </w:r>
          </w:p>
          <w:p w:rsidR="00812FE8" w:rsidRPr="002D023E" w:rsidRDefault="00812FE8" w:rsidP="008763E6">
            <w:pPr>
              <w:jc w:val="left"/>
              <w:rPr>
                <w:rFonts w:ascii="Arial Narrow" w:hAnsi="Arial Narrow"/>
                <w:sz w:val="20"/>
              </w:rPr>
            </w:pPr>
            <w:r w:rsidRPr="002D023E">
              <w:rPr>
                <w:rFonts w:ascii="Arial Narrow" w:hAnsi="Arial Narrow"/>
                <w:sz w:val="20"/>
              </w:rPr>
              <w:t>Antoni 2005b</w:t>
            </w:r>
          </w:p>
        </w:tc>
        <w:tc>
          <w:tcPr>
            <w:tcW w:w="5245" w:type="dxa"/>
            <w:shd w:val="clear" w:color="auto" w:fill="auto"/>
          </w:tcPr>
          <w:p w:rsidR="00812FE8" w:rsidRPr="002D023E" w:rsidRDefault="00812FE8" w:rsidP="008763E6">
            <w:pPr>
              <w:jc w:val="left"/>
              <w:rPr>
                <w:rFonts w:ascii="Arial Narrow" w:hAnsi="Arial Narrow"/>
                <w:sz w:val="20"/>
              </w:rPr>
            </w:pPr>
            <w:r w:rsidRPr="002D023E">
              <w:rPr>
                <w:rFonts w:ascii="Arial Narrow" w:hAnsi="Arial Narrow"/>
                <w:sz w:val="20"/>
              </w:rPr>
              <w:t xml:space="preserve">Antoni C, Krueger GG, De VK, </w:t>
            </w:r>
            <w:r w:rsidRPr="002D023E">
              <w:rPr>
                <w:rFonts w:ascii="Arial Narrow" w:hAnsi="Arial Narrow"/>
                <w:i/>
                <w:iCs/>
                <w:sz w:val="20"/>
              </w:rPr>
              <w:t>et al.</w:t>
            </w:r>
            <w:r w:rsidRPr="002D023E">
              <w:rPr>
                <w:rFonts w:ascii="Arial Narrow" w:hAnsi="Arial Narrow"/>
                <w:sz w:val="20"/>
              </w:rPr>
              <w:t xml:space="preserve"> Infliximab improves signs and symptoms of psoriatic arthritis: results of the IMPACT 2 trial. </w:t>
            </w:r>
          </w:p>
        </w:tc>
        <w:tc>
          <w:tcPr>
            <w:tcW w:w="1966" w:type="dxa"/>
          </w:tcPr>
          <w:p w:rsidR="00812FE8" w:rsidRPr="002D023E" w:rsidRDefault="00812FE8" w:rsidP="008763E6">
            <w:pPr>
              <w:jc w:val="left"/>
              <w:rPr>
                <w:rFonts w:ascii="Arial Narrow" w:hAnsi="Arial Narrow"/>
                <w:i/>
                <w:iCs/>
                <w:sz w:val="20"/>
              </w:rPr>
            </w:pPr>
            <w:r w:rsidRPr="002D023E">
              <w:rPr>
                <w:rFonts w:ascii="Arial Narrow" w:hAnsi="Arial Narrow"/>
                <w:i/>
                <w:sz w:val="20"/>
              </w:rPr>
              <w:t>Annals of the Rheumatic Diseases</w:t>
            </w:r>
            <w:r w:rsidRPr="002D023E">
              <w:rPr>
                <w:rFonts w:ascii="Arial Narrow" w:hAnsi="Arial Narrow"/>
                <w:sz w:val="20"/>
              </w:rPr>
              <w:t xml:space="preserve"> 2005b;64:1150–1157</w:t>
            </w:r>
          </w:p>
        </w:tc>
      </w:tr>
      <w:tr w:rsidR="00812FE8" w:rsidRPr="002D023E" w:rsidTr="008763E6">
        <w:trPr>
          <w:cantSplit/>
        </w:trPr>
        <w:tc>
          <w:tcPr>
            <w:tcW w:w="1134" w:type="dxa"/>
            <w:vMerge/>
            <w:shd w:val="clear" w:color="auto" w:fill="auto"/>
          </w:tcPr>
          <w:p w:rsidR="00812FE8" w:rsidRPr="002D023E" w:rsidRDefault="00812FE8" w:rsidP="008763E6">
            <w:pPr>
              <w:jc w:val="left"/>
              <w:rPr>
                <w:rFonts w:ascii="Arial Narrow" w:hAnsi="Arial Narrow"/>
                <w:sz w:val="20"/>
              </w:rPr>
            </w:pPr>
          </w:p>
        </w:tc>
        <w:tc>
          <w:tcPr>
            <w:tcW w:w="5245" w:type="dxa"/>
            <w:shd w:val="clear" w:color="auto" w:fill="auto"/>
          </w:tcPr>
          <w:p w:rsidR="00812FE8" w:rsidRPr="002D023E" w:rsidRDefault="00812FE8" w:rsidP="008763E6">
            <w:pPr>
              <w:jc w:val="left"/>
              <w:rPr>
                <w:rFonts w:ascii="Arial Narrow" w:hAnsi="Arial Narrow"/>
                <w:sz w:val="20"/>
              </w:rPr>
            </w:pPr>
            <w:r w:rsidRPr="002D023E">
              <w:rPr>
                <w:rFonts w:ascii="Arial Narrow" w:hAnsi="Arial Narrow"/>
                <w:sz w:val="20"/>
              </w:rPr>
              <w:t>Kavanaugh A, Antoni C, Krueger GG, e</w:t>
            </w:r>
            <w:r w:rsidRPr="002D023E">
              <w:rPr>
                <w:rFonts w:ascii="Arial Narrow" w:hAnsi="Arial Narrow"/>
                <w:i/>
                <w:iCs/>
                <w:sz w:val="20"/>
              </w:rPr>
              <w:t>t al.</w:t>
            </w:r>
            <w:r w:rsidRPr="002D023E">
              <w:rPr>
                <w:rFonts w:ascii="Arial Narrow" w:hAnsi="Arial Narrow"/>
                <w:sz w:val="20"/>
              </w:rPr>
              <w:t xml:space="preserve"> Infliximab improves health related quality of life and physical function in patients with psoriatic arthritis. </w:t>
            </w:r>
          </w:p>
        </w:tc>
        <w:tc>
          <w:tcPr>
            <w:tcW w:w="1966" w:type="dxa"/>
          </w:tcPr>
          <w:p w:rsidR="00812FE8" w:rsidRPr="002D023E" w:rsidRDefault="00812FE8" w:rsidP="008763E6">
            <w:pPr>
              <w:jc w:val="left"/>
              <w:rPr>
                <w:rFonts w:ascii="Arial Narrow" w:hAnsi="Arial Narrow"/>
                <w:i/>
                <w:sz w:val="20"/>
              </w:rPr>
            </w:pPr>
            <w:r w:rsidRPr="002D023E">
              <w:rPr>
                <w:rFonts w:ascii="Arial Narrow" w:hAnsi="Arial Narrow"/>
                <w:i/>
                <w:sz w:val="20"/>
              </w:rPr>
              <w:t>Annals of the Rheumatic Diseases</w:t>
            </w:r>
            <w:r w:rsidRPr="002D023E">
              <w:rPr>
                <w:rFonts w:ascii="Arial Narrow" w:hAnsi="Arial Narrow"/>
                <w:sz w:val="20"/>
              </w:rPr>
              <w:t xml:space="preserve"> 2006; 65(4):471-7. </w:t>
            </w:r>
          </w:p>
        </w:tc>
      </w:tr>
      <w:tr w:rsidR="00812FE8" w:rsidRPr="002D023E" w:rsidTr="008763E6">
        <w:trPr>
          <w:cantSplit/>
        </w:trPr>
        <w:tc>
          <w:tcPr>
            <w:tcW w:w="1134" w:type="dxa"/>
            <w:vMerge/>
            <w:shd w:val="clear" w:color="auto" w:fill="auto"/>
          </w:tcPr>
          <w:p w:rsidR="00812FE8" w:rsidRPr="002D023E" w:rsidRDefault="00812FE8" w:rsidP="008763E6">
            <w:pPr>
              <w:jc w:val="left"/>
              <w:rPr>
                <w:rFonts w:ascii="Arial Narrow" w:hAnsi="Arial Narrow"/>
                <w:sz w:val="20"/>
              </w:rPr>
            </w:pPr>
          </w:p>
        </w:tc>
        <w:tc>
          <w:tcPr>
            <w:tcW w:w="5245" w:type="dxa"/>
            <w:shd w:val="clear" w:color="auto" w:fill="auto"/>
          </w:tcPr>
          <w:p w:rsidR="00812FE8" w:rsidRPr="002D023E" w:rsidRDefault="00812FE8" w:rsidP="008763E6">
            <w:pPr>
              <w:jc w:val="left"/>
              <w:rPr>
                <w:rFonts w:ascii="Arial Narrow" w:hAnsi="Arial Narrow"/>
                <w:sz w:val="20"/>
              </w:rPr>
            </w:pPr>
            <w:r w:rsidRPr="002A2183">
              <w:rPr>
                <w:rFonts w:ascii="Arial Narrow" w:hAnsi="Arial Narrow"/>
                <w:sz w:val="20"/>
                <w:lang w:val="it-IT"/>
              </w:rPr>
              <w:t xml:space="preserve">Kavanaugh A, Antoni C, Mease P, </w:t>
            </w:r>
            <w:r w:rsidRPr="002A2183">
              <w:rPr>
                <w:rFonts w:ascii="Arial Narrow" w:hAnsi="Arial Narrow"/>
                <w:i/>
                <w:iCs/>
                <w:sz w:val="20"/>
                <w:lang w:val="it-IT"/>
              </w:rPr>
              <w:t>et al</w:t>
            </w:r>
            <w:r w:rsidRPr="002A2183">
              <w:rPr>
                <w:rFonts w:ascii="Arial Narrow" w:hAnsi="Arial Narrow"/>
                <w:sz w:val="20"/>
                <w:lang w:val="it-IT"/>
              </w:rPr>
              <w:t xml:space="preserve">. </w:t>
            </w:r>
            <w:r w:rsidRPr="002D023E">
              <w:rPr>
                <w:rFonts w:ascii="Arial Narrow" w:hAnsi="Arial Narrow"/>
                <w:sz w:val="20"/>
              </w:rPr>
              <w:t xml:space="preserve">Effect of infliximab therapy on employment, time lost from work, and productivity in patients with psoriatic arthritis. </w:t>
            </w:r>
          </w:p>
        </w:tc>
        <w:tc>
          <w:tcPr>
            <w:tcW w:w="1966" w:type="dxa"/>
          </w:tcPr>
          <w:p w:rsidR="00812FE8" w:rsidRPr="002D023E" w:rsidRDefault="00812FE8" w:rsidP="008763E6">
            <w:pPr>
              <w:jc w:val="left"/>
              <w:rPr>
                <w:rFonts w:ascii="Arial Narrow" w:hAnsi="Arial Narrow"/>
                <w:i/>
                <w:sz w:val="20"/>
              </w:rPr>
            </w:pPr>
            <w:r w:rsidRPr="002D023E">
              <w:rPr>
                <w:rFonts w:ascii="Arial Narrow" w:hAnsi="Arial Narrow"/>
                <w:i/>
                <w:iCs/>
                <w:sz w:val="20"/>
              </w:rPr>
              <w:t>Journal of Rheumatology</w:t>
            </w:r>
            <w:r w:rsidRPr="002D023E">
              <w:rPr>
                <w:rFonts w:ascii="Arial Narrow" w:hAnsi="Arial Narrow"/>
                <w:sz w:val="20"/>
              </w:rPr>
              <w:t xml:space="preserve"> 2006; 33:2254-9.</w:t>
            </w:r>
          </w:p>
        </w:tc>
      </w:tr>
      <w:tr w:rsidR="00812FE8" w:rsidRPr="002D023E" w:rsidTr="008763E6">
        <w:trPr>
          <w:cantSplit/>
        </w:trPr>
        <w:tc>
          <w:tcPr>
            <w:tcW w:w="1134" w:type="dxa"/>
            <w:vMerge/>
            <w:shd w:val="clear" w:color="auto" w:fill="auto"/>
          </w:tcPr>
          <w:p w:rsidR="00812FE8" w:rsidRPr="002D023E" w:rsidRDefault="00812FE8" w:rsidP="008763E6">
            <w:pPr>
              <w:jc w:val="left"/>
              <w:rPr>
                <w:rFonts w:ascii="Arial Narrow" w:hAnsi="Arial Narrow"/>
                <w:sz w:val="20"/>
              </w:rPr>
            </w:pPr>
          </w:p>
        </w:tc>
        <w:tc>
          <w:tcPr>
            <w:tcW w:w="5245" w:type="dxa"/>
            <w:shd w:val="clear" w:color="auto" w:fill="auto"/>
          </w:tcPr>
          <w:p w:rsidR="00812FE8" w:rsidRPr="002D023E" w:rsidRDefault="00812FE8" w:rsidP="008763E6">
            <w:pPr>
              <w:jc w:val="left"/>
              <w:rPr>
                <w:rFonts w:ascii="Arial Narrow" w:hAnsi="Arial Narrow"/>
                <w:sz w:val="20"/>
              </w:rPr>
            </w:pPr>
            <w:r w:rsidRPr="002D023E">
              <w:rPr>
                <w:rFonts w:ascii="Arial Narrow" w:hAnsi="Arial Narrow"/>
                <w:sz w:val="20"/>
              </w:rPr>
              <w:t xml:space="preserve">Kavanaugh A, Krueger GG, Beutler A, </w:t>
            </w:r>
            <w:r w:rsidRPr="002D023E">
              <w:rPr>
                <w:rFonts w:ascii="Arial Narrow" w:hAnsi="Arial Narrow"/>
                <w:i/>
                <w:iCs/>
                <w:sz w:val="20"/>
              </w:rPr>
              <w:t>et al</w:t>
            </w:r>
            <w:r w:rsidRPr="002D023E">
              <w:rPr>
                <w:rFonts w:ascii="Arial Narrow" w:hAnsi="Arial Narrow"/>
                <w:sz w:val="20"/>
              </w:rPr>
              <w:t xml:space="preserve">. Infliximab maintains a high degree of clinical response in patients with active psoriatic arthritis through 1 year of treatment: Results from the IMPACT 2 trial. </w:t>
            </w:r>
          </w:p>
        </w:tc>
        <w:tc>
          <w:tcPr>
            <w:tcW w:w="1966" w:type="dxa"/>
          </w:tcPr>
          <w:p w:rsidR="00812FE8" w:rsidRPr="002D023E" w:rsidRDefault="00812FE8" w:rsidP="008763E6">
            <w:pPr>
              <w:jc w:val="left"/>
              <w:rPr>
                <w:rFonts w:ascii="Arial Narrow" w:hAnsi="Arial Narrow"/>
                <w:i/>
                <w:sz w:val="20"/>
              </w:rPr>
            </w:pPr>
            <w:r w:rsidRPr="002D023E">
              <w:rPr>
                <w:rFonts w:ascii="Arial Narrow" w:hAnsi="Arial Narrow"/>
                <w:i/>
                <w:iCs/>
                <w:sz w:val="20"/>
              </w:rPr>
              <w:t>Annals of the Rheumatic Diseases</w:t>
            </w:r>
            <w:r w:rsidRPr="002D023E">
              <w:rPr>
                <w:rFonts w:ascii="Arial Narrow" w:hAnsi="Arial Narrow"/>
                <w:sz w:val="20"/>
              </w:rPr>
              <w:t xml:space="preserve"> 2007; 66:498-505.</w:t>
            </w:r>
          </w:p>
        </w:tc>
      </w:tr>
      <w:tr w:rsidR="00812FE8" w:rsidRPr="002D023E" w:rsidTr="008763E6">
        <w:trPr>
          <w:cantSplit/>
        </w:trPr>
        <w:tc>
          <w:tcPr>
            <w:tcW w:w="1134" w:type="dxa"/>
            <w:vMerge/>
            <w:shd w:val="clear" w:color="auto" w:fill="auto"/>
          </w:tcPr>
          <w:p w:rsidR="00812FE8" w:rsidRPr="002D023E" w:rsidRDefault="00812FE8" w:rsidP="008763E6">
            <w:pPr>
              <w:jc w:val="left"/>
              <w:rPr>
                <w:rFonts w:ascii="Arial Narrow" w:hAnsi="Arial Narrow"/>
                <w:sz w:val="20"/>
              </w:rPr>
            </w:pPr>
          </w:p>
        </w:tc>
        <w:tc>
          <w:tcPr>
            <w:tcW w:w="5245" w:type="dxa"/>
            <w:shd w:val="clear" w:color="auto" w:fill="auto"/>
          </w:tcPr>
          <w:p w:rsidR="00812FE8" w:rsidRPr="002D023E" w:rsidRDefault="00812FE8" w:rsidP="008763E6">
            <w:pPr>
              <w:jc w:val="left"/>
              <w:rPr>
                <w:rFonts w:ascii="Arial Narrow" w:hAnsi="Arial Narrow"/>
                <w:sz w:val="20"/>
              </w:rPr>
            </w:pPr>
            <w:r w:rsidRPr="002D023E">
              <w:rPr>
                <w:rFonts w:ascii="Arial Narrow" w:hAnsi="Arial Narrow"/>
                <w:sz w:val="20"/>
              </w:rPr>
              <w:t xml:space="preserve">Van Der Heijde D, Kavanaugh A, Gladman DD, </w:t>
            </w:r>
            <w:r w:rsidRPr="002D023E">
              <w:rPr>
                <w:rFonts w:ascii="Arial Narrow" w:hAnsi="Arial Narrow"/>
                <w:i/>
                <w:iCs/>
                <w:sz w:val="20"/>
              </w:rPr>
              <w:t>et al.</w:t>
            </w:r>
            <w:r w:rsidRPr="002D023E">
              <w:rPr>
                <w:rFonts w:ascii="Arial Narrow" w:hAnsi="Arial Narrow"/>
                <w:sz w:val="20"/>
              </w:rPr>
              <w:t xml:space="preserve"> Infliximab inhibits progression of radiographic damage in patients with active psoriatic arthritis through one year of treatment: Results from the induction and maintenance psoriatic arthritis clinical trial 2. </w:t>
            </w:r>
          </w:p>
        </w:tc>
        <w:tc>
          <w:tcPr>
            <w:tcW w:w="1966" w:type="dxa"/>
          </w:tcPr>
          <w:p w:rsidR="00812FE8" w:rsidRPr="002D023E" w:rsidRDefault="00812FE8" w:rsidP="008763E6">
            <w:pPr>
              <w:jc w:val="left"/>
              <w:rPr>
                <w:rFonts w:ascii="Arial Narrow" w:hAnsi="Arial Narrow"/>
                <w:sz w:val="20"/>
              </w:rPr>
            </w:pPr>
            <w:r w:rsidRPr="002D023E">
              <w:rPr>
                <w:rFonts w:ascii="Arial Narrow" w:hAnsi="Arial Narrow"/>
                <w:i/>
                <w:sz w:val="20"/>
              </w:rPr>
              <w:t>Arthritis &amp; Rheumatism</w:t>
            </w:r>
            <w:r w:rsidRPr="002D023E">
              <w:rPr>
                <w:rFonts w:ascii="Arial Narrow" w:hAnsi="Arial Narrow"/>
                <w:sz w:val="20"/>
              </w:rPr>
              <w:t xml:space="preserve"> 2007; 56(8):2698-707.</w:t>
            </w:r>
          </w:p>
        </w:tc>
      </w:tr>
      <w:tr w:rsidR="00812FE8" w:rsidRPr="002D023E" w:rsidTr="008763E6">
        <w:trPr>
          <w:cantSplit/>
        </w:trPr>
        <w:tc>
          <w:tcPr>
            <w:tcW w:w="8345" w:type="dxa"/>
            <w:gridSpan w:val="3"/>
            <w:shd w:val="clear" w:color="auto" w:fill="auto"/>
          </w:tcPr>
          <w:p w:rsidR="00812FE8" w:rsidRPr="002D023E" w:rsidRDefault="00812FE8" w:rsidP="008763E6">
            <w:pPr>
              <w:jc w:val="left"/>
              <w:rPr>
                <w:rFonts w:ascii="Arial Narrow" w:hAnsi="Arial Narrow"/>
                <w:i/>
                <w:sz w:val="20"/>
              </w:rPr>
            </w:pPr>
            <w:r w:rsidRPr="002D023E">
              <w:rPr>
                <w:rFonts w:ascii="Arial Narrow" w:hAnsi="Arial Narrow"/>
                <w:b/>
                <w:sz w:val="20"/>
              </w:rPr>
              <w:t>Golimumab vs placebo</w:t>
            </w:r>
          </w:p>
        </w:tc>
      </w:tr>
      <w:tr w:rsidR="00812FE8" w:rsidRPr="002D023E" w:rsidTr="008763E6">
        <w:trPr>
          <w:cantSplit/>
        </w:trPr>
        <w:tc>
          <w:tcPr>
            <w:tcW w:w="1134" w:type="dxa"/>
            <w:vMerge w:val="restart"/>
            <w:shd w:val="clear" w:color="auto" w:fill="auto"/>
          </w:tcPr>
          <w:p w:rsidR="00812FE8" w:rsidRPr="002D023E" w:rsidRDefault="00812FE8" w:rsidP="008763E6">
            <w:pPr>
              <w:jc w:val="left"/>
              <w:rPr>
                <w:rFonts w:ascii="Arial Narrow" w:hAnsi="Arial Narrow"/>
                <w:sz w:val="20"/>
              </w:rPr>
            </w:pPr>
            <w:r w:rsidRPr="002D023E">
              <w:rPr>
                <w:rFonts w:ascii="Arial Narrow" w:hAnsi="Arial Narrow"/>
                <w:sz w:val="20"/>
              </w:rPr>
              <w:lastRenderedPageBreak/>
              <w:t>GO-REVEAL</w:t>
            </w:r>
          </w:p>
          <w:p w:rsidR="00812FE8" w:rsidRPr="002D023E" w:rsidRDefault="00812FE8" w:rsidP="008763E6">
            <w:pPr>
              <w:jc w:val="left"/>
              <w:rPr>
                <w:rFonts w:ascii="Arial Narrow" w:hAnsi="Arial Narrow"/>
                <w:sz w:val="20"/>
              </w:rPr>
            </w:pPr>
            <w:r w:rsidRPr="002D023E">
              <w:rPr>
                <w:rFonts w:ascii="Arial Narrow" w:hAnsi="Arial Narrow"/>
                <w:sz w:val="20"/>
              </w:rPr>
              <w:t>Kavanaugh 2009</w:t>
            </w:r>
          </w:p>
        </w:tc>
        <w:tc>
          <w:tcPr>
            <w:tcW w:w="5245" w:type="dxa"/>
            <w:shd w:val="clear" w:color="auto" w:fill="auto"/>
          </w:tcPr>
          <w:p w:rsidR="00812FE8" w:rsidRPr="002D023E" w:rsidRDefault="00812FE8" w:rsidP="008763E6">
            <w:pPr>
              <w:jc w:val="left"/>
              <w:rPr>
                <w:rFonts w:ascii="Arial Narrow" w:hAnsi="Arial Narrow"/>
                <w:sz w:val="20"/>
              </w:rPr>
            </w:pPr>
            <w:r w:rsidRPr="002D023E">
              <w:rPr>
                <w:rFonts w:ascii="Arial Narrow" w:hAnsi="Arial Narrow"/>
                <w:sz w:val="20"/>
              </w:rPr>
              <w:t xml:space="preserve">Kavanaugh A, McInnes I, Mease P, </w:t>
            </w:r>
            <w:r w:rsidRPr="002D023E">
              <w:rPr>
                <w:rFonts w:ascii="Arial Narrow" w:hAnsi="Arial Narrow"/>
                <w:i/>
                <w:iCs/>
                <w:sz w:val="20"/>
              </w:rPr>
              <w:t>et al.</w:t>
            </w:r>
            <w:r w:rsidRPr="002D023E">
              <w:rPr>
                <w:rFonts w:ascii="Arial Narrow" w:hAnsi="Arial Narrow"/>
                <w:sz w:val="20"/>
              </w:rPr>
              <w:t xml:space="preserve"> Golimumab, a new human tumor necrosis factor alpha antibody, administered every four weeks as a subcutaneous injection in psoriatic arthritis.</w:t>
            </w:r>
          </w:p>
        </w:tc>
        <w:tc>
          <w:tcPr>
            <w:tcW w:w="1966" w:type="dxa"/>
          </w:tcPr>
          <w:p w:rsidR="00812FE8" w:rsidRPr="002D023E" w:rsidRDefault="00812FE8" w:rsidP="008763E6">
            <w:pPr>
              <w:jc w:val="left"/>
              <w:rPr>
                <w:rFonts w:ascii="Arial Narrow" w:hAnsi="Arial Narrow"/>
                <w:i/>
                <w:sz w:val="20"/>
              </w:rPr>
            </w:pPr>
            <w:r w:rsidRPr="002D023E">
              <w:rPr>
                <w:rFonts w:ascii="Arial Narrow" w:hAnsi="Arial Narrow"/>
                <w:i/>
                <w:sz w:val="20"/>
              </w:rPr>
              <w:t>Arthritis &amp; Rheumatism</w:t>
            </w:r>
            <w:r w:rsidRPr="002D023E">
              <w:rPr>
                <w:rFonts w:ascii="Arial Narrow" w:hAnsi="Arial Narrow"/>
                <w:sz w:val="20"/>
              </w:rPr>
              <w:t xml:space="preserve"> 2009; 60(4):976−986.</w:t>
            </w:r>
          </w:p>
        </w:tc>
      </w:tr>
      <w:tr w:rsidR="00812FE8" w:rsidRPr="002D023E" w:rsidTr="008763E6">
        <w:trPr>
          <w:cantSplit/>
        </w:trPr>
        <w:tc>
          <w:tcPr>
            <w:tcW w:w="1134" w:type="dxa"/>
            <w:vMerge/>
            <w:shd w:val="clear" w:color="auto" w:fill="auto"/>
          </w:tcPr>
          <w:p w:rsidR="00812FE8" w:rsidRPr="002D023E" w:rsidRDefault="00812FE8" w:rsidP="008763E6">
            <w:pPr>
              <w:jc w:val="left"/>
              <w:rPr>
                <w:rFonts w:ascii="Arial Narrow" w:hAnsi="Arial Narrow"/>
                <w:sz w:val="20"/>
              </w:rPr>
            </w:pPr>
          </w:p>
        </w:tc>
        <w:tc>
          <w:tcPr>
            <w:tcW w:w="5245" w:type="dxa"/>
            <w:shd w:val="clear" w:color="auto" w:fill="auto"/>
          </w:tcPr>
          <w:p w:rsidR="00812FE8" w:rsidRPr="002D023E" w:rsidRDefault="00812FE8" w:rsidP="008763E6">
            <w:pPr>
              <w:jc w:val="left"/>
              <w:rPr>
                <w:rFonts w:ascii="Arial Narrow" w:hAnsi="Arial Narrow"/>
                <w:sz w:val="20"/>
              </w:rPr>
            </w:pPr>
            <w:r w:rsidRPr="002A2183">
              <w:rPr>
                <w:rFonts w:ascii="Arial Narrow" w:hAnsi="Arial Narrow"/>
                <w:sz w:val="20"/>
                <w:lang w:val="es-ES_tradnl"/>
              </w:rPr>
              <w:t xml:space="preserve">Kavanaugh A, van der Heijde D, McInnes IB, </w:t>
            </w:r>
            <w:r w:rsidRPr="002A2183">
              <w:rPr>
                <w:rFonts w:ascii="Arial Narrow" w:hAnsi="Arial Narrow"/>
                <w:i/>
                <w:iCs/>
                <w:sz w:val="20"/>
                <w:lang w:val="es-ES_tradnl"/>
              </w:rPr>
              <w:t>et al.</w:t>
            </w:r>
            <w:r w:rsidRPr="002A2183">
              <w:rPr>
                <w:rFonts w:ascii="Arial Narrow" w:hAnsi="Arial Narrow"/>
                <w:sz w:val="20"/>
                <w:lang w:val="es-ES_tradnl"/>
              </w:rPr>
              <w:t xml:space="preserve"> </w:t>
            </w:r>
            <w:r w:rsidRPr="002D023E">
              <w:rPr>
                <w:rFonts w:ascii="Arial Narrow" w:hAnsi="Arial Narrow"/>
                <w:sz w:val="20"/>
              </w:rPr>
              <w:t xml:space="preserve">Golimumab in psoriatic arthritis: one-year clinical efficacy, radiographic, and safety results from a phase III, randomised, placebo-controlled trial. </w:t>
            </w:r>
          </w:p>
        </w:tc>
        <w:tc>
          <w:tcPr>
            <w:tcW w:w="1966" w:type="dxa"/>
          </w:tcPr>
          <w:p w:rsidR="00812FE8" w:rsidRPr="002D023E" w:rsidRDefault="00812FE8" w:rsidP="008763E6">
            <w:pPr>
              <w:jc w:val="left"/>
              <w:rPr>
                <w:rFonts w:ascii="Arial Narrow" w:hAnsi="Arial Narrow"/>
                <w:i/>
                <w:sz w:val="20"/>
              </w:rPr>
            </w:pPr>
            <w:r w:rsidRPr="002D023E">
              <w:rPr>
                <w:rFonts w:ascii="Arial Narrow" w:hAnsi="Arial Narrow"/>
                <w:i/>
                <w:sz w:val="20"/>
              </w:rPr>
              <w:t>Arthritis &amp; Rheumatism</w:t>
            </w:r>
            <w:r w:rsidRPr="002D023E">
              <w:rPr>
                <w:rFonts w:ascii="Arial Narrow" w:hAnsi="Arial Narrow"/>
                <w:sz w:val="20"/>
              </w:rPr>
              <w:t xml:space="preserve"> 2012; 64(8):2504-17.</w:t>
            </w:r>
          </w:p>
        </w:tc>
      </w:tr>
      <w:tr w:rsidR="00812FE8" w:rsidRPr="002D023E" w:rsidTr="008763E6">
        <w:trPr>
          <w:cantSplit/>
        </w:trPr>
        <w:tc>
          <w:tcPr>
            <w:tcW w:w="1134" w:type="dxa"/>
            <w:vMerge/>
            <w:shd w:val="clear" w:color="auto" w:fill="auto"/>
          </w:tcPr>
          <w:p w:rsidR="00812FE8" w:rsidRPr="002D023E" w:rsidRDefault="00812FE8" w:rsidP="008763E6">
            <w:pPr>
              <w:jc w:val="left"/>
              <w:rPr>
                <w:rFonts w:ascii="Arial Narrow" w:hAnsi="Arial Narrow"/>
                <w:sz w:val="20"/>
              </w:rPr>
            </w:pPr>
          </w:p>
        </w:tc>
        <w:tc>
          <w:tcPr>
            <w:tcW w:w="5245" w:type="dxa"/>
            <w:shd w:val="clear" w:color="auto" w:fill="auto"/>
          </w:tcPr>
          <w:p w:rsidR="00812FE8" w:rsidRPr="002D023E" w:rsidRDefault="00812FE8" w:rsidP="008763E6">
            <w:pPr>
              <w:jc w:val="left"/>
              <w:rPr>
                <w:rFonts w:ascii="Arial Narrow" w:hAnsi="Arial Narrow"/>
                <w:sz w:val="20"/>
              </w:rPr>
            </w:pPr>
            <w:r w:rsidRPr="002D023E">
              <w:rPr>
                <w:rFonts w:ascii="Arial Narrow" w:hAnsi="Arial Narrow"/>
                <w:sz w:val="20"/>
              </w:rPr>
              <w:t xml:space="preserve">Kavanaugh A &amp; Mease P. Treatment of psoriatic arthritis with tumor necrosis factor inhibitors: Longer-term outcomes including enthesitis and dactylitis with golimumab treatment in the </w:t>
            </w:r>
            <w:r w:rsidR="009C77B2" w:rsidRPr="002D023E">
              <w:rPr>
                <w:rFonts w:ascii="Arial Narrow" w:hAnsi="Arial Narrow"/>
                <w:sz w:val="20"/>
              </w:rPr>
              <w:t>long-term</w:t>
            </w:r>
            <w:r w:rsidRPr="002D023E">
              <w:rPr>
                <w:rFonts w:ascii="Arial Narrow" w:hAnsi="Arial Narrow"/>
                <w:sz w:val="20"/>
              </w:rPr>
              <w:t xml:space="preserve"> extension of a randomized, placebo-controlled study (GO-REVEAL). </w:t>
            </w:r>
          </w:p>
        </w:tc>
        <w:tc>
          <w:tcPr>
            <w:tcW w:w="1966" w:type="dxa"/>
          </w:tcPr>
          <w:p w:rsidR="00812FE8" w:rsidRPr="002D023E" w:rsidRDefault="00812FE8" w:rsidP="008763E6">
            <w:pPr>
              <w:jc w:val="left"/>
              <w:rPr>
                <w:rFonts w:ascii="Arial Narrow" w:hAnsi="Arial Narrow"/>
                <w:i/>
                <w:sz w:val="20"/>
              </w:rPr>
            </w:pPr>
            <w:r w:rsidRPr="002D023E">
              <w:rPr>
                <w:rFonts w:ascii="Arial Narrow" w:hAnsi="Arial Narrow"/>
                <w:i/>
                <w:iCs/>
                <w:sz w:val="20"/>
              </w:rPr>
              <w:t>Journal of Rheumatology</w:t>
            </w:r>
            <w:r w:rsidRPr="002D023E">
              <w:rPr>
                <w:rFonts w:ascii="Arial Narrow" w:hAnsi="Arial Narrow"/>
                <w:sz w:val="20"/>
              </w:rPr>
              <w:t xml:space="preserve"> 2012; 39:90-3.</w:t>
            </w:r>
          </w:p>
        </w:tc>
      </w:tr>
      <w:tr w:rsidR="00812FE8" w:rsidRPr="002D023E" w:rsidTr="008763E6">
        <w:trPr>
          <w:cantSplit/>
        </w:trPr>
        <w:tc>
          <w:tcPr>
            <w:tcW w:w="1134" w:type="dxa"/>
            <w:vMerge/>
            <w:shd w:val="clear" w:color="auto" w:fill="auto"/>
          </w:tcPr>
          <w:p w:rsidR="00812FE8" w:rsidRPr="002D023E" w:rsidRDefault="00812FE8" w:rsidP="008763E6">
            <w:pPr>
              <w:jc w:val="left"/>
              <w:rPr>
                <w:rFonts w:ascii="Arial Narrow" w:hAnsi="Arial Narrow"/>
                <w:sz w:val="20"/>
              </w:rPr>
            </w:pPr>
          </w:p>
        </w:tc>
        <w:tc>
          <w:tcPr>
            <w:tcW w:w="5245" w:type="dxa"/>
            <w:shd w:val="clear" w:color="auto" w:fill="auto"/>
          </w:tcPr>
          <w:p w:rsidR="00812FE8" w:rsidRPr="002D023E" w:rsidRDefault="00812FE8" w:rsidP="008763E6">
            <w:pPr>
              <w:jc w:val="left"/>
              <w:rPr>
                <w:rFonts w:ascii="Arial Narrow" w:hAnsi="Arial Narrow"/>
                <w:sz w:val="20"/>
              </w:rPr>
            </w:pPr>
            <w:r w:rsidRPr="002D023E">
              <w:rPr>
                <w:rFonts w:ascii="Arial Narrow" w:hAnsi="Arial Narrow"/>
                <w:sz w:val="20"/>
              </w:rPr>
              <w:t xml:space="preserve">Kavanaugh A, McInnes IB, Mease PJ, </w:t>
            </w:r>
            <w:r w:rsidRPr="002D023E">
              <w:rPr>
                <w:rFonts w:ascii="Arial Narrow" w:hAnsi="Arial Narrow"/>
                <w:i/>
                <w:iCs/>
                <w:sz w:val="20"/>
              </w:rPr>
              <w:t>et al</w:t>
            </w:r>
            <w:r w:rsidRPr="002D023E">
              <w:rPr>
                <w:rFonts w:ascii="Arial Narrow" w:hAnsi="Arial Narrow"/>
                <w:sz w:val="20"/>
              </w:rPr>
              <w:t xml:space="preserve">. Clinical efficacy, radiographic and safety findings through 2 years of golimumab treatment in patients with active psoriatic arthritis: Results from a long-term extension of the randomised, placebo-controlled GO-REVEAL study. </w:t>
            </w:r>
          </w:p>
        </w:tc>
        <w:tc>
          <w:tcPr>
            <w:tcW w:w="1966" w:type="dxa"/>
          </w:tcPr>
          <w:p w:rsidR="00812FE8" w:rsidRPr="002D023E" w:rsidRDefault="00812FE8" w:rsidP="008763E6">
            <w:pPr>
              <w:jc w:val="left"/>
              <w:rPr>
                <w:rFonts w:ascii="Arial Narrow" w:hAnsi="Arial Narrow"/>
                <w:i/>
                <w:sz w:val="20"/>
              </w:rPr>
            </w:pPr>
            <w:r w:rsidRPr="002D023E">
              <w:rPr>
                <w:rFonts w:ascii="Arial Narrow" w:hAnsi="Arial Narrow"/>
                <w:i/>
                <w:iCs/>
                <w:sz w:val="20"/>
              </w:rPr>
              <w:t>Annals of the Rheumatic Diseases</w:t>
            </w:r>
            <w:r w:rsidRPr="002D023E">
              <w:rPr>
                <w:rFonts w:ascii="Arial Narrow" w:hAnsi="Arial Narrow"/>
                <w:sz w:val="20"/>
              </w:rPr>
              <w:t xml:space="preserve"> 2013; 72:1777-85.</w:t>
            </w:r>
          </w:p>
        </w:tc>
      </w:tr>
      <w:tr w:rsidR="00812FE8" w:rsidRPr="002D023E" w:rsidTr="008763E6">
        <w:trPr>
          <w:cantSplit/>
        </w:trPr>
        <w:tc>
          <w:tcPr>
            <w:tcW w:w="1134" w:type="dxa"/>
            <w:vMerge/>
            <w:shd w:val="clear" w:color="auto" w:fill="auto"/>
          </w:tcPr>
          <w:p w:rsidR="00812FE8" w:rsidRPr="002D023E" w:rsidRDefault="00812FE8" w:rsidP="008763E6">
            <w:pPr>
              <w:jc w:val="left"/>
              <w:rPr>
                <w:rFonts w:ascii="Arial Narrow" w:hAnsi="Arial Narrow"/>
                <w:sz w:val="20"/>
              </w:rPr>
            </w:pPr>
          </w:p>
        </w:tc>
        <w:tc>
          <w:tcPr>
            <w:tcW w:w="5245" w:type="dxa"/>
            <w:shd w:val="clear" w:color="auto" w:fill="auto"/>
          </w:tcPr>
          <w:p w:rsidR="00812FE8" w:rsidRPr="002D023E" w:rsidRDefault="00812FE8" w:rsidP="008763E6">
            <w:pPr>
              <w:jc w:val="left"/>
              <w:rPr>
                <w:rFonts w:ascii="Arial Narrow" w:hAnsi="Arial Narrow"/>
                <w:sz w:val="20"/>
              </w:rPr>
            </w:pPr>
            <w:r w:rsidRPr="002D023E">
              <w:rPr>
                <w:rFonts w:ascii="Arial Narrow" w:hAnsi="Arial Narrow"/>
                <w:sz w:val="20"/>
              </w:rPr>
              <w:t xml:space="preserve">Kavanaugh A, McInnes IB, Krueger GG, </w:t>
            </w:r>
            <w:r w:rsidRPr="002D023E">
              <w:rPr>
                <w:rFonts w:ascii="Arial Narrow" w:hAnsi="Arial Narrow"/>
                <w:i/>
                <w:iCs/>
                <w:sz w:val="20"/>
              </w:rPr>
              <w:t>et al</w:t>
            </w:r>
            <w:r w:rsidRPr="002D023E">
              <w:rPr>
                <w:rFonts w:ascii="Arial Narrow" w:hAnsi="Arial Narrow"/>
                <w:sz w:val="20"/>
              </w:rPr>
              <w:t xml:space="preserve">. Patient-reported outcomes and the association with clinical response in patients with active psoriatic arthritis treated with golimumab: Findings through 2 years of a phase III, </w:t>
            </w:r>
            <w:r w:rsidR="00BB6789" w:rsidRPr="002D023E">
              <w:rPr>
                <w:rFonts w:ascii="Arial Narrow" w:hAnsi="Arial Narrow"/>
                <w:sz w:val="20"/>
              </w:rPr>
              <w:t>multicentre</w:t>
            </w:r>
            <w:r w:rsidRPr="002D023E">
              <w:rPr>
                <w:rFonts w:ascii="Arial Narrow" w:hAnsi="Arial Narrow"/>
                <w:sz w:val="20"/>
              </w:rPr>
              <w:t xml:space="preserve">, randomized, double-blind, placebo-controlled trial. </w:t>
            </w:r>
          </w:p>
        </w:tc>
        <w:tc>
          <w:tcPr>
            <w:tcW w:w="1966" w:type="dxa"/>
          </w:tcPr>
          <w:p w:rsidR="00812FE8" w:rsidRPr="002D023E" w:rsidRDefault="00812FE8" w:rsidP="008763E6">
            <w:pPr>
              <w:jc w:val="left"/>
              <w:rPr>
                <w:rFonts w:ascii="Arial Narrow" w:hAnsi="Arial Narrow"/>
                <w:i/>
                <w:sz w:val="20"/>
              </w:rPr>
            </w:pPr>
            <w:r w:rsidRPr="002D023E">
              <w:rPr>
                <w:rFonts w:ascii="Arial Narrow" w:hAnsi="Arial Narrow"/>
                <w:i/>
                <w:iCs/>
                <w:sz w:val="20"/>
              </w:rPr>
              <w:t>Arthritis Care and Research</w:t>
            </w:r>
            <w:r w:rsidRPr="002D023E">
              <w:rPr>
                <w:rFonts w:ascii="Arial Narrow" w:hAnsi="Arial Narrow"/>
                <w:sz w:val="20"/>
              </w:rPr>
              <w:t xml:space="preserve"> 2013; 65:1666-73.</w:t>
            </w:r>
          </w:p>
        </w:tc>
      </w:tr>
      <w:tr w:rsidR="00812FE8" w:rsidRPr="002D023E" w:rsidTr="008763E6">
        <w:trPr>
          <w:cantSplit/>
        </w:trPr>
        <w:tc>
          <w:tcPr>
            <w:tcW w:w="1134" w:type="dxa"/>
            <w:vMerge/>
            <w:shd w:val="clear" w:color="auto" w:fill="auto"/>
          </w:tcPr>
          <w:p w:rsidR="00812FE8" w:rsidRPr="002D023E" w:rsidRDefault="00812FE8" w:rsidP="008763E6">
            <w:pPr>
              <w:jc w:val="left"/>
              <w:rPr>
                <w:rFonts w:ascii="Arial Narrow" w:hAnsi="Arial Narrow"/>
                <w:sz w:val="20"/>
              </w:rPr>
            </w:pPr>
          </w:p>
        </w:tc>
        <w:tc>
          <w:tcPr>
            <w:tcW w:w="5245" w:type="dxa"/>
            <w:shd w:val="clear" w:color="auto" w:fill="auto"/>
          </w:tcPr>
          <w:p w:rsidR="00812FE8" w:rsidRPr="002D023E" w:rsidRDefault="00812FE8" w:rsidP="008763E6">
            <w:pPr>
              <w:jc w:val="left"/>
              <w:rPr>
                <w:rFonts w:ascii="Arial Narrow" w:hAnsi="Arial Narrow"/>
                <w:sz w:val="20"/>
              </w:rPr>
            </w:pPr>
            <w:r w:rsidRPr="002D023E">
              <w:rPr>
                <w:rFonts w:ascii="Arial Narrow" w:hAnsi="Arial Narrow"/>
                <w:sz w:val="20"/>
              </w:rPr>
              <w:t xml:space="preserve">Kavanaugh A, McInnes IB, Mease P, </w:t>
            </w:r>
            <w:r w:rsidRPr="002D023E">
              <w:rPr>
                <w:rFonts w:ascii="Arial Narrow" w:hAnsi="Arial Narrow"/>
                <w:i/>
                <w:iCs/>
                <w:sz w:val="20"/>
              </w:rPr>
              <w:t>et al</w:t>
            </w:r>
            <w:r w:rsidRPr="002D023E">
              <w:rPr>
                <w:rFonts w:ascii="Arial Narrow" w:hAnsi="Arial Narrow"/>
                <w:sz w:val="20"/>
              </w:rPr>
              <w:t xml:space="preserve">. Clinical efficacy, radiographic and safety findings through 5 years of subcutaneous golimumab treatment in patients with active psoriatic arthritis: Results from a long-term extension of a randomised, placebo-controlled trial (the GO-REVEAL study). </w:t>
            </w:r>
          </w:p>
        </w:tc>
        <w:tc>
          <w:tcPr>
            <w:tcW w:w="1966" w:type="dxa"/>
          </w:tcPr>
          <w:p w:rsidR="00812FE8" w:rsidRPr="002D023E" w:rsidRDefault="00812FE8" w:rsidP="008763E6">
            <w:pPr>
              <w:jc w:val="left"/>
              <w:rPr>
                <w:rFonts w:ascii="Arial Narrow" w:hAnsi="Arial Narrow"/>
                <w:i/>
                <w:sz w:val="20"/>
              </w:rPr>
            </w:pPr>
            <w:r w:rsidRPr="002D023E">
              <w:rPr>
                <w:rFonts w:ascii="Arial Narrow" w:hAnsi="Arial Narrow"/>
                <w:i/>
                <w:iCs/>
                <w:sz w:val="20"/>
              </w:rPr>
              <w:t>Annals of the Rheumatic Diseases</w:t>
            </w:r>
            <w:r w:rsidRPr="002D023E">
              <w:rPr>
                <w:rFonts w:ascii="Arial Narrow" w:hAnsi="Arial Narrow"/>
                <w:sz w:val="20"/>
              </w:rPr>
              <w:t xml:space="preserve"> 2014; 73:1689-1694.</w:t>
            </w:r>
          </w:p>
        </w:tc>
      </w:tr>
      <w:tr w:rsidR="00812FE8" w:rsidRPr="002D023E" w:rsidTr="008763E6">
        <w:trPr>
          <w:cantSplit/>
        </w:trPr>
        <w:tc>
          <w:tcPr>
            <w:tcW w:w="8345" w:type="dxa"/>
            <w:gridSpan w:val="3"/>
            <w:shd w:val="clear" w:color="auto" w:fill="auto"/>
          </w:tcPr>
          <w:p w:rsidR="00812FE8" w:rsidRPr="002D023E" w:rsidRDefault="00812FE8" w:rsidP="008763E6">
            <w:pPr>
              <w:jc w:val="left"/>
              <w:rPr>
                <w:rFonts w:ascii="Arial Narrow" w:hAnsi="Arial Narrow"/>
                <w:i/>
                <w:sz w:val="20"/>
              </w:rPr>
            </w:pPr>
            <w:r w:rsidRPr="002D023E">
              <w:rPr>
                <w:rFonts w:ascii="Arial Narrow" w:hAnsi="Arial Narrow"/>
                <w:b/>
                <w:sz w:val="20"/>
              </w:rPr>
              <w:t>Certolizumab pegol vs placebo</w:t>
            </w:r>
          </w:p>
        </w:tc>
      </w:tr>
      <w:tr w:rsidR="00812FE8" w:rsidRPr="002D023E" w:rsidTr="008763E6">
        <w:trPr>
          <w:cantSplit/>
        </w:trPr>
        <w:tc>
          <w:tcPr>
            <w:tcW w:w="1134" w:type="dxa"/>
            <w:vMerge w:val="restart"/>
            <w:shd w:val="clear" w:color="auto" w:fill="auto"/>
          </w:tcPr>
          <w:p w:rsidR="00812FE8" w:rsidRPr="002D023E" w:rsidRDefault="00812FE8" w:rsidP="008763E6">
            <w:pPr>
              <w:jc w:val="left"/>
              <w:rPr>
                <w:rFonts w:ascii="Arial Narrow" w:hAnsi="Arial Narrow"/>
                <w:bCs/>
                <w:sz w:val="20"/>
              </w:rPr>
            </w:pPr>
            <w:r w:rsidRPr="002D023E">
              <w:rPr>
                <w:rFonts w:ascii="Arial Narrow" w:hAnsi="Arial Narrow"/>
                <w:bCs/>
                <w:sz w:val="20"/>
              </w:rPr>
              <w:t>RAPID-PsA</w:t>
            </w:r>
          </w:p>
          <w:p w:rsidR="00812FE8" w:rsidRPr="002D023E" w:rsidRDefault="00812FE8" w:rsidP="008763E6">
            <w:pPr>
              <w:jc w:val="left"/>
              <w:rPr>
                <w:rFonts w:ascii="Arial Narrow" w:hAnsi="Arial Narrow"/>
                <w:bCs/>
                <w:sz w:val="20"/>
              </w:rPr>
            </w:pPr>
            <w:r w:rsidRPr="002D023E">
              <w:rPr>
                <w:rFonts w:ascii="Arial Narrow" w:hAnsi="Arial Narrow"/>
                <w:bCs/>
                <w:sz w:val="20"/>
              </w:rPr>
              <w:t>Mease 2014</w:t>
            </w:r>
          </w:p>
        </w:tc>
        <w:tc>
          <w:tcPr>
            <w:tcW w:w="5245" w:type="dxa"/>
            <w:shd w:val="clear" w:color="auto" w:fill="auto"/>
          </w:tcPr>
          <w:p w:rsidR="00812FE8" w:rsidRPr="002D023E" w:rsidRDefault="00812FE8" w:rsidP="008763E6">
            <w:pPr>
              <w:jc w:val="left"/>
              <w:rPr>
                <w:rFonts w:ascii="Arial Narrow" w:hAnsi="Arial Narrow"/>
                <w:sz w:val="20"/>
              </w:rPr>
            </w:pPr>
            <w:r w:rsidRPr="002D023E">
              <w:rPr>
                <w:rFonts w:ascii="Arial Narrow" w:hAnsi="Arial Narrow"/>
                <w:sz w:val="20"/>
              </w:rPr>
              <w:t xml:space="preserve">Mease PJ, Fleischmann R, Deodhar AA, </w:t>
            </w:r>
            <w:r w:rsidRPr="002D023E">
              <w:rPr>
                <w:rFonts w:ascii="Arial Narrow" w:hAnsi="Arial Narrow"/>
                <w:i/>
                <w:iCs/>
                <w:sz w:val="20"/>
              </w:rPr>
              <w:t>et al.</w:t>
            </w:r>
            <w:r w:rsidRPr="002D023E">
              <w:rPr>
                <w:rFonts w:ascii="Arial Narrow" w:hAnsi="Arial Narrow"/>
                <w:sz w:val="20"/>
              </w:rPr>
              <w:t xml:space="preserve"> Effect of certolizumab pegol on signs and symptoms in patients with psoriatic arthritis: 24-week results of a Phase 3 double-blind randomised placebo-controlled study (RAPID-PsA).</w:t>
            </w:r>
          </w:p>
        </w:tc>
        <w:tc>
          <w:tcPr>
            <w:tcW w:w="1966" w:type="dxa"/>
          </w:tcPr>
          <w:p w:rsidR="00812FE8" w:rsidRPr="002D023E" w:rsidRDefault="00812FE8" w:rsidP="008763E6">
            <w:pPr>
              <w:jc w:val="left"/>
              <w:rPr>
                <w:rFonts w:ascii="Arial Narrow" w:hAnsi="Arial Narrow"/>
                <w:i/>
                <w:sz w:val="20"/>
              </w:rPr>
            </w:pPr>
            <w:r w:rsidRPr="002D023E">
              <w:rPr>
                <w:rFonts w:ascii="Arial Narrow" w:hAnsi="Arial Narrow"/>
                <w:i/>
                <w:sz w:val="20"/>
              </w:rPr>
              <w:t>Annals of the Rheumatic Diseases</w:t>
            </w:r>
            <w:r w:rsidRPr="002D023E">
              <w:rPr>
                <w:rFonts w:ascii="Arial Narrow" w:hAnsi="Arial Narrow"/>
                <w:sz w:val="20"/>
              </w:rPr>
              <w:t xml:space="preserve"> 2014; 73:48-55.</w:t>
            </w:r>
          </w:p>
        </w:tc>
      </w:tr>
      <w:tr w:rsidR="00812FE8" w:rsidRPr="002D023E" w:rsidTr="008763E6">
        <w:trPr>
          <w:cantSplit/>
        </w:trPr>
        <w:tc>
          <w:tcPr>
            <w:tcW w:w="1134" w:type="dxa"/>
            <w:vMerge/>
            <w:shd w:val="clear" w:color="auto" w:fill="auto"/>
          </w:tcPr>
          <w:p w:rsidR="00812FE8" w:rsidRPr="002D023E" w:rsidRDefault="00812FE8" w:rsidP="008763E6">
            <w:pPr>
              <w:jc w:val="left"/>
              <w:rPr>
                <w:rFonts w:ascii="Arial Narrow" w:hAnsi="Arial Narrow"/>
                <w:sz w:val="20"/>
              </w:rPr>
            </w:pPr>
          </w:p>
        </w:tc>
        <w:tc>
          <w:tcPr>
            <w:tcW w:w="5245" w:type="dxa"/>
            <w:shd w:val="clear" w:color="auto" w:fill="auto"/>
          </w:tcPr>
          <w:p w:rsidR="00812FE8" w:rsidRPr="002D023E" w:rsidRDefault="00812FE8" w:rsidP="008763E6">
            <w:pPr>
              <w:jc w:val="left"/>
              <w:rPr>
                <w:rFonts w:ascii="Arial Narrow" w:hAnsi="Arial Narrow"/>
                <w:sz w:val="20"/>
              </w:rPr>
            </w:pPr>
            <w:r w:rsidRPr="002D023E">
              <w:rPr>
                <w:rFonts w:ascii="Arial Narrow" w:hAnsi="Arial Narrow"/>
                <w:sz w:val="20"/>
              </w:rPr>
              <w:t xml:space="preserve">Gladman D, Fleischmann R, Coteur G, </w:t>
            </w:r>
            <w:r w:rsidRPr="002D023E">
              <w:rPr>
                <w:rFonts w:ascii="Arial Narrow" w:hAnsi="Arial Narrow"/>
                <w:i/>
                <w:iCs/>
                <w:sz w:val="20"/>
              </w:rPr>
              <w:t>et al</w:t>
            </w:r>
            <w:r w:rsidRPr="002D023E">
              <w:rPr>
                <w:rFonts w:ascii="Arial Narrow" w:hAnsi="Arial Narrow"/>
                <w:sz w:val="20"/>
              </w:rPr>
              <w:t xml:space="preserve">. Effect of certolizumab pegol on multiple facets of psoriatic arthritis as reported by patients: 24-week patient-reported outcome results of a phase III, multicenter study. </w:t>
            </w:r>
          </w:p>
        </w:tc>
        <w:tc>
          <w:tcPr>
            <w:tcW w:w="1966" w:type="dxa"/>
          </w:tcPr>
          <w:p w:rsidR="00812FE8" w:rsidRPr="002D023E" w:rsidRDefault="00812FE8" w:rsidP="008763E6">
            <w:pPr>
              <w:jc w:val="left"/>
              <w:rPr>
                <w:rFonts w:ascii="Arial Narrow" w:hAnsi="Arial Narrow"/>
                <w:i/>
                <w:sz w:val="20"/>
              </w:rPr>
            </w:pPr>
            <w:r w:rsidRPr="002D023E">
              <w:rPr>
                <w:rFonts w:ascii="Arial Narrow" w:hAnsi="Arial Narrow"/>
                <w:i/>
                <w:iCs/>
                <w:sz w:val="20"/>
              </w:rPr>
              <w:t>Arthritis Care and Research</w:t>
            </w:r>
            <w:r w:rsidRPr="002D023E">
              <w:rPr>
                <w:rFonts w:ascii="Arial Narrow" w:hAnsi="Arial Narrow"/>
                <w:sz w:val="20"/>
              </w:rPr>
              <w:t xml:space="preserve"> 2014; 66:1085-92.</w:t>
            </w:r>
          </w:p>
        </w:tc>
      </w:tr>
      <w:tr w:rsidR="00812FE8" w:rsidRPr="002D023E" w:rsidTr="008763E6">
        <w:trPr>
          <w:cantSplit/>
        </w:trPr>
        <w:tc>
          <w:tcPr>
            <w:tcW w:w="1134" w:type="dxa"/>
            <w:vMerge/>
            <w:shd w:val="clear" w:color="auto" w:fill="auto"/>
          </w:tcPr>
          <w:p w:rsidR="00812FE8" w:rsidRPr="002D023E" w:rsidRDefault="00812FE8" w:rsidP="008763E6">
            <w:pPr>
              <w:jc w:val="left"/>
              <w:rPr>
                <w:rFonts w:ascii="Arial Narrow" w:hAnsi="Arial Narrow"/>
                <w:sz w:val="20"/>
              </w:rPr>
            </w:pPr>
          </w:p>
        </w:tc>
        <w:tc>
          <w:tcPr>
            <w:tcW w:w="5245" w:type="dxa"/>
            <w:shd w:val="clear" w:color="auto" w:fill="auto"/>
          </w:tcPr>
          <w:p w:rsidR="00812FE8" w:rsidRPr="002D023E" w:rsidRDefault="00812FE8" w:rsidP="008763E6">
            <w:pPr>
              <w:jc w:val="left"/>
              <w:rPr>
                <w:rFonts w:ascii="Arial Narrow" w:hAnsi="Arial Narrow"/>
                <w:sz w:val="20"/>
              </w:rPr>
            </w:pPr>
            <w:r w:rsidRPr="002A2183">
              <w:rPr>
                <w:rFonts w:ascii="Arial Narrow" w:hAnsi="Arial Narrow"/>
                <w:sz w:val="20"/>
                <w:lang w:val="de-DE"/>
              </w:rPr>
              <w:t xml:space="preserve">van der Heijde D, Fleischmann R, Wollenhaupt J, </w:t>
            </w:r>
            <w:r w:rsidRPr="002A2183">
              <w:rPr>
                <w:rFonts w:ascii="Arial Narrow" w:hAnsi="Arial Narrow"/>
                <w:i/>
                <w:iCs/>
                <w:sz w:val="20"/>
                <w:lang w:val="de-DE"/>
              </w:rPr>
              <w:t>et al.</w:t>
            </w:r>
            <w:r w:rsidRPr="002A2183">
              <w:rPr>
                <w:rFonts w:ascii="Arial Narrow" w:hAnsi="Arial Narrow"/>
                <w:sz w:val="20"/>
                <w:lang w:val="de-DE"/>
              </w:rPr>
              <w:t xml:space="preserve"> </w:t>
            </w:r>
            <w:r w:rsidRPr="002D023E">
              <w:rPr>
                <w:rFonts w:ascii="Arial Narrow" w:hAnsi="Arial Narrow"/>
                <w:sz w:val="20"/>
              </w:rPr>
              <w:t>Effect of different imputation approaches on the evaluation of radiographic progression in patients with psoriatic arthritis: results of the RAPID-PsA 24-week phase III double-blind randomised placebo-controlled study of certolizumab pegol.</w:t>
            </w:r>
          </w:p>
        </w:tc>
        <w:tc>
          <w:tcPr>
            <w:tcW w:w="1966" w:type="dxa"/>
          </w:tcPr>
          <w:p w:rsidR="00812FE8" w:rsidRPr="002D023E" w:rsidRDefault="00812FE8" w:rsidP="008763E6">
            <w:pPr>
              <w:jc w:val="left"/>
              <w:rPr>
                <w:rFonts w:ascii="Arial Narrow" w:hAnsi="Arial Narrow"/>
                <w:i/>
                <w:sz w:val="20"/>
              </w:rPr>
            </w:pPr>
            <w:r w:rsidRPr="002D023E">
              <w:rPr>
                <w:rFonts w:ascii="Arial Narrow" w:hAnsi="Arial Narrow"/>
                <w:i/>
                <w:sz w:val="20"/>
              </w:rPr>
              <w:t xml:space="preserve">Annals of the Rheumatic Diseases </w:t>
            </w:r>
            <w:r w:rsidRPr="002D023E">
              <w:rPr>
                <w:rFonts w:ascii="Arial Narrow" w:hAnsi="Arial Narrow"/>
                <w:sz w:val="20"/>
              </w:rPr>
              <w:t>2014; 73(1):233-7.</w:t>
            </w:r>
          </w:p>
        </w:tc>
      </w:tr>
      <w:tr w:rsidR="00812FE8" w:rsidRPr="002D023E" w:rsidTr="008763E6">
        <w:trPr>
          <w:cantSplit/>
        </w:trPr>
        <w:tc>
          <w:tcPr>
            <w:tcW w:w="1134" w:type="dxa"/>
            <w:vMerge/>
            <w:shd w:val="clear" w:color="auto" w:fill="auto"/>
          </w:tcPr>
          <w:p w:rsidR="00812FE8" w:rsidRPr="002D023E" w:rsidRDefault="00812FE8" w:rsidP="008763E6">
            <w:pPr>
              <w:jc w:val="left"/>
              <w:rPr>
                <w:rFonts w:ascii="Arial Narrow" w:hAnsi="Arial Narrow"/>
                <w:sz w:val="20"/>
              </w:rPr>
            </w:pPr>
          </w:p>
        </w:tc>
        <w:tc>
          <w:tcPr>
            <w:tcW w:w="5245" w:type="dxa"/>
            <w:shd w:val="clear" w:color="auto" w:fill="auto"/>
          </w:tcPr>
          <w:p w:rsidR="00812FE8" w:rsidRPr="002D023E" w:rsidRDefault="00812FE8" w:rsidP="008763E6">
            <w:pPr>
              <w:jc w:val="left"/>
              <w:rPr>
                <w:rFonts w:ascii="Arial Narrow" w:hAnsi="Arial Narrow"/>
                <w:sz w:val="20"/>
              </w:rPr>
            </w:pPr>
            <w:r w:rsidRPr="002D023E">
              <w:rPr>
                <w:rFonts w:ascii="Arial Narrow" w:hAnsi="Arial Narrow"/>
                <w:sz w:val="20"/>
              </w:rPr>
              <w:t xml:space="preserve">Kavanaugh A, Gladman D, van der Heijde D, </w:t>
            </w:r>
            <w:r w:rsidRPr="002D023E">
              <w:rPr>
                <w:rFonts w:ascii="Arial Narrow" w:hAnsi="Arial Narrow"/>
                <w:i/>
                <w:iCs/>
                <w:sz w:val="20"/>
              </w:rPr>
              <w:t xml:space="preserve">et al. </w:t>
            </w:r>
            <w:r w:rsidRPr="002D023E">
              <w:rPr>
                <w:rFonts w:ascii="Arial Narrow" w:hAnsi="Arial Narrow"/>
                <w:sz w:val="20"/>
              </w:rPr>
              <w:t xml:space="preserve">Improvements in productivity at paid work and within the household, and increased participation in daily activities after 24 weeks of certolizumab pegol treatment of patients with psoriatic arthritis: Results of a phase 3 double-blind randomised placebo-controlled study. </w:t>
            </w:r>
          </w:p>
        </w:tc>
        <w:tc>
          <w:tcPr>
            <w:tcW w:w="1966" w:type="dxa"/>
          </w:tcPr>
          <w:p w:rsidR="00812FE8" w:rsidRPr="002D023E" w:rsidRDefault="00812FE8" w:rsidP="008763E6">
            <w:pPr>
              <w:jc w:val="left"/>
              <w:rPr>
                <w:rFonts w:ascii="Arial Narrow" w:hAnsi="Arial Narrow"/>
                <w:i/>
                <w:sz w:val="20"/>
              </w:rPr>
            </w:pPr>
            <w:r w:rsidRPr="002D023E">
              <w:rPr>
                <w:rFonts w:ascii="Arial Narrow" w:hAnsi="Arial Narrow"/>
                <w:i/>
                <w:iCs/>
                <w:sz w:val="20"/>
              </w:rPr>
              <w:t xml:space="preserve">Annals of the Rheumatic Diseases </w:t>
            </w:r>
            <w:r w:rsidRPr="002D023E">
              <w:rPr>
                <w:rFonts w:ascii="Arial Narrow" w:hAnsi="Arial Narrow"/>
                <w:sz w:val="20"/>
              </w:rPr>
              <w:t>2015;</w:t>
            </w:r>
            <w:r w:rsidRPr="002D023E">
              <w:rPr>
                <w:rFonts w:ascii="Arial Narrow" w:hAnsi="Arial Narrow"/>
                <w:i/>
                <w:iCs/>
                <w:sz w:val="20"/>
              </w:rPr>
              <w:t xml:space="preserve"> </w:t>
            </w:r>
            <w:r w:rsidRPr="002D023E">
              <w:rPr>
                <w:rFonts w:ascii="Arial Narrow" w:hAnsi="Arial Narrow"/>
                <w:sz w:val="20"/>
              </w:rPr>
              <w:t>74(1):44-51.</w:t>
            </w:r>
          </w:p>
        </w:tc>
      </w:tr>
      <w:tr w:rsidR="00812FE8" w:rsidRPr="002D023E" w:rsidTr="008763E6">
        <w:trPr>
          <w:cantSplit/>
        </w:trPr>
        <w:tc>
          <w:tcPr>
            <w:tcW w:w="1134" w:type="dxa"/>
            <w:vMerge/>
            <w:shd w:val="clear" w:color="auto" w:fill="auto"/>
          </w:tcPr>
          <w:p w:rsidR="00812FE8" w:rsidRPr="002D023E" w:rsidRDefault="00812FE8" w:rsidP="008763E6">
            <w:pPr>
              <w:jc w:val="left"/>
              <w:rPr>
                <w:rFonts w:ascii="Arial Narrow" w:hAnsi="Arial Narrow"/>
                <w:sz w:val="20"/>
              </w:rPr>
            </w:pPr>
          </w:p>
        </w:tc>
        <w:tc>
          <w:tcPr>
            <w:tcW w:w="5245" w:type="dxa"/>
            <w:shd w:val="clear" w:color="auto" w:fill="auto"/>
          </w:tcPr>
          <w:p w:rsidR="00812FE8" w:rsidRPr="002D023E" w:rsidRDefault="00812FE8" w:rsidP="008763E6">
            <w:pPr>
              <w:jc w:val="left"/>
              <w:rPr>
                <w:rFonts w:ascii="Arial Narrow" w:hAnsi="Arial Narrow"/>
                <w:i/>
                <w:iCs/>
                <w:sz w:val="20"/>
              </w:rPr>
            </w:pPr>
            <w:r w:rsidRPr="002D023E">
              <w:rPr>
                <w:rFonts w:ascii="Arial Narrow" w:hAnsi="Arial Narrow"/>
                <w:i/>
                <w:iCs/>
                <w:sz w:val="20"/>
              </w:rPr>
              <w:t>Mease P, Deodhar A, Fleischmann R, et al. Effect of certolizumab pegol over 96</w:t>
            </w:r>
            <w:r w:rsidRPr="002D023E">
              <w:rPr>
                <w:i/>
                <w:iCs/>
                <w:sz w:val="20"/>
              </w:rPr>
              <w:t> </w:t>
            </w:r>
            <w:r w:rsidRPr="002D023E">
              <w:rPr>
                <w:rFonts w:ascii="Arial Narrow" w:hAnsi="Arial Narrow"/>
                <w:i/>
                <w:iCs/>
                <w:sz w:val="20"/>
              </w:rPr>
              <w:t>weeks in patients with psoriatic arthritis with and without prior antitumour necrosis factor exposure.</w:t>
            </w:r>
          </w:p>
        </w:tc>
        <w:tc>
          <w:tcPr>
            <w:tcW w:w="1966" w:type="dxa"/>
          </w:tcPr>
          <w:p w:rsidR="00812FE8" w:rsidRPr="002D023E" w:rsidRDefault="00812FE8" w:rsidP="008763E6">
            <w:pPr>
              <w:jc w:val="left"/>
              <w:rPr>
                <w:rFonts w:ascii="Arial Narrow" w:hAnsi="Arial Narrow"/>
                <w:i/>
                <w:iCs/>
                <w:sz w:val="20"/>
              </w:rPr>
            </w:pPr>
            <w:r w:rsidRPr="002D023E">
              <w:rPr>
                <w:rFonts w:ascii="Arial Narrow" w:hAnsi="Arial Narrow"/>
                <w:i/>
                <w:iCs/>
                <w:sz w:val="20"/>
              </w:rPr>
              <w:t>RMD Open 2015; 1(1):e000119.</w:t>
            </w:r>
          </w:p>
        </w:tc>
      </w:tr>
      <w:tr w:rsidR="00812FE8" w:rsidRPr="002D023E" w:rsidTr="008763E6">
        <w:trPr>
          <w:cantSplit/>
        </w:trPr>
        <w:tc>
          <w:tcPr>
            <w:tcW w:w="8345" w:type="dxa"/>
            <w:gridSpan w:val="3"/>
            <w:shd w:val="clear" w:color="auto" w:fill="auto"/>
          </w:tcPr>
          <w:p w:rsidR="00812FE8" w:rsidRPr="002D023E" w:rsidRDefault="00812FE8" w:rsidP="008763E6">
            <w:pPr>
              <w:jc w:val="left"/>
              <w:rPr>
                <w:rFonts w:ascii="Arial Narrow" w:hAnsi="Arial Narrow"/>
                <w:b/>
                <w:bCs/>
                <w:i/>
                <w:iCs/>
                <w:sz w:val="20"/>
              </w:rPr>
            </w:pPr>
            <w:r w:rsidRPr="002D023E">
              <w:rPr>
                <w:rFonts w:ascii="Arial Narrow" w:hAnsi="Arial Narrow"/>
                <w:b/>
                <w:bCs/>
                <w:i/>
                <w:iCs/>
                <w:sz w:val="20"/>
              </w:rPr>
              <w:t>Ustekinumab vs placebo</w:t>
            </w:r>
          </w:p>
        </w:tc>
      </w:tr>
      <w:tr w:rsidR="00812FE8" w:rsidRPr="002D023E" w:rsidTr="008763E6">
        <w:trPr>
          <w:cantSplit/>
        </w:trPr>
        <w:tc>
          <w:tcPr>
            <w:tcW w:w="1134" w:type="dxa"/>
            <w:shd w:val="clear" w:color="auto" w:fill="auto"/>
          </w:tcPr>
          <w:p w:rsidR="00812FE8" w:rsidRPr="002D023E" w:rsidRDefault="00812FE8" w:rsidP="008763E6">
            <w:pPr>
              <w:jc w:val="left"/>
              <w:rPr>
                <w:rFonts w:ascii="Arial Narrow" w:hAnsi="Arial Narrow"/>
                <w:i/>
                <w:iCs/>
                <w:sz w:val="20"/>
              </w:rPr>
            </w:pPr>
            <w:r w:rsidRPr="002D023E">
              <w:rPr>
                <w:rFonts w:ascii="Arial Narrow" w:hAnsi="Arial Narrow"/>
                <w:i/>
                <w:iCs/>
                <w:sz w:val="20"/>
              </w:rPr>
              <w:t>PSUMMIT-1</w:t>
            </w:r>
          </w:p>
        </w:tc>
        <w:tc>
          <w:tcPr>
            <w:tcW w:w="5245" w:type="dxa"/>
            <w:shd w:val="clear" w:color="auto" w:fill="auto"/>
          </w:tcPr>
          <w:p w:rsidR="00812FE8" w:rsidRPr="002D023E" w:rsidRDefault="00812FE8" w:rsidP="008763E6">
            <w:pPr>
              <w:jc w:val="left"/>
              <w:rPr>
                <w:rFonts w:ascii="Arial Narrow" w:hAnsi="Arial Narrow"/>
                <w:i/>
                <w:iCs/>
                <w:sz w:val="20"/>
              </w:rPr>
            </w:pPr>
            <w:r w:rsidRPr="002D023E">
              <w:rPr>
                <w:rFonts w:ascii="Arial Narrow" w:hAnsi="Arial Narrow"/>
                <w:i/>
                <w:iCs/>
                <w:sz w:val="20"/>
              </w:rPr>
              <w:t>McInnes IB, Kavanaugh A, Gottlieb AB, et al. Efficacy and safety of ustekinumab in patients with active psoriatic arthritis: 1 year results of the phase 3, multicentre, double-blind, placebo-controlled PSUMMIT-1 trial.</w:t>
            </w:r>
          </w:p>
        </w:tc>
        <w:tc>
          <w:tcPr>
            <w:tcW w:w="1966" w:type="dxa"/>
          </w:tcPr>
          <w:p w:rsidR="00812FE8" w:rsidRPr="002D023E" w:rsidRDefault="00812FE8" w:rsidP="008763E6">
            <w:pPr>
              <w:jc w:val="left"/>
              <w:rPr>
                <w:rFonts w:ascii="Arial Narrow" w:hAnsi="Arial Narrow"/>
                <w:i/>
                <w:iCs/>
                <w:sz w:val="20"/>
              </w:rPr>
            </w:pPr>
            <w:r w:rsidRPr="002D023E">
              <w:rPr>
                <w:rFonts w:ascii="Arial Narrow" w:hAnsi="Arial Narrow"/>
                <w:i/>
                <w:iCs/>
                <w:sz w:val="20"/>
              </w:rPr>
              <w:t>Lancet 2013; 382(9894):780-9.</w:t>
            </w:r>
          </w:p>
        </w:tc>
      </w:tr>
      <w:tr w:rsidR="00812FE8" w:rsidRPr="002D023E" w:rsidTr="008763E6">
        <w:trPr>
          <w:cantSplit/>
        </w:trPr>
        <w:tc>
          <w:tcPr>
            <w:tcW w:w="1134" w:type="dxa"/>
            <w:shd w:val="clear" w:color="auto" w:fill="auto"/>
          </w:tcPr>
          <w:p w:rsidR="00812FE8" w:rsidRPr="002D023E" w:rsidRDefault="00812FE8" w:rsidP="008763E6">
            <w:pPr>
              <w:jc w:val="left"/>
              <w:rPr>
                <w:rFonts w:ascii="Arial Narrow" w:hAnsi="Arial Narrow"/>
                <w:i/>
                <w:iCs/>
                <w:sz w:val="20"/>
              </w:rPr>
            </w:pPr>
            <w:r w:rsidRPr="002D023E">
              <w:rPr>
                <w:rFonts w:ascii="Arial Narrow" w:hAnsi="Arial Narrow"/>
                <w:i/>
                <w:iCs/>
                <w:sz w:val="20"/>
              </w:rPr>
              <w:lastRenderedPageBreak/>
              <w:t>PSUMMIT-2</w:t>
            </w:r>
          </w:p>
        </w:tc>
        <w:tc>
          <w:tcPr>
            <w:tcW w:w="5245" w:type="dxa"/>
            <w:shd w:val="clear" w:color="auto" w:fill="auto"/>
          </w:tcPr>
          <w:p w:rsidR="00812FE8" w:rsidRPr="002D023E" w:rsidRDefault="00812FE8" w:rsidP="008763E6">
            <w:pPr>
              <w:jc w:val="left"/>
              <w:rPr>
                <w:rFonts w:ascii="Arial Narrow" w:hAnsi="Arial Narrow"/>
                <w:i/>
                <w:iCs/>
                <w:sz w:val="20"/>
              </w:rPr>
            </w:pPr>
            <w:r w:rsidRPr="002D023E">
              <w:rPr>
                <w:rFonts w:ascii="Arial Narrow" w:hAnsi="Arial Narrow"/>
                <w:i/>
                <w:iCs/>
                <w:sz w:val="20"/>
              </w:rPr>
              <w:t>Ritchlin C, Rahman P, Kavanaugh A, et al. Efficacy and safety of the anti-IL-12/23 p40 monoclonal antibody, ustekinumab, in patients with active psoriatic arthritis despite conventional non-biological and biological anti-tumour necrosis factor therapy: 6-month and 1-year results of the phase 3, multicentre, double-blind, placebo-controlled, randomised PSUMMIT 2 trial.</w:t>
            </w:r>
          </w:p>
        </w:tc>
        <w:tc>
          <w:tcPr>
            <w:tcW w:w="1966" w:type="dxa"/>
          </w:tcPr>
          <w:p w:rsidR="00812FE8" w:rsidRPr="002D023E" w:rsidRDefault="00812FE8" w:rsidP="008763E6">
            <w:pPr>
              <w:jc w:val="left"/>
              <w:rPr>
                <w:rFonts w:ascii="Arial Narrow" w:hAnsi="Arial Narrow"/>
                <w:i/>
                <w:iCs/>
                <w:sz w:val="20"/>
              </w:rPr>
            </w:pPr>
            <w:r w:rsidRPr="002D023E">
              <w:rPr>
                <w:rFonts w:ascii="Arial Narrow" w:hAnsi="Arial Narrow"/>
                <w:i/>
                <w:iCs/>
                <w:sz w:val="20"/>
              </w:rPr>
              <w:t>Annals of the Rheumatic Diseases 2014; 73(6):990-9.</w:t>
            </w:r>
          </w:p>
        </w:tc>
      </w:tr>
      <w:tr w:rsidR="00812FE8" w:rsidRPr="002D023E" w:rsidTr="008763E6">
        <w:trPr>
          <w:cantSplit/>
        </w:trPr>
        <w:tc>
          <w:tcPr>
            <w:tcW w:w="1134" w:type="dxa"/>
            <w:shd w:val="clear" w:color="auto" w:fill="auto"/>
          </w:tcPr>
          <w:p w:rsidR="00812FE8" w:rsidRPr="002D023E" w:rsidRDefault="00812FE8" w:rsidP="008763E6">
            <w:pPr>
              <w:jc w:val="left"/>
              <w:rPr>
                <w:rFonts w:ascii="Arial Narrow" w:hAnsi="Arial Narrow"/>
                <w:i/>
                <w:iCs/>
                <w:sz w:val="20"/>
              </w:rPr>
            </w:pPr>
            <w:r w:rsidRPr="002D023E">
              <w:rPr>
                <w:rFonts w:ascii="Arial Narrow" w:hAnsi="Arial Narrow"/>
                <w:i/>
                <w:iCs/>
                <w:sz w:val="20"/>
              </w:rPr>
              <w:t xml:space="preserve">PSUMMIT-1 and  PSUMMIT-2 </w:t>
            </w:r>
          </w:p>
        </w:tc>
        <w:tc>
          <w:tcPr>
            <w:tcW w:w="5245" w:type="dxa"/>
            <w:shd w:val="clear" w:color="auto" w:fill="auto"/>
          </w:tcPr>
          <w:p w:rsidR="00812FE8" w:rsidRPr="002D023E" w:rsidRDefault="00812FE8" w:rsidP="008763E6">
            <w:pPr>
              <w:jc w:val="left"/>
              <w:rPr>
                <w:rFonts w:ascii="Arial Narrow" w:hAnsi="Arial Narrow"/>
                <w:i/>
                <w:iCs/>
                <w:sz w:val="20"/>
              </w:rPr>
            </w:pPr>
            <w:r w:rsidRPr="002D023E">
              <w:rPr>
                <w:rFonts w:ascii="Arial Narrow" w:hAnsi="Arial Narrow"/>
                <w:i/>
                <w:iCs/>
                <w:sz w:val="20"/>
              </w:rPr>
              <w:t>Kavanaugh A, Ritchlin C, Rahman P, et al. Ustekinumab, an anti-IL-12/23 p40 monoclonal antibody, inhibits radiographic progression in patients with active psoriatic arthritis: results of an integrated analysis of radiographic data from the phase 3, multicentre, randomised, double-blind, placebo-controlled PSUMMIT-1 and PSUMMIT-2 trials</w:t>
            </w:r>
          </w:p>
        </w:tc>
        <w:tc>
          <w:tcPr>
            <w:tcW w:w="1966" w:type="dxa"/>
          </w:tcPr>
          <w:p w:rsidR="00812FE8" w:rsidRPr="002D023E" w:rsidRDefault="00812FE8" w:rsidP="008763E6">
            <w:pPr>
              <w:jc w:val="left"/>
              <w:rPr>
                <w:rFonts w:ascii="Arial Narrow" w:hAnsi="Arial Narrow"/>
                <w:i/>
                <w:iCs/>
                <w:sz w:val="20"/>
              </w:rPr>
            </w:pPr>
            <w:r w:rsidRPr="002D023E">
              <w:rPr>
                <w:rFonts w:ascii="Arial Narrow" w:hAnsi="Arial Narrow"/>
                <w:i/>
                <w:iCs/>
                <w:sz w:val="20"/>
              </w:rPr>
              <w:t>Annals of the Rheumatic Diseases 2014; 73(6):1000-6.</w:t>
            </w:r>
          </w:p>
        </w:tc>
      </w:tr>
    </w:tbl>
    <w:p w:rsidR="00812FE8" w:rsidRPr="002D023E" w:rsidRDefault="00812FE8" w:rsidP="00812FE8">
      <w:pPr>
        <w:pStyle w:val="TableFooter"/>
        <w:ind w:left="720"/>
        <w:rPr>
          <w:szCs w:val="22"/>
        </w:rPr>
      </w:pPr>
      <w:r w:rsidRPr="00572D16">
        <w:t xml:space="preserve">Source: Table 8, pp28-32 of the submission and Public Summary Document for ustekinumab, November 2014 PBAC meeting. </w:t>
      </w:r>
      <w:r w:rsidRPr="00572D16">
        <w:rPr>
          <w:i/>
          <w:iCs/>
        </w:rPr>
        <w:t>Additional data in italics extracted during the evaluation. Identified abstract were not included in the table unless there is no full publication available.</w:t>
      </w:r>
    </w:p>
    <w:p w:rsidR="00812FE8" w:rsidRPr="002D023E" w:rsidRDefault="00812FE8" w:rsidP="00812FE8">
      <w:pPr>
        <w:widowControl/>
        <w:rPr>
          <w:szCs w:val="22"/>
        </w:rPr>
      </w:pPr>
    </w:p>
    <w:p w:rsidR="00812FE8" w:rsidRPr="002D023E" w:rsidRDefault="00812FE8" w:rsidP="00812FE8">
      <w:pPr>
        <w:pStyle w:val="ListParagraph"/>
        <w:widowControl/>
        <w:numPr>
          <w:ilvl w:val="1"/>
          <w:numId w:val="7"/>
        </w:numPr>
        <w:rPr>
          <w:szCs w:val="22"/>
        </w:rPr>
      </w:pPr>
      <w:r w:rsidRPr="002D023E">
        <w:rPr>
          <w:szCs w:val="22"/>
        </w:rPr>
        <w:t xml:space="preserve">The key features of the randomised trials are summarised in </w:t>
      </w:r>
      <w:r w:rsidR="004F4CEF">
        <w:rPr>
          <w:szCs w:val="22"/>
        </w:rPr>
        <w:t>Table 2</w:t>
      </w:r>
      <w:r w:rsidRPr="002D023E">
        <w:rPr>
          <w:szCs w:val="22"/>
        </w:rPr>
        <w:t>.</w:t>
      </w:r>
    </w:p>
    <w:p w:rsidR="00812FE8" w:rsidRDefault="00812FE8" w:rsidP="00812FE8"/>
    <w:p w:rsidR="00812FE8" w:rsidRPr="002D53C5" w:rsidRDefault="00812FE8" w:rsidP="00812FE8">
      <w:pPr>
        <w:ind w:left="720"/>
        <w:rPr>
          <w:rFonts w:ascii="Arial Narrow" w:hAnsi="Arial Narrow"/>
          <w:b/>
          <w:bCs/>
          <w:sz w:val="20"/>
        </w:rPr>
      </w:pPr>
      <w:r w:rsidRPr="002D53C5">
        <w:rPr>
          <w:rFonts w:ascii="Arial Narrow" w:hAnsi="Arial Narrow"/>
          <w:b/>
          <w:bCs/>
          <w:sz w:val="20"/>
        </w:rPr>
        <w:t xml:space="preserve">Table </w:t>
      </w:r>
      <w:r>
        <w:rPr>
          <w:rFonts w:ascii="Arial Narrow" w:hAnsi="Arial Narrow"/>
          <w:b/>
          <w:bCs/>
          <w:sz w:val="20"/>
        </w:rPr>
        <w:t>2</w:t>
      </w:r>
      <w:r w:rsidRPr="002D53C5">
        <w:rPr>
          <w:rFonts w:ascii="Arial Narrow" w:hAnsi="Arial Narrow"/>
          <w:b/>
          <w:bCs/>
          <w:sz w:val="20"/>
        </w:rPr>
        <w:t>: Key features of the included evidence</w:t>
      </w:r>
    </w:p>
    <w:tbl>
      <w:tblPr>
        <w:tblW w:w="843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2"/>
        <w:gridCol w:w="426"/>
        <w:gridCol w:w="1863"/>
        <w:gridCol w:w="688"/>
        <w:gridCol w:w="992"/>
        <w:gridCol w:w="2410"/>
        <w:gridCol w:w="1068"/>
      </w:tblGrid>
      <w:tr w:rsidR="00812FE8" w:rsidRPr="002D023E" w:rsidTr="008763E6">
        <w:trPr>
          <w:cantSplit/>
          <w:tblHeader/>
        </w:trPr>
        <w:tc>
          <w:tcPr>
            <w:tcW w:w="992" w:type="dxa"/>
            <w:shd w:val="clear" w:color="auto" w:fill="auto"/>
            <w:vAlign w:val="center"/>
          </w:tcPr>
          <w:p w:rsidR="00812FE8" w:rsidRPr="002D023E" w:rsidRDefault="00812FE8" w:rsidP="008763E6">
            <w:pPr>
              <w:jc w:val="left"/>
              <w:rPr>
                <w:rFonts w:ascii="Arial Narrow" w:hAnsi="Arial Narrow"/>
                <w:b/>
                <w:sz w:val="20"/>
              </w:rPr>
            </w:pPr>
            <w:r w:rsidRPr="002D023E">
              <w:rPr>
                <w:rFonts w:ascii="Arial Narrow" w:hAnsi="Arial Narrow"/>
                <w:b/>
                <w:sz w:val="20"/>
              </w:rPr>
              <w:t>Trial</w:t>
            </w:r>
          </w:p>
        </w:tc>
        <w:tc>
          <w:tcPr>
            <w:tcW w:w="426" w:type="dxa"/>
            <w:shd w:val="clear" w:color="auto" w:fill="auto"/>
            <w:vAlign w:val="center"/>
          </w:tcPr>
          <w:p w:rsidR="00812FE8" w:rsidRPr="002D023E" w:rsidRDefault="00812FE8" w:rsidP="008763E6">
            <w:pPr>
              <w:jc w:val="center"/>
              <w:rPr>
                <w:rFonts w:ascii="Arial Narrow" w:hAnsi="Arial Narrow"/>
                <w:b/>
                <w:sz w:val="20"/>
              </w:rPr>
            </w:pPr>
            <w:r w:rsidRPr="002D023E">
              <w:rPr>
                <w:rFonts w:ascii="Arial Narrow" w:hAnsi="Arial Narrow"/>
                <w:b/>
                <w:sz w:val="20"/>
              </w:rPr>
              <w:t>N*</w:t>
            </w:r>
          </w:p>
        </w:tc>
        <w:tc>
          <w:tcPr>
            <w:tcW w:w="1863" w:type="dxa"/>
            <w:shd w:val="clear" w:color="auto" w:fill="auto"/>
            <w:vAlign w:val="center"/>
          </w:tcPr>
          <w:p w:rsidR="00812FE8" w:rsidRPr="002D023E" w:rsidRDefault="00812FE8" w:rsidP="008763E6">
            <w:pPr>
              <w:jc w:val="center"/>
              <w:rPr>
                <w:rFonts w:ascii="Arial Narrow" w:hAnsi="Arial Narrow"/>
                <w:b/>
                <w:sz w:val="20"/>
              </w:rPr>
            </w:pPr>
            <w:r w:rsidRPr="002D023E">
              <w:rPr>
                <w:rFonts w:ascii="Arial Narrow" w:hAnsi="Arial Narrow"/>
                <w:b/>
                <w:sz w:val="20"/>
              </w:rPr>
              <w:t>Design / duration</w:t>
            </w:r>
          </w:p>
        </w:tc>
        <w:tc>
          <w:tcPr>
            <w:tcW w:w="688" w:type="dxa"/>
            <w:shd w:val="clear" w:color="auto" w:fill="auto"/>
            <w:vAlign w:val="center"/>
          </w:tcPr>
          <w:p w:rsidR="00812FE8" w:rsidRPr="002D023E" w:rsidRDefault="00812FE8" w:rsidP="008763E6">
            <w:pPr>
              <w:jc w:val="center"/>
              <w:rPr>
                <w:rFonts w:ascii="Arial Narrow" w:hAnsi="Arial Narrow"/>
                <w:b/>
                <w:sz w:val="20"/>
              </w:rPr>
            </w:pPr>
            <w:r w:rsidRPr="002D023E">
              <w:rPr>
                <w:rFonts w:ascii="Arial Narrow" w:hAnsi="Arial Narrow"/>
                <w:b/>
                <w:sz w:val="20"/>
              </w:rPr>
              <w:t>Risk of bias</w:t>
            </w:r>
          </w:p>
        </w:tc>
        <w:tc>
          <w:tcPr>
            <w:tcW w:w="992" w:type="dxa"/>
            <w:shd w:val="clear" w:color="auto" w:fill="auto"/>
            <w:vAlign w:val="center"/>
          </w:tcPr>
          <w:p w:rsidR="00812FE8" w:rsidRPr="002D023E" w:rsidRDefault="00812FE8" w:rsidP="008763E6">
            <w:pPr>
              <w:jc w:val="center"/>
              <w:rPr>
                <w:rFonts w:ascii="Arial Narrow" w:hAnsi="Arial Narrow"/>
                <w:b/>
                <w:sz w:val="20"/>
              </w:rPr>
            </w:pPr>
            <w:r w:rsidRPr="002D023E">
              <w:rPr>
                <w:rFonts w:ascii="Arial Narrow" w:hAnsi="Arial Narrow"/>
                <w:b/>
                <w:sz w:val="20"/>
              </w:rPr>
              <w:t>Patient population</w:t>
            </w:r>
          </w:p>
        </w:tc>
        <w:tc>
          <w:tcPr>
            <w:tcW w:w="2410" w:type="dxa"/>
            <w:shd w:val="clear" w:color="auto" w:fill="auto"/>
            <w:vAlign w:val="center"/>
          </w:tcPr>
          <w:p w:rsidR="00812FE8" w:rsidRPr="002D023E" w:rsidRDefault="00812FE8" w:rsidP="008763E6">
            <w:pPr>
              <w:jc w:val="center"/>
              <w:rPr>
                <w:rFonts w:ascii="Arial Narrow" w:hAnsi="Arial Narrow"/>
                <w:b/>
                <w:sz w:val="20"/>
              </w:rPr>
            </w:pPr>
            <w:r w:rsidRPr="002D023E">
              <w:rPr>
                <w:rFonts w:ascii="Arial Narrow" w:hAnsi="Arial Narrow"/>
                <w:b/>
                <w:sz w:val="20"/>
              </w:rPr>
              <w:t>Intervention</w:t>
            </w:r>
          </w:p>
        </w:tc>
        <w:tc>
          <w:tcPr>
            <w:tcW w:w="1068" w:type="dxa"/>
            <w:vAlign w:val="center"/>
          </w:tcPr>
          <w:p w:rsidR="00812FE8" w:rsidRPr="002D023E" w:rsidRDefault="00812FE8" w:rsidP="008763E6">
            <w:pPr>
              <w:jc w:val="center"/>
              <w:rPr>
                <w:rFonts w:ascii="Arial Narrow" w:hAnsi="Arial Narrow"/>
                <w:b/>
                <w:sz w:val="20"/>
              </w:rPr>
            </w:pPr>
            <w:r w:rsidRPr="002D023E">
              <w:rPr>
                <w:rFonts w:ascii="Arial Narrow" w:hAnsi="Arial Narrow"/>
                <w:b/>
                <w:sz w:val="20"/>
              </w:rPr>
              <w:t>Key outcome(s)</w:t>
            </w:r>
          </w:p>
        </w:tc>
      </w:tr>
      <w:tr w:rsidR="00812FE8" w:rsidRPr="002D023E" w:rsidTr="008763E6">
        <w:trPr>
          <w:cantSplit/>
        </w:trPr>
        <w:tc>
          <w:tcPr>
            <w:tcW w:w="8439" w:type="dxa"/>
            <w:gridSpan w:val="7"/>
            <w:shd w:val="clear" w:color="auto" w:fill="auto"/>
            <w:vAlign w:val="center"/>
          </w:tcPr>
          <w:p w:rsidR="00812FE8" w:rsidRPr="002D023E" w:rsidRDefault="00812FE8" w:rsidP="008763E6">
            <w:pPr>
              <w:jc w:val="left"/>
              <w:rPr>
                <w:rFonts w:ascii="Arial Narrow" w:hAnsi="Arial Narrow"/>
                <w:b/>
                <w:bCs/>
                <w:sz w:val="20"/>
              </w:rPr>
            </w:pPr>
            <w:r w:rsidRPr="002D023E">
              <w:rPr>
                <w:rFonts w:ascii="Arial Narrow" w:hAnsi="Arial Narrow"/>
                <w:b/>
                <w:bCs/>
                <w:sz w:val="20"/>
                <w:szCs w:val="18"/>
              </w:rPr>
              <w:t>Secukinumab vs placebo</w:t>
            </w:r>
          </w:p>
        </w:tc>
      </w:tr>
      <w:tr w:rsidR="00812FE8" w:rsidRPr="002D023E" w:rsidTr="008763E6">
        <w:trPr>
          <w:cantSplit/>
          <w:trHeight w:val="556"/>
        </w:trPr>
        <w:tc>
          <w:tcPr>
            <w:tcW w:w="992" w:type="dxa"/>
            <w:shd w:val="clear" w:color="auto" w:fill="auto"/>
            <w:vAlign w:val="center"/>
          </w:tcPr>
          <w:p w:rsidR="00812FE8" w:rsidRPr="002D023E" w:rsidRDefault="00812FE8" w:rsidP="008763E6">
            <w:pPr>
              <w:jc w:val="left"/>
              <w:rPr>
                <w:rFonts w:ascii="Arial Narrow" w:hAnsi="Arial Narrow"/>
                <w:sz w:val="20"/>
              </w:rPr>
            </w:pPr>
            <w:r w:rsidRPr="002D023E">
              <w:rPr>
                <w:rFonts w:ascii="Arial Narrow" w:hAnsi="Arial Narrow"/>
                <w:sz w:val="20"/>
              </w:rPr>
              <w:t>FUTURE2</w:t>
            </w:r>
          </w:p>
        </w:tc>
        <w:tc>
          <w:tcPr>
            <w:tcW w:w="426" w:type="dxa"/>
            <w:shd w:val="clear" w:color="auto" w:fill="auto"/>
            <w:vAlign w:val="center"/>
          </w:tcPr>
          <w:p w:rsidR="00812FE8" w:rsidRPr="002D023E" w:rsidRDefault="00812FE8" w:rsidP="008763E6">
            <w:pPr>
              <w:jc w:val="center"/>
              <w:rPr>
                <w:rFonts w:ascii="Arial Narrow" w:hAnsi="Arial Narrow"/>
                <w:sz w:val="20"/>
              </w:rPr>
            </w:pPr>
            <w:r w:rsidRPr="002D023E">
              <w:rPr>
                <w:rFonts w:ascii="Arial Narrow" w:hAnsi="Arial Narrow"/>
                <w:sz w:val="20"/>
              </w:rPr>
              <w:t>397</w:t>
            </w:r>
          </w:p>
        </w:tc>
        <w:tc>
          <w:tcPr>
            <w:tcW w:w="1863" w:type="dxa"/>
            <w:vMerge w:val="restart"/>
            <w:shd w:val="clear" w:color="auto" w:fill="auto"/>
            <w:vAlign w:val="center"/>
          </w:tcPr>
          <w:p w:rsidR="00812FE8" w:rsidRPr="002D023E" w:rsidRDefault="00812FE8" w:rsidP="008763E6">
            <w:pPr>
              <w:jc w:val="center"/>
              <w:rPr>
                <w:rFonts w:ascii="Arial Narrow" w:hAnsi="Arial Narrow"/>
                <w:sz w:val="20"/>
              </w:rPr>
            </w:pPr>
            <w:r w:rsidRPr="002D023E">
              <w:rPr>
                <w:rFonts w:ascii="Arial Narrow" w:hAnsi="Arial Narrow"/>
                <w:sz w:val="20"/>
              </w:rPr>
              <w:t xml:space="preserve">R, DB, MC for 52 wks. </w:t>
            </w:r>
          </w:p>
          <w:p w:rsidR="00812FE8" w:rsidRPr="002D023E" w:rsidRDefault="00812FE8" w:rsidP="008763E6">
            <w:pPr>
              <w:jc w:val="center"/>
              <w:rPr>
                <w:rFonts w:ascii="Arial Narrow" w:hAnsi="Arial Narrow"/>
                <w:sz w:val="20"/>
              </w:rPr>
            </w:pPr>
            <w:r w:rsidRPr="002D023E">
              <w:rPr>
                <w:rFonts w:ascii="Arial Narrow" w:hAnsi="Arial Narrow"/>
                <w:sz w:val="20"/>
              </w:rPr>
              <w:t xml:space="preserve">PBO arm </w:t>
            </w:r>
            <w:r>
              <w:rPr>
                <w:rFonts w:ascii="Arial Narrow" w:hAnsi="Arial Narrow"/>
                <w:sz w:val="20"/>
              </w:rPr>
              <w:t>CO</w:t>
            </w:r>
            <w:r w:rsidRPr="002D023E">
              <w:rPr>
                <w:rFonts w:ascii="Arial Narrow" w:hAnsi="Arial Narrow"/>
                <w:sz w:val="20"/>
              </w:rPr>
              <w:t xml:space="preserve"> at Wk 16 (non-responders</w:t>
            </w:r>
            <w:r w:rsidRPr="002D023E">
              <w:rPr>
                <w:rFonts w:ascii="Arial Narrow" w:hAnsi="Arial Narrow"/>
                <w:sz w:val="20"/>
                <w:vertAlign w:val="superscript"/>
              </w:rPr>
              <w:t>a</w:t>
            </w:r>
            <w:r w:rsidRPr="002D023E">
              <w:rPr>
                <w:rFonts w:ascii="Arial Narrow" w:hAnsi="Arial Narrow"/>
                <w:sz w:val="20"/>
              </w:rPr>
              <w:t xml:space="preserve">) or Wk 24 (responders). OL extension up to 256 wks. </w:t>
            </w:r>
          </w:p>
        </w:tc>
        <w:tc>
          <w:tcPr>
            <w:tcW w:w="688" w:type="dxa"/>
            <w:shd w:val="clear" w:color="auto" w:fill="auto"/>
            <w:vAlign w:val="center"/>
          </w:tcPr>
          <w:p w:rsidR="00812FE8" w:rsidRPr="002D023E" w:rsidRDefault="00812FE8" w:rsidP="008763E6">
            <w:pPr>
              <w:jc w:val="center"/>
              <w:rPr>
                <w:rFonts w:ascii="Arial Narrow" w:hAnsi="Arial Narrow"/>
                <w:i/>
                <w:iCs/>
                <w:sz w:val="20"/>
              </w:rPr>
            </w:pPr>
            <w:r w:rsidRPr="002D023E">
              <w:rPr>
                <w:rFonts w:ascii="Arial Narrow" w:hAnsi="Arial Narrow"/>
                <w:i/>
                <w:iCs/>
                <w:sz w:val="20"/>
              </w:rPr>
              <w:t>Low</w:t>
            </w:r>
          </w:p>
        </w:tc>
        <w:tc>
          <w:tcPr>
            <w:tcW w:w="992" w:type="dxa"/>
            <w:shd w:val="clear" w:color="auto" w:fill="auto"/>
            <w:vAlign w:val="center"/>
          </w:tcPr>
          <w:p w:rsidR="00812FE8" w:rsidRPr="002D023E" w:rsidRDefault="00812FE8" w:rsidP="008763E6">
            <w:pPr>
              <w:jc w:val="center"/>
              <w:rPr>
                <w:rFonts w:ascii="Arial Narrow" w:hAnsi="Arial Narrow"/>
                <w:sz w:val="20"/>
              </w:rPr>
            </w:pPr>
            <w:r>
              <w:rPr>
                <w:rFonts w:ascii="Arial Narrow" w:hAnsi="Arial Narrow"/>
                <w:sz w:val="20"/>
              </w:rPr>
              <w:t>A</w:t>
            </w:r>
            <w:r w:rsidRPr="002D023E">
              <w:rPr>
                <w:rFonts w:ascii="Arial Narrow" w:hAnsi="Arial Narrow"/>
                <w:sz w:val="20"/>
              </w:rPr>
              <w:t>nti-TNFα naïve or experienced</w:t>
            </w:r>
          </w:p>
        </w:tc>
        <w:tc>
          <w:tcPr>
            <w:tcW w:w="2410" w:type="dxa"/>
            <w:vMerge w:val="restart"/>
            <w:shd w:val="clear" w:color="auto" w:fill="auto"/>
            <w:vAlign w:val="center"/>
          </w:tcPr>
          <w:p w:rsidR="00812FE8" w:rsidRPr="002D023E" w:rsidRDefault="00812FE8" w:rsidP="008763E6">
            <w:pPr>
              <w:jc w:val="center"/>
              <w:rPr>
                <w:rFonts w:ascii="Arial Narrow" w:hAnsi="Arial Narrow"/>
                <w:sz w:val="20"/>
              </w:rPr>
            </w:pPr>
            <w:r w:rsidRPr="002D023E">
              <w:rPr>
                <w:rFonts w:ascii="Arial Narrow" w:hAnsi="Arial Narrow"/>
                <w:sz w:val="20"/>
              </w:rPr>
              <w:t>SEC 75mg or SEC 15</w:t>
            </w:r>
            <w:r w:rsidR="00992EE2">
              <w:rPr>
                <w:rFonts w:ascii="Arial Narrow" w:hAnsi="Arial Narrow"/>
                <w:sz w:val="20"/>
              </w:rPr>
              <w:t>0 mg</w:t>
            </w:r>
            <w:r w:rsidRPr="002D023E">
              <w:rPr>
                <w:rFonts w:ascii="Arial Narrow" w:hAnsi="Arial Narrow"/>
                <w:sz w:val="20"/>
              </w:rPr>
              <w:t xml:space="preserve"> or SEC 30</w:t>
            </w:r>
            <w:r w:rsidR="00992EE2">
              <w:rPr>
                <w:rFonts w:ascii="Arial Narrow" w:hAnsi="Arial Narrow"/>
                <w:sz w:val="20"/>
              </w:rPr>
              <w:t>0 mg</w:t>
            </w:r>
            <w:r w:rsidRPr="002D023E">
              <w:rPr>
                <w:rFonts w:ascii="Arial Narrow" w:hAnsi="Arial Narrow"/>
                <w:sz w:val="20"/>
              </w:rPr>
              <w:t xml:space="preserve"> vs PBO at Wk 0, 1, 2, 3, 4, then every 4 wks. PBO arm re-randomised to SEC 15</w:t>
            </w:r>
            <w:r w:rsidR="00992EE2">
              <w:rPr>
                <w:rFonts w:ascii="Arial Narrow" w:hAnsi="Arial Narrow"/>
                <w:sz w:val="20"/>
              </w:rPr>
              <w:t>0 mg</w:t>
            </w:r>
            <w:r w:rsidRPr="002D023E">
              <w:rPr>
                <w:rFonts w:ascii="Arial Narrow" w:hAnsi="Arial Narrow"/>
                <w:sz w:val="20"/>
              </w:rPr>
              <w:t xml:space="preserve"> or SEC 30</w:t>
            </w:r>
            <w:r w:rsidR="00992EE2">
              <w:rPr>
                <w:rFonts w:ascii="Arial Narrow" w:hAnsi="Arial Narrow"/>
                <w:sz w:val="20"/>
              </w:rPr>
              <w:t>0 mg</w:t>
            </w:r>
            <w:r w:rsidRPr="002D023E">
              <w:rPr>
                <w:rFonts w:ascii="Arial Narrow" w:hAnsi="Arial Narrow"/>
                <w:sz w:val="20"/>
              </w:rPr>
              <w:t xml:space="preserve"> at Wk 16/24.</w:t>
            </w:r>
          </w:p>
        </w:tc>
        <w:tc>
          <w:tcPr>
            <w:tcW w:w="1068" w:type="dxa"/>
            <w:vMerge w:val="restart"/>
            <w:vAlign w:val="center"/>
          </w:tcPr>
          <w:p w:rsidR="00812FE8" w:rsidRPr="002D023E" w:rsidRDefault="00812FE8" w:rsidP="008763E6">
            <w:pPr>
              <w:jc w:val="center"/>
              <w:rPr>
                <w:rFonts w:ascii="Arial Narrow" w:hAnsi="Arial Narrow"/>
                <w:sz w:val="20"/>
              </w:rPr>
            </w:pPr>
            <w:r w:rsidRPr="002D023E">
              <w:rPr>
                <w:rFonts w:ascii="Arial Narrow" w:hAnsi="Arial Narrow"/>
                <w:sz w:val="20"/>
              </w:rPr>
              <w:t>ACR20 at Wk 24, ACR50</w:t>
            </w:r>
          </w:p>
        </w:tc>
      </w:tr>
      <w:tr w:rsidR="00812FE8" w:rsidRPr="002D023E" w:rsidTr="008763E6">
        <w:trPr>
          <w:cantSplit/>
          <w:trHeight w:val="343"/>
        </w:trPr>
        <w:tc>
          <w:tcPr>
            <w:tcW w:w="992" w:type="dxa"/>
            <w:shd w:val="clear" w:color="auto" w:fill="auto"/>
            <w:vAlign w:val="center"/>
          </w:tcPr>
          <w:p w:rsidR="00812FE8" w:rsidRPr="002D023E" w:rsidRDefault="00812FE8" w:rsidP="008763E6">
            <w:pPr>
              <w:ind w:left="142"/>
              <w:jc w:val="left"/>
              <w:rPr>
                <w:rFonts w:ascii="Arial Narrow" w:hAnsi="Arial Narrow"/>
                <w:i/>
                <w:iCs/>
                <w:sz w:val="20"/>
              </w:rPr>
            </w:pPr>
            <w:r w:rsidRPr="002D023E">
              <w:rPr>
                <w:rFonts w:ascii="Arial Narrow" w:hAnsi="Arial Narrow"/>
                <w:i/>
                <w:iCs/>
                <w:sz w:val="20"/>
              </w:rPr>
              <w:t xml:space="preserve">Anti-TNFα naïve </w:t>
            </w:r>
          </w:p>
        </w:tc>
        <w:tc>
          <w:tcPr>
            <w:tcW w:w="426" w:type="dxa"/>
            <w:shd w:val="clear" w:color="auto" w:fill="auto"/>
            <w:vAlign w:val="center"/>
          </w:tcPr>
          <w:p w:rsidR="00812FE8" w:rsidRPr="002D023E" w:rsidRDefault="00812FE8" w:rsidP="008763E6">
            <w:pPr>
              <w:jc w:val="center"/>
              <w:rPr>
                <w:rFonts w:ascii="Arial Narrow" w:hAnsi="Arial Narrow"/>
                <w:i/>
                <w:iCs/>
                <w:sz w:val="20"/>
              </w:rPr>
            </w:pPr>
            <w:r w:rsidRPr="002D023E">
              <w:rPr>
                <w:rFonts w:ascii="Arial Narrow" w:hAnsi="Arial Narrow"/>
                <w:i/>
                <w:iCs/>
                <w:sz w:val="20"/>
              </w:rPr>
              <w:t>180</w:t>
            </w:r>
          </w:p>
        </w:tc>
        <w:tc>
          <w:tcPr>
            <w:tcW w:w="1863" w:type="dxa"/>
            <w:vMerge/>
            <w:shd w:val="clear" w:color="auto" w:fill="auto"/>
            <w:vAlign w:val="center"/>
          </w:tcPr>
          <w:p w:rsidR="00812FE8" w:rsidRPr="002D023E" w:rsidRDefault="00812FE8" w:rsidP="008763E6">
            <w:pPr>
              <w:jc w:val="center"/>
              <w:rPr>
                <w:rFonts w:ascii="Arial Narrow" w:hAnsi="Arial Narrow"/>
                <w:i/>
                <w:iCs/>
                <w:sz w:val="20"/>
              </w:rPr>
            </w:pPr>
          </w:p>
        </w:tc>
        <w:tc>
          <w:tcPr>
            <w:tcW w:w="688" w:type="dxa"/>
            <w:shd w:val="clear" w:color="auto" w:fill="auto"/>
            <w:vAlign w:val="center"/>
          </w:tcPr>
          <w:p w:rsidR="00812FE8" w:rsidRPr="002D023E" w:rsidRDefault="00812FE8" w:rsidP="008763E6">
            <w:pPr>
              <w:jc w:val="center"/>
              <w:rPr>
                <w:rFonts w:ascii="Arial Narrow" w:hAnsi="Arial Narrow"/>
                <w:i/>
                <w:iCs/>
                <w:sz w:val="20"/>
              </w:rPr>
            </w:pPr>
            <w:r w:rsidRPr="002D023E">
              <w:rPr>
                <w:rFonts w:ascii="Arial Narrow" w:hAnsi="Arial Narrow"/>
                <w:i/>
                <w:iCs/>
                <w:sz w:val="20"/>
              </w:rPr>
              <w:t>Unclear</w:t>
            </w:r>
          </w:p>
        </w:tc>
        <w:tc>
          <w:tcPr>
            <w:tcW w:w="992" w:type="dxa"/>
            <w:shd w:val="clear" w:color="auto" w:fill="auto"/>
            <w:vAlign w:val="center"/>
          </w:tcPr>
          <w:p w:rsidR="00812FE8" w:rsidRPr="002D023E" w:rsidRDefault="00812FE8" w:rsidP="008763E6">
            <w:pPr>
              <w:jc w:val="center"/>
              <w:rPr>
                <w:rFonts w:ascii="Arial Narrow" w:hAnsi="Arial Narrow"/>
                <w:i/>
                <w:iCs/>
                <w:sz w:val="20"/>
              </w:rPr>
            </w:pPr>
            <w:r w:rsidRPr="002D023E">
              <w:rPr>
                <w:rFonts w:ascii="Arial Narrow" w:hAnsi="Arial Narrow"/>
                <w:i/>
                <w:iCs/>
                <w:sz w:val="20"/>
              </w:rPr>
              <w:t>Anti-TNFα naïve only</w:t>
            </w:r>
          </w:p>
        </w:tc>
        <w:tc>
          <w:tcPr>
            <w:tcW w:w="2410" w:type="dxa"/>
            <w:vMerge/>
            <w:shd w:val="clear" w:color="auto" w:fill="auto"/>
            <w:vAlign w:val="center"/>
          </w:tcPr>
          <w:p w:rsidR="00812FE8" w:rsidRPr="002D023E" w:rsidRDefault="00812FE8" w:rsidP="008763E6">
            <w:pPr>
              <w:jc w:val="center"/>
              <w:rPr>
                <w:rFonts w:ascii="Arial Narrow" w:hAnsi="Arial Narrow"/>
                <w:sz w:val="20"/>
              </w:rPr>
            </w:pPr>
          </w:p>
        </w:tc>
        <w:tc>
          <w:tcPr>
            <w:tcW w:w="1068" w:type="dxa"/>
            <w:vMerge/>
            <w:vAlign w:val="center"/>
          </w:tcPr>
          <w:p w:rsidR="00812FE8" w:rsidRPr="002D023E" w:rsidRDefault="00812FE8" w:rsidP="008763E6">
            <w:pPr>
              <w:jc w:val="center"/>
              <w:rPr>
                <w:rFonts w:ascii="Arial Narrow" w:hAnsi="Arial Narrow"/>
                <w:sz w:val="20"/>
              </w:rPr>
            </w:pPr>
          </w:p>
        </w:tc>
      </w:tr>
      <w:tr w:rsidR="00812FE8" w:rsidRPr="002D023E" w:rsidTr="008763E6">
        <w:trPr>
          <w:cantSplit/>
        </w:trPr>
        <w:tc>
          <w:tcPr>
            <w:tcW w:w="8439" w:type="dxa"/>
            <w:gridSpan w:val="7"/>
            <w:shd w:val="clear" w:color="auto" w:fill="D9D9D9" w:themeFill="background1" w:themeFillShade="D9"/>
            <w:vAlign w:val="center"/>
          </w:tcPr>
          <w:p w:rsidR="00812FE8" w:rsidRPr="002D023E" w:rsidRDefault="00812FE8" w:rsidP="008763E6">
            <w:pPr>
              <w:jc w:val="left"/>
              <w:rPr>
                <w:rFonts w:ascii="Arial Narrow" w:hAnsi="Arial Narrow"/>
                <w:b/>
                <w:bCs/>
                <w:sz w:val="20"/>
              </w:rPr>
            </w:pPr>
            <w:r w:rsidRPr="002D023E">
              <w:rPr>
                <w:rFonts w:ascii="Arial Narrow" w:hAnsi="Arial Narrow"/>
                <w:b/>
                <w:bCs/>
                <w:sz w:val="20"/>
              </w:rPr>
              <w:t>Main comparator</w:t>
            </w:r>
          </w:p>
        </w:tc>
      </w:tr>
      <w:tr w:rsidR="00812FE8" w:rsidRPr="002D023E" w:rsidTr="008763E6">
        <w:trPr>
          <w:cantSplit/>
        </w:trPr>
        <w:tc>
          <w:tcPr>
            <w:tcW w:w="8439" w:type="dxa"/>
            <w:gridSpan w:val="7"/>
            <w:shd w:val="clear" w:color="auto" w:fill="auto"/>
            <w:vAlign w:val="center"/>
          </w:tcPr>
          <w:p w:rsidR="00812FE8" w:rsidRPr="002D023E" w:rsidRDefault="00812FE8" w:rsidP="008763E6">
            <w:pPr>
              <w:jc w:val="left"/>
              <w:rPr>
                <w:rFonts w:ascii="Arial Narrow" w:hAnsi="Arial Narrow"/>
                <w:b/>
                <w:bCs/>
                <w:sz w:val="20"/>
              </w:rPr>
            </w:pPr>
            <w:r w:rsidRPr="002D023E">
              <w:rPr>
                <w:rFonts w:ascii="Arial Narrow" w:hAnsi="Arial Narrow"/>
                <w:b/>
                <w:bCs/>
                <w:iCs/>
                <w:kern w:val="16"/>
                <w:sz w:val="20"/>
                <w:szCs w:val="22"/>
              </w:rPr>
              <w:t>Adalimumab vs placebo</w:t>
            </w:r>
          </w:p>
        </w:tc>
      </w:tr>
      <w:tr w:rsidR="00812FE8" w:rsidRPr="002D023E" w:rsidTr="008763E6">
        <w:trPr>
          <w:cantSplit/>
        </w:trPr>
        <w:tc>
          <w:tcPr>
            <w:tcW w:w="992" w:type="dxa"/>
            <w:shd w:val="clear" w:color="auto" w:fill="auto"/>
            <w:vAlign w:val="center"/>
          </w:tcPr>
          <w:p w:rsidR="00812FE8" w:rsidRPr="002D023E" w:rsidRDefault="00812FE8" w:rsidP="008763E6">
            <w:pPr>
              <w:jc w:val="left"/>
              <w:rPr>
                <w:rFonts w:ascii="Arial Narrow" w:hAnsi="Arial Narrow"/>
                <w:sz w:val="20"/>
              </w:rPr>
            </w:pPr>
            <w:r w:rsidRPr="002D023E">
              <w:rPr>
                <w:rFonts w:ascii="Arial Narrow" w:hAnsi="Arial Narrow"/>
                <w:sz w:val="20"/>
                <w:szCs w:val="18"/>
              </w:rPr>
              <w:t>ADEPT</w:t>
            </w:r>
          </w:p>
        </w:tc>
        <w:tc>
          <w:tcPr>
            <w:tcW w:w="426" w:type="dxa"/>
            <w:shd w:val="clear" w:color="auto" w:fill="auto"/>
            <w:vAlign w:val="center"/>
          </w:tcPr>
          <w:p w:rsidR="00812FE8" w:rsidRPr="002D023E" w:rsidRDefault="00812FE8" w:rsidP="008763E6">
            <w:pPr>
              <w:jc w:val="center"/>
              <w:rPr>
                <w:rFonts w:ascii="Arial Narrow" w:hAnsi="Arial Narrow"/>
                <w:sz w:val="20"/>
              </w:rPr>
            </w:pPr>
            <w:r w:rsidRPr="002D023E">
              <w:rPr>
                <w:rFonts w:ascii="Arial Narrow" w:hAnsi="Arial Narrow"/>
                <w:sz w:val="20"/>
              </w:rPr>
              <w:t>313</w:t>
            </w:r>
          </w:p>
        </w:tc>
        <w:tc>
          <w:tcPr>
            <w:tcW w:w="1863" w:type="dxa"/>
            <w:shd w:val="clear" w:color="auto" w:fill="auto"/>
            <w:vAlign w:val="center"/>
          </w:tcPr>
          <w:p w:rsidR="00812FE8" w:rsidRPr="002D023E" w:rsidRDefault="00812FE8" w:rsidP="008763E6">
            <w:pPr>
              <w:jc w:val="center"/>
              <w:rPr>
                <w:rFonts w:ascii="Arial Narrow" w:hAnsi="Arial Narrow"/>
                <w:sz w:val="20"/>
              </w:rPr>
            </w:pPr>
            <w:r w:rsidRPr="002D023E">
              <w:rPr>
                <w:rFonts w:ascii="Arial Narrow" w:hAnsi="Arial Narrow"/>
                <w:sz w:val="20"/>
              </w:rPr>
              <w:t xml:space="preserve">R, DB, MC for 24 wks. </w:t>
            </w:r>
          </w:p>
          <w:p w:rsidR="00812FE8" w:rsidRPr="002D023E" w:rsidRDefault="00812FE8" w:rsidP="008763E6">
            <w:pPr>
              <w:jc w:val="center"/>
              <w:rPr>
                <w:rFonts w:ascii="Arial Narrow" w:hAnsi="Arial Narrow"/>
                <w:sz w:val="20"/>
              </w:rPr>
            </w:pPr>
            <w:r w:rsidRPr="002D023E">
              <w:rPr>
                <w:rFonts w:ascii="Arial Narrow" w:hAnsi="Arial Narrow"/>
                <w:sz w:val="20"/>
              </w:rPr>
              <w:t>OL extension additional 120 wks.</w:t>
            </w:r>
          </w:p>
        </w:tc>
        <w:tc>
          <w:tcPr>
            <w:tcW w:w="688" w:type="dxa"/>
            <w:shd w:val="clear" w:color="auto" w:fill="auto"/>
            <w:vAlign w:val="center"/>
          </w:tcPr>
          <w:p w:rsidR="00812FE8" w:rsidRPr="002D023E" w:rsidRDefault="00812FE8" w:rsidP="008763E6">
            <w:pPr>
              <w:jc w:val="center"/>
              <w:rPr>
                <w:rFonts w:ascii="Arial Narrow" w:hAnsi="Arial Narrow"/>
                <w:i/>
                <w:iCs/>
                <w:sz w:val="20"/>
              </w:rPr>
            </w:pPr>
            <w:r w:rsidRPr="002D023E">
              <w:rPr>
                <w:rFonts w:ascii="Arial Narrow" w:hAnsi="Arial Narrow"/>
                <w:i/>
                <w:iCs/>
                <w:sz w:val="20"/>
              </w:rPr>
              <w:t>Low</w:t>
            </w:r>
          </w:p>
        </w:tc>
        <w:tc>
          <w:tcPr>
            <w:tcW w:w="992" w:type="dxa"/>
            <w:shd w:val="clear" w:color="auto" w:fill="auto"/>
            <w:vAlign w:val="center"/>
          </w:tcPr>
          <w:p w:rsidR="00812FE8" w:rsidRPr="002D023E" w:rsidRDefault="00812FE8" w:rsidP="008763E6">
            <w:pPr>
              <w:jc w:val="center"/>
              <w:rPr>
                <w:rFonts w:ascii="Arial Narrow" w:hAnsi="Arial Narrow"/>
                <w:sz w:val="20"/>
              </w:rPr>
            </w:pPr>
            <w:r>
              <w:rPr>
                <w:rFonts w:ascii="Arial Narrow" w:hAnsi="Arial Narrow"/>
                <w:sz w:val="20"/>
              </w:rPr>
              <w:t>A</w:t>
            </w:r>
            <w:r w:rsidRPr="002D023E">
              <w:rPr>
                <w:rFonts w:ascii="Arial Narrow" w:hAnsi="Arial Narrow"/>
                <w:sz w:val="20"/>
              </w:rPr>
              <w:t>nti-TNFα naïve</w:t>
            </w:r>
          </w:p>
        </w:tc>
        <w:tc>
          <w:tcPr>
            <w:tcW w:w="2410" w:type="dxa"/>
            <w:shd w:val="clear" w:color="auto" w:fill="auto"/>
            <w:vAlign w:val="center"/>
          </w:tcPr>
          <w:p w:rsidR="00812FE8" w:rsidRPr="002D023E" w:rsidRDefault="00812FE8" w:rsidP="008763E6">
            <w:pPr>
              <w:jc w:val="center"/>
              <w:rPr>
                <w:rFonts w:ascii="Arial Narrow" w:hAnsi="Arial Narrow"/>
                <w:sz w:val="20"/>
              </w:rPr>
            </w:pPr>
            <w:r w:rsidRPr="002D023E">
              <w:rPr>
                <w:rFonts w:ascii="Arial Narrow" w:hAnsi="Arial Narrow"/>
                <w:sz w:val="20"/>
              </w:rPr>
              <w:t>ADA 4</w:t>
            </w:r>
            <w:r w:rsidR="00992EE2">
              <w:rPr>
                <w:rFonts w:ascii="Arial Narrow" w:hAnsi="Arial Narrow"/>
                <w:sz w:val="20"/>
              </w:rPr>
              <w:t>0 mg</w:t>
            </w:r>
            <w:r w:rsidRPr="002D023E">
              <w:rPr>
                <w:rFonts w:ascii="Arial Narrow" w:hAnsi="Arial Narrow"/>
                <w:sz w:val="20"/>
              </w:rPr>
              <w:t xml:space="preserve"> every 2 wk vs PBO every 2 wks. </w:t>
            </w:r>
          </w:p>
          <w:p w:rsidR="00812FE8" w:rsidRPr="002D023E" w:rsidRDefault="00812FE8" w:rsidP="008763E6">
            <w:pPr>
              <w:jc w:val="center"/>
              <w:rPr>
                <w:rFonts w:ascii="Arial Narrow" w:hAnsi="Arial Narrow"/>
                <w:sz w:val="20"/>
              </w:rPr>
            </w:pPr>
            <w:r w:rsidRPr="002D023E">
              <w:rPr>
                <w:rFonts w:ascii="Arial Narrow" w:hAnsi="Arial Narrow"/>
                <w:sz w:val="20"/>
              </w:rPr>
              <w:t>Rescue meds after Wk 12</w:t>
            </w:r>
            <w:r w:rsidRPr="002D023E">
              <w:rPr>
                <w:rFonts w:ascii="Arial Narrow" w:hAnsi="Arial Narrow"/>
                <w:sz w:val="20"/>
                <w:vertAlign w:val="superscript"/>
              </w:rPr>
              <w:t>b</w:t>
            </w:r>
            <w:r w:rsidRPr="002D023E">
              <w:rPr>
                <w:rFonts w:ascii="Arial Narrow" w:hAnsi="Arial Narrow"/>
                <w:sz w:val="20"/>
              </w:rPr>
              <w:t>.</w:t>
            </w:r>
          </w:p>
        </w:tc>
        <w:tc>
          <w:tcPr>
            <w:tcW w:w="1068" w:type="dxa"/>
            <w:vAlign w:val="center"/>
          </w:tcPr>
          <w:p w:rsidR="00812FE8" w:rsidRPr="002D023E" w:rsidRDefault="00812FE8" w:rsidP="008763E6">
            <w:pPr>
              <w:jc w:val="center"/>
              <w:rPr>
                <w:rFonts w:ascii="Arial Narrow" w:hAnsi="Arial Narrow"/>
                <w:sz w:val="20"/>
              </w:rPr>
            </w:pPr>
            <w:r w:rsidRPr="002D023E">
              <w:rPr>
                <w:rFonts w:ascii="Arial Narrow" w:hAnsi="Arial Narrow"/>
                <w:sz w:val="20"/>
              </w:rPr>
              <w:t xml:space="preserve">ACR20 at Wk 12 </w:t>
            </w:r>
            <w:r>
              <w:rPr>
                <w:rFonts w:ascii="Arial Narrow" w:hAnsi="Arial Narrow"/>
                <w:sz w:val="20"/>
              </w:rPr>
              <w:t>&amp;</w:t>
            </w:r>
            <w:r w:rsidRPr="002D023E">
              <w:rPr>
                <w:rFonts w:ascii="Arial Narrow" w:hAnsi="Arial Narrow"/>
                <w:sz w:val="20"/>
              </w:rPr>
              <w:t xml:space="preserve"> change in mTSS at Wk 24, ACR50</w:t>
            </w:r>
          </w:p>
        </w:tc>
      </w:tr>
      <w:tr w:rsidR="00812FE8" w:rsidRPr="002D023E" w:rsidTr="008763E6">
        <w:trPr>
          <w:cantSplit/>
        </w:trPr>
        <w:tc>
          <w:tcPr>
            <w:tcW w:w="992" w:type="dxa"/>
            <w:shd w:val="clear" w:color="auto" w:fill="auto"/>
            <w:vAlign w:val="center"/>
          </w:tcPr>
          <w:p w:rsidR="00812FE8" w:rsidRPr="002D023E" w:rsidRDefault="00812FE8" w:rsidP="008763E6">
            <w:pPr>
              <w:jc w:val="left"/>
              <w:rPr>
                <w:rFonts w:ascii="Arial Narrow" w:hAnsi="Arial Narrow"/>
                <w:sz w:val="20"/>
              </w:rPr>
            </w:pPr>
            <w:r w:rsidRPr="002D023E">
              <w:rPr>
                <w:rFonts w:ascii="Arial Narrow" w:hAnsi="Arial Narrow"/>
                <w:sz w:val="20"/>
                <w:szCs w:val="18"/>
              </w:rPr>
              <w:t>Genovese 2007</w:t>
            </w:r>
          </w:p>
        </w:tc>
        <w:tc>
          <w:tcPr>
            <w:tcW w:w="426" w:type="dxa"/>
            <w:shd w:val="clear" w:color="auto" w:fill="auto"/>
            <w:vAlign w:val="center"/>
          </w:tcPr>
          <w:p w:rsidR="00812FE8" w:rsidRPr="002D023E" w:rsidRDefault="00812FE8" w:rsidP="008763E6">
            <w:pPr>
              <w:jc w:val="center"/>
              <w:rPr>
                <w:rFonts w:ascii="Arial Narrow" w:hAnsi="Arial Narrow"/>
                <w:sz w:val="20"/>
              </w:rPr>
            </w:pPr>
            <w:r w:rsidRPr="002D023E">
              <w:rPr>
                <w:rFonts w:ascii="Arial Narrow" w:hAnsi="Arial Narrow"/>
                <w:sz w:val="20"/>
              </w:rPr>
              <w:t>100</w:t>
            </w:r>
          </w:p>
        </w:tc>
        <w:tc>
          <w:tcPr>
            <w:tcW w:w="1863" w:type="dxa"/>
            <w:shd w:val="clear" w:color="auto" w:fill="auto"/>
            <w:vAlign w:val="center"/>
          </w:tcPr>
          <w:p w:rsidR="00812FE8" w:rsidRPr="002D023E" w:rsidRDefault="00812FE8" w:rsidP="008763E6">
            <w:pPr>
              <w:jc w:val="center"/>
              <w:rPr>
                <w:rFonts w:ascii="Arial Narrow" w:hAnsi="Arial Narrow"/>
                <w:sz w:val="20"/>
              </w:rPr>
            </w:pPr>
            <w:r w:rsidRPr="002D023E">
              <w:rPr>
                <w:rFonts w:ascii="Arial Narrow" w:hAnsi="Arial Narrow"/>
                <w:sz w:val="20"/>
              </w:rPr>
              <w:t>R, DB, MC for 12 wks.</w:t>
            </w:r>
          </w:p>
          <w:p w:rsidR="00812FE8" w:rsidRPr="002D023E" w:rsidRDefault="00812FE8" w:rsidP="008763E6">
            <w:pPr>
              <w:jc w:val="center"/>
              <w:rPr>
                <w:rFonts w:ascii="Arial Narrow" w:hAnsi="Arial Narrow"/>
                <w:sz w:val="20"/>
              </w:rPr>
            </w:pPr>
            <w:r w:rsidRPr="002D023E">
              <w:rPr>
                <w:rFonts w:ascii="Arial Narrow" w:hAnsi="Arial Narrow"/>
                <w:sz w:val="20"/>
              </w:rPr>
              <w:t>OL extension up to 24 wks.</w:t>
            </w:r>
          </w:p>
        </w:tc>
        <w:tc>
          <w:tcPr>
            <w:tcW w:w="688" w:type="dxa"/>
            <w:shd w:val="clear" w:color="auto" w:fill="auto"/>
            <w:vAlign w:val="center"/>
          </w:tcPr>
          <w:p w:rsidR="00812FE8" w:rsidRPr="002D023E" w:rsidRDefault="00812FE8" w:rsidP="008763E6">
            <w:pPr>
              <w:jc w:val="center"/>
              <w:rPr>
                <w:rFonts w:ascii="Arial Narrow" w:hAnsi="Arial Narrow"/>
                <w:i/>
                <w:iCs/>
                <w:sz w:val="20"/>
              </w:rPr>
            </w:pPr>
            <w:r w:rsidRPr="002D023E">
              <w:rPr>
                <w:rFonts w:ascii="Arial Narrow" w:hAnsi="Arial Narrow"/>
                <w:i/>
                <w:iCs/>
                <w:sz w:val="20"/>
              </w:rPr>
              <w:t>Low</w:t>
            </w:r>
          </w:p>
        </w:tc>
        <w:tc>
          <w:tcPr>
            <w:tcW w:w="992" w:type="dxa"/>
            <w:shd w:val="clear" w:color="auto" w:fill="auto"/>
            <w:vAlign w:val="center"/>
          </w:tcPr>
          <w:p w:rsidR="00812FE8" w:rsidRPr="002D023E" w:rsidRDefault="00812FE8" w:rsidP="008763E6">
            <w:pPr>
              <w:jc w:val="center"/>
              <w:rPr>
                <w:rFonts w:ascii="Arial Narrow" w:hAnsi="Arial Narrow"/>
                <w:sz w:val="20"/>
              </w:rPr>
            </w:pPr>
            <w:r>
              <w:rPr>
                <w:rFonts w:ascii="Arial Narrow" w:hAnsi="Arial Narrow"/>
                <w:sz w:val="20"/>
              </w:rPr>
              <w:t>A</w:t>
            </w:r>
            <w:r w:rsidRPr="002D023E">
              <w:rPr>
                <w:rFonts w:ascii="Arial Narrow" w:hAnsi="Arial Narrow"/>
                <w:sz w:val="20"/>
              </w:rPr>
              <w:t>nti-TNFα naïve</w:t>
            </w:r>
          </w:p>
        </w:tc>
        <w:tc>
          <w:tcPr>
            <w:tcW w:w="2410" w:type="dxa"/>
            <w:shd w:val="clear" w:color="auto" w:fill="auto"/>
            <w:vAlign w:val="center"/>
          </w:tcPr>
          <w:p w:rsidR="00812FE8" w:rsidRPr="002D023E" w:rsidRDefault="00812FE8" w:rsidP="008763E6">
            <w:pPr>
              <w:jc w:val="center"/>
              <w:rPr>
                <w:rFonts w:ascii="Arial Narrow" w:hAnsi="Arial Narrow"/>
                <w:sz w:val="20"/>
              </w:rPr>
            </w:pPr>
            <w:r w:rsidRPr="002D023E">
              <w:rPr>
                <w:rFonts w:ascii="Arial Narrow" w:hAnsi="Arial Narrow"/>
                <w:sz w:val="20"/>
              </w:rPr>
              <w:t>ADA 4</w:t>
            </w:r>
            <w:r w:rsidR="00992EE2">
              <w:rPr>
                <w:rFonts w:ascii="Arial Narrow" w:hAnsi="Arial Narrow"/>
                <w:sz w:val="20"/>
              </w:rPr>
              <w:t>0 mg</w:t>
            </w:r>
            <w:r w:rsidRPr="002D023E">
              <w:rPr>
                <w:rFonts w:ascii="Arial Narrow" w:hAnsi="Arial Narrow"/>
                <w:sz w:val="20"/>
              </w:rPr>
              <w:t xml:space="preserve"> every 2 wk vs PBO every 2 wks. </w:t>
            </w:r>
          </w:p>
        </w:tc>
        <w:tc>
          <w:tcPr>
            <w:tcW w:w="1068" w:type="dxa"/>
            <w:vAlign w:val="center"/>
          </w:tcPr>
          <w:p w:rsidR="00812FE8" w:rsidRPr="002D023E" w:rsidRDefault="00812FE8" w:rsidP="008763E6">
            <w:pPr>
              <w:jc w:val="center"/>
              <w:rPr>
                <w:rFonts w:ascii="Arial Narrow" w:hAnsi="Arial Narrow"/>
                <w:sz w:val="20"/>
              </w:rPr>
            </w:pPr>
            <w:r w:rsidRPr="002D023E">
              <w:rPr>
                <w:rFonts w:ascii="Arial Narrow" w:hAnsi="Arial Narrow"/>
                <w:sz w:val="20"/>
              </w:rPr>
              <w:t>ACR20 at Wk 12, ACR 50</w:t>
            </w:r>
          </w:p>
        </w:tc>
      </w:tr>
      <w:tr w:rsidR="00812FE8" w:rsidRPr="002D023E" w:rsidTr="008763E6">
        <w:trPr>
          <w:cantSplit/>
        </w:trPr>
        <w:tc>
          <w:tcPr>
            <w:tcW w:w="8439" w:type="dxa"/>
            <w:gridSpan w:val="7"/>
            <w:shd w:val="clear" w:color="auto" w:fill="D9D9D9" w:themeFill="background1" w:themeFillShade="D9"/>
            <w:vAlign w:val="center"/>
          </w:tcPr>
          <w:p w:rsidR="00812FE8" w:rsidRPr="002D023E" w:rsidRDefault="00812FE8" w:rsidP="008763E6">
            <w:pPr>
              <w:jc w:val="left"/>
              <w:rPr>
                <w:rFonts w:ascii="Arial Narrow" w:hAnsi="Arial Narrow"/>
                <w:b/>
                <w:bCs/>
                <w:sz w:val="20"/>
              </w:rPr>
            </w:pPr>
            <w:r w:rsidRPr="002D023E">
              <w:rPr>
                <w:rFonts w:ascii="Arial Narrow" w:hAnsi="Arial Narrow"/>
                <w:b/>
                <w:bCs/>
                <w:sz w:val="20"/>
              </w:rPr>
              <w:t>Secondary comparators</w:t>
            </w:r>
          </w:p>
        </w:tc>
      </w:tr>
      <w:tr w:rsidR="00812FE8" w:rsidRPr="002D023E" w:rsidTr="008763E6">
        <w:trPr>
          <w:cantSplit/>
        </w:trPr>
        <w:tc>
          <w:tcPr>
            <w:tcW w:w="8439" w:type="dxa"/>
            <w:gridSpan w:val="7"/>
            <w:shd w:val="clear" w:color="auto" w:fill="auto"/>
            <w:vAlign w:val="center"/>
          </w:tcPr>
          <w:p w:rsidR="00812FE8" w:rsidRPr="002D023E" w:rsidRDefault="00812FE8" w:rsidP="008763E6">
            <w:pPr>
              <w:jc w:val="left"/>
              <w:rPr>
                <w:rFonts w:ascii="Arial Narrow" w:hAnsi="Arial Narrow"/>
                <w:b/>
                <w:bCs/>
                <w:sz w:val="20"/>
              </w:rPr>
            </w:pPr>
            <w:r w:rsidRPr="002D023E">
              <w:rPr>
                <w:rFonts w:ascii="Arial Narrow" w:hAnsi="Arial Narrow"/>
                <w:b/>
                <w:bCs/>
                <w:iCs/>
                <w:kern w:val="16"/>
                <w:sz w:val="20"/>
                <w:szCs w:val="22"/>
              </w:rPr>
              <w:t>Etanercept vs placebo</w:t>
            </w:r>
          </w:p>
        </w:tc>
      </w:tr>
      <w:tr w:rsidR="00812FE8" w:rsidRPr="002D023E" w:rsidTr="008763E6">
        <w:trPr>
          <w:cantSplit/>
        </w:trPr>
        <w:tc>
          <w:tcPr>
            <w:tcW w:w="992" w:type="dxa"/>
            <w:shd w:val="clear" w:color="auto" w:fill="auto"/>
            <w:vAlign w:val="center"/>
          </w:tcPr>
          <w:p w:rsidR="00812FE8" w:rsidRPr="002D023E" w:rsidRDefault="00812FE8" w:rsidP="008763E6">
            <w:pPr>
              <w:jc w:val="left"/>
              <w:rPr>
                <w:rFonts w:ascii="Arial Narrow" w:hAnsi="Arial Narrow"/>
                <w:sz w:val="20"/>
              </w:rPr>
            </w:pPr>
            <w:r w:rsidRPr="002D023E">
              <w:rPr>
                <w:rFonts w:ascii="Arial Narrow" w:hAnsi="Arial Narrow"/>
                <w:sz w:val="20"/>
                <w:szCs w:val="18"/>
              </w:rPr>
              <w:t>Mease 2000</w:t>
            </w:r>
          </w:p>
        </w:tc>
        <w:tc>
          <w:tcPr>
            <w:tcW w:w="426" w:type="dxa"/>
            <w:shd w:val="clear" w:color="auto" w:fill="auto"/>
            <w:vAlign w:val="center"/>
          </w:tcPr>
          <w:p w:rsidR="00812FE8" w:rsidRPr="002D023E" w:rsidRDefault="00812FE8" w:rsidP="008763E6">
            <w:pPr>
              <w:jc w:val="center"/>
              <w:rPr>
                <w:rFonts w:ascii="Arial Narrow" w:hAnsi="Arial Narrow"/>
                <w:sz w:val="20"/>
              </w:rPr>
            </w:pPr>
            <w:r w:rsidRPr="002D023E">
              <w:rPr>
                <w:rFonts w:ascii="Arial Narrow" w:hAnsi="Arial Narrow"/>
                <w:sz w:val="20"/>
              </w:rPr>
              <w:t>60</w:t>
            </w:r>
          </w:p>
        </w:tc>
        <w:tc>
          <w:tcPr>
            <w:tcW w:w="1863" w:type="dxa"/>
            <w:shd w:val="clear" w:color="auto" w:fill="auto"/>
            <w:vAlign w:val="center"/>
          </w:tcPr>
          <w:p w:rsidR="00812FE8" w:rsidRPr="002D023E" w:rsidRDefault="00812FE8" w:rsidP="008763E6">
            <w:pPr>
              <w:jc w:val="center"/>
              <w:rPr>
                <w:rFonts w:ascii="Arial Narrow" w:hAnsi="Arial Narrow"/>
                <w:sz w:val="20"/>
              </w:rPr>
            </w:pPr>
            <w:r w:rsidRPr="002D023E">
              <w:rPr>
                <w:rFonts w:ascii="Arial Narrow" w:hAnsi="Arial Narrow"/>
                <w:sz w:val="20"/>
              </w:rPr>
              <w:t>R, DB for 12 wks.</w:t>
            </w:r>
          </w:p>
        </w:tc>
        <w:tc>
          <w:tcPr>
            <w:tcW w:w="688" w:type="dxa"/>
            <w:shd w:val="clear" w:color="auto" w:fill="auto"/>
            <w:vAlign w:val="center"/>
          </w:tcPr>
          <w:p w:rsidR="00812FE8" w:rsidRPr="002D023E" w:rsidRDefault="00812FE8" w:rsidP="008763E6">
            <w:pPr>
              <w:jc w:val="center"/>
              <w:rPr>
                <w:rFonts w:ascii="Arial Narrow" w:hAnsi="Arial Narrow"/>
                <w:i/>
                <w:iCs/>
                <w:sz w:val="20"/>
              </w:rPr>
            </w:pPr>
            <w:r w:rsidRPr="002D023E">
              <w:rPr>
                <w:rFonts w:ascii="Arial Narrow" w:hAnsi="Arial Narrow"/>
                <w:i/>
                <w:iCs/>
                <w:sz w:val="20"/>
              </w:rPr>
              <w:t>Low</w:t>
            </w:r>
          </w:p>
        </w:tc>
        <w:tc>
          <w:tcPr>
            <w:tcW w:w="992" w:type="dxa"/>
            <w:shd w:val="clear" w:color="auto" w:fill="auto"/>
            <w:vAlign w:val="center"/>
          </w:tcPr>
          <w:p w:rsidR="00812FE8" w:rsidRPr="002D023E" w:rsidRDefault="00812FE8" w:rsidP="008763E6">
            <w:pPr>
              <w:jc w:val="center"/>
              <w:rPr>
                <w:rFonts w:ascii="Arial Narrow" w:hAnsi="Arial Narrow"/>
                <w:sz w:val="20"/>
              </w:rPr>
            </w:pPr>
            <w:r>
              <w:rPr>
                <w:rFonts w:ascii="Arial Narrow" w:hAnsi="Arial Narrow"/>
                <w:sz w:val="20"/>
              </w:rPr>
              <w:t>A</w:t>
            </w:r>
            <w:r w:rsidRPr="002D023E">
              <w:rPr>
                <w:rFonts w:ascii="Arial Narrow" w:hAnsi="Arial Narrow"/>
                <w:sz w:val="20"/>
              </w:rPr>
              <w:t>nti-TNFα naïve</w:t>
            </w:r>
          </w:p>
        </w:tc>
        <w:tc>
          <w:tcPr>
            <w:tcW w:w="2410" w:type="dxa"/>
            <w:shd w:val="clear" w:color="auto" w:fill="auto"/>
            <w:vAlign w:val="center"/>
          </w:tcPr>
          <w:p w:rsidR="00812FE8" w:rsidRPr="002D023E" w:rsidRDefault="00812FE8" w:rsidP="008763E6">
            <w:pPr>
              <w:jc w:val="center"/>
              <w:rPr>
                <w:rFonts w:ascii="Arial Narrow" w:hAnsi="Arial Narrow"/>
                <w:sz w:val="20"/>
              </w:rPr>
            </w:pPr>
            <w:r w:rsidRPr="002D023E">
              <w:rPr>
                <w:rFonts w:ascii="Arial Narrow" w:hAnsi="Arial Narrow"/>
                <w:sz w:val="20"/>
              </w:rPr>
              <w:t>ETC 25mg twice weekly vs PBO twice weekly.</w:t>
            </w:r>
          </w:p>
        </w:tc>
        <w:tc>
          <w:tcPr>
            <w:tcW w:w="1068" w:type="dxa"/>
            <w:vAlign w:val="center"/>
          </w:tcPr>
          <w:p w:rsidR="00812FE8" w:rsidRPr="002D023E" w:rsidRDefault="00812FE8" w:rsidP="008763E6">
            <w:pPr>
              <w:jc w:val="center"/>
              <w:rPr>
                <w:rFonts w:ascii="Arial Narrow" w:hAnsi="Arial Narrow"/>
                <w:sz w:val="20"/>
              </w:rPr>
            </w:pPr>
            <w:r w:rsidRPr="002D023E">
              <w:rPr>
                <w:rFonts w:ascii="Arial Narrow" w:hAnsi="Arial Narrow"/>
                <w:sz w:val="20"/>
              </w:rPr>
              <w:t>PsARC at Wk 12, ACR20, ACR50</w:t>
            </w:r>
          </w:p>
        </w:tc>
      </w:tr>
      <w:tr w:rsidR="00812FE8" w:rsidRPr="002D023E" w:rsidTr="008763E6">
        <w:trPr>
          <w:cantSplit/>
        </w:trPr>
        <w:tc>
          <w:tcPr>
            <w:tcW w:w="992" w:type="dxa"/>
            <w:shd w:val="clear" w:color="auto" w:fill="auto"/>
            <w:vAlign w:val="center"/>
          </w:tcPr>
          <w:p w:rsidR="00812FE8" w:rsidRPr="002D023E" w:rsidRDefault="00812FE8" w:rsidP="008763E6">
            <w:pPr>
              <w:jc w:val="left"/>
              <w:rPr>
                <w:rFonts w:ascii="Arial Narrow" w:hAnsi="Arial Narrow"/>
                <w:sz w:val="20"/>
              </w:rPr>
            </w:pPr>
            <w:r w:rsidRPr="002D023E">
              <w:rPr>
                <w:rFonts w:ascii="Arial Narrow" w:hAnsi="Arial Narrow"/>
                <w:sz w:val="20"/>
                <w:szCs w:val="18"/>
              </w:rPr>
              <w:t>Mease 2004</w:t>
            </w:r>
          </w:p>
        </w:tc>
        <w:tc>
          <w:tcPr>
            <w:tcW w:w="426" w:type="dxa"/>
            <w:shd w:val="clear" w:color="auto" w:fill="auto"/>
            <w:vAlign w:val="center"/>
          </w:tcPr>
          <w:p w:rsidR="00812FE8" w:rsidRPr="002D023E" w:rsidRDefault="00812FE8" w:rsidP="008763E6">
            <w:pPr>
              <w:jc w:val="center"/>
              <w:rPr>
                <w:rFonts w:ascii="Arial Narrow" w:hAnsi="Arial Narrow"/>
                <w:sz w:val="20"/>
              </w:rPr>
            </w:pPr>
            <w:r w:rsidRPr="002D023E">
              <w:rPr>
                <w:rFonts w:ascii="Arial Narrow" w:hAnsi="Arial Narrow"/>
                <w:sz w:val="20"/>
              </w:rPr>
              <w:t>205</w:t>
            </w:r>
          </w:p>
        </w:tc>
        <w:tc>
          <w:tcPr>
            <w:tcW w:w="1863" w:type="dxa"/>
            <w:shd w:val="clear" w:color="auto" w:fill="auto"/>
            <w:vAlign w:val="center"/>
          </w:tcPr>
          <w:p w:rsidR="00812FE8" w:rsidRPr="002D023E" w:rsidRDefault="00812FE8" w:rsidP="008763E6">
            <w:pPr>
              <w:jc w:val="center"/>
              <w:rPr>
                <w:rFonts w:ascii="Arial Narrow" w:hAnsi="Arial Narrow"/>
                <w:sz w:val="20"/>
              </w:rPr>
            </w:pPr>
            <w:r w:rsidRPr="002D023E">
              <w:rPr>
                <w:rFonts w:ascii="Arial Narrow" w:hAnsi="Arial Narrow"/>
                <w:sz w:val="20"/>
              </w:rPr>
              <w:t>R, DB, MC for 24 wks.</w:t>
            </w:r>
          </w:p>
          <w:p w:rsidR="00812FE8" w:rsidRPr="002D023E" w:rsidRDefault="00812FE8" w:rsidP="008763E6">
            <w:pPr>
              <w:jc w:val="center"/>
              <w:rPr>
                <w:rFonts w:ascii="Arial Narrow" w:hAnsi="Arial Narrow"/>
                <w:sz w:val="20"/>
              </w:rPr>
            </w:pPr>
            <w:r w:rsidRPr="002D023E">
              <w:rPr>
                <w:rFonts w:ascii="Arial Narrow" w:hAnsi="Arial Narrow"/>
                <w:sz w:val="20"/>
              </w:rPr>
              <w:t>OL extension additional 48 wks.</w:t>
            </w:r>
          </w:p>
        </w:tc>
        <w:tc>
          <w:tcPr>
            <w:tcW w:w="688" w:type="dxa"/>
            <w:shd w:val="clear" w:color="auto" w:fill="auto"/>
            <w:vAlign w:val="center"/>
          </w:tcPr>
          <w:p w:rsidR="00812FE8" w:rsidRPr="002D023E" w:rsidRDefault="00812FE8" w:rsidP="008763E6">
            <w:pPr>
              <w:jc w:val="center"/>
              <w:rPr>
                <w:rFonts w:ascii="Arial Narrow" w:hAnsi="Arial Narrow"/>
                <w:i/>
                <w:iCs/>
                <w:sz w:val="20"/>
              </w:rPr>
            </w:pPr>
            <w:r w:rsidRPr="002D023E">
              <w:rPr>
                <w:rFonts w:ascii="Arial Narrow" w:hAnsi="Arial Narrow"/>
                <w:i/>
                <w:iCs/>
                <w:sz w:val="20"/>
              </w:rPr>
              <w:t>Low</w:t>
            </w:r>
          </w:p>
        </w:tc>
        <w:tc>
          <w:tcPr>
            <w:tcW w:w="992" w:type="dxa"/>
            <w:shd w:val="clear" w:color="auto" w:fill="auto"/>
            <w:vAlign w:val="center"/>
          </w:tcPr>
          <w:p w:rsidR="00812FE8" w:rsidRPr="002D023E" w:rsidRDefault="00812FE8" w:rsidP="008763E6">
            <w:pPr>
              <w:jc w:val="center"/>
              <w:rPr>
                <w:rFonts w:ascii="Arial Narrow" w:hAnsi="Arial Narrow"/>
                <w:sz w:val="20"/>
              </w:rPr>
            </w:pPr>
            <w:r>
              <w:rPr>
                <w:rFonts w:ascii="Arial Narrow" w:hAnsi="Arial Narrow"/>
                <w:sz w:val="20"/>
              </w:rPr>
              <w:t>A</w:t>
            </w:r>
            <w:r w:rsidRPr="002D023E">
              <w:rPr>
                <w:rFonts w:ascii="Arial Narrow" w:hAnsi="Arial Narrow"/>
                <w:sz w:val="20"/>
              </w:rPr>
              <w:t>nti-TNFα naïve</w:t>
            </w:r>
          </w:p>
        </w:tc>
        <w:tc>
          <w:tcPr>
            <w:tcW w:w="2410" w:type="dxa"/>
            <w:shd w:val="clear" w:color="auto" w:fill="auto"/>
            <w:vAlign w:val="center"/>
          </w:tcPr>
          <w:p w:rsidR="00812FE8" w:rsidRPr="002D023E" w:rsidRDefault="00812FE8" w:rsidP="008763E6">
            <w:pPr>
              <w:jc w:val="center"/>
              <w:rPr>
                <w:rFonts w:ascii="Arial Narrow" w:hAnsi="Arial Narrow"/>
                <w:sz w:val="20"/>
              </w:rPr>
            </w:pPr>
            <w:r w:rsidRPr="002D023E">
              <w:rPr>
                <w:rFonts w:ascii="Arial Narrow" w:hAnsi="Arial Narrow"/>
                <w:sz w:val="20"/>
              </w:rPr>
              <w:t>ETC 25mg twice weekly vs PBO twice weekly.</w:t>
            </w:r>
          </w:p>
        </w:tc>
        <w:tc>
          <w:tcPr>
            <w:tcW w:w="1068" w:type="dxa"/>
            <w:vAlign w:val="center"/>
          </w:tcPr>
          <w:p w:rsidR="00812FE8" w:rsidRPr="002D023E" w:rsidRDefault="00812FE8" w:rsidP="008763E6">
            <w:pPr>
              <w:jc w:val="center"/>
              <w:rPr>
                <w:rFonts w:ascii="Arial Narrow" w:hAnsi="Arial Narrow"/>
                <w:sz w:val="20"/>
              </w:rPr>
            </w:pPr>
            <w:r w:rsidRPr="002D023E">
              <w:rPr>
                <w:rFonts w:ascii="Arial Narrow" w:hAnsi="Arial Narrow"/>
                <w:sz w:val="20"/>
              </w:rPr>
              <w:t>ACR20, ACR50</w:t>
            </w:r>
          </w:p>
        </w:tc>
      </w:tr>
      <w:tr w:rsidR="00812FE8" w:rsidRPr="002D023E" w:rsidTr="008763E6">
        <w:trPr>
          <w:cantSplit/>
        </w:trPr>
        <w:tc>
          <w:tcPr>
            <w:tcW w:w="8439" w:type="dxa"/>
            <w:gridSpan w:val="7"/>
            <w:shd w:val="clear" w:color="auto" w:fill="auto"/>
            <w:vAlign w:val="center"/>
          </w:tcPr>
          <w:p w:rsidR="00812FE8" w:rsidRPr="002D023E" w:rsidRDefault="00812FE8" w:rsidP="008763E6">
            <w:pPr>
              <w:jc w:val="left"/>
              <w:rPr>
                <w:rFonts w:ascii="Arial Narrow" w:hAnsi="Arial Narrow"/>
                <w:sz w:val="20"/>
              </w:rPr>
            </w:pPr>
            <w:r w:rsidRPr="002D023E">
              <w:rPr>
                <w:rFonts w:ascii="Arial Narrow" w:hAnsi="Arial Narrow"/>
                <w:b/>
                <w:bCs/>
                <w:sz w:val="20"/>
              </w:rPr>
              <w:t>Infliximab vs placebo</w:t>
            </w:r>
          </w:p>
        </w:tc>
      </w:tr>
      <w:tr w:rsidR="00812FE8" w:rsidRPr="002D023E" w:rsidTr="008763E6">
        <w:trPr>
          <w:cantSplit/>
        </w:trPr>
        <w:tc>
          <w:tcPr>
            <w:tcW w:w="992" w:type="dxa"/>
            <w:shd w:val="clear" w:color="auto" w:fill="auto"/>
            <w:vAlign w:val="center"/>
          </w:tcPr>
          <w:p w:rsidR="00812FE8" w:rsidRPr="002D023E" w:rsidRDefault="00812FE8" w:rsidP="008763E6">
            <w:pPr>
              <w:jc w:val="left"/>
              <w:rPr>
                <w:rFonts w:ascii="Arial Narrow" w:hAnsi="Arial Narrow"/>
                <w:sz w:val="20"/>
              </w:rPr>
            </w:pPr>
            <w:r w:rsidRPr="002D023E">
              <w:rPr>
                <w:rFonts w:ascii="Arial Narrow" w:hAnsi="Arial Narrow"/>
                <w:sz w:val="20"/>
                <w:szCs w:val="18"/>
              </w:rPr>
              <w:t>IMPACT</w:t>
            </w:r>
          </w:p>
        </w:tc>
        <w:tc>
          <w:tcPr>
            <w:tcW w:w="426" w:type="dxa"/>
            <w:shd w:val="clear" w:color="auto" w:fill="auto"/>
            <w:vAlign w:val="center"/>
          </w:tcPr>
          <w:p w:rsidR="00812FE8" w:rsidRPr="002D023E" w:rsidRDefault="00812FE8" w:rsidP="008763E6">
            <w:pPr>
              <w:jc w:val="center"/>
              <w:rPr>
                <w:rFonts w:ascii="Arial Narrow" w:hAnsi="Arial Narrow"/>
                <w:sz w:val="20"/>
              </w:rPr>
            </w:pPr>
            <w:r w:rsidRPr="002D023E">
              <w:rPr>
                <w:rFonts w:ascii="Arial Narrow" w:hAnsi="Arial Narrow"/>
                <w:sz w:val="20"/>
              </w:rPr>
              <w:t>104</w:t>
            </w:r>
          </w:p>
        </w:tc>
        <w:tc>
          <w:tcPr>
            <w:tcW w:w="1863" w:type="dxa"/>
            <w:shd w:val="clear" w:color="auto" w:fill="auto"/>
            <w:vAlign w:val="center"/>
          </w:tcPr>
          <w:p w:rsidR="00812FE8" w:rsidRPr="002D023E" w:rsidRDefault="00812FE8" w:rsidP="008763E6">
            <w:pPr>
              <w:jc w:val="center"/>
              <w:rPr>
                <w:rFonts w:ascii="Arial Narrow" w:hAnsi="Arial Narrow"/>
                <w:sz w:val="20"/>
              </w:rPr>
            </w:pPr>
            <w:r w:rsidRPr="002D023E">
              <w:rPr>
                <w:rFonts w:ascii="Arial Narrow" w:hAnsi="Arial Narrow"/>
                <w:sz w:val="20"/>
              </w:rPr>
              <w:t xml:space="preserve">R, DB, MC for 50 wks. PBO-controlled for 16 wks. </w:t>
            </w:r>
          </w:p>
        </w:tc>
        <w:tc>
          <w:tcPr>
            <w:tcW w:w="688" w:type="dxa"/>
            <w:shd w:val="clear" w:color="auto" w:fill="auto"/>
            <w:vAlign w:val="center"/>
          </w:tcPr>
          <w:p w:rsidR="00812FE8" w:rsidRPr="002D023E" w:rsidRDefault="00812FE8" w:rsidP="008763E6">
            <w:pPr>
              <w:jc w:val="center"/>
              <w:rPr>
                <w:rFonts w:ascii="Arial Narrow" w:hAnsi="Arial Narrow"/>
                <w:i/>
                <w:iCs/>
                <w:sz w:val="20"/>
              </w:rPr>
            </w:pPr>
            <w:r w:rsidRPr="002D023E">
              <w:rPr>
                <w:rFonts w:ascii="Arial Narrow" w:hAnsi="Arial Narrow"/>
                <w:i/>
                <w:iCs/>
                <w:sz w:val="20"/>
              </w:rPr>
              <w:t>Low</w:t>
            </w:r>
          </w:p>
        </w:tc>
        <w:tc>
          <w:tcPr>
            <w:tcW w:w="992" w:type="dxa"/>
            <w:shd w:val="clear" w:color="auto" w:fill="auto"/>
            <w:vAlign w:val="center"/>
          </w:tcPr>
          <w:p w:rsidR="00812FE8" w:rsidRPr="002D023E" w:rsidRDefault="00812FE8" w:rsidP="008763E6">
            <w:pPr>
              <w:jc w:val="center"/>
              <w:rPr>
                <w:rFonts w:ascii="Arial Narrow" w:hAnsi="Arial Narrow"/>
                <w:sz w:val="20"/>
              </w:rPr>
            </w:pPr>
            <w:r>
              <w:rPr>
                <w:rFonts w:ascii="Arial Narrow" w:hAnsi="Arial Narrow"/>
                <w:sz w:val="20"/>
              </w:rPr>
              <w:t>A</w:t>
            </w:r>
            <w:r w:rsidRPr="002D023E">
              <w:rPr>
                <w:rFonts w:ascii="Arial Narrow" w:hAnsi="Arial Narrow"/>
                <w:sz w:val="20"/>
              </w:rPr>
              <w:t>nti-TNFα naïve</w:t>
            </w:r>
          </w:p>
        </w:tc>
        <w:tc>
          <w:tcPr>
            <w:tcW w:w="2410" w:type="dxa"/>
            <w:shd w:val="clear" w:color="auto" w:fill="auto"/>
            <w:vAlign w:val="center"/>
          </w:tcPr>
          <w:p w:rsidR="00812FE8" w:rsidRPr="002D023E" w:rsidRDefault="00812FE8" w:rsidP="008763E6">
            <w:pPr>
              <w:jc w:val="center"/>
              <w:rPr>
                <w:rFonts w:ascii="Arial Narrow" w:hAnsi="Arial Narrow"/>
                <w:sz w:val="20"/>
              </w:rPr>
            </w:pPr>
            <w:r w:rsidRPr="002D023E">
              <w:rPr>
                <w:rFonts w:ascii="Arial Narrow" w:hAnsi="Arial Narrow"/>
                <w:sz w:val="20"/>
              </w:rPr>
              <w:t>INF 5mg/kg at Wk 0, 2, 6 then every 8 wks (with PBO at Wk 16 and 18) vs PBO at Wk 0, 2, 6, 14, then INF at Wk 16, 18, 22, then every 8 wks</w:t>
            </w:r>
          </w:p>
        </w:tc>
        <w:tc>
          <w:tcPr>
            <w:tcW w:w="1068" w:type="dxa"/>
            <w:vAlign w:val="center"/>
          </w:tcPr>
          <w:p w:rsidR="00812FE8" w:rsidRPr="002D023E" w:rsidRDefault="00812FE8" w:rsidP="008763E6">
            <w:pPr>
              <w:jc w:val="center"/>
              <w:rPr>
                <w:rFonts w:ascii="Arial Narrow" w:hAnsi="Arial Narrow"/>
                <w:sz w:val="20"/>
              </w:rPr>
            </w:pPr>
            <w:r w:rsidRPr="002D023E">
              <w:rPr>
                <w:rFonts w:ascii="Arial Narrow" w:hAnsi="Arial Narrow"/>
                <w:sz w:val="20"/>
              </w:rPr>
              <w:t>ACR20 at Wk 16, ACR50</w:t>
            </w:r>
          </w:p>
        </w:tc>
      </w:tr>
      <w:tr w:rsidR="00812FE8" w:rsidRPr="002D023E" w:rsidTr="008763E6">
        <w:trPr>
          <w:cantSplit/>
        </w:trPr>
        <w:tc>
          <w:tcPr>
            <w:tcW w:w="992" w:type="dxa"/>
            <w:shd w:val="clear" w:color="auto" w:fill="auto"/>
            <w:vAlign w:val="center"/>
          </w:tcPr>
          <w:p w:rsidR="00812FE8" w:rsidRPr="002D023E" w:rsidRDefault="00812FE8" w:rsidP="008763E6">
            <w:pPr>
              <w:jc w:val="left"/>
              <w:rPr>
                <w:rFonts w:ascii="Arial Narrow" w:hAnsi="Arial Narrow"/>
                <w:sz w:val="20"/>
              </w:rPr>
            </w:pPr>
            <w:r w:rsidRPr="002D023E">
              <w:rPr>
                <w:rFonts w:ascii="Arial Narrow" w:hAnsi="Arial Narrow"/>
                <w:sz w:val="20"/>
                <w:szCs w:val="18"/>
              </w:rPr>
              <w:lastRenderedPageBreak/>
              <w:t>IMPACT2</w:t>
            </w:r>
          </w:p>
        </w:tc>
        <w:tc>
          <w:tcPr>
            <w:tcW w:w="426" w:type="dxa"/>
            <w:shd w:val="clear" w:color="auto" w:fill="auto"/>
            <w:vAlign w:val="center"/>
          </w:tcPr>
          <w:p w:rsidR="00812FE8" w:rsidRPr="002D023E" w:rsidRDefault="00812FE8" w:rsidP="008763E6">
            <w:pPr>
              <w:jc w:val="center"/>
              <w:rPr>
                <w:rFonts w:ascii="Arial Narrow" w:hAnsi="Arial Narrow"/>
                <w:sz w:val="20"/>
              </w:rPr>
            </w:pPr>
            <w:r w:rsidRPr="002D023E">
              <w:rPr>
                <w:rFonts w:ascii="Arial Narrow" w:hAnsi="Arial Narrow"/>
                <w:sz w:val="20"/>
              </w:rPr>
              <w:t>200</w:t>
            </w:r>
          </w:p>
        </w:tc>
        <w:tc>
          <w:tcPr>
            <w:tcW w:w="1863" w:type="dxa"/>
            <w:shd w:val="clear" w:color="auto" w:fill="auto"/>
            <w:vAlign w:val="center"/>
          </w:tcPr>
          <w:p w:rsidR="00812FE8" w:rsidRPr="002D023E" w:rsidRDefault="00812FE8" w:rsidP="008763E6">
            <w:pPr>
              <w:jc w:val="center"/>
              <w:rPr>
                <w:rFonts w:ascii="Arial Narrow" w:hAnsi="Arial Narrow"/>
                <w:sz w:val="20"/>
              </w:rPr>
            </w:pPr>
            <w:r w:rsidRPr="002D023E">
              <w:rPr>
                <w:rFonts w:ascii="Arial Narrow" w:hAnsi="Arial Narrow"/>
                <w:sz w:val="20"/>
              </w:rPr>
              <w:t xml:space="preserve">R, DB, MC for 24 wks. PBO arm </w:t>
            </w:r>
            <w:r>
              <w:rPr>
                <w:rFonts w:ascii="Arial Narrow" w:hAnsi="Arial Narrow"/>
                <w:sz w:val="20"/>
              </w:rPr>
              <w:t>CO</w:t>
            </w:r>
            <w:r w:rsidRPr="002D023E">
              <w:rPr>
                <w:rFonts w:ascii="Arial Narrow" w:hAnsi="Arial Narrow"/>
                <w:sz w:val="20"/>
              </w:rPr>
              <w:t xml:space="preserve"> at Wk 16 (non-responders</w:t>
            </w:r>
            <w:r w:rsidRPr="002D023E">
              <w:rPr>
                <w:rFonts w:ascii="Arial Narrow" w:hAnsi="Arial Narrow"/>
                <w:sz w:val="20"/>
                <w:vertAlign w:val="superscript"/>
              </w:rPr>
              <w:t>c</w:t>
            </w:r>
            <w:r w:rsidRPr="002D023E">
              <w:rPr>
                <w:rFonts w:ascii="Arial Narrow" w:hAnsi="Arial Narrow"/>
                <w:sz w:val="20"/>
              </w:rPr>
              <w:t xml:space="preserve">). </w:t>
            </w:r>
          </w:p>
        </w:tc>
        <w:tc>
          <w:tcPr>
            <w:tcW w:w="688" w:type="dxa"/>
            <w:shd w:val="clear" w:color="auto" w:fill="auto"/>
            <w:vAlign w:val="center"/>
          </w:tcPr>
          <w:p w:rsidR="00812FE8" w:rsidRPr="002D023E" w:rsidRDefault="00812FE8" w:rsidP="008763E6">
            <w:pPr>
              <w:jc w:val="center"/>
              <w:rPr>
                <w:rFonts w:ascii="Arial Narrow" w:hAnsi="Arial Narrow"/>
                <w:i/>
                <w:iCs/>
                <w:sz w:val="20"/>
              </w:rPr>
            </w:pPr>
            <w:r w:rsidRPr="002D023E">
              <w:rPr>
                <w:rFonts w:ascii="Arial Narrow" w:hAnsi="Arial Narrow"/>
                <w:i/>
                <w:iCs/>
                <w:sz w:val="20"/>
              </w:rPr>
              <w:t>Low</w:t>
            </w:r>
          </w:p>
        </w:tc>
        <w:tc>
          <w:tcPr>
            <w:tcW w:w="992" w:type="dxa"/>
            <w:shd w:val="clear" w:color="auto" w:fill="auto"/>
            <w:vAlign w:val="center"/>
          </w:tcPr>
          <w:p w:rsidR="00812FE8" w:rsidRPr="002D023E" w:rsidRDefault="00812FE8" w:rsidP="008763E6">
            <w:pPr>
              <w:jc w:val="center"/>
              <w:rPr>
                <w:rFonts w:ascii="Arial Narrow" w:hAnsi="Arial Narrow"/>
                <w:sz w:val="20"/>
              </w:rPr>
            </w:pPr>
            <w:r>
              <w:rPr>
                <w:rFonts w:ascii="Arial Narrow" w:hAnsi="Arial Narrow"/>
                <w:sz w:val="20"/>
              </w:rPr>
              <w:t>A</w:t>
            </w:r>
            <w:r w:rsidRPr="002D023E">
              <w:rPr>
                <w:rFonts w:ascii="Arial Narrow" w:hAnsi="Arial Narrow"/>
                <w:sz w:val="20"/>
              </w:rPr>
              <w:t>nti-TNFα naïve</w:t>
            </w:r>
          </w:p>
        </w:tc>
        <w:tc>
          <w:tcPr>
            <w:tcW w:w="2410" w:type="dxa"/>
            <w:shd w:val="clear" w:color="auto" w:fill="auto"/>
            <w:vAlign w:val="center"/>
          </w:tcPr>
          <w:p w:rsidR="00812FE8" w:rsidRPr="002D023E" w:rsidRDefault="00812FE8" w:rsidP="008763E6">
            <w:pPr>
              <w:jc w:val="center"/>
              <w:rPr>
                <w:rFonts w:ascii="Arial Narrow" w:hAnsi="Arial Narrow"/>
                <w:sz w:val="20"/>
              </w:rPr>
            </w:pPr>
            <w:r w:rsidRPr="002D023E">
              <w:rPr>
                <w:rFonts w:ascii="Arial Narrow" w:hAnsi="Arial Narrow"/>
                <w:sz w:val="20"/>
              </w:rPr>
              <w:t xml:space="preserve">INF 5mg/kg vs PBO at Wk 0, 2, 6 then every 8 wks. Non-responders </w:t>
            </w:r>
            <w:r>
              <w:rPr>
                <w:rFonts w:ascii="Arial Narrow" w:hAnsi="Arial Narrow"/>
                <w:sz w:val="20"/>
              </w:rPr>
              <w:t xml:space="preserve">also </w:t>
            </w:r>
            <w:r w:rsidRPr="002D023E">
              <w:rPr>
                <w:rFonts w:ascii="Arial Narrow" w:hAnsi="Arial Narrow"/>
                <w:sz w:val="20"/>
              </w:rPr>
              <w:t>received doses at Wk 16 and 18</w:t>
            </w:r>
            <w:r w:rsidRPr="002D023E">
              <w:rPr>
                <w:rFonts w:ascii="Arial Narrow" w:hAnsi="Arial Narrow"/>
                <w:sz w:val="20"/>
                <w:vertAlign w:val="superscript"/>
              </w:rPr>
              <w:t>c</w:t>
            </w:r>
            <w:r w:rsidRPr="002D023E">
              <w:rPr>
                <w:rFonts w:ascii="Arial Narrow" w:hAnsi="Arial Narrow"/>
                <w:sz w:val="20"/>
              </w:rPr>
              <w:t>.</w:t>
            </w:r>
          </w:p>
        </w:tc>
        <w:tc>
          <w:tcPr>
            <w:tcW w:w="1068" w:type="dxa"/>
            <w:vAlign w:val="center"/>
          </w:tcPr>
          <w:p w:rsidR="00812FE8" w:rsidRPr="002D023E" w:rsidRDefault="00812FE8" w:rsidP="008763E6">
            <w:pPr>
              <w:jc w:val="center"/>
              <w:rPr>
                <w:rFonts w:ascii="Arial Narrow" w:hAnsi="Arial Narrow"/>
                <w:sz w:val="20"/>
              </w:rPr>
            </w:pPr>
            <w:r w:rsidRPr="002D023E">
              <w:rPr>
                <w:rFonts w:ascii="Arial Narrow" w:hAnsi="Arial Narrow"/>
                <w:sz w:val="20"/>
              </w:rPr>
              <w:t>ACR20 at Wk 14, ACR50</w:t>
            </w:r>
          </w:p>
        </w:tc>
      </w:tr>
      <w:tr w:rsidR="00812FE8" w:rsidRPr="002D023E" w:rsidTr="008763E6">
        <w:trPr>
          <w:cantSplit/>
        </w:trPr>
        <w:tc>
          <w:tcPr>
            <w:tcW w:w="8439" w:type="dxa"/>
            <w:gridSpan w:val="7"/>
            <w:shd w:val="clear" w:color="auto" w:fill="auto"/>
            <w:vAlign w:val="center"/>
          </w:tcPr>
          <w:p w:rsidR="00812FE8" w:rsidRPr="002D023E" w:rsidRDefault="00812FE8" w:rsidP="008763E6">
            <w:pPr>
              <w:jc w:val="left"/>
              <w:rPr>
                <w:rFonts w:ascii="Arial Narrow" w:hAnsi="Arial Narrow"/>
                <w:sz w:val="20"/>
              </w:rPr>
            </w:pPr>
            <w:r w:rsidRPr="002D023E">
              <w:rPr>
                <w:rFonts w:ascii="Arial Narrow" w:hAnsi="Arial Narrow"/>
                <w:b/>
                <w:bCs/>
                <w:sz w:val="20"/>
              </w:rPr>
              <w:t>Golimumab vs placebo</w:t>
            </w:r>
          </w:p>
        </w:tc>
      </w:tr>
      <w:tr w:rsidR="00812FE8" w:rsidRPr="002D023E" w:rsidTr="008763E6">
        <w:trPr>
          <w:cantSplit/>
        </w:trPr>
        <w:tc>
          <w:tcPr>
            <w:tcW w:w="992" w:type="dxa"/>
            <w:shd w:val="clear" w:color="auto" w:fill="auto"/>
            <w:vAlign w:val="center"/>
          </w:tcPr>
          <w:p w:rsidR="00812FE8" w:rsidRPr="002D023E" w:rsidRDefault="00812FE8" w:rsidP="008763E6">
            <w:pPr>
              <w:jc w:val="left"/>
              <w:rPr>
                <w:rFonts w:ascii="Arial Narrow" w:hAnsi="Arial Narrow"/>
                <w:sz w:val="20"/>
              </w:rPr>
            </w:pPr>
            <w:r w:rsidRPr="002D023E">
              <w:rPr>
                <w:rFonts w:ascii="Arial Narrow" w:hAnsi="Arial Narrow"/>
                <w:sz w:val="20"/>
                <w:szCs w:val="18"/>
              </w:rPr>
              <w:t>GO-REVEAL</w:t>
            </w:r>
          </w:p>
        </w:tc>
        <w:tc>
          <w:tcPr>
            <w:tcW w:w="426" w:type="dxa"/>
            <w:shd w:val="clear" w:color="auto" w:fill="auto"/>
            <w:vAlign w:val="center"/>
          </w:tcPr>
          <w:p w:rsidR="00812FE8" w:rsidRPr="002D023E" w:rsidRDefault="00812FE8" w:rsidP="008763E6">
            <w:pPr>
              <w:jc w:val="center"/>
              <w:rPr>
                <w:rFonts w:ascii="Arial Narrow" w:hAnsi="Arial Narrow"/>
                <w:sz w:val="20"/>
              </w:rPr>
            </w:pPr>
            <w:r w:rsidRPr="002D023E">
              <w:rPr>
                <w:rFonts w:ascii="Arial Narrow" w:hAnsi="Arial Narrow"/>
                <w:sz w:val="20"/>
              </w:rPr>
              <w:t>405</w:t>
            </w:r>
          </w:p>
        </w:tc>
        <w:tc>
          <w:tcPr>
            <w:tcW w:w="1863" w:type="dxa"/>
            <w:shd w:val="clear" w:color="auto" w:fill="auto"/>
            <w:vAlign w:val="center"/>
          </w:tcPr>
          <w:p w:rsidR="00812FE8" w:rsidRPr="002D023E" w:rsidRDefault="00812FE8" w:rsidP="008763E6">
            <w:pPr>
              <w:jc w:val="center"/>
              <w:rPr>
                <w:rFonts w:ascii="Arial Narrow" w:hAnsi="Arial Narrow"/>
                <w:sz w:val="20"/>
              </w:rPr>
            </w:pPr>
            <w:r w:rsidRPr="002D023E">
              <w:rPr>
                <w:rFonts w:ascii="Arial Narrow" w:hAnsi="Arial Narrow"/>
                <w:sz w:val="20"/>
              </w:rPr>
              <w:t>R, DB, MC for 24 wks.</w:t>
            </w:r>
          </w:p>
          <w:p w:rsidR="00812FE8" w:rsidRPr="002D023E" w:rsidRDefault="00812FE8" w:rsidP="008763E6">
            <w:pPr>
              <w:jc w:val="center"/>
              <w:rPr>
                <w:rFonts w:ascii="Arial Narrow" w:hAnsi="Arial Narrow"/>
                <w:sz w:val="20"/>
              </w:rPr>
            </w:pPr>
            <w:r w:rsidRPr="002D023E">
              <w:rPr>
                <w:rFonts w:ascii="Arial Narrow" w:hAnsi="Arial Narrow"/>
                <w:sz w:val="20"/>
              </w:rPr>
              <w:t xml:space="preserve">Dose escalation/ crossover at Wk 16 </w:t>
            </w:r>
            <w:r>
              <w:rPr>
                <w:rFonts w:ascii="Arial Narrow" w:hAnsi="Arial Narrow"/>
                <w:sz w:val="20"/>
              </w:rPr>
              <w:t>(non-responders</w:t>
            </w:r>
            <w:r w:rsidRPr="002D023E">
              <w:rPr>
                <w:rFonts w:ascii="Arial Narrow" w:hAnsi="Arial Narrow"/>
                <w:sz w:val="20"/>
                <w:vertAlign w:val="superscript"/>
              </w:rPr>
              <w:t>d</w:t>
            </w:r>
            <w:r>
              <w:rPr>
                <w:rFonts w:ascii="Arial Narrow" w:hAnsi="Arial Narrow"/>
                <w:sz w:val="20"/>
              </w:rPr>
              <w:t xml:space="preserve">). PBO crossover at Wk 24 for remainder. </w:t>
            </w:r>
            <w:r w:rsidRPr="002D023E">
              <w:rPr>
                <w:rFonts w:ascii="Arial Narrow" w:hAnsi="Arial Narrow"/>
                <w:sz w:val="20"/>
              </w:rPr>
              <w:t>OL extension up to 236 wks.</w:t>
            </w:r>
          </w:p>
        </w:tc>
        <w:tc>
          <w:tcPr>
            <w:tcW w:w="688" w:type="dxa"/>
            <w:shd w:val="clear" w:color="auto" w:fill="auto"/>
            <w:vAlign w:val="center"/>
          </w:tcPr>
          <w:p w:rsidR="00812FE8" w:rsidRPr="002D023E" w:rsidRDefault="00812FE8" w:rsidP="008763E6">
            <w:pPr>
              <w:jc w:val="center"/>
              <w:rPr>
                <w:rFonts w:ascii="Arial Narrow" w:hAnsi="Arial Narrow"/>
                <w:sz w:val="20"/>
              </w:rPr>
            </w:pPr>
            <w:r w:rsidRPr="002D023E">
              <w:rPr>
                <w:rFonts w:ascii="Arial Narrow" w:hAnsi="Arial Narrow"/>
                <w:i/>
                <w:iCs/>
                <w:sz w:val="20"/>
              </w:rPr>
              <w:t>Low</w:t>
            </w:r>
          </w:p>
        </w:tc>
        <w:tc>
          <w:tcPr>
            <w:tcW w:w="992" w:type="dxa"/>
            <w:shd w:val="clear" w:color="auto" w:fill="auto"/>
            <w:vAlign w:val="center"/>
          </w:tcPr>
          <w:p w:rsidR="00812FE8" w:rsidRPr="002D023E" w:rsidRDefault="00812FE8" w:rsidP="008763E6">
            <w:pPr>
              <w:jc w:val="center"/>
              <w:rPr>
                <w:rFonts w:ascii="Arial Narrow" w:hAnsi="Arial Narrow"/>
                <w:sz w:val="20"/>
              </w:rPr>
            </w:pPr>
            <w:r>
              <w:rPr>
                <w:rFonts w:ascii="Arial Narrow" w:hAnsi="Arial Narrow"/>
                <w:sz w:val="20"/>
              </w:rPr>
              <w:t>A</w:t>
            </w:r>
            <w:r w:rsidRPr="002D023E">
              <w:rPr>
                <w:rFonts w:ascii="Arial Narrow" w:hAnsi="Arial Narrow"/>
                <w:sz w:val="20"/>
              </w:rPr>
              <w:t>nti-TNFα naïve</w:t>
            </w:r>
          </w:p>
        </w:tc>
        <w:tc>
          <w:tcPr>
            <w:tcW w:w="2410" w:type="dxa"/>
            <w:shd w:val="clear" w:color="auto" w:fill="auto"/>
            <w:vAlign w:val="center"/>
          </w:tcPr>
          <w:p w:rsidR="00812FE8" w:rsidRPr="002D023E" w:rsidRDefault="00812FE8" w:rsidP="008763E6">
            <w:pPr>
              <w:jc w:val="center"/>
              <w:rPr>
                <w:rFonts w:ascii="Arial Narrow" w:hAnsi="Arial Narrow"/>
                <w:sz w:val="20"/>
              </w:rPr>
            </w:pPr>
            <w:r w:rsidRPr="002D023E">
              <w:rPr>
                <w:rFonts w:ascii="Arial Narrow" w:hAnsi="Arial Narrow"/>
                <w:sz w:val="20"/>
              </w:rPr>
              <w:t>GOL 5</w:t>
            </w:r>
            <w:r w:rsidR="00992EE2">
              <w:rPr>
                <w:rFonts w:ascii="Arial Narrow" w:hAnsi="Arial Narrow"/>
                <w:sz w:val="20"/>
              </w:rPr>
              <w:t>0 mg</w:t>
            </w:r>
            <w:r w:rsidRPr="002D023E">
              <w:rPr>
                <w:rFonts w:ascii="Arial Narrow" w:hAnsi="Arial Narrow"/>
                <w:sz w:val="20"/>
              </w:rPr>
              <w:t xml:space="preserve"> or GOL 10</w:t>
            </w:r>
            <w:r w:rsidR="00992EE2">
              <w:rPr>
                <w:rFonts w:ascii="Arial Narrow" w:hAnsi="Arial Narrow"/>
                <w:sz w:val="20"/>
              </w:rPr>
              <w:t>0 mg</w:t>
            </w:r>
            <w:r w:rsidRPr="002D023E">
              <w:rPr>
                <w:rFonts w:ascii="Arial Narrow" w:hAnsi="Arial Narrow"/>
                <w:sz w:val="20"/>
              </w:rPr>
              <w:t xml:space="preserve"> vs PBO every 4 wks. Dose escalation/ </w:t>
            </w:r>
            <w:r>
              <w:rPr>
                <w:rFonts w:ascii="Arial Narrow" w:hAnsi="Arial Narrow"/>
                <w:sz w:val="20"/>
              </w:rPr>
              <w:t>CO</w:t>
            </w:r>
            <w:r w:rsidRPr="002D023E">
              <w:rPr>
                <w:rFonts w:ascii="Arial Narrow" w:hAnsi="Arial Narrow"/>
                <w:sz w:val="20"/>
              </w:rPr>
              <w:t xml:space="preserve"> at Wk 16 if non-responder</w:t>
            </w:r>
            <w:r w:rsidRPr="002D023E">
              <w:rPr>
                <w:rFonts w:ascii="Arial Narrow" w:hAnsi="Arial Narrow"/>
                <w:sz w:val="20"/>
                <w:vertAlign w:val="superscript"/>
              </w:rPr>
              <w:t>d</w:t>
            </w:r>
            <w:r w:rsidRPr="002D023E">
              <w:rPr>
                <w:rFonts w:ascii="Arial Narrow" w:hAnsi="Arial Narrow"/>
                <w:sz w:val="20"/>
              </w:rPr>
              <w:t>.</w:t>
            </w:r>
          </w:p>
        </w:tc>
        <w:tc>
          <w:tcPr>
            <w:tcW w:w="1068" w:type="dxa"/>
            <w:vAlign w:val="center"/>
          </w:tcPr>
          <w:p w:rsidR="00812FE8" w:rsidRPr="002D023E" w:rsidRDefault="00812FE8" w:rsidP="008763E6">
            <w:pPr>
              <w:jc w:val="center"/>
              <w:rPr>
                <w:rFonts w:ascii="Arial Narrow" w:hAnsi="Arial Narrow"/>
                <w:sz w:val="20"/>
              </w:rPr>
            </w:pPr>
            <w:r w:rsidRPr="002D023E">
              <w:rPr>
                <w:rFonts w:ascii="Arial Narrow" w:hAnsi="Arial Narrow"/>
                <w:sz w:val="20"/>
              </w:rPr>
              <w:t>ACR20 at Wk 14, ACR50</w:t>
            </w:r>
          </w:p>
        </w:tc>
      </w:tr>
      <w:tr w:rsidR="00812FE8" w:rsidRPr="002D023E" w:rsidTr="008763E6">
        <w:trPr>
          <w:cantSplit/>
        </w:trPr>
        <w:tc>
          <w:tcPr>
            <w:tcW w:w="8439" w:type="dxa"/>
            <w:gridSpan w:val="7"/>
            <w:shd w:val="clear" w:color="auto" w:fill="auto"/>
            <w:vAlign w:val="center"/>
          </w:tcPr>
          <w:p w:rsidR="00812FE8" w:rsidRPr="002D023E" w:rsidRDefault="00812FE8" w:rsidP="008763E6">
            <w:pPr>
              <w:jc w:val="left"/>
              <w:rPr>
                <w:rFonts w:ascii="Arial Narrow" w:hAnsi="Arial Narrow"/>
                <w:sz w:val="20"/>
              </w:rPr>
            </w:pPr>
            <w:r w:rsidRPr="002D023E">
              <w:rPr>
                <w:rFonts w:ascii="Arial Narrow" w:hAnsi="Arial Narrow"/>
                <w:b/>
                <w:sz w:val="20"/>
              </w:rPr>
              <w:t>Certolizumab pegol vs placebo</w:t>
            </w:r>
          </w:p>
        </w:tc>
      </w:tr>
      <w:tr w:rsidR="00812FE8" w:rsidRPr="002D023E" w:rsidTr="008763E6">
        <w:trPr>
          <w:cantSplit/>
        </w:trPr>
        <w:tc>
          <w:tcPr>
            <w:tcW w:w="992" w:type="dxa"/>
            <w:shd w:val="clear" w:color="auto" w:fill="auto"/>
            <w:vAlign w:val="center"/>
          </w:tcPr>
          <w:p w:rsidR="00812FE8" w:rsidRPr="002D023E" w:rsidRDefault="00812FE8" w:rsidP="008763E6">
            <w:pPr>
              <w:jc w:val="left"/>
              <w:rPr>
                <w:rFonts w:ascii="Arial Narrow" w:hAnsi="Arial Narrow"/>
                <w:sz w:val="20"/>
                <w:szCs w:val="18"/>
              </w:rPr>
            </w:pPr>
            <w:r w:rsidRPr="002D023E">
              <w:rPr>
                <w:rFonts w:ascii="Arial Narrow" w:hAnsi="Arial Narrow"/>
                <w:sz w:val="20"/>
                <w:szCs w:val="18"/>
              </w:rPr>
              <w:t>RAPID-PsA</w:t>
            </w:r>
          </w:p>
        </w:tc>
        <w:tc>
          <w:tcPr>
            <w:tcW w:w="426" w:type="dxa"/>
            <w:shd w:val="clear" w:color="auto" w:fill="auto"/>
            <w:vAlign w:val="center"/>
          </w:tcPr>
          <w:p w:rsidR="00812FE8" w:rsidRPr="002D023E" w:rsidRDefault="00812FE8" w:rsidP="008763E6">
            <w:pPr>
              <w:jc w:val="center"/>
              <w:rPr>
                <w:rFonts w:ascii="Arial Narrow" w:hAnsi="Arial Narrow"/>
                <w:sz w:val="20"/>
              </w:rPr>
            </w:pPr>
            <w:r w:rsidRPr="002D023E">
              <w:rPr>
                <w:rFonts w:ascii="Arial Narrow" w:hAnsi="Arial Narrow"/>
                <w:sz w:val="20"/>
              </w:rPr>
              <w:t>409</w:t>
            </w:r>
          </w:p>
        </w:tc>
        <w:tc>
          <w:tcPr>
            <w:tcW w:w="1863" w:type="dxa"/>
            <w:vMerge w:val="restart"/>
            <w:shd w:val="clear" w:color="auto" w:fill="auto"/>
            <w:vAlign w:val="center"/>
          </w:tcPr>
          <w:p w:rsidR="00812FE8" w:rsidRPr="002D023E" w:rsidRDefault="00812FE8" w:rsidP="008763E6">
            <w:pPr>
              <w:jc w:val="center"/>
              <w:rPr>
                <w:rFonts w:ascii="Arial Narrow" w:hAnsi="Arial Narrow"/>
                <w:sz w:val="20"/>
              </w:rPr>
            </w:pPr>
            <w:r w:rsidRPr="002D023E">
              <w:rPr>
                <w:rFonts w:ascii="Arial Narrow" w:hAnsi="Arial Narrow"/>
                <w:sz w:val="20"/>
              </w:rPr>
              <w:t>R, DB, MC for 16/24 wks.</w:t>
            </w:r>
            <w:r>
              <w:rPr>
                <w:rFonts w:ascii="Arial Narrow" w:hAnsi="Arial Narrow"/>
                <w:sz w:val="20"/>
              </w:rPr>
              <w:t xml:space="preserve"> </w:t>
            </w:r>
            <w:r w:rsidRPr="002D023E">
              <w:rPr>
                <w:rFonts w:ascii="Arial Narrow" w:hAnsi="Arial Narrow"/>
                <w:sz w:val="20"/>
              </w:rPr>
              <w:t xml:space="preserve">PBO arm </w:t>
            </w:r>
            <w:r>
              <w:rPr>
                <w:rFonts w:ascii="Arial Narrow" w:hAnsi="Arial Narrow"/>
                <w:sz w:val="20"/>
              </w:rPr>
              <w:t>CO</w:t>
            </w:r>
            <w:r w:rsidRPr="002D023E">
              <w:rPr>
                <w:rFonts w:ascii="Arial Narrow" w:hAnsi="Arial Narrow"/>
                <w:sz w:val="20"/>
              </w:rPr>
              <w:t xml:space="preserve"> at Wk 16 (non-responders</w:t>
            </w:r>
            <w:r w:rsidRPr="002D023E">
              <w:rPr>
                <w:rFonts w:ascii="Arial Narrow" w:hAnsi="Arial Narrow"/>
                <w:sz w:val="20"/>
                <w:vertAlign w:val="superscript"/>
              </w:rPr>
              <w:t>e</w:t>
            </w:r>
            <w:r w:rsidRPr="002D023E">
              <w:rPr>
                <w:rFonts w:ascii="Arial Narrow" w:hAnsi="Arial Narrow"/>
                <w:sz w:val="20"/>
              </w:rPr>
              <w:t>) or Wk 24 (responders). Dose-blind to Wk 48. OL extension up to 216 wks.</w:t>
            </w:r>
          </w:p>
        </w:tc>
        <w:tc>
          <w:tcPr>
            <w:tcW w:w="688" w:type="dxa"/>
            <w:shd w:val="clear" w:color="auto" w:fill="auto"/>
            <w:vAlign w:val="center"/>
          </w:tcPr>
          <w:p w:rsidR="00812FE8" w:rsidRPr="002D023E" w:rsidRDefault="00812FE8" w:rsidP="008763E6">
            <w:pPr>
              <w:jc w:val="center"/>
              <w:rPr>
                <w:rFonts w:ascii="Arial Narrow" w:hAnsi="Arial Narrow"/>
                <w:i/>
                <w:iCs/>
                <w:sz w:val="20"/>
              </w:rPr>
            </w:pPr>
            <w:r w:rsidRPr="002D023E">
              <w:rPr>
                <w:rFonts w:ascii="Arial Narrow" w:hAnsi="Arial Narrow"/>
                <w:i/>
                <w:iCs/>
                <w:sz w:val="20"/>
              </w:rPr>
              <w:t>Low</w:t>
            </w:r>
          </w:p>
        </w:tc>
        <w:tc>
          <w:tcPr>
            <w:tcW w:w="992" w:type="dxa"/>
            <w:shd w:val="clear" w:color="auto" w:fill="auto"/>
            <w:vAlign w:val="center"/>
          </w:tcPr>
          <w:p w:rsidR="00812FE8" w:rsidRPr="002D023E" w:rsidRDefault="00812FE8" w:rsidP="008763E6">
            <w:pPr>
              <w:jc w:val="center"/>
              <w:rPr>
                <w:rFonts w:ascii="Arial Narrow" w:hAnsi="Arial Narrow"/>
                <w:sz w:val="20"/>
              </w:rPr>
            </w:pPr>
            <w:r>
              <w:rPr>
                <w:rFonts w:ascii="Arial Narrow" w:hAnsi="Arial Narrow"/>
                <w:sz w:val="20"/>
              </w:rPr>
              <w:t>A</w:t>
            </w:r>
            <w:r w:rsidRPr="002D023E">
              <w:rPr>
                <w:rFonts w:ascii="Arial Narrow" w:hAnsi="Arial Narrow"/>
                <w:sz w:val="20"/>
              </w:rPr>
              <w:t>nti-TNFα naïve or experienced</w:t>
            </w:r>
          </w:p>
        </w:tc>
        <w:tc>
          <w:tcPr>
            <w:tcW w:w="2410" w:type="dxa"/>
            <w:vMerge w:val="restart"/>
            <w:shd w:val="clear" w:color="auto" w:fill="auto"/>
            <w:vAlign w:val="center"/>
          </w:tcPr>
          <w:p w:rsidR="00812FE8" w:rsidRPr="002D023E" w:rsidRDefault="00812FE8" w:rsidP="008763E6">
            <w:pPr>
              <w:jc w:val="center"/>
              <w:rPr>
                <w:rFonts w:ascii="Arial Narrow" w:hAnsi="Arial Narrow"/>
                <w:sz w:val="20"/>
              </w:rPr>
            </w:pPr>
            <w:r w:rsidRPr="002D023E">
              <w:rPr>
                <w:rFonts w:ascii="Arial Narrow" w:hAnsi="Arial Narrow"/>
                <w:sz w:val="20"/>
              </w:rPr>
              <w:t>CZP 40</w:t>
            </w:r>
            <w:r w:rsidR="00992EE2">
              <w:rPr>
                <w:rFonts w:ascii="Arial Narrow" w:hAnsi="Arial Narrow"/>
                <w:sz w:val="20"/>
              </w:rPr>
              <w:t>0 mg</w:t>
            </w:r>
            <w:r w:rsidRPr="002D023E">
              <w:rPr>
                <w:rFonts w:ascii="Arial Narrow" w:hAnsi="Arial Narrow"/>
                <w:sz w:val="20"/>
              </w:rPr>
              <w:t xml:space="preserve"> at Wk 0, 2 and 4, then CZP 20</w:t>
            </w:r>
            <w:r w:rsidR="00992EE2">
              <w:rPr>
                <w:rFonts w:ascii="Arial Narrow" w:hAnsi="Arial Narrow"/>
                <w:sz w:val="20"/>
              </w:rPr>
              <w:t>0 mg</w:t>
            </w:r>
            <w:r w:rsidRPr="002D023E">
              <w:rPr>
                <w:rFonts w:ascii="Arial Narrow" w:hAnsi="Arial Narrow"/>
                <w:sz w:val="20"/>
              </w:rPr>
              <w:t xml:space="preserve"> every 2 wks or CZP 40</w:t>
            </w:r>
            <w:r w:rsidR="00992EE2">
              <w:rPr>
                <w:rFonts w:ascii="Arial Narrow" w:hAnsi="Arial Narrow"/>
                <w:sz w:val="20"/>
              </w:rPr>
              <w:t>0 mg</w:t>
            </w:r>
            <w:r w:rsidRPr="002D023E">
              <w:rPr>
                <w:rFonts w:ascii="Arial Narrow" w:hAnsi="Arial Narrow"/>
                <w:sz w:val="20"/>
              </w:rPr>
              <w:t xml:space="preserve"> every 4 wks; vs PBO. PBO arm re-randomised to CZP 20</w:t>
            </w:r>
            <w:r w:rsidR="00992EE2">
              <w:rPr>
                <w:rFonts w:ascii="Arial Narrow" w:hAnsi="Arial Narrow"/>
                <w:sz w:val="20"/>
              </w:rPr>
              <w:t>0 mg</w:t>
            </w:r>
            <w:r w:rsidRPr="002D023E">
              <w:rPr>
                <w:rFonts w:ascii="Arial Narrow" w:hAnsi="Arial Narrow"/>
                <w:sz w:val="20"/>
              </w:rPr>
              <w:t xml:space="preserve"> or CZP 40</w:t>
            </w:r>
            <w:r w:rsidR="00992EE2">
              <w:rPr>
                <w:rFonts w:ascii="Arial Narrow" w:hAnsi="Arial Narrow"/>
                <w:sz w:val="20"/>
              </w:rPr>
              <w:t>0 mg</w:t>
            </w:r>
            <w:r w:rsidRPr="002D023E">
              <w:rPr>
                <w:rFonts w:ascii="Arial Narrow" w:hAnsi="Arial Narrow"/>
                <w:sz w:val="20"/>
              </w:rPr>
              <w:t xml:space="preserve"> with loading at Wk 16/24</w:t>
            </w:r>
            <w:r w:rsidRPr="002D023E">
              <w:rPr>
                <w:rFonts w:ascii="Arial Narrow" w:hAnsi="Arial Narrow"/>
                <w:sz w:val="20"/>
                <w:vertAlign w:val="superscript"/>
              </w:rPr>
              <w:t>e</w:t>
            </w:r>
            <w:r w:rsidRPr="002D023E">
              <w:rPr>
                <w:rFonts w:ascii="Arial Narrow" w:hAnsi="Arial Narrow"/>
                <w:sz w:val="20"/>
              </w:rPr>
              <w:t>.</w:t>
            </w:r>
          </w:p>
        </w:tc>
        <w:tc>
          <w:tcPr>
            <w:tcW w:w="1068" w:type="dxa"/>
            <w:vMerge w:val="restart"/>
            <w:vAlign w:val="center"/>
          </w:tcPr>
          <w:p w:rsidR="00812FE8" w:rsidRPr="002D023E" w:rsidRDefault="00812FE8" w:rsidP="008763E6">
            <w:pPr>
              <w:jc w:val="center"/>
              <w:rPr>
                <w:rFonts w:ascii="Arial Narrow" w:hAnsi="Arial Narrow"/>
                <w:sz w:val="20"/>
              </w:rPr>
            </w:pPr>
            <w:r w:rsidRPr="002D023E">
              <w:rPr>
                <w:rFonts w:ascii="Arial Narrow" w:hAnsi="Arial Narrow"/>
                <w:sz w:val="20"/>
              </w:rPr>
              <w:t xml:space="preserve">ACR20 at Wk 12 </w:t>
            </w:r>
            <w:r>
              <w:rPr>
                <w:rFonts w:ascii="Arial Narrow" w:hAnsi="Arial Narrow"/>
                <w:sz w:val="20"/>
              </w:rPr>
              <w:t>&amp;</w:t>
            </w:r>
            <w:r w:rsidRPr="002D023E">
              <w:rPr>
                <w:rFonts w:ascii="Arial Narrow" w:hAnsi="Arial Narrow"/>
                <w:sz w:val="20"/>
              </w:rPr>
              <w:t xml:space="preserve"> change in mTSS at Wk 24, ACR50</w:t>
            </w:r>
          </w:p>
        </w:tc>
      </w:tr>
      <w:tr w:rsidR="00812FE8" w:rsidRPr="002D023E" w:rsidTr="008763E6">
        <w:trPr>
          <w:cantSplit/>
          <w:trHeight w:val="423"/>
        </w:trPr>
        <w:tc>
          <w:tcPr>
            <w:tcW w:w="992" w:type="dxa"/>
            <w:shd w:val="clear" w:color="auto" w:fill="auto"/>
            <w:vAlign w:val="center"/>
          </w:tcPr>
          <w:p w:rsidR="00812FE8" w:rsidRPr="002D023E" w:rsidRDefault="00812FE8" w:rsidP="008763E6">
            <w:pPr>
              <w:ind w:left="142"/>
              <w:jc w:val="left"/>
              <w:rPr>
                <w:rFonts w:ascii="Arial Narrow" w:hAnsi="Arial Narrow"/>
                <w:sz w:val="20"/>
                <w:szCs w:val="18"/>
              </w:rPr>
            </w:pPr>
            <w:r w:rsidRPr="002D023E">
              <w:rPr>
                <w:rFonts w:ascii="Arial Narrow" w:hAnsi="Arial Narrow"/>
                <w:i/>
                <w:iCs/>
                <w:sz w:val="20"/>
              </w:rPr>
              <w:t>Anti-TNFα naïve</w:t>
            </w:r>
          </w:p>
        </w:tc>
        <w:tc>
          <w:tcPr>
            <w:tcW w:w="426" w:type="dxa"/>
            <w:shd w:val="clear" w:color="auto" w:fill="auto"/>
            <w:vAlign w:val="center"/>
          </w:tcPr>
          <w:p w:rsidR="00812FE8" w:rsidRPr="002D023E" w:rsidRDefault="00812FE8" w:rsidP="008763E6">
            <w:pPr>
              <w:jc w:val="center"/>
              <w:rPr>
                <w:rFonts w:ascii="Arial Narrow" w:hAnsi="Arial Narrow"/>
                <w:i/>
                <w:iCs/>
                <w:sz w:val="20"/>
              </w:rPr>
            </w:pPr>
            <w:r w:rsidRPr="002D023E">
              <w:rPr>
                <w:rFonts w:ascii="Arial Narrow" w:hAnsi="Arial Narrow"/>
                <w:i/>
                <w:iCs/>
                <w:sz w:val="20"/>
              </w:rPr>
              <w:t>329</w:t>
            </w:r>
          </w:p>
        </w:tc>
        <w:tc>
          <w:tcPr>
            <w:tcW w:w="1863" w:type="dxa"/>
            <w:vMerge/>
            <w:shd w:val="clear" w:color="auto" w:fill="auto"/>
            <w:vAlign w:val="center"/>
          </w:tcPr>
          <w:p w:rsidR="00812FE8" w:rsidRPr="002D023E" w:rsidRDefault="00812FE8" w:rsidP="008763E6">
            <w:pPr>
              <w:jc w:val="center"/>
              <w:rPr>
                <w:rFonts w:ascii="Arial Narrow" w:hAnsi="Arial Narrow"/>
                <w:sz w:val="20"/>
              </w:rPr>
            </w:pPr>
          </w:p>
        </w:tc>
        <w:tc>
          <w:tcPr>
            <w:tcW w:w="688" w:type="dxa"/>
            <w:shd w:val="clear" w:color="auto" w:fill="auto"/>
            <w:vAlign w:val="center"/>
          </w:tcPr>
          <w:p w:rsidR="00812FE8" w:rsidRPr="002D023E" w:rsidRDefault="00812FE8" w:rsidP="008763E6">
            <w:pPr>
              <w:jc w:val="center"/>
              <w:rPr>
                <w:rFonts w:ascii="Arial Narrow" w:hAnsi="Arial Narrow"/>
                <w:i/>
                <w:iCs/>
                <w:sz w:val="20"/>
              </w:rPr>
            </w:pPr>
            <w:r w:rsidRPr="002D023E">
              <w:rPr>
                <w:rFonts w:ascii="Arial Narrow" w:hAnsi="Arial Narrow"/>
                <w:i/>
                <w:iCs/>
                <w:sz w:val="20"/>
              </w:rPr>
              <w:t>Unclear</w:t>
            </w:r>
          </w:p>
        </w:tc>
        <w:tc>
          <w:tcPr>
            <w:tcW w:w="992" w:type="dxa"/>
            <w:shd w:val="clear" w:color="auto" w:fill="auto"/>
            <w:vAlign w:val="center"/>
          </w:tcPr>
          <w:p w:rsidR="00812FE8" w:rsidRPr="002D023E" w:rsidRDefault="00812FE8" w:rsidP="008763E6">
            <w:pPr>
              <w:jc w:val="center"/>
              <w:rPr>
                <w:rFonts w:ascii="Arial Narrow" w:hAnsi="Arial Narrow"/>
                <w:sz w:val="20"/>
              </w:rPr>
            </w:pPr>
            <w:r w:rsidRPr="002D023E">
              <w:rPr>
                <w:rFonts w:ascii="Arial Narrow" w:hAnsi="Arial Narrow"/>
                <w:i/>
                <w:iCs/>
                <w:sz w:val="20"/>
              </w:rPr>
              <w:t>Anti-TNFα naïve only</w:t>
            </w:r>
          </w:p>
        </w:tc>
        <w:tc>
          <w:tcPr>
            <w:tcW w:w="2410" w:type="dxa"/>
            <w:vMerge/>
            <w:shd w:val="clear" w:color="auto" w:fill="auto"/>
            <w:vAlign w:val="center"/>
          </w:tcPr>
          <w:p w:rsidR="00812FE8" w:rsidRPr="002D023E" w:rsidRDefault="00812FE8" w:rsidP="008763E6">
            <w:pPr>
              <w:jc w:val="center"/>
              <w:rPr>
                <w:rFonts w:ascii="Arial Narrow" w:hAnsi="Arial Narrow"/>
                <w:sz w:val="20"/>
              </w:rPr>
            </w:pPr>
          </w:p>
        </w:tc>
        <w:tc>
          <w:tcPr>
            <w:tcW w:w="1068" w:type="dxa"/>
            <w:vMerge/>
            <w:vAlign w:val="center"/>
          </w:tcPr>
          <w:p w:rsidR="00812FE8" w:rsidRPr="002D023E" w:rsidRDefault="00812FE8" w:rsidP="008763E6">
            <w:pPr>
              <w:jc w:val="center"/>
              <w:rPr>
                <w:rFonts w:ascii="Arial Narrow" w:hAnsi="Arial Narrow"/>
                <w:sz w:val="20"/>
              </w:rPr>
            </w:pPr>
          </w:p>
        </w:tc>
      </w:tr>
      <w:tr w:rsidR="00812FE8" w:rsidRPr="002D023E" w:rsidTr="008763E6">
        <w:trPr>
          <w:cantSplit/>
        </w:trPr>
        <w:tc>
          <w:tcPr>
            <w:tcW w:w="8439" w:type="dxa"/>
            <w:gridSpan w:val="7"/>
            <w:shd w:val="clear" w:color="auto" w:fill="auto"/>
            <w:vAlign w:val="center"/>
          </w:tcPr>
          <w:p w:rsidR="00812FE8" w:rsidRPr="002D023E" w:rsidRDefault="00812FE8" w:rsidP="008763E6">
            <w:pPr>
              <w:jc w:val="left"/>
              <w:rPr>
                <w:rFonts w:ascii="Arial Narrow" w:hAnsi="Arial Narrow"/>
                <w:b/>
                <w:bCs/>
                <w:i/>
                <w:iCs/>
                <w:sz w:val="20"/>
              </w:rPr>
            </w:pPr>
            <w:r w:rsidRPr="002D023E">
              <w:rPr>
                <w:rFonts w:ascii="Arial Narrow" w:hAnsi="Arial Narrow"/>
                <w:b/>
                <w:bCs/>
                <w:i/>
                <w:iCs/>
                <w:sz w:val="20"/>
              </w:rPr>
              <w:t>Ustekinumab vs placebo</w:t>
            </w:r>
          </w:p>
        </w:tc>
      </w:tr>
      <w:tr w:rsidR="00812FE8" w:rsidRPr="002D023E" w:rsidTr="008763E6">
        <w:trPr>
          <w:cantSplit/>
        </w:trPr>
        <w:tc>
          <w:tcPr>
            <w:tcW w:w="992" w:type="dxa"/>
            <w:shd w:val="clear" w:color="auto" w:fill="auto"/>
            <w:vAlign w:val="center"/>
          </w:tcPr>
          <w:p w:rsidR="00812FE8" w:rsidRPr="002D023E" w:rsidRDefault="00812FE8" w:rsidP="008763E6">
            <w:pPr>
              <w:jc w:val="left"/>
              <w:rPr>
                <w:rFonts w:ascii="Arial Narrow" w:hAnsi="Arial Narrow"/>
                <w:i/>
                <w:iCs/>
                <w:sz w:val="20"/>
                <w:szCs w:val="18"/>
              </w:rPr>
            </w:pPr>
            <w:r w:rsidRPr="002D023E">
              <w:rPr>
                <w:rFonts w:ascii="Arial Narrow" w:hAnsi="Arial Narrow"/>
                <w:i/>
                <w:iCs/>
                <w:sz w:val="20"/>
                <w:szCs w:val="18"/>
              </w:rPr>
              <w:t>PSUMMIT-1</w:t>
            </w:r>
          </w:p>
        </w:tc>
        <w:tc>
          <w:tcPr>
            <w:tcW w:w="426" w:type="dxa"/>
            <w:shd w:val="clear" w:color="auto" w:fill="auto"/>
            <w:vAlign w:val="center"/>
          </w:tcPr>
          <w:p w:rsidR="00812FE8" w:rsidRPr="002D023E" w:rsidRDefault="00812FE8" w:rsidP="008763E6">
            <w:pPr>
              <w:jc w:val="center"/>
              <w:rPr>
                <w:rFonts w:ascii="Arial Narrow" w:hAnsi="Arial Narrow"/>
                <w:i/>
                <w:iCs/>
                <w:sz w:val="20"/>
              </w:rPr>
            </w:pPr>
            <w:r w:rsidRPr="002D023E">
              <w:rPr>
                <w:rFonts w:ascii="Arial Narrow" w:hAnsi="Arial Narrow"/>
                <w:i/>
                <w:iCs/>
                <w:sz w:val="20"/>
              </w:rPr>
              <w:t>615</w:t>
            </w:r>
          </w:p>
        </w:tc>
        <w:tc>
          <w:tcPr>
            <w:tcW w:w="1863" w:type="dxa"/>
            <w:shd w:val="clear" w:color="auto" w:fill="auto"/>
            <w:vAlign w:val="center"/>
          </w:tcPr>
          <w:p w:rsidR="00812FE8" w:rsidRPr="002D023E" w:rsidRDefault="00812FE8" w:rsidP="008763E6">
            <w:pPr>
              <w:jc w:val="center"/>
              <w:rPr>
                <w:rFonts w:ascii="Arial Narrow" w:hAnsi="Arial Narrow"/>
                <w:i/>
                <w:sz w:val="20"/>
              </w:rPr>
            </w:pPr>
            <w:r w:rsidRPr="002D023E">
              <w:rPr>
                <w:rFonts w:ascii="Arial Narrow" w:hAnsi="Arial Narrow"/>
                <w:i/>
                <w:sz w:val="20"/>
              </w:rPr>
              <w:t>R, DB, MC for 24wks.</w:t>
            </w:r>
          </w:p>
          <w:p w:rsidR="00812FE8" w:rsidRPr="002D023E" w:rsidRDefault="00812FE8" w:rsidP="008763E6">
            <w:pPr>
              <w:jc w:val="center"/>
              <w:rPr>
                <w:rFonts w:ascii="Arial Narrow" w:hAnsi="Arial Narrow"/>
                <w:i/>
                <w:sz w:val="20"/>
              </w:rPr>
            </w:pPr>
            <w:r w:rsidRPr="002D023E">
              <w:rPr>
                <w:rFonts w:ascii="Arial Narrow" w:hAnsi="Arial Narrow"/>
                <w:i/>
                <w:iCs/>
                <w:sz w:val="20"/>
              </w:rPr>
              <w:t xml:space="preserve">Dose escalation/ </w:t>
            </w:r>
            <w:r>
              <w:rPr>
                <w:rFonts w:ascii="Arial Narrow" w:hAnsi="Arial Narrow"/>
                <w:i/>
                <w:iCs/>
                <w:sz w:val="20"/>
              </w:rPr>
              <w:t>CO</w:t>
            </w:r>
            <w:r w:rsidRPr="002D023E">
              <w:rPr>
                <w:rFonts w:ascii="Arial Narrow" w:hAnsi="Arial Narrow"/>
                <w:i/>
                <w:iCs/>
                <w:sz w:val="20"/>
              </w:rPr>
              <w:t xml:space="preserve"> at Wk 16 (non</w:t>
            </w:r>
            <w:r w:rsidRPr="002D023E">
              <w:rPr>
                <w:rFonts w:ascii="Arial Narrow" w:hAnsi="Arial Narrow"/>
                <w:i/>
                <w:sz w:val="20"/>
              </w:rPr>
              <w:t>-responders</w:t>
            </w:r>
            <w:r w:rsidRPr="002D023E">
              <w:rPr>
                <w:rFonts w:ascii="Arial Narrow" w:hAnsi="Arial Narrow"/>
                <w:i/>
                <w:sz w:val="20"/>
                <w:vertAlign w:val="superscript"/>
              </w:rPr>
              <w:t>f</w:t>
            </w:r>
            <w:r w:rsidRPr="002D023E">
              <w:rPr>
                <w:rFonts w:ascii="Arial Narrow" w:hAnsi="Arial Narrow"/>
                <w:i/>
                <w:sz w:val="20"/>
              </w:rPr>
              <w:t>) or Wk 24 (responders). Up to 106 wks.</w:t>
            </w:r>
          </w:p>
        </w:tc>
        <w:tc>
          <w:tcPr>
            <w:tcW w:w="688" w:type="dxa"/>
            <w:shd w:val="clear" w:color="auto" w:fill="auto"/>
            <w:vAlign w:val="center"/>
          </w:tcPr>
          <w:p w:rsidR="00812FE8" w:rsidRPr="002D023E" w:rsidRDefault="00812FE8" w:rsidP="008763E6">
            <w:pPr>
              <w:jc w:val="center"/>
              <w:rPr>
                <w:rFonts w:ascii="Arial Narrow" w:hAnsi="Arial Narrow"/>
                <w:i/>
                <w:iCs/>
                <w:sz w:val="20"/>
              </w:rPr>
            </w:pPr>
            <w:r w:rsidRPr="002D023E">
              <w:rPr>
                <w:rFonts w:ascii="Arial Narrow" w:hAnsi="Arial Narrow"/>
                <w:i/>
                <w:iCs/>
                <w:sz w:val="20"/>
              </w:rPr>
              <w:t>Low</w:t>
            </w:r>
          </w:p>
        </w:tc>
        <w:tc>
          <w:tcPr>
            <w:tcW w:w="992" w:type="dxa"/>
            <w:shd w:val="clear" w:color="auto" w:fill="auto"/>
            <w:vAlign w:val="center"/>
          </w:tcPr>
          <w:p w:rsidR="00812FE8" w:rsidRPr="002D023E" w:rsidRDefault="00812FE8" w:rsidP="008763E6">
            <w:pPr>
              <w:jc w:val="center"/>
              <w:rPr>
                <w:rFonts w:ascii="Arial Narrow" w:hAnsi="Arial Narrow"/>
                <w:i/>
                <w:iCs/>
                <w:sz w:val="20"/>
              </w:rPr>
            </w:pPr>
            <w:r>
              <w:rPr>
                <w:rFonts w:ascii="Arial Narrow" w:hAnsi="Arial Narrow"/>
                <w:i/>
                <w:iCs/>
                <w:sz w:val="20"/>
              </w:rPr>
              <w:t>A</w:t>
            </w:r>
            <w:r w:rsidRPr="002D023E">
              <w:rPr>
                <w:rFonts w:ascii="Arial Narrow" w:hAnsi="Arial Narrow"/>
                <w:i/>
                <w:iCs/>
                <w:sz w:val="20"/>
              </w:rPr>
              <w:t>nti-TNFα naïve</w:t>
            </w:r>
          </w:p>
        </w:tc>
        <w:tc>
          <w:tcPr>
            <w:tcW w:w="2410" w:type="dxa"/>
            <w:shd w:val="clear" w:color="auto" w:fill="auto"/>
            <w:vAlign w:val="center"/>
          </w:tcPr>
          <w:p w:rsidR="00812FE8" w:rsidRPr="002D023E" w:rsidRDefault="00812FE8" w:rsidP="00CA7493">
            <w:pPr>
              <w:jc w:val="center"/>
              <w:rPr>
                <w:rFonts w:ascii="Arial Narrow" w:hAnsi="Arial Narrow"/>
                <w:i/>
                <w:iCs/>
                <w:sz w:val="20"/>
              </w:rPr>
            </w:pPr>
            <w:r w:rsidRPr="002D023E">
              <w:rPr>
                <w:rFonts w:ascii="Arial Narrow" w:hAnsi="Arial Narrow"/>
                <w:i/>
                <w:iCs/>
                <w:sz w:val="20"/>
              </w:rPr>
              <w:t>UST 45 mg or UST 9</w:t>
            </w:r>
            <w:r w:rsidR="00992EE2">
              <w:rPr>
                <w:rFonts w:ascii="Arial Narrow" w:hAnsi="Arial Narrow"/>
                <w:i/>
                <w:iCs/>
                <w:sz w:val="20"/>
              </w:rPr>
              <w:t>0 mg</w:t>
            </w:r>
            <w:r w:rsidRPr="002D023E">
              <w:rPr>
                <w:rFonts w:ascii="Arial Narrow" w:hAnsi="Arial Narrow"/>
                <w:i/>
                <w:iCs/>
                <w:sz w:val="20"/>
              </w:rPr>
              <w:t xml:space="preserve"> vs PBO at Wk 0 and 4, then</w:t>
            </w:r>
            <w:r>
              <w:rPr>
                <w:rFonts w:ascii="Arial Narrow" w:hAnsi="Arial Narrow"/>
                <w:i/>
                <w:iCs/>
                <w:sz w:val="20"/>
              </w:rPr>
              <w:t xml:space="preserve"> every 12 wks. Dose escalation/CO</w:t>
            </w:r>
            <w:r w:rsidRPr="002D023E">
              <w:rPr>
                <w:rFonts w:ascii="Arial Narrow" w:hAnsi="Arial Narrow"/>
                <w:i/>
                <w:iCs/>
                <w:sz w:val="20"/>
              </w:rPr>
              <w:t xml:space="preserve"> at Wk 16 if non-responders</w:t>
            </w:r>
            <w:r w:rsidRPr="002D023E">
              <w:rPr>
                <w:rFonts w:ascii="Arial Narrow" w:hAnsi="Arial Narrow"/>
                <w:i/>
                <w:iCs/>
                <w:sz w:val="20"/>
                <w:vertAlign w:val="superscript"/>
              </w:rPr>
              <w:t>f</w:t>
            </w:r>
            <w:r w:rsidRPr="002D023E">
              <w:rPr>
                <w:rFonts w:ascii="Arial Narrow" w:hAnsi="Arial Narrow"/>
                <w:i/>
                <w:iCs/>
                <w:sz w:val="20"/>
              </w:rPr>
              <w:t xml:space="preserve">. PBO responder </w:t>
            </w:r>
            <w:r>
              <w:rPr>
                <w:rFonts w:ascii="Arial Narrow" w:hAnsi="Arial Narrow"/>
                <w:i/>
                <w:iCs/>
                <w:sz w:val="20"/>
              </w:rPr>
              <w:t>CO</w:t>
            </w:r>
            <w:r w:rsidRPr="002D023E">
              <w:rPr>
                <w:rFonts w:ascii="Arial Narrow" w:hAnsi="Arial Narrow"/>
                <w:i/>
                <w:iCs/>
                <w:sz w:val="20"/>
              </w:rPr>
              <w:t xml:space="preserve"> to UST 45mg at Wk 24 with loading. </w:t>
            </w:r>
          </w:p>
        </w:tc>
        <w:tc>
          <w:tcPr>
            <w:tcW w:w="1068" w:type="dxa"/>
            <w:vAlign w:val="center"/>
          </w:tcPr>
          <w:p w:rsidR="00812FE8" w:rsidRPr="002D023E" w:rsidRDefault="00812FE8" w:rsidP="008763E6">
            <w:pPr>
              <w:jc w:val="center"/>
              <w:rPr>
                <w:rFonts w:ascii="Arial Narrow" w:hAnsi="Arial Narrow"/>
                <w:i/>
                <w:iCs/>
                <w:sz w:val="20"/>
              </w:rPr>
            </w:pPr>
            <w:r w:rsidRPr="002D023E">
              <w:rPr>
                <w:rFonts w:ascii="Arial Narrow" w:hAnsi="Arial Narrow"/>
                <w:i/>
                <w:iCs/>
                <w:sz w:val="20"/>
              </w:rPr>
              <w:t>ACR20 at Wk 24, ACR50</w:t>
            </w:r>
          </w:p>
        </w:tc>
      </w:tr>
      <w:tr w:rsidR="00812FE8" w:rsidRPr="002D023E" w:rsidTr="008763E6">
        <w:trPr>
          <w:cantSplit/>
        </w:trPr>
        <w:tc>
          <w:tcPr>
            <w:tcW w:w="992" w:type="dxa"/>
            <w:shd w:val="clear" w:color="auto" w:fill="auto"/>
            <w:vAlign w:val="center"/>
          </w:tcPr>
          <w:p w:rsidR="00812FE8" w:rsidRPr="002D023E" w:rsidRDefault="00812FE8" w:rsidP="008763E6">
            <w:pPr>
              <w:jc w:val="left"/>
              <w:rPr>
                <w:rFonts w:ascii="Arial Narrow" w:hAnsi="Arial Narrow"/>
                <w:i/>
                <w:iCs/>
                <w:sz w:val="20"/>
                <w:szCs w:val="18"/>
              </w:rPr>
            </w:pPr>
            <w:r w:rsidRPr="002D023E">
              <w:rPr>
                <w:rFonts w:ascii="Arial Narrow" w:hAnsi="Arial Narrow"/>
                <w:i/>
                <w:iCs/>
                <w:sz w:val="20"/>
                <w:szCs w:val="18"/>
              </w:rPr>
              <w:t>PSUMMIT-2</w:t>
            </w:r>
          </w:p>
        </w:tc>
        <w:tc>
          <w:tcPr>
            <w:tcW w:w="426" w:type="dxa"/>
            <w:shd w:val="clear" w:color="auto" w:fill="auto"/>
            <w:vAlign w:val="center"/>
          </w:tcPr>
          <w:p w:rsidR="00812FE8" w:rsidRPr="002D023E" w:rsidRDefault="00812FE8" w:rsidP="008763E6">
            <w:pPr>
              <w:jc w:val="center"/>
              <w:rPr>
                <w:rFonts w:ascii="Arial Narrow" w:hAnsi="Arial Narrow"/>
                <w:i/>
                <w:iCs/>
                <w:sz w:val="20"/>
              </w:rPr>
            </w:pPr>
            <w:r w:rsidRPr="002D023E">
              <w:rPr>
                <w:rFonts w:ascii="Arial Narrow" w:hAnsi="Arial Narrow"/>
                <w:i/>
                <w:iCs/>
                <w:sz w:val="20"/>
              </w:rPr>
              <w:t>312</w:t>
            </w:r>
          </w:p>
        </w:tc>
        <w:tc>
          <w:tcPr>
            <w:tcW w:w="1863" w:type="dxa"/>
            <w:vMerge w:val="restart"/>
            <w:shd w:val="clear" w:color="auto" w:fill="auto"/>
            <w:vAlign w:val="center"/>
          </w:tcPr>
          <w:p w:rsidR="00812FE8" w:rsidRPr="002D023E" w:rsidRDefault="00812FE8" w:rsidP="008763E6">
            <w:pPr>
              <w:jc w:val="center"/>
              <w:rPr>
                <w:rFonts w:ascii="Arial Narrow" w:hAnsi="Arial Narrow"/>
                <w:i/>
                <w:sz w:val="20"/>
              </w:rPr>
            </w:pPr>
            <w:r w:rsidRPr="002D023E">
              <w:rPr>
                <w:rFonts w:ascii="Arial Narrow" w:hAnsi="Arial Narrow"/>
                <w:i/>
                <w:sz w:val="20"/>
              </w:rPr>
              <w:t>R, DB, MC for 24wks.</w:t>
            </w:r>
          </w:p>
          <w:p w:rsidR="00812FE8" w:rsidRPr="002D023E" w:rsidRDefault="00812FE8" w:rsidP="008763E6">
            <w:pPr>
              <w:jc w:val="center"/>
              <w:rPr>
                <w:rFonts w:ascii="Arial Narrow" w:hAnsi="Arial Narrow"/>
                <w:i/>
                <w:iCs/>
                <w:sz w:val="20"/>
              </w:rPr>
            </w:pPr>
            <w:r w:rsidRPr="002D023E">
              <w:rPr>
                <w:rFonts w:ascii="Arial Narrow" w:hAnsi="Arial Narrow"/>
                <w:i/>
                <w:iCs/>
                <w:sz w:val="20"/>
              </w:rPr>
              <w:t xml:space="preserve">Dose escalation/ </w:t>
            </w:r>
            <w:r>
              <w:rPr>
                <w:rFonts w:ascii="Arial Narrow" w:hAnsi="Arial Narrow"/>
                <w:i/>
                <w:iCs/>
                <w:sz w:val="20"/>
              </w:rPr>
              <w:t>CO</w:t>
            </w:r>
            <w:r w:rsidRPr="002D023E">
              <w:rPr>
                <w:rFonts w:ascii="Arial Narrow" w:hAnsi="Arial Narrow"/>
                <w:i/>
                <w:iCs/>
                <w:sz w:val="20"/>
              </w:rPr>
              <w:t xml:space="preserve"> at Wk 16 (non</w:t>
            </w:r>
            <w:r w:rsidRPr="002D023E">
              <w:rPr>
                <w:rFonts w:ascii="Arial Narrow" w:hAnsi="Arial Narrow"/>
                <w:i/>
                <w:sz w:val="20"/>
              </w:rPr>
              <w:t>-responders</w:t>
            </w:r>
            <w:r w:rsidRPr="002D023E">
              <w:rPr>
                <w:rFonts w:ascii="Arial Narrow" w:hAnsi="Arial Narrow"/>
                <w:i/>
                <w:sz w:val="20"/>
                <w:vertAlign w:val="superscript"/>
              </w:rPr>
              <w:t>f</w:t>
            </w:r>
            <w:r w:rsidRPr="002D023E">
              <w:rPr>
                <w:rFonts w:ascii="Arial Narrow" w:hAnsi="Arial Narrow"/>
                <w:i/>
                <w:sz w:val="20"/>
              </w:rPr>
              <w:t>) or Wk 24 (responders). Up to 60 wks for safety.</w:t>
            </w:r>
          </w:p>
        </w:tc>
        <w:tc>
          <w:tcPr>
            <w:tcW w:w="688" w:type="dxa"/>
            <w:shd w:val="clear" w:color="auto" w:fill="auto"/>
            <w:vAlign w:val="center"/>
          </w:tcPr>
          <w:p w:rsidR="00812FE8" w:rsidRPr="002D023E" w:rsidRDefault="00812FE8" w:rsidP="008763E6">
            <w:pPr>
              <w:jc w:val="center"/>
              <w:rPr>
                <w:rFonts w:ascii="Arial Narrow" w:hAnsi="Arial Narrow"/>
                <w:i/>
                <w:iCs/>
                <w:sz w:val="20"/>
              </w:rPr>
            </w:pPr>
            <w:r w:rsidRPr="002D023E">
              <w:rPr>
                <w:rFonts w:ascii="Arial Narrow" w:hAnsi="Arial Narrow"/>
                <w:i/>
                <w:iCs/>
                <w:sz w:val="20"/>
              </w:rPr>
              <w:t>Low</w:t>
            </w:r>
          </w:p>
        </w:tc>
        <w:tc>
          <w:tcPr>
            <w:tcW w:w="992" w:type="dxa"/>
            <w:shd w:val="clear" w:color="auto" w:fill="auto"/>
            <w:vAlign w:val="center"/>
          </w:tcPr>
          <w:p w:rsidR="00812FE8" w:rsidRPr="002D023E" w:rsidRDefault="00812FE8" w:rsidP="008763E6">
            <w:pPr>
              <w:jc w:val="center"/>
              <w:rPr>
                <w:rFonts w:ascii="Arial Narrow" w:hAnsi="Arial Narrow"/>
                <w:i/>
                <w:iCs/>
                <w:sz w:val="20"/>
              </w:rPr>
            </w:pPr>
            <w:r>
              <w:rPr>
                <w:rFonts w:ascii="Arial Narrow" w:hAnsi="Arial Narrow"/>
                <w:i/>
                <w:iCs/>
                <w:sz w:val="20"/>
              </w:rPr>
              <w:t>A</w:t>
            </w:r>
            <w:r w:rsidRPr="002D023E">
              <w:rPr>
                <w:rFonts w:ascii="Arial Narrow" w:hAnsi="Arial Narrow"/>
                <w:i/>
                <w:iCs/>
                <w:sz w:val="20"/>
              </w:rPr>
              <w:t>nti-TNFα naïve or experienced</w:t>
            </w:r>
          </w:p>
        </w:tc>
        <w:tc>
          <w:tcPr>
            <w:tcW w:w="2410" w:type="dxa"/>
            <w:vMerge w:val="restart"/>
            <w:shd w:val="clear" w:color="auto" w:fill="auto"/>
            <w:vAlign w:val="center"/>
          </w:tcPr>
          <w:p w:rsidR="00812FE8" w:rsidRPr="002D023E" w:rsidRDefault="00812FE8" w:rsidP="00CA7493">
            <w:pPr>
              <w:jc w:val="center"/>
              <w:rPr>
                <w:rFonts w:ascii="Arial Narrow" w:hAnsi="Arial Narrow"/>
                <w:i/>
                <w:iCs/>
                <w:sz w:val="20"/>
              </w:rPr>
            </w:pPr>
            <w:r w:rsidRPr="002D023E">
              <w:rPr>
                <w:rFonts w:ascii="Arial Narrow" w:hAnsi="Arial Narrow"/>
                <w:i/>
                <w:iCs/>
                <w:sz w:val="20"/>
              </w:rPr>
              <w:t>UST 45 mg or UST 9</w:t>
            </w:r>
            <w:r w:rsidR="00992EE2">
              <w:rPr>
                <w:rFonts w:ascii="Arial Narrow" w:hAnsi="Arial Narrow"/>
                <w:i/>
                <w:iCs/>
                <w:sz w:val="20"/>
              </w:rPr>
              <w:t>0 mg</w:t>
            </w:r>
            <w:r w:rsidRPr="002D023E">
              <w:rPr>
                <w:rFonts w:ascii="Arial Narrow" w:hAnsi="Arial Narrow"/>
                <w:i/>
                <w:iCs/>
                <w:sz w:val="20"/>
              </w:rPr>
              <w:t xml:space="preserve"> vs PBO at Wk 0 and 4, then every 12 wks. Dose escalation or </w:t>
            </w:r>
            <w:r>
              <w:rPr>
                <w:rFonts w:ascii="Arial Narrow" w:hAnsi="Arial Narrow"/>
                <w:i/>
                <w:iCs/>
                <w:sz w:val="20"/>
              </w:rPr>
              <w:t>CO</w:t>
            </w:r>
            <w:r w:rsidRPr="002D023E">
              <w:rPr>
                <w:rFonts w:ascii="Arial Narrow" w:hAnsi="Arial Narrow"/>
                <w:i/>
                <w:iCs/>
                <w:sz w:val="20"/>
              </w:rPr>
              <w:t xml:space="preserve"> at Wk 16 if non-responders</w:t>
            </w:r>
            <w:r w:rsidRPr="002D023E">
              <w:rPr>
                <w:rFonts w:ascii="Arial Narrow" w:hAnsi="Arial Narrow"/>
                <w:i/>
                <w:iCs/>
                <w:sz w:val="20"/>
                <w:vertAlign w:val="superscript"/>
              </w:rPr>
              <w:t>f</w:t>
            </w:r>
            <w:r w:rsidRPr="002D023E">
              <w:rPr>
                <w:rFonts w:ascii="Arial Narrow" w:hAnsi="Arial Narrow"/>
                <w:i/>
                <w:iCs/>
                <w:sz w:val="20"/>
              </w:rPr>
              <w:t xml:space="preserve">. PBO responder </w:t>
            </w:r>
            <w:r>
              <w:rPr>
                <w:rFonts w:ascii="Arial Narrow" w:hAnsi="Arial Narrow"/>
                <w:i/>
                <w:iCs/>
                <w:sz w:val="20"/>
              </w:rPr>
              <w:t>CO</w:t>
            </w:r>
            <w:r w:rsidRPr="002D023E">
              <w:rPr>
                <w:rFonts w:ascii="Arial Narrow" w:hAnsi="Arial Narrow"/>
                <w:i/>
                <w:iCs/>
                <w:sz w:val="20"/>
              </w:rPr>
              <w:t xml:space="preserve"> to UST 45mg at Wk 24 with loading. </w:t>
            </w:r>
          </w:p>
        </w:tc>
        <w:tc>
          <w:tcPr>
            <w:tcW w:w="1068" w:type="dxa"/>
            <w:vMerge w:val="restart"/>
            <w:vAlign w:val="center"/>
          </w:tcPr>
          <w:p w:rsidR="00812FE8" w:rsidRPr="002D023E" w:rsidRDefault="00812FE8" w:rsidP="008763E6">
            <w:pPr>
              <w:jc w:val="center"/>
              <w:rPr>
                <w:rFonts w:ascii="Arial Narrow" w:hAnsi="Arial Narrow"/>
                <w:i/>
                <w:iCs/>
                <w:sz w:val="20"/>
              </w:rPr>
            </w:pPr>
            <w:r w:rsidRPr="002D023E">
              <w:rPr>
                <w:rFonts w:ascii="Arial Narrow" w:hAnsi="Arial Narrow"/>
                <w:i/>
                <w:iCs/>
                <w:sz w:val="20"/>
              </w:rPr>
              <w:t>ACR20 at Wk 24, ACR50</w:t>
            </w:r>
          </w:p>
        </w:tc>
      </w:tr>
      <w:tr w:rsidR="00812FE8" w:rsidRPr="002D023E" w:rsidTr="008763E6">
        <w:trPr>
          <w:cantSplit/>
        </w:trPr>
        <w:tc>
          <w:tcPr>
            <w:tcW w:w="992" w:type="dxa"/>
            <w:shd w:val="clear" w:color="auto" w:fill="auto"/>
            <w:vAlign w:val="center"/>
          </w:tcPr>
          <w:p w:rsidR="00812FE8" w:rsidRPr="002D023E" w:rsidRDefault="00812FE8" w:rsidP="008763E6">
            <w:pPr>
              <w:ind w:left="142"/>
              <w:jc w:val="left"/>
              <w:rPr>
                <w:rFonts w:ascii="Arial Narrow" w:hAnsi="Arial Narrow"/>
                <w:i/>
                <w:iCs/>
                <w:sz w:val="20"/>
                <w:szCs w:val="18"/>
              </w:rPr>
            </w:pPr>
            <w:r w:rsidRPr="002D023E">
              <w:rPr>
                <w:rFonts w:ascii="Arial Narrow" w:hAnsi="Arial Narrow"/>
                <w:i/>
                <w:iCs/>
                <w:sz w:val="20"/>
              </w:rPr>
              <w:t>Anti-TNFα naïve</w:t>
            </w:r>
          </w:p>
        </w:tc>
        <w:tc>
          <w:tcPr>
            <w:tcW w:w="426" w:type="dxa"/>
            <w:shd w:val="clear" w:color="auto" w:fill="auto"/>
            <w:vAlign w:val="center"/>
          </w:tcPr>
          <w:p w:rsidR="00812FE8" w:rsidRPr="002D023E" w:rsidRDefault="00812FE8" w:rsidP="008763E6">
            <w:pPr>
              <w:jc w:val="center"/>
              <w:rPr>
                <w:rFonts w:ascii="Arial Narrow" w:hAnsi="Arial Narrow"/>
                <w:i/>
                <w:iCs/>
                <w:sz w:val="20"/>
              </w:rPr>
            </w:pPr>
            <w:r>
              <w:rPr>
                <w:rFonts w:ascii="Arial Narrow" w:hAnsi="Arial Narrow"/>
                <w:i/>
                <w:iCs/>
                <w:sz w:val="20"/>
              </w:rPr>
              <w:t>132</w:t>
            </w:r>
          </w:p>
        </w:tc>
        <w:tc>
          <w:tcPr>
            <w:tcW w:w="1863" w:type="dxa"/>
            <w:vMerge/>
            <w:shd w:val="clear" w:color="auto" w:fill="auto"/>
            <w:vAlign w:val="center"/>
          </w:tcPr>
          <w:p w:rsidR="00812FE8" w:rsidRPr="002D023E" w:rsidRDefault="00812FE8" w:rsidP="008763E6">
            <w:pPr>
              <w:jc w:val="center"/>
              <w:rPr>
                <w:rFonts w:ascii="Arial Narrow" w:hAnsi="Arial Narrow"/>
                <w:i/>
                <w:sz w:val="20"/>
              </w:rPr>
            </w:pPr>
          </w:p>
        </w:tc>
        <w:tc>
          <w:tcPr>
            <w:tcW w:w="688" w:type="dxa"/>
            <w:shd w:val="clear" w:color="auto" w:fill="auto"/>
            <w:vAlign w:val="center"/>
          </w:tcPr>
          <w:p w:rsidR="00812FE8" w:rsidRPr="002D023E" w:rsidRDefault="00812FE8" w:rsidP="008763E6">
            <w:pPr>
              <w:jc w:val="center"/>
              <w:rPr>
                <w:rFonts w:ascii="Arial Narrow" w:hAnsi="Arial Narrow"/>
                <w:i/>
                <w:iCs/>
                <w:sz w:val="20"/>
              </w:rPr>
            </w:pPr>
            <w:r>
              <w:rPr>
                <w:rFonts w:ascii="Arial Narrow" w:hAnsi="Arial Narrow"/>
                <w:i/>
                <w:iCs/>
                <w:sz w:val="20"/>
              </w:rPr>
              <w:t>Unclear</w:t>
            </w:r>
          </w:p>
        </w:tc>
        <w:tc>
          <w:tcPr>
            <w:tcW w:w="992" w:type="dxa"/>
            <w:shd w:val="clear" w:color="auto" w:fill="auto"/>
            <w:vAlign w:val="center"/>
          </w:tcPr>
          <w:p w:rsidR="00812FE8" w:rsidRPr="002D023E" w:rsidRDefault="00812FE8" w:rsidP="008763E6">
            <w:pPr>
              <w:jc w:val="center"/>
              <w:rPr>
                <w:rFonts w:ascii="Arial Narrow" w:hAnsi="Arial Narrow"/>
                <w:i/>
                <w:iCs/>
                <w:sz w:val="20"/>
              </w:rPr>
            </w:pPr>
            <w:r w:rsidRPr="002D023E">
              <w:rPr>
                <w:rFonts w:ascii="Arial Narrow" w:hAnsi="Arial Narrow"/>
                <w:i/>
                <w:iCs/>
                <w:sz w:val="20"/>
              </w:rPr>
              <w:t>Anti-TNFα naïve only</w:t>
            </w:r>
          </w:p>
        </w:tc>
        <w:tc>
          <w:tcPr>
            <w:tcW w:w="2410" w:type="dxa"/>
            <w:vMerge/>
            <w:shd w:val="clear" w:color="auto" w:fill="auto"/>
            <w:vAlign w:val="center"/>
          </w:tcPr>
          <w:p w:rsidR="00812FE8" w:rsidRPr="002D023E" w:rsidRDefault="00812FE8" w:rsidP="008763E6">
            <w:pPr>
              <w:jc w:val="center"/>
              <w:rPr>
                <w:rFonts w:ascii="Arial Narrow" w:hAnsi="Arial Narrow"/>
                <w:i/>
                <w:iCs/>
                <w:sz w:val="20"/>
              </w:rPr>
            </w:pPr>
          </w:p>
        </w:tc>
        <w:tc>
          <w:tcPr>
            <w:tcW w:w="1068" w:type="dxa"/>
            <w:vMerge/>
            <w:vAlign w:val="center"/>
          </w:tcPr>
          <w:p w:rsidR="00812FE8" w:rsidRPr="002D023E" w:rsidRDefault="00812FE8" w:rsidP="008763E6">
            <w:pPr>
              <w:jc w:val="center"/>
              <w:rPr>
                <w:rFonts w:ascii="Arial Narrow" w:hAnsi="Arial Narrow"/>
                <w:i/>
                <w:iCs/>
                <w:sz w:val="20"/>
              </w:rPr>
            </w:pPr>
          </w:p>
        </w:tc>
      </w:tr>
    </w:tbl>
    <w:p w:rsidR="00812FE8" w:rsidRPr="002D023E" w:rsidRDefault="00812FE8" w:rsidP="00812FE8">
      <w:pPr>
        <w:ind w:left="720"/>
        <w:rPr>
          <w:rFonts w:ascii="Arial Narrow" w:hAnsi="Arial Narrow"/>
          <w:sz w:val="18"/>
          <w:szCs w:val="18"/>
        </w:rPr>
      </w:pPr>
      <w:r w:rsidRPr="002D023E">
        <w:rPr>
          <w:rFonts w:ascii="Arial Narrow" w:hAnsi="Arial Narrow"/>
          <w:sz w:val="18"/>
          <w:szCs w:val="18"/>
        </w:rPr>
        <w:t xml:space="preserve">Abbreviations: ACR20 = at least 20% improvement in the American College of Rheumatology response criteria; ACR50 = at least 50% improvement in the American College of Rheumatology response criteria; ADA = adalimumab; </w:t>
      </w:r>
      <w:r>
        <w:rPr>
          <w:rFonts w:ascii="Arial Narrow" w:hAnsi="Arial Narrow"/>
          <w:sz w:val="18"/>
          <w:szCs w:val="18"/>
        </w:rPr>
        <w:t xml:space="preserve">CO = crossover; </w:t>
      </w:r>
      <w:r w:rsidRPr="002D023E">
        <w:rPr>
          <w:rFonts w:ascii="Arial Narrow" w:hAnsi="Arial Narrow"/>
          <w:sz w:val="18"/>
          <w:szCs w:val="18"/>
        </w:rPr>
        <w:t>CZP = certolizumab pegol; DB = double blind; ETC = etanercept; GOL = golimumab; INF = infliximab; MC = multicentre; mTSS = modified Total Sharp Score; OL = open-label; PBO = placebo; PsARC = Psoriatic Arthritis Response Criteria; R = randomised; SEC = secukinumab; TNFα = tumour necrosis factor alpha; UST = ustekinumab</w:t>
      </w:r>
    </w:p>
    <w:p w:rsidR="00812FE8" w:rsidRPr="002D023E" w:rsidRDefault="00812FE8" w:rsidP="00812FE8">
      <w:pPr>
        <w:pStyle w:val="TableFooter"/>
        <w:ind w:left="252" w:firstLine="468"/>
        <w:rPr>
          <w:szCs w:val="18"/>
        </w:rPr>
      </w:pPr>
      <w:r w:rsidRPr="002D023E">
        <w:rPr>
          <w:szCs w:val="18"/>
        </w:rPr>
        <w:t>*  number of patients analysed.</w:t>
      </w:r>
    </w:p>
    <w:p w:rsidR="00812FE8" w:rsidRPr="002D023E" w:rsidRDefault="00812FE8" w:rsidP="00812FE8">
      <w:pPr>
        <w:pStyle w:val="TableFooter"/>
        <w:ind w:left="165" w:firstLine="555"/>
        <w:rPr>
          <w:szCs w:val="18"/>
        </w:rPr>
      </w:pPr>
      <w:r w:rsidRPr="002D023E">
        <w:rPr>
          <w:szCs w:val="18"/>
          <w:vertAlign w:val="superscript"/>
        </w:rPr>
        <w:t>a</w:t>
      </w:r>
      <w:r>
        <w:rPr>
          <w:szCs w:val="18"/>
          <w:vertAlign w:val="superscript"/>
        </w:rPr>
        <w:t xml:space="preserve">   </w:t>
      </w:r>
      <w:r w:rsidRPr="002D023E">
        <w:rPr>
          <w:szCs w:val="18"/>
        </w:rPr>
        <w:t>&lt;20% improvement from baseline in tender and swollen joint counts.</w:t>
      </w:r>
    </w:p>
    <w:p w:rsidR="00812FE8" w:rsidRDefault="00812FE8" w:rsidP="00812FE8">
      <w:pPr>
        <w:pStyle w:val="TableFooter"/>
        <w:ind w:left="1440" w:hanging="720"/>
        <w:rPr>
          <w:szCs w:val="18"/>
        </w:rPr>
      </w:pPr>
      <w:r w:rsidRPr="002D023E">
        <w:rPr>
          <w:szCs w:val="18"/>
          <w:vertAlign w:val="superscript"/>
        </w:rPr>
        <w:t>b</w:t>
      </w:r>
      <w:r>
        <w:rPr>
          <w:szCs w:val="18"/>
          <w:vertAlign w:val="superscript"/>
        </w:rPr>
        <w:t xml:space="preserve">   </w:t>
      </w:r>
      <w:r w:rsidRPr="004C3BD7">
        <w:rPr>
          <w:szCs w:val="18"/>
        </w:rPr>
        <w:t>&lt;20% decrease in both swollen and tender joint counts on two consecutive visits – rescue</w:t>
      </w:r>
      <w:r>
        <w:rPr>
          <w:szCs w:val="18"/>
        </w:rPr>
        <w:t>d</w:t>
      </w:r>
      <w:r w:rsidRPr="004C3BD7">
        <w:rPr>
          <w:szCs w:val="18"/>
        </w:rPr>
        <w:t xml:space="preserve"> with corticosteroids or DMARDs.</w:t>
      </w:r>
    </w:p>
    <w:p w:rsidR="00812FE8" w:rsidRPr="002D023E" w:rsidRDefault="00812FE8" w:rsidP="00812FE8">
      <w:pPr>
        <w:pStyle w:val="TableFooter"/>
        <w:ind w:left="896" w:hanging="176"/>
        <w:rPr>
          <w:szCs w:val="18"/>
        </w:rPr>
      </w:pPr>
      <w:r w:rsidRPr="002D023E">
        <w:rPr>
          <w:szCs w:val="18"/>
          <w:vertAlign w:val="superscript"/>
        </w:rPr>
        <w:t>c</w:t>
      </w:r>
      <w:r w:rsidRPr="002D023E">
        <w:rPr>
          <w:szCs w:val="18"/>
        </w:rPr>
        <w:t xml:space="preserve">&lt;10% improvement from baseline in both swollen and tender joint counts </w:t>
      </w:r>
      <w:r>
        <w:rPr>
          <w:szCs w:val="18"/>
        </w:rPr>
        <w:t xml:space="preserve">- </w:t>
      </w:r>
      <w:r w:rsidRPr="002D023E">
        <w:rPr>
          <w:szCs w:val="18"/>
        </w:rPr>
        <w:t xml:space="preserve">received </w:t>
      </w:r>
      <w:r>
        <w:rPr>
          <w:szCs w:val="18"/>
        </w:rPr>
        <w:t xml:space="preserve">INF 5 mg/kg at </w:t>
      </w:r>
      <w:r w:rsidRPr="002D023E">
        <w:rPr>
          <w:szCs w:val="18"/>
        </w:rPr>
        <w:t xml:space="preserve">weeks 16, 18, and 22. Patients randomised to </w:t>
      </w:r>
      <w:r>
        <w:rPr>
          <w:szCs w:val="18"/>
        </w:rPr>
        <w:t xml:space="preserve">INF </w:t>
      </w:r>
      <w:r w:rsidRPr="002D023E">
        <w:rPr>
          <w:szCs w:val="18"/>
        </w:rPr>
        <w:t xml:space="preserve">who had &lt;10% improvement received additional </w:t>
      </w:r>
      <w:r>
        <w:rPr>
          <w:szCs w:val="18"/>
        </w:rPr>
        <w:t xml:space="preserve">PBO </w:t>
      </w:r>
      <w:r w:rsidRPr="002D023E">
        <w:rPr>
          <w:szCs w:val="18"/>
        </w:rPr>
        <w:t>infusions at weeks 16 and 18.</w:t>
      </w:r>
    </w:p>
    <w:p w:rsidR="00812FE8" w:rsidRPr="002D023E" w:rsidRDefault="00812FE8" w:rsidP="00812FE8">
      <w:pPr>
        <w:pStyle w:val="TableFooter"/>
        <w:ind w:left="910" w:hanging="190"/>
        <w:rPr>
          <w:szCs w:val="18"/>
        </w:rPr>
      </w:pPr>
      <w:r w:rsidRPr="002D023E">
        <w:rPr>
          <w:szCs w:val="18"/>
          <w:vertAlign w:val="superscript"/>
        </w:rPr>
        <w:t>d</w:t>
      </w:r>
      <w:r>
        <w:rPr>
          <w:szCs w:val="18"/>
        </w:rPr>
        <w:t xml:space="preserve">   </w:t>
      </w:r>
      <w:r w:rsidRPr="002D023E">
        <w:rPr>
          <w:szCs w:val="18"/>
        </w:rPr>
        <w:t>&lt;10% decrease in swollen and tender joint counts switched to either active treatment (if on PBO) or higher dose (if already receiving active treatment (GOL5</w:t>
      </w:r>
      <w:r w:rsidR="00992EE2">
        <w:rPr>
          <w:szCs w:val="18"/>
        </w:rPr>
        <w:t>0 mg</w:t>
      </w:r>
      <w:r w:rsidRPr="002D023E">
        <w:rPr>
          <w:szCs w:val="18"/>
        </w:rPr>
        <w:t xml:space="preserve"> to GOL10</w:t>
      </w:r>
      <w:r w:rsidR="00992EE2">
        <w:rPr>
          <w:szCs w:val="18"/>
        </w:rPr>
        <w:t>0 mg</w:t>
      </w:r>
      <w:r w:rsidRPr="002D023E">
        <w:rPr>
          <w:szCs w:val="18"/>
        </w:rPr>
        <w:t>). GOL 10</w:t>
      </w:r>
      <w:r w:rsidR="00992EE2">
        <w:rPr>
          <w:szCs w:val="18"/>
        </w:rPr>
        <w:t>0 mg</w:t>
      </w:r>
      <w:r w:rsidRPr="002D023E">
        <w:rPr>
          <w:szCs w:val="18"/>
        </w:rPr>
        <w:t xml:space="preserve"> maintained. </w:t>
      </w:r>
    </w:p>
    <w:p w:rsidR="00812FE8" w:rsidRPr="002D023E" w:rsidRDefault="00812FE8" w:rsidP="00812FE8">
      <w:pPr>
        <w:pStyle w:val="TableFooter"/>
        <w:ind w:left="165" w:firstLine="555"/>
        <w:rPr>
          <w:szCs w:val="18"/>
        </w:rPr>
      </w:pPr>
      <w:r w:rsidRPr="002D023E">
        <w:rPr>
          <w:szCs w:val="18"/>
          <w:vertAlign w:val="superscript"/>
        </w:rPr>
        <w:t>e</w:t>
      </w:r>
      <w:r>
        <w:rPr>
          <w:szCs w:val="18"/>
        </w:rPr>
        <w:t xml:space="preserve">   </w:t>
      </w:r>
      <w:r w:rsidRPr="002D023E">
        <w:rPr>
          <w:szCs w:val="18"/>
        </w:rPr>
        <w:t>&lt;10% decrease in swollen and tender joint counts at Weeks 14 and 16.</w:t>
      </w:r>
    </w:p>
    <w:p w:rsidR="00812FE8" w:rsidRPr="007A42EE" w:rsidRDefault="00812FE8" w:rsidP="00812FE8">
      <w:pPr>
        <w:pStyle w:val="TableFooter"/>
        <w:ind w:left="910" w:hanging="190"/>
        <w:rPr>
          <w:i/>
          <w:szCs w:val="18"/>
        </w:rPr>
      </w:pPr>
      <w:r w:rsidRPr="007A42EE">
        <w:rPr>
          <w:i/>
          <w:szCs w:val="18"/>
          <w:vertAlign w:val="superscript"/>
        </w:rPr>
        <w:t>f</w:t>
      </w:r>
      <w:r>
        <w:rPr>
          <w:i/>
          <w:szCs w:val="18"/>
        </w:rPr>
        <w:t xml:space="preserve">   </w:t>
      </w:r>
      <w:r w:rsidRPr="007A42EE">
        <w:rPr>
          <w:i/>
          <w:szCs w:val="18"/>
        </w:rPr>
        <w:t>&lt;5% decrease in swollen and tender joint counts switched to either active treatment (if on PBO) or higher dose (if already receiving active treatment (UST 45mg to 9</w:t>
      </w:r>
      <w:r w:rsidR="00992EE2">
        <w:rPr>
          <w:i/>
          <w:szCs w:val="18"/>
        </w:rPr>
        <w:t>0 mg</w:t>
      </w:r>
      <w:r w:rsidRPr="007A42EE">
        <w:rPr>
          <w:i/>
          <w:szCs w:val="18"/>
        </w:rPr>
        <w:t>). UST 9</w:t>
      </w:r>
      <w:r w:rsidR="00992EE2">
        <w:rPr>
          <w:i/>
          <w:szCs w:val="18"/>
        </w:rPr>
        <w:t>0 mg</w:t>
      </w:r>
      <w:r w:rsidRPr="007A42EE">
        <w:rPr>
          <w:i/>
          <w:szCs w:val="18"/>
        </w:rPr>
        <w:t xml:space="preserve"> maintained.</w:t>
      </w:r>
    </w:p>
    <w:p w:rsidR="00812FE8" w:rsidRPr="002D023E" w:rsidRDefault="00812FE8" w:rsidP="00812FE8">
      <w:pPr>
        <w:pStyle w:val="TableFooter"/>
        <w:ind w:firstLine="720"/>
        <w:rPr>
          <w:szCs w:val="16"/>
        </w:rPr>
      </w:pPr>
      <w:r w:rsidRPr="002D023E">
        <w:rPr>
          <w:szCs w:val="16"/>
        </w:rPr>
        <w:t>Source: compiled during the evaluation, pp36-55 of the submission</w:t>
      </w:r>
      <w:r>
        <w:rPr>
          <w:szCs w:val="16"/>
        </w:rPr>
        <w:t xml:space="preserve"> and respective publications</w:t>
      </w:r>
      <w:r w:rsidRPr="002D023E">
        <w:rPr>
          <w:szCs w:val="16"/>
        </w:rPr>
        <w:t>.</w:t>
      </w:r>
    </w:p>
    <w:p w:rsidR="00812FE8" w:rsidRPr="002D023E" w:rsidRDefault="00812FE8" w:rsidP="00812FE8">
      <w:pPr>
        <w:widowControl/>
        <w:rPr>
          <w:szCs w:val="22"/>
        </w:rPr>
      </w:pPr>
    </w:p>
    <w:p w:rsidR="00812FE8" w:rsidRPr="00CA6B3B" w:rsidRDefault="00812FE8" w:rsidP="00812FE8">
      <w:pPr>
        <w:pStyle w:val="ListParagraph"/>
        <w:numPr>
          <w:ilvl w:val="1"/>
          <w:numId w:val="7"/>
        </w:numPr>
        <w:rPr>
          <w:iCs/>
          <w:szCs w:val="22"/>
        </w:rPr>
      </w:pPr>
      <w:r w:rsidRPr="00CA6B3B">
        <w:rPr>
          <w:iCs/>
          <w:szCs w:val="22"/>
        </w:rPr>
        <w:t xml:space="preserve">The risk of bias for the indirect comparisons was unclear given the potential heterogeneity across the included trials.  There were concerns that the included trials were not exchangeable, given the differences across the trials in terms of the trial design (including rescue or early escape), eligibility criteria, baseline characteristics, outcome measures (e.g. timing, joint counts), and period of trial conduct (over a more </w:t>
      </w:r>
      <w:r w:rsidRPr="00CA6B3B">
        <w:rPr>
          <w:iCs/>
          <w:szCs w:val="22"/>
        </w:rPr>
        <w:lastRenderedPageBreak/>
        <w:t>than 10 year time period).</w:t>
      </w:r>
    </w:p>
    <w:p w:rsidR="00812FE8" w:rsidRPr="00B269B5" w:rsidRDefault="00812FE8" w:rsidP="00812FE8">
      <w:pPr>
        <w:pStyle w:val="ListParagraph"/>
        <w:widowControl/>
        <w:rPr>
          <w:i/>
          <w:iCs/>
          <w:szCs w:val="22"/>
        </w:rPr>
      </w:pPr>
    </w:p>
    <w:p w:rsidR="00812FE8" w:rsidRPr="00CA6B3B" w:rsidRDefault="00812FE8" w:rsidP="00812FE8">
      <w:pPr>
        <w:pStyle w:val="ListParagraph"/>
        <w:widowControl/>
        <w:numPr>
          <w:ilvl w:val="1"/>
          <w:numId w:val="7"/>
        </w:numPr>
        <w:rPr>
          <w:szCs w:val="22"/>
        </w:rPr>
      </w:pPr>
      <w:r w:rsidRPr="00CA6B3B">
        <w:rPr>
          <w:szCs w:val="22"/>
        </w:rPr>
        <w:t>The secukinumab trial (FUTURE2), certolizumab pegol trial (RAPID-PsA) and one of the ustekinumab trials (PSUMMIT-2) included both anti-TNFα naïve and experienced</w:t>
      </w:r>
      <w:r w:rsidRPr="00943BEB">
        <w:rPr>
          <w:szCs w:val="22"/>
        </w:rPr>
        <w:t xml:space="preserve"> </w:t>
      </w:r>
      <w:r w:rsidRPr="00CA6B3B">
        <w:rPr>
          <w:szCs w:val="22"/>
        </w:rPr>
        <w:t>patients,</w:t>
      </w:r>
      <w:r w:rsidRPr="00CA6B3B">
        <w:rPr>
          <w:iCs/>
          <w:szCs w:val="22"/>
        </w:rPr>
        <w:t xml:space="preserve"> and were therefore more consistent with the requested PBS population given the interchangeability of the bDMARDs on the PBS. </w:t>
      </w:r>
    </w:p>
    <w:p w:rsidR="00812FE8" w:rsidRPr="00CA6B3B" w:rsidRDefault="00812FE8" w:rsidP="00812FE8">
      <w:pPr>
        <w:pStyle w:val="ListParagraph"/>
        <w:rPr>
          <w:szCs w:val="22"/>
        </w:rPr>
      </w:pPr>
    </w:p>
    <w:p w:rsidR="00812FE8" w:rsidRPr="00CA6B3B" w:rsidRDefault="00812FE8" w:rsidP="00812FE8">
      <w:pPr>
        <w:pStyle w:val="ListParagraph"/>
        <w:widowControl/>
        <w:numPr>
          <w:ilvl w:val="1"/>
          <w:numId w:val="7"/>
        </w:numPr>
        <w:rPr>
          <w:szCs w:val="22"/>
        </w:rPr>
      </w:pPr>
      <w:r w:rsidRPr="00CA6B3B">
        <w:rPr>
          <w:szCs w:val="22"/>
        </w:rPr>
        <w:t xml:space="preserve">The submission considered that the extent of prior anti-TNFα treatment exposure was the main difference between secukinumab and the comparator trials.  The submission argued that the secukinumab trial population could be interpreted as representing patients who were more difficult to treat versus the anti-TNFα naïve populations, thus the indirect comparisons were only conducted in the anti-TNFα naïve population.  </w:t>
      </w:r>
      <w:r w:rsidRPr="00CA6B3B">
        <w:rPr>
          <w:iCs/>
          <w:szCs w:val="22"/>
        </w:rPr>
        <w:t>While limiting the analyses to those who are anti-TNFα naïve may reduce the heterogeneity across the included trials, this also limited the applicability of the results to the requested PBS population</w:t>
      </w:r>
      <w:r w:rsidR="001A3953" w:rsidRPr="009D01F1">
        <w:rPr>
          <w:iCs/>
          <w:szCs w:val="22"/>
        </w:rPr>
        <w:t>, whilst increasing the imprecision around the effect size point estimates included in the indirect comparison.</w:t>
      </w:r>
      <w:r w:rsidRPr="009D01F1">
        <w:rPr>
          <w:iCs/>
          <w:szCs w:val="22"/>
        </w:rPr>
        <w:t xml:space="preserve">  The submission did not present indirect comparisons in the entire trial populations</w:t>
      </w:r>
      <w:r w:rsidRPr="00CA6B3B">
        <w:rPr>
          <w:iCs/>
          <w:szCs w:val="22"/>
        </w:rPr>
        <w:t xml:space="preserve"> to demonstrate that the results were robust to the population used to inform the comparisons.</w:t>
      </w:r>
    </w:p>
    <w:p w:rsidR="00B251A6" w:rsidRDefault="00B251A6" w:rsidP="00B251A6">
      <w:pPr>
        <w:widowControl/>
        <w:rPr>
          <w:szCs w:val="22"/>
        </w:rPr>
      </w:pPr>
    </w:p>
    <w:p w:rsidR="00FC354B" w:rsidRPr="002D023E" w:rsidRDefault="00FC354B" w:rsidP="00FC354B">
      <w:pPr>
        <w:pStyle w:val="Heading2"/>
        <w:rPr>
          <w:i/>
        </w:rPr>
      </w:pPr>
      <w:bookmarkStart w:id="8" w:name="_Toc439952077"/>
      <w:bookmarkStart w:id="9" w:name="_Toc441048471"/>
      <w:r w:rsidRPr="002D023E">
        <w:rPr>
          <w:i/>
        </w:rPr>
        <w:t>Comparative effectiveness</w:t>
      </w:r>
      <w:bookmarkEnd w:id="8"/>
      <w:bookmarkEnd w:id="9"/>
    </w:p>
    <w:p w:rsidR="00FC354B" w:rsidRDefault="00FC354B" w:rsidP="00FC354B">
      <w:pPr>
        <w:pStyle w:val="ListParagraph"/>
        <w:widowControl/>
        <w:rPr>
          <w:i/>
          <w:iCs/>
          <w:szCs w:val="22"/>
        </w:rPr>
      </w:pPr>
    </w:p>
    <w:p w:rsidR="009D01F1" w:rsidRPr="009D01F1" w:rsidRDefault="0067697D" w:rsidP="00123E6B">
      <w:pPr>
        <w:pStyle w:val="ListParagraph"/>
        <w:widowControl/>
        <w:numPr>
          <w:ilvl w:val="1"/>
          <w:numId w:val="7"/>
        </w:numPr>
        <w:rPr>
          <w:szCs w:val="22"/>
        </w:rPr>
      </w:pPr>
      <w:r w:rsidRPr="009D01F1">
        <w:rPr>
          <w:szCs w:val="22"/>
        </w:rPr>
        <w:t>The submission present</w:t>
      </w:r>
      <w:r w:rsidR="000732DE" w:rsidRPr="009D01F1">
        <w:rPr>
          <w:szCs w:val="22"/>
        </w:rPr>
        <w:t>ed</w:t>
      </w:r>
      <w:r w:rsidRPr="009D01F1">
        <w:rPr>
          <w:szCs w:val="22"/>
        </w:rPr>
        <w:t xml:space="preserve"> indirect comparisons </w:t>
      </w:r>
      <w:r w:rsidR="00502DD1" w:rsidRPr="009D01F1">
        <w:rPr>
          <w:szCs w:val="22"/>
        </w:rPr>
        <w:t>of the</w:t>
      </w:r>
      <w:r w:rsidRPr="009D01F1">
        <w:rPr>
          <w:szCs w:val="22"/>
        </w:rPr>
        <w:t xml:space="preserve"> </w:t>
      </w:r>
      <w:r w:rsidR="00F04ADD" w:rsidRPr="009D01F1">
        <w:rPr>
          <w:szCs w:val="22"/>
        </w:rPr>
        <w:t xml:space="preserve">American College of Rheumatology 50% improvement criteria (ACR50) </w:t>
      </w:r>
      <w:r w:rsidRPr="009D01F1">
        <w:rPr>
          <w:szCs w:val="22"/>
        </w:rPr>
        <w:t xml:space="preserve">and </w:t>
      </w:r>
      <w:r w:rsidR="00F04ADD" w:rsidRPr="009D01F1">
        <w:rPr>
          <w:szCs w:val="22"/>
        </w:rPr>
        <w:t xml:space="preserve">20% improvement criteria (ACR20) </w:t>
      </w:r>
      <w:r w:rsidRPr="009D01F1">
        <w:rPr>
          <w:szCs w:val="22"/>
        </w:rPr>
        <w:t>response rates using Week 16 secukinumab data from the FUTURE2 trial versus its comparators</w:t>
      </w:r>
      <w:r w:rsidR="00435363" w:rsidRPr="009D01F1">
        <w:rPr>
          <w:szCs w:val="22"/>
        </w:rPr>
        <w:t>,</w:t>
      </w:r>
      <w:r w:rsidRPr="009D01F1">
        <w:rPr>
          <w:szCs w:val="22"/>
        </w:rPr>
        <w:t xml:space="preserve"> </w:t>
      </w:r>
      <w:r w:rsidR="00B640AD" w:rsidRPr="009D01F1">
        <w:rPr>
          <w:szCs w:val="22"/>
        </w:rPr>
        <w:t>via</w:t>
      </w:r>
      <w:r w:rsidRPr="009D01F1">
        <w:rPr>
          <w:szCs w:val="22"/>
        </w:rPr>
        <w:t xml:space="preserve"> placebo as the common referen</w:t>
      </w:r>
      <w:r w:rsidR="007927B5" w:rsidRPr="009D01F1">
        <w:rPr>
          <w:szCs w:val="22"/>
        </w:rPr>
        <w:t>ce based on the odds ratio (OR)</w:t>
      </w:r>
      <w:r w:rsidRPr="009D01F1">
        <w:rPr>
          <w:szCs w:val="22"/>
        </w:rPr>
        <w:t xml:space="preserve">.  </w:t>
      </w:r>
      <w:r w:rsidR="00301A22" w:rsidRPr="009D01F1">
        <w:rPr>
          <w:szCs w:val="22"/>
        </w:rPr>
        <w:t xml:space="preserve">The submission </w:t>
      </w:r>
      <w:r w:rsidR="00987056" w:rsidRPr="009D01F1">
        <w:rPr>
          <w:szCs w:val="22"/>
        </w:rPr>
        <w:t>noted</w:t>
      </w:r>
      <w:r w:rsidR="00301A22" w:rsidRPr="009D01F1">
        <w:rPr>
          <w:szCs w:val="22"/>
        </w:rPr>
        <w:t xml:space="preserve"> that </w:t>
      </w:r>
      <w:r w:rsidR="006F40E6" w:rsidRPr="009D01F1">
        <w:rPr>
          <w:szCs w:val="22"/>
        </w:rPr>
        <w:t xml:space="preserve">the </w:t>
      </w:r>
      <w:r w:rsidR="00E83D20" w:rsidRPr="009D01F1">
        <w:rPr>
          <w:szCs w:val="22"/>
        </w:rPr>
        <w:t>results</w:t>
      </w:r>
      <w:r w:rsidR="006F40E6" w:rsidRPr="009D01F1">
        <w:rPr>
          <w:szCs w:val="22"/>
        </w:rPr>
        <w:t xml:space="preserve"> </w:t>
      </w:r>
      <w:r w:rsidR="00987056" w:rsidRPr="009D01F1">
        <w:rPr>
          <w:szCs w:val="22"/>
        </w:rPr>
        <w:t xml:space="preserve">indicated that there were no statistically significant differences </w:t>
      </w:r>
      <w:r w:rsidR="00201EC4" w:rsidRPr="009D01F1">
        <w:rPr>
          <w:szCs w:val="22"/>
        </w:rPr>
        <w:t>between secukinumab</w:t>
      </w:r>
      <w:r w:rsidR="0084403B" w:rsidRPr="009D01F1">
        <w:rPr>
          <w:szCs w:val="22"/>
        </w:rPr>
        <w:t xml:space="preserve"> versus its comparators </w:t>
      </w:r>
      <w:r w:rsidR="005E6367" w:rsidRPr="009D01F1">
        <w:rPr>
          <w:szCs w:val="22"/>
        </w:rPr>
        <w:t xml:space="preserve">(individually or pooled) </w:t>
      </w:r>
      <w:r w:rsidR="00E25D9F" w:rsidRPr="009D01F1">
        <w:rPr>
          <w:szCs w:val="22"/>
        </w:rPr>
        <w:t xml:space="preserve">in the ACR50 and the </w:t>
      </w:r>
      <w:r w:rsidR="00F04ADD" w:rsidRPr="009D01F1">
        <w:rPr>
          <w:szCs w:val="22"/>
        </w:rPr>
        <w:t>A</w:t>
      </w:r>
      <w:r w:rsidR="00E25D9F" w:rsidRPr="009D01F1">
        <w:rPr>
          <w:szCs w:val="22"/>
        </w:rPr>
        <w:t>CR20</w:t>
      </w:r>
      <w:r w:rsidR="00201EC4" w:rsidRPr="009D01F1">
        <w:rPr>
          <w:szCs w:val="22"/>
        </w:rPr>
        <w:t>.</w:t>
      </w:r>
      <w:r w:rsidR="00B57BB1" w:rsidRPr="009D01F1">
        <w:rPr>
          <w:szCs w:val="22"/>
        </w:rPr>
        <w:t xml:space="preserve">  The submission claimed that this suggested that </w:t>
      </w:r>
      <w:r w:rsidR="005D2782" w:rsidRPr="009D01F1">
        <w:rPr>
          <w:szCs w:val="22"/>
        </w:rPr>
        <w:t>secukinumab wa</w:t>
      </w:r>
      <w:r w:rsidR="00E070F0" w:rsidRPr="009D01F1">
        <w:rPr>
          <w:szCs w:val="22"/>
        </w:rPr>
        <w:t xml:space="preserve">s non-inferior to </w:t>
      </w:r>
      <w:r w:rsidR="000467F7" w:rsidRPr="009D01F1">
        <w:rPr>
          <w:szCs w:val="22"/>
        </w:rPr>
        <w:t>the comparators, alone or combined</w:t>
      </w:r>
      <w:r w:rsidR="00E070F0" w:rsidRPr="009D01F1">
        <w:rPr>
          <w:szCs w:val="22"/>
        </w:rPr>
        <w:t xml:space="preserve">.  </w:t>
      </w:r>
      <w:r w:rsidR="00906CF8" w:rsidRPr="009D01F1">
        <w:rPr>
          <w:iCs/>
          <w:szCs w:val="22"/>
        </w:rPr>
        <w:t>F</w:t>
      </w:r>
      <w:r w:rsidR="00E070F0" w:rsidRPr="009D01F1">
        <w:rPr>
          <w:iCs/>
          <w:szCs w:val="22"/>
        </w:rPr>
        <w:t xml:space="preserve">ormal non-inferiority testing was </w:t>
      </w:r>
      <w:r w:rsidR="00906CF8" w:rsidRPr="009D01F1">
        <w:rPr>
          <w:iCs/>
          <w:szCs w:val="22"/>
        </w:rPr>
        <w:t>not conducted</w:t>
      </w:r>
      <w:r w:rsidR="001A3953" w:rsidRPr="009D01F1">
        <w:rPr>
          <w:iCs/>
          <w:szCs w:val="22"/>
        </w:rPr>
        <w:t>.</w:t>
      </w:r>
    </w:p>
    <w:p w:rsidR="009D01F1" w:rsidRPr="009D01F1" w:rsidRDefault="009D01F1" w:rsidP="009D01F1">
      <w:pPr>
        <w:pStyle w:val="ListParagraph"/>
        <w:widowControl/>
        <w:rPr>
          <w:szCs w:val="22"/>
        </w:rPr>
      </w:pPr>
    </w:p>
    <w:p w:rsidR="00777F41" w:rsidRPr="009D01F1" w:rsidRDefault="001A3953" w:rsidP="00123E6B">
      <w:pPr>
        <w:pStyle w:val="ListParagraph"/>
        <w:widowControl/>
        <w:numPr>
          <w:ilvl w:val="1"/>
          <w:numId w:val="7"/>
        </w:numPr>
        <w:rPr>
          <w:szCs w:val="22"/>
        </w:rPr>
      </w:pPr>
      <w:r w:rsidRPr="009D01F1">
        <w:rPr>
          <w:iCs/>
          <w:szCs w:val="22"/>
        </w:rPr>
        <w:t xml:space="preserve">The ESC considered that the influence of observed differences in trial sample sizes and the use of a FUTURE 2 sub-population on the precision of the estimates used in the indirect comparison </w:t>
      </w:r>
      <w:r w:rsidR="009D01F1" w:rsidRPr="009D01F1">
        <w:rPr>
          <w:iCs/>
          <w:szCs w:val="22"/>
        </w:rPr>
        <w:t>were</w:t>
      </w:r>
      <w:r w:rsidRPr="009D01F1">
        <w:rPr>
          <w:iCs/>
          <w:szCs w:val="22"/>
        </w:rPr>
        <w:t xml:space="preserve"> difficult to separate from genuine non-inferiority.</w:t>
      </w:r>
    </w:p>
    <w:p w:rsidR="00777F41" w:rsidRPr="009D01F1" w:rsidRDefault="00777F41" w:rsidP="00777F41">
      <w:pPr>
        <w:pStyle w:val="ListParagraph"/>
        <w:widowControl/>
        <w:rPr>
          <w:iCs/>
          <w:szCs w:val="22"/>
        </w:rPr>
      </w:pPr>
    </w:p>
    <w:p w:rsidR="0067697D" w:rsidRDefault="005C65F1" w:rsidP="008B35E5">
      <w:pPr>
        <w:pStyle w:val="ListParagraph"/>
        <w:widowControl/>
        <w:numPr>
          <w:ilvl w:val="1"/>
          <w:numId w:val="7"/>
        </w:numPr>
        <w:rPr>
          <w:iCs/>
          <w:szCs w:val="22"/>
        </w:rPr>
      </w:pPr>
      <w:r w:rsidRPr="00CA6B3B">
        <w:rPr>
          <w:iCs/>
          <w:szCs w:val="22"/>
        </w:rPr>
        <w:t>R</w:t>
      </w:r>
      <w:r w:rsidR="000732DE" w:rsidRPr="00CA6B3B">
        <w:rPr>
          <w:iCs/>
          <w:szCs w:val="22"/>
        </w:rPr>
        <w:t>elative risks (RR</w:t>
      </w:r>
      <w:r w:rsidR="00F24352" w:rsidRPr="00CA6B3B">
        <w:rPr>
          <w:iCs/>
          <w:szCs w:val="22"/>
        </w:rPr>
        <w:t>s</w:t>
      </w:r>
      <w:r w:rsidR="000732DE" w:rsidRPr="00CA6B3B">
        <w:rPr>
          <w:iCs/>
          <w:szCs w:val="22"/>
        </w:rPr>
        <w:t>) and non-inferiority margins based on RR</w:t>
      </w:r>
      <w:r w:rsidR="00F24352" w:rsidRPr="00CA6B3B">
        <w:rPr>
          <w:iCs/>
          <w:szCs w:val="22"/>
        </w:rPr>
        <w:t>s</w:t>
      </w:r>
      <w:r w:rsidR="000732DE" w:rsidRPr="00CA6B3B">
        <w:rPr>
          <w:iCs/>
          <w:szCs w:val="22"/>
        </w:rPr>
        <w:t xml:space="preserve"> ha</w:t>
      </w:r>
      <w:r w:rsidR="008A3367" w:rsidRPr="00CA6B3B">
        <w:rPr>
          <w:iCs/>
          <w:szCs w:val="22"/>
        </w:rPr>
        <w:t>d</w:t>
      </w:r>
      <w:r w:rsidR="000732DE" w:rsidRPr="00CA6B3B">
        <w:rPr>
          <w:iCs/>
          <w:szCs w:val="22"/>
        </w:rPr>
        <w:t xml:space="preserve"> been used in previous PBAC considerations of bDMARDs for the treatment of psoriatic arthritis.  </w:t>
      </w:r>
      <w:r w:rsidR="00CA6C3C" w:rsidRPr="00CA6B3B">
        <w:rPr>
          <w:iCs/>
          <w:szCs w:val="22"/>
        </w:rPr>
        <w:t>T</w:t>
      </w:r>
      <w:r w:rsidR="0067697D" w:rsidRPr="00CA6B3B">
        <w:rPr>
          <w:iCs/>
          <w:szCs w:val="22"/>
        </w:rPr>
        <w:t>he submission’s use of ACR50 and ACR20 response ra</w:t>
      </w:r>
      <w:r w:rsidR="0051104F" w:rsidRPr="00CA6B3B">
        <w:rPr>
          <w:iCs/>
          <w:szCs w:val="22"/>
        </w:rPr>
        <w:t>tes at Week 16 for secukinumab wa</w:t>
      </w:r>
      <w:r w:rsidR="0067697D" w:rsidRPr="00CA6B3B">
        <w:rPr>
          <w:iCs/>
          <w:szCs w:val="22"/>
        </w:rPr>
        <w:t xml:space="preserve">s not consistent with the requested initial treatment supply of a maximum of 16 weeks, for which response rates at 12 weeks </w:t>
      </w:r>
      <w:r w:rsidR="00F56096" w:rsidRPr="00CA6B3B">
        <w:rPr>
          <w:iCs/>
          <w:szCs w:val="22"/>
        </w:rPr>
        <w:t>we</w:t>
      </w:r>
      <w:r w:rsidR="0067697D" w:rsidRPr="00CA6B3B">
        <w:rPr>
          <w:iCs/>
          <w:szCs w:val="22"/>
        </w:rPr>
        <w:t xml:space="preserve">re more applicable.  </w:t>
      </w:r>
      <w:r w:rsidR="008951E4" w:rsidRPr="00CA6B3B">
        <w:rPr>
          <w:iCs/>
          <w:szCs w:val="22"/>
        </w:rPr>
        <w:t>U</w:t>
      </w:r>
      <w:r w:rsidR="00316477" w:rsidRPr="00CA6B3B">
        <w:rPr>
          <w:iCs/>
          <w:szCs w:val="22"/>
        </w:rPr>
        <w:t>se of week 16 response rates wa</w:t>
      </w:r>
      <w:r w:rsidR="0067697D" w:rsidRPr="00CA6B3B">
        <w:rPr>
          <w:iCs/>
          <w:szCs w:val="22"/>
        </w:rPr>
        <w:t>s likely to favour secukinumab.  Therefore</w:t>
      </w:r>
      <w:r w:rsidR="008B35E5" w:rsidRPr="00CA6B3B">
        <w:rPr>
          <w:iCs/>
          <w:szCs w:val="22"/>
        </w:rPr>
        <w:t xml:space="preserve">, </w:t>
      </w:r>
      <w:r w:rsidR="0067697D" w:rsidRPr="00CA6B3B">
        <w:rPr>
          <w:iCs/>
          <w:szCs w:val="22"/>
        </w:rPr>
        <w:t>indirect comparisons were performed during the evaluation based on ACR50 and ACR20 response rates at 12 weeks for secukinumab, with the analysis based on the RR statistic.  Additional data were extracted during the evaluation for certolizumab pegol and ustekinumab.</w:t>
      </w:r>
    </w:p>
    <w:p w:rsidR="001A3953" w:rsidRPr="001A3953" w:rsidRDefault="001A3953" w:rsidP="001A3953">
      <w:pPr>
        <w:pStyle w:val="ListParagraph"/>
        <w:rPr>
          <w:iCs/>
          <w:szCs w:val="22"/>
        </w:rPr>
      </w:pPr>
    </w:p>
    <w:p w:rsidR="001A3953" w:rsidRDefault="001A3953" w:rsidP="008B35E5">
      <w:pPr>
        <w:pStyle w:val="ListParagraph"/>
        <w:widowControl/>
        <w:numPr>
          <w:ilvl w:val="1"/>
          <w:numId w:val="7"/>
        </w:numPr>
        <w:rPr>
          <w:iCs/>
          <w:szCs w:val="22"/>
        </w:rPr>
      </w:pPr>
      <w:r w:rsidRPr="009D01F1">
        <w:rPr>
          <w:iCs/>
          <w:szCs w:val="22"/>
        </w:rPr>
        <w:t xml:space="preserve">The ESC noted that the PSCR maintained </w:t>
      </w:r>
      <w:r w:rsidR="009D01F1">
        <w:rPr>
          <w:iCs/>
          <w:szCs w:val="22"/>
        </w:rPr>
        <w:t>the appropriateness of using</w:t>
      </w:r>
      <w:r w:rsidRPr="009D01F1">
        <w:rPr>
          <w:iCs/>
          <w:szCs w:val="22"/>
        </w:rPr>
        <w:t xml:space="preserve"> response rates at week 16</w:t>
      </w:r>
      <w:r w:rsidR="009D01F1">
        <w:rPr>
          <w:iCs/>
          <w:szCs w:val="22"/>
        </w:rPr>
        <w:t>,</w:t>
      </w:r>
      <w:r w:rsidRPr="009D01F1">
        <w:rPr>
          <w:iCs/>
          <w:szCs w:val="22"/>
        </w:rPr>
        <w:t xml:space="preserve"> as the last dose would be administered at week 12, thereby allowing sufficient time for the administrative requirement to ensure ongoing supply.  </w:t>
      </w:r>
      <w:r w:rsidRPr="009D01F1">
        <w:rPr>
          <w:iCs/>
          <w:szCs w:val="22"/>
        </w:rPr>
        <w:lastRenderedPageBreak/>
        <w:t>The PSCR further claimed that response rates measured at week 12 would mean that the patient’s last dose would have been administered at week 8.</w:t>
      </w:r>
    </w:p>
    <w:p w:rsidR="009D01F1" w:rsidRPr="009D01F1" w:rsidRDefault="009D01F1" w:rsidP="009D01F1">
      <w:pPr>
        <w:widowControl/>
        <w:rPr>
          <w:iCs/>
          <w:szCs w:val="22"/>
        </w:rPr>
      </w:pPr>
    </w:p>
    <w:p w:rsidR="00387B32" w:rsidRDefault="00387B32" w:rsidP="0049696E">
      <w:pPr>
        <w:keepNext/>
        <w:ind w:left="720"/>
        <w:rPr>
          <w:rStyle w:val="CommentReference"/>
          <w:iCs/>
        </w:rPr>
      </w:pPr>
      <w:r>
        <w:rPr>
          <w:rStyle w:val="CommentReference"/>
          <w:iCs/>
        </w:rPr>
        <w:br w:type="page"/>
      </w:r>
    </w:p>
    <w:p w:rsidR="00FC354B" w:rsidRPr="0057172D" w:rsidRDefault="00FC354B" w:rsidP="0049696E">
      <w:pPr>
        <w:keepNext/>
        <w:ind w:left="720"/>
        <w:rPr>
          <w:rStyle w:val="CommentReference"/>
          <w:iCs/>
        </w:rPr>
      </w:pPr>
      <w:r w:rsidRPr="0057172D">
        <w:rPr>
          <w:rStyle w:val="CommentReference"/>
          <w:iCs/>
        </w:rPr>
        <w:lastRenderedPageBreak/>
        <w:t xml:space="preserve">Table 3: </w:t>
      </w:r>
      <w:r w:rsidR="005215A8" w:rsidRPr="0057172D">
        <w:rPr>
          <w:rStyle w:val="CommentReference"/>
          <w:iCs/>
        </w:rPr>
        <w:t>Indirect comparison of ACR50 (secukinumab vs comparators) via placebo as the common reference at the primary time point (Week 12 results for secukinumab) – anti-TNFα naïve patients only</w:t>
      </w:r>
    </w:p>
    <w:tbl>
      <w:tblPr>
        <w:tblStyle w:val="TableGrid"/>
        <w:tblW w:w="8400" w:type="dxa"/>
        <w:tblInd w:w="700" w:type="dxa"/>
        <w:tblLayout w:type="fixed"/>
        <w:tblCellMar>
          <w:left w:w="28" w:type="dxa"/>
          <w:right w:w="28" w:type="dxa"/>
        </w:tblCellMar>
        <w:tblLook w:val="04A0" w:firstRow="1" w:lastRow="0" w:firstColumn="1" w:lastColumn="0" w:noHBand="0" w:noVBand="1"/>
        <w:tblCaption w:val="Table 3: Indirect comparison of ACR50 (secukinumab vs comparators) via placebo as the common reference at the primary time point (Week 12 results for secukinumab) – anti-TNFα naïve patients only"/>
      </w:tblPr>
      <w:tblGrid>
        <w:gridCol w:w="462"/>
        <w:gridCol w:w="2127"/>
        <w:gridCol w:w="1079"/>
        <w:gridCol w:w="952"/>
        <w:gridCol w:w="1553"/>
        <w:gridCol w:w="952"/>
        <w:gridCol w:w="1275"/>
      </w:tblGrid>
      <w:tr w:rsidR="00FC354B" w:rsidRPr="0057172D" w:rsidTr="00931143">
        <w:trPr>
          <w:trHeight w:val="187"/>
          <w:tblHeader/>
        </w:trPr>
        <w:tc>
          <w:tcPr>
            <w:tcW w:w="462" w:type="dxa"/>
            <w:vAlign w:val="center"/>
          </w:tcPr>
          <w:p w:rsidR="00FC354B" w:rsidRPr="0057172D" w:rsidRDefault="00FC354B" w:rsidP="0049696E">
            <w:pPr>
              <w:keepNext/>
              <w:jc w:val="left"/>
              <w:rPr>
                <w:rFonts w:ascii="Arial Narrow" w:hAnsi="Arial Narrow"/>
                <w:b/>
                <w:iCs/>
                <w:sz w:val="20"/>
              </w:rPr>
            </w:pPr>
            <w:r w:rsidRPr="0057172D">
              <w:rPr>
                <w:rFonts w:ascii="Arial Narrow" w:hAnsi="Arial Narrow"/>
                <w:b/>
                <w:iCs/>
                <w:sz w:val="20"/>
              </w:rPr>
              <w:t>Tx</w:t>
            </w:r>
          </w:p>
        </w:tc>
        <w:tc>
          <w:tcPr>
            <w:tcW w:w="2127" w:type="dxa"/>
            <w:vAlign w:val="center"/>
          </w:tcPr>
          <w:p w:rsidR="00FC354B" w:rsidRPr="0057172D" w:rsidRDefault="00FC354B" w:rsidP="0049696E">
            <w:pPr>
              <w:keepNext/>
              <w:jc w:val="center"/>
              <w:rPr>
                <w:rFonts w:ascii="Arial Narrow" w:hAnsi="Arial Narrow"/>
                <w:b/>
                <w:iCs/>
                <w:sz w:val="20"/>
              </w:rPr>
            </w:pPr>
            <w:r w:rsidRPr="0057172D">
              <w:rPr>
                <w:rFonts w:ascii="Arial Narrow" w:hAnsi="Arial Narrow"/>
                <w:b/>
                <w:iCs/>
                <w:sz w:val="20"/>
              </w:rPr>
              <w:t>Trial</w:t>
            </w:r>
          </w:p>
        </w:tc>
        <w:tc>
          <w:tcPr>
            <w:tcW w:w="1079" w:type="dxa"/>
            <w:vAlign w:val="center"/>
          </w:tcPr>
          <w:p w:rsidR="00FC354B" w:rsidRPr="0057172D" w:rsidRDefault="00FC354B" w:rsidP="0049696E">
            <w:pPr>
              <w:keepNext/>
              <w:jc w:val="center"/>
              <w:rPr>
                <w:rFonts w:ascii="Arial Narrow" w:hAnsi="Arial Narrow"/>
                <w:b/>
                <w:iCs/>
                <w:sz w:val="20"/>
              </w:rPr>
            </w:pPr>
            <w:r w:rsidRPr="0057172D">
              <w:rPr>
                <w:rFonts w:ascii="Arial Narrow" w:hAnsi="Arial Narrow"/>
                <w:b/>
                <w:iCs/>
                <w:sz w:val="20"/>
              </w:rPr>
              <w:t xml:space="preserve">bDMARD </w:t>
            </w:r>
          </w:p>
          <w:p w:rsidR="00FC354B" w:rsidRPr="0057172D" w:rsidRDefault="00FC354B" w:rsidP="0049696E">
            <w:pPr>
              <w:keepNext/>
              <w:jc w:val="center"/>
              <w:rPr>
                <w:rFonts w:ascii="Arial Narrow" w:hAnsi="Arial Narrow"/>
                <w:b/>
                <w:iCs/>
                <w:sz w:val="20"/>
              </w:rPr>
            </w:pPr>
            <w:r w:rsidRPr="0057172D">
              <w:rPr>
                <w:rFonts w:ascii="Arial Narrow" w:hAnsi="Arial Narrow"/>
                <w:b/>
                <w:iCs/>
                <w:sz w:val="20"/>
              </w:rPr>
              <w:t>n/N (%)</w:t>
            </w:r>
          </w:p>
        </w:tc>
        <w:tc>
          <w:tcPr>
            <w:tcW w:w="952" w:type="dxa"/>
            <w:vAlign w:val="center"/>
          </w:tcPr>
          <w:p w:rsidR="00FC354B" w:rsidRPr="0057172D" w:rsidRDefault="00FC354B" w:rsidP="0049696E">
            <w:pPr>
              <w:keepNext/>
              <w:jc w:val="center"/>
              <w:rPr>
                <w:rFonts w:ascii="Arial Narrow" w:hAnsi="Arial Narrow"/>
                <w:b/>
                <w:iCs/>
                <w:sz w:val="20"/>
              </w:rPr>
            </w:pPr>
            <w:r w:rsidRPr="0057172D">
              <w:rPr>
                <w:rFonts w:ascii="Arial Narrow" w:hAnsi="Arial Narrow"/>
                <w:b/>
                <w:iCs/>
                <w:sz w:val="20"/>
              </w:rPr>
              <w:t>Placebo</w:t>
            </w:r>
          </w:p>
          <w:p w:rsidR="00FC354B" w:rsidRPr="0057172D" w:rsidRDefault="00FC354B" w:rsidP="0049696E">
            <w:pPr>
              <w:keepNext/>
              <w:jc w:val="center"/>
              <w:rPr>
                <w:rFonts w:ascii="Arial Narrow" w:hAnsi="Arial Narrow"/>
                <w:b/>
                <w:iCs/>
                <w:sz w:val="20"/>
              </w:rPr>
            </w:pPr>
            <w:r w:rsidRPr="0057172D">
              <w:rPr>
                <w:rFonts w:ascii="Arial Narrow" w:hAnsi="Arial Narrow"/>
                <w:b/>
                <w:iCs/>
                <w:sz w:val="20"/>
              </w:rPr>
              <w:t>n/N (%)</w:t>
            </w:r>
          </w:p>
        </w:tc>
        <w:tc>
          <w:tcPr>
            <w:tcW w:w="1553" w:type="dxa"/>
            <w:vAlign w:val="center"/>
          </w:tcPr>
          <w:p w:rsidR="00FC354B" w:rsidRPr="0057172D" w:rsidRDefault="005215A8" w:rsidP="0049696E">
            <w:pPr>
              <w:keepNext/>
              <w:jc w:val="center"/>
              <w:rPr>
                <w:rFonts w:ascii="Arial Narrow" w:hAnsi="Arial Narrow"/>
                <w:b/>
                <w:iCs/>
                <w:sz w:val="20"/>
              </w:rPr>
            </w:pPr>
            <w:r w:rsidRPr="0057172D">
              <w:rPr>
                <w:rFonts w:ascii="Arial Narrow" w:hAnsi="Arial Narrow"/>
                <w:b/>
                <w:iCs/>
                <w:sz w:val="20"/>
              </w:rPr>
              <w:t>R</w:t>
            </w:r>
            <w:r w:rsidR="00FC354B" w:rsidRPr="0057172D">
              <w:rPr>
                <w:rFonts w:ascii="Arial Narrow" w:hAnsi="Arial Narrow"/>
                <w:b/>
                <w:iCs/>
                <w:sz w:val="20"/>
              </w:rPr>
              <w:t>R (95% CI)</w:t>
            </w:r>
          </w:p>
        </w:tc>
        <w:tc>
          <w:tcPr>
            <w:tcW w:w="2227" w:type="dxa"/>
            <w:gridSpan w:val="2"/>
            <w:vAlign w:val="center"/>
          </w:tcPr>
          <w:p w:rsidR="00FC354B" w:rsidRPr="0057172D" w:rsidRDefault="00FC354B" w:rsidP="0049696E">
            <w:pPr>
              <w:keepNext/>
              <w:jc w:val="center"/>
              <w:rPr>
                <w:rFonts w:ascii="Arial Narrow" w:hAnsi="Arial Narrow"/>
                <w:b/>
                <w:iCs/>
                <w:sz w:val="20"/>
                <w:lang w:val="fr-FR"/>
              </w:rPr>
            </w:pPr>
            <w:r w:rsidRPr="0057172D">
              <w:rPr>
                <w:rFonts w:ascii="Arial Narrow" w:hAnsi="Arial Narrow"/>
                <w:b/>
                <w:iCs/>
                <w:sz w:val="20"/>
                <w:lang w:val="fr-FR"/>
              </w:rPr>
              <w:t>Indirect comparison</w:t>
            </w:r>
          </w:p>
          <w:p w:rsidR="00FC354B" w:rsidRPr="0057172D" w:rsidRDefault="005215A8" w:rsidP="0049696E">
            <w:pPr>
              <w:keepNext/>
              <w:jc w:val="center"/>
              <w:rPr>
                <w:rFonts w:ascii="Arial Narrow" w:hAnsi="Arial Narrow"/>
                <w:b/>
                <w:iCs/>
                <w:sz w:val="20"/>
                <w:lang w:val="fr-FR"/>
              </w:rPr>
            </w:pPr>
            <w:r w:rsidRPr="0057172D">
              <w:rPr>
                <w:rFonts w:ascii="Arial Narrow" w:hAnsi="Arial Narrow"/>
                <w:b/>
                <w:iCs/>
                <w:sz w:val="20"/>
                <w:lang w:val="fr-FR"/>
              </w:rPr>
              <w:t>R</w:t>
            </w:r>
            <w:r w:rsidR="00FC354B" w:rsidRPr="0057172D">
              <w:rPr>
                <w:rFonts w:ascii="Arial Narrow" w:hAnsi="Arial Narrow"/>
                <w:b/>
                <w:iCs/>
                <w:sz w:val="20"/>
                <w:lang w:val="fr-FR"/>
              </w:rPr>
              <w:t>R (95% CI)</w:t>
            </w:r>
            <w:r w:rsidR="00FC354B" w:rsidRPr="0057172D">
              <w:rPr>
                <w:rFonts w:ascii="Arial Narrow" w:hAnsi="Arial Narrow"/>
                <w:b/>
                <w:iCs/>
                <w:sz w:val="20"/>
                <w:vertAlign w:val="superscript"/>
                <w:lang w:val="fr-FR"/>
              </w:rPr>
              <w:t>a</w:t>
            </w:r>
          </w:p>
        </w:tc>
      </w:tr>
      <w:tr w:rsidR="005215A8" w:rsidRPr="0057172D" w:rsidTr="00931143">
        <w:trPr>
          <w:trHeight w:val="70"/>
        </w:trPr>
        <w:tc>
          <w:tcPr>
            <w:tcW w:w="462" w:type="dxa"/>
            <w:vMerge w:val="restart"/>
            <w:vAlign w:val="center"/>
          </w:tcPr>
          <w:p w:rsidR="005215A8" w:rsidRPr="0057172D" w:rsidRDefault="005215A8" w:rsidP="0049696E">
            <w:pPr>
              <w:keepNext/>
              <w:jc w:val="left"/>
              <w:rPr>
                <w:rFonts w:ascii="Arial Narrow" w:hAnsi="Arial Narrow"/>
                <w:iCs/>
                <w:sz w:val="20"/>
              </w:rPr>
            </w:pPr>
            <w:r w:rsidRPr="0057172D">
              <w:rPr>
                <w:rFonts w:ascii="Arial Narrow" w:hAnsi="Arial Narrow"/>
                <w:iCs/>
                <w:sz w:val="20"/>
              </w:rPr>
              <w:t>SEC</w:t>
            </w:r>
          </w:p>
        </w:tc>
        <w:tc>
          <w:tcPr>
            <w:tcW w:w="2127" w:type="dxa"/>
          </w:tcPr>
          <w:p w:rsidR="005215A8" w:rsidRPr="0057172D" w:rsidRDefault="005215A8" w:rsidP="0049696E">
            <w:pPr>
              <w:keepNext/>
              <w:rPr>
                <w:rFonts w:ascii="Arial Narrow" w:hAnsi="Arial Narrow"/>
                <w:iCs/>
                <w:sz w:val="20"/>
              </w:rPr>
            </w:pPr>
            <w:r w:rsidRPr="0057172D">
              <w:rPr>
                <w:rFonts w:ascii="Arial Narrow" w:hAnsi="Arial Narrow"/>
                <w:iCs/>
                <w:sz w:val="20"/>
              </w:rPr>
              <w:t>FUTURE2 (12 wk, subgp)</w:t>
            </w:r>
          </w:p>
        </w:tc>
        <w:tc>
          <w:tcPr>
            <w:tcW w:w="1079" w:type="dxa"/>
            <w:vAlign w:val="center"/>
          </w:tcPr>
          <w:p w:rsidR="005215A8" w:rsidRPr="0057172D" w:rsidRDefault="005215A8" w:rsidP="0049696E">
            <w:pPr>
              <w:keepNext/>
              <w:jc w:val="center"/>
              <w:rPr>
                <w:rFonts w:ascii="Arial Narrow" w:hAnsi="Arial Narrow"/>
                <w:iCs/>
                <w:sz w:val="20"/>
              </w:rPr>
            </w:pPr>
          </w:p>
        </w:tc>
        <w:tc>
          <w:tcPr>
            <w:tcW w:w="952" w:type="dxa"/>
            <w:vAlign w:val="center"/>
          </w:tcPr>
          <w:p w:rsidR="005215A8" w:rsidRPr="0057172D" w:rsidRDefault="005215A8" w:rsidP="0049696E">
            <w:pPr>
              <w:keepNext/>
              <w:jc w:val="center"/>
              <w:rPr>
                <w:rFonts w:ascii="Arial Narrow" w:hAnsi="Arial Narrow"/>
                <w:iCs/>
                <w:sz w:val="20"/>
              </w:rPr>
            </w:pPr>
          </w:p>
        </w:tc>
        <w:tc>
          <w:tcPr>
            <w:tcW w:w="1553" w:type="dxa"/>
            <w:vAlign w:val="center"/>
          </w:tcPr>
          <w:p w:rsidR="005215A8" w:rsidRPr="0057172D" w:rsidRDefault="005215A8" w:rsidP="0049696E">
            <w:pPr>
              <w:keepNext/>
              <w:jc w:val="center"/>
              <w:rPr>
                <w:rFonts w:ascii="Arial Narrow" w:hAnsi="Arial Narrow"/>
                <w:b/>
                <w:iCs/>
                <w:sz w:val="20"/>
              </w:rPr>
            </w:pPr>
          </w:p>
        </w:tc>
        <w:tc>
          <w:tcPr>
            <w:tcW w:w="952" w:type="dxa"/>
            <w:vAlign w:val="center"/>
          </w:tcPr>
          <w:p w:rsidR="005215A8" w:rsidRPr="0057172D" w:rsidRDefault="005215A8" w:rsidP="0049696E">
            <w:pPr>
              <w:keepNext/>
              <w:jc w:val="center"/>
              <w:rPr>
                <w:rFonts w:ascii="Arial Narrow" w:hAnsi="Arial Narrow"/>
                <w:iCs/>
                <w:sz w:val="20"/>
              </w:rPr>
            </w:pPr>
          </w:p>
        </w:tc>
        <w:tc>
          <w:tcPr>
            <w:tcW w:w="1275" w:type="dxa"/>
            <w:vAlign w:val="center"/>
          </w:tcPr>
          <w:p w:rsidR="005215A8" w:rsidRPr="0057172D" w:rsidRDefault="005215A8" w:rsidP="0049696E">
            <w:pPr>
              <w:keepNext/>
              <w:jc w:val="center"/>
              <w:rPr>
                <w:rFonts w:ascii="Arial Narrow" w:hAnsi="Arial Narrow"/>
                <w:iCs/>
                <w:sz w:val="20"/>
              </w:rPr>
            </w:pPr>
          </w:p>
        </w:tc>
      </w:tr>
      <w:tr w:rsidR="005215A8" w:rsidRPr="0057172D" w:rsidTr="00931143">
        <w:trPr>
          <w:trHeight w:val="70"/>
        </w:trPr>
        <w:tc>
          <w:tcPr>
            <w:tcW w:w="462" w:type="dxa"/>
            <w:vMerge/>
            <w:vAlign w:val="center"/>
          </w:tcPr>
          <w:p w:rsidR="005215A8" w:rsidRPr="0057172D" w:rsidRDefault="005215A8" w:rsidP="0049696E">
            <w:pPr>
              <w:keepNext/>
              <w:jc w:val="left"/>
              <w:rPr>
                <w:rFonts w:ascii="Arial Narrow" w:hAnsi="Arial Narrow"/>
                <w:iCs/>
                <w:sz w:val="20"/>
              </w:rPr>
            </w:pPr>
          </w:p>
        </w:tc>
        <w:tc>
          <w:tcPr>
            <w:tcW w:w="2127" w:type="dxa"/>
          </w:tcPr>
          <w:p w:rsidR="005215A8" w:rsidRPr="0057172D" w:rsidRDefault="005215A8" w:rsidP="0049696E">
            <w:pPr>
              <w:keepNext/>
              <w:ind w:left="113"/>
              <w:rPr>
                <w:rFonts w:ascii="Arial Narrow" w:hAnsi="Arial Narrow"/>
                <w:iCs/>
                <w:sz w:val="20"/>
              </w:rPr>
            </w:pPr>
            <w:r w:rsidRPr="0057172D">
              <w:rPr>
                <w:rFonts w:ascii="Arial Narrow" w:hAnsi="Arial Narrow"/>
                <w:iCs/>
                <w:sz w:val="20"/>
              </w:rPr>
              <w:t>SEC 15</w:t>
            </w:r>
            <w:r w:rsidR="00992EE2" w:rsidRPr="0057172D">
              <w:rPr>
                <w:rFonts w:ascii="Arial Narrow" w:hAnsi="Arial Narrow"/>
                <w:iCs/>
                <w:sz w:val="20"/>
              </w:rPr>
              <w:t>0 mg</w:t>
            </w:r>
          </w:p>
        </w:tc>
        <w:tc>
          <w:tcPr>
            <w:tcW w:w="1079" w:type="dxa"/>
            <w:vAlign w:val="bottom"/>
          </w:tcPr>
          <w:p w:rsidR="005215A8" w:rsidRPr="0057172D" w:rsidRDefault="000039CC" w:rsidP="0049696E">
            <w:pPr>
              <w:keepNext/>
              <w:jc w:val="center"/>
              <w:rPr>
                <w:rFonts w:ascii="Arial Narrow" w:hAnsi="Arial Narrow"/>
                <w:iCs/>
                <w:sz w:val="20"/>
              </w:rPr>
            </w:pPr>
            <w:r>
              <w:rPr>
                <w:rFonts w:ascii="Arial Narrow" w:hAnsi="Arial Narrow"/>
                <w:iCs/>
                <w:noProof/>
                <w:color w:val="000000"/>
                <w:sz w:val="20"/>
                <w:highlight w:val="black"/>
                <w:lang w:eastAsia="zh-CN"/>
              </w:rPr>
              <w:t>'''''''''''''''</w:t>
            </w:r>
            <w:r w:rsidR="005215A8" w:rsidRPr="0057172D">
              <w:rPr>
                <w:rFonts w:ascii="Arial Narrow" w:hAnsi="Arial Narrow"/>
                <w:iCs/>
                <w:sz w:val="20"/>
                <w:lang w:eastAsia="zh-CN"/>
              </w:rPr>
              <w:t xml:space="preserve"> (</w:t>
            </w:r>
            <w:r>
              <w:rPr>
                <w:rFonts w:ascii="Arial Narrow" w:hAnsi="Arial Narrow"/>
                <w:iCs/>
                <w:noProof/>
                <w:color w:val="000000"/>
                <w:sz w:val="20"/>
                <w:highlight w:val="black"/>
                <w:lang w:eastAsia="zh-CN"/>
              </w:rPr>
              <w:t>''''''''''</w:t>
            </w:r>
            <w:r w:rsidR="005215A8" w:rsidRPr="0057172D">
              <w:rPr>
                <w:rFonts w:ascii="Arial Narrow" w:hAnsi="Arial Narrow"/>
                <w:iCs/>
                <w:sz w:val="20"/>
                <w:lang w:eastAsia="zh-CN"/>
              </w:rPr>
              <w:t>)</w:t>
            </w:r>
          </w:p>
        </w:tc>
        <w:tc>
          <w:tcPr>
            <w:tcW w:w="952" w:type="dxa"/>
            <w:vMerge w:val="restart"/>
            <w:vAlign w:val="center"/>
          </w:tcPr>
          <w:p w:rsidR="005215A8" w:rsidRPr="0057172D" w:rsidRDefault="005215A8" w:rsidP="0049696E">
            <w:pPr>
              <w:keepNext/>
              <w:jc w:val="center"/>
              <w:rPr>
                <w:rFonts w:ascii="Arial Narrow" w:hAnsi="Arial Narrow"/>
                <w:iCs/>
                <w:sz w:val="20"/>
              </w:rPr>
            </w:pPr>
            <w:r w:rsidRPr="0057172D">
              <w:rPr>
                <w:rFonts w:ascii="Arial Narrow" w:hAnsi="Arial Narrow"/>
                <w:iCs/>
                <w:sz w:val="20"/>
                <w:lang w:eastAsia="zh-CN"/>
              </w:rPr>
              <w:t>5/63 (7.9)</w:t>
            </w:r>
          </w:p>
        </w:tc>
        <w:tc>
          <w:tcPr>
            <w:tcW w:w="1553" w:type="dxa"/>
            <w:vAlign w:val="center"/>
          </w:tcPr>
          <w:p w:rsidR="005215A8" w:rsidRPr="0057172D" w:rsidRDefault="000039CC" w:rsidP="0049696E">
            <w:pPr>
              <w:keepNext/>
              <w:jc w:val="center"/>
              <w:rPr>
                <w:rFonts w:ascii="Arial Narrow" w:hAnsi="Arial Narrow"/>
                <w:b/>
                <w:iCs/>
                <w:sz w:val="20"/>
              </w:rPr>
            </w:pPr>
            <w:r>
              <w:rPr>
                <w:rFonts w:ascii="Arial Narrow" w:hAnsi="Arial Narrow"/>
                <w:b/>
                <w:bCs/>
                <w:iCs/>
                <w:noProof/>
                <w:color w:val="000000"/>
                <w:sz w:val="20"/>
                <w:highlight w:val="black"/>
              </w:rPr>
              <w:t>'''''''''</w:t>
            </w:r>
            <w:r w:rsidR="005215A8" w:rsidRPr="0057172D">
              <w:rPr>
                <w:rFonts w:ascii="Arial Narrow" w:hAnsi="Arial Narrow"/>
                <w:b/>
                <w:bCs/>
                <w:iCs/>
                <w:sz w:val="20"/>
              </w:rPr>
              <w:t xml:space="preserve"> (</w:t>
            </w:r>
            <w:r>
              <w:rPr>
                <w:rFonts w:ascii="Arial Narrow" w:hAnsi="Arial Narrow"/>
                <w:b/>
                <w:bCs/>
                <w:iCs/>
                <w:noProof/>
                <w:color w:val="000000"/>
                <w:sz w:val="20"/>
                <w:highlight w:val="black"/>
              </w:rPr>
              <w:t>''''''''</w:t>
            </w:r>
            <w:r w:rsidR="005215A8" w:rsidRPr="0057172D">
              <w:rPr>
                <w:rFonts w:ascii="Arial Narrow" w:hAnsi="Arial Narrow"/>
                <w:b/>
                <w:bCs/>
                <w:iCs/>
                <w:sz w:val="20"/>
              </w:rPr>
              <w:t xml:space="preserve">, </w:t>
            </w:r>
            <w:r>
              <w:rPr>
                <w:rFonts w:ascii="Arial Narrow" w:hAnsi="Arial Narrow"/>
                <w:b/>
                <w:bCs/>
                <w:iCs/>
                <w:noProof/>
                <w:color w:val="000000"/>
                <w:sz w:val="20"/>
                <w:highlight w:val="black"/>
              </w:rPr>
              <w:t>'''''''''''</w:t>
            </w:r>
            <w:r w:rsidR="005215A8" w:rsidRPr="0057172D">
              <w:rPr>
                <w:rFonts w:ascii="Arial Narrow" w:hAnsi="Arial Narrow"/>
                <w:b/>
                <w:bCs/>
                <w:iCs/>
                <w:sz w:val="20"/>
              </w:rPr>
              <w:t>)</w:t>
            </w:r>
          </w:p>
        </w:tc>
        <w:tc>
          <w:tcPr>
            <w:tcW w:w="952" w:type="dxa"/>
            <w:vAlign w:val="center"/>
          </w:tcPr>
          <w:p w:rsidR="005215A8" w:rsidRPr="0057172D" w:rsidRDefault="005215A8" w:rsidP="0049696E">
            <w:pPr>
              <w:keepNext/>
              <w:jc w:val="center"/>
              <w:rPr>
                <w:rFonts w:ascii="Arial Narrow" w:hAnsi="Arial Narrow"/>
                <w:iCs/>
                <w:sz w:val="20"/>
              </w:rPr>
            </w:pPr>
            <w:r w:rsidRPr="0057172D">
              <w:rPr>
                <w:rFonts w:ascii="Arial Narrow" w:hAnsi="Arial Narrow"/>
                <w:iCs/>
                <w:sz w:val="20"/>
              </w:rPr>
              <w:t>-</w:t>
            </w:r>
          </w:p>
        </w:tc>
        <w:tc>
          <w:tcPr>
            <w:tcW w:w="1275" w:type="dxa"/>
            <w:vAlign w:val="center"/>
          </w:tcPr>
          <w:p w:rsidR="005215A8" w:rsidRPr="0057172D" w:rsidRDefault="005215A8" w:rsidP="0049696E">
            <w:pPr>
              <w:keepNext/>
              <w:jc w:val="center"/>
              <w:rPr>
                <w:rFonts w:ascii="Arial Narrow" w:hAnsi="Arial Narrow"/>
                <w:iCs/>
                <w:sz w:val="20"/>
              </w:rPr>
            </w:pPr>
            <w:r w:rsidRPr="0057172D">
              <w:rPr>
                <w:rFonts w:ascii="Arial Narrow" w:hAnsi="Arial Narrow"/>
                <w:iCs/>
                <w:sz w:val="20"/>
              </w:rPr>
              <w:t>-</w:t>
            </w:r>
          </w:p>
        </w:tc>
      </w:tr>
      <w:tr w:rsidR="005215A8" w:rsidRPr="0057172D" w:rsidTr="00931143">
        <w:trPr>
          <w:trHeight w:val="70"/>
        </w:trPr>
        <w:tc>
          <w:tcPr>
            <w:tcW w:w="462" w:type="dxa"/>
            <w:vMerge/>
            <w:vAlign w:val="center"/>
          </w:tcPr>
          <w:p w:rsidR="005215A8" w:rsidRPr="0057172D" w:rsidRDefault="005215A8" w:rsidP="0049696E">
            <w:pPr>
              <w:keepNext/>
              <w:jc w:val="left"/>
              <w:rPr>
                <w:rFonts w:ascii="Arial Narrow" w:hAnsi="Arial Narrow"/>
                <w:iCs/>
                <w:sz w:val="20"/>
              </w:rPr>
            </w:pPr>
          </w:p>
        </w:tc>
        <w:tc>
          <w:tcPr>
            <w:tcW w:w="2127" w:type="dxa"/>
            <w:tcBorders>
              <w:bottom w:val="single" w:sz="4" w:space="0" w:color="auto"/>
            </w:tcBorders>
          </w:tcPr>
          <w:p w:rsidR="005215A8" w:rsidRPr="0057172D" w:rsidRDefault="005215A8" w:rsidP="0049696E">
            <w:pPr>
              <w:keepNext/>
              <w:ind w:left="113"/>
              <w:rPr>
                <w:rFonts w:ascii="Arial Narrow" w:hAnsi="Arial Narrow"/>
                <w:iCs/>
                <w:sz w:val="20"/>
              </w:rPr>
            </w:pPr>
            <w:r w:rsidRPr="0057172D">
              <w:rPr>
                <w:rFonts w:ascii="Arial Narrow" w:hAnsi="Arial Narrow"/>
                <w:iCs/>
                <w:sz w:val="20"/>
              </w:rPr>
              <w:t>SEC 30</w:t>
            </w:r>
            <w:r w:rsidR="00992EE2" w:rsidRPr="0057172D">
              <w:rPr>
                <w:rFonts w:ascii="Arial Narrow" w:hAnsi="Arial Narrow"/>
                <w:iCs/>
                <w:sz w:val="20"/>
              </w:rPr>
              <w:t>0 mg</w:t>
            </w:r>
          </w:p>
        </w:tc>
        <w:tc>
          <w:tcPr>
            <w:tcW w:w="1079" w:type="dxa"/>
            <w:tcBorders>
              <w:bottom w:val="single" w:sz="4" w:space="0" w:color="auto"/>
            </w:tcBorders>
            <w:vAlign w:val="bottom"/>
          </w:tcPr>
          <w:p w:rsidR="005215A8" w:rsidRPr="0057172D" w:rsidRDefault="000039CC" w:rsidP="0049696E">
            <w:pPr>
              <w:keepNext/>
              <w:jc w:val="center"/>
              <w:rPr>
                <w:rFonts w:ascii="Arial Narrow" w:hAnsi="Arial Narrow"/>
                <w:iCs/>
                <w:sz w:val="20"/>
              </w:rPr>
            </w:pPr>
            <w:r>
              <w:rPr>
                <w:rFonts w:ascii="Arial Narrow" w:hAnsi="Arial Narrow"/>
                <w:iCs/>
                <w:noProof/>
                <w:color w:val="000000"/>
                <w:sz w:val="20"/>
                <w:highlight w:val="black"/>
                <w:lang w:eastAsia="zh-CN"/>
              </w:rPr>
              <w:t>''''''''''''''</w:t>
            </w:r>
            <w:r w:rsidR="005215A8" w:rsidRPr="0057172D">
              <w:rPr>
                <w:rFonts w:ascii="Arial Narrow" w:hAnsi="Arial Narrow"/>
                <w:iCs/>
                <w:sz w:val="20"/>
                <w:lang w:eastAsia="zh-CN"/>
              </w:rPr>
              <w:t xml:space="preserve"> (</w:t>
            </w:r>
            <w:r>
              <w:rPr>
                <w:rFonts w:ascii="Arial Narrow" w:hAnsi="Arial Narrow"/>
                <w:iCs/>
                <w:noProof/>
                <w:color w:val="000000"/>
                <w:sz w:val="20"/>
                <w:highlight w:val="black"/>
                <w:lang w:eastAsia="zh-CN"/>
              </w:rPr>
              <w:t>''''''''''</w:t>
            </w:r>
            <w:r w:rsidR="005215A8" w:rsidRPr="0057172D">
              <w:rPr>
                <w:rFonts w:ascii="Arial Narrow" w:hAnsi="Arial Narrow"/>
                <w:iCs/>
                <w:sz w:val="20"/>
                <w:lang w:eastAsia="zh-CN"/>
              </w:rPr>
              <w:t>)</w:t>
            </w:r>
          </w:p>
        </w:tc>
        <w:tc>
          <w:tcPr>
            <w:tcW w:w="952" w:type="dxa"/>
            <w:vMerge/>
            <w:vAlign w:val="bottom"/>
          </w:tcPr>
          <w:p w:rsidR="005215A8" w:rsidRPr="0057172D" w:rsidRDefault="005215A8" w:rsidP="0049696E">
            <w:pPr>
              <w:keepNext/>
              <w:jc w:val="center"/>
              <w:rPr>
                <w:rFonts w:ascii="Arial Narrow" w:hAnsi="Arial Narrow"/>
                <w:iCs/>
                <w:sz w:val="20"/>
              </w:rPr>
            </w:pPr>
          </w:p>
        </w:tc>
        <w:tc>
          <w:tcPr>
            <w:tcW w:w="1553" w:type="dxa"/>
            <w:tcBorders>
              <w:bottom w:val="single" w:sz="4" w:space="0" w:color="auto"/>
            </w:tcBorders>
            <w:vAlign w:val="center"/>
          </w:tcPr>
          <w:p w:rsidR="005215A8" w:rsidRPr="0057172D" w:rsidRDefault="000039CC" w:rsidP="0049696E">
            <w:pPr>
              <w:keepNext/>
              <w:jc w:val="center"/>
              <w:rPr>
                <w:rFonts w:ascii="Arial Narrow" w:hAnsi="Arial Narrow"/>
                <w:b/>
                <w:iCs/>
                <w:sz w:val="20"/>
              </w:rPr>
            </w:pPr>
            <w:r>
              <w:rPr>
                <w:rFonts w:ascii="Arial Narrow" w:hAnsi="Arial Narrow"/>
                <w:b/>
                <w:bCs/>
                <w:iCs/>
                <w:noProof/>
                <w:color w:val="000000"/>
                <w:sz w:val="20"/>
                <w:highlight w:val="black"/>
              </w:rPr>
              <w:t>''''''''</w:t>
            </w:r>
            <w:r w:rsidR="005215A8" w:rsidRPr="0057172D">
              <w:rPr>
                <w:rFonts w:ascii="Arial Narrow" w:hAnsi="Arial Narrow"/>
                <w:b/>
                <w:bCs/>
                <w:iCs/>
                <w:sz w:val="20"/>
              </w:rPr>
              <w:t xml:space="preserve"> (</w:t>
            </w:r>
            <w:r>
              <w:rPr>
                <w:rFonts w:ascii="Arial Narrow" w:hAnsi="Arial Narrow"/>
                <w:b/>
                <w:bCs/>
                <w:iCs/>
                <w:noProof/>
                <w:color w:val="000000"/>
                <w:sz w:val="20"/>
                <w:highlight w:val="black"/>
              </w:rPr>
              <w:t>'''''''''</w:t>
            </w:r>
            <w:r w:rsidR="005215A8" w:rsidRPr="0057172D">
              <w:rPr>
                <w:rFonts w:ascii="Arial Narrow" w:hAnsi="Arial Narrow"/>
                <w:b/>
                <w:bCs/>
                <w:iCs/>
                <w:sz w:val="20"/>
              </w:rPr>
              <w:t xml:space="preserve">, </w:t>
            </w:r>
            <w:r>
              <w:rPr>
                <w:rFonts w:ascii="Arial Narrow" w:hAnsi="Arial Narrow"/>
                <w:b/>
                <w:bCs/>
                <w:iCs/>
                <w:noProof/>
                <w:color w:val="000000"/>
                <w:sz w:val="20"/>
                <w:highlight w:val="black"/>
              </w:rPr>
              <w:t>'''''''''''</w:t>
            </w:r>
            <w:r w:rsidR="005215A8" w:rsidRPr="0057172D">
              <w:rPr>
                <w:rFonts w:ascii="Arial Narrow" w:hAnsi="Arial Narrow"/>
                <w:b/>
                <w:bCs/>
                <w:iCs/>
                <w:sz w:val="20"/>
              </w:rPr>
              <w:t>)</w:t>
            </w:r>
          </w:p>
        </w:tc>
        <w:tc>
          <w:tcPr>
            <w:tcW w:w="952" w:type="dxa"/>
            <w:tcBorders>
              <w:bottom w:val="single" w:sz="4" w:space="0" w:color="auto"/>
            </w:tcBorders>
            <w:vAlign w:val="center"/>
          </w:tcPr>
          <w:p w:rsidR="005215A8" w:rsidRPr="0057172D" w:rsidRDefault="005215A8" w:rsidP="0049696E">
            <w:pPr>
              <w:keepNext/>
              <w:jc w:val="center"/>
              <w:rPr>
                <w:rFonts w:ascii="Arial Narrow" w:hAnsi="Arial Narrow"/>
                <w:iCs/>
                <w:sz w:val="20"/>
              </w:rPr>
            </w:pPr>
            <w:r w:rsidRPr="0057172D">
              <w:rPr>
                <w:rFonts w:ascii="Arial Narrow" w:hAnsi="Arial Narrow"/>
                <w:iCs/>
                <w:sz w:val="20"/>
              </w:rPr>
              <w:t>-</w:t>
            </w:r>
          </w:p>
        </w:tc>
        <w:tc>
          <w:tcPr>
            <w:tcW w:w="1275" w:type="dxa"/>
            <w:tcBorders>
              <w:bottom w:val="single" w:sz="4" w:space="0" w:color="auto"/>
            </w:tcBorders>
            <w:vAlign w:val="center"/>
          </w:tcPr>
          <w:p w:rsidR="005215A8" w:rsidRPr="0057172D" w:rsidRDefault="005215A8" w:rsidP="0049696E">
            <w:pPr>
              <w:keepNext/>
              <w:jc w:val="center"/>
              <w:rPr>
                <w:rFonts w:ascii="Arial Narrow" w:hAnsi="Arial Narrow"/>
                <w:iCs/>
                <w:sz w:val="20"/>
              </w:rPr>
            </w:pPr>
            <w:r w:rsidRPr="0057172D">
              <w:rPr>
                <w:rFonts w:ascii="Arial Narrow" w:hAnsi="Arial Narrow"/>
                <w:iCs/>
                <w:sz w:val="20"/>
              </w:rPr>
              <w:t>-</w:t>
            </w:r>
          </w:p>
        </w:tc>
      </w:tr>
      <w:tr w:rsidR="005215A8" w:rsidRPr="0057172D" w:rsidTr="00931143">
        <w:trPr>
          <w:trHeight w:val="70"/>
        </w:trPr>
        <w:tc>
          <w:tcPr>
            <w:tcW w:w="462" w:type="dxa"/>
            <w:vMerge/>
            <w:tcBorders>
              <w:bottom w:val="double" w:sz="4" w:space="0" w:color="auto"/>
            </w:tcBorders>
            <w:vAlign w:val="center"/>
          </w:tcPr>
          <w:p w:rsidR="005215A8" w:rsidRPr="0057172D" w:rsidRDefault="005215A8" w:rsidP="0049696E">
            <w:pPr>
              <w:keepNext/>
              <w:jc w:val="left"/>
              <w:rPr>
                <w:rFonts w:ascii="Arial Narrow" w:hAnsi="Arial Narrow"/>
                <w:iCs/>
                <w:sz w:val="20"/>
              </w:rPr>
            </w:pPr>
          </w:p>
        </w:tc>
        <w:tc>
          <w:tcPr>
            <w:tcW w:w="2127" w:type="dxa"/>
            <w:tcBorders>
              <w:bottom w:val="double" w:sz="4" w:space="0" w:color="auto"/>
            </w:tcBorders>
          </w:tcPr>
          <w:p w:rsidR="005215A8" w:rsidRPr="0057172D" w:rsidRDefault="005215A8" w:rsidP="0049696E">
            <w:pPr>
              <w:keepNext/>
              <w:ind w:left="113"/>
              <w:rPr>
                <w:rFonts w:ascii="Arial Narrow" w:hAnsi="Arial Narrow"/>
                <w:iCs/>
                <w:sz w:val="20"/>
              </w:rPr>
            </w:pPr>
            <w:r w:rsidRPr="0057172D">
              <w:rPr>
                <w:rFonts w:ascii="Arial Narrow" w:hAnsi="Arial Narrow"/>
                <w:iCs/>
                <w:sz w:val="20"/>
              </w:rPr>
              <w:t>SEC (‘lumped’)</w:t>
            </w:r>
          </w:p>
        </w:tc>
        <w:tc>
          <w:tcPr>
            <w:tcW w:w="1079" w:type="dxa"/>
            <w:tcBorders>
              <w:bottom w:val="double" w:sz="4" w:space="0" w:color="auto"/>
            </w:tcBorders>
            <w:vAlign w:val="bottom"/>
          </w:tcPr>
          <w:p w:rsidR="005215A8" w:rsidRPr="0057172D" w:rsidRDefault="000039CC" w:rsidP="0049696E">
            <w:pPr>
              <w:keepNext/>
              <w:jc w:val="center"/>
              <w:rPr>
                <w:rFonts w:ascii="Arial Narrow" w:hAnsi="Arial Narrow"/>
                <w:iCs/>
                <w:sz w:val="20"/>
              </w:rPr>
            </w:pPr>
            <w:r>
              <w:rPr>
                <w:rFonts w:ascii="Arial Narrow" w:hAnsi="Arial Narrow"/>
                <w:iCs/>
                <w:noProof/>
                <w:color w:val="000000"/>
                <w:sz w:val="20"/>
                <w:highlight w:val="black"/>
              </w:rPr>
              <w:t>'''''''''''''''''</w:t>
            </w:r>
            <w:r w:rsidR="005215A8" w:rsidRPr="0057172D">
              <w:rPr>
                <w:rFonts w:ascii="Arial Narrow" w:hAnsi="Arial Narrow"/>
                <w:iCs/>
                <w:sz w:val="20"/>
              </w:rPr>
              <w:t xml:space="preserve"> (</w:t>
            </w:r>
            <w:r>
              <w:rPr>
                <w:rFonts w:ascii="Arial Narrow" w:hAnsi="Arial Narrow"/>
                <w:iCs/>
                <w:noProof/>
                <w:color w:val="000000"/>
                <w:sz w:val="20"/>
                <w:highlight w:val="black"/>
              </w:rPr>
              <w:t>''''''''''</w:t>
            </w:r>
            <w:r w:rsidR="005215A8" w:rsidRPr="0057172D">
              <w:rPr>
                <w:rFonts w:ascii="Arial Narrow" w:hAnsi="Arial Narrow"/>
                <w:iCs/>
                <w:sz w:val="20"/>
              </w:rPr>
              <w:t>)</w:t>
            </w:r>
          </w:p>
        </w:tc>
        <w:tc>
          <w:tcPr>
            <w:tcW w:w="952" w:type="dxa"/>
            <w:vMerge/>
            <w:tcBorders>
              <w:bottom w:val="double" w:sz="4" w:space="0" w:color="auto"/>
            </w:tcBorders>
            <w:vAlign w:val="bottom"/>
          </w:tcPr>
          <w:p w:rsidR="005215A8" w:rsidRPr="0057172D" w:rsidRDefault="005215A8" w:rsidP="0049696E">
            <w:pPr>
              <w:keepNext/>
              <w:jc w:val="center"/>
              <w:rPr>
                <w:rFonts w:ascii="Arial Narrow" w:hAnsi="Arial Narrow"/>
                <w:iCs/>
                <w:sz w:val="20"/>
              </w:rPr>
            </w:pPr>
          </w:p>
        </w:tc>
        <w:tc>
          <w:tcPr>
            <w:tcW w:w="1553" w:type="dxa"/>
            <w:tcBorders>
              <w:bottom w:val="double" w:sz="4" w:space="0" w:color="auto"/>
            </w:tcBorders>
            <w:vAlign w:val="center"/>
          </w:tcPr>
          <w:p w:rsidR="005215A8" w:rsidRPr="0057172D" w:rsidRDefault="000039CC" w:rsidP="0049696E">
            <w:pPr>
              <w:keepNext/>
              <w:jc w:val="center"/>
              <w:rPr>
                <w:rFonts w:ascii="Arial Narrow" w:hAnsi="Arial Narrow"/>
                <w:b/>
                <w:iCs/>
                <w:sz w:val="20"/>
              </w:rPr>
            </w:pPr>
            <w:r>
              <w:rPr>
                <w:rFonts w:ascii="Arial Narrow" w:hAnsi="Arial Narrow"/>
                <w:b/>
                <w:bCs/>
                <w:iCs/>
                <w:noProof/>
                <w:color w:val="000000"/>
                <w:sz w:val="20"/>
                <w:highlight w:val="black"/>
              </w:rPr>
              <w:t>''''''''</w:t>
            </w:r>
            <w:r w:rsidR="005215A8" w:rsidRPr="0057172D">
              <w:rPr>
                <w:rFonts w:ascii="Arial Narrow" w:hAnsi="Arial Narrow"/>
                <w:b/>
                <w:bCs/>
                <w:iCs/>
                <w:sz w:val="20"/>
              </w:rPr>
              <w:t xml:space="preserve"> (</w:t>
            </w:r>
            <w:r>
              <w:rPr>
                <w:rFonts w:ascii="Arial Narrow" w:hAnsi="Arial Narrow"/>
                <w:b/>
                <w:bCs/>
                <w:iCs/>
                <w:noProof/>
                <w:color w:val="000000"/>
                <w:sz w:val="20"/>
                <w:highlight w:val="black"/>
              </w:rPr>
              <w:t>''''''''</w:t>
            </w:r>
            <w:r w:rsidR="005215A8" w:rsidRPr="0057172D">
              <w:rPr>
                <w:rFonts w:ascii="Arial Narrow" w:hAnsi="Arial Narrow"/>
                <w:b/>
                <w:bCs/>
                <w:iCs/>
                <w:sz w:val="20"/>
              </w:rPr>
              <w:t xml:space="preserve">, </w:t>
            </w:r>
            <w:r>
              <w:rPr>
                <w:rFonts w:ascii="Arial Narrow" w:hAnsi="Arial Narrow"/>
                <w:b/>
                <w:bCs/>
                <w:iCs/>
                <w:noProof/>
                <w:color w:val="000000"/>
                <w:sz w:val="20"/>
                <w:highlight w:val="black"/>
              </w:rPr>
              <w:t>'''''''''''</w:t>
            </w:r>
            <w:r w:rsidR="005215A8" w:rsidRPr="0057172D">
              <w:rPr>
                <w:rFonts w:ascii="Arial Narrow" w:hAnsi="Arial Narrow"/>
                <w:b/>
                <w:bCs/>
                <w:iCs/>
                <w:sz w:val="20"/>
              </w:rPr>
              <w:t>)</w:t>
            </w:r>
          </w:p>
        </w:tc>
        <w:tc>
          <w:tcPr>
            <w:tcW w:w="952" w:type="dxa"/>
            <w:tcBorders>
              <w:bottom w:val="double" w:sz="4" w:space="0" w:color="auto"/>
            </w:tcBorders>
            <w:vAlign w:val="center"/>
          </w:tcPr>
          <w:p w:rsidR="005215A8" w:rsidRPr="0057172D" w:rsidRDefault="005215A8" w:rsidP="0049696E">
            <w:pPr>
              <w:keepNext/>
              <w:jc w:val="center"/>
              <w:rPr>
                <w:rFonts w:ascii="Arial Narrow" w:hAnsi="Arial Narrow"/>
                <w:iCs/>
                <w:sz w:val="20"/>
              </w:rPr>
            </w:pPr>
            <w:r w:rsidRPr="0057172D">
              <w:rPr>
                <w:rFonts w:ascii="Arial Narrow" w:hAnsi="Arial Narrow"/>
                <w:iCs/>
                <w:sz w:val="20"/>
              </w:rPr>
              <w:t>-</w:t>
            </w:r>
          </w:p>
        </w:tc>
        <w:tc>
          <w:tcPr>
            <w:tcW w:w="1275" w:type="dxa"/>
            <w:tcBorders>
              <w:bottom w:val="double" w:sz="4" w:space="0" w:color="auto"/>
            </w:tcBorders>
            <w:vAlign w:val="center"/>
          </w:tcPr>
          <w:p w:rsidR="005215A8" w:rsidRPr="0057172D" w:rsidRDefault="005215A8" w:rsidP="0049696E">
            <w:pPr>
              <w:keepNext/>
              <w:jc w:val="center"/>
              <w:rPr>
                <w:rFonts w:ascii="Arial Narrow" w:hAnsi="Arial Narrow"/>
                <w:iCs/>
                <w:sz w:val="20"/>
              </w:rPr>
            </w:pPr>
            <w:r w:rsidRPr="0057172D">
              <w:rPr>
                <w:rFonts w:ascii="Arial Narrow" w:hAnsi="Arial Narrow"/>
                <w:iCs/>
                <w:sz w:val="20"/>
              </w:rPr>
              <w:t>-</w:t>
            </w:r>
          </w:p>
        </w:tc>
      </w:tr>
      <w:tr w:rsidR="005215A8" w:rsidRPr="0057172D" w:rsidTr="00931143">
        <w:tc>
          <w:tcPr>
            <w:tcW w:w="462" w:type="dxa"/>
            <w:vMerge w:val="restart"/>
            <w:tcBorders>
              <w:top w:val="double" w:sz="4" w:space="0" w:color="auto"/>
            </w:tcBorders>
            <w:vAlign w:val="center"/>
          </w:tcPr>
          <w:p w:rsidR="005215A8" w:rsidRPr="0057172D" w:rsidRDefault="005215A8" w:rsidP="0049696E">
            <w:pPr>
              <w:keepNext/>
              <w:jc w:val="left"/>
              <w:rPr>
                <w:rFonts w:ascii="Arial Narrow" w:hAnsi="Arial Narrow"/>
                <w:iCs/>
                <w:sz w:val="20"/>
              </w:rPr>
            </w:pPr>
            <w:r w:rsidRPr="0057172D">
              <w:rPr>
                <w:rFonts w:ascii="Arial Narrow" w:hAnsi="Arial Narrow"/>
                <w:iCs/>
                <w:sz w:val="20"/>
              </w:rPr>
              <w:t>ADA</w:t>
            </w:r>
          </w:p>
        </w:tc>
        <w:tc>
          <w:tcPr>
            <w:tcW w:w="2127" w:type="dxa"/>
            <w:tcBorders>
              <w:top w:val="double" w:sz="4" w:space="0" w:color="auto"/>
            </w:tcBorders>
            <w:vAlign w:val="center"/>
          </w:tcPr>
          <w:p w:rsidR="005215A8" w:rsidRPr="0057172D" w:rsidRDefault="005215A8" w:rsidP="0049696E">
            <w:pPr>
              <w:keepNext/>
              <w:jc w:val="left"/>
              <w:rPr>
                <w:rFonts w:ascii="Arial Narrow" w:hAnsi="Arial Narrow"/>
                <w:iCs/>
                <w:sz w:val="20"/>
              </w:rPr>
            </w:pPr>
            <w:r w:rsidRPr="0057172D">
              <w:rPr>
                <w:rFonts w:ascii="Arial Narrow" w:hAnsi="Arial Narrow"/>
                <w:iCs/>
                <w:sz w:val="20"/>
              </w:rPr>
              <w:t>ADEPT (12 wk)</w:t>
            </w:r>
          </w:p>
        </w:tc>
        <w:tc>
          <w:tcPr>
            <w:tcW w:w="1079" w:type="dxa"/>
            <w:tcBorders>
              <w:top w:val="double" w:sz="4" w:space="0" w:color="auto"/>
            </w:tcBorders>
            <w:vAlign w:val="bottom"/>
          </w:tcPr>
          <w:p w:rsidR="005215A8" w:rsidRPr="0057172D" w:rsidRDefault="005215A8" w:rsidP="0049696E">
            <w:pPr>
              <w:keepNext/>
              <w:jc w:val="center"/>
              <w:rPr>
                <w:rFonts w:ascii="Arial Narrow" w:hAnsi="Arial Narrow"/>
                <w:iCs/>
                <w:sz w:val="20"/>
              </w:rPr>
            </w:pPr>
            <w:r w:rsidRPr="0057172D">
              <w:rPr>
                <w:rFonts w:ascii="Arial Narrow" w:hAnsi="Arial Narrow"/>
                <w:iCs/>
                <w:sz w:val="20"/>
              </w:rPr>
              <w:t>55/151 (36.4)</w:t>
            </w:r>
          </w:p>
        </w:tc>
        <w:tc>
          <w:tcPr>
            <w:tcW w:w="952" w:type="dxa"/>
            <w:tcBorders>
              <w:top w:val="double" w:sz="4" w:space="0" w:color="auto"/>
            </w:tcBorders>
            <w:vAlign w:val="bottom"/>
          </w:tcPr>
          <w:p w:rsidR="005215A8" w:rsidRPr="0057172D" w:rsidRDefault="005215A8" w:rsidP="0049696E">
            <w:pPr>
              <w:keepNext/>
              <w:jc w:val="center"/>
              <w:rPr>
                <w:rFonts w:ascii="Arial Narrow" w:hAnsi="Arial Narrow"/>
                <w:iCs/>
                <w:sz w:val="20"/>
              </w:rPr>
            </w:pPr>
            <w:r w:rsidRPr="0057172D">
              <w:rPr>
                <w:rFonts w:ascii="Arial Narrow" w:hAnsi="Arial Narrow"/>
                <w:iCs/>
                <w:sz w:val="20"/>
              </w:rPr>
              <w:t>7/162 (4.3)</w:t>
            </w:r>
          </w:p>
        </w:tc>
        <w:tc>
          <w:tcPr>
            <w:tcW w:w="1553" w:type="dxa"/>
            <w:tcBorders>
              <w:top w:val="double" w:sz="4" w:space="0" w:color="auto"/>
            </w:tcBorders>
            <w:vAlign w:val="center"/>
          </w:tcPr>
          <w:p w:rsidR="005215A8" w:rsidRPr="0057172D" w:rsidRDefault="005215A8" w:rsidP="0049696E">
            <w:pPr>
              <w:keepNext/>
              <w:jc w:val="center"/>
              <w:rPr>
                <w:rFonts w:ascii="Arial Narrow" w:hAnsi="Arial Narrow"/>
                <w:b/>
                <w:iCs/>
                <w:sz w:val="20"/>
              </w:rPr>
            </w:pPr>
            <w:r w:rsidRPr="0057172D">
              <w:rPr>
                <w:rFonts w:ascii="Arial Narrow" w:hAnsi="Arial Narrow"/>
                <w:b/>
                <w:bCs/>
                <w:iCs/>
                <w:sz w:val="20"/>
              </w:rPr>
              <w:t>8.43 (3.96, 17.93)</w:t>
            </w:r>
          </w:p>
        </w:tc>
        <w:tc>
          <w:tcPr>
            <w:tcW w:w="952" w:type="dxa"/>
            <w:tcBorders>
              <w:top w:val="double" w:sz="4" w:space="0" w:color="auto"/>
            </w:tcBorders>
            <w:vAlign w:val="center"/>
          </w:tcPr>
          <w:p w:rsidR="005215A8" w:rsidRPr="0057172D" w:rsidRDefault="005215A8" w:rsidP="0049696E">
            <w:pPr>
              <w:keepNext/>
              <w:jc w:val="center"/>
              <w:rPr>
                <w:rFonts w:ascii="Arial Narrow" w:hAnsi="Arial Narrow"/>
                <w:iCs/>
                <w:sz w:val="20"/>
              </w:rPr>
            </w:pPr>
            <w:r w:rsidRPr="0057172D">
              <w:rPr>
                <w:rFonts w:ascii="Arial Narrow" w:hAnsi="Arial Narrow" w:cstheme="minorBidi"/>
                <w:iCs/>
                <w:sz w:val="20"/>
              </w:rPr>
              <w:t>SEC 15</w:t>
            </w:r>
            <w:r w:rsidR="00992EE2" w:rsidRPr="0057172D">
              <w:rPr>
                <w:rFonts w:ascii="Arial Narrow" w:hAnsi="Arial Narrow" w:cstheme="minorBidi"/>
                <w:iCs/>
                <w:sz w:val="20"/>
              </w:rPr>
              <w:t>0 mg</w:t>
            </w:r>
          </w:p>
        </w:tc>
        <w:tc>
          <w:tcPr>
            <w:tcW w:w="1275" w:type="dxa"/>
            <w:tcBorders>
              <w:top w:val="double" w:sz="4" w:space="0" w:color="auto"/>
            </w:tcBorders>
            <w:vAlign w:val="center"/>
          </w:tcPr>
          <w:p w:rsidR="005215A8" w:rsidRPr="0057172D" w:rsidRDefault="005215A8" w:rsidP="0049696E">
            <w:pPr>
              <w:keepNext/>
              <w:jc w:val="center"/>
              <w:rPr>
                <w:rFonts w:ascii="Arial Narrow" w:hAnsi="Arial Narrow"/>
                <w:iCs/>
                <w:sz w:val="20"/>
              </w:rPr>
            </w:pPr>
            <w:r w:rsidRPr="0057172D">
              <w:rPr>
                <w:rFonts w:ascii="Arial Narrow" w:hAnsi="Arial Narrow"/>
                <w:iCs/>
                <w:sz w:val="20"/>
              </w:rPr>
              <w:t>0.47 (0.15, 1.50)</w:t>
            </w:r>
          </w:p>
        </w:tc>
      </w:tr>
      <w:tr w:rsidR="005215A8" w:rsidRPr="0057172D" w:rsidTr="00931143">
        <w:tc>
          <w:tcPr>
            <w:tcW w:w="462" w:type="dxa"/>
            <w:vMerge/>
            <w:vAlign w:val="center"/>
          </w:tcPr>
          <w:p w:rsidR="005215A8" w:rsidRPr="0057172D" w:rsidRDefault="005215A8" w:rsidP="0049696E">
            <w:pPr>
              <w:keepNext/>
              <w:jc w:val="left"/>
              <w:rPr>
                <w:rFonts w:ascii="Arial Narrow" w:hAnsi="Arial Narrow"/>
                <w:iCs/>
                <w:sz w:val="20"/>
              </w:rPr>
            </w:pPr>
          </w:p>
        </w:tc>
        <w:tc>
          <w:tcPr>
            <w:tcW w:w="2127" w:type="dxa"/>
            <w:vAlign w:val="center"/>
          </w:tcPr>
          <w:p w:rsidR="005215A8" w:rsidRPr="0057172D" w:rsidRDefault="005215A8" w:rsidP="0049696E">
            <w:pPr>
              <w:keepNext/>
              <w:jc w:val="left"/>
              <w:rPr>
                <w:rFonts w:ascii="Arial Narrow" w:hAnsi="Arial Narrow"/>
                <w:iCs/>
                <w:sz w:val="20"/>
              </w:rPr>
            </w:pPr>
            <w:r w:rsidRPr="0057172D">
              <w:rPr>
                <w:rFonts w:ascii="Arial Narrow" w:hAnsi="Arial Narrow"/>
                <w:iCs/>
                <w:sz w:val="20"/>
              </w:rPr>
              <w:t>Genovese 2007 (12 wk)</w:t>
            </w:r>
          </w:p>
        </w:tc>
        <w:tc>
          <w:tcPr>
            <w:tcW w:w="1079" w:type="dxa"/>
            <w:vAlign w:val="bottom"/>
          </w:tcPr>
          <w:p w:rsidR="005215A8" w:rsidRPr="0057172D" w:rsidRDefault="005215A8" w:rsidP="0049696E">
            <w:pPr>
              <w:keepNext/>
              <w:jc w:val="center"/>
              <w:rPr>
                <w:rFonts w:ascii="Arial Narrow" w:hAnsi="Arial Narrow" w:cstheme="minorBidi"/>
                <w:iCs/>
                <w:sz w:val="20"/>
              </w:rPr>
            </w:pPr>
            <w:r w:rsidRPr="0057172D">
              <w:rPr>
                <w:rFonts w:ascii="Arial Narrow" w:hAnsi="Arial Narrow"/>
                <w:iCs/>
                <w:sz w:val="20"/>
              </w:rPr>
              <w:t>13/51 (25.5)</w:t>
            </w:r>
          </w:p>
        </w:tc>
        <w:tc>
          <w:tcPr>
            <w:tcW w:w="952" w:type="dxa"/>
            <w:vAlign w:val="bottom"/>
          </w:tcPr>
          <w:p w:rsidR="005215A8" w:rsidRPr="0057172D" w:rsidRDefault="005215A8" w:rsidP="0049696E">
            <w:pPr>
              <w:keepNext/>
              <w:jc w:val="center"/>
              <w:rPr>
                <w:rFonts w:ascii="Arial Narrow" w:hAnsi="Arial Narrow" w:cstheme="minorBidi"/>
                <w:iCs/>
                <w:sz w:val="20"/>
              </w:rPr>
            </w:pPr>
            <w:r w:rsidRPr="0057172D">
              <w:rPr>
                <w:rFonts w:ascii="Arial Narrow" w:hAnsi="Arial Narrow"/>
                <w:iCs/>
                <w:sz w:val="20"/>
              </w:rPr>
              <w:t>1/49 (2.0)</w:t>
            </w:r>
          </w:p>
        </w:tc>
        <w:tc>
          <w:tcPr>
            <w:tcW w:w="1553" w:type="dxa"/>
            <w:vAlign w:val="center"/>
          </w:tcPr>
          <w:p w:rsidR="005215A8" w:rsidRPr="0057172D" w:rsidRDefault="005215A8" w:rsidP="0049696E">
            <w:pPr>
              <w:keepNext/>
              <w:jc w:val="center"/>
              <w:rPr>
                <w:rFonts w:ascii="Arial Narrow" w:hAnsi="Arial Narrow" w:cstheme="minorBidi"/>
                <w:b/>
                <w:iCs/>
                <w:sz w:val="20"/>
              </w:rPr>
            </w:pPr>
            <w:r w:rsidRPr="0057172D">
              <w:rPr>
                <w:rFonts w:ascii="Arial Narrow" w:hAnsi="Arial Narrow" w:cstheme="minorBidi"/>
                <w:b/>
                <w:bCs/>
                <w:iCs/>
                <w:sz w:val="20"/>
              </w:rPr>
              <w:t>12.49 (1.70, 91.90)</w:t>
            </w:r>
          </w:p>
        </w:tc>
        <w:tc>
          <w:tcPr>
            <w:tcW w:w="952" w:type="dxa"/>
            <w:vAlign w:val="center"/>
          </w:tcPr>
          <w:p w:rsidR="005215A8" w:rsidRPr="0057172D" w:rsidRDefault="005215A8" w:rsidP="0049696E">
            <w:pPr>
              <w:keepNext/>
              <w:jc w:val="center"/>
              <w:rPr>
                <w:rFonts w:ascii="Arial Narrow" w:hAnsi="Arial Narrow" w:cstheme="minorBidi"/>
                <w:iCs/>
                <w:sz w:val="20"/>
              </w:rPr>
            </w:pPr>
            <w:r w:rsidRPr="0057172D">
              <w:rPr>
                <w:rFonts w:ascii="Arial Narrow" w:hAnsi="Arial Narrow" w:cstheme="minorBidi"/>
                <w:iCs/>
                <w:sz w:val="20"/>
              </w:rPr>
              <w:t>SEC 30</w:t>
            </w:r>
            <w:r w:rsidR="00992EE2" w:rsidRPr="0057172D">
              <w:rPr>
                <w:rFonts w:ascii="Arial Narrow" w:hAnsi="Arial Narrow" w:cstheme="minorBidi"/>
                <w:iCs/>
                <w:sz w:val="20"/>
              </w:rPr>
              <w:t>0 mg</w:t>
            </w:r>
          </w:p>
        </w:tc>
        <w:tc>
          <w:tcPr>
            <w:tcW w:w="1275" w:type="dxa"/>
            <w:vAlign w:val="center"/>
          </w:tcPr>
          <w:p w:rsidR="005215A8" w:rsidRPr="0057172D" w:rsidRDefault="005215A8" w:rsidP="0049696E">
            <w:pPr>
              <w:keepNext/>
              <w:jc w:val="center"/>
              <w:rPr>
                <w:rFonts w:ascii="Arial Narrow" w:hAnsi="Arial Narrow" w:cstheme="minorBidi"/>
                <w:iCs/>
                <w:sz w:val="20"/>
              </w:rPr>
            </w:pPr>
            <w:r w:rsidRPr="0057172D">
              <w:rPr>
                <w:rFonts w:ascii="Arial Narrow" w:hAnsi="Arial Narrow" w:cstheme="minorBidi"/>
                <w:iCs/>
                <w:sz w:val="20"/>
              </w:rPr>
              <w:t>0.53 (0.17, 1.66)</w:t>
            </w:r>
          </w:p>
        </w:tc>
      </w:tr>
      <w:tr w:rsidR="005215A8" w:rsidRPr="0057172D" w:rsidTr="00931143">
        <w:tc>
          <w:tcPr>
            <w:tcW w:w="462" w:type="dxa"/>
            <w:vMerge/>
            <w:vAlign w:val="center"/>
          </w:tcPr>
          <w:p w:rsidR="005215A8" w:rsidRPr="0057172D" w:rsidRDefault="005215A8" w:rsidP="0049696E">
            <w:pPr>
              <w:keepNext/>
              <w:jc w:val="left"/>
              <w:rPr>
                <w:rFonts w:ascii="Arial Narrow" w:hAnsi="Arial Narrow"/>
                <w:iCs/>
                <w:sz w:val="20"/>
              </w:rPr>
            </w:pPr>
          </w:p>
        </w:tc>
        <w:tc>
          <w:tcPr>
            <w:tcW w:w="4158" w:type="dxa"/>
            <w:gridSpan w:val="3"/>
            <w:vAlign w:val="center"/>
          </w:tcPr>
          <w:p w:rsidR="005215A8" w:rsidRPr="0057172D" w:rsidRDefault="005215A8" w:rsidP="0049696E">
            <w:pPr>
              <w:keepNext/>
              <w:jc w:val="right"/>
              <w:rPr>
                <w:rFonts w:ascii="Arial Narrow" w:hAnsi="Arial Narrow" w:cstheme="minorBidi"/>
                <w:iCs/>
                <w:sz w:val="20"/>
                <w:vertAlign w:val="superscript"/>
              </w:rPr>
            </w:pPr>
            <w:r w:rsidRPr="0057172D">
              <w:rPr>
                <w:rFonts w:ascii="Arial Narrow" w:hAnsi="Arial Narrow"/>
                <w:iCs/>
                <w:sz w:val="20"/>
              </w:rPr>
              <w:t>Meta-analysis (adalimumab vs placebo); I</w:t>
            </w:r>
            <w:r w:rsidRPr="0057172D">
              <w:rPr>
                <w:rFonts w:ascii="Arial Narrow" w:hAnsi="Arial Narrow"/>
                <w:iCs/>
                <w:sz w:val="20"/>
                <w:vertAlign w:val="superscript"/>
              </w:rPr>
              <w:t>2</w:t>
            </w:r>
            <w:r w:rsidRPr="0057172D">
              <w:rPr>
                <w:rFonts w:ascii="Arial Narrow" w:hAnsi="Arial Narrow"/>
                <w:iCs/>
                <w:sz w:val="20"/>
              </w:rPr>
              <w:t xml:space="preserve"> = 0%</w:t>
            </w:r>
          </w:p>
        </w:tc>
        <w:tc>
          <w:tcPr>
            <w:tcW w:w="1553" w:type="dxa"/>
            <w:vAlign w:val="center"/>
          </w:tcPr>
          <w:p w:rsidR="005215A8" w:rsidRPr="0057172D" w:rsidRDefault="005215A8" w:rsidP="0049696E">
            <w:pPr>
              <w:keepNext/>
              <w:jc w:val="center"/>
              <w:rPr>
                <w:rFonts w:ascii="Arial Narrow" w:hAnsi="Arial Narrow" w:cstheme="minorBidi"/>
                <w:b/>
                <w:bCs/>
                <w:iCs/>
                <w:sz w:val="20"/>
              </w:rPr>
            </w:pPr>
            <w:r w:rsidRPr="0057172D">
              <w:rPr>
                <w:rFonts w:ascii="Arial Narrow" w:hAnsi="Arial Narrow" w:cstheme="minorBidi"/>
                <w:b/>
                <w:bCs/>
                <w:iCs/>
                <w:sz w:val="20"/>
              </w:rPr>
              <w:t>8.85 (4.37, 17.94)</w:t>
            </w:r>
          </w:p>
        </w:tc>
        <w:tc>
          <w:tcPr>
            <w:tcW w:w="952" w:type="dxa"/>
            <w:vAlign w:val="center"/>
          </w:tcPr>
          <w:p w:rsidR="005215A8" w:rsidRPr="0057172D" w:rsidRDefault="005215A8" w:rsidP="0049696E">
            <w:pPr>
              <w:keepNext/>
              <w:jc w:val="center"/>
              <w:rPr>
                <w:rFonts w:ascii="Arial Narrow" w:hAnsi="Arial Narrow" w:cstheme="minorBidi"/>
                <w:iCs/>
                <w:sz w:val="20"/>
              </w:rPr>
            </w:pPr>
            <w:r w:rsidRPr="0057172D">
              <w:rPr>
                <w:rFonts w:ascii="Arial Narrow" w:hAnsi="Arial Narrow" w:cstheme="minorBidi"/>
                <w:iCs/>
                <w:sz w:val="20"/>
              </w:rPr>
              <w:t xml:space="preserve"> </w:t>
            </w:r>
            <w:r w:rsidRPr="0057172D">
              <w:rPr>
                <w:rFonts w:ascii="Arial Narrow" w:hAnsi="Arial Narrow"/>
                <w:iCs/>
                <w:sz w:val="20"/>
              </w:rPr>
              <w:t>‘lumped’</w:t>
            </w:r>
          </w:p>
        </w:tc>
        <w:tc>
          <w:tcPr>
            <w:tcW w:w="1275" w:type="dxa"/>
            <w:vAlign w:val="center"/>
          </w:tcPr>
          <w:p w:rsidR="005215A8" w:rsidRPr="0057172D" w:rsidRDefault="005215A8" w:rsidP="0049696E">
            <w:pPr>
              <w:keepNext/>
              <w:jc w:val="center"/>
              <w:rPr>
                <w:rFonts w:ascii="Arial Narrow" w:hAnsi="Arial Narrow" w:cstheme="minorBidi"/>
                <w:iCs/>
                <w:sz w:val="20"/>
              </w:rPr>
            </w:pPr>
            <w:r w:rsidRPr="0057172D">
              <w:rPr>
                <w:rFonts w:ascii="Arial Narrow" w:hAnsi="Arial Narrow" w:cstheme="minorBidi"/>
                <w:iCs/>
                <w:sz w:val="20"/>
              </w:rPr>
              <w:t>0.50 (0.16, 1.55)</w:t>
            </w:r>
          </w:p>
        </w:tc>
      </w:tr>
      <w:tr w:rsidR="00D87E96" w:rsidRPr="0057172D" w:rsidTr="00931143">
        <w:tc>
          <w:tcPr>
            <w:tcW w:w="462" w:type="dxa"/>
            <w:vMerge w:val="restart"/>
            <w:vAlign w:val="center"/>
          </w:tcPr>
          <w:p w:rsidR="00D87E96" w:rsidRPr="0057172D" w:rsidRDefault="00D87E96" w:rsidP="0049696E">
            <w:pPr>
              <w:keepNext/>
              <w:jc w:val="left"/>
              <w:rPr>
                <w:rFonts w:ascii="Arial Narrow" w:hAnsi="Arial Narrow"/>
                <w:iCs/>
                <w:sz w:val="20"/>
              </w:rPr>
            </w:pPr>
            <w:r w:rsidRPr="0057172D">
              <w:rPr>
                <w:rFonts w:ascii="Arial Narrow" w:hAnsi="Arial Narrow"/>
                <w:iCs/>
                <w:sz w:val="20"/>
              </w:rPr>
              <w:t>ETC</w:t>
            </w:r>
          </w:p>
        </w:tc>
        <w:tc>
          <w:tcPr>
            <w:tcW w:w="2127" w:type="dxa"/>
          </w:tcPr>
          <w:p w:rsidR="00D87E96" w:rsidRPr="0057172D" w:rsidRDefault="00D87E96" w:rsidP="0049696E">
            <w:pPr>
              <w:keepNext/>
              <w:rPr>
                <w:rFonts w:ascii="Arial Narrow" w:hAnsi="Arial Narrow"/>
                <w:iCs/>
                <w:sz w:val="20"/>
              </w:rPr>
            </w:pPr>
            <w:r w:rsidRPr="0057172D">
              <w:rPr>
                <w:rFonts w:ascii="Arial Narrow" w:hAnsi="Arial Narrow"/>
                <w:iCs/>
                <w:sz w:val="20"/>
              </w:rPr>
              <w:t>Mease 2000 (12 wk)</w:t>
            </w:r>
          </w:p>
        </w:tc>
        <w:tc>
          <w:tcPr>
            <w:tcW w:w="1079" w:type="dxa"/>
            <w:vAlign w:val="bottom"/>
          </w:tcPr>
          <w:p w:rsidR="00D87E96" w:rsidRPr="0057172D" w:rsidRDefault="00D87E96" w:rsidP="0049696E">
            <w:pPr>
              <w:keepNext/>
              <w:jc w:val="center"/>
              <w:rPr>
                <w:rFonts w:ascii="Arial Narrow" w:hAnsi="Arial Narrow"/>
                <w:iCs/>
                <w:sz w:val="20"/>
              </w:rPr>
            </w:pPr>
            <w:r w:rsidRPr="0057172D">
              <w:rPr>
                <w:rFonts w:ascii="Arial Narrow" w:hAnsi="Arial Narrow"/>
                <w:iCs/>
                <w:sz w:val="20"/>
              </w:rPr>
              <w:t>15/30 (50)</w:t>
            </w:r>
          </w:p>
        </w:tc>
        <w:tc>
          <w:tcPr>
            <w:tcW w:w="952" w:type="dxa"/>
            <w:vAlign w:val="bottom"/>
          </w:tcPr>
          <w:p w:rsidR="00D87E96" w:rsidRPr="0057172D" w:rsidRDefault="00D87E96" w:rsidP="0049696E">
            <w:pPr>
              <w:keepNext/>
              <w:jc w:val="center"/>
              <w:rPr>
                <w:rFonts w:ascii="Arial Narrow" w:hAnsi="Arial Narrow"/>
                <w:iCs/>
                <w:sz w:val="20"/>
              </w:rPr>
            </w:pPr>
            <w:r w:rsidRPr="0057172D">
              <w:rPr>
                <w:rFonts w:ascii="Arial Narrow" w:hAnsi="Arial Narrow"/>
                <w:iCs/>
                <w:sz w:val="20"/>
              </w:rPr>
              <w:t>1/30 (3.3)</w:t>
            </w:r>
          </w:p>
        </w:tc>
        <w:tc>
          <w:tcPr>
            <w:tcW w:w="1553" w:type="dxa"/>
            <w:vAlign w:val="bottom"/>
          </w:tcPr>
          <w:p w:rsidR="00D87E96" w:rsidRPr="0057172D" w:rsidRDefault="00D87E96" w:rsidP="0049696E">
            <w:pPr>
              <w:keepNext/>
              <w:jc w:val="center"/>
              <w:rPr>
                <w:rFonts w:ascii="Arial Narrow" w:hAnsi="Arial Narrow"/>
                <w:b/>
                <w:bCs/>
                <w:iCs/>
                <w:sz w:val="20"/>
              </w:rPr>
            </w:pPr>
            <w:r w:rsidRPr="0057172D">
              <w:rPr>
                <w:rFonts w:ascii="Arial Narrow" w:hAnsi="Arial Narrow"/>
                <w:b/>
                <w:bCs/>
                <w:iCs/>
                <w:sz w:val="20"/>
              </w:rPr>
              <w:t>15.00 (2.11, 106.49)</w:t>
            </w:r>
          </w:p>
        </w:tc>
        <w:tc>
          <w:tcPr>
            <w:tcW w:w="952" w:type="dxa"/>
            <w:vAlign w:val="center"/>
          </w:tcPr>
          <w:p w:rsidR="00D87E96" w:rsidRPr="0057172D" w:rsidRDefault="00D87E96" w:rsidP="0049696E">
            <w:pPr>
              <w:keepNext/>
              <w:jc w:val="center"/>
              <w:rPr>
                <w:rFonts w:ascii="Arial Narrow" w:hAnsi="Arial Narrow"/>
                <w:iCs/>
                <w:sz w:val="20"/>
              </w:rPr>
            </w:pPr>
            <w:r w:rsidRPr="0057172D">
              <w:rPr>
                <w:rFonts w:ascii="Arial Narrow" w:hAnsi="Arial Narrow" w:cstheme="minorBidi"/>
                <w:iCs/>
                <w:sz w:val="20"/>
              </w:rPr>
              <w:t>SEC 15</w:t>
            </w:r>
            <w:r w:rsidR="00992EE2" w:rsidRPr="0057172D">
              <w:rPr>
                <w:rFonts w:ascii="Arial Narrow" w:hAnsi="Arial Narrow" w:cstheme="minorBidi"/>
                <w:iCs/>
                <w:sz w:val="20"/>
              </w:rPr>
              <w:t>0 mg</w:t>
            </w:r>
          </w:p>
        </w:tc>
        <w:tc>
          <w:tcPr>
            <w:tcW w:w="1275" w:type="dxa"/>
            <w:vAlign w:val="center"/>
          </w:tcPr>
          <w:p w:rsidR="00D87E96" w:rsidRPr="0057172D" w:rsidRDefault="00D87E96" w:rsidP="0049696E">
            <w:pPr>
              <w:keepNext/>
              <w:jc w:val="center"/>
              <w:rPr>
                <w:rFonts w:ascii="Arial Narrow" w:hAnsi="Arial Narrow"/>
                <w:iCs/>
                <w:sz w:val="20"/>
              </w:rPr>
            </w:pPr>
            <w:r w:rsidRPr="0057172D">
              <w:rPr>
                <w:rFonts w:ascii="Arial Narrow" w:hAnsi="Arial Narrow" w:cstheme="minorBidi"/>
                <w:iCs/>
                <w:sz w:val="20"/>
              </w:rPr>
              <w:t>0.39 (0.11, 1.40)</w:t>
            </w:r>
          </w:p>
        </w:tc>
      </w:tr>
      <w:tr w:rsidR="00D87E96" w:rsidRPr="0057172D" w:rsidTr="00931143">
        <w:tc>
          <w:tcPr>
            <w:tcW w:w="462" w:type="dxa"/>
            <w:vMerge/>
            <w:vAlign w:val="center"/>
          </w:tcPr>
          <w:p w:rsidR="00D87E96" w:rsidRPr="0057172D" w:rsidRDefault="00D87E96" w:rsidP="0049696E">
            <w:pPr>
              <w:keepNext/>
              <w:jc w:val="left"/>
              <w:rPr>
                <w:rFonts w:ascii="Arial Narrow" w:hAnsi="Arial Narrow"/>
                <w:iCs/>
                <w:sz w:val="20"/>
              </w:rPr>
            </w:pPr>
          </w:p>
        </w:tc>
        <w:tc>
          <w:tcPr>
            <w:tcW w:w="2127" w:type="dxa"/>
          </w:tcPr>
          <w:p w:rsidR="00D87E96" w:rsidRPr="0057172D" w:rsidRDefault="00D87E96" w:rsidP="0049696E">
            <w:pPr>
              <w:keepNext/>
              <w:rPr>
                <w:rFonts w:ascii="Arial Narrow" w:hAnsi="Arial Narrow"/>
                <w:iCs/>
                <w:sz w:val="20"/>
              </w:rPr>
            </w:pPr>
            <w:r w:rsidRPr="0057172D">
              <w:rPr>
                <w:rFonts w:ascii="Arial Narrow" w:hAnsi="Arial Narrow"/>
                <w:iCs/>
                <w:sz w:val="20"/>
              </w:rPr>
              <w:t>Mease 2004 (12 wk)</w:t>
            </w:r>
          </w:p>
        </w:tc>
        <w:tc>
          <w:tcPr>
            <w:tcW w:w="1079" w:type="dxa"/>
            <w:vAlign w:val="bottom"/>
          </w:tcPr>
          <w:p w:rsidR="00D87E96" w:rsidRPr="0057172D" w:rsidRDefault="00D87E96" w:rsidP="0049696E">
            <w:pPr>
              <w:keepNext/>
              <w:jc w:val="center"/>
              <w:rPr>
                <w:rFonts w:ascii="Arial Narrow" w:hAnsi="Arial Narrow" w:cstheme="minorBidi"/>
                <w:iCs/>
                <w:sz w:val="20"/>
              </w:rPr>
            </w:pPr>
            <w:r w:rsidRPr="0057172D">
              <w:rPr>
                <w:rFonts w:ascii="Arial Narrow" w:hAnsi="Arial Narrow"/>
                <w:iCs/>
                <w:sz w:val="20"/>
              </w:rPr>
              <w:t>38/101 (37.6)</w:t>
            </w:r>
          </w:p>
        </w:tc>
        <w:tc>
          <w:tcPr>
            <w:tcW w:w="952" w:type="dxa"/>
            <w:vAlign w:val="bottom"/>
          </w:tcPr>
          <w:p w:rsidR="00D87E96" w:rsidRPr="0057172D" w:rsidRDefault="00D87E96" w:rsidP="0049696E">
            <w:pPr>
              <w:keepNext/>
              <w:jc w:val="center"/>
              <w:rPr>
                <w:rFonts w:ascii="Arial Narrow" w:hAnsi="Arial Narrow" w:cstheme="minorBidi"/>
                <w:iCs/>
                <w:sz w:val="20"/>
              </w:rPr>
            </w:pPr>
            <w:r w:rsidRPr="0057172D">
              <w:rPr>
                <w:rFonts w:ascii="Arial Narrow" w:hAnsi="Arial Narrow"/>
                <w:iCs/>
                <w:sz w:val="20"/>
              </w:rPr>
              <w:t>4/104 (3.8)</w:t>
            </w:r>
          </w:p>
        </w:tc>
        <w:tc>
          <w:tcPr>
            <w:tcW w:w="1553" w:type="dxa"/>
            <w:vAlign w:val="bottom"/>
          </w:tcPr>
          <w:p w:rsidR="00D87E96" w:rsidRPr="0057172D" w:rsidRDefault="00D87E96" w:rsidP="0049696E">
            <w:pPr>
              <w:keepNext/>
              <w:jc w:val="center"/>
              <w:rPr>
                <w:rFonts w:ascii="Arial Narrow" w:hAnsi="Arial Narrow" w:cstheme="minorBidi"/>
                <w:b/>
                <w:bCs/>
                <w:iCs/>
                <w:sz w:val="20"/>
              </w:rPr>
            </w:pPr>
            <w:r w:rsidRPr="0057172D">
              <w:rPr>
                <w:rFonts w:ascii="Arial Narrow" w:hAnsi="Arial Narrow"/>
                <w:b/>
                <w:bCs/>
                <w:iCs/>
                <w:sz w:val="20"/>
              </w:rPr>
              <w:t>9.78 (3.62, 26.41)</w:t>
            </w:r>
          </w:p>
        </w:tc>
        <w:tc>
          <w:tcPr>
            <w:tcW w:w="952" w:type="dxa"/>
            <w:vAlign w:val="center"/>
          </w:tcPr>
          <w:p w:rsidR="00D87E96" w:rsidRPr="0057172D" w:rsidRDefault="00D87E96" w:rsidP="0049696E">
            <w:pPr>
              <w:keepNext/>
              <w:jc w:val="center"/>
              <w:rPr>
                <w:rFonts w:ascii="Arial Narrow" w:hAnsi="Arial Narrow" w:cstheme="minorBidi"/>
                <w:iCs/>
                <w:sz w:val="20"/>
              </w:rPr>
            </w:pPr>
            <w:r w:rsidRPr="0057172D">
              <w:rPr>
                <w:rFonts w:ascii="Arial Narrow" w:hAnsi="Arial Narrow" w:cstheme="minorBidi"/>
                <w:iCs/>
                <w:sz w:val="20"/>
              </w:rPr>
              <w:t>SEC 30</w:t>
            </w:r>
            <w:r w:rsidR="00992EE2" w:rsidRPr="0057172D">
              <w:rPr>
                <w:rFonts w:ascii="Arial Narrow" w:hAnsi="Arial Narrow" w:cstheme="minorBidi"/>
                <w:iCs/>
                <w:sz w:val="20"/>
              </w:rPr>
              <w:t>0 mg</w:t>
            </w:r>
          </w:p>
        </w:tc>
        <w:tc>
          <w:tcPr>
            <w:tcW w:w="1275" w:type="dxa"/>
            <w:vAlign w:val="center"/>
          </w:tcPr>
          <w:p w:rsidR="00D87E96" w:rsidRPr="0057172D" w:rsidRDefault="00D87E96" w:rsidP="0049696E">
            <w:pPr>
              <w:keepNext/>
              <w:jc w:val="center"/>
              <w:rPr>
                <w:rFonts w:ascii="Arial Narrow" w:hAnsi="Arial Narrow" w:cstheme="minorBidi"/>
                <w:iCs/>
                <w:sz w:val="20"/>
              </w:rPr>
            </w:pPr>
            <w:r w:rsidRPr="0057172D">
              <w:rPr>
                <w:rFonts w:ascii="Arial Narrow" w:hAnsi="Arial Narrow" w:cstheme="minorBidi"/>
                <w:iCs/>
                <w:sz w:val="20"/>
              </w:rPr>
              <w:t>0.44 (0.13, 1.55)</w:t>
            </w:r>
          </w:p>
        </w:tc>
      </w:tr>
      <w:tr w:rsidR="00D87E96" w:rsidRPr="0057172D" w:rsidTr="00931143">
        <w:tc>
          <w:tcPr>
            <w:tcW w:w="462" w:type="dxa"/>
            <w:vMerge/>
            <w:vAlign w:val="center"/>
          </w:tcPr>
          <w:p w:rsidR="00D87E96" w:rsidRPr="0057172D" w:rsidRDefault="00D87E96" w:rsidP="0049696E">
            <w:pPr>
              <w:keepNext/>
              <w:jc w:val="left"/>
              <w:rPr>
                <w:rFonts w:ascii="Arial Narrow" w:hAnsi="Arial Narrow"/>
                <w:iCs/>
                <w:sz w:val="20"/>
              </w:rPr>
            </w:pPr>
          </w:p>
        </w:tc>
        <w:tc>
          <w:tcPr>
            <w:tcW w:w="4158" w:type="dxa"/>
            <w:gridSpan w:val="3"/>
            <w:vAlign w:val="center"/>
          </w:tcPr>
          <w:p w:rsidR="00D87E96" w:rsidRPr="0057172D" w:rsidRDefault="00D87E96" w:rsidP="0049696E">
            <w:pPr>
              <w:keepNext/>
              <w:jc w:val="right"/>
              <w:rPr>
                <w:rFonts w:ascii="Arial Narrow" w:hAnsi="Arial Narrow" w:cstheme="minorBidi"/>
                <w:iCs/>
                <w:sz w:val="20"/>
                <w:vertAlign w:val="superscript"/>
              </w:rPr>
            </w:pPr>
            <w:r w:rsidRPr="0057172D">
              <w:rPr>
                <w:rFonts w:ascii="Arial Narrow" w:hAnsi="Arial Narrow" w:cstheme="minorBidi"/>
                <w:iCs/>
                <w:sz w:val="20"/>
              </w:rPr>
              <w:t>Meta-analysis (etanercept vs placebo); I</w:t>
            </w:r>
            <w:r w:rsidRPr="0057172D">
              <w:rPr>
                <w:rFonts w:ascii="Arial Narrow" w:hAnsi="Arial Narrow" w:cstheme="minorBidi"/>
                <w:iCs/>
                <w:sz w:val="20"/>
                <w:vertAlign w:val="superscript"/>
              </w:rPr>
              <w:t>2</w:t>
            </w:r>
            <w:r w:rsidRPr="0057172D">
              <w:rPr>
                <w:rFonts w:ascii="Arial Narrow" w:hAnsi="Arial Narrow" w:cstheme="minorBidi"/>
                <w:iCs/>
                <w:sz w:val="20"/>
              </w:rPr>
              <w:t xml:space="preserve"> = 0%</w:t>
            </w:r>
          </w:p>
        </w:tc>
        <w:tc>
          <w:tcPr>
            <w:tcW w:w="1553" w:type="dxa"/>
            <w:vAlign w:val="center"/>
          </w:tcPr>
          <w:p w:rsidR="00D87E96" w:rsidRPr="0057172D" w:rsidRDefault="00D87E96" w:rsidP="0049696E">
            <w:pPr>
              <w:keepNext/>
              <w:jc w:val="center"/>
              <w:rPr>
                <w:rFonts w:ascii="Arial Narrow" w:hAnsi="Arial Narrow" w:cstheme="minorBidi"/>
                <w:b/>
                <w:iCs/>
                <w:sz w:val="20"/>
              </w:rPr>
            </w:pPr>
            <w:r w:rsidRPr="0057172D">
              <w:rPr>
                <w:rFonts w:ascii="Arial Narrow" w:hAnsi="Arial Narrow"/>
                <w:b/>
                <w:iCs/>
                <w:sz w:val="20"/>
              </w:rPr>
              <w:t>10.68 (4.40, 25.89)</w:t>
            </w:r>
          </w:p>
        </w:tc>
        <w:tc>
          <w:tcPr>
            <w:tcW w:w="952" w:type="dxa"/>
            <w:vAlign w:val="center"/>
          </w:tcPr>
          <w:p w:rsidR="00D87E96" w:rsidRPr="0057172D" w:rsidRDefault="00D87E96" w:rsidP="0049696E">
            <w:pPr>
              <w:keepNext/>
              <w:jc w:val="center"/>
              <w:rPr>
                <w:rFonts w:ascii="Arial Narrow" w:hAnsi="Arial Narrow" w:cstheme="minorBidi"/>
                <w:iCs/>
                <w:sz w:val="20"/>
              </w:rPr>
            </w:pPr>
            <w:r w:rsidRPr="0057172D">
              <w:rPr>
                <w:rFonts w:ascii="Arial Narrow" w:hAnsi="Arial Narrow" w:cstheme="minorBidi"/>
                <w:iCs/>
                <w:sz w:val="20"/>
              </w:rPr>
              <w:t xml:space="preserve"> </w:t>
            </w:r>
            <w:r w:rsidRPr="0057172D">
              <w:rPr>
                <w:rFonts w:ascii="Arial Narrow" w:hAnsi="Arial Narrow"/>
                <w:iCs/>
                <w:sz w:val="20"/>
              </w:rPr>
              <w:t>‘lumped’</w:t>
            </w:r>
          </w:p>
        </w:tc>
        <w:tc>
          <w:tcPr>
            <w:tcW w:w="1275" w:type="dxa"/>
            <w:vAlign w:val="center"/>
          </w:tcPr>
          <w:p w:rsidR="00D87E96" w:rsidRPr="0057172D" w:rsidRDefault="00D87E96" w:rsidP="0049696E">
            <w:pPr>
              <w:keepNext/>
              <w:jc w:val="center"/>
              <w:rPr>
                <w:rFonts w:ascii="Arial Narrow" w:hAnsi="Arial Narrow" w:cstheme="minorBidi"/>
                <w:iCs/>
                <w:sz w:val="20"/>
              </w:rPr>
            </w:pPr>
            <w:r w:rsidRPr="0057172D">
              <w:rPr>
                <w:rFonts w:ascii="Arial Narrow" w:hAnsi="Arial Narrow" w:cstheme="minorBidi"/>
                <w:iCs/>
                <w:sz w:val="20"/>
              </w:rPr>
              <w:t>0.42 (0.12, 1.45)</w:t>
            </w:r>
          </w:p>
        </w:tc>
      </w:tr>
      <w:tr w:rsidR="00A765F2" w:rsidRPr="0057172D" w:rsidTr="00931143">
        <w:tc>
          <w:tcPr>
            <w:tcW w:w="462" w:type="dxa"/>
            <w:vMerge w:val="restart"/>
            <w:vAlign w:val="center"/>
          </w:tcPr>
          <w:p w:rsidR="00A765F2" w:rsidRPr="0057172D" w:rsidRDefault="00A765F2" w:rsidP="0049696E">
            <w:pPr>
              <w:keepNext/>
              <w:jc w:val="left"/>
              <w:rPr>
                <w:rFonts w:ascii="Arial Narrow" w:hAnsi="Arial Narrow"/>
                <w:iCs/>
                <w:sz w:val="20"/>
              </w:rPr>
            </w:pPr>
            <w:r w:rsidRPr="0057172D">
              <w:rPr>
                <w:rFonts w:ascii="Arial Narrow" w:hAnsi="Arial Narrow"/>
                <w:iCs/>
                <w:sz w:val="20"/>
              </w:rPr>
              <w:t>INF</w:t>
            </w:r>
          </w:p>
        </w:tc>
        <w:tc>
          <w:tcPr>
            <w:tcW w:w="2127" w:type="dxa"/>
          </w:tcPr>
          <w:p w:rsidR="00A765F2" w:rsidRPr="0057172D" w:rsidRDefault="00A765F2" w:rsidP="0049696E">
            <w:pPr>
              <w:keepNext/>
              <w:rPr>
                <w:rFonts w:ascii="Arial Narrow" w:hAnsi="Arial Narrow"/>
                <w:iCs/>
                <w:sz w:val="20"/>
              </w:rPr>
            </w:pPr>
            <w:r w:rsidRPr="0057172D">
              <w:rPr>
                <w:rFonts w:ascii="Arial Narrow" w:hAnsi="Arial Narrow"/>
                <w:iCs/>
                <w:sz w:val="20"/>
              </w:rPr>
              <w:t>IMPACT (16 wk)</w:t>
            </w:r>
          </w:p>
        </w:tc>
        <w:tc>
          <w:tcPr>
            <w:tcW w:w="1079" w:type="dxa"/>
            <w:vAlign w:val="bottom"/>
          </w:tcPr>
          <w:p w:rsidR="00A765F2" w:rsidRPr="0057172D" w:rsidRDefault="00A765F2" w:rsidP="0049696E">
            <w:pPr>
              <w:keepNext/>
              <w:jc w:val="center"/>
              <w:rPr>
                <w:rFonts w:ascii="Arial Narrow" w:hAnsi="Arial Narrow" w:cstheme="minorBidi"/>
                <w:iCs/>
                <w:sz w:val="20"/>
              </w:rPr>
            </w:pPr>
            <w:r w:rsidRPr="0057172D">
              <w:rPr>
                <w:rFonts w:ascii="Arial Narrow" w:hAnsi="Arial Narrow"/>
                <w:iCs/>
                <w:sz w:val="20"/>
              </w:rPr>
              <w:t>24/52 (46.2)</w:t>
            </w:r>
          </w:p>
        </w:tc>
        <w:tc>
          <w:tcPr>
            <w:tcW w:w="952" w:type="dxa"/>
            <w:vAlign w:val="bottom"/>
          </w:tcPr>
          <w:p w:rsidR="00A765F2" w:rsidRPr="0057172D" w:rsidRDefault="00A765F2" w:rsidP="0049696E">
            <w:pPr>
              <w:keepNext/>
              <w:jc w:val="center"/>
              <w:rPr>
                <w:rFonts w:ascii="Arial Narrow" w:hAnsi="Arial Narrow" w:cstheme="minorBidi"/>
                <w:iCs/>
                <w:sz w:val="20"/>
              </w:rPr>
            </w:pPr>
            <w:r w:rsidRPr="0057172D">
              <w:rPr>
                <w:rFonts w:ascii="Arial Narrow" w:hAnsi="Arial Narrow"/>
                <w:iCs/>
                <w:sz w:val="20"/>
              </w:rPr>
              <w:t>0/52 (0)</w:t>
            </w:r>
          </w:p>
        </w:tc>
        <w:tc>
          <w:tcPr>
            <w:tcW w:w="1553" w:type="dxa"/>
            <w:vAlign w:val="center"/>
          </w:tcPr>
          <w:p w:rsidR="00A765F2" w:rsidRPr="0057172D" w:rsidRDefault="00A765F2" w:rsidP="0049696E">
            <w:pPr>
              <w:keepNext/>
              <w:jc w:val="center"/>
              <w:rPr>
                <w:rFonts w:ascii="Arial Narrow" w:hAnsi="Arial Narrow" w:cstheme="minorBidi"/>
                <w:iCs/>
                <w:sz w:val="20"/>
              </w:rPr>
            </w:pPr>
            <w:r w:rsidRPr="0057172D">
              <w:rPr>
                <w:rFonts w:ascii="Arial Narrow" w:hAnsi="Arial Narrow"/>
                <w:b/>
                <w:bCs/>
                <w:iCs/>
                <w:sz w:val="20"/>
              </w:rPr>
              <w:t>49.0 (3.06, 785.06)</w:t>
            </w:r>
          </w:p>
        </w:tc>
        <w:tc>
          <w:tcPr>
            <w:tcW w:w="952" w:type="dxa"/>
            <w:vAlign w:val="center"/>
          </w:tcPr>
          <w:p w:rsidR="00A765F2" w:rsidRPr="0057172D" w:rsidRDefault="00A765F2" w:rsidP="0049696E">
            <w:pPr>
              <w:keepNext/>
              <w:jc w:val="center"/>
              <w:rPr>
                <w:rFonts w:ascii="Arial Narrow" w:hAnsi="Arial Narrow" w:cstheme="minorBidi"/>
                <w:iCs/>
                <w:sz w:val="20"/>
              </w:rPr>
            </w:pPr>
            <w:r w:rsidRPr="0057172D">
              <w:rPr>
                <w:rFonts w:ascii="Arial Narrow" w:hAnsi="Arial Narrow" w:cstheme="minorBidi"/>
                <w:iCs/>
                <w:sz w:val="20"/>
              </w:rPr>
              <w:t>SEC 15</w:t>
            </w:r>
            <w:r w:rsidR="00992EE2" w:rsidRPr="0057172D">
              <w:rPr>
                <w:rFonts w:ascii="Arial Narrow" w:hAnsi="Arial Narrow" w:cstheme="minorBidi"/>
                <w:iCs/>
                <w:sz w:val="20"/>
              </w:rPr>
              <w:t>0 mg</w:t>
            </w:r>
          </w:p>
        </w:tc>
        <w:tc>
          <w:tcPr>
            <w:tcW w:w="1275" w:type="dxa"/>
            <w:vAlign w:val="center"/>
          </w:tcPr>
          <w:p w:rsidR="00A765F2" w:rsidRPr="0057172D" w:rsidRDefault="00A765F2" w:rsidP="0049696E">
            <w:pPr>
              <w:keepNext/>
              <w:jc w:val="center"/>
              <w:rPr>
                <w:rFonts w:ascii="Arial Narrow" w:hAnsi="Arial Narrow" w:cstheme="minorBidi"/>
                <w:iCs/>
                <w:sz w:val="20"/>
              </w:rPr>
            </w:pPr>
            <w:r w:rsidRPr="0057172D">
              <w:rPr>
                <w:rFonts w:ascii="Arial Narrow" w:hAnsi="Arial Narrow" w:cstheme="minorBidi"/>
                <w:iCs/>
                <w:sz w:val="20"/>
              </w:rPr>
              <w:t>0.29 (0.07, 1.15)</w:t>
            </w:r>
          </w:p>
        </w:tc>
      </w:tr>
      <w:tr w:rsidR="00A765F2" w:rsidRPr="0057172D" w:rsidTr="00931143">
        <w:trPr>
          <w:trHeight w:val="161"/>
        </w:trPr>
        <w:tc>
          <w:tcPr>
            <w:tcW w:w="462" w:type="dxa"/>
            <w:vMerge/>
            <w:vAlign w:val="center"/>
          </w:tcPr>
          <w:p w:rsidR="00A765F2" w:rsidRPr="0057172D" w:rsidRDefault="00A765F2" w:rsidP="0049696E">
            <w:pPr>
              <w:keepNext/>
              <w:jc w:val="left"/>
              <w:rPr>
                <w:rFonts w:ascii="Arial Narrow" w:hAnsi="Arial Narrow"/>
                <w:iCs/>
                <w:sz w:val="20"/>
              </w:rPr>
            </w:pPr>
          </w:p>
        </w:tc>
        <w:tc>
          <w:tcPr>
            <w:tcW w:w="2127" w:type="dxa"/>
          </w:tcPr>
          <w:p w:rsidR="00A765F2" w:rsidRPr="0057172D" w:rsidRDefault="00A765F2" w:rsidP="0049696E">
            <w:pPr>
              <w:keepNext/>
              <w:rPr>
                <w:rFonts w:ascii="Arial Narrow" w:hAnsi="Arial Narrow"/>
                <w:iCs/>
                <w:sz w:val="20"/>
              </w:rPr>
            </w:pPr>
            <w:r w:rsidRPr="0057172D">
              <w:rPr>
                <w:rFonts w:ascii="Arial Narrow" w:hAnsi="Arial Narrow"/>
                <w:iCs/>
                <w:sz w:val="20"/>
              </w:rPr>
              <w:t>IMPACT2 (14 wk)</w:t>
            </w:r>
          </w:p>
        </w:tc>
        <w:tc>
          <w:tcPr>
            <w:tcW w:w="1079" w:type="dxa"/>
            <w:vAlign w:val="bottom"/>
          </w:tcPr>
          <w:p w:rsidR="00A765F2" w:rsidRPr="0057172D" w:rsidRDefault="00A765F2" w:rsidP="0049696E">
            <w:pPr>
              <w:keepNext/>
              <w:jc w:val="center"/>
              <w:rPr>
                <w:rFonts w:ascii="Arial Narrow" w:hAnsi="Arial Narrow" w:cstheme="minorBidi"/>
                <w:iCs/>
                <w:sz w:val="20"/>
              </w:rPr>
            </w:pPr>
            <w:r w:rsidRPr="0057172D">
              <w:rPr>
                <w:rFonts w:ascii="Arial Narrow" w:hAnsi="Arial Narrow"/>
                <w:iCs/>
                <w:sz w:val="20"/>
              </w:rPr>
              <w:t>36/100 (36.0)</w:t>
            </w:r>
          </w:p>
        </w:tc>
        <w:tc>
          <w:tcPr>
            <w:tcW w:w="952" w:type="dxa"/>
            <w:vAlign w:val="bottom"/>
          </w:tcPr>
          <w:p w:rsidR="00A765F2" w:rsidRPr="0057172D" w:rsidRDefault="00A765F2" w:rsidP="0049696E">
            <w:pPr>
              <w:keepNext/>
              <w:jc w:val="center"/>
              <w:rPr>
                <w:rFonts w:ascii="Arial Narrow" w:hAnsi="Arial Narrow" w:cstheme="minorBidi"/>
                <w:iCs/>
                <w:sz w:val="20"/>
              </w:rPr>
            </w:pPr>
            <w:r w:rsidRPr="0057172D">
              <w:rPr>
                <w:rFonts w:ascii="Arial Narrow" w:hAnsi="Arial Narrow"/>
                <w:iCs/>
                <w:sz w:val="20"/>
              </w:rPr>
              <w:t>3/100 (3.0)</w:t>
            </w:r>
          </w:p>
        </w:tc>
        <w:tc>
          <w:tcPr>
            <w:tcW w:w="1553" w:type="dxa"/>
            <w:vAlign w:val="center"/>
          </w:tcPr>
          <w:p w:rsidR="00A765F2" w:rsidRPr="0057172D" w:rsidRDefault="00A765F2" w:rsidP="0049696E">
            <w:pPr>
              <w:keepNext/>
              <w:jc w:val="center"/>
              <w:rPr>
                <w:rFonts w:ascii="Arial Narrow" w:hAnsi="Arial Narrow" w:cstheme="minorBidi"/>
                <w:b/>
                <w:iCs/>
                <w:sz w:val="20"/>
              </w:rPr>
            </w:pPr>
            <w:r w:rsidRPr="0057172D">
              <w:rPr>
                <w:rFonts w:ascii="Arial Narrow" w:hAnsi="Arial Narrow"/>
                <w:b/>
                <w:iCs/>
                <w:sz w:val="20"/>
              </w:rPr>
              <w:t>12.00 (3.82, 37.70)</w:t>
            </w:r>
          </w:p>
        </w:tc>
        <w:tc>
          <w:tcPr>
            <w:tcW w:w="952" w:type="dxa"/>
            <w:vAlign w:val="center"/>
          </w:tcPr>
          <w:p w:rsidR="00A765F2" w:rsidRPr="0057172D" w:rsidRDefault="00A765F2" w:rsidP="0049696E">
            <w:pPr>
              <w:keepNext/>
              <w:jc w:val="center"/>
              <w:rPr>
                <w:rFonts w:ascii="Arial Narrow" w:hAnsi="Arial Narrow" w:cstheme="minorBidi"/>
                <w:iCs/>
                <w:sz w:val="20"/>
              </w:rPr>
            </w:pPr>
            <w:r w:rsidRPr="0057172D">
              <w:rPr>
                <w:rFonts w:ascii="Arial Narrow" w:hAnsi="Arial Narrow" w:cstheme="minorBidi"/>
                <w:iCs/>
                <w:sz w:val="20"/>
              </w:rPr>
              <w:t>SEC 30</w:t>
            </w:r>
            <w:r w:rsidR="00992EE2" w:rsidRPr="0057172D">
              <w:rPr>
                <w:rFonts w:ascii="Arial Narrow" w:hAnsi="Arial Narrow" w:cstheme="minorBidi"/>
                <w:iCs/>
                <w:sz w:val="20"/>
              </w:rPr>
              <w:t>0 mg</w:t>
            </w:r>
          </w:p>
        </w:tc>
        <w:tc>
          <w:tcPr>
            <w:tcW w:w="1275" w:type="dxa"/>
            <w:vAlign w:val="center"/>
          </w:tcPr>
          <w:p w:rsidR="00A765F2" w:rsidRPr="0057172D" w:rsidRDefault="00A765F2" w:rsidP="0049696E">
            <w:pPr>
              <w:keepNext/>
              <w:jc w:val="center"/>
              <w:rPr>
                <w:rFonts w:ascii="Arial Narrow" w:hAnsi="Arial Narrow" w:cstheme="minorBidi"/>
                <w:iCs/>
                <w:sz w:val="20"/>
              </w:rPr>
            </w:pPr>
            <w:r w:rsidRPr="0057172D">
              <w:rPr>
                <w:rFonts w:ascii="Arial Narrow" w:hAnsi="Arial Narrow" w:cstheme="minorBidi"/>
                <w:iCs/>
                <w:sz w:val="20"/>
              </w:rPr>
              <w:t>0.32 (0.08, 1.28)</w:t>
            </w:r>
          </w:p>
        </w:tc>
      </w:tr>
      <w:tr w:rsidR="00A765F2" w:rsidRPr="0057172D" w:rsidTr="00931143">
        <w:tc>
          <w:tcPr>
            <w:tcW w:w="462" w:type="dxa"/>
            <w:vMerge/>
            <w:vAlign w:val="center"/>
          </w:tcPr>
          <w:p w:rsidR="00A765F2" w:rsidRPr="0057172D" w:rsidRDefault="00A765F2" w:rsidP="0049696E">
            <w:pPr>
              <w:keepNext/>
              <w:jc w:val="left"/>
              <w:rPr>
                <w:rFonts w:ascii="Arial Narrow" w:hAnsi="Arial Narrow"/>
                <w:iCs/>
                <w:sz w:val="20"/>
              </w:rPr>
            </w:pPr>
          </w:p>
        </w:tc>
        <w:tc>
          <w:tcPr>
            <w:tcW w:w="4158" w:type="dxa"/>
            <w:gridSpan w:val="3"/>
            <w:vAlign w:val="center"/>
          </w:tcPr>
          <w:p w:rsidR="00A765F2" w:rsidRPr="0057172D" w:rsidRDefault="00A765F2" w:rsidP="0049696E">
            <w:pPr>
              <w:keepNext/>
              <w:jc w:val="right"/>
              <w:rPr>
                <w:rFonts w:ascii="Arial Narrow" w:hAnsi="Arial Narrow" w:cstheme="minorBidi"/>
                <w:iCs/>
                <w:sz w:val="20"/>
                <w:lang w:val="pt-PT"/>
              </w:rPr>
            </w:pPr>
            <w:r w:rsidRPr="0057172D">
              <w:rPr>
                <w:rFonts w:ascii="Arial Narrow" w:hAnsi="Arial Narrow"/>
                <w:iCs/>
                <w:sz w:val="20"/>
                <w:lang w:val="pt-PT"/>
              </w:rPr>
              <w:t>Meta-analysis (infliximab vs placebo); I</w:t>
            </w:r>
            <w:r w:rsidRPr="0057172D">
              <w:rPr>
                <w:rFonts w:ascii="Arial Narrow" w:hAnsi="Arial Narrow"/>
                <w:iCs/>
                <w:sz w:val="20"/>
                <w:vertAlign w:val="superscript"/>
                <w:lang w:val="pt-PT"/>
              </w:rPr>
              <w:t>2</w:t>
            </w:r>
            <w:r w:rsidRPr="0057172D">
              <w:rPr>
                <w:rFonts w:ascii="Arial Narrow" w:hAnsi="Arial Narrow"/>
                <w:iCs/>
                <w:sz w:val="20"/>
                <w:lang w:val="pt-PT"/>
              </w:rPr>
              <w:t xml:space="preserve"> = 9%</w:t>
            </w:r>
          </w:p>
        </w:tc>
        <w:tc>
          <w:tcPr>
            <w:tcW w:w="1553" w:type="dxa"/>
            <w:vAlign w:val="center"/>
          </w:tcPr>
          <w:p w:rsidR="00A765F2" w:rsidRPr="0057172D" w:rsidRDefault="00A765F2" w:rsidP="0049696E">
            <w:pPr>
              <w:keepNext/>
              <w:jc w:val="center"/>
              <w:rPr>
                <w:rFonts w:ascii="Arial Narrow" w:hAnsi="Arial Narrow" w:cstheme="minorBidi"/>
                <w:b/>
                <w:iCs/>
                <w:sz w:val="20"/>
              </w:rPr>
            </w:pPr>
            <w:r w:rsidRPr="0057172D">
              <w:rPr>
                <w:rFonts w:ascii="Arial Narrow" w:hAnsi="Arial Narrow"/>
                <w:b/>
                <w:iCs/>
                <w:sz w:val="20"/>
              </w:rPr>
              <w:t>14.73 (5.11, 42.43)</w:t>
            </w:r>
          </w:p>
        </w:tc>
        <w:tc>
          <w:tcPr>
            <w:tcW w:w="952" w:type="dxa"/>
            <w:vAlign w:val="center"/>
          </w:tcPr>
          <w:p w:rsidR="00A765F2" w:rsidRPr="0057172D" w:rsidRDefault="00A765F2" w:rsidP="0049696E">
            <w:pPr>
              <w:keepNext/>
              <w:jc w:val="center"/>
              <w:rPr>
                <w:rFonts w:ascii="Arial Narrow" w:hAnsi="Arial Narrow" w:cstheme="minorBidi"/>
                <w:iCs/>
                <w:sz w:val="20"/>
              </w:rPr>
            </w:pPr>
            <w:r w:rsidRPr="0057172D">
              <w:rPr>
                <w:rFonts w:ascii="Arial Narrow" w:hAnsi="Arial Narrow" w:cstheme="minorBidi"/>
                <w:iCs/>
                <w:sz w:val="20"/>
              </w:rPr>
              <w:t xml:space="preserve"> </w:t>
            </w:r>
            <w:r w:rsidRPr="0057172D">
              <w:rPr>
                <w:rFonts w:ascii="Arial Narrow" w:hAnsi="Arial Narrow"/>
                <w:iCs/>
                <w:sz w:val="20"/>
              </w:rPr>
              <w:t>‘lumped’</w:t>
            </w:r>
          </w:p>
        </w:tc>
        <w:tc>
          <w:tcPr>
            <w:tcW w:w="1275" w:type="dxa"/>
            <w:vAlign w:val="center"/>
          </w:tcPr>
          <w:p w:rsidR="00A765F2" w:rsidRPr="0057172D" w:rsidRDefault="00A765F2" w:rsidP="0049696E">
            <w:pPr>
              <w:keepNext/>
              <w:jc w:val="center"/>
              <w:rPr>
                <w:rFonts w:ascii="Arial Narrow" w:hAnsi="Arial Narrow" w:cstheme="minorBidi"/>
                <w:iCs/>
                <w:sz w:val="20"/>
              </w:rPr>
            </w:pPr>
            <w:r w:rsidRPr="0057172D">
              <w:rPr>
                <w:rFonts w:ascii="Arial Narrow" w:hAnsi="Arial Narrow" w:cstheme="minorBidi"/>
                <w:iCs/>
                <w:sz w:val="20"/>
              </w:rPr>
              <w:t>0.30 (0.08, 1.19)</w:t>
            </w:r>
          </w:p>
        </w:tc>
      </w:tr>
      <w:tr w:rsidR="00A765F2" w:rsidRPr="0057172D" w:rsidTr="00931143">
        <w:tc>
          <w:tcPr>
            <w:tcW w:w="462" w:type="dxa"/>
            <w:vMerge w:val="restart"/>
            <w:vAlign w:val="center"/>
          </w:tcPr>
          <w:p w:rsidR="00A765F2" w:rsidRPr="0057172D" w:rsidRDefault="00A765F2" w:rsidP="0049696E">
            <w:pPr>
              <w:keepNext/>
              <w:jc w:val="left"/>
              <w:rPr>
                <w:rFonts w:ascii="Arial Narrow" w:hAnsi="Arial Narrow"/>
                <w:iCs/>
                <w:sz w:val="20"/>
              </w:rPr>
            </w:pPr>
            <w:r w:rsidRPr="0057172D">
              <w:rPr>
                <w:rFonts w:ascii="Arial Narrow" w:hAnsi="Arial Narrow"/>
                <w:iCs/>
                <w:sz w:val="20"/>
              </w:rPr>
              <w:t>GOL 50 mg</w:t>
            </w:r>
          </w:p>
        </w:tc>
        <w:tc>
          <w:tcPr>
            <w:tcW w:w="2127" w:type="dxa"/>
            <w:vMerge w:val="restart"/>
            <w:vAlign w:val="center"/>
          </w:tcPr>
          <w:p w:rsidR="00A765F2" w:rsidRPr="0057172D" w:rsidRDefault="00A765F2" w:rsidP="0049696E">
            <w:pPr>
              <w:keepNext/>
              <w:jc w:val="left"/>
              <w:rPr>
                <w:rFonts w:ascii="Arial Narrow" w:hAnsi="Arial Narrow"/>
                <w:iCs/>
                <w:sz w:val="20"/>
              </w:rPr>
            </w:pPr>
            <w:r w:rsidRPr="0057172D">
              <w:rPr>
                <w:rFonts w:ascii="Arial Narrow" w:hAnsi="Arial Narrow"/>
                <w:iCs/>
                <w:sz w:val="20"/>
              </w:rPr>
              <w:t>GO-REVEAL (14 wk)</w:t>
            </w:r>
          </w:p>
        </w:tc>
        <w:tc>
          <w:tcPr>
            <w:tcW w:w="1079" w:type="dxa"/>
            <w:vMerge w:val="restart"/>
            <w:vAlign w:val="center"/>
          </w:tcPr>
          <w:p w:rsidR="00A765F2" w:rsidRPr="0057172D" w:rsidRDefault="00A765F2" w:rsidP="0049696E">
            <w:pPr>
              <w:keepNext/>
              <w:jc w:val="center"/>
              <w:rPr>
                <w:rFonts w:ascii="Arial Narrow" w:hAnsi="Arial Narrow" w:cstheme="minorBidi"/>
                <w:iCs/>
                <w:sz w:val="20"/>
              </w:rPr>
            </w:pPr>
            <w:r w:rsidRPr="0057172D">
              <w:rPr>
                <w:rFonts w:ascii="Arial Narrow" w:hAnsi="Arial Narrow"/>
                <w:iCs/>
                <w:sz w:val="20"/>
              </w:rPr>
              <w:t>44/146 (30.1)</w:t>
            </w:r>
          </w:p>
        </w:tc>
        <w:tc>
          <w:tcPr>
            <w:tcW w:w="952" w:type="dxa"/>
            <w:vMerge w:val="restart"/>
            <w:vAlign w:val="center"/>
          </w:tcPr>
          <w:p w:rsidR="00A765F2" w:rsidRPr="0057172D" w:rsidRDefault="00A765F2" w:rsidP="0049696E">
            <w:pPr>
              <w:keepNext/>
              <w:jc w:val="center"/>
              <w:rPr>
                <w:rFonts w:ascii="Arial Narrow" w:hAnsi="Arial Narrow" w:cstheme="minorBidi"/>
                <w:iCs/>
                <w:sz w:val="20"/>
              </w:rPr>
            </w:pPr>
            <w:r w:rsidRPr="0057172D">
              <w:rPr>
                <w:rFonts w:ascii="Arial Narrow" w:hAnsi="Arial Narrow"/>
                <w:iCs/>
                <w:sz w:val="20"/>
              </w:rPr>
              <w:t>2/113 (1.8)</w:t>
            </w:r>
          </w:p>
        </w:tc>
        <w:tc>
          <w:tcPr>
            <w:tcW w:w="1553" w:type="dxa"/>
            <w:vMerge w:val="restart"/>
            <w:vAlign w:val="center"/>
          </w:tcPr>
          <w:p w:rsidR="00A765F2" w:rsidRPr="0057172D" w:rsidRDefault="00A765F2" w:rsidP="0049696E">
            <w:pPr>
              <w:keepNext/>
              <w:jc w:val="center"/>
              <w:rPr>
                <w:rFonts w:ascii="Arial Narrow" w:hAnsi="Arial Narrow" w:cstheme="minorBidi"/>
                <w:b/>
                <w:iCs/>
                <w:sz w:val="20"/>
              </w:rPr>
            </w:pPr>
            <w:r w:rsidRPr="0057172D">
              <w:rPr>
                <w:rFonts w:ascii="Arial Narrow" w:hAnsi="Arial Narrow"/>
                <w:b/>
                <w:iCs/>
                <w:sz w:val="20"/>
              </w:rPr>
              <w:t>17.03 (4.22, 68.75)</w:t>
            </w:r>
          </w:p>
        </w:tc>
        <w:tc>
          <w:tcPr>
            <w:tcW w:w="952" w:type="dxa"/>
            <w:vAlign w:val="center"/>
          </w:tcPr>
          <w:p w:rsidR="00A765F2" w:rsidRPr="0057172D" w:rsidRDefault="00A765F2" w:rsidP="0049696E">
            <w:pPr>
              <w:keepNext/>
              <w:jc w:val="center"/>
              <w:rPr>
                <w:rFonts w:ascii="Arial Narrow" w:hAnsi="Arial Narrow" w:cstheme="minorBidi"/>
                <w:iCs/>
                <w:sz w:val="20"/>
              </w:rPr>
            </w:pPr>
            <w:r w:rsidRPr="0057172D">
              <w:rPr>
                <w:rFonts w:ascii="Arial Narrow" w:hAnsi="Arial Narrow"/>
                <w:iCs/>
                <w:sz w:val="20"/>
              </w:rPr>
              <w:t>SEC 15</w:t>
            </w:r>
            <w:r w:rsidR="00992EE2" w:rsidRPr="0057172D">
              <w:rPr>
                <w:rFonts w:ascii="Arial Narrow" w:hAnsi="Arial Narrow"/>
                <w:iCs/>
                <w:sz w:val="20"/>
              </w:rPr>
              <w:t>0 mg</w:t>
            </w:r>
          </w:p>
        </w:tc>
        <w:tc>
          <w:tcPr>
            <w:tcW w:w="1275" w:type="dxa"/>
            <w:vAlign w:val="center"/>
          </w:tcPr>
          <w:p w:rsidR="00A765F2" w:rsidRPr="0057172D" w:rsidRDefault="00A765F2" w:rsidP="0049696E">
            <w:pPr>
              <w:keepNext/>
              <w:jc w:val="center"/>
              <w:rPr>
                <w:rFonts w:ascii="Arial Narrow" w:hAnsi="Arial Narrow" w:cstheme="minorBidi"/>
                <w:iCs/>
                <w:sz w:val="20"/>
              </w:rPr>
            </w:pPr>
            <w:r w:rsidRPr="0057172D">
              <w:rPr>
                <w:rFonts w:ascii="Arial Narrow" w:hAnsi="Arial Narrow" w:cstheme="minorBidi"/>
                <w:iCs/>
                <w:sz w:val="20"/>
              </w:rPr>
              <w:t>0.25 (0.05, 1.31)</w:t>
            </w:r>
          </w:p>
        </w:tc>
      </w:tr>
      <w:tr w:rsidR="00A765F2" w:rsidRPr="0057172D" w:rsidTr="00931143">
        <w:tc>
          <w:tcPr>
            <w:tcW w:w="462" w:type="dxa"/>
            <w:vMerge/>
            <w:vAlign w:val="center"/>
          </w:tcPr>
          <w:p w:rsidR="00A765F2" w:rsidRPr="0057172D" w:rsidRDefault="00A765F2" w:rsidP="0049696E">
            <w:pPr>
              <w:keepNext/>
              <w:jc w:val="left"/>
              <w:rPr>
                <w:rFonts w:ascii="Arial Narrow" w:hAnsi="Arial Narrow"/>
                <w:iCs/>
                <w:sz w:val="20"/>
              </w:rPr>
            </w:pPr>
          </w:p>
        </w:tc>
        <w:tc>
          <w:tcPr>
            <w:tcW w:w="2127" w:type="dxa"/>
            <w:vMerge/>
          </w:tcPr>
          <w:p w:rsidR="00A765F2" w:rsidRPr="0057172D" w:rsidRDefault="00A765F2" w:rsidP="0049696E">
            <w:pPr>
              <w:keepNext/>
              <w:rPr>
                <w:rFonts w:ascii="Arial Narrow" w:hAnsi="Arial Narrow"/>
                <w:iCs/>
                <w:sz w:val="20"/>
              </w:rPr>
            </w:pPr>
          </w:p>
        </w:tc>
        <w:tc>
          <w:tcPr>
            <w:tcW w:w="1079" w:type="dxa"/>
            <w:vMerge/>
            <w:vAlign w:val="center"/>
          </w:tcPr>
          <w:p w:rsidR="00A765F2" w:rsidRPr="0057172D" w:rsidRDefault="00A765F2" w:rsidP="0049696E">
            <w:pPr>
              <w:keepNext/>
              <w:jc w:val="center"/>
              <w:rPr>
                <w:rFonts w:ascii="Arial Narrow" w:hAnsi="Arial Narrow" w:cstheme="minorBidi"/>
                <w:iCs/>
                <w:sz w:val="20"/>
              </w:rPr>
            </w:pPr>
          </w:p>
        </w:tc>
        <w:tc>
          <w:tcPr>
            <w:tcW w:w="952" w:type="dxa"/>
            <w:vMerge/>
            <w:vAlign w:val="center"/>
          </w:tcPr>
          <w:p w:rsidR="00A765F2" w:rsidRPr="0057172D" w:rsidRDefault="00A765F2" w:rsidP="0049696E">
            <w:pPr>
              <w:keepNext/>
              <w:jc w:val="center"/>
              <w:rPr>
                <w:rFonts w:ascii="Arial Narrow" w:hAnsi="Arial Narrow" w:cstheme="minorBidi"/>
                <w:iCs/>
                <w:sz w:val="20"/>
              </w:rPr>
            </w:pPr>
          </w:p>
        </w:tc>
        <w:tc>
          <w:tcPr>
            <w:tcW w:w="1553" w:type="dxa"/>
            <w:vMerge/>
            <w:vAlign w:val="center"/>
          </w:tcPr>
          <w:p w:rsidR="00A765F2" w:rsidRPr="0057172D" w:rsidRDefault="00A765F2" w:rsidP="0049696E">
            <w:pPr>
              <w:keepNext/>
              <w:jc w:val="center"/>
              <w:rPr>
                <w:rFonts w:ascii="Arial Narrow" w:hAnsi="Arial Narrow" w:cstheme="minorBidi"/>
                <w:b/>
                <w:iCs/>
                <w:sz w:val="20"/>
              </w:rPr>
            </w:pPr>
          </w:p>
        </w:tc>
        <w:tc>
          <w:tcPr>
            <w:tcW w:w="952" w:type="dxa"/>
            <w:vAlign w:val="center"/>
          </w:tcPr>
          <w:p w:rsidR="00A765F2" w:rsidRPr="0057172D" w:rsidRDefault="00A765F2" w:rsidP="0049696E">
            <w:pPr>
              <w:keepNext/>
              <w:jc w:val="center"/>
              <w:rPr>
                <w:rFonts w:ascii="Arial Narrow" w:hAnsi="Arial Narrow" w:cstheme="minorBidi"/>
                <w:iCs/>
                <w:sz w:val="20"/>
              </w:rPr>
            </w:pPr>
            <w:r w:rsidRPr="0057172D">
              <w:rPr>
                <w:rFonts w:ascii="Arial Narrow" w:hAnsi="Arial Narrow"/>
                <w:iCs/>
                <w:sz w:val="20"/>
              </w:rPr>
              <w:t>SEC 30</w:t>
            </w:r>
            <w:r w:rsidR="00992EE2" w:rsidRPr="0057172D">
              <w:rPr>
                <w:rFonts w:ascii="Arial Narrow" w:hAnsi="Arial Narrow"/>
                <w:iCs/>
                <w:sz w:val="20"/>
              </w:rPr>
              <w:t>0 mg</w:t>
            </w:r>
          </w:p>
        </w:tc>
        <w:tc>
          <w:tcPr>
            <w:tcW w:w="1275" w:type="dxa"/>
            <w:vAlign w:val="center"/>
          </w:tcPr>
          <w:p w:rsidR="00A765F2" w:rsidRPr="0057172D" w:rsidRDefault="00A765F2" w:rsidP="0049696E">
            <w:pPr>
              <w:keepNext/>
              <w:jc w:val="center"/>
              <w:rPr>
                <w:rFonts w:ascii="Arial Narrow" w:hAnsi="Arial Narrow" w:cstheme="minorBidi"/>
                <w:iCs/>
                <w:sz w:val="20"/>
              </w:rPr>
            </w:pPr>
            <w:r w:rsidRPr="0057172D">
              <w:rPr>
                <w:rFonts w:ascii="Arial Narrow" w:hAnsi="Arial Narrow" w:cstheme="minorBidi"/>
                <w:iCs/>
                <w:sz w:val="20"/>
              </w:rPr>
              <w:t>0.28 (0.05, 1.45)</w:t>
            </w:r>
          </w:p>
        </w:tc>
      </w:tr>
      <w:tr w:rsidR="00A765F2" w:rsidRPr="0057172D" w:rsidTr="00931143">
        <w:tc>
          <w:tcPr>
            <w:tcW w:w="462" w:type="dxa"/>
            <w:vMerge/>
            <w:vAlign w:val="center"/>
          </w:tcPr>
          <w:p w:rsidR="00A765F2" w:rsidRPr="0057172D" w:rsidRDefault="00A765F2" w:rsidP="0049696E">
            <w:pPr>
              <w:keepNext/>
              <w:jc w:val="left"/>
              <w:rPr>
                <w:rFonts w:ascii="Arial Narrow" w:hAnsi="Arial Narrow"/>
                <w:iCs/>
                <w:sz w:val="20"/>
              </w:rPr>
            </w:pPr>
          </w:p>
        </w:tc>
        <w:tc>
          <w:tcPr>
            <w:tcW w:w="2127" w:type="dxa"/>
            <w:vMerge/>
          </w:tcPr>
          <w:p w:rsidR="00A765F2" w:rsidRPr="0057172D" w:rsidRDefault="00A765F2" w:rsidP="0049696E">
            <w:pPr>
              <w:keepNext/>
              <w:rPr>
                <w:rFonts w:ascii="Arial Narrow" w:hAnsi="Arial Narrow"/>
                <w:iCs/>
                <w:sz w:val="20"/>
              </w:rPr>
            </w:pPr>
          </w:p>
        </w:tc>
        <w:tc>
          <w:tcPr>
            <w:tcW w:w="1079" w:type="dxa"/>
            <w:vMerge/>
            <w:vAlign w:val="center"/>
          </w:tcPr>
          <w:p w:rsidR="00A765F2" w:rsidRPr="0057172D" w:rsidRDefault="00A765F2" w:rsidP="0049696E">
            <w:pPr>
              <w:keepNext/>
              <w:jc w:val="center"/>
              <w:rPr>
                <w:rFonts w:ascii="Arial Narrow" w:hAnsi="Arial Narrow" w:cstheme="minorBidi"/>
                <w:iCs/>
                <w:sz w:val="20"/>
              </w:rPr>
            </w:pPr>
          </w:p>
        </w:tc>
        <w:tc>
          <w:tcPr>
            <w:tcW w:w="952" w:type="dxa"/>
            <w:vMerge/>
            <w:vAlign w:val="center"/>
          </w:tcPr>
          <w:p w:rsidR="00A765F2" w:rsidRPr="0057172D" w:rsidRDefault="00A765F2" w:rsidP="0049696E">
            <w:pPr>
              <w:keepNext/>
              <w:jc w:val="center"/>
              <w:rPr>
                <w:rFonts w:ascii="Arial Narrow" w:hAnsi="Arial Narrow" w:cstheme="minorBidi"/>
                <w:iCs/>
                <w:sz w:val="20"/>
              </w:rPr>
            </w:pPr>
          </w:p>
        </w:tc>
        <w:tc>
          <w:tcPr>
            <w:tcW w:w="1553" w:type="dxa"/>
            <w:vMerge/>
            <w:vAlign w:val="center"/>
          </w:tcPr>
          <w:p w:rsidR="00A765F2" w:rsidRPr="0057172D" w:rsidRDefault="00A765F2" w:rsidP="0049696E">
            <w:pPr>
              <w:keepNext/>
              <w:jc w:val="center"/>
              <w:rPr>
                <w:rFonts w:ascii="Arial Narrow" w:hAnsi="Arial Narrow" w:cstheme="minorBidi"/>
                <w:b/>
                <w:iCs/>
                <w:sz w:val="20"/>
              </w:rPr>
            </w:pPr>
          </w:p>
        </w:tc>
        <w:tc>
          <w:tcPr>
            <w:tcW w:w="952" w:type="dxa"/>
            <w:vAlign w:val="center"/>
          </w:tcPr>
          <w:p w:rsidR="00A765F2" w:rsidRPr="0057172D" w:rsidRDefault="00A765F2" w:rsidP="0049696E">
            <w:pPr>
              <w:keepNext/>
              <w:jc w:val="center"/>
              <w:rPr>
                <w:rFonts w:ascii="Arial Narrow" w:hAnsi="Arial Narrow" w:cstheme="minorBidi"/>
                <w:iCs/>
                <w:sz w:val="20"/>
              </w:rPr>
            </w:pPr>
            <w:r w:rsidRPr="0057172D">
              <w:rPr>
                <w:rFonts w:ascii="Arial Narrow" w:hAnsi="Arial Narrow"/>
                <w:iCs/>
                <w:sz w:val="20"/>
              </w:rPr>
              <w:t xml:space="preserve"> ‘lumped’</w:t>
            </w:r>
          </w:p>
        </w:tc>
        <w:tc>
          <w:tcPr>
            <w:tcW w:w="1275" w:type="dxa"/>
            <w:vAlign w:val="center"/>
          </w:tcPr>
          <w:p w:rsidR="00A765F2" w:rsidRPr="0057172D" w:rsidRDefault="00A765F2" w:rsidP="0049696E">
            <w:pPr>
              <w:keepNext/>
              <w:jc w:val="center"/>
              <w:rPr>
                <w:rFonts w:ascii="Arial Narrow" w:hAnsi="Arial Narrow" w:cstheme="minorBidi"/>
                <w:iCs/>
                <w:sz w:val="20"/>
              </w:rPr>
            </w:pPr>
            <w:r w:rsidRPr="0057172D">
              <w:rPr>
                <w:rFonts w:ascii="Arial Narrow" w:hAnsi="Arial Narrow" w:cstheme="minorBidi"/>
                <w:iCs/>
                <w:sz w:val="20"/>
              </w:rPr>
              <w:t>0.26 (0.05, 1.36)</w:t>
            </w:r>
          </w:p>
        </w:tc>
      </w:tr>
      <w:tr w:rsidR="00A765F2" w:rsidRPr="0057172D" w:rsidTr="00931143">
        <w:tc>
          <w:tcPr>
            <w:tcW w:w="462" w:type="dxa"/>
            <w:vMerge w:val="restart"/>
            <w:vAlign w:val="center"/>
          </w:tcPr>
          <w:p w:rsidR="00A765F2" w:rsidRPr="0057172D" w:rsidRDefault="00A765F2" w:rsidP="0049696E">
            <w:pPr>
              <w:keepNext/>
              <w:jc w:val="left"/>
              <w:rPr>
                <w:rFonts w:ascii="Arial Narrow" w:hAnsi="Arial Narrow"/>
                <w:iCs/>
                <w:sz w:val="20"/>
              </w:rPr>
            </w:pPr>
            <w:r w:rsidRPr="0057172D">
              <w:rPr>
                <w:rFonts w:ascii="Arial Narrow" w:hAnsi="Arial Narrow" w:cstheme="minorBidi"/>
                <w:iCs/>
                <w:sz w:val="20"/>
              </w:rPr>
              <w:t>Anti-</w:t>
            </w:r>
            <w:r w:rsidRPr="0057172D">
              <w:rPr>
                <w:rFonts w:ascii="Arial Narrow" w:hAnsi="Arial Narrow"/>
                <w:iCs/>
                <w:sz w:val="20"/>
              </w:rPr>
              <w:t xml:space="preserve"> TNFα</w:t>
            </w:r>
          </w:p>
        </w:tc>
        <w:tc>
          <w:tcPr>
            <w:tcW w:w="4158" w:type="dxa"/>
            <w:gridSpan w:val="3"/>
            <w:vMerge w:val="restart"/>
            <w:vAlign w:val="center"/>
          </w:tcPr>
          <w:p w:rsidR="00A765F2" w:rsidRPr="0057172D" w:rsidRDefault="00A765F2" w:rsidP="0049696E">
            <w:pPr>
              <w:keepNext/>
              <w:jc w:val="left"/>
              <w:rPr>
                <w:rFonts w:ascii="Arial Narrow" w:hAnsi="Arial Narrow" w:cstheme="minorBidi"/>
                <w:iCs/>
                <w:sz w:val="20"/>
              </w:rPr>
            </w:pPr>
            <w:r w:rsidRPr="0057172D">
              <w:rPr>
                <w:rFonts w:ascii="Arial Narrow" w:hAnsi="Arial Narrow"/>
                <w:iCs/>
                <w:sz w:val="20"/>
              </w:rPr>
              <w:t>Meta-analysis of all comparator bDMARDs (anti-TNFα agents excluding CZP) as per the submission; I</w:t>
            </w:r>
            <w:r w:rsidRPr="0057172D">
              <w:rPr>
                <w:rFonts w:ascii="Arial Narrow" w:hAnsi="Arial Narrow"/>
                <w:iCs/>
                <w:sz w:val="20"/>
                <w:vertAlign w:val="superscript"/>
              </w:rPr>
              <w:t>2</w:t>
            </w:r>
            <w:r w:rsidRPr="0057172D">
              <w:rPr>
                <w:rFonts w:ascii="Arial Narrow" w:hAnsi="Arial Narrow"/>
                <w:iCs/>
                <w:sz w:val="20"/>
              </w:rPr>
              <w:t xml:space="preserve"> = 0%</w:t>
            </w:r>
          </w:p>
        </w:tc>
        <w:tc>
          <w:tcPr>
            <w:tcW w:w="1553" w:type="dxa"/>
            <w:vMerge w:val="restart"/>
            <w:vAlign w:val="center"/>
          </w:tcPr>
          <w:p w:rsidR="00A765F2" w:rsidRPr="0057172D" w:rsidRDefault="00A765F2" w:rsidP="0049696E">
            <w:pPr>
              <w:keepNext/>
              <w:jc w:val="center"/>
              <w:rPr>
                <w:rFonts w:ascii="Arial Narrow" w:hAnsi="Arial Narrow" w:cstheme="minorBidi"/>
                <w:b/>
                <w:iCs/>
                <w:sz w:val="20"/>
              </w:rPr>
            </w:pPr>
            <w:r w:rsidRPr="0057172D">
              <w:rPr>
                <w:rFonts w:ascii="Arial Narrow" w:hAnsi="Arial Narrow"/>
                <w:b/>
                <w:iCs/>
                <w:sz w:val="20"/>
              </w:rPr>
              <w:t>11.03 (6.95, 17.50)</w:t>
            </w:r>
          </w:p>
        </w:tc>
        <w:tc>
          <w:tcPr>
            <w:tcW w:w="952" w:type="dxa"/>
            <w:vAlign w:val="center"/>
          </w:tcPr>
          <w:p w:rsidR="00A765F2" w:rsidRPr="0057172D" w:rsidRDefault="00A765F2" w:rsidP="0049696E">
            <w:pPr>
              <w:keepNext/>
              <w:jc w:val="center"/>
              <w:rPr>
                <w:rFonts w:ascii="Arial Narrow" w:hAnsi="Arial Narrow" w:cstheme="minorBidi"/>
                <w:iCs/>
                <w:sz w:val="20"/>
              </w:rPr>
            </w:pPr>
            <w:r w:rsidRPr="0057172D">
              <w:rPr>
                <w:rFonts w:ascii="Arial Narrow" w:hAnsi="Arial Narrow"/>
                <w:iCs/>
                <w:sz w:val="20"/>
              </w:rPr>
              <w:t>SEC 15</w:t>
            </w:r>
            <w:r w:rsidR="00992EE2" w:rsidRPr="0057172D">
              <w:rPr>
                <w:rFonts w:ascii="Arial Narrow" w:hAnsi="Arial Narrow"/>
                <w:iCs/>
                <w:sz w:val="20"/>
              </w:rPr>
              <w:t>0 mg</w:t>
            </w:r>
          </w:p>
        </w:tc>
        <w:tc>
          <w:tcPr>
            <w:tcW w:w="1275" w:type="dxa"/>
            <w:vAlign w:val="center"/>
          </w:tcPr>
          <w:p w:rsidR="00A765F2" w:rsidRPr="0057172D" w:rsidRDefault="00A765F2" w:rsidP="0049696E">
            <w:pPr>
              <w:keepNext/>
              <w:jc w:val="center"/>
              <w:rPr>
                <w:rFonts w:ascii="Arial Narrow" w:hAnsi="Arial Narrow"/>
                <w:iCs/>
                <w:sz w:val="20"/>
                <w:lang w:val="en-US" w:eastAsia="zh-CN"/>
              </w:rPr>
            </w:pPr>
            <w:r w:rsidRPr="0057172D">
              <w:rPr>
                <w:rFonts w:ascii="Arial Narrow" w:hAnsi="Arial Narrow" w:cstheme="minorBidi"/>
                <w:iCs/>
                <w:sz w:val="20"/>
              </w:rPr>
              <w:t>0.38 (0.14, 1.06)</w:t>
            </w:r>
          </w:p>
        </w:tc>
      </w:tr>
      <w:tr w:rsidR="00A765F2" w:rsidRPr="0057172D" w:rsidTr="00931143">
        <w:tc>
          <w:tcPr>
            <w:tcW w:w="462" w:type="dxa"/>
            <w:vMerge/>
            <w:vAlign w:val="center"/>
          </w:tcPr>
          <w:p w:rsidR="00A765F2" w:rsidRPr="0057172D" w:rsidRDefault="00A765F2" w:rsidP="0049696E">
            <w:pPr>
              <w:keepNext/>
              <w:jc w:val="left"/>
              <w:rPr>
                <w:rFonts w:ascii="Arial Narrow" w:hAnsi="Arial Narrow"/>
                <w:iCs/>
                <w:sz w:val="20"/>
              </w:rPr>
            </w:pPr>
          </w:p>
        </w:tc>
        <w:tc>
          <w:tcPr>
            <w:tcW w:w="4158" w:type="dxa"/>
            <w:gridSpan w:val="3"/>
            <w:vMerge/>
            <w:vAlign w:val="center"/>
          </w:tcPr>
          <w:p w:rsidR="00A765F2" w:rsidRPr="0057172D" w:rsidRDefault="00A765F2" w:rsidP="0049696E">
            <w:pPr>
              <w:keepNext/>
              <w:jc w:val="center"/>
              <w:rPr>
                <w:rFonts w:ascii="Arial Narrow" w:hAnsi="Arial Narrow" w:cstheme="minorBidi"/>
                <w:iCs/>
                <w:sz w:val="20"/>
              </w:rPr>
            </w:pPr>
          </w:p>
        </w:tc>
        <w:tc>
          <w:tcPr>
            <w:tcW w:w="1553" w:type="dxa"/>
            <w:vMerge/>
            <w:vAlign w:val="center"/>
          </w:tcPr>
          <w:p w:rsidR="00A765F2" w:rsidRPr="0057172D" w:rsidRDefault="00A765F2" w:rsidP="0049696E">
            <w:pPr>
              <w:keepNext/>
              <w:jc w:val="center"/>
              <w:rPr>
                <w:rFonts w:ascii="Arial Narrow" w:hAnsi="Arial Narrow" w:cstheme="minorBidi"/>
                <w:b/>
                <w:iCs/>
                <w:sz w:val="20"/>
              </w:rPr>
            </w:pPr>
          </w:p>
        </w:tc>
        <w:tc>
          <w:tcPr>
            <w:tcW w:w="952" w:type="dxa"/>
            <w:vAlign w:val="center"/>
          </w:tcPr>
          <w:p w:rsidR="00A765F2" w:rsidRPr="0057172D" w:rsidRDefault="00A765F2" w:rsidP="0049696E">
            <w:pPr>
              <w:keepNext/>
              <w:jc w:val="center"/>
              <w:rPr>
                <w:rFonts w:ascii="Arial Narrow" w:hAnsi="Arial Narrow" w:cstheme="minorBidi"/>
                <w:iCs/>
                <w:sz w:val="20"/>
              </w:rPr>
            </w:pPr>
            <w:r w:rsidRPr="0057172D">
              <w:rPr>
                <w:rFonts w:ascii="Arial Narrow" w:hAnsi="Arial Narrow"/>
                <w:iCs/>
                <w:sz w:val="20"/>
              </w:rPr>
              <w:t>SEC 30</w:t>
            </w:r>
            <w:r w:rsidR="00992EE2" w:rsidRPr="0057172D">
              <w:rPr>
                <w:rFonts w:ascii="Arial Narrow" w:hAnsi="Arial Narrow"/>
                <w:iCs/>
                <w:sz w:val="20"/>
              </w:rPr>
              <w:t>0 mg</w:t>
            </w:r>
          </w:p>
        </w:tc>
        <w:tc>
          <w:tcPr>
            <w:tcW w:w="1275" w:type="dxa"/>
            <w:vAlign w:val="center"/>
          </w:tcPr>
          <w:p w:rsidR="00A765F2" w:rsidRPr="0057172D" w:rsidRDefault="00A765F2" w:rsidP="0049696E">
            <w:pPr>
              <w:keepNext/>
              <w:jc w:val="center"/>
              <w:rPr>
                <w:rFonts w:ascii="Arial Narrow" w:hAnsi="Arial Narrow"/>
                <w:iCs/>
                <w:sz w:val="20"/>
                <w:lang w:val="en-US" w:eastAsia="zh-CN"/>
              </w:rPr>
            </w:pPr>
            <w:r w:rsidRPr="0057172D">
              <w:rPr>
                <w:rFonts w:ascii="Arial Narrow" w:hAnsi="Arial Narrow" w:cstheme="minorBidi"/>
                <w:iCs/>
                <w:sz w:val="20"/>
              </w:rPr>
              <w:t>0.43 (0.16, 1.17)</w:t>
            </w:r>
          </w:p>
        </w:tc>
      </w:tr>
      <w:tr w:rsidR="00A765F2" w:rsidRPr="0057172D" w:rsidTr="00931143">
        <w:tc>
          <w:tcPr>
            <w:tcW w:w="462" w:type="dxa"/>
            <w:vMerge/>
            <w:tcBorders>
              <w:bottom w:val="double" w:sz="4" w:space="0" w:color="auto"/>
            </w:tcBorders>
            <w:vAlign w:val="center"/>
          </w:tcPr>
          <w:p w:rsidR="00A765F2" w:rsidRPr="0057172D" w:rsidRDefault="00A765F2" w:rsidP="0049696E">
            <w:pPr>
              <w:keepNext/>
              <w:jc w:val="left"/>
              <w:rPr>
                <w:rFonts w:ascii="Arial Narrow" w:hAnsi="Arial Narrow"/>
                <w:iCs/>
                <w:sz w:val="20"/>
              </w:rPr>
            </w:pPr>
          </w:p>
        </w:tc>
        <w:tc>
          <w:tcPr>
            <w:tcW w:w="4158" w:type="dxa"/>
            <w:gridSpan w:val="3"/>
            <w:vMerge/>
            <w:tcBorders>
              <w:bottom w:val="double" w:sz="4" w:space="0" w:color="auto"/>
            </w:tcBorders>
            <w:vAlign w:val="center"/>
          </w:tcPr>
          <w:p w:rsidR="00A765F2" w:rsidRPr="0057172D" w:rsidRDefault="00A765F2" w:rsidP="0049696E">
            <w:pPr>
              <w:keepNext/>
              <w:jc w:val="center"/>
              <w:rPr>
                <w:rFonts w:ascii="Arial Narrow" w:hAnsi="Arial Narrow" w:cstheme="minorBidi"/>
                <w:iCs/>
                <w:sz w:val="20"/>
              </w:rPr>
            </w:pPr>
          </w:p>
        </w:tc>
        <w:tc>
          <w:tcPr>
            <w:tcW w:w="1553" w:type="dxa"/>
            <w:vMerge/>
            <w:tcBorders>
              <w:bottom w:val="double" w:sz="4" w:space="0" w:color="auto"/>
            </w:tcBorders>
            <w:vAlign w:val="center"/>
          </w:tcPr>
          <w:p w:rsidR="00A765F2" w:rsidRPr="0057172D" w:rsidRDefault="00A765F2" w:rsidP="0049696E">
            <w:pPr>
              <w:keepNext/>
              <w:jc w:val="center"/>
              <w:rPr>
                <w:rFonts w:ascii="Arial Narrow" w:hAnsi="Arial Narrow" w:cstheme="minorBidi"/>
                <w:b/>
                <w:iCs/>
                <w:sz w:val="20"/>
              </w:rPr>
            </w:pPr>
          </w:p>
        </w:tc>
        <w:tc>
          <w:tcPr>
            <w:tcW w:w="952" w:type="dxa"/>
            <w:tcBorders>
              <w:bottom w:val="double" w:sz="4" w:space="0" w:color="auto"/>
            </w:tcBorders>
            <w:vAlign w:val="center"/>
          </w:tcPr>
          <w:p w:rsidR="00A765F2" w:rsidRPr="0057172D" w:rsidRDefault="00A765F2" w:rsidP="0049696E">
            <w:pPr>
              <w:keepNext/>
              <w:jc w:val="center"/>
              <w:rPr>
                <w:rFonts w:ascii="Arial Narrow" w:hAnsi="Arial Narrow" w:cstheme="minorBidi"/>
                <w:iCs/>
                <w:sz w:val="20"/>
              </w:rPr>
            </w:pPr>
            <w:r w:rsidRPr="0057172D">
              <w:rPr>
                <w:rFonts w:ascii="Arial Narrow" w:hAnsi="Arial Narrow"/>
                <w:iCs/>
                <w:sz w:val="20"/>
              </w:rPr>
              <w:t xml:space="preserve"> ‘lumped’</w:t>
            </w:r>
          </w:p>
        </w:tc>
        <w:tc>
          <w:tcPr>
            <w:tcW w:w="1275" w:type="dxa"/>
            <w:tcBorders>
              <w:bottom w:val="double" w:sz="4" w:space="0" w:color="auto"/>
            </w:tcBorders>
            <w:vAlign w:val="center"/>
          </w:tcPr>
          <w:p w:rsidR="00A765F2" w:rsidRPr="0057172D" w:rsidRDefault="00A765F2" w:rsidP="0049696E">
            <w:pPr>
              <w:keepNext/>
              <w:jc w:val="center"/>
              <w:rPr>
                <w:rFonts w:ascii="Arial Narrow" w:hAnsi="Arial Narrow"/>
                <w:iCs/>
                <w:sz w:val="20"/>
                <w:lang w:val="en-US" w:eastAsia="zh-CN"/>
              </w:rPr>
            </w:pPr>
            <w:r w:rsidRPr="0057172D">
              <w:rPr>
                <w:rFonts w:ascii="Arial Narrow" w:hAnsi="Arial Narrow" w:cstheme="minorBidi"/>
                <w:iCs/>
                <w:sz w:val="20"/>
              </w:rPr>
              <w:t>0.40 (0.15, 1.09)</w:t>
            </w:r>
          </w:p>
        </w:tc>
      </w:tr>
      <w:tr w:rsidR="00B1389A" w:rsidRPr="0057172D" w:rsidTr="00931143">
        <w:trPr>
          <w:trHeight w:val="70"/>
        </w:trPr>
        <w:tc>
          <w:tcPr>
            <w:tcW w:w="462" w:type="dxa"/>
            <w:vMerge w:val="restart"/>
            <w:tcBorders>
              <w:top w:val="double" w:sz="4" w:space="0" w:color="auto"/>
            </w:tcBorders>
            <w:vAlign w:val="center"/>
          </w:tcPr>
          <w:p w:rsidR="00B1389A" w:rsidRPr="0057172D" w:rsidRDefault="00B1389A" w:rsidP="0049696E">
            <w:pPr>
              <w:keepNext/>
              <w:jc w:val="left"/>
              <w:rPr>
                <w:rFonts w:ascii="Arial Narrow" w:hAnsi="Arial Narrow"/>
                <w:iCs/>
                <w:sz w:val="20"/>
              </w:rPr>
            </w:pPr>
            <w:r w:rsidRPr="0057172D">
              <w:rPr>
                <w:rFonts w:ascii="Arial Narrow" w:hAnsi="Arial Narrow"/>
                <w:iCs/>
                <w:sz w:val="20"/>
              </w:rPr>
              <w:t>CZP</w:t>
            </w:r>
          </w:p>
        </w:tc>
        <w:tc>
          <w:tcPr>
            <w:tcW w:w="2127" w:type="dxa"/>
            <w:tcBorders>
              <w:top w:val="double" w:sz="4" w:space="0" w:color="auto"/>
            </w:tcBorders>
          </w:tcPr>
          <w:p w:rsidR="00B1389A" w:rsidRPr="0057172D" w:rsidRDefault="00B1389A" w:rsidP="0049696E">
            <w:pPr>
              <w:keepNext/>
              <w:jc w:val="left"/>
              <w:rPr>
                <w:rFonts w:ascii="Arial Narrow" w:hAnsi="Arial Narrow"/>
                <w:iCs/>
                <w:sz w:val="20"/>
              </w:rPr>
            </w:pPr>
            <w:r w:rsidRPr="0057172D">
              <w:rPr>
                <w:rFonts w:ascii="Arial Narrow" w:hAnsi="Arial Narrow"/>
                <w:iCs/>
                <w:sz w:val="20"/>
              </w:rPr>
              <w:t>RAPID-PsA (12 wk, subgp)</w:t>
            </w:r>
          </w:p>
        </w:tc>
        <w:tc>
          <w:tcPr>
            <w:tcW w:w="1079" w:type="dxa"/>
            <w:tcBorders>
              <w:top w:val="double" w:sz="4" w:space="0" w:color="auto"/>
            </w:tcBorders>
            <w:vAlign w:val="center"/>
          </w:tcPr>
          <w:p w:rsidR="00B1389A" w:rsidRPr="0057172D" w:rsidRDefault="00B1389A" w:rsidP="0049696E">
            <w:pPr>
              <w:keepNext/>
              <w:jc w:val="center"/>
              <w:rPr>
                <w:rFonts w:ascii="Arial Narrow" w:hAnsi="Arial Narrow" w:cstheme="minorBidi"/>
                <w:iCs/>
                <w:sz w:val="20"/>
              </w:rPr>
            </w:pPr>
          </w:p>
        </w:tc>
        <w:tc>
          <w:tcPr>
            <w:tcW w:w="952" w:type="dxa"/>
            <w:tcBorders>
              <w:top w:val="double" w:sz="4" w:space="0" w:color="auto"/>
            </w:tcBorders>
            <w:vAlign w:val="center"/>
          </w:tcPr>
          <w:p w:rsidR="00B1389A" w:rsidRPr="0057172D" w:rsidRDefault="00B1389A" w:rsidP="0049696E">
            <w:pPr>
              <w:keepNext/>
              <w:jc w:val="center"/>
              <w:rPr>
                <w:rFonts w:ascii="Arial Narrow" w:hAnsi="Arial Narrow" w:cstheme="minorBidi"/>
                <w:iCs/>
                <w:sz w:val="20"/>
              </w:rPr>
            </w:pPr>
          </w:p>
        </w:tc>
        <w:tc>
          <w:tcPr>
            <w:tcW w:w="1553" w:type="dxa"/>
            <w:tcBorders>
              <w:top w:val="double" w:sz="4" w:space="0" w:color="auto"/>
            </w:tcBorders>
            <w:vAlign w:val="center"/>
          </w:tcPr>
          <w:p w:rsidR="00B1389A" w:rsidRPr="0057172D" w:rsidRDefault="00B1389A" w:rsidP="0049696E">
            <w:pPr>
              <w:keepNext/>
              <w:jc w:val="center"/>
              <w:rPr>
                <w:rFonts w:ascii="Arial Narrow" w:hAnsi="Arial Narrow" w:cstheme="minorBidi"/>
                <w:b/>
                <w:iCs/>
                <w:sz w:val="20"/>
              </w:rPr>
            </w:pPr>
          </w:p>
        </w:tc>
        <w:tc>
          <w:tcPr>
            <w:tcW w:w="952" w:type="dxa"/>
            <w:tcBorders>
              <w:top w:val="double" w:sz="4" w:space="0" w:color="auto"/>
            </w:tcBorders>
            <w:vAlign w:val="center"/>
          </w:tcPr>
          <w:p w:rsidR="00B1389A" w:rsidRPr="0057172D" w:rsidRDefault="00B1389A" w:rsidP="0049696E">
            <w:pPr>
              <w:keepNext/>
              <w:jc w:val="center"/>
              <w:rPr>
                <w:rFonts w:ascii="Arial Narrow" w:hAnsi="Arial Narrow" w:cstheme="minorBidi"/>
                <w:iCs/>
                <w:sz w:val="20"/>
              </w:rPr>
            </w:pPr>
          </w:p>
        </w:tc>
        <w:tc>
          <w:tcPr>
            <w:tcW w:w="1275" w:type="dxa"/>
            <w:tcBorders>
              <w:top w:val="double" w:sz="4" w:space="0" w:color="auto"/>
            </w:tcBorders>
            <w:vAlign w:val="center"/>
          </w:tcPr>
          <w:p w:rsidR="00B1389A" w:rsidRPr="0057172D" w:rsidRDefault="00B1389A" w:rsidP="0049696E">
            <w:pPr>
              <w:keepNext/>
              <w:jc w:val="center"/>
              <w:rPr>
                <w:rFonts w:ascii="Arial Narrow" w:hAnsi="Arial Narrow" w:cstheme="minorBidi"/>
                <w:iCs/>
                <w:sz w:val="20"/>
              </w:rPr>
            </w:pPr>
          </w:p>
        </w:tc>
      </w:tr>
      <w:tr w:rsidR="00B1389A" w:rsidRPr="0057172D" w:rsidTr="00931143">
        <w:trPr>
          <w:trHeight w:val="70"/>
        </w:trPr>
        <w:tc>
          <w:tcPr>
            <w:tcW w:w="462" w:type="dxa"/>
            <w:vMerge/>
            <w:vAlign w:val="center"/>
          </w:tcPr>
          <w:p w:rsidR="00B1389A" w:rsidRPr="0057172D" w:rsidRDefault="00B1389A" w:rsidP="0049696E">
            <w:pPr>
              <w:keepNext/>
              <w:jc w:val="left"/>
              <w:rPr>
                <w:rFonts w:ascii="Arial Narrow" w:hAnsi="Arial Narrow"/>
                <w:iCs/>
                <w:sz w:val="20"/>
              </w:rPr>
            </w:pPr>
          </w:p>
        </w:tc>
        <w:tc>
          <w:tcPr>
            <w:tcW w:w="2127" w:type="dxa"/>
            <w:vAlign w:val="center"/>
          </w:tcPr>
          <w:p w:rsidR="00B1389A" w:rsidRPr="0057172D" w:rsidRDefault="00B1389A" w:rsidP="0049696E">
            <w:pPr>
              <w:keepNext/>
              <w:ind w:left="113"/>
              <w:jc w:val="left"/>
              <w:rPr>
                <w:rFonts w:ascii="Arial Narrow" w:hAnsi="Arial Narrow"/>
                <w:iCs/>
                <w:sz w:val="20"/>
              </w:rPr>
            </w:pPr>
            <w:r w:rsidRPr="0057172D">
              <w:rPr>
                <w:rFonts w:ascii="Arial Narrow" w:hAnsi="Arial Narrow"/>
                <w:iCs/>
                <w:sz w:val="20"/>
              </w:rPr>
              <w:t>CZP 20</w:t>
            </w:r>
            <w:r w:rsidR="00992EE2" w:rsidRPr="0057172D">
              <w:rPr>
                <w:rFonts w:ascii="Arial Narrow" w:hAnsi="Arial Narrow"/>
                <w:iCs/>
                <w:sz w:val="20"/>
              </w:rPr>
              <w:t>0 mg</w:t>
            </w:r>
          </w:p>
        </w:tc>
        <w:tc>
          <w:tcPr>
            <w:tcW w:w="1079" w:type="dxa"/>
            <w:vAlign w:val="center"/>
          </w:tcPr>
          <w:p w:rsidR="00B1389A" w:rsidRPr="0057172D" w:rsidRDefault="00B1389A" w:rsidP="0049696E">
            <w:pPr>
              <w:keepNext/>
              <w:jc w:val="center"/>
              <w:rPr>
                <w:rFonts w:ascii="Arial Narrow" w:hAnsi="Arial Narrow" w:cstheme="minorBidi"/>
                <w:iCs/>
                <w:sz w:val="20"/>
              </w:rPr>
            </w:pPr>
            <w:r w:rsidRPr="0057172D">
              <w:rPr>
                <w:rFonts w:ascii="Arial Narrow" w:hAnsi="Arial Narrow"/>
                <w:iCs/>
                <w:sz w:val="20"/>
              </w:rPr>
              <w:t>NR</w:t>
            </w:r>
          </w:p>
        </w:tc>
        <w:tc>
          <w:tcPr>
            <w:tcW w:w="952" w:type="dxa"/>
            <w:vMerge w:val="restart"/>
            <w:vAlign w:val="center"/>
          </w:tcPr>
          <w:p w:rsidR="00B1389A" w:rsidRPr="0057172D" w:rsidRDefault="00B1389A" w:rsidP="0049696E">
            <w:pPr>
              <w:keepNext/>
              <w:jc w:val="center"/>
              <w:rPr>
                <w:rFonts w:ascii="Arial Narrow" w:hAnsi="Arial Narrow" w:cstheme="minorBidi"/>
                <w:iCs/>
                <w:sz w:val="20"/>
              </w:rPr>
            </w:pPr>
            <w:r w:rsidRPr="0057172D">
              <w:rPr>
                <w:rFonts w:ascii="Arial Narrow" w:hAnsi="Arial Narrow"/>
                <w:iCs/>
                <w:sz w:val="20"/>
              </w:rPr>
              <w:t>14/110 (12.7)</w:t>
            </w:r>
          </w:p>
        </w:tc>
        <w:tc>
          <w:tcPr>
            <w:tcW w:w="1553" w:type="dxa"/>
            <w:vAlign w:val="center"/>
          </w:tcPr>
          <w:p w:rsidR="00B1389A" w:rsidRPr="0057172D" w:rsidRDefault="00B1389A" w:rsidP="0049696E">
            <w:pPr>
              <w:keepNext/>
              <w:jc w:val="center"/>
              <w:rPr>
                <w:rFonts w:ascii="Arial Narrow" w:hAnsi="Arial Narrow" w:cstheme="minorBidi"/>
                <w:bCs/>
                <w:iCs/>
                <w:sz w:val="20"/>
              </w:rPr>
            </w:pPr>
            <w:r w:rsidRPr="0057172D">
              <w:rPr>
                <w:rFonts w:ascii="Arial Narrow" w:hAnsi="Arial Narrow"/>
                <w:bCs/>
                <w:iCs/>
                <w:sz w:val="20"/>
              </w:rPr>
              <w:t>-</w:t>
            </w:r>
          </w:p>
        </w:tc>
        <w:tc>
          <w:tcPr>
            <w:tcW w:w="952" w:type="dxa"/>
            <w:vAlign w:val="center"/>
          </w:tcPr>
          <w:p w:rsidR="00B1389A" w:rsidRPr="0057172D" w:rsidRDefault="00B1389A" w:rsidP="0049696E">
            <w:pPr>
              <w:keepNext/>
              <w:jc w:val="center"/>
              <w:rPr>
                <w:rFonts w:ascii="Arial Narrow" w:hAnsi="Arial Narrow" w:cstheme="minorBidi"/>
                <w:iCs/>
                <w:sz w:val="20"/>
              </w:rPr>
            </w:pPr>
            <w:r w:rsidRPr="0057172D">
              <w:rPr>
                <w:rFonts w:ascii="Arial Narrow" w:hAnsi="Arial Narrow"/>
                <w:iCs/>
                <w:sz w:val="20"/>
              </w:rPr>
              <w:t>SEC 15</w:t>
            </w:r>
            <w:r w:rsidR="00992EE2" w:rsidRPr="0057172D">
              <w:rPr>
                <w:rFonts w:ascii="Arial Narrow" w:hAnsi="Arial Narrow"/>
                <w:iCs/>
                <w:sz w:val="20"/>
              </w:rPr>
              <w:t>0 mg</w:t>
            </w:r>
          </w:p>
        </w:tc>
        <w:tc>
          <w:tcPr>
            <w:tcW w:w="1275" w:type="dxa"/>
            <w:vAlign w:val="center"/>
          </w:tcPr>
          <w:p w:rsidR="00B1389A" w:rsidRPr="0057172D" w:rsidRDefault="00B1389A" w:rsidP="0049696E">
            <w:pPr>
              <w:keepNext/>
              <w:jc w:val="center"/>
              <w:rPr>
                <w:rFonts w:ascii="Arial Narrow" w:hAnsi="Arial Narrow" w:cstheme="minorBidi"/>
                <w:iCs/>
                <w:sz w:val="20"/>
              </w:rPr>
            </w:pPr>
            <w:r w:rsidRPr="0057172D">
              <w:rPr>
                <w:rFonts w:ascii="Arial Narrow" w:hAnsi="Arial Narrow" w:cstheme="minorBidi"/>
                <w:iCs/>
                <w:sz w:val="20"/>
              </w:rPr>
              <w:t>1.59 (0.55, 4.53)</w:t>
            </w:r>
          </w:p>
        </w:tc>
      </w:tr>
      <w:tr w:rsidR="00B1389A" w:rsidRPr="0057172D" w:rsidTr="00931143">
        <w:trPr>
          <w:trHeight w:val="70"/>
        </w:trPr>
        <w:tc>
          <w:tcPr>
            <w:tcW w:w="462" w:type="dxa"/>
            <w:vMerge/>
            <w:vAlign w:val="center"/>
          </w:tcPr>
          <w:p w:rsidR="00B1389A" w:rsidRPr="0057172D" w:rsidRDefault="00B1389A" w:rsidP="0049696E">
            <w:pPr>
              <w:keepNext/>
              <w:jc w:val="left"/>
              <w:rPr>
                <w:rFonts w:ascii="Arial Narrow" w:hAnsi="Arial Narrow"/>
                <w:iCs/>
                <w:sz w:val="20"/>
              </w:rPr>
            </w:pPr>
          </w:p>
        </w:tc>
        <w:tc>
          <w:tcPr>
            <w:tcW w:w="2127" w:type="dxa"/>
            <w:vAlign w:val="center"/>
          </w:tcPr>
          <w:p w:rsidR="00B1389A" w:rsidRPr="0057172D" w:rsidRDefault="00B1389A" w:rsidP="0049696E">
            <w:pPr>
              <w:keepNext/>
              <w:ind w:left="113"/>
              <w:jc w:val="left"/>
              <w:rPr>
                <w:rFonts w:ascii="Arial Narrow" w:hAnsi="Arial Narrow"/>
                <w:iCs/>
                <w:sz w:val="20"/>
              </w:rPr>
            </w:pPr>
            <w:r w:rsidRPr="0057172D">
              <w:rPr>
                <w:rFonts w:ascii="Arial Narrow" w:hAnsi="Arial Narrow"/>
                <w:iCs/>
                <w:sz w:val="20"/>
              </w:rPr>
              <w:t>CZP 40</w:t>
            </w:r>
            <w:r w:rsidR="00992EE2" w:rsidRPr="0057172D">
              <w:rPr>
                <w:rFonts w:ascii="Arial Narrow" w:hAnsi="Arial Narrow"/>
                <w:iCs/>
                <w:sz w:val="20"/>
              </w:rPr>
              <w:t>0 mg</w:t>
            </w:r>
          </w:p>
        </w:tc>
        <w:tc>
          <w:tcPr>
            <w:tcW w:w="1079" w:type="dxa"/>
            <w:vAlign w:val="center"/>
          </w:tcPr>
          <w:p w:rsidR="00B1389A" w:rsidRPr="0057172D" w:rsidRDefault="00B1389A" w:rsidP="0049696E">
            <w:pPr>
              <w:keepNext/>
              <w:jc w:val="center"/>
              <w:rPr>
                <w:rFonts w:ascii="Arial Narrow" w:hAnsi="Arial Narrow" w:cstheme="minorBidi"/>
                <w:iCs/>
                <w:sz w:val="20"/>
              </w:rPr>
            </w:pPr>
            <w:r w:rsidRPr="0057172D">
              <w:rPr>
                <w:rFonts w:ascii="Arial Narrow" w:hAnsi="Arial Narrow"/>
                <w:iCs/>
                <w:sz w:val="20"/>
              </w:rPr>
              <w:t>NR</w:t>
            </w:r>
          </w:p>
        </w:tc>
        <w:tc>
          <w:tcPr>
            <w:tcW w:w="952" w:type="dxa"/>
            <w:vMerge/>
            <w:vAlign w:val="center"/>
          </w:tcPr>
          <w:p w:rsidR="00B1389A" w:rsidRPr="0057172D" w:rsidRDefault="00B1389A" w:rsidP="0049696E">
            <w:pPr>
              <w:keepNext/>
              <w:jc w:val="center"/>
              <w:rPr>
                <w:rFonts w:ascii="Arial Narrow" w:hAnsi="Arial Narrow" w:cstheme="minorBidi"/>
                <w:iCs/>
                <w:sz w:val="20"/>
              </w:rPr>
            </w:pPr>
          </w:p>
        </w:tc>
        <w:tc>
          <w:tcPr>
            <w:tcW w:w="1553" w:type="dxa"/>
            <w:vAlign w:val="center"/>
          </w:tcPr>
          <w:p w:rsidR="00B1389A" w:rsidRPr="0057172D" w:rsidRDefault="00B1389A" w:rsidP="0049696E">
            <w:pPr>
              <w:keepNext/>
              <w:jc w:val="center"/>
              <w:rPr>
                <w:rFonts w:ascii="Arial Narrow" w:hAnsi="Arial Narrow" w:cstheme="minorBidi"/>
                <w:bCs/>
                <w:iCs/>
                <w:sz w:val="20"/>
              </w:rPr>
            </w:pPr>
            <w:r w:rsidRPr="0057172D">
              <w:rPr>
                <w:rFonts w:ascii="Arial Narrow" w:hAnsi="Arial Narrow"/>
                <w:bCs/>
                <w:iCs/>
                <w:sz w:val="20"/>
              </w:rPr>
              <w:t>-</w:t>
            </w:r>
          </w:p>
        </w:tc>
        <w:tc>
          <w:tcPr>
            <w:tcW w:w="952" w:type="dxa"/>
            <w:vAlign w:val="center"/>
          </w:tcPr>
          <w:p w:rsidR="00B1389A" w:rsidRPr="0057172D" w:rsidRDefault="00B1389A" w:rsidP="0049696E">
            <w:pPr>
              <w:keepNext/>
              <w:jc w:val="center"/>
              <w:rPr>
                <w:rFonts w:ascii="Arial Narrow" w:hAnsi="Arial Narrow" w:cstheme="minorBidi"/>
                <w:iCs/>
                <w:sz w:val="20"/>
              </w:rPr>
            </w:pPr>
            <w:r w:rsidRPr="0057172D">
              <w:rPr>
                <w:rFonts w:ascii="Arial Narrow" w:hAnsi="Arial Narrow"/>
                <w:iCs/>
                <w:sz w:val="20"/>
              </w:rPr>
              <w:t>SEC 30</w:t>
            </w:r>
            <w:r w:rsidR="00992EE2" w:rsidRPr="0057172D">
              <w:rPr>
                <w:rFonts w:ascii="Arial Narrow" w:hAnsi="Arial Narrow"/>
                <w:iCs/>
                <w:sz w:val="20"/>
              </w:rPr>
              <w:t>0 mg</w:t>
            </w:r>
          </w:p>
        </w:tc>
        <w:tc>
          <w:tcPr>
            <w:tcW w:w="1275" w:type="dxa"/>
            <w:vAlign w:val="center"/>
          </w:tcPr>
          <w:p w:rsidR="00B1389A" w:rsidRPr="0057172D" w:rsidRDefault="00B1389A" w:rsidP="0049696E">
            <w:pPr>
              <w:keepNext/>
              <w:jc w:val="center"/>
              <w:rPr>
                <w:rFonts w:ascii="Arial Narrow" w:hAnsi="Arial Narrow" w:cstheme="minorBidi"/>
                <w:iCs/>
                <w:sz w:val="20"/>
              </w:rPr>
            </w:pPr>
            <w:r w:rsidRPr="0057172D">
              <w:rPr>
                <w:rFonts w:ascii="Arial Narrow" w:hAnsi="Arial Narrow" w:cstheme="minorBidi"/>
                <w:iCs/>
                <w:sz w:val="20"/>
              </w:rPr>
              <w:t>1.77 (0.63, 5.01)</w:t>
            </w:r>
          </w:p>
        </w:tc>
      </w:tr>
      <w:tr w:rsidR="00B1389A" w:rsidRPr="0057172D" w:rsidTr="0022352E">
        <w:trPr>
          <w:trHeight w:val="70"/>
        </w:trPr>
        <w:tc>
          <w:tcPr>
            <w:tcW w:w="462" w:type="dxa"/>
            <w:vMerge/>
            <w:tcBorders>
              <w:bottom w:val="single" w:sz="4" w:space="0" w:color="auto"/>
            </w:tcBorders>
            <w:vAlign w:val="center"/>
          </w:tcPr>
          <w:p w:rsidR="00B1389A" w:rsidRPr="0057172D" w:rsidRDefault="00B1389A" w:rsidP="0049696E">
            <w:pPr>
              <w:keepNext/>
              <w:jc w:val="left"/>
              <w:rPr>
                <w:rFonts w:ascii="Arial Narrow" w:hAnsi="Arial Narrow"/>
                <w:iCs/>
                <w:sz w:val="20"/>
              </w:rPr>
            </w:pPr>
          </w:p>
        </w:tc>
        <w:tc>
          <w:tcPr>
            <w:tcW w:w="2127" w:type="dxa"/>
            <w:tcBorders>
              <w:bottom w:val="single" w:sz="4" w:space="0" w:color="auto"/>
            </w:tcBorders>
            <w:vAlign w:val="center"/>
          </w:tcPr>
          <w:p w:rsidR="00B1389A" w:rsidRPr="0057172D" w:rsidRDefault="00B1389A" w:rsidP="0049696E">
            <w:pPr>
              <w:keepNext/>
              <w:ind w:left="113"/>
              <w:jc w:val="left"/>
              <w:rPr>
                <w:rFonts w:ascii="Arial Narrow" w:hAnsi="Arial Narrow"/>
                <w:iCs/>
                <w:sz w:val="20"/>
              </w:rPr>
            </w:pPr>
            <w:r w:rsidRPr="0057172D">
              <w:rPr>
                <w:rFonts w:ascii="Arial Narrow" w:hAnsi="Arial Narrow"/>
                <w:iCs/>
                <w:sz w:val="20"/>
              </w:rPr>
              <w:t>CZP (‘lumped’)</w:t>
            </w:r>
          </w:p>
        </w:tc>
        <w:tc>
          <w:tcPr>
            <w:tcW w:w="1079" w:type="dxa"/>
            <w:tcBorders>
              <w:bottom w:val="single" w:sz="4" w:space="0" w:color="auto"/>
            </w:tcBorders>
            <w:vAlign w:val="center"/>
          </w:tcPr>
          <w:p w:rsidR="00B1389A" w:rsidRPr="0057172D" w:rsidRDefault="00B1389A" w:rsidP="0049696E">
            <w:pPr>
              <w:keepNext/>
              <w:jc w:val="center"/>
              <w:rPr>
                <w:rFonts w:ascii="Arial Narrow" w:hAnsi="Arial Narrow" w:cstheme="minorBidi"/>
                <w:iCs/>
                <w:sz w:val="20"/>
              </w:rPr>
            </w:pPr>
            <w:r w:rsidRPr="0057172D">
              <w:rPr>
                <w:rFonts w:ascii="Arial Narrow" w:hAnsi="Arial Narrow"/>
                <w:iCs/>
                <w:sz w:val="20"/>
              </w:rPr>
              <w:t>74/219 (33.8)</w:t>
            </w:r>
          </w:p>
        </w:tc>
        <w:tc>
          <w:tcPr>
            <w:tcW w:w="952" w:type="dxa"/>
            <w:vMerge/>
            <w:tcBorders>
              <w:bottom w:val="single" w:sz="4" w:space="0" w:color="auto"/>
            </w:tcBorders>
            <w:vAlign w:val="center"/>
          </w:tcPr>
          <w:p w:rsidR="00B1389A" w:rsidRPr="0057172D" w:rsidRDefault="00B1389A" w:rsidP="0049696E">
            <w:pPr>
              <w:keepNext/>
              <w:jc w:val="center"/>
              <w:rPr>
                <w:rFonts w:ascii="Arial Narrow" w:hAnsi="Arial Narrow" w:cstheme="minorBidi"/>
                <w:iCs/>
                <w:sz w:val="20"/>
              </w:rPr>
            </w:pPr>
          </w:p>
        </w:tc>
        <w:tc>
          <w:tcPr>
            <w:tcW w:w="1553" w:type="dxa"/>
            <w:tcBorders>
              <w:bottom w:val="single" w:sz="4" w:space="0" w:color="auto"/>
            </w:tcBorders>
            <w:vAlign w:val="center"/>
          </w:tcPr>
          <w:p w:rsidR="00B1389A" w:rsidRPr="0057172D" w:rsidRDefault="00B1389A" w:rsidP="0049696E">
            <w:pPr>
              <w:keepNext/>
              <w:jc w:val="center"/>
              <w:rPr>
                <w:rFonts w:ascii="Arial Narrow" w:hAnsi="Arial Narrow" w:cstheme="minorBidi"/>
                <w:b/>
                <w:bCs/>
                <w:iCs/>
                <w:sz w:val="20"/>
              </w:rPr>
            </w:pPr>
            <w:r w:rsidRPr="0057172D">
              <w:rPr>
                <w:rFonts w:ascii="Arial Narrow" w:hAnsi="Arial Narrow"/>
                <w:b/>
                <w:bCs/>
                <w:iCs/>
                <w:sz w:val="20"/>
              </w:rPr>
              <w:t>2.65 (1.57, 4.48)</w:t>
            </w:r>
          </w:p>
        </w:tc>
        <w:tc>
          <w:tcPr>
            <w:tcW w:w="952" w:type="dxa"/>
            <w:tcBorders>
              <w:bottom w:val="single" w:sz="4" w:space="0" w:color="auto"/>
            </w:tcBorders>
            <w:vAlign w:val="center"/>
          </w:tcPr>
          <w:p w:rsidR="00B1389A" w:rsidRPr="0057172D" w:rsidRDefault="00B1389A" w:rsidP="0049696E">
            <w:pPr>
              <w:keepNext/>
              <w:jc w:val="center"/>
              <w:rPr>
                <w:rFonts w:ascii="Arial Narrow" w:hAnsi="Arial Narrow" w:cstheme="minorBidi"/>
                <w:iCs/>
                <w:sz w:val="20"/>
              </w:rPr>
            </w:pPr>
            <w:r w:rsidRPr="0057172D">
              <w:rPr>
                <w:rFonts w:ascii="Arial Narrow" w:hAnsi="Arial Narrow"/>
                <w:iCs/>
                <w:sz w:val="20"/>
              </w:rPr>
              <w:t xml:space="preserve"> ‘lumped’</w:t>
            </w:r>
          </w:p>
        </w:tc>
        <w:tc>
          <w:tcPr>
            <w:tcW w:w="1275" w:type="dxa"/>
            <w:tcBorders>
              <w:bottom w:val="single" w:sz="4" w:space="0" w:color="auto"/>
            </w:tcBorders>
            <w:vAlign w:val="center"/>
          </w:tcPr>
          <w:p w:rsidR="00B1389A" w:rsidRPr="0057172D" w:rsidRDefault="00B1389A" w:rsidP="0049696E">
            <w:pPr>
              <w:keepNext/>
              <w:jc w:val="center"/>
              <w:rPr>
                <w:rFonts w:ascii="Arial Narrow" w:hAnsi="Arial Narrow" w:cstheme="minorBidi"/>
                <w:iCs/>
                <w:sz w:val="20"/>
              </w:rPr>
            </w:pPr>
            <w:r w:rsidRPr="0057172D">
              <w:rPr>
                <w:rFonts w:ascii="Arial Narrow" w:hAnsi="Arial Narrow" w:cstheme="minorBidi"/>
                <w:iCs/>
                <w:sz w:val="20"/>
              </w:rPr>
              <w:t>1.68 (0.61, 4.66)</w:t>
            </w:r>
          </w:p>
        </w:tc>
      </w:tr>
      <w:tr w:rsidR="00931143" w:rsidRPr="0057172D" w:rsidTr="0022352E">
        <w:trPr>
          <w:trHeight w:val="70"/>
        </w:trPr>
        <w:tc>
          <w:tcPr>
            <w:tcW w:w="462" w:type="dxa"/>
            <w:vMerge w:val="restart"/>
            <w:tcBorders>
              <w:top w:val="single" w:sz="4" w:space="0" w:color="auto"/>
            </w:tcBorders>
            <w:vAlign w:val="center"/>
          </w:tcPr>
          <w:p w:rsidR="00931143" w:rsidRPr="0057172D" w:rsidRDefault="00931143" w:rsidP="0049696E">
            <w:pPr>
              <w:keepNext/>
              <w:jc w:val="left"/>
              <w:rPr>
                <w:rFonts w:ascii="Arial Narrow" w:hAnsi="Arial Narrow"/>
                <w:iCs/>
                <w:sz w:val="20"/>
              </w:rPr>
            </w:pPr>
            <w:r w:rsidRPr="0057172D">
              <w:rPr>
                <w:rFonts w:ascii="Arial Narrow" w:hAnsi="Arial Narrow"/>
                <w:iCs/>
                <w:sz w:val="20"/>
              </w:rPr>
              <w:t>UST 45 mg</w:t>
            </w:r>
          </w:p>
        </w:tc>
        <w:tc>
          <w:tcPr>
            <w:tcW w:w="2127" w:type="dxa"/>
            <w:tcBorders>
              <w:top w:val="single" w:sz="4" w:space="0" w:color="auto"/>
            </w:tcBorders>
            <w:vAlign w:val="center"/>
          </w:tcPr>
          <w:p w:rsidR="00931143" w:rsidRPr="0057172D" w:rsidRDefault="00931143" w:rsidP="0049696E">
            <w:pPr>
              <w:keepNext/>
              <w:jc w:val="left"/>
              <w:rPr>
                <w:rFonts w:ascii="Arial Narrow" w:hAnsi="Arial Narrow"/>
                <w:iCs/>
                <w:sz w:val="20"/>
              </w:rPr>
            </w:pPr>
            <w:r w:rsidRPr="0057172D">
              <w:rPr>
                <w:rFonts w:ascii="Arial Narrow" w:hAnsi="Arial Narrow"/>
                <w:iCs/>
                <w:sz w:val="20"/>
              </w:rPr>
              <w:t>PSUMMIT-1 (24 wk)</w:t>
            </w:r>
          </w:p>
        </w:tc>
        <w:tc>
          <w:tcPr>
            <w:tcW w:w="1079" w:type="dxa"/>
            <w:tcBorders>
              <w:top w:val="single" w:sz="4" w:space="0" w:color="auto"/>
            </w:tcBorders>
            <w:vAlign w:val="center"/>
          </w:tcPr>
          <w:p w:rsidR="00931143" w:rsidRPr="0057172D" w:rsidRDefault="00931143" w:rsidP="0049696E">
            <w:pPr>
              <w:keepNext/>
              <w:jc w:val="center"/>
              <w:rPr>
                <w:rFonts w:ascii="Arial Narrow" w:hAnsi="Arial Narrow" w:cstheme="minorBidi"/>
                <w:iCs/>
                <w:sz w:val="20"/>
              </w:rPr>
            </w:pPr>
            <w:r w:rsidRPr="0057172D">
              <w:rPr>
                <w:rFonts w:ascii="Arial Narrow" w:hAnsi="Arial Narrow"/>
                <w:iCs/>
                <w:sz w:val="20"/>
              </w:rPr>
              <w:t>51/205 (24.9)</w:t>
            </w:r>
          </w:p>
        </w:tc>
        <w:tc>
          <w:tcPr>
            <w:tcW w:w="952" w:type="dxa"/>
            <w:tcBorders>
              <w:top w:val="single" w:sz="4" w:space="0" w:color="auto"/>
            </w:tcBorders>
            <w:vAlign w:val="center"/>
          </w:tcPr>
          <w:p w:rsidR="00931143" w:rsidRPr="0057172D" w:rsidRDefault="00931143" w:rsidP="0049696E">
            <w:pPr>
              <w:keepNext/>
              <w:jc w:val="center"/>
              <w:rPr>
                <w:rFonts w:ascii="Arial Narrow" w:hAnsi="Arial Narrow" w:cstheme="minorBidi"/>
                <w:iCs/>
                <w:sz w:val="20"/>
              </w:rPr>
            </w:pPr>
            <w:r w:rsidRPr="0057172D">
              <w:rPr>
                <w:rFonts w:ascii="Arial Narrow" w:hAnsi="Arial Narrow"/>
                <w:iCs/>
                <w:sz w:val="20"/>
              </w:rPr>
              <w:t>18/206 (8.7)</w:t>
            </w:r>
          </w:p>
        </w:tc>
        <w:tc>
          <w:tcPr>
            <w:tcW w:w="1553" w:type="dxa"/>
            <w:tcBorders>
              <w:top w:val="single" w:sz="4" w:space="0" w:color="auto"/>
            </w:tcBorders>
            <w:vAlign w:val="center"/>
          </w:tcPr>
          <w:p w:rsidR="00931143" w:rsidRPr="0057172D" w:rsidRDefault="00931143" w:rsidP="0049696E">
            <w:pPr>
              <w:keepNext/>
              <w:jc w:val="center"/>
              <w:rPr>
                <w:rFonts w:ascii="Arial Narrow" w:hAnsi="Arial Narrow" w:cstheme="minorBidi"/>
                <w:b/>
                <w:bCs/>
                <w:iCs/>
                <w:sz w:val="20"/>
              </w:rPr>
            </w:pPr>
            <w:r w:rsidRPr="0057172D">
              <w:rPr>
                <w:rFonts w:ascii="Arial Narrow" w:hAnsi="Arial Narrow"/>
                <w:b/>
                <w:bCs/>
                <w:iCs/>
                <w:sz w:val="20"/>
              </w:rPr>
              <w:t>2.85 (1.72, 4.70)</w:t>
            </w:r>
          </w:p>
        </w:tc>
        <w:tc>
          <w:tcPr>
            <w:tcW w:w="952" w:type="dxa"/>
            <w:tcBorders>
              <w:top w:val="single" w:sz="4" w:space="0" w:color="auto"/>
            </w:tcBorders>
            <w:vAlign w:val="center"/>
          </w:tcPr>
          <w:p w:rsidR="00931143" w:rsidRPr="0057172D" w:rsidRDefault="00931143" w:rsidP="0049696E">
            <w:pPr>
              <w:keepNext/>
              <w:jc w:val="center"/>
              <w:rPr>
                <w:rFonts w:ascii="Arial Narrow" w:hAnsi="Arial Narrow" w:cstheme="minorBidi"/>
                <w:iCs/>
                <w:sz w:val="20"/>
              </w:rPr>
            </w:pPr>
            <w:r w:rsidRPr="0057172D">
              <w:rPr>
                <w:rFonts w:ascii="Arial Narrow" w:hAnsi="Arial Narrow"/>
                <w:iCs/>
                <w:sz w:val="20"/>
              </w:rPr>
              <w:t>SEC 15</w:t>
            </w:r>
            <w:r w:rsidR="00992EE2" w:rsidRPr="0057172D">
              <w:rPr>
                <w:rFonts w:ascii="Arial Narrow" w:hAnsi="Arial Narrow"/>
                <w:iCs/>
                <w:sz w:val="20"/>
              </w:rPr>
              <w:t>0 mg</w:t>
            </w:r>
          </w:p>
        </w:tc>
        <w:tc>
          <w:tcPr>
            <w:tcW w:w="1275" w:type="dxa"/>
            <w:tcBorders>
              <w:top w:val="single" w:sz="4" w:space="0" w:color="auto"/>
            </w:tcBorders>
            <w:vAlign w:val="center"/>
          </w:tcPr>
          <w:p w:rsidR="00931143" w:rsidRPr="0057172D" w:rsidRDefault="00931143" w:rsidP="0049696E">
            <w:pPr>
              <w:keepNext/>
              <w:jc w:val="center"/>
              <w:rPr>
                <w:rFonts w:ascii="Arial Narrow" w:hAnsi="Arial Narrow" w:cstheme="minorBidi"/>
                <w:iCs/>
                <w:sz w:val="20"/>
              </w:rPr>
            </w:pPr>
            <w:r w:rsidRPr="0057172D">
              <w:rPr>
                <w:rFonts w:ascii="Arial Narrow" w:hAnsi="Arial Narrow" w:cstheme="minorBidi"/>
                <w:iCs/>
                <w:sz w:val="20"/>
              </w:rPr>
              <w:t>1.47 (0.53, 4.08)</w:t>
            </w:r>
          </w:p>
        </w:tc>
      </w:tr>
      <w:tr w:rsidR="00931143" w:rsidRPr="0057172D" w:rsidTr="00931143">
        <w:trPr>
          <w:trHeight w:val="70"/>
        </w:trPr>
        <w:tc>
          <w:tcPr>
            <w:tcW w:w="462" w:type="dxa"/>
            <w:vMerge/>
            <w:vAlign w:val="center"/>
          </w:tcPr>
          <w:p w:rsidR="00931143" w:rsidRPr="0057172D" w:rsidRDefault="00931143" w:rsidP="0049696E">
            <w:pPr>
              <w:keepNext/>
              <w:jc w:val="left"/>
              <w:rPr>
                <w:rFonts w:ascii="Arial Narrow" w:hAnsi="Arial Narrow"/>
                <w:iCs/>
                <w:sz w:val="20"/>
              </w:rPr>
            </w:pPr>
          </w:p>
        </w:tc>
        <w:tc>
          <w:tcPr>
            <w:tcW w:w="2127" w:type="dxa"/>
            <w:vAlign w:val="center"/>
          </w:tcPr>
          <w:p w:rsidR="00931143" w:rsidRPr="0057172D" w:rsidRDefault="00931143" w:rsidP="0049696E">
            <w:pPr>
              <w:keepNext/>
              <w:jc w:val="left"/>
              <w:rPr>
                <w:rFonts w:ascii="Arial Narrow" w:hAnsi="Arial Narrow"/>
                <w:iCs/>
                <w:sz w:val="20"/>
              </w:rPr>
            </w:pPr>
            <w:r w:rsidRPr="0057172D">
              <w:rPr>
                <w:rFonts w:ascii="Arial Narrow" w:hAnsi="Arial Narrow"/>
                <w:iCs/>
                <w:sz w:val="19"/>
                <w:szCs w:val="19"/>
              </w:rPr>
              <w:t>PSUMMIT-2 (24 wk, subgp)</w:t>
            </w:r>
          </w:p>
        </w:tc>
        <w:tc>
          <w:tcPr>
            <w:tcW w:w="1079" w:type="dxa"/>
            <w:vAlign w:val="center"/>
          </w:tcPr>
          <w:p w:rsidR="00931143" w:rsidRPr="0057172D" w:rsidRDefault="00931143" w:rsidP="0049696E">
            <w:pPr>
              <w:keepNext/>
              <w:jc w:val="center"/>
              <w:rPr>
                <w:rFonts w:ascii="Arial Narrow" w:hAnsi="Arial Narrow" w:cstheme="minorBidi"/>
                <w:iCs/>
                <w:sz w:val="20"/>
              </w:rPr>
            </w:pPr>
            <w:r w:rsidRPr="0057172D">
              <w:rPr>
                <w:rFonts w:ascii="Arial Narrow" w:hAnsi="Arial Narrow" w:cstheme="minorBidi"/>
                <w:iCs/>
                <w:sz w:val="20"/>
              </w:rPr>
              <w:t>9/43 (20.9)</w:t>
            </w:r>
          </w:p>
        </w:tc>
        <w:tc>
          <w:tcPr>
            <w:tcW w:w="952" w:type="dxa"/>
            <w:vAlign w:val="center"/>
          </w:tcPr>
          <w:p w:rsidR="00931143" w:rsidRPr="0057172D" w:rsidRDefault="00931143" w:rsidP="0049696E">
            <w:pPr>
              <w:keepNext/>
              <w:jc w:val="center"/>
              <w:rPr>
                <w:rFonts w:ascii="Arial Narrow" w:hAnsi="Arial Narrow" w:cstheme="minorBidi"/>
                <w:iCs/>
                <w:sz w:val="20"/>
              </w:rPr>
            </w:pPr>
            <w:r w:rsidRPr="0057172D">
              <w:rPr>
                <w:rFonts w:ascii="Arial Narrow" w:hAnsi="Arial Narrow" w:cstheme="minorBidi"/>
                <w:iCs/>
                <w:sz w:val="20"/>
              </w:rPr>
              <w:t>3/42 (7.1)</w:t>
            </w:r>
          </w:p>
        </w:tc>
        <w:tc>
          <w:tcPr>
            <w:tcW w:w="1553" w:type="dxa"/>
            <w:vAlign w:val="center"/>
          </w:tcPr>
          <w:p w:rsidR="00931143" w:rsidRPr="0057172D" w:rsidRDefault="00931143" w:rsidP="0049696E">
            <w:pPr>
              <w:keepNext/>
              <w:jc w:val="center"/>
              <w:rPr>
                <w:rFonts w:ascii="Arial Narrow" w:hAnsi="Arial Narrow" w:cstheme="minorBidi"/>
                <w:b/>
                <w:bCs/>
                <w:iCs/>
                <w:sz w:val="20"/>
              </w:rPr>
            </w:pPr>
            <w:r w:rsidRPr="0057172D">
              <w:rPr>
                <w:rFonts w:ascii="Arial Narrow" w:hAnsi="Arial Narrow"/>
                <w:b/>
                <w:bCs/>
                <w:iCs/>
                <w:sz w:val="20"/>
              </w:rPr>
              <w:t>2.93 (0.85, 10.08)</w:t>
            </w:r>
          </w:p>
        </w:tc>
        <w:tc>
          <w:tcPr>
            <w:tcW w:w="952" w:type="dxa"/>
            <w:vAlign w:val="center"/>
          </w:tcPr>
          <w:p w:rsidR="00931143" w:rsidRPr="0057172D" w:rsidRDefault="00931143" w:rsidP="0049696E">
            <w:pPr>
              <w:keepNext/>
              <w:jc w:val="center"/>
              <w:rPr>
                <w:rFonts w:ascii="Arial Narrow" w:hAnsi="Arial Narrow" w:cstheme="minorBidi"/>
                <w:iCs/>
                <w:sz w:val="20"/>
              </w:rPr>
            </w:pPr>
            <w:r w:rsidRPr="0057172D">
              <w:rPr>
                <w:rFonts w:ascii="Arial Narrow" w:hAnsi="Arial Narrow"/>
                <w:iCs/>
                <w:sz w:val="20"/>
              </w:rPr>
              <w:t>SEC 30</w:t>
            </w:r>
            <w:r w:rsidR="00992EE2" w:rsidRPr="0057172D">
              <w:rPr>
                <w:rFonts w:ascii="Arial Narrow" w:hAnsi="Arial Narrow"/>
                <w:iCs/>
                <w:sz w:val="20"/>
              </w:rPr>
              <w:t>0 mg</w:t>
            </w:r>
          </w:p>
        </w:tc>
        <w:tc>
          <w:tcPr>
            <w:tcW w:w="1275" w:type="dxa"/>
            <w:vAlign w:val="center"/>
          </w:tcPr>
          <w:p w:rsidR="00931143" w:rsidRPr="0057172D" w:rsidRDefault="00931143" w:rsidP="0049696E">
            <w:pPr>
              <w:keepNext/>
              <w:jc w:val="center"/>
              <w:rPr>
                <w:rFonts w:ascii="Arial Narrow" w:hAnsi="Arial Narrow" w:cstheme="minorBidi"/>
                <w:iCs/>
                <w:sz w:val="20"/>
              </w:rPr>
            </w:pPr>
            <w:r w:rsidRPr="0057172D">
              <w:rPr>
                <w:rFonts w:ascii="Arial Narrow" w:hAnsi="Arial Narrow" w:cstheme="minorBidi"/>
                <w:iCs/>
                <w:sz w:val="20"/>
              </w:rPr>
              <w:t>1.64 (0.60, 4.51)</w:t>
            </w:r>
          </w:p>
        </w:tc>
      </w:tr>
      <w:tr w:rsidR="00931143" w:rsidRPr="0057172D" w:rsidTr="0050685D">
        <w:trPr>
          <w:trHeight w:val="133"/>
        </w:trPr>
        <w:tc>
          <w:tcPr>
            <w:tcW w:w="462" w:type="dxa"/>
            <w:vMerge/>
            <w:vAlign w:val="center"/>
          </w:tcPr>
          <w:p w:rsidR="00931143" w:rsidRPr="0057172D" w:rsidRDefault="00931143" w:rsidP="0049696E">
            <w:pPr>
              <w:keepNext/>
              <w:jc w:val="left"/>
              <w:rPr>
                <w:rFonts w:ascii="Arial Narrow" w:hAnsi="Arial Narrow"/>
                <w:iCs/>
                <w:sz w:val="20"/>
              </w:rPr>
            </w:pPr>
          </w:p>
        </w:tc>
        <w:tc>
          <w:tcPr>
            <w:tcW w:w="4158" w:type="dxa"/>
            <w:gridSpan w:val="3"/>
            <w:vAlign w:val="center"/>
          </w:tcPr>
          <w:p w:rsidR="00931143" w:rsidRPr="0057172D" w:rsidRDefault="00931143" w:rsidP="0049696E">
            <w:pPr>
              <w:keepNext/>
              <w:jc w:val="right"/>
              <w:rPr>
                <w:rFonts w:ascii="Arial Narrow" w:hAnsi="Arial Narrow" w:cstheme="minorBidi"/>
                <w:iCs/>
                <w:sz w:val="20"/>
              </w:rPr>
            </w:pPr>
            <w:r w:rsidRPr="0057172D">
              <w:rPr>
                <w:rFonts w:ascii="Arial Narrow" w:hAnsi="Arial Narrow"/>
                <w:iCs/>
                <w:sz w:val="20"/>
              </w:rPr>
              <w:t>Meta-analysis (ustekinumab vs placebo); I</w:t>
            </w:r>
            <w:r w:rsidRPr="0057172D">
              <w:rPr>
                <w:rFonts w:ascii="Arial Narrow" w:hAnsi="Arial Narrow"/>
                <w:iCs/>
                <w:sz w:val="20"/>
                <w:vertAlign w:val="superscript"/>
              </w:rPr>
              <w:t>2</w:t>
            </w:r>
            <w:r w:rsidRPr="0057172D">
              <w:rPr>
                <w:rFonts w:ascii="Arial Narrow" w:hAnsi="Arial Narrow"/>
                <w:iCs/>
                <w:sz w:val="20"/>
              </w:rPr>
              <w:t>=0%</w:t>
            </w:r>
          </w:p>
        </w:tc>
        <w:tc>
          <w:tcPr>
            <w:tcW w:w="1553" w:type="dxa"/>
            <w:vAlign w:val="center"/>
          </w:tcPr>
          <w:p w:rsidR="00931143" w:rsidRPr="0057172D" w:rsidRDefault="00931143" w:rsidP="0049696E">
            <w:pPr>
              <w:keepNext/>
              <w:jc w:val="center"/>
              <w:rPr>
                <w:rFonts w:ascii="Arial Narrow" w:hAnsi="Arial Narrow" w:cstheme="minorBidi"/>
                <w:b/>
                <w:bCs/>
                <w:iCs/>
                <w:sz w:val="20"/>
              </w:rPr>
            </w:pPr>
            <w:r w:rsidRPr="0057172D">
              <w:rPr>
                <w:rFonts w:ascii="Arial Narrow" w:hAnsi="Arial Narrow"/>
                <w:b/>
                <w:bCs/>
                <w:iCs/>
                <w:sz w:val="20"/>
              </w:rPr>
              <w:t>2.86 (1.80, 4.55)</w:t>
            </w:r>
          </w:p>
        </w:tc>
        <w:tc>
          <w:tcPr>
            <w:tcW w:w="952" w:type="dxa"/>
            <w:vAlign w:val="center"/>
          </w:tcPr>
          <w:p w:rsidR="00931143" w:rsidRPr="0057172D" w:rsidRDefault="00931143" w:rsidP="0049696E">
            <w:pPr>
              <w:keepNext/>
              <w:jc w:val="center"/>
              <w:rPr>
                <w:rFonts w:ascii="Arial Narrow" w:hAnsi="Arial Narrow" w:cstheme="minorBidi"/>
                <w:iCs/>
                <w:sz w:val="20"/>
              </w:rPr>
            </w:pPr>
            <w:r w:rsidRPr="0057172D">
              <w:rPr>
                <w:rFonts w:ascii="Arial Narrow" w:hAnsi="Arial Narrow"/>
                <w:iCs/>
                <w:sz w:val="20"/>
              </w:rPr>
              <w:t xml:space="preserve"> ‘lumped’</w:t>
            </w:r>
          </w:p>
        </w:tc>
        <w:tc>
          <w:tcPr>
            <w:tcW w:w="1275" w:type="dxa"/>
            <w:vAlign w:val="center"/>
          </w:tcPr>
          <w:p w:rsidR="00931143" w:rsidRPr="0057172D" w:rsidRDefault="00931143" w:rsidP="0049696E">
            <w:pPr>
              <w:keepNext/>
              <w:jc w:val="center"/>
              <w:rPr>
                <w:rFonts w:ascii="Arial Narrow" w:hAnsi="Arial Narrow" w:cstheme="minorBidi"/>
                <w:iCs/>
                <w:sz w:val="20"/>
              </w:rPr>
            </w:pPr>
            <w:r w:rsidRPr="0057172D">
              <w:rPr>
                <w:rFonts w:ascii="Arial Narrow" w:hAnsi="Arial Narrow" w:cstheme="minorBidi"/>
                <w:iCs/>
                <w:sz w:val="20"/>
              </w:rPr>
              <w:t>1.56 (0.58, 4.19)</w:t>
            </w:r>
          </w:p>
        </w:tc>
      </w:tr>
    </w:tbl>
    <w:p w:rsidR="005F1FB4" w:rsidRPr="0057172D" w:rsidRDefault="00FC354B" w:rsidP="005F1FB4">
      <w:pPr>
        <w:ind w:left="720"/>
        <w:rPr>
          <w:rFonts w:ascii="Arial Narrow" w:hAnsi="Arial Narrow"/>
          <w:iCs/>
          <w:sz w:val="18"/>
          <w:szCs w:val="18"/>
        </w:rPr>
      </w:pPr>
      <w:r w:rsidRPr="0057172D">
        <w:rPr>
          <w:rFonts w:ascii="Arial Narrow" w:hAnsi="Arial Narrow"/>
          <w:iCs/>
          <w:sz w:val="18"/>
          <w:szCs w:val="18"/>
        </w:rPr>
        <w:t xml:space="preserve">Abbreviations: </w:t>
      </w:r>
      <w:r w:rsidR="005F1FB4" w:rsidRPr="0057172D">
        <w:rPr>
          <w:rFonts w:ascii="Arial Narrow" w:hAnsi="Arial Narrow"/>
          <w:iCs/>
          <w:sz w:val="18"/>
          <w:szCs w:val="18"/>
        </w:rPr>
        <w:t>ACR50 = at least 50% improvement in the American College of Rheumatology response criteria; ADA = adalimumab; CZP = certolizumab pegol; ETC = etanercept; GOL = golimumab; INF = infliximab; NR = not reported; OR = odds ratio; SEC = secukinumab; TNFα = tumour necrosis factor alpha; UST = ustekinumab</w:t>
      </w:r>
    </w:p>
    <w:p w:rsidR="00FC354B" w:rsidRPr="0057172D" w:rsidRDefault="00FC354B" w:rsidP="00EF484E">
      <w:pPr>
        <w:tabs>
          <w:tab w:val="left" w:pos="993"/>
        </w:tabs>
        <w:ind w:left="720"/>
        <w:rPr>
          <w:rFonts w:ascii="Arial Narrow" w:hAnsi="Arial Narrow"/>
          <w:iCs/>
          <w:sz w:val="18"/>
          <w:szCs w:val="18"/>
        </w:rPr>
      </w:pPr>
      <w:r w:rsidRPr="0057172D">
        <w:rPr>
          <w:rFonts w:ascii="Arial Narrow" w:hAnsi="Arial Narrow"/>
          <w:iCs/>
          <w:sz w:val="18"/>
          <w:szCs w:val="18"/>
          <w:vertAlign w:val="superscript"/>
        </w:rPr>
        <w:t>a</w:t>
      </w:r>
      <w:r w:rsidRPr="0057172D">
        <w:rPr>
          <w:rFonts w:ascii="Arial Narrow" w:hAnsi="Arial Narrow"/>
          <w:iCs/>
          <w:sz w:val="18"/>
          <w:szCs w:val="18"/>
        </w:rPr>
        <w:tab/>
        <w:t>secukinumab versus the meta-analysis (where relevant) for the comparators</w:t>
      </w:r>
      <w:r w:rsidR="005F1FB4" w:rsidRPr="0057172D">
        <w:rPr>
          <w:rFonts w:ascii="Arial Narrow" w:hAnsi="Arial Narrow"/>
          <w:iCs/>
          <w:sz w:val="18"/>
          <w:szCs w:val="18"/>
        </w:rPr>
        <w:t>.  R</w:t>
      </w:r>
      <w:r w:rsidRPr="0057172D">
        <w:rPr>
          <w:rFonts w:ascii="Arial Narrow" w:hAnsi="Arial Narrow"/>
          <w:iCs/>
          <w:sz w:val="18"/>
          <w:szCs w:val="18"/>
        </w:rPr>
        <w:t>R &gt;1 favours secukinumab.</w:t>
      </w:r>
    </w:p>
    <w:p w:rsidR="00FC354B" w:rsidRPr="0057172D" w:rsidRDefault="00FC354B" w:rsidP="00FC354B">
      <w:pPr>
        <w:tabs>
          <w:tab w:val="left" w:pos="284"/>
        </w:tabs>
        <w:rPr>
          <w:rFonts w:ascii="Arial Narrow" w:hAnsi="Arial Narrow"/>
          <w:iCs/>
          <w:sz w:val="18"/>
          <w:szCs w:val="18"/>
        </w:rPr>
      </w:pPr>
      <w:r w:rsidRPr="0057172D">
        <w:rPr>
          <w:rFonts w:ascii="Arial Narrow" w:hAnsi="Arial Narrow"/>
          <w:iCs/>
          <w:sz w:val="18"/>
          <w:szCs w:val="18"/>
        </w:rPr>
        <w:tab/>
      </w:r>
      <w:r w:rsidRPr="0057172D">
        <w:rPr>
          <w:rFonts w:ascii="Arial Narrow" w:hAnsi="Arial Narrow"/>
          <w:iCs/>
          <w:sz w:val="18"/>
          <w:szCs w:val="18"/>
        </w:rPr>
        <w:tab/>
        <w:t>Note: Bolding indicates that the 95% CI does not include the null value</w:t>
      </w:r>
    </w:p>
    <w:p w:rsidR="008D6872" w:rsidRDefault="005F1FB4" w:rsidP="005F1FB4">
      <w:pPr>
        <w:ind w:left="720"/>
        <w:rPr>
          <w:rFonts w:ascii="Arial Narrow" w:hAnsi="Arial Narrow"/>
          <w:iCs/>
          <w:sz w:val="18"/>
          <w:szCs w:val="18"/>
        </w:rPr>
      </w:pPr>
      <w:r w:rsidRPr="0057172D">
        <w:rPr>
          <w:rFonts w:ascii="Arial Narrow" w:hAnsi="Arial Narrow"/>
          <w:iCs/>
          <w:sz w:val="18"/>
          <w:szCs w:val="18"/>
        </w:rPr>
        <w:t xml:space="preserve">Source: Adapted from Table 45, p136, Figure 8, p137, Table 50, p151, and Figure 12, p154 of the submission, CSR 24wk Table 14.2-1.4, pp409-414; CSR 24wk Table 14.2-7.4, pp710-715. .  Additional data for CZP extracted from Table 3 of Mease et al (2015) and estimated from Figure 3 of Mease et al (2014), consistent with the data extracted from the Table 3, PSD of ustekinumab July 2015.  Data for UST also extracted from an  abstract by Ritchlin et al (2012) </w:t>
      </w:r>
      <w:r w:rsidRPr="000039CC">
        <w:rPr>
          <w:rFonts w:ascii="Arial Narrow" w:hAnsi="Arial Narrow"/>
          <w:iCs/>
          <w:sz w:val="18"/>
          <w:szCs w:val="18"/>
        </w:rPr>
        <w:t>http://acrabstracts.org/abstract/ustekinumab-in-active-psoriatic-arthritis-including-patients-previously-treated-with-anti-tnf-agents-results-of-a-phase-3-multicenter-double-blind-placebo-controlled-study/</w:t>
      </w:r>
    </w:p>
    <w:p w:rsidR="008D6872" w:rsidRDefault="008D6872">
      <w:pPr>
        <w:widowControl/>
        <w:jc w:val="left"/>
        <w:rPr>
          <w:rFonts w:ascii="Arial Narrow" w:hAnsi="Arial Narrow"/>
          <w:iCs/>
          <w:sz w:val="18"/>
          <w:szCs w:val="18"/>
        </w:rPr>
      </w:pPr>
      <w:r>
        <w:rPr>
          <w:rFonts w:ascii="Arial Narrow" w:hAnsi="Arial Narrow"/>
          <w:iCs/>
          <w:sz w:val="18"/>
          <w:szCs w:val="18"/>
        </w:rPr>
        <w:br w:type="page"/>
      </w:r>
    </w:p>
    <w:p w:rsidR="005F1FB4" w:rsidRPr="0057172D" w:rsidRDefault="005F1FB4" w:rsidP="005F1FB4">
      <w:pPr>
        <w:ind w:left="720"/>
        <w:rPr>
          <w:rFonts w:ascii="Arial Narrow" w:hAnsi="Arial Narrow"/>
          <w:iCs/>
          <w:sz w:val="18"/>
          <w:szCs w:val="18"/>
        </w:rPr>
      </w:pPr>
    </w:p>
    <w:p w:rsidR="005215A8" w:rsidRPr="0057172D" w:rsidRDefault="005215A8" w:rsidP="0049696E">
      <w:pPr>
        <w:keepNext/>
        <w:ind w:left="720"/>
        <w:rPr>
          <w:rStyle w:val="CommentReference"/>
          <w:iCs/>
        </w:rPr>
      </w:pPr>
      <w:r w:rsidRPr="0057172D">
        <w:rPr>
          <w:rStyle w:val="CommentReference"/>
          <w:iCs/>
        </w:rPr>
        <w:t xml:space="preserve">Table </w:t>
      </w:r>
      <w:r w:rsidR="008D5F57" w:rsidRPr="0057172D">
        <w:rPr>
          <w:rStyle w:val="CommentReference"/>
          <w:iCs/>
        </w:rPr>
        <w:t>4</w:t>
      </w:r>
      <w:r w:rsidRPr="0057172D">
        <w:rPr>
          <w:rStyle w:val="CommentReference"/>
          <w:iCs/>
        </w:rPr>
        <w:t xml:space="preserve">: </w:t>
      </w:r>
      <w:r w:rsidR="000C57FA" w:rsidRPr="0057172D">
        <w:rPr>
          <w:rStyle w:val="CommentReference"/>
          <w:iCs/>
        </w:rPr>
        <w:t>Indirect comparison of ACR20 (secukinumab vs comparators) via placebo as the common reference at the primary time point (Week 12 results for secukinumab) – anti-TNFα naïve patients only</w:t>
      </w:r>
    </w:p>
    <w:tbl>
      <w:tblPr>
        <w:tblStyle w:val="TableGrid"/>
        <w:tblW w:w="8400" w:type="dxa"/>
        <w:tblInd w:w="700" w:type="dxa"/>
        <w:tblLayout w:type="fixed"/>
        <w:tblCellMar>
          <w:left w:w="28" w:type="dxa"/>
          <w:right w:w="28" w:type="dxa"/>
        </w:tblCellMar>
        <w:tblLook w:val="04A0" w:firstRow="1" w:lastRow="0" w:firstColumn="1" w:lastColumn="0" w:noHBand="0" w:noVBand="1"/>
        <w:tblCaption w:val="Table 4: Indirect comparison of ACR20 (secukinumab vs comparators) via placebo as the common reference at the primary time point (Week 12 results for secukinumab) – anti-TNFα naïve patients only"/>
      </w:tblPr>
      <w:tblGrid>
        <w:gridCol w:w="448"/>
        <w:gridCol w:w="2100"/>
        <w:gridCol w:w="1134"/>
        <w:gridCol w:w="1064"/>
        <w:gridCol w:w="1399"/>
        <w:gridCol w:w="980"/>
        <w:gridCol w:w="1275"/>
      </w:tblGrid>
      <w:tr w:rsidR="005215A8" w:rsidRPr="0057172D" w:rsidTr="00ED4FCE">
        <w:trPr>
          <w:trHeight w:val="187"/>
          <w:tblHeader/>
        </w:trPr>
        <w:tc>
          <w:tcPr>
            <w:tcW w:w="448" w:type="dxa"/>
            <w:vAlign w:val="center"/>
          </w:tcPr>
          <w:p w:rsidR="005215A8" w:rsidRPr="0057172D" w:rsidRDefault="005215A8" w:rsidP="0049696E">
            <w:pPr>
              <w:keepNext/>
              <w:jc w:val="left"/>
              <w:rPr>
                <w:rFonts w:ascii="Arial Narrow" w:hAnsi="Arial Narrow"/>
                <w:b/>
                <w:iCs/>
                <w:sz w:val="20"/>
              </w:rPr>
            </w:pPr>
            <w:r w:rsidRPr="0057172D">
              <w:rPr>
                <w:rFonts w:ascii="Arial Narrow" w:hAnsi="Arial Narrow"/>
                <w:b/>
                <w:iCs/>
                <w:sz w:val="20"/>
              </w:rPr>
              <w:t>Tx</w:t>
            </w:r>
          </w:p>
        </w:tc>
        <w:tc>
          <w:tcPr>
            <w:tcW w:w="2100" w:type="dxa"/>
            <w:vAlign w:val="center"/>
          </w:tcPr>
          <w:p w:rsidR="005215A8" w:rsidRPr="0057172D" w:rsidRDefault="005215A8" w:rsidP="0049696E">
            <w:pPr>
              <w:keepNext/>
              <w:jc w:val="center"/>
              <w:rPr>
                <w:rFonts w:ascii="Arial Narrow" w:hAnsi="Arial Narrow"/>
                <w:b/>
                <w:iCs/>
                <w:sz w:val="20"/>
              </w:rPr>
            </w:pPr>
            <w:r w:rsidRPr="0057172D">
              <w:rPr>
                <w:rFonts w:ascii="Arial Narrow" w:hAnsi="Arial Narrow"/>
                <w:b/>
                <w:iCs/>
                <w:sz w:val="20"/>
              </w:rPr>
              <w:t>Trial</w:t>
            </w:r>
          </w:p>
        </w:tc>
        <w:tc>
          <w:tcPr>
            <w:tcW w:w="1134" w:type="dxa"/>
            <w:vAlign w:val="center"/>
          </w:tcPr>
          <w:p w:rsidR="005215A8" w:rsidRPr="0057172D" w:rsidRDefault="005215A8" w:rsidP="0049696E">
            <w:pPr>
              <w:keepNext/>
              <w:jc w:val="center"/>
              <w:rPr>
                <w:rFonts w:ascii="Arial Narrow" w:hAnsi="Arial Narrow"/>
                <w:b/>
                <w:iCs/>
                <w:sz w:val="20"/>
              </w:rPr>
            </w:pPr>
            <w:r w:rsidRPr="0057172D">
              <w:rPr>
                <w:rFonts w:ascii="Arial Narrow" w:hAnsi="Arial Narrow"/>
                <w:b/>
                <w:iCs/>
                <w:sz w:val="20"/>
              </w:rPr>
              <w:t xml:space="preserve">bDMARD </w:t>
            </w:r>
          </w:p>
          <w:p w:rsidR="005215A8" w:rsidRPr="0057172D" w:rsidRDefault="005215A8" w:rsidP="0049696E">
            <w:pPr>
              <w:keepNext/>
              <w:jc w:val="center"/>
              <w:rPr>
                <w:rFonts w:ascii="Arial Narrow" w:hAnsi="Arial Narrow"/>
                <w:b/>
                <w:iCs/>
                <w:sz w:val="20"/>
              </w:rPr>
            </w:pPr>
            <w:r w:rsidRPr="0057172D">
              <w:rPr>
                <w:rFonts w:ascii="Arial Narrow" w:hAnsi="Arial Narrow"/>
                <w:b/>
                <w:iCs/>
                <w:sz w:val="20"/>
              </w:rPr>
              <w:t>n/N (%)</w:t>
            </w:r>
          </w:p>
        </w:tc>
        <w:tc>
          <w:tcPr>
            <w:tcW w:w="1064" w:type="dxa"/>
            <w:vAlign w:val="center"/>
          </w:tcPr>
          <w:p w:rsidR="005215A8" w:rsidRPr="0057172D" w:rsidRDefault="005215A8" w:rsidP="0049696E">
            <w:pPr>
              <w:keepNext/>
              <w:jc w:val="center"/>
              <w:rPr>
                <w:rFonts w:ascii="Arial Narrow" w:hAnsi="Arial Narrow"/>
                <w:b/>
                <w:iCs/>
                <w:sz w:val="20"/>
              </w:rPr>
            </w:pPr>
            <w:r w:rsidRPr="0057172D">
              <w:rPr>
                <w:rFonts w:ascii="Arial Narrow" w:hAnsi="Arial Narrow"/>
                <w:b/>
                <w:iCs/>
                <w:sz w:val="20"/>
              </w:rPr>
              <w:t>Placebo</w:t>
            </w:r>
          </w:p>
          <w:p w:rsidR="005215A8" w:rsidRPr="0057172D" w:rsidRDefault="005215A8" w:rsidP="0049696E">
            <w:pPr>
              <w:keepNext/>
              <w:jc w:val="center"/>
              <w:rPr>
                <w:rFonts w:ascii="Arial Narrow" w:hAnsi="Arial Narrow"/>
                <w:b/>
                <w:iCs/>
                <w:sz w:val="20"/>
              </w:rPr>
            </w:pPr>
            <w:r w:rsidRPr="0057172D">
              <w:rPr>
                <w:rFonts w:ascii="Arial Narrow" w:hAnsi="Arial Narrow"/>
                <w:b/>
                <w:iCs/>
                <w:sz w:val="20"/>
              </w:rPr>
              <w:t>n/N (%)</w:t>
            </w:r>
          </w:p>
        </w:tc>
        <w:tc>
          <w:tcPr>
            <w:tcW w:w="1399" w:type="dxa"/>
            <w:vAlign w:val="center"/>
          </w:tcPr>
          <w:p w:rsidR="005215A8" w:rsidRPr="0057172D" w:rsidRDefault="00DF5FDF" w:rsidP="0049696E">
            <w:pPr>
              <w:keepNext/>
              <w:jc w:val="center"/>
              <w:rPr>
                <w:rFonts w:ascii="Arial Narrow" w:hAnsi="Arial Narrow"/>
                <w:b/>
                <w:iCs/>
                <w:sz w:val="20"/>
              </w:rPr>
            </w:pPr>
            <w:r w:rsidRPr="0057172D">
              <w:rPr>
                <w:rFonts w:ascii="Arial Narrow" w:hAnsi="Arial Narrow"/>
                <w:b/>
                <w:iCs/>
                <w:sz w:val="20"/>
              </w:rPr>
              <w:t>R</w:t>
            </w:r>
            <w:r w:rsidR="005215A8" w:rsidRPr="0057172D">
              <w:rPr>
                <w:rFonts w:ascii="Arial Narrow" w:hAnsi="Arial Narrow"/>
                <w:b/>
                <w:iCs/>
                <w:sz w:val="20"/>
              </w:rPr>
              <w:t>R (95% CI)</w:t>
            </w:r>
          </w:p>
        </w:tc>
        <w:tc>
          <w:tcPr>
            <w:tcW w:w="2255" w:type="dxa"/>
            <w:gridSpan w:val="2"/>
            <w:vAlign w:val="center"/>
          </w:tcPr>
          <w:p w:rsidR="005215A8" w:rsidRPr="0057172D" w:rsidRDefault="005215A8" w:rsidP="0049696E">
            <w:pPr>
              <w:keepNext/>
              <w:jc w:val="center"/>
              <w:rPr>
                <w:rFonts w:ascii="Arial Narrow" w:hAnsi="Arial Narrow"/>
                <w:b/>
                <w:iCs/>
                <w:sz w:val="20"/>
                <w:lang w:val="fr-FR"/>
              </w:rPr>
            </w:pPr>
            <w:r w:rsidRPr="0057172D">
              <w:rPr>
                <w:rFonts w:ascii="Arial Narrow" w:hAnsi="Arial Narrow"/>
                <w:b/>
                <w:iCs/>
                <w:sz w:val="20"/>
                <w:lang w:val="fr-FR"/>
              </w:rPr>
              <w:t>Indirect comparison</w:t>
            </w:r>
          </w:p>
          <w:p w:rsidR="005215A8" w:rsidRPr="0057172D" w:rsidRDefault="00DF5FDF" w:rsidP="0049696E">
            <w:pPr>
              <w:keepNext/>
              <w:jc w:val="center"/>
              <w:rPr>
                <w:rFonts w:ascii="Arial Narrow" w:hAnsi="Arial Narrow"/>
                <w:b/>
                <w:iCs/>
                <w:sz w:val="20"/>
                <w:lang w:val="fr-FR"/>
              </w:rPr>
            </w:pPr>
            <w:r w:rsidRPr="0057172D">
              <w:rPr>
                <w:rFonts w:ascii="Arial Narrow" w:hAnsi="Arial Narrow"/>
                <w:b/>
                <w:iCs/>
                <w:sz w:val="20"/>
                <w:lang w:val="fr-FR"/>
              </w:rPr>
              <w:t>R</w:t>
            </w:r>
            <w:r w:rsidR="005215A8" w:rsidRPr="0057172D">
              <w:rPr>
                <w:rFonts w:ascii="Arial Narrow" w:hAnsi="Arial Narrow"/>
                <w:b/>
                <w:iCs/>
                <w:sz w:val="20"/>
                <w:lang w:val="fr-FR"/>
              </w:rPr>
              <w:t>R (95% CI)</w:t>
            </w:r>
            <w:r w:rsidR="005215A8" w:rsidRPr="0057172D">
              <w:rPr>
                <w:rFonts w:ascii="Arial Narrow" w:hAnsi="Arial Narrow"/>
                <w:b/>
                <w:iCs/>
                <w:sz w:val="20"/>
                <w:vertAlign w:val="superscript"/>
                <w:lang w:val="fr-FR"/>
              </w:rPr>
              <w:t>a</w:t>
            </w:r>
          </w:p>
        </w:tc>
      </w:tr>
      <w:tr w:rsidR="004604EA" w:rsidRPr="0057172D" w:rsidTr="00ED4FCE">
        <w:trPr>
          <w:trHeight w:val="70"/>
        </w:trPr>
        <w:tc>
          <w:tcPr>
            <w:tcW w:w="448" w:type="dxa"/>
            <w:vMerge w:val="restart"/>
            <w:vAlign w:val="center"/>
          </w:tcPr>
          <w:p w:rsidR="004604EA" w:rsidRPr="0057172D" w:rsidRDefault="004604EA" w:rsidP="0049696E">
            <w:pPr>
              <w:keepNext/>
              <w:jc w:val="left"/>
              <w:rPr>
                <w:rFonts w:ascii="Arial Narrow" w:hAnsi="Arial Narrow"/>
                <w:iCs/>
                <w:sz w:val="20"/>
              </w:rPr>
            </w:pPr>
            <w:r w:rsidRPr="0057172D">
              <w:rPr>
                <w:rFonts w:ascii="Arial Narrow" w:hAnsi="Arial Narrow"/>
                <w:iCs/>
                <w:sz w:val="20"/>
              </w:rPr>
              <w:t>SEC</w:t>
            </w:r>
          </w:p>
        </w:tc>
        <w:tc>
          <w:tcPr>
            <w:tcW w:w="2100" w:type="dxa"/>
          </w:tcPr>
          <w:p w:rsidR="004604EA" w:rsidRPr="0057172D" w:rsidRDefault="004604EA" w:rsidP="0049696E">
            <w:pPr>
              <w:keepNext/>
              <w:rPr>
                <w:rFonts w:ascii="Arial Narrow" w:hAnsi="Arial Narrow"/>
                <w:iCs/>
                <w:sz w:val="20"/>
              </w:rPr>
            </w:pPr>
            <w:r w:rsidRPr="0057172D">
              <w:rPr>
                <w:rFonts w:ascii="Arial Narrow" w:hAnsi="Arial Narrow"/>
                <w:iCs/>
                <w:sz w:val="20"/>
              </w:rPr>
              <w:t>FUTURE2 (12 wk, subgp)</w:t>
            </w:r>
          </w:p>
        </w:tc>
        <w:tc>
          <w:tcPr>
            <w:tcW w:w="1134" w:type="dxa"/>
            <w:vAlign w:val="center"/>
          </w:tcPr>
          <w:p w:rsidR="004604EA" w:rsidRPr="0057172D" w:rsidRDefault="004604EA" w:rsidP="0049696E">
            <w:pPr>
              <w:keepNext/>
              <w:jc w:val="center"/>
              <w:rPr>
                <w:rFonts w:ascii="Arial Narrow" w:hAnsi="Arial Narrow"/>
                <w:iCs/>
                <w:sz w:val="20"/>
              </w:rPr>
            </w:pPr>
          </w:p>
        </w:tc>
        <w:tc>
          <w:tcPr>
            <w:tcW w:w="1064" w:type="dxa"/>
            <w:vAlign w:val="center"/>
          </w:tcPr>
          <w:p w:rsidR="004604EA" w:rsidRPr="0057172D" w:rsidRDefault="004604EA" w:rsidP="0049696E">
            <w:pPr>
              <w:keepNext/>
              <w:jc w:val="center"/>
              <w:rPr>
                <w:rFonts w:ascii="Arial Narrow" w:hAnsi="Arial Narrow"/>
                <w:iCs/>
                <w:sz w:val="20"/>
              </w:rPr>
            </w:pPr>
          </w:p>
        </w:tc>
        <w:tc>
          <w:tcPr>
            <w:tcW w:w="1399" w:type="dxa"/>
            <w:vAlign w:val="center"/>
          </w:tcPr>
          <w:p w:rsidR="004604EA" w:rsidRPr="0057172D" w:rsidRDefault="004604EA" w:rsidP="0049696E">
            <w:pPr>
              <w:keepNext/>
              <w:jc w:val="center"/>
              <w:rPr>
                <w:rFonts w:ascii="Arial Narrow" w:hAnsi="Arial Narrow"/>
                <w:b/>
                <w:iCs/>
                <w:sz w:val="20"/>
              </w:rPr>
            </w:pPr>
          </w:p>
        </w:tc>
        <w:tc>
          <w:tcPr>
            <w:tcW w:w="980" w:type="dxa"/>
            <w:vAlign w:val="center"/>
          </w:tcPr>
          <w:p w:rsidR="004604EA" w:rsidRPr="0057172D" w:rsidRDefault="004604EA" w:rsidP="0049696E">
            <w:pPr>
              <w:keepNext/>
              <w:jc w:val="center"/>
              <w:rPr>
                <w:rFonts w:ascii="Arial Narrow" w:hAnsi="Arial Narrow"/>
                <w:iCs/>
                <w:sz w:val="20"/>
              </w:rPr>
            </w:pPr>
          </w:p>
        </w:tc>
        <w:tc>
          <w:tcPr>
            <w:tcW w:w="1275" w:type="dxa"/>
            <w:vAlign w:val="center"/>
          </w:tcPr>
          <w:p w:rsidR="004604EA" w:rsidRPr="0057172D" w:rsidRDefault="004604EA" w:rsidP="0049696E">
            <w:pPr>
              <w:keepNext/>
              <w:jc w:val="center"/>
              <w:rPr>
                <w:rFonts w:ascii="Arial Narrow" w:hAnsi="Arial Narrow"/>
                <w:iCs/>
                <w:sz w:val="20"/>
              </w:rPr>
            </w:pPr>
          </w:p>
        </w:tc>
      </w:tr>
      <w:tr w:rsidR="004604EA" w:rsidRPr="0057172D" w:rsidTr="00ED4FCE">
        <w:trPr>
          <w:trHeight w:val="70"/>
        </w:trPr>
        <w:tc>
          <w:tcPr>
            <w:tcW w:w="448" w:type="dxa"/>
            <w:vMerge/>
            <w:vAlign w:val="center"/>
          </w:tcPr>
          <w:p w:rsidR="004604EA" w:rsidRPr="0057172D" w:rsidRDefault="004604EA" w:rsidP="0049696E">
            <w:pPr>
              <w:keepNext/>
              <w:jc w:val="left"/>
              <w:rPr>
                <w:rFonts w:ascii="Arial Narrow" w:hAnsi="Arial Narrow"/>
                <w:iCs/>
                <w:sz w:val="20"/>
              </w:rPr>
            </w:pPr>
          </w:p>
        </w:tc>
        <w:tc>
          <w:tcPr>
            <w:tcW w:w="2100" w:type="dxa"/>
          </w:tcPr>
          <w:p w:rsidR="004604EA" w:rsidRPr="0057172D" w:rsidRDefault="004604EA" w:rsidP="0049696E">
            <w:pPr>
              <w:keepNext/>
              <w:ind w:left="113"/>
              <w:rPr>
                <w:rFonts w:ascii="Arial Narrow" w:hAnsi="Arial Narrow"/>
                <w:iCs/>
                <w:sz w:val="20"/>
              </w:rPr>
            </w:pPr>
            <w:r w:rsidRPr="0057172D">
              <w:rPr>
                <w:rFonts w:ascii="Arial Narrow" w:hAnsi="Arial Narrow"/>
                <w:iCs/>
                <w:sz w:val="20"/>
              </w:rPr>
              <w:t>SEC 15</w:t>
            </w:r>
            <w:r w:rsidR="00992EE2" w:rsidRPr="0057172D">
              <w:rPr>
                <w:rFonts w:ascii="Arial Narrow" w:hAnsi="Arial Narrow"/>
                <w:iCs/>
                <w:sz w:val="20"/>
              </w:rPr>
              <w:t>0 mg</w:t>
            </w:r>
          </w:p>
        </w:tc>
        <w:tc>
          <w:tcPr>
            <w:tcW w:w="1134" w:type="dxa"/>
            <w:vAlign w:val="bottom"/>
          </w:tcPr>
          <w:p w:rsidR="004604EA" w:rsidRPr="0057172D" w:rsidRDefault="000039CC" w:rsidP="0049696E">
            <w:pPr>
              <w:keepNext/>
              <w:jc w:val="center"/>
              <w:rPr>
                <w:rFonts w:ascii="Arial Narrow" w:hAnsi="Arial Narrow"/>
                <w:iCs/>
                <w:sz w:val="20"/>
              </w:rPr>
            </w:pPr>
            <w:r>
              <w:rPr>
                <w:rFonts w:ascii="Arial Narrow" w:hAnsi="Arial Narrow"/>
                <w:iCs/>
                <w:noProof/>
                <w:color w:val="000000"/>
                <w:sz w:val="20"/>
                <w:highlight w:val="black"/>
                <w:lang w:eastAsia="zh-CN"/>
              </w:rPr>
              <w:t>'''''''''''''</w:t>
            </w:r>
            <w:r w:rsidR="004604EA" w:rsidRPr="0057172D">
              <w:rPr>
                <w:rFonts w:ascii="Arial Narrow" w:hAnsi="Arial Narrow"/>
                <w:iCs/>
                <w:sz w:val="20"/>
                <w:lang w:eastAsia="zh-CN"/>
              </w:rPr>
              <w:t xml:space="preserve"> (</w:t>
            </w:r>
            <w:r>
              <w:rPr>
                <w:rFonts w:ascii="Arial Narrow" w:hAnsi="Arial Narrow"/>
                <w:iCs/>
                <w:noProof/>
                <w:color w:val="000000"/>
                <w:sz w:val="20"/>
                <w:highlight w:val="black"/>
                <w:lang w:eastAsia="zh-CN"/>
              </w:rPr>
              <w:t>'''''''''''''</w:t>
            </w:r>
          </w:p>
        </w:tc>
        <w:tc>
          <w:tcPr>
            <w:tcW w:w="1064" w:type="dxa"/>
            <w:vMerge w:val="restart"/>
            <w:vAlign w:val="center"/>
          </w:tcPr>
          <w:p w:rsidR="004604EA" w:rsidRPr="0057172D" w:rsidRDefault="004604EA" w:rsidP="0049696E">
            <w:pPr>
              <w:keepNext/>
              <w:jc w:val="center"/>
              <w:rPr>
                <w:rFonts w:ascii="Arial Narrow" w:hAnsi="Arial Narrow"/>
                <w:iCs/>
                <w:sz w:val="20"/>
              </w:rPr>
            </w:pPr>
            <w:r w:rsidRPr="0057172D">
              <w:rPr>
                <w:rFonts w:ascii="Arial Narrow" w:hAnsi="Arial Narrow"/>
                <w:iCs/>
                <w:sz w:val="20"/>
                <w:lang w:eastAsia="zh-CN"/>
              </w:rPr>
              <w:t>19/63 (30.2)</w:t>
            </w:r>
          </w:p>
        </w:tc>
        <w:tc>
          <w:tcPr>
            <w:tcW w:w="1399" w:type="dxa"/>
            <w:vAlign w:val="center"/>
          </w:tcPr>
          <w:p w:rsidR="004604EA" w:rsidRPr="0057172D" w:rsidRDefault="000039CC" w:rsidP="0049696E">
            <w:pPr>
              <w:keepNext/>
              <w:jc w:val="center"/>
              <w:rPr>
                <w:rFonts w:ascii="Arial Narrow" w:hAnsi="Arial Narrow"/>
                <w:b/>
                <w:iCs/>
                <w:sz w:val="20"/>
              </w:rPr>
            </w:pPr>
            <w:r>
              <w:rPr>
                <w:rFonts w:ascii="Arial Narrow" w:hAnsi="Arial Narrow"/>
                <w:b/>
                <w:iCs/>
                <w:noProof/>
                <w:color w:val="000000"/>
                <w:sz w:val="20"/>
                <w:highlight w:val="black"/>
              </w:rPr>
              <w:t>''''''''</w:t>
            </w:r>
            <w:r w:rsidR="004604EA" w:rsidRPr="0057172D">
              <w:rPr>
                <w:rFonts w:ascii="Arial Narrow" w:hAnsi="Arial Narrow"/>
                <w:b/>
                <w:iCs/>
                <w:sz w:val="20"/>
              </w:rPr>
              <w:t xml:space="preserve"> (</w:t>
            </w:r>
            <w:r>
              <w:rPr>
                <w:rFonts w:ascii="Arial Narrow" w:hAnsi="Arial Narrow"/>
                <w:b/>
                <w:iCs/>
                <w:noProof/>
                <w:color w:val="000000"/>
                <w:sz w:val="20"/>
                <w:highlight w:val="black"/>
              </w:rPr>
              <w:t>'''''''''</w:t>
            </w:r>
            <w:r w:rsidR="004604EA" w:rsidRPr="0057172D">
              <w:rPr>
                <w:rFonts w:ascii="Arial Narrow" w:hAnsi="Arial Narrow"/>
                <w:b/>
                <w:iCs/>
                <w:sz w:val="20"/>
              </w:rPr>
              <w:t xml:space="preserve">, </w:t>
            </w:r>
            <w:r>
              <w:rPr>
                <w:rFonts w:ascii="Arial Narrow" w:hAnsi="Arial Narrow"/>
                <w:b/>
                <w:iCs/>
                <w:noProof/>
                <w:color w:val="000000"/>
                <w:sz w:val="20"/>
                <w:highlight w:val="black"/>
              </w:rPr>
              <w:t>'''''''''</w:t>
            </w:r>
            <w:r w:rsidR="004604EA" w:rsidRPr="0057172D">
              <w:rPr>
                <w:rFonts w:ascii="Arial Narrow" w:hAnsi="Arial Narrow"/>
                <w:b/>
                <w:iCs/>
                <w:sz w:val="20"/>
              </w:rPr>
              <w:t>)</w:t>
            </w:r>
          </w:p>
        </w:tc>
        <w:tc>
          <w:tcPr>
            <w:tcW w:w="980" w:type="dxa"/>
            <w:vAlign w:val="center"/>
          </w:tcPr>
          <w:p w:rsidR="004604EA" w:rsidRPr="0057172D" w:rsidRDefault="004604EA" w:rsidP="0049696E">
            <w:pPr>
              <w:keepNext/>
              <w:jc w:val="center"/>
              <w:rPr>
                <w:rFonts w:ascii="Arial Narrow" w:hAnsi="Arial Narrow"/>
                <w:iCs/>
                <w:sz w:val="20"/>
              </w:rPr>
            </w:pPr>
            <w:r w:rsidRPr="0057172D">
              <w:rPr>
                <w:rFonts w:ascii="Arial Narrow" w:hAnsi="Arial Narrow"/>
                <w:iCs/>
                <w:sz w:val="20"/>
              </w:rPr>
              <w:t>-</w:t>
            </w:r>
          </w:p>
        </w:tc>
        <w:tc>
          <w:tcPr>
            <w:tcW w:w="1275" w:type="dxa"/>
            <w:vAlign w:val="center"/>
          </w:tcPr>
          <w:p w:rsidR="004604EA" w:rsidRPr="0057172D" w:rsidRDefault="004604EA" w:rsidP="0049696E">
            <w:pPr>
              <w:keepNext/>
              <w:jc w:val="center"/>
              <w:rPr>
                <w:rFonts w:ascii="Arial Narrow" w:hAnsi="Arial Narrow"/>
                <w:iCs/>
                <w:sz w:val="20"/>
              </w:rPr>
            </w:pPr>
            <w:r w:rsidRPr="0057172D">
              <w:rPr>
                <w:rFonts w:ascii="Arial Narrow" w:hAnsi="Arial Narrow"/>
                <w:iCs/>
                <w:sz w:val="20"/>
              </w:rPr>
              <w:t>-</w:t>
            </w:r>
          </w:p>
        </w:tc>
      </w:tr>
      <w:tr w:rsidR="004604EA" w:rsidRPr="0057172D" w:rsidTr="00ED4FCE">
        <w:trPr>
          <w:trHeight w:val="70"/>
        </w:trPr>
        <w:tc>
          <w:tcPr>
            <w:tcW w:w="448" w:type="dxa"/>
            <w:vMerge/>
            <w:vAlign w:val="center"/>
          </w:tcPr>
          <w:p w:rsidR="004604EA" w:rsidRPr="0057172D" w:rsidRDefault="004604EA" w:rsidP="0049696E">
            <w:pPr>
              <w:keepNext/>
              <w:jc w:val="left"/>
              <w:rPr>
                <w:rFonts w:ascii="Arial Narrow" w:hAnsi="Arial Narrow"/>
                <w:iCs/>
                <w:sz w:val="20"/>
              </w:rPr>
            </w:pPr>
          </w:p>
        </w:tc>
        <w:tc>
          <w:tcPr>
            <w:tcW w:w="2100" w:type="dxa"/>
            <w:tcBorders>
              <w:bottom w:val="single" w:sz="4" w:space="0" w:color="auto"/>
            </w:tcBorders>
          </w:tcPr>
          <w:p w:rsidR="004604EA" w:rsidRPr="0057172D" w:rsidRDefault="004604EA" w:rsidP="0049696E">
            <w:pPr>
              <w:keepNext/>
              <w:ind w:left="113"/>
              <w:rPr>
                <w:rFonts w:ascii="Arial Narrow" w:hAnsi="Arial Narrow"/>
                <w:iCs/>
                <w:sz w:val="20"/>
              </w:rPr>
            </w:pPr>
            <w:r w:rsidRPr="0057172D">
              <w:rPr>
                <w:rFonts w:ascii="Arial Narrow" w:hAnsi="Arial Narrow"/>
                <w:iCs/>
                <w:sz w:val="20"/>
              </w:rPr>
              <w:t>SEC 30</w:t>
            </w:r>
            <w:r w:rsidR="00992EE2" w:rsidRPr="0057172D">
              <w:rPr>
                <w:rFonts w:ascii="Arial Narrow" w:hAnsi="Arial Narrow"/>
                <w:iCs/>
                <w:sz w:val="20"/>
              </w:rPr>
              <w:t>0 mg</w:t>
            </w:r>
          </w:p>
        </w:tc>
        <w:tc>
          <w:tcPr>
            <w:tcW w:w="1134" w:type="dxa"/>
            <w:tcBorders>
              <w:bottom w:val="single" w:sz="4" w:space="0" w:color="auto"/>
            </w:tcBorders>
            <w:vAlign w:val="bottom"/>
          </w:tcPr>
          <w:p w:rsidR="004604EA" w:rsidRPr="0057172D" w:rsidRDefault="000039CC" w:rsidP="0049696E">
            <w:pPr>
              <w:keepNext/>
              <w:jc w:val="center"/>
              <w:rPr>
                <w:rFonts w:ascii="Arial Narrow" w:hAnsi="Arial Narrow"/>
                <w:iCs/>
                <w:sz w:val="20"/>
              </w:rPr>
            </w:pPr>
            <w:r>
              <w:rPr>
                <w:rFonts w:ascii="Arial Narrow" w:hAnsi="Arial Narrow"/>
                <w:iCs/>
                <w:noProof/>
                <w:color w:val="000000"/>
                <w:sz w:val="20"/>
                <w:highlight w:val="black"/>
                <w:lang w:eastAsia="zh-CN"/>
              </w:rPr>
              <w:t>''''''''''''''</w:t>
            </w:r>
            <w:r w:rsidR="004604EA" w:rsidRPr="0057172D">
              <w:rPr>
                <w:rFonts w:ascii="Arial Narrow" w:hAnsi="Arial Narrow"/>
                <w:iCs/>
                <w:sz w:val="20"/>
                <w:lang w:eastAsia="zh-CN"/>
              </w:rPr>
              <w:t xml:space="preserve"> (</w:t>
            </w:r>
            <w:r>
              <w:rPr>
                <w:rFonts w:ascii="Arial Narrow" w:hAnsi="Arial Narrow"/>
                <w:iCs/>
                <w:noProof/>
                <w:color w:val="000000"/>
                <w:sz w:val="20"/>
                <w:highlight w:val="black"/>
                <w:lang w:eastAsia="zh-CN"/>
              </w:rPr>
              <w:t>'''''''''''</w:t>
            </w:r>
            <w:r w:rsidR="004604EA" w:rsidRPr="0057172D">
              <w:rPr>
                <w:rFonts w:ascii="Arial Narrow" w:hAnsi="Arial Narrow"/>
                <w:iCs/>
                <w:sz w:val="20"/>
                <w:lang w:eastAsia="zh-CN"/>
              </w:rPr>
              <w:t>)</w:t>
            </w:r>
          </w:p>
        </w:tc>
        <w:tc>
          <w:tcPr>
            <w:tcW w:w="1064" w:type="dxa"/>
            <w:vMerge/>
            <w:vAlign w:val="bottom"/>
          </w:tcPr>
          <w:p w:rsidR="004604EA" w:rsidRPr="0057172D" w:rsidRDefault="004604EA" w:rsidP="0049696E">
            <w:pPr>
              <w:keepNext/>
              <w:jc w:val="center"/>
              <w:rPr>
                <w:rFonts w:ascii="Arial Narrow" w:hAnsi="Arial Narrow"/>
                <w:iCs/>
                <w:sz w:val="20"/>
              </w:rPr>
            </w:pPr>
          </w:p>
        </w:tc>
        <w:tc>
          <w:tcPr>
            <w:tcW w:w="1399" w:type="dxa"/>
            <w:tcBorders>
              <w:bottom w:val="single" w:sz="4" w:space="0" w:color="auto"/>
            </w:tcBorders>
            <w:vAlign w:val="center"/>
          </w:tcPr>
          <w:p w:rsidR="004604EA" w:rsidRPr="0057172D" w:rsidRDefault="000039CC" w:rsidP="0049696E">
            <w:pPr>
              <w:keepNext/>
              <w:jc w:val="center"/>
              <w:rPr>
                <w:rFonts w:ascii="Arial Narrow" w:hAnsi="Arial Narrow"/>
                <w:b/>
                <w:iCs/>
                <w:sz w:val="20"/>
              </w:rPr>
            </w:pPr>
            <w:r>
              <w:rPr>
                <w:rFonts w:ascii="Arial Narrow" w:hAnsi="Arial Narrow"/>
                <w:b/>
                <w:iCs/>
                <w:noProof/>
                <w:color w:val="000000"/>
                <w:sz w:val="20"/>
                <w:highlight w:val="black"/>
              </w:rPr>
              <w:t>''''''''</w:t>
            </w:r>
            <w:r w:rsidR="004604EA" w:rsidRPr="0057172D">
              <w:rPr>
                <w:rFonts w:ascii="Arial Narrow" w:hAnsi="Arial Narrow"/>
                <w:b/>
                <w:iCs/>
                <w:sz w:val="20"/>
              </w:rPr>
              <w:t xml:space="preserve"> (</w:t>
            </w:r>
            <w:r>
              <w:rPr>
                <w:rFonts w:ascii="Arial Narrow" w:hAnsi="Arial Narrow"/>
                <w:b/>
                <w:iCs/>
                <w:noProof/>
                <w:color w:val="000000"/>
                <w:sz w:val="20"/>
                <w:highlight w:val="black"/>
              </w:rPr>
              <w:t>''''''''</w:t>
            </w:r>
            <w:r w:rsidR="004604EA" w:rsidRPr="0057172D">
              <w:rPr>
                <w:rFonts w:ascii="Arial Narrow" w:hAnsi="Arial Narrow"/>
                <w:b/>
                <w:iCs/>
                <w:sz w:val="20"/>
              </w:rPr>
              <w:t xml:space="preserve">, </w:t>
            </w:r>
            <w:r>
              <w:rPr>
                <w:rFonts w:ascii="Arial Narrow" w:hAnsi="Arial Narrow"/>
                <w:b/>
                <w:iCs/>
                <w:noProof/>
                <w:color w:val="000000"/>
                <w:sz w:val="20"/>
                <w:highlight w:val="black"/>
              </w:rPr>
              <w:t>'''''''''</w:t>
            </w:r>
            <w:r w:rsidR="004604EA" w:rsidRPr="0057172D">
              <w:rPr>
                <w:rFonts w:ascii="Arial Narrow" w:hAnsi="Arial Narrow"/>
                <w:b/>
                <w:iCs/>
                <w:sz w:val="20"/>
              </w:rPr>
              <w:t>)</w:t>
            </w:r>
          </w:p>
        </w:tc>
        <w:tc>
          <w:tcPr>
            <w:tcW w:w="980" w:type="dxa"/>
            <w:tcBorders>
              <w:bottom w:val="single" w:sz="4" w:space="0" w:color="auto"/>
            </w:tcBorders>
            <w:vAlign w:val="center"/>
          </w:tcPr>
          <w:p w:rsidR="004604EA" w:rsidRPr="0057172D" w:rsidRDefault="004604EA" w:rsidP="0049696E">
            <w:pPr>
              <w:keepNext/>
              <w:jc w:val="center"/>
              <w:rPr>
                <w:rFonts w:ascii="Arial Narrow" w:hAnsi="Arial Narrow"/>
                <w:iCs/>
                <w:sz w:val="20"/>
              </w:rPr>
            </w:pPr>
            <w:r w:rsidRPr="0057172D">
              <w:rPr>
                <w:rFonts w:ascii="Arial Narrow" w:hAnsi="Arial Narrow"/>
                <w:iCs/>
                <w:sz w:val="20"/>
              </w:rPr>
              <w:t>-</w:t>
            </w:r>
          </w:p>
        </w:tc>
        <w:tc>
          <w:tcPr>
            <w:tcW w:w="1275" w:type="dxa"/>
            <w:tcBorders>
              <w:bottom w:val="single" w:sz="4" w:space="0" w:color="auto"/>
            </w:tcBorders>
            <w:vAlign w:val="center"/>
          </w:tcPr>
          <w:p w:rsidR="004604EA" w:rsidRPr="0057172D" w:rsidRDefault="004604EA" w:rsidP="0049696E">
            <w:pPr>
              <w:keepNext/>
              <w:jc w:val="center"/>
              <w:rPr>
                <w:rFonts w:ascii="Arial Narrow" w:hAnsi="Arial Narrow"/>
                <w:iCs/>
                <w:sz w:val="20"/>
              </w:rPr>
            </w:pPr>
            <w:r w:rsidRPr="0057172D">
              <w:rPr>
                <w:rFonts w:ascii="Arial Narrow" w:hAnsi="Arial Narrow"/>
                <w:iCs/>
                <w:sz w:val="20"/>
              </w:rPr>
              <w:t>-</w:t>
            </w:r>
          </w:p>
        </w:tc>
      </w:tr>
      <w:tr w:rsidR="004604EA" w:rsidRPr="0057172D" w:rsidTr="00ED4FCE">
        <w:trPr>
          <w:trHeight w:val="70"/>
        </w:trPr>
        <w:tc>
          <w:tcPr>
            <w:tcW w:w="448" w:type="dxa"/>
            <w:vMerge/>
            <w:tcBorders>
              <w:bottom w:val="double" w:sz="4" w:space="0" w:color="auto"/>
            </w:tcBorders>
            <w:vAlign w:val="center"/>
          </w:tcPr>
          <w:p w:rsidR="004604EA" w:rsidRPr="0057172D" w:rsidRDefault="004604EA" w:rsidP="0049696E">
            <w:pPr>
              <w:keepNext/>
              <w:jc w:val="left"/>
              <w:rPr>
                <w:rFonts w:ascii="Arial Narrow" w:hAnsi="Arial Narrow"/>
                <w:iCs/>
                <w:sz w:val="20"/>
              </w:rPr>
            </w:pPr>
          </w:p>
        </w:tc>
        <w:tc>
          <w:tcPr>
            <w:tcW w:w="2100" w:type="dxa"/>
            <w:tcBorders>
              <w:bottom w:val="double" w:sz="4" w:space="0" w:color="auto"/>
            </w:tcBorders>
          </w:tcPr>
          <w:p w:rsidR="004604EA" w:rsidRPr="0057172D" w:rsidRDefault="004604EA" w:rsidP="0049696E">
            <w:pPr>
              <w:keepNext/>
              <w:ind w:left="113"/>
              <w:rPr>
                <w:rFonts w:ascii="Arial Narrow" w:hAnsi="Arial Narrow"/>
                <w:iCs/>
                <w:sz w:val="20"/>
              </w:rPr>
            </w:pPr>
            <w:r w:rsidRPr="0057172D">
              <w:rPr>
                <w:rFonts w:ascii="Arial Narrow" w:hAnsi="Arial Narrow"/>
                <w:iCs/>
                <w:sz w:val="20"/>
              </w:rPr>
              <w:t>SEC (‘lumped’)</w:t>
            </w:r>
          </w:p>
        </w:tc>
        <w:tc>
          <w:tcPr>
            <w:tcW w:w="1134" w:type="dxa"/>
            <w:tcBorders>
              <w:bottom w:val="double" w:sz="4" w:space="0" w:color="auto"/>
            </w:tcBorders>
            <w:vAlign w:val="bottom"/>
          </w:tcPr>
          <w:p w:rsidR="004604EA" w:rsidRPr="0057172D" w:rsidRDefault="000039CC" w:rsidP="0049696E">
            <w:pPr>
              <w:keepNext/>
              <w:jc w:val="center"/>
              <w:rPr>
                <w:rFonts w:ascii="Arial Narrow" w:hAnsi="Arial Narrow"/>
                <w:iCs/>
                <w:sz w:val="20"/>
              </w:rPr>
            </w:pPr>
            <w:r>
              <w:rPr>
                <w:rFonts w:ascii="Arial Narrow" w:hAnsi="Arial Narrow"/>
                <w:iCs/>
                <w:noProof/>
                <w:color w:val="000000"/>
                <w:sz w:val="20"/>
                <w:highlight w:val="black"/>
              </w:rPr>
              <w:t>'''''''''''''''</w:t>
            </w:r>
            <w:r w:rsidR="004604EA" w:rsidRPr="0057172D">
              <w:rPr>
                <w:rFonts w:ascii="Arial Narrow" w:hAnsi="Arial Narrow"/>
                <w:iCs/>
                <w:sz w:val="20"/>
              </w:rPr>
              <w:t xml:space="preserve"> (</w:t>
            </w:r>
            <w:r>
              <w:rPr>
                <w:rFonts w:ascii="Arial Narrow" w:hAnsi="Arial Narrow"/>
                <w:iCs/>
                <w:noProof/>
                <w:color w:val="000000"/>
                <w:sz w:val="20"/>
                <w:highlight w:val="black"/>
              </w:rPr>
              <w:t>''''''''''</w:t>
            </w:r>
            <w:r w:rsidR="004604EA" w:rsidRPr="0057172D">
              <w:rPr>
                <w:rFonts w:ascii="Arial Narrow" w:hAnsi="Arial Narrow"/>
                <w:iCs/>
                <w:sz w:val="20"/>
              </w:rPr>
              <w:t>)</w:t>
            </w:r>
          </w:p>
        </w:tc>
        <w:tc>
          <w:tcPr>
            <w:tcW w:w="1064" w:type="dxa"/>
            <w:vMerge/>
            <w:tcBorders>
              <w:bottom w:val="double" w:sz="4" w:space="0" w:color="auto"/>
            </w:tcBorders>
            <w:vAlign w:val="bottom"/>
          </w:tcPr>
          <w:p w:rsidR="004604EA" w:rsidRPr="0057172D" w:rsidRDefault="004604EA" w:rsidP="0049696E">
            <w:pPr>
              <w:keepNext/>
              <w:jc w:val="center"/>
              <w:rPr>
                <w:rFonts w:ascii="Arial Narrow" w:hAnsi="Arial Narrow"/>
                <w:iCs/>
                <w:sz w:val="20"/>
              </w:rPr>
            </w:pPr>
          </w:p>
        </w:tc>
        <w:tc>
          <w:tcPr>
            <w:tcW w:w="1399" w:type="dxa"/>
            <w:tcBorders>
              <w:bottom w:val="double" w:sz="4" w:space="0" w:color="auto"/>
            </w:tcBorders>
            <w:vAlign w:val="center"/>
          </w:tcPr>
          <w:p w:rsidR="004604EA" w:rsidRPr="0057172D" w:rsidRDefault="000039CC" w:rsidP="0049696E">
            <w:pPr>
              <w:keepNext/>
              <w:jc w:val="center"/>
              <w:rPr>
                <w:rFonts w:ascii="Arial Narrow" w:hAnsi="Arial Narrow"/>
                <w:b/>
                <w:iCs/>
                <w:sz w:val="20"/>
              </w:rPr>
            </w:pPr>
            <w:r>
              <w:rPr>
                <w:rFonts w:ascii="Arial Narrow" w:hAnsi="Arial Narrow"/>
                <w:b/>
                <w:iCs/>
                <w:noProof/>
                <w:color w:val="000000"/>
                <w:sz w:val="20"/>
                <w:highlight w:val="black"/>
              </w:rPr>
              <w:t>'''''''''</w:t>
            </w:r>
            <w:r w:rsidR="004604EA" w:rsidRPr="0057172D">
              <w:rPr>
                <w:rFonts w:ascii="Arial Narrow" w:hAnsi="Arial Narrow"/>
                <w:b/>
                <w:iCs/>
                <w:sz w:val="20"/>
              </w:rPr>
              <w:t xml:space="preserve"> (</w:t>
            </w:r>
            <w:r>
              <w:rPr>
                <w:rFonts w:ascii="Arial Narrow" w:hAnsi="Arial Narrow"/>
                <w:b/>
                <w:iCs/>
                <w:noProof/>
                <w:color w:val="000000"/>
                <w:sz w:val="20"/>
                <w:highlight w:val="black"/>
              </w:rPr>
              <w:t>'''''''''</w:t>
            </w:r>
            <w:r w:rsidR="004604EA" w:rsidRPr="0057172D">
              <w:rPr>
                <w:rFonts w:ascii="Arial Narrow" w:hAnsi="Arial Narrow"/>
                <w:b/>
                <w:iCs/>
                <w:sz w:val="20"/>
              </w:rPr>
              <w:t xml:space="preserve">, </w:t>
            </w:r>
            <w:r>
              <w:rPr>
                <w:rFonts w:ascii="Arial Narrow" w:hAnsi="Arial Narrow"/>
                <w:b/>
                <w:iCs/>
                <w:noProof/>
                <w:color w:val="000000"/>
                <w:sz w:val="20"/>
                <w:highlight w:val="black"/>
              </w:rPr>
              <w:t>'''''''''</w:t>
            </w:r>
            <w:r w:rsidR="004604EA" w:rsidRPr="0057172D">
              <w:rPr>
                <w:rFonts w:ascii="Arial Narrow" w:hAnsi="Arial Narrow"/>
                <w:b/>
                <w:iCs/>
                <w:sz w:val="20"/>
              </w:rPr>
              <w:t>)</w:t>
            </w:r>
          </w:p>
        </w:tc>
        <w:tc>
          <w:tcPr>
            <w:tcW w:w="980" w:type="dxa"/>
            <w:tcBorders>
              <w:bottom w:val="double" w:sz="4" w:space="0" w:color="auto"/>
            </w:tcBorders>
            <w:vAlign w:val="center"/>
          </w:tcPr>
          <w:p w:rsidR="004604EA" w:rsidRPr="0057172D" w:rsidRDefault="004604EA" w:rsidP="0049696E">
            <w:pPr>
              <w:keepNext/>
              <w:jc w:val="center"/>
              <w:rPr>
                <w:rFonts w:ascii="Arial Narrow" w:hAnsi="Arial Narrow"/>
                <w:iCs/>
                <w:sz w:val="20"/>
              </w:rPr>
            </w:pPr>
            <w:r w:rsidRPr="0057172D">
              <w:rPr>
                <w:rFonts w:ascii="Arial Narrow" w:hAnsi="Arial Narrow"/>
                <w:iCs/>
                <w:sz w:val="20"/>
              </w:rPr>
              <w:t>-</w:t>
            </w:r>
          </w:p>
        </w:tc>
        <w:tc>
          <w:tcPr>
            <w:tcW w:w="1275" w:type="dxa"/>
            <w:tcBorders>
              <w:bottom w:val="double" w:sz="4" w:space="0" w:color="auto"/>
            </w:tcBorders>
            <w:vAlign w:val="center"/>
          </w:tcPr>
          <w:p w:rsidR="004604EA" w:rsidRPr="0057172D" w:rsidRDefault="004604EA" w:rsidP="0049696E">
            <w:pPr>
              <w:keepNext/>
              <w:jc w:val="center"/>
              <w:rPr>
                <w:rFonts w:ascii="Arial Narrow" w:hAnsi="Arial Narrow"/>
                <w:iCs/>
                <w:sz w:val="20"/>
              </w:rPr>
            </w:pPr>
            <w:r w:rsidRPr="0057172D">
              <w:rPr>
                <w:rFonts w:ascii="Arial Narrow" w:hAnsi="Arial Narrow"/>
                <w:iCs/>
                <w:sz w:val="20"/>
              </w:rPr>
              <w:t>-</w:t>
            </w:r>
          </w:p>
        </w:tc>
      </w:tr>
      <w:tr w:rsidR="00ED4FCE" w:rsidRPr="0057172D" w:rsidTr="00ED4FCE">
        <w:tc>
          <w:tcPr>
            <w:tcW w:w="448" w:type="dxa"/>
            <w:vMerge w:val="restart"/>
            <w:tcBorders>
              <w:top w:val="double" w:sz="4" w:space="0" w:color="auto"/>
            </w:tcBorders>
            <w:vAlign w:val="center"/>
          </w:tcPr>
          <w:p w:rsidR="004604EA" w:rsidRPr="0057172D" w:rsidRDefault="004604EA" w:rsidP="0049696E">
            <w:pPr>
              <w:keepNext/>
              <w:jc w:val="left"/>
              <w:rPr>
                <w:rFonts w:ascii="Arial Narrow" w:hAnsi="Arial Narrow"/>
                <w:iCs/>
                <w:sz w:val="20"/>
              </w:rPr>
            </w:pPr>
            <w:r w:rsidRPr="0057172D">
              <w:rPr>
                <w:rFonts w:ascii="Arial Narrow" w:hAnsi="Arial Narrow"/>
                <w:iCs/>
                <w:sz w:val="20"/>
              </w:rPr>
              <w:t>ADA</w:t>
            </w:r>
          </w:p>
        </w:tc>
        <w:tc>
          <w:tcPr>
            <w:tcW w:w="2100" w:type="dxa"/>
            <w:tcBorders>
              <w:top w:val="double" w:sz="4" w:space="0" w:color="auto"/>
            </w:tcBorders>
            <w:vAlign w:val="center"/>
          </w:tcPr>
          <w:p w:rsidR="004604EA" w:rsidRPr="0057172D" w:rsidRDefault="004604EA" w:rsidP="0049696E">
            <w:pPr>
              <w:keepNext/>
              <w:jc w:val="left"/>
              <w:rPr>
                <w:rFonts w:ascii="Arial Narrow" w:hAnsi="Arial Narrow"/>
                <w:iCs/>
                <w:sz w:val="20"/>
              </w:rPr>
            </w:pPr>
            <w:r w:rsidRPr="0057172D">
              <w:rPr>
                <w:rFonts w:ascii="Arial Narrow" w:hAnsi="Arial Narrow"/>
                <w:iCs/>
                <w:sz w:val="20"/>
              </w:rPr>
              <w:t>ADEPT (12 wk)</w:t>
            </w:r>
          </w:p>
        </w:tc>
        <w:tc>
          <w:tcPr>
            <w:tcW w:w="1134" w:type="dxa"/>
            <w:tcBorders>
              <w:top w:val="double" w:sz="4" w:space="0" w:color="auto"/>
            </w:tcBorders>
            <w:vAlign w:val="center"/>
          </w:tcPr>
          <w:p w:rsidR="004604EA" w:rsidRPr="0057172D" w:rsidRDefault="004604EA" w:rsidP="0049696E">
            <w:pPr>
              <w:keepNext/>
              <w:jc w:val="center"/>
              <w:rPr>
                <w:rFonts w:ascii="Arial Narrow" w:hAnsi="Arial Narrow"/>
                <w:iCs/>
                <w:sz w:val="20"/>
              </w:rPr>
            </w:pPr>
            <w:r w:rsidRPr="0057172D">
              <w:rPr>
                <w:rFonts w:ascii="Arial Narrow" w:hAnsi="Arial Narrow"/>
                <w:iCs/>
                <w:sz w:val="20"/>
              </w:rPr>
              <w:t>88/151 (58.3)</w:t>
            </w:r>
          </w:p>
        </w:tc>
        <w:tc>
          <w:tcPr>
            <w:tcW w:w="1064" w:type="dxa"/>
            <w:tcBorders>
              <w:top w:val="double" w:sz="4" w:space="0" w:color="auto"/>
            </w:tcBorders>
            <w:vAlign w:val="center"/>
          </w:tcPr>
          <w:p w:rsidR="004604EA" w:rsidRPr="0057172D" w:rsidRDefault="004604EA" w:rsidP="0049696E">
            <w:pPr>
              <w:keepNext/>
              <w:jc w:val="center"/>
              <w:rPr>
                <w:rFonts w:ascii="Arial Narrow" w:hAnsi="Arial Narrow"/>
                <w:iCs/>
                <w:sz w:val="20"/>
              </w:rPr>
            </w:pPr>
            <w:r w:rsidRPr="0057172D">
              <w:rPr>
                <w:rFonts w:ascii="Arial Narrow" w:hAnsi="Arial Narrow"/>
                <w:iCs/>
                <w:sz w:val="20"/>
              </w:rPr>
              <w:t>23/162 (14.2)</w:t>
            </w:r>
          </w:p>
        </w:tc>
        <w:tc>
          <w:tcPr>
            <w:tcW w:w="1399" w:type="dxa"/>
            <w:tcBorders>
              <w:top w:val="double" w:sz="4" w:space="0" w:color="auto"/>
            </w:tcBorders>
            <w:vAlign w:val="center"/>
          </w:tcPr>
          <w:p w:rsidR="004604EA" w:rsidRPr="0057172D" w:rsidRDefault="004604EA" w:rsidP="0049696E">
            <w:pPr>
              <w:keepNext/>
              <w:jc w:val="center"/>
              <w:rPr>
                <w:rFonts w:ascii="Arial Narrow" w:hAnsi="Arial Narrow"/>
                <w:b/>
                <w:iCs/>
                <w:sz w:val="20"/>
              </w:rPr>
            </w:pPr>
            <w:r w:rsidRPr="0057172D">
              <w:rPr>
                <w:rFonts w:ascii="Arial Narrow" w:hAnsi="Arial Narrow"/>
                <w:b/>
                <w:iCs/>
                <w:sz w:val="20"/>
              </w:rPr>
              <w:t>4.10 (2.75, 6.14)</w:t>
            </w:r>
          </w:p>
        </w:tc>
        <w:tc>
          <w:tcPr>
            <w:tcW w:w="980" w:type="dxa"/>
            <w:tcBorders>
              <w:top w:val="double" w:sz="4" w:space="0" w:color="auto"/>
            </w:tcBorders>
            <w:vAlign w:val="center"/>
          </w:tcPr>
          <w:p w:rsidR="004604EA" w:rsidRPr="0057172D" w:rsidRDefault="004604EA" w:rsidP="0049696E">
            <w:pPr>
              <w:keepNext/>
              <w:jc w:val="center"/>
              <w:rPr>
                <w:rFonts w:ascii="Arial Narrow" w:hAnsi="Arial Narrow"/>
                <w:iCs/>
                <w:sz w:val="20"/>
              </w:rPr>
            </w:pPr>
            <w:r w:rsidRPr="0057172D">
              <w:rPr>
                <w:rFonts w:ascii="Arial Narrow" w:hAnsi="Arial Narrow" w:cstheme="minorBidi"/>
                <w:iCs/>
                <w:sz w:val="20"/>
              </w:rPr>
              <w:t>SEC 15</w:t>
            </w:r>
            <w:r w:rsidR="00992EE2" w:rsidRPr="0057172D">
              <w:rPr>
                <w:rFonts w:ascii="Arial Narrow" w:hAnsi="Arial Narrow" w:cstheme="minorBidi"/>
                <w:iCs/>
                <w:sz w:val="20"/>
              </w:rPr>
              <w:t>0 mg</w:t>
            </w:r>
          </w:p>
        </w:tc>
        <w:tc>
          <w:tcPr>
            <w:tcW w:w="1275" w:type="dxa"/>
            <w:tcBorders>
              <w:top w:val="double" w:sz="4" w:space="0" w:color="auto"/>
            </w:tcBorders>
            <w:vAlign w:val="center"/>
          </w:tcPr>
          <w:p w:rsidR="004604EA" w:rsidRPr="0057172D" w:rsidRDefault="004604EA" w:rsidP="0049696E">
            <w:pPr>
              <w:keepNext/>
              <w:jc w:val="center"/>
              <w:rPr>
                <w:rFonts w:ascii="Arial Narrow" w:hAnsi="Arial Narrow"/>
                <w:iCs/>
                <w:sz w:val="20"/>
              </w:rPr>
            </w:pPr>
            <w:r w:rsidRPr="0057172D">
              <w:rPr>
                <w:rFonts w:ascii="Arial Narrow" w:hAnsi="Arial Narrow"/>
                <w:iCs/>
                <w:sz w:val="20"/>
              </w:rPr>
              <w:t>0.62 (0.32, 1.18)</w:t>
            </w:r>
          </w:p>
        </w:tc>
      </w:tr>
      <w:tr w:rsidR="00ED4FCE" w:rsidRPr="0057172D" w:rsidTr="00ED4FCE">
        <w:tc>
          <w:tcPr>
            <w:tcW w:w="448" w:type="dxa"/>
            <w:vMerge/>
            <w:vAlign w:val="center"/>
          </w:tcPr>
          <w:p w:rsidR="004604EA" w:rsidRPr="0057172D" w:rsidRDefault="004604EA" w:rsidP="0049696E">
            <w:pPr>
              <w:keepNext/>
              <w:jc w:val="left"/>
              <w:rPr>
                <w:rFonts w:ascii="Arial Narrow" w:hAnsi="Arial Narrow"/>
                <w:iCs/>
                <w:sz w:val="20"/>
              </w:rPr>
            </w:pPr>
          </w:p>
        </w:tc>
        <w:tc>
          <w:tcPr>
            <w:tcW w:w="2100" w:type="dxa"/>
            <w:vAlign w:val="center"/>
          </w:tcPr>
          <w:p w:rsidR="004604EA" w:rsidRPr="0057172D" w:rsidRDefault="004604EA" w:rsidP="0049696E">
            <w:pPr>
              <w:keepNext/>
              <w:jc w:val="left"/>
              <w:rPr>
                <w:rFonts w:ascii="Arial Narrow" w:hAnsi="Arial Narrow"/>
                <w:iCs/>
                <w:sz w:val="20"/>
              </w:rPr>
            </w:pPr>
            <w:r w:rsidRPr="0057172D">
              <w:rPr>
                <w:rFonts w:ascii="Arial Narrow" w:hAnsi="Arial Narrow"/>
                <w:iCs/>
                <w:sz w:val="20"/>
              </w:rPr>
              <w:t>Genovese 2007 (12 wk)</w:t>
            </w:r>
          </w:p>
        </w:tc>
        <w:tc>
          <w:tcPr>
            <w:tcW w:w="1134"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iCs/>
                <w:sz w:val="20"/>
              </w:rPr>
              <w:t>20/51 (39.2)</w:t>
            </w:r>
          </w:p>
        </w:tc>
        <w:tc>
          <w:tcPr>
            <w:tcW w:w="1064"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iCs/>
                <w:sz w:val="20"/>
              </w:rPr>
              <w:t>8/49 (16.3)</w:t>
            </w:r>
          </w:p>
        </w:tc>
        <w:tc>
          <w:tcPr>
            <w:tcW w:w="1399" w:type="dxa"/>
            <w:vAlign w:val="center"/>
          </w:tcPr>
          <w:p w:rsidR="004604EA" w:rsidRPr="0057172D" w:rsidRDefault="004604EA" w:rsidP="0049696E">
            <w:pPr>
              <w:keepNext/>
              <w:jc w:val="center"/>
              <w:rPr>
                <w:rFonts w:ascii="Arial Narrow" w:hAnsi="Arial Narrow" w:cstheme="minorBidi"/>
                <w:b/>
                <w:iCs/>
                <w:sz w:val="20"/>
              </w:rPr>
            </w:pPr>
            <w:r w:rsidRPr="0057172D">
              <w:rPr>
                <w:rFonts w:ascii="Arial Narrow" w:hAnsi="Arial Narrow" w:cstheme="minorBidi"/>
                <w:b/>
                <w:iCs/>
                <w:sz w:val="20"/>
              </w:rPr>
              <w:t>2.40 (1.17, 4.94)</w:t>
            </w:r>
          </w:p>
        </w:tc>
        <w:tc>
          <w:tcPr>
            <w:tcW w:w="980"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cstheme="minorBidi"/>
                <w:iCs/>
                <w:sz w:val="20"/>
              </w:rPr>
              <w:t>SEC 30</w:t>
            </w:r>
            <w:r w:rsidR="00992EE2" w:rsidRPr="0057172D">
              <w:rPr>
                <w:rFonts w:ascii="Arial Narrow" w:hAnsi="Arial Narrow" w:cstheme="minorBidi"/>
                <w:iCs/>
                <w:sz w:val="20"/>
              </w:rPr>
              <w:t>0 mg</w:t>
            </w:r>
          </w:p>
        </w:tc>
        <w:tc>
          <w:tcPr>
            <w:tcW w:w="1275"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cstheme="minorBidi"/>
                <w:iCs/>
                <w:sz w:val="20"/>
              </w:rPr>
              <w:t>0.65 (0.34, 1.24)</w:t>
            </w:r>
          </w:p>
        </w:tc>
      </w:tr>
      <w:tr w:rsidR="004604EA" w:rsidRPr="0057172D" w:rsidTr="00ED4FCE">
        <w:tc>
          <w:tcPr>
            <w:tcW w:w="448" w:type="dxa"/>
            <w:vMerge/>
            <w:vAlign w:val="center"/>
          </w:tcPr>
          <w:p w:rsidR="004604EA" w:rsidRPr="0057172D" w:rsidRDefault="004604EA" w:rsidP="0049696E">
            <w:pPr>
              <w:keepNext/>
              <w:jc w:val="left"/>
              <w:rPr>
                <w:rFonts w:ascii="Arial Narrow" w:hAnsi="Arial Narrow"/>
                <w:iCs/>
                <w:sz w:val="20"/>
              </w:rPr>
            </w:pPr>
          </w:p>
        </w:tc>
        <w:tc>
          <w:tcPr>
            <w:tcW w:w="4298" w:type="dxa"/>
            <w:gridSpan w:val="3"/>
            <w:vAlign w:val="center"/>
          </w:tcPr>
          <w:p w:rsidR="004604EA" w:rsidRPr="0057172D" w:rsidRDefault="004604EA" w:rsidP="0049696E">
            <w:pPr>
              <w:keepNext/>
              <w:jc w:val="right"/>
              <w:rPr>
                <w:rFonts w:ascii="Arial Narrow" w:hAnsi="Arial Narrow" w:cstheme="minorBidi"/>
                <w:iCs/>
                <w:sz w:val="20"/>
                <w:vertAlign w:val="superscript"/>
              </w:rPr>
            </w:pPr>
            <w:r w:rsidRPr="0057172D">
              <w:rPr>
                <w:rFonts w:ascii="Arial Narrow" w:hAnsi="Arial Narrow" w:cstheme="minorBidi"/>
                <w:iCs/>
                <w:sz w:val="20"/>
              </w:rPr>
              <w:t>Meta-analysis (adalimumab vs placebo); I</w:t>
            </w:r>
            <w:r w:rsidRPr="0057172D">
              <w:rPr>
                <w:rFonts w:ascii="Arial Narrow" w:hAnsi="Arial Narrow" w:cstheme="minorBidi"/>
                <w:iCs/>
                <w:sz w:val="20"/>
                <w:vertAlign w:val="superscript"/>
              </w:rPr>
              <w:t>2</w:t>
            </w:r>
            <w:r w:rsidRPr="0057172D">
              <w:rPr>
                <w:rFonts w:ascii="Arial Narrow" w:hAnsi="Arial Narrow" w:cstheme="minorBidi"/>
                <w:iCs/>
                <w:sz w:val="20"/>
              </w:rPr>
              <w:t xml:space="preserve"> = 38%</w:t>
            </w:r>
          </w:p>
        </w:tc>
        <w:tc>
          <w:tcPr>
            <w:tcW w:w="1399" w:type="dxa"/>
            <w:vAlign w:val="center"/>
          </w:tcPr>
          <w:p w:rsidR="004604EA" w:rsidRPr="0057172D" w:rsidRDefault="004604EA" w:rsidP="0049696E">
            <w:pPr>
              <w:keepNext/>
              <w:jc w:val="center"/>
              <w:rPr>
                <w:rFonts w:ascii="Arial Narrow" w:hAnsi="Arial Narrow" w:cstheme="minorBidi"/>
                <w:b/>
                <w:bCs/>
                <w:iCs/>
                <w:sz w:val="20"/>
              </w:rPr>
            </w:pPr>
            <w:r w:rsidRPr="0057172D">
              <w:rPr>
                <w:rFonts w:ascii="Arial Narrow" w:hAnsi="Arial Narrow" w:cstheme="minorBidi"/>
                <w:b/>
                <w:bCs/>
                <w:iCs/>
                <w:sz w:val="20"/>
              </w:rPr>
              <w:t>3.42 (2.08, 5.63)</w:t>
            </w:r>
          </w:p>
        </w:tc>
        <w:tc>
          <w:tcPr>
            <w:tcW w:w="980"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cstheme="minorBidi"/>
                <w:iCs/>
                <w:sz w:val="20"/>
              </w:rPr>
              <w:t xml:space="preserve"> </w:t>
            </w:r>
            <w:r w:rsidRPr="0057172D">
              <w:rPr>
                <w:rFonts w:ascii="Arial Narrow" w:hAnsi="Arial Narrow"/>
                <w:iCs/>
                <w:sz w:val="20"/>
              </w:rPr>
              <w:t>‘lumped’</w:t>
            </w:r>
          </w:p>
        </w:tc>
        <w:tc>
          <w:tcPr>
            <w:tcW w:w="1275"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cstheme="minorBidi"/>
                <w:iCs/>
                <w:sz w:val="20"/>
              </w:rPr>
              <w:t>0.63 (0.34, 1.20)</w:t>
            </w:r>
          </w:p>
        </w:tc>
      </w:tr>
      <w:tr w:rsidR="004604EA" w:rsidRPr="0057172D" w:rsidTr="00ED4FCE">
        <w:tc>
          <w:tcPr>
            <w:tcW w:w="448" w:type="dxa"/>
            <w:vMerge w:val="restart"/>
            <w:vAlign w:val="center"/>
          </w:tcPr>
          <w:p w:rsidR="004604EA" w:rsidRPr="0057172D" w:rsidRDefault="004604EA" w:rsidP="0049696E">
            <w:pPr>
              <w:keepNext/>
              <w:jc w:val="left"/>
              <w:rPr>
                <w:rFonts w:ascii="Arial Narrow" w:hAnsi="Arial Narrow"/>
                <w:iCs/>
                <w:sz w:val="20"/>
              </w:rPr>
            </w:pPr>
            <w:r w:rsidRPr="0057172D">
              <w:rPr>
                <w:rFonts w:ascii="Arial Narrow" w:hAnsi="Arial Narrow"/>
                <w:iCs/>
                <w:sz w:val="20"/>
              </w:rPr>
              <w:t>ETC</w:t>
            </w:r>
          </w:p>
        </w:tc>
        <w:tc>
          <w:tcPr>
            <w:tcW w:w="2100" w:type="dxa"/>
          </w:tcPr>
          <w:p w:rsidR="004604EA" w:rsidRPr="0057172D" w:rsidRDefault="004604EA" w:rsidP="0049696E">
            <w:pPr>
              <w:keepNext/>
              <w:rPr>
                <w:rFonts w:ascii="Arial Narrow" w:hAnsi="Arial Narrow"/>
                <w:iCs/>
                <w:sz w:val="20"/>
              </w:rPr>
            </w:pPr>
            <w:r w:rsidRPr="0057172D">
              <w:rPr>
                <w:rFonts w:ascii="Arial Narrow" w:hAnsi="Arial Narrow"/>
                <w:iCs/>
                <w:sz w:val="20"/>
              </w:rPr>
              <w:t>Mease 2000 (12 wk)</w:t>
            </w:r>
          </w:p>
        </w:tc>
        <w:tc>
          <w:tcPr>
            <w:tcW w:w="1134" w:type="dxa"/>
            <w:vAlign w:val="bottom"/>
          </w:tcPr>
          <w:p w:rsidR="004604EA" w:rsidRPr="0057172D" w:rsidRDefault="004604EA" w:rsidP="0049696E">
            <w:pPr>
              <w:keepNext/>
              <w:jc w:val="center"/>
              <w:rPr>
                <w:rFonts w:ascii="Arial Narrow" w:hAnsi="Arial Narrow"/>
                <w:iCs/>
                <w:sz w:val="20"/>
              </w:rPr>
            </w:pPr>
            <w:r w:rsidRPr="0057172D">
              <w:rPr>
                <w:rFonts w:ascii="Arial Narrow" w:hAnsi="Arial Narrow"/>
                <w:iCs/>
                <w:sz w:val="20"/>
              </w:rPr>
              <w:t>22/30 (73.3)</w:t>
            </w:r>
          </w:p>
        </w:tc>
        <w:tc>
          <w:tcPr>
            <w:tcW w:w="1064" w:type="dxa"/>
            <w:vAlign w:val="bottom"/>
          </w:tcPr>
          <w:p w:rsidR="004604EA" w:rsidRPr="0057172D" w:rsidRDefault="004604EA" w:rsidP="0049696E">
            <w:pPr>
              <w:keepNext/>
              <w:jc w:val="center"/>
              <w:rPr>
                <w:rFonts w:ascii="Arial Narrow" w:hAnsi="Arial Narrow"/>
                <w:iCs/>
                <w:sz w:val="20"/>
              </w:rPr>
            </w:pPr>
            <w:r w:rsidRPr="0057172D">
              <w:rPr>
                <w:rFonts w:ascii="Arial Narrow" w:hAnsi="Arial Narrow"/>
                <w:iCs/>
                <w:sz w:val="20"/>
              </w:rPr>
              <w:t>4/30 (13.3)</w:t>
            </w:r>
          </w:p>
        </w:tc>
        <w:tc>
          <w:tcPr>
            <w:tcW w:w="1399" w:type="dxa"/>
            <w:vAlign w:val="bottom"/>
          </w:tcPr>
          <w:p w:rsidR="004604EA" w:rsidRPr="0057172D" w:rsidRDefault="004604EA" w:rsidP="0049696E">
            <w:pPr>
              <w:keepNext/>
              <w:jc w:val="center"/>
              <w:rPr>
                <w:rFonts w:ascii="Arial Narrow" w:hAnsi="Arial Narrow"/>
                <w:b/>
                <w:bCs/>
                <w:iCs/>
                <w:sz w:val="20"/>
              </w:rPr>
            </w:pPr>
            <w:r w:rsidRPr="0057172D">
              <w:rPr>
                <w:rFonts w:ascii="Arial Narrow" w:hAnsi="Arial Narrow" w:cstheme="minorBidi"/>
                <w:b/>
                <w:bCs/>
                <w:iCs/>
                <w:sz w:val="20"/>
              </w:rPr>
              <w:t>5.50 (2.15, 14.04)</w:t>
            </w:r>
          </w:p>
        </w:tc>
        <w:tc>
          <w:tcPr>
            <w:tcW w:w="980" w:type="dxa"/>
            <w:vAlign w:val="center"/>
          </w:tcPr>
          <w:p w:rsidR="004604EA" w:rsidRPr="0057172D" w:rsidRDefault="004604EA" w:rsidP="0049696E">
            <w:pPr>
              <w:keepNext/>
              <w:jc w:val="center"/>
              <w:rPr>
                <w:rFonts w:ascii="Arial Narrow" w:hAnsi="Arial Narrow"/>
                <w:iCs/>
                <w:sz w:val="20"/>
              </w:rPr>
            </w:pPr>
            <w:r w:rsidRPr="0057172D">
              <w:rPr>
                <w:rFonts w:ascii="Arial Narrow" w:hAnsi="Arial Narrow" w:cstheme="minorBidi"/>
                <w:iCs/>
                <w:sz w:val="20"/>
              </w:rPr>
              <w:t>SEC 15</w:t>
            </w:r>
            <w:r w:rsidR="00992EE2" w:rsidRPr="0057172D">
              <w:rPr>
                <w:rFonts w:ascii="Arial Narrow" w:hAnsi="Arial Narrow" w:cstheme="minorBidi"/>
                <w:iCs/>
                <w:sz w:val="20"/>
              </w:rPr>
              <w:t>0 mg</w:t>
            </w:r>
          </w:p>
        </w:tc>
        <w:tc>
          <w:tcPr>
            <w:tcW w:w="1275" w:type="dxa"/>
            <w:vAlign w:val="center"/>
          </w:tcPr>
          <w:p w:rsidR="004604EA" w:rsidRPr="0057172D" w:rsidRDefault="004604EA" w:rsidP="0049696E">
            <w:pPr>
              <w:keepNext/>
              <w:jc w:val="center"/>
              <w:rPr>
                <w:rFonts w:ascii="Arial Narrow" w:hAnsi="Arial Narrow"/>
                <w:iCs/>
                <w:sz w:val="20"/>
              </w:rPr>
            </w:pPr>
            <w:r w:rsidRPr="0057172D">
              <w:rPr>
                <w:rFonts w:ascii="Arial Narrow" w:hAnsi="Arial Narrow" w:cstheme="minorBidi"/>
                <w:b/>
                <w:iCs/>
                <w:sz w:val="20"/>
              </w:rPr>
              <w:t>0.49 (0.27, 0.89)</w:t>
            </w:r>
          </w:p>
        </w:tc>
      </w:tr>
      <w:tr w:rsidR="004604EA" w:rsidRPr="0057172D" w:rsidTr="00ED4FCE">
        <w:tc>
          <w:tcPr>
            <w:tcW w:w="448" w:type="dxa"/>
            <w:vMerge/>
            <w:vAlign w:val="center"/>
          </w:tcPr>
          <w:p w:rsidR="004604EA" w:rsidRPr="0057172D" w:rsidRDefault="004604EA" w:rsidP="0049696E">
            <w:pPr>
              <w:keepNext/>
              <w:jc w:val="left"/>
              <w:rPr>
                <w:rFonts w:ascii="Arial Narrow" w:hAnsi="Arial Narrow"/>
                <w:iCs/>
                <w:sz w:val="20"/>
              </w:rPr>
            </w:pPr>
          </w:p>
        </w:tc>
        <w:tc>
          <w:tcPr>
            <w:tcW w:w="2100" w:type="dxa"/>
          </w:tcPr>
          <w:p w:rsidR="004604EA" w:rsidRPr="0057172D" w:rsidRDefault="004604EA" w:rsidP="0049696E">
            <w:pPr>
              <w:keepNext/>
              <w:rPr>
                <w:rFonts w:ascii="Arial Narrow" w:hAnsi="Arial Narrow"/>
                <w:iCs/>
                <w:sz w:val="20"/>
              </w:rPr>
            </w:pPr>
            <w:r w:rsidRPr="0057172D">
              <w:rPr>
                <w:rFonts w:ascii="Arial Narrow" w:hAnsi="Arial Narrow"/>
                <w:iCs/>
                <w:sz w:val="20"/>
              </w:rPr>
              <w:t>Mease 2004 (12 wk)</w:t>
            </w:r>
          </w:p>
        </w:tc>
        <w:tc>
          <w:tcPr>
            <w:tcW w:w="1134" w:type="dxa"/>
            <w:vAlign w:val="bottom"/>
          </w:tcPr>
          <w:p w:rsidR="004604EA" w:rsidRPr="0057172D" w:rsidRDefault="004604EA" w:rsidP="0049696E">
            <w:pPr>
              <w:keepNext/>
              <w:jc w:val="center"/>
              <w:rPr>
                <w:rFonts w:ascii="Arial Narrow" w:hAnsi="Arial Narrow" w:cstheme="minorBidi"/>
                <w:iCs/>
                <w:sz w:val="20"/>
              </w:rPr>
            </w:pPr>
            <w:r w:rsidRPr="0057172D">
              <w:rPr>
                <w:rFonts w:ascii="Arial Narrow" w:hAnsi="Arial Narrow"/>
                <w:iCs/>
                <w:sz w:val="20"/>
              </w:rPr>
              <w:t>59/101 (58.4)</w:t>
            </w:r>
          </w:p>
        </w:tc>
        <w:tc>
          <w:tcPr>
            <w:tcW w:w="1064" w:type="dxa"/>
            <w:vAlign w:val="bottom"/>
          </w:tcPr>
          <w:p w:rsidR="004604EA" w:rsidRPr="0057172D" w:rsidRDefault="004604EA" w:rsidP="0049696E">
            <w:pPr>
              <w:keepNext/>
              <w:jc w:val="center"/>
              <w:rPr>
                <w:rFonts w:ascii="Arial Narrow" w:hAnsi="Arial Narrow" w:cstheme="minorBidi"/>
                <w:iCs/>
                <w:sz w:val="20"/>
              </w:rPr>
            </w:pPr>
            <w:r w:rsidRPr="0057172D">
              <w:rPr>
                <w:rFonts w:ascii="Arial Narrow" w:hAnsi="Arial Narrow"/>
                <w:iCs/>
                <w:sz w:val="20"/>
              </w:rPr>
              <w:t>15/104 (14.4)</w:t>
            </w:r>
          </w:p>
        </w:tc>
        <w:tc>
          <w:tcPr>
            <w:tcW w:w="1399" w:type="dxa"/>
            <w:vAlign w:val="bottom"/>
          </w:tcPr>
          <w:p w:rsidR="004604EA" w:rsidRPr="0057172D" w:rsidRDefault="004604EA" w:rsidP="0049696E">
            <w:pPr>
              <w:keepNext/>
              <w:jc w:val="center"/>
              <w:rPr>
                <w:rFonts w:ascii="Arial Narrow" w:hAnsi="Arial Narrow" w:cstheme="minorBidi"/>
                <w:b/>
                <w:bCs/>
                <w:iCs/>
                <w:sz w:val="20"/>
              </w:rPr>
            </w:pPr>
            <w:r w:rsidRPr="0057172D">
              <w:rPr>
                <w:rFonts w:ascii="Arial Narrow" w:hAnsi="Arial Narrow" w:cstheme="minorBidi"/>
                <w:b/>
                <w:bCs/>
                <w:iCs/>
                <w:sz w:val="20"/>
              </w:rPr>
              <w:t>4.05 (2.47, 6.65)</w:t>
            </w:r>
          </w:p>
        </w:tc>
        <w:tc>
          <w:tcPr>
            <w:tcW w:w="980"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cstheme="minorBidi"/>
                <w:iCs/>
                <w:sz w:val="20"/>
              </w:rPr>
              <w:t>SEC 30</w:t>
            </w:r>
            <w:r w:rsidR="00992EE2" w:rsidRPr="0057172D">
              <w:rPr>
                <w:rFonts w:ascii="Arial Narrow" w:hAnsi="Arial Narrow" w:cstheme="minorBidi"/>
                <w:iCs/>
                <w:sz w:val="20"/>
              </w:rPr>
              <w:t>0 mg</w:t>
            </w:r>
          </w:p>
        </w:tc>
        <w:tc>
          <w:tcPr>
            <w:tcW w:w="1275"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cstheme="minorBidi"/>
                <w:b/>
                <w:iCs/>
                <w:sz w:val="20"/>
              </w:rPr>
              <w:t>0.52 (0.28, 0.94)</w:t>
            </w:r>
          </w:p>
        </w:tc>
      </w:tr>
      <w:tr w:rsidR="004604EA" w:rsidRPr="0057172D" w:rsidTr="00ED4FCE">
        <w:tc>
          <w:tcPr>
            <w:tcW w:w="448" w:type="dxa"/>
            <w:vMerge/>
            <w:vAlign w:val="center"/>
          </w:tcPr>
          <w:p w:rsidR="004604EA" w:rsidRPr="0057172D" w:rsidRDefault="004604EA" w:rsidP="0049696E">
            <w:pPr>
              <w:keepNext/>
              <w:jc w:val="left"/>
              <w:rPr>
                <w:rFonts w:ascii="Arial Narrow" w:hAnsi="Arial Narrow"/>
                <w:iCs/>
                <w:sz w:val="20"/>
              </w:rPr>
            </w:pPr>
          </w:p>
        </w:tc>
        <w:tc>
          <w:tcPr>
            <w:tcW w:w="4298" w:type="dxa"/>
            <w:gridSpan w:val="3"/>
            <w:vAlign w:val="center"/>
          </w:tcPr>
          <w:p w:rsidR="004604EA" w:rsidRPr="0057172D" w:rsidRDefault="004604EA" w:rsidP="0049696E">
            <w:pPr>
              <w:keepNext/>
              <w:jc w:val="right"/>
              <w:rPr>
                <w:rFonts w:ascii="Arial Narrow" w:hAnsi="Arial Narrow" w:cstheme="minorBidi"/>
                <w:iCs/>
                <w:sz w:val="20"/>
                <w:vertAlign w:val="superscript"/>
              </w:rPr>
            </w:pPr>
            <w:r w:rsidRPr="0057172D">
              <w:rPr>
                <w:rFonts w:ascii="Arial Narrow" w:hAnsi="Arial Narrow" w:cstheme="minorBidi"/>
                <w:iCs/>
                <w:sz w:val="20"/>
              </w:rPr>
              <w:t>Meta-analysis (etanercept vs placebo); I</w:t>
            </w:r>
            <w:r w:rsidRPr="0057172D">
              <w:rPr>
                <w:rFonts w:ascii="Arial Narrow" w:hAnsi="Arial Narrow" w:cstheme="minorBidi"/>
                <w:iCs/>
                <w:sz w:val="20"/>
                <w:vertAlign w:val="superscript"/>
              </w:rPr>
              <w:t>2</w:t>
            </w:r>
            <w:r w:rsidRPr="0057172D">
              <w:rPr>
                <w:rFonts w:ascii="Arial Narrow" w:hAnsi="Arial Narrow" w:cstheme="minorBidi"/>
                <w:iCs/>
                <w:sz w:val="20"/>
              </w:rPr>
              <w:t xml:space="preserve"> = 0% </w:t>
            </w:r>
          </w:p>
        </w:tc>
        <w:tc>
          <w:tcPr>
            <w:tcW w:w="1399" w:type="dxa"/>
            <w:vAlign w:val="center"/>
          </w:tcPr>
          <w:p w:rsidR="004604EA" w:rsidRPr="0057172D" w:rsidRDefault="004604EA" w:rsidP="0049696E">
            <w:pPr>
              <w:keepNext/>
              <w:jc w:val="center"/>
              <w:rPr>
                <w:rFonts w:ascii="Arial Narrow" w:hAnsi="Arial Narrow" w:cstheme="minorBidi"/>
                <w:b/>
                <w:iCs/>
                <w:sz w:val="20"/>
              </w:rPr>
            </w:pPr>
            <w:r w:rsidRPr="0057172D">
              <w:rPr>
                <w:rFonts w:ascii="Arial Narrow" w:hAnsi="Arial Narrow" w:cstheme="minorBidi"/>
                <w:b/>
                <w:bCs/>
                <w:iCs/>
                <w:sz w:val="20"/>
              </w:rPr>
              <w:t>4.33 (2.79, 6.71)</w:t>
            </w:r>
          </w:p>
        </w:tc>
        <w:tc>
          <w:tcPr>
            <w:tcW w:w="980"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cstheme="minorBidi"/>
                <w:iCs/>
                <w:sz w:val="20"/>
              </w:rPr>
              <w:t xml:space="preserve"> </w:t>
            </w:r>
            <w:r w:rsidRPr="0057172D">
              <w:rPr>
                <w:rFonts w:ascii="Arial Narrow" w:hAnsi="Arial Narrow"/>
                <w:iCs/>
                <w:sz w:val="20"/>
              </w:rPr>
              <w:t>‘lumped’</w:t>
            </w:r>
          </w:p>
        </w:tc>
        <w:tc>
          <w:tcPr>
            <w:tcW w:w="1275"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cstheme="minorBidi"/>
                <w:b/>
                <w:iCs/>
                <w:sz w:val="20"/>
              </w:rPr>
              <w:t>0.50 (0.28, 0.90)</w:t>
            </w:r>
          </w:p>
        </w:tc>
      </w:tr>
      <w:tr w:rsidR="004604EA" w:rsidRPr="0057172D" w:rsidTr="00ED4FCE">
        <w:tc>
          <w:tcPr>
            <w:tcW w:w="448" w:type="dxa"/>
            <w:vMerge w:val="restart"/>
            <w:vAlign w:val="center"/>
          </w:tcPr>
          <w:p w:rsidR="004604EA" w:rsidRPr="0057172D" w:rsidRDefault="004604EA" w:rsidP="0049696E">
            <w:pPr>
              <w:keepNext/>
              <w:jc w:val="left"/>
              <w:rPr>
                <w:rFonts w:ascii="Arial Narrow" w:hAnsi="Arial Narrow"/>
                <w:iCs/>
                <w:sz w:val="20"/>
              </w:rPr>
            </w:pPr>
            <w:r w:rsidRPr="0057172D">
              <w:rPr>
                <w:rFonts w:ascii="Arial Narrow" w:hAnsi="Arial Narrow"/>
                <w:iCs/>
                <w:sz w:val="20"/>
              </w:rPr>
              <w:t>INF</w:t>
            </w:r>
          </w:p>
        </w:tc>
        <w:tc>
          <w:tcPr>
            <w:tcW w:w="2100" w:type="dxa"/>
          </w:tcPr>
          <w:p w:rsidR="004604EA" w:rsidRPr="0057172D" w:rsidRDefault="004604EA" w:rsidP="0049696E">
            <w:pPr>
              <w:keepNext/>
              <w:rPr>
                <w:rFonts w:ascii="Arial Narrow" w:hAnsi="Arial Narrow"/>
                <w:iCs/>
                <w:sz w:val="20"/>
              </w:rPr>
            </w:pPr>
            <w:r w:rsidRPr="0057172D">
              <w:rPr>
                <w:rFonts w:ascii="Arial Narrow" w:hAnsi="Arial Narrow"/>
                <w:iCs/>
                <w:sz w:val="20"/>
              </w:rPr>
              <w:t>IMPACT (16 wk)</w:t>
            </w:r>
          </w:p>
        </w:tc>
        <w:tc>
          <w:tcPr>
            <w:tcW w:w="1134" w:type="dxa"/>
            <w:vAlign w:val="bottom"/>
          </w:tcPr>
          <w:p w:rsidR="004604EA" w:rsidRPr="0057172D" w:rsidRDefault="004604EA" w:rsidP="0049696E">
            <w:pPr>
              <w:keepNext/>
              <w:jc w:val="center"/>
              <w:rPr>
                <w:rFonts w:ascii="Arial Narrow" w:hAnsi="Arial Narrow" w:cstheme="minorBidi"/>
                <w:iCs/>
                <w:sz w:val="20"/>
              </w:rPr>
            </w:pPr>
            <w:r w:rsidRPr="0057172D">
              <w:rPr>
                <w:rFonts w:ascii="Arial Narrow" w:hAnsi="Arial Narrow"/>
                <w:iCs/>
                <w:sz w:val="20"/>
              </w:rPr>
              <w:t>34/52 (65.4)</w:t>
            </w:r>
          </w:p>
        </w:tc>
        <w:tc>
          <w:tcPr>
            <w:tcW w:w="1064" w:type="dxa"/>
            <w:vAlign w:val="bottom"/>
          </w:tcPr>
          <w:p w:rsidR="004604EA" w:rsidRPr="0057172D" w:rsidRDefault="004604EA" w:rsidP="0049696E">
            <w:pPr>
              <w:keepNext/>
              <w:jc w:val="center"/>
              <w:rPr>
                <w:rFonts w:ascii="Arial Narrow" w:hAnsi="Arial Narrow" w:cstheme="minorBidi"/>
                <w:iCs/>
                <w:sz w:val="20"/>
              </w:rPr>
            </w:pPr>
            <w:r w:rsidRPr="0057172D">
              <w:rPr>
                <w:rFonts w:ascii="Arial Narrow" w:hAnsi="Arial Narrow"/>
                <w:iCs/>
                <w:sz w:val="20"/>
              </w:rPr>
              <w:t>5/52 (9.6)</w:t>
            </w:r>
          </w:p>
        </w:tc>
        <w:tc>
          <w:tcPr>
            <w:tcW w:w="1399"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cstheme="minorBidi"/>
                <w:b/>
                <w:bCs/>
                <w:iCs/>
                <w:sz w:val="20"/>
              </w:rPr>
              <w:t>6.80 (2.89, 16.01)</w:t>
            </w:r>
          </w:p>
        </w:tc>
        <w:tc>
          <w:tcPr>
            <w:tcW w:w="980"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cstheme="minorBidi"/>
                <w:iCs/>
                <w:sz w:val="20"/>
              </w:rPr>
              <w:t>SEC 15</w:t>
            </w:r>
            <w:r w:rsidR="00992EE2" w:rsidRPr="0057172D">
              <w:rPr>
                <w:rFonts w:ascii="Arial Narrow" w:hAnsi="Arial Narrow" w:cstheme="minorBidi"/>
                <w:iCs/>
                <w:sz w:val="20"/>
              </w:rPr>
              <w:t>0 mg</w:t>
            </w:r>
          </w:p>
        </w:tc>
        <w:tc>
          <w:tcPr>
            <w:tcW w:w="1275"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cstheme="minorBidi"/>
                <w:b/>
                <w:iCs/>
                <w:sz w:val="20"/>
              </w:rPr>
              <w:t>0.37 (0.19, 0.70)</w:t>
            </w:r>
          </w:p>
        </w:tc>
      </w:tr>
      <w:tr w:rsidR="004604EA" w:rsidRPr="0057172D" w:rsidTr="00ED4FCE">
        <w:trPr>
          <w:trHeight w:val="161"/>
        </w:trPr>
        <w:tc>
          <w:tcPr>
            <w:tcW w:w="448" w:type="dxa"/>
            <w:vMerge/>
            <w:vAlign w:val="center"/>
          </w:tcPr>
          <w:p w:rsidR="004604EA" w:rsidRPr="0057172D" w:rsidRDefault="004604EA" w:rsidP="0049696E">
            <w:pPr>
              <w:keepNext/>
              <w:jc w:val="left"/>
              <w:rPr>
                <w:rFonts w:ascii="Arial Narrow" w:hAnsi="Arial Narrow"/>
                <w:iCs/>
                <w:sz w:val="20"/>
              </w:rPr>
            </w:pPr>
          </w:p>
        </w:tc>
        <w:tc>
          <w:tcPr>
            <w:tcW w:w="2100" w:type="dxa"/>
          </w:tcPr>
          <w:p w:rsidR="004604EA" w:rsidRPr="0057172D" w:rsidRDefault="004604EA" w:rsidP="0049696E">
            <w:pPr>
              <w:keepNext/>
              <w:rPr>
                <w:rFonts w:ascii="Arial Narrow" w:hAnsi="Arial Narrow"/>
                <w:iCs/>
                <w:sz w:val="20"/>
              </w:rPr>
            </w:pPr>
            <w:r w:rsidRPr="0057172D">
              <w:rPr>
                <w:rFonts w:ascii="Arial Narrow" w:hAnsi="Arial Narrow"/>
                <w:iCs/>
                <w:sz w:val="20"/>
              </w:rPr>
              <w:t>IMPACT2 (14 wk)</w:t>
            </w:r>
          </w:p>
        </w:tc>
        <w:tc>
          <w:tcPr>
            <w:tcW w:w="1134" w:type="dxa"/>
            <w:vAlign w:val="bottom"/>
          </w:tcPr>
          <w:p w:rsidR="004604EA" w:rsidRPr="0057172D" w:rsidRDefault="004604EA" w:rsidP="0049696E">
            <w:pPr>
              <w:keepNext/>
              <w:jc w:val="center"/>
              <w:rPr>
                <w:rFonts w:ascii="Arial Narrow" w:hAnsi="Arial Narrow" w:cstheme="minorBidi"/>
                <w:iCs/>
                <w:sz w:val="20"/>
              </w:rPr>
            </w:pPr>
            <w:r w:rsidRPr="0057172D">
              <w:rPr>
                <w:rFonts w:ascii="Arial Narrow" w:hAnsi="Arial Narrow"/>
                <w:iCs/>
                <w:sz w:val="20"/>
              </w:rPr>
              <w:t>58/100 (58.0)</w:t>
            </w:r>
          </w:p>
        </w:tc>
        <w:tc>
          <w:tcPr>
            <w:tcW w:w="1064" w:type="dxa"/>
            <w:vAlign w:val="bottom"/>
          </w:tcPr>
          <w:p w:rsidR="004604EA" w:rsidRPr="0057172D" w:rsidRDefault="004604EA" w:rsidP="0049696E">
            <w:pPr>
              <w:keepNext/>
              <w:jc w:val="center"/>
              <w:rPr>
                <w:rFonts w:ascii="Arial Narrow" w:hAnsi="Arial Narrow" w:cstheme="minorBidi"/>
                <w:iCs/>
                <w:sz w:val="20"/>
              </w:rPr>
            </w:pPr>
            <w:r w:rsidRPr="0057172D">
              <w:rPr>
                <w:rFonts w:ascii="Arial Narrow" w:hAnsi="Arial Narrow"/>
                <w:iCs/>
                <w:sz w:val="20"/>
              </w:rPr>
              <w:t>11/100 (11.0)</w:t>
            </w:r>
          </w:p>
        </w:tc>
        <w:tc>
          <w:tcPr>
            <w:tcW w:w="1399" w:type="dxa"/>
            <w:vAlign w:val="center"/>
          </w:tcPr>
          <w:p w:rsidR="004604EA" w:rsidRPr="0057172D" w:rsidRDefault="004604EA" w:rsidP="0049696E">
            <w:pPr>
              <w:keepNext/>
              <w:jc w:val="center"/>
              <w:rPr>
                <w:rFonts w:ascii="Arial Narrow" w:hAnsi="Arial Narrow" w:cstheme="minorBidi"/>
                <w:b/>
                <w:iCs/>
                <w:sz w:val="20"/>
              </w:rPr>
            </w:pPr>
            <w:r w:rsidRPr="0057172D">
              <w:rPr>
                <w:rFonts w:ascii="Arial Narrow" w:hAnsi="Arial Narrow" w:cstheme="minorBidi"/>
                <w:b/>
                <w:bCs/>
                <w:iCs/>
                <w:sz w:val="20"/>
              </w:rPr>
              <w:t>5.27 (2.95, 9.44)</w:t>
            </w:r>
          </w:p>
        </w:tc>
        <w:tc>
          <w:tcPr>
            <w:tcW w:w="980"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cstheme="minorBidi"/>
                <w:iCs/>
                <w:sz w:val="20"/>
              </w:rPr>
              <w:t>SEC 30</w:t>
            </w:r>
            <w:r w:rsidR="00992EE2" w:rsidRPr="0057172D">
              <w:rPr>
                <w:rFonts w:ascii="Arial Narrow" w:hAnsi="Arial Narrow" w:cstheme="minorBidi"/>
                <w:iCs/>
                <w:sz w:val="20"/>
              </w:rPr>
              <w:t>0 mg</w:t>
            </w:r>
          </w:p>
        </w:tc>
        <w:tc>
          <w:tcPr>
            <w:tcW w:w="1275"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cstheme="minorBidi"/>
                <w:b/>
                <w:iCs/>
                <w:sz w:val="20"/>
              </w:rPr>
              <w:t>0.39 (0.21, 0.74)</w:t>
            </w:r>
          </w:p>
        </w:tc>
      </w:tr>
      <w:tr w:rsidR="004604EA" w:rsidRPr="0057172D" w:rsidTr="00ED4FCE">
        <w:tc>
          <w:tcPr>
            <w:tcW w:w="448" w:type="dxa"/>
            <w:vMerge/>
            <w:vAlign w:val="center"/>
          </w:tcPr>
          <w:p w:rsidR="004604EA" w:rsidRPr="0057172D" w:rsidRDefault="004604EA" w:rsidP="0049696E">
            <w:pPr>
              <w:keepNext/>
              <w:jc w:val="left"/>
              <w:rPr>
                <w:rFonts w:ascii="Arial Narrow" w:hAnsi="Arial Narrow"/>
                <w:iCs/>
                <w:sz w:val="20"/>
              </w:rPr>
            </w:pPr>
          </w:p>
        </w:tc>
        <w:tc>
          <w:tcPr>
            <w:tcW w:w="4298" w:type="dxa"/>
            <w:gridSpan w:val="3"/>
          </w:tcPr>
          <w:p w:rsidR="004604EA" w:rsidRPr="0057172D" w:rsidRDefault="004604EA" w:rsidP="0049696E">
            <w:pPr>
              <w:keepNext/>
              <w:jc w:val="right"/>
              <w:rPr>
                <w:rFonts w:ascii="Arial Narrow" w:hAnsi="Arial Narrow" w:cstheme="minorBidi"/>
                <w:iCs/>
                <w:sz w:val="20"/>
                <w:lang w:val="pt-PT"/>
              </w:rPr>
            </w:pPr>
            <w:r w:rsidRPr="0057172D">
              <w:rPr>
                <w:rFonts w:ascii="Arial Narrow" w:hAnsi="Arial Narrow"/>
                <w:iCs/>
                <w:sz w:val="20"/>
                <w:lang w:val="pt-PT"/>
              </w:rPr>
              <w:t>Meta-analysis (infliximab vs placebo); I</w:t>
            </w:r>
            <w:r w:rsidRPr="0057172D">
              <w:rPr>
                <w:rFonts w:ascii="Arial Narrow" w:hAnsi="Arial Narrow"/>
                <w:iCs/>
                <w:sz w:val="20"/>
                <w:vertAlign w:val="superscript"/>
                <w:lang w:val="pt-PT"/>
              </w:rPr>
              <w:t>2</w:t>
            </w:r>
            <w:r w:rsidRPr="0057172D">
              <w:rPr>
                <w:rFonts w:ascii="Arial Narrow" w:hAnsi="Arial Narrow"/>
                <w:iCs/>
                <w:sz w:val="20"/>
                <w:lang w:val="pt-PT"/>
              </w:rPr>
              <w:t xml:space="preserve"> = 0%</w:t>
            </w:r>
          </w:p>
        </w:tc>
        <w:tc>
          <w:tcPr>
            <w:tcW w:w="1399" w:type="dxa"/>
            <w:vAlign w:val="center"/>
          </w:tcPr>
          <w:p w:rsidR="004604EA" w:rsidRPr="0057172D" w:rsidRDefault="004604EA" w:rsidP="0049696E">
            <w:pPr>
              <w:keepNext/>
              <w:jc w:val="center"/>
              <w:rPr>
                <w:rFonts w:ascii="Arial Narrow" w:hAnsi="Arial Narrow" w:cstheme="minorBidi"/>
                <w:b/>
                <w:iCs/>
                <w:sz w:val="20"/>
              </w:rPr>
            </w:pPr>
            <w:r w:rsidRPr="0057172D">
              <w:rPr>
                <w:rFonts w:ascii="Arial Narrow" w:hAnsi="Arial Narrow" w:cstheme="minorBidi"/>
                <w:b/>
                <w:bCs/>
                <w:iCs/>
                <w:sz w:val="20"/>
              </w:rPr>
              <w:t>5.71 (3.53, 9.25)</w:t>
            </w:r>
          </w:p>
        </w:tc>
        <w:tc>
          <w:tcPr>
            <w:tcW w:w="980"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cstheme="minorBidi"/>
                <w:iCs/>
                <w:sz w:val="20"/>
              </w:rPr>
              <w:t xml:space="preserve"> </w:t>
            </w:r>
            <w:r w:rsidRPr="0057172D">
              <w:rPr>
                <w:rFonts w:ascii="Arial Narrow" w:hAnsi="Arial Narrow"/>
                <w:iCs/>
                <w:sz w:val="20"/>
              </w:rPr>
              <w:t>‘lumped’</w:t>
            </w:r>
          </w:p>
        </w:tc>
        <w:tc>
          <w:tcPr>
            <w:tcW w:w="1275"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cstheme="minorBidi"/>
                <w:b/>
                <w:iCs/>
                <w:sz w:val="20"/>
              </w:rPr>
              <w:t>0.38 (0.20, 0.71)</w:t>
            </w:r>
          </w:p>
        </w:tc>
      </w:tr>
      <w:tr w:rsidR="004604EA" w:rsidRPr="0057172D" w:rsidTr="00ED4FCE">
        <w:tc>
          <w:tcPr>
            <w:tcW w:w="448" w:type="dxa"/>
            <w:vMerge w:val="restart"/>
            <w:vAlign w:val="center"/>
          </w:tcPr>
          <w:p w:rsidR="004604EA" w:rsidRPr="0057172D" w:rsidRDefault="004604EA" w:rsidP="0049696E">
            <w:pPr>
              <w:keepNext/>
              <w:jc w:val="left"/>
              <w:rPr>
                <w:rFonts w:ascii="Arial Narrow" w:hAnsi="Arial Narrow"/>
                <w:iCs/>
                <w:sz w:val="20"/>
              </w:rPr>
            </w:pPr>
            <w:r w:rsidRPr="0057172D">
              <w:rPr>
                <w:rFonts w:ascii="Arial Narrow" w:hAnsi="Arial Narrow"/>
                <w:iCs/>
                <w:sz w:val="20"/>
              </w:rPr>
              <w:t>GOL 50 mg</w:t>
            </w:r>
          </w:p>
        </w:tc>
        <w:tc>
          <w:tcPr>
            <w:tcW w:w="2100" w:type="dxa"/>
            <w:vMerge w:val="restart"/>
            <w:vAlign w:val="center"/>
          </w:tcPr>
          <w:p w:rsidR="004604EA" w:rsidRPr="0057172D" w:rsidRDefault="004604EA" w:rsidP="0049696E">
            <w:pPr>
              <w:keepNext/>
              <w:jc w:val="left"/>
              <w:rPr>
                <w:rFonts w:ascii="Arial Narrow" w:hAnsi="Arial Narrow"/>
                <w:iCs/>
                <w:sz w:val="20"/>
              </w:rPr>
            </w:pPr>
            <w:r w:rsidRPr="0057172D">
              <w:rPr>
                <w:rFonts w:ascii="Arial Narrow" w:hAnsi="Arial Narrow"/>
                <w:iCs/>
                <w:sz w:val="20"/>
              </w:rPr>
              <w:t>GO-REVEAL (14 wk)</w:t>
            </w:r>
          </w:p>
        </w:tc>
        <w:tc>
          <w:tcPr>
            <w:tcW w:w="1134" w:type="dxa"/>
            <w:vMerge w:val="restart"/>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iCs/>
                <w:sz w:val="20"/>
              </w:rPr>
              <w:t>74/146 (50.7)</w:t>
            </w:r>
          </w:p>
        </w:tc>
        <w:tc>
          <w:tcPr>
            <w:tcW w:w="1064" w:type="dxa"/>
            <w:vMerge w:val="restart"/>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iCs/>
                <w:sz w:val="20"/>
              </w:rPr>
              <w:t>10/113 (8.8)</w:t>
            </w:r>
          </w:p>
        </w:tc>
        <w:tc>
          <w:tcPr>
            <w:tcW w:w="1399" w:type="dxa"/>
            <w:vMerge w:val="restart"/>
            <w:vAlign w:val="center"/>
          </w:tcPr>
          <w:p w:rsidR="004604EA" w:rsidRPr="0057172D" w:rsidRDefault="004604EA" w:rsidP="0049696E">
            <w:pPr>
              <w:keepNext/>
              <w:jc w:val="center"/>
              <w:rPr>
                <w:rFonts w:ascii="Arial Narrow" w:hAnsi="Arial Narrow" w:cstheme="minorBidi"/>
                <w:b/>
                <w:iCs/>
                <w:sz w:val="20"/>
              </w:rPr>
            </w:pPr>
            <w:r w:rsidRPr="0057172D">
              <w:rPr>
                <w:rFonts w:ascii="Arial Narrow" w:hAnsi="Arial Narrow" w:cstheme="minorBidi"/>
                <w:b/>
                <w:bCs/>
                <w:iCs/>
                <w:sz w:val="20"/>
              </w:rPr>
              <w:t>5.73 (3.10, 10.57)</w:t>
            </w:r>
          </w:p>
        </w:tc>
        <w:tc>
          <w:tcPr>
            <w:tcW w:w="980"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iCs/>
                <w:sz w:val="20"/>
              </w:rPr>
              <w:t>SEC 15</w:t>
            </w:r>
            <w:r w:rsidR="00992EE2" w:rsidRPr="0057172D">
              <w:rPr>
                <w:rFonts w:ascii="Arial Narrow" w:hAnsi="Arial Narrow"/>
                <w:iCs/>
                <w:sz w:val="20"/>
              </w:rPr>
              <w:t>0 mg</w:t>
            </w:r>
          </w:p>
        </w:tc>
        <w:tc>
          <w:tcPr>
            <w:tcW w:w="1275"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cstheme="minorBidi"/>
                <w:b/>
                <w:iCs/>
                <w:sz w:val="20"/>
              </w:rPr>
              <w:t>0.37 (0.18, 0.77)</w:t>
            </w:r>
          </w:p>
        </w:tc>
      </w:tr>
      <w:tr w:rsidR="004604EA" w:rsidRPr="0057172D" w:rsidTr="00ED4FCE">
        <w:tc>
          <w:tcPr>
            <w:tcW w:w="448" w:type="dxa"/>
            <w:vMerge/>
            <w:vAlign w:val="center"/>
          </w:tcPr>
          <w:p w:rsidR="004604EA" w:rsidRPr="0057172D" w:rsidRDefault="004604EA" w:rsidP="0049696E">
            <w:pPr>
              <w:keepNext/>
              <w:jc w:val="left"/>
              <w:rPr>
                <w:rFonts w:ascii="Arial Narrow" w:hAnsi="Arial Narrow"/>
                <w:iCs/>
                <w:sz w:val="20"/>
              </w:rPr>
            </w:pPr>
          </w:p>
        </w:tc>
        <w:tc>
          <w:tcPr>
            <w:tcW w:w="2100" w:type="dxa"/>
            <w:vMerge/>
          </w:tcPr>
          <w:p w:rsidR="004604EA" w:rsidRPr="0057172D" w:rsidRDefault="004604EA" w:rsidP="0049696E">
            <w:pPr>
              <w:keepNext/>
              <w:rPr>
                <w:rFonts w:ascii="Arial Narrow" w:hAnsi="Arial Narrow"/>
                <w:iCs/>
                <w:sz w:val="20"/>
              </w:rPr>
            </w:pPr>
          </w:p>
        </w:tc>
        <w:tc>
          <w:tcPr>
            <w:tcW w:w="1134" w:type="dxa"/>
            <w:vMerge/>
            <w:vAlign w:val="center"/>
          </w:tcPr>
          <w:p w:rsidR="004604EA" w:rsidRPr="0057172D" w:rsidRDefault="004604EA" w:rsidP="0049696E">
            <w:pPr>
              <w:keepNext/>
              <w:jc w:val="center"/>
              <w:rPr>
                <w:rFonts w:ascii="Arial Narrow" w:hAnsi="Arial Narrow" w:cstheme="minorBidi"/>
                <w:iCs/>
                <w:sz w:val="20"/>
              </w:rPr>
            </w:pPr>
          </w:p>
        </w:tc>
        <w:tc>
          <w:tcPr>
            <w:tcW w:w="1064" w:type="dxa"/>
            <w:vMerge/>
            <w:vAlign w:val="center"/>
          </w:tcPr>
          <w:p w:rsidR="004604EA" w:rsidRPr="0057172D" w:rsidRDefault="004604EA" w:rsidP="0049696E">
            <w:pPr>
              <w:keepNext/>
              <w:jc w:val="center"/>
              <w:rPr>
                <w:rFonts w:ascii="Arial Narrow" w:hAnsi="Arial Narrow" w:cstheme="minorBidi"/>
                <w:iCs/>
                <w:sz w:val="20"/>
              </w:rPr>
            </w:pPr>
          </w:p>
        </w:tc>
        <w:tc>
          <w:tcPr>
            <w:tcW w:w="1399" w:type="dxa"/>
            <w:vMerge/>
            <w:vAlign w:val="center"/>
          </w:tcPr>
          <w:p w:rsidR="004604EA" w:rsidRPr="0057172D" w:rsidRDefault="004604EA" w:rsidP="0049696E">
            <w:pPr>
              <w:keepNext/>
              <w:jc w:val="center"/>
              <w:rPr>
                <w:rFonts w:ascii="Arial Narrow" w:hAnsi="Arial Narrow" w:cstheme="minorBidi"/>
                <w:b/>
                <w:iCs/>
                <w:sz w:val="20"/>
              </w:rPr>
            </w:pPr>
          </w:p>
        </w:tc>
        <w:tc>
          <w:tcPr>
            <w:tcW w:w="980"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iCs/>
                <w:sz w:val="20"/>
              </w:rPr>
              <w:t>SEC 30</w:t>
            </w:r>
            <w:r w:rsidR="00992EE2" w:rsidRPr="0057172D">
              <w:rPr>
                <w:rFonts w:ascii="Arial Narrow" w:hAnsi="Arial Narrow"/>
                <w:iCs/>
                <w:sz w:val="20"/>
              </w:rPr>
              <w:t>0 mg</w:t>
            </w:r>
          </w:p>
        </w:tc>
        <w:tc>
          <w:tcPr>
            <w:tcW w:w="1275"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cstheme="minorBidi"/>
                <w:b/>
                <w:iCs/>
                <w:sz w:val="20"/>
              </w:rPr>
              <w:t>0.39 (0.19, 0.81)</w:t>
            </w:r>
          </w:p>
        </w:tc>
      </w:tr>
      <w:tr w:rsidR="004604EA" w:rsidRPr="0057172D" w:rsidTr="00ED4FCE">
        <w:tc>
          <w:tcPr>
            <w:tcW w:w="448" w:type="dxa"/>
            <w:vMerge/>
            <w:vAlign w:val="center"/>
          </w:tcPr>
          <w:p w:rsidR="004604EA" w:rsidRPr="0057172D" w:rsidRDefault="004604EA" w:rsidP="0049696E">
            <w:pPr>
              <w:keepNext/>
              <w:jc w:val="left"/>
              <w:rPr>
                <w:rFonts w:ascii="Arial Narrow" w:hAnsi="Arial Narrow"/>
                <w:iCs/>
                <w:sz w:val="20"/>
              </w:rPr>
            </w:pPr>
          </w:p>
        </w:tc>
        <w:tc>
          <w:tcPr>
            <w:tcW w:w="2100" w:type="dxa"/>
            <w:vMerge/>
          </w:tcPr>
          <w:p w:rsidR="004604EA" w:rsidRPr="0057172D" w:rsidRDefault="004604EA" w:rsidP="0049696E">
            <w:pPr>
              <w:keepNext/>
              <w:rPr>
                <w:rFonts w:ascii="Arial Narrow" w:hAnsi="Arial Narrow"/>
                <w:iCs/>
                <w:sz w:val="20"/>
              </w:rPr>
            </w:pPr>
          </w:p>
        </w:tc>
        <w:tc>
          <w:tcPr>
            <w:tcW w:w="1134" w:type="dxa"/>
            <w:vMerge/>
            <w:vAlign w:val="center"/>
          </w:tcPr>
          <w:p w:rsidR="004604EA" w:rsidRPr="0057172D" w:rsidRDefault="004604EA" w:rsidP="0049696E">
            <w:pPr>
              <w:keepNext/>
              <w:jc w:val="center"/>
              <w:rPr>
                <w:rFonts w:ascii="Arial Narrow" w:hAnsi="Arial Narrow" w:cstheme="minorBidi"/>
                <w:iCs/>
                <w:sz w:val="20"/>
              </w:rPr>
            </w:pPr>
          </w:p>
        </w:tc>
        <w:tc>
          <w:tcPr>
            <w:tcW w:w="1064" w:type="dxa"/>
            <w:vMerge/>
            <w:vAlign w:val="center"/>
          </w:tcPr>
          <w:p w:rsidR="004604EA" w:rsidRPr="0057172D" w:rsidRDefault="004604EA" w:rsidP="0049696E">
            <w:pPr>
              <w:keepNext/>
              <w:jc w:val="center"/>
              <w:rPr>
                <w:rFonts w:ascii="Arial Narrow" w:hAnsi="Arial Narrow" w:cstheme="minorBidi"/>
                <w:iCs/>
                <w:sz w:val="20"/>
              </w:rPr>
            </w:pPr>
          </w:p>
        </w:tc>
        <w:tc>
          <w:tcPr>
            <w:tcW w:w="1399" w:type="dxa"/>
            <w:vMerge/>
            <w:vAlign w:val="center"/>
          </w:tcPr>
          <w:p w:rsidR="004604EA" w:rsidRPr="0057172D" w:rsidRDefault="004604EA" w:rsidP="0049696E">
            <w:pPr>
              <w:keepNext/>
              <w:jc w:val="center"/>
              <w:rPr>
                <w:rFonts w:ascii="Arial Narrow" w:hAnsi="Arial Narrow" w:cstheme="minorBidi"/>
                <w:b/>
                <w:iCs/>
                <w:sz w:val="20"/>
              </w:rPr>
            </w:pPr>
          </w:p>
        </w:tc>
        <w:tc>
          <w:tcPr>
            <w:tcW w:w="980"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iCs/>
                <w:sz w:val="20"/>
              </w:rPr>
              <w:t xml:space="preserve"> ‘lumped’</w:t>
            </w:r>
          </w:p>
        </w:tc>
        <w:tc>
          <w:tcPr>
            <w:tcW w:w="1275"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cstheme="minorBidi"/>
                <w:b/>
                <w:iCs/>
                <w:sz w:val="20"/>
              </w:rPr>
              <w:t>0.38 (0.18, 0.79)</w:t>
            </w:r>
          </w:p>
        </w:tc>
      </w:tr>
      <w:tr w:rsidR="004604EA" w:rsidRPr="0057172D" w:rsidTr="00ED4FCE">
        <w:tc>
          <w:tcPr>
            <w:tcW w:w="448" w:type="dxa"/>
            <w:vMerge w:val="restart"/>
            <w:vAlign w:val="center"/>
          </w:tcPr>
          <w:p w:rsidR="004604EA" w:rsidRPr="0057172D" w:rsidRDefault="004604EA" w:rsidP="0049696E">
            <w:pPr>
              <w:keepNext/>
              <w:jc w:val="left"/>
              <w:rPr>
                <w:rFonts w:ascii="Arial Narrow" w:hAnsi="Arial Narrow"/>
                <w:iCs/>
                <w:sz w:val="20"/>
              </w:rPr>
            </w:pPr>
            <w:r w:rsidRPr="0057172D">
              <w:rPr>
                <w:rFonts w:ascii="Arial Narrow" w:hAnsi="Arial Narrow" w:cstheme="minorBidi"/>
                <w:iCs/>
                <w:sz w:val="20"/>
              </w:rPr>
              <w:t>Anti-</w:t>
            </w:r>
            <w:r w:rsidRPr="0057172D">
              <w:rPr>
                <w:rFonts w:ascii="Arial Narrow" w:hAnsi="Arial Narrow"/>
                <w:iCs/>
                <w:sz w:val="20"/>
              </w:rPr>
              <w:t xml:space="preserve"> TNFα</w:t>
            </w:r>
          </w:p>
        </w:tc>
        <w:tc>
          <w:tcPr>
            <w:tcW w:w="4298" w:type="dxa"/>
            <w:gridSpan w:val="3"/>
            <w:vMerge w:val="restart"/>
            <w:vAlign w:val="center"/>
          </w:tcPr>
          <w:p w:rsidR="004604EA" w:rsidRPr="0057172D" w:rsidRDefault="004604EA" w:rsidP="0049696E">
            <w:pPr>
              <w:keepNext/>
              <w:jc w:val="right"/>
              <w:rPr>
                <w:rFonts w:ascii="Arial Narrow" w:hAnsi="Arial Narrow" w:cstheme="minorBidi"/>
                <w:iCs/>
                <w:sz w:val="20"/>
              </w:rPr>
            </w:pPr>
            <w:r w:rsidRPr="0057172D">
              <w:rPr>
                <w:rFonts w:ascii="Arial Narrow" w:hAnsi="Arial Narrow"/>
                <w:iCs/>
                <w:sz w:val="20"/>
              </w:rPr>
              <w:t>Meta-analysis of all comparator bDMARDs (anti-TNFα agents excluding CZP) as per the submission; I</w:t>
            </w:r>
            <w:r w:rsidRPr="0057172D">
              <w:rPr>
                <w:rFonts w:ascii="Arial Narrow" w:hAnsi="Arial Narrow"/>
                <w:iCs/>
                <w:sz w:val="20"/>
                <w:vertAlign w:val="superscript"/>
              </w:rPr>
              <w:t>2</w:t>
            </w:r>
            <w:r w:rsidRPr="0057172D">
              <w:rPr>
                <w:rFonts w:ascii="Arial Narrow" w:hAnsi="Arial Narrow"/>
                <w:iCs/>
                <w:sz w:val="20"/>
              </w:rPr>
              <w:t xml:space="preserve"> = 0%</w:t>
            </w:r>
          </w:p>
        </w:tc>
        <w:tc>
          <w:tcPr>
            <w:tcW w:w="1399" w:type="dxa"/>
            <w:vMerge w:val="restart"/>
            <w:vAlign w:val="center"/>
          </w:tcPr>
          <w:p w:rsidR="004604EA" w:rsidRPr="0057172D" w:rsidRDefault="004604EA" w:rsidP="0049696E">
            <w:pPr>
              <w:keepNext/>
              <w:jc w:val="center"/>
              <w:rPr>
                <w:rFonts w:ascii="Arial Narrow" w:hAnsi="Arial Narrow" w:cstheme="minorBidi"/>
                <w:b/>
                <w:iCs/>
                <w:sz w:val="20"/>
              </w:rPr>
            </w:pPr>
            <w:r w:rsidRPr="0057172D">
              <w:rPr>
                <w:rFonts w:ascii="Arial Narrow" w:hAnsi="Arial Narrow" w:cstheme="minorBidi"/>
                <w:b/>
                <w:bCs/>
                <w:iCs/>
                <w:sz w:val="20"/>
              </w:rPr>
              <w:t>4.43 (3.55, 5.53)</w:t>
            </w:r>
          </w:p>
        </w:tc>
        <w:tc>
          <w:tcPr>
            <w:tcW w:w="980"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iCs/>
                <w:sz w:val="20"/>
              </w:rPr>
              <w:t>SEC 15</w:t>
            </w:r>
            <w:r w:rsidR="00992EE2" w:rsidRPr="0057172D">
              <w:rPr>
                <w:rFonts w:ascii="Arial Narrow" w:hAnsi="Arial Narrow"/>
                <w:iCs/>
                <w:sz w:val="20"/>
              </w:rPr>
              <w:t>0 mg</w:t>
            </w:r>
          </w:p>
        </w:tc>
        <w:tc>
          <w:tcPr>
            <w:tcW w:w="1275" w:type="dxa"/>
            <w:vAlign w:val="center"/>
          </w:tcPr>
          <w:p w:rsidR="004604EA" w:rsidRPr="0057172D" w:rsidRDefault="004604EA" w:rsidP="0049696E">
            <w:pPr>
              <w:keepNext/>
              <w:jc w:val="center"/>
              <w:rPr>
                <w:rFonts w:ascii="Arial Narrow" w:hAnsi="Arial Narrow"/>
                <w:iCs/>
                <w:sz w:val="20"/>
                <w:lang w:val="en-US" w:eastAsia="zh-CN"/>
              </w:rPr>
            </w:pPr>
            <w:r w:rsidRPr="0057172D">
              <w:rPr>
                <w:rFonts w:ascii="Arial Narrow" w:hAnsi="Arial Narrow" w:cstheme="minorBidi"/>
                <w:b/>
                <w:iCs/>
                <w:sz w:val="20"/>
              </w:rPr>
              <w:t>0.48 (0.30, 0.77)</w:t>
            </w:r>
          </w:p>
        </w:tc>
      </w:tr>
      <w:tr w:rsidR="004604EA" w:rsidRPr="0057172D" w:rsidTr="00ED4FCE">
        <w:tc>
          <w:tcPr>
            <w:tcW w:w="448" w:type="dxa"/>
            <w:vMerge/>
            <w:vAlign w:val="center"/>
          </w:tcPr>
          <w:p w:rsidR="004604EA" w:rsidRPr="0057172D" w:rsidRDefault="004604EA" w:rsidP="0049696E">
            <w:pPr>
              <w:keepNext/>
              <w:jc w:val="left"/>
              <w:rPr>
                <w:rFonts w:ascii="Arial Narrow" w:hAnsi="Arial Narrow"/>
                <w:iCs/>
                <w:sz w:val="20"/>
              </w:rPr>
            </w:pPr>
          </w:p>
        </w:tc>
        <w:tc>
          <w:tcPr>
            <w:tcW w:w="4298" w:type="dxa"/>
            <w:gridSpan w:val="3"/>
            <w:vMerge/>
            <w:vAlign w:val="center"/>
          </w:tcPr>
          <w:p w:rsidR="004604EA" w:rsidRPr="0057172D" w:rsidRDefault="004604EA" w:rsidP="0049696E">
            <w:pPr>
              <w:keepNext/>
              <w:jc w:val="center"/>
              <w:rPr>
                <w:rFonts w:ascii="Arial Narrow" w:hAnsi="Arial Narrow" w:cstheme="minorBidi"/>
                <w:iCs/>
                <w:sz w:val="20"/>
              </w:rPr>
            </w:pPr>
          </w:p>
        </w:tc>
        <w:tc>
          <w:tcPr>
            <w:tcW w:w="1399" w:type="dxa"/>
            <w:vMerge/>
            <w:vAlign w:val="center"/>
          </w:tcPr>
          <w:p w:rsidR="004604EA" w:rsidRPr="0057172D" w:rsidRDefault="004604EA" w:rsidP="0049696E">
            <w:pPr>
              <w:keepNext/>
              <w:jc w:val="center"/>
              <w:rPr>
                <w:rFonts w:ascii="Arial Narrow" w:hAnsi="Arial Narrow" w:cstheme="minorBidi"/>
                <w:b/>
                <w:iCs/>
                <w:sz w:val="20"/>
              </w:rPr>
            </w:pPr>
          </w:p>
        </w:tc>
        <w:tc>
          <w:tcPr>
            <w:tcW w:w="980"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iCs/>
                <w:sz w:val="20"/>
              </w:rPr>
              <w:t>SEC 30</w:t>
            </w:r>
            <w:r w:rsidR="00992EE2" w:rsidRPr="0057172D">
              <w:rPr>
                <w:rFonts w:ascii="Arial Narrow" w:hAnsi="Arial Narrow"/>
                <w:iCs/>
                <w:sz w:val="20"/>
              </w:rPr>
              <w:t>0 mg</w:t>
            </w:r>
          </w:p>
        </w:tc>
        <w:tc>
          <w:tcPr>
            <w:tcW w:w="1275" w:type="dxa"/>
            <w:vAlign w:val="center"/>
          </w:tcPr>
          <w:p w:rsidR="004604EA" w:rsidRPr="0057172D" w:rsidRDefault="004604EA" w:rsidP="0049696E">
            <w:pPr>
              <w:keepNext/>
              <w:jc w:val="center"/>
              <w:rPr>
                <w:rFonts w:ascii="Arial Narrow" w:hAnsi="Arial Narrow"/>
                <w:iCs/>
                <w:sz w:val="20"/>
                <w:lang w:val="en-US" w:eastAsia="zh-CN"/>
              </w:rPr>
            </w:pPr>
            <w:r w:rsidRPr="0057172D">
              <w:rPr>
                <w:rFonts w:ascii="Arial Narrow" w:hAnsi="Arial Narrow" w:cstheme="minorBidi"/>
                <w:b/>
                <w:iCs/>
                <w:sz w:val="20"/>
              </w:rPr>
              <w:t>0.50 (0.32, 0.80)</w:t>
            </w:r>
          </w:p>
        </w:tc>
      </w:tr>
      <w:tr w:rsidR="004604EA" w:rsidRPr="0057172D" w:rsidTr="00ED4FCE">
        <w:tc>
          <w:tcPr>
            <w:tcW w:w="448" w:type="dxa"/>
            <w:vMerge/>
            <w:tcBorders>
              <w:bottom w:val="double" w:sz="4" w:space="0" w:color="auto"/>
            </w:tcBorders>
            <w:vAlign w:val="center"/>
          </w:tcPr>
          <w:p w:rsidR="004604EA" w:rsidRPr="0057172D" w:rsidRDefault="004604EA" w:rsidP="0049696E">
            <w:pPr>
              <w:keepNext/>
              <w:jc w:val="left"/>
              <w:rPr>
                <w:rFonts w:ascii="Arial Narrow" w:hAnsi="Arial Narrow"/>
                <w:iCs/>
                <w:sz w:val="20"/>
              </w:rPr>
            </w:pPr>
          </w:p>
        </w:tc>
        <w:tc>
          <w:tcPr>
            <w:tcW w:w="4298" w:type="dxa"/>
            <w:gridSpan w:val="3"/>
            <w:vMerge/>
            <w:tcBorders>
              <w:bottom w:val="double" w:sz="4" w:space="0" w:color="auto"/>
            </w:tcBorders>
            <w:vAlign w:val="center"/>
          </w:tcPr>
          <w:p w:rsidR="004604EA" w:rsidRPr="0057172D" w:rsidRDefault="004604EA" w:rsidP="0049696E">
            <w:pPr>
              <w:keepNext/>
              <w:jc w:val="center"/>
              <w:rPr>
                <w:rFonts w:ascii="Arial Narrow" w:hAnsi="Arial Narrow" w:cstheme="minorBidi"/>
                <w:iCs/>
                <w:sz w:val="20"/>
              </w:rPr>
            </w:pPr>
          </w:p>
        </w:tc>
        <w:tc>
          <w:tcPr>
            <w:tcW w:w="1399" w:type="dxa"/>
            <w:vMerge/>
            <w:tcBorders>
              <w:bottom w:val="double" w:sz="4" w:space="0" w:color="auto"/>
            </w:tcBorders>
            <w:vAlign w:val="center"/>
          </w:tcPr>
          <w:p w:rsidR="004604EA" w:rsidRPr="0057172D" w:rsidRDefault="004604EA" w:rsidP="0049696E">
            <w:pPr>
              <w:keepNext/>
              <w:jc w:val="center"/>
              <w:rPr>
                <w:rFonts w:ascii="Arial Narrow" w:hAnsi="Arial Narrow" w:cstheme="minorBidi"/>
                <w:b/>
                <w:iCs/>
                <w:sz w:val="20"/>
              </w:rPr>
            </w:pPr>
          </w:p>
        </w:tc>
        <w:tc>
          <w:tcPr>
            <w:tcW w:w="980" w:type="dxa"/>
            <w:tcBorders>
              <w:bottom w:val="double" w:sz="4" w:space="0" w:color="auto"/>
            </w:tcBorders>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iCs/>
                <w:sz w:val="20"/>
              </w:rPr>
              <w:t xml:space="preserve"> ‘lumped’</w:t>
            </w:r>
          </w:p>
        </w:tc>
        <w:tc>
          <w:tcPr>
            <w:tcW w:w="1275" w:type="dxa"/>
            <w:tcBorders>
              <w:bottom w:val="double" w:sz="4" w:space="0" w:color="auto"/>
            </w:tcBorders>
            <w:vAlign w:val="center"/>
          </w:tcPr>
          <w:p w:rsidR="004604EA" w:rsidRPr="0057172D" w:rsidRDefault="004604EA" w:rsidP="0049696E">
            <w:pPr>
              <w:keepNext/>
              <w:jc w:val="center"/>
              <w:rPr>
                <w:rFonts w:ascii="Arial Narrow" w:hAnsi="Arial Narrow"/>
                <w:iCs/>
                <w:sz w:val="20"/>
                <w:lang w:val="en-US" w:eastAsia="zh-CN"/>
              </w:rPr>
            </w:pPr>
            <w:r w:rsidRPr="0057172D">
              <w:rPr>
                <w:rFonts w:ascii="Arial Narrow" w:hAnsi="Arial Narrow" w:cstheme="minorBidi"/>
                <w:b/>
                <w:iCs/>
                <w:sz w:val="20"/>
              </w:rPr>
              <w:t>0.49 (0.31, 0.77)</w:t>
            </w:r>
          </w:p>
        </w:tc>
      </w:tr>
      <w:tr w:rsidR="004604EA" w:rsidRPr="0057172D" w:rsidTr="00ED4FCE">
        <w:trPr>
          <w:trHeight w:val="70"/>
        </w:trPr>
        <w:tc>
          <w:tcPr>
            <w:tcW w:w="448" w:type="dxa"/>
            <w:vMerge w:val="restart"/>
            <w:tcBorders>
              <w:top w:val="double" w:sz="4" w:space="0" w:color="auto"/>
            </w:tcBorders>
            <w:vAlign w:val="center"/>
          </w:tcPr>
          <w:p w:rsidR="004604EA" w:rsidRPr="0057172D" w:rsidRDefault="004604EA" w:rsidP="0049696E">
            <w:pPr>
              <w:keepNext/>
              <w:jc w:val="left"/>
              <w:rPr>
                <w:rFonts w:ascii="Arial Narrow" w:hAnsi="Arial Narrow"/>
                <w:iCs/>
                <w:sz w:val="20"/>
              </w:rPr>
            </w:pPr>
            <w:r w:rsidRPr="0057172D">
              <w:rPr>
                <w:rFonts w:ascii="Arial Narrow" w:hAnsi="Arial Narrow"/>
                <w:iCs/>
                <w:sz w:val="20"/>
              </w:rPr>
              <w:t>CZP</w:t>
            </w:r>
          </w:p>
        </w:tc>
        <w:tc>
          <w:tcPr>
            <w:tcW w:w="2100" w:type="dxa"/>
            <w:tcBorders>
              <w:top w:val="double" w:sz="4" w:space="0" w:color="auto"/>
            </w:tcBorders>
          </w:tcPr>
          <w:p w:rsidR="004604EA" w:rsidRPr="0057172D" w:rsidRDefault="004604EA" w:rsidP="0049696E">
            <w:pPr>
              <w:keepNext/>
              <w:jc w:val="left"/>
              <w:rPr>
                <w:rFonts w:ascii="Arial Narrow" w:hAnsi="Arial Narrow"/>
                <w:iCs/>
                <w:sz w:val="20"/>
              </w:rPr>
            </w:pPr>
            <w:r w:rsidRPr="0057172D">
              <w:rPr>
                <w:rFonts w:ascii="Arial Narrow" w:hAnsi="Arial Narrow"/>
                <w:iCs/>
                <w:sz w:val="20"/>
              </w:rPr>
              <w:t>RAPID-PsA (12 wk, subgp)</w:t>
            </w:r>
          </w:p>
        </w:tc>
        <w:tc>
          <w:tcPr>
            <w:tcW w:w="1134" w:type="dxa"/>
            <w:tcBorders>
              <w:top w:val="double" w:sz="4" w:space="0" w:color="auto"/>
            </w:tcBorders>
            <w:vAlign w:val="center"/>
          </w:tcPr>
          <w:p w:rsidR="004604EA" w:rsidRPr="0057172D" w:rsidRDefault="004604EA" w:rsidP="0049696E">
            <w:pPr>
              <w:keepNext/>
              <w:jc w:val="center"/>
              <w:rPr>
                <w:rFonts w:ascii="Arial Narrow" w:hAnsi="Arial Narrow" w:cstheme="minorBidi"/>
                <w:iCs/>
                <w:sz w:val="20"/>
              </w:rPr>
            </w:pPr>
          </w:p>
        </w:tc>
        <w:tc>
          <w:tcPr>
            <w:tcW w:w="1064" w:type="dxa"/>
            <w:tcBorders>
              <w:top w:val="double" w:sz="4" w:space="0" w:color="auto"/>
            </w:tcBorders>
            <w:vAlign w:val="center"/>
          </w:tcPr>
          <w:p w:rsidR="004604EA" w:rsidRPr="0057172D" w:rsidRDefault="004604EA" w:rsidP="0049696E">
            <w:pPr>
              <w:keepNext/>
              <w:jc w:val="center"/>
              <w:rPr>
                <w:rFonts w:ascii="Arial Narrow" w:hAnsi="Arial Narrow" w:cstheme="minorBidi"/>
                <w:iCs/>
                <w:sz w:val="20"/>
              </w:rPr>
            </w:pPr>
          </w:p>
        </w:tc>
        <w:tc>
          <w:tcPr>
            <w:tcW w:w="1399" w:type="dxa"/>
            <w:tcBorders>
              <w:top w:val="double" w:sz="4" w:space="0" w:color="auto"/>
            </w:tcBorders>
            <w:vAlign w:val="center"/>
          </w:tcPr>
          <w:p w:rsidR="004604EA" w:rsidRPr="0057172D" w:rsidRDefault="004604EA" w:rsidP="0049696E">
            <w:pPr>
              <w:keepNext/>
              <w:jc w:val="center"/>
              <w:rPr>
                <w:rFonts w:ascii="Arial Narrow" w:hAnsi="Arial Narrow" w:cstheme="minorBidi"/>
                <w:b/>
                <w:iCs/>
                <w:sz w:val="20"/>
              </w:rPr>
            </w:pPr>
          </w:p>
        </w:tc>
        <w:tc>
          <w:tcPr>
            <w:tcW w:w="980" w:type="dxa"/>
            <w:tcBorders>
              <w:top w:val="double" w:sz="4" w:space="0" w:color="auto"/>
            </w:tcBorders>
            <w:vAlign w:val="center"/>
          </w:tcPr>
          <w:p w:rsidR="004604EA" w:rsidRPr="0057172D" w:rsidRDefault="004604EA" w:rsidP="0049696E">
            <w:pPr>
              <w:keepNext/>
              <w:jc w:val="center"/>
              <w:rPr>
                <w:rFonts w:ascii="Arial Narrow" w:hAnsi="Arial Narrow" w:cstheme="minorBidi"/>
                <w:iCs/>
                <w:sz w:val="20"/>
              </w:rPr>
            </w:pPr>
          </w:p>
        </w:tc>
        <w:tc>
          <w:tcPr>
            <w:tcW w:w="1275" w:type="dxa"/>
            <w:tcBorders>
              <w:top w:val="double" w:sz="4" w:space="0" w:color="auto"/>
            </w:tcBorders>
            <w:vAlign w:val="center"/>
          </w:tcPr>
          <w:p w:rsidR="004604EA" w:rsidRPr="0057172D" w:rsidRDefault="004604EA" w:rsidP="0049696E">
            <w:pPr>
              <w:keepNext/>
              <w:jc w:val="center"/>
              <w:rPr>
                <w:rFonts w:ascii="Arial Narrow" w:hAnsi="Arial Narrow" w:cstheme="minorBidi"/>
                <w:iCs/>
                <w:sz w:val="20"/>
              </w:rPr>
            </w:pPr>
          </w:p>
        </w:tc>
      </w:tr>
      <w:tr w:rsidR="004604EA" w:rsidRPr="0057172D" w:rsidTr="00ED4FCE">
        <w:trPr>
          <w:trHeight w:val="70"/>
        </w:trPr>
        <w:tc>
          <w:tcPr>
            <w:tcW w:w="448" w:type="dxa"/>
            <w:vMerge/>
            <w:vAlign w:val="center"/>
          </w:tcPr>
          <w:p w:rsidR="004604EA" w:rsidRPr="0057172D" w:rsidRDefault="004604EA" w:rsidP="0049696E">
            <w:pPr>
              <w:keepNext/>
              <w:jc w:val="left"/>
              <w:rPr>
                <w:rFonts w:ascii="Arial Narrow" w:hAnsi="Arial Narrow"/>
                <w:iCs/>
                <w:sz w:val="20"/>
              </w:rPr>
            </w:pPr>
          </w:p>
        </w:tc>
        <w:tc>
          <w:tcPr>
            <w:tcW w:w="2100" w:type="dxa"/>
            <w:vAlign w:val="center"/>
          </w:tcPr>
          <w:p w:rsidR="004604EA" w:rsidRPr="0057172D" w:rsidRDefault="004604EA" w:rsidP="0049696E">
            <w:pPr>
              <w:keepNext/>
              <w:ind w:left="113"/>
              <w:jc w:val="left"/>
              <w:rPr>
                <w:rFonts w:ascii="Arial Narrow" w:hAnsi="Arial Narrow"/>
                <w:iCs/>
                <w:sz w:val="20"/>
              </w:rPr>
            </w:pPr>
            <w:r w:rsidRPr="0057172D">
              <w:rPr>
                <w:rFonts w:ascii="Arial Narrow" w:hAnsi="Arial Narrow"/>
                <w:iCs/>
                <w:sz w:val="20"/>
              </w:rPr>
              <w:t>CZP 20</w:t>
            </w:r>
            <w:r w:rsidR="00992EE2" w:rsidRPr="0057172D">
              <w:rPr>
                <w:rFonts w:ascii="Arial Narrow" w:hAnsi="Arial Narrow"/>
                <w:iCs/>
                <w:sz w:val="20"/>
              </w:rPr>
              <w:t>0 mg</w:t>
            </w:r>
          </w:p>
        </w:tc>
        <w:tc>
          <w:tcPr>
            <w:tcW w:w="1134"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cstheme="minorBidi"/>
                <w:iCs/>
                <w:sz w:val="20"/>
              </w:rPr>
              <w:t>66/107 (61.7)</w:t>
            </w:r>
          </w:p>
        </w:tc>
        <w:tc>
          <w:tcPr>
            <w:tcW w:w="1064" w:type="dxa"/>
            <w:vMerge w:val="restart"/>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cstheme="minorBidi"/>
                <w:iCs/>
                <w:sz w:val="20"/>
              </w:rPr>
              <w:t>29/110 (26.4</w:t>
            </w:r>
            <w:r w:rsidRPr="0057172D">
              <w:rPr>
                <w:rFonts w:ascii="Arial Narrow" w:hAnsi="Arial Narrow"/>
                <w:iCs/>
                <w:sz w:val="20"/>
              </w:rPr>
              <w:t>)</w:t>
            </w:r>
          </w:p>
        </w:tc>
        <w:tc>
          <w:tcPr>
            <w:tcW w:w="1399" w:type="dxa"/>
            <w:vAlign w:val="center"/>
          </w:tcPr>
          <w:p w:rsidR="004604EA" w:rsidRPr="0057172D" w:rsidRDefault="004604EA" w:rsidP="0049696E">
            <w:pPr>
              <w:keepNext/>
              <w:jc w:val="center"/>
              <w:rPr>
                <w:rFonts w:ascii="Arial Narrow" w:hAnsi="Arial Narrow" w:cstheme="minorBidi"/>
                <w:bCs/>
                <w:iCs/>
                <w:sz w:val="20"/>
              </w:rPr>
            </w:pPr>
            <w:r w:rsidRPr="0057172D">
              <w:rPr>
                <w:rFonts w:ascii="Arial Narrow" w:hAnsi="Arial Narrow" w:cstheme="minorBidi"/>
                <w:b/>
                <w:bCs/>
                <w:iCs/>
                <w:sz w:val="20"/>
              </w:rPr>
              <w:t>2.34 (1.66, 3.31)</w:t>
            </w:r>
          </w:p>
        </w:tc>
        <w:tc>
          <w:tcPr>
            <w:tcW w:w="980"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cstheme="minorBidi"/>
                <w:iCs/>
                <w:sz w:val="20"/>
              </w:rPr>
              <w:t>15</w:t>
            </w:r>
            <w:r w:rsidR="00992EE2" w:rsidRPr="0057172D">
              <w:rPr>
                <w:rFonts w:ascii="Arial Narrow" w:hAnsi="Arial Narrow" w:cstheme="minorBidi"/>
                <w:iCs/>
                <w:sz w:val="20"/>
              </w:rPr>
              <w:t>0 mg</w:t>
            </w:r>
            <w:r w:rsidRPr="0057172D">
              <w:rPr>
                <w:rFonts w:ascii="Arial Narrow" w:hAnsi="Arial Narrow" w:cstheme="minorBidi"/>
                <w:iCs/>
                <w:sz w:val="20"/>
              </w:rPr>
              <w:t xml:space="preserve"> vs ‘lumped’</w:t>
            </w:r>
          </w:p>
        </w:tc>
        <w:tc>
          <w:tcPr>
            <w:tcW w:w="1275"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cstheme="minorBidi"/>
                <w:iCs/>
                <w:sz w:val="20"/>
              </w:rPr>
              <w:t>1.00 (0.59, 1.72)</w:t>
            </w:r>
          </w:p>
        </w:tc>
      </w:tr>
      <w:tr w:rsidR="004604EA" w:rsidRPr="0057172D" w:rsidTr="00ED4FCE">
        <w:trPr>
          <w:trHeight w:val="70"/>
        </w:trPr>
        <w:tc>
          <w:tcPr>
            <w:tcW w:w="448" w:type="dxa"/>
            <w:vMerge/>
            <w:vAlign w:val="center"/>
          </w:tcPr>
          <w:p w:rsidR="004604EA" w:rsidRPr="0057172D" w:rsidRDefault="004604EA" w:rsidP="0049696E">
            <w:pPr>
              <w:keepNext/>
              <w:jc w:val="left"/>
              <w:rPr>
                <w:rFonts w:ascii="Arial Narrow" w:hAnsi="Arial Narrow"/>
                <w:iCs/>
                <w:sz w:val="20"/>
              </w:rPr>
            </w:pPr>
          </w:p>
        </w:tc>
        <w:tc>
          <w:tcPr>
            <w:tcW w:w="2100" w:type="dxa"/>
            <w:vAlign w:val="center"/>
          </w:tcPr>
          <w:p w:rsidR="004604EA" w:rsidRPr="0057172D" w:rsidRDefault="004604EA" w:rsidP="0049696E">
            <w:pPr>
              <w:keepNext/>
              <w:ind w:left="113"/>
              <w:jc w:val="left"/>
              <w:rPr>
                <w:rFonts w:ascii="Arial Narrow" w:hAnsi="Arial Narrow"/>
                <w:iCs/>
                <w:sz w:val="20"/>
              </w:rPr>
            </w:pPr>
            <w:r w:rsidRPr="0057172D">
              <w:rPr>
                <w:rFonts w:ascii="Arial Narrow" w:hAnsi="Arial Narrow"/>
                <w:iCs/>
                <w:sz w:val="20"/>
              </w:rPr>
              <w:t>CZP 40</w:t>
            </w:r>
            <w:r w:rsidR="00992EE2" w:rsidRPr="0057172D">
              <w:rPr>
                <w:rFonts w:ascii="Arial Narrow" w:hAnsi="Arial Narrow"/>
                <w:iCs/>
                <w:sz w:val="20"/>
              </w:rPr>
              <w:t>0 mg</w:t>
            </w:r>
          </w:p>
        </w:tc>
        <w:tc>
          <w:tcPr>
            <w:tcW w:w="1134"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cstheme="minorBidi"/>
                <w:iCs/>
                <w:sz w:val="20"/>
              </w:rPr>
              <w:t>55/112 (49.1)</w:t>
            </w:r>
          </w:p>
        </w:tc>
        <w:tc>
          <w:tcPr>
            <w:tcW w:w="1064" w:type="dxa"/>
            <w:vMerge/>
            <w:vAlign w:val="center"/>
          </w:tcPr>
          <w:p w:rsidR="004604EA" w:rsidRPr="0057172D" w:rsidRDefault="004604EA" w:rsidP="0049696E">
            <w:pPr>
              <w:keepNext/>
              <w:jc w:val="center"/>
              <w:rPr>
                <w:rFonts w:ascii="Arial Narrow" w:hAnsi="Arial Narrow" w:cstheme="minorBidi"/>
                <w:iCs/>
                <w:sz w:val="20"/>
              </w:rPr>
            </w:pPr>
          </w:p>
        </w:tc>
        <w:tc>
          <w:tcPr>
            <w:tcW w:w="1399" w:type="dxa"/>
            <w:vAlign w:val="center"/>
          </w:tcPr>
          <w:p w:rsidR="004604EA" w:rsidRPr="0057172D" w:rsidRDefault="00BE08A9" w:rsidP="0049696E">
            <w:pPr>
              <w:keepNext/>
              <w:jc w:val="center"/>
              <w:rPr>
                <w:rFonts w:ascii="Arial Narrow" w:hAnsi="Arial Narrow" w:cstheme="minorBidi"/>
                <w:bCs/>
                <w:iCs/>
                <w:sz w:val="20"/>
              </w:rPr>
            </w:pPr>
            <w:r w:rsidRPr="0057172D">
              <w:rPr>
                <w:rFonts w:ascii="Arial Narrow" w:hAnsi="Arial Narrow" w:cstheme="minorBidi"/>
                <w:b/>
                <w:bCs/>
                <w:iCs/>
                <w:sz w:val="20"/>
              </w:rPr>
              <w:t>1.86 (1.29, 2.68)</w:t>
            </w:r>
          </w:p>
        </w:tc>
        <w:tc>
          <w:tcPr>
            <w:tcW w:w="980"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cstheme="minorBidi"/>
                <w:iCs/>
                <w:sz w:val="20"/>
              </w:rPr>
              <w:t>30</w:t>
            </w:r>
            <w:r w:rsidR="00992EE2" w:rsidRPr="0057172D">
              <w:rPr>
                <w:rFonts w:ascii="Arial Narrow" w:hAnsi="Arial Narrow" w:cstheme="minorBidi"/>
                <w:iCs/>
                <w:sz w:val="20"/>
              </w:rPr>
              <w:t>0 mg</w:t>
            </w:r>
            <w:r w:rsidRPr="0057172D">
              <w:rPr>
                <w:rFonts w:ascii="Arial Narrow" w:hAnsi="Arial Narrow" w:cstheme="minorBidi"/>
                <w:iCs/>
                <w:sz w:val="20"/>
              </w:rPr>
              <w:t xml:space="preserve"> vs ‘lumped’ </w:t>
            </w:r>
          </w:p>
        </w:tc>
        <w:tc>
          <w:tcPr>
            <w:tcW w:w="1275"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cstheme="minorBidi"/>
                <w:iCs/>
                <w:sz w:val="20"/>
              </w:rPr>
              <w:t>1.06 (0.63, 1.80)</w:t>
            </w:r>
          </w:p>
        </w:tc>
      </w:tr>
      <w:tr w:rsidR="0022352E" w:rsidRPr="0057172D" w:rsidTr="0022352E">
        <w:trPr>
          <w:trHeight w:val="70"/>
        </w:trPr>
        <w:tc>
          <w:tcPr>
            <w:tcW w:w="448" w:type="dxa"/>
            <w:vMerge/>
            <w:tcBorders>
              <w:bottom w:val="single" w:sz="4" w:space="0" w:color="auto"/>
            </w:tcBorders>
            <w:vAlign w:val="center"/>
          </w:tcPr>
          <w:p w:rsidR="004604EA" w:rsidRPr="0057172D" w:rsidRDefault="004604EA" w:rsidP="0049696E">
            <w:pPr>
              <w:keepNext/>
              <w:jc w:val="left"/>
              <w:rPr>
                <w:rFonts w:ascii="Arial Narrow" w:hAnsi="Arial Narrow"/>
                <w:iCs/>
                <w:sz w:val="20"/>
              </w:rPr>
            </w:pPr>
          </w:p>
        </w:tc>
        <w:tc>
          <w:tcPr>
            <w:tcW w:w="2100" w:type="dxa"/>
            <w:tcBorders>
              <w:bottom w:val="single" w:sz="4" w:space="0" w:color="auto"/>
            </w:tcBorders>
            <w:vAlign w:val="center"/>
          </w:tcPr>
          <w:p w:rsidR="004604EA" w:rsidRPr="0057172D" w:rsidRDefault="004604EA" w:rsidP="0049696E">
            <w:pPr>
              <w:keepNext/>
              <w:ind w:left="113"/>
              <w:jc w:val="left"/>
              <w:rPr>
                <w:rFonts w:ascii="Arial Narrow" w:hAnsi="Arial Narrow"/>
                <w:iCs/>
                <w:sz w:val="20"/>
              </w:rPr>
            </w:pPr>
            <w:r w:rsidRPr="0057172D">
              <w:rPr>
                <w:rFonts w:ascii="Arial Narrow" w:hAnsi="Arial Narrow"/>
                <w:iCs/>
                <w:sz w:val="20"/>
              </w:rPr>
              <w:t>CZP (‘lumped’)</w:t>
            </w:r>
          </w:p>
        </w:tc>
        <w:tc>
          <w:tcPr>
            <w:tcW w:w="1134" w:type="dxa"/>
            <w:tcBorders>
              <w:bottom w:val="single" w:sz="4" w:space="0" w:color="auto"/>
            </w:tcBorders>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cstheme="minorBidi"/>
                <w:iCs/>
                <w:sz w:val="20"/>
              </w:rPr>
              <w:t>121/219 (55.3)</w:t>
            </w:r>
          </w:p>
        </w:tc>
        <w:tc>
          <w:tcPr>
            <w:tcW w:w="1064" w:type="dxa"/>
            <w:vMerge/>
            <w:tcBorders>
              <w:bottom w:val="single" w:sz="4" w:space="0" w:color="auto"/>
            </w:tcBorders>
            <w:vAlign w:val="center"/>
          </w:tcPr>
          <w:p w:rsidR="004604EA" w:rsidRPr="0057172D" w:rsidRDefault="004604EA" w:rsidP="0049696E">
            <w:pPr>
              <w:keepNext/>
              <w:jc w:val="center"/>
              <w:rPr>
                <w:rFonts w:ascii="Arial Narrow" w:hAnsi="Arial Narrow" w:cstheme="minorBidi"/>
                <w:iCs/>
                <w:sz w:val="20"/>
              </w:rPr>
            </w:pPr>
          </w:p>
        </w:tc>
        <w:tc>
          <w:tcPr>
            <w:tcW w:w="1399" w:type="dxa"/>
            <w:tcBorders>
              <w:bottom w:val="single" w:sz="4" w:space="0" w:color="auto"/>
            </w:tcBorders>
            <w:vAlign w:val="center"/>
          </w:tcPr>
          <w:p w:rsidR="004604EA" w:rsidRPr="0057172D" w:rsidRDefault="004604EA" w:rsidP="0049696E">
            <w:pPr>
              <w:keepNext/>
              <w:jc w:val="center"/>
              <w:rPr>
                <w:rFonts w:ascii="Arial Narrow" w:hAnsi="Arial Narrow" w:cstheme="minorBidi"/>
                <w:b/>
                <w:bCs/>
                <w:iCs/>
                <w:sz w:val="20"/>
              </w:rPr>
            </w:pPr>
            <w:r w:rsidRPr="0057172D">
              <w:rPr>
                <w:rFonts w:ascii="Arial Narrow" w:hAnsi="Arial Narrow" w:cstheme="minorBidi"/>
                <w:b/>
                <w:bCs/>
                <w:iCs/>
                <w:sz w:val="20"/>
              </w:rPr>
              <w:t>2.10 (1.50, 2.93)</w:t>
            </w:r>
          </w:p>
        </w:tc>
        <w:tc>
          <w:tcPr>
            <w:tcW w:w="980" w:type="dxa"/>
            <w:tcBorders>
              <w:bottom w:val="single" w:sz="4" w:space="0" w:color="auto"/>
            </w:tcBorders>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cstheme="minorBidi"/>
                <w:iCs/>
                <w:sz w:val="20"/>
              </w:rPr>
              <w:t xml:space="preserve"> </w:t>
            </w:r>
            <w:r w:rsidRPr="0057172D">
              <w:rPr>
                <w:rFonts w:ascii="Arial Narrow" w:hAnsi="Arial Narrow"/>
                <w:iCs/>
                <w:sz w:val="20"/>
              </w:rPr>
              <w:t xml:space="preserve">‘lumped’ vs </w:t>
            </w:r>
            <w:r w:rsidRPr="0057172D">
              <w:rPr>
                <w:rFonts w:ascii="Arial Narrow" w:hAnsi="Arial Narrow" w:cstheme="minorBidi"/>
                <w:iCs/>
                <w:sz w:val="20"/>
              </w:rPr>
              <w:t>‘lumped’</w:t>
            </w:r>
          </w:p>
        </w:tc>
        <w:tc>
          <w:tcPr>
            <w:tcW w:w="1275" w:type="dxa"/>
            <w:tcBorders>
              <w:bottom w:val="single" w:sz="4" w:space="0" w:color="auto"/>
            </w:tcBorders>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cstheme="minorBidi"/>
                <w:iCs/>
                <w:sz w:val="20"/>
              </w:rPr>
              <w:t>1.03 (0.62, 1.73)</w:t>
            </w:r>
          </w:p>
        </w:tc>
      </w:tr>
      <w:tr w:rsidR="0022352E" w:rsidRPr="0057172D" w:rsidTr="0022352E">
        <w:trPr>
          <w:trHeight w:val="70"/>
        </w:trPr>
        <w:tc>
          <w:tcPr>
            <w:tcW w:w="448" w:type="dxa"/>
            <w:vMerge w:val="restart"/>
            <w:tcBorders>
              <w:top w:val="single" w:sz="4" w:space="0" w:color="auto"/>
            </w:tcBorders>
            <w:vAlign w:val="center"/>
          </w:tcPr>
          <w:p w:rsidR="004604EA" w:rsidRPr="0057172D" w:rsidRDefault="004604EA" w:rsidP="0049696E">
            <w:pPr>
              <w:keepNext/>
              <w:jc w:val="left"/>
              <w:rPr>
                <w:rFonts w:ascii="Arial Narrow" w:hAnsi="Arial Narrow"/>
                <w:iCs/>
                <w:sz w:val="20"/>
              </w:rPr>
            </w:pPr>
            <w:r w:rsidRPr="0057172D">
              <w:rPr>
                <w:rFonts w:ascii="Arial Narrow" w:hAnsi="Arial Narrow"/>
                <w:iCs/>
                <w:sz w:val="20"/>
              </w:rPr>
              <w:t>UST 45 mg</w:t>
            </w:r>
          </w:p>
        </w:tc>
        <w:tc>
          <w:tcPr>
            <w:tcW w:w="2100" w:type="dxa"/>
            <w:tcBorders>
              <w:top w:val="single" w:sz="4" w:space="0" w:color="auto"/>
            </w:tcBorders>
            <w:vAlign w:val="center"/>
          </w:tcPr>
          <w:p w:rsidR="004604EA" w:rsidRPr="0057172D" w:rsidRDefault="004604EA" w:rsidP="0049696E">
            <w:pPr>
              <w:keepNext/>
              <w:jc w:val="left"/>
              <w:rPr>
                <w:rFonts w:ascii="Arial Narrow" w:hAnsi="Arial Narrow"/>
                <w:iCs/>
                <w:sz w:val="20"/>
              </w:rPr>
            </w:pPr>
            <w:r w:rsidRPr="0057172D">
              <w:rPr>
                <w:rFonts w:ascii="Arial Narrow" w:hAnsi="Arial Narrow"/>
                <w:iCs/>
                <w:sz w:val="20"/>
              </w:rPr>
              <w:t>PSUMMIT-1 (24 wk)</w:t>
            </w:r>
          </w:p>
        </w:tc>
        <w:tc>
          <w:tcPr>
            <w:tcW w:w="1134" w:type="dxa"/>
            <w:tcBorders>
              <w:top w:val="single" w:sz="4" w:space="0" w:color="auto"/>
            </w:tcBorders>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cstheme="minorBidi"/>
                <w:iCs/>
                <w:sz w:val="20"/>
              </w:rPr>
              <w:t>87/205 (42.4)</w:t>
            </w:r>
          </w:p>
        </w:tc>
        <w:tc>
          <w:tcPr>
            <w:tcW w:w="1064" w:type="dxa"/>
            <w:tcBorders>
              <w:top w:val="single" w:sz="4" w:space="0" w:color="auto"/>
            </w:tcBorders>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cstheme="minorBidi"/>
                <w:iCs/>
                <w:sz w:val="20"/>
              </w:rPr>
              <w:t>47/206 (22.8)</w:t>
            </w:r>
          </w:p>
        </w:tc>
        <w:tc>
          <w:tcPr>
            <w:tcW w:w="1399" w:type="dxa"/>
            <w:tcBorders>
              <w:top w:val="single" w:sz="4" w:space="0" w:color="auto"/>
            </w:tcBorders>
            <w:vAlign w:val="center"/>
          </w:tcPr>
          <w:p w:rsidR="004604EA" w:rsidRPr="0057172D" w:rsidRDefault="004604EA" w:rsidP="0049696E">
            <w:pPr>
              <w:keepNext/>
              <w:jc w:val="center"/>
              <w:rPr>
                <w:rFonts w:ascii="Arial Narrow" w:hAnsi="Arial Narrow" w:cstheme="minorBidi"/>
                <w:b/>
                <w:bCs/>
                <w:iCs/>
                <w:sz w:val="20"/>
              </w:rPr>
            </w:pPr>
            <w:r w:rsidRPr="0057172D">
              <w:rPr>
                <w:rFonts w:ascii="Arial Narrow" w:hAnsi="Arial Narrow" w:cstheme="minorBidi"/>
                <w:b/>
                <w:bCs/>
                <w:iCs/>
                <w:sz w:val="20"/>
              </w:rPr>
              <w:t>1.86 (1.38, 2.50)</w:t>
            </w:r>
          </w:p>
        </w:tc>
        <w:tc>
          <w:tcPr>
            <w:tcW w:w="980" w:type="dxa"/>
            <w:tcBorders>
              <w:top w:val="single" w:sz="4" w:space="0" w:color="auto"/>
            </w:tcBorders>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iCs/>
                <w:sz w:val="20"/>
              </w:rPr>
              <w:t>SEC 15</w:t>
            </w:r>
            <w:r w:rsidR="00992EE2" w:rsidRPr="0057172D">
              <w:rPr>
                <w:rFonts w:ascii="Arial Narrow" w:hAnsi="Arial Narrow"/>
                <w:iCs/>
                <w:sz w:val="20"/>
              </w:rPr>
              <w:t>0 mg</w:t>
            </w:r>
          </w:p>
        </w:tc>
        <w:tc>
          <w:tcPr>
            <w:tcW w:w="1275" w:type="dxa"/>
            <w:tcBorders>
              <w:top w:val="single" w:sz="4" w:space="0" w:color="auto"/>
            </w:tcBorders>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cstheme="minorBidi"/>
                <w:iCs/>
                <w:sz w:val="20"/>
              </w:rPr>
              <w:t>1.13 (0.69, 1.86)</w:t>
            </w:r>
          </w:p>
        </w:tc>
      </w:tr>
      <w:tr w:rsidR="004604EA" w:rsidRPr="0057172D" w:rsidTr="00ED4FCE">
        <w:trPr>
          <w:trHeight w:val="70"/>
        </w:trPr>
        <w:tc>
          <w:tcPr>
            <w:tcW w:w="448" w:type="dxa"/>
            <w:vMerge/>
            <w:vAlign w:val="center"/>
          </w:tcPr>
          <w:p w:rsidR="004604EA" w:rsidRPr="0057172D" w:rsidRDefault="004604EA" w:rsidP="0049696E">
            <w:pPr>
              <w:keepNext/>
              <w:jc w:val="left"/>
              <w:rPr>
                <w:rFonts w:ascii="Arial Narrow" w:hAnsi="Arial Narrow"/>
                <w:iCs/>
                <w:sz w:val="20"/>
              </w:rPr>
            </w:pPr>
          </w:p>
        </w:tc>
        <w:tc>
          <w:tcPr>
            <w:tcW w:w="2100" w:type="dxa"/>
            <w:vAlign w:val="center"/>
          </w:tcPr>
          <w:p w:rsidR="004604EA" w:rsidRPr="0057172D" w:rsidRDefault="004604EA" w:rsidP="0049696E">
            <w:pPr>
              <w:keepNext/>
              <w:jc w:val="left"/>
              <w:rPr>
                <w:rFonts w:ascii="Arial Narrow" w:hAnsi="Arial Narrow"/>
                <w:iCs/>
                <w:sz w:val="20"/>
              </w:rPr>
            </w:pPr>
            <w:r w:rsidRPr="0057172D">
              <w:rPr>
                <w:rFonts w:ascii="Arial Narrow" w:hAnsi="Arial Narrow"/>
                <w:iCs/>
                <w:sz w:val="20"/>
              </w:rPr>
              <w:t>PSUMMIT-2 (24 wk, subgp)</w:t>
            </w:r>
          </w:p>
        </w:tc>
        <w:tc>
          <w:tcPr>
            <w:tcW w:w="1134"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cstheme="minorBidi"/>
                <w:iCs/>
                <w:sz w:val="20"/>
              </w:rPr>
              <w:t>23/43 (53.5)</w:t>
            </w:r>
          </w:p>
        </w:tc>
        <w:tc>
          <w:tcPr>
            <w:tcW w:w="1064"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cstheme="minorBidi"/>
                <w:iCs/>
                <w:sz w:val="20"/>
              </w:rPr>
              <w:t>12/42 (28.6)</w:t>
            </w:r>
          </w:p>
        </w:tc>
        <w:tc>
          <w:tcPr>
            <w:tcW w:w="1399" w:type="dxa"/>
            <w:vAlign w:val="center"/>
          </w:tcPr>
          <w:p w:rsidR="004604EA" w:rsidRPr="0057172D" w:rsidRDefault="004604EA" w:rsidP="0049696E">
            <w:pPr>
              <w:keepNext/>
              <w:jc w:val="center"/>
              <w:rPr>
                <w:rFonts w:ascii="Arial Narrow" w:hAnsi="Arial Narrow" w:cstheme="minorBidi"/>
                <w:b/>
                <w:bCs/>
                <w:iCs/>
                <w:sz w:val="20"/>
              </w:rPr>
            </w:pPr>
            <w:r w:rsidRPr="0057172D">
              <w:rPr>
                <w:rFonts w:ascii="Arial Narrow" w:hAnsi="Arial Narrow" w:cstheme="minorBidi"/>
                <w:b/>
                <w:bCs/>
                <w:iCs/>
                <w:sz w:val="20"/>
              </w:rPr>
              <w:t>1.87 (1.08, 3.26)</w:t>
            </w:r>
          </w:p>
        </w:tc>
        <w:tc>
          <w:tcPr>
            <w:tcW w:w="980"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iCs/>
                <w:sz w:val="20"/>
              </w:rPr>
              <w:t>SEC 30</w:t>
            </w:r>
            <w:r w:rsidR="00992EE2" w:rsidRPr="0057172D">
              <w:rPr>
                <w:rFonts w:ascii="Arial Narrow" w:hAnsi="Arial Narrow"/>
                <w:iCs/>
                <w:sz w:val="20"/>
              </w:rPr>
              <w:t>0 mg</w:t>
            </w:r>
          </w:p>
        </w:tc>
        <w:tc>
          <w:tcPr>
            <w:tcW w:w="1275"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cstheme="minorBidi"/>
                <w:iCs/>
                <w:sz w:val="20"/>
              </w:rPr>
              <w:t>1.20 (0.74, 1.95)</w:t>
            </w:r>
          </w:p>
        </w:tc>
      </w:tr>
      <w:tr w:rsidR="004604EA" w:rsidRPr="0057172D" w:rsidTr="0050685D">
        <w:trPr>
          <w:trHeight w:val="201"/>
        </w:trPr>
        <w:tc>
          <w:tcPr>
            <w:tcW w:w="448" w:type="dxa"/>
            <w:vMerge/>
            <w:vAlign w:val="center"/>
          </w:tcPr>
          <w:p w:rsidR="004604EA" w:rsidRPr="0057172D" w:rsidRDefault="004604EA" w:rsidP="0049696E">
            <w:pPr>
              <w:keepNext/>
              <w:jc w:val="left"/>
              <w:rPr>
                <w:rFonts w:ascii="Arial Narrow" w:hAnsi="Arial Narrow"/>
                <w:iCs/>
                <w:sz w:val="20"/>
              </w:rPr>
            </w:pPr>
          </w:p>
        </w:tc>
        <w:tc>
          <w:tcPr>
            <w:tcW w:w="4298" w:type="dxa"/>
            <w:gridSpan w:val="3"/>
            <w:vAlign w:val="center"/>
          </w:tcPr>
          <w:p w:rsidR="004604EA" w:rsidRPr="0057172D" w:rsidRDefault="004604EA" w:rsidP="0049696E">
            <w:pPr>
              <w:keepNext/>
              <w:jc w:val="right"/>
              <w:rPr>
                <w:rFonts w:ascii="Arial Narrow" w:hAnsi="Arial Narrow" w:cstheme="minorBidi"/>
                <w:iCs/>
                <w:sz w:val="20"/>
              </w:rPr>
            </w:pPr>
            <w:r w:rsidRPr="0057172D">
              <w:rPr>
                <w:rFonts w:ascii="Arial Narrow" w:hAnsi="Arial Narrow"/>
                <w:iCs/>
                <w:sz w:val="20"/>
              </w:rPr>
              <w:t>Meta-analysis (ustekinumab vs placebo); I</w:t>
            </w:r>
            <w:r w:rsidRPr="0057172D">
              <w:rPr>
                <w:rFonts w:ascii="Arial Narrow" w:hAnsi="Arial Narrow"/>
                <w:iCs/>
                <w:sz w:val="20"/>
                <w:vertAlign w:val="superscript"/>
              </w:rPr>
              <w:t xml:space="preserve">2 </w:t>
            </w:r>
            <w:r w:rsidRPr="0057172D">
              <w:rPr>
                <w:rFonts w:ascii="Arial Narrow" w:hAnsi="Arial Narrow"/>
                <w:iCs/>
                <w:sz w:val="20"/>
              </w:rPr>
              <w:t>= 0%</w:t>
            </w:r>
          </w:p>
        </w:tc>
        <w:tc>
          <w:tcPr>
            <w:tcW w:w="1399" w:type="dxa"/>
            <w:vAlign w:val="center"/>
          </w:tcPr>
          <w:p w:rsidR="004604EA" w:rsidRPr="0057172D" w:rsidRDefault="004604EA" w:rsidP="0049696E">
            <w:pPr>
              <w:keepNext/>
              <w:jc w:val="center"/>
              <w:rPr>
                <w:rFonts w:ascii="Arial Narrow" w:hAnsi="Arial Narrow" w:cstheme="minorBidi"/>
                <w:b/>
                <w:bCs/>
                <w:iCs/>
                <w:sz w:val="20"/>
              </w:rPr>
            </w:pPr>
            <w:r w:rsidRPr="0057172D">
              <w:rPr>
                <w:rFonts w:ascii="Arial Narrow" w:hAnsi="Arial Narrow" w:cstheme="minorBidi"/>
                <w:b/>
                <w:bCs/>
                <w:iCs/>
                <w:sz w:val="20"/>
              </w:rPr>
              <w:t>1.86 (1.43, 2.42)</w:t>
            </w:r>
          </w:p>
        </w:tc>
        <w:tc>
          <w:tcPr>
            <w:tcW w:w="980"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iCs/>
                <w:sz w:val="20"/>
              </w:rPr>
              <w:t xml:space="preserve"> ‘lumped’</w:t>
            </w:r>
          </w:p>
        </w:tc>
        <w:tc>
          <w:tcPr>
            <w:tcW w:w="1275" w:type="dxa"/>
            <w:vAlign w:val="center"/>
          </w:tcPr>
          <w:p w:rsidR="004604EA" w:rsidRPr="0057172D" w:rsidRDefault="004604EA" w:rsidP="0049696E">
            <w:pPr>
              <w:keepNext/>
              <w:jc w:val="center"/>
              <w:rPr>
                <w:rFonts w:ascii="Arial Narrow" w:hAnsi="Arial Narrow" w:cstheme="minorBidi"/>
                <w:iCs/>
                <w:sz w:val="20"/>
              </w:rPr>
            </w:pPr>
            <w:r w:rsidRPr="0057172D">
              <w:rPr>
                <w:rFonts w:ascii="Arial Narrow" w:hAnsi="Arial Narrow" w:cstheme="minorBidi"/>
                <w:iCs/>
                <w:sz w:val="20"/>
              </w:rPr>
              <w:t>1.17 (0.73, 1.88)</w:t>
            </w:r>
          </w:p>
        </w:tc>
      </w:tr>
    </w:tbl>
    <w:p w:rsidR="00EA3088" w:rsidRPr="0057172D" w:rsidRDefault="00EA3088" w:rsidP="00EA3088">
      <w:pPr>
        <w:ind w:left="720"/>
        <w:rPr>
          <w:rFonts w:ascii="Arial Narrow" w:hAnsi="Arial Narrow"/>
          <w:iCs/>
          <w:sz w:val="18"/>
          <w:szCs w:val="18"/>
        </w:rPr>
      </w:pPr>
      <w:r w:rsidRPr="0057172D">
        <w:rPr>
          <w:rFonts w:ascii="Arial Narrow" w:hAnsi="Arial Narrow"/>
          <w:iCs/>
          <w:sz w:val="18"/>
          <w:szCs w:val="18"/>
        </w:rPr>
        <w:t>Abbreviations: ACR20 = at least 20% improvement in the American College of Rheumatology response criteria; ACR50 = at least 50% improvement in the American College of Rheumatology response criteria; ADA = adalimumab; bDMARDs = biological disease modifying antirhematic drugs; RR = relative risk; SEC = secukinumab; TNFα = tumour necrosis factor alpha</w:t>
      </w:r>
    </w:p>
    <w:p w:rsidR="005215A8" w:rsidRPr="0057172D" w:rsidRDefault="005215A8" w:rsidP="005215A8">
      <w:pPr>
        <w:tabs>
          <w:tab w:val="left" w:pos="284"/>
        </w:tabs>
        <w:rPr>
          <w:rFonts w:ascii="Arial Narrow" w:hAnsi="Arial Narrow"/>
          <w:iCs/>
          <w:sz w:val="18"/>
          <w:szCs w:val="18"/>
        </w:rPr>
      </w:pPr>
      <w:r w:rsidRPr="0057172D">
        <w:rPr>
          <w:rFonts w:ascii="Arial Narrow" w:hAnsi="Arial Narrow"/>
          <w:iCs/>
          <w:sz w:val="18"/>
          <w:szCs w:val="18"/>
          <w:vertAlign w:val="superscript"/>
        </w:rPr>
        <w:tab/>
      </w:r>
      <w:r w:rsidRPr="0057172D">
        <w:rPr>
          <w:rFonts w:ascii="Arial Narrow" w:hAnsi="Arial Narrow"/>
          <w:iCs/>
          <w:sz w:val="18"/>
          <w:szCs w:val="18"/>
          <w:vertAlign w:val="superscript"/>
        </w:rPr>
        <w:tab/>
        <w:t>a</w:t>
      </w:r>
      <w:r w:rsidRPr="0057172D">
        <w:rPr>
          <w:rFonts w:ascii="Arial Narrow" w:hAnsi="Arial Narrow"/>
          <w:iCs/>
          <w:sz w:val="18"/>
          <w:szCs w:val="18"/>
        </w:rPr>
        <w:tab/>
        <w:t>secukinumab versus the meta-analysis (where relevant) for the comparators</w:t>
      </w:r>
      <w:r w:rsidR="00EA3088" w:rsidRPr="0057172D">
        <w:rPr>
          <w:rFonts w:ascii="Arial Narrow" w:hAnsi="Arial Narrow"/>
          <w:iCs/>
          <w:sz w:val="18"/>
          <w:szCs w:val="18"/>
        </w:rPr>
        <w:t>.  R</w:t>
      </w:r>
      <w:r w:rsidRPr="0057172D">
        <w:rPr>
          <w:rFonts w:ascii="Arial Narrow" w:hAnsi="Arial Narrow"/>
          <w:iCs/>
          <w:sz w:val="18"/>
          <w:szCs w:val="18"/>
        </w:rPr>
        <w:t>R &gt;1 favours secukinumab.</w:t>
      </w:r>
    </w:p>
    <w:p w:rsidR="00387B32" w:rsidRDefault="005215A8" w:rsidP="00387B32">
      <w:pPr>
        <w:tabs>
          <w:tab w:val="left" w:pos="284"/>
        </w:tabs>
        <w:ind w:left="720"/>
        <w:rPr>
          <w:rFonts w:ascii="Arial Narrow" w:hAnsi="Arial Narrow"/>
          <w:iCs/>
          <w:sz w:val="18"/>
          <w:szCs w:val="18"/>
        </w:rPr>
      </w:pPr>
      <w:r w:rsidRPr="0057172D">
        <w:rPr>
          <w:rFonts w:ascii="Arial Narrow" w:hAnsi="Arial Narrow"/>
          <w:iCs/>
          <w:sz w:val="18"/>
          <w:szCs w:val="18"/>
        </w:rPr>
        <w:t>Note: Bolding indicates that the 95% CI does not include the null value</w:t>
      </w:r>
      <w:r w:rsidR="00387B32">
        <w:rPr>
          <w:rFonts w:ascii="Arial Narrow" w:hAnsi="Arial Narrow"/>
          <w:iCs/>
          <w:sz w:val="18"/>
          <w:szCs w:val="18"/>
        </w:rPr>
        <w:t xml:space="preserve">. </w:t>
      </w:r>
    </w:p>
    <w:p w:rsidR="00EA3088" w:rsidRPr="0057172D" w:rsidRDefault="00EA3088" w:rsidP="00387B32">
      <w:pPr>
        <w:tabs>
          <w:tab w:val="left" w:pos="284"/>
        </w:tabs>
        <w:ind w:left="720"/>
        <w:rPr>
          <w:rFonts w:ascii="Arial Narrow" w:hAnsi="Arial Narrow"/>
          <w:iCs/>
          <w:sz w:val="18"/>
          <w:szCs w:val="18"/>
        </w:rPr>
      </w:pPr>
      <w:r w:rsidRPr="0057172D">
        <w:rPr>
          <w:rFonts w:ascii="Arial Narrow" w:hAnsi="Arial Narrow"/>
          <w:iCs/>
          <w:sz w:val="18"/>
          <w:szCs w:val="18"/>
        </w:rPr>
        <w:t xml:space="preserve">Source: Adapted from Table 45, p136, Figure 8, p137, Table 50, p151, and Figure 12, p154 of the submission, CSR 24wk Table 14.2-1.4, pp409-414; CSR 24wk Table 14.2-7.4, pp710-715. </w:t>
      </w:r>
      <w:r w:rsidRPr="0057172D">
        <w:rPr>
          <w:rFonts w:ascii="Arial Narrow" w:hAnsi="Arial Narrow"/>
          <w:sz w:val="18"/>
          <w:szCs w:val="18"/>
        </w:rPr>
        <w:t xml:space="preserve">Additional data for CZP extracted from Table 10 of the EMA document ‘Cimzia Assessment report EMA/CHMP/601513/2013’ (available from: </w:t>
      </w:r>
      <w:r w:rsidRPr="000039CC">
        <w:rPr>
          <w:rFonts w:ascii="Arial Narrow" w:hAnsi="Arial Narrow"/>
          <w:sz w:val="18"/>
          <w:szCs w:val="18"/>
        </w:rPr>
        <w:t>http://www.ema.europa.eu/docs/en_GB/document_library/EPAR_-_Assessment_Report_-_Variation/human/001037/WC500159001.pdf</w:t>
      </w:r>
      <w:r w:rsidRPr="0057172D">
        <w:rPr>
          <w:rFonts w:ascii="Arial Narrow" w:hAnsi="Arial Narrow"/>
          <w:sz w:val="18"/>
          <w:szCs w:val="18"/>
        </w:rPr>
        <w:t>)</w:t>
      </w:r>
    </w:p>
    <w:p w:rsidR="001A3953" w:rsidRDefault="001A3953" w:rsidP="00FC354B">
      <w:pPr>
        <w:rPr>
          <w:szCs w:val="22"/>
        </w:rPr>
      </w:pPr>
    </w:p>
    <w:p w:rsidR="00C74057" w:rsidRPr="00BA1CC2" w:rsidRDefault="00E70048" w:rsidP="00E70048">
      <w:pPr>
        <w:pStyle w:val="ListParagraph"/>
        <w:widowControl/>
        <w:numPr>
          <w:ilvl w:val="1"/>
          <w:numId w:val="7"/>
        </w:numPr>
        <w:rPr>
          <w:iCs/>
          <w:szCs w:val="22"/>
        </w:rPr>
      </w:pPr>
      <w:r w:rsidRPr="00BA1CC2">
        <w:rPr>
          <w:iCs/>
          <w:szCs w:val="22"/>
        </w:rPr>
        <w:t xml:space="preserve">All trials demonstrated that the active treatments resulted in a statistically significantly greater proportion of patients achieving a 50% or 20% improvement in the ACR response compared with placebo.  The indirect comparisons indicated there was no statistically significant difference between secukinumab and any of the bDMARDs for the ACR50 outcome.  However, secukinumab was demonstrated to be statistically significantly less effective than etanercept, infliximab, golimumab and the combined bDMARDs </w:t>
      </w:r>
      <w:r w:rsidR="00D51A88" w:rsidRPr="00BA1CC2">
        <w:rPr>
          <w:iCs/>
          <w:szCs w:val="22"/>
        </w:rPr>
        <w:t xml:space="preserve">results </w:t>
      </w:r>
      <w:r w:rsidRPr="00BA1CC2">
        <w:rPr>
          <w:iCs/>
          <w:szCs w:val="22"/>
        </w:rPr>
        <w:t>for the ACR20 outcome using RRs.</w:t>
      </w:r>
    </w:p>
    <w:p w:rsidR="00E70048" w:rsidRPr="00BA1CC2" w:rsidRDefault="00E70048" w:rsidP="00C74057">
      <w:pPr>
        <w:pStyle w:val="ListParagraph"/>
        <w:widowControl/>
        <w:rPr>
          <w:iCs/>
          <w:szCs w:val="22"/>
        </w:rPr>
      </w:pPr>
    </w:p>
    <w:p w:rsidR="004317F5" w:rsidRPr="00BA1CC2" w:rsidRDefault="008643F2" w:rsidP="00CA1684">
      <w:pPr>
        <w:pStyle w:val="ListParagraph"/>
        <w:widowControl/>
        <w:numPr>
          <w:ilvl w:val="1"/>
          <w:numId w:val="7"/>
        </w:numPr>
        <w:rPr>
          <w:iCs/>
          <w:szCs w:val="22"/>
        </w:rPr>
      </w:pPr>
      <w:r w:rsidRPr="00BA1CC2">
        <w:rPr>
          <w:iCs/>
          <w:szCs w:val="22"/>
        </w:rPr>
        <w:t xml:space="preserve">It </w:t>
      </w:r>
      <w:r w:rsidR="002A2DC7" w:rsidRPr="00BA1CC2">
        <w:rPr>
          <w:iCs/>
          <w:szCs w:val="22"/>
        </w:rPr>
        <w:t>wa</w:t>
      </w:r>
      <w:r w:rsidRPr="00BA1CC2">
        <w:rPr>
          <w:iCs/>
          <w:szCs w:val="22"/>
        </w:rPr>
        <w:t>s unclear whether the PBAC ha</w:t>
      </w:r>
      <w:r w:rsidR="004F4CEF" w:rsidRPr="00BA1CC2">
        <w:rPr>
          <w:iCs/>
          <w:szCs w:val="22"/>
        </w:rPr>
        <w:t>d</w:t>
      </w:r>
      <w:r w:rsidRPr="00BA1CC2">
        <w:rPr>
          <w:iCs/>
          <w:szCs w:val="22"/>
        </w:rPr>
        <w:t xml:space="preserve"> accepted a </w:t>
      </w:r>
      <w:r w:rsidR="005A5C29" w:rsidRPr="00BA1CC2">
        <w:rPr>
          <w:iCs/>
          <w:szCs w:val="22"/>
        </w:rPr>
        <w:t>minimally clinically important difference (</w:t>
      </w:r>
      <w:r w:rsidRPr="00BA1CC2">
        <w:rPr>
          <w:iCs/>
          <w:szCs w:val="22"/>
        </w:rPr>
        <w:t>MCID</w:t>
      </w:r>
      <w:r w:rsidR="005A5C29" w:rsidRPr="00BA1CC2">
        <w:rPr>
          <w:iCs/>
          <w:szCs w:val="22"/>
        </w:rPr>
        <w:t>)</w:t>
      </w:r>
      <w:r w:rsidRPr="00BA1CC2">
        <w:rPr>
          <w:iCs/>
          <w:szCs w:val="22"/>
        </w:rPr>
        <w:t xml:space="preserve"> for the ACR50.  However, a non-inferiority margin o</w:t>
      </w:r>
      <w:r w:rsidR="00B976D6" w:rsidRPr="00BA1CC2">
        <w:rPr>
          <w:iCs/>
          <w:szCs w:val="22"/>
        </w:rPr>
        <w:t xml:space="preserve">f 0.29 for the </w:t>
      </w:r>
      <w:r w:rsidR="00D32888" w:rsidRPr="00BA1CC2">
        <w:rPr>
          <w:iCs/>
          <w:szCs w:val="22"/>
        </w:rPr>
        <w:t>RR</w:t>
      </w:r>
      <w:r w:rsidR="00B976D6" w:rsidRPr="00BA1CC2">
        <w:rPr>
          <w:iCs/>
          <w:szCs w:val="22"/>
        </w:rPr>
        <w:t xml:space="preserve"> had</w:t>
      </w:r>
      <w:r w:rsidRPr="00BA1CC2">
        <w:rPr>
          <w:iCs/>
          <w:szCs w:val="22"/>
        </w:rPr>
        <w:t xml:space="preserve"> been previously proposed by the July 2015 ustekinumab re-submission.  If this non-stringent non-inferiority margin </w:t>
      </w:r>
      <w:r w:rsidR="00AD5466" w:rsidRPr="00BA1CC2">
        <w:rPr>
          <w:iCs/>
          <w:szCs w:val="22"/>
        </w:rPr>
        <w:t>wa</w:t>
      </w:r>
      <w:r w:rsidRPr="00BA1CC2">
        <w:rPr>
          <w:iCs/>
          <w:szCs w:val="22"/>
        </w:rPr>
        <w:t xml:space="preserve">s applied, non-inferiority of secukinumab to adalimumab, etanercept, infliximab and golimumab (individually or combined) </w:t>
      </w:r>
      <w:r w:rsidRPr="009D01F1">
        <w:rPr>
          <w:iCs/>
          <w:szCs w:val="22"/>
        </w:rPr>
        <w:t>cannot</w:t>
      </w:r>
      <w:r w:rsidRPr="00BA1CC2">
        <w:rPr>
          <w:iCs/>
          <w:szCs w:val="22"/>
        </w:rPr>
        <w:t xml:space="preserve"> be concluded for the ACR50 (lower limits of the 95% CIs ranged between 0.05 and 0.17).  However, non-inferiority of secukinumab versus certolizumab pegol and ustekinumab </w:t>
      </w:r>
      <w:r w:rsidR="00074CDB" w:rsidRPr="00BA1CC2">
        <w:rPr>
          <w:iCs/>
          <w:szCs w:val="22"/>
        </w:rPr>
        <w:t>was demonstrated</w:t>
      </w:r>
      <w:r w:rsidRPr="00BA1CC2">
        <w:rPr>
          <w:iCs/>
          <w:szCs w:val="22"/>
        </w:rPr>
        <w:t xml:space="preserve">, as the lower bounds of the 95% CI for the </w:t>
      </w:r>
      <w:r w:rsidR="00322CC8" w:rsidRPr="00BA1CC2">
        <w:rPr>
          <w:iCs/>
          <w:szCs w:val="22"/>
        </w:rPr>
        <w:t>RR</w:t>
      </w:r>
      <w:r w:rsidRPr="00BA1CC2">
        <w:rPr>
          <w:iCs/>
          <w:szCs w:val="22"/>
        </w:rPr>
        <w:t xml:space="preserve"> were all </w:t>
      </w:r>
      <w:r w:rsidR="00050F9E" w:rsidRPr="00BA1CC2">
        <w:rPr>
          <w:iCs/>
          <w:szCs w:val="22"/>
        </w:rPr>
        <w:t>greater</w:t>
      </w:r>
      <w:r w:rsidRPr="00BA1CC2">
        <w:rPr>
          <w:iCs/>
          <w:szCs w:val="22"/>
        </w:rPr>
        <w:t xml:space="preserve"> than 0.29 (between 0.53 and 0.63).</w:t>
      </w:r>
    </w:p>
    <w:p w:rsidR="00A366E8" w:rsidRPr="00BA1CC2" w:rsidRDefault="00A366E8" w:rsidP="00A366E8">
      <w:pPr>
        <w:pStyle w:val="ListParagraph"/>
        <w:rPr>
          <w:iCs/>
          <w:szCs w:val="22"/>
        </w:rPr>
      </w:pPr>
    </w:p>
    <w:p w:rsidR="00A366E8" w:rsidRPr="00BA1CC2" w:rsidRDefault="008B30F3" w:rsidP="00C300BE">
      <w:pPr>
        <w:pStyle w:val="ListParagraph"/>
        <w:widowControl/>
        <w:numPr>
          <w:ilvl w:val="1"/>
          <w:numId w:val="7"/>
        </w:numPr>
        <w:rPr>
          <w:iCs/>
          <w:szCs w:val="22"/>
        </w:rPr>
      </w:pPr>
      <w:r w:rsidRPr="00BA1CC2">
        <w:rPr>
          <w:iCs/>
          <w:szCs w:val="22"/>
        </w:rPr>
        <w:t>If the non-stringent non-inferiority margin on 0.46 for the ACR20 outcome</w:t>
      </w:r>
      <w:r w:rsidR="001A3953" w:rsidRPr="00BA1CC2">
        <w:rPr>
          <w:iCs/>
          <w:szCs w:val="22"/>
        </w:rPr>
        <w:t xml:space="preserve"> (golimumab PSD March 2010)</w:t>
      </w:r>
      <w:r w:rsidRPr="00BA1CC2">
        <w:rPr>
          <w:iCs/>
          <w:szCs w:val="22"/>
        </w:rPr>
        <w:t xml:space="preserve"> </w:t>
      </w:r>
      <w:r w:rsidR="00A366E8" w:rsidRPr="00BA1CC2">
        <w:rPr>
          <w:iCs/>
          <w:szCs w:val="22"/>
        </w:rPr>
        <w:t xml:space="preserve"> </w:t>
      </w:r>
      <w:r w:rsidR="00505813" w:rsidRPr="00BA1CC2">
        <w:rPr>
          <w:iCs/>
          <w:szCs w:val="22"/>
        </w:rPr>
        <w:t xml:space="preserve">was applied </w:t>
      </w:r>
      <w:r w:rsidR="00A366E8" w:rsidRPr="00BA1CC2">
        <w:rPr>
          <w:iCs/>
          <w:szCs w:val="22"/>
        </w:rPr>
        <w:t>to</w:t>
      </w:r>
      <w:r w:rsidR="00567A5F" w:rsidRPr="00BA1CC2">
        <w:rPr>
          <w:iCs/>
          <w:szCs w:val="22"/>
        </w:rPr>
        <w:t xml:space="preserve"> the</w:t>
      </w:r>
      <w:r w:rsidR="00A366E8" w:rsidRPr="00BA1CC2">
        <w:rPr>
          <w:iCs/>
          <w:szCs w:val="22"/>
        </w:rPr>
        <w:t xml:space="preserve"> indirect comparisons that were not statistically significan</w:t>
      </w:r>
      <w:r w:rsidR="00F72C2B" w:rsidRPr="00BA1CC2">
        <w:rPr>
          <w:iCs/>
          <w:szCs w:val="22"/>
        </w:rPr>
        <w:t>tly in favour of the comparator</w:t>
      </w:r>
      <w:r w:rsidR="00A366E8" w:rsidRPr="00BA1CC2">
        <w:rPr>
          <w:iCs/>
          <w:szCs w:val="22"/>
        </w:rPr>
        <w:t xml:space="preserve">, non-inferiority of secukinumab versus adalimumab </w:t>
      </w:r>
      <w:r w:rsidR="00625F17" w:rsidRPr="00BA1CC2">
        <w:rPr>
          <w:iCs/>
          <w:szCs w:val="22"/>
        </w:rPr>
        <w:t>could not</w:t>
      </w:r>
      <w:r w:rsidR="00A366E8" w:rsidRPr="00BA1CC2">
        <w:rPr>
          <w:iCs/>
          <w:szCs w:val="22"/>
        </w:rPr>
        <w:t xml:space="preserve"> be concluded </w:t>
      </w:r>
      <w:r w:rsidR="001C64EF" w:rsidRPr="00BA1CC2">
        <w:rPr>
          <w:iCs/>
          <w:szCs w:val="22"/>
        </w:rPr>
        <w:t>(lower bound</w:t>
      </w:r>
      <w:r w:rsidR="006550FE" w:rsidRPr="00BA1CC2">
        <w:rPr>
          <w:iCs/>
          <w:szCs w:val="22"/>
        </w:rPr>
        <w:t>s</w:t>
      </w:r>
      <w:r w:rsidR="001C64EF" w:rsidRPr="00BA1CC2">
        <w:rPr>
          <w:iCs/>
          <w:szCs w:val="22"/>
        </w:rPr>
        <w:t xml:space="preserve"> of the 95% CI </w:t>
      </w:r>
      <w:r w:rsidR="00C300BE" w:rsidRPr="00BA1CC2">
        <w:rPr>
          <w:iCs/>
          <w:szCs w:val="22"/>
        </w:rPr>
        <w:t>were</w:t>
      </w:r>
      <w:r w:rsidR="00A366E8" w:rsidRPr="00BA1CC2">
        <w:rPr>
          <w:iCs/>
          <w:szCs w:val="22"/>
        </w:rPr>
        <w:t xml:space="preserve"> 0.32 or 0.34</w:t>
      </w:r>
      <w:r w:rsidR="000C40F4" w:rsidRPr="00BA1CC2">
        <w:rPr>
          <w:iCs/>
          <w:szCs w:val="22"/>
        </w:rPr>
        <w:t>)</w:t>
      </w:r>
      <w:r w:rsidR="00A366E8" w:rsidRPr="00BA1CC2">
        <w:rPr>
          <w:iCs/>
          <w:szCs w:val="22"/>
        </w:rPr>
        <w:t>.  However, non-inferiority versus cert</w:t>
      </w:r>
      <w:r w:rsidR="00B27C36" w:rsidRPr="00BA1CC2">
        <w:rPr>
          <w:iCs/>
          <w:szCs w:val="22"/>
        </w:rPr>
        <w:t>olizumab pegol and ustekinumab wa</w:t>
      </w:r>
      <w:r w:rsidR="00A366E8" w:rsidRPr="00BA1CC2">
        <w:rPr>
          <w:iCs/>
          <w:szCs w:val="22"/>
        </w:rPr>
        <w:t xml:space="preserve">s </w:t>
      </w:r>
      <w:r w:rsidR="00B27C36" w:rsidRPr="00BA1CC2">
        <w:rPr>
          <w:iCs/>
          <w:szCs w:val="22"/>
        </w:rPr>
        <w:t>demonstrated</w:t>
      </w:r>
      <w:r w:rsidR="00A366E8" w:rsidRPr="00BA1CC2">
        <w:rPr>
          <w:iCs/>
          <w:szCs w:val="22"/>
        </w:rPr>
        <w:t xml:space="preserve"> (lower limits of the 95% </w:t>
      </w:r>
      <w:r w:rsidR="00CA7493">
        <w:rPr>
          <w:iCs/>
          <w:szCs w:val="22"/>
        </w:rPr>
        <w:t>CI were between 0.59 and 0.74).</w:t>
      </w:r>
    </w:p>
    <w:p w:rsidR="00FC354B" w:rsidRPr="00BA1CC2" w:rsidRDefault="00FC354B" w:rsidP="004317F5">
      <w:pPr>
        <w:widowControl/>
        <w:rPr>
          <w:iCs/>
          <w:szCs w:val="22"/>
        </w:rPr>
      </w:pPr>
    </w:p>
    <w:p w:rsidR="009B1257" w:rsidRPr="00BA1CC2" w:rsidRDefault="00A93460" w:rsidP="001303D9">
      <w:pPr>
        <w:pStyle w:val="ListParagraph"/>
        <w:numPr>
          <w:ilvl w:val="1"/>
          <w:numId w:val="7"/>
        </w:numPr>
        <w:rPr>
          <w:iCs/>
          <w:szCs w:val="22"/>
        </w:rPr>
      </w:pPr>
      <w:r w:rsidRPr="00BA1CC2">
        <w:t>The submission claimed</w:t>
      </w:r>
      <w:r w:rsidR="00FC354B" w:rsidRPr="00BA1CC2">
        <w:t xml:space="preserve"> that the placebo response rate </w:t>
      </w:r>
      <w:r w:rsidR="00967886" w:rsidRPr="00BA1CC2">
        <w:t>was</w:t>
      </w:r>
      <w:r w:rsidR="00FC354B" w:rsidRPr="00BA1CC2">
        <w:t xml:space="preserve"> higher in the secukinumab trial versus all the comparator trials for both th</w:t>
      </w:r>
      <w:r w:rsidR="00434895" w:rsidRPr="00BA1CC2">
        <w:t>e ACR50 and ACR20 at Week 12-16</w:t>
      </w:r>
      <w:r w:rsidR="00646669" w:rsidRPr="00BA1CC2">
        <w:t>,</w:t>
      </w:r>
      <w:r w:rsidR="00434895" w:rsidRPr="00BA1CC2">
        <w:t xml:space="preserve"> and </w:t>
      </w:r>
      <w:r w:rsidR="00FC354B" w:rsidRPr="00BA1CC2">
        <w:t>argue</w:t>
      </w:r>
      <w:r w:rsidR="008F75EC" w:rsidRPr="00BA1CC2">
        <w:t>d</w:t>
      </w:r>
      <w:r w:rsidR="00FC354B" w:rsidRPr="00BA1CC2">
        <w:t xml:space="preserve"> that the higher placebo rate in the secukinumab trial would bias the indirect comparison against secukinumab.  </w:t>
      </w:r>
      <w:r w:rsidR="00FC354B" w:rsidRPr="00BA1CC2">
        <w:rPr>
          <w:iCs/>
        </w:rPr>
        <w:t>The ACR50 and ACR20 placebo res</w:t>
      </w:r>
      <w:r w:rsidR="009B1257" w:rsidRPr="00BA1CC2">
        <w:rPr>
          <w:iCs/>
        </w:rPr>
        <w:t xml:space="preserve">ponse rate at Week 12-16 </w:t>
      </w:r>
      <w:r w:rsidR="001303D9" w:rsidRPr="00BA1CC2">
        <w:rPr>
          <w:iCs/>
        </w:rPr>
        <w:t>were</w:t>
      </w:r>
      <w:r w:rsidR="00FC354B" w:rsidRPr="00BA1CC2">
        <w:rPr>
          <w:iCs/>
        </w:rPr>
        <w:t xml:space="preserve"> numerically higher for the secukinumab trial versus the adalimumab, etanercept, infliximab, and golimumab trials. </w:t>
      </w:r>
      <w:r w:rsidR="001A3953" w:rsidRPr="00BA1CC2">
        <w:rPr>
          <w:iCs/>
        </w:rPr>
        <w:t xml:space="preserve"> The ESC noted that no formal adjustment for these differences in placebo response rate appeared to have been made in the indirect comparison.</w:t>
      </w:r>
    </w:p>
    <w:p w:rsidR="009B1257" w:rsidRPr="00BA1CC2" w:rsidRDefault="009B1257" w:rsidP="009B1257">
      <w:pPr>
        <w:pStyle w:val="ListParagraph"/>
        <w:rPr>
          <w:iCs/>
        </w:rPr>
      </w:pPr>
    </w:p>
    <w:p w:rsidR="00C8553E" w:rsidRPr="00BA1CC2" w:rsidRDefault="00EA16C1" w:rsidP="00DB128D">
      <w:pPr>
        <w:pStyle w:val="ListParagraph"/>
        <w:numPr>
          <w:ilvl w:val="1"/>
          <w:numId w:val="7"/>
        </w:numPr>
        <w:rPr>
          <w:iCs/>
          <w:szCs w:val="22"/>
        </w:rPr>
      </w:pPr>
      <w:r w:rsidRPr="00BA1CC2">
        <w:t xml:space="preserve">The submission also claimed that indirect comparisons of secukinumab versus certolizumab pegol </w:t>
      </w:r>
      <w:r w:rsidR="00EF484E" w:rsidRPr="00BA1CC2">
        <w:t xml:space="preserve">were </w:t>
      </w:r>
      <w:r w:rsidRPr="00BA1CC2">
        <w:t>not conducted due to the high heterogeneity across the trials</w:t>
      </w:r>
      <w:r w:rsidR="008E084C" w:rsidRPr="00BA1CC2">
        <w:t xml:space="preserve">, </w:t>
      </w:r>
      <w:r w:rsidR="008E084C" w:rsidRPr="00BA1CC2">
        <w:rPr>
          <w:iCs/>
        </w:rPr>
        <w:t>presumably for the primary time point</w:t>
      </w:r>
      <w:r w:rsidRPr="00BA1CC2">
        <w:rPr>
          <w:iCs/>
        </w:rPr>
        <w:t>.  The</w:t>
      </w:r>
      <w:r w:rsidR="00885409" w:rsidRPr="00BA1CC2">
        <w:rPr>
          <w:iCs/>
        </w:rPr>
        <w:t xml:space="preserve"> basis of </w:t>
      </w:r>
      <w:r w:rsidR="003B674D" w:rsidRPr="00BA1CC2">
        <w:rPr>
          <w:iCs/>
        </w:rPr>
        <w:t>this</w:t>
      </w:r>
      <w:r w:rsidR="00885409" w:rsidRPr="00BA1CC2">
        <w:rPr>
          <w:iCs/>
        </w:rPr>
        <w:t xml:space="preserve"> claim appeared</w:t>
      </w:r>
      <w:r w:rsidRPr="00BA1CC2">
        <w:rPr>
          <w:iCs/>
        </w:rPr>
        <w:t xml:space="preserve"> to </w:t>
      </w:r>
      <w:r w:rsidR="00885409" w:rsidRPr="00BA1CC2">
        <w:rPr>
          <w:iCs/>
        </w:rPr>
        <w:t>be</w:t>
      </w:r>
      <w:r w:rsidRPr="00BA1CC2">
        <w:rPr>
          <w:iCs/>
        </w:rPr>
        <w:t xml:space="preserve"> the </w:t>
      </w:r>
      <w:r w:rsidR="000464BE" w:rsidRPr="00BA1CC2">
        <w:rPr>
          <w:iCs/>
        </w:rPr>
        <w:t>differing</w:t>
      </w:r>
      <w:r w:rsidRPr="00BA1CC2">
        <w:rPr>
          <w:iCs/>
        </w:rPr>
        <w:t xml:space="preserve"> proportions of patient with prior anti-TNFα exposure (35% for the secukinumab trial versus 22.5% in the certolizumab pegol trial).  </w:t>
      </w:r>
      <w:r w:rsidR="00C8553E" w:rsidRPr="00BA1CC2">
        <w:rPr>
          <w:iCs/>
          <w:szCs w:val="22"/>
        </w:rPr>
        <w:t xml:space="preserve">The certolizumab pegol trial generally reported higher ACR50 placebo response rates at Week 12-16 compared to the secukinumab trial </w:t>
      </w:r>
      <w:r w:rsidR="00DB128D" w:rsidRPr="00BA1CC2">
        <w:rPr>
          <w:iCs/>
          <w:szCs w:val="22"/>
        </w:rPr>
        <w:t>in</w:t>
      </w:r>
      <w:r w:rsidR="00C8553E" w:rsidRPr="00BA1CC2">
        <w:rPr>
          <w:iCs/>
          <w:szCs w:val="22"/>
        </w:rPr>
        <w:t xml:space="preserve"> both the anti-TNFα naïve and overall populations; therefore it could be argued that indirect comparisons using ACR50 would be biased in favour of secukinumab.  The ACR20 placebo response rates at Week 12 appear broadly comparable between </w:t>
      </w:r>
      <w:r w:rsidR="006A4F2B" w:rsidRPr="00BA1CC2">
        <w:rPr>
          <w:iCs/>
          <w:szCs w:val="22"/>
        </w:rPr>
        <w:t xml:space="preserve">both </w:t>
      </w:r>
      <w:r w:rsidR="00C8553E" w:rsidRPr="00BA1CC2">
        <w:rPr>
          <w:iCs/>
          <w:szCs w:val="22"/>
        </w:rPr>
        <w:t xml:space="preserve">trials for both the anti-TNFα naïve and overall populations. </w:t>
      </w:r>
      <w:r w:rsidR="004F4CEF" w:rsidRPr="00BA1CC2">
        <w:rPr>
          <w:iCs/>
          <w:szCs w:val="22"/>
        </w:rPr>
        <w:t xml:space="preserve"> </w:t>
      </w:r>
      <w:r w:rsidR="00E73E14" w:rsidRPr="00BA1CC2">
        <w:rPr>
          <w:iCs/>
          <w:szCs w:val="22"/>
        </w:rPr>
        <w:t>Overall, t</w:t>
      </w:r>
      <w:r w:rsidR="00B3138D" w:rsidRPr="00BA1CC2">
        <w:rPr>
          <w:iCs/>
        </w:rPr>
        <w:t>here appeared</w:t>
      </w:r>
      <w:r w:rsidR="00270D0B" w:rsidRPr="00BA1CC2">
        <w:rPr>
          <w:iCs/>
        </w:rPr>
        <w:t xml:space="preserve"> to be more heterogeneity between the secukinumab trial and the adalimumab, etanercept, infliximab, and golimumab trials; but the submission presented these</w:t>
      </w:r>
      <w:r w:rsidR="00D75285" w:rsidRPr="00BA1CC2">
        <w:rPr>
          <w:iCs/>
        </w:rPr>
        <w:t xml:space="preserve"> </w:t>
      </w:r>
      <w:r w:rsidR="001A3953" w:rsidRPr="00BA1CC2">
        <w:rPr>
          <w:iCs/>
        </w:rPr>
        <w:t xml:space="preserve">unadjusted </w:t>
      </w:r>
      <w:r w:rsidR="00D75285" w:rsidRPr="00BA1CC2">
        <w:rPr>
          <w:iCs/>
        </w:rPr>
        <w:t>indirect</w:t>
      </w:r>
      <w:r w:rsidR="00270D0B" w:rsidRPr="00BA1CC2">
        <w:rPr>
          <w:iCs/>
        </w:rPr>
        <w:t xml:space="preserve"> comparisons.</w:t>
      </w:r>
    </w:p>
    <w:p w:rsidR="00C8553E" w:rsidRPr="00BA1CC2" w:rsidRDefault="00C8553E" w:rsidP="003E6CA2">
      <w:pPr>
        <w:pStyle w:val="ListParagraph"/>
        <w:rPr>
          <w:iCs/>
          <w:szCs w:val="22"/>
        </w:rPr>
      </w:pPr>
    </w:p>
    <w:p w:rsidR="003E6CA2" w:rsidRPr="00BA1CC2" w:rsidRDefault="003E6CA2" w:rsidP="003E6CA2">
      <w:pPr>
        <w:pStyle w:val="ListParagraph"/>
        <w:widowControl/>
        <w:numPr>
          <w:ilvl w:val="1"/>
          <w:numId w:val="7"/>
        </w:numPr>
        <w:rPr>
          <w:iCs/>
          <w:szCs w:val="22"/>
        </w:rPr>
      </w:pPr>
      <w:r w:rsidRPr="00BA1CC2">
        <w:rPr>
          <w:iCs/>
          <w:szCs w:val="22"/>
        </w:rPr>
        <w:lastRenderedPageBreak/>
        <w:t xml:space="preserve">The </w:t>
      </w:r>
      <w:r w:rsidR="009D01F1">
        <w:rPr>
          <w:iCs/>
          <w:szCs w:val="22"/>
        </w:rPr>
        <w:t xml:space="preserve">ESC advised that the </w:t>
      </w:r>
      <w:r w:rsidRPr="00BA1CC2">
        <w:rPr>
          <w:iCs/>
          <w:szCs w:val="22"/>
        </w:rPr>
        <w:t>results of the indirect comparisons should be interpreted with caution as:</w:t>
      </w:r>
    </w:p>
    <w:p w:rsidR="003E6CA2" w:rsidRPr="00BA1CC2" w:rsidRDefault="003E6CA2" w:rsidP="009269FE">
      <w:pPr>
        <w:pStyle w:val="ListParagraph"/>
        <w:widowControl/>
        <w:numPr>
          <w:ilvl w:val="0"/>
          <w:numId w:val="22"/>
        </w:numPr>
        <w:rPr>
          <w:iCs/>
          <w:szCs w:val="22"/>
        </w:rPr>
      </w:pPr>
      <w:r w:rsidRPr="00BA1CC2">
        <w:rPr>
          <w:iCs/>
          <w:szCs w:val="22"/>
        </w:rPr>
        <w:t>There were concerns that the included trials were not sufficiently exchangeable</w:t>
      </w:r>
      <w:r w:rsidR="00657D16" w:rsidRPr="00BA1CC2">
        <w:rPr>
          <w:iCs/>
          <w:szCs w:val="22"/>
        </w:rPr>
        <w:t xml:space="preserve"> given the identified differences </w:t>
      </w:r>
      <w:r w:rsidR="001A3953" w:rsidRPr="00BA1CC2">
        <w:rPr>
          <w:iCs/>
          <w:szCs w:val="22"/>
        </w:rPr>
        <w:t xml:space="preserve">between </w:t>
      </w:r>
      <w:r w:rsidR="00657D16" w:rsidRPr="00BA1CC2">
        <w:rPr>
          <w:iCs/>
          <w:szCs w:val="22"/>
        </w:rPr>
        <w:t>the included trials</w:t>
      </w:r>
      <w:r w:rsidR="001A3953" w:rsidRPr="00BA1CC2">
        <w:rPr>
          <w:iCs/>
          <w:szCs w:val="22"/>
        </w:rPr>
        <w:t xml:space="preserve"> across multiple exchangeability domains</w:t>
      </w:r>
      <w:r w:rsidRPr="00BA1CC2">
        <w:rPr>
          <w:iCs/>
          <w:szCs w:val="22"/>
        </w:rPr>
        <w:t>, therefore the validity of the indir</w:t>
      </w:r>
      <w:r w:rsidR="00CA7493">
        <w:rPr>
          <w:iCs/>
          <w:szCs w:val="22"/>
        </w:rPr>
        <w:t>ect comparisons was uncertain.</w:t>
      </w:r>
    </w:p>
    <w:p w:rsidR="009269FE" w:rsidRPr="00BA1CC2" w:rsidRDefault="009269FE" w:rsidP="009269FE">
      <w:pPr>
        <w:pStyle w:val="ListParagraph"/>
        <w:widowControl/>
        <w:numPr>
          <w:ilvl w:val="0"/>
          <w:numId w:val="22"/>
        </w:numPr>
        <w:tabs>
          <w:tab w:val="left" w:pos="5245"/>
        </w:tabs>
      </w:pPr>
      <w:r w:rsidRPr="00BA1CC2">
        <w:t>There were variations in the placebo response rates across the included trials</w:t>
      </w:r>
      <w:r w:rsidR="001A3953" w:rsidRPr="00BA1CC2">
        <w:t xml:space="preserve"> that may not have been adjusted</w:t>
      </w:r>
      <w:r w:rsidR="009D01F1">
        <w:t xml:space="preserve"> for in the indirect comparison</w:t>
      </w:r>
      <w:r w:rsidRPr="00BA1CC2">
        <w:t>, also suggesting that the trials may not be exchangeable.</w:t>
      </w:r>
    </w:p>
    <w:p w:rsidR="00A87F1A" w:rsidRPr="00BA1CC2" w:rsidRDefault="00A87F1A" w:rsidP="009269FE">
      <w:pPr>
        <w:pStyle w:val="ListParagraph"/>
        <w:widowControl/>
        <w:numPr>
          <w:ilvl w:val="0"/>
          <w:numId w:val="22"/>
        </w:numPr>
        <w:tabs>
          <w:tab w:val="left" w:pos="5245"/>
        </w:tabs>
      </w:pPr>
      <w:r w:rsidRPr="00BA1CC2">
        <w:t>There were several important differences in trial methods and setting confounders including differences in eligibility criteria, a broad range of sample sizes, trial dates and trial durations and differences in rescue/escape provisions.</w:t>
      </w:r>
    </w:p>
    <w:p w:rsidR="003E6CA2" w:rsidRPr="00BA1CC2" w:rsidRDefault="003E6CA2" w:rsidP="0039662C">
      <w:pPr>
        <w:pStyle w:val="ListParagraph"/>
        <w:widowControl/>
        <w:numPr>
          <w:ilvl w:val="0"/>
          <w:numId w:val="22"/>
        </w:numPr>
        <w:rPr>
          <w:iCs/>
          <w:szCs w:val="22"/>
        </w:rPr>
      </w:pPr>
      <w:r w:rsidRPr="00BA1CC2">
        <w:rPr>
          <w:iCs/>
          <w:szCs w:val="22"/>
        </w:rPr>
        <w:t xml:space="preserve">The small number of patients in each arm, as well as relatively low event rates for the ACR50, </w:t>
      </w:r>
      <w:r w:rsidRPr="00BA1CC2">
        <w:t>contributed to wide CIs around the indirect treatment estimates.</w:t>
      </w:r>
      <w:r w:rsidR="00CA7493">
        <w:rPr>
          <w:iCs/>
          <w:szCs w:val="22"/>
        </w:rPr>
        <w:t xml:space="preserve"> </w:t>
      </w:r>
      <w:r w:rsidR="00656BBF" w:rsidRPr="00BA1CC2">
        <w:t xml:space="preserve">The confidence intervals for indirect comparisons using </w:t>
      </w:r>
      <w:r w:rsidR="0039662C" w:rsidRPr="00BA1CC2">
        <w:t>ORs</w:t>
      </w:r>
      <w:r w:rsidR="00656BBF" w:rsidRPr="00BA1CC2">
        <w:t xml:space="preserve"> were generally wider than comparisons using </w:t>
      </w:r>
      <w:r w:rsidR="0039662C" w:rsidRPr="00BA1CC2">
        <w:t>RRs</w:t>
      </w:r>
      <w:r w:rsidR="00656BBF" w:rsidRPr="00BA1CC2">
        <w:t>.</w:t>
      </w:r>
    </w:p>
    <w:p w:rsidR="003E6CA2" w:rsidRPr="00BA1CC2" w:rsidRDefault="003E6CA2" w:rsidP="003E6CA2">
      <w:pPr>
        <w:pStyle w:val="ListParagraph"/>
        <w:widowControl/>
        <w:numPr>
          <w:ilvl w:val="0"/>
          <w:numId w:val="22"/>
        </w:numPr>
        <w:rPr>
          <w:iCs/>
          <w:szCs w:val="22"/>
        </w:rPr>
      </w:pPr>
      <w:r w:rsidRPr="00BA1CC2">
        <w:rPr>
          <w:iCs/>
          <w:szCs w:val="22"/>
        </w:rPr>
        <w:t xml:space="preserve">The results of the FUTURE2 (secukinumab), RAPID-PsA (certolizumab pegol) and PSUMMIT-2 (ustekinumab) trials represented a subgroup of </w:t>
      </w:r>
      <w:r w:rsidRPr="00BA1CC2">
        <w:t xml:space="preserve">enrolled </w:t>
      </w:r>
      <w:r w:rsidRPr="00BA1CC2">
        <w:rPr>
          <w:iCs/>
          <w:szCs w:val="22"/>
        </w:rPr>
        <w:t xml:space="preserve">patients (anti-TNFα naïve).  </w:t>
      </w:r>
      <w:r w:rsidR="001A3953" w:rsidRPr="00BA1CC2">
        <w:rPr>
          <w:iCs/>
          <w:szCs w:val="22"/>
        </w:rPr>
        <w:t>The ESC noted that no sensitivity analyses were presented to test for influence of potential effect under-powering and/or point-estimate imprecision.</w:t>
      </w:r>
    </w:p>
    <w:p w:rsidR="003E6CA2" w:rsidRPr="00BA1CC2" w:rsidRDefault="003E6CA2" w:rsidP="00F0577D">
      <w:pPr>
        <w:pStyle w:val="ListParagraph"/>
        <w:widowControl/>
        <w:numPr>
          <w:ilvl w:val="0"/>
          <w:numId w:val="22"/>
        </w:numPr>
        <w:rPr>
          <w:iCs/>
          <w:szCs w:val="22"/>
        </w:rPr>
      </w:pPr>
      <w:r w:rsidRPr="00BA1CC2">
        <w:rPr>
          <w:iCs/>
          <w:szCs w:val="22"/>
        </w:rPr>
        <w:t>The 30</w:t>
      </w:r>
      <w:r w:rsidR="00992EE2" w:rsidRPr="00BA1CC2">
        <w:rPr>
          <w:iCs/>
          <w:szCs w:val="22"/>
        </w:rPr>
        <w:t>0 mg</w:t>
      </w:r>
      <w:r w:rsidRPr="00BA1CC2">
        <w:rPr>
          <w:iCs/>
          <w:szCs w:val="22"/>
        </w:rPr>
        <w:t xml:space="preserve"> dose of secukinumab may not be the TGA-recommended dose for the majority of the patients included in the indirect comparisons, as these patients were not anti-TNFα inadequate responders.  The </w:t>
      </w:r>
      <w:r w:rsidR="00F0577D" w:rsidRPr="00BA1CC2">
        <w:rPr>
          <w:iCs/>
          <w:szCs w:val="22"/>
        </w:rPr>
        <w:t>p</w:t>
      </w:r>
      <w:r w:rsidR="004472A1" w:rsidRPr="00BA1CC2">
        <w:rPr>
          <w:iCs/>
          <w:szCs w:val="22"/>
        </w:rPr>
        <w:t>ropor</w:t>
      </w:r>
      <w:r w:rsidR="00F0577D" w:rsidRPr="00BA1CC2">
        <w:rPr>
          <w:iCs/>
          <w:szCs w:val="22"/>
        </w:rPr>
        <w:t>tion</w:t>
      </w:r>
      <w:r w:rsidRPr="00BA1CC2">
        <w:rPr>
          <w:iCs/>
          <w:szCs w:val="22"/>
        </w:rPr>
        <w:t xml:space="preserve"> of patients with moderate to severe plaque psoriasis was unclear.</w:t>
      </w:r>
    </w:p>
    <w:p w:rsidR="001A3953" w:rsidRPr="00BA1CC2" w:rsidRDefault="001A3953" w:rsidP="00F0577D">
      <w:pPr>
        <w:pStyle w:val="ListParagraph"/>
        <w:widowControl/>
        <w:numPr>
          <w:ilvl w:val="0"/>
          <w:numId w:val="22"/>
        </w:numPr>
        <w:rPr>
          <w:iCs/>
          <w:szCs w:val="22"/>
        </w:rPr>
      </w:pPr>
      <w:r w:rsidRPr="00BA1CC2">
        <w:rPr>
          <w:iCs/>
          <w:szCs w:val="22"/>
        </w:rPr>
        <w:t xml:space="preserve">The ESC noted that the PSCR </w:t>
      </w:r>
      <w:r w:rsidRPr="00BA1CC2">
        <w:rPr>
          <w:iCs/>
        </w:rPr>
        <w:t>presented a sub-group analysis for secukinumab responders disaggregated by prior anti-TNFα exposure and SEC dose (Figure 1, PSCR): TNFα-naïve 150mg &gt; 300mg for ACR20/50/70; TNFα-experienced 300mg &gt; 150mg for ACR20/50/70. Both doses are expected to be used in clinical practice if listed.</w:t>
      </w:r>
    </w:p>
    <w:p w:rsidR="001A3953" w:rsidRPr="00CA6B3B" w:rsidRDefault="001A3953" w:rsidP="00590270">
      <w:pPr>
        <w:widowControl/>
        <w:rPr>
          <w:iCs/>
          <w:szCs w:val="22"/>
        </w:rPr>
      </w:pPr>
    </w:p>
    <w:p w:rsidR="00FB78F5" w:rsidRPr="0049591F" w:rsidRDefault="00FB78F5" w:rsidP="00FB78F5">
      <w:pPr>
        <w:pStyle w:val="Heading2"/>
        <w:rPr>
          <w:i/>
        </w:rPr>
      </w:pPr>
      <w:bookmarkStart w:id="10" w:name="_Toc441048472"/>
      <w:r w:rsidRPr="0049591F">
        <w:rPr>
          <w:i/>
        </w:rPr>
        <w:t>Comparative harms</w:t>
      </w:r>
      <w:bookmarkEnd w:id="10"/>
    </w:p>
    <w:p w:rsidR="00FB78F5" w:rsidRPr="00CA6B3B" w:rsidRDefault="00FB78F5" w:rsidP="00FB78F5">
      <w:pPr>
        <w:ind w:left="720" w:hanging="720"/>
        <w:rPr>
          <w:szCs w:val="22"/>
        </w:rPr>
      </w:pPr>
    </w:p>
    <w:p w:rsidR="00FB78F5" w:rsidRPr="00BA1CC2" w:rsidRDefault="00FB78F5" w:rsidP="00FB78F5">
      <w:pPr>
        <w:pStyle w:val="ListParagraph"/>
        <w:numPr>
          <w:ilvl w:val="1"/>
          <w:numId w:val="7"/>
        </w:numPr>
        <w:rPr>
          <w:iCs/>
        </w:rPr>
      </w:pPr>
      <w:r w:rsidRPr="00BA1CC2">
        <w:t xml:space="preserve">The submission presented naïve informal comparisons of safety data of secukinumab versus its comparators in the overall trial population. </w:t>
      </w:r>
      <w:r w:rsidR="004F4CEF" w:rsidRPr="00BA1CC2">
        <w:t xml:space="preserve"> </w:t>
      </w:r>
      <w:r w:rsidRPr="00BA1CC2">
        <w:t xml:space="preserve">The submission stated that secukinumab was associated with a similar percentage of adverse events versus the comparators.  </w:t>
      </w:r>
      <w:r w:rsidRPr="00BA1CC2">
        <w:rPr>
          <w:iCs/>
        </w:rPr>
        <w:t>This claim was difficult to verify given the limited comparative safety data presented, and the limitations of the presented data (e.g. timing of assessment and method in adjusting for crossover during early escape).  There were differences in the placebo events rates (e.g. between 42% and 79.6% for any adverse events), thus the exchangeability of the trials was uncertain.  However, the PBAC has previously accepted a claim equivalent safety of secukinumab versus adalimumab and ustekinumab for the treatment of plaque psoriasis, and did not accept a claim of superior safety versus infliximab during its March 2015 meeting.  There was no new safety signal from the FUTURE2 (secukinumab) trial.</w:t>
      </w:r>
    </w:p>
    <w:p w:rsidR="001A3953" w:rsidRPr="00BA1CC2" w:rsidRDefault="001A3953" w:rsidP="001A3953">
      <w:pPr>
        <w:pStyle w:val="ListParagraph"/>
        <w:rPr>
          <w:iCs/>
        </w:rPr>
      </w:pPr>
    </w:p>
    <w:p w:rsidR="001A3953" w:rsidRPr="00BA1CC2" w:rsidRDefault="001A3953" w:rsidP="00FB78F5">
      <w:pPr>
        <w:pStyle w:val="ListParagraph"/>
        <w:numPr>
          <w:ilvl w:val="1"/>
          <w:numId w:val="7"/>
        </w:numPr>
        <w:rPr>
          <w:iCs/>
        </w:rPr>
      </w:pPr>
      <w:r w:rsidRPr="00BA1CC2">
        <w:rPr>
          <w:iCs/>
        </w:rPr>
        <w:t>The ESC noted that no formal adjustment for differences in placebo adverse event rates appears to have been undertaken. Furthermore no direct adjustment for imbalance of observed effect modifiers between trials was undertaken.</w:t>
      </w:r>
    </w:p>
    <w:p w:rsidR="00FB78F5" w:rsidRPr="00BA1CC2" w:rsidRDefault="00FB78F5" w:rsidP="00FB78F5">
      <w:pPr>
        <w:pStyle w:val="ListParagraph"/>
        <w:widowControl/>
      </w:pPr>
    </w:p>
    <w:p w:rsidR="00FB78F5" w:rsidRPr="00BA1CC2" w:rsidRDefault="00FB78F5" w:rsidP="00FB78F5">
      <w:pPr>
        <w:pStyle w:val="ListParagraph"/>
        <w:widowControl/>
        <w:numPr>
          <w:ilvl w:val="1"/>
          <w:numId w:val="7"/>
        </w:numPr>
      </w:pPr>
      <w:r w:rsidRPr="00BA1CC2">
        <w:lastRenderedPageBreak/>
        <w:t xml:space="preserve">The Periodic Safety Update Report stated that the identified risks for secukinumab were infections and infestations, neutropenia and hypersensitivity. </w:t>
      </w:r>
      <w:r w:rsidR="004F4CEF" w:rsidRPr="00BA1CC2">
        <w:t xml:space="preserve"> </w:t>
      </w:r>
      <w:r w:rsidRPr="00BA1CC2">
        <w:t>Potential risks were malignant or unspecified tumours, major adverse cardiovascular</w:t>
      </w:r>
      <w:r w:rsidR="009D01F1">
        <w:t xml:space="preserve"> events, immunogenicity, Crohn</w:t>
      </w:r>
      <w:r w:rsidRPr="00BA1CC2">
        <w:t xml:space="preserve"> disease, hepatitis B reactivation and interactions with live vaccines.</w:t>
      </w:r>
    </w:p>
    <w:p w:rsidR="00FB78F5" w:rsidRPr="00131F44" w:rsidRDefault="00FB78F5" w:rsidP="00FB78F5">
      <w:pPr>
        <w:widowControl/>
      </w:pPr>
    </w:p>
    <w:p w:rsidR="00FB78F5" w:rsidRPr="00750ADD" w:rsidRDefault="00FB78F5" w:rsidP="00FB78F5">
      <w:pPr>
        <w:pStyle w:val="Heading2"/>
        <w:rPr>
          <w:i/>
        </w:rPr>
      </w:pPr>
      <w:bookmarkStart w:id="11" w:name="_Toc441048473"/>
      <w:r w:rsidRPr="002D023E">
        <w:rPr>
          <w:i/>
        </w:rPr>
        <w:t xml:space="preserve">Clinical </w:t>
      </w:r>
      <w:r w:rsidRPr="00750ADD">
        <w:rPr>
          <w:i/>
        </w:rPr>
        <w:t>claim</w:t>
      </w:r>
      <w:bookmarkEnd w:id="11"/>
    </w:p>
    <w:p w:rsidR="00FB78F5" w:rsidRPr="00750ADD" w:rsidRDefault="00FB78F5" w:rsidP="00FB78F5">
      <w:pPr>
        <w:ind w:left="720" w:hanging="720"/>
        <w:rPr>
          <w:szCs w:val="22"/>
        </w:rPr>
      </w:pPr>
    </w:p>
    <w:p w:rsidR="009B1E79" w:rsidRPr="009B1E79" w:rsidRDefault="00FB78F5" w:rsidP="00FB78F5">
      <w:pPr>
        <w:pStyle w:val="ListParagraph"/>
        <w:widowControl/>
        <w:numPr>
          <w:ilvl w:val="1"/>
          <w:numId w:val="7"/>
        </w:numPr>
        <w:rPr>
          <w:iCs/>
          <w:szCs w:val="22"/>
        </w:rPr>
      </w:pPr>
      <w:r w:rsidRPr="00BA1CC2">
        <w:t>The submission described secukinumab (15</w:t>
      </w:r>
      <w:r w:rsidR="00992EE2" w:rsidRPr="00BA1CC2">
        <w:t>0 mg</w:t>
      </w:r>
      <w:r w:rsidRPr="00BA1CC2">
        <w:t xml:space="preserve"> and 30</w:t>
      </w:r>
      <w:r w:rsidR="00992EE2" w:rsidRPr="00BA1CC2">
        <w:t>0 mg</w:t>
      </w:r>
      <w:r w:rsidRPr="00BA1CC2">
        <w:t>) as non-inferior in terms of comparative effectiveness and equivalent in terms of comparative safety versus adalimumab, etanercept, infliximab, golimumab, and certolizumab pegol, alone or in combination.</w:t>
      </w:r>
    </w:p>
    <w:p w:rsidR="009B1E79" w:rsidRPr="009B1E79" w:rsidRDefault="009B1E79" w:rsidP="009B1E79">
      <w:pPr>
        <w:pStyle w:val="ListParagraph"/>
        <w:widowControl/>
        <w:rPr>
          <w:iCs/>
          <w:szCs w:val="22"/>
        </w:rPr>
      </w:pPr>
    </w:p>
    <w:p w:rsidR="009B1E79" w:rsidRPr="009B1E79" w:rsidRDefault="009B1E79" w:rsidP="00FB78F5">
      <w:pPr>
        <w:pStyle w:val="ListParagraph"/>
        <w:widowControl/>
        <w:numPr>
          <w:ilvl w:val="1"/>
          <w:numId w:val="7"/>
        </w:numPr>
        <w:rPr>
          <w:iCs/>
          <w:szCs w:val="22"/>
        </w:rPr>
      </w:pPr>
      <w:r>
        <w:rPr>
          <w:iCs/>
        </w:rPr>
        <w:t>The PBAC considered that the claim of non-inferior comparative effectiveness to adalimumab, etanercept, infliximab and golimumab was not adequately supported.</w:t>
      </w:r>
    </w:p>
    <w:p w:rsidR="009B1E79" w:rsidRPr="009B1E79" w:rsidRDefault="009B1E79" w:rsidP="009B1E79">
      <w:pPr>
        <w:pStyle w:val="ListParagraph"/>
        <w:rPr>
          <w:iCs/>
        </w:rPr>
      </w:pPr>
    </w:p>
    <w:p w:rsidR="00FB78F5" w:rsidRPr="00BA1CC2" w:rsidRDefault="009B1E79" w:rsidP="00FB78F5">
      <w:pPr>
        <w:pStyle w:val="ListParagraph"/>
        <w:widowControl/>
        <w:numPr>
          <w:ilvl w:val="1"/>
          <w:numId w:val="7"/>
        </w:numPr>
        <w:rPr>
          <w:iCs/>
          <w:szCs w:val="22"/>
        </w:rPr>
      </w:pPr>
      <w:r>
        <w:rPr>
          <w:iCs/>
        </w:rPr>
        <w:t xml:space="preserve">The PBAC considered that secukinumab was non-inferior in terms of comparative effectiveness and comparative safety to certolizumab pegol and </w:t>
      </w:r>
      <w:r w:rsidR="009C77B2">
        <w:rPr>
          <w:iCs/>
        </w:rPr>
        <w:t>ustekinumab</w:t>
      </w:r>
      <w:r>
        <w:rPr>
          <w:iCs/>
        </w:rPr>
        <w:t>, based on the data presented.</w:t>
      </w:r>
    </w:p>
    <w:p w:rsidR="00B251A6" w:rsidRPr="009B1E79" w:rsidRDefault="00B251A6" w:rsidP="009B1E79">
      <w:pPr>
        <w:pStyle w:val="ListParagraph"/>
        <w:widowControl/>
        <w:rPr>
          <w:iCs/>
          <w:szCs w:val="22"/>
        </w:rPr>
      </w:pPr>
    </w:p>
    <w:p w:rsidR="00B60939" w:rsidRPr="00C27D17" w:rsidRDefault="00B60939" w:rsidP="002C2775">
      <w:pPr>
        <w:pStyle w:val="Heading2"/>
        <w:rPr>
          <w:i/>
        </w:rPr>
      </w:pPr>
      <w:bookmarkStart w:id="12" w:name="_Toc441048474"/>
      <w:r w:rsidRPr="00C27D17">
        <w:rPr>
          <w:i/>
        </w:rPr>
        <w:t>Economic analysis</w:t>
      </w:r>
      <w:bookmarkEnd w:id="12"/>
      <w:r w:rsidR="00491B3A" w:rsidRPr="00C27D17">
        <w:rPr>
          <w:i/>
        </w:rPr>
        <w:t xml:space="preserve"> </w:t>
      </w:r>
    </w:p>
    <w:p w:rsidR="00B60939" w:rsidRPr="00C27D17" w:rsidRDefault="00B60939" w:rsidP="00B60939">
      <w:pPr>
        <w:ind w:left="720" w:hanging="720"/>
        <w:rPr>
          <w:szCs w:val="22"/>
        </w:rPr>
      </w:pPr>
    </w:p>
    <w:p w:rsidR="00275C5A" w:rsidRPr="00BA1CC2" w:rsidRDefault="00136A44" w:rsidP="00136A44">
      <w:pPr>
        <w:pStyle w:val="ListParagraph"/>
        <w:widowControl/>
        <w:numPr>
          <w:ilvl w:val="1"/>
          <w:numId w:val="7"/>
        </w:numPr>
        <w:rPr>
          <w:szCs w:val="22"/>
        </w:rPr>
      </w:pPr>
      <w:r w:rsidRPr="00BA1CC2">
        <w:t xml:space="preserve">A cost minimisation against adalimumab </w:t>
      </w:r>
      <w:r w:rsidR="0096682D" w:rsidRPr="00BA1CC2">
        <w:t>was</w:t>
      </w:r>
      <w:r w:rsidR="00CA7493">
        <w:t xml:space="preserve"> presented.</w:t>
      </w:r>
    </w:p>
    <w:p w:rsidR="00D110BD" w:rsidRPr="00BA1CC2" w:rsidRDefault="00D110BD" w:rsidP="00D110BD">
      <w:pPr>
        <w:widowControl/>
        <w:rPr>
          <w:szCs w:val="22"/>
        </w:rPr>
      </w:pPr>
    </w:p>
    <w:p w:rsidR="009F3C2B" w:rsidRPr="00BA1CC2" w:rsidRDefault="00A86E8B" w:rsidP="00FC5D5A">
      <w:pPr>
        <w:pStyle w:val="ListParagraph"/>
        <w:widowControl/>
        <w:numPr>
          <w:ilvl w:val="1"/>
          <w:numId w:val="7"/>
        </w:numPr>
        <w:rPr>
          <w:szCs w:val="22"/>
        </w:rPr>
      </w:pPr>
      <w:r w:rsidRPr="00BA1CC2">
        <w:t>The equi-effec</w:t>
      </w:r>
      <w:r w:rsidR="0096682D" w:rsidRPr="00BA1CC2">
        <w:t>tive doses we</w:t>
      </w:r>
      <w:r w:rsidRPr="00BA1CC2">
        <w:t xml:space="preserve">re estimated as </w:t>
      </w:r>
      <w:r w:rsidR="00136A44" w:rsidRPr="00BA1CC2">
        <w:t>secukinumab 15</w:t>
      </w:r>
      <w:r w:rsidR="00992EE2" w:rsidRPr="00BA1CC2">
        <w:t>0 mg</w:t>
      </w:r>
      <w:r w:rsidR="00136A44" w:rsidRPr="00BA1CC2">
        <w:t xml:space="preserve"> or 30</w:t>
      </w:r>
      <w:r w:rsidR="00992EE2" w:rsidRPr="00BA1CC2">
        <w:t>0 mg</w:t>
      </w:r>
      <w:r w:rsidR="00136A44" w:rsidRPr="00BA1CC2">
        <w:t xml:space="preserve"> at weeks 0, 1, 2, 3, 4 then 15</w:t>
      </w:r>
      <w:r w:rsidR="00992EE2" w:rsidRPr="00BA1CC2">
        <w:t>0 mg</w:t>
      </w:r>
      <w:r w:rsidR="00136A44" w:rsidRPr="00BA1CC2">
        <w:t xml:space="preserve"> or 30</w:t>
      </w:r>
      <w:r w:rsidR="00992EE2" w:rsidRPr="00BA1CC2">
        <w:t>0 mg</w:t>
      </w:r>
      <w:r w:rsidR="00136A44" w:rsidRPr="00BA1CC2">
        <w:t xml:space="preserve"> every month </w:t>
      </w:r>
      <w:r w:rsidRPr="00BA1CC2">
        <w:t xml:space="preserve">and </w:t>
      </w:r>
      <w:r w:rsidR="00136A44" w:rsidRPr="00BA1CC2">
        <w:t>adalimumab 4</w:t>
      </w:r>
      <w:r w:rsidR="00992EE2" w:rsidRPr="00BA1CC2">
        <w:t>0 mg</w:t>
      </w:r>
      <w:r w:rsidRPr="00BA1CC2">
        <w:t xml:space="preserve"> </w:t>
      </w:r>
      <w:r w:rsidR="00136A44" w:rsidRPr="00BA1CC2">
        <w:t>every 2 weeks</w:t>
      </w:r>
      <w:r w:rsidRPr="00BA1CC2">
        <w:t xml:space="preserve">.  </w:t>
      </w:r>
      <w:r w:rsidR="00136A44" w:rsidRPr="00BA1CC2">
        <w:t xml:space="preserve">The equi-effective dose </w:t>
      </w:r>
      <w:r w:rsidR="0096682D" w:rsidRPr="00BA1CC2">
        <w:t>wa</w:t>
      </w:r>
      <w:r w:rsidR="00BE6F64" w:rsidRPr="00BA1CC2">
        <w:t xml:space="preserve">s based on an </w:t>
      </w:r>
      <w:r w:rsidR="001A3953" w:rsidRPr="00BA1CC2">
        <w:t xml:space="preserve">insufficiently adjusted </w:t>
      </w:r>
      <w:r w:rsidR="00BE6F64" w:rsidRPr="00BA1CC2">
        <w:t xml:space="preserve">indirect comparison of </w:t>
      </w:r>
      <w:r w:rsidR="00FC5D5A" w:rsidRPr="00BA1CC2">
        <w:t xml:space="preserve">one </w:t>
      </w:r>
      <w:r w:rsidR="00BE6F64" w:rsidRPr="00BA1CC2">
        <w:t xml:space="preserve">secukinumab trial with two adalimumab trials with placebo as the common comparator.  </w:t>
      </w:r>
      <w:r w:rsidR="00BE6F64" w:rsidRPr="00BA1CC2">
        <w:rPr>
          <w:iCs/>
        </w:rPr>
        <w:t>The equi-effective dose may not be appropriate as the claim of non-inferiority of secukinumab to adalimumab is not adequately supported by the clinical evidence.</w:t>
      </w:r>
    </w:p>
    <w:p w:rsidR="009F3C2B" w:rsidRPr="00BA1CC2" w:rsidRDefault="009F3C2B" w:rsidP="009F3C2B">
      <w:pPr>
        <w:pStyle w:val="ListParagraph"/>
      </w:pPr>
    </w:p>
    <w:p w:rsidR="009F3C2B" w:rsidRPr="00BA1CC2" w:rsidRDefault="0096682D" w:rsidP="009F3C2B">
      <w:pPr>
        <w:pStyle w:val="ListParagraph"/>
        <w:widowControl/>
        <w:numPr>
          <w:ilvl w:val="1"/>
          <w:numId w:val="7"/>
        </w:numPr>
        <w:rPr>
          <w:szCs w:val="22"/>
        </w:rPr>
      </w:pPr>
      <w:r w:rsidRPr="00BA1CC2">
        <w:t>The submission considered</w:t>
      </w:r>
      <w:r w:rsidR="00772F4A" w:rsidRPr="00BA1CC2">
        <w:t xml:space="preserve"> a two year treatment horizon in the cost minimisation, with 28 packs of secukinumab (7 initiating, 21 continuation) required for a two year treatment period at $</w:t>
      </w:r>
      <w:r w:rsidR="000039CC">
        <w:rPr>
          <w:noProof/>
          <w:color w:val="000000"/>
          <w:highlight w:val="black"/>
        </w:rPr>
        <w:t>''''''''''''''''''''''</w:t>
      </w:r>
      <w:r w:rsidR="00772F4A" w:rsidRPr="00BA1CC2">
        <w:t xml:space="preserve"> per pack (ex-manufacturer price), resulting in the same cost as 26.5 packs of adalimumab (4 </w:t>
      </w:r>
      <w:r w:rsidR="009B3FE6" w:rsidRPr="00BA1CC2">
        <w:t>initiating</w:t>
      </w:r>
      <w:r w:rsidR="00772F4A" w:rsidRPr="00BA1CC2">
        <w:t>, 22.5 continuing) required for the same two year treatment period at $</w:t>
      </w:r>
      <w:r w:rsidR="000039CC">
        <w:rPr>
          <w:noProof/>
          <w:color w:val="000000"/>
          <w:highlight w:val="black"/>
        </w:rPr>
        <w:t>'''''''''''''''''''''</w:t>
      </w:r>
      <w:r w:rsidR="00772F4A" w:rsidRPr="00BA1CC2">
        <w:t xml:space="preserve"> per pack (ex-manufacturer price).  </w:t>
      </w:r>
      <w:r w:rsidR="009F3C2B" w:rsidRPr="00BA1CC2">
        <w:rPr>
          <w:iCs/>
        </w:rPr>
        <w:t>There are several issues with the cost mini</w:t>
      </w:r>
      <w:r w:rsidR="009B3FE6" w:rsidRPr="00BA1CC2">
        <w:rPr>
          <w:iCs/>
        </w:rPr>
        <w:t>mi</w:t>
      </w:r>
      <w:r w:rsidR="009F3C2B" w:rsidRPr="00BA1CC2">
        <w:rPr>
          <w:iCs/>
        </w:rPr>
        <w:t>sation:</w:t>
      </w:r>
    </w:p>
    <w:p w:rsidR="009F3C2B" w:rsidRPr="00BA1CC2" w:rsidRDefault="009F3C2B" w:rsidP="008F47C8">
      <w:pPr>
        <w:pStyle w:val="ListParagraph"/>
        <w:widowControl/>
        <w:numPr>
          <w:ilvl w:val="1"/>
          <w:numId w:val="5"/>
        </w:numPr>
        <w:ind w:left="1080"/>
        <w:rPr>
          <w:szCs w:val="22"/>
        </w:rPr>
      </w:pPr>
      <w:r w:rsidRPr="00BA1CC2">
        <w:rPr>
          <w:iCs/>
          <w:szCs w:val="18"/>
        </w:rPr>
        <w:t>There is no discounting in the second year of treatment;</w:t>
      </w:r>
    </w:p>
    <w:p w:rsidR="009F3C2B" w:rsidRPr="00BA1CC2" w:rsidRDefault="00772F4A" w:rsidP="008F47C8">
      <w:pPr>
        <w:pStyle w:val="ListParagraph"/>
        <w:widowControl/>
        <w:numPr>
          <w:ilvl w:val="1"/>
          <w:numId w:val="5"/>
        </w:numPr>
        <w:ind w:left="1080"/>
        <w:rPr>
          <w:szCs w:val="22"/>
        </w:rPr>
      </w:pPr>
      <w:r w:rsidRPr="00BA1CC2">
        <w:rPr>
          <w:iCs/>
          <w:szCs w:val="18"/>
        </w:rPr>
        <w:t xml:space="preserve">The number of packs </w:t>
      </w:r>
      <w:r w:rsidR="009B3FE6" w:rsidRPr="00BA1CC2">
        <w:rPr>
          <w:iCs/>
          <w:szCs w:val="18"/>
        </w:rPr>
        <w:t>adalimumab</w:t>
      </w:r>
      <w:r w:rsidRPr="00BA1CC2">
        <w:rPr>
          <w:iCs/>
          <w:szCs w:val="18"/>
        </w:rPr>
        <w:t xml:space="preserve"> is overestimated.  For the 36-week continuing period in Year 1 (after the initial dosing period of 16 weeks) the number of packs of adalimuma</w:t>
      </w:r>
      <w:r w:rsidR="00CA7493">
        <w:rPr>
          <w:iCs/>
          <w:szCs w:val="18"/>
        </w:rPr>
        <w:t xml:space="preserve">b should be 9, instead of 9.5.  </w:t>
      </w:r>
      <w:r w:rsidRPr="00BA1CC2">
        <w:rPr>
          <w:iCs/>
          <w:szCs w:val="18"/>
        </w:rPr>
        <w:t>The dose at the beginning of this period (at the Week 16 time</w:t>
      </w:r>
      <w:r w:rsidR="009B3FE6" w:rsidRPr="00BA1CC2">
        <w:rPr>
          <w:iCs/>
          <w:szCs w:val="18"/>
        </w:rPr>
        <w:t xml:space="preserve"> </w:t>
      </w:r>
      <w:r w:rsidRPr="00BA1CC2">
        <w:rPr>
          <w:iCs/>
          <w:szCs w:val="18"/>
        </w:rPr>
        <w:t>point) is included in the costings for both secukinumab and adalimumab, but the dose at the end of this period (at the Week 52 time</w:t>
      </w:r>
      <w:r w:rsidR="009B3FE6" w:rsidRPr="00BA1CC2">
        <w:rPr>
          <w:iCs/>
          <w:szCs w:val="18"/>
        </w:rPr>
        <w:t xml:space="preserve"> </w:t>
      </w:r>
      <w:r w:rsidRPr="00BA1CC2">
        <w:rPr>
          <w:iCs/>
          <w:szCs w:val="18"/>
        </w:rPr>
        <w:t xml:space="preserve">point) is </w:t>
      </w:r>
      <w:r w:rsidR="009F3C2B" w:rsidRPr="00BA1CC2">
        <w:rPr>
          <w:iCs/>
          <w:szCs w:val="18"/>
        </w:rPr>
        <w:t>counted as part of Year 2 costs</w:t>
      </w:r>
      <w:r w:rsidR="00E37CF0" w:rsidRPr="00BA1CC2">
        <w:rPr>
          <w:iCs/>
          <w:szCs w:val="18"/>
        </w:rPr>
        <w:t>.  The ESC noted the PSCR stated that in this case the number of packs in year 2 would be 13.5, instead of 13.  The ESC considered that the PSCR sufficiently addressed this issue</w:t>
      </w:r>
      <w:r w:rsidR="009F3C2B" w:rsidRPr="00BA1CC2">
        <w:rPr>
          <w:iCs/>
          <w:szCs w:val="18"/>
        </w:rPr>
        <w:t>; and</w:t>
      </w:r>
      <w:r w:rsidRPr="00BA1CC2">
        <w:rPr>
          <w:iCs/>
          <w:szCs w:val="18"/>
        </w:rPr>
        <w:t xml:space="preserve"> </w:t>
      </w:r>
    </w:p>
    <w:p w:rsidR="009F3C2B" w:rsidRPr="00BA1CC2" w:rsidRDefault="009F3C2B" w:rsidP="008F47C8">
      <w:pPr>
        <w:pStyle w:val="ListParagraph"/>
        <w:widowControl/>
        <w:numPr>
          <w:ilvl w:val="1"/>
          <w:numId w:val="5"/>
        </w:numPr>
        <w:ind w:left="1080"/>
        <w:rPr>
          <w:szCs w:val="22"/>
        </w:rPr>
      </w:pPr>
      <w:r w:rsidRPr="00BA1CC2">
        <w:rPr>
          <w:iCs/>
          <w:szCs w:val="18"/>
        </w:rPr>
        <w:lastRenderedPageBreak/>
        <w:t>I</w:t>
      </w:r>
      <w:r w:rsidR="00772F4A" w:rsidRPr="00BA1CC2">
        <w:rPr>
          <w:iCs/>
          <w:szCs w:val="18"/>
        </w:rPr>
        <w:t xml:space="preserve">n the FUTURE2 trial, the frequency of secukinumab administration </w:t>
      </w:r>
      <w:r w:rsidRPr="00BA1CC2">
        <w:rPr>
          <w:iCs/>
          <w:szCs w:val="18"/>
        </w:rPr>
        <w:t>in continuation phase is 4 weekly (13 packs per year) and no</w:t>
      </w:r>
      <w:r w:rsidR="00CA7493">
        <w:rPr>
          <w:iCs/>
          <w:szCs w:val="18"/>
        </w:rPr>
        <w:t>t monthly (12 packs per year).</w:t>
      </w:r>
    </w:p>
    <w:p w:rsidR="00772F4A" w:rsidRPr="00BA1CC2" w:rsidRDefault="009F3C2B" w:rsidP="004B6361">
      <w:pPr>
        <w:widowControl/>
        <w:ind w:left="720"/>
        <w:rPr>
          <w:szCs w:val="22"/>
        </w:rPr>
      </w:pPr>
      <w:r w:rsidRPr="00BA1CC2">
        <w:rPr>
          <w:iCs/>
          <w:szCs w:val="18"/>
        </w:rPr>
        <w:t>Assuming 9 continuing scripts of adalimumab in Year 1 and 13 scripts of secukinumab in Year 2 (second year discounted at 5%), the ex-manufacturer price per pack of secukinumab required to achieve cost neutrality compared to adalimumab d</w:t>
      </w:r>
      <w:r w:rsidR="004F4CEF" w:rsidRPr="00BA1CC2">
        <w:rPr>
          <w:iCs/>
          <w:szCs w:val="18"/>
        </w:rPr>
        <w:t>ecrease</w:t>
      </w:r>
      <w:r w:rsidRPr="00BA1CC2">
        <w:rPr>
          <w:iCs/>
          <w:szCs w:val="18"/>
        </w:rPr>
        <w:t>s to $</w:t>
      </w:r>
      <w:r w:rsidR="000039CC">
        <w:rPr>
          <w:iCs/>
          <w:noProof/>
          <w:color w:val="000000"/>
          <w:szCs w:val="18"/>
          <w:highlight w:val="black"/>
        </w:rPr>
        <w:t>'''''''''''''''''''</w:t>
      </w:r>
      <w:r w:rsidR="004F4CEF" w:rsidRPr="009E008F">
        <w:rPr>
          <w:iCs/>
          <w:szCs w:val="18"/>
        </w:rPr>
        <w:t>.</w:t>
      </w:r>
    </w:p>
    <w:p w:rsidR="00772F4A" w:rsidRPr="00C27D17" w:rsidRDefault="00772F4A" w:rsidP="00F66C61">
      <w:pPr>
        <w:pStyle w:val="ListParagraph"/>
        <w:widowControl/>
        <w:rPr>
          <w:szCs w:val="22"/>
        </w:rPr>
      </w:pPr>
    </w:p>
    <w:p w:rsidR="007C0E91" w:rsidRDefault="00C25D9C" w:rsidP="009F3C2B">
      <w:pPr>
        <w:pStyle w:val="Heading2"/>
        <w:rPr>
          <w:i/>
        </w:rPr>
      </w:pPr>
      <w:bookmarkStart w:id="13" w:name="_Toc441048475"/>
      <w:r w:rsidRPr="00C27D17">
        <w:rPr>
          <w:i/>
        </w:rPr>
        <w:t>Drug c</w:t>
      </w:r>
      <w:r w:rsidR="009F3C2B" w:rsidRPr="00C27D17">
        <w:rPr>
          <w:i/>
        </w:rPr>
        <w:t>ost/patient/year:</w:t>
      </w:r>
      <w:bookmarkEnd w:id="13"/>
      <w:r w:rsidR="009F3C2B" w:rsidRPr="00C27D17">
        <w:rPr>
          <w:i/>
        </w:rPr>
        <w:t xml:space="preserve"> </w:t>
      </w:r>
    </w:p>
    <w:p w:rsidR="00E37CF0" w:rsidRPr="00E37CF0" w:rsidRDefault="00E37CF0" w:rsidP="00E37CF0"/>
    <w:p w:rsidR="00C25D9C" w:rsidRPr="009E008F" w:rsidRDefault="009F3C2B" w:rsidP="007C0E91">
      <w:pPr>
        <w:pStyle w:val="ListParagraph"/>
        <w:widowControl/>
        <w:numPr>
          <w:ilvl w:val="1"/>
          <w:numId w:val="7"/>
        </w:numPr>
        <w:rPr>
          <w:szCs w:val="22"/>
        </w:rPr>
      </w:pPr>
      <w:r w:rsidRPr="009E008F">
        <w:t>$</w:t>
      </w:r>
      <w:r w:rsidR="000039CC">
        <w:rPr>
          <w:noProof/>
          <w:color w:val="000000"/>
          <w:szCs w:val="22"/>
          <w:highlight w:val="black"/>
        </w:rPr>
        <w:t>''''''''''''''''''''''''</w:t>
      </w:r>
      <w:r w:rsidRPr="009E008F">
        <w:rPr>
          <w:szCs w:val="22"/>
        </w:rPr>
        <w:t xml:space="preserve"> for first year ($</w:t>
      </w:r>
      <w:r w:rsidR="000039CC">
        <w:rPr>
          <w:noProof/>
          <w:color w:val="000000"/>
          <w:szCs w:val="22"/>
          <w:highlight w:val="black"/>
        </w:rPr>
        <w:t>''''''''''''''''''''''''''</w:t>
      </w:r>
      <w:r w:rsidRPr="009E008F">
        <w:rPr>
          <w:szCs w:val="22"/>
        </w:rPr>
        <w:t xml:space="preserve"> for initiation and $</w:t>
      </w:r>
      <w:r w:rsidR="000039CC">
        <w:rPr>
          <w:noProof/>
          <w:color w:val="000000"/>
          <w:szCs w:val="22"/>
          <w:highlight w:val="black"/>
        </w:rPr>
        <w:t>'''''''''''''''''''''''''</w:t>
      </w:r>
      <w:r w:rsidRPr="009E008F">
        <w:rPr>
          <w:szCs w:val="22"/>
        </w:rPr>
        <w:t xml:space="preserve"> for continuation) and $</w:t>
      </w:r>
      <w:r w:rsidR="000039CC">
        <w:rPr>
          <w:noProof/>
          <w:color w:val="000000"/>
          <w:szCs w:val="22"/>
          <w:highlight w:val="black"/>
        </w:rPr>
        <w:t>''''''''''''''''''''''</w:t>
      </w:r>
      <w:r w:rsidRPr="009E008F">
        <w:rPr>
          <w:szCs w:val="22"/>
        </w:rPr>
        <w:t xml:space="preserve"> for the second year and beyond.</w:t>
      </w:r>
    </w:p>
    <w:p w:rsidR="00C25D9C" w:rsidRPr="00C27D17" w:rsidRDefault="00C25D9C" w:rsidP="00C25D9C">
      <w:pPr>
        <w:widowControl/>
        <w:rPr>
          <w:szCs w:val="22"/>
        </w:rPr>
      </w:pPr>
    </w:p>
    <w:p w:rsidR="00A86E8B" w:rsidRPr="00C27D17" w:rsidRDefault="00F66C61" w:rsidP="00F66C61">
      <w:pPr>
        <w:pStyle w:val="ListParagraph"/>
        <w:widowControl/>
        <w:numPr>
          <w:ilvl w:val="1"/>
          <w:numId w:val="7"/>
        </w:numPr>
        <w:rPr>
          <w:szCs w:val="22"/>
        </w:rPr>
      </w:pPr>
      <w:r w:rsidRPr="00C27D17">
        <w:rPr>
          <w:szCs w:val="22"/>
        </w:rPr>
        <w:t>The cost for secukinumab is greater in the first year of treatment as the dose frequency during the initiation phase is greater than during the continuation phase.  Comparatively, the cost per patient/year for adalimumab is $</w:t>
      </w:r>
      <w:r w:rsidR="000039CC">
        <w:rPr>
          <w:noProof/>
          <w:color w:val="000000"/>
          <w:szCs w:val="22"/>
          <w:highlight w:val="black"/>
        </w:rPr>
        <w:t>''''''''''''''''''</w:t>
      </w:r>
      <w:r w:rsidRPr="00C27D17">
        <w:rPr>
          <w:szCs w:val="22"/>
        </w:rPr>
        <w:t xml:space="preserve"> irrespective of year of treatment.</w:t>
      </w:r>
    </w:p>
    <w:p w:rsidR="00B60939" w:rsidRPr="00C27D17" w:rsidRDefault="00B60939" w:rsidP="001456B0">
      <w:pPr>
        <w:rPr>
          <w:szCs w:val="22"/>
        </w:rPr>
      </w:pPr>
    </w:p>
    <w:p w:rsidR="00B60939" w:rsidRPr="00165A3F" w:rsidRDefault="00B60939" w:rsidP="002C2775">
      <w:pPr>
        <w:pStyle w:val="Heading2"/>
        <w:rPr>
          <w:i/>
        </w:rPr>
      </w:pPr>
      <w:bookmarkStart w:id="14" w:name="_Toc441048476"/>
      <w:r w:rsidRPr="00C27D17">
        <w:rPr>
          <w:i/>
        </w:rPr>
        <w:t xml:space="preserve">Estimated PBS usage &amp; </w:t>
      </w:r>
      <w:r w:rsidRPr="00165A3F">
        <w:rPr>
          <w:i/>
        </w:rPr>
        <w:t>financial implications</w:t>
      </w:r>
      <w:bookmarkEnd w:id="14"/>
    </w:p>
    <w:p w:rsidR="00B60939" w:rsidRPr="00165A3F" w:rsidRDefault="00B60939" w:rsidP="00B60939">
      <w:pPr>
        <w:ind w:left="720" w:hanging="720"/>
        <w:rPr>
          <w:b/>
          <w:i/>
          <w:szCs w:val="22"/>
        </w:rPr>
      </w:pPr>
    </w:p>
    <w:p w:rsidR="00CA6B3B" w:rsidRPr="0049591F" w:rsidRDefault="00CA6B3B" w:rsidP="0049591F">
      <w:pPr>
        <w:pStyle w:val="ListParagraph"/>
        <w:widowControl/>
        <w:numPr>
          <w:ilvl w:val="1"/>
          <w:numId w:val="7"/>
        </w:numPr>
        <w:rPr>
          <w:szCs w:val="22"/>
        </w:rPr>
      </w:pPr>
      <w:r>
        <w:t>This submission was</w:t>
      </w:r>
      <w:r w:rsidR="00F66C61" w:rsidRPr="00165A3F">
        <w:t xml:space="preserve"> not</w:t>
      </w:r>
      <w:r w:rsidR="00C25D9C" w:rsidRPr="00165A3F">
        <w:t xml:space="preserve"> being considered by DUSC. </w:t>
      </w:r>
      <w:r w:rsidR="0096682D">
        <w:t xml:space="preserve"> The submission used</w:t>
      </w:r>
      <w:r w:rsidR="00F66C61" w:rsidRPr="00165A3F">
        <w:t xml:space="preserve"> a market share approach to estimate the uptake of secukinum</w:t>
      </w:r>
      <w:r w:rsidR="0096682D">
        <w:t>ab.  The uptake of secukinumab wa</w:t>
      </w:r>
      <w:r w:rsidR="00F66C61" w:rsidRPr="00165A3F">
        <w:t>s assumed to be 70% of the uptake of golimumab from the first 5 years of PBS listing.  Uptake rate and growth</w:t>
      </w:r>
      <w:r w:rsidR="0096682D">
        <w:t xml:space="preserve"> assumptions we</w:t>
      </w:r>
      <w:r w:rsidR="00F66C61" w:rsidRPr="00C27D17">
        <w:t>re base</w:t>
      </w:r>
      <w:r w:rsidR="00CA7493">
        <w:t>d on historical PBS usage data.</w:t>
      </w:r>
    </w:p>
    <w:p w:rsidR="00F66C61" w:rsidRPr="00C27D17" w:rsidRDefault="00F66C61" w:rsidP="00F66C61">
      <w:pPr>
        <w:pStyle w:val="ListParagraph"/>
        <w:widowControl/>
        <w:rPr>
          <w:szCs w:val="22"/>
        </w:rPr>
      </w:pPr>
    </w:p>
    <w:p w:rsidR="00C25D9C" w:rsidRPr="00C27D17" w:rsidRDefault="00C25D9C" w:rsidP="008D5F57">
      <w:pPr>
        <w:ind w:firstLine="709"/>
        <w:rPr>
          <w:rStyle w:val="CommentReference"/>
        </w:rPr>
      </w:pPr>
      <w:r w:rsidRPr="00C27D17">
        <w:rPr>
          <w:rStyle w:val="CommentReference"/>
        </w:rPr>
        <w:t xml:space="preserve">Table </w:t>
      </w:r>
      <w:r w:rsidR="008D5F57">
        <w:rPr>
          <w:rStyle w:val="CommentReference"/>
        </w:rPr>
        <w:t>5</w:t>
      </w:r>
      <w:r w:rsidRPr="00C27D17">
        <w:rPr>
          <w:rStyle w:val="CommentReference"/>
        </w:rPr>
        <w:t>: Estimated use and financial implications</w:t>
      </w:r>
    </w:p>
    <w:tbl>
      <w:tblPr>
        <w:tblW w:w="4621"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4"/>
        <w:gridCol w:w="1068"/>
        <w:gridCol w:w="1068"/>
        <w:gridCol w:w="1069"/>
        <w:gridCol w:w="1068"/>
        <w:gridCol w:w="1068"/>
        <w:gridCol w:w="1069"/>
      </w:tblGrid>
      <w:tr w:rsidR="00F66C61" w:rsidRPr="00C27D17" w:rsidTr="00F66C61">
        <w:trPr>
          <w:tblHeader/>
        </w:trPr>
        <w:tc>
          <w:tcPr>
            <w:tcW w:w="1182" w:type="pct"/>
            <w:shd w:val="clear" w:color="auto" w:fill="auto"/>
            <w:vAlign w:val="center"/>
          </w:tcPr>
          <w:p w:rsidR="00F66C61" w:rsidRPr="00C27D17" w:rsidRDefault="00F66C61" w:rsidP="00B8649C">
            <w:pPr>
              <w:tabs>
                <w:tab w:val="left" w:pos="142"/>
              </w:tabs>
              <w:jc w:val="left"/>
              <w:rPr>
                <w:rFonts w:ascii="Arial Narrow" w:hAnsi="Arial Narrow"/>
                <w:b/>
                <w:sz w:val="20"/>
              </w:rPr>
            </w:pPr>
          </w:p>
        </w:tc>
        <w:tc>
          <w:tcPr>
            <w:tcW w:w="636" w:type="pct"/>
            <w:shd w:val="clear" w:color="auto" w:fill="auto"/>
            <w:vAlign w:val="center"/>
          </w:tcPr>
          <w:p w:rsidR="00F66C61" w:rsidRPr="00C27D17" w:rsidRDefault="00F66C61" w:rsidP="00B8649C">
            <w:pPr>
              <w:jc w:val="center"/>
              <w:rPr>
                <w:rFonts w:ascii="Arial Narrow" w:hAnsi="Arial Narrow"/>
                <w:b/>
                <w:sz w:val="20"/>
              </w:rPr>
            </w:pPr>
            <w:r w:rsidRPr="00C27D17">
              <w:rPr>
                <w:rFonts w:ascii="Arial Narrow" w:hAnsi="Arial Narrow"/>
                <w:b/>
                <w:sz w:val="20"/>
              </w:rPr>
              <w:t>Year 1</w:t>
            </w:r>
          </w:p>
        </w:tc>
        <w:tc>
          <w:tcPr>
            <w:tcW w:w="636" w:type="pct"/>
            <w:shd w:val="clear" w:color="auto" w:fill="auto"/>
            <w:vAlign w:val="center"/>
          </w:tcPr>
          <w:p w:rsidR="00F66C61" w:rsidRPr="00C27D17" w:rsidRDefault="00F66C61" w:rsidP="00B8649C">
            <w:pPr>
              <w:jc w:val="center"/>
              <w:rPr>
                <w:rFonts w:ascii="Arial Narrow" w:hAnsi="Arial Narrow"/>
                <w:b/>
                <w:sz w:val="20"/>
              </w:rPr>
            </w:pPr>
            <w:r w:rsidRPr="00C27D17">
              <w:rPr>
                <w:rFonts w:ascii="Arial Narrow" w:hAnsi="Arial Narrow"/>
                <w:b/>
                <w:sz w:val="20"/>
              </w:rPr>
              <w:t>Year 2</w:t>
            </w:r>
          </w:p>
        </w:tc>
        <w:tc>
          <w:tcPr>
            <w:tcW w:w="637" w:type="pct"/>
            <w:shd w:val="clear" w:color="auto" w:fill="auto"/>
            <w:vAlign w:val="center"/>
          </w:tcPr>
          <w:p w:rsidR="00F66C61" w:rsidRPr="00C27D17" w:rsidRDefault="00F66C61" w:rsidP="00B8649C">
            <w:pPr>
              <w:jc w:val="center"/>
              <w:rPr>
                <w:rFonts w:ascii="Arial Narrow" w:hAnsi="Arial Narrow"/>
                <w:b/>
                <w:sz w:val="20"/>
              </w:rPr>
            </w:pPr>
            <w:r w:rsidRPr="00C27D17">
              <w:rPr>
                <w:rFonts w:ascii="Arial Narrow" w:hAnsi="Arial Narrow"/>
                <w:b/>
                <w:sz w:val="20"/>
              </w:rPr>
              <w:t>Year 3</w:t>
            </w:r>
          </w:p>
        </w:tc>
        <w:tc>
          <w:tcPr>
            <w:tcW w:w="636" w:type="pct"/>
            <w:shd w:val="clear" w:color="auto" w:fill="auto"/>
            <w:vAlign w:val="center"/>
          </w:tcPr>
          <w:p w:rsidR="00F66C61" w:rsidRPr="00C27D17" w:rsidRDefault="00F66C61" w:rsidP="00B8649C">
            <w:pPr>
              <w:jc w:val="center"/>
              <w:rPr>
                <w:rFonts w:ascii="Arial Narrow" w:hAnsi="Arial Narrow"/>
                <w:b/>
                <w:sz w:val="20"/>
              </w:rPr>
            </w:pPr>
            <w:r w:rsidRPr="00C27D17">
              <w:rPr>
                <w:rFonts w:ascii="Arial Narrow" w:hAnsi="Arial Narrow"/>
                <w:b/>
                <w:sz w:val="20"/>
              </w:rPr>
              <w:t>Year 4</w:t>
            </w:r>
          </w:p>
        </w:tc>
        <w:tc>
          <w:tcPr>
            <w:tcW w:w="636" w:type="pct"/>
            <w:shd w:val="clear" w:color="auto" w:fill="auto"/>
            <w:vAlign w:val="center"/>
          </w:tcPr>
          <w:p w:rsidR="00F66C61" w:rsidRPr="00C27D17" w:rsidRDefault="00F66C61" w:rsidP="00B8649C">
            <w:pPr>
              <w:jc w:val="center"/>
              <w:rPr>
                <w:rFonts w:ascii="Arial Narrow" w:hAnsi="Arial Narrow"/>
                <w:b/>
                <w:sz w:val="20"/>
              </w:rPr>
            </w:pPr>
            <w:r w:rsidRPr="00C27D17">
              <w:rPr>
                <w:rFonts w:ascii="Arial Narrow" w:hAnsi="Arial Narrow"/>
                <w:b/>
                <w:sz w:val="20"/>
              </w:rPr>
              <w:t>Year 5</w:t>
            </w:r>
          </w:p>
        </w:tc>
        <w:tc>
          <w:tcPr>
            <w:tcW w:w="637" w:type="pct"/>
          </w:tcPr>
          <w:p w:rsidR="00F66C61" w:rsidRPr="00C27D17" w:rsidRDefault="00F66C61" w:rsidP="00B8649C">
            <w:pPr>
              <w:jc w:val="center"/>
              <w:rPr>
                <w:rFonts w:ascii="Arial Narrow" w:hAnsi="Arial Narrow"/>
                <w:b/>
                <w:sz w:val="20"/>
              </w:rPr>
            </w:pPr>
            <w:r w:rsidRPr="00C27D17">
              <w:rPr>
                <w:rFonts w:ascii="Arial Narrow" w:hAnsi="Arial Narrow"/>
                <w:b/>
                <w:sz w:val="20"/>
              </w:rPr>
              <w:t>Year 6</w:t>
            </w:r>
          </w:p>
        </w:tc>
      </w:tr>
      <w:tr w:rsidR="00F66C61" w:rsidRPr="00C27D17" w:rsidTr="00F66C61">
        <w:tc>
          <w:tcPr>
            <w:tcW w:w="5000" w:type="pct"/>
            <w:gridSpan w:val="7"/>
            <w:shd w:val="clear" w:color="auto" w:fill="auto"/>
            <w:vAlign w:val="center"/>
          </w:tcPr>
          <w:p w:rsidR="00F66C61" w:rsidRPr="00C27D17" w:rsidRDefault="00F66C61" w:rsidP="00B8649C">
            <w:pPr>
              <w:jc w:val="left"/>
              <w:rPr>
                <w:rFonts w:ascii="Arial Narrow" w:hAnsi="Arial Narrow"/>
                <w:b/>
                <w:bCs/>
                <w:color w:val="000000"/>
                <w:sz w:val="20"/>
              </w:rPr>
            </w:pPr>
            <w:r w:rsidRPr="00C27D17">
              <w:rPr>
                <w:rFonts w:ascii="Arial Narrow" w:hAnsi="Arial Narrow"/>
                <w:b/>
                <w:bCs/>
                <w:color w:val="000000"/>
                <w:sz w:val="20"/>
              </w:rPr>
              <w:t>Estimated extent of use</w:t>
            </w:r>
          </w:p>
        </w:tc>
      </w:tr>
      <w:tr w:rsidR="00F66C61" w:rsidRPr="00C27D17" w:rsidTr="00F66C61">
        <w:tc>
          <w:tcPr>
            <w:tcW w:w="1182" w:type="pct"/>
            <w:shd w:val="clear" w:color="auto" w:fill="auto"/>
          </w:tcPr>
          <w:p w:rsidR="00F66C61" w:rsidRPr="00C27D17" w:rsidRDefault="00F66C61" w:rsidP="00F66C61">
            <w:pPr>
              <w:tabs>
                <w:tab w:val="left" w:pos="142"/>
              </w:tabs>
              <w:jc w:val="left"/>
              <w:rPr>
                <w:rFonts w:ascii="Arial Narrow" w:hAnsi="Arial Narrow"/>
                <w:sz w:val="20"/>
              </w:rPr>
            </w:pPr>
            <w:r w:rsidRPr="00C27D17">
              <w:rPr>
                <w:rFonts w:ascii="Arial Narrow" w:eastAsia="SimSun" w:hAnsi="Arial Narrow"/>
                <w:snapToGrid/>
                <w:sz w:val="20"/>
                <w:lang w:eastAsia="zh-CN"/>
              </w:rPr>
              <w:t>bDMARD scripts for PsA</w:t>
            </w:r>
          </w:p>
        </w:tc>
        <w:tc>
          <w:tcPr>
            <w:tcW w:w="636" w:type="pct"/>
            <w:shd w:val="clear" w:color="auto" w:fill="auto"/>
            <w:vAlign w:val="center"/>
          </w:tcPr>
          <w:p w:rsidR="00F66C61" w:rsidRPr="00C27D17" w:rsidRDefault="00F66C61" w:rsidP="00F66C61">
            <w:pPr>
              <w:jc w:val="center"/>
              <w:rPr>
                <w:rFonts w:ascii="Arial Narrow" w:eastAsia="SimSun" w:hAnsi="Arial Narrow"/>
                <w:snapToGrid/>
                <w:sz w:val="20"/>
                <w:lang w:eastAsia="zh-CN"/>
              </w:rPr>
            </w:pPr>
            <w:r w:rsidRPr="00C27D17">
              <w:rPr>
                <w:rFonts w:ascii="Arial Narrow" w:eastAsia="SimSun" w:hAnsi="Arial Narrow"/>
                <w:snapToGrid/>
                <w:sz w:val="20"/>
                <w:lang w:eastAsia="zh-CN"/>
              </w:rPr>
              <w:t>61,568</w:t>
            </w:r>
          </w:p>
        </w:tc>
        <w:tc>
          <w:tcPr>
            <w:tcW w:w="636" w:type="pct"/>
            <w:shd w:val="clear" w:color="auto" w:fill="auto"/>
            <w:vAlign w:val="center"/>
          </w:tcPr>
          <w:p w:rsidR="00F66C61" w:rsidRPr="00C27D17" w:rsidRDefault="00F66C61" w:rsidP="00F66C61">
            <w:pPr>
              <w:jc w:val="center"/>
              <w:rPr>
                <w:rFonts w:ascii="Arial Narrow" w:eastAsia="SimSun" w:hAnsi="Arial Narrow"/>
                <w:snapToGrid/>
                <w:sz w:val="20"/>
                <w:lang w:eastAsia="zh-CN"/>
              </w:rPr>
            </w:pPr>
            <w:r w:rsidRPr="00C27D17">
              <w:rPr>
                <w:rFonts w:ascii="Arial Narrow" w:eastAsia="SimSun" w:hAnsi="Arial Narrow"/>
                <w:snapToGrid/>
                <w:sz w:val="20"/>
                <w:lang w:eastAsia="zh-CN"/>
              </w:rPr>
              <w:t>70,474</w:t>
            </w:r>
          </w:p>
        </w:tc>
        <w:tc>
          <w:tcPr>
            <w:tcW w:w="637" w:type="pct"/>
            <w:shd w:val="clear" w:color="auto" w:fill="auto"/>
            <w:vAlign w:val="center"/>
          </w:tcPr>
          <w:p w:rsidR="00F66C61" w:rsidRPr="00C27D17" w:rsidRDefault="00F66C61" w:rsidP="00F66C61">
            <w:pPr>
              <w:jc w:val="center"/>
              <w:rPr>
                <w:rFonts w:ascii="Arial Narrow" w:eastAsia="SimSun" w:hAnsi="Arial Narrow"/>
                <w:snapToGrid/>
                <w:sz w:val="20"/>
                <w:lang w:eastAsia="zh-CN"/>
              </w:rPr>
            </w:pPr>
            <w:r w:rsidRPr="00C27D17">
              <w:rPr>
                <w:rFonts w:ascii="Arial Narrow" w:eastAsia="SimSun" w:hAnsi="Arial Narrow"/>
                <w:snapToGrid/>
                <w:sz w:val="20"/>
                <w:lang w:eastAsia="zh-CN"/>
              </w:rPr>
              <w:t>80,942</w:t>
            </w:r>
          </w:p>
        </w:tc>
        <w:tc>
          <w:tcPr>
            <w:tcW w:w="636" w:type="pct"/>
            <w:shd w:val="clear" w:color="auto" w:fill="auto"/>
            <w:vAlign w:val="center"/>
          </w:tcPr>
          <w:p w:rsidR="00F66C61" w:rsidRPr="00C27D17" w:rsidRDefault="00F66C61" w:rsidP="00F66C61">
            <w:pPr>
              <w:jc w:val="center"/>
              <w:rPr>
                <w:rFonts w:ascii="Arial Narrow" w:eastAsia="SimSun" w:hAnsi="Arial Narrow"/>
                <w:snapToGrid/>
                <w:sz w:val="20"/>
                <w:lang w:eastAsia="zh-CN"/>
              </w:rPr>
            </w:pPr>
            <w:r w:rsidRPr="00C27D17">
              <w:rPr>
                <w:rFonts w:ascii="Arial Narrow" w:eastAsia="SimSun" w:hAnsi="Arial Narrow"/>
                <w:snapToGrid/>
                <w:sz w:val="20"/>
                <w:lang w:eastAsia="zh-CN"/>
              </w:rPr>
              <w:t>90,518</w:t>
            </w:r>
          </w:p>
        </w:tc>
        <w:tc>
          <w:tcPr>
            <w:tcW w:w="636" w:type="pct"/>
            <w:shd w:val="clear" w:color="auto" w:fill="auto"/>
            <w:vAlign w:val="center"/>
          </w:tcPr>
          <w:p w:rsidR="00F66C61" w:rsidRPr="00C27D17" w:rsidRDefault="00F66C61" w:rsidP="00F66C61">
            <w:pPr>
              <w:jc w:val="center"/>
              <w:rPr>
                <w:rFonts w:ascii="Arial Narrow" w:eastAsia="SimSun" w:hAnsi="Arial Narrow"/>
                <w:snapToGrid/>
                <w:sz w:val="20"/>
                <w:lang w:eastAsia="zh-CN"/>
              </w:rPr>
            </w:pPr>
            <w:r w:rsidRPr="00C27D17">
              <w:rPr>
                <w:rFonts w:ascii="Arial Narrow" w:eastAsia="SimSun" w:hAnsi="Arial Narrow"/>
                <w:snapToGrid/>
                <w:sz w:val="20"/>
                <w:lang w:eastAsia="zh-CN"/>
              </w:rPr>
              <w:t>100,588</w:t>
            </w:r>
          </w:p>
        </w:tc>
        <w:tc>
          <w:tcPr>
            <w:tcW w:w="637" w:type="pct"/>
            <w:vAlign w:val="center"/>
          </w:tcPr>
          <w:p w:rsidR="00F66C61" w:rsidRPr="00C27D17" w:rsidRDefault="00F66C61" w:rsidP="00F66C61">
            <w:pPr>
              <w:jc w:val="center"/>
              <w:rPr>
                <w:rFonts w:ascii="Arial Narrow" w:eastAsia="SimSun" w:hAnsi="Arial Narrow"/>
                <w:snapToGrid/>
                <w:sz w:val="20"/>
                <w:lang w:eastAsia="zh-CN"/>
              </w:rPr>
            </w:pPr>
            <w:r w:rsidRPr="00C27D17">
              <w:rPr>
                <w:rFonts w:ascii="Arial Narrow" w:eastAsia="SimSun" w:hAnsi="Arial Narrow"/>
                <w:snapToGrid/>
                <w:sz w:val="20"/>
                <w:lang w:eastAsia="zh-CN"/>
              </w:rPr>
              <w:t>110,397</w:t>
            </w:r>
          </w:p>
        </w:tc>
      </w:tr>
      <w:tr w:rsidR="00F66C61" w:rsidRPr="00C27D17" w:rsidTr="00F66C61">
        <w:tc>
          <w:tcPr>
            <w:tcW w:w="1182" w:type="pct"/>
            <w:shd w:val="clear" w:color="auto" w:fill="auto"/>
            <w:vAlign w:val="center"/>
          </w:tcPr>
          <w:p w:rsidR="00F66C61" w:rsidRPr="009E008F" w:rsidRDefault="00F66C61" w:rsidP="00F66C61">
            <w:pPr>
              <w:tabs>
                <w:tab w:val="left" w:pos="142"/>
              </w:tabs>
              <w:jc w:val="left"/>
              <w:rPr>
                <w:rFonts w:ascii="Arial Narrow" w:hAnsi="Arial Narrow"/>
                <w:sz w:val="20"/>
              </w:rPr>
            </w:pPr>
            <w:r w:rsidRPr="009E008F">
              <w:rPr>
                <w:rFonts w:ascii="Arial Narrow" w:hAnsi="Arial Narrow"/>
                <w:sz w:val="20"/>
              </w:rPr>
              <w:t>Secukinumab scripts</w:t>
            </w:r>
          </w:p>
        </w:tc>
        <w:tc>
          <w:tcPr>
            <w:tcW w:w="636" w:type="pct"/>
            <w:shd w:val="clear" w:color="auto" w:fill="auto"/>
          </w:tcPr>
          <w:p w:rsidR="00F66C61" w:rsidRPr="000039CC" w:rsidRDefault="000039CC" w:rsidP="00F66C61">
            <w:pPr>
              <w:jc w:val="center"/>
              <w:rPr>
                <w:rFonts w:ascii="Arial Narrow" w:hAnsi="Arial Narrow"/>
                <w:bCs/>
                <w:color w:val="000000"/>
                <w:sz w:val="20"/>
                <w:highlight w:val="black"/>
              </w:rPr>
            </w:pPr>
            <w:r>
              <w:rPr>
                <w:rFonts w:ascii="Arial Narrow" w:eastAsia="SimSun" w:hAnsi="Arial Narrow"/>
                <w:noProof/>
                <w:snapToGrid/>
                <w:color w:val="000000"/>
                <w:sz w:val="20"/>
                <w:highlight w:val="black"/>
                <w:lang w:eastAsia="zh-CN"/>
              </w:rPr>
              <w:t>'''''''''''''</w:t>
            </w:r>
          </w:p>
        </w:tc>
        <w:tc>
          <w:tcPr>
            <w:tcW w:w="636" w:type="pct"/>
            <w:shd w:val="clear" w:color="auto" w:fill="auto"/>
          </w:tcPr>
          <w:p w:rsidR="00F66C61" w:rsidRPr="000039CC" w:rsidRDefault="000039CC" w:rsidP="00F66C61">
            <w:pPr>
              <w:jc w:val="center"/>
              <w:rPr>
                <w:rFonts w:ascii="Arial Narrow" w:hAnsi="Arial Narrow"/>
                <w:bCs/>
                <w:color w:val="000000"/>
                <w:sz w:val="20"/>
                <w:highlight w:val="black"/>
              </w:rPr>
            </w:pPr>
            <w:r>
              <w:rPr>
                <w:rFonts w:ascii="Arial Narrow" w:eastAsia="SimSun" w:hAnsi="Arial Narrow"/>
                <w:noProof/>
                <w:snapToGrid/>
                <w:color w:val="000000"/>
                <w:sz w:val="20"/>
                <w:highlight w:val="black"/>
                <w:lang w:eastAsia="zh-CN"/>
              </w:rPr>
              <w:t>''''''''''''''</w:t>
            </w:r>
          </w:p>
        </w:tc>
        <w:tc>
          <w:tcPr>
            <w:tcW w:w="637" w:type="pct"/>
            <w:shd w:val="clear" w:color="auto" w:fill="auto"/>
          </w:tcPr>
          <w:p w:rsidR="00F66C61" w:rsidRPr="000039CC" w:rsidRDefault="000039CC" w:rsidP="00F66C61">
            <w:pPr>
              <w:jc w:val="center"/>
              <w:rPr>
                <w:rFonts w:ascii="Arial Narrow" w:hAnsi="Arial Narrow"/>
                <w:bCs/>
                <w:color w:val="000000"/>
                <w:sz w:val="20"/>
                <w:highlight w:val="black"/>
              </w:rPr>
            </w:pPr>
            <w:r>
              <w:rPr>
                <w:rFonts w:ascii="Arial Narrow" w:eastAsia="SimSun" w:hAnsi="Arial Narrow"/>
                <w:noProof/>
                <w:snapToGrid/>
                <w:color w:val="000000"/>
                <w:sz w:val="20"/>
                <w:highlight w:val="black"/>
                <w:lang w:eastAsia="zh-CN"/>
              </w:rPr>
              <w:t>''''''''''''''</w:t>
            </w:r>
          </w:p>
        </w:tc>
        <w:tc>
          <w:tcPr>
            <w:tcW w:w="636" w:type="pct"/>
            <w:shd w:val="clear" w:color="auto" w:fill="auto"/>
          </w:tcPr>
          <w:p w:rsidR="00F66C61" w:rsidRPr="000039CC" w:rsidRDefault="000039CC" w:rsidP="00F66C61">
            <w:pPr>
              <w:jc w:val="center"/>
              <w:rPr>
                <w:rFonts w:ascii="Arial Narrow" w:hAnsi="Arial Narrow"/>
                <w:bCs/>
                <w:color w:val="000000"/>
                <w:sz w:val="20"/>
                <w:highlight w:val="black"/>
              </w:rPr>
            </w:pPr>
            <w:r>
              <w:rPr>
                <w:rFonts w:ascii="Arial Narrow" w:eastAsia="SimSun" w:hAnsi="Arial Narrow"/>
                <w:noProof/>
                <w:snapToGrid/>
                <w:color w:val="000000"/>
                <w:sz w:val="20"/>
                <w:highlight w:val="black"/>
                <w:lang w:eastAsia="zh-CN"/>
              </w:rPr>
              <w:t>''''''''''''''''''</w:t>
            </w:r>
          </w:p>
        </w:tc>
        <w:tc>
          <w:tcPr>
            <w:tcW w:w="636" w:type="pct"/>
            <w:shd w:val="clear" w:color="auto" w:fill="auto"/>
          </w:tcPr>
          <w:p w:rsidR="00F66C61" w:rsidRPr="000039CC" w:rsidRDefault="000039CC" w:rsidP="00F66C61">
            <w:pPr>
              <w:jc w:val="center"/>
              <w:rPr>
                <w:rFonts w:ascii="Arial Narrow" w:hAnsi="Arial Narrow"/>
                <w:bCs/>
                <w:color w:val="000000"/>
                <w:sz w:val="20"/>
                <w:highlight w:val="black"/>
              </w:rPr>
            </w:pPr>
            <w:r>
              <w:rPr>
                <w:rFonts w:ascii="Arial Narrow" w:eastAsia="SimSun" w:hAnsi="Arial Narrow"/>
                <w:noProof/>
                <w:snapToGrid/>
                <w:color w:val="000000"/>
                <w:sz w:val="20"/>
                <w:highlight w:val="black"/>
                <w:lang w:eastAsia="zh-CN"/>
              </w:rPr>
              <w:t>''''''''''''''''''</w:t>
            </w:r>
          </w:p>
        </w:tc>
        <w:tc>
          <w:tcPr>
            <w:tcW w:w="637" w:type="pct"/>
          </w:tcPr>
          <w:p w:rsidR="00F66C61" w:rsidRPr="000039CC" w:rsidRDefault="000039CC" w:rsidP="00F66C61">
            <w:pPr>
              <w:jc w:val="center"/>
              <w:rPr>
                <w:rFonts w:ascii="Arial Narrow" w:eastAsia="SimSun" w:hAnsi="Arial Narrow"/>
                <w:snapToGrid/>
                <w:sz w:val="20"/>
                <w:highlight w:val="black"/>
                <w:lang w:eastAsia="zh-CN"/>
              </w:rPr>
            </w:pPr>
            <w:r>
              <w:rPr>
                <w:rFonts w:ascii="Arial Narrow" w:eastAsia="SimSun" w:hAnsi="Arial Narrow"/>
                <w:noProof/>
                <w:snapToGrid/>
                <w:color w:val="000000"/>
                <w:sz w:val="20"/>
                <w:highlight w:val="black"/>
                <w:lang w:eastAsia="zh-CN"/>
              </w:rPr>
              <w:t>''''''''''''''''</w:t>
            </w:r>
          </w:p>
        </w:tc>
      </w:tr>
      <w:tr w:rsidR="00F66C61" w:rsidRPr="00C27D17" w:rsidTr="00F66C61">
        <w:tc>
          <w:tcPr>
            <w:tcW w:w="5000" w:type="pct"/>
            <w:gridSpan w:val="7"/>
            <w:shd w:val="clear" w:color="auto" w:fill="auto"/>
            <w:vAlign w:val="center"/>
          </w:tcPr>
          <w:p w:rsidR="00F66C61" w:rsidRPr="009E008F" w:rsidRDefault="00F66C61" w:rsidP="00F66C61">
            <w:pPr>
              <w:jc w:val="left"/>
              <w:rPr>
                <w:rFonts w:ascii="Arial Narrow" w:hAnsi="Arial Narrow"/>
                <w:b/>
                <w:bCs/>
                <w:color w:val="000000"/>
                <w:sz w:val="20"/>
              </w:rPr>
            </w:pPr>
            <w:r w:rsidRPr="009E008F">
              <w:rPr>
                <w:rFonts w:ascii="Arial Narrow" w:hAnsi="Arial Narrow"/>
                <w:b/>
                <w:bCs/>
                <w:color w:val="000000"/>
                <w:sz w:val="20"/>
              </w:rPr>
              <w:t>Estimated net cost to PBS/RPBS/MBS</w:t>
            </w:r>
          </w:p>
        </w:tc>
      </w:tr>
      <w:tr w:rsidR="00F66C61" w:rsidRPr="00C27D17" w:rsidTr="009E008F">
        <w:tc>
          <w:tcPr>
            <w:tcW w:w="1182" w:type="pct"/>
            <w:shd w:val="clear" w:color="auto" w:fill="auto"/>
            <w:vAlign w:val="center"/>
          </w:tcPr>
          <w:p w:rsidR="00F66C61" w:rsidRPr="009E008F" w:rsidRDefault="00F66C61" w:rsidP="00F66C61">
            <w:pPr>
              <w:tabs>
                <w:tab w:val="left" w:pos="142"/>
              </w:tabs>
              <w:jc w:val="left"/>
              <w:rPr>
                <w:rFonts w:ascii="Arial Narrow" w:hAnsi="Arial Narrow"/>
                <w:sz w:val="20"/>
              </w:rPr>
            </w:pPr>
            <w:r w:rsidRPr="009E008F">
              <w:rPr>
                <w:rFonts w:ascii="Arial Narrow" w:hAnsi="Arial Narrow"/>
                <w:sz w:val="19"/>
                <w:szCs w:val="19"/>
              </w:rPr>
              <w:t>Net cost to PBS/RPBS</w:t>
            </w:r>
          </w:p>
        </w:tc>
        <w:tc>
          <w:tcPr>
            <w:tcW w:w="636" w:type="pct"/>
            <w:shd w:val="clear" w:color="auto" w:fill="auto"/>
            <w:vAlign w:val="center"/>
          </w:tcPr>
          <w:p w:rsidR="00F66C61" w:rsidRPr="009E008F" w:rsidRDefault="00F66C61" w:rsidP="00F66C61">
            <w:pPr>
              <w:jc w:val="center"/>
              <w:rPr>
                <w:rFonts w:ascii="Arial Narrow" w:hAnsi="Arial Narrow"/>
                <w:bCs/>
                <w:color w:val="000000"/>
                <w:sz w:val="20"/>
              </w:rPr>
            </w:pPr>
            <w:r w:rsidRPr="009E008F">
              <w:rPr>
                <w:rFonts w:ascii="Arial Narrow" w:eastAsia="SimSun" w:hAnsi="Arial Narrow"/>
                <w:b/>
                <w:bCs/>
                <w:snapToGrid/>
                <w:sz w:val="20"/>
                <w:lang w:eastAsia="zh-CN"/>
              </w:rPr>
              <w:t>$</w:t>
            </w:r>
            <w:r w:rsidR="000039CC">
              <w:rPr>
                <w:rFonts w:ascii="Arial Narrow" w:eastAsia="SimSun" w:hAnsi="Arial Narrow"/>
                <w:b/>
                <w:bCs/>
                <w:noProof/>
                <w:snapToGrid/>
                <w:color w:val="000000"/>
                <w:sz w:val="20"/>
                <w:highlight w:val="black"/>
                <w:lang w:eastAsia="zh-CN"/>
              </w:rPr>
              <w:t>''''''''''''''''''''</w:t>
            </w:r>
          </w:p>
        </w:tc>
        <w:tc>
          <w:tcPr>
            <w:tcW w:w="636" w:type="pct"/>
            <w:shd w:val="clear" w:color="auto" w:fill="auto"/>
            <w:vAlign w:val="center"/>
          </w:tcPr>
          <w:p w:rsidR="00F66C61" w:rsidRPr="009E008F" w:rsidRDefault="00F66C61" w:rsidP="00F66C61">
            <w:pPr>
              <w:jc w:val="center"/>
              <w:rPr>
                <w:rFonts w:ascii="Arial Narrow" w:hAnsi="Arial Narrow"/>
                <w:bCs/>
                <w:color w:val="000000"/>
                <w:sz w:val="20"/>
              </w:rPr>
            </w:pPr>
            <w:r w:rsidRPr="009E008F">
              <w:rPr>
                <w:rFonts w:ascii="Arial Narrow" w:eastAsia="SimSun" w:hAnsi="Arial Narrow"/>
                <w:b/>
                <w:bCs/>
                <w:snapToGrid/>
                <w:sz w:val="20"/>
                <w:lang w:eastAsia="zh-CN"/>
              </w:rPr>
              <w:t>$</w:t>
            </w:r>
            <w:r w:rsidR="000039CC">
              <w:rPr>
                <w:rFonts w:ascii="Arial Narrow" w:eastAsia="SimSun" w:hAnsi="Arial Narrow"/>
                <w:b/>
                <w:bCs/>
                <w:noProof/>
                <w:snapToGrid/>
                <w:color w:val="000000"/>
                <w:sz w:val="20"/>
                <w:highlight w:val="black"/>
                <w:lang w:eastAsia="zh-CN"/>
              </w:rPr>
              <w:t>''''''''''''''''</w:t>
            </w:r>
          </w:p>
        </w:tc>
        <w:tc>
          <w:tcPr>
            <w:tcW w:w="637" w:type="pct"/>
            <w:shd w:val="clear" w:color="auto" w:fill="auto"/>
            <w:vAlign w:val="center"/>
          </w:tcPr>
          <w:p w:rsidR="00F66C61" w:rsidRPr="009E008F" w:rsidRDefault="00F66C61" w:rsidP="00F66C61">
            <w:pPr>
              <w:jc w:val="center"/>
              <w:rPr>
                <w:rFonts w:ascii="Arial Narrow" w:hAnsi="Arial Narrow"/>
                <w:bCs/>
                <w:color w:val="000000"/>
                <w:sz w:val="20"/>
              </w:rPr>
            </w:pPr>
            <w:r w:rsidRPr="009E008F">
              <w:rPr>
                <w:rFonts w:ascii="Arial Narrow" w:eastAsia="SimSun" w:hAnsi="Arial Narrow"/>
                <w:b/>
                <w:bCs/>
                <w:snapToGrid/>
                <w:sz w:val="20"/>
                <w:lang w:eastAsia="zh-CN"/>
              </w:rPr>
              <w:t>$</w:t>
            </w:r>
            <w:r w:rsidR="000039CC">
              <w:rPr>
                <w:rFonts w:ascii="Arial Narrow" w:eastAsia="SimSun" w:hAnsi="Arial Narrow"/>
                <w:b/>
                <w:bCs/>
                <w:noProof/>
                <w:snapToGrid/>
                <w:color w:val="000000"/>
                <w:sz w:val="20"/>
                <w:highlight w:val="black"/>
                <w:lang w:eastAsia="zh-CN"/>
              </w:rPr>
              <w:t>'''''''''''''''''</w:t>
            </w:r>
          </w:p>
        </w:tc>
        <w:tc>
          <w:tcPr>
            <w:tcW w:w="636" w:type="pct"/>
            <w:shd w:val="clear" w:color="auto" w:fill="auto"/>
            <w:vAlign w:val="center"/>
          </w:tcPr>
          <w:p w:rsidR="00F66C61" w:rsidRPr="009E008F" w:rsidRDefault="00F66C61" w:rsidP="00F66C61">
            <w:pPr>
              <w:jc w:val="center"/>
              <w:rPr>
                <w:rFonts w:ascii="Arial Narrow" w:hAnsi="Arial Narrow"/>
                <w:bCs/>
                <w:color w:val="000000"/>
                <w:sz w:val="20"/>
              </w:rPr>
            </w:pPr>
            <w:r w:rsidRPr="009E008F">
              <w:rPr>
                <w:rFonts w:ascii="Arial Narrow" w:eastAsia="SimSun" w:hAnsi="Arial Narrow"/>
                <w:b/>
                <w:bCs/>
                <w:snapToGrid/>
                <w:sz w:val="20"/>
                <w:lang w:eastAsia="zh-CN"/>
              </w:rPr>
              <w:t>$</w:t>
            </w:r>
            <w:r w:rsidR="000039CC">
              <w:rPr>
                <w:rFonts w:ascii="Arial Narrow" w:eastAsia="SimSun" w:hAnsi="Arial Narrow"/>
                <w:b/>
                <w:bCs/>
                <w:noProof/>
                <w:snapToGrid/>
                <w:color w:val="000000"/>
                <w:sz w:val="20"/>
                <w:highlight w:val="black"/>
                <w:lang w:eastAsia="zh-CN"/>
              </w:rPr>
              <w:t>''''''''''''''''</w:t>
            </w:r>
          </w:p>
        </w:tc>
        <w:tc>
          <w:tcPr>
            <w:tcW w:w="636" w:type="pct"/>
            <w:shd w:val="clear" w:color="auto" w:fill="auto"/>
            <w:vAlign w:val="center"/>
          </w:tcPr>
          <w:p w:rsidR="00F66C61" w:rsidRPr="009E008F" w:rsidRDefault="00F66C61" w:rsidP="00F66C61">
            <w:pPr>
              <w:jc w:val="center"/>
              <w:rPr>
                <w:rFonts w:ascii="Arial Narrow" w:hAnsi="Arial Narrow"/>
                <w:bCs/>
                <w:color w:val="000000"/>
                <w:sz w:val="20"/>
              </w:rPr>
            </w:pPr>
            <w:r w:rsidRPr="009E008F">
              <w:rPr>
                <w:rFonts w:ascii="Arial Narrow" w:eastAsia="SimSun" w:hAnsi="Arial Narrow"/>
                <w:b/>
                <w:bCs/>
                <w:snapToGrid/>
                <w:sz w:val="20"/>
                <w:lang w:eastAsia="zh-CN"/>
              </w:rPr>
              <w:t>$</w:t>
            </w:r>
            <w:r w:rsidR="000039CC">
              <w:rPr>
                <w:rFonts w:ascii="Arial Narrow" w:eastAsia="SimSun" w:hAnsi="Arial Narrow"/>
                <w:b/>
                <w:bCs/>
                <w:noProof/>
                <w:snapToGrid/>
                <w:color w:val="000000"/>
                <w:sz w:val="20"/>
                <w:highlight w:val="black"/>
                <w:lang w:eastAsia="zh-CN"/>
              </w:rPr>
              <w:t>'''''''''''''''</w:t>
            </w:r>
          </w:p>
        </w:tc>
        <w:tc>
          <w:tcPr>
            <w:tcW w:w="637" w:type="pct"/>
          </w:tcPr>
          <w:p w:rsidR="00F66C61" w:rsidRPr="009E008F" w:rsidRDefault="00F66C61" w:rsidP="00F66C61">
            <w:pPr>
              <w:jc w:val="center"/>
              <w:rPr>
                <w:rFonts w:ascii="Arial Narrow" w:eastAsia="SimSun" w:hAnsi="Arial Narrow"/>
                <w:b/>
                <w:bCs/>
                <w:snapToGrid/>
                <w:sz w:val="20"/>
                <w:lang w:eastAsia="zh-CN"/>
              </w:rPr>
            </w:pPr>
            <w:r w:rsidRPr="009E008F">
              <w:rPr>
                <w:rFonts w:ascii="Arial Narrow" w:eastAsia="SimSun" w:hAnsi="Arial Narrow"/>
                <w:b/>
                <w:bCs/>
                <w:snapToGrid/>
                <w:sz w:val="20"/>
                <w:lang w:eastAsia="zh-CN"/>
              </w:rPr>
              <w:t>-$</w:t>
            </w:r>
            <w:r w:rsidR="000039CC">
              <w:rPr>
                <w:rFonts w:ascii="Arial Narrow" w:eastAsia="SimSun" w:hAnsi="Arial Narrow"/>
                <w:b/>
                <w:bCs/>
                <w:noProof/>
                <w:snapToGrid/>
                <w:color w:val="000000"/>
                <w:sz w:val="20"/>
                <w:highlight w:val="black"/>
                <w:lang w:eastAsia="zh-CN"/>
              </w:rPr>
              <w:t>'''''''''''''''''</w:t>
            </w:r>
          </w:p>
        </w:tc>
      </w:tr>
      <w:tr w:rsidR="00F66C61" w:rsidRPr="00C27D17" w:rsidTr="009E008F">
        <w:tc>
          <w:tcPr>
            <w:tcW w:w="1182" w:type="pct"/>
            <w:shd w:val="clear" w:color="auto" w:fill="auto"/>
            <w:vAlign w:val="center"/>
          </w:tcPr>
          <w:p w:rsidR="00F66C61" w:rsidRPr="009E008F" w:rsidRDefault="00F66C61" w:rsidP="00F66C61">
            <w:pPr>
              <w:tabs>
                <w:tab w:val="left" w:pos="142"/>
              </w:tabs>
              <w:jc w:val="left"/>
              <w:rPr>
                <w:rFonts w:ascii="Arial Narrow" w:hAnsi="Arial Narrow"/>
                <w:sz w:val="20"/>
                <w:vertAlign w:val="superscript"/>
              </w:rPr>
            </w:pPr>
            <w:r w:rsidRPr="009E008F">
              <w:rPr>
                <w:rFonts w:ascii="Arial Narrow" w:hAnsi="Arial Narrow"/>
                <w:sz w:val="19"/>
                <w:szCs w:val="19"/>
              </w:rPr>
              <w:t>Net cost to MBS</w:t>
            </w:r>
            <w:r w:rsidRPr="009E008F">
              <w:rPr>
                <w:rFonts w:ascii="Arial Narrow" w:hAnsi="Arial Narrow"/>
                <w:sz w:val="19"/>
                <w:szCs w:val="19"/>
                <w:vertAlign w:val="superscript"/>
              </w:rPr>
              <w:t>a</w:t>
            </w:r>
          </w:p>
        </w:tc>
        <w:tc>
          <w:tcPr>
            <w:tcW w:w="636" w:type="pct"/>
            <w:shd w:val="clear" w:color="auto" w:fill="auto"/>
            <w:vAlign w:val="center"/>
          </w:tcPr>
          <w:p w:rsidR="00F66C61" w:rsidRPr="009E008F" w:rsidRDefault="00F66C61" w:rsidP="00F66C61">
            <w:pPr>
              <w:jc w:val="center"/>
              <w:rPr>
                <w:rFonts w:ascii="Arial Narrow" w:hAnsi="Arial Narrow"/>
                <w:bCs/>
                <w:color w:val="000000"/>
                <w:sz w:val="20"/>
              </w:rPr>
            </w:pPr>
            <w:r w:rsidRPr="009E008F">
              <w:rPr>
                <w:rFonts w:ascii="Arial Narrow" w:eastAsia="SimSun" w:hAnsi="Arial Narrow"/>
                <w:snapToGrid/>
                <w:sz w:val="20"/>
                <w:lang w:eastAsia="zh-CN"/>
              </w:rPr>
              <w:t>-$</w:t>
            </w:r>
            <w:r w:rsidR="000039CC">
              <w:rPr>
                <w:rFonts w:ascii="Arial Narrow" w:eastAsia="SimSun" w:hAnsi="Arial Narrow"/>
                <w:noProof/>
                <w:snapToGrid/>
                <w:color w:val="000000"/>
                <w:sz w:val="20"/>
                <w:highlight w:val="black"/>
                <w:lang w:eastAsia="zh-CN"/>
              </w:rPr>
              <w:t>''''''''''</w:t>
            </w:r>
          </w:p>
        </w:tc>
        <w:tc>
          <w:tcPr>
            <w:tcW w:w="636" w:type="pct"/>
            <w:shd w:val="clear" w:color="auto" w:fill="auto"/>
            <w:vAlign w:val="center"/>
          </w:tcPr>
          <w:p w:rsidR="00F66C61" w:rsidRPr="009E008F" w:rsidRDefault="00F66C61" w:rsidP="00F66C61">
            <w:pPr>
              <w:jc w:val="center"/>
              <w:rPr>
                <w:rFonts w:ascii="Arial Narrow" w:hAnsi="Arial Narrow"/>
                <w:bCs/>
                <w:color w:val="000000"/>
                <w:sz w:val="20"/>
              </w:rPr>
            </w:pPr>
            <w:r w:rsidRPr="009E008F">
              <w:rPr>
                <w:rFonts w:ascii="Arial Narrow" w:eastAsia="SimSun" w:hAnsi="Arial Narrow"/>
                <w:snapToGrid/>
                <w:sz w:val="20"/>
                <w:lang w:eastAsia="zh-CN"/>
              </w:rPr>
              <w:t>-$</w:t>
            </w:r>
            <w:r w:rsidR="000039CC">
              <w:rPr>
                <w:rFonts w:ascii="Arial Narrow" w:eastAsia="SimSun" w:hAnsi="Arial Narrow"/>
                <w:noProof/>
                <w:snapToGrid/>
                <w:color w:val="000000"/>
                <w:sz w:val="20"/>
                <w:highlight w:val="black"/>
                <w:lang w:eastAsia="zh-CN"/>
              </w:rPr>
              <w:t>''''''''''''''</w:t>
            </w:r>
          </w:p>
        </w:tc>
        <w:tc>
          <w:tcPr>
            <w:tcW w:w="637" w:type="pct"/>
            <w:shd w:val="clear" w:color="auto" w:fill="auto"/>
            <w:vAlign w:val="center"/>
          </w:tcPr>
          <w:p w:rsidR="00F66C61" w:rsidRPr="009E008F" w:rsidRDefault="00F66C61" w:rsidP="00F66C61">
            <w:pPr>
              <w:jc w:val="center"/>
              <w:rPr>
                <w:rFonts w:ascii="Arial Narrow" w:hAnsi="Arial Narrow"/>
                <w:bCs/>
                <w:color w:val="000000"/>
                <w:sz w:val="20"/>
              </w:rPr>
            </w:pPr>
            <w:r w:rsidRPr="009E008F">
              <w:rPr>
                <w:rFonts w:ascii="Arial Narrow" w:eastAsia="SimSun" w:hAnsi="Arial Narrow"/>
                <w:snapToGrid/>
                <w:sz w:val="20"/>
                <w:lang w:eastAsia="zh-CN"/>
              </w:rPr>
              <w:t>-$</w:t>
            </w:r>
            <w:r w:rsidR="000039CC">
              <w:rPr>
                <w:rFonts w:ascii="Arial Narrow" w:eastAsia="SimSun" w:hAnsi="Arial Narrow"/>
                <w:noProof/>
                <w:snapToGrid/>
                <w:color w:val="000000"/>
                <w:sz w:val="20"/>
                <w:highlight w:val="black"/>
                <w:lang w:eastAsia="zh-CN"/>
              </w:rPr>
              <w:t>'''''''''''''</w:t>
            </w:r>
          </w:p>
        </w:tc>
        <w:tc>
          <w:tcPr>
            <w:tcW w:w="636" w:type="pct"/>
            <w:shd w:val="clear" w:color="auto" w:fill="auto"/>
            <w:vAlign w:val="center"/>
          </w:tcPr>
          <w:p w:rsidR="00F66C61" w:rsidRPr="009E008F" w:rsidRDefault="00F66C61" w:rsidP="00F66C61">
            <w:pPr>
              <w:jc w:val="center"/>
              <w:rPr>
                <w:rFonts w:ascii="Arial Narrow" w:hAnsi="Arial Narrow"/>
                <w:bCs/>
                <w:color w:val="000000"/>
                <w:sz w:val="20"/>
              </w:rPr>
            </w:pPr>
            <w:r w:rsidRPr="009E008F">
              <w:rPr>
                <w:rFonts w:ascii="Arial Narrow" w:eastAsia="SimSun" w:hAnsi="Arial Narrow"/>
                <w:snapToGrid/>
                <w:sz w:val="20"/>
                <w:lang w:eastAsia="zh-CN"/>
              </w:rPr>
              <w:t>-$</w:t>
            </w:r>
            <w:r w:rsidR="000039CC">
              <w:rPr>
                <w:rFonts w:ascii="Arial Narrow" w:eastAsia="SimSun" w:hAnsi="Arial Narrow"/>
                <w:noProof/>
                <w:snapToGrid/>
                <w:color w:val="000000"/>
                <w:sz w:val="20"/>
                <w:highlight w:val="black"/>
                <w:lang w:eastAsia="zh-CN"/>
              </w:rPr>
              <w:t>''''''''''''</w:t>
            </w:r>
          </w:p>
        </w:tc>
        <w:tc>
          <w:tcPr>
            <w:tcW w:w="636" w:type="pct"/>
            <w:shd w:val="clear" w:color="auto" w:fill="auto"/>
            <w:vAlign w:val="center"/>
          </w:tcPr>
          <w:p w:rsidR="00F66C61" w:rsidRPr="009E008F" w:rsidRDefault="00F66C61" w:rsidP="00F66C61">
            <w:pPr>
              <w:jc w:val="center"/>
              <w:rPr>
                <w:rFonts w:ascii="Arial Narrow" w:hAnsi="Arial Narrow"/>
                <w:bCs/>
                <w:color w:val="000000"/>
                <w:sz w:val="20"/>
              </w:rPr>
            </w:pPr>
            <w:r w:rsidRPr="009E008F">
              <w:rPr>
                <w:rFonts w:ascii="Arial Narrow" w:eastAsia="SimSun" w:hAnsi="Arial Narrow"/>
                <w:snapToGrid/>
                <w:sz w:val="20"/>
                <w:lang w:eastAsia="zh-CN"/>
              </w:rPr>
              <w:t>-$</w:t>
            </w:r>
            <w:r w:rsidR="000039CC">
              <w:rPr>
                <w:rFonts w:ascii="Arial Narrow" w:eastAsia="SimSun" w:hAnsi="Arial Narrow"/>
                <w:noProof/>
                <w:snapToGrid/>
                <w:color w:val="000000"/>
                <w:sz w:val="20"/>
                <w:highlight w:val="black"/>
                <w:lang w:eastAsia="zh-CN"/>
              </w:rPr>
              <w:t>''''''''''''''</w:t>
            </w:r>
          </w:p>
        </w:tc>
        <w:tc>
          <w:tcPr>
            <w:tcW w:w="637" w:type="pct"/>
          </w:tcPr>
          <w:p w:rsidR="00F66C61" w:rsidRPr="009E008F" w:rsidRDefault="00F66C61" w:rsidP="00F66C61">
            <w:pPr>
              <w:jc w:val="center"/>
              <w:rPr>
                <w:rFonts w:ascii="Arial Narrow" w:eastAsia="SimSun" w:hAnsi="Arial Narrow"/>
                <w:snapToGrid/>
                <w:sz w:val="20"/>
                <w:lang w:eastAsia="zh-CN"/>
              </w:rPr>
            </w:pPr>
            <w:r w:rsidRPr="009E008F">
              <w:rPr>
                <w:rFonts w:ascii="Arial Narrow" w:eastAsia="SimSun" w:hAnsi="Arial Narrow"/>
                <w:snapToGrid/>
                <w:sz w:val="20"/>
                <w:lang w:eastAsia="zh-CN"/>
              </w:rPr>
              <w:t>-$</w:t>
            </w:r>
            <w:r w:rsidR="000039CC">
              <w:rPr>
                <w:rFonts w:ascii="Arial Narrow" w:eastAsia="SimSun" w:hAnsi="Arial Narrow"/>
                <w:noProof/>
                <w:snapToGrid/>
                <w:color w:val="000000"/>
                <w:sz w:val="20"/>
                <w:highlight w:val="black"/>
                <w:lang w:eastAsia="zh-CN"/>
              </w:rPr>
              <w:t>''''''''''''</w:t>
            </w:r>
          </w:p>
        </w:tc>
      </w:tr>
      <w:tr w:rsidR="00F66C61" w:rsidRPr="00C27D17" w:rsidTr="00F66C61">
        <w:tc>
          <w:tcPr>
            <w:tcW w:w="5000" w:type="pct"/>
            <w:gridSpan w:val="7"/>
            <w:shd w:val="clear" w:color="auto" w:fill="auto"/>
            <w:vAlign w:val="center"/>
          </w:tcPr>
          <w:p w:rsidR="00F66C61" w:rsidRPr="009E008F" w:rsidRDefault="00F66C61" w:rsidP="00F66C61">
            <w:pPr>
              <w:jc w:val="left"/>
              <w:rPr>
                <w:rFonts w:ascii="Arial Narrow" w:hAnsi="Arial Narrow"/>
                <w:b/>
                <w:color w:val="000000"/>
                <w:sz w:val="20"/>
              </w:rPr>
            </w:pPr>
            <w:r w:rsidRPr="009E008F">
              <w:rPr>
                <w:rFonts w:ascii="Arial Narrow" w:hAnsi="Arial Narrow"/>
                <w:b/>
                <w:color w:val="000000"/>
                <w:sz w:val="20"/>
              </w:rPr>
              <w:t>Estimated total net cost</w:t>
            </w:r>
          </w:p>
        </w:tc>
      </w:tr>
      <w:tr w:rsidR="00F66C61" w:rsidRPr="00C27D17" w:rsidTr="00F66C61">
        <w:tc>
          <w:tcPr>
            <w:tcW w:w="1182" w:type="pct"/>
            <w:shd w:val="clear" w:color="auto" w:fill="auto"/>
            <w:vAlign w:val="center"/>
          </w:tcPr>
          <w:p w:rsidR="00F66C61" w:rsidRPr="009E008F" w:rsidRDefault="00F66C61" w:rsidP="00F66C61">
            <w:pPr>
              <w:tabs>
                <w:tab w:val="left" w:pos="142"/>
              </w:tabs>
              <w:jc w:val="left"/>
              <w:rPr>
                <w:rFonts w:ascii="Arial Narrow" w:hAnsi="Arial Narrow"/>
                <w:b/>
                <w:sz w:val="20"/>
              </w:rPr>
            </w:pPr>
            <w:r w:rsidRPr="009E008F">
              <w:rPr>
                <w:rFonts w:ascii="Arial Narrow" w:hAnsi="Arial Narrow"/>
                <w:b/>
                <w:bCs/>
                <w:color w:val="000000"/>
                <w:sz w:val="20"/>
              </w:rPr>
              <w:t>Net cost to PBS/RPBS/MBS</w:t>
            </w:r>
          </w:p>
        </w:tc>
        <w:tc>
          <w:tcPr>
            <w:tcW w:w="636" w:type="pct"/>
            <w:shd w:val="clear" w:color="auto" w:fill="auto"/>
            <w:vAlign w:val="center"/>
          </w:tcPr>
          <w:p w:rsidR="00F66C61" w:rsidRPr="009E008F" w:rsidRDefault="00F66C61" w:rsidP="00F66C61">
            <w:pPr>
              <w:jc w:val="center"/>
              <w:rPr>
                <w:rFonts w:ascii="Arial Narrow" w:hAnsi="Arial Narrow"/>
                <w:color w:val="000000"/>
                <w:sz w:val="20"/>
              </w:rPr>
            </w:pPr>
            <w:r w:rsidRPr="009E008F">
              <w:rPr>
                <w:rFonts w:ascii="Arial Narrow" w:eastAsia="SimSun" w:hAnsi="Arial Narrow"/>
                <w:b/>
                <w:bCs/>
                <w:snapToGrid/>
                <w:sz w:val="20"/>
                <w:lang w:eastAsia="zh-CN"/>
              </w:rPr>
              <w:t>$</w:t>
            </w:r>
            <w:r w:rsidR="000039CC">
              <w:rPr>
                <w:rFonts w:ascii="Arial Narrow" w:eastAsia="SimSun" w:hAnsi="Arial Narrow"/>
                <w:b/>
                <w:bCs/>
                <w:noProof/>
                <w:snapToGrid/>
                <w:color w:val="000000"/>
                <w:sz w:val="20"/>
                <w:highlight w:val="black"/>
                <w:lang w:eastAsia="zh-CN"/>
              </w:rPr>
              <w:t>''''''''''''''''''''</w:t>
            </w:r>
          </w:p>
        </w:tc>
        <w:tc>
          <w:tcPr>
            <w:tcW w:w="636" w:type="pct"/>
            <w:shd w:val="clear" w:color="auto" w:fill="auto"/>
            <w:vAlign w:val="center"/>
          </w:tcPr>
          <w:p w:rsidR="00F66C61" w:rsidRPr="009E008F" w:rsidRDefault="00F66C61" w:rsidP="00F66C61">
            <w:pPr>
              <w:jc w:val="center"/>
              <w:rPr>
                <w:rFonts w:ascii="Arial Narrow" w:hAnsi="Arial Narrow"/>
                <w:color w:val="000000"/>
                <w:sz w:val="20"/>
              </w:rPr>
            </w:pPr>
            <w:r w:rsidRPr="009E008F">
              <w:rPr>
                <w:rFonts w:ascii="Arial Narrow" w:eastAsia="SimSun" w:hAnsi="Arial Narrow"/>
                <w:b/>
                <w:bCs/>
                <w:snapToGrid/>
                <w:sz w:val="20"/>
                <w:lang w:eastAsia="zh-CN"/>
              </w:rPr>
              <w:t>$</w:t>
            </w:r>
            <w:r w:rsidR="000039CC">
              <w:rPr>
                <w:rFonts w:ascii="Arial Narrow" w:eastAsia="SimSun" w:hAnsi="Arial Narrow"/>
                <w:b/>
                <w:bCs/>
                <w:noProof/>
                <w:snapToGrid/>
                <w:color w:val="000000"/>
                <w:sz w:val="20"/>
                <w:highlight w:val="black"/>
                <w:lang w:eastAsia="zh-CN"/>
              </w:rPr>
              <w:t>''''''''''''''</w:t>
            </w:r>
          </w:p>
        </w:tc>
        <w:tc>
          <w:tcPr>
            <w:tcW w:w="637" w:type="pct"/>
            <w:shd w:val="clear" w:color="auto" w:fill="auto"/>
            <w:vAlign w:val="center"/>
          </w:tcPr>
          <w:p w:rsidR="00F66C61" w:rsidRPr="009E008F" w:rsidRDefault="00F66C61" w:rsidP="00F66C61">
            <w:pPr>
              <w:jc w:val="center"/>
              <w:rPr>
                <w:rFonts w:ascii="Arial Narrow" w:hAnsi="Arial Narrow"/>
                <w:color w:val="000000"/>
                <w:sz w:val="20"/>
              </w:rPr>
            </w:pPr>
            <w:r w:rsidRPr="009E008F">
              <w:rPr>
                <w:rFonts w:ascii="Arial Narrow" w:eastAsia="SimSun" w:hAnsi="Arial Narrow"/>
                <w:b/>
                <w:bCs/>
                <w:snapToGrid/>
                <w:sz w:val="20"/>
                <w:lang w:eastAsia="zh-CN"/>
              </w:rPr>
              <w:t>$</w:t>
            </w:r>
            <w:r w:rsidR="000039CC">
              <w:rPr>
                <w:rFonts w:ascii="Arial Narrow" w:eastAsia="SimSun" w:hAnsi="Arial Narrow"/>
                <w:b/>
                <w:bCs/>
                <w:noProof/>
                <w:snapToGrid/>
                <w:color w:val="000000"/>
                <w:sz w:val="20"/>
                <w:highlight w:val="black"/>
                <w:lang w:eastAsia="zh-CN"/>
              </w:rPr>
              <w:t>''''''''''''''''</w:t>
            </w:r>
          </w:p>
        </w:tc>
        <w:tc>
          <w:tcPr>
            <w:tcW w:w="636" w:type="pct"/>
            <w:shd w:val="clear" w:color="auto" w:fill="auto"/>
            <w:vAlign w:val="center"/>
          </w:tcPr>
          <w:p w:rsidR="00F66C61" w:rsidRPr="009E008F" w:rsidRDefault="00F66C61" w:rsidP="00F66C61">
            <w:pPr>
              <w:jc w:val="center"/>
              <w:rPr>
                <w:rFonts w:ascii="Arial Narrow" w:hAnsi="Arial Narrow"/>
                <w:color w:val="000000"/>
                <w:sz w:val="20"/>
              </w:rPr>
            </w:pPr>
            <w:r w:rsidRPr="009E008F">
              <w:rPr>
                <w:rFonts w:ascii="Arial Narrow" w:eastAsia="SimSun" w:hAnsi="Arial Narrow"/>
                <w:b/>
                <w:bCs/>
                <w:snapToGrid/>
                <w:sz w:val="20"/>
                <w:lang w:eastAsia="zh-CN"/>
              </w:rPr>
              <w:t>$</w:t>
            </w:r>
            <w:r w:rsidR="000039CC">
              <w:rPr>
                <w:rFonts w:ascii="Arial Narrow" w:eastAsia="SimSun" w:hAnsi="Arial Narrow"/>
                <w:b/>
                <w:bCs/>
                <w:noProof/>
                <w:snapToGrid/>
                <w:color w:val="000000"/>
                <w:sz w:val="20"/>
                <w:highlight w:val="black"/>
                <w:lang w:eastAsia="zh-CN"/>
              </w:rPr>
              <w:t>''''''''''''''''</w:t>
            </w:r>
          </w:p>
        </w:tc>
        <w:tc>
          <w:tcPr>
            <w:tcW w:w="636" w:type="pct"/>
            <w:shd w:val="clear" w:color="auto" w:fill="auto"/>
            <w:vAlign w:val="center"/>
          </w:tcPr>
          <w:p w:rsidR="00F66C61" w:rsidRPr="009E008F" w:rsidRDefault="00F66C61" w:rsidP="00F66C61">
            <w:pPr>
              <w:jc w:val="center"/>
              <w:rPr>
                <w:rFonts w:ascii="Arial Narrow" w:hAnsi="Arial Narrow"/>
                <w:color w:val="000000"/>
                <w:sz w:val="20"/>
              </w:rPr>
            </w:pPr>
            <w:r w:rsidRPr="009E008F">
              <w:rPr>
                <w:rFonts w:ascii="Arial Narrow" w:eastAsia="SimSun" w:hAnsi="Arial Narrow"/>
                <w:b/>
                <w:bCs/>
                <w:snapToGrid/>
                <w:sz w:val="20"/>
                <w:lang w:eastAsia="zh-CN"/>
              </w:rPr>
              <w:t>$</w:t>
            </w:r>
            <w:r w:rsidR="000039CC">
              <w:rPr>
                <w:rFonts w:ascii="Arial Narrow" w:eastAsia="SimSun" w:hAnsi="Arial Narrow"/>
                <w:b/>
                <w:bCs/>
                <w:noProof/>
                <w:snapToGrid/>
                <w:color w:val="000000"/>
                <w:sz w:val="20"/>
                <w:highlight w:val="black"/>
                <w:lang w:eastAsia="zh-CN"/>
              </w:rPr>
              <w:t>'''''''''''''''''</w:t>
            </w:r>
          </w:p>
        </w:tc>
        <w:tc>
          <w:tcPr>
            <w:tcW w:w="637" w:type="pct"/>
            <w:vAlign w:val="center"/>
          </w:tcPr>
          <w:p w:rsidR="00F66C61" w:rsidRPr="009E008F" w:rsidRDefault="00F66C61" w:rsidP="00F66C61">
            <w:pPr>
              <w:jc w:val="center"/>
              <w:rPr>
                <w:rFonts w:ascii="Arial Narrow" w:hAnsi="Arial Narrow"/>
                <w:b/>
                <w:bCs/>
                <w:sz w:val="19"/>
                <w:szCs w:val="19"/>
              </w:rPr>
            </w:pPr>
            <w:r w:rsidRPr="009E008F">
              <w:rPr>
                <w:rFonts w:ascii="Arial Narrow" w:eastAsia="SimSun" w:hAnsi="Arial Narrow"/>
                <w:b/>
                <w:bCs/>
                <w:snapToGrid/>
                <w:sz w:val="20"/>
                <w:lang w:eastAsia="zh-CN"/>
              </w:rPr>
              <w:t>-$</w:t>
            </w:r>
            <w:r w:rsidR="000039CC">
              <w:rPr>
                <w:rFonts w:ascii="Arial Narrow" w:eastAsia="SimSun" w:hAnsi="Arial Narrow"/>
                <w:b/>
                <w:bCs/>
                <w:noProof/>
                <w:snapToGrid/>
                <w:color w:val="000000"/>
                <w:sz w:val="20"/>
                <w:highlight w:val="black"/>
                <w:lang w:eastAsia="zh-CN"/>
              </w:rPr>
              <w:t>''''''''''''''</w:t>
            </w:r>
          </w:p>
        </w:tc>
      </w:tr>
    </w:tbl>
    <w:p w:rsidR="00C25D9C" w:rsidRPr="00C27D17" w:rsidRDefault="00C25D9C" w:rsidP="00F66C61">
      <w:pPr>
        <w:pStyle w:val="TableFooter"/>
        <w:ind w:left="720"/>
        <w:rPr>
          <w:sz w:val="16"/>
          <w:szCs w:val="18"/>
        </w:rPr>
      </w:pPr>
      <w:r w:rsidRPr="00C27D17">
        <w:rPr>
          <w:vertAlign w:val="superscript"/>
        </w:rPr>
        <w:t>a</w:t>
      </w:r>
      <w:r w:rsidRPr="00C27D17">
        <w:t xml:space="preserve"> </w:t>
      </w:r>
      <w:r w:rsidR="00F66C61" w:rsidRPr="00C27D17">
        <w:t>From reduced use of infliximab</w:t>
      </w:r>
    </w:p>
    <w:p w:rsidR="00F66C61" w:rsidRDefault="00F66C61" w:rsidP="00F66C61">
      <w:pPr>
        <w:widowControl/>
        <w:shd w:val="clear" w:color="auto" w:fill="FFFFFF"/>
        <w:tabs>
          <w:tab w:val="left" w:pos="180"/>
        </w:tabs>
        <w:jc w:val="left"/>
        <w:rPr>
          <w:rFonts w:ascii="Arial Narrow" w:eastAsia="SimSun" w:hAnsi="Arial Narrow"/>
          <w:snapToGrid/>
          <w:sz w:val="18"/>
          <w:szCs w:val="18"/>
          <w:lang w:eastAsia="zh-CN"/>
        </w:rPr>
      </w:pPr>
      <w:r w:rsidRPr="00C27D17">
        <w:rPr>
          <w:rFonts w:ascii="Arial Narrow" w:eastAsia="SimSun" w:hAnsi="Arial Narrow"/>
          <w:snapToGrid/>
          <w:sz w:val="18"/>
          <w:szCs w:val="18"/>
          <w:lang w:eastAsia="zh-CN"/>
        </w:rPr>
        <w:tab/>
      </w:r>
      <w:r w:rsidRPr="00C27D17">
        <w:rPr>
          <w:rFonts w:ascii="Arial Narrow" w:eastAsia="SimSun" w:hAnsi="Arial Narrow"/>
          <w:snapToGrid/>
          <w:sz w:val="18"/>
          <w:szCs w:val="18"/>
          <w:lang w:eastAsia="zh-CN"/>
        </w:rPr>
        <w:tab/>
        <w:t>Source: Table 77, p187, table 80, p188, table 81, p190, Table 83, 84 and 85, p195 and Table 91, p 200 of the submission</w:t>
      </w:r>
    </w:p>
    <w:p w:rsidR="001A43A2" w:rsidRDefault="001A43A2" w:rsidP="00F66C61">
      <w:pPr>
        <w:widowControl/>
        <w:shd w:val="clear" w:color="auto" w:fill="FFFFFF"/>
        <w:tabs>
          <w:tab w:val="left" w:pos="180"/>
        </w:tabs>
        <w:jc w:val="left"/>
        <w:rPr>
          <w:rFonts w:ascii="Arial Narrow" w:eastAsia="SimSun" w:hAnsi="Arial Narrow"/>
          <w:snapToGrid/>
          <w:sz w:val="18"/>
          <w:szCs w:val="18"/>
          <w:lang w:eastAsia="zh-CN"/>
        </w:rPr>
      </w:pPr>
    </w:p>
    <w:p w:rsidR="001A43A2" w:rsidRPr="00283107" w:rsidRDefault="001A43A2" w:rsidP="001A43A2">
      <w:pPr>
        <w:pStyle w:val="TableFooter"/>
        <w:keepNext/>
        <w:widowControl/>
        <w:ind w:left="720"/>
        <w:rPr>
          <w:rFonts w:ascii="Arial" w:hAnsi="Arial"/>
          <w:iCs/>
          <w:sz w:val="22"/>
        </w:rPr>
      </w:pPr>
      <w:r w:rsidRPr="00283107">
        <w:rPr>
          <w:rFonts w:ascii="Arial" w:hAnsi="Arial"/>
          <w:iCs/>
          <w:sz w:val="22"/>
        </w:rPr>
        <w:t>The redacted table above shows that at year 6, the estimated number of scripts was 10,000 – 50,000 and the net savings to PBS would be less than $10 million.</w:t>
      </w:r>
    </w:p>
    <w:p w:rsidR="001A43A2" w:rsidRPr="00BA3352" w:rsidRDefault="001A43A2" w:rsidP="001A43A2">
      <w:pPr>
        <w:widowControl/>
        <w:rPr>
          <w:szCs w:val="22"/>
        </w:rPr>
      </w:pPr>
    </w:p>
    <w:p w:rsidR="00170477" w:rsidRPr="00BA1CC2" w:rsidRDefault="00170477" w:rsidP="00170477">
      <w:pPr>
        <w:pStyle w:val="ListParagraph"/>
        <w:widowControl/>
        <w:numPr>
          <w:ilvl w:val="1"/>
          <w:numId w:val="7"/>
        </w:numPr>
        <w:rPr>
          <w:szCs w:val="22"/>
        </w:rPr>
      </w:pPr>
      <w:r w:rsidRPr="00BA1CC2">
        <w:rPr>
          <w:rFonts w:eastAsia="SimSun"/>
          <w:iCs/>
          <w:snapToGrid/>
          <w:szCs w:val="18"/>
          <w:lang w:eastAsia="zh-CN"/>
        </w:rPr>
        <w:t>The submission’s estimate of the number of prescriptions/year of secukinumab for psoriatic arthritis (and change in adalimumab, etanercept, golimumab, infliximab and certolizumab</w:t>
      </w:r>
      <w:r w:rsidR="00CE4A2B" w:rsidRPr="00BA1CC2">
        <w:rPr>
          <w:rFonts w:eastAsia="SimSun"/>
          <w:iCs/>
          <w:snapToGrid/>
          <w:szCs w:val="18"/>
          <w:lang w:eastAsia="zh-CN"/>
        </w:rPr>
        <w:t xml:space="preserve"> pegol</w:t>
      </w:r>
      <w:r w:rsidRPr="00BA1CC2">
        <w:rPr>
          <w:rFonts w:eastAsia="SimSun"/>
          <w:iCs/>
          <w:snapToGrid/>
          <w:szCs w:val="18"/>
          <w:lang w:eastAsia="zh-CN"/>
        </w:rPr>
        <w:t xml:space="preserve">) is </w:t>
      </w:r>
      <w:r w:rsidRPr="00BA1CC2">
        <w:rPr>
          <w:rFonts w:eastAsia="SimSun"/>
          <w:iCs/>
          <w:snapToGrid/>
          <w:lang w:eastAsia="zh-CN"/>
        </w:rPr>
        <w:t>based on:</w:t>
      </w:r>
    </w:p>
    <w:p w:rsidR="00170477" w:rsidRPr="00BA1CC2" w:rsidRDefault="00170477" w:rsidP="00170477">
      <w:pPr>
        <w:pStyle w:val="ListParagraph"/>
        <w:numPr>
          <w:ilvl w:val="0"/>
          <w:numId w:val="20"/>
        </w:numPr>
        <w:rPr>
          <w:rFonts w:eastAsia="SimSun"/>
          <w:iCs/>
          <w:snapToGrid/>
          <w:lang w:eastAsia="zh-CN"/>
        </w:rPr>
      </w:pPr>
      <w:r w:rsidRPr="00BA1CC2">
        <w:rPr>
          <w:rFonts w:eastAsia="SimSun"/>
          <w:iCs/>
          <w:snapToGrid/>
          <w:lang w:eastAsia="zh-CN"/>
        </w:rPr>
        <w:t>A declining market growth from 17% annually to 10% annually at year 6 of listing, which may not be reasonable based on the PBAC’s consideration of the DUSC report in November 2015, in which it has stated that “the use of biological disease-modifying anti-rheumatic drugs (bDMARDs) to treat psoriatic arthritis was increasing with no indication of a slowing in the growth of this market.”;</w:t>
      </w:r>
      <w:r w:rsidR="001A3953" w:rsidRPr="00BA1CC2">
        <w:rPr>
          <w:rFonts w:eastAsia="SimSun"/>
          <w:iCs/>
          <w:snapToGrid/>
          <w:lang w:eastAsia="zh-CN"/>
        </w:rPr>
        <w:t xml:space="preserve"> The ESC noted that the PSCR highlighted Medicare data provided with submission, </w:t>
      </w:r>
      <w:r w:rsidR="001A3953" w:rsidRPr="00BA1CC2">
        <w:rPr>
          <w:rFonts w:eastAsia="SimSun"/>
          <w:iCs/>
          <w:snapToGrid/>
          <w:lang w:eastAsia="zh-CN"/>
        </w:rPr>
        <w:lastRenderedPageBreak/>
        <w:t>indicating a 28% to 17% decline from 2011/12 through 2014/15.  The PSCR stated that these data supported the submission’s original assumptions.  The ESC considered this to be reasonable</w:t>
      </w:r>
      <w:r w:rsidR="00387B32">
        <w:rPr>
          <w:rFonts w:eastAsia="SimSun"/>
          <w:iCs/>
          <w:snapToGrid/>
          <w:lang w:eastAsia="zh-CN"/>
        </w:rPr>
        <w:t>.</w:t>
      </w:r>
    </w:p>
    <w:p w:rsidR="00170477" w:rsidRPr="00BA1CC2" w:rsidRDefault="00170477" w:rsidP="00170477">
      <w:pPr>
        <w:pStyle w:val="ListParagraph"/>
        <w:numPr>
          <w:ilvl w:val="0"/>
          <w:numId w:val="20"/>
        </w:numPr>
        <w:rPr>
          <w:rFonts w:eastAsia="SimSun"/>
          <w:iCs/>
          <w:snapToGrid/>
          <w:lang w:eastAsia="zh-CN"/>
        </w:rPr>
      </w:pPr>
      <w:r w:rsidRPr="00BA1CC2">
        <w:rPr>
          <w:rFonts w:eastAsia="SimSun"/>
          <w:iCs/>
          <w:snapToGrid/>
          <w:lang w:eastAsia="zh-CN"/>
        </w:rPr>
        <w:t>PBS listing for secukinumab occurr</w:t>
      </w:r>
      <w:r w:rsidR="00983922" w:rsidRPr="00BA1CC2">
        <w:rPr>
          <w:rFonts w:eastAsia="SimSun"/>
          <w:iCs/>
          <w:snapToGrid/>
          <w:lang w:eastAsia="zh-CN"/>
        </w:rPr>
        <w:t>ing in the financial year 2015/2</w:t>
      </w:r>
      <w:r w:rsidRPr="00BA1CC2">
        <w:rPr>
          <w:rFonts w:eastAsia="SimSun"/>
          <w:iCs/>
          <w:snapToGrid/>
          <w:lang w:eastAsia="zh-CN"/>
        </w:rPr>
        <w:t>016.  This is not reasonable as PBS listing will only occur in the financial year 2016/2017;</w:t>
      </w:r>
    </w:p>
    <w:p w:rsidR="00170477" w:rsidRPr="00BA1CC2" w:rsidRDefault="00170477" w:rsidP="00170477">
      <w:pPr>
        <w:pStyle w:val="ListParagraph"/>
        <w:numPr>
          <w:ilvl w:val="0"/>
          <w:numId w:val="20"/>
        </w:numPr>
        <w:rPr>
          <w:rFonts w:eastAsia="SimSun"/>
          <w:iCs/>
          <w:snapToGrid/>
          <w:lang w:eastAsia="zh-CN"/>
        </w:rPr>
      </w:pPr>
      <w:r w:rsidRPr="00BA1CC2">
        <w:rPr>
          <w:rFonts w:eastAsia="SimSun"/>
          <w:iCs/>
          <w:snapToGrid/>
          <w:lang w:eastAsia="zh-CN"/>
        </w:rPr>
        <w:t>Secukinumab market share of 5% ,9%,</w:t>
      </w:r>
      <w:r w:rsidR="00942B83" w:rsidRPr="00BA1CC2">
        <w:rPr>
          <w:rFonts w:eastAsia="SimSun"/>
          <w:iCs/>
          <w:snapToGrid/>
          <w:lang w:eastAsia="zh-CN"/>
        </w:rPr>
        <w:t xml:space="preserve"> </w:t>
      </w:r>
      <w:r w:rsidRPr="00BA1CC2">
        <w:rPr>
          <w:rFonts w:eastAsia="SimSun"/>
          <w:iCs/>
          <w:snapToGrid/>
          <w:lang w:eastAsia="zh-CN"/>
        </w:rPr>
        <w:t>11%, 13%, 14%, and 15% in the first 6 years respectively, with a plateau in the number of patients initiating therapy at Year 5 which is not justified given the continued market growth</w:t>
      </w:r>
      <w:r w:rsidR="009C77B2">
        <w:rPr>
          <w:rFonts w:eastAsia="SimSun"/>
          <w:iCs/>
          <w:snapToGrid/>
          <w:lang w:eastAsia="zh-CN"/>
        </w:rPr>
        <w:t xml:space="preserve"> and in light of secukinu</w:t>
      </w:r>
      <w:r w:rsidR="001A3953" w:rsidRPr="00BA1CC2">
        <w:rPr>
          <w:rFonts w:eastAsia="SimSun"/>
          <w:iCs/>
          <w:snapToGrid/>
          <w:lang w:eastAsia="zh-CN"/>
        </w:rPr>
        <w:t>mab’s alternate mechanism of action and different safety profile to other bDMARDs</w:t>
      </w:r>
      <w:r w:rsidRPr="00BA1CC2">
        <w:rPr>
          <w:rFonts w:eastAsia="SimSun"/>
          <w:iCs/>
          <w:snapToGrid/>
          <w:lang w:eastAsia="zh-CN"/>
        </w:rPr>
        <w:t>;</w:t>
      </w:r>
    </w:p>
    <w:p w:rsidR="00170477" w:rsidRPr="00BA1CC2" w:rsidRDefault="00170477" w:rsidP="00170477">
      <w:pPr>
        <w:pStyle w:val="ListParagraph"/>
        <w:numPr>
          <w:ilvl w:val="0"/>
          <w:numId w:val="20"/>
        </w:numPr>
        <w:rPr>
          <w:rFonts w:eastAsia="SimSun"/>
          <w:iCs/>
          <w:snapToGrid/>
          <w:lang w:eastAsia="zh-CN"/>
        </w:rPr>
      </w:pPr>
      <w:r w:rsidRPr="00BA1CC2">
        <w:rPr>
          <w:rFonts w:eastAsia="SimSun"/>
          <w:iCs/>
          <w:snapToGrid/>
          <w:lang w:eastAsia="zh-CN"/>
        </w:rPr>
        <w:t xml:space="preserve">Assumptions that secukinumab replaces 50% </w:t>
      </w:r>
      <w:r w:rsidR="004F4CEF" w:rsidRPr="00BA1CC2">
        <w:rPr>
          <w:rFonts w:eastAsia="SimSun"/>
          <w:iCs/>
          <w:snapToGrid/>
          <w:lang w:eastAsia="zh-CN"/>
        </w:rPr>
        <w:t xml:space="preserve">of </w:t>
      </w:r>
      <w:r w:rsidRPr="00BA1CC2">
        <w:rPr>
          <w:rFonts w:eastAsia="SimSun"/>
          <w:iCs/>
          <w:snapToGrid/>
          <w:lang w:eastAsia="zh-CN"/>
        </w:rPr>
        <w:t>newer agents (golimumab 40%; certolizumab 10%) and 50% established agents (adalimumab 25%; etanercept 23%; infliximab 2%).  This is not entirely reasonable because the market share rates have not been adequately justified given the financial implications are sensitive to this assumption; and</w:t>
      </w:r>
    </w:p>
    <w:p w:rsidR="00170477" w:rsidRPr="00BA1CC2" w:rsidRDefault="00170477" w:rsidP="00170477">
      <w:pPr>
        <w:pStyle w:val="ListParagraph"/>
        <w:numPr>
          <w:ilvl w:val="0"/>
          <w:numId w:val="20"/>
        </w:numPr>
        <w:rPr>
          <w:rFonts w:eastAsia="SimSun"/>
          <w:iCs/>
          <w:snapToGrid/>
          <w:lang w:eastAsia="zh-CN"/>
        </w:rPr>
      </w:pPr>
      <w:r w:rsidRPr="00BA1CC2">
        <w:rPr>
          <w:rFonts w:eastAsia="SimSun"/>
          <w:iCs/>
          <w:snapToGrid/>
          <w:lang w:eastAsia="zh-CN"/>
        </w:rPr>
        <w:t xml:space="preserve">In </w:t>
      </w:r>
      <w:r w:rsidR="004F4CEF" w:rsidRPr="00BA1CC2">
        <w:rPr>
          <w:rFonts w:eastAsia="SimSun"/>
          <w:iCs/>
          <w:snapToGrid/>
          <w:lang w:eastAsia="zh-CN"/>
        </w:rPr>
        <w:t xml:space="preserve">the </w:t>
      </w:r>
      <w:r w:rsidRPr="00BA1CC2">
        <w:rPr>
          <w:rFonts w:eastAsia="SimSun"/>
          <w:iCs/>
          <w:snapToGrid/>
          <w:lang w:eastAsia="zh-CN"/>
        </w:rPr>
        <w:t xml:space="preserve">maintenance phase, 12 packs of secukinumab replaces 13 packs of </w:t>
      </w:r>
      <w:r w:rsidRPr="00BA1CC2">
        <w:rPr>
          <w:rFonts w:eastAsia="SimSun"/>
          <w:iCs/>
          <w:snapToGrid/>
          <w:szCs w:val="18"/>
          <w:lang w:eastAsia="zh-CN"/>
        </w:rPr>
        <w:t>adalimumab, etanercept and certolizumab</w:t>
      </w:r>
      <w:r w:rsidRPr="00BA1CC2">
        <w:rPr>
          <w:rFonts w:eastAsia="SimSun"/>
          <w:iCs/>
          <w:snapToGrid/>
          <w:lang w:eastAsia="zh-CN"/>
        </w:rPr>
        <w:t xml:space="preserve">.  One pack of secukinumab replaces one pack of golimumab.  This may not be reasonable as the pivotal FUTURE 2 trial has maintenance dosing of once every 4 weeks, equivalent to 13 packs per patient per year.  The financial implications are also very sensitive to this variable. </w:t>
      </w:r>
      <w:r w:rsidR="001A3953" w:rsidRPr="00BA1CC2">
        <w:rPr>
          <w:rFonts w:eastAsia="SimSun"/>
          <w:iCs/>
          <w:snapToGrid/>
          <w:lang w:eastAsia="zh-CN"/>
        </w:rPr>
        <w:t xml:space="preserve"> The PCSR claimed that prescribers would be likely guided by the monthly dosing, rather than four-weekly, as specified in the approved Product Information (PI).</w:t>
      </w:r>
    </w:p>
    <w:p w:rsidR="00170477" w:rsidRPr="00BA1CC2" w:rsidRDefault="00170477" w:rsidP="00170477">
      <w:pPr>
        <w:ind w:left="720"/>
        <w:rPr>
          <w:rFonts w:eastAsia="SimSun"/>
          <w:iCs/>
          <w:snapToGrid/>
          <w:lang w:eastAsia="zh-CN"/>
        </w:rPr>
      </w:pPr>
      <w:r w:rsidRPr="00BA1CC2">
        <w:rPr>
          <w:rFonts w:eastAsia="SimSun"/>
          <w:iCs/>
          <w:snapToGrid/>
          <w:lang w:eastAsia="zh-CN"/>
        </w:rPr>
        <w:t>All these issues are likely to lead to an underestimate of the overall number of scripts of secukinumab dispensed and therefore underestimate the financial impact of listing secukinumab for psoriatic arthritis.  Further, it is unclear what the impact of the positive recommendation for listing of ustekinumab for psoriatic arthritis on the PBS would be on the uptake and usage rate of secukinumab.</w:t>
      </w:r>
    </w:p>
    <w:p w:rsidR="00170477" w:rsidRPr="00BA1CC2" w:rsidRDefault="00170477" w:rsidP="00170477">
      <w:pPr>
        <w:ind w:left="720"/>
        <w:rPr>
          <w:rFonts w:eastAsia="SimSun"/>
          <w:iCs/>
          <w:snapToGrid/>
          <w:lang w:eastAsia="zh-CN"/>
        </w:rPr>
      </w:pPr>
    </w:p>
    <w:p w:rsidR="00170477" w:rsidRPr="00BA1CC2" w:rsidRDefault="00170477" w:rsidP="00D57D56">
      <w:pPr>
        <w:pStyle w:val="ListParagraph"/>
        <w:widowControl/>
        <w:numPr>
          <w:ilvl w:val="1"/>
          <w:numId w:val="7"/>
        </w:numPr>
        <w:rPr>
          <w:szCs w:val="22"/>
        </w:rPr>
      </w:pPr>
      <w:r w:rsidRPr="00BA1CC2">
        <w:rPr>
          <w:szCs w:val="22"/>
        </w:rPr>
        <w:t xml:space="preserve">Sensitivity </w:t>
      </w:r>
      <w:r w:rsidR="00890B63" w:rsidRPr="00BA1CC2">
        <w:rPr>
          <w:szCs w:val="22"/>
        </w:rPr>
        <w:t xml:space="preserve">analyses </w:t>
      </w:r>
      <w:r w:rsidRPr="00BA1CC2">
        <w:rPr>
          <w:szCs w:val="22"/>
        </w:rPr>
        <w:t>around the financial estimates show</w:t>
      </w:r>
      <w:r w:rsidR="0096682D" w:rsidRPr="00BA1CC2">
        <w:rPr>
          <w:szCs w:val="22"/>
        </w:rPr>
        <w:t>ed</w:t>
      </w:r>
      <w:r w:rsidRPr="00BA1CC2">
        <w:rPr>
          <w:szCs w:val="22"/>
        </w:rPr>
        <w:t xml:space="preserve"> that the estimates are most sensitive to assumptions around the secukinumab maintenance dosing regimen and relative market share from amongst the bDMARDs.  The assumption of 12 script per year (as per PI</w:t>
      </w:r>
      <w:r w:rsidR="00D57D56" w:rsidRPr="00BA1CC2">
        <w:rPr>
          <w:szCs w:val="22"/>
        </w:rPr>
        <w:t xml:space="preserve"> and in the base case</w:t>
      </w:r>
      <w:r w:rsidRPr="00BA1CC2">
        <w:rPr>
          <w:szCs w:val="22"/>
        </w:rPr>
        <w:t>) compared to 13 scripts per ye</w:t>
      </w:r>
      <w:r w:rsidR="0096682D" w:rsidRPr="00BA1CC2">
        <w:rPr>
          <w:szCs w:val="22"/>
        </w:rPr>
        <w:t>ar (as per FUTURE2 dosing) led</w:t>
      </w:r>
      <w:r w:rsidRPr="00BA1CC2">
        <w:rPr>
          <w:szCs w:val="22"/>
        </w:rPr>
        <w:t xml:space="preserve"> to a</w:t>
      </w:r>
      <w:r w:rsidR="00D57D56" w:rsidRPr="00BA1CC2">
        <w:rPr>
          <w:szCs w:val="22"/>
        </w:rPr>
        <w:t xml:space="preserve"> lower overall cost of secukinumab to the budget</w:t>
      </w:r>
      <w:r w:rsidRPr="00BA1CC2">
        <w:rPr>
          <w:szCs w:val="22"/>
        </w:rPr>
        <w:t xml:space="preserve">.  </w:t>
      </w:r>
      <w:r w:rsidR="00F77842" w:rsidRPr="00BA1CC2">
        <w:rPr>
          <w:rFonts w:eastAsia="SimSun"/>
          <w:iCs/>
          <w:snapToGrid/>
          <w:lang w:eastAsia="zh-CN"/>
        </w:rPr>
        <w:t xml:space="preserve">Assuming 13 scripts per year of secukinumab used for continuation therapy changes the estimates from a net saving in the base case to a net cost of </w:t>
      </w:r>
      <w:r w:rsidR="008046F7">
        <w:rPr>
          <w:rFonts w:eastAsia="SimSun"/>
          <w:iCs/>
          <w:snapToGrid/>
          <w:lang w:eastAsia="zh-CN"/>
        </w:rPr>
        <w:t xml:space="preserve">less than $10 </w:t>
      </w:r>
      <w:r w:rsidR="00CA7493">
        <w:rPr>
          <w:rFonts w:eastAsia="SimSun"/>
          <w:iCs/>
          <w:snapToGrid/>
          <w:lang w:eastAsia="zh-CN"/>
        </w:rPr>
        <w:t>million at year 6 of listing.</w:t>
      </w:r>
    </w:p>
    <w:p w:rsidR="00AA1AF8" w:rsidRPr="00CA6B3B" w:rsidRDefault="00AA1AF8" w:rsidP="00AA1AF8">
      <w:pPr>
        <w:widowControl/>
        <w:rPr>
          <w:szCs w:val="22"/>
        </w:rPr>
      </w:pPr>
    </w:p>
    <w:p w:rsidR="00AA1AF8" w:rsidRPr="00BA1CC2" w:rsidRDefault="00AA1AF8" w:rsidP="00CA6B3B">
      <w:pPr>
        <w:widowControl/>
        <w:jc w:val="left"/>
        <w:rPr>
          <w:b/>
          <w:i/>
          <w:szCs w:val="22"/>
        </w:rPr>
      </w:pPr>
      <w:bookmarkStart w:id="15" w:name="_Toc439846076"/>
      <w:bookmarkStart w:id="16" w:name="_Toc441048478"/>
      <w:r w:rsidRPr="00BA1CC2">
        <w:rPr>
          <w:b/>
          <w:i/>
        </w:rPr>
        <w:t>Financial Management – Risk Sharing Arrangements</w:t>
      </w:r>
      <w:bookmarkEnd w:id="15"/>
      <w:bookmarkEnd w:id="16"/>
    </w:p>
    <w:p w:rsidR="00AA1AF8" w:rsidRPr="00C27D17" w:rsidRDefault="00AA1AF8" w:rsidP="00AA1AF8">
      <w:pPr>
        <w:widowControl/>
        <w:rPr>
          <w:szCs w:val="22"/>
        </w:rPr>
      </w:pPr>
    </w:p>
    <w:p w:rsidR="00AA1AF8" w:rsidRPr="00C27D17" w:rsidRDefault="00AA1AF8" w:rsidP="00CE0276">
      <w:pPr>
        <w:pStyle w:val="ListParagraph"/>
        <w:widowControl/>
        <w:numPr>
          <w:ilvl w:val="1"/>
          <w:numId w:val="7"/>
        </w:numPr>
        <w:rPr>
          <w:szCs w:val="22"/>
        </w:rPr>
      </w:pPr>
      <w:r w:rsidRPr="00C27D17">
        <w:t>The sponsor propose</w:t>
      </w:r>
      <w:r w:rsidR="008F38DF" w:rsidRPr="00C27D17">
        <w:t>d</w:t>
      </w:r>
      <w:r w:rsidRPr="00C27D17">
        <w:t xml:space="preserve"> a risk-sha</w:t>
      </w:r>
      <w:r w:rsidR="00340D93" w:rsidRPr="00C27D17">
        <w:t>re arrangement, where a rebate wa</w:t>
      </w:r>
      <w:r w:rsidRPr="00C27D17">
        <w:t>s proposed for patients treated with the 30</w:t>
      </w:r>
      <w:r w:rsidR="00992EE2">
        <w:t>0 mg</w:t>
      </w:r>
      <w:r w:rsidRPr="00C27D17">
        <w:t xml:space="preserve"> dose such that the price paid for the 30</w:t>
      </w:r>
      <w:r w:rsidR="00992EE2">
        <w:t>0 mg</w:t>
      </w:r>
      <w:r w:rsidRPr="00C27D17">
        <w:t xml:space="preserve"> dose by the Commonwealth would be the same as the 15</w:t>
      </w:r>
      <w:r w:rsidR="00992EE2">
        <w:t>0 mg</w:t>
      </w:r>
      <w:r w:rsidRPr="00C27D17">
        <w:t xml:space="preserve"> dose.  However, the sponsor state</w:t>
      </w:r>
      <w:r w:rsidR="00CE0276" w:rsidRPr="00C27D17">
        <w:t>d</w:t>
      </w:r>
      <w:r w:rsidRPr="00C27D17">
        <w:t xml:space="preserve"> that it cannot propose a pricing arrangement until the details of the PBAC recommendations for the psoriatic arthritis and ankylosing spondylitis indications are known.</w:t>
      </w:r>
    </w:p>
    <w:p w:rsidR="003739A8" w:rsidRDefault="003739A8" w:rsidP="003739A8">
      <w:pPr>
        <w:widowControl/>
        <w:rPr>
          <w:szCs w:val="22"/>
        </w:rPr>
      </w:pPr>
    </w:p>
    <w:p w:rsidR="00387B32" w:rsidRPr="007D02D3" w:rsidRDefault="003739A8" w:rsidP="007D02D3">
      <w:pPr>
        <w:pStyle w:val="ListParagraph"/>
        <w:ind w:left="709"/>
        <w:rPr>
          <w:i/>
          <w:szCs w:val="22"/>
        </w:rPr>
      </w:pPr>
      <w:r w:rsidRPr="00AF318D">
        <w:rPr>
          <w:i/>
          <w:szCs w:val="22"/>
        </w:rPr>
        <w:t>For more detail on PBAC’s view, see section 7 “PBAC outcome”</w:t>
      </w:r>
      <w:r w:rsidR="00387B32">
        <w:rPr>
          <w:bCs/>
          <w:szCs w:val="22"/>
        </w:rPr>
        <w:br w:type="page"/>
      </w:r>
    </w:p>
    <w:p w:rsidR="003739A8" w:rsidRPr="00AF318D" w:rsidRDefault="003739A8" w:rsidP="00E6165E">
      <w:pPr>
        <w:pStyle w:val="PBACHeading1"/>
        <w:rPr>
          <w:b w:val="0"/>
          <w:bCs/>
        </w:rPr>
      </w:pPr>
      <w:r w:rsidRPr="00AF318D">
        <w:rPr>
          <w:bCs/>
        </w:rPr>
        <w:lastRenderedPageBreak/>
        <w:t>PBAC Outcome</w:t>
      </w:r>
    </w:p>
    <w:p w:rsidR="003739A8" w:rsidRPr="006C307E" w:rsidRDefault="003739A8" w:rsidP="003739A8">
      <w:pPr>
        <w:contextualSpacing/>
        <w:rPr>
          <w:b/>
          <w:bCs/>
          <w:szCs w:val="22"/>
          <w:highlight w:val="yellow"/>
          <w:lang w:val="en-GB"/>
        </w:rPr>
      </w:pPr>
    </w:p>
    <w:p w:rsidR="00E9267F" w:rsidRPr="00E9267F" w:rsidRDefault="00E70803" w:rsidP="006361C1">
      <w:pPr>
        <w:pStyle w:val="ListParagraph"/>
        <w:widowControl/>
        <w:numPr>
          <w:ilvl w:val="1"/>
          <w:numId w:val="7"/>
        </w:numPr>
        <w:rPr>
          <w:szCs w:val="22"/>
        </w:rPr>
      </w:pPr>
      <w:r w:rsidRPr="00347932">
        <w:rPr>
          <w:bCs/>
          <w:szCs w:val="22"/>
          <w:lang w:val="en-GB"/>
        </w:rPr>
        <w:t xml:space="preserve">The PBAC recommended </w:t>
      </w:r>
      <w:r w:rsidR="006A3188">
        <w:rPr>
          <w:bCs/>
          <w:szCs w:val="22"/>
          <w:lang w:val="en-GB"/>
        </w:rPr>
        <w:t>General Schedule</w:t>
      </w:r>
      <w:r w:rsidRPr="00347932">
        <w:rPr>
          <w:bCs/>
          <w:szCs w:val="22"/>
          <w:lang w:val="en-GB"/>
        </w:rPr>
        <w:t xml:space="preserve"> Authority Required listing of </w:t>
      </w:r>
      <w:r>
        <w:rPr>
          <w:bCs/>
          <w:szCs w:val="22"/>
          <w:lang w:val="en-GB"/>
        </w:rPr>
        <w:t xml:space="preserve">secukinumab </w:t>
      </w:r>
      <w:r w:rsidRPr="00347932">
        <w:rPr>
          <w:bCs/>
          <w:szCs w:val="22"/>
          <w:lang w:val="en-GB"/>
        </w:rPr>
        <w:t>for the</w:t>
      </w:r>
      <w:r>
        <w:rPr>
          <w:bCs/>
          <w:szCs w:val="22"/>
          <w:lang w:val="en-GB"/>
        </w:rPr>
        <w:t xml:space="preserve"> treatment of </w:t>
      </w:r>
      <w:r w:rsidR="00BC4792">
        <w:rPr>
          <w:bCs/>
          <w:szCs w:val="22"/>
          <w:lang w:val="en-GB"/>
        </w:rPr>
        <w:t>severe active psoriatic arthritis</w:t>
      </w:r>
      <w:r w:rsidRPr="00347932">
        <w:rPr>
          <w:bCs/>
          <w:szCs w:val="22"/>
          <w:lang w:val="en-GB"/>
        </w:rPr>
        <w:t xml:space="preserve"> on a cost-minimisation basis with </w:t>
      </w:r>
      <w:r>
        <w:rPr>
          <w:bCs/>
          <w:szCs w:val="22"/>
          <w:lang w:val="en-GB"/>
        </w:rPr>
        <w:t xml:space="preserve">certolizumab </w:t>
      </w:r>
      <w:r w:rsidR="00AE1C4C">
        <w:rPr>
          <w:bCs/>
          <w:szCs w:val="22"/>
          <w:lang w:val="en-GB"/>
        </w:rPr>
        <w:t xml:space="preserve">pegol </w:t>
      </w:r>
      <w:r>
        <w:rPr>
          <w:bCs/>
          <w:szCs w:val="22"/>
          <w:lang w:val="en-GB"/>
        </w:rPr>
        <w:t>and ustekinumab.</w:t>
      </w:r>
      <w:r w:rsidR="0019038D">
        <w:rPr>
          <w:bCs/>
          <w:szCs w:val="22"/>
          <w:lang w:val="en-GB"/>
        </w:rPr>
        <w:t xml:space="preserve"> </w:t>
      </w:r>
      <w:r w:rsidR="0057172D">
        <w:rPr>
          <w:bCs/>
          <w:szCs w:val="22"/>
          <w:lang w:val="en-GB"/>
        </w:rPr>
        <w:t xml:space="preserve"> </w:t>
      </w:r>
      <w:r w:rsidR="0057172D">
        <w:rPr>
          <w:szCs w:val="22"/>
        </w:rPr>
        <w:t xml:space="preserve">The PBAC considered that any </w:t>
      </w:r>
      <w:r w:rsidR="0057172D" w:rsidRPr="00BE74F3">
        <w:rPr>
          <w:szCs w:val="22"/>
        </w:rPr>
        <w:t>biological disea</w:t>
      </w:r>
      <w:r w:rsidR="0057172D">
        <w:rPr>
          <w:szCs w:val="22"/>
        </w:rPr>
        <w:t>se modifying antirheumatic drug (bDMARD</w:t>
      </w:r>
      <w:r w:rsidR="0057172D" w:rsidRPr="00BE74F3">
        <w:rPr>
          <w:szCs w:val="22"/>
        </w:rPr>
        <w:t>)</w:t>
      </w:r>
      <w:r w:rsidR="0057172D" w:rsidRPr="001F7380">
        <w:rPr>
          <w:bCs/>
          <w:szCs w:val="22"/>
          <w:lang w:val="en-GB"/>
        </w:rPr>
        <w:t xml:space="preserve"> </w:t>
      </w:r>
      <w:r w:rsidR="0057172D">
        <w:rPr>
          <w:bCs/>
          <w:szCs w:val="22"/>
          <w:lang w:val="en-GB"/>
        </w:rPr>
        <w:t xml:space="preserve">listed </w:t>
      </w:r>
      <w:r w:rsidR="004B1346">
        <w:rPr>
          <w:bCs/>
          <w:szCs w:val="22"/>
          <w:lang w:val="en-GB"/>
        </w:rPr>
        <w:t>on</w:t>
      </w:r>
      <w:r w:rsidR="0057172D">
        <w:rPr>
          <w:bCs/>
          <w:szCs w:val="22"/>
          <w:lang w:val="en-GB"/>
        </w:rPr>
        <w:t xml:space="preserve"> the PBS for psoriatic arthritis could be</w:t>
      </w:r>
      <w:r w:rsidR="0057172D" w:rsidRPr="001F7380">
        <w:rPr>
          <w:bCs/>
          <w:szCs w:val="22"/>
          <w:lang w:val="en-GB"/>
        </w:rPr>
        <w:t xml:space="preserve"> </w:t>
      </w:r>
      <w:r w:rsidR="0057172D">
        <w:rPr>
          <w:bCs/>
          <w:szCs w:val="22"/>
          <w:lang w:val="en-GB"/>
        </w:rPr>
        <w:t>an appropriate comparator</w:t>
      </w:r>
      <w:r w:rsidR="0057172D" w:rsidRPr="001F7380">
        <w:rPr>
          <w:bCs/>
          <w:szCs w:val="22"/>
          <w:lang w:val="en-GB"/>
        </w:rPr>
        <w:t xml:space="preserve"> and noted that </w:t>
      </w:r>
      <w:r w:rsidR="0057172D">
        <w:rPr>
          <w:bCs/>
          <w:szCs w:val="22"/>
          <w:lang w:val="en-GB"/>
        </w:rPr>
        <w:t>certolizumab pegol or ustekinumab</w:t>
      </w:r>
      <w:r w:rsidR="0057172D" w:rsidRPr="001F7380">
        <w:rPr>
          <w:bCs/>
          <w:szCs w:val="22"/>
          <w:lang w:val="en-GB"/>
        </w:rPr>
        <w:t xml:space="preserve"> </w:t>
      </w:r>
      <w:r w:rsidR="0057172D">
        <w:rPr>
          <w:bCs/>
          <w:szCs w:val="22"/>
          <w:lang w:val="en-GB"/>
        </w:rPr>
        <w:t>had the lowest cost of these comparators</w:t>
      </w:r>
      <w:r w:rsidR="0057172D" w:rsidRPr="001F7380">
        <w:rPr>
          <w:bCs/>
          <w:szCs w:val="22"/>
          <w:lang w:val="en-GB"/>
        </w:rPr>
        <w:t xml:space="preserve">. </w:t>
      </w:r>
      <w:r w:rsidR="0057172D">
        <w:rPr>
          <w:bCs/>
          <w:szCs w:val="22"/>
          <w:lang w:val="en-GB"/>
        </w:rPr>
        <w:t xml:space="preserve"> </w:t>
      </w:r>
      <w:r w:rsidR="0057172D" w:rsidRPr="001F7380">
        <w:rPr>
          <w:bCs/>
          <w:szCs w:val="22"/>
          <w:lang w:val="en-GB"/>
        </w:rPr>
        <w:t xml:space="preserve">Based on the </w:t>
      </w:r>
      <w:r w:rsidR="0057172D">
        <w:rPr>
          <w:bCs/>
          <w:szCs w:val="22"/>
          <w:lang w:val="en-GB"/>
        </w:rPr>
        <w:t xml:space="preserve">available </w:t>
      </w:r>
      <w:r w:rsidR="0057172D" w:rsidRPr="001F7380">
        <w:rPr>
          <w:bCs/>
          <w:szCs w:val="22"/>
          <w:lang w:val="en-GB"/>
        </w:rPr>
        <w:t>evide</w:t>
      </w:r>
      <w:r w:rsidR="0057172D">
        <w:rPr>
          <w:bCs/>
          <w:szCs w:val="22"/>
          <w:lang w:val="en-GB"/>
        </w:rPr>
        <w:t>nce</w:t>
      </w:r>
      <w:r w:rsidR="0057172D" w:rsidRPr="001F7380">
        <w:rPr>
          <w:bCs/>
          <w:szCs w:val="22"/>
          <w:lang w:val="en-GB"/>
        </w:rPr>
        <w:t xml:space="preserve">, the PBAC was not satisfied that </w:t>
      </w:r>
      <w:r w:rsidR="0057172D" w:rsidRPr="0010502E">
        <w:rPr>
          <w:bCs/>
          <w:szCs w:val="22"/>
          <w:lang w:val="en-GB"/>
        </w:rPr>
        <w:t xml:space="preserve">secukinumab </w:t>
      </w:r>
      <w:r w:rsidR="0057172D" w:rsidRPr="001F7380">
        <w:rPr>
          <w:bCs/>
          <w:szCs w:val="22"/>
          <w:lang w:val="en-GB"/>
        </w:rPr>
        <w:t xml:space="preserve">provides a significant improvement in efficacy or reduction of toxicity over </w:t>
      </w:r>
      <w:r w:rsidR="0057172D">
        <w:rPr>
          <w:bCs/>
          <w:szCs w:val="22"/>
          <w:lang w:val="en-GB"/>
        </w:rPr>
        <w:t>certolizumab pegol or ustekinumab</w:t>
      </w:r>
      <w:r w:rsidR="0057172D" w:rsidRPr="0057172D">
        <w:rPr>
          <w:bCs/>
          <w:szCs w:val="22"/>
          <w:lang w:val="en-GB"/>
        </w:rPr>
        <w:t xml:space="preserve"> </w:t>
      </w:r>
      <w:r w:rsidR="0057172D">
        <w:rPr>
          <w:bCs/>
          <w:szCs w:val="22"/>
          <w:lang w:val="en-GB"/>
        </w:rPr>
        <w:t xml:space="preserve">for some patients.  </w:t>
      </w:r>
      <w:r w:rsidR="0057172D" w:rsidRPr="001F7380">
        <w:rPr>
          <w:bCs/>
          <w:szCs w:val="22"/>
          <w:lang w:val="en-GB"/>
        </w:rPr>
        <w:t xml:space="preserve">Therefore, there was no basis for </w:t>
      </w:r>
      <w:r w:rsidR="0057172D" w:rsidRPr="0010502E">
        <w:rPr>
          <w:bCs/>
          <w:szCs w:val="22"/>
          <w:lang w:val="en-GB"/>
        </w:rPr>
        <w:t xml:space="preserve">secukinumab </w:t>
      </w:r>
      <w:r w:rsidR="0057172D" w:rsidRPr="001F7380">
        <w:rPr>
          <w:bCs/>
          <w:szCs w:val="22"/>
          <w:lang w:val="en-GB"/>
        </w:rPr>
        <w:t xml:space="preserve">to have a price advantage over </w:t>
      </w:r>
      <w:r w:rsidR="0057172D">
        <w:rPr>
          <w:bCs/>
          <w:szCs w:val="22"/>
          <w:lang w:val="en-GB"/>
        </w:rPr>
        <w:t>certolizumab pegol or ustekinumab</w:t>
      </w:r>
      <w:r w:rsidR="0057172D" w:rsidRPr="001F7380">
        <w:rPr>
          <w:szCs w:val="22"/>
        </w:rPr>
        <w:t xml:space="preserve"> for an equivalent treatment period</w:t>
      </w:r>
      <w:r w:rsidR="0057172D">
        <w:rPr>
          <w:bCs/>
          <w:szCs w:val="22"/>
          <w:lang w:val="en-GB"/>
        </w:rPr>
        <w:t>.</w:t>
      </w:r>
    </w:p>
    <w:p w:rsidR="00E9267F" w:rsidRDefault="00E9267F" w:rsidP="00E9267F">
      <w:pPr>
        <w:pStyle w:val="ListParagraph"/>
        <w:widowControl/>
        <w:rPr>
          <w:szCs w:val="22"/>
        </w:rPr>
      </w:pPr>
    </w:p>
    <w:p w:rsidR="00696912" w:rsidRDefault="00696912" w:rsidP="00696912">
      <w:pPr>
        <w:pStyle w:val="ListParagraph"/>
        <w:widowControl/>
        <w:numPr>
          <w:ilvl w:val="1"/>
          <w:numId w:val="7"/>
        </w:numPr>
      </w:pPr>
      <w:r>
        <w:t>The PBAC noted t</w:t>
      </w:r>
      <w:r w:rsidRPr="00C27D17">
        <w:t>he submission</w:t>
      </w:r>
      <w:r>
        <w:t>’s</w:t>
      </w:r>
      <w:r w:rsidRPr="00C27D17">
        <w:t xml:space="preserve"> </w:t>
      </w:r>
      <w:r>
        <w:t xml:space="preserve">claims </w:t>
      </w:r>
      <w:r w:rsidRPr="00C27D17">
        <w:t>that there is no dose response relationship between secukinumab 15</w:t>
      </w:r>
      <w:r>
        <w:t>0 mg</w:t>
      </w:r>
      <w:r w:rsidRPr="00C27D17">
        <w:t xml:space="preserve"> and 30</w:t>
      </w:r>
      <w:r>
        <w:t xml:space="preserve">0 mg and as such there would be </w:t>
      </w:r>
      <w:r w:rsidRPr="00C27D17">
        <w:t xml:space="preserve">no difference in price between </w:t>
      </w:r>
      <w:r>
        <w:t>the two strengths</w:t>
      </w:r>
      <w:r w:rsidRPr="00C27D17">
        <w:t>.</w:t>
      </w:r>
    </w:p>
    <w:p w:rsidR="00696912" w:rsidRPr="00E9267F" w:rsidRDefault="00696912" w:rsidP="00E9267F">
      <w:pPr>
        <w:pStyle w:val="ListParagraph"/>
        <w:widowControl/>
        <w:rPr>
          <w:szCs w:val="22"/>
        </w:rPr>
      </w:pPr>
    </w:p>
    <w:p w:rsidR="00643F46" w:rsidRPr="00696912" w:rsidRDefault="00643F46" w:rsidP="006361C1">
      <w:pPr>
        <w:pStyle w:val="ListParagraph"/>
        <w:widowControl/>
        <w:numPr>
          <w:ilvl w:val="1"/>
          <w:numId w:val="7"/>
        </w:numPr>
        <w:rPr>
          <w:szCs w:val="22"/>
        </w:rPr>
      </w:pPr>
      <w:r w:rsidRPr="00696912">
        <w:rPr>
          <w:bCs/>
          <w:szCs w:val="22"/>
          <w:lang w:val="en-GB"/>
        </w:rPr>
        <w:t>The PBAC noted the submission’s arguments favouring monthly dosing over four-weekly dosing.  The PBAC considered that in practice patients would likely find four-weekly less confusing, noting that monthly use would lead to dosing on different days of the week.  The PBAC therefore considered four-weekly dosing was the most appropriate frame of reference for considering equi-effective doses.</w:t>
      </w:r>
    </w:p>
    <w:p w:rsidR="00CD17F7" w:rsidRPr="00643F46" w:rsidRDefault="00CD17F7" w:rsidP="00643F46">
      <w:pPr>
        <w:pStyle w:val="ListParagraph"/>
        <w:rPr>
          <w:bCs/>
          <w:szCs w:val="22"/>
          <w:lang w:val="en-GB"/>
        </w:rPr>
      </w:pPr>
    </w:p>
    <w:p w:rsidR="006361C1" w:rsidRDefault="0019038D" w:rsidP="006361C1">
      <w:pPr>
        <w:pStyle w:val="ListParagraph"/>
        <w:widowControl/>
        <w:numPr>
          <w:ilvl w:val="1"/>
          <w:numId w:val="7"/>
        </w:numPr>
        <w:rPr>
          <w:szCs w:val="22"/>
        </w:rPr>
      </w:pPr>
      <w:r>
        <w:rPr>
          <w:bCs/>
          <w:szCs w:val="22"/>
          <w:lang w:val="en-GB"/>
        </w:rPr>
        <w:t>The equi</w:t>
      </w:r>
      <w:r w:rsidR="00875D81">
        <w:rPr>
          <w:bCs/>
          <w:szCs w:val="22"/>
          <w:lang w:val="en-GB"/>
        </w:rPr>
        <w:t xml:space="preserve">-effective </w:t>
      </w:r>
      <w:r w:rsidR="00411EEB">
        <w:rPr>
          <w:bCs/>
          <w:szCs w:val="22"/>
          <w:lang w:val="en-GB"/>
        </w:rPr>
        <w:t xml:space="preserve">doses are secukinumab 150 mg or 300 mg </w:t>
      </w:r>
      <w:r w:rsidR="00DB0F74">
        <w:rPr>
          <w:bCs/>
          <w:szCs w:val="22"/>
          <w:lang w:val="en-GB"/>
        </w:rPr>
        <w:t xml:space="preserve">administered </w:t>
      </w:r>
      <w:r w:rsidR="00411EEB">
        <w:rPr>
          <w:bCs/>
          <w:szCs w:val="22"/>
          <w:lang w:val="en-GB"/>
        </w:rPr>
        <w:t>at weeks 0,1,2,3 and 4 then 150 mg</w:t>
      </w:r>
      <w:r>
        <w:rPr>
          <w:bCs/>
          <w:szCs w:val="22"/>
          <w:lang w:val="en-GB"/>
        </w:rPr>
        <w:t xml:space="preserve"> o</w:t>
      </w:r>
      <w:r w:rsidR="00411EEB">
        <w:rPr>
          <w:bCs/>
          <w:szCs w:val="22"/>
          <w:lang w:val="en-GB"/>
        </w:rPr>
        <w:t>r 300 mg every month</w:t>
      </w:r>
      <w:r w:rsidR="006361C1">
        <w:rPr>
          <w:bCs/>
          <w:szCs w:val="22"/>
          <w:lang w:val="en-GB"/>
        </w:rPr>
        <w:t xml:space="preserve">, ustekinumab 45 mg administered </w:t>
      </w:r>
      <w:r>
        <w:rPr>
          <w:bCs/>
          <w:szCs w:val="22"/>
          <w:lang w:val="en-GB"/>
        </w:rPr>
        <w:t>at weeks</w:t>
      </w:r>
      <w:r w:rsidR="006361C1">
        <w:rPr>
          <w:szCs w:val="22"/>
        </w:rPr>
        <w:t xml:space="preserve"> 0, 4 and then ever</w:t>
      </w:r>
      <w:r>
        <w:rPr>
          <w:szCs w:val="22"/>
        </w:rPr>
        <w:t xml:space="preserve">y 12 weeks thereafter </w:t>
      </w:r>
      <w:r w:rsidR="00AE1C4C">
        <w:rPr>
          <w:szCs w:val="22"/>
        </w:rPr>
        <w:t>and</w:t>
      </w:r>
      <w:r>
        <w:rPr>
          <w:szCs w:val="22"/>
        </w:rPr>
        <w:t xml:space="preserve"> certolizumab</w:t>
      </w:r>
      <w:r w:rsidR="006361C1">
        <w:rPr>
          <w:szCs w:val="22"/>
        </w:rPr>
        <w:t xml:space="preserve"> 400 mg at weeks 0, 2 and 4 followed by 200 mg every 2 weeks or 400 mg every 4 weeks.</w:t>
      </w:r>
    </w:p>
    <w:p w:rsidR="00046749" w:rsidRDefault="00046749" w:rsidP="00046749">
      <w:pPr>
        <w:pStyle w:val="ListParagraph"/>
        <w:widowControl/>
        <w:rPr>
          <w:szCs w:val="22"/>
        </w:rPr>
      </w:pPr>
    </w:p>
    <w:p w:rsidR="0077194F" w:rsidRDefault="0077194F" w:rsidP="0077194F">
      <w:pPr>
        <w:numPr>
          <w:ilvl w:val="1"/>
          <w:numId w:val="7"/>
        </w:numPr>
        <w:contextualSpacing/>
        <w:rPr>
          <w:bCs/>
          <w:szCs w:val="22"/>
          <w:lang w:val="en-GB"/>
        </w:rPr>
      </w:pPr>
      <w:r w:rsidRPr="001D532B">
        <w:rPr>
          <w:bCs/>
          <w:szCs w:val="22"/>
          <w:lang w:val="en-GB"/>
        </w:rPr>
        <w:t xml:space="preserve">The PBAC noted the clinical claim of non-inferior </w:t>
      </w:r>
      <w:r w:rsidRPr="001D532B">
        <w:rPr>
          <w:bCs/>
          <w:szCs w:val="22"/>
        </w:rPr>
        <w:t xml:space="preserve">comparative effectiveness and safety compared with </w:t>
      </w:r>
      <w:r w:rsidRPr="001D532B">
        <w:rPr>
          <w:bCs/>
          <w:szCs w:val="22"/>
          <w:lang w:val="en-GB"/>
        </w:rPr>
        <w:t>adalimumab, etanercept, infliximab</w:t>
      </w:r>
      <w:r w:rsidR="00307B80">
        <w:rPr>
          <w:bCs/>
          <w:szCs w:val="22"/>
          <w:lang w:val="en-GB"/>
        </w:rPr>
        <w:t xml:space="preserve">, </w:t>
      </w:r>
      <w:r w:rsidR="00307B80" w:rsidRPr="001D532B">
        <w:rPr>
          <w:bCs/>
          <w:szCs w:val="22"/>
          <w:lang w:val="en-GB"/>
        </w:rPr>
        <w:t xml:space="preserve">golimumab, </w:t>
      </w:r>
      <w:r w:rsidRPr="001D532B">
        <w:rPr>
          <w:bCs/>
          <w:szCs w:val="22"/>
          <w:lang w:val="en-GB"/>
        </w:rPr>
        <w:t>and certolizumab</w:t>
      </w:r>
      <w:r w:rsidR="00307B80">
        <w:rPr>
          <w:bCs/>
          <w:szCs w:val="22"/>
          <w:lang w:val="en-GB"/>
        </w:rPr>
        <w:t xml:space="preserve"> pegol</w:t>
      </w:r>
      <w:r w:rsidRPr="001D532B">
        <w:rPr>
          <w:bCs/>
          <w:szCs w:val="22"/>
          <w:lang w:val="en-GB"/>
        </w:rPr>
        <w:t>.  The PBAC also noted the issues raised by the ESC about differences in placebo response rates and potential</w:t>
      </w:r>
      <w:r w:rsidRPr="00CB21D6">
        <w:t xml:space="preserve"> systematic differences between </w:t>
      </w:r>
      <w:r>
        <w:t xml:space="preserve">the </w:t>
      </w:r>
      <w:r w:rsidRPr="00CB21D6">
        <w:t>included trials, particularly trial methods, setting confounders and differ</w:t>
      </w:r>
      <w:r>
        <w:t>ences in end- and time-points. The PBAC considered that t</w:t>
      </w:r>
      <w:r w:rsidRPr="001D532B">
        <w:rPr>
          <w:szCs w:val="22"/>
        </w:rPr>
        <w:t xml:space="preserve">he differences in the placebo response rates between the trials were reasonably offset by use of the Bucher method to adjust the indirect comparison for event rate differences in the common reference placebo arm of included </w:t>
      </w:r>
      <w:r>
        <w:rPr>
          <w:szCs w:val="22"/>
        </w:rPr>
        <w:t xml:space="preserve">trials. </w:t>
      </w:r>
      <w:r w:rsidRPr="001D532B">
        <w:rPr>
          <w:szCs w:val="22"/>
        </w:rPr>
        <w:t xml:space="preserve">Overall, the PBAC considered that </w:t>
      </w:r>
      <w:r>
        <w:rPr>
          <w:szCs w:val="22"/>
        </w:rPr>
        <w:t>a conclusion of</w:t>
      </w:r>
      <w:r w:rsidRPr="001D532B">
        <w:rPr>
          <w:szCs w:val="22"/>
        </w:rPr>
        <w:t xml:space="preserve"> non-inferior comparative effectiveness</w:t>
      </w:r>
      <w:r>
        <w:rPr>
          <w:szCs w:val="22"/>
        </w:rPr>
        <w:t xml:space="preserve"> was reasonable</w:t>
      </w:r>
      <w:r w:rsidR="00307B80">
        <w:rPr>
          <w:szCs w:val="22"/>
        </w:rPr>
        <w:t xml:space="preserve"> against certolizumab pegol and ustekinumab, but not against </w:t>
      </w:r>
      <w:r w:rsidR="00307B80">
        <w:rPr>
          <w:iCs/>
        </w:rPr>
        <w:t>adalimumab, etanercept, infliximab or golimumab</w:t>
      </w:r>
      <w:r w:rsidR="00307B80">
        <w:rPr>
          <w:bCs/>
          <w:szCs w:val="22"/>
          <w:lang w:val="en-GB"/>
        </w:rPr>
        <w:t>.</w:t>
      </w:r>
    </w:p>
    <w:p w:rsidR="0077194F" w:rsidRPr="0077194F" w:rsidRDefault="0077194F" w:rsidP="0077194F">
      <w:pPr>
        <w:rPr>
          <w:bCs/>
          <w:szCs w:val="22"/>
          <w:lang w:val="en-GB"/>
        </w:rPr>
      </w:pPr>
    </w:p>
    <w:p w:rsidR="0077194F" w:rsidRPr="001D532B" w:rsidRDefault="0077194F" w:rsidP="0077194F">
      <w:pPr>
        <w:numPr>
          <w:ilvl w:val="1"/>
          <w:numId w:val="7"/>
        </w:numPr>
        <w:contextualSpacing/>
        <w:rPr>
          <w:bCs/>
          <w:szCs w:val="22"/>
          <w:lang w:val="en-GB"/>
        </w:rPr>
      </w:pPr>
      <w:r>
        <w:rPr>
          <w:bCs/>
          <w:szCs w:val="22"/>
          <w:lang w:val="en-GB"/>
        </w:rPr>
        <w:t>The PBAC noted that in light of secukinumab’s different mechanism of action compared to the other bDMARDs, it would be reasonable to expect a different adverse event profile. The PBAC considered that the claim of non-inferior comparative safety was adequately supported.</w:t>
      </w:r>
    </w:p>
    <w:p w:rsidR="0077194F" w:rsidRPr="0010502E" w:rsidRDefault="0077194F" w:rsidP="0077194F">
      <w:pPr>
        <w:contextualSpacing/>
        <w:rPr>
          <w:bCs/>
          <w:szCs w:val="22"/>
          <w:lang w:val="en-GB"/>
        </w:rPr>
      </w:pPr>
    </w:p>
    <w:p w:rsidR="0077194F" w:rsidRDefault="0077194F" w:rsidP="0077194F">
      <w:pPr>
        <w:numPr>
          <w:ilvl w:val="1"/>
          <w:numId w:val="7"/>
        </w:numPr>
        <w:contextualSpacing/>
        <w:rPr>
          <w:bCs/>
          <w:szCs w:val="22"/>
          <w:lang w:val="en-GB"/>
        </w:rPr>
      </w:pPr>
      <w:r>
        <w:rPr>
          <w:bCs/>
          <w:szCs w:val="22"/>
          <w:lang w:val="en-GB"/>
        </w:rPr>
        <w:t xml:space="preserve">The PBAC noted the ESC’s advice regarding market growth for bDMARDs for </w:t>
      </w:r>
      <w:r w:rsidR="00307B80">
        <w:rPr>
          <w:bCs/>
          <w:szCs w:val="22"/>
          <w:lang w:val="en-GB"/>
        </w:rPr>
        <w:t>PsA</w:t>
      </w:r>
      <w:r>
        <w:rPr>
          <w:bCs/>
          <w:szCs w:val="22"/>
          <w:lang w:val="en-GB"/>
        </w:rPr>
        <w:t>.  The PBAC considered that the submission’s estimates of market growth were reasonable.</w:t>
      </w:r>
    </w:p>
    <w:p w:rsidR="00806EEF" w:rsidRDefault="00806EEF" w:rsidP="00806EEF">
      <w:pPr>
        <w:contextualSpacing/>
        <w:rPr>
          <w:bCs/>
          <w:szCs w:val="22"/>
          <w:lang w:val="en-GB"/>
        </w:rPr>
      </w:pPr>
    </w:p>
    <w:p w:rsidR="0052362F" w:rsidRDefault="0052362F" w:rsidP="0052362F">
      <w:pPr>
        <w:pStyle w:val="ListParagraph"/>
        <w:widowControl/>
        <w:numPr>
          <w:ilvl w:val="1"/>
          <w:numId w:val="7"/>
        </w:numPr>
        <w:rPr>
          <w:szCs w:val="22"/>
        </w:rPr>
      </w:pPr>
      <w:r>
        <w:rPr>
          <w:szCs w:val="22"/>
        </w:rPr>
        <w:lastRenderedPageBreak/>
        <w:t xml:space="preserve">The PBAC </w:t>
      </w:r>
      <w:r w:rsidR="00643F46">
        <w:rPr>
          <w:szCs w:val="22"/>
        </w:rPr>
        <w:t xml:space="preserve">recommended the same restriction for secukinumab as for the other bDMARDs for PsA, noting that the availability of this </w:t>
      </w:r>
      <w:r>
        <w:rPr>
          <w:szCs w:val="22"/>
        </w:rPr>
        <w:t xml:space="preserve">will allow clinicians to choose from a range of bDMARDs </w:t>
      </w:r>
      <w:r w:rsidR="00643F46">
        <w:rPr>
          <w:szCs w:val="22"/>
        </w:rPr>
        <w:t>depending on the circumstances of</w:t>
      </w:r>
      <w:r>
        <w:rPr>
          <w:szCs w:val="22"/>
        </w:rPr>
        <w:t xml:space="preserve"> individual patients.</w:t>
      </w:r>
    </w:p>
    <w:p w:rsidR="00F55834" w:rsidRPr="00F55834" w:rsidRDefault="00F55834" w:rsidP="00F55834">
      <w:pPr>
        <w:pStyle w:val="ListParagraph"/>
        <w:rPr>
          <w:szCs w:val="22"/>
        </w:rPr>
      </w:pPr>
    </w:p>
    <w:p w:rsidR="00EA3B0B" w:rsidRPr="0055389C" w:rsidRDefault="00EA3B0B" w:rsidP="00EA3B0B">
      <w:pPr>
        <w:pStyle w:val="ListParagraph"/>
        <w:widowControl/>
        <w:numPr>
          <w:ilvl w:val="1"/>
          <w:numId w:val="7"/>
        </w:numPr>
        <w:rPr>
          <w:sz w:val="20"/>
          <w:szCs w:val="22"/>
        </w:rPr>
      </w:pPr>
      <w:r w:rsidRPr="00AD67F5">
        <w:t xml:space="preserve">The PBAC advised, under Section 101(3BA) of the </w:t>
      </w:r>
      <w:r w:rsidRPr="00322F8D">
        <w:rPr>
          <w:i/>
        </w:rPr>
        <w:t>National Health Act 1953</w:t>
      </w:r>
      <w:r w:rsidRPr="00AD67F5">
        <w:t xml:space="preserve">, that </w:t>
      </w:r>
      <w:r>
        <w:t xml:space="preserve">secukinumab and </w:t>
      </w:r>
      <w:r w:rsidRPr="00AD67F5">
        <w:t xml:space="preserve">ustekinumab and </w:t>
      </w:r>
      <w:r>
        <w:t xml:space="preserve">certolizumab </w:t>
      </w:r>
      <w:r w:rsidR="00643F46">
        <w:t xml:space="preserve">pegol </w:t>
      </w:r>
      <w:r>
        <w:t xml:space="preserve">for the treatment of PsA </w:t>
      </w:r>
      <w:r w:rsidRPr="00AD67F5">
        <w:t>should be treated as interchangeable on an individual patient basis.</w:t>
      </w:r>
    </w:p>
    <w:p w:rsidR="0055389C" w:rsidRPr="0055389C" w:rsidRDefault="0055389C" w:rsidP="0055389C">
      <w:pPr>
        <w:pStyle w:val="ListParagraph"/>
        <w:rPr>
          <w:sz w:val="20"/>
          <w:szCs w:val="22"/>
        </w:rPr>
      </w:pPr>
    </w:p>
    <w:p w:rsidR="0055389C" w:rsidRPr="00933F6D" w:rsidRDefault="00643F46" w:rsidP="0055389C">
      <w:pPr>
        <w:pStyle w:val="ListParagraph"/>
        <w:widowControl/>
        <w:numPr>
          <w:ilvl w:val="1"/>
          <w:numId w:val="7"/>
        </w:numPr>
        <w:rPr>
          <w:szCs w:val="22"/>
        </w:rPr>
      </w:pPr>
      <w:r>
        <w:rPr>
          <w:szCs w:val="22"/>
        </w:rPr>
        <w:t>T</w:t>
      </w:r>
      <w:r w:rsidR="0055389C" w:rsidRPr="00933F6D">
        <w:rPr>
          <w:szCs w:val="22"/>
        </w:rPr>
        <w:t xml:space="preserve">he PBAC advised that </w:t>
      </w:r>
      <w:r w:rsidR="0055389C">
        <w:rPr>
          <w:szCs w:val="22"/>
        </w:rPr>
        <w:t xml:space="preserve">secukinumab </w:t>
      </w:r>
      <w:r w:rsidR="0055389C" w:rsidRPr="00933F6D">
        <w:rPr>
          <w:szCs w:val="22"/>
        </w:rPr>
        <w:t>is not suitable for pres</w:t>
      </w:r>
      <w:r w:rsidR="0055389C">
        <w:rPr>
          <w:szCs w:val="22"/>
        </w:rPr>
        <w:t>cribing by nurse practitioners.</w:t>
      </w:r>
    </w:p>
    <w:p w:rsidR="0055389C" w:rsidRPr="009F6E31" w:rsidRDefault="0055389C" w:rsidP="0055389C">
      <w:pPr>
        <w:rPr>
          <w:szCs w:val="22"/>
        </w:rPr>
      </w:pPr>
    </w:p>
    <w:p w:rsidR="0055389C" w:rsidRDefault="0055389C" w:rsidP="0055389C">
      <w:pPr>
        <w:pStyle w:val="ListParagraph"/>
        <w:widowControl/>
        <w:numPr>
          <w:ilvl w:val="1"/>
          <w:numId w:val="7"/>
        </w:numPr>
        <w:rPr>
          <w:szCs w:val="22"/>
        </w:rPr>
      </w:pPr>
      <w:r w:rsidRPr="00933F6D">
        <w:rPr>
          <w:szCs w:val="22"/>
        </w:rPr>
        <w:t xml:space="preserve">The PBAC </w:t>
      </w:r>
      <w:r w:rsidR="00643F46">
        <w:rPr>
          <w:szCs w:val="22"/>
        </w:rPr>
        <w:t xml:space="preserve">advised that there was no reason to exempt </w:t>
      </w:r>
      <w:r w:rsidR="009C77B2">
        <w:rPr>
          <w:szCs w:val="22"/>
        </w:rPr>
        <w:t>secukinumab</w:t>
      </w:r>
      <w:r w:rsidR="00643F46">
        <w:rPr>
          <w:szCs w:val="22"/>
        </w:rPr>
        <w:t xml:space="preserve"> for PsA from the </w:t>
      </w:r>
      <w:r>
        <w:rPr>
          <w:szCs w:val="22"/>
        </w:rPr>
        <w:t>Ea</w:t>
      </w:r>
      <w:r w:rsidR="00643F46">
        <w:rPr>
          <w:szCs w:val="22"/>
        </w:rPr>
        <w:t>rly Supply Rule</w:t>
      </w:r>
      <w:r>
        <w:rPr>
          <w:szCs w:val="22"/>
        </w:rPr>
        <w:t>.</w:t>
      </w:r>
    </w:p>
    <w:p w:rsidR="00F504B2" w:rsidRPr="00F504B2" w:rsidRDefault="00F504B2" w:rsidP="00F504B2">
      <w:pPr>
        <w:pStyle w:val="ListParagraph"/>
        <w:rPr>
          <w:szCs w:val="22"/>
        </w:rPr>
      </w:pPr>
    </w:p>
    <w:p w:rsidR="00F504B2" w:rsidRPr="00933F6D" w:rsidRDefault="00F504B2" w:rsidP="0055389C">
      <w:pPr>
        <w:pStyle w:val="ListParagraph"/>
        <w:widowControl/>
        <w:numPr>
          <w:ilvl w:val="1"/>
          <w:numId w:val="7"/>
        </w:numPr>
        <w:rPr>
          <w:szCs w:val="22"/>
        </w:rPr>
      </w:pPr>
      <w:r>
        <w:rPr>
          <w:szCs w:val="22"/>
        </w:rPr>
        <w:t>The PBAC noted that this submission is not eligible for an Independent Review, because the PBAC has made a positive recommendation.</w:t>
      </w:r>
    </w:p>
    <w:p w:rsidR="00EA3B0B" w:rsidRPr="0055389C" w:rsidRDefault="00EA3B0B" w:rsidP="0055389C">
      <w:pPr>
        <w:pStyle w:val="ListParagraph"/>
        <w:widowControl/>
        <w:rPr>
          <w:sz w:val="20"/>
          <w:szCs w:val="22"/>
        </w:rPr>
      </w:pPr>
    </w:p>
    <w:p w:rsidR="003739A8" w:rsidRPr="000F22D5" w:rsidRDefault="003739A8" w:rsidP="003739A8">
      <w:pPr>
        <w:rPr>
          <w:b/>
          <w:bCs/>
          <w:szCs w:val="22"/>
          <w:lang w:val="en-GB"/>
        </w:rPr>
      </w:pPr>
      <w:r w:rsidRPr="000F22D5">
        <w:rPr>
          <w:b/>
          <w:bCs/>
          <w:szCs w:val="22"/>
          <w:lang w:val="en-GB"/>
        </w:rPr>
        <w:t>Outcome:</w:t>
      </w:r>
    </w:p>
    <w:p w:rsidR="003739A8" w:rsidRDefault="003739A8" w:rsidP="003739A8">
      <w:pPr>
        <w:rPr>
          <w:bCs/>
          <w:szCs w:val="22"/>
          <w:lang w:val="en-GB"/>
        </w:rPr>
      </w:pPr>
      <w:r w:rsidRPr="000F22D5">
        <w:rPr>
          <w:bCs/>
          <w:szCs w:val="22"/>
          <w:lang w:val="en-GB"/>
        </w:rPr>
        <w:t>Recommended</w:t>
      </w:r>
    </w:p>
    <w:p w:rsidR="000F22D5" w:rsidRPr="000F22D5" w:rsidRDefault="000F22D5" w:rsidP="003739A8">
      <w:pPr>
        <w:rPr>
          <w:bCs/>
          <w:szCs w:val="22"/>
          <w:lang w:val="en-GB"/>
        </w:rPr>
      </w:pPr>
    </w:p>
    <w:p w:rsidR="00150766" w:rsidRPr="00EA0EDA" w:rsidRDefault="00150766" w:rsidP="003739A8">
      <w:pPr>
        <w:rPr>
          <w:bCs/>
          <w:szCs w:val="22"/>
          <w:highlight w:val="yellow"/>
        </w:rPr>
      </w:pPr>
    </w:p>
    <w:p w:rsidR="003739A8" w:rsidRPr="001F120D" w:rsidRDefault="003739A8" w:rsidP="00E6165E">
      <w:pPr>
        <w:pStyle w:val="PBACHeading1"/>
        <w:rPr>
          <w:b w:val="0"/>
          <w:bCs/>
          <w:i/>
          <w:lang w:val="en-GB"/>
        </w:rPr>
      </w:pPr>
      <w:r w:rsidRPr="001F120D">
        <w:rPr>
          <w:bCs/>
          <w:lang w:val="en-GB"/>
        </w:rPr>
        <w:t>Recommended listing</w:t>
      </w:r>
    </w:p>
    <w:p w:rsidR="003739A8" w:rsidRPr="001F120D" w:rsidRDefault="003739A8" w:rsidP="003739A8">
      <w:pPr>
        <w:rPr>
          <w:b/>
          <w:bCs/>
          <w:i/>
          <w:szCs w:val="22"/>
          <w:lang w:val="en-GB"/>
        </w:rPr>
      </w:pPr>
    </w:p>
    <w:p w:rsidR="003D7CFC" w:rsidRPr="003D7CFC" w:rsidRDefault="003739A8" w:rsidP="00150766">
      <w:pPr>
        <w:numPr>
          <w:ilvl w:val="1"/>
          <w:numId w:val="7"/>
        </w:numPr>
        <w:contextualSpacing/>
        <w:rPr>
          <w:b/>
          <w:bCs/>
          <w:szCs w:val="22"/>
        </w:rPr>
      </w:pPr>
      <w:r w:rsidRPr="001F120D">
        <w:rPr>
          <w:bCs/>
          <w:szCs w:val="22"/>
        </w:rPr>
        <w:t xml:space="preserve">Add new </w:t>
      </w:r>
      <w:r w:rsidR="00654A15">
        <w:rPr>
          <w:bCs/>
          <w:szCs w:val="22"/>
        </w:rPr>
        <w:t>indication</w:t>
      </w:r>
      <w:r w:rsidRPr="001F120D">
        <w:rPr>
          <w:bCs/>
          <w:szCs w:val="22"/>
        </w:rPr>
        <w:t>:</w:t>
      </w:r>
      <w:r w:rsidR="003D7CFC">
        <w:rPr>
          <w:bCs/>
          <w:szCs w:val="22"/>
        </w:rPr>
        <w:t xml:space="preserve"> </w:t>
      </w:r>
    </w:p>
    <w:p w:rsidR="0060295A" w:rsidRDefault="003D7CFC" w:rsidP="008046F7">
      <w:pPr>
        <w:ind w:left="720"/>
        <w:contextualSpacing/>
        <w:rPr>
          <w:lang w:val="en-GB"/>
        </w:rPr>
      </w:pPr>
      <w:r>
        <w:rPr>
          <w:bCs/>
          <w:szCs w:val="22"/>
        </w:rPr>
        <w:t>Restriction to be finalised</w:t>
      </w:r>
    </w:p>
    <w:p w:rsidR="0060295A" w:rsidRPr="001D262D" w:rsidRDefault="0060295A" w:rsidP="001D262D">
      <w:pPr>
        <w:pStyle w:val="PBACHeading1"/>
        <w:numPr>
          <w:ilvl w:val="0"/>
          <w:numId w:val="0"/>
        </w:numPr>
        <w:ind w:left="720"/>
        <w:rPr>
          <w:bCs/>
          <w:lang w:val="en-GB"/>
        </w:rPr>
      </w:pPr>
    </w:p>
    <w:p w:rsidR="00E6165E" w:rsidRPr="001D262D" w:rsidRDefault="00E6165E" w:rsidP="00E6165E">
      <w:pPr>
        <w:pStyle w:val="PBACHeading1"/>
        <w:rPr>
          <w:bCs/>
          <w:lang w:val="en-GB"/>
        </w:rPr>
      </w:pPr>
      <w:r w:rsidRPr="001D262D">
        <w:rPr>
          <w:bCs/>
          <w:lang w:val="en-GB"/>
        </w:rPr>
        <w:t>Context for Decision</w:t>
      </w:r>
    </w:p>
    <w:p w:rsidR="00E6165E" w:rsidRDefault="00E6165E" w:rsidP="00E6165E">
      <w:pPr>
        <w:ind w:left="720"/>
      </w:pPr>
    </w:p>
    <w:p w:rsidR="00E6165E" w:rsidRDefault="00E6165E" w:rsidP="00E6165E">
      <w:pPr>
        <w:ind w:left="720"/>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6165E" w:rsidRDefault="00E6165E" w:rsidP="00E6165E">
      <w:pPr>
        <w:ind w:left="720"/>
      </w:pPr>
    </w:p>
    <w:p w:rsidR="00E6165E" w:rsidRPr="001D262D" w:rsidRDefault="00E6165E" w:rsidP="00E6165E">
      <w:pPr>
        <w:pStyle w:val="PBACHeading1"/>
        <w:rPr>
          <w:bCs/>
          <w:lang w:val="en-GB"/>
        </w:rPr>
      </w:pPr>
      <w:r w:rsidRPr="001D262D">
        <w:rPr>
          <w:bCs/>
          <w:lang w:val="en-GB"/>
        </w:rPr>
        <w:t>Sponsor’s Comment</w:t>
      </w:r>
    </w:p>
    <w:p w:rsidR="00E6165E" w:rsidRDefault="00E6165E" w:rsidP="00E6165E">
      <w:pPr>
        <w:ind w:left="720"/>
        <w:rPr>
          <w:bCs/>
          <w:highlight w:val="yellow"/>
          <w:lang w:val="en-GB"/>
        </w:rPr>
      </w:pPr>
    </w:p>
    <w:p w:rsidR="00E6165E" w:rsidRDefault="00E6165E" w:rsidP="00E6165E">
      <w:pPr>
        <w:spacing w:after="120"/>
        <w:ind w:left="720"/>
        <w:rPr>
          <w:bCs/>
        </w:rPr>
      </w:pPr>
      <w:r w:rsidRPr="003035CC">
        <w:rPr>
          <w:bCs/>
        </w:rPr>
        <w:t>The sponsor had no comment.</w:t>
      </w:r>
    </w:p>
    <w:p w:rsidR="00B629AE" w:rsidRDefault="00B629AE" w:rsidP="003739A8">
      <w:pPr>
        <w:pStyle w:val="ListParagraph"/>
        <w:ind w:left="360"/>
        <w:rPr>
          <w:rFonts w:ascii="Calibri" w:hAnsi="Calibri" w:cs="Calibri"/>
        </w:rPr>
      </w:pPr>
    </w:p>
    <w:sectPr w:rsidR="00B629AE" w:rsidSect="0060187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6C84EB" w15:done="0"/>
  <w15:commentEx w15:paraId="0E56AC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9CC" w:rsidRDefault="000039CC" w:rsidP="00124A51">
      <w:r>
        <w:separator/>
      </w:r>
    </w:p>
  </w:endnote>
  <w:endnote w:type="continuationSeparator" w:id="0">
    <w:p w:rsidR="000039CC" w:rsidRDefault="000039CC"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abon">
    <w:altName w:val="Goudy Old Style"/>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9CC" w:rsidRDefault="000039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346115"/>
      <w:docPartObj>
        <w:docPartGallery w:val="Page Numbers (Bottom of Page)"/>
        <w:docPartUnique/>
      </w:docPartObj>
    </w:sdtPr>
    <w:sdtEndPr>
      <w:rPr>
        <w:noProof/>
      </w:rPr>
    </w:sdtEndPr>
    <w:sdtContent>
      <w:p w:rsidR="0083656B" w:rsidRDefault="0083656B">
        <w:pPr>
          <w:pStyle w:val="Footer"/>
          <w:jc w:val="center"/>
        </w:pPr>
        <w:r>
          <w:fldChar w:fldCharType="begin"/>
        </w:r>
        <w:r>
          <w:instrText xml:space="preserve"> PAGE   \* MERGEFORMAT </w:instrText>
        </w:r>
        <w:r>
          <w:fldChar w:fldCharType="separate"/>
        </w:r>
        <w:r w:rsidR="009526DF">
          <w:rPr>
            <w:noProof/>
          </w:rPr>
          <w:t>2</w:t>
        </w:r>
        <w:r>
          <w:rPr>
            <w:noProof/>
          </w:rPr>
          <w:fldChar w:fldCharType="end"/>
        </w:r>
      </w:p>
    </w:sdtContent>
  </w:sdt>
  <w:p w:rsidR="0083656B" w:rsidRDefault="008365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9CC" w:rsidRDefault="000039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9CC" w:rsidRDefault="000039CC" w:rsidP="00124A51">
      <w:r>
        <w:separator/>
      </w:r>
    </w:p>
  </w:footnote>
  <w:footnote w:type="continuationSeparator" w:id="0">
    <w:p w:rsidR="000039CC" w:rsidRDefault="000039CC"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9CC" w:rsidRDefault="000039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6B" w:rsidRDefault="0083656B" w:rsidP="00BA1CC2">
    <w:pPr>
      <w:pStyle w:val="Header"/>
      <w:jc w:val="center"/>
      <w:rPr>
        <w:i/>
        <w:color w:val="808080"/>
      </w:rPr>
    </w:pPr>
    <w:r>
      <w:rPr>
        <w:i/>
        <w:color w:val="808080"/>
      </w:rPr>
      <w:t xml:space="preserve">Public Summary Document </w:t>
    </w:r>
    <w:r w:rsidRPr="00DF217D">
      <w:rPr>
        <w:i/>
        <w:color w:val="808080"/>
      </w:rPr>
      <w:t xml:space="preserve">– </w:t>
    </w:r>
    <w:r>
      <w:rPr>
        <w:i/>
        <w:color w:val="808080"/>
      </w:rPr>
      <w:t xml:space="preserve">March 2016 </w:t>
    </w:r>
    <w:r w:rsidRPr="00DF217D">
      <w:rPr>
        <w:i/>
        <w:color w:val="808080"/>
      </w:rPr>
      <w:t>PBAC</w:t>
    </w:r>
    <w:r>
      <w:rPr>
        <w:i/>
        <w:color w:val="808080"/>
      </w:rPr>
      <w:t xml:space="preserve"> Meeting</w:t>
    </w:r>
  </w:p>
  <w:p w:rsidR="0083656B" w:rsidRDefault="0083656B" w:rsidP="00BA1CC2">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9CC" w:rsidRDefault="000039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D3AF2"/>
    <w:multiLevelType w:val="hybridMultilevel"/>
    <w:tmpl w:val="160873DE"/>
    <w:lvl w:ilvl="0" w:tplc="0C090001">
      <w:start w:val="1"/>
      <w:numFmt w:val="bullet"/>
      <w:lvlText w:val=""/>
      <w:lvlJc w:val="left"/>
      <w:pPr>
        <w:ind w:left="1069"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F236741"/>
    <w:multiLevelType w:val="hybridMultilevel"/>
    <w:tmpl w:val="D1B6D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0C2A10"/>
    <w:multiLevelType w:val="hybridMultilevel"/>
    <w:tmpl w:val="B66CC2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7281C61"/>
    <w:multiLevelType w:val="hybridMultilevel"/>
    <w:tmpl w:val="CE809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1DB0416"/>
    <w:multiLevelType w:val="hybridMultilevel"/>
    <w:tmpl w:val="D5E2F9A0"/>
    <w:lvl w:ilvl="0" w:tplc="645A49B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D842E5"/>
    <w:multiLevelType w:val="hybridMultilevel"/>
    <w:tmpl w:val="7FEE5C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51B418B"/>
    <w:multiLevelType w:val="hybridMultilevel"/>
    <w:tmpl w:val="9B962F34"/>
    <w:lvl w:ilvl="0" w:tplc="2A9C2B8A">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nsid w:val="28062B56"/>
    <w:multiLevelType w:val="hybridMultilevel"/>
    <w:tmpl w:val="3A7E3DBA"/>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85041AE"/>
    <w:multiLevelType w:val="hybridMultilevel"/>
    <w:tmpl w:val="C6183E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9"/>
        </w:tabs>
        <w:ind w:left="1209" w:hanging="360"/>
      </w:pPr>
      <w:rPr>
        <w:rFonts w:ascii="Courier New" w:hAnsi="Courier New" w:cs="Courier New" w:hint="default"/>
      </w:rPr>
    </w:lvl>
    <w:lvl w:ilvl="2" w:tplc="04090005" w:tentative="1">
      <w:start w:val="1"/>
      <w:numFmt w:val="bullet"/>
      <w:lvlText w:val=""/>
      <w:lvlJc w:val="left"/>
      <w:pPr>
        <w:tabs>
          <w:tab w:val="num" w:pos="1929"/>
        </w:tabs>
        <w:ind w:left="1929" w:hanging="360"/>
      </w:pPr>
      <w:rPr>
        <w:rFonts w:ascii="Wingdings" w:hAnsi="Wingdings" w:hint="default"/>
      </w:rPr>
    </w:lvl>
    <w:lvl w:ilvl="3" w:tplc="04090001" w:tentative="1">
      <w:start w:val="1"/>
      <w:numFmt w:val="bullet"/>
      <w:lvlText w:val=""/>
      <w:lvlJc w:val="left"/>
      <w:pPr>
        <w:tabs>
          <w:tab w:val="num" w:pos="2649"/>
        </w:tabs>
        <w:ind w:left="2649" w:hanging="360"/>
      </w:pPr>
      <w:rPr>
        <w:rFonts w:ascii="Symbol" w:hAnsi="Symbol" w:hint="default"/>
      </w:rPr>
    </w:lvl>
    <w:lvl w:ilvl="4" w:tplc="04090003" w:tentative="1">
      <w:start w:val="1"/>
      <w:numFmt w:val="bullet"/>
      <w:lvlText w:val="o"/>
      <w:lvlJc w:val="left"/>
      <w:pPr>
        <w:tabs>
          <w:tab w:val="num" w:pos="3369"/>
        </w:tabs>
        <w:ind w:left="3369" w:hanging="360"/>
      </w:pPr>
      <w:rPr>
        <w:rFonts w:ascii="Courier New" w:hAnsi="Courier New" w:cs="Courier New" w:hint="default"/>
      </w:rPr>
    </w:lvl>
    <w:lvl w:ilvl="5" w:tplc="04090005" w:tentative="1">
      <w:start w:val="1"/>
      <w:numFmt w:val="bullet"/>
      <w:lvlText w:val=""/>
      <w:lvlJc w:val="left"/>
      <w:pPr>
        <w:tabs>
          <w:tab w:val="num" w:pos="4089"/>
        </w:tabs>
        <w:ind w:left="4089" w:hanging="360"/>
      </w:pPr>
      <w:rPr>
        <w:rFonts w:ascii="Wingdings" w:hAnsi="Wingdings" w:hint="default"/>
      </w:rPr>
    </w:lvl>
    <w:lvl w:ilvl="6" w:tplc="04090001" w:tentative="1">
      <w:start w:val="1"/>
      <w:numFmt w:val="bullet"/>
      <w:lvlText w:val=""/>
      <w:lvlJc w:val="left"/>
      <w:pPr>
        <w:tabs>
          <w:tab w:val="num" w:pos="4809"/>
        </w:tabs>
        <w:ind w:left="4809" w:hanging="360"/>
      </w:pPr>
      <w:rPr>
        <w:rFonts w:ascii="Symbol" w:hAnsi="Symbol" w:hint="default"/>
      </w:rPr>
    </w:lvl>
    <w:lvl w:ilvl="7" w:tplc="04090003" w:tentative="1">
      <w:start w:val="1"/>
      <w:numFmt w:val="bullet"/>
      <w:lvlText w:val="o"/>
      <w:lvlJc w:val="left"/>
      <w:pPr>
        <w:tabs>
          <w:tab w:val="num" w:pos="5529"/>
        </w:tabs>
        <w:ind w:left="5529" w:hanging="360"/>
      </w:pPr>
      <w:rPr>
        <w:rFonts w:ascii="Courier New" w:hAnsi="Courier New" w:cs="Courier New" w:hint="default"/>
      </w:rPr>
    </w:lvl>
    <w:lvl w:ilvl="8" w:tplc="04090005" w:tentative="1">
      <w:start w:val="1"/>
      <w:numFmt w:val="bullet"/>
      <w:lvlText w:val=""/>
      <w:lvlJc w:val="left"/>
      <w:pPr>
        <w:tabs>
          <w:tab w:val="num" w:pos="6249"/>
        </w:tabs>
        <w:ind w:left="6249" w:hanging="360"/>
      </w:pPr>
      <w:rPr>
        <w:rFonts w:ascii="Wingdings" w:hAnsi="Wingdings" w:hint="default"/>
      </w:rPr>
    </w:lvl>
  </w:abstractNum>
  <w:abstractNum w:abstractNumId="13">
    <w:nsid w:val="2F8948B4"/>
    <w:multiLevelType w:val="hybridMultilevel"/>
    <w:tmpl w:val="BCE633D8"/>
    <w:lvl w:ilvl="0" w:tplc="645A49B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169498F"/>
    <w:multiLevelType w:val="hybridMultilevel"/>
    <w:tmpl w:val="6AAA97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3520555A"/>
    <w:multiLevelType w:val="hybridMultilevel"/>
    <w:tmpl w:val="3E4EBE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C83516"/>
    <w:multiLevelType w:val="hybridMultilevel"/>
    <w:tmpl w:val="BC6AC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B7C34E2"/>
    <w:multiLevelType w:val="hybridMultilevel"/>
    <w:tmpl w:val="2488E7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0E542F"/>
    <w:multiLevelType w:val="hybridMultilevel"/>
    <w:tmpl w:val="9970E17A"/>
    <w:lvl w:ilvl="0" w:tplc="0809000F">
      <w:start w:val="1"/>
      <w:numFmt w:val="decimal"/>
      <w:lvlText w:val="%1."/>
      <w:lvlJc w:val="left"/>
      <w:pPr>
        <w:ind w:left="786"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9">
    <w:nsid w:val="476A7C3E"/>
    <w:multiLevelType w:val="hybridMultilevel"/>
    <w:tmpl w:val="75D262BC"/>
    <w:lvl w:ilvl="0" w:tplc="F488CFD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3672CE"/>
    <w:multiLevelType w:val="hybridMultilevel"/>
    <w:tmpl w:val="F6E440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2">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3">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673525B"/>
    <w:multiLevelType w:val="hybridMultilevel"/>
    <w:tmpl w:val="759EB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B142538"/>
    <w:multiLevelType w:val="hybridMultilevel"/>
    <w:tmpl w:val="3FB8D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D9A008E"/>
    <w:multiLevelType w:val="hybridMultilevel"/>
    <w:tmpl w:val="E440F030"/>
    <w:lvl w:ilvl="0" w:tplc="FFFFFFFF">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84D033C"/>
    <w:multiLevelType w:val="multilevel"/>
    <w:tmpl w:val="0F8E12E8"/>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iCs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EA0031A"/>
    <w:multiLevelType w:val="hybridMultilevel"/>
    <w:tmpl w:val="40160ED4"/>
    <w:lvl w:ilvl="0" w:tplc="645A49B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12"/>
  </w:num>
  <w:num w:numId="4">
    <w:abstractNumId w:val="21"/>
  </w:num>
  <w:num w:numId="5">
    <w:abstractNumId w:val="17"/>
  </w:num>
  <w:num w:numId="6">
    <w:abstractNumId w:val="1"/>
  </w:num>
  <w:num w:numId="7">
    <w:abstractNumId w:val="28"/>
  </w:num>
  <w:num w:numId="8">
    <w:abstractNumId w:val="27"/>
  </w:num>
  <w:num w:numId="9">
    <w:abstractNumId w:val="13"/>
  </w:num>
  <w:num w:numId="10">
    <w:abstractNumId w:val="29"/>
  </w:num>
  <w:num w:numId="11">
    <w:abstractNumId w:val="7"/>
  </w:num>
  <w:num w:numId="12">
    <w:abstractNumId w:val="10"/>
  </w:num>
  <w:num w:numId="13">
    <w:abstractNumId w:val="19"/>
  </w:num>
  <w:num w:numId="14">
    <w:abstractNumId w:val="4"/>
  </w:num>
  <w:num w:numId="15">
    <w:abstractNumId w:val="6"/>
  </w:num>
  <w:num w:numId="16">
    <w:abstractNumId w:val="15"/>
  </w:num>
  <w:num w:numId="17">
    <w:abstractNumId w:val="24"/>
  </w:num>
  <w:num w:numId="18">
    <w:abstractNumId w:val="16"/>
  </w:num>
  <w:num w:numId="19">
    <w:abstractNumId w:val="2"/>
  </w:num>
  <w:num w:numId="20">
    <w:abstractNumId w:val="14"/>
  </w:num>
  <w:num w:numId="21">
    <w:abstractNumId w:val="26"/>
  </w:num>
  <w:num w:numId="22">
    <w:abstractNumId w:val="5"/>
  </w:num>
  <w:num w:numId="23">
    <w:abstractNumId w:val="11"/>
  </w:num>
  <w:num w:numId="24">
    <w:abstractNumId w:val="8"/>
  </w:num>
  <w:num w:numId="25">
    <w:abstractNumId w:val="20"/>
  </w:num>
  <w:num w:numId="26">
    <w:abstractNumId w:val="22"/>
  </w:num>
  <w:num w:numId="27">
    <w:abstractNumId w:val="23"/>
  </w:num>
  <w:num w:numId="28">
    <w:abstractNumId w:val="3"/>
  </w:num>
  <w:num w:numId="29">
    <w:abstractNumId w:val="0"/>
  </w:num>
  <w:num w:numId="30">
    <w:abstractNumId w:val="9"/>
  </w:num>
  <w:num w:numId="31">
    <w:abstractNumId w:val="28"/>
  </w:num>
  <w:num w:numId="32">
    <w:abstractNumId w:val="28"/>
  </w:num>
  <w:num w:numId="33">
    <w:abstractNumId w:val="28"/>
  </w:num>
  <w:num w:numId="34">
    <w:abstractNumId w:val="28"/>
  </w:num>
  <w:num w:numId="35">
    <w:abstractNumId w:val="28"/>
  </w:num>
  <w:num w:numId="36">
    <w:abstractNumId w:val="28"/>
  </w:num>
  <w:num w:numId="37">
    <w:abstractNumId w:val="28"/>
  </w:num>
  <w:num w:numId="38">
    <w:abstractNumId w:val="28"/>
  </w:num>
  <w:num w:numId="39">
    <w:abstractNumId w:val="28"/>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cis Ip">
    <w15:presenceInfo w15:providerId="AD" w15:userId="S-1-5-21-948756243-734778046-674738317-237340"/>
  </w15:person>
  <w15:person w15:author="Yee Ching Ng">
    <w15:presenceInfo w15:providerId="AD" w15:userId="S-1-5-21-948756243-734778046-674738317-741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07D"/>
    <w:rsid w:val="000001DC"/>
    <w:rsid w:val="00000662"/>
    <w:rsid w:val="00000790"/>
    <w:rsid w:val="0000110B"/>
    <w:rsid w:val="000012EC"/>
    <w:rsid w:val="0000138F"/>
    <w:rsid w:val="0000147D"/>
    <w:rsid w:val="00001806"/>
    <w:rsid w:val="0000190F"/>
    <w:rsid w:val="00001B9F"/>
    <w:rsid w:val="000020E5"/>
    <w:rsid w:val="00002D32"/>
    <w:rsid w:val="0000325B"/>
    <w:rsid w:val="00003499"/>
    <w:rsid w:val="000039C4"/>
    <w:rsid w:val="000039CC"/>
    <w:rsid w:val="00003A49"/>
    <w:rsid w:val="00003ADA"/>
    <w:rsid w:val="00003F17"/>
    <w:rsid w:val="00003F90"/>
    <w:rsid w:val="00004940"/>
    <w:rsid w:val="00004A61"/>
    <w:rsid w:val="00004EBA"/>
    <w:rsid w:val="00004F49"/>
    <w:rsid w:val="00004F64"/>
    <w:rsid w:val="00004F8A"/>
    <w:rsid w:val="00005042"/>
    <w:rsid w:val="00005841"/>
    <w:rsid w:val="00005B46"/>
    <w:rsid w:val="00005D8B"/>
    <w:rsid w:val="00005E3C"/>
    <w:rsid w:val="000062D2"/>
    <w:rsid w:val="00006376"/>
    <w:rsid w:val="00006503"/>
    <w:rsid w:val="00006A2F"/>
    <w:rsid w:val="00006FD6"/>
    <w:rsid w:val="000072E3"/>
    <w:rsid w:val="00007471"/>
    <w:rsid w:val="0000754D"/>
    <w:rsid w:val="0000791D"/>
    <w:rsid w:val="00007B67"/>
    <w:rsid w:val="00007EC4"/>
    <w:rsid w:val="00010857"/>
    <w:rsid w:val="00010A9F"/>
    <w:rsid w:val="00010E87"/>
    <w:rsid w:val="00011DDA"/>
    <w:rsid w:val="000123EA"/>
    <w:rsid w:val="000129E3"/>
    <w:rsid w:val="00013247"/>
    <w:rsid w:val="00013467"/>
    <w:rsid w:val="00013538"/>
    <w:rsid w:val="00013727"/>
    <w:rsid w:val="00013A20"/>
    <w:rsid w:val="00013B6A"/>
    <w:rsid w:val="00013D9B"/>
    <w:rsid w:val="00013EAB"/>
    <w:rsid w:val="00014834"/>
    <w:rsid w:val="00014896"/>
    <w:rsid w:val="00014F8A"/>
    <w:rsid w:val="00015308"/>
    <w:rsid w:val="00015886"/>
    <w:rsid w:val="000159AB"/>
    <w:rsid w:val="00015CE8"/>
    <w:rsid w:val="000162EF"/>
    <w:rsid w:val="000163A4"/>
    <w:rsid w:val="000164BB"/>
    <w:rsid w:val="000164BF"/>
    <w:rsid w:val="00016686"/>
    <w:rsid w:val="00016B2C"/>
    <w:rsid w:val="00016FC9"/>
    <w:rsid w:val="00017883"/>
    <w:rsid w:val="000179DD"/>
    <w:rsid w:val="00017B9A"/>
    <w:rsid w:val="00017F61"/>
    <w:rsid w:val="00020B9E"/>
    <w:rsid w:val="00020D5C"/>
    <w:rsid w:val="00020D99"/>
    <w:rsid w:val="00020DF2"/>
    <w:rsid w:val="00021BF8"/>
    <w:rsid w:val="0002225F"/>
    <w:rsid w:val="0002243E"/>
    <w:rsid w:val="00022B29"/>
    <w:rsid w:val="00022E81"/>
    <w:rsid w:val="000232E9"/>
    <w:rsid w:val="000236A1"/>
    <w:rsid w:val="000236F3"/>
    <w:rsid w:val="00023763"/>
    <w:rsid w:val="00023FC3"/>
    <w:rsid w:val="00023FF6"/>
    <w:rsid w:val="00024273"/>
    <w:rsid w:val="000242D7"/>
    <w:rsid w:val="00024499"/>
    <w:rsid w:val="00024596"/>
    <w:rsid w:val="00025253"/>
    <w:rsid w:val="00025468"/>
    <w:rsid w:val="00025705"/>
    <w:rsid w:val="000257D1"/>
    <w:rsid w:val="00025B0C"/>
    <w:rsid w:val="0002690B"/>
    <w:rsid w:val="00026B7E"/>
    <w:rsid w:val="00026C8B"/>
    <w:rsid w:val="00027232"/>
    <w:rsid w:val="00027D66"/>
    <w:rsid w:val="00027DF0"/>
    <w:rsid w:val="00027FCE"/>
    <w:rsid w:val="000302BE"/>
    <w:rsid w:val="000306FF"/>
    <w:rsid w:val="00030ED0"/>
    <w:rsid w:val="0003136E"/>
    <w:rsid w:val="0003165D"/>
    <w:rsid w:val="0003190B"/>
    <w:rsid w:val="00031A80"/>
    <w:rsid w:val="00032052"/>
    <w:rsid w:val="000320A8"/>
    <w:rsid w:val="00032143"/>
    <w:rsid w:val="00032186"/>
    <w:rsid w:val="000325D3"/>
    <w:rsid w:val="000325DC"/>
    <w:rsid w:val="00032CFC"/>
    <w:rsid w:val="00033134"/>
    <w:rsid w:val="00033544"/>
    <w:rsid w:val="000337E6"/>
    <w:rsid w:val="0003394F"/>
    <w:rsid w:val="00033FD0"/>
    <w:rsid w:val="00034178"/>
    <w:rsid w:val="00034356"/>
    <w:rsid w:val="000348FA"/>
    <w:rsid w:val="000349CB"/>
    <w:rsid w:val="00034E97"/>
    <w:rsid w:val="00035268"/>
    <w:rsid w:val="00035436"/>
    <w:rsid w:val="0003546F"/>
    <w:rsid w:val="00035AF0"/>
    <w:rsid w:val="00035DF6"/>
    <w:rsid w:val="00035E09"/>
    <w:rsid w:val="00035EA3"/>
    <w:rsid w:val="000369E3"/>
    <w:rsid w:val="00036AA1"/>
    <w:rsid w:val="00036B18"/>
    <w:rsid w:val="00036E3D"/>
    <w:rsid w:val="00036E93"/>
    <w:rsid w:val="00036EEA"/>
    <w:rsid w:val="0003719A"/>
    <w:rsid w:val="000375AA"/>
    <w:rsid w:val="00037C9C"/>
    <w:rsid w:val="00037CAF"/>
    <w:rsid w:val="00040252"/>
    <w:rsid w:val="0004033D"/>
    <w:rsid w:val="0004048C"/>
    <w:rsid w:val="000404B2"/>
    <w:rsid w:val="00040895"/>
    <w:rsid w:val="000409E4"/>
    <w:rsid w:val="00040BF4"/>
    <w:rsid w:val="00040D63"/>
    <w:rsid w:val="000410C8"/>
    <w:rsid w:val="0004123C"/>
    <w:rsid w:val="000414E0"/>
    <w:rsid w:val="000420F9"/>
    <w:rsid w:val="000422C7"/>
    <w:rsid w:val="000422FA"/>
    <w:rsid w:val="00042472"/>
    <w:rsid w:val="000425FF"/>
    <w:rsid w:val="00042CA6"/>
    <w:rsid w:val="00043069"/>
    <w:rsid w:val="000430AD"/>
    <w:rsid w:val="000430E5"/>
    <w:rsid w:val="00043502"/>
    <w:rsid w:val="000438E5"/>
    <w:rsid w:val="00043916"/>
    <w:rsid w:val="00043BC3"/>
    <w:rsid w:val="00043C37"/>
    <w:rsid w:val="00043FF0"/>
    <w:rsid w:val="00044E4D"/>
    <w:rsid w:val="00044EEF"/>
    <w:rsid w:val="0004519F"/>
    <w:rsid w:val="00045428"/>
    <w:rsid w:val="0004570F"/>
    <w:rsid w:val="000457B9"/>
    <w:rsid w:val="00045E62"/>
    <w:rsid w:val="00045FC7"/>
    <w:rsid w:val="000464BE"/>
    <w:rsid w:val="000464F4"/>
    <w:rsid w:val="00046749"/>
    <w:rsid w:val="000467F7"/>
    <w:rsid w:val="00046829"/>
    <w:rsid w:val="00046DD6"/>
    <w:rsid w:val="00047593"/>
    <w:rsid w:val="00047851"/>
    <w:rsid w:val="00047B41"/>
    <w:rsid w:val="00047F3B"/>
    <w:rsid w:val="000502F7"/>
    <w:rsid w:val="00050B60"/>
    <w:rsid w:val="00050F9E"/>
    <w:rsid w:val="00051111"/>
    <w:rsid w:val="00051247"/>
    <w:rsid w:val="00051A0F"/>
    <w:rsid w:val="00051A44"/>
    <w:rsid w:val="00051C76"/>
    <w:rsid w:val="00051D7B"/>
    <w:rsid w:val="00051EFF"/>
    <w:rsid w:val="00051FCE"/>
    <w:rsid w:val="00052257"/>
    <w:rsid w:val="00052265"/>
    <w:rsid w:val="000524AF"/>
    <w:rsid w:val="000528BE"/>
    <w:rsid w:val="00052986"/>
    <w:rsid w:val="00052BAC"/>
    <w:rsid w:val="000530F3"/>
    <w:rsid w:val="0005336D"/>
    <w:rsid w:val="000535C5"/>
    <w:rsid w:val="00053CD0"/>
    <w:rsid w:val="0005407C"/>
    <w:rsid w:val="00054504"/>
    <w:rsid w:val="000546D7"/>
    <w:rsid w:val="00054B11"/>
    <w:rsid w:val="00054D1A"/>
    <w:rsid w:val="000553AA"/>
    <w:rsid w:val="00055866"/>
    <w:rsid w:val="000559C8"/>
    <w:rsid w:val="000563A3"/>
    <w:rsid w:val="000563D9"/>
    <w:rsid w:val="00056606"/>
    <w:rsid w:val="00056AFB"/>
    <w:rsid w:val="00056CF2"/>
    <w:rsid w:val="00056D8E"/>
    <w:rsid w:val="0005734B"/>
    <w:rsid w:val="000574C7"/>
    <w:rsid w:val="00057AD8"/>
    <w:rsid w:val="00057CDA"/>
    <w:rsid w:val="00060051"/>
    <w:rsid w:val="0006007C"/>
    <w:rsid w:val="000601C6"/>
    <w:rsid w:val="000605E1"/>
    <w:rsid w:val="000608DF"/>
    <w:rsid w:val="000613F4"/>
    <w:rsid w:val="00061B71"/>
    <w:rsid w:val="00061D5C"/>
    <w:rsid w:val="00061DBE"/>
    <w:rsid w:val="000620AC"/>
    <w:rsid w:val="00062519"/>
    <w:rsid w:val="00062587"/>
    <w:rsid w:val="00062AC0"/>
    <w:rsid w:val="0006305F"/>
    <w:rsid w:val="0006356E"/>
    <w:rsid w:val="000636FF"/>
    <w:rsid w:val="00063B8F"/>
    <w:rsid w:val="00063D8A"/>
    <w:rsid w:val="0006551D"/>
    <w:rsid w:val="000657B1"/>
    <w:rsid w:val="00065BFA"/>
    <w:rsid w:val="00066035"/>
    <w:rsid w:val="00066070"/>
    <w:rsid w:val="000660BC"/>
    <w:rsid w:val="0006620D"/>
    <w:rsid w:val="000664D4"/>
    <w:rsid w:val="00066747"/>
    <w:rsid w:val="0006706A"/>
    <w:rsid w:val="000674B6"/>
    <w:rsid w:val="00067508"/>
    <w:rsid w:val="0006753B"/>
    <w:rsid w:val="00067782"/>
    <w:rsid w:val="00067920"/>
    <w:rsid w:val="000701C1"/>
    <w:rsid w:val="000705DE"/>
    <w:rsid w:val="00070BC0"/>
    <w:rsid w:val="00070BF8"/>
    <w:rsid w:val="00070E62"/>
    <w:rsid w:val="00071248"/>
    <w:rsid w:val="000714C2"/>
    <w:rsid w:val="000716AB"/>
    <w:rsid w:val="000716E8"/>
    <w:rsid w:val="00071A05"/>
    <w:rsid w:val="00071AD1"/>
    <w:rsid w:val="00071C8D"/>
    <w:rsid w:val="00071DAA"/>
    <w:rsid w:val="000720B9"/>
    <w:rsid w:val="00072166"/>
    <w:rsid w:val="000722C1"/>
    <w:rsid w:val="00072316"/>
    <w:rsid w:val="000726AA"/>
    <w:rsid w:val="000730D0"/>
    <w:rsid w:val="000730FE"/>
    <w:rsid w:val="000732DE"/>
    <w:rsid w:val="000735A1"/>
    <w:rsid w:val="000739FE"/>
    <w:rsid w:val="00073B4A"/>
    <w:rsid w:val="00073EEF"/>
    <w:rsid w:val="00074234"/>
    <w:rsid w:val="0007440E"/>
    <w:rsid w:val="000745B1"/>
    <w:rsid w:val="000746E8"/>
    <w:rsid w:val="000748C8"/>
    <w:rsid w:val="00074A55"/>
    <w:rsid w:val="00074A85"/>
    <w:rsid w:val="00074AEF"/>
    <w:rsid w:val="00074CDB"/>
    <w:rsid w:val="00074D9F"/>
    <w:rsid w:val="000753B0"/>
    <w:rsid w:val="000756C7"/>
    <w:rsid w:val="00075779"/>
    <w:rsid w:val="00075E7A"/>
    <w:rsid w:val="00075F77"/>
    <w:rsid w:val="00076D53"/>
    <w:rsid w:val="000772A4"/>
    <w:rsid w:val="00077925"/>
    <w:rsid w:val="00077968"/>
    <w:rsid w:val="00077D4C"/>
    <w:rsid w:val="00077E3F"/>
    <w:rsid w:val="00080200"/>
    <w:rsid w:val="000809E2"/>
    <w:rsid w:val="0008115D"/>
    <w:rsid w:val="000812C7"/>
    <w:rsid w:val="000812CA"/>
    <w:rsid w:val="0008174E"/>
    <w:rsid w:val="00081E83"/>
    <w:rsid w:val="00082046"/>
    <w:rsid w:val="0008211B"/>
    <w:rsid w:val="00082B15"/>
    <w:rsid w:val="00082EA1"/>
    <w:rsid w:val="000834B2"/>
    <w:rsid w:val="000837EB"/>
    <w:rsid w:val="000839F4"/>
    <w:rsid w:val="00083ADB"/>
    <w:rsid w:val="00083C2B"/>
    <w:rsid w:val="00083E3E"/>
    <w:rsid w:val="000844AD"/>
    <w:rsid w:val="00085649"/>
    <w:rsid w:val="000856B3"/>
    <w:rsid w:val="00085A82"/>
    <w:rsid w:val="00085DAE"/>
    <w:rsid w:val="0008668B"/>
    <w:rsid w:val="00086A23"/>
    <w:rsid w:val="00086BB3"/>
    <w:rsid w:val="00086DA7"/>
    <w:rsid w:val="00086F95"/>
    <w:rsid w:val="00087206"/>
    <w:rsid w:val="00087211"/>
    <w:rsid w:val="000872FB"/>
    <w:rsid w:val="00087679"/>
    <w:rsid w:val="00087E5F"/>
    <w:rsid w:val="0009008B"/>
    <w:rsid w:val="000900BA"/>
    <w:rsid w:val="0009015A"/>
    <w:rsid w:val="000903BC"/>
    <w:rsid w:val="0009083F"/>
    <w:rsid w:val="00090912"/>
    <w:rsid w:val="0009092D"/>
    <w:rsid w:val="00090C7E"/>
    <w:rsid w:val="00090D55"/>
    <w:rsid w:val="00091634"/>
    <w:rsid w:val="00091957"/>
    <w:rsid w:val="00091976"/>
    <w:rsid w:val="00091C9A"/>
    <w:rsid w:val="00091D75"/>
    <w:rsid w:val="00091E34"/>
    <w:rsid w:val="00091E68"/>
    <w:rsid w:val="00091EA2"/>
    <w:rsid w:val="000924BE"/>
    <w:rsid w:val="00092567"/>
    <w:rsid w:val="000925C0"/>
    <w:rsid w:val="000929E2"/>
    <w:rsid w:val="00092BF8"/>
    <w:rsid w:val="00092E52"/>
    <w:rsid w:val="00092EF9"/>
    <w:rsid w:val="000932F0"/>
    <w:rsid w:val="00093DB5"/>
    <w:rsid w:val="00093ED8"/>
    <w:rsid w:val="000940F5"/>
    <w:rsid w:val="00094117"/>
    <w:rsid w:val="000944D7"/>
    <w:rsid w:val="00094653"/>
    <w:rsid w:val="000946BF"/>
    <w:rsid w:val="00094781"/>
    <w:rsid w:val="000948BF"/>
    <w:rsid w:val="00094F4B"/>
    <w:rsid w:val="00095953"/>
    <w:rsid w:val="000965DB"/>
    <w:rsid w:val="00096736"/>
    <w:rsid w:val="00096CFD"/>
    <w:rsid w:val="00097383"/>
    <w:rsid w:val="000A01D4"/>
    <w:rsid w:val="000A07DC"/>
    <w:rsid w:val="000A097B"/>
    <w:rsid w:val="000A09DB"/>
    <w:rsid w:val="000A0ED2"/>
    <w:rsid w:val="000A0FE0"/>
    <w:rsid w:val="000A116F"/>
    <w:rsid w:val="000A1336"/>
    <w:rsid w:val="000A1366"/>
    <w:rsid w:val="000A17C9"/>
    <w:rsid w:val="000A1C05"/>
    <w:rsid w:val="000A252E"/>
    <w:rsid w:val="000A26A5"/>
    <w:rsid w:val="000A2B35"/>
    <w:rsid w:val="000A2B7F"/>
    <w:rsid w:val="000A2E99"/>
    <w:rsid w:val="000A2FEF"/>
    <w:rsid w:val="000A3023"/>
    <w:rsid w:val="000A34D6"/>
    <w:rsid w:val="000A3544"/>
    <w:rsid w:val="000A3635"/>
    <w:rsid w:val="000A3B01"/>
    <w:rsid w:val="000A3DE7"/>
    <w:rsid w:val="000A3F6D"/>
    <w:rsid w:val="000A40E7"/>
    <w:rsid w:val="000A4A81"/>
    <w:rsid w:val="000A5B0E"/>
    <w:rsid w:val="000A5B18"/>
    <w:rsid w:val="000A5BA2"/>
    <w:rsid w:val="000A5BD9"/>
    <w:rsid w:val="000A5CE9"/>
    <w:rsid w:val="000A6281"/>
    <w:rsid w:val="000A62B5"/>
    <w:rsid w:val="000A663C"/>
    <w:rsid w:val="000A6A38"/>
    <w:rsid w:val="000A6BE3"/>
    <w:rsid w:val="000A6FFF"/>
    <w:rsid w:val="000A7A80"/>
    <w:rsid w:val="000A7D0E"/>
    <w:rsid w:val="000B02DA"/>
    <w:rsid w:val="000B0D04"/>
    <w:rsid w:val="000B115B"/>
    <w:rsid w:val="000B12BA"/>
    <w:rsid w:val="000B14FF"/>
    <w:rsid w:val="000B160C"/>
    <w:rsid w:val="000B1BD9"/>
    <w:rsid w:val="000B1ED3"/>
    <w:rsid w:val="000B2680"/>
    <w:rsid w:val="000B2A2C"/>
    <w:rsid w:val="000B2A96"/>
    <w:rsid w:val="000B3053"/>
    <w:rsid w:val="000B3888"/>
    <w:rsid w:val="000B3995"/>
    <w:rsid w:val="000B3AA9"/>
    <w:rsid w:val="000B3CD1"/>
    <w:rsid w:val="000B43D8"/>
    <w:rsid w:val="000B475A"/>
    <w:rsid w:val="000B4E2E"/>
    <w:rsid w:val="000B4F03"/>
    <w:rsid w:val="000B53D6"/>
    <w:rsid w:val="000B540C"/>
    <w:rsid w:val="000B5445"/>
    <w:rsid w:val="000B54A1"/>
    <w:rsid w:val="000B5600"/>
    <w:rsid w:val="000B565F"/>
    <w:rsid w:val="000B593B"/>
    <w:rsid w:val="000B5DA5"/>
    <w:rsid w:val="000B64F6"/>
    <w:rsid w:val="000B684E"/>
    <w:rsid w:val="000B6AE6"/>
    <w:rsid w:val="000B6CD9"/>
    <w:rsid w:val="000B6CF1"/>
    <w:rsid w:val="000B7AEA"/>
    <w:rsid w:val="000C0743"/>
    <w:rsid w:val="000C08B3"/>
    <w:rsid w:val="000C0973"/>
    <w:rsid w:val="000C0BBF"/>
    <w:rsid w:val="000C0E60"/>
    <w:rsid w:val="000C1481"/>
    <w:rsid w:val="000C1820"/>
    <w:rsid w:val="000C18C5"/>
    <w:rsid w:val="000C1974"/>
    <w:rsid w:val="000C1A3C"/>
    <w:rsid w:val="000C1B46"/>
    <w:rsid w:val="000C1F13"/>
    <w:rsid w:val="000C2750"/>
    <w:rsid w:val="000C281E"/>
    <w:rsid w:val="000C2CF3"/>
    <w:rsid w:val="000C34CB"/>
    <w:rsid w:val="000C37BE"/>
    <w:rsid w:val="000C3827"/>
    <w:rsid w:val="000C38F8"/>
    <w:rsid w:val="000C3B54"/>
    <w:rsid w:val="000C3C46"/>
    <w:rsid w:val="000C3F95"/>
    <w:rsid w:val="000C40F4"/>
    <w:rsid w:val="000C4AB7"/>
    <w:rsid w:val="000C4B6F"/>
    <w:rsid w:val="000C4DB2"/>
    <w:rsid w:val="000C4DCD"/>
    <w:rsid w:val="000C4F0F"/>
    <w:rsid w:val="000C4FFA"/>
    <w:rsid w:val="000C54FC"/>
    <w:rsid w:val="000C57FA"/>
    <w:rsid w:val="000C59AA"/>
    <w:rsid w:val="000C5B03"/>
    <w:rsid w:val="000C6292"/>
    <w:rsid w:val="000C62AC"/>
    <w:rsid w:val="000C663B"/>
    <w:rsid w:val="000C66C5"/>
    <w:rsid w:val="000C6723"/>
    <w:rsid w:val="000C6788"/>
    <w:rsid w:val="000C6F96"/>
    <w:rsid w:val="000C71B4"/>
    <w:rsid w:val="000C74AD"/>
    <w:rsid w:val="000C77FD"/>
    <w:rsid w:val="000C7CAA"/>
    <w:rsid w:val="000D0BFB"/>
    <w:rsid w:val="000D0DA4"/>
    <w:rsid w:val="000D0F8C"/>
    <w:rsid w:val="000D1009"/>
    <w:rsid w:val="000D127A"/>
    <w:rsid w:val="000D12DC"/>
    <w:rsid w:val="000D1359"/>
    <w:rsid w:val="000D15AE"/>
    <w:rsid w:val="000D1A13"/>
    <w:rsid w:val="000D1BFC"/>
    <w:rsid w:val="000D1E2F"/>
    <w:rsid w:val="000D2141"/>
    <w:rsid w:val="000D2350"/>
    <w:rsid w:val="000D2609"/>
    <w:rsid w:val="000D263B"/>
    <w:rsid w:val="000D27CA"/>
    <w:rsid w:val="000D2888"/>
    <w:rsid w:val="000D32AF"/>
    <w:rsid w:val="000D398E"/>
    <w:rsid w:val="000D3B98"/>
    <w:rsid w:val="000D4124"/>
    <w:rsid w:val="000D42F2"/>
    <w:rsid w:val="000D4A5A"/>
    <w:rsid w:val="000D4B95"/>
    <w:rsid w:val="000D4CA0"/>
    <w:rsid w:val="000D594A"/>
    <w:rsid w:val="000D5D7B"/>
    <w:rsid w:val="000D5E9F"/>
    <w:rsid w:val="000D6A91"/>
    <w:rsid w:val="000D6F4C"/>
    <w:rsid w:val="000D6F70"/>
    <w:rsid w:val="000D7563"/>
    <w:rsid w:val="000D78A0"/>
    <w:rsid w:val="000D7D37"/>
    <w:rsid w:val="000D7DA0"/>
    <w:rsid w:val="000E0255"/>
    <w:rsid w:val="000E0501"/>
    <w:rsid w:val="000E0A41"/>
    <w:rsid w:val="000E10EF"/>
    <w:rsid w:val="000E121F"/>
    <w:rsid w:val="000E1301"/>
    <w:rsid w:val="000E134D"/>
    <w:rsid w:val="000E17F9"/>
    <w:rsid w:val="000E186B"/>
    <w:rsid w:val="000E1D80"/>
    <w:rsid w:val="000E1E86"/>
    <w:rsid w:val="000E280E"/>
    <w:rsid w:val="000E2C11"/>
    <w:rsid w:val="000E2C47"/>
    <w:rsid w:val="000E2D04"/>
    <w:rsid w:val="000E32C3"/>
    <w:rsid w:val="000E36CB"/>
    <w:rsid w:val="000E37DD"/>
    <w:rsid w:val="000E3873"/>
    <w:rsid w:val="000E38CD"/>
    <w:rsid w:val="000E39A2"/>
    <w:rsid w:val="000E3E40"/>
    <w:rsid w:val="000E4028"/>
    <w:rsid w:val="000E421D"/>
    <w:rsid w:val="000E466D"/>
    <w:rsid w:val="000E484D"/>
    <w:rsid w:val="000E48FB"/>
    <w:rsid w:val="000E4A00"/>
    <w:rsid w:val="000E4BD7"/>
    <w:rsid w:val="000E4D0A"/>
    <w:rsid w:val="000E4F00"/>
    <w:rsid w:val="000E4FBF"/>
    <w:rsid w:val="000E52DE"/>
    <w:rsid w:val="000E5937"/>
    <w:rsid w:val="000E5AA9"/>
    <w:rsid w:val="000E5C33"/>
    <w:rsid w:val="000E5CEF"/>
    <w:rsid w:val="000E60D4"/>
    <w:rsid w:val="000E617D"/>
    <w:rsid w:val="000E61E0"/>
    <w:rsid w:val="000E69AB"/>
    <w:rsid w:val="000E69CF"/>
    <w:rsid w:val="000E6A93"/>
    <w:rsid w:val="000E6B8E"/>
    <w:rsid w:val="000E762A"/>
    <w:rsid w:val="000E76A8"/>
    <w:rsid w:val="000E7BC1"/>
    <w:rsid w:val="000E7E60"/>
    <w:rsid w:val="000E7F53"/>
    <w:rsid w:val="000F014C"/>
    <w:rsid w:val="000F0881"/>
    <w:rsid w:val="000F0A61"/>
    <w:rsid w:val="000F0DAE"/>
    <w:rsid w:val="000F11E3"/>
    <w:rsid w:val="000F123C"/>
    <w:rsid w:val="000F12E6"/>
    <w:rsid w:val="000F146F"/>
    <w:rsid w:val="000F14BB"/>
    <w:rsid w:val="000F150E"/>
    <w:rsid w:val="000F1637"/>
    <w:rsid w:val="000F22D5"/>
    <w:rsid w:val="000F28C6"/>
    <w:rsid w:val="000F298A"/>
    <w:rsid w:val="000F2D53"/>
    <w:rsid w:val="000F2D72"/>
    <w:rsid w:val="000F3482"/>
    <w:rsid w:val="000F3981"/>
    <w:rsid w:val="000F3FBD"/>
    <w:rsid w:val="000F43E5"/>
    <w:rsid w:val="000F494E"/>
    <w:rsid w:val="000F4BB8"/>
    <w:rsid w:val="000F4DDF"/>
    <w:rsid w:val="000F51AF"/>
    <w:rsid w:val="000F5753"/>
    <w:rsid w:val="000F5A4F"/>
    <w:rsid w:val="000F5CA7"/>
    <w:rsid w:val="000F6204"/>
    <w:rsid w:val="000F6A02"/>
    <w:rsid w:val="000F6FF8"/>
    <w:rsid w:val="000F7015"/>
    <w:rsid w:val="000F705F"/>
    <w:rsid w:val="000F710E"/>
    <w:rsid w:val="000F7127"/>
    <w:rsid w:val="000F73EC"/>
    <w:rsid w:val="000F74FA"/>
    <w:rsid w:val="000F7990"/>
    <w:rsid w:val="000F7B27"/>
    <w:rsid w:val="000F7D3B"/>
    <w:rsid w:val="000F7E44"/>
    <w:rsid w:val="00100245"/>
    <w:rsid w:val="0010044D"/>
    <w:rsid w:val="00100824"/>
    <w:rsid w:val="0010082B"/>
    <w:rsid w:val="00100F8A"/>
    <w:rsid w:val="0010112B"/>
    <w:rsid w:val="0010157A"/>
    <w:rsid w:val="0010188A"/>
    <w:rsid w:val="00101BFB"/>
    <w:rsid w:val="00101E20"/>
    <w:rsid w:val="00101FF2"/>
    <w:rsid w:val="00102108"/>
    <w:rsid w:val="00102657"/>
    <w:rsid w:val="001028B6"/>
    <w:rsid w:val="00102BC3"/>
    <w:rsid w:val="00102C08"/>
    <w:rsid w:val="00102DBA"/>
    <w:rsid w:val="00102F7C"/>
    <w:rsid w:val="00103322"/>
    <w:rsid w:val="0010342B"/>
    <w:rsid w:val="0010390F"/>
    <w:rsid w:val="00103F21"/>
    <w:rsid w:val="0010478C"/>
    <w:rsid w:val="00104AC3"/>
    <w:rsid w:val="00104B4E"/>
    <w:rsid w:val="00104C1D"/>
    <w:rsid w:val="00104CD3"/>
    <w:rsid w:val="00104D69"/>
    <w:rsid w:val="00105212"/>
    <w:rsid w:val="001053F0"/>
    <w:rsid w:val="0010602C"/>
    <w:rsid w:val="001063B0"/>
    <w:rsid w:val="001063D0"/>
    <w:rsid w:val="001064E2"/>
    <w:rsid w:val="001066F9"/>
    <w:rsid w:val="001069A5"/>
    <w:rsid w:val="00106B46"/>
    <w:rsid w:val="00106D37"/>
    <w:rsid w:val="0010741A"/>
    <w:rsid w:val="00107433"/>
    <w:rsid w:val="0010747E"/>
    <w:rsid w:val="00107B55"/>
    <w:rsid w:val="00107BF1"/>
    <w:rsid w:val="00107ED0"/>
    <w:rsid w:val="0011032E"/>
    <w:rsid w:val="0011058B"/>
    <w:rsid w:val="001108A0"/>
    <w:rsid w:val="00110E49"/>
    <w:rsid w:val="00111423"/>
    <w:rsid w:val="0011193A"/>
    <w:rsid w:val="00111A1C"/>
    <w:rsid w:val="00111B8A"/>
    <w:rsid w:val="00111C8E"/>
    <w:rsid w:val="00111F53"/>
    <w:rsid w:val="00112653"/>
    <w:rsid w:val="00112929"/>
    <w:rsid w:val="00112A0E"/>
    <w:rsid w:val="00112C41"/>
    <w:rsid w:val="00112F3D"/>
    <w:rsid w:val="0011348B"/>
    <w:rsid w:val="00113636"/>
    <w:rsid w:val="001137D2"/>
    <w:rsid w:val="00113B37"/>
    <w:rsid w:val="00113B54"/>
    <w:rsid w:val="001140A5"/>
    <w:rsid w:val="0011410C"/>
    <w:rsid w:val="0011424F"/>
    <w:rsid w:val="001146F8"/>
    <w:rsid w:val="0011495E"/>
    <w:rsid w:val="00114A2D"/>
    <w:rsid w:val="00114C6D"/>
    <w:rsid w:val="00114CDE"/>
    <w:rsid w:val="00115246"/>
    <w:rsid w:val="0011585B"/>
    <w:rsid w:val="00115A91"/>
    <w:rsid w:val="00115E41"/>
    <w:rsid w:val="00116354"/>
    <w:rsid w:val="0011660D"/>
    <w:rsid w:val="0011666F"/>
    <w:rsid w:val="00116A7D"/>
    <w:rsid w:val="00116DAB"/>
    <w:rsid w:val="00117207"/>
    <w:rsid w:val="001177F4"/>
    <w:rsid w:val="001179C6"/>
    <w:rsid w:val="00117A96"/>
    <w:rsid w:val="00117D93"/>
    <w:rsid w:val="00117DB9"/>
    <w:rsid w:val="00117E24"/>
    <w:rsid w:val="00117F58"/>
    <w:rsid w:val="00120078"/>
    <w:rsid w:val="00120213"/>
    <w:rsid w:val="00120413"/>
    <w:rsid w:val="0012062A"/>
    <w:rsid w:val="0012067E"/>
    <w:rsid w:val="00120937"/>
    <w:rsid w:val="00120A88"/>
    <w:rsid w:val="00121114"/>
    <w:rsid w:val="00121734"/>
    <w:rsid w:val="00121799"/>
    <w:rsid w:val="00121A61"/>
    <w:rsid w:val="001222FC"/>
    <w:rsid w:val="001224EA"/>
    <w:rsid w:val="00122739"/>
    <w:rsid w:val="001228D8"/>
    <w:rsid w:val="00122CE5"/>
    <w:rsid w:val="00122E71"/>
    <w:rsid w:val="00123185"/>
    <w:rsid w:val="0012321D"/>
    <w:rsid w:val="001234D9"/>
    <w:rsid w:val="0012368F"/>
    <w:rsid w:val="0012371D"/>
    <w:rsid w:val="00123740"/>
    <w:rsid w:val="001237E9"/>
    <w:rsid w:val="00123C4A"/>
    <w:rsid w:val="00123E6B"/>
    <w:rsid w:val="0012434D"/>
    <w:rsid w:val="001243D4"/>
    <w:rsid w:val="00124815"/>
    <w:rsid w:val="00124967"/>
    <w:rsid w:val="00124A51"/>
    <w:rsid w:val="001256A9"/>
    <w:rsid w:val="001256D0"/>
    <w:rsid w:val="00125B63"/>
    <w:rsid w:val="00125FBB"/>
    <w:rsid w:val="00126474"/>
    <w:rsid w:val="00126621"/>
    <w:rsid w:val="00126EDF"/>
    <w:rsid w:val="001271EB"/>
    <w:rsid w:val="00127806"/>
    <w:rsid w:val="00127A7F"/>
    <w:rsid w:val="00127D36"/>
    <w:rsid w:val="00127FFA"/>
    <w:rsid w:val="001301E9"/>
    <w:rsid w:val="00130255"/>
    <w:rsid w:val="001303D9"/>
    <w:rsid w:val="00130612"/>
    <w:rsid w:val="001308E3"/>
    <w:rsid w:val="00130A45"/>
    <w:rsid w:val="00131158"/>
    <w:rsid w:val="001312B2"/>
    <w:rsid w:val="001313B8"/>
    <w:rsid w:val="00131775"/>
    <w:rsid w:val="00131982"/>
    <w:rsid w:val="00131B29"/>
    <w:rsid w:val="00131B9C"/>
    <w:rsid w:val="00132936"/>
    <w:rsid w:val="00132A04"/>
    <w:rsid w:val="00133289"/>
    <w:rsid w:val="001333AB"/>
    <w:rsid w:val="00133BFD"/>
    <w:rsid w:val="00133F99"/>
    <w:rsid w:val="0013504B"/>
    <w:rsid w:val="001356B8"/>
    <w:rsid w:val="001356E7"/>
    <w:rsid w:val="00135A50"/>
    <w:rsid w:val="001363F0"/>
    <w:rsid w:val="0013660C"/>
    <w:rsid w:val="00136940"/>
    <w:rsid w:val="00136A44"/>
    <w:rsid w:val="00136CA3"/>
    <w:rsid w:val="00136D46"/>
    <w:rsid w:val="00137485"/>
    <w:rsid w:val="00137541"/>
    <w:rsid w:val="00137645"/>
    <w:rsid w:val="00137919"/>
    <w:rsid w:val="00137E86"/>
    <w:rsid w:val="0014015A"/>
    <w:rsid w:val="0014024C"/>
    <w:rsid w:val="001406AA"/>
    <w:rsid w:val="00140DA9"/>
    <w:rsid w:val="00140E99"/>
    <w:rsid w:val="00140F44"/>
    <w:rsid w:val="00140FBA"/>
    <w:rsid w:val="00141182"/>
    <w:rsid w:val="001411EF"/>
    <w:rsid w:val="0014182B"/>
    <w:rsid w:val="00141E5F"/>
    <w:rsid w:val="00141FB1"/>
    <w:rsid w:val="00142288"/>
    <w:rsid w:val="0014228A"/>
    <w:rsid w:val="00142381"/>
    <w:rsid w:val="0014239C"/>
    <w:rsid w:val="001425AC"/>
    <w:rsid w:val="001427E1"/>
    <w:rsid w:val="00142B89"/>
    <w:rsid w:val="00142F69"/>
    <w:rsid w:val="00143371"/>
    <w:rsid w:val="00143412"/>
    <w:rsid w:val="0014344C"/>
    <w:rsid w:val="001435BE"/>
    <w:rsid w:val="0014361B"/>
    <w:rsid w:val="00143689"/>
    <w:rsid w:val="001438A7"/>
    <w:rsid w:val="00143B85"/>
    <w:rsid w:val="00143FB4"/>
    <w:rsid w:val="00144347"/>
    <w:rsid w:val="001449F8"/>
    <w:rsid w:val="00144BB3"/>
    <w:rsid w:val="0014539F"/>
    <w:rsid w:val="00145540"/>
    <w:rsid w:val="001456B0"/>
    <w:rsid w:val="00145C0B"/>
    <w:rsid w:val="00145EB7"/>
    <w:rsid w:val="00146381"/>
    <w:rsid w:val="001464F0"/>
    <w:rsid w:val="0014656C"/>
    <w:rsid w:val="00146818"/>
    <w:rsid w:val="00146AAE"/>
    <w:rsid w:val="001471B1"/>
    <w:rsid w:val="00150158"/>
    <w:rsid w:val="0015055E"/>
    <w:rsid w:val="001505B8"/>
    <w:rsid w:val="00150766"/>
    <w:rsid w:val="001507E5"/>
    <w:rsid w:val="00150DF5"/>
    <w:rsid w:val="0015133A"/>
    <w:rsid w:val="00151698"/>
    <w:rsid w:val="0015178F"/>
    <w:rsid w:val="001526C3"/>
    <w:rsid w:val="00152AE6"/>
    <w:rsid w:val="00152F65"/>
    <w:rsid w:val="00152F86"/>
    <w:rsid w:val="00153193"/>
    <w:rsid w:val="0015321D"/>
    <w:rsid w:val="00153597"/>
    <w:rsid w:val="0015374F"/>
    <w:rsid w:val="00153D20"/>
    <w:rsid w:val="0015433F"/>
    <w:rsid w:val="00154341"/>
    <w:rsid w:val="0015436F"/>
    <w:rsid w:val="001543C4"/>
    <w:rsid w:val="001543C8"/>
    <w:rsid w:val="00154D4E"/>
    <w:rsid w:val="00154E13"/>
    <w:rsid w:val="001554B1"/>
    <w:rsid w:val="00155EC9"/>
    <w:rsid w:val="00155F44"/>
    <w:rsid w:val="001562AE"/>
    <w:rsid w:val="001562EC"/>
    <w:rsid w:val="00156335"/>
    <w:rsid w:val="0015654E"/>
    <w:rsid w:val="001565C7"/>
    <w:rsid w:val="001568F9"/>
    <w:rsid w:val="00156A78"/>
    <w:rsid w:val="00156E9C"/>
    <w:rsid w:val="00156F05"/>
    <w:rsid w:val="00157130"/>
    <w:rsid w:val="0015716A"/>
    <w:rsid w:val="001573EB"/>
    <w:rsid w:val="001577F9"/>
    <w:rsid w:val="00157D44"/>
    <w:rsid w:val="00157D8E"/>
    <w:rsid w:val="00160713"/>
    <w:rsid w:val="00160867"/>
    <w:rsid w:val="00160C43"/>
    <w:rsid w:val="00161254"/>
    <w:rsid w:val="0016140E"/>
    <w:rsid w:val="00161681"/>
    <w:rsid w:val="00161AB3"/>
    <w:rsid w:val="00161F0D"/>
    <w:rsid w:val="001627DD"/>
    <w:rsid w:val="00162913"/>
    <w:rsid w:val="00162B40"/>
    <w:rsid w:val="00162C5E"/>
    <w:rsid w:val="00162F42"/>
    <w:rsid w:val="001634B7"/>
    <w:rsid w:val="00163C3A"/>
    <w:rsid w:val="00163E57"/>
    <w:rsid w:val="00163EFF"/>
    <w:rsid w:val="00164A2F"/>
    <w:rsid w:val="0016531D"/>
    <w:rsid w:val="0016531F"/>
    <w:rsid w:val="00165515"/>
    <w:rsid w:val="00165830"/>
    <w:rsid w:val="00165A3F"/>
    <w:rsid w:val="00165B7C"/>
    <w:rsid w:val="00165CEE"/>
    <w:rsid w:val="0016618F"/>
    <w:rsid w:val="001661FB"/>
    <w:rsid w:val="001664C6"/>
    <w:rsid w:val="001665D2"/>
    <w:rsid w:val="001667E0"/>
    <w:rsid w:val="00166896"/>
    <w:rsid w:val="0016783D"/>
    <w:rsid w:val="00167927"/>
    <w:rsid w:val="00167ADF"/>
    <w:rsid w:val="00167BC8"/>
    <w:rsid w:val="00167D6C"/>
    <w:rsid w:val="00167FF4"/>
    <w:rsid w:val="00170477"/>
    <w:rsid w:val="00170D71"/>
    <w:rsid w:val="00170DB4"/>
    <w:rsid w:val="00170E80"/>
    <w:rsid w:val="00171057"/>
    <w:rsid w:val="001717AC"/>
    <w:rsid w:val="00171BCE"/>
    <w:rsid w:val="00171CA9"/>
    <w:rsid w:val="00172130"/>
    <w:rsid w:val="00172748"/>
    <w:rsid w:val="00172767"/>
    <w:rsid w:val="00172F30"/>
    <w:rsid w:val="00173A5F"/>
    <w:rsid w:val="00173F2B"/>
    <w:rsid w:val="00174000"/>
    <w:rsid w:val="00174281"/>
    <w:rsid w:val="00174882"/>
    <w:rsid w:val="00174BC8"/>
    <w:rsid w:val="001752ED"/>
    <w:rsid w:val="001753AA"/>
    <w:rsid w:val="001759FB"/>
    <w:rsid w:val="001762B3"/>
    <w:rsid w:val="001764B2"/>
    <w:rsid w:val="00176BB2"/>
    <w:rsid w:val="00177032"/>
    <w:rsid w:val="001771E6"/>
    <w:rsid w:val="00177854"/>
    <w:rsid w:val="00177B13"/>
    <w:rsid w:val="00177BC1"/>
    <w:rsid w:val="001801D1"/>
    <w:rsid w:val="0018054C"/>
    <w:rsid w:val="00180746"/>
    <w:rsid w:val="00180CA8"/>
    <w:rsid w:val="00181302"/>
    <w:rsid w:val="001815B2"/>
    <w:rsid w:val="0018186C"/>
    <w:rsid w:val="00181B48"/>
    <w:rsid w:val="0018223F"/>
    <w:rsid w:val="00182496"/>
    <w:rsid w:val="001826FC"/>
    <w:rsid w:val="0018292F"/>
    <w:rsid w:val="00182DE5"/>
    <w:rsid w:val="00182FCC"/>
    <w:rsid w:val="00183139"/>
    <w:rsid w:val="001831EB"/>
    <w:rsid w:val="001834E7"/>
    <w:rsid w:val="0018383E"/>
    <w:rsid w:val="001838FC"/>
    <w:rsid w:val="00183918"/>
    <w:rsid w:val="00183E43"/>
    <w:rsid w:val="001841E0"/>
    <w:rsid w:val="00184342"/>
    <w:rsid w:val="00184496"/>
    <w:rsid w:val="001844F2"/>
    <w:rsid w:val="001849FC"/>
    <w:rsid w:val="00184C8F"/>
    <w:rsid w:val="00184DBB"/>
    <w:rsid w:val="00184E1A"/>
    <w:rsid w:val="00184E93"/>
    <w:rsid w:val="00184F3F"/>
    <w:rsid w:val="00185EED"/>
    <w:rsid w:val="00185F55"/>
    <w:rsid w:val="001860BF"/>
    <w:rsid w:val="00186244"/>
    <w:rsid w:val="001862F6"/>
    <w:rsid w:val="0018646B"/>
    <w:rsid w:val="00186617"/>
    <w:rsid w:val="00186816"/>
    <w:rsid w:val="00186947"/>
    <w:rsid w:val="001869B8"/>
    <w:rsid w:val="00186A86"/>
    <w:rsid w:val="00186B1E"/>
    <w:rsid w:val="00186FD8"/>
    <w:rsid w:val="001871B9"/>
    <w:rsid w:val="0018752F"/>
    <w:rsid w:val="001876A2"/>
    <w:rsid w:val="00190145"/>
    <w:rsid w:val="001901D3"/>
    <w:rsid w:val="0019021A"/>
    <w:rsid w:val="0019038D"/>
    <w:rsid w:val="001906C4"/>
    <w:rsid w:val="001908C5"/>
    <w:rsid w:val="00190BC9"/>
    <w:rsid w:val="00190CDD"/>
    <w:rsid w:val="00190E6A"/>
    <w:rsid w:val="00191097"/>
    <w:rsid w:val="00191307"/>
    <w:rsid w:val="001913BF"/>
    <w:rsid w:val="001914B3"/>
    <w:rsid w:val="001917CA"/>
    <w:rsid w:val="00191A9B"/>
    <w:rsid w:val="00191D40"/>
    <w:rsid w:val="001921C2"/>
    <w:rsid w:val="00192240"/>
    <w:rsid w:val="00192532"/>
    <w:rsid w:val="0019281B"/>
    <w:rsid w:val="00192883"/>
    <w:rsid w:val="00192D96"/>
    <w:rsid w:val="001931B8"/>
    <w:rsid w:val="00193A42"/>
    <w:rsid w:val="00193C34"/>
    <w:rsid w:val="00193E4E"/>
    <w:rsid w:val="00193EEF"/>
    <w:rsid w:val="00194884"/>
    <w:rsid w:val="00194E37"/>
    <w:rsid w:val="00195042"/>
    <w:rsid w:val="001950FD"/>
    <w:rsid w:val="00195222"/>
    <w:rsid w:val="0019586C"/>
    <w:rsid w:val="00195BFA"/>
    <w:rsid w:val="00195D9B"/>
    <w:rsid w:val="00195E6F"/>
    <w:rsid w:val="00196CF3"/>
    <w:rsid w:val="001973ED"/>
    <w:rsid w:val="0019748B"/>
    <w:rsid w:val="00197596"/>
    <w:rsid w:val="001975D8"/>
    <w:rsid w:val="00197946"/>
    <w:rsid w:val="00197A6C"/>
    <w:rsid w:val="00197BE9"/>
    <w:rsid w:val="00197FA5"/>
    <w:rsid w:val="001A08DF"/>
    <w:rsid w:val="001A093F"/>
    <w:rsid w:val="001A0A2A"/>
    <w:rsid w:val="001A0AE3"/>
    <w:rsid w:val="001A0EC6"/>
    <w:rsid w:val="001A1B19"/>
    <w:rsid w:val="001A1E00"/>
    <w:rsid w:val="001A200B"/>
    <w:rsid w:val="001A2038"/>
    <w:rsid w:val="001A22CA"/>
    <w:rsid w:val="001A24AD"/>
    <w:rsid w:val="001A2D5D"/>
    <w:rsid w:val="001A2DB2"/>
    <w:rsid w:val="001A2FCF"/>
    <w:rsid w:val="001A321A"/>
    <w:rsid w:val="001A3802"/>
    <w:rsid w:val="001A3845"/>
    <w:rsid w:val="001A3953"/>
    <w:rsid w:val="001A3CAC"/>
    <w:rsid w:val="001A4092"/>
    <w:rsid w:val="001A429B"/>
    <w:rsid w:val="001A43A2"/>
    <w:rsid w:val="001A4423"/>
    <w:rsid w:val="001A4B17"/>
    <w:rsid w:val="001A512D"/>
    <w:rsid w:val="001A564F"/>
    <w:rsid w:val="001A565D"/>
    <w:rsid w:val="001A5A79"/>
    <w:rsid w:val="001A678E"/>
    <w:rsid w:val="001A690D"/>
    <w:rsid w:val="001A6D46"/>
    <w:rsid w:val="001A6D48"/>
    <w:rsid w:val="001A72E2"/>
    <w:rsid w:val="001A738E"/>
    <w:rsid w:val="001A742F"/>
    <w:rsid w:val="001B00C2"/>
    <w:rsid w:val="001B0453"/>
    <w:rsid w:val="001B0463"/>
    <w:rsid w:val="001B1080"/>
    <w:rsid w:val="001B12B1"/>
    <w:rsid w:val="001B12EA"/>
    <w:rsid w:val="001B1ABE"/>
    <w:rsid w:val="001B1DD7"/>
    <w:rsid w:val="001B205D"/>
    <w:rsid w:val="001B233D"/>
    <w:rsid w:val="001B2353"/>
    <w:rsid w:val="001B2484"/>
    <w:rsid w:val="001B260F"/>
    <w:rsid w:val="001B3443"/>
    <w:rsid w:val="001B409A"/>
    <w:rsid w:val="001B4431"/>
    <w:rsid w:val="001B47ED"/>
    <w:rsid w:val="001B4916"/>
    <w:rsid w:val="001B49D2"/>
    <w:rsid w:val="001B50C9"/>
    <w:rsid w:val="001B5273"/>
    <w:rsid w:val="001B566E"/>
    <w:rsid w:val="001B58F2"/>
    <w:rsid w:val="001B5DF6"/>
    <w:rsid w:val="001B6473"/>
    <w:rsid w:val="001B6572"/>
    <w:rsid w:val="001B6927"/>
    <w:rsid w:val="001B696D"/>
    <w:rsid w:val="001B6D45"/>
    <w:rsid w:val="001B6D69"/>
    <w:rsid w:val="001B6FA7"/>
    <w:rsid w:val="001B71C1"/>
    <w:rsid w:val="001B7567"/>
    <w:rsid w:val="001C059D"/>
    <w:rsid w:val="001C05D5"/>
    <w:rsid w:val="001C06AC"/>
    <w:rsid w:val="001C0888"/>
    <w:rsid w:val="001C0991"/>
    <w:rsid w:val="001C0A40"/>
    <w:rsid w:val="001C0ACC"/>
    <w:rsid w:val="001C1472"/>
    <w:rsid w:val="001C1925"/>
    <w:rsid w:val="001C19A4"/>
    <w:rsid w:val="001C1D73"/>
    <w:rsid w:val="001C1FE6"/>
    <w:rsid w:val="001C20F6"/>
    <w:rsid w:val="001C2601"/>
    <w:rsid w:val="001C26F9"/>
    <w:rsid w:val="001C28FD"/>
    <w:rsid w:val="001C2DC7"/>
    <w:rsid w:val="001C30F5"/>
    <w:rsid w:val="001C33F7"/>
    <w:rsid w:val="001C34B8"/>
    <w:rsid w:val="001C35A9"/>
    <w:rsid w:val="001C37A9"/>
    <w:rsid w:val="001C4040"/>
    <w:rsid w:val="001C441B"/>
    <w:rsid w:val="001C480C"/>
    <w:rsid w:val="001C4D2D"/>
    <w:rsid w:val="001C5376"/>
    <w:rsid w:val="001C55B0"/>
    <w:rsid w:val="001C56C0"/>
    <w:rsid w:val="001C5D28"/>
    <w:rsid w:val="001C600C"/>
    <w:rsid w:val="001C60AA"/>
    <w:rsid w:val="001C64EF"/>
    <w:rsid w:val="001C6551"/>
    <w:rsid w:val="001C6649"/>
    <w:rsid w:val="001C69BE"/>
    <w:rsid w:val="001C6AC5"/>
    <w:rsid w:val="001C6E66"/>
    <w:rsid w:val="001C71C5"/>
    <w:rsid w:val="001C757D"/>
    <w:rsid w:val="001C77A5"/>
    <w:rsid w:val="001C7A50"/>
    <w:rsid w:val="001D006E"/>
    <w:rsid w:val="001D08F0"/>
    <w:rsid w:val="001D0C0E"/>
    <w:rsid w:val="001D1CDB"/>
    <w:rsid w:val="001D209A"/>
    <w:rsid w:val="001D2145"/>
    <w:rsid w:val="001D25ED"/>
    <w:rsid w:val="001D262D"/>
    <w:rsid w:val="001D2838"/>
    <w:rsid w:val="001D2A7D"/>
    <w:rsid w:val="001D2B8F"/>
    <w:rsid w:val="001D2C95"/>
    <w:rsid w:val="001D3343"/>
    <w:rsid w:val="001D35E5"/>
    <w:rsid w:val="001D3D8D"/>
    <w:rsid w:val="001D43D4"/>
    <w:rsid w:val="001D4703"/>
    <w:rsid w:val="001D4875"/>
    <w:rsid w:val="001D4E1A"/>
    <w:rsid w:val="001D5B4F"/>
    <w:rsid w:val="001D61E5"/>
    <w:rsid w:val="001D63DF"/>
    <w:rsid w:val="001D6697"/>
    <w:rsid w:val="001D6841"/>
    <w:rsid w:val="001D69A7"/>
    <w:rsid w:val="001D6C3E"/>
    <w:rsid w:val="001D6E89"/>
    <w:rsid w:val="001D6F66"/>
    <w:rsid w:val="001D72C2"/>
    <w:rsid w:val="001D7BA3"/>
    <w:rsid w:val="001D7BE7"/>
    <w:rsid w:val="001D7F6A"/>
    <w:rsid w:val="001E01A5"/>
    <w:rsid w:val="001E0363"/>
    <w:rsid w:val="001E06B2"/>
    <w:rsid w:val="001E0B1F"/>
    <w:rsid w:val="001E0BE4"/>
    <w:rsid w:val="001E1102"/>
    <w:rsid w:val="001E1201"/>
    <w:rsid w:val="001E1248"/>
    <w:rsid w:val="001E1B3B"/>
    <w:rsid w:val="001E22CF"/>
    <w:rsid w:val="001E238E"/>
    <w:rsid w:val="001E2A64"/>
    <w:rsid w:val="001E2B1E"/>
    <w:rsid w:val="001E2C84"/>
    <w:rsid w:val="001E3502"/>
    <w:rsid w:val="001E3579"/>
    <w:rsid w:val="001E365C"/>
    <w:rsid w:val="001E3730"/>
    <w:rsid w:val="001E38EB"/>
    <w:rsid w:val="001E3CD2"/>
    <w:rsid w:val="001E3E80"/>
    <w:rsid w:val="001E4246"/>
    <w:rsid w:val="001E42CF"/>
    <w:rsid w:val="001E47AB"/>
    <w:rsid w:val="001E51D6"/>
    <w:rsid w:val="001E52EB"/>
    <w:rsid w:val="001E5584"/>
    <w:rsid w:val="001E64B1"/>
    <w:rsid w:val="001E64B3"/>
    <w:rsid w:val="001E6A59"/>
    <w:rsid w:val="001E6AD3"/>
    <w:rsid w:val="001E6ADA"/>
    <w:rsid w:val="001E6ED8"/>
    <w:rsid w:val="001E6F57"/>
    <w:rsid w:val="001E6F98"/>
    <w:rsid w:val="001E71B6"/>
    <w:rsid w:val="001E730D"/>
    <w:rsid w:val="001E7317"/>
    <w:rsid w:val="001E73DC"/>
    <w:rsid w:val="001E740C"/>
    <w:rsid w:val="001E7465"/>
    <w:rsid w:val="001E7F00"/>
    <w:rsid w:val="001E7FBE"/>
    <w:rsid w:val="001F0219"/>
    <w:rsid w:val="001F04C4"/>
    <w:rsid w:val="001F08F0"/>
    <w:rsid w:val="001F093C"/>
    <w:rsid w:val="001F0C59"/>
    <w:rsid w:val="001F116E"/>
    <w:rsid w:val="001F120D"/>
    <w:rsid w:val="001F1235"/>
    <w:rsid w:val="001F1560"/>
    <w:rsid w:val="001F15A8"/>
    <w:rsid w:val="001F1790"/>
    <w:rsid w:val="001F194C"/>
    <w:rsid w:val="001F1CB3"/>
    <w:rsid w:val="001F2249"/>
    <w:rsid w:val="001F2376"/>
    <w:rsid w:val="001F27E1"/>
    <w:rsid w:val="001F2B8B"/>
    <w:rsid w:val="001F30BC"/>
    <w:rsid w:val="001F320E"/>
    <w:rsid w:val="001F3300"/>
    <w:rsid w:val="001F33D1"/>
    <w:rsid w:val="001F362A"/>
    <w:rsid w:val="001F371A"/>
    <w:rsid w:val="001F3C6A"/>
    <w:rsid w:val="001F3C82"/>
    <w:rsid w:val="001F41DD"/>
    <w:rsid w:val="001F4438"/>
    <w:rsid w:val="001F4AA0"/>
    <w:rsid w:val="001F4BC6"/>
    <w:rsid w:val="001F4CBE"/>
    <w:rsid w:val="001F4E62"/>
    <w:rsid w:val="001F5559"/>
    <w:rsid w:val="001F58FE"/>
    <w:rsid w:val="001F59ED"/>
    <w:rsid w:val="001F5D20"/>
    <w:rsid w:val="001F5EE7"/>
    <w:rsid w:val="001F6505"/>
    <w:rsid w:val="001F6574"/>
    <w:rsid w:val="001F6FDB"/>
    <w:rsid w:val="001F7292"/>
    <w:rsid w:val="001F7361"/>
    <w:rsid w:val="001F75A6"/>
    <w:rsid w:val="001F7CC4"/>
    <w:rsid w:val="002000E0"/>
    <w:rsid w:val="002002D8"/>
    <w:rsid w:val="0020050B"/>
    <w:rsid w:val="002008F7"/>
    <w:rsid w:val="00200A85"/>
    <w:rsid w:val="002014B7"/>
    <w:rsid w:val="00201550"/>
    <w:rsid w:val="002018B4"/>
    <w:rsid w:val="00201AA5"/>
    <w:rsid w:val="00201EC4"/>
    <w:rsid w:val="00202240"/>
    <w:rsid w:val="002026C8"/>
    <w:rsid w:val="00202A53"/>
    <w:rsid w:val="00202E46"/>
    <w:rsid w:val="002034E9"/>
    <w:rsid w:val="0020385F"/>
    <w:rsid w:val="00203BE3"/>
    <w:rsid w:val="00204455"/>
    <w:rsid w:val="0020468F"/>
    <w:rsid w:val="00204C07"/>
    <w:rsid w:val="00205035"/>
    <w:rsid w:val="00205152"/>
    <w:rsid w:val="00205278"/>
    <w:rsid w:val="00205A7D"/>
    <w:rsid w:val="00205ACC"/>
    <w:rsid w:val="00205C5F"/>
    <w:rsid w:val="00205C81"/>
    <w:rsid w:val="002060BA"/>
    <w:rsid w:val="00206150"/>
    <w:rsid w:val="00206825"/>
    <w:rsid w:val="00206C23"/>
    <w:rsid w:val="00206DC9"/>
    <w:rsid w:val="00206F7B"/>
    <w:rsid w:val="00207021"/>
    <w:rsid w:val="002072A7"/>
    <w:rsid w:val="0020761A"/>
    <w:rsid w:val="002076CE"/>
    <w:rsid w:val="00207786"/>
    <w:rsid w:val="002077DF"/>
    <w:rsid w:val="00207D00"/>
    <w:rsid w:val="00207EC1"/>
    <w:rsid w:val="002105C1"/>
    <w:rsid w:val="0021088E"/>
    <w:rsid w:val="00210B25"/>
    <w:rsid w:val="00210CE2"/>
    <w:rsid w:val="00211B66"/>
    <w:rsid w:val="00211CED"/>
    <w:rsid w:val="00211D12"/>
    <w:rsid w:val="00211D7C"/>
    <w:rsid w:val="00211DB1"/>
    <w:rsid w:val="00212A2C"/>
    <w:rsid w:val="00212DA0"/>
    <w:rsid w:val="00212FF2"/>
    <w:rsid w:val="00213015"/>
    <w:rsid w:val="002131EC"/>
    <w:rsid w:val="0021344A"/>
    <w:rsid w:val="002138A2"/>
    <w:rsid w:val="00213C8E"/>
    <w:rsid w:val="00213CEB"/>
    <w:rsid w:val="00213FCE"/>
    <w:rsid w:val="00214029"/>
    <w:rsid w:val="0021433B"/>
    <w:rsid w:val="00214CCD"/>
    <w:rsid w:val="00214CFD"/>
    <w:rsid w:val="00214D2A"/>
    <w:rsid w:val="0021503A"/>
    <w:rsid w:val="00215376"/>
    <w:rsid w:val="00215589"/>
    <w:rsid w:val="00215597"/>
    <w:rsid w:val="002156CE"/>
    <w:rsid w:val="002159C7"/>
    <w:rsid w:val="00215E11"/>
    <w:rsid w:val="00216564"/>
    <w:rsid w:val="002168D4"/>
    <w:rsid w:val="00216984"/>
    <w:rsid w:val="00216992"/>
    <w:rsid w:val="00216D03"/>
    <w:rsid w:val="00216E1A"/>
    <w:rsid w:val="0021774C"/>
    <w:rsid w:val="00217B6A"/>
    <w:rsid w:val="00217CF1"/>
    <w:rsid w:val="00217F6B"/>
    <w:rsid w:val="00220176"/>
    <w:rsid w:val="00220CAB"/>
    <w:rsid w:val="00220E04"/>
    <w:rsid w:val="002210A4"/>
    <w:rsid w:val="002212D6"/>
    <w:rsid w:val="00221828"/>
    <w:rsid w:val="00221CA5"/>
    <w:rsid w:val="00221F08"/>
    <w:rsid w:val="002223DF"/>
    <w:rsid w:val="00222476"/>
    <w:rsid w:val="00222748"/>
    <w:rsid w:val="00222E28"/>
    <w:rsid w:val="00222E89"/>
    <w:rsid w:val="00222FCD"/>
    <w:rsid w:val="0022309D"/>
    <w:rsid w:val="00223371"/>
    <w:rsid w:val="0022339E"/>
    <w:rsid w:val="002233FB"/>
    <w:rsid w:val="0022352E"/>
    <w:rsid w:val="002235C4"/>
    <w:rsid w:val="00223792"/>
    <w:rsid w:val="00223AC4"/>
    <w:rsid w:val="00223B49"/>
    <w:rsid w:val="002241F4"/>
    <w:rsid w:val="00224AD7"/>
    <w:rsid w:val="00224CCA"/>
    <w:rsid w:val="00224D94"/>
    <w:rsid w:val="00224DD4"/>
    <w:rsid w:val="002250D8"/>
    <w:rsid w:val="00225219"/>
    <w:rsid w:val="0022527C"/>
    <w:rsid w:val="0022562C"/>
    <w:rsid w:val="0022593D"/>
    <w:rsid w:val="00225AFC"/>
    <w:rsid w:val="00225D87"/>
    <w:rsid w:val="002268D6"/>
    <w:rsid w:val="0022703F"/>
    <w:rsid w:val="00227542"/>
    <w:rsid w:val="00227DE4"/>
    <w:rsid w:val="002303FF"/>
    <w:rsid w:val="00230863"/>
    <w:rsid w:val="002309CC"/>
    <w:rsid w:val="00230B90"/>
    <w:rsid w:val="00230C10"/>
    <w:rsid w:val="00231003"/>
    <w:rsid w:val="002312F6"/>
    <w:rsid w:val="00231501"/>
    <w:rsid w:val="00231740"/>
    <w:rsid w:val="002318EE"/>
    <w:rsid w:val="00231B49"/>
    <w:rsid w:val="00231C6F"/>
    <w:rsid w:val="00232104"/>
    <w:rsid w:val="00232760"/>
    <w:rsid w:val="00232A4A"/>
    <w:rsid w:val="002334B2"/>
    <w:rsid w:val="002336B2"/>
    <w:rsid w:val="00233769"/>
    <w:rsid w:val="00233911"/>
    <w:rsid w:val="00233E4A"/>
    <w:rsid w:val="0023409F"/>
    <w:rsid w:val="0023418B"/>
    <w:rsid w:val="00234693"/>
    <w:rsid w:val="002347EF"/>
    <w:rsid w:val="00234928"/>
    <w:rsid w:val="0023492D"/>
    <w:rsid w:val="00234AE0"/>
    <w:rsid w:val="00234C3C"/>
    <w:rsid w:val="0023502B"/>
    <w:rsid w:val="002353A9"/>
    <w:rsid w:val="00235A9B"/>
    <w:rsid w:val="00235DBD"/>
    <w:rsid w:val="00236800"/>
    <w:rsid w:val="0023685C"/>
    <w:rsid w:val="00236A5D"/>
    <w:rsid w:val="00236C63"/>
    <w:rsid w:val="00236F05"/>
    <w:rsid w:val="002376FE"/>
    <w:rsid w:val="00237F64"/>
    <w:rsid w:val="00240194"/>
    <w:rsid w:val="002406F3"/>
    <w:rsid w:val="00241628"/>
    <w:rsid w:val="00241649"/>
    <w:rsid w:val="002416D6"/>
    <w:rsid w:val="00241E9F"/>
    <w:rsid w:val="0024265F"/>
    <w:rsid w:val="00242948"/>
    <w:rsid w:val="00242972"/>
    <w:rsid w:val="00242CB3"/>
    <w:rsid w:val="00242F0B"/>
    <w:rsid w:val="002430A9"/>
    <w:rsid w:val="00243BB5"/>
    <w:rsid w:val="00243C4E"/>
    <w:rsid w:val="00243C62"/>
    <w:rsid w:val="00244146"/>
    <w:rsid w:val="00244418"/>
    <w:rsid w:val="00244568"/>
    <w:rsid w:val="00244649"/>
    <w:rsid w:val="002448CA"/>
    <w:rsid w:val="00244BCF"/>
    <w:rsid w:val="00244F3A"/>
    <w:rsid w:val="00245349"/>
    <w:rsid w:val="002453EF"/>
    <w:rsid w:val="00245A21"/>
    <w:rsid w:val="002460C0"/>
    <w:rsid w:val="002462FD"/>
    <w:rsid w:val="00246316"/>
    <w:rsid w:val="0024645F"/>
    <w:rsid w:val="002467EE"/>
    <w:rsid w:val="00246DFF"/>
    <w:rsid w:val="00246E4E"/>
    <w:rsid w:val="00246E8C"/>
    <w:rsid w:val="00247018"/>
    <w:rsid w:val="002474E5"/>
    <w:rsid w:val="0025023E"/>
    <w:rsid w:val="002502CD"/>
    <w:rsid w:val="00250304"/>
    <w:rsid w:val="0025032A"/>
    <w:rsid w:val="00250363"/>
    <w:rsid w:val="00250537"/>
    <w:rsid w:val="00250661"/>
    <w:rsid w:val="00250784"/>
    <w:rsid w:val="002507AE"/>
    <w:rsid w:val="00250B89"/>
    <w:rsid w:val="00251669"/>
    <w:rsid w:val="00251BB5"/>
    <w:rsid w:val="00251C23"/>
    <w:rsid w:val="00251CF3"/>
    <w:rsid w:val="00251F7B"/>
    <w:rsid w:val="0025200A"/>
    <w:rsid w:val="0025205C"/>
    <w:rsid w:val="002528EA"/>
    <w:rsid w:val="00252B6B"/>
    <w:rsid w:val="00253340"/>
    <w:rsid w:val="0025340A"/>
    <w:rsid w:val="002534C7"/>
    <w:rsid w:val="002539D2"/>
    <w:rsid w:val="00253DE0"/>
    <w:rsid w:val="00253E5E"/>
    <w:rsid w:val="00254195"/>
    <w:rsid w:val="00254449"/>
    <w:rsid w:val="0025488F"/>
    <w:rsid w:val="00254A65"/>
    <w:rsid w:val="00254BA4"/>
    <w:rsid w:val="00254BD5"/>
    <w:rsid w:val="00254D83"/>
    <w:rsid w:val="00254DCF"/>
    <w:rsid w:val="00254DE5"/>
    <w:rsid w:val="0025516A"/>
    <w:rsid w:val="002551C2"/>
    <w:rsid w:val="0025534B"/>
    <w:rsid w:val="0025563F"/>
    <w:rsid w:val="00255BB7"/>
    <w:rsid w:val="00255BC4"/>
    <w:rsid w:val="00255E81"/>
    <w:rsid w:val="00255E93"/>
    <w:rsid w:val="00256071"/>
    <w:rsid w:val="0025625F"/>
    <w:rsid w:val="002562A3"/>
    <w:rsid w:val="002566DA"/>
    <w:rsid w:val="00256958"/>
    <w:rsid w:val="00257650"/>
    <w:rsid w:val="00260150"/>
    <w:rsid w:val="00260388"/>
    <w:rsid w:val="00260661"/>
    <w:rsid w:val="0026074B"/>
    <w:rsid w:val="0026161E"/>
    <w:rsid w:val="00261783"/>
    <w:rsid w:val="0026197A"/>
    <w:rsid w:val="00261B45"/>
    <w:rsid w:val="002625FE"/>
    <w:rsid w:val="002627B6"/>
    <w:rsid w:val="00262801"/>
    <w:rsid w:val="00262A87"/>
    <w:rsid w:val="00262FE8"/>
    <w:rsid w:val="002630E6"/>
    <w:rsid w:val="00263997"/>
    <w:rsid w:val="00263A94"/>
    <w:rsid w:val="00263A9C"/>
    <w:rsid w:val="00263C06"/>
    <w:rsid w:val="00263CF3"/>
    <w:rsid w:val="0026492E"/>
    <w:rsid w:val="00264C9C"/>
    <w:rsid w:val="00264D6E"/>
    <w:rsid w:val="00264E6E"/>
    <w:rsid w:val="00265693"/>
    <w:rsid w:val="00265AC5"/>
    <w:rsid w:val="00265C42"/>
    <w:rsid w:val="00265FA9"/>
    <w:rsid w:val="00265FC8"/>
    <w:rsid w:val="002668E2"/>
    <w:rsid w:val="00266B6E"/>
    <w:rsid w:val="00266E4E"/>
    <w:rsid w:val="00266EE0"/>
    <w:rsid w:val="00266F6A"/>
    <w:rsid w:val="0026766B"/>
    <w:rsid w:val="00267896"/>
    <w:rsid w:val="00267D0B"/>
    <w:rsid w:val="002703BC"/>
    <w:rsid w:val="0027088D"/>
    <w:rsid w:val="00270D0B"/>
    <w:rsid w:val="00270D3B"/>
    <w:rsid w:val="00270D53"/>
    <w:rsid w:val="00270E21"/>
    <w:rsid w:val="00270ECF"/>
    <w:rsid w:val="00271396"/>
    <w:rsid w:val="002713D3"/>
    <w:rsid w:val="0027149D"/>
    <w:rsid w:val="0027166F"/>
    <w:rsid w:val="00271AD6"/>
    <w:rsid w:val="00271D9F"/>
    <w:rsid w:val="00271EDB"/>
    <w:rsid w:val="00272C45"/>
    <w:rsid w:val="002730C2"/>
    <w:rsid w:val="002734D1"/>
    <w:rsid w:val="00273728"/>
    <w:rsid w:val="0027379B"/>
    <w:rsid w:val="0027385B"/>
    <w:rsid w:val="00273880"/>
    <w:rsid w:val="002744F2"/>
    <w:rsid w:val="00274527"/>
    <w:rsid w:val="002749FD"/>
    <w:rsid w:val="00274AC3"/>
    <w:rsid w:val="00274D2F"/>
    <w:rsid w:val="00274D6E"/>
    <w:rsid w:val="0027544A"/>
    <w:rsid w:val="002757BA"/>
    <w:rsid w:val="0027590C"/>
    <w:rsid w:val="002759A3"/>
    <w:rsid w:val="00275AE3"/>
    <w:rsid w:val="00275C5A"/>
    <w:rsid w:val="00275E38"/>
    <w:rsid w:val="00275E78"/>
    <w:rsid w:val="00275F4D"/>
    <w:rsid w:val="00276019"/>
    <w:rsid w:val="00276122"/>
    <w:rsid w:val="0027642E"/>
    <w:rsid w:val="00276535"/>
    <w:rsid w:val="002768A0"/>
    <w:rsid w:val="00276FE6"/>
    <w:rsid w:val="002770DC"/>
    <w:rsid w:val="0027726C"/>
    <w:rsid w:val="002774AA"/>
    <w:rsid w:val="002777ED"/>
    <w:rsid w:val="0027796B"/>
    <w:rsid w:val="00277AA8"/>
    <w:rsid w:val="00277CA9"/>
    <w:rsid w:val="002807FD"/>
    <w:rsid w:val="00280DC6"/>
    <w:rsid w:val="00280F05"/>
    <w:rsid w:val="00281014"/>
    <w:rsid w:val="00281295"/>
    <w:rsid w:val="0028130D"/>
    <w:rsid w:val="0028144F"/>
    <w:rsid w:val="00281BF6"/>
    <w:rsid w:val="00281F2E"/>
    <w:rsid w:val="002820D3"/>
    <w:rsid w:val="00282389"/>
    <w:rsid w:val="0028298F"/>
    <w:rsid w:val="00282E14"/>
    <w:rsid w:val="0028393E"/>
    <w:rsid w:val="00284123"/>
    <w:rsid w:val="002841E2"/>
    <w:rsid w:val="002841E3"/>
    <w:rsid w:val="0028442E"/>
    <w:rsid w:val="00284643"/>
    <w:rsid w:val="002846AB"/>
    <w:rsid w:val="00284F7A"/>
    <w:rsid w:val="00285094"/>
    <w:rsid w:val="00285171"/>
    <w:rsid w:val="002856AC"/>
    <w:rsid w:val="0028577C"/>
    <w:rsid w:val="00285B72"/>
    <w:rsid w:val="00285D53"/>
    <w:rsid w:val="00285FA8"/>
    <w:rsid w:val="00286625"/>
    <w:rsid w:val="002866A6"/>
    <w:rsid w:val="002868BC"/>
    <w:rsid w:val="002868EB"/>
    <w:rsid w:val="00286DB0"/>
    <w:rsid w:val="0028704D"/>
    <w:rsid w:val="002870B7"/>
    <w:rsid w:val="00287141"/>
    <w:rsid w:val="0028757F"/>
    <w:rsid w:val="00287603"/>
    <w:rsid w:val="00287ADF"/>
    <w:rsid w:val="00287D07"/>
    <w:rsid w:val="00287EBC"/>
    <w:rsid w:val="00290392"/>
    <w:rsid w:val="002903B2"/>
    <w:rsid w:val="002905B1"/>
    <w:rsid w:val="002908B8"/>
    <w:rsid w:val="00290B9B"/>
    <w:rsid w:val="0029128B"/>
    <w:rsid w:val="00291E80"/>
    <w:rsid w:val="00291F35"/>
    <w:rsid w:val="002920E5"/>
    <w:rsid w:val="002923E8"/>
    <w:rsid w:val="00292557"/>
    <w:rsid w:val="0029263D"/>
    <w:rsid w:val="0029276B"/>
    <w:rsid w:val="00293112"/>
    <w:rsid w:val="00293119"/>
    <w:rsid w:val="00293334"/>
    <w:rsid w:val="0029366D"/>
    <w:rsid w:val="002938DA"/>
    <w:rsid w:val="00293AC4"/>
    <w:rsid w:val="00293C76"/>
    <w:rsid w:val="00293CB5"/>
    <w:rsid w:val="00293EF0"/>
    <w:rsid w:val="002940C4"/>
    <w:rsid w:val="002940FC"/>
    <w:rsid w:val="00294153"/>
    <w:rsid w:val="00294189"/>
    <w:rsid w:val="0029420C"/>
    <w:rsid w:val="0029468F"/>
    <w:rsid w:val="002947CE"/>
    <w:rsid w:val="00294F96"/>
    <w:rsid w:val="00295526"/>
    <w:rsid w:val="0029558E"/>
    <w:rsid w:val="002955FC"/>
    <w:rsid w:val="00295639"/>
    <w:rsid w:val="002956B0"/>
    <w:rsid w:val="00296170"/>
    <w:rsid w:val="002961AB"/>
    <w:rsid w:val="0029639D"/>
    <w:rsid w:val="00296FDD"/>
    <w:rsid w:val="00297247"/>
    <w:rsid w:val="00297886"/>
    <w:rsid w:val="002979EC"/>
    <w:rsid w:val="002A00C1"/>
    <w:rsid w:val="002A0601"/>
    <w:rsid w:val="002A0642"/>
    <w:rsid w:val="002A08A0"/>
    <w:rsid w:val="002A0EBC"/>
    <w:rsid w:val="002A127C"/>
    <w:rsid w:val="002A14AB"/>
    <w:rsid w:val="002A1540"/>
    <w:rsid w:val="002A2183"/>
    <w:rsid w:val="002A2B0D"/>
    <w:rsid w:val="002A2C63"/>
    <w:rsid w:val="002A2DC7"/>
    <w:rsid w:val="002A2E15"/>
    <w:rsid w:val="002A3287"/>
    <w:rsid w:val="002A428D"/>
    <w:rsid w:val="002A44BA"/>
    <w:rsid w:val="002A4FC3"/>
    <w:rsid w:val="002A53FB"/>
    <w:rsid w:val="002A586B"/>
    <w:rsid w:val="002A5900"/>
    <w:rsid w:val="002A5A1E"/>
    <w:rsid w:val="002A5CC2"/>
    <w:rsid w:val="002A60D7"/>
    <w:rsid w:val="002A6240"/>
    <w:rsid w:val="002A6901"/>
    <w:rsid w:val="002A6FC8"/>
    <w:rsid w:val="002A7692"/>
    <w:rsid w:val="002B011A"/>
    <w:rsid w:val="002B01A8"/>
    <w:rsid w:val="002B0291"/>
    <w:rsid w:val="002B08D9"/>
    <w:rsid w:val="002B0952"/>
    <w:rsid w:val="002B0BAB"/>
    <w:rsid w:val="002B174E"/>
    <w:rsid w:val="002B1A79"/>
    <w:rsid w:val="002B1C1F"/>
    <w:rsid w:val="002B1E1C"/>
    <w:rsid w:val="002B21CF"/>
    <w:rsid w:val="002B29FB"/>
    <w:rsid w:val="002B2A1C"/>
    <w:rsid w:val="002B2DD4"/>
    <w:rsid w:val="002B2F02"/>
    <w:rsid w:val="002B302B"/>
    <w:rsid w:val="002B30BC"/>
    <w:rsid w:val="002B35E4"/>
    <w:rsid w:val="002B377A"/>
    <w:rsid w:val="002B3E00"/>
    <w:rsid w:val="002B4005"/>
    <w:rsid w:val="002B409D"/>
    <w:rsid w:val="002B432F"/>
    <w:rsid w:val="002B44CA"/>
    <w:rsid w:val="002B4DC7"/>
    <w:rsid w:val="002B52DF"/>
    <w:rsid w:val="002B57E0"/>
    <w:rsid w:val="002B5908"/>
    <w:rsid w:val="002B5A35"/>
    <w:rsid w:val="002B5AB5"/>
    <w:rsid w:val="002B5AEB"/>
    <w:rsid w:val="002B5D7A"/>
    <w:rsid w:val="002B5F63"/>
    <w:rsid w:val="002B6059"/>
    <w:rsid w:val="002B61FB"/>
    <w:rsid w:val="002B62CF"/>
    <w:rsid w:val="002B635C"/>
    <w:rsid w:val="002B66DC"/>
    <w:rsid w:val="002B6C64"/>
    <w:rsid w:val="002B6CCE"/>
    <w:rsid w:val="002B73C9"/>
    <w:rsid w:val="002B7604"/>
    <w:rsid w:val="002B770D"/>
    <w:rsid w:val="002B7AEF"/>
    <w:rsid w:val="002B7B3B"/>
    <w:rsid w:val="002B7B49"/>
    <w:rsid w:val="002B7D3D"/>
    <w:rsid w:val="002B7DD8"/>
    <w:rsid w:val="002C0680"/>
    <w:rsid w:val="002C07B2"/>
    <w:rsid w:val="002C0941"/>
    <w:rsid w:val="002C0BD6"/>
    <w:rsid w:val="002C0D7D"/>
    <w:rsid w:val="002C0F69"/>
    <w:rsid w:val="002C14A0"/>
    <w:rsid w:val="002C168C"/>
    <w:rsid w:val="002C190E"/>
    <w:rsid w:val="002C1EE6"/>
    <w:rsid w:val="002C21BD"/>
    <w:rsid w:val="002C2365"/>
    <w:rsid w:val="002C25F8"/>
    <w:rsid w:val="002C2775"/>
    <w:rsid w:val="002C27C1"/>
    <w:rsid w:val="002C2A51"/>
    <w:rsid w:val="002C2A64"/>
    <w:rsid w:val="002C33BF"/>
    <w:rsid w:val="002C345E"/>
    <w:rsid w:val="002C34D0"/>
    <w:rsid w:val="002C3D03"/>
    <w:rsid w:val="002C4083"/>
    <w:rsid w:val="002C4468"/>
    <w:rsid w:val="002C452B"/>
    <w:rsid w:val="002C4BFE"/>
    <w:rsid w:val="002C4F84"/>
    <w:rsid w:val="002C5417"/>
    <w:rsid w:val="002C54CB"/>
    <w:rsid w:val="002C5788"/>
    <w:rsid w:val="002C58E7"/>
    <w:rsid w:val="002C59F5"/>
    <w:rsid w:val="002C5AF7"/>
    <w:rsid w:val="002C5C42"/>
    <w:rsid w:val="002C5D30"/>
    <w:rsid w:val="002C625A"/>
    <w:rsid w:val="002C6B42"/>
    <w:rsid w:val="002C6B43"/>
    <w:rsid w:val="002C6E90"/>
    <w:rsid w:val="002C6F4E"/>
    <w:rsid w:val="002C72CA"/>
    <w:rsid w:val="002C7471"/>
    <w:rsid w:val="002C77E1"/>
    <w:rsid w:val="002C7A35"/>
    <w:rsid w:val="002C7C02"/>
    <w:rsid w:val="002C7DB2"/>
    <w:rsid w:val="002D01BA"/>
    <w:rsid w:val="002D023E"/>
    <w:rsid w:val="002D057B"/>
    <w:rsid w:val="002D0BD2"/>
    <w:rsid w:val="002D12A9"/>
    <w:rsid w:val="002D1972"/>
    <w:rsid w:val="002D1EA3"/>
    <w:rsid w:val="002D1F66"/>
    <w:rsid w:val="002D1FDA"/>
    <w:rsid w:val="002D22F6"/>
    <w:rsid w:val="002D2754"/>
    <w:rsid w:val="002D2994"/>
    <w:rsid w:val="002D29A0"/>
    <w:rsid w:val="002D2A66"/>
    <w:rsid w:val="002D2FB7"/>
    <w:rsid w:val="002D3126"/>
    <w:rsid w:val="002D3152"/>
    <w:rsid w:val="002D3C0D"/>
    <w:rsid w:val="002D3FFE"/>
    <w:rsid w:val="002D4681"/>
    <w:rsid w:val="002D4867"/>
    <w:rsid w:val="002D496C"/>
    <w:rsid w:val="002D4D5F"/>
    <w:rsid w:val="002D4EDD"/>
    <w:rsid w:val="002D5B1F"/>
    <w:rsid w:val="002D5D20"/>
    <w:rsid w:val="002D5F30"/>
    <w:rsid w:val="002D640B"/>
    <w:rsid w:val="002D656A"/>
    <w:rsid w:val="002D6D73"/>
    <w:rsid w:val="002D716B"/>
    <w:rsid w:val="002D7196"/>
    <w:rsid w:val="002E0350"/>
    <w:rsid w:val="002E07CA"/>
    <w:rsid w:val="002E0CF3"/>
    <w:rsid w:val="002E0D74"/>
    <w:rsid w:val="002E1169"/>
    <w:rsid w:val="002E12FD"/>
    <w:rsid w:val="002E13C1"/>
    <w:rsid w:val="002E17AC"/>
    <w:rsid w:val="002E17B1"/>
    <w:rsid w:val="002E2371"/>
    <w:rsid w:val="002E3318"/>
    <w:rsid w:val="002E3747"/>
    <w:rsid w:val="002E3859"/>
    <w:rsid w:val="002E389B"/>
    <w:rsid w:val="002E3A5C"/>
    <w:rsid w:val="002E3BA2"/>
    <w:rsid w:val="002E3EC3"/>
    <w:rsid w:val="002E421B"/>
    <w:rsid w:val="002E4891"/>
    <w:rsid w:val="002E4AB4"/>
    <w:rsid w:val="002E4D62"/>
    <w:rsid w:val="002E54EE"/>
    <w:rsid w:val="002E589C"/>
    <w:rsid w:val="002E5A20"/>
    <w:rsid w:val="002E5BF3"/>
    <w:rsid w:val="002E5CB6"/>
    <w:rsid w:val="002E5CF3"/>
    <w:rsid w:val="002E5E68"/>
    <w:rsid w:val="002E5EBD"/>
    <w:rsid w:val="002E5F5E"/>
    <w:rsid w:val="002E61AA"/>
    <w:rsid w:val="002E6568"/>
    <w:rsid w:val="002E65ED"/>
    <w:rsid w:val="002E6AE1"/>
    <w:rsid w:val="002E6B58"/>
    <w:rsid w:val="002E70C9"/>
    <w:rsid w:val="002E7130"/>
    <w:rsid w:val="002E71E7"/>
    <w:rsid w:val="002E76D7"/>
    <w:rsid w:val="002E773D"/>
    <w:rsid w:val="002E779F"/>
    <w:rsid w:val="002E78B7"/>
    <w:rsid w:val="002E7C87"/>
    <w:rsid w:val="002F0679"/>
    <w:rsid w:val="002F0B23"/>
    <w:rsid w:val="002F0BE6"/>
    <w:rsid w:val="002F0EB5"/>
    <w:rsid w:val="002F1715"/>
    <w:rsid w:val="002F2601"/>
    <w:rsid w:val="002F3032"/>
    <w:rsid w:val="002F356B"/>
    <w:rsid w:val="002F3573"/>
    <w:rsid w:val="002F39D7"/>
    <w:rsid w:val="002F3A68"/>
    <w:rsid w:val="002F3EC7"/>
    <w:rsid w:val="002F40E0"/>
    <w:rsid w:val="002F440B"/>
    <w:rsid w:val="002F44D2"/>
    <w:rsid w:val="002F481B"/>
    <w:rsid w:val="002F570F"/>
    <w:rsid w:val="002F5909"/>
    <w:rsid w:val="002F5DF0"/>
    <w:rsid w:val="002F6AAB"/>
    <w:rsid w:val="002F6BA8"/>
    <w:rsid w:val="002F6D0B"/>
    <w:rsid w:val="002F6D36"/>
    <w:rsid w:val="002F6EE1"/>
    <w:rsid w:val="002F6F86"/>
    <w:rsid w:val="002F6F9F"/>
    <w:rsid w:val="002F7174"/>
    <w:rsid w:val="002F7B19"/>
    <w:rsid w:val="002F7EC2"/>
    <w:rsid w:val="003002C7"/>
    <w:rsid w:val="0030086B"/>
    <w:rsid w:val="00300F0B"/>
    <w:rsid w:val="00301017"/>
    <w:rsid w:val="0030123C"/>
    <w:rsid w:val="003012C1"/>
    <w:rsid w:val="00301779"/>
    <w:rsid w:val="003017DC"/>
    <w:rsid w:val="003018BA"/>
    <w:rsid w:val="0030195E"/>
    <w:rsid w:val="00301A22"/>
    <w:rsid w:val="00301B3E"/>
    <w:rsid w:val="00302114"/>
    <w:rsid w:val="003021F4"/>
    <w:rsid w:val="00302804"/>
    <w:rsid w:val="00302C5A"/>
    <w:rsid w:val="00303215"/>
    <w:rsid w:val="00304FA9"/>
    <w:rsid w:val="00305290"/>
    <w:rsid w:val="00305292"/>
    <w:rsid w:val="0030534A"/>
    <w:rsid w:val="00305394"/>
    <w:rsid w:val="003053A3"/>
    <w:rsid w:val="00305F0C"/>
    <w:rsid w:val="0030645D"/>
    <w:rsid w:val="00306553"/>
    <w:rsid w:val="00306A06"/>
    <w:rsid w:val="00306BDD"/>
    <w:rsid w:val="00306D59"/>
    <w:rsid w:val="00306EB8"/>
    <w:rsid w:val="00307242"/>
    <w:rsid w:val="00307271"/>
    <w:rsid w:val="0030747B"/>
    <w:rsid w:val="00307780"/>
    <w:rsid w:val="0030786C"/>
    <w:rsid w:val="003079B3"/>
    <w:rsid w:val="00307B80"/>
    <w:rsid w:val="0031031A"/>
    <w:rsid w:val="0031054B"/>
    <w:rsid w:val="0031060A"/>
    <w:rsid w:val="003106AA"/>
    <w:rsid w:val="00310981"/>
    <w:rsid w:val="00310D7C"/>
    <w:rsid w:val="00310EB9"/>
    <w:rsid w:val="00310EF4"/>
    <w:rsid w:val="00311374"/>
    <w:rsid w:val="00311827"/>
    <w:rsid w:val="00312021"/>
    <w:rsid w:val="00312140"/>
    <w:rsid w:val="00312569"/>
    <w:rsid w:val="00312A70"/>
    <w:rsid w:val="00312B4C"/>
    <w:rsid w:val="00312B5F"/>
    <w:rsid w:val="00312C20"/>
    <w:rsid w:val="00312DF3"/>
    <w:rsid w:val="00313656"/>
    <w:rsid w:val="003139FB"/>
    <w:rsid w:val="00313D6B"/>
    <w:rsid w:val="0031410E"/>
    <w:rsid w:val="00314384"/>
    <w:rsid w:val="00314A43"/>
    <w:rsid w:val="00314ABB"/>
    <w:rsid w:val="00314BB5"/>
    <w:rsid w:val="00314D0E"/>
    <w:rsid w:val="003150E7"/>
    <w:rsid w:val="00315498"/>
    <w:rsid w:val="003156BD"/>
    <w:rsid w:val="00315C49"/>
    <w:rsid w:val="00315D35"/>
    <w:rsid w:val="003160A0"/>
    <w:rsid w:val="0031613B"/>
    <w:rsid w:val="00316174"/>
    <w:rsid w:val="00316277"/>
    <w:rsid w:val="00316387"/>
    <w:rsid w:val="00316419"/>
    <w:rsid w:val="00316477"/>
    <w:rsid w:val="003164E6"/>
    <w:rsid w:val="003168B8"/>
    <w:rsid w:val="0031734B"/>
    <w:rsid w:val="00317688"/>
    <w:rsid w:val="003176DE"/>
    <w:rsid w:val="00317CF7"/>
    <w:rsid w:val="00317EDB"/>
    <w:rsid w:val="0032023F"/>
    <w:rsid w:val="00320541"/>
    <w:rsid w:val="003206BF"/>
    <w:rsid w:val="00320BC9"/>
    <w:rsid w:val="00320C95"/>
    <w:rsid w:val="00320F24"/>
    <w:rsid w:val="0032102D"/>
    <w:rsid w:val="003215AD"/>
    <w:rsid w:val="0032193F"/>
    <w:rsid w:val="0032220A"/>
    <w:rsid w:val="003224F2"/>
    <w:rsid w:val="00322CC8"/>
    <w:rsid w:val="00323053"/>
    <w:rsid w:val="0032356E"/>
    <w:rsid w:val="00323706"/>
    <w:rsid w:val="00323A22"/>
    <w:rsid w:val="003240E3"/>
    <w:rsid w:val="00324689"/>
    <w:rsid w:val="00324D12"/>
    <w:rsid w:val="00325144"/>
    <w:rsid w:val="003254D0"/>
    <w:rsid w:val="003258AC"/>
    <w:rsid w:val="003259CB"/>
    <w:rsid w:val="003259D7"/>
    <w:rsid w:val="00325A58"/>
    <w:rsid w:val="00325F06"/>
    <w:rsid w:val="00326443"/>
    <w:rsid w:val="003266D1"/>
    <w:rsid w:val="0032692C"/>
    <w:rsid w:val="00326985"/>
    <w:rsid w:val="003269A0"/>
    <w:rsid w:val="00326AB2"/>
    <w:rsid w:val="0032701C"/>
    <w:rsid w:val="00327698"/>
    <w:rsid w:val="003277FC"/>
    <w:rsid w:val="00327897"/>
    <w:rsid w:val="00327A9E"/>
    <w:rsid w:val="003300D5"/>
    <w:rsid w:val="003301AA"/>
    <w:rsid w:val="003304DB"/>
    <w:rsid w:val="003308C4"/>
    <w:rsid w:val="00330FF4"/>
    <w:rsid w:val="003310C5"/>
    <w:rsid w:val="0033159D"/>
    <w:rsid w:val="003315C2"/>
    <w:rsid w:val="00331665"/>
    <w:rsid w:val="003317C7"/>
    <w:rsid w:val="00331FDD"/>
    <w:rsid w:val="0033211C"/>
    <w:rsid w:val="00332441"/>
    <w:rsid w:val="003329C8"/>
    <w:rsid w:val="00332A45"/>
    <w:rsid w:val="00332D09"/>
    <w:rsid w:val="00332E17"/>
    <w:rsid w:val="00333A51"/>
    <w:rsid w:val="00333AE5"/>
    <w:rsid w:val="00333F44"/>
    <w:rsid w:val="00333FC3"/>
    <w:rsid w:val="003340F2"/>
    <w:rsid w:val="00334106"/>
    <w:rsid w:val="003344E8"/>
    <w:rsid w:val="003347A5"/>
    <w:rsid w:val="003349E4"/>
    <w:rsid w:val="00334DD5"/>
    <w:rsid w:val="00334E26"/>
    <w:rsid w:val="0033528B"/>
    <w:rsid w:val="003352E4"/>
    <w:rsid w:val="00335835"/>
    <w:rsid w:val="003359B7"/>
    <w:rsid w:val="003365F7"/>
    <w:rsid w:val="003366C9"/>
    <w:rsid w:val="0033679B"/>
    <w:rsid w:val="00336C10"/>
    <w:rsid w:val="00337134"/>
    <w:rsid w:val="003371B0"/>
    <w:rsid w:val="003371DC"/>
    <w:rsid w:val="00337554"/>
    <w:rsid w:val="0033787D"/>
    <w:rsid w:val="00337EC7"/>
    <w:rsid w:val="0034054F"/>
    <w:rsid w:val="003406F3"/>
    <w:rsid w:val="00340CAD"/>
    <w:rsid w:val="00340D93"/>
    <w:rsid w:val="003411FB"/>
    <w:rsid w:val="00342535"/>
    <w:rsid w:val="003426F4"/>
    <w:rsid w:val="003428D6"/>
    <w:rsid w:val="00342D37"/>
    <w:rsid w:val="00342EB5"/>
    <w:rsid w:val="00343053"/>
    <w:rsid w:val="0034310D"/>
    <w:rsid w:val="00343248"/>
    <w:rsid w:val="0034325D"/>
    <w:rsid w:val="0034395A"/>
    <w:rsid w:val="00343C5D"/>
    <w:rsid w:val="003440A7"/>
    <w:rsid w:val="003440C5"/>
    <w:rsid w:val="003441DD"/>
    <w:rsid w:val="0034451B"/>
    <w:rsid w:val="00344A6D"/>
    <w:rsid w:val="00344AE1"/>
    <w:rsid w:val="00344C17"/>
    <w:rsid w:val="0034554A"/>
    <w:rsid w:val="003455BD"/>
    <w:rsid w:val="00345D49"/>
    <w:rsid w:val="0034605C"/>
    <w:rsid w:val="003460B0"/>
    <w:rsid w:val="003461DD"/>
    <w:rsid w:val="003466AE"/>
    <w:rsid w:val="00346BF2"/>
    <w:rsid w:val="00346EF5"/>
    <w:rsid w:val="00347087"/>
    <w:rsid w:val="003470E3"/>
    <w:rsid w:val="00347584"/>
    <w:rsid w:val="003517F2"/>
    <w:rsid w:val="00351B98"/>
    <w:rsid w:val="003525C9"/>
    <w:rsid w:val="00352AF7"/>
    <w:rsid w:val="0035348A"/>
    <w:rsid w:val="003538E7"/>
    <w:rsid w:val="00353EB1"/>
    <w:rsid w:val="0035448E"/>
    <w:rsid w:val="00354B53"/>
    <w:rsid w:val="00354C4B"/>
    <w:rsid w:val="00354D8C"/>
    <w:rsid w:val="0035512B"/>
    <w:rsid w:val="00355195"/>
    <w:rsid w:val="00355405"/>
    <w:rsid w:val="0035620E"/>
    <w:rsid w:val="00356A71"/>
    <w:rsid w:val="003571C0"/>
    <w:rsid w:val="003571CE"/>
    <w:rsid w:val="00357387"/>
    <w:rsid w:val="00357705"/>
    <w:rsid w:val="00357C6F"/>
    <w:rsid w:val="00357E3A"/>
    <w:rsid w:val="00357ED3"/>
    <w:rsid w:val="00357F2B"/>
    <w:rsid w:val="00357F87"/>
    <w:rsid w:val="00360296"/>
    <w:rsid w:val="00360784"/>
    <w:rsid w:val="00360C9A"/>
    <w:rsid w:val="00360CD7"/>
    <w:rsid w:val="00360DC3"/>
    <w:rsid w:val="00361502"/>
    <w:rsid w:val="0036192E"/>
    <w:rsid w:val="00361D79"/>
    <w:rsid w:val="00361E39"/>
    <w:rsid w:val="00361FB4"/>
    <w:rsid w:val="00362185"/>
    <w:rsid w:val="003624EA"/>
    <w:rsid w:val="00362591"/>
    <w:rsid w:val="00362A26"/>
    <w:rsid w:val="00362B62"/>
    <w:rsid w:val="00362D9E"/>
    <w:rsid w:val="003630EF"/>
    <w:rsid w:val="003631E9"/>
    <w:rsid w:val="00363A0A"/>
    <w:rsid w:val="003642BA"/>
    <w:rsid w:val="003645E9"/>
    <w:rsid w:val="00364F8F"/>
    <w:rsid w:val="00364F9C"/>
    <w:rsid w:val="003653E1"/>
    <w:rsid w:val="00365BC1"/>
    <w:rsid w:val="00365DC7"/>
    <w:rsid w:val="00365E3A"/>
    <w:rsid w:val="00365EA6"/>
    <w:rsid w:val="0036682A"/>
    <w:rsid w:val="003674D7"/>
    <w:rsid w:val="00367821"/>
    <w:rsid w:val="003678F7"/>
    <w:rsid w:val="00367BEC"/>
    <w:rsid w:val="00367CA6"/>
    <w:rsid w:val="00367EE1"/>
    <w:rsid w:val="00367F7B"/>
    <w:rsid w:val="0037067B"/>
    <w:rsid w:val="003708BC"/>
    <w:rsid w:val="0037095A"/>
    <w:rsid w:val="00370CB3"/>
    <w:rsid w:val="00370D11"/>
    <w:rsid w:val="0037171A"/>
    <w:rsid w:val="00371CE5"/>
    <w:rsid w:val="00371D81"/>
    <w:rsid w:val="00371E38"/>
    <w:rsid w:val="003720B7"/>
    <w:rsid w:val="0037214B"/>
    <w:rsid w:val="00372284"/>
    <w:rsid w:val="003722CE"/>
    <w:rsid w:val="00372449"/>
    <w:rsid w:val="003725F3"/>
    <w:rsid w:val="00372EA4"/>
    <w:rsid w:val="003730EE"/>
    <w:rsid w:val="003731C5"/>
    <w:rsid w:val="00373209"/>
    <w:rsid w:val="003739A8"/>
    <w:rsid w:val="00373F2A"/>
    <w:rsid w:val="00374073"/>
    <w:rsid w:val="00374151"/>
    <w:rsid w:val="00374D7D"/>
    <w:rsid w:val="00375300"/>
    <w:rsid w:val="00375680"/>
    <w:rsid w:val="00375912"/>
    <w:rsid w:val="003760DF"/>
    <w:rsid w:val="0037639B"/>
    <w:rsid w:val="0037648A"/>
    <w:rsid w:val="00376BC4"/>
    <w:rsid w:val="00376BD4"/>
    <w:rsid w:val="00376C96"/>
    <w:rsid w:val="00376F85"/>
    <w:rsid w:val="00377023"/>
    <w:rsid w:val="00377179"/>
    <w:rsid w:val="0037724C"/>
    <w:rsid w:val="003773CA"/>
    <w:rsid w:val="00377A9E"/>
    <w:rsid w:val="0038010C"/>
    <w:rsid w:val="00380AC5"/>
    <w:rsid w:val="00381584"/>
    <w:rsid w:val="0038188E"/>
    <w:rsid w:val="00381D4A"/>
    <w:rsid w:val="00382083"/>
    <w:rsid w:val="00382597"/>
    <w:rsid w:val="00382A97"/>
    <w:rsid w:val="00382AB6"/>
    <w:rsid w:val="00382CF0"/>
    <w:rsid w:val="00382D0B"/>
    <w:rsid w:val="00382FAA"/>
    <w:rsid w:val="00382FC9"/>
    <w:rsid w:val="003833A6"/>
    <w:rsid w:val="00383578"/>
    <w:rsid w:val="0038365C"/>
    <w:rsid w:val="00383886"/>
    <w:rsid w:val="003840F0"/>
    <w:rsid w:val="00384458"/>
    <w:rsid w:val="003849EE"/>
    <w:rsid w:val="00384AC4"/>
    <w:rsid w:val="00384CA9"/>
    <w:rsid w:val="00384D5B"/>
    <w:rsid w:val="00385D32"/>
    <w:rsid w:val="00385F19"/>
    <w:rsid w:val="00385F28"/>
    <w:rsid w:val="00386419"/>
    <w:rsid w:val="00386727"/>
    <w:rsid w:val="00386885"/>
    <w:rsid w:val="003868A9"/>
    <w:rsid w:val="00386BBA"/>
    <w:rsid w:val="00386D5C"/>
    <w:rsid w:val="003871A6"/>
    <w:rsid w:val="00387368"/>
    <w:rsid w:val="00387ACB"/>
    <w:rsid w:val="00387B32"/>
    <w:rsid w:val="00387C92"/>
    <w:rsid w:val="00387D4A"/>
    <w:rsid w:val="00387FF5"/>
    <w:rsid w:val="003905B8"/>
    <w:rsid w:val="00390ACA"/>
    <w:rsid w:val="00390D98"/>
    <w:rsid w:val="00390EDB"/>
    <w:rsid w:val="003910AC"/>
    <w:rsid w:val="00391223"/>
    <w:rsid w:val="00391383"/>
    <w:rsid w:val="0039167B"/>
    <w:rsid w:val="00391CC8"/>
    <w:rsid w:val="003922BE"/>
    <w:rsid w:val="00392956"/>
    <w:rsid w:val="00392B4F"/>
    <w:rsid w:val="00392B64"/>
    <w:rsid w:val="00392FCA"/>
    <w:rsid w:val="0039302E"/>
    <w:rsid w:val="00393218"/>
    <w:rsid w:val="00393567"/>
    <w:rsid w:val="0039362C"/>
    <w:rsid w:val="003937AD"/>
    <w:rsid w:val="00393886"/>
    <w:rsid w:val="00393D9F"/>
    <w:rsid w:val="00393E86"/>
    <w:rsid w:val="00394661"/>
    <w:rsid w:val="00394B62"/>
    <w:rsid w:val="00394BD6"/>
    <w:rsid w:val="00394C03"/>
    <w:rsid w:val="00394DD0"/>
    <w:rsid w:val="00395574"/>
    <w:rsid w:val="003956BC"/>
    <w:rsid w:val="00395AEE"/>
    <w:rsid w:val="00395B54"/>
    <w:rsid w:val="00395CAA"/>
    <w:rsid w:val="00396128"/>
    <w:rsid w:val="003961AD"/>
    <w:rsid w:val="00396306"/>
    <w:rsid w:val="00396350"/>
    <w:rsid w:val="0039662C"/>
    <w:rsid w:val="0039666D"/>
    <w:rsid w:val="00396DF0"/>
    <w:rsid w:val="00396FD0"/>
    <w:rsid w:val="00397129"/>
    <w:rsid w:val="003979A8"/>
    <w:rsid w:val="00397BEE"/>
    <w:rsid w:val="003A01CB"/>
    <w:rsid w:val="003A0719"/>
    <w:rsid w:val="003A09B8"/>
    <w:rsid w:val="003A0BA9"/>
    <w:rsid w:val="003A0E86"/>
    <w:rsid w:val="003A14FD"/>
    <w:rsid w:val="003A1569"/>
    <w:rsid w:val="003A16D6"/>
    <w:rsid w:val="003A1701"/>
    <w:rsid w:val="003A1941"/>
    <w:rsid w:val="003A1957"/>
    <w:rsid w:val="003A1A7A"/>
    <w:rsid w:val="003A1C48"/>
    <w:rsid w:val="003A1C7F"/>
    <w:rsid w:val="003A24C9"/>
    <w:rsid w:val="003A25D7"/>
    <w:rsid w:val="003A267D"/>
    <w:rsid w:val="003A273E"/>
    <w:rsid w:val="003A2959"/>
    <w:rsid w:val="003A2961"/>
    <w:rsid w:val="003A3606"/>
    <w:rsid w:val="003A37E6"/>
    <w:rsid w:val="003A391A"/>
    <w:rsid w:val="003A3BFB"/>
    <w:rsid w:val="003A4172"/>
    <w:rsid w:val="003A424C"/>
    <w:rsid w:val="003A4376"/>
    <w:rsid w:val="003A53DA"/>
    <w:rsid w:val="003A55BB"/>
    <w:rsid w:val="003A585A"/>
    <w:rsid w:val="003A6253"/>
    <w:rsid w:val="003A6422"/>
    <w:rsid w:val="003A69A4"/>
    <w:rsid w:val="003A76AF"/>
    <w:rsid w:val="003A76EE"/>
    <w:rsid w:val="003A7ECD"/>
    <w:rsid w:val="003B00D1"/>
    <w:rsid w:val="003B0104"/>
    <w:rsid w:val="003B049A"/>
    <w:rsid w:val="003B0636"/>
    <w:rsid w:val="003B0792"/>
    <w:rsid w:val="003B09F2"/>
    <w:rsid w:val="003B0B72"/>
    <w:rsid w:val="003B179F"/>
    <w:rsid w:val="003B258A"/>
    <w:rsid w:val="003B25CA"/>
    <w:rsid w:val="003B2ACF"/>
    <w:rsid w:val="003B2BB6"/>
    <w:rsid w:val="003B2EDA"/>
    <w:rsid w:val="003B351D"/>
    <w:rsid w:val="003B3520"/>
    <w:rsid w:val="003B35AC"/>
    <w:rsid w:val="003B3B58"/>
    <w:rsid w:val="003B3DD1"/>
    <w:rsid w:val="003B42F7"/>
    <w:rsid w:val="003B4677"/>
    <w:rsid w:val="003B48A8"/>
    <w:rsid w:val="003B48EC"/>
    <w:rsid w:val="003B493E"/>
    <w:rsid w:val="003B4F46"/>
    <w:rsid w:val="003B5EE7"/>
    <w:rsid w:val="003B60E9"/>
    <w:rsid w:val="003B6293"/>
    <w:rsid w:val="003B6573"/>
    <w:rsid w:val="003B6691"/>
    <w:rsid w:val="003B674D"/>
    <w:rsid w:val="003B6C7D"/>
    <w:rsid w:val="003B756E"/>
    <w:rsid w:val="003B75AE"/>
    <w:rsid w:val="003B7752"/>
    <w:rsid w:val="003B7796"/>
    <w:rsid w:val="003B77CF"/>
    <w:rsid w:val="003B7846"/>
    <w:rsid w:val="003B7CDD"/>
    <w:rsid w:val="003B7EA5"/>
    <w:rsid w:val="003C0CB4"/>
    <w:rsid w:val="003C0F3E"/>
    <w:rsid w:val="003C1006"/>
    <w:rsid w:val="003C1330"/>
    <w:rsid w:val="003C1648"/>
    <w:rsid w:val="003C19B3"/>
    <w:rsid w:val="003C1C1C"/>
    <w:rsid w:val="003C209D"/>
    <w:rsid w:val="003C20DB"/>
    <w:rsid w:val="003C2239"/>
    <w:rsid w:val="003C2876"/>
    <w:rsid w:val="003C296C"/>
    <w:rsid w:val="003C2A42"/>
    <w:rsid w:val="003C2FA5"/>
    <w:rsid w:val="003C31A4"/>
    <w:rsid w:val="003C3588"/>
    <w:rsid w:val="003C3A16"/>
    <w:rsid w:val="003C3ECB"/>
    <w:rsid w:val="003C4D84"/>
    <w:rsid w:val="003C4E88"/>
    <w:rsid w:val="003C4F55"/>
    <w:rsid w:val="003C507D"/>
    <w:rsid w:val="003C51A0"/>
    <w:rsid w:val="003C527B"/>
    <w:rsid w:val="003C5499"/>
    <w:rsid w:val="003C557C"/>
    <w:rsid w:val="003C565B"/>
    <w:rsid w:val="003C5DBD"/>
    <w:rsid w:val="003C5DE2"/>
    <w:rsid w:val="003C6DF8"/>
    <w:rsid w:val="003C6F5B"/>
    <w:rsid w:val="003C701B"/>
    <w:rsid w:val="003C7087"/>
    <w:rsid w:val="003C708C"/>
    <w:rsid w:val="003C7857"/>
    <w:rsid w:val="003C78BB"/>
    <w:rsid w:val="003C7E71"/>
    <w:rsid w:val="003D01F1"/>
    <w:rsid w:val="003D087B"/>
    <w:rsid w:val="003D0A10"/>
    <w:rsid w:val="003D0A3E"/>
    <w:rsid w:val="003D0A73"/>
    <w:rsid w:val="003D1113"/>
    <w:rsid w:val="003D1216"/>
    <w:rsid w:val="003D1217"/>
    <w:rsid w:val="003D13D0"/>
    <w:rsid w:val="003D1828"/>
    <w:rsid w:val="003D235D"/>
    <w:rsid w:val="003D2422"/>
    <w:rsid w:val="003D2AE5"/>
    <w:rsid w:val="003D2AFE"/>
    <w:rsid w:val="003D2C64"/>
    <w:rsid w:val="003D2CC4"/>
    <w:rsid w:val="003D31B4"/>
    <w:rsid w:val="003D355F"/>
    <w:rsid w:val="003D36D6"/>
    <w:rsid w:val="003D3707"/>
    <w:rsid w:val="003D3D50"/>
    <w:rsid w:val="003D42DF"/>
    <w:rsid w:val="003D43A5"/>
    <w:rsid w:val="003D49D6"/>
    <w:rsid w:val="003D4F3E"/>
    <w:rsid w:val="003D54E1"/>
    <w:rsid w:val="003D601C"/>
    <w:rsid w:val="003D6058"/>
    <w:rsid w:val="003D62AD"/>
    <w:rsid w:val="003D63E8"/>
    <w:rsid w:val="003D64A7"/>
    <w:rsid w:val="003D724C"/>
    <w:rsid w:val="003D7583"/>
    <w:rsid w:val="003D75B2"/>
    <w:rsid w:val="003D7603"/>
    <w:rsid w:val="003D7636"/>
    <w:rsid w:val="003D7CFC"/>
    <w:rsid w:val="003D7DCE"/>
    <w:rsid w:val="003E015A"/>
    <w:rsid w:val="003E0404"/>
    <w:rsid w:val="003E0531"/>
    <w:rsid w:val="003E06E2"/>
    <w:rsid w:val="003E0994"/>
    <w:rsid w:val="003E0D91"/>
    <w:rsid w:val="003E0DA1"/>
    <w:rsid w:val="003E0EF9"/>
    <w:rsid w:val="003E1488"/>
    <w:rsid w:val="003E18F3"/>
    <w:rsid w:val="003E19D2"/>
    <w:rsid w:val="003E1A78"/>
    <w:rsid w:val="003E1C0F"/>
    <w:rsid w:val="003E1F6E"/>
    <w:rsid w:val="003E1FC9"/>
    <w:rsid w:val="003E2127"/>
    <w:rsid w:val="003E22B8"/>
    <w:rsid w:val="003E3078"/>
    <w:rsid w:val="003E32CA"/>
    <w:rsid w:val="003E3337"/>
    <w:rsid w:val="003E3CAA"/>
    <w:rsid w:val="003E3DEE"/>
    <w:rsid w:val="003E410C"/>
    <w:rsid w:val="003E4532"/>
    <w:rsid w:val="003E476B"/>
    <w:rsid w:val="003E4A0C"/>
    <w:rsid w:val="003E4C76"/>
    <w:rsid w:val="003E4D5E"/>
    <w:rsid w:val="003E4E4D"/>
    <w:rsid w:val="003E5B1C"/>
    <w:rsid w:val="003E60CC"/>
    <w:rsid w:val="003E6474"/>
    <w:rsid w:val="003E64F2"/>
    <w:rsid w:val="003E6527"/>
    <w:rsid w:val="003E6528"/>
    <w:rsid w:val="003E6598"/>
    <w:rsid w:val="003E6814"/>
    <w:rsid w:val="003E6B92"/>
    <w:rsid w:val="003E6CA2"/>
    <w:rsid w:val="003E6DB5"/>
    <w:rsid w:val="003E7150"/>
    <w:rsid w:val="003E74A3"/>
    <w:rsid w:val="003E7683"/>
    <w:rsid w:val="003E7867"/>
    <w:rsid w:val="003E7CA8"/>
    <w:rsid w:val="003F0E3A"/>
    <w:rsid w:val="003F1168"/>
    <w:rsid w:val="003F1280"/>
    <w:rsid w:val="003F19CD"/>
    <w:rsid w:val="003F20E6"/>
    <w:rsid w:val="003F23E1"/>
    <w:rsid w:val="003F2FA6"/>
    <w:rsid w:val="003F31B1"/>
    <w:rsid w:val="003F3545"/>
    <w:rsid w:val="003F3799"/>
    <w:rsid w:val="003F3915"/>
    <w:rsid w:val="003F3A2C"/>
    <w:rsid w:val="003F3EA9"/>
    <w:rsid w:val="003F4156"/>
    <w:rsid w:val="003F46FB"/>
    <w:rsid w:val="003F4754"/>
    <w:rsid w:val="003F4B6E"/>
    <w:rsid w:val="003F4ED1"/>
    <w:rsid w:val="003F5130"/>
    <w:rsid w:val="003F5142"/>
    <w:rsid w:val="003F5767"/>
    <w:rsid w:val="003F5A8A"/>
    <w:rsid w:val="003F5C3E"/>
    <w:rsid w:val="003F61A2"/>
    <w:rsid w:val="003F68F4"/>
    <w:rsid w:val="003F6AFE"/>
    <w:rsid w:val="003F6DA3"/>
    <w:rsid w:val="003F6E51"/>
    <w:rsid w:val="003F71AE"/>
    <w:rsid w:val="003F7243"/>
    <w:rsid w:val="003F73F4"/>
    <w:rsid w:val="003F7425"/>
    <w:rsid w:val="003F749E"/>
    <w:rsid w:val="003F767E"/>
    <w:rsid w:val="003F7EAD"/>
    <w:rsid w:val="004001B4"/>
    <w:rsid w:val="004004A3"/>
    <w:rsid w:val="00401236"/>
    <w:rsid w:val="00401E36"/>
    <w:rsid w:val="00402293"/>
    <w:rsid w:val="00402B6C"/>
    <w:rsid w:val="00402BA2"/>
    <w:rsid w:val="00403528"/>
    <w:rsid w:val="004035C5"/>
    <w:rsid w:val="0040383C"/>
    <w:rsid w:val="00403D59"/>
    <w:rsid w:val="00404120"/>
    <w:rsid w:val="00404189"/>
    <w:rsid w:val="00404356"/>
    <w:rsid w:val="004044D4"/>
    <w:rsid w:val="00404535"/>
    <w:rsid w:val="00404C68"/>
    <w:rsid w:val="004054A1"/>
    <w:rsid w:val="004054AD"/>
    <w:rsid w:val="00405518"/>
    <w:rsid w:val="00405B63"/>
    <w:rsid w:val="00405D9E"/>
    <w:rsid w:val="004061F6"/>
    <w:rsid w:val="00406388"/>
    <w:rsid w:val="004063E1"/>
    <w:rsid w:val="00406456"/>
    <w:rsid w:val="004068C8"/>
    <w:rsid w:val="0040690F"/>
    <w:rsid w:val="00406ACB"/>
    <w:rsid w:val="00406BAA"/>
    <w:rsid w:val="00406D4D"/>
    <w:rsid w:val="0040717E"/>
    <w:rsid w:val="004077F9"/>
    <w:rsid w:val="00407B0E"/>
    <w:rsid w:val="00407B45"/>
    <w:rsid w:val="00407E0D"/>
    <w:rsid w:val="004101E0"/>
    <w:rsid w:val="004101EE"/>
    <w:rsid w:val="0041021A"/>
    <w:rsid w:val="004105B4"/>
    <w:rsid w:val="00410708"/>
    <w:rsid w:val="00410D91"/>
    <w:rsid w:val="00410EC7"/>
    <w:rsid w:val="00411BEB"/>
    <w:rsid w:val="00411EEB"/>
    <w:rsid w:val="00411EFD"/>
    <w:rsid w:val="004121D7"/>
    <w:rsid w:val="00412494"/>
    <w:rsid w:val="00412997"/>
    <w:rsid w:val="00413033"/>
    <w:rsid w:val="004132A8"/>
    <w:rsid w:val="004132B4"/>
    <w:rsid w:val="004134A8"/>
    <w:rsid w:val="0041351D"/>
    <w:rsid w:val="00413601"/>
    <w:rsid w:val="00413758"/>
    <w:rsid w:val="0041399A"/>
    <w:rsid w:val="00414162"/>
    <w:rsid w:val="00414476"/>
    <w:rsid w:val="00414570"/>
    <w:rsid w:val="0041484B"/>
    <w:rsid w:val="004148D3"/>
    <w:rsid w:val="00414A5F"/>
    <w:rsid w:val="00415478"/>
    <w:rsid w:val="004156D8"/>
    <w:rsid w:val="00415837"/>
    <w:rsid w:val="00415E0E"/>
    <w:rsid w:val="0041608C"/>
    <w:rsid w:val="004163FF"/>
    <w:rsid w:val="004169D2"/>
    <w:rsid w:val="00416A11"/>
    <w:rsid w:val="004176EC"/>
    <w:rsid w:val="00420326"/>
    <w:rsid w:val="00420464"/>
    <w:rsid w:val="004206CF"/>
    <w:rsid w:val="0042083B"/>
    <w:rsid w:val="004208BF"/>
    <w:rsid w:val="00420A8F"/>
    <w:rsid w:val="00420B9F"/>
    <w:rsid w:val="00420FF5"/>
    <w:rsid w:val="004212DE"/>
    <w:rsid w:val="004214C2"/>
    <w:rsid w:val="004216A5"/>
    <w:rsid w:val="00421875"/>
    <w:rsid w:val="00421D76"/>
    <w:rsid w:val="00421E57"/>
    <w:rsid w:val="0042245A"/>
    <w:rsid w:val="00422620"/>
    <w:rsid w:val="00422C98"/>
    <w:rsid w:val="00422FF0"/>
    <w:rsid w:val="004235ED"/>
    <w:rsid w:val="00423AD0"/>
    <w:rsid w:val="00423F93"/>
    <w:rsid w:val="004240DB"/>
    <w:rsid w:val="004242CA"/>
    <w:rsid w:val="00424387"/>
    <w:rsid w:val="00424671"/>
    <w:rsid w:val="00424E5B"/>
    <w:rsid w:val="004250DE"/>
    <w:rsid w:val="00425120"/>
    <w:rsid w:val="00425265"/>
    <w:rsid w:val="00425A49"/>
    <w:rsid w:val="00425CC3"/>
    <w:rsid w:val="00425D70"/>
    <w:rsid w:val="0042604A"/>
    <w:rsid w:val="00426128"/>
    <w:rsid w:val="004262A1"/>
    <w:rsid w:val="0042637B"/>
    <w:rsid w:val="0042654A"/>
    <w:rsid w:val="004265D3"/>
    <w:rsid w:val="004269EC"/>
    <w:rsid w:val="00426DE3"/>
    <w:rsid w:val="00426FB7"/>
    <w:rsid w:val="00427719"/>
    <w:rsid w:val="004278BE"/>
    <w:rsid w:val="00427AF5"/>
    <w:rsid w:val="004303CB"/>
    <w:rsid w:val="00430646"/>
    <w:rsid w:val="00430749"/>
    <w:rsid w:val="004307C6"/>
    <w:rsid w:val="00430883"/>
    <w:rsid w:val="00430B1C"/>
    <w:rsid w:val="00430C86"/>
    <w:rsid w:val="004311EC"/>
    <w:rsid w:val="004316AC"/>
    <w:rsid w:val="004317F5"/>
    <w:rsid w:val="00431887"/>
    <w:rsid w:val="004319F8"/>
    <w:rsid w:val="00431C18"/>
    <w:rsid w:val="00431DD8"/>
    <w:rsid w:val="00431FB3"/>
    <w:rsid w:val="004321CB"/>
    <w:rsid w:val="004324F3"/>
    <w:rsid w:val="004324FB"/>
    <w:rsid w:val="00432841"/>
    <w:rsid w:val="00432BEC"/>
    <w:rsid w:val="00432E0C"/>
    <w:rsid w:val="00432E49"/>
    <w:rsid w:val="00433044"/>
    <w:rsid w:val="004330EE"/>
    <w:rsid w:val="0043324D"/>
    <w:rsid w:val="00433692"/>
    <w:rsid w:val="00433BF7"/>
    <w:rsid w:val="0043406C"/>
    <w:rsid w:val="004342B8"/>
    <w:rsid w:val="00434563"/>
    <w:rsid w:val="00434895"/>
    <w:rsid w:val="00434CF6"/>
    <w:rsid w:val="00434FCB"/>
    <w:rsid w:val="00435252"/>
    <w:rsid w:val="00435363"/>
    <w:rsid w:val="00435691"/>
    <w:rsid w:val="004357FD"/>
    <w:rsid w:val="00435971"/>
    <w:rsid w:val="00435BC8"/>
    <w:rsid w:val="00436257"/>
    <w:rsid w:val="004364F3"/>
    <w:rsid w:val="004368EA"/>
    <w:rsid w:val="00436F54"/>
    <w:rsid w:val="00437106"/>
    <w:rsid w:val="004371B8"/>
    <w:rsid w:val="00437A7C"/>
    <w:rsid w:val="004401AC"/>
    <w:rsid w:val="004410D8"/>
    <w:rsid w:val="0044127A"/>
    <w:rsid w:val="00442A64"/>
    <w:rsid w:val="00442D2A"/>
    <w:rsid w:val="00442D2B"/>
    <w:rsid w:val="00442FDA"/>
    <w:rsid w:val="004431DD"/>
    <w:rsid w:val="00443486"/>
    <w:rsid w:val="004436D9"/>
    <w:rsid w:val="00443A64"/>
    <w:rsid w:val="00443B0E"/>
    <w:rsid w:val="00444134"/>
    <w:rsid w:val="004441AA"/>
    <w:rsid w:val="00444221"/>
    <w:rsid w:val="004443A7"/>
    <w:rsid w:val="00444BF2"/>
    <w:rsid w:val="0044511C"/>
    <w:rsid w:val="004459CD"/>
    <w:rsid w:val="00445A27"/>
    <w:rsid w:val="00446013"/>
    <w:rsid w:val="0044605D"/>
    <w:rsid w:val="00446322"/>
    <w:rsid w:val="004464EB"/>
    <w:rsid w:val="004467A5"/>
    <w:rsid w:val="00446839"/>
    <w:rsid w:val="004468F6"/>
    <w:rsid w:val="00446FFD"/>
    <w:rsid w:val="00447235"/>
    <w:rsid w:val="004472A1"/>
    <w:rsid w:val="0044732D"/>
    <w:rsid w:val="0044739F"/>
    <w:rsid w:val="0044760C"/>
    <w:rsid w:val="00447D53"/>
    <w:rsid w:val="00447DC7"/>
    <w:rsid w:val="00447E8A"/>
    <w:rsid w:val="00447F95"/>
    <w:rsid w:val="00450014"/>
    <w:rsid w:val="00450210"/>
    <w:rsid w:val="004503B8"/>
    <w:rsid w:val="004504EB"/>
    <w:rsid w:val="00450A3C"/>
    <w:rsid w:val="00450B6A"/>
    <w:rsid w:val="00450C63"/>
    <w:rsid w:val="00450EF4"/>
    <w:rsid w:val="0045117C"/>
    <w:rsid w:val="0045202E"/>
    <w:rsid w:val="00452658"/>
    <w:rsid w:val="004526C7"/>
    <w:rsid w:val="00452890"/>
    <w:rsid w:val="00452C75"/>
    <w:rsid w:val="00452CC1"/>
    <w:rsid w:val="00452E9C"/>
    <w:rsid w:val="00452F3B"/>
    <w:rsid w:val="00453232"/>
    <w:rsid w:val="00453716"/>
    <w:rsid w:val="00453B7A"/>
    <w:rsid w:val="004546BD"/>
    <w:rsid w:val="0045485F"/>
    <w:rsid w:val="00454A54"/>
    <w:rsid w:val="00454B50"/>
    <w:rsid w:val="00455D45"/>
    <w:rsid w:val="004569D0"/>
    <w:rsid w:val="00456E52"/>
    <w:rsid w:val="00456ECF"/>
    <w:rsid w:val="0045736D"/>
    <w:rsid w:val="004573A6"/>
    <w:rsid w:val="004574AF"/>
    <w:rsid w:val="004577B0"/>
    <w:rsid w:val="0045793A"/>
    <w:rsid w:val="0046007B"/>
    <w:rsid w:val="00460153"/>
    <w:rsid w:val="00460218"/>
    <w:rsid w:val="004604EA"/>
    <w:rsid w:val="004606F2"/>
    <w:rsid w:val="0046085B"/>
    <w:rsid w:val="00460C08"/>
    <w:rsid w:val="004610DF"/>
    <w:rsid w:val="00461124"/>
    <w:rsid w:val="00461517"/>
    <w:rsid w:val="00461C1B"/>
    <w:rsid w:val="00461CAA"/>
    <w:rsid w:val="00461E22"/>
    <w:rsid w:val="004626DA"/>
    <w:rsid w:val="00462780"/>
    <w:rsid w:val="0046284E"/>
    <w:rsid w:val="00462AF6"/>
    <w:rsid w:val="00462DC1"/>
    <w:rsid w:val="00463436"/>
    <w:rsid w:val="00463610"/>
    <w:rsid w:val="00463B28"/>
    <w:rsid w:val="00463C64"/>
    <w:rsid w:val="00464473"/>
    <w:rsid w:val="00464595"/>
    <w:rsid w:val="00464738"/>
    <w:rsid w:val="00464747"/>
    <w:rsid w:val="00464B42"/>
    <w:rsid w:val="00464C91"/>
    <w:rsid w:val="004657F1"/>
    <w:rsid w:val="00466BA6"/>
    <w:rsid w:val="00467C66"/>
    <w:rsid w:val="00470589"/>
    <w:rsid w:val="00470A41"/>
    <w:rsid w:val="00470C28"/>
    <w:rsid w:val="00471396"/>
    <w:rsid w:val="004713FE"/>
    <w:rsid w:val="004716CA"/>
    <w:rsid w:val="004720EA"/>
    <w:rsid w:val="00472117"/>
    <w:rsid w:val="00472673"/>
    <w:rsid w:val="00472E24"/>
    <w:rsid w:val="00473176"/>
    <w:rsid w:val="00473255"/>
    <w:rsid w:val="0047328A"/>
    <w:rsid w:val="00473A14"/>
    <w:rsid w:val="00473BB6"/>
    <w:rsid w:val="00473E27"/>
    <w:rsid w:val="00473F24"/>
    <w:rsid w:val="00474216"/>
    <w:rsid w:val="00474CAE"/>
    <w:rsid w:val="00474E9B"/>
    <w:rsid w:val="00474FE5"/>
    <w:rsid w:val="004758DC"/>
    <w:rsid w:val="00475A0C"/>
    <w:rsid w:val="0047604A"/>
    <w:rsid w:val="00476BDF"/>
    <w:rsid w:val="00476EF1"/>
    <w:rsid w:val="004773B6"/>
    <w:rsid w:val="00477E81"/>
    <w:rsid w:val="00480949"/>
    <w:rsid w:val="00480975"/>
    <w:rsid w:val="0048104B"/>
    <w:rsid w:val="004815F5"/>
    <w:rsid w:val="00481706"/>
    <w:rsid w:val="00481851"/>
    <w:rsid w:val="004819E0"/>
    <w:rsid w:val="00481CE3"/>
    <w:rsid w:val="00481D73"/>
    <w:rsid w:val="004823EC"/>
    <w:rsid w:val="0048274D"/>
    <w:rsid w:val="00482B14"/>
    <w:rsid w:val="0048315A"/>
    <w:rsid w:val="00483857"/>
    <w:rsid w:val="00483892"/>
    <w:rsid w:val="0048421A"/>
    <w:rsid w:val="00484386"/>
    <w:rsid w:val="004848A6"/>
    <w:rsid w:val="00484A3E"/>
    <w:rsid w:val="00484C32"/>
    <w:rsid w:val="00484E52"/>
    <w:rsid w:val="00484F9A"/>
    <w:rsid w:val="00484FC4"/>
    <w:rsid w:val="004855A8"/>
    <w:rsid w:val="004860FC"/>
    <w:rsid w:val="004867E2"/>
    <w:rsid w:val="00486AC7"/>
    <w:rsid w:val="00486DD9"/>
    <w:rsid w:val="00486FA1"/>
    <w:rsid w:val="00487BF9"/>
    <w:rsid w:val="00487C32"/>
    <w:rsid w:val="00490373"/>
    <w:rsid w:val="0049048A"/>
    <w:rsid w:val="00490499"/>
    <w:rsid w:val="004904B1"/>
    <w:rsid w:val="0049051D"/>
    <w:rsid w:val="004908B5"/>
    <w:rsid w:val="00490A04"/>
    <w:rsid w:val="0049123F"/>
    <w:rsid w:val="00491977"/>
    <w:rsid w:val="00491ACB"/>
    <w:rsid w:val="00491B3A"/>
    <w:rsid w:val="00491B6B"/>
    <w:rsid w:val="00491C6D"/>
    <w:rsid w:val="00491F71"/>
    <w:rsid w:val="004925E1"/>
    <w:rsid w:val="0049274E"/>
    <w:rsid w:val="004927A2"/>
    <w:rsid w:val="00492A26"/>
    <w:rsid w:val="00492CFD"/>
    <w:rsid w:val="0049333B"/>
    <w:rsid w:val="00493E3C"/>
    <w:rsid w:val="00493FA5"/>
    <w:rsid w:val="00494492"/>
    <w:rsid w:val="0049450F"/>
    <w:rsid w:val="00494B5A"/>
    <w:rsid w:val="00495445"/>
    <w:rsid w:val="004956FE"/>
    <w:rsid w:val="0049580F"/>
    <w:rsid w:val="0049591F"/>
    <w:rsid w:val="004959ED"/>
    <w:rsid w:val="00495A6A"/>
    <w:rsid w:val="00495ED9"/>
    <w:rsid w:val="00495FE9"/>
    <w:rsid w:val="004960CC"/>
    <w:rsid w:val="00496108"/>
    <w:rsid w:val="004962D2"/>
    <w:rsid w:val="0049696E"/>
    <w:rsid w:val="00497336"/>
    <w:rsid w:val="004976F7"/>
    <w:rsid w:val="004977D6"/>
    <w:rsid w:val="00497D6B"/>
    <w:rsid w:val="00497E15"/>
    <w:rsid w:val="004A03F7"/>
    <w:rsid w:val="004A0DA1"/>
    <w:rsid w:val="004A130B"/>
    <w:rsid w:val="004A135B"/>
    <w:rsid w:val="004A1401"/>
    <w:rsid w:val="004A1402"/>
    <w:rsid w:val="004A199E"/>
    <w:rsid w:val="004A1A5B"/>
    <w:rsid w:val="004A21D9"/>
    <w:rsid w:val="004A2286"/>
    <w:rsid w:val="004A2415"/>
    <w:rsid w:val="004A24A0"/>
    <w:rsid w:val="004A2593"/>
    <w:rsid w:val="004A27E4"/>
    <w:rsid w:val="004A287C"/>
    <w:rsid w:val="004A29C1"/>
    <w:rsid w:val="004A2A46"/>
    <w:rsid w:val="004A2DFC"/>
    <w:rsid w:val="004A2EFE"/>
    <w:rsid w:val="004A31F5"/>
    <w:rsid w:val="004A32C6"/>
    <w:rsid w:val="004A34B4"/>
    <w:rsid w:val="004A365B"/>
    <w:rsid w:val="004A3791"/>
    <w:rsid w:val="004A3799"/>
    <w:rsid w:val="004A3FCD"/>
    <w:rsid w:val="004A48BB"/>
    <w:rsid w:val="004A49B4"/>
    <w:rsid w:val="004A513F"/>
    <w:rsid w:val="004A6597"/>
    <w:rsid w:val="004A660C"/>
    <w:rsid w:val="004A6D2F"/>
    <w:rsid w:val="004A6E34"/>
    <w:rsid w:val="004A6EA1"/>
    <w:rsid w:val="004A7344"/>
    <w:rsid w:val="004A75B1"/>
    <w:rsid w:val="004A7D57"/>
    <w:rsid w:val="004A7E44"/>
    <w:rsid w:val="004B00EE"/>
    <w:rsid w:val="004B029C"/>
    <w:rsid w:val="004B02FF"/>
    <w:rsid w:val="004B031D"/>
    <w:rsid w:val="004B1346"/>
    <w:rsid w:val="004B150F"/>
    <w:rsid w:val="004B16A6"/>
    <w:rsid w:val="004B1BB6"/>
    <w:rsid w:val="004B1CB4"/>
    <w:rsid w:val="004B1FEC"/>
    <w:rsid w:val="004B1FF0"/>
    <w:rsid w:val="004B2F18"/>
    <w:rsid w:val="004B38C3"/>
    <w:rsid w:val="004B3A6A"/>
    <w:rsid w:val="004B3D67"/>
    <w:rsid w:val="004B3DDB"/>
    <w:rsid w:val="004B40D6"/>
    <w:rsid w:val="004B425C"/>
    <w:rsid w:val="004B44B0"/>
    <w:rsid w:val="004B44FD"/>
    <w:rsid w:val="004B47E0"/>
    <w:rsid w:val="004B48F8"/>
    <w:rsid w:val="004B4D1B"/>
    <w:rsid w:val="004B5860"/>
    <w:rsid w:val="004B58BE"/>
    <w:rsid w:val="004B5B34"/>
    <w:rsid w:val="004B5CFC"/>
    <w:rsid w:val="004B5D2D"/>
    <w:rsid w:val="004B5DF7"/>
    <w:rsid w:val="004B5EEF"/>
    <w:rsid w:val="004B61B0"/>
    <w:rsid w:val="004B6361"/>
    <w:rsid w:val="004B72CD"/>
    <w:rsid w:val="004B754F"/>
    <w:rsid w:val="004B771D"/>
    <w:rsid w:val="004B78F0"/>
    <w:rsid w:val="004B7A98"/>
    <w:rsid w:val="004B7CD3"/>
    <w:rsid w:val="004B7FB2"/>
    <w:rsid w:val="004C040A"/>
    <w:rsid w:val="004C048E"/>
    <w:rsid w:val="004C0882"/>
    <w:rsid w:val="004C0949"/>
    <w:rsid w:val="004C09C2"/>
    <w:rsid w:val="004C09F9"/>
    <w:rsid w:val="004C0BDD"/>
    <w:rsid w:val="004C0D64"/>
    <w:rsid w:val="004C0D7A"/>
    <w:rsid w:val="004C0E00"/>
    <w:rsid w:val="004C1299"/>
    <w:rsid w:val="004C1318"/>
    <w:rsid w:val="004C1DCA"/>
    <w:rsid w:val="004C1FB5"/>
    <w:rsid w:val="004C2A2C"/>
    <w:rsid w:val="004C2A63"/>
    <w:rsid w:val="004C2D20"/>
    <w:rsid w:val="004C2DF3"/>
    <w:rsid w:val="004C36B7"/>
    <w:rsid w:val="004C36BB"/>
    <w:rsid w:val="004C3BD7"/>
    <w:rsid w:val="004C4183"/>
    <w:rsid w:val="004C46B1"/>
    <w:rsid w:val="004C4A81"/>
    <w:rsid w:val="004C4AED"/>
    <w:rsid w:val="004C4DA3"/>
    <w:rsid w:val="004C50D5"/>
    <w:rsid w:val="004C592E"/>
    <w:rsid w:val="004C5AE2"/>
    <w:rsid w:val="004C5AF2"/>
    <w:rsid w:val="004C5F3D"/>
    <w:rsid w:val="004C6652"/>
    <w:rsid w:val="004C67C8"/>
    <w:rsid w:val="004C6EB2"/>
    <w:rsid w:val="004C6FCD"/>
    <w:rsid w:val="004C7646"/>
    <w:rsid w:val="004C7A4A"/>
    <w:rsid w:val="004C7A97"/>
    <w:rsid w:val="004C7F9F"/>
    <w:rsid w:val="004D0082"/>
    <w:rsid w:val="004D019A"/>
    <w:rsid w:val="004D08D7"/>
    <w:rsid w:val="004D0C89"/>
    <w:rsid w:val="004D10CD"/>
    <w:rsid w:val="004D11C5"/>
    <w:rsid w:val="004D1517"/>
    <w:rsid w:val="004D17C1"/>
    <w:rsid w:val="004D183F"/>
    <w:rsid w:val="004D1A3B"/>
    <w:rsid w:val="004D1B27"/>
    <w:rsid w:val="004D209C"/>
    <w:rsid w:val="004D29AB"/>
    <w:rsid w:val="004D2B95"/>
    <w:rsid w:val="004D2C65"/>
    <w:rsid w:val="004D2CDD"/>
    <w:rsid w:val="004D2F13"/>
    <w:rsid w:val="004D333F"/>
    <w:rsid w:val="004D409C"/>
    <w:rsid w:val="004D42A5"/>
    <w:rsid w:val="004D45C4"/>
    <w:rsid w:val="004D473F"/>
    <w:rsid w:val="004D4782"/>
    <w:rsid w:val="004D486D"/>
    <w:rsid w:val="004D49D0"/>
    <w:rsid w:val="004D4AC4"/>
    <w:rsid w:val="004D4BCD"/>
    <w:rsid w:val="004D4F31"/>
    <w:rsid w:val="004D59C4"/>
    <w:rsid w:val="004D59EC"/>
    <w:rsid w:val="004D6569"/>
    <w:rsid w:val="004D6987"/>
    <w:rsid w:val="004D6DFC"/>
    <w:rsid w:val="004D75BB"/>
    <w:rsid w:val="004D7818"/>
    <w:rsid w:val="004D7879"/>
    <w:rsid w:val="004D7B10"/>
    <w:rsid w:val="004D7EAB"/>
    <w:rsid w:val="004E00B2"/>
    <w:rsid w:val="004E05E9"/>
    <w:rsid w:val="004E071F"/>
    <w:rsid w:val="004E0EB8"/>
    <w:rsid w:val="004E13AE"/>
    <w:rsid w:val="004E1513"/>
    <w:rsid w:val="004E18AB"/>
    <w:rsid w:val="004E1919"/>
    <w:rsid w:val="004E1A18"/>
    <w:rsid w:val="004E1A31"/>
    <w:rsid w:val="004E1BC2"/>
    <w:rsid w:val="004E1ECE"/>
    <w:rsid w:val="004E1F20"/>
    <w:rsid w:val="004E2076"/>
    <w:rsid w:val="004E269B"/>
    <w:rsid w:val="004E26BC"/>
    <w:rsid w:val="004E27AB"/>
    <w:rsid w:val="004E28A9"/>
    <w:rsid w:val="004E2ADC"/>
    <w:rsid w:val="004E2B0E"/>
    <w:rsid w:val="004E2BA1"/>
    <w:rsid w:val="004E2CC8"/>
    <w:rsid w:val="004E2EB5"/>
    <w:rsid w:val="004E31CD"/>
    <w:rsid w:val="004E322E"/>
    <w:rsid w:val="004E35E8"/>
    <w:rsid w:val="004E3774"/>
    <w:rsid w:val="004E3D59"/>
    <w:rsid w:val="004E3D5E"/>
    <w:rsid w:val="004E4224"/>
    <w:rsid w:val="004E43B2"/>
    <w:rsid w:val="004E45B1"/>
    <w:rsid w:val="004E49F6"/>
    <w:rsid w:val="004E4C75"/>
    <w:rsid w:val="004E5457"/>
    <w:rsid w:val="004E54F0"/>
    <w:rsid w:val="004E5563"/>
    <w:rsid w:val="004E5DB5"/>
    <w:rsid w:val="004E6169"/>
    <w:rsid w:val="004E663F"/>
    <w:rsid w:val="004E71BA"/>
    <w:rsid w:val="004E72CF"/>
    <w:rsid w:val="004E79E2"/>
    <w:rsid w:val="004E7BC7"/>
    <w:rsid w:val="004E7F92"/>
    <w:rsid w:val="004F026C"/>
    <w:rsid w:val="004F075C"/>
    <w:rsid w:val="004F0850"/>
    <w:rsid w:val="004F0AC0"/>
    <w:rsid w:val="004F0C54"/>
    <w:rsid w:val="004F11FE"/>
    <w:rsid w:val="004F1D02"/>
    <w:rsid w:val="004F1E0E"/>
    <w:rsid w:val="004F1E40"/>
    <w:rsid w:val="004F2108"/>
    <w:rsid w:val="004F2679"/>
    <w:rsid w:val="004F2FAD"/>
    <w:rsid w:val="004F3026"/>
    <w:rsid w:val="004F302C"/>
    <w:rsid w:val="004F31F8"/>
    <w:rsid w:val="004F3715"/>
    <w:rsid w:val="004F37B3"/>
    <w:rsid w:val="004F39FE"/>
    <w:rsid w:val="004F4009"/>
    <w:rsid w:val="004F40BF"/>
    <w:rsid w:val="004F4251"/>
    <w:rsid w:val="004F425C"/>
    <w:rsid w:val="004F4445"/>
    <w:rsid w:val="004F4776"/>
    <w:rsid w:val="004F4CD8"/>
    <w:rsid w:val="004F4CEF"/>
    <w:rsid w:val="004F4F80"/>
    <w:rsid w:val="004F4FE8"/>
    <w:rsid w:val="004F4FFC"/>
    <w:rsid w:val="004F5501"/>
    <w:rsid w:val="004F5628"/>
    <w:rsid w:val="004F591B"/>
    <w:rsid w:val="004F5956"/>
    <w:rsid w:val="004F5BEB"/>
    <w:rsid w:val="004F5C28"/>
    <w:rsid w:val="004F6559"/>
    <w:rsid w:val="004F6A6A"/>
    <w:rsid w:val="004F70A6"/>
    <w:rsid w:val="004F7567"/>
    <w:rsid w:val="004F7865"/>
    <w:rsid w:val="004F7A39"/>
    <w:rsid w:val="004F7B7B"/>
    <w:rsid w:val="004F7E21"/>
    <w:rsid w:val="00500001"/>
    <w:rsid w:val="00500389"/>
    <w:rsid w:val="00500635"/>
    <w:rsid w:val="00500EA3"/>
    <w:rsid w:val="00500EF7"/>
    <w:rsid w:val="00500FCC"/>
    <w:rsid w:val="005012DD"/>
    <w:rsid w:val="005016B6"/>
    <w:rsid w:val="00501BC7"/>
    <w:rsid w:val="00501D46"/>
    <w:rsid w:val="00502060"/>
    <w:rsid w:val="00502CF2"/>
    <w:rsid w:val="00502DA0"/>
    <w:rsid w:val="00502DD1"/>
    <w:rsid w:val="00502E62"/>
    <w:rsid w:val="00503206"/>
    <w:rsid w:val="005036DD"/>
    <w:rsid w:val="00503FE9"/>
    <w:rsid w:val="0050418C"/>
    <w:rsid w:val="005047D5"/>
    <w:rsid w:val="00504B7E"/>
    <w:rsid w:val="005051D1"/>
    <w:rsid w:val="005052D7"/>
    <w:rsid w:val="00505747"/>
    <w:rsid w:val="00505813"/>
    <w:rsid w:val="00505849"/>
    <w:rsid w:val="005058E9"/>
    <w:rsid w:val="00505BBB"/>
    <w:rsid w:val="00505CA1"/>
    <w:rsid w:val="00505DC8"/>
    <w:rsid w:val="00505EA0"/>
    <w:rsid w:val="005061C0"/>
    <w:rsid w:val="0050625E"/>
    <w:rsid w:val="0050685D"/>
    <w:rsid w:val="00506928"/>
    <w:rsid w:val="00506B27"/>
    <w:rsid w:val="00506D2A"/>
    <w:rsid w:val="00507A9F"/>
    <w:rsid w:val="00507C57"/>
    <w:rsid w:val="00507CED"/>
    <w:rsid w:val="00507E2F"/>
    <w:rsid w:val="00510182"/>
    <w:rsid w:val="00510212"/>
    <w:rsid w:val="0051079B"/>
    <w:rsid w:val="0051104F"/>
    <w:rsid w:val="00511100"/>
    <w:rsid w:val="00511528"/>
    <w:rsid w:val="005115B6"/>
    <w:rsid w:val="00511A60"/>
    <w:rsid w:val="00511BBC"/>
    <w:rsid w:val="00511EBD"/>
    <w:rsid w:val="0051211E"/>
    <w:rsid w:val="0051213F"/>
    <w:rsid w:val="00512A56"/>
    <w:rsid w:val="00512DC7"/>
    <w:rsid w:val="00513064"/>
    <w:rsid w:val="00513786"/>
    <w:rsid w:val="00513B3A"/>
    <w:rsid w:val="00513BC7"/>
    <w:rsid w:val="00513FAD"/>
    <w:rsid w:val="005140A7"/>
    <w:rsid w:val="005145AE"/>
    <w:rsid w:val="00514F4D"/>
    <w:rsid w:val="00515208"/>
    <w:rsid w:val="005152B5"/>
    <w:rsid w:val="0051591B"/>
    <w:rsid w:val="00515EE1"/>
    <w:rsid w:val="00516243"/>
    <w:rsid w:val="0051631D"/>
    <w:rsid w:val="005164A4"/>
    <w:rsid w:val="00517243"/>
    <w:rsid w:val="005174F9"/>
    <w:rsid w:val="00517682"/>
    <w:rsid w:val="005178EA"/>
    <w:rsid w:val="00517CB9"/>
    <w:rsid w:val="0052027D"/>
    <w:rsid w:val="0052048D"/>
    <w:rsid w:val="0052060D"/>
    <w:rsid w:val="00520894"/>
    <w:rsid w:val="00520A56"/>
    <w:rsid w:val="00520EC5"/>
    <w:rsid w:val="005211D4"/>
    <w:rsid w:val="00521319"/>
    <w:rsid w:val="005215A8"/>
    <w:rsid w:val="00521704"/>
    <w:rsid w:val="00521FBD"/>
    <w:rsid w:val="00522031"/>
    <w:rsid w:val="005221BB"/>
    <w:rsid w:val="00522280"/>
    <w:rsid w:val="0052263B"/>
    <w:rsid w:val="005229A7"/>
    <w:rsid w:val="00522A4E"/>
    <w:rsid w:val="00522E72"/>
    <w:rsid w:val="005235A6"/>
    <w:rsid w:val="0052362F"/>
    <w:rsid w:val="00523C28"/>
    <w:rsid w:val="00523EAB"/>
    <w:rsid w:val="00524487"/>
    <w:rsid w:val="005245D0"/>
    <w:rsid w:val="005246D9"/>
    <w:rsid w:val="005248DA"/>
    <w:rsid w:val="00524987"/>
    <w:rsid w:val="005249F5"/>
    <w:rsid w:val="00524AFB"/>
    <w:rsid w:val="00524D36"/>
    <w:rsid w:val="00524E9D"/>
    <w:rsid w:val="00524FA2"/>
    <w:rsid w:val="00524FDB"/>
    <w:rsid w:val="00525D45"/>
    <w:rsid w:val="00525DBF"/>
    <w:rsid w:val="0052610C"/>
    <w:rsid w:val="005263EA"/>
    <w:rsid w:val="00526D08"/>
    <w:rsid w:val="00526F81"/>
    <w:rsid w:val="00527136"/>
    <w:rsid w:val="005275ED"/>
    <w:rsid w:val="00527BC3"/>
    <w:rsid w:val="005306AD"/>
    <w:rsid w:val="00530B82"/>
    <w:rsid w:val="00530F27"/>
    <w:rsid w:val="005312CC"/>
    <w:rsid w:val="00531BFA"/>
    <w:rsid w:val="00531C70"/>
    <w:rsid w:val="005324A9"/>
    <w:rsid w:val="00532695"/>
    <w:rsid w:val="005328C1"/>
    <w:rsid w:val="0053290B"/>
    <w:rsid w:val="00532A43"/>
    <w:rsid w:val="00532F1B"/>
    <w:rsid w:val="00533026"/>
    <w:rsid w:val="005330D2"/>
    <w:rsid w:val="005334F2"/>
    <w:rsid w:val="005335BD"/>
    <w:rsid w:val="005337A9"/>
    <w:rsid w:val="00533AF9"/>
    <w:rsid w:val="005342D1"/>
    <w:rsid w:val="00534417"/>
    <w:rsid w:val="00534D11"/>
    <w:rsid w:val="00534EB5"/>
    <w:rsid w:val="00535069"/>
    <w:rsid w:val="00535662"/>
    <w:rsid w:val="00536022"/>
    <w:rsid w:val="00536A44"/>
    <w:rsid w:val="00536DFD"/>
    <w:rsid w:val="005370C5"/>
    <w:rsid w:val="005372A7"/>
    <w:rsid w:val="00537861"/>
    <w:rsid w:val="00537ABF"/>
    <w:rsid w:val="0054007D"/>
    <w:rsid w:val="0054010B"/>
    <w:rsid w:val="0054013C"/>
    <w:rsid w:val="00540883"/>
    <w:rsid w:val="00540B52"/>
    <w:rsid w:val="005412E4"/>
    <w:rsid w:val="0054174C"/>
    <w:rsid w:val="00541B64"/>
    <w:rsid w:val="00541B84"/>
    <w:rsid w:val="00542075"/>
    <w:rsid w:val="005421FB"/>
    <w:rsid w:val="0054272E"/>
    <w:rsid w:val="005429E9"/>
    <w:rsid w:val="0054340C"/>
    <w:rsid w:val="0054373B"/>
    <w:rsid w:val="00543B97"/>
    <w:rsid w:val="00543F4F"/>
    <w:rsid w:val="005440C8"/>
    <w:rsid w:val="005445BD"/>
    <w:rsid w:val="00544622"/>
    <w:rsid w:val="005447CC"/>
    <w:rsid w:val="0054487F"/>
    <w:rsid w:val="00544AA5"/>
    <w:rsid w:val="0054529F"/>
    <w:rsid w:val="0054561A"/>
    <w:rsid w:val="00545CFD"/>
    <w:rsid w:val="00545FC9"/>
    <w:rsid w:val="00546201"/>
    <w:rsid w:val="00546743"/>
    <w:rsid w:val="005468AD"/>
    <w:rsid w:val="00546E03"/>
    <w:rsid w:val="00546F19"/>
    <w:rsid w:val="005470D9"/>
    <w:rsid w:val="0054749E"/>
    <w:rsid w:val="00547928"/>
    <w:rsid w:val="0055018C"/>
    <w:rsid w:val="00550952"/>
    <w:rsid w:val="00550FF1"/>
    <w:rsid w:val="005510B3"/>
    <w:rsid w:val="005512F4"/>
    <w:rsid w:val="0055136B"/>
    <w:rsid w:val="00551B04"/>
    <w:rsid w:val="00551C28"/>
    <w:rsid w:val="00552156"/>
    <w:rsid w:val="00552282"/>
    <w:rsid w:val="00552620"/>
    <w:rsid w:val="00552938"/>
    <w:rsid w:val="0055294D"/>
    <w:rsid w:val="00552BD3"/>
    <w:rsid w:val="00553306"/>
    <w:rsid w:val="005536E5"/>
    <w:rsid w:val="005536FF"/>
    <w:rsid w:val="0055389C"/>
    <w:rsid w:val="005541B1"/>
    <w:rsid w:val="00554C74"/>
    <w:rsid w:val="00554D54"/>
    <w:rsid w:val="00554EEF"/>
    <w:rsid w:val="00554F71"/>
    <w:rsid w:val="00555109"/>
    <w:rsid w:val="0055558D"/>
    <w:rsid w:val="00555F79"/>
    <w:rsid w:val="00556429"/>
    <w:rsid w:val="00556AD2"/>
    <w:rsid w:val="0055729D"/>
    <w:rsid w:val="00557620"/>
    <w:rsid w:val="00557D86"/>
    <w:rsid w:val="00560787"/>
    <w:rsid w:val="005607AD"/>
    <w:rsid w:val="00560E8E"/>
    <w:rsid w:val="00560E8F"/>
    <w:rsid w:val="0056187E"/>
    <w:rsid w:val="005618BF"/>
    <w:rsid w:val="005618EF"/>
    <w:rsid w:val="00561943"/>
    <w:rsid w:val="00561CA4"/>
    <w:rsid w:val="00561D9A"/>
    <w:rsid w:val="00561DA1"/>
    <w:rsid w:val="00562151"/>
    <w:rsid w:val="00562337"/>
    <w:rsid w:val="0056242C"/>
    <w:rsid w:val="00562630"/>
    <w:rsid w:val="00562DF3"/>
    <w:rsid w:val="00562ED9"/>
    <w:rsid w:val="005633A2"/>
    <w:rsid w:val="005641DA"/>
    <w:rsid w:val="005644F8"/>
    <w:rsid w:val="00564E0E"/>
    <w:rsid w:val="00564F00"/>
    <w:rsid w:val="00565FEE"/>
    <w:rsid w:val="00566587"/>
    <w:rsid w:val="00566706"/>
    <w:rsid w:val="0056696F"/>
    <w:rsid w:val="00566D9C"/>
    <w:rsid w:val="0056752A"/>
    <w:rsid w:val="00567A5F"/>
    <w:rsid w:val="00567CC9"/>
    <w:rsid w:val="00567F8A"/>
    <w:rsid w:val="00570268"/>
    <w:rsid w:val="0057026A"/>
    <w:rsid w:val="00570818"/>
    <w:rsid w:val="0057095F"/>
    <w:rsid w:val="00570A33"/>
    <w:rsid w:val="00570C7D"/>
    <w:rsid w:val="00570F2B"/>
    <w:rsid w:val="00570FCD"/>
    <w:rsid w:val="00571318"/>
    <w:rsid w:val="0057172D"/>
    <w:rsid w:val="005719D9"/>
    <w:rsid w:val="00571F5B"/>
    <w:rsid w:val="00571F84"/>
    <w:rsid w:val="005720E5"/>
    <w:rsid w:val="005724CD"/>
    <w:rsid w:val="00572A95"/>
    <w:rsid w:val="005732E3"/>
    <w:rsid w:val="005733A9"/>
    <w:rsid w:val="0057355B"/>
    <w:rsid w:val="00573757"/>
    <w:rsid w:val="00573D72"/>
    <w:rsid w:val="00573E3B"/>
    <w:rsid w:val="00574268"/>
    <w:rsid w:val="005743D5"/>
    <w:rsid w:val="005743D9"/>
    <w:rsid w:val="00574649"/>
    <w:rsid w:val="005750A4"/>
    <w:rsid w:val="00575110"/>
    <w:rsid w:val="005755C6"/>
    <w:rsid w:val="00575D8D"/>
    <w:rsid w:val="00575DD0"/>
    <w:rsid w:val="0057689D"/>
    <w:rsid w:val="0057696E"/>
    <w:rsid w:val="00576972"/>
    <w:rsid w:val="00576CAA"/>
    <w:rsid w:val="00576D51"/>
    <w:rsid w:val="00576E0D"/>
    <w:rsid w:val="00577063"/>
    <w:rsid w:val="0057709E"/>
    <w:rsid w:val="00577469"/>
    <w:rsid w:val="005775BC"/>
    <w:rsid w:val="00577901"/>
    <w:rsid w:val="00577982"/>
    <w:rsid w:val="00577DBA"/>
    <w:rsid w:val="00580280"/>
    <w:rsid w:val="005804D4"/>
    <w:rsid w:val="0058074A"/>
    <w:rsid w:val="005807A5"/>
    <w:rsid w:val="00580F65"/>
    <w:rsid w:val="00581281"/>
    <w:rsid w:val="00581472"/>
    <w:rsid w:val="00581FDF"/>
    <w:rsid w:val="0058200A"/>
    <w:rsid w:val="00582298"/>
    <w:rsid w:val="00582DCB"/>
    <w:rsid w:val="00583699"/>
    <w:rsid w:val="0058376A"/>
    <w:rsid w:val="00583AC6"/>
    <w:rsid w:val="005845FF"/>
    <w:rsid w:val="0058485C"/>
    <w:rsid w:val="00584961"/>
    <w:rsid w:val="00584988"/>
    <w:rsid w:val="00584DF6"/>
    <w:rsid w:val="0058504F"/>
    <w:rsid w:val="00585641"/>
    <w:rsid w:val="00585826"/>
    <w:rsid w:val="00585AA7"/>
    <w:rsid w:val="00585CEC"/>
    <w:rsid w:val="00585FF8"/>
    <w:rsid w:val="00586353"/>
    <w:rsid w:val="0058663A"/>
    <w:rsid w:val="00586680"/>
    <w:rsid w:val="00586763"/>
    <w:rsid w:val="00586891"/>
    <w:rsid w:val="00586FE2"/>
    <w:rsid w:val="0058735F"/>
    <w:rsid w:val="00587458"/>
    <w:rsid w:val="00587B7A"/>
    <w:rsid w:val="00587CF8"/>
    <w:rsid w:val="00590270"/>
    <w:rsid w:val="00590919"/>
    <w:rsid w:val="00590CDF"/>
    <w:rsid w:val="00591558"/>
    <w:rsid w:val="005915E0"/>
    <w:rsid w:val="00591621"/>
    <w:rsid w:val="005917B6"/>
    <w:rsid w:val="005918DE"/>
    <w:rsid w:val="00591BD0"/>
    <w:rsid w:val="00591D8A"/>
    <w:rsid w:val="00591E05"/>
    <w:rsid w:val="00592848"/>
    <w:rsid w:val="0059332D"/>
    <w:rsid w:val="005933B0"/>
    <w:rsid w:val="00593701"/>
    <w:rsid w:val="005938EF"/>
    <w:rsid w:val="00593CAF"/>
    <w:rsid w:val="0059431D"/>
    <w:rsid w:val="00594DDC"/>
    <w:rsid w:val="00594E3E"/>
    <w:rsid w:val="00594E6F"/>
    <w:rsid w:val="00594ED3"/>
    <w:rsid w:val="00595095"/>
    <w:rsid w:val="00595398"/>
    <w:rsid w:val="0059548E"/>
    <w:rsid w:val="005957BE"/>
    <w:rsid w:val="00596658"/>
    <w:rsid w:val="00596823"/>
    <w:rsid w:val="005968FC"/>
    <w:rsid w:val="00596985"/>
    <w:rsid w:val="00596A89"/>
    <w:rsid w:val="00597753"/>
    <w:rsid w:val="00597B41"/>
    <w:rsid w:val="00597B9D"/>
    <w:rsid w:val="005A029B"/>
    <w:rsid w:val="005A033D"/>
    <w:rsid w:val="005A08EA"/>
    <w:rsid w:val="005A0C8D"/>
    <w:rsid w:val="005A12E1"/>
    <w:rsid w:val="005A171A"/>
    <w:rsid w:val="005A1776"/>
    <w:rsid w:val="005A1C5D"/>
    <w:rsid w:val="005A2046"/>
    <w:rsid w:val="005A2161"/>
    <w:rsid w:val="005A21B8"/>
    <w:rsid w:val="005A22B3"/>
    <w:rsid w:val="005A2551"/>
    <w:rsid w:val="005A257A"/>
    <w:rsid w:val="005A2714"/>
    <w:rsid w:val="005A27B9"/>
    <w:rsid w:val="005A2989"/>
    <w:rsid w:val="005A2BEF"/>
    <w:rsid w:val="005A2DBC"/>
    <w:rsid w:val="005A2F5D"/>
    <w:rsid w:val="005A3127"/>
    <w:rsid w:val="005A329E"/>
    <w:rsid w:val="005A33C4"/>
    <w:rsid w:val="005A3442"/>
    <w:rsid w:val="005A363C"/>
    <w:rsid w:val="005A3686"/>
    <w:rsid w:val="005A38F2"/>
    <w:rsid w:val="005A39C5"/>
    <w:rsid w:val="005A3BE4"/>
    <w:rsid w:val="005A3D94"/>
    <w:rsid w:val="005A3E67"/>
    <w:rsid w:val="005A3ED9"/>
    <w:rsid w:val="005A4108"/>
    <w:rsid w:val="005A4635"/>
    <w:rsid w:val="005A4792"/>
    <w:rsid w:val="005A4B37"/>
    <w:rsid w:val="005A5105"/>
    <w:rsid w:val="005A571A"/>
    <w:rsid w:val="005A5C29"/>
    <w:rsid w:val="005A5FD3"/>
    <w:rsid w:val="005A6006"/>
    <w:rsid w:val="005A61D3"/>
    <w:rsid w:val="005A61DD"/>
    <w:rsid w:val="005A678E"/>
    <w:rsid w:val="005A67A0"/>
    <w:rsid w:val="005A6DA9"/>
    <w:rsid w:val="005A700D"/>
    <w:rsid w:val="005A76F1"/>
    <w:rsid w:val="005A7A14"/>
    <w:rsid w:val="005A7BFC"/>
    <w:rsid w:val="005A7D36"/>
    <w:rsid w:val="005B007F"/>
    <w:rsid w:val="005B034C"/>
    <w:rsid w:val="005B0582"/>
    <w:rsid w:val="005B0681"/>
    <w:rsid w:val="005B0773"/>
    <w:rsid w:val="005B0D3A"/>
    <w:rsid w:val="005B0D7E"/>
    <w:rsid w:val="005B0E24"/>
    <w:rsid w:val="005B2908"/>
    <w:rsid w:val="005B294B"/>
    <w:rsid w:val="005B2B61"/>
    <w:rsid w:val="005B311E"/>
    <w:rsid w:val="005B333D"/>
    <w:rsid w:val="005B3737"/>
    <w:rsid w:val="005B3851"/>
    <w:rsid w:val="005B38EB"/>
    <w:rsid w:val="005B3C69"/>
    <w:rsid w:val="005B3EC5"/>
    <w:rsid w:val="005B3EE2"/>
    <w:rsid w:val="005B4764"/>
    <w:rsid w:val="005B48D6"/>
    <w:rsid w:val="005B4C20"/>
    <w:rsid w:val="005B4DEE"/>
    <w:rsid w:val="005B4F9E"/>
    <w:rsid w:val="005B55D5"/>
    <w:rsid w:val="005B5857"/>
    <w:rsid w:val="005B589D"/>
    <w:rsid w:val="005B6D59"/>
    <w:rsid w:val="005B7077"/>
    <w:rsid w:val="005B73F0"/>
    <w:rsid w:val="005B74B3"/>
    <w:rsid w:val="005B796F"/>
    <w:rsid w:val="005B7A65"/>
    <w:rsid w:val="005B7CE5"/>
    <w:rsid w:val="005B7D70"/>
    <w:rsid w:val="005B7FCF"/>
    <w:rsid w:val="005B7FE4"/>
    <w:rsid w:val="005C0262"/>
    <w:rsid w:val="005C0821"/>
    <w:rsid w:val="005C08A3"/>
    <w:rsid w:val="005C0A6C"/>
    <w:rsid w:val="005C0BAB"/>
    <w:rsid w:val="005C0C17"/>
    <w:rsid w:val="005C0F46"/>
    <w:rsid w:val="005C12E2"/>
    <w:rsid w:val="005C170E"/>
    <w:rsid w:val="005C180F"/>
    <w:rsid w:val="005C19BE"/>
    <w:rsid w:val="005C1B83"/>
    <w:rsid w:val="005C262F"/>
    <w:rsid w:val="005C346B"/>
    <w:rsid w:val="005C3859"/>
    <w:rsid w:val="005C39F8"/>
    <w:rsid w:val="005C3AE4"/>
    <w:rsid w:val="005C3C07"/>
    <w:rsid w:val="005C3D84"/>
    <w:rsid w:val="005C3FCC"/>
    <w:rsid w:val="005C40DA"/>
    <w:rsid w:val="005C42CC"/>
    <w:rsid w:val="005C46FB"/>
    <w:rsid w:val="005C49C4"/>
    <w:rsid w:val="005C4A80"/>
    <w:rsid w:val="005C5B1E"/>
    <w:rsid w:val="005C63E7"/>
    <w:rsid w:val="005C65F1"/>
    <w:rsid w:val="005C720E"/>
    <w:rsid w:val="005C7768"/>
    <w:rsid w:val="005C7B20"/>
    <w:rsid w:val="005C7C20"/>
    <w:rsid w:val="005C7E8D"/>
    <w:rsid w:val="005D044D"/>
    <w:rsid w:val="005D135B"/>
    <w:rsid w:val="005D189E"/>
    <w:rsid w:val="005D18AD"/>
    <w:rsid w:val="005D1DBE"/>
    <w:rsid w:val="005D225E"/>
    <w:rsid w:val="005D23C6"/>
    <w:rsid w:val="005D2463"/>
    <w:rsid w:val="005D249D"/>
    <w:rsid w:val="005D24AE"/>
    <w:rsid w:val="005D2782"/>
    <w:rsid w:val="005D2B4D"/>
    <w:rsid w:val="005D3484"/>
    <w:rsid w:val="005D3D57"/>
    <w:rsid w:val="005D4040"/>
    <w:rsid w:val="005D404C"/>
    <w:rsid w:val="005D40A7"/>
    <w:rsid w:val="005D44BB"/>
    <w:rsid w:val="005D4526"/>
    <w:rsid w:val="005D45AC"/>
    <w:rsid w:val="005D47E8"/>
    <w:rsid w:val="005D52FA"/>
    <w:rsid w:val="005D5320"/>
    <w:rsid w:val="005D55C1"/>
    <w:rsid w:val="005D583E"/>
    <w:rsid w:val="005D5AAE"/>
    <w:rsid w:val="005D5C63"/>
    <w:rsid w:val="005D5D33"/>
    <w:rsid w:val="005D606C"/>
    <w:rsid w:val="005D63F2"/>
    <w:rsid w:val="005D68B3"/>
    <w:rsid w:val="005D6B91"/>
    <w:rsid w:val="005D6E1D"/>
    <w:rsid w:val="005D6E65"/>
    <w:rsid w:val="005D7585"/>
    <w:rsid w:val="005D785F"/>
    <w:rsid w:val="005D79B6"/>
    <w:rsid w:val="005E0289"/>
    <w:rsid w:val="005E02D6"/>
    <w:rsid w:val="005E05B5"/>
    <w:rsid w:val="005E0A97"/>
    <w:rsid w:val="005E0C77"/>
    <w:rsid w:val="005E10EB"/>
    <w:rsid w:val="005E112A"/>
    <w:rsid w:val="005E1381"/>
    <w:rsid w:val="005E1B92"/>
    <w:rsid w:val="005E1F76"/>
    <w:rsid w:val="005E21F5"/>
    <w:rsid w:val="005E2575"/>
    <w:rsid w:val="005E26EF"/>
    <w:rsid w:val="005E2841"/>
    <w:rsid w:val="005E29B2"/>
    <w:rsid w:val="005E2D71"/>
    <w:rsid w:val="005E36EA"/>
    <w:rsid w:val="005E3AA2"/>
    <w:rsid w:val="005E3AD6"/>
    <w:rsid w:val="005E3B2A"/>
    <w:rsid w:val="005E3CA1"/>
    <w:rsid w:val="005E4785"/>
    <w:rsid w:val="005E47BA"/>
    <w:rsid w:val="005E4A09"/>
    <w:rsid w:val="005E4DA2"/>
    <w:rsid w:val="005E506B"/>
    <w:rsid w:val="005E50B4"/>
    <w:rsid w:val="005E5471"/>
    <w:rsid w:val="005E560E"/>
    <w:rsid w:val="005E61A1"/>
    <w:rsid w:val="005E6367"/>
    <w:rsid w:val="005E6785"/>
    <w:rsid w:val="005E6EBD"/>
    <w:rsid w:val="005E73C0"/>
    <w:rsid w:val="005E7C1B"/>
    <w:rsid w:val="005F0912"/>
    <w:rsid w:val="005F0A1D"/>
    <w:rsid w:val="005F10C1"/>
    <w:rsid w:val="005F135A"/>
    <w:rsid w:val="005F13FC"/>
    <w:rsid w:val="005F16FF"/>
    <w:rsid w:val="005F1FB4"/>
    <w:rsid w:val="005F21BF"/>
    <w:rsid w:val="005F2706"/>
    <w:rsid w:val="005F2FB3"/>
    <w:rsid w:val="005F3087"/>
    <w:rsid w:val="005F3967"/>
    <w:rsid w:val="005F39EB"/>
    <w:rsid w:val="005F3E34"/>
    <w:rsid w:val="005F4252"/>
    <w:rsid w:val="005F4516"/>
    <w:rsid w:val="005F45C7"/>
    <w:rsid w:val="005F4BF1"/>
    <w:rsid w:val="005F503C"/>
    <w:rsid w:val="005F5419"/>
    <w:rsid w:val="005F5E2C"/>
    <w:rsid w:val="005F6332"/>
    <w:rsid w:val="005F66BB"/>
    <w:rsid w:val="005F6A8F"/>
    <w:rsid w:val="005F6B4F"/>
    <w:rsid w:val="005F6DC2"/>
    <w:rsid w:val="005F6DD1"/>
    <w:rsid w:val="005F6EEF"/>
    <w:rsid w:val="005F6FFF"/>
    <w:rsid w:val="005F7081"/>
    <w:rsid w:val="005F76A9"/>
    <w:rsid w:val="005F7D99"/>
    <w:rsid w:val="005F7ECB"/>
    <w:rsid w:val="00600386"/>
    <w:rsid w:val="00600582"/>
    <w:rsid w:val="00600EBB"/>
    <w:rsid w:val="006010CB"/>
    <w:rsid w:val="00601653"/>
    <w:rsid w:val="0060187A"/>
    <w:rsid w:val="00601E6F"/>
    <w:rsid w:val="006024B9"/>
    <w:rsid w:val="006027D9"/>
    <w:rsid w:val="00602888"/>
    <w:rsid w:val="0060295A"/>
    <w:rsid w:val="00602C58"/>
    <w:rsid w:val="00602EAB"/>
    <w:rsid w:val="0060301D"/>
    <w:rsid w:val="00603073"/>
    <w:rsid w:val="0060309F"/>
    <w:rsid w:val="006032A3"/>
    <w:rsid w:val="0060365B"/>
    <w:rsid w:val="00603C67"/>
    <w:rsid w:val="00603F42"/>
    <w:rsid w:val="00603F51"/>
    <w:rsid w:val="00605001"/>
    <w:rsid w:val="006055A0"/>
    <w:rsid w:val="0060561D"/>
    <w:rsid w:val="00605774"/>
    <w:rsid w:val="00605F4F"/>
    <w:rsid w:val="00605F88"/>
    <w:rsid w:val="006064C4"/>
    <w:rsid w:val="00606664"/>
    <w:rsid w:val="006067E6"/>
    <w:rsid w:val="00606B3A"/>
    <w:rsid w:val="00606C3B"/>
    <w:rsid w:val="0060708A"/>
    <w:rsid w:val="00607669"/>
    <w:rsid w:val="0060786F"/>
    <w:rsid w:val="006079B8"/>
    <w:rsid w:val="006079F6"/>
    <w:rsid w:val="00607ECC"/>
    <w:rsid w:val="00607FDA"/>
    <w:rsid w:val="00610221"/>
    <w:rsid w:val="006102D5"/>
    <w:rsid w:val="00610349"/>
    <w:rsid w:val="00610ACA"/>
    <w:rsid w:val="00610ADD"/>
    <w:rsid w:val="00610DE2"/>
    <w:rsid w:val="00611164"/>
    <w:rsid w:val="0061135C"/>
    <w:rsid w:val="006116F4"/>
    <w:rsid w:val="00611757"/>
    <w:rsid w:val="00611C21"/>
    <w:rsid w:val="00611C2C"/>
    <w:rsid w:val="00611C72"/>
    <w:rsid w:val="00611D2A"/>
    <w:rsid w:val="0061216E"/>
    <w:rsid w:val="0061231F"/>
    <w:rsid w:val="0061237F"/>
    <w:rsid w:val="00612E56"/>
    <w:rsid w:val="00612F97"/>
    <w:rsid w:val="00613216"/>
    <w:rsid w:val="00613484"/>
    <w:rsid w:val="00613545"/>
    <w:rsid w:val="00614590"/>
    <w:rsid w:val="00614A88"/>
    <w:rsid w:val="00615043"/>
    <w:rsid w:val="00615AC0"/>
    <w:rsid w:val="00615C0C"/>
    <w:rsid w:val="00616056"/>
    <w:rsid w:val="0061610A"/>
    <w:rsid w:val="00616118"/>
    <w:rsid w:val="00616802"/>
    <w:rsid w:val="0061684F"/>
    <w:rsid w:val="00616B48"/>
    <w:rsid w:val="0061709C"/>
    <w:rsid w:val="00617782"/>
    <w:rsid w:val="00617DD3"/>
    <w:rsid w:val="00617E12"/>
    <w:rsid w:val="0062007B"/>
    <w:rsid w:val="00620875"/>
    <w:rsid w:val="00620910"/>
    <w:rsid w:val="00621477"/>
    <w:rsid w:val="00621E0C"/>
    <w:rsid w:val="0062207A"/>
    <w:rsid w:val="006222B5"/>
    <w:rsid w:val="00622430"/>
    <w:rsid w:val="00622488"/>
    <w:rsid w:val="0062256B"/>
    <w:rsid w:val="00622C0C"/>
    <w:rsid w:val="006231C7"/>
    <w:rsid w:val="00623316"/>
    <w:rsid w:val="006235EE"/>
    <w:rsid w:val="006237A8"/>
    <w:rsid w:val="006238BD"/>
    <w:rsid w:val="00624484"/>
    <w:rsid w:val="00624694"/>
    <w:rsid w:val="00624790"/>
    <w:rsid w:val="00624973"/>
    <w:rsid w:val="00624BFE"/>
    <w:rsid w:val="00625666"/>
    <w:rsid w:val="00625F17"/>
    <w:rsid w:val="00626384"/>
    <w:rsid w:val="006264B8"/>
    <w:rsid w:val="00626591"/>
    <w:rsid w:val="00626B01"/>
    <w:rsid w:val="00626BE4"/>
    <w:rsid w:val="006272A6"/>
    <w:rsid w:val="0062736B"/>
    <w:rsid w:val="006275C0"/>
    <w:rsid w:val="006277B2"/>
    <w:rsid w:val="00627E85"/>
    <w:rsid w:val="0063077A"/>
    <w:rsid w:val="00630AAD"/>
    <w:rsid w:val="00630BCE"/>
    <w:rsid w:val="0063127B"/>
    <w:rsid w:val="00631356"/>
    <w:rsid w:val="006315BA"/>
    <w:rsid w:val="006316AC"/>
    <w:rsid w:val="00631933"/>
    <w:rsid w:val="00631992"/>
    <w:rsid w:val="00631BB4"/>
    <w:rsid w:val="00631D6B"/>
    <w:rsid w:val="00631F5F"/>
    <w:rsid w:val="00632018"/>
    <w:rsid w:val="0063214D"/>
    <w:rsid w:val="0063256B"/>
    <w:rsid w:val="006325C1"/>
    <w:rsid w:val="006325CB"/>
    <w:rsid w:val="006335AA"/>
    <w:rsid w:val="00633886"/>
    <w:rsid w:val="00633BEF"/>
    <w:rsid w:val="00634352"/>
    <w:rsid w:val="0063479F"/>
    <w:rsid w:val="0063483E"/>
    <w:rsid w:val="006350C6"/>
    <w:rsid w:val="00635506"/>
    <w:rsid w:val="006356C6"/>
    <w:rsid w:val="00635D87"/>
    <w:rsid w:val="00635EAA"/>
    <w:rsid w:val="00636109"/>
    <w:rsid w:val="006361C1"/>
    <w:rsid w:val="006364A1"/>
    <w:rsid w:val="0063666C"/>
    <w:rsid w:val="0063672B"/>
    <w:rsid w:val="00636790"/>
    <w:rsid w:val="00636A08"/>
    <w:rsid w:val="00636DD2"/>
    <w:rsid w:val="00637253"/>
    <w:rsid w:val="006373CC"/>
    <w:rsid w:val="00637BFD"/>
    <w:rsid w:val="00637DA9"/>
    <w:rsid w:val="00637F60"/>
    <w:rsid w:val="0064024F"/>
    <w:rsid w:val="006406DF"/>
    <w:rsid w:val="00640766"/>
    <w:rsid w:val="00640C57"/>
    <w:rsid w:val="00640EED"/>
    <w:rsid w:val="006410B5"/>
    <w:rsid w:val="006411D2"/>
    <w:rsid w:val="00641332"/>
    <w:rsid w:val="0064179B"/>
    <w:rsid w:val="00641C1F"/>
    <w:rsid w:val="00641CC8"/>
    <w:rsid w:val="00641E44"/>
    <w:rsid w:val="00641F43"/>
    <w:rsid w:val="0064230E"/>
    <w:rsid w:val="00642370"/>
    <w:rsid w:val="00642A62"/>
    <w:rsid w:val="00643A5F"/>
    <w:rsid w:val="00643B02"/>
    <w:rsid w:val="00643CB0"/>
    <w:rsid w:val="00643D6C"/>
    <w:rsid w:val="00643E68"/>
    <w:rsid w:val="00643F17"/>
    <w:rsid w:val="00643F46"/>
    <w:rsid w:val="00644470"/>
    <w:rsid w:val="0064457C"/>
    <w:rsid w:val="006451DB"/>
    <w:rsid w:val="0064542B"/>
    <w:rsid w:val="006455D2"/>
    <w:rsid w:val="00645777"/>
    <w:rsid w:val="00645868"/>
    <w:rsid w:val="00645DBC"/>
    <w:rsid w:val="00645DFF"/>
    <w:rsid w:val="00645FD2"/>
    <w:rsid w:val="006464D4"/>
    <w:rsid w:val="00646669"/>
    <w:rsid w:val="00646929"/>
    <w:rsid w:val="00646B24"/>
    <w:rsid w:val="00646D52"/>
    <w:rsid w:val="00646F44"/>
    <w:rsid w:val="006471CC"/>
    <w:rsid w:val="006475E0"/>
    <w:rsid w:val="0064786C"/>
    <w:rsid w:val="006478E0"/>
    <w:rsid w:val="00647B0D"/>
    <w:rsid w:val="00647D7C"/>
    <w:rsid w:val="006502AF"/>
    <w:rsid w:val="0065060C"/>
    <w:rsid w:val="0065079F"/>
    <w:rsid w:val="00650BB6"/>
    <w:rsid w:val="00650D81"/>
    <w:rsid w:val="00651352"/>
    <w:rsid w:val="006513AD"/>
    <w:rsid w:val="006513D9"/>
    <w:rsid w:val="00651613"/>
    <w:rsid w:val="00651708"/>
    <w:rsid w:val="00651A88"/>
    <w:rsid w:val="00651DC7"/>
    <w:rsid w:val="00651E2B"/>
    <w:rsid w:val="00651E91"/>
    <w:rsid w:val="00652004"/>
    <w:rsid w:val="006522D1"/>
    <w:rsid w:val="00652380"/>
    <w:rsid w:val="00652847"/>
    <w:rsid w:val="00652AFE"/>
    <w:rsid w:val="00652E8E"/>
    <w:rsid w:val="00652F79"/>
    <w:rsid w:val="006533B5"/>
    <w:rsid w:val="0065383F"/>
    <w:rsid w:val="006538CC"/>
    <w:rsid w:val="00653F7E"/>
    <w:rsid w:val="0065437C"/>
    <w:rsid w:val="006543AF"/>
    <w:rsid w:val="006546DB"/>
    <w:rsid w:val="00654A15"/>
    <w:rsid w:val="00654C64"/>
    <w:rsid w:val="00654D19"/>
    <w:rsid w:val="00654EBA"/>
    <w:rsid w:val="0065508F"/>
    <w:rsid w:val="006550FE"/>
    <w:rsid w:val="0065523F"/>
    <w:rsid w:val="006555CC"/>
    <w:rsid w:val="00655841"/>
    <w:rsid w:val="00655A8A"/>
    <w:rsid w:val="006565B3"/>
    <w:rsid w:val="0065666D"/>
    <w:rsid w:val="006569A3"/>
    <w:rsid w:val="00656BBF"/>
    <w:rsid w:val="0065722B"/>
    <w:rsid w:val="00657B0B"/>
    <w:rsid w:val="00657B3D"/>
    <w:rsid w:val="00657BAC"/>
    <w:rsid w:val="00657C65"/>
    <w:rsid w:val="00657C96"/>
    <w:rsid w:val="00657D16"/>
    <w:rsid w:val="00660254"/>
    <w:rsid w:val="00660273"/>
    <w:rsid w:val="00660388"/>
    <w:rsid w:val="006604EB"/>
    <w:rsid w:val="00660B8C"/>
    <w:rsid w:val="00660C6D"/>
    <w:rsid w:val="00660F9B"/>
    <w:rsid w:val="00660FC9"/>
    <w:rsid w:val="006612D0"/>
    <w:rsid w:val="0066179D"/>
    <w:rsid w:val="006617DF"/>
    <w:rsid w:val="00661C88"/>
    <w:rsid w:val="006625E3"/>
    <w:rsid w:val="00662848"/>
    <w:rsid w:val="00662865"/>
    <w:rsid w:val="00662E40"/>
    <w:rsid w:val="00663540"/>
    <w:rsid w:val="006637FB"/>
    <w:rsid w:val="006638A9"/>
    <w:rsid w:val="00663982"/>
    <w:rsid w:val="006639C3"/>
    <w:rsid w:val="00663BD8"/>
    <w:rsid w:val="00663C84"/>
    <w:rsid w:val="00663D15"/>
    <w:rsid w:val="00663EA7"/>
    <w:rsid w:val="00664316"/>
    <w:rsid w:val="00664A6F"/>
    <w:rsid w:val="00664BF2"/>
    <w:rsid w:val="00664F52"/>
    <w:rsid w:val="00664FA8"/>
    <w:rsid w:val="00664FD1"/>
    <w:rsid w:val="0066527B"/>
    <w:rsid w:val="006653E4"/>
    <w:rsid w:val="006656FF"/>
    <w:rsid w:val="00665AA0"/>
    <w:rsid w:val="00665C8B"/>
    <w:rsid w:val="00665D05"/>
    <w:rsid w:val="00665EC6"/>
    <w:rsid w:val="00665F0E"/>
    <w:rsid w:val="0066614A"/>
    <w:rsid w:val="006661E2"/>
    <w:rsid w:val="006664C2"/>
    <w:rsid w:val="006669E1"/>
    <w:rsid w:val="00666CFE"/>
    <w:rsid w:val="00666F27"/>
    <w:rsid w:val="00667959"/>
    <w:rsid w:val="006679F1"/>
    <w:rsid w:val="00667B95"/>
    <w:rsid w:val="00667CD9"/>
    <w:rsid w:val="00667D55"/>
    <w:rsid w:val="00667EF2"/>
    <w:rsid w:val="0067008E"/>
    <w:rsid w:val="00670587"/>
    <w:rsid w:val="0067079B"/>
    <w:rsid w:val="00670CD2"/>
    <w:rsid w:val="00670D66"/>
    <w:rsid w:val="00671096"/>
    <w:rsid w:val="006710F8"/>
    <w:rsid w:val="006712BF"/>
    <w:rsid w:val="006713BD"/>
    <w:rsid w:val="00671976"/>
    <w:rsid w:val="006719FA"/>
    <w:rsid w:val="00671D2F"/>
    <w:rsid w:val="0067204C"/>
    <w:rsid w:val="00672475"/>
    <w:rsid w:val="00672848"/>
    <w:rsid w:val="00672FFD"/>
    <w:rsid w:val="006735B7"/>
    <w:rsid w:val="00673884"/>
    <w:rsid w:val="006739A0"/>
    <w:rsid w:val="00673E32"/>
    <w:rsid w:val="006744F7"/>
    <w:rsid w:val="006745B1"/>
    <w:rsid w:val="0067472C"/>
    <w:rsid w:val="006747CB"/>
    <w:rsid w:val="00674816"/>
    <w:rsid w:val="00674C5F"/>
    <w:rsid w:val="00674E42"/>
    <w:rsid w:val="00675809"/>
    <w:rsid w:val="00675FE0"/>
    <w:rsid w:val="0067617E"/>
    <w:rsid w:val="006763B2"/>
    <w:rsid w:val="006766A8"/>
    <w:rsid w:val="006767FC"/>
    <w:rsid w:val="0067697D"/>
    <w:rsid w:val="00676BBD"/>
    <w:rsid w:val="0067728A"/>
    <w:rsid w:val="0067769A"/>
    <w:rsid w:val="00677AD3"/>
    <w:rsid w:val="00677D2B"/>
    <w:rsid w:val="0068020D"/>
    <w:rsid w:val="00680981"/>
    <w:rsid w:val="006809F4"/>
    <w:rsid w:val="006813D5"/>
    <w:rsid w:val="0068169B"/>
    <w:rsid w:val="00681860"/>
    <w:rsid w:val="0068194F"/>
    <w:rsid w:val="00682112"/>
    <w:rsid w:val="006829B9"/>
    <w:rsid w:val="00682A09"/>
    <w:rsid w:val="00682BDC"/>
    <w:rsid w:val="0068300F"/>
    <w:rsid w:val="006830E3"/>
    <w:rsid w:val="006836FD"/>
    <w:rsid w:val="00683A60"/>
    <w:rsid w:val="00683AE2"/>
    <w:rsid w:val="006842A2"/>
    <w:rsid w:val="00684826"/>
    <w:rsid w:val="00684905"/>
    <w:rsid w:val="006849F0"/>
    <w:rsid w:val="00684B7D"/>
    <w:rsid w:val="00684BDD"/>
    <w:rsid w:val="006852BD"/>
    <w:rsid w:val="00685794"/>
    <w:rsid w:val="006859E6"/>
    <w:rsid w:val="00685D1D"/>
    <w:rsid w:val="00685E57"/>
    <w:rsid w:val="00686145"/>
    <w:rsid w:val="0068681F"/>
    <w:rsid w:val="00686AAA"/>
    <w:rsid w:val="00686CA2"/>
    <w:rsid w:val="00687114"/>
    <w:rsid w:val="006872BA"/>
    <w:rsid w:val="0068747B"/>
    <w:rsid w:val="00687655"/>
    <w:rsid w:val="00687E52"/>
    <w:rsid w:val="006904FE"/>
    <w:rsid w:val="00690582"/>
    <w:rsid w:val="006905A3"/>
    <w:rsid w:val="00690A19"/>
    <w:rsid w:val="00690D65"/>
    <w:rsid w:val="0069112D"/>
    <w:rsid w:val="00691509"/>
    <w:rsid w:val="006915C4"/>
    <w:rsid w:val="006917D7"/>
    <w:rsid w:val="00691858"/>
    <w:rsid w:val="00691F62"/>
    <w:rsid w:val="006920D5"/>
    <w:rsid w:val="00692163"/>
    <w:rsid w:val="00692396"/>
    <w:rsid w:val="00692420"/>
    <w:rsid w:val="0069290E"/>
    <w:rsid w:val="00692B7C"/>
    <w:rsid w:val="00692D48"/>
    <w:rsid w:val="006930A7"/>
    <w:rsid w:val="00693D59"/>
    <w:rsid w:val="00693EC3"/>
    <w:rsid w:val="006942B1"/>
    <w:rsid w:val="006944C0"/>
    <w:rsid w:val="00694A8E"/>
    <w:rsid w:val="00694DB9"/>
    <w:rsid w:val="00694F44"/>
    <w:rsid w:val="006953BB"/>
    <w:rsid w:val="00695910"/>
    <w:rsid w:val="006959A7"/>
    <w:rsid w:val="00695AF8"/>
    <w:rsid w:val="00696086"/>
    <w:rsid w:val="006960F1"/>
    <w:rsid w:val="00696912"/>
    <w:rsid w:val="00696A3F"/>
    <w:rsid w:val="00696DA7"/>
    <w:rsid w:val="00697333"/>
    <w:rsid w:val="006976AB"/>
    <w:rsid w:val="006977F1"/>
    <w:rsid w:val="0069790C"/>
    <w:rsid w:val="00697D2E"/>
    <w:rsid w:val="006A0031"/>
    <w:rsid w:val="006A0573"/>
    <w:rsid w:val="006A0993"/>
    <w:rsid w:val="006A09E4"/>
    <w:rsid w:val="006A09FC"/>
    <w:rsid w:val="006A1311"/>
    <w:rsid w:val="006A1B13"/>
    <w:rsid w:val="006A1D2D"/>
    <w:rsid w:val="006A1DD3"/>
    <w:rsid w:val="006A1F72"/>
    <w:rsid w:val="006A29B9"/>
    <w:rsid w:val="006A29C0"/>
    <w:rsid w:val="006A2A65"/>
    <w:rsid w:val="006A2D98"/>
    <w:rsid w:val="006A3188"/>
    <w:rsid w:val="006A32E4"/>
    <w:rsid w:val="006A344F"/>
    <w:rsid w:val="006A36C7"/>
    <w:rsid w:val="006A3D2E"/>
    <w:rsid w:val="006A43B9"/>
    <w:rsid w:val="006A4463"/>
    <w:rsid w:val="006A488C"/>
    <w:rsid w:val="006A4F2B"/>
    <w:rsid w:val="006A515B"/>
    <w:rsid w:val="006A54BA"/>
    <w:rsid w:val="006A5A1A"/>
    <w:rsid w:val="006A5C2A"/>
    <w:rsid w:val="006A6438"/>
    <w:rsid w:val="006A6815"/>
    <w:rsid w:val="006A68DC"/>
    <w:rsid w:val="006A6EF0"/>
    <w:rsid w:val="006A742D"/>
    <w:rsid w:val="006A74B7"/>
    <w:rsid w:val="006A7EEA"/>
    <w:rsid w:val="006A7F2B"/>
    <w:rsid w:val="006B0304"/>
    <w:rsid w:val="006B05BB"/>
    <w:rsid w:val="006B075B"/>
    <w:rsid w:val="006B08AD"/>
    <w:rsid w:val="006B0D79"/>
    <w:rsid w:val="006B0D93"/>
    <w:rsid w:val="006B0E08"/>
    <w:rsid w:val="006B0F42"/>
    <w:rsid w:val="006B111D"/>
    <w:rsid w:val="006B1332"/>
    <w:rsid w:val="006B14CE"/>
    <w:rsid w:val="006B14E9"/>
    <w:rsid w:val="006B1CB3"/>
    <w:rsid w:val="006B1FE7"/>
    <w:rsid w:val="006B229E"/>
    <w:rsid w:val="006B279C"/>
    <w:rsid w:val="006B2AB3"/>
    <w:rsid w:val="006B2C5F"/>
    <w:rsid w:val="006B2D1D"/>
    <w:rsid w:val="006B2D85"/>
    <w:rsid w:val="006B2EF0"/>
    <w:rsid w:val="006B3453"/>
    <w:rsid w:val="006B41D0"/>
    <w:rsid w:val="006B4273"/>
    <w:rsid w:val="006B4821"/>
    <w:rsid w:val="006B4926"/>
    <w:rsid w:val="006B50AA"/>
    <w:rsid w:val="006B525F"/>
    <w:rsid w:val="006B5B7B"/>
    <w:rsid w:val="006B5DA5"/>
    <w:rsid w:val="006B62A2"/>
    <w:rsid w:val="006B65A8"/>
    <w:rsid w:val="006B6CA4"/>
    <w:rsid w:val="006B7721"/>
    <w:rsid w:val="006C00DF"/>
    <w:rsid w:val="006C01C1"/>
    <w:rsid w:val="006C021E"/>
    <w:rsid w:val="006C0519"/>
    <w:rsid w:val="006C0579"/>
    <w:rsid w:val="006C0E58"/>
    <w:rsid w:val="006C10A9"/>
    <w:rsid w:val="006C15B8"/>
    <w:rsid w:val="006C1798"/>
    <w:rsid w:val="006C19F7"/>
    <w:rsid w:val="006C1A13"/>
    <w:rsid w:val="006C1A5F"/>
    <w:rsid w:val="006C20F6"/>
    <w:rsid w:val="006C2793"/>
    <w:rsid w:val="006C27A1"/>
    <w:rsid w:val="006C27DE"/>
    <w:rsid w:val="006C2A8E"/>
    <w:rsid w:val="006C36AE"/>
    <w:rsid w:val="006C379F"/>
    <w:rsid w:val="006C380B"/>
    <w:rsid w:val="006C3AEB"/>
    <w:rsid w:val="006C4053"/>
    <w:rsid w:val="006C4585"/>
    <w:rsid w:val="006C49B8"/>
    <w:rsid w:val="006C4C67"/>
    <w:rsid w:val="006C4CF8"/>
    <w:rsid w:val="006C50DD"/>
    <w:rsid w:val="006C5389"/>
    <w:rsid w:val="006C5463"/>
    <w:rsid w:val="006C56B9"/>
    <w:rsid w:val="006C57F9"/>
    <w:rsid w:val="006C5C8B"/>
    <w:rsid w:val="006C5D3E"/>
    <w:rsid w:val="006C5D70"/>
    <w:rsid w:val="006C5F35"/>
    <w:rsid w:val="006C60CA"/>
    <w:rsid w:val="006C641F"/>
    <w:rsid w:val="006C6785"/>
    <w:rsid w:val="006C6866"/>
    <w:rsid w:val="006C70DA"/>
    <w:rsid w:val="006C714F"/>
    <w:rsid w:val="006C71AC"/>
    <w:rsid w:val="006C749A"/>
    <w:rsid w:val="006C795A"/>
    <w:rsid w:val="006C7BAC"/>
    <w:rsid w:val="006C7D72"/>
    <w:rsid w:val="006C7EB8"/>
    <w:rsid w:val="006D0720"/>
    <w:rsid w:val="006D0977"/>
    <w:rsid w:val="006D0A3A"/>
    <w:rsid w:val="006D0C00"/>
    <w:rsid w:val="006D0CDF"/>
    <w:rsid w:val="006D0EB4"/>
    <w:rsid w:val="006D10A8"/>
    <w:rsid w:val="006D1650"/>
    <w:rsid w:val="006D167E"/>
    <w:rsid w:val="006D200E"/>
    <w:rsid w:val="006D21FF"/>
    <w:rsid w:val="006D2AEC"/>
    <w:rsid w:val="006D2EBA"/>
    <w:rsid w:val="006D3433"/>
    <w:rsid w:val="006D3757"/>
    <w:rsid w:val="006D3C7D"/>
    <w:rsid w:val="006D3FAF"/>
    <w:rsid w:val="006D3FCD"/>
    <w:rsid w:val="006D3FDB"/>
    <w:rsid w:val="006D4116"/>
    <w:rsid w:val="006D4161"/>
    <w:rsid w:val="006D47BE"/>
    <w:rsid w:val="006D49BC"/>
    <w:rsid w:val="006D4B79"/>
    <w:rsid w:val="006D4EB6"/>
    <w:rsid w:val="006D4EE8"/>
    <w:rsid w:val="006D52F6"/>
    <w:rsid w:val="006D53CB"/>
    <w:rsid w:val="006D54B9"/>
    <w:rsid w:val="006D5569"/>
    <w:rsid w:val="006D58AB"/>
    <w:rsid w:val="006D5AA3"/>
    <w:rsid w:val="006D5AAE"/>
    <w:rsid w:val="006D5D5F"/>
    <w:rsid w:val="006D5E33"/>
    <w:rsid w:val="006D5EB2"/>
    <w:rsid w:val="006D60F2"/>
    <w:rsid w:val="006D6462"/>
    <w:rsid w:val="006D6944"/>
    <w:rsid w:val="006D69A0"/>
    <w:rsid w:val="006D6AA6"/>
    <w:rsid w:val="006D6CE8"/>
    <w:rsid w:val="006D74B5"/>
    <w:rsid w:val="006D74CB"/>
    <w:rsid w:val="006D7AEE"/>
    <w:rsid w:val="006E0685"/>
    <w:rsid w:val="006E09D8"/>
    <w:rsid w:val="006E0CCE"/>
    <w:rsid w:val="006E10E0"/>
    <w:rsid w:val="006E13CF"/>
    <w:rsid w:val="006E152D"/>
    <w:rsid w:val="006E1674"/>
    <w:rsid w:val="006E1CD0"/>
    <w:rsid w:val="006E1E6B"/>
    <w:rsid w:val="006E22D8"/>
    <w:rsid w:val="006E256E"/>
    <w:rsid w:val="006E2AD5"/>
    <w:rsid w:val="006E2AEA"/>
    <w:rsid w:val="006E2CB9"/>
    <w:rsid w:val="006E322F"/>
    <w:rsid w:val="006E367B"/>
    <w:rsid w:val="006E3964"/>
    <w:rsid w:val="006E3A0E"/>
    <w:rsid w:val="006E3C46"/>
    <w:rsid w:val="006E4015"/>
    <w:rsid w:val="006E41C4"/>
    <w:rsid w:val="006E441F"/>
    <w:rsid w:val="006E48B5"/>
    <w:rsid w:val="006E4CFE"/>
    <w:rsid w:val="006E4E70"/>
    <w:rsid w:val="006E54A9"/>
    <w:rsid w:val="006E55CC"/>
    <w:rsid w:val="006E59BC"/>
    <w:rsid w:val="006E5CA1"/>
    <w:rsid w:val="006E5D06"/>
    <w:rsid w:val="006E6617"/>
    <w:rsid w:val="006E6680"/>
    <w:rsid w:val="006E66DF"/>
    <w:rsid w:val="006E6763"/>
    <w:rsid w:val="006E683C"/>
    <w:rsid w:val="006E6886"/>
    <w:rsid w:val="006E7942"/>
    <w:rsid w:val="006E7C62"/>
    <w:rsid w:val="006E7D1F"/>
    <w:rsid w:val="006E7E38"/>
    <w:rsid w:val="006F004A"/>
    <w:rsid w:val="006F0A14"/>
    <w:rsid w:val="006F0D66"/>
    <w:rsid w:val="006F0D68"/>
    <w:rsid w:val="006F1120"/>
    <w:rsid w:val="006F1F5E"/>
    <w:rsid w:val="006F207C"/>
    <w:rsid w:val="006F21D8"/>
    <w:rsid w:val="006F2314"/>
    <w:rsid w:val="006F28DD"/>
    <w:rsid w:val="006F2B10"/>
    <w:rsid w:val="006F3271"/>
    <w:rsid w:val="006F35E4"/>
    <w:rsid w:val="006F36B6"/>
    <w:rsid w:val="006F3CD5"/>
    <w:rsid w:val="006F3E0B"/>
    <w:rsid w:val="006F40E6"/>
    <w:rsid w:val="006F42E5"/>
    <w:rsid w:val="006F4302"/>
    <w:rsid w:val="006F4613"/>
    <w:rsid w:val="006F493E"/>
    <w:rsid w:val="006F4DEC"/>
    <w:rsid w:val="006F5013"/>
    <w:rsid w:val="006F610A"/>
    <w:rsid w:val="006F63A5"/>
    <w:rsid w:val="006F6457"/>
    <w:rsid w:val="006F6630"/>
    <w:rsid w:val="006F6715"/>
    <w:rsid w:val="006F6840"/>
    <w:rsid w:val="006F6E6E"/>
    <w:rsid w:val="006F70F5"/>
    <w:rsid w:val="006F7731"/>
    <w:rsid w:val="006F7B83"/>
    <w:rsid w:val="006F7D98"/>
    <w:rsid w:val="007004EA"/>
    <w:rsid w:val="00700E97"/>
    <w:rsid w:val="007011BD"/>
    <w:rsid w:val="007012DD"/>
    <w:rsid w:val="0070132E"/>
    <w:rsid w:val="007013B6"/>
    <w:rsid w:val="007013C7"/>
    <w:rsid w:val="00701BFC"/>
    <w:rsid w:val="00702249"/>
    <w:rsid w:val="0070276E"/>
    <w:rsid w:val="00702CA3"/>
    <w:rsid w:val="00702CA9"/>
    <w:rsid w:val="00702F8F"/>
    <w:rsid w:val="00703184"/>
    <w:rsid w:val="007033DF"/>
    <w:rsid w:val="00703A93"/>
    <w:rsid w:val="00703F82"/>
    <w:rsid w:val="0070421D"/>
    <w:rsid w:val="007045B6"/>
    <w:rsid w:val="007046F9"/>
    <w:rsid w:val="00704E83"/>
    <w:rsid w:val="0070536D"/>
    <w:rsid w:val="0070586E"/>
    <w:rsid w:val="007059D7"/>
    <w:rsid w:val="00705C3A"/>
    <w:rsid w:val="00706130"/>
    <w:rsid w:val="00706455"/>
    <w:rsid w:val="00706755"/>
    <w:rsid w:val="00706D56"/>
    <w:rsid w:val="00706ED4"/>
    <w:rsid w:val="00707361"/>
    <w:rsid w:val="007076FA"/>
    <w:rsid w:val="00707AC4"/>
    <w:rsid w:val="00707B1A"/>
    <w:rsid w:val="00710684"/>
    <w:rsid w:val="00710C38"/>
    <w:rsid w:val="00710E78"/>
    <w:rsid w:val="007114B7"/>
    <w:rsid w:val="00711A15"/>
    <w:rsid w:val="00711A36"/>
    <w:rsid w:val="00711AB7"/>
    <w:rsid w:val="00711C82"/>
    <w:rsid w:val="0071221D"/>
    <w:rsid w:val="00712341"/>
    <w:rsid w:val="00712487"/>
    <w:rsid w:val="00712638"/>
    <w:rsid w:val="00712A2F"/>
    <w:rsid w:val="00712F29"/>
    <w:rsid w:val="00713934"/>
    <w:rsid w:val="007139F5"/>
    <w:rsid w:val="00713F95"/>
    <w:rsid w:val="0071408C"/>
    <w:rsid w:val="007140CB"/>
    <w:rsid w:val="00714201"/>
    <w:rsid w:val="00714424"/>
    <w:rsid w:val="00714C9F"/>
    <w:rsid w:val="00714E48"/>
    <w:rsid w:val="007150F5"/>
    <w:rsid w:val="007151D4"/>
    <w:rsid w:val="0071584A"/>
    <w:rsid w:val="00715AAE"/>
    <w:rsid w:val="007163A4"/>
    <w:rsid w:val="007166C3"/>
    <w:rsid w:val="00716762"/>
    <w:rsid w:val="007171D6"/>
    <w:rsid w:val="00717252"/>
    <w:rsid w:val="007172AD"/>
    <w:rsid w:val="007172B8"/>
    <w:rsid w:val="00717572"/>
    <w:rsid w:val="00717621"/>
    <w:rsid w:val="00720333"/>
    <w:rsid w:val="0072061D"/>
    <w:rsid w:val="007208C1"/>
    <w:rsid w:val="00720953"/>
    <w:rsid w:val="00720BD3"/>
    <w:rsid w:val="00720C81"/>
    <w:rsid w:val="00720D07"/>
    <w:rsid w:val="00720EBE"/>
    <w:rsid w:val="00721312"/>
    <w:rsid w:val="007221DF"/>
    <w:rsid w:val="0072282B"/>
    <w:rsid w:val="007228D6"/>
    <w:rsid w:val="007229A6"/>
    <w:rsid w:val="00722A21"/>
    <w:rsid w:val="00722A8E"/>
    <w:rsid w:val="00722D4F"/>
    <w:rsid w:val="00722D9A"/>
    <w:rsid w:val="00723802"/>
    <w:rsid w:val="00723CE6"/>
    <w:rsid w:val="00723F9A"/>
    <w:rsid w:val="00723FAD"/>
    <w:rsid w:val="0072416F"/>
    <w:rsid w:val="00724350"/>
    <w:rsid w:val="00724B02"/>
    <w:rsid w:val="00724C18"/>
    <w:rsid w:val="00724D5E"/>
    <w:rsid w:val="00724FB3"/>
    <w:rsid w:val="00725C68"/>
    <w:rsid w:val="00726320"/>
    <w:rsid w:val="00726338"/>
    <w:rsid w:val="007263DC"/>
    <w:rsid w:val="007269D7"/>
    <w:rsid w:val="00726B25"/>
    <w:rsid w:val="007275E6"/>
    <w:rsid w:val="007275F1"/>
    <w:rsid w:val="0073065B"/>
    <w:rsid w:val="007306DF"/>
    <w:rsid w:val="00730C58"/>
    <w:rsid w:val="00730E5C"/>
    <w:rsid w:val="007317CC"/>
    <w:rsid w:val="007319B6"/>
    <w:rsid w:val="00731A6A"/>
    <w:rsid w:val="0073213B"/>
    <w:rsid w:val="00732D75"/>
    <w:rsid w:val="00732EAD"/>
    <w:rsid w:val="0073324F"/>
    <w:rsid w:val="007334F8"/>
    <w:rsid w:val="007336E4"/>
    <w:rsid w:val="00733737"/>
    <w:rsid w:val="00733775"/>
    <w:rsid w:val="00733A62"/>
    <w:rsid w:val="00733BA5"/>
    <w:rsid w:val="00733D18"/>
    <w:rsid w:val="007341C1"/>
    <w:rsid w:val="0073429C"/>
    <w:rsid w:val="00734320"/>
    <w:rsid w:val="007348C1"/>
    <w:rsid w:val="00734B82"/>
    <w:rsid w:val="00734CFB"/>
    <w:rsid w:val="00735164"/>
    <w:rsid w:val="00735328"/>
    <w:rsid w:val="007354E6"/>
    <w:rsid w:val="00735719"/>
    <w:rsid w:val="007357F1"/>
    <w:rsid w:val="00735B91"/>
    <w:rsid w:val="00735D0D"/>
    <w:rsid w:val="00735D74"/>
    <w:rsid w:val="00735F9C"/>
    <w:rsid w:val="00736597"/>
    <w:rsid w:val="007367D4"/>
    <w:rsid w:val="0073685B"/>
    <w:rsid w:val="00736D52"/>
    <w:rsid w:val="00736FC8"/>
    <w:rsid w:val="007370D0"/>
    <w:rsid w:val="00737264"/>
    <w:rsid w:val="00737A29"/>
    <w:rsid w:val="00737B94"/>
    <w:rsid w:val="00737DD3"/>
    <w:rsid w:val="00737DD8"/>
    <w:rsid w:val="00740511"/>
    <w:rsid w:val="0074077A"/>
    <w:rsid w:val="00740BF4"/>
    <w:rsid w:val="00740CF4"/>
    <w:rsid w:val="00740FDE"/>
    <w:rsid w:val="007412B3"/>
    <w:rsid w:val="00741659"/>
    <w:rsid w:val="00741724"/>
    <w:rsid w:val="00741B8D"/>
    <w:rsid w:val="00742B5E"/>
    <w:rsid w:val="007431FE"/>
    <w:rsid w:val="007432EB"/>
    <w:rsid w:val="00743467"/>
    <w:rsid w:val="0074391F"/>
    <w:rsid w:val="007439C8"/>
    <w:rsid w:val="00744093"/>
    <w:rsid w:val="00745072"/>
    <w:rsid w:val="00745AAF"/>
    <w:rsid w:val="00745DBC"/>
    <w:rsid w:val="00745E99"/>
    <w:rsid w:val="00746073"/>
    <w:rsid w:val="007464F4"/>
    <w:rsid w:val="00746EDB"/>
    <w:rsid w:val="00746FCD"/>
    <w:rsid w:val="00747297"/>
    <w:rsid w:val="00747440"/>
    <w:rsid w:val="0074749E"/>
    <w:rsid w:val="00747A68"/>
    <w:rsid w:val="00747A9F"/>
    <w:rsid w:val="00747AAD"/>
    <w:rsid w:val="00747C49"/>
    <w:rsid w:val="007503A4"/>
    <w:rsid w:val="0075064C"/>
    <w:rsid w:val="007508B9"/>
    <w:rsid w:val="00750DFA"/>
    <w:rsid w:val="007511FE"/>
    <w:rsid w:val="0075136A"/>
    <w:rsid w:val="00751499"/>
    <w:rsid w:val="00751738"/>
    <w:rsid w:val="00751EEB"/>
    <w:rsid w:val="00751F46"/>
    <w:rsid w:val="0075218A"/>
    <w:rsid w:val="0075218C"/>
    <w:rsid w:val="007527D1"/>
    <w:rsid w:val="0075311B"/>
    <w:rsid w:val="007532E6"/>
    <w:rsid w:val="00753680"/>
    <w:rsid w:val="00753F02"/>
    <w:rsid w:val="00754741"/>
    <w:rsid w:val="00754A22"/>
    <w:rsid w:val="00754D14"/>
    <w:rsid w:val="007552BA"/>
    <w:rsid w:val="0075530F"/>
    <w:rsid w:val="00756023"/>
    <w:rsid w:val="007560D2"/>
    <w:rsid w:val="00756969"/>
    <w:rsid w:val="007579AC"/>
    <w:rsid w:val="00757B26"/>
    <w:rsid w:val="00760531"/>
    <w:rsid w:val="0076064F"/>
    <w:rsid w:val="00760692"/>
    <w:rsid w:val="007611C3"/>
    <w:rsid w:val="00761805"/>
    <w:rsid w:val="00761FAE"/>
    <w:rsid w:val="007620F9"/>
    <w:rsid w:val="007621CB"/>
    <w:rsid w:val="0076221F"/>
    <w:rsid w:val="0076236F"/>
    <w:rsid w:val="007635A7"/>
    <w:rsid w:val="007635F9"/>
    <w:rsid w:val="00763867"/>
    <w:rsid w:val="007638C8"/>
    <w:rsid w:val="00764138"/>
    <w:rsid w:val="00764797"/>
    <w:rsid w:val="00764803"/>
    <w:rsid w:val="00764E18"/>
    <w:rsid w:val="00764FEA"/>
    <w:rsid w:val="00765197"/>
    <w:rsid w:val="007653D1"/>
    <w:rsid w:val="007658B0"/>
    <w:rsid w:val="00765BEE"/>
    <w:rsid w:val="00765BFF"/>
    <w:rsid w:val="00765FAD"/>
    <w:rsid w:val="00766BD8"/>
    <w:rsid w:val="00766E7F"/>
    <w:rsid w:val="00767258"/>
    <w:rsid w:val="007676AC"/>
    <w:rsid w:val="007678B3"/>
    <w:rsid w:val="007679CB"/>
    <w:rsid w:val="00767D7F"/>
    <w:rsid w:val="007705DD"/>
    <w:rsid w:val="00770B37"/>
    <w:rsid w:val="00770C5B"/>
    <w:rsid w:val="00770F0C"/>
    <w:rsid w:val="00771588"/>
    <w:rsid w:val="0077194F"/>
    <w:rsid w:val="00771CC0"/>
    <w:rsid w:val="00772216"/>
    <w:rsid w:val="00772366"/>
    <w:rsid w:val="0077253D"/>
    <w:rsid w:val="0077272A"/>
    <w:rsid w:val="00772BA0"/>
    <w:rsid w:val="00772DF8"/>
    <w:rsid w:val="00772F4A"/>
    <w:rsid w:val="0077312E"/>
    <w:rsid w:val="00773940"/>
    <w:rsid w:val="00773D53"/>
    <w:rsid w:val="00774203"/>
    <w:rsid w:val="0077437F"/>
    <w:rsid w:val="00774621"/>
    <w:rsid w:val="007746A7"/>
    <w:rsid w:val="0077479E"/>
    <w:rsid w:val="00774893"/>
    <w:rsid w:val="00774C35"/>
    <w:rsid w:val="00774E47"/>
    <w:rsid w:val="007758FE"/>
    <w:rsid w:val="0077592A"/>
    <w:rsid w:val="00775BA5"/>
    <w:rsid w:val="00775FA8"/>
    <w:rsid w:val="007765C2"/>
    <w:rsid w:val="007767AE"/>
    <w:rsid w:val="00776A70"/>
    <w:rsid w:val="00776C3F"/>
    <w:rsid w:val="00776DA4"/>
    <w:rsid w:val="0077719C"/>
    <w:rsid w:val="0077751D"/>
    <w:rsid w:val="007779E7"/>
    <w:rsid w:val="00777D95"/>
    <w:rsid w:val="00777E6F"/>
    <w:rsid w:val="00777F41"/>
    <w:rsid w:val="0078031B"/>
    <w:rsid w:val="0078035F"/>
    <w:rsid w:val="0078075B"/>
    <w:rsid w:val="007807CE"/>
    <w:rsid w:val="00780C15"/>
    <w:rsid w:val="00780C51"/>
    <w:rsid w:val="007810AF"/>
    <w:rsid w:val="00781B4F"/>
    <w:rsid w:val="00781F24"/>
    <w:rsid w:val="00782A5F"/>
    <w:rsid w:val="00782B51"/>
    <w:rsid w:val="00782D3B"/>
    <w:rsid w:val="00782FF3"/>
    <w:rsid w:val="00783183"/>
    <w:rsid w:val="007831C2"/>
    <w:rsid w:val="007832AB"/>
    <w:rsid w:val="00783857"/>
    <w:rsid w:val="00783A6F"/>
    <w:rsid w:val="00783D03"/>
    <w:rsid w:val="00783FB3"/>
    <w:rsid w:val="007840D5"/>
    <w:rsid w:val="00784604"/>
    <w:rsid w:val="0078460A"/>
    <w:rsid w:val="007848F5"/>
    <w:rsid w:val="00784922"/>
    <w:rsid w:val="007849CA"/>
    <w:rsid w:val="00784A3A"/>
    <w:rsid w:val="00784A7C"/>
    <w:rsid w:val="00785158"/>
    <w:rsid w:val="00785525"/>
    <w:rsid w:val="00785B39"/>
    <w:rsid w:val="00785D47"/>
    <w:rsid w:val="00785DF6"/>
    <w:rsid w:val="0078609C"/>
    <w:rsid w:val="00786158"/>
    <w:rsid w:val="0078617C"/>
    <w:rsid w:val="007861E7"/>
    <w:rsid w:val="007861EA"/>
    <w:rsid w:val="0078634B"/>
    <w:rsid w:val="00786406"/>
    <w:rsid w:val="007864D3"/>
    <w:rsid w:val="00786AE3"/>
    <w:rsid w:val="00786B4C"/>
    <w:rsid w:val="00787088"/>
    <w:rsid w:val="00787232"/>
    <w:rsid w:val="0078781B"/>
    <w:rsid w:val="0079012F"/>
    <w:rsid w:val="0079013D"/>
    <w:rsid w:val="007902EE"/>
    <w:rsid w:val="007903FD"/>
    <w:rsid w:val="00790572"/>
    <w:rsid w:val="007909F7"/>
    <w:rsid w:val="007913FC"/>
    <w:rsid w:val="0079146B"/>
    <w:rsid w:val="007914F3"/>
    <w:rsid w:val="00791515"/>
    <w:rsid w:val="00791740"/>
    <w:rsid w:val="00791B68"/>
    <w:rsid w:val="00792231"/>
    <w:rsid w:val="007922BB"/>
    <w:rsid w:val="007924BF"/>
    <w:rsid w:val="00792645"/>
    <w:rsid w:val="007927B5"/>
    <w:rsid w:val="00792B78"/>
    <w:rsid w:val="00792C61"/>
    <w:rsid w:val="00792F90"/>
    <w:rsid w:val="00793136"/>
    <w:rsid w:val="007931EA"/>
    <w:rsid w:val="00793294"/>
    <w:rsid w:val="0079337D"/>
    <w:rsid w:val="00793925"/>
    <w:rsid w:val="007943A8"/>
    <w:rsid w:val="00794475"/>
    <w:rsid w:val="00794572"/>
    <w:rsid w:val="00794874"/>
    <w:rsid w:val="0079526F"/>
    <w:rsid w:val="007956A5"/>
    <w:rsid w:val="007957AB"/>
    <w:rsid w:val="00796038"/>
    <w:rsid w:val="00796415"/>
    <w:rsid w:val="007965B2"/>
    <w:rsid w:val="00796614"/>
    <w:rsid w:val="00796B4D"/>
    <w:rsid w:val="00796BE2"/>
    <w:rsid w:val="00797053"/>
    <w:rsid w:val="00797401"/>
    <w:rsid w:val="00797472"/>
    <w:rsid w:val="00797570"/>
    <w:rsid w:val="00797B62"/>
    <w:rsid w:val="00797ED0"/>
    <w:rsid w:val="007A01AB"/>
    <w:rsid w:val="007A01C7"/>
    <w:rsid w:val="007A0207"/>
    <w:rsid w:val="007A09FD"/>
    <w:rsid w:val="007A0A12"/>
    <w:rsid w:val="007A0ADE"/>
    <w:rsid w:val="007A0F43"/>
    <w:rsid w:val="007A18CB"/>
    <w:rsid w:val="007A1E0B"/>
    <w:rsid w:val="007A1E46"/>
    <w:rsid w:val="007A26FA"/>
    <w:rsid w:val="007A371D"/>
    <w:rsid w:val="007A3BEA"/>
    <w:rsid w:val="007A42ED"/>
    <w:rsid w:val="007A42EE"/>
    <w:rsid w:val="007A45B6"/>
    <w:rsid w:val="007A4979"/>
    <w:rsid w:val="007A4D7E"/>
    <w:rsid w:val="007A4E3F"/>
    <w:rsid w:val="007A4EE1"/>
    <w:rsid w:val="007A4F94"/>
    <w:rsid w:val="007A53C1"/>
    <w:rsid w:val="007A5FD6"/>
    <w:rsid w:val="007A6742"/>
    <w:rsid w:val="007A68AC"/>
    <w:rsid w:val="007A6D43"/>
    <w:rsid w:val="007A731C"/>
    <w:rsid w:val="007A76E8"/>
    <w:rsid w:val="007A7AA0"/>
    <w:rsid w:val="007A7B9C"/>
    <w:rsid w:val="007B02C0"/>
    <w:rsid w:val="007B09E5"/>
    <w:rsid w:val="007B0CB7"/>
    <w:rsid w:val="007B0D3B"/>
    <w:rsid w:val="007B0E08"/>
    <w:rsid w:val="007B0F6A"/>
    <w:rsid w:val="007B1240"/>
    <w:rsid w:val="007B184F"/>
    <w:rsid w:val="007B1B1F"/>
    <w:rsid w:val="007B22C0"/>
    <w:rsid w:val="007B251D"/>
    <w:rsid w:val="007B26B4"/>
    <w:rsid w:val="007B2F56"/>
    <w:rsid w:val="007B312D"/>
    <w:rsid w:val="007B315B"/>
    <w:rsid w:val="007B35FD"/>
    <w:rsid w:val="007B390A"/>
    <w:rsid w:val="007B40F5"/>
    <w:rsid w:val="007B448F"/>
    <w:rsid w:val="007B4BCA"/>
    <w:rsid w:val="007B53A3"/>
    <w:rsid w:val="007B53D5"/>
    <w:rsid w:val="007B5477"/>
    <w:rsid w:val="007B56EB"/>
    <w:rsid w:val="007B575A"/>
    <w:rsid w:val="007B5BDF"/>
    <w:rsid w:val="007B5E62"/>
    <w:rsid w:val="007B6060"/>
    <w:rsid w:val="007B6567"/>
    <w:rsid w:val="007B6C8F"/>
    <w:rsid w:val="007B71F6"/>
    <w:rsid w:val="007B77D1"/>
    <w:rsid w:val="007B7B85"/>
    <w:rsid w:val="007B7D96"/>
    <w:rsid w:val="007B7E0C"/>
    <w:rsid w:val="007C0450"/>
    <w:rsid w:val="007C04F1"/>
    <w:rsid w:val="007C04FC"/>
    <w:rsid w:val="007C0520"/>
    <w:rsid w:val="007C0A5D"/>
    <w:rsid w:val="007C0E91"/>
    <w:rsid w:val="007C1D53"/>
    <w:rsid w:val="007C280E"/>
    <w:rsid w:val="007C2A0B"/>
    <w:rsid w:val="007C2F94"/>
    <w:rsid w:val="007C3185"/>
    <w:rsid w:val="007C33B3"/>
    <w:rsid w:val="007C361D"/>
    <w:rsid w:val="007C37EE"/>
    <w:rsid w:val="007C3B13"/>
    <w:rsid w:val="007C3D40"/>
    <w:rsid w:val="007C408C"/>
    <w:rsid w:val="007C4147"/>
    <w:rsid w:val="007C456C"/>
    <w:rsid w:val="007C47EE"/>
    <w:rsid w:val="007C4DAE"/>
    <w:rsid w:val="007C507C"/>
    <w:rsid w:val="007C55BF"/>
    <w:rsid w:val="007C561A"/>
    <w:rsid w:val="007C5A72"/>
    <w:rsid w:val="007C5A7B"/>
    <w:rsid w:val="007C5D6A"/>
    <w:rsid w:val="007C60B0"/>
    <w:rsid w:val="007C6386"/>
    <w:rsid w:val="007C6804"/>
    <w:rsid w:val="007C6F53"/>
    <w:rsid w:val="007C7510"/>
    <w:rsid w:val="007C76E6"/>
    <w:rsid w:val="007C7828"/>
    <w:rsid w:val="007C78C5"/>
    <w:rsid w:val="007C7AD1"/>
    <w:rsid w:val="007C7EF4"/>
    <w:rsid w:val="007D0088"/>
    <w:rsid w:val="007D02D3"/>
    <w:rsid w:val="007D0496"/>
    <w:rsid w:val="007D0B38"/>
    <w:rsid w:val="007D0B61"/>
    <w:rsid w:val="007D0E9C"/>
    <w:rsid w:val="007D105C"/>
    <w:rsid w:val="007D13B1"/>
    <w:rsid w:val="007D1814"/>
    <w:rsid w:val="007D1B03"/>
    <w:rsid w:val="007D1D61"/>
    <w:rsid w:val="007D277C"/>
    <w:rsid w:val="007D2CF2"/>
    <w:rsid w:val="007D2FE7"/>
    <w:rsid w:val="007D314A"/>
    <w:rsid w:val="007D342A"/>
    <w:rsid w:val="007D37AA"/>
    <w:rsid w:val="007D395B"/>
    <w:rsid w:val="007D3C67"/>
    <w:rsid w:val="007D3CA8"/>
    <w:rsid w:val="007D3DCF"/>
    <w:rsid w:val="007D3E93"/>
    <w:rsid w:val="007D4170"/>
    <w:rsid w:val="007D41E6"/>
    <w:rsid w:val="007D41F1"/>
    <w:rsid w:val="007D427F"/>
    <w:rsid w:val="007D4B05"/>
    <w:rsid w:val="007D4D97"/>
    <w:rsid w:val="007D524C"/>
    <w:rsid w:val="007D5275"/>
    <w:rsid w:val="007D5410"/>
    <w:rsid w:val="007D5606"/>
    <w:rsid w:val="007D572A"/>
    <w:rsid w:val="007D57F1"/>
    <w:rsid w:val="007D5838"/>
    <w:rsid w:val="007D5957"/>
    <w:rsid w:val="007D600C"/>
    <w:rsid w:val="007D6A43"/>
    <w:rsid w:val="007D6DF5"/>
    <w:rsid w:val="007D735F"/>
    <w:rsid w:val="007D775A"/>
    <w:rsid w:val="007D7C10"/>
    <w:rsid w:val="007E01C2"/>
    <w:rsid w:val="007E07E9"/>
    <w:rsid w:val="007E0E91"/>
    <w:rsid w:val="007E1181"/>
    <w:rsid w:val="007E1591"/>
    <w:rsid w:val="007E1A97"/>
    <w:rsid w:val="007E1B24"/>
    <w:rsid w:val="007E1B8A"/>
    <w:rsid w:val="007E1DF1"/>
    <w:rsid w:val="007E20DF"/>
    <w:rsid w:val="007E2512"/>
    <w:rsid w:val="007E2D23"/>
    <w:rsid w:val="007E2DE3"/>
    <w:rsid w:val="007E30D6"/>
    <w:rsid w:val="007E3BC4"/>
    <w:rsid w:val="007E4474"/>
    <w:rsid w:val="007E4682"/>
    <w:rsid w:val="007E479E"/>
    <w:rsid w:val="007E4D70"/>
    <w:rsid w:val="007E4E7A"/>
    <w:rsid w:val="007E5943"/>
    <w:rsid w:val="007E625D"/>
    <w:rsid w:val="007E6901"/>
    <w:rsid w:val="007E6D08"/>
    <w:rsid w:val="007E7099"/>
    <w:rsid w:val="007E7157"/>
    <w:rsid w:val="007E7446"/>
    <w:rsid w:val="007E79C4"/>
    <w:rsid w:val="007E7BD0"/>
    <w:rsid w:val="007F0887"/>
    <w:rsid w:val="007F1017"/>
    <w:rsid w:val="007F1861"/>
    <w:rsid w:val="007F1AC6"/>
    <w:rsid w:val="007F1B17"/>
    <w:rsid w:val="007F1DCA"/>
    <w:rsid w:val="007F2418"/>
    <w:rsid w:val="007F2A6B"/>
    <w:rsid w:val="007F2C23"/>
    <w:rsid w:val="007F30F3"/>
    <w:rsid w:val="007F3355"/>
    <w:rsid w:val="007F34AD"/>
    <w:rsid w:val="007F370E"/>
    <w:rsid w:val="007F3FF8"/>
    <w:rsid w:val="007F4490"/>
    <w:rsid w:val="007F46C6"/>
    <w:rsid w:val="007F4A3F"/>
    <w:rsid w:val="007F4AD8"/>
    <w:rsid w:val="007F4B5A"/>
    <w:rsid w:val="007F5315"/>
    <w:rsid w:val="007F56D5"/>
    <w:rsid w:val="007F57CE"/>
    <w:rsid w:val="007F592B"/>
    <w:rsid w:val="007F5A9B"/>
    <w:rsid w:val="007F5C80"/>
    <w:rsid w:val="007F5CFF"/>
    <w:rsid w:val="007F5D49"/>
    <w:rsid w:val="007F5E0D"/>
    <w:rsid w:val="007F6905"/>
    <w:rsid w:val="007F69F6"/>
    <w:rsid w:val="007F6D21"/>
    <w:rsid w:val="007F7879"/>
    <w:rsid w:val="007F78E3"/>
    <w:rsid w:val="007F7A5F"/>
    <w:rsid w:val="007F7A78"/>
    <w:rsid w:val="007F7CD9"/>
    <w:rsid w:val="008002B5"/>
    <w:rsid w:val="00800DE5"/>
    <w:rsid w:val="008010DF"/>
    <w:rsid w:val="008010EE"/>
    <w:rsid w:val="00801191"/>
    <w:rsid w:val="0080154A"/>
    <w:rsid w:val="00801577"/>
    <w:rsid w:val="00801985"/>
    <w:rsid w:val="00801A5C"/>
    <w:rsid w:val="00801B18"/>
    <w:rsid w:val="00801EA2"/>
    <w:rsid w:val="00801EE9"/>
    <w:rsid w:val="0080222E"/>
    <w:rsid w:val="008022DD"/>
    <w:rsid w:val="0080249E"/>
    <w:rsid w:val="0080273F"/>
    <w:rsid w:val="00802E56"/>
    <w:rsid w:val="00803025"/>
    <w:rsid w:val="0080304A"/>
    <w:rsid w:val="00803097"/>
    <w:rsid w:val="0080324C"/>
    <w:rsid w:val="008034A5"/>
    <w:rsid w:val="00803507"/>
    <w:rsid w:val="008036EF"/>
    <w:rsid w:val="00803803"/>
    <w:rsid w:val="008039C6"/>
    <w:rsid w:val="00803BD0"/>
    <w:rsid w:val="00803E6D"/>
    <w:rsid w:val="00804003"/>
    <w:rsid w:val="008041A1"/>
    <w:rsid w:val="00804347"/>
    <w:rsid w:val="008046F7"/>
    <w:rsid w:val="0080480F"/>
    <w:rsid w:val="00804840"/>
    <w:rsid w:val="00804A90"/>
    <w:rsid w:val="00804CD7"/>
    <w:rsid w:val="00804F4F"/>
    <w:rsid w:val="008050B6"/>
    <w:rsid w:val="008050E4"/>
    <w:rsid w:val="00805142"/>
    <w:rsid w:val="008056D4"/>
    <w:rsid w:val="00806AC1"/>
    <w:rsid w:val="00806B9D"/>
    <w:rsid w:val="00806EEF"/>
    <w:rsid w:val="00807333"/>
    <w:rsid w:val="0080739B"/>
    <w:rsid w:val="00807A8B"/>
    <w:rsid w:val="00807BA9"/>
    <w:rsid w:val="00807BB4"/>
    <w:rsid w:val="00807CA2"/>
    <w:rsid w:val="008104C6"/>
    <w:rsid w:val="00810D73"/>
    <w:rsid w:val="00811289"/>
    <w:rsid w:val="008118CA"/>
    <w:rsid w:val="00811B21"/>
    <w:rsid w:val="00812149"/>
    <w:rsid w:val="008124BA"/>
    <w:rsid w:val="008125CB"/>
    <w:rsid w:val="00812722"/>
    <w:rsid w:val="0081282E"/>
    <w:rsid w:val="00812FE8"/>
    <w:rsid w:val="0081379C"/>
    <w:rsid w:val="00813B4F"/>
    <w:rsid w:val="00813E01"/>
    <w:rsid w:val="008145B0"/>
    <w:rsid w:val="00814A36"/>
    <w:rsid w:val="008155E7"/>
    <w:rsid w:val="0081588B"/>
    <w:rsid w:val="00816685"/>
    <w:rsid w:val="008166EF"/>
    <w:rsid w:val="00816E59"/>
    <w:rsid w:val="00816FD0"/>
    <w:rsid w:val="00817036"/>
    <w:rsid w:val="008173D4"/>
    <w:rsid w:val="008174CC"/>
    <w:rsid w:val="00817878"/>
    <w:rsid w:val="00817944"/>
    <w:rsid w:val="00820738"/>
    <w:rsid w:val="00820E67"/>
    <w:rsid w:val="008218AC"/>
    <w:rsid w:val="00821B6D"/>
    <w:rsid w:val="00821D91"/>
    <w:rsid w:val="00821F26"/>
    <w:rsid w:val="008220DE"/>
    <w:rsid w:val="00822160"/>
    <w:rsid w:val="00822388"/>
    <w:rsid w:val="008225ED"/>
    <w:rsid w:val="00822A00"/>
    <w:rsid w:val="008232BD"/>
    <w:rsid w:val="008232F9"/>
    <w:rsid w:val="0082331A"/>
    <w:rsid w:val="00823565"/>
    <w:rsid w:val="00823A54"/>
    <w:rsid w:val="00823D1A"/>
    <w:rsid w:val="00824F36"/>
    <w:rsid w:val="00825340"/>
    <w:rsid w:val="008258CD"/>
    <w:rsid w:val="0082596C"/>
    <w:rsid w:val="00825B4E"/>
    <w:rsid w:val="00825CF3"/>
    <w:rsid w:val="00825D33"/>
    <w:rsid w:val="0082602E"/>
    <w:rsid w:val="008264EB"/>
    <w:rsid w:val="00826870"/>
    <w:rsid w:val="00826BC9"/>
    <w:rsid w:val="00826D5C"/>
    <w:rsid w:val="00827B24"/>
    <w:rsid w:val="0083053F"/>
    <w:rsid w:val="00830D27"/>
    <w:rsid w:val="00831297"/>
    <w:rsid w:val="00831477"/>
    <w:rsid w:val="008315A8"/>
    <w:rsid w:val="00831683"/>
    <w:rsid w:val="008316C5"/>
    <w:rsid w:val="008318FB"/>
    <w:rsid w:val="0083194B"/>
    <w:rsid w:val="00831B33"/>
    <w:rsid w:val="00831C69"/>
    <w:rsid w:val="00831D73"/>
    <w:rsid w:val="00832CDF"/>
    <w:rsid w:val="00832E77"/>
    <w:rsid w:val="008335C9"/>
    <w:rsid w:val="00833833"/>
    <w:rsid w:val="00833AEA"/>
    <w:rsid w:val="00833B05"/>
    <w:rsid w:val="00833BA2"/>
    <w:rsid w:val="00833D1E"/>
    <w:rsid w:val="00833F24"/>
    <w:rsid w:val="00835BFB"/>
    <w:rsid w:val="00836012"/>
    <w:rsid w:val="0083656B"/>
    <w:rsid w:val="0083666F"/>
    <w:rsid w:val="0083673C"/>
    <w:rsid w:val="008369CC"/>
    <w:rsid w:val="008369DC"/>
    <w:rsid w:val="00836A8E"/>
    <w:rsid w:val="00836C6E"/>
    <w:rsid w:val="00836EC4"/>
    <w:rsid w:val="0083754C"/>
    <w:rsid w:val="00837B7D"/>
    <w:rsid w:val="00837B90"/>
    <w:rsid w:val="00837D3E"/>
    <w:rsid w:val="00837F0C"/>
    <w:rsid w:val="00840A0F"/>
    <w:rsid w:val="00840CA2"/>
    <w:rsid w:val="00840E8E"/>
    <w:rsid w:val="008412BF"/>
    <w:rsid w:val="00841586"/>
    <w:rsid w:val="008418C7"/>
    <w:rsid w:val="008419A7"/>
    <w:rsid w:val="008419B7"/>
    <w:rsid w:val="00841BE2"/>
    <w:rsid w:val="00842120"/>
    <w:rsid w:val="00842291"/>
    <w:rsid w:val="0084229E"/>
    <w:rsid w:val="008422E8"/>
    <w:rsid w:val="008430A3"/>
    <w:rsid w:val="008436E4"/>
    <w:rsid w:val="00843A2F"/>
    <w:rsid w:val="00843B73"/>
    <w:rsid w:val="00843DDC"/>
    <w:rsid w:val="0084403B"/>
    <w:rsid w:val="008441EC"/>
    <w:rsid w:val="00844466"/>
    <w:rsid w:val="00844A9A"/>
    <w:rsid w:val="00844C48"/>
    <w:rsid w:val="00844D70"/>
    <w:rsid w:val="008451CD"/>
    <w:rsid w:val="008452C5"/>
    <w:rsid w:val="00845560"/>
    <w:rsid w:val="008459C7"/>
    <w:rsid w:val="00845A86"/>
    <w:rsid w:val="00845B28"/>
    <w:rsid w:val="00845DB2"/>
    <w:rsid w:val="00845FD5"/>
    <w:rsid w:val="00845FEA"/>
    <w:rsid w:val="00846410"/>
    <w:rsid w:val="00846900"/>
    <w:rsid w:val="00846A85"/>
    <w:rsid w:val="00846A87"/>
    <w:rsid w:val="00846CE3"/>
    <w:rsid w:val="00847173"/>
    <w:rsid w:val="00847216"/>
    <w:rsid w:val="00847280"/>
    <w:rsid w:val="0084761E"/>
    <w:rsid w:val="008476F0"/>
    <w:rsid w:val="00847B48"/>
    <w:rsid w:val="008504F0"/>
    <w:rsid w:val="008508D4"/>
    <w:rsid w:val="00850DEA"/>
    <w:rsid w:val="00851252"/>
    <w:rsid w:val="008512DE"/>
    <w:rsid w:val="00851512"/>
    <w:rsid w:val="0085152C"/>
    <w:rsid w:val="00851B57"/>
    <w:rsid w:val="00851E08"/>
    <w:rsid w:val="0085223B"/>
    <w:rsid w:val="0085281A"/>
    <w:rsid w:val="00853271"/>
    <w:rsid w:val="0085355F"/>
    <w:rsid w:val="0085362E"/>
    <w:rsid w:val="00853EA9"/>
    <w:rsid w:val="00854289"/>
    <w:rsid w:val="008549D6"/>
    <w:rsid w:val="00854C19"/>
    <w:rsid w:val="00854E71"/>
    <w:rsid w:val="008551B2"/>
    <w:rsid w:val="0085563A"/>
    <w:rsid w:val="008557DA"/>
    <w:rsid w:val="008560C5"/>
    <w:rsid w:val="008565BB"/>
    <w:rsid w:val="00856713"/>
    <w:rsid w:val="00856981"/>
    <w:rsid w:val="00856DC2"/>
    <w:rsid w:val="00856E0C"/>
    <w:rsid w:val="00856E9A"/>
    <w:rsid w:val="00856F89"/>
    <w:rsid w:val="00857513"/>
    <w:rsid w:val="00857C89"/>
    <w:rsid w:val="00857E26"/>
    <w:rsid w:val="00857ECD"/>
    <w:rsid w:val="008600A6"/>
    <w:rsid w:val="00860281"/>
    <w:rsid w:val="008608F9"/>
    <w:rsid w:val="00860CD7"/>
    <w:rsid w:val="008610DA"/>
    <w:rsid w:val="00861294"/>
    <w:rsid w:val="0086130D"/>
    <w:rsid w:val="008615BE"/>
    <w:rsid w:val="00861F4C"/>
    <w:rsid w:val="008624DE"/>
    <w:rsid w:val="00862502"/>
    <w:rsid w:val="00862679"/>
    <w:rsid w:val="0086286D"/>
    <w:rsid w:val="0086287A"/>
    <w:rsid w:val="00862883"/>
    <w:rsid w:val="0086296F"/>
    <w:rsid w:val="008629AB"/>
    <w:rsid w:val="00862B8F"/>
    <w:rsid w:val="00862EA0"/>
    <w:rsid w:val="00863A52"/>
    <w:rsid w:val="00863E08"/>
    <w:rsid w:val="00863EBB"/>
    <w:rsid w:val="0086405A"/>
    <w:rsid w:val="008640B3"/>
    <w:rsid w:val="008641E8"/>
    <w:rsid w:val="008643F2"/>
    <w:rsid w:val="008644FB"/>
    <w:rsid w:val="00864530"/>
    <w:rsid w:val="0086488D"/>
    <w:rsid w:val="0086495B"/>
    <w:rsid w:val="008649FC"/>
    <w:rsid w:val="00864D50"/>
    <w:rsid w:val="00864DC9"/>
    <w:rsid w:val="0086525F"/>
    <w:rsid w:val="0086526E"/>
    <w:rsid w:val="008654CF"/>
    <w:rsid w:val="0086581A"/>
    <w:rsid w:val="0086581D"/>
    <w:rsid w:val="00865C71"/>
    <w:rsid w:val="00865E5F"/>
    <w:rsid w:val="00865FCA"/>
    <w:rsid w:val="008660DF"/>
    <w:rsid w:val="00866375"/>
    <w:rsid w:val="00867014"/>
    <w:rsid w:val="0086713C"/>
    <w:rsid w:val="008676FD"/>
    <w:rsid w:val="008678C6"/>
    <w:rsid w:val="00867BCA"/>
    <w:rsid w:val="0087017F"/>
    <w:rsid w:val="00870308"/>
    <w:rsid w:val="0087041E"/>
    <w:rsid w:val="008707AF"/>
    <w:rsid w:val="00870890"/>
    <w:rsid w:val="00870A7D"/>
    <w:rsid w:val="00870B63"/>
    <w:rsid w:val="00870CB0"/>
    <w:rsid w:val="00870EDB"/>
    <w:rsid w:val="008713E5"/>
    <w:rsid w:val="0087258B"/>
    <w:rsid w:val="00872FC1"/>
    <w:rsid w:val="0087337C"/>
    <w:rsid w:val="008739D9"/>
    <w:rsid w:val="00873B3B"/>
    <w:rsid w:val="008742C2"/>
    <w:rsid w:val="008749C6"/>
    <w:rsid w:val="00874A65"/>
    <w:rsid w:val="00874A87"/>
    <w:rsid w:val="00875168"/>
    <w:rsid w:val="00875266"/>
    <w:rsid w:val="008757A7"/>
    <w:rsid w:val="008759BC"/>
    <w:rsid w:val="00875A33"/>
    <w:rsid w:val="00875A48"/>
    <w:rsid w:val="00875D81"/>
    <w:rsid w:val="00875DC6"/>
    <w:rsid w:val="00876210"/>
    <w:rsid w:val="008762CB"/>
    <w:rsid w:val="008763E6"/>
    <w:rsid w:val="008767FD"/>
    <w:rsid w:val="00876903"/>
    <w:rsid w:val="00876D42"/>
    <w:rsid w:val="00877077"/>
    <w:rsid w:val="008776FC"/>
    <w:rsid w:val="008777AC"/>
    <w:rsid w:val="00877C58"/>
    <w:rsid w:val="00880191"/>
    <w:rsid w:val="00880566"/>
    <w:rsid w:val="00880932"/>
    <w:rsid w:val="00880B9A"/>
    <w:rsid w:val="00880F20"/>
    <w:rsid w:val="0088108C"/>
    <w:rsid w:val="008814B2"/>
    <w:rsid w:val="00881761"/>
    <w:rsid w:val="00881C30"/>
    <w:rsid w:val="00882492"/>
    <w:rsid w:val="0088264F"/>
    <w:rsid w:val="00882874"/>
    <w:rsid w:val="00882A00"/>
    <w:rsid w:val="00882BD0"/>
    <w:rsid w:val="0088305C"/>
    <w:rsid w:val="00883787"/>
    <w:rsid w:val="00883946"/>
    <w:rsid w:val="00883A09"/>
    <w:rsid w:val="00883AAD"/>
    <w:rsid w:val="00883CC6"/>
    <w:rsid w:val="008842A3"/>
    <w:rsid w:val="008844DC"/>
    <w:rsid w:val="00884708"/>
    <w:rsid w:val="008848E3"/>
    <w:rsid w:val="00884B55"/>
    <w:rsid w:val="00884DF4"/>
    <w:rsid w:val="00884DF7"/>
    <w:rsid w:val="00885195"/>
    <w:rsid w:val="00885409"/>
    <w:rsid w:val="0088551B"/>
    <w:rsid w:val="0088567B"/>
    <w:rsid w:val="008858AE"/>
    <w:rsid w:val="00885E2D"/>
    <w:rsid w:val="008861AD"/>
    <w:rsid w:val="008862A6"/>
    <w:rsid w:val="0088654A"/>
    <w:rsid w:val="00886576"/>
    <w:rsid w:val="00886708"/>
    <w:rsid w:val="00886720"/>
    <w:rsid w:val="008869BA"/>
    <w:rsid w:val="0088728F"/>
    <w:rsid w:val="0088733B"/>
    <w:rsid w:val="0088762E"/>
    <w:rsid w:val="00887B99"/>
    <w:rsid w:val="00887FAD"/>
    <w:rsid w:val="008904F5"/>
    <w:rsid w:val="00890898"/>
    <w:rsid w:val="00890A27"/>
    <w:rsid w:val="00890B63"/>
    <w:rsid w:val="00890CBB"/>
    <w:rsid w:val="00890EB7"/>
    <w:rsid w:val="00890EBE"/>
    <w:rsid w:val="00891014"/>
    <w:rsid w:val="00891632"/>
    <w:rsid w:val="008918BF"/>
    <w:rsid w:val="00891DD5"/>
    <w:rsid w:val="00891E3D"/>
    <w:rsid w:val="008923F9"/>
    <w:rsid w:val="00892812"/>
    <w:rsid w:val="00893976"/>
    <w:rsid w:val="00893A47"/>
    <w:rsid w:val="00893DDE"/>
    <w:rsid w:val="00893E37"/>
    <w:rsid w:val="0089403B"/>
    <w:rsid w:val="008943AC"/>
    <w:rsid w:val="00894489"/>
    <w:rsid w:val="008944EC"/>
    <w:rsid w:val="00894AE7"/>
    <w:rsid w:val="008951E4"/>
    <w:rsid w:val="00895534"/>
    <w:rsid w:val="00895564"/>
    <w:rsid w:val="008956BF"/>
    <w:rsid w:val="008957B8"/>
    <w:rsid w:val="00895B58"/>
    <w:rsid w:val="00896101"/>
    <w:rsid w:val="008963A5"/>
    <w:rsid w:val="00896D10"/>
    <w:rsid w:val="00896DC2"/>
    <w:rsid w:val="00897A55"/>
    <w:rsid w:val="008A00C9"/>
    <w:rsid w:val="008A073D"/>
    <w:rsid w:val="008A0ED5"/>
    <w:rsid w:val="008A1224"/>
    <w:rsid w:val="008A138D"/>
    <w:rsid w:val="008A158A"/>
    <w:rsid w:val="008A15EF"/>
    <w:rsid w:val="008A15F4"/>
    <w:rsid w:val="008A1635"/>
    <w:rsid w:val="008A2D28"/>
    <w:rsid w:val="008A32D1"/>
    <w:rsid w:val="008A32DB"/>
    <w:rsid w:val="008A3367"/>
    <w:rsid w:val="008A3845"/>
    <w:rsid w:val="008A3C3E"/>
    <w:rsid w:val="008A3D36"/>
    <w:rsid w:val="008A427A"/>
    <w:rsid w:val="008A4924"/>
    <w:rsid w:val="008A5373"/>
    <w:rsid w:val="008A5788"/>
    <w:rsid w:val="008A58E7"/>
    <w:rsid w:val="008A5ABF"/>
    <w:rsid w:val="008A5BF0"/>
    <w:rsid w:val="008A63E9"/>
    <w:rsid w:val="008A64A2"/>
    <w:rsid w:val="008A650F"/>
    <w:rsid w:val="008A67A2"/>
    <w:rsid w:val="008A692C"/>
    <w:rsid w:val="008A708C"/>
    <w:rsid w:val="008A7395"/>
    <w:rsid w:val="008A759F"/>
    <w:rsid w:val="008A75E7"/>
    <w:rsid w:val="008A79DE"/>
    <w:rsid w:val="008B018C"/>
    <w:rsid w:val="008B07A1"/>
    <w:rsid w:val="008B07EB"/>
    <w:rsid w:val="008B08CF"/>
    <w:rsid w:val="008B0B1C"/>
    <w:rsid w:val="008B0BBC"/>
    <w:rsid w:val="008B0FC1"/>
    <w:rsid w:val="008B13CD"/>
    <w:rsid w:val="008B14D0"/>
    <w:rsid w:val="008B177C"/>
    <w:rsid w:val="008B1C94"/>
    <w:rsid w:val="008B1DF9"/>
    <w:rsid w:val="008B1F81"/>
    <w:rsid w:val="008B26E7"/>
    <w:rsid w:val="008B27A5"/>
    <w:rsid w:val="008B2E59"/>
    <w:rsid w:val="008B30F3"/>
    <w:rsid w:val="008B3440"/>
    <w:rsid w:val="008B3502"/>
    <w:rsid w:val="008B35E5"/>
    <w:rsid w:val="008B3CAD"/>
    <w:rsid w:val="008B4193"/>
    <w:rsid w:val="008B4320"/>
    <w:rsid w:val="008B4D09"/>
    <w:rsid w:val="008B4F6B"/>
    <w:rsid w:val="008B50F6"/>
    <w:rsid w:val="008B5476"/>
    <w:rsid w:val="008B59DE"/>
    <w:rsid w:val="008B5A27"/>
    <w:rsid w:val="008B607E"/>
    <w:rsid w:val="008B60B0"/>
    <w:rsid w:val="008B6244"/>
    <w:rsid w:val="008B6592"/>
    <w:rsid w:val="008B6CD7"/>
    <w:rsid w:val="008B75E1"/>
    <w:rsid w:val="008B79A7"/>
    <w:rsid w:val="008B7D7E"/>
    <w:rsid w:val="008B7E83"/>
    <w:rsid w:val="008C0295"/>
    <w:rsid w:val="008C0BEA"/>
    <w:rsid w:val="008C1275"/>
    <w:rsid w:val="008C12BD"/>
    <w:rsid w:val="008C154C"/>
    <w:rsid w:val="008C17F8"/>
    <w:rsid w:val="008C1AF9"/>
    <w:rsid w:val="008C1EF6"/>
    <w:rsid w:val="008C264C"/>
    <w:rsid w:val="008C2BC1"/>
    <w:rsid w:val="008C2C97"/>
    <w:rsid w:val="008C3277"/>
    <w:rsid w:val="008C331D"/>
    <w:rsid w:val="008C3329"/>
    <w:rsid w:val="008C427C"/>
    <w:rsid w:val="008C45EE"/>
    <w:rsid w:val="008C4C2E"/>
    <w:rsid w:val="008C4CDF"/>
    <w:rsid w:val="008C4E84"/>
    <w:rsid w:val="008C51AD"/>
    <w:rsid w:val="008C56D3"/>
    <w:rsid w:val="008C5A94"/>
    <w:rsid w:val="008C6BE2"/>
    <w:rsid w:val="008C6D85"/>
    <w:rsid w:val="008C71EF"/>
    <w:rsid w:val="008C72AE"/>
    <w:rsid w:val="008C77DE"/>
    <w:rsid w:val="008C7B3B"/>
    <w:rsid w:val="008C7ECB"/>
    <w:rsid w:val="008D0057"/>
    <w:rsid w:val="008D00BD"/>
    <w:rsid w:val="008D04AA"/>
    <w:rsid w:val="008D0546"/>
    <w:rsid w:val="008D08CE"/>
    <w:rsid w:val="008D0B76"/>
    <w:rsid w:val="008D0D1B"/>
    <w:rsid w:val="008D174B"/>
    <w:rsid w:val="008D1D3A"/>
    <w:rsid w:val="008D21F2"/>
    <w:rsid w:val="008D24E7"/>
    <w:rsid w:val="008D2790"/>
    <w:rsid w:val="008D2872"/>
    <w:rsid w:val="008D2D41"/>
    <w:rsid w:val="008D34FC"/>
    <w:rsid w:val="008D4096"/>
    <w:rsid w:val="008D455E"/>
    <w:rsid w:val="008D4CAE"/>
    <w:rsid w:val="008D4D38"/>
    <w:rsid w:val="008D5090"/>
    <w:rsid w:val="008D5649"/>
    <w:rsid w:val="008D5699"/>
    <w:rsid w:val="008D5ED6"/>
    <w:rsid w:val="008D5F57"/>
    <w:rsid w:val="008D637F"/>
    <w:rsid w:val="008D63BF"/>
    <w:rsid w:val="008D65EE"/>
    <w:rsid w:val="008D6872"/>
    <w:rsid w:val="008D6E04"/>
    <w:rsid w:val="008D7539"/>
    <w:rsid w:val="008D761C"/>
    <w:rsid w:val="008D7C33"/>
    <w:rsid w:val="008D7ED5"/>
    <w:rsid w:val="008D7EEF"/>
    <w:rsid w:val="008E04DA"/>
    <w:rsid w:val="008E084C"/>
    <w:rsid w:val="008E09E3"/>
    <w:rsid w:val="008E0CBC"/>
    <w:rsid w:val="008E0E11"/>
    <w:rsid w:val="008E0EB1"/>
    <w:rsid w:val="008E0EEC"/>
    <w:rsid w:val="008E0F11"/>
    <w:rsid w:val="008E1093"/>
    <w:rsid w:val="008E11E1"/>
    <w:rsid w:val="008E1391"/>
    <w:rsid w:val="008E14AE"/>
    <w:rsid w:val="008E18B8"/>
    <w:rsid w:val="008E195F"/>
    <w:rsid w:val="008E1B5D"/>
    <w:rsid w:val="008E1B9E"/>
    <w:rsid w:val="008E21AD"/>
    <w:rsid w:val="008E254E"/>
    <w:rsid w:val="008E2821"/>
    <w:rsid w:val="008E28A8"/>
    <w:rsid w:val="008E2C51"/>
    <w:rsid w:val="008E2DCF"/>
    <w:rsid w:val="008E2F55"/>
    <w:rsid w:val="008E321F"/>
    <w:rsid w:val="008E3249"/>
    <w:rsid w:val="008E34C0"/>
    <w:rsid w:val="008E3581"/>
    <w:rsid w:val="008E37D8"/>
    <w:rsid w:val="008E3957"/>
    <w:rsid w:val="008E3BE6"/>
    <w:rsid w:val="008E3D43"/>
    <w:rsid w:val="008E45A3"/>
    <w:rsid w:val="008E4D2E"/>
    <w:rsid w:val="008E51C0"/>
    <w:rsid w:val="008E524E"/>
    <w:rsid w:val="008E55E8"/>
    <w:rsid w:val="008E5642"/>
    <w:rsid w:val="008E5A30"/>
    <w:rsid w:val="008E5B6F"/>
    <w:rsid w:val="008E5CF7"/>
    <w:rsid w:val="008E5E0B"/>
    <w:rsid w:val="008E65AF"/>
    <w:rsid w:val="008E65F8"/>
    <w:rsid w:val="008E6827"/>
    <w:rsid w:val="008E694E"/>
    <w:rsid w:val="008E6ABB"/>
    <w:rsid w:val="008E6DA2"/>
    <w:rsid w:val="008E764D"/>
    <w:rsid w:val="008E794D"/>
    <w:rsid w:val="008F0096"/>
    <w:rsid w:val="008F0521"/>
    <w:rsid w:val="008F0803"/>
    <w:rsid w:val="008F0B30"/>
    <w:rsid w:val="008F0CDC"/>
    <w:rsid w:val="008F0DB3"/>
    <w:rsid w:val="008F10F3"/>
    <w:rsid w:val="008F120A"/>
    <w:rsid w:val="008F1760"/>
    <w:rsid w:val="008F1FCD"/>
    <w:rsid w:val="008F1FE8"/>
    <w:rsid w:val="008F2382"/>
    <w:rsid w:val="008F2A3A"/>
    <w:rsid w:val="008F2A4A"/>
    <w:rsid w:val="008F2AE4"/>
    <w:rsid w:val="008F311F"/>
    <w:rsid w:val="008F31C8"/>
    <w:rsid w:val="008F38DF"/>
    <w:rsid w:val="008F3C55"/>
    <w:rsid w:val="008F4283"/>
    <w:rsid w:val="008F47C8"/>
    <w:rsid w:val="008F48EB"/>
    <w:rsid w:val="008F4B39"/>
    <w:rsid w:val="008F4F0B"/>
    <w:rsid w:val="008F523E"/>
    <w:rsid w:val="008F547E"/>
    <w:rsid w:val="008F5726"/>
    <w:rsid w:val="008F574C"/>
    <w:rsid w:val="008F5782"/>
    <w:rsid w:val="008F5A3E"/>
    <w:rsid w:val="008F5B6B"/>
    <w:rsid w:val="008F5E19"/>
    <w:rsid w:val="008F5FB1"/>
    <w:rsid w:val="008F6521"/>
    <w:rsid w:val="008F66A5"/>
    <w:rsid w:val="008F6D45"/>
    <w:rsid w:val="008F75EC"/>
    <w:rsid w:val="008F780E"/>
    <w:rsid w:val="008F7F88"/>
    <w:rsid w:val="008F7FA8"/>
    <w:rsid w:val="00900653"/>
    <w:rsid w:val="00900A8A"/>
    <w:rsid w:val="00901473"/>
    <w:rsid w:val="00901D68"/>
    <w:rsid w:val="00901EF5"/>
    <w:rsid w:val="00902043"/>
    <w:rsid w:val="009025E1"/>
    <w:rsid w:val="0090263E"/>
    <w:rsid w:val="00902853"/>
    <w:rsid w:val="00902875"/>
    <w:rsid w:val="00902DA6"/>
    <w:rsid w:val="00903342"/>
    <w:rsid w:val="009035A5"/>
    <w:rsid w:val="00903D08"/>
    <w:rsid w:val="00903E12"/>
    <w:rsid w:val="009044BE"/>
    <w:rsid w:val="00904826"/>
    <w:rsid w:val="0090483F"/>
    <w:rsid w:val="00904BFC"/>
    <w:rsid w:val="0090534B"/>
    <w:rsid w:val="0090552A"/>
    <w:rsid w:val="009056C5"/>
    <w:rsid w:val="00905C61"/>
    <w:rsid w:val="00905E4B"/>
    <w:rsid w:val="009062A5"/>
    <w:rsid w:val="009062AE"/>
    <w:rsid w:val="009065D4"/>
    <w:rsid w:val="00906603"/>
    <w:rsid w:val="00906831"/>
    <w:rsid w:val="009068FB"/>
    <w:rsid w:val="00906CEE"/>
    <w:rsid w:val="00906CF8"/>
    <w:rsid w:val="00906F9B"/>
    <w:rsid w:val="009073AA"/>
    <w:rsid w:val="00907B1E"/>
    <w:rsid w:val="009101A7"/>
    <w:rsid w:val="009101F0"/>
    <w:rsid w:val="009102F5"/>
    <w:rsid w:val="0091059F"/>
    <w:rsid w:val="00910EA6"/>
    <w:rsid w:val="00910EAE"/>
    <w:rsid w:val="00911062"/>
    <w:rsid w:val="0091115E"/>
    <w:rsid w:val="00911272"/>
    <w:rsid w:val="009119F0"/>
    <w:rsid w:val="00911C64"/>
    <w:rsid w:val="009122A2"/>
    <w:rsid w:val="00912539"/>
    <w:rsid w:val="0091269E"/>
    <w:rsid w:val="009129A9"/>
    <w:rsid w:val="00912A6C"/>
    <w:rsid w:val="00912D84"/>
    <w:rsid w:val="00912EE3"/>
    <w:rsid w:val="00913271"/>
    <w:rsid w:val="00913302"/>
    <w:rsid w:val="00913349"/>
    <w:rsid w:val="009136B8"/>
    <w:rsid w:val="00913C43"/>
    <w:rsid w:val="0091418A"/>
    <w:rsid w:val="009142FF"/>
    <w:rsid w:val="009146BA"/>
    <w:rsid w:val="00914D07"/>
    <w:rsid w:val="009153BE"/>
    <w:rsid w:val="009154CF"/>
    <w:rsid w:val="0091568E"/>
    <w:rsid w:val="00915768"/>
    <w:rsid w:val="00915874"/>
    <w:rsid w:val="00915A6B"/>
    <w:rsid w:val="00915E0B"/>
    <w:rsid w:val="00915FCA"/>
    <w:rsid w:val="009160BE"/>
    <w:rsid w:val="0091614B"/>
    <w:rsid w:val="00916647"/>
    <w:rsid w:val="009170DC"/>
    <w:rsid w:val="00917220"/>
    <w:rsid w:val="0091742C"/>
    <w:rsid w:val="0091761F"/>
    <w:rsid w:val="0091767B"/>
    <w:rsid w:val="00917A94"/>
    <w:rsid w:val="00917BEA"/>
    <w:rsid w:val="00917D54"/>
    <w:rsid w:val="00917DA5"/>
    <w:rsid w:val="00917EA1"/>
    <w:rsid w:val="0092007D"/>
    <w:rsid w:val="009203B9"/>
    <w:rsid w:val="009203D9"/>
    <w:rsid w:val="00920807"/>
    <w:rsid w:val="009208E8"/>
    <w:rsid w:val="00920BCE"/>
    <w:rsid w:val="00920DB8"/>
    <w:rsid w:val="009216F3"/>
    <w:rsid w:val="00921876"/>
    <w:rsid w:val="00921C04"/>
    <w:rsid w:val="00921C1E"/>
    <w:rsid w:val="00921E85"/>
    <w:rsid w:val="00922264"/>
    <w:rsid w:val="009222B3"/>
    <w:rsid w:val="0092259B"/>
    <w:rsid w:val="00922615"/>
    <w:rsid w:val="009226CD"/>
    <w:rsid w:val="009226F8"/>
    <w:rsid w:val="00922A21"/>
    <w:rsid w:val="00922CBF"/>
    <w:rsid w:val="009230AA"/>
    <w:rsid w:val="00923477"/>
    <w:rsid w:val="0092391A"/>
    <w:rsid w:val="00923A98"/>
    <w:rsid w:val="00924870"/>
    <w:rsid w:val="00924871"/>
    <w:rsid w:val="009249C3"/>
    <w:rsid w:val="00924FB9"/>
    <w:rsid w:val="009255C2"/>
    <w:rsid w:val="009269FE"/>
    <w:rsid w:val="00927436"/>
    <w:rsid w:val="00927C67"/>
    <w:rsid w:val="00931100"/>
    <w:rsid w:val="00931143"/>
    <w:rsid w:val="00931BBF"/>
    <w:rsid w:val="00931EC6"/>
    <w:rsid w:val="00931F22"/>
    <w:rsid w:val="0093211A"/>
    <w:rsid w:val="0093272E"/>
    <w:rsid w:val="009328C3"/>
    <w:rsid w:val="00932BDD"/>
    <w:rsid w:val="00932DCA"/>
    <w:rsid w:val="00933372"/>
    <w:rsid w:val="0093346A"/>
    <w:rsid w:val="00933A05"/>
    <w:rsid w:val="00933C2E"/>
    <w:rsid w:val="00933CE2"/>
    <w:rsid w:val="00933FF9"/>
    <w:rsid w:val="0093405A"/>
    <w:rsid w:val="009340F4"/>
    <w:rsid w:val="009341ED"/>
    <w:rsid w:val="00934346"/>
    <w:rsid w:val="009344B7"/>
    <w:rsid w:val="009349D5"/>
    <w:rsid w:val="00934C5D"/>
    <w:rsid w:val="0093519E"/>
    <w:rsid w:val="0093567A"/>
    <w:rsid w:val="00935F52"/>
    <w:rsid w:val="00936E59"/>
    <w:rsid w:val="009370AE"/>
    <w:rsid w:val="0093721C"/>
    <w:rsid w:val="00937589"/>
    <w:rsid w:val="00940444"/>
    <w:rsid w:val="0094047B"/>
    <w:rsid w:val="0094087F"/>
    <w:rsid w:val="00940890"/>
    <w:rsid w:val="00940917"/>
    <w:rsid w:val="00940BEE"/>
    <w:rsid w:val="00940C7A"/>
    <w:rsid w:val="0094174C"/>
    <w:rsid w:val="00941A1B"/>
    <w:rsid w:val="00941C72"/>
    <w:rsid w:val="00941D1B"/>
    <w:rsid w:val="00942101"/>
    <w:rsid w:val="00942410"/>
    <w:rsid w:val="009429AA"/>
    <w:rsid w:val="00942B83"/>
    <w:rsid w:val="00942BCD"/>
    <w:rsid w:val="00942CC3"/>
    <w:rsid w:val="00943519"/>
    <w:rsid w:val="00943659"/>
    <w:rsid w:val="0094367A"/>
    <w:rsid w:val="009438FC"/>
    <w:rsid w:val="00943B8C"/>
    <w:rsid w:val="00943BEB"/>
    <w:rsid w:val="0094441A"/>
    <w:rsid w:val="00944809"/>
    <w:rsid w:val="00944AA9"/>
    <w:rsid w:val="00944D79"/>
    <w:rsid w:val="00944D86"/>
    <w:rsid w:val="00944DA5"/>
    <w:rsid w:val="00944F33"/>
    <w:rsid w:val="00944F9E"/>
    <w:rsid w:val="00945341"/>
    <w:rsid w:val="00945798"/>
    <w:rsid w:val="00945EFE"/>
    <w:rsid w:val="00945F4F"/>
    <w:rsid w:val="0094657C"/>
    <w:rsid w:val="009473E8"/>
    <w:rsid w:val="00947A31"/>
    <w:rsid w:val="00947D14"/>
    <w:rsid w:val="0095080A"/>
    <w:rsid w:val="0095144E"/>
    <w:rsid w:val="009517C8"/>
    <w:rsid w:val="00951BC5"/>
    <w:rsid w:val="009526DF"/>
    <w:rsid w:val="00952A62"/>
    <w:rsid w:val="00952AAB"/>
    <w:rsid w:val="00952C7C"/>
    <w:rsid w:val="00953556"/>
    <w:rsid w:val="0095387D"/>
    <w:rsid w:val="009538DE"/>
    <w:rsid w:val="0095399E"/>
    <w:rsid w:val="00953BB0"/>
    <w:rsid w:val="00953BE9"/>
    <w:rsid w:val="00953D96"/>
    <w:rsid w:val="00953EE7"/>
    <w:rsid w:val="00954292"/>
    <w:rsid w:val="00954383"/>
    <w:rsid w:val="00954492"/>
    <w:rsid w:val="009548DD"/>
    <w:rsid w:val="00954CE1"/>
    <w:rsid w:val="00954E97"/>
    <w:rsid w:val="009551BC"/>
    <w:rsid w:val="0095597F"/>
    <w:rsid w:val="00955AB3"/>
    <w:rsid w:val="00955AE0"/>
    <w:rsid w:val="00955BB6"/>
    <w:rsid w:val="00955CEE"/>
    <w:rsid w:val="00955F10"/>
    <w:rsid w:val="00956078"/>
    <w:rsid w:val="00956AB1"/>
    <w:rsid w:val="00956D89"/>
    <w:rsid w:val="00956ED0"/>
    <w:rsid w:val="00956FC4"/>
    <w:rsid w:val="0095729A"/>
    <w:rsid w:val="00957437"/>
    <w:rsid w:val="00957DEA"/>
    <w:rsid w:val="00957E23"/>
    <w:rsid w:val="00957EFA"/>
    <w:rsid w:val="00957FDF"/>
    <w:rsid w:val="00960888"/>
    <w:rsid w:val="00960B52"/>
    <w:rsid w:val="00961030"/>
    <w:rsid w:val="00961441"/>
    <w:rsid w:val="009616B6"/>
    <w:rsid w:val="00961A32"/>
    <w:rsid w:val="00961CD0"/>
    <w:rsid w:val="00961F40"/>
    <w:rsid w:val="00962480"/>
    <w:rsid w:val="00962819"/>
    <w:rsid w:val="00962C93"/>
    <w:rsid w:val="00962CB9"/>
    <w:rsid w:val="00962E29"/>
    <w:rsid w:val="00963305"/>
    <w:rsid w:val="00963C26"/>
    <w:rsid w:val="0096413B"/>
    <w:rsid w:val="00964312"/>
    <w:rsid w:val="009646C3"/>
    <w:rsid w:val="00964A38"/>
    <w:rsid w:val="00964D58"/>
    <w:rsid w:val="00965213"/>
    <w:rsid w:val="00965760"/>
    <w:rsid w:val="00965C60"/>
    <w:rsid w:val="00965F19"/>
    <w:rsid w:val="00966207"/>
    <w:rsid w:val="009662FA"/>
    <w:rsid w:val="009664D3"/>
    <w:rsid w:val="0096682D"/>
    <w:rsid w:val="00966A7D"/>
    <w:rsid w:val="00966AB9"/>
    <w:rsid w:val="00966AD9"/>
    <w:rsid w:val="00967125"/>
    <w:rsid w:val="00967176"/>
    <w:rsid w:val="0096721F"/>
    <w:rsid w:val="00967298"/>
    <w:rsid w:val="00967453"/>
    <w:rsid w:val="009676B8"/>
    <w:rsid w:val="00967886"/>
    <w:rsid w:val="00967B84"/>
    <w:rsid w:val="00967C6D"/>
    <w:rsid w:val="00967CFF"/>
    <w:rsid w:val="009704CD"/>
    <w:rsid w:val="00970837"/>
    <w:rsid w:val="00970BF6"/>
    <w:rsid w:val="00971147"/>
    <w:rsid w:val="0097121B"/>
    <w:rsid w:val="009718F4"/>
    <w:rsid w:val="009719FE"/>
    <w:rsid w:val="00971B9D"/>
    <w:rsid w:val="00971F87"/>
    <w:rsid w:val="009723B0"/>
    <w:rsid w:val="009732D2"/>
    <w:rsid w:val="009733BC"/>
    <w:rsid w:val="00973AF7"/>
    <w:rsid w:val="00974099"/>
    <w:rsid w:val="009741C3"/>
    <w:rsid w:val="00974356"/>
    <w:rsid w:val="009743C1"/>
    <w:rsid w:val="009748AB"/>
    <w:rsid w:val="00974A56"/>
    <w:rsid w:val="00974AA8"/>
    <w:rsid w:val="00974CC5"/>
    <w:rsid w:val="00974CE9"/>
    <w:rsid w:val="0097540B"/>
    <w:rsid w:val="00975AB1"/>
    <w:rsid w:val="00975D33"/>
    <w:rsid w:val="00975E03"/>
    <w:rsid w:val="00975F80"/>
    <w:rsid w:val="00976CA1"/>
    <w:rsid w:val="00976DEC"/>
    <w:rsid w:val="0097701C"/>
    <w:rsid w:val="009771C8"/>
    <w:rsid w:val="009775B6"/>
    <w:rsid w:val="009776A1"/>
    <w:rsid w:val="009776B0"/>
    <w:rsid w:val="00977837"/>
    <w:rsid w:val="00977AEA"/>
    <w:rsid w:val="00977D6A"/>
    <w:rsid w:val="00977E20"/>
    <w:rsid w:val="0098036F"/>
    <w:rsid w:val="00980C43"/>
    <w:rsid w:val="00980D59"/>
    <w:rsid w:val="00980F62"/>
    <w:rsid w:val="009810EE"/>
    <w:rsid w:val="009812C5"/>
    <w:rsid w:val="009813EE"/>
    <w:rsid w:val="00981425"/>
    <w:rsid w:val="00981442"/>
    <w:rsid w:val="00981776"/>
    <w:rsid w:val="009819B9"/>
    <w:rsid w:val="009820AF"/>
    <w:rsid w:val="00982112"/>
    <w:rsid w:val="009823A3"/>
    <w:rsid w:val="00982B02"/>
    <w:rsid w:val="00982E19"/>
    <w:rsid w:val="0098346E"/>
    <w:rsid w:val="009835C8"/>
    <w:rsid w:val="00983843"/>
    <w:rsid w:val="00983922"/>
    <w:rsid w:val="0098393E"/>
    <w:rsid w:val="00983B27"/>
    <w:rsid w:val="00983E57"/>
    <w:rsid w:val="00983F93"/>
    <w:rsid w:val="009840AB"/>
    <w:rsid w:val="009842B8"/>
    <w:rsid w:val="0098433D"/>
    <w:rsid w:val="009843D2"/>
    <w:rsid w:val="009848A4"/>
    <w:rsid w:val="00984B11"/>
    <w:rsid w:val="00984E32"/>
    <w:rsid w:val="00984E60"/>
    <w:rsid w:val="009853C9"/>
    <w:rsid w:val="00985622"/>
    <w:rsid w:val="00985791"/>
    <w:rsid w:val="00985981"/>
    <w:rsid w:val="009862F4"/>
    <w:rsid w:val="0098662A"/>
    <w:rsid w:val="009866B6"/>
    <w:rsid w:val="009866DA"/>
    <w:rsid w:val="00986DE7"/>
    <w:rsid w:val="00986E16"/>
    <w:rsid w:val="00987056"/>
    <w:rsid w:val="0098727A"/>
    <w:rsid w:val="00987299"/>
    <w:rsid w:val="0098764B"/>
    <w:rsid w:val="0098798E"/>
    <w:rsid w:val="00987DCF"/>
    <w:rsid w:val="00990333"/>
    <w:rsid w:val="00990881"/>
    <w:rsid w:val="00990A41"/>
    <w:rsid w:val="00990A79"/>
    <w:rsid w:val="00990B40"/>
    <w:rsid w:val="0099161F"/>
    <w:rsid w:val="00991715"/>
    <w:rsid w:val="00991AA9"/>
    <w:rsid w:val="00991E41"/>
    <w:rsid w:val="009921A0"/>
    <w:rsid w:val="00992602"/>
    <w:rsid w:val="0099287A"/>
    <w:rsid w:val="009929AC"/>
    <w:rsid w:val="00992EE2"/>
    <w:rsid w:val="009932BA"/>
    <w:rsid w:val="0099333C"/>
    <w:rsid w:val="009936E7"/>
    <w:rsid w:val="00993AA3"/>
    <w:rsid w:val="00993D8D"/>
    <w:rsid w:val="0099403A"/>
    <w:rsid w:val="00994133"/>
    <w:rsid w:val="00994637"/>
    <w:rsid w:val="00994785"/>
    <w:rsid w:val="00994A70"/>
    <w:rsid w:val="00994EA4"/>
    <w:rsid w:val="00994EA5"/>
    <w:rsid w:val="00995A04"/>
    <w:rsid w:val="00995AEF"/>
    <w:rsid w:val="00995C8D"/>
    <w:rsid w:val="00996091"/>
    <w:rsid w:val="009960E2"/>
    <w:rsid w:val="009961FF"/>
    <w:rsid w:val="00996B1A"/>
    <w:rsid w:val="00996C58"/>
    <w:rsid w:val="0099701E"/>
    <w:rsid w:val="0099765E"/>
    <w:rsid w:val="00997AE2"/>
    <w:rsid w:val="00997B31"/>
    <w:rsid w:val="00997EA3"/>
    <w:rsid w:val="009A015A"/>
    <w:rsid w:val="009A03D7"/>
    <w:rsid w:val="009A07B1"/>
    <w:rsid w:val="009A0AD8"/>
    <w:rsid w:val="009A0BA7"/>
    <w:rsid w:val="009A0E2D"/>
    <w:rsid w:val="009A1370"/>
    <w:rsid w:val="009A15E1"/>
    <w:rsid w:val="009A16B9"/>
    <w:rsid w:val="009A1A8A"/>
    <w:rsid w:val="009A1ABA"/>
    <w:rsid w:val="009A1BA9"/>
    <w:rsid w:val="009A1CB9"/>
    <w:rsid w:val="009A1D30"/>
    <w:rsid w:val="009A1D69"/>
    <w:rsid w:val="009A20A9"/>
    <w:rsid w:val="009A2234"/>
    <w:rsid w:val="009A2334"/>
    <w:rsid w:val="009A2D25"/>
    <w:rsid w:val="009A2E83"/>
    <w:rsid w:val="009A30D6"/>
    <w:rsid w:val="009A3657"/>
    <w:rsid w:val="009A3756"/>
    <w:rsid w:val="009A405F"/>
    <w:rsid w:val="009A46CA"/>
    <w:rsid w:val="009A49A7"/>
    <w:rsid w:val="009A4BE4"/>
    <w:rsid w:val="009A4FF7"/>
    <w:rsid w:val="009A5146"/>
    <w:rsid w:val="009A51EA"/>
    <w:rsid w:val="009A5E46"/>
    <w:rsid w:val="009A639C"/>
    <w:rsid w:val="009A69DE"/>
    <w:rsid w:val="009A6B60"/>
    <w:rsid w:val="009A7192"/>
    <w:rsid w:val="009A74DA"/>
    <w:rsid w:val="009A7526"/>
    <w:rsid w:val="009B0150"/>
    <w:rsid w:val="009B016A"/>
    <w:rsid w:val="009B01E9"/>
    <w:rsid w:val="009B0A83"/>
    <w:rsid w:val="009B1257"/>
    <w:rsid w:val="009B167B"/>
    <w:rsid w:val="009B17FE"/>
    <w:rsid w:val="009B1A61"/>
    <w:rsid w:val="009B1E79"/>
    <w:rsid w:val="009B2808"/>
    <w:rsid w:val="009B2CFC"/>
    <w:rsid w:val="009B2D58"/>
    <w:rsid w:val="009B2FB7"/>
    <w:rsid w:val="009B2FD5"/>
    <w:rsid w:val="009B3364"/>
    <w:rsid w:val="009B398D"/>
    <w:rsid w:val="009B3C56"/>
    <w:rsid w:val="009B3D2D"/>
    <w:rsid w:val="009B3E26"/>
    <w:rsid w:val="009B3FE6"/>
    <w:rsid w:val="009B420F"/>
    <w:rsid w:val="009B4442"/>
    <w:rsid w:val="009B44E1"/>
    <w:rsid w:val="009B47BD"/>
    <w:rsid w:val="009B4A08"/>
    <w:rsid w:val="009B55A6"/>
    <w:rsid w:val="009B5637"/>
    <w:rsid w:val="009B5656"/>
    <w:rsid w:val="009B5E71"/>
    <w:rsid w:val="009B60E0"/>
    <w:rsid w:val="009B6221"/>
    <w:rsid w:val="009B626D"/>
    <w:rsid w:val="009B6636"/>
    <w:rsid w:val="009B6744"/>
    <w:rsid w:val="009B7077"/>
    <w:rsid w:val="009B71A3"/>
    <w:rsid w:val="009B72B7"/>
    <w:rsid w:val="009B72FE"/>
    <w:rsid w:val="009B776B"/>
    <w:rsid w:val="009B7C06"/>
    <w:rsid w:val="009C002B"/>
    <w:rsid w:val="009C0494"/>
    <w:rsid w:val="009C0E27"/>
    <w:rsid w:val="009C0EB0"/>
    <w:rsid w:val="009C123C"/>
    <w:rsid w:val="009C18C9"/>
    <w:rsid w:val="009C1923"/>
    <w:rsid w:val="009C1A0C"/>
    <w:rsid w:val="009C1B4F"/>
    <w:rsid w:val="009C1BB7"/>
    <w:rsid w:val="009C1E9B"/>
    <w:rsid w:val="009C2675"/>
    <w:rsid w:val="009C2E5C"/>
    <w:rsid w:val="009C2E74"/>
    <w:rsid w:val="009C3226"/>
    <w:rsid w:val="009C37BC"/>
    <w:rsid w:val="009C3EF2"/>
    <w:rsid w:val="009C583F"/>
    <w:rsid w:val="009C5959"/>
    <w:rsid w:val="009C5AAC"/>
    <w:rsid w:val="009C5FD8"/>
    <w:rsid w:val="009C6519"/>
    <w:rsid w:val="009C6521"/>
    <w:rsid w:val="009C73A3"/>
    <w:rsid w:val="009C77B2"/>
    <w:rsid w:val="009C78FD"/>
    <w:rsid w:val="009C79CE"/>
    <w:rsid w:val="009C7E9E"/>
    <w:rsid w:val="009D01F1"/>
    <w:rsid w:val="009D1062"/>
    <w:rsid w:val="009D160E"/>
    <w:rsid w:val="009D1A21"/>
    <w:rsid w:val="009D1ADF"/>
    <w:rsid w:val="009D1C11"/>
    <w:rsid w:val="009D1D4D"/>
    <w:rsid w:val="009D225C"/>
    <w:rsid w:val="009D24B6"/>
    <w:rsid w:val="009D25B9"/>
    <w:rsid w:val="009D27E6"/>
    <w:rsid w:val="009D2F9D"/>
    <w:rsid w:val="009D37B7"/>
    <w:rsid w:val="009D3F57"/>
    <w:rsid w:val="009D4591"/>
    <w:rsid w:val="009D4666"/>
    <w:rsid w:val="009D49C3"/>
    <w:rsid w:val="009D4D46"/>
    <w:rsid w:val="009D5301"/>
    <w:rsid w:val="009D540A"/>
    <w:rsid w:val="009D55F8"/>
    <w:rsid w:val="009D5605"/>
    <w:rsid w:val="009D58AE"/>
    <w:rsid w:val="009D5A73"/>
    <w:rsid w:val="009D5B91"/>
    <w:rsid w:val="009D67CC"/>
    <w:rsid w:val="009D7093"/>
    <w:rsid w:val="009D72F9"/>
    <w:rsid w:val="009D7369"/>
    <w:rsid w:val="009D766E"/>
    <w:rsid w:val="009D7A3D"/>
    <w:rsid w:val="009D7BC3"/>
    <w:rsid w:val="009D7BEE"/>
    <w:rsid w:val="009D7C54"/>
    <w:rsid w:val="009D7D81"/>
    <w:rsid w:val="009E0040"/>
    <w:rsid w:val="009E008F"/>
    <w:rsid w:val="009E0F00"/>
    <w:rsid w:val="009E10CA"/>
    <w:rsid w:val="009E10EE"/>
    <w:rsid w:val="009E153D"/>
    <w:rsid w:val="009E1892"/>
    <w:rsid w:val="009E1C83"/>
    <w:rsid w:val="009E1CA4"/>
    <w:rsid w:val="009E1F89"/>
    <w:rsid w:val="009E1FE1"/>
    <w:rsid w:val="009E2002"/>
    <w:rsid w:val="009E2612"/>
    <w:rsid w:val="009E27AA"/>
    <w:rsid w:val="009E28AA"/>
    <w:rsid w:val="009E2A49"/>
    <w:rsid w:val="009E2BD0"/>
    <w:rsid w:val="009E2CC8"/>
    <w:rsid w:val="009E36F0"/>
    <w:rsid w:val="009E38AB"/>
    <w:rsid w:val="009E38F6"/>
    <w:rsid w:val="009E3A78"/>
    <w:rsid w:val="009E3AF9"/>
    <w:rsid w:val="009E3F22"/>
    <w:rsid w:val="009E44F5"/>
    <w:rsid w:val="009E453F"/>
    <w:rsid w:val="009E4789"/>
    <w:rsid w:val="009E4795"/>
    <w:rsid w:val="009E47A2"/>
    <w:rsid w:val="009E4C07"/>
    <w:rsid w:val="009E4D2C"/>
    <w:rsid w:val="009E5005"/>
    <w:rsid w:val="009E56AF"/>
    <w:rsid w:val="009E598B"/>
    <w:rsid w:val="009E5F36"/>
    <w:rsid w:val="009E64CB"/>
    <w:rsid w:val="009E65A5"/>
    <w:rsid w:val="009E697E"/>
    <w:rsid w:val="009E6CD2"/>
    <w:rsid w:val="009E6CDC"/>
    <w:rsid w:val="009E7A47"/>
    <w:rsid w:val="009E7BC9"/>
    <w:rsid w:val="009F012F"/>
    <w:rsid w:val="009F017E"/>
    <w:rsid w:val="009F0208"/>
    <w:rsid w:val="009F04FA"/>
    <w:rsid w:val="009F0BD0"/>
    <w:rsid w:val="009F1057"/>
    <w:rsid w:val="009F10C7"/>
    <w:rsid w:val="009F150E"/>
    <w:rsid w:val="009F155E"/>
    <w:rsid w:val="009F15C0"/>
    <w:rsid w:val="009F17AE"/>
    <w:rsid w:val="009F1A8C"/>
    <w:rsid w:val="009F23F0"/>
    <w:rsid w:val="009F24B0"/>
    <w:rsid w:val="009F258A"/>
    <w:rsid w:val="009F2847"/>
    <w:rsid w:val="009F28E6"/>
    <w:rsid w:val="009F34A7"/>
    <w:rsid w:val="009F35BD"/>
    <w:rsid w:val="009F378A"/>
    <w:rsid w:val="009F396F"/>
    <w:rsid w:val="009F3AD0"/>
    <w:rsid w:val="009F3B94"/>
    <w:rsid w:val="009F3C2B"/>
    <w:rsid w:val="009F450B"/>
    <w:rsid w:val="009F4883"/>
    <w:rsid w:val="009F4947"/>
    <w:rsid w:val="009F4ACB"/>
    <w:rsid w:val="009F4EA1"/>
    <w:rsid w:val="009F521F"/>
    <w:rsid w:val="009F5779"/>
    <w:rsid w:val="009F61DE"/>
    <w:rsid w:val="009F653B"/>
    <w:rsid w:val="009F6B7F"/>
    <w:rsid w:val="009F6C8C"/>
    <w:rsid w:val="009F6DA0"/>
    <w:rsid w:val="009F70D3"/>
    <w:rsid w:val="009F71F8"/>
    <w:rsid w:val="009F7685"/>
    <w:rsid w:val="009F7CAD"/>
    <w:rsid w:val="00A00359"/>
    <w:rsid w:val="00A00541"/>
    <w:rsid w:val="00A00757"/>
    <w:rsid w:val="00A0115D"/>
    <w:rsid w:val="00A01B58"/>
    <w:rsid w:val="00A0218E"/>
    <w:rsid w:val="00A025B4"/>
    <w:rsid w:val="00A0269B"/>
    <w:rsid w:val="00A028EE"/>
    <w:rsid w:val="00A02CC8"/>
    <w:rsid w:val="00A02DA7"/>
    <w:rsid w:val="00A03221"/>
    <w:rsid w:val="00A037DA"/>
    <w:rsid w:val="00A03B21"/>
    <w:rsid w:val="00A03D43"/>
    <w:rsid w:val="00A04380"/>
    <w:rsid w:val="00A049A8"/>
    <w:rsid w:val="00A04F49"/>
    <w:rsid w:val="00A04F7B"/>
    <w:rsid w:val="00A051A2"/>
    <w:rsid w:val="00A05396"/>
    <w:rsid w:val="00A055C9"/>
    <w:rsid w:val="00A05FD9"/>
    <w:rsid w:val="00A0632A"/>
    <w:rsid w:val="00A06581"/>
    <w:rsid w:val="00A07093"/>
    <w:rsid w:val="00A070C6"/>
    <w:rsid w:val="00A074F3"/>
    <w:rsid w:val="00A0766D"/>
    <w:rsid w:val="00A07F55"/>
    <w:rsid w:val="00A10CAA"/>
    <w:rsid w:val="00A10CD7"/>
    <w:rsid w:val="00A10F0A"/>
    <w:rsid w:val="00A10F86"/>
    <w:rsid w:val="00A112B3"/>
    <w:rsid w:val="00A11991"/>
    <w:rsid w:val="00A11BEA"/>
    <w:rsid w:val="00A11E64"/>
    <w:rsid w:val="00A11E76"/>
    <w:rsid w:val="00A11E96"/>
    <w:rsid w:val="00A1273F"/>
    <w:rsid w:val="00A12B59"/>
    <w:rsid w:val="00A12B9C"/>
    <w:rsid w:val="00A12C01"/>
    <w:rsid w:val="00A133A2"/>
    <w:rsid w:val="00A133EF"/>
    <w:rsid w:val="00A1366A"/>
    <w:rsid w:val="00A13948"/>
    <w:rsid w:val="00A139D6"/>
    <w:rsid w:val="00A14221"/>
    <w:rsid w:val="00A1423F"/>
    <w:rsid w:val="00A14762"/>
    <w:rsid w:val="00A14AFD"/>
    <w:rsid w:val="00A14C04"/>
    <w:rsid w:val="00A14C08"/>
    <w:rsid w:val="00A15398"/>
    <w:rsid w:val="00A1539B"/>
    <w:rsid w:val="00A16E58"/>
    <w:rsid w:val="00A16E80"/>
    <w:rsid w:val="00A17301"/>
    <w:rsid w:val="00A173DF"/>
    <w:rsid w:val="00A17753"/>
    <w:rsid w:val="00A177F6"/>
    <w:rsid w:val="00A178CF"/>
    <w:rsid w:val="00A17921"/>
    <w:rsid w:val="00A17956"/>
    <w:rsid w:val="00A179EB"/>
    <w:rsid w:val="00A202C6"/>
    <w:rsid w:val="00A20553"/>
    <w:rsid w:val="00A20CB2"/>
    <w:rsid w:val="00A20EBB"/>
    <w:rsid w:val="00A21464"/>
    <w:rsid w:val="00A2167D"/>
    <w:rsid w:val="00A21AB6"/>
    <w:rsid w:val="00A21EE0"/>
    <w:rsid w:val="00A22079"/>
    <w:rsid w:val="00A2232D"/>
    <w:rsid w:val="00A2246C"/>
    <w:rsid w:val="00A226ED"/>
    <w:rsid w:val="00A22728"/>
    <w:rsid w:val="00A22805"/>
    <w:rsid w:val="00A229AF"/>
    <w:rsid w:val="00A22B30"/>
    <w:rsid w:val="00A22C39"/>
    <w:rsid w:val="00A22EED"/>
    <w:rsid w:val="00A2303A"/>
    <w:rsid w:val="00A232B8"/>
    <w:rsid w:val="00A23570"/>
    <w:rsid w:val="00A23766"/>
    <w:rsid w:val="00A2399C"/>
    <w:rsid w:val="00A23E94"/>
    <w:rsid w:val="00A246EC"/>
    <w:rsid w:val="00A2524D"/>
    <w:rsid w:val="00A254E8"/>
    <w:rsid w:val="00A257CA"/>
    <w:rsid w:val="00A25A1C"/>
    <w:rsid w:val="00A25BAF"/>
    <w:rsid w:val="00A26AF5"/>
    <w:rsid w:val="00A26C7F"/>
    <w:rsid w:val="00A26EAE"/>
    <w:rsid w:val="00A26F72"/>
    <w:rsid w:val="00A272CF"/>
    <w:rsid w:val="00A2784C"/>
    <w:rsid w:val="00A279DD"/>
    <w:rsid w:val="00A27A59"/>
    <w:rsid w:val="00A27AEC"/>
    <w:rsid w:val="00A27B4D"/>
    <w:rsid w:val="00A27CE6"/>
    <w:rsid w:val="00A27D28"/>
    <w:rsid w:val="00A27F8C"/>
    <w:rsid w:val="00A30186"/>
    <w:rsid w:val="00A301D7"/>
    <w:rsid w:val="00A30202"/>
    <w:rsid w:val="00A3033D"/>
    <w:rsid w:val="00A3036C"/>
    <w:rsid w:val="00A303F5"/>
    <w:rsid w:val="00A304E1"/>
    <w:rsid w:val="00A30860"/>
    <w:rsid w:val="00A308AB"/>
    <w:rsid w:val="00A31095"/>
    <w:rsid w:val="00A31391"/>
    <w:rsid w:val="00A31A41"/>
    <w:rsid w:val="00A31A5E"/>
    <w:rsid w:val="00A321AB"/>
    <w:rsid w:val="00A3229E"/>
    <w:rsid w:val="00A32405"/>
    <w:rsid w:val="00A32716"/>
    <w:rsid w:val="00A32B9B"/>
    <w:rsid w:val="00A32FB8"/>
    <w:rsid w:val="00A33C28"/>
    <w:rsid w:val="00A34323"/>
    <w:rsid w:val="00A34BCC"/>
    <w:rsid w:val="00A34ED9"/>
    <w:rsid w:val="00A359AB"/>
    <w:rsid w:val="00A35CE3"/>
    <w:rsid w:val="00A35D12"/>
    <w:rsid w:val="00A35D16"/>
    <w:rsid w:val="00A35EA8"/>
    <w:rsid w:val="00A365CC"/>
    <w:rsid w:val="00A366E8"/>
    <w:rsid w:val="00A36D79"/>
    <w:rsid w:val="00A36E4D"/>
    <w:rsid w:val="00A3717E"/>
    <w:rsid w:val="00A372CA"/>
    <w:rsid w:val="00A37475"/>
    <w:rsid w:val="00A3795D"/>
    <w:rsid w:val="00A37D55"/>
    <w:rsid w:val="00A37E1E"/>
    <w:rsid w:val="00A40389"/>
    <w:rsid w:val="00A403ED"/>
    <w:rsid w:val="00A40724"/>
    <w:rsid w:val="00A4092D"/>
    <w:rsid w:val="00A40AFD"/>
    <w:rsid w:val="00A40C8C"/>
    <w:rsid w:val="00A40CC5"/>
    <w:rsid w:val="00A412CE"/>
    <w:rsid w:val="00A41883"/>
    <w:rsid w:val="00A4193A"/>
    <w:rsid w:val="00A4193F"/>
    <w:rsid w:val="00A41C78"/>
    <w:rsid w:val="00A41E62"/>
    <w:rsid w:val="00A41EE2"/>
    <w:rsid w:val="00A420AA"/>
    <w:rsid w:val="00A42273"/>
    <w:rsid w:val="00A42443"/>
    <w:rsid w:val="00A426BB"/>
    <w:rsid w:val="00A42780"/>
    <w:rsid w:val="00A42DBE"/>
    <w:rsid w:val="00A42E72"/>
    <w:rsid w:val="00A43039"/>
    <w:rsid w:val="00A432E0"/>
    <w:rsid w:val="00A43323"/>
    <w:rsid w:val="00A437BF"/>
    <w:rsid w:val="00A43878"/>
    <w:rsid w:val="00A43C59"/>
    <w:rsid w:val="00A43CBC"/>
    <w:rsid w:val="00A43F55"/>
    <w:rsid w:val="00A44001"/>
    <w:rsid w:val="00A44373"/>
    <w:rsid w:val="00A44785"/>
    <w:rsid w:val="00A44786"/>
    <w:rsid w:val="00A44A1D"/>
    <w:rsid w:val="00A44A5D"/>
    <w:rsid w:val="00A44CCB"/>
    <w:rsid w:val="00A44F57"/>
    <w:rsid w:val="00A4524E"/>
    <w:rsid w:val="00A456BC"/>
    <w:rsid w:val="00A45A01"/>
    <w:rsid w:val="00A46735"/>
    <w:rsid w:val="00A46905"/>
    <w:rsid w:val="00A46C07"/>
    <w:rsid w:val="00A476D8"/>
    <w:rsid w:val="00A479C4"/>
    <w:rsid w:val="00A5031C"/>
    <w:rsid w:val="00A50D5D"/>
    <w:rsid w:val="00A50EB5"/>
    <w:rsid w:val="00A50ECD"/>
    <w:rsid w:val="00A50FEA"/>
    <w:rsid w:val="00A51073"/>
    <w:rsid w:val="00A515AA"/>
    <w:rsid w:val="00A5164A"/>
    <w:rsid w:val="00A517BF"/>
    <w:rsid w:val="00A521FA"/>
    <w:rsid w:val="00A5249F"/>
    <w:rsid w:val="00A524C3"/>
    <w:rsid w:val="00A52729"/>
    <w:rsid w:val="00A527E1"/>
    <w:rsid w:val="00A52BC0"/>
    <w:rsid w:val="00A52BC7"/>
    <w:rsid w:val="00A5319E"/>
    <w:rsid w:val="00A535AF"/>
    <w:rsid w:val="00A53675"/>
    <w:rsid w:val="00A539FC"/>
    <w:rsid w:val="00A53AB5"/>
    <w:rsid w:val="00A53CA1"/>
    <w:rsid w:val="00A53D09"/>
    <w:rsid w:val="00A53FF5"/>
    <w:rsid w:val="00A54353"/>
    <w:rsid w:val="00A54571"/>
    <w:rsid w:val="00A54688"/>
    <w:rsid w:val="00A548C7"/>
    <w:rsid w:val="00A54A0D"/>
    <w:rsid w:val="00A54DB2"/>
    <w:rsid w:val="00A54F72"/>
    <w:rsid w:val="00A550B5"/>
    <w:rsid w:val="00A5534C"/>
    <w:rsid w:val="00A553A0"/>
    <w:rsid w:val="00A5558C"/>
    <w:rsid w:val="00A556EA"/>
    <w:rsid w:val="00A55944"/>
    <w:rsid w:val="00A559E5"/>
    <w:rsid w:val="00A55AEA"/>
    <w:rsid w:val="00A56261"/>
    <w:rsid w:val="00A568EC"/>
    <w:rsid w:val="00A56B6A"/>
    <w:rsid w:val="00A56E86"/>
    <w:rsid w:val="00A5737A"/>
    <w:rsid w:val="00A573A2"/>
    <w:rsid w:val="00A5755B"/>
    <w:rsid w:val="00A578DC"/>
    <w:rsid w:val="00A579FA"/>
    <w:rsid w:val="00A57A9F"/>
    <w:rsid w:val="00A6004D"/>
    <w:rsid w:val="00A600B3"/>
    <w:rsid w:val="00A60395"/>
    <w:rsid w:val="00A60684"/>
    <w:rsid w:val="00A60696"/>
    <w:rsid w:val="00A608F0"/>
    <w:rsid w:val="00A612DE"/>
    <w:rsid w:val="00A61AE9"/>
    <w:rsid w:val="00A61AED"/>
    <w:rsid w:val="00A61C70"/>
    <w:rsid w:val="00A6230A"/>
    <w:rsid w:val="00A6252D"/>
    <w:rsid w:val="00A62E3E"/>
    <w:rsid w:val="00A63046"/>
    <w:rsid w:val="00A63482"/>
    <w:rsid w:val="00A634EA"/>
    <w:rsid w:val="00A63597"/>
    <w:rsid w:val="00A63BB2"/>
    <w:rsid w:val="00A63D67"/>
    <w:rsid w:val="00A6430A"/>
    <w:rsid w:val="00A646AF"/>
    <w:rsid w:val="00A64B18"/>
    <w:rsid w:val="00A64CB0"/>
    <w:rsid w:val="00A64DD4"/>
    <w:rsid w:val="00A654FB"/>
    <w:rsid w:val="00A65BCE"/>
    <w:rsid w:val="00A65D07"/>
    <w:rsid w:val="00A65F11"/>
    <w:rsid w:val="00A66152"/>
    <w:rsid w:val="00A663BD"/>
    <w:rsid w:val="00A6650F"/>
    <w:rsid w:val="00A6667E"/>
    <w:rsid w:val="00A6685F"/>
    <w:rsid w:val="00A668BB"/>
    <w:rsid w:val="00A66DBD"/>
    <w:rsid w:val="00A66F5F"/>
    <w:rsid w:val="00A67007"/>
    <w:rsid w:val="00A6725B"/>
    <w:rsid w:val="00A672C4"/>
    <w:rsid w:val="00A67986"/>
    <w:rsid w:val="00A679F1"/>
    <w:rsid w:val="00A70125"/>
    <w:rsid w:val="00A7024B"/>
    <w:rsid w:val="00A70460"/>
    <w:rsid w:val="00A7054B"/>
    <w:rsid w:val="00A705E8"/>
    <w:rsid w:val="00A706AC"/>
    <w:rsid w:val="00A706BE"/>
    <w:rsid w:val="00A7139F"/>
    <w:rsid w:val="00A7148C"/>
    <w:rsid w:val="00A714DA"/>
    <w:rsid w:val="00A720A9"/>
    <w:rsid w:val="00A724FF"/>
    <w:rsid w:val="00A72570"/>
    <w:rsid w:val="00A7258B"/>
    <w:rsid w:val="00A72C95"/>
    <w:rsid w:val="00A72DCA"/>
    <w:rsid w:val="00A72F51"/>
    <w:rsid w:val="00A730A7"/>
    <w:rsid w:val="00A7368E"/>
    <w:rsid w:val="00A73DE3"/>
    <w:rsid w:val="00A7406C"/>
    <w:rsid w:val="00A740FC"/>
    <w:rsid w:val="00A745E6"/>
    <w:rsid w:val="00A74826"/>
    <w:rsid w:val="00A74F18"/>
    <w:rsid w:val="00A75246"/>
    <w:rsid w:val="00A756CC"/>
    <w:rsid w:val="00A757F4"/>
    <w:rsid w:val="00A765F2"/>
    <w:rsid w:val="00A76E67"/>
    <w:rsid w:val="00A76F20"/>
    <w:rsid w:val="00A77024"/>
    <w:rsid w:val="00A770EA"/>
    <w:rsid w:val="00A77727"/>
    <w:rsid w:val="00A77BFF"/>
    <w:rsid w:val="00A77E8B"/>
    <w:rsid w:val="00A80619"/>
    <w:rsid w:val="00A8099F"/>
    <w:rsid w:val="00A80D1F"/>
    <w:rsid w:val="00A80DBB"/>
    <w:rsid w:val="00A80EDB"/>
    <w:rsid w:val="00A81D3E"/>
    <w:rsid w:val="00A81D48"/>
    <w:rsid w:val="00A81FFA"/>
    <w:rsid w:val="00A821B3"/>
    <w:rsid w:val="00A82535"/>
    <w:rsid w:val="00A82A0D"/>
    <w:rsid w:val="00A8317F"/>
    <w:rsid w:val="00A83346"/>
    <w:rsid w:val="00A8393D"/>
    <w:rsid w:val="00A83D5D"/>
    <w:rsid w:val="00A83ED2"/>
    <w:rsid w:val="00A84043"/>
    <w:rsid w:val="00A843AD"/>
    <w:rsid w:val="00A84D15"/>
    <w:rsid w:val="00A85208"/>
    <w:rsid w:val="00A8547D"/>
    <w:rsid w:val="00A85800"/>
    <w:rsid w:val="00A85BB7"/>
    <w:rsid w:val="00A85BF7"/>
    <w:rsid w:val="00A85F61"/>
    <w:rsid w:val="00A860CE"/>
    <w:rsid w:val="00A861DF"/>
    <w:rsid w:val="00A86792"/>
    <w:rsid w:val="00A86CBE"/>
    <w:rsid w:val="00A86E1C"/>
    <w:rsid w:val="00A86E8B"/>
    <w:rsid w:val="00A86F43"/>
    <w:rsid w:val="00A871F0"/>
    <w:rsid w:val="00A87416"/>
    <w:rsid w:val="00A87440"/>
    <w:rsid w:val="00A874A6"/>
    <w:rsid w:val="00A87575"/>
    <w:rsid w:val="00A87E8C"/>
    <w:rsid w:val="00A87F04"/>
    <w:rsid w:val="00A87F1A"/>
    <w:rsid w:val="00A9030E"/>
    <w:rsid w:val="00A90976"/>
    <w:rsid w:val="00A9099B"/>
    <w:rsid w:val="00A90A7F"/>
    <w:rsid w:val="00A90E41"/>
    <w:rsid w:val="00A90EE3"/>
    <w:rsid w:val="00A911A7"/>
    <w:rsid w:val="00A9135D"/>
    <w:rsid w:val="00A91AEB"/>
    <w:rsid w:val="00A91DFD"/>
    <w:rsid w:val="00A91EF3"/>
    <w:rsid w:val="00A91F2A"/>
    <w:rsid w:val="00A91FFF"/>
    <w:rsid w:val="00A92269"/>
    <w:rsid w:val="00A9275F"/>
    <w:rsid w:val="00A92CDE"/>
    <w:rsid w:val="00A92D26"/>
    <w:rsid w:val="00A93063"/>
    <w:rsid w:val="00A93072"/>
    <w:rsid w:val="00A9318F"/>
    <w:rsid w:val="00A9342F"/>
    <w:rsid w:val="00A93460"/>
    <w:rsid w:val="00A939DC"/>
    <w:rsid w:val="00A93B4B"/>
    <w:rsid w:val="00A93D14"/>
    <w:rsid w:val="00A94254"/>
    <w:rsid w:val="00A943B3"/>
    <w:rsid w:val="00A94C10"/>
    <w:rsid w:val="00A94C49"/>
    <w:rsid w:val="00A94C7E"/>
    <w:rsid w:val="00A95414"/>
    <w:rsid w:val="00A959D8"/>
    <w:rsid w:val="00A9657D"/>
    <w:rsid w:val="00A9673E"/>
    <w:rsid w:val="00A96C1E"/>
    <w:rsid w:val="00A96C88"/>
    <w:rsid w:val="00A9724C"/>
    <w:rsid w:val="00A974FC"/>
    <w:rsid w:val="00A9794A"/>
    <w:rsid w:val="00A97A1D"/>
    <w:rsid w:val="00A97AF7"/>
    <w:rsid w:val="00A97D1A"/>
    <w:rsid w:val="00A97E07"/>
    <w:rsid w:val="00AA1AF8"/>
    <w:rsid w:val="00AA1B42"/>
    <w:rsid w:val="00AA1F76"/>
    <w:rsid w:val="00AA2125"/>
    <w:rsid w:val="00AA236D"/>
    <w:rsid w:val="00AA24C6"/>
    <w:rsid w:val="00AA2512"/>
    <w:rsid w:val="00AA2589"/>
    <w:rsid w:val="00AA2670"/>
    <w:rsid w:val="00AA29D2"/>
    <w:rsid w:val="00AA2B4C"/>
    <w:rsid w:val="00AA2DA1"/>
    <w:rsid w:val="00AA3475"/>
    <w:rsid w:val="00AA3892"/>
    <w:rsid w:val="00AA3A96"/>
    <w:rsid w:val="00AA3FE7"/>
    <w:rsid w:val="00AA40C2"/>
    <w:rsid w:val="00AA42E5"/>
    <w:rsid w:val="00AA438A"/>
    <w:rsid w:val="00AA44AA"/>
    <w:rsid w:val="00AA454E"/>
    <w:rsid w:val="00AA4577"/>
    <w:rsid w:val="00AA49C9"/>
    <w:rsid w:val="00AA5703"/>
    <w:rsid w:val="00AA57D2"/>
    <w:rsid w:val="00AA58CD"/>
    <w:rsid w:val="00AA5A5F"/>
    <w:rsid w:val="00AA5BD2"/>
    <w:rsid w:val="00AA5E9E"/>
    <w:rsid w:val="00AA60DB"/>
    <w:rsid w:val="00AA666A"/>
    <w:rsid w:val="00AA69AC"/>
    <w:rsid w:val="00AA6A7E"/>
    <w:rsid w:val="00AA6F17"/>
    <w:rsid w:val="00AA74D5"/>
    <w:rsid w:val="00AA7A18"/>
    <w:rsid w:val="00AA7D82"/>
    <w:rsid w:val="00AB0354"/>
    <w:rsid w:val="00AB042A"/>
    <w:rsid w:val="00AB085B"/>
    <w:rsid w:val="00AB08E6"/>
    <w:rsid w:val="00AB0A87"/>
    <w:rsid w:val="00AB0C26"/>
    <w:rsid w:val="00AB0EE9"/>
    <w:rsid w:val="00AB1624"/>
    <w:rsid w:val="00AB1C23"/>
    <w:rsid w:val="00AB1CF5"/>
    <w:rsid w:val="00AB2031"/>
    <w:rsid w:val="00AB2878"/>
    <w:rsid w:val="00AB2A3D"/>
    <w:rsid w:val="00AB2D34"/>
    <w:rsid w:val="00AB2F43"/>
    <w:rsid w:val="00AB3121"/>
    <w:rsid w:val="00AB317F"/>
    <w:rsid w:val="00AB3430"/>
    <w:rsid w:val="00AB35A2"/>
    <w:rsid w:val="00AB3639"/>
    <w:rsid w:val="00AB3C03"/>
    <w:rsid w:val="00AB40A2"/>
    <w:rsid w:val="00AB43A6"/>
    <w:rsid w:val="00AB44A7"/>
    <w:rsid w:val="00AB44FF"/>
    <w:rsid w:val="00AB459F"/>
    <w:rsid w:val="00AB45E3"/>
    <w:rsid w:val="00AB489D"/>
    <w:rsid w:val="00AB4AE0"/>
    <w:rsid w:val="00AB4B72"/>
    <w:rsid w:val="00AB50A1"/>
    <w:rsid w:val="00AB50F7"/>
    <w:rsid w:val="00AB5258"/>
    <w:rsid w:val="00AB575E"/>
    <w:rsid w:val="00AB5E9B"/>
    <w:rsid w:val="00AB63E7"/>
    <w:rsid w:val="00AB704B"/>
    <w:rsid w:val="00AB7575"/>
    <w:rsid w:val="00AB7A9B"/>
    <w:rsid w:val="00AB7CFA"/>
    <w:rsid w:val="00AC0004"/>
    <w:rsid w:val="00AC0692"/>
    <w:rsid w:val="00AC0F76"/>
    <w:rsid w:val="00AC12B7"/>
    <w:rsid w:val="00AC191B"/>
    <w:rsid w:val="00AC1A91"/>
    <w:rsid w:val="00AC1BA4"/>
    <w:rsid w:val="00AC24A7"/>
    <w:rsid w:val="00AC2A54"/>
    <w:rsid w:val="00AC2CED"/>
    <w:rsid w:val="00AC34D3"/>
    <w:rsid w:val="00AC37DF"/>
    <w:rsid w:val="00AC5156"/>
    <w:rsid w:val="00AC586F"/>
    <w:rsid w:val="00AC5F4B"/>
    <w:rsid w:val="00AC6008"/>
    <w:rsid w:val="00AC615F"/>
    <w:rsid w:val="00AC6A6E"/>
    <w:rsid w:val="00AC6CEA"/>
    <w:rsid w:val="00AC71F7"/>
    <w:rsid w:val="00AC7309"/>
    <w:rsid w:val="00AC7540"/>
    <w:rsid w:val="00AC7558"/>
    <w:rsid w:val="00AC77CA"/>
    <w:rsid w:val="00AC78C4"/>
    <w:rsid w:val="00AC78EF"/>
    <w:rsid w:val="00AD04DB"/>
    <w:rsid w:val="00AD0A5F"/>
    <w:rsid w:val="00AD103D"/>
    <w:rsid w:val="00AD139C"/>
    <w:rsid w:val="00AD1428"/>
    <w:rsid w:val="00AD14AF"/>
    <w:rsid w:val="00AD15CF"/>
    <w:rsid w:val="00AD15FF"/>
    <w:rsid w:val="00AD178E"/>
    <w:rsid w:val="00AD1924"/>
    <w:rsid w:val="00AD1DDC"/>
    <w:rsid w:val="00AD1FF9"/>
    <w:rsid w:val="00AD2A08"/>
    <w:rsid w:val="00AD31E3"/>
    <w:rsid w:val="00AD33C4"/>
    <w:rsid w:val="00AD3594"/>
    <w:rsid w:val="00AD3C7B"/>
    <w:rsid w:val="00AD4B6D"/>
    <w:rsid w:val="00AD4C9D"/>
    <w:rsid w:val="00AD4D15"/>
    <w:rsid w:val="00AD5027"/>
    <w:rsid w:val="00AD5437"/>
    <w:rsid w:val="00AD5466"/>
    <w:rsid w:val="00AD54A3"/>
    <w:rsid w:val="00AD58AD"/>
    <w:rsid w:val="00AD5E29"/>
    <w:rsid w:val="00AD63DB"/>
    <w:rsid w:val="00AD6C4D"/>
    <w:rsid w:val="00AD6E84"/>
    <w:rsid w:val="00AD7AAD"/>
    <w:rsid w:val="00AE068D"/>
    <w:rsid w:val="00AE076D"/>
    <w:rsid w:val="00AE0991"/>
    <w:rsid w:val="00AE0A67"/>
    <w:rsid w:val="00AE0F3E"/>
    <w:rsid w:val="00AE0FCA"/>
    <w:rsid w:val="00AE1018"/>
    <w:rsid w:val="00AE1370"/>
    <w:rsid w:val="00AE13E3"/>
    <w:rsid w:val="00AE1556"/>
    <w:rsid w:val="00AE184C"/>
    <w:rsid w:val="00AE1A78"/>
    <w:rsid w:val="00AE1C4C"/>
    <w:rsid w:val="00AE1CD8"/>
    <w:rsid w:val="00AE1DD4"/>
    <w:rsid w:val="00AE22C5"/>
    <w:rsid w:val="00AE23F9"/>
    <w:rsid w:val="00AE2DB0"/>
    <w:rsid w:val="00AE2FEC"/>
    <w:rsid w:val="00AE3400"/>
    <w:rsid w:val="00AE34F9"/>
    <w:rsid w:val="00AE37E4"/>
    <w:rsid w:val="00AE38FF"/>
    <w:rsid w:val="00AE39C9"/>
    <w:rsid w:val="00AE39EA"/>
    <w:rsid w:val="00AE3C85"/>
    <w:rsid w:val="00AE47E9"/>
    <w:rsid w:val="00AE48AF"/>
    <w:rsid w:val="00AE48E6"/>
    <w:rsid w:val="00AE5999"/>
    <w:rsid w:val="00AE59A8"/>
    <w:rsid w:val="00AE59F5"/>
    <w:rsid w:val="00AE6313"/>
    <w:rsid w:val="00AE643A"/>
    <w:rsid w:val="00AE66DE"/>
    <w:rsid w:val="00AE69D4"/>
    <w:rsid w:val="00AE6B5D"/>
    <w:rsid w:val="00AE6FEA"/>
    <w:rsid w:val="00AE7433"/>
    <w:rsid w:val="00AE7E4E"/>
    <w:rsid w:val="00AE7E56"/>
    <w:rsid w:val="00AE7EE4"/>
    <w:rsid w:val="00AF00A6"/>
    <w:rsid w:val="00AF0134"/>
    <w:rsid w:val="00AF0153"/>
    <w:rsid w:val="00AF0467"/>
    <w:rsid w:val="00AF0884"/>
    <w:rsid w:val="00AF140E"/>
    <w:rsid w:val="00AF19F3"/>
    <w:rsid w:val="00AF1A4E"/>
    <w:rsid w:val="00AF21CC"/>
    <w:rsid w:val="00AF28BD"/>
    <w:rsid w:val="00AF318D"/>
    <w:rsid w:val="00AF3259"/>
    <w:rsid w:val="00AF35A3"/>
    <w:rsid w:val="00AF39E4"/>
    <w:rsid w:val="00AF3AAF"/>
    <w:rsid w:val="00AF3F3E"/>
    <w:rsid w:val="00AF4302"/>
    <w:rsid w:val="00AF4524"/>
    <w:rsid w:val="00AF45FC"/>
    <w:rsid w:val="00AF4806"/>
    <w:rsid w:val="00AF562B"/>
    <w:rsid w:val="00AF5E9E"/>
    <w:rsid w:val="00AF6413"/>
    <w:rsid w:val="00AF6860"/>
    <w:rsid w:val="00AF6CA1"/>
    <w:rsid w:val="00AF6D0C"/>
    <w:rsid w:val="00AF6EBC"/>
    <w:rsid w:val="00AF6FA8"/>
    <w:rsid w:val="00AF7127"/>
    <w:rsid w:val="00AF76D7"/>
    <w:rsid w:val="00AF76E2"/>
    <w:rsid w:val="00AF778D"/>
    <w:rsid w:val="00AF7BBD"/>
    <w:rsid w:val="00B00640"/>
    <w:rsid w:val="00B006AA"/>
    <w:rsid w:val="00B00972"/>
    <w:rsid w:val="00B00E9A"/>
    <w:rsid w:val="00B013A6"/>
    <w:rsid w:val="00B0144C"/>
    <w:rsid w:val="00B016E9"/>
    <w:rsid w:val="00B01941"/>
    <w:rsid w:val="00B01A36"/>
    <w:rsid w:val="00B02351"/>
    <w:rsid w:val="00B026A2"/>
    <w:rsid w:val="00B026B9"/>
    <w:rsid w:val="00B0270B"/>
    <w:rsid w:val="00B02864"/>
    <w:rsid w:val="00B02AA0"/>
    <w:rsid w:val="00B02ABD"/>
    <w:rsid w:val="00B02C82"/>
    <w:rsid w:val="00B02F8C"/>
    <w:rsid w:val="00B03BA0"/>
    <w:rsid w:val="00B03FD2"/>
    <w:rsid w:val="00B043D0"/>
    <w:rsid w:val="00B04D7B"/>
    <w:rsid w:val="00B04DD7"/>
    <w:rsid w:val="00B04E65"/>
    <w:rsid w:val="00B05586"/>
    <w:rsid w:val="00B057C5"/>
    <w:rsid w:val="00B058E1"/>
    <w:rsid w:val="00B05A1D"/>
    <w:rsid w:val="00B067C2"/>
    <w:rsid w:val="00B06AEA"/>
    <w:rsid w:val="00B071C7"/>
    <w:rsid w:val="00B071D1"/>
    <w:rsid w:val="00B071FC"/>
    <w:rsid w:val="00B07231"/>
    <w:rsid w:val="00B072E3"/>
    <w:rsid w:val="00B07D31"/>
    <w:rsid w:val="00B07F83"/>
    <w:rsid w:val="00B105DE"/>
    <w:rsid w:val="00B105FD"/>
    <w:rsid w:val="00B1063F"/>
    <w:rsid w:val="00B110FE"/>
    <w:rsid w:val="00B11241"/>
    <w:rsid w:val="00B1148F"/>
    <w:rsid w:val="00B11651"/>
    <w:rsid w:val="00B116B9"/>
    <w:rsid w:val="00B11CE6"/>
    <w:rsid w:val="00B12391"/>
    <w:rsid w:val="00B12675"/>
    <w:rsid w:val="00B1280E"/>
    <w:rsid w:val="00B12CD7"/>
    <w:rsid w:val="00B12DE0"/>
    <w:rsid w:val="00B1389A"/>
    <w:rsid w:val="00B1425B"/>
    <w:rsid w:val="00B1425E"/>
    <w:rsid w:val="00B142F9"/>
    <w:rsid w:val="00B143B6"/>
    <w:rsid w:val="00B1454F"/>
    <w:rsid w:val="00B14658"/>
    <w:rsid w:val="00B14916"/>
    <w:rsid w:val="00B14F7A"/>
    <w:rsid w:val="00B15230"/>
    <w:rsid w:val="00B15480"/>
    <w:rsid w:val="00B15794"/>
    <w:rsid w:val="00B1579C"/>
    <w:rsid w:val="00B1587B"/>
    <w:rsid w:val="00B15A4E"/>
    <w:rsid w:val="00B15FA3"/>
    <w:rsid w:val="00B16209"/>
    <w:rsid w:val="00B16264"/>
    <w:rsid w:val="00B16373"/>
    <w:rsid w:val="00B164CC"/>
    <w:rsid w:val="00B1650A"/>
    <w:rsid w:val="00B1676E"/>
    <w:rsid w:val="00B1677B"/>
    <w:rsid w:val="00B16795"/>
    <w:rsid w:val="00B167FF"/>
    <w:rsid w:val="00B16D00"/>
    <w:rsid w:val="00B16D33"/>
    <w:rsid w:val="00B17223"/>
    <w:rsid w:val="00B2000B"/>
    <w:rsid w:val="00B204CF"/>
    <w:rsid w:val="00B20E61"/>
    <w:rsid w:val="00B21034"/>
    <w:rsid w:val="00B216FF"/>
    <w:rsid w:val="00B2175E"/>
    <w:rsid w:val="00B218CE"/>
    <w:rsid w:val="00B21B43"/>
    <w:rsid w:val="00B21B9E"/>
    <w:rsid w:val="00B21CEB"/>
    <w:rsid w:val="00B21DD4"/>
    <w:rsid w:val="00B22305"/>
    <w:rsid w:val="00B22349"/>
    <w:rsid w:val="00B22670"/>
    <w:rsid w:val="00B226E8"/>
    <w:rsid w:val="00B22A51"/>
    <w:rsid w:val="00B22BE3"/>
    <w:rsid w:val="00B233B7"/>
    <w:rsid w:val="00B234D5"/>
    <w:rsid w:val="00B2387E"/>
    <w:rsid w:val="00B23FD2"/>
    <w:rsid w:val="00B2411E"/>
    <w:rsid w:val="00B24969"/>
    <w:rsid w:val="00B24D75"/>
    <w:rsid w:val="00B24D9E"/>
    <w:rsid w:val="00B24E2D"/>
    <w:rsid w:val="00B250AA"/>
    <w:rsid w:val="00B251A6"/>
    <w:rsid w:val="00B2568A"/>
    <w:rsid w:val="00B25736"/>
    <w:rsid w:val="00B257CC"/>
    <w:rsid w:val="00B25DD0"/>
    <w:rsid w:val="00B26753"/>
    <w:rsid w:val="00B267DA"/>
    <w:rsid w:val="00B26DB9"/>
    <w:rsid w:val="00B27587"/>
    <w:rsid w:val="00B275E7"/>
    <w:rsid w:val="00B27994"/>
    <w:rsid w:val="00B27B4C"/>
    <w:rsid w:val="00B27BB7"/>
    <w:rsid w:val="00B27BBE"/>
    <w:rsid w:val="00B27C36"/>
    <w:rsid w:val="00B27C6E"/>
    <w:rsid w:val="00B30A91"/>
    <w:rsid w:val="00B30C02"/>
    <w:rsid w:val="00B3107B"/>
    <w:rsid w:val="00B31213"/>
    <w:rsid w:val="00B3138D"/>
    <w:rsid w:val="00B31D1E"/>
    <w:rsid w:val="00B32A07"/>
    <w:rsid w:val="00B32B83"/>
    <w:rsid w:val="00B32D6E"/>
    <w:rsid w:val="00B32FDD"/>
    <w:rsid w:val="00B3312B"/>
    <w:rsid w:val="00B33756"/>
    <w:rsid w:val="00B33791"/>
    <w:rsid w:val="00B33F48"/>
    <w:rsid w:val="00B342EB"/>
    <w:rsid w:val="00B344BB"/>
    <w:rsid w:val="00B34625"/>
    <w:rsid w:val="00B34BB2"/>
    <w:rsid w:val="00B34FB8"/>
    <w:rsid w:val="00B3525C"/>
    <w:rsid w:val="00B35602"/>
    <w:rsid w:val="00B35ACF"/>
    <w:rsid w:val="00B35D94"/>
    <w:rsid w:val="00B35FE6"/>
    <w:rsid w:val="00B36154"/>
    <w:rsid w:val="00B36243"/>
    <w:rsid w:val="00B36347"/>
    <w:rsid w:val="00B36748"/>
    <w:rsid w:val="00B36F5B"/>
    <w:rsid w:val="00B37983"/>
    <w:rsid w:val="00B37B7A"/>
    <w:rsid w:val="00B37DB8"/>
    <w:rsid w:val="00B37EC7"/>
    <w:rsid w:val="00B404E8"/>
    <w:rsid w:val="00B4059F"/>
    <w:rsid w:val="00B40A09"/>
    <w:rsid w:val="00B40B62"/>
    <w:rsid w:val="00B40CE4"/>
    <w:rsid w:val="00B40E58"/>
    <w:rsid w:val="00B412DF"/>
    <w:rsid w:val="00B41494"/>
    <w:rsid w:val="00B41543"/>
    <w:rsid w:val="00B4174C"/>
    <w:rsid w:val="00B4186F"/>
    <w:rsid w:val="00B41E69"/>
    <w:rsid w:val="00B42160"/>
    <w:rsid w:val="00B42450"/>
    <w:rsid w:val="00B427C7"/>
    <w:rsid w:val="00B42851"/>
    <w:rsid w:val="00B42B22"/>
    <w:rsid w:val="00B43167"/>
    <w:rsid w:val="00B43539"/>
    <w:rsid w:val="00B43A0B"/>
    <w:rsid w:val="00B43C10"/>
    <w:rsid w:val="00B44652"/>
    <w:rsid w:val="00B4465C"/>
    <w:rsid w:val="00B44ED2"/>
    <w:rsid w:val="00B44F81"/>
    <w:rsid w:val="00B452A7"/>
    <w:rsid w:val="00B45669"/>
    <w:rsid w:val="00B45687"/>
    <w:rsid w:val="00B45D6C"/>
    <w:rsid w:val="00B45FF3"/>
    <w:rsid w:val="00B462DF"/>
    <w:rsid w:val="00B4696D"/>
    <w:rsid w:val="00B469A8"/>
    <w:rsid w:val="00B46F61"/>
    <w:rsid w:val="00B471C6"/>
    <w:rsid w:val="00B47582"/>
    <w:rsid w:val="00B47BA5"/>
    <w:rsid w:val="00B47C57"/>
    <w:rsid w:val="00B47EE1"/>
    <w:rsid w:val="00B47F30"/>
    <w:rsid w:val="00B50120"/>
    <w:rsid w:val="00B505F0"/>
    <w:rsid w:val="00B50837"/>
    <w:rsid w:val="00B50A2B"/>
    <w:rsid w:val="00B50DB8"/>
    <w:rsid w:val="00B51727"/>
    <w:rsid w:val="00B51E5A"/>
    <w:rsid w:val="00B51EE0"/>
    <w:rsid w:val="00B521AA"/>
    <w:rsid w:val="00B521BB"/>
    <w:rsid w:val="00B52511"/>
    <w:rsid w:val="00B527C3"/>
    <w:rsid w:val="00B52977"/>
    <w:rsid w:val="00B52A31"/>
    <w:rsid w:val="00B52E2F"/>
    <w:rsid w:val="00B52F59"/>
    <w:rsid w:val="00B532AF"/>
    <w:rsid w:val="00B533E7"/>
    <w:rsid w:val="00B534A7"/>
    <w:rsid w:val="00B53528"/>
    <w:rsid w:val="00B53905"/>
    <w:rsid w:val="00B53BC5"/>
    <w:rsid w:val="00B53F6E"/>
    <w:rsid w:val="00B5460A"/>
    <w:rsid w:val="00B54A44"/>
    <w:rsid w:val="00B54B5B"/>
    <w:rsid w:val="00B54D1D"/>
    <w:rsid w:val="00B5548B"/>
    <w:rsid w:val="00B55623"/>
    <w:rsid w:val="00B5562E"/>
    <w:rsid w:val="00B558CF"/>
    <w:rsid w:val="00B55CF0"/>
    <w:rsid w:val="00B55D9E"/>
    <w:rsid w:val="00B569E5"/>
    <w:rsid w:val="00B56CC4"/>
    <w:rsid w:val="00B56E12"/>
    <w:rsid w:val="00B57000"/>
    <w:rsid w:val="00B579B4"/>
    <w:rsid w:val="00B57BB1"/>
    <w:rsid w:val="00B57D80"/>
    <w:rsid w:val="00B60431"/>
    <w:rsid w:val="00B60777"/>
    <w:rsid w:val="00B60939"/>
    <w:rsid w:val="00B609C3"/>
    <w:rsid w:val="00B60AE1"/>
    <w:rsid w:val="00B60AFD"/>
    <w:rsid w:val="00B60E32"/>
    <w:rsid w:val="00B60F20"/>
    <w:rsid w:val="00B6122A"/>
    <w:rsid w:val="00B61EDC"/>
    <w:rsid w:val="00B6220F"/>
    <w:rsid w:val="00B62715"/>
    <w:rsid w:val="00B629AE"/>
    <w:rsid w:val="00B62B1E"/>
    <w:rsid w:val="00B62B37"/>
    <w:rsid w:val="00B62C7E"/>
    <w:rsid w:val="00B62CAD"/>
    <w:rsid w:val="00B6355C"/>
    <w:rsid w:val="00B635A3"/>
    <w:rsid w:val="00B63818"/>
    <w:rsid w:val="00B63D54"/>
    <w:rsid w:val="00B63E93"/>
    <w:rsid w:val="00B640AD"/>
    <w:rsid w:val="00B642B6"/>
    <w:rsid w:val="00B645A2"/>
    <w:rsid w:val="00B646D1"/>
    <w:rsid w:val="00B64774"/>
    <w:rsid w:val="00B64F64"/>
    <w:rsid w:val="00B65194"/>
    <w:rsid w:val="00B65375"/>
    <w:rsid w:val="00B65502"/>
    <w:rsid w:val="00B65AAF"/>
    <w:rsid w:val="00B65E52"/>
    <w:rsid w:val="00B66285"/>
    <w:rsid w:val="00B66314"/>
    <w:rsid w:val="00B66E27"/>
    <w:rsid w:val="00B67029"/>
    <w:rsid w:val="00B6733B"/>
    <w:rsid w:val="00B67882"/>
    <w:rsid w:val="00B678D6"/>
    <w:rsid w:val="00B70681"/>
    <w:rsid w:val="00B70979"/>
    <w:rsid w:val="00B70B9C"/>
    <w:rsid w:val="00B718D4"/>
    <w:rsid w:val="00B71A79"/>
    <w:rsid w:val="00B71B9A"/>
    <w:rsid w:val="00B71C18"/>
    <w:rsid w:val="00B71FD3"/>
    <w:rsid w:val="00B7228D"/>
    <w:rsid w:val="00B72BF1"/>
    <w:rsid w:val="00B72ECA"/>
    <w:rsid w:val="00B733F7"/>
    <w:rsid w:val="00B734AB"/>
    <w:rsid w:val="00B73717"/>
    <w:rsid w:val="00B73751"/>
    <w:rsid w:val="00B73AFB"/>
    <w:rsid w:val="00B73B40"/>
    <w:rsid w:val="00B73F4E"/>
    <w:rsid w:val="00B74179"/>
    <w:rsid w:val="00B741E9"/>
    <w:rsid w:val="00B74AB7"/>
    <w:rsid w:val="00B757FF"/>
    <w:rsid w:val="00B759BA"/>
    <w:rsid w:val="00B75AD5"/>
    <w:rsid w:val="00B75AF4"/>
    <w:rsid w:val="00B75B81"/>
    <w:rsid w:val="00B75EF6"/>
    <w:rsid w:val="00B7686B"/>
    <w:rsid w:val="00B76935"/>
    <w:rsid w:val="00B76D21"/>
    <w:rsid w:val="00B76F14"/>
    <w:rsid w:val="00B771DD"/>
    <w:rsid w:val="00B77354"/>
    <w:rsid w:val="00B777DE"/>
    <w:rsid w:val="00B777E0"/>
    <w:rsid w:val="00B77C11"/>
    <w:rsid w:val="00B80329"/>
    <w:rsid w:val="00B80362"/>
    <w:rsid w:val="00B803E9"/>
    <w:rsid w:val="00B81241"/>
    <w:rsid w:val="00B81504"/>
    <w:rsid w:val="00B81605"/>
    <w:rsid w:val="00B8166E"/>
    <w:rsid w:val="00B818A4"/>
    <w:rsid w:val="00B81B28"/>
    <w:rsid w:val="00B81B8A"/>
    <w:rsid w:val="00B81D63"/>
    <w:rsid w:val="00B81E00"/>
    <w:rsid w:val="00B81E54"/>
    <w:rsid w:val="00B81FCC"/>
    <w:rsid w:val="00B82148"/>
    <w:rsid w:val="00B823AC"/>
    <w:rsid w:val="00B82451"/>
    <w:rsid w:val="00B82852"/>
    <w:rsid w:val="00B82976"/>
    <w:rsid w:val="00B829A5"/>
    <w:rsid w:val="00B82B12"/>
    <w:rsid w:val="00B82C95"/>
    <w:rsid w:val="00B830DD"/>
    <w:rsid w:val="00B83227"/>
    <w:rsid w:val="00B833F4"/>
    <w:rsid w:val="00B836DD"/>
    <w:rsid w:val="00B83BDC"/>
    <w:rsid w:val="00B843F4"/>
    <w:rsid w:val="00B845DD"/>
    <w:rsid w:val="00B846D0"/>
    <w:rsid w:val="00B84824"/>
    <w:rsid w:val="00B8496A"/>
    <w:rsid w:val="00B84BAB"/>
    <w:rsid w:val="00B84D0B"/>
    <w:rsid w:val="00B84F90"/>
    <w:rsid w:val="00B851AE"/>
    <w:rsid w:val="00B851BA"/>
    <w:rsid w:val="00B8558B"/>
    <w:rsid w:val="00B861B5"/>
    <w:rsid w:val="00B861FB"/>
    <w:rsid w:val="00B863E2"/>
    <w:rsid w:val="00B8649C"/>
    <w:rsid w:val="00B8663E"/>
    <w:rsid w:val="00B866C2"/>
    <w:rsid w:val="00B866FB"/>
    <w:rsid w:val="00B86732"/>
    <w:rsid w:val="00B869C9"/>
    <w:rsid w:val="00B86DAC"/>
    <w:rsid w:val="00B86E13"/>
    <w:rsid w:val="00B8701F"/>
    <w:rsid w:val="00B9052C"/>
    <w:rsid w:val="00B90547"/>
    <w:rsid w:val="00B90814"/>
    <w:rsid w:val="00B90A07"/>
    <w:rsid w:val="00B90C7F"/>
    <w:rsid w:val="00B91110"/>
    <w:rsid w:val="00B91430"/>
    <w:rsid w:val="00B915B4"/>
    <w:rsid w:val="00B9170E"/>
    <w:rsid w:val="00B918DA"/>
    <w:rsid w:val="00B91EE3"/>
    <w:rsid w:val="00B92255"/>
    <w:rsid w:val="00B92748"/>
    <w:rsid w:val="00B927F0"/>
    <w:rsid w:val="00B92D0B"/>
    <w:rsid w:val="00B92F8C"/>
    <w:rsid w:val="00B930AB"/>
    <w:rsid w:val="00B9423A"/>
    <w:rsid w:val="00B94506"/>
    <w:rsid w:val="00B945B6"/>
    <w:rsid w:val="00B9475B"/>
    <w:rsid w:val="00B94945"/>
    <w:rsid w:val="00B951D6"/>
    <w:rsid w:val="00B953B8"/>
    <w:rsid w:val="00B95AD5"/>
    <w:rsid w:val="00B95E2D"/>
    <w:rsid w:val="00B95FD1"/>
    <w:rsid w:val="00B96272"/>
    <w:rsid w:val="00B96304"/>
    <w:rsid w:val="00B96AAB"/>
    <w:rsid w:val="00B96C7C"/>
    <w:rsid w:val="00B96E9B"/>
    <w:rsid w:val="00B97018"/>
    <w:rsid w:val="00B970AB"/>
    <w:rsid w:val="00B971EB"/>
    <w:rsid w:val="00B97440"/>
    <w:rsid w:val="00B9767F"/>
    <w:rsid w:val="00B976D6"/>
    <w:rsid w:val="00B97C56"/>
    <w:rsid w:val="00BA1158"/>
    <w:rsid w:val="00BA170C"/>
    <w:rsid w:val="00BA19EC"/>
    <w:rsid w:val="00BA1BCA"/>
    <w:rsid w:val="00BA1CBA"/>
    <w:rsid w:val="00BA1CC2"/>
    <w:rsid w:val="00BA1D11"/>
    <w:rsid w:val="00BA1E00"/>
    <w:rsid w:val="00BA216A"/>
    <w:rsid w:val="00BA22D2"/>
    <w:rsid w:val="00BA234B"/>
    <w:rsid w:val="00BA2F37"/>
    <w:rsid w:val="00BA37AD"/>
    <w:rsid w:val="00BA3B4E"/>
    <w:rsid w:val="00BA3F1A"/>
    <w:rsid w:val="00BA44E8"/>
    <w:rsid w:val="00BA4580"/>
    <w:rsid w:val="00BA48C8"/>
    <w:rsid w:val="00BA4A5B"/>
    <w:rsid w:val="00BA4C22"/>
    <w:rsid w:val="00BA4E28"/>
    <w:rsid w:val="00BA524D"/>
    <w:rsid w:val="00BA53DA"/>
    <w:rsid w:val="00BA5C88"/>
    <w:rsid w:val="00BA6009"/>
    <w:rsid w:val="00BA63B8"/>
    <w:rsid w:val="00BA63CA"/>
    <w:rsid w:val="00BA6BA7"/>
    <w:rsid w:val="00BA7445"/>
    <w:rsid w:val="00BA7470"/>
    <w:rsid w:val="00BA75D2"/>
    <w:rsid w:val="00BA7A8C"/>
    <w:rsid w:val="00BB00F9"/>
    <w:rsid w:val="00BB0817"/>
    <w:rsid w:val="00BB098E"/>
    <w:rsid w:val="00BB0E57"/>
    <w:rsid w:val="00BB10E3"/>
    <w:rsid w:val="00BB133D"/>
    <w:rsid w:val="00BB1A7E"/>
    <w:rsid w:val="00BB24D7"/>
    <w:rsid w:val="00BB2917"/>
    <w:rsid w:val="00BB29A7"/>
    <w:rsid w:val="00BB2A40"/>
    <w:rsid w:val="00BB2D7D"/>
    <w:rsid w:val="00BB2EC9"/>
    <w:rsid w:val="00BB2F51"/>
    <w:rsid w:val="00BB312C"/>
    <w:rsid w:val="00BB3494"/>
    <w:rsid w:val="00BB3B02"/>
    <w:rsid w:val="00BB3D01"/>
    <w:rsid w:val="00BB3F32"/>
    <w:rsid w:val="00BB4401"/>
    <w:rsid w:val="00BB48A0"/>
    <w:rsid w:val="00BB4F81"/>
    <w:rsid w:val="00BB4F8D"/>
    <w:rsid w:val="00BB525D"/>
    <w:rsid w:val="00BB5E1B"/>
    <w:rsid w:val="00BB5F29"/>
    <w:rsid w:val="00BB616A"/>
    <w:rsid w:val="00BB62E0"/>
    <w:rsid w:val="00BB62E1"/>
    <w:rsid w:val="00BB6345"/>
    <w:rsid w:val="00BB648C"/>
    <w:rsid w:val="00BB64E7"/>
    <w:rsid w:val="00BB6789"/>
    <w:rsid w:val="00BB6B74"/>
    <w:rsid w:val="00BB6C36"/>
    <w:rsid w:val="00BB6DEB"/>
    <w:rsid w:val="00BB7068"/>
    <w:rsid w:val="00BB7405"/>
    <w:rsid w:val="00BB7957"/>
    <w:rsid w:val="00BB7D35"/>
    <w:rsid w:val="00BC00AD"/>
    <w:rsid w:val="00BC068D"/>
    <w:rsid w:val="00BC0930"/>
    <w:rsid w:val="00BC09E5"/>
    <w:rsid w:val="00BC0A24"/>
    <w:rsid w:val="00BC0B8B"/>
    <w:rsid w:val="00BC0C7F"/>
    <w:rsid w:val="00BC1537"/>
    <w:rsid w:val="00BC1906"/>
    <w:rsid w:val="00BC19DB"/>
    <w:rsid w:val="00BC1A6A"/>
    <w:rsid w:val="00BC1EF8"/>
    <w:rsid w:val="00BC1F41"/>
    <w:rsid w:val="00BC1F70"/>
    <w:rsid w:val="00BC2023"/>
    <w:rsid w:val="00BC213A"/>
    <w:rsid w:val="00BC2416"/>
    <w:rsid w:val="00BC286F"/>
    <w:rsid w:val="00BC2B53"/>
    <w:rsid w:val="00BC2B6B"/>
    <w:rsid w:val="00BC2C7B"/>
    <w:rsid w:val="00BC2D78"/>
    <w:rsid w:val="00BC30F6"/>
    <w:rsid w:val="00BC3661"/>
    <w:rsid w:val="00BC3E8B"/>
    <w:rsid w:val="00BC3F62"/>
    <w:rsid w:val="00BC4722"/>
    <w:rsid w:val="00BC4792"/>
    <w:rsid w:val="00BC48DE"/>
    <w:rsid w:val="00BC48E2"/>
    <w:rsid w:val="00BC49E0"/>
    <w:rsid w:val="00BC4BFF"/>
    <w:rsid w:val="00BC578F"/>
    <w:rsid w:val="00BC5848"/>
    <w:rsid w:val="00BC5AF1"/>
    <w:rsid w:val="00BC5B08"/>
    <w:rsid w:val="00BC6697"/>
    <w:rsid w:val="00BC6877"/>
    <w:rsid w:val="00BC6996"/>
    <w:rsid w:val="00BC69DE"/>
    <w:rsid w:val="00BC73CF"/>
    <w:rsid w:val="00BC79B7"/>
    <w:rsid w:val="00BC7A50"/>
    <w:rsid w:val="00BC7A5B"/>
    <w:rsid w:val="00BC7DA0"/>
    <w:rsid w:val="00BC7DD7"/>
    <w:rsid w:val="00BC7E64"/>
    <w:rsid w:val="00BD03A6"/>
    <w:rsid w:val="00BD03D0"/>
    <w:rsid w:val="00BD0489"/>
    <w:rsid w:val="00BD0518"/>
    <w:rsid w:val="00BD060F"/>
    <w:rsid w:val="00BD0668"/>
    <w:rsid w:val="00BD072D"/>
    <w:rsid w:val="00BD07C2"/>
    <w:rsid w:val="00BD0869"/>
    <w:rsid w:val="00BD09B2"/>
    <w:rsid w:val="00BD0AE2"/>
    <w:rsid w:val="00BD1212"/>
    <w:rsid w:val="00BD1381"/>
    <w:rsid w:val="00BD13AF"/>
    <w:rsid w:val="00BD186B"/>
    <w:rsid w:val="00BD2898"/>
    <w:rsid w:val="00BD2DC1"/>
    <w:rsid w:val="00BD3407"/>
    <w:rsid w:val="00BD35A8"/>
    <w:rsid w:val="00BD3A86"/>
    <w:rsid w:val="00BD3AC1"/>
    <w:rsid w:val="00BD4155"/>
    <w:rsid w:val="00BD4891"/>
    <w:rsid w:val="00BD4B67"/>
    <w:rsid w:val="00BD5353"/>
    <w:rsid w:val="00BD5CA5"/>
    <w:rsid w:val="00BD5DB7"/>
    <w:rsid w:val="00BD5EC6"/>
    <w:rsid w:val="00BD5F08"/>
    <w:rsid w:val="00BD6008"/>
    <w:rsid w:val="00BD6110"/>
    <w:rsid w:val="00BD62B4"/>
    <w:rsid w:val="00BD67AC"/>
    <w:rsid w:val="00BD6A66"/>
    <w:rsid w:val="00BD6CF3"/>
    <w:rsid w:val="00BD7976"/>
    <w:rsid w:val="00BE0520"/>
    <w:rsid w:val="00BE0560"/>
    <w:rsid w:val="00BE07E0"/>
    <w:rsid w:val="00BE07F6"/>
    <w:rsid w:val="00BE08A9"/>
    <w:rsid w:val="00BE0910"/>
    <w:rsid w:val="00BE0DEA"/>
    <w:rsid w:val="00BE0F22"/>
    <w:rsid w:val="00BE1390"/>
    <w:rsid w:val="00BE1A35"/>
    <w:rsid w:val="00BE2180"/>
    <w:rsid w:val="00BE2286"/>
    <w:rsid w:val="00BE2398"/>
    <w:rsid w:val="00BE2A55"/>
    <w:rsid w:val="00BE3122"/>
    <w:rsid w:val="00BE336A"/>
    <w:rsid w:val="00BE33F2"/>
    <w:rsid w:val="00BE3700"/>
    <w:rsid w:val="00BE38FB"/>
    <w:rsid w:val="00BE3D98"/>
    <w:rsid w:val="00BE3FDE"/>
    <w:rsid w:val="00BE4006"/>
    <w:rsid w:val="00BE4011"/>
    <w:rsid w:val="00BE4080"/>
    <w:rsid w:val="00BE4275"/>
    <w:rsid w:val="00BE4705"/>
    <w:rsid w:val="00BE4D01"/>
    <w:rsid w:val="00BE5087"/>
    <w:rsid w:val="00BE5356"/>
    <w:rsid w:val="00BE58ED"/>
    <w:rsid w:val="00BE59CA"/>
    <w:rsid w:val="00BE5AFA"/>
    <w:rsid w:val="00BE5E17"/>
    <w:rsid w:val="00BE5FF3"/>
    <w:rsid w:val="00BE68AF"/>
    <w:rsid w:val="00BE6BFD"/>
    <w:rsid w:val="00BE6CE4"/>
    <w:rsid w:val="00BE6D78"/>
    <w:rsid w:val="00BE6DB3"/>
    <w:rsid w:val="00BE6F64"/>
    <w:rsid w:val="00BE721B"/>
    <w:rsid w:val="00BE76DC"/>
    <w:rsid w:val="00BE7998"/>
    <w:rsid w:val="00BE7D87"/>
    <w:rsid w:val="00BF0367"/>
    <w:rsid w:val="00BF0558"/>
    <w:rsid w:val="00BF06CC"/>
    <w:rsid w:val="00BF0C28"/>
    <w:rsid w:val="00BF0D74"/>
    <w:rsid w:val="00BF0E3F"/>
    <w:rsid w:val="00BF0FDB"/>
    <w:rsid w:val="00BF10FB"/>
    <w:rsid w:val="00BF11E0"/>
    <w:rsid w:val="00BF18B8"/>
    <w:rsid w:val="00BF1A37"/>
    <w:rsid w:val="00BF1C18"/>
    <w:rsid w:val="00BF1F6A"/>
    <w:rsid w:val="00BF2013"/>
    <w:rsid w:val="00BF204A"/>
    <w:rsid w:val="00BF2109"/>
    <w:rsid w:val="00BF21FE"/>
    <w:rsid w:val="00BF2404"/>
    <w:rsid w:val="00BF2433"/>
    <w:rsid w:val="00BF2A7F"/>
    <w:rsid w:val="00BF2C09"/>
    <w:rsid w:val="00BF3130"/>
    <w:rsid w:val="00BF3BEF"/>
    <w:rsid w:val="00BF3D98"/>
    <w:rsid w:val="00BF41FC"/>
    <w:rsid w:val="00BF441D"/>
    <w:rsid w:val="00BF444F"/>
    <w:rsid w:val="00BF44F8"/>
    <w:rsid w:val="00BF5B01"/>
    <w:rsid w:val="00BF5BC0"/>
    <w:rsid w:val="00BF5CAE"/>
    <w:rsid w:val="00BF5ED0"/>
    <w:rsid w:val="00BF5F8E"/>
    <w:rsid w:val="00BF6044"/>
    <w:rsid w:val="00BF61B1"/>
    <w:rsid w:val="00BF61C9"/>
    <w:rsid w:val="00BF6365"/>
    <w:rsid w:val="00BF64EA"/>
    <w:rsid w:val="00BF7066"/>
    <w:rsid w:val="00BF767A"/>
    <w:rsid w:val="00BF785A"/>
    <w:rsid w:val="00C0012C"/>
    <w:rsid w:val="00C002B7"/>
    <w:rsid w:val="00C00491"/>
    <w:rsid w:val="00C006E8"/>
    <w:rsid w:val="00C007C0"/>
    <w:rsid w:val="00C009BD"/>
    <w:rsid w:val="00C00D1A"/>
    <w:rsid w:val="00C0113E"/>
    <w:rsid w:val="00C011BF"/>
    <w:rsid w:val="00C014F8"/>
    <w:rsid w:val="00C014FA"/>
    <w:rsid w:val="00C016DD"/>
    <w:rsid w:val="00C01F41"/>
    <w:rsid w:val="00C02240"/>
    <w:rsid w:val="00C023C6"/>
    <w:rsid w:val="00C025C0"/>
    <w:rsid w:val="00C02B9F"/>
    <w:rsid w:val="00C02ED8"/>
    <w:rsid w:val="00C031BE"/>
    <w:rsid w:val="00C033D9"/>
    <w:rsid w:val="00C034EA"/>
    <w:rsid w:val="00C036D2"/>
    <w:rsid w:val="00C03F81"/>
    <w:rsid w:val="00C0434D"/>
    <w:rsid w:val="00C044EA"/>
    <w:rsid w:val="00C04C79"/>
    <w:rsid w:val="00C0530B"/>
    <w:rsid w:val="00C053CA"/>
    <w:rsid w:val="00C054B6"/>
    <w:rsid w:val="00C05C0E"/>
    <w:rsid w:val="00C05CF4"/>
    <w:rsid w:val="00C05E96"/>
    <w:rsid w:val="00C05EF6"/>
    <w:rsid w:val="00C06766"/>
    <w:rsid w:val="00C0714A"/>
    <w:rsid w:val="00C07286"/>
    <w:rsid w:val="00C07750"/>
    <w:rsid w:val="00C07C02"/>
    <w:rsid w:val="00C07E09"/>
    <w:rsid w:val="00C10882"/>
    <w:rsid w:val="00C10A2E"/>
    <w:rsid w:val="00C11101"/>
    <w:rsid w:val="00C11592"/>
    <w:rsid w:val="00C118B3"/>
    <w:rsid w:val="00C11D00"/>
    <w:rsid w:val="00C123A1"/>
    <w:rsid w:val="00C12484"/>
    <w:rsid w:val="00C12724"/>
    <w:rsid w:val="00C12B88"/>
    <w:rsid w:val="00C142F5"/>
    <w:rsid w:val="00C14ACD"/>
    <w:rsid w:val="00C1527D"/>
    <w:rsid w:val="00C152EB"/>
    <w:rsid w:val="00C15430"/>
    <w:rsid w:val="00C15A17"/>
    <w:rsid w:val="00C15B75"/>
    <w:rsid w:val="00C1620F"/>
    <w:rsid w:val="00C163A8"/>
    <w:rsid w:val="00C170B5"/>
    <w:rsid w:val="00C17760"/>
    <w:rsid w:val="00C17C38"/>
    <w:rsid w:val="00C2009E"/>
    <w:rsid w:val="00C2076B"/>
    <w:rsid w:val="00C20A2A"/>
    <w:rsid w:val="00C2105B"/>
    <w:rsid w:val="00C211CA"/>
    <w:rsid w:val="00C21233"/>
    <w:rsid w:val="00C2135B"/>
    <w:rsid w:val="00C21454"/>
    <w:rsid w:val="00C21738"/>
    <w:rsid w:val="00C21739"/>
    <w:rsid w:val="00C225CC"/>
    <w:rsid w:val="00C22621"/>
    <w:rsid w:val="00C2298A"/>
    <w:rsid w:val="00C22E45"/>
    <w:rsid w:val="00C22FC5"/>
    <w:rsid w:val="00C23A75"/>
    <w:rsid w:val="00C240F8"/>
    <w:rsid w:val="00C2466A"/>
    <w:rsid w:val="00C2490B"/>
    <w:rsid w:val="00C24B59"/>
    <w:rsid w:val="00C24EE9"/>
    <w:rsid w:val="00C24F2B"/>
    <w:rsid w:val="00C25012"/>
    <w:rsid w:val="00C25131"/>
    <w:rsid w:val="00C251B7"/>
    <w:rsid w:val="00C25418"/>
    <w:rsid w:val="00C2561F"/>
    <w:rsid w:val="00C256D8"/>
    <w:rsid w:val="00C25896"/>
    <w:rsid w:val="00C25D9C"/>
    <w:rsid w:val="00C264FE"/>
    <w:rsid w:val="00C2662E"/>
    <w:rsid w:val="00C272B7"/>
    <w:rsid w:val="00C272E4"/>
    <w:rsid w:val="00C2769E"/>
    <w:rsid w:val="00C27889"/>
    <w:rsid w:val="00C27BC4"/>
    <w:rsid w:val="00C27D17"/>
    <w:rsid w:val="00C27ED9"/>
    <w:rsid w:val="00C27F06"/>
    <w:rsid w:val="00C27F2F"/>
    <w:rsid w:val="00C300BE"/>
    <w:rsid w:val="00C3010B"/>
    <w:rsid w:val="00C30143"/>
    <w:rsid w:val="00C30690"/>
    <w:rsid w:val="00C30964"/>
    <w:rsid w:val="00C30BB7"/>
    <w:rsid w:val="00C30E2E"/>
    <w:rsid w:val="00C30F9E"/>
    <w:rsid w:val="00C3114D"/>
    <w:rsid w:val="00C31649"/>
    <w:rsid w:val="00C31CDB"/>
    <w:rsid w:val="00C320F3"/>
    <w:rsid w:val="00C32345"/>
    <w:rsid w:val="00C32989"/>
    <w:rsid w:val="00C32C14"/>
    <w:rsid w:val="00C32EE4"/>
    <w:rsid w:val="00C333F3"/>
    <w:rsid w:val="00C3356F"/>
    <w:rsid w:val="00C33646"/>
    <w:rsid w:val="00C33701"/>
    <w:rsid w:val="00C3375A"/>
    <w:rsid w:val="00C33AC0"/>
    <w:rsid w:val="00C33BB8"/>
    <w:rsid w:val="00C33E98"/>
    <w:rsid w:val="00C33FE7"/>
    <w:rsid w:val="00C34023"/>
    <w:rsid w:val="00C34145"/>
    <w:rsid w:val="00C341D1"/>
    <w:rsid w:val="00C342C3"/>
    <w:rsid w:val="00C3445B"/>
    <w:rsid w:val="00C34895"/>
    <w:rsid w:val="00C354BC"/>
    <w:rsid w:val="00C35613"/>
    <w:rsid w:val="00C35AA3"/>
    <w:rsid w:val="00C35D07"/>
    <w:rsid w:val="00C366ED"/>
    <w:rsid w:val="00C367F9"/>
    <w:rsid w:val="00C36D92"/>
    <w:rsid w:val="00C370CE"/>
    <w:rsid w:val="00C370E5"/>
    <w:rsid w:val="00C3710D"/>
    <w:rsid w:val="00C37740"/>
    <w:rsid w:val="00C37787"/>
    <w:rsid w:val="00C3790C"/>
    <w:rsid w:val="00C40385"/>
    <w:rsid w:val="00C406D1"/>
    <w:rsid w:val="00C407BB"/>
    <w:rsid w:val="00C40AC8"/>
    <w:rsid w:val="00C40C5F"/>
    <w:rsid w:val="00C40C79"/>
    <w:rsid w:val="00C40DA6"/>
    <w:rsid w:val="00C40EA8"/>
    <w:rsid w:val="00C4171B"/>
    <w:rsid w:val="00C418CD"/>
    <w:rsid w:val="00C41D8B"/>
    <w:rsid w:val="00C41E48"/>
    <w:rsid w:val="00C41EAF"/>
    <w:rsid w:val="00C4241A"/>
    <w:rsid w:val="00C429B4"/>
    <w:rsid w:val="00C431B1"/>
    <w:rsid w:val="00C43364"/>
    <w:rsid w:val="00C434EE"/>
    <w:rsid w:val="00C4364E"/>
    <w:rsid w:val="00C44462"/>
    <w:rsid w:val="00C4457D"/>
    <w:rsid w:val="00C447F2"/>
    <w:rsid w:val="00C448D0"/>
    <w:rsid w:val="00C44C44"/>
    <w:rsid w:val="00C44D57"/>
    <w:rsid w:val="00C44DD4"/>
    <w:rsid w:val="00C44E6C"/>
    <w:rsid w:val="00C45724"/>
    <w:rsid w:val="00C45E29"/>
    <w:rsid w:val="00C4614D"/>
    <w:rsid w:val="00C466B7"/>
    <w:rsid w:val="00C467F9"/>
    <w:rsid w:val="00C46B8B"/>
    <w:rsid w:val="00C46F0D"/>
    <w:rsid w:val="00C47AB4"/>
    <w:rsid w:val="00C47CD8"/>
    <w:rsid w:val="00C507CB"/>
    <w:rsid w:val="00C50F87"/>
    <w:rsid w:val="00C51315"/>
    <w:rsid w:val="00C5289A"/>
    <w:rsid w:val="00C528C7"/>
    <w:rsid w:val="00C52A38"/>
    <w:rsid w:val="00C52BFC"/>
    <w:rsid w:val="00C52D0D"/>
    <w:rsid w:val="00C53FF9"/>
    <w:rsid w:val="00C5431C"/>
    <w:rsid w:val="00C54779"/>
    <w:rsid w:val="00C54816"/>
    <w:rsid w:val="00C54B38"/>
    <w:rsid w:val="00C54BC5"/>
    <w:rsid w:val="00C5512C"/>
    <w:rsid w:val="00C55323"/>
    <w:rsid w:val="00C553A0"/>
    <w:rsid w:val="00C55573"/>
    <w:rsid w:val="00C55593"/>
    <w:rsid w:val="00C558DD"/>
    <w:rsid w:val="00C55CEA"/>
    <w:rsid w:val="00C55E68"/>
    <w:rsid w:val="00C56100"/>
    <w:rsid w:val="00C56407"/>
    <w:rsid w:val="00C56503"/>
    <w:rsid w:val="00C56AAB"/>
    <w:rsid w:val="00C56D3C"/>
    <w:rsid w:val="00C56DB9"/>
    <w:rsid w:val="00C57124"/>
    <w:rsid w:val="00C57422"/>
    <w:rsid w:val="00C574D8"/>
    <w:rsid w:val="00C57BAD"/>
    <w:rsid w:val="00C57D53"/>
    <w:rsid w:val="00C57D68"/>
    <w:rsid w:val="00C57F1B"/>
    <w:rsid w:val="00C602C8"/>
    <w:rsid w:val="00C60404"/>
    <w:rsid w:val="00C60DE0"/>
    <w:rsid w:val="00C61094"/>
    <w:rsid w:val="00C61541"/>
    <w:rsid w:val="00C61979"/>
    <w:rsid w:val="00C61BAD"/>
    <w:rsid w:val="00C61C98"/>
    <w:rsid w:val="00C61ECD"/>
    <w:rsid w:val="00C6201A"/>
    <w:rsid w:val="00C623B0"/>
    <w:rsid w:val="00C62436"/>
    <w:rsid w:val="00C62AD4"/>
    <w:rsid w:val="00C63AAB"/>
    <w:rsid w:val="00C6453E"/>
    <w:rsid w:val="00C64D9A"/>
    <w:rsid w:val="00C64F1B"/>
    <w:rsid w:val="00C6514D"/>
    <w:rsid w:val="00C6518D"/>
    <w:rsid w:val="00C651B0"/>
    <w:rsid w:val="00C65488"/>
    <w:rsid w:val="00C65576"/>
    <w:rsid w:val="00C655E3"/>
    <w:rsid w:val="00C65A77"/>
    <w:rsid w:val="00C66165"/>
    <w:rsid w:val="00C662EA"/>
    <w:rsid w:val="00C666E6"/>
    <w:rsid w:val="00C666F5"/>
    <w:rsid w:val="00C66B73"/>
    <w:rsid w:val="00C66CF3"/>
    <w:rsid w:val="00C66D03"/>
    <w:rsid w:val="00C66D3E"/>
    <w:rsid w:val="00C66FC5"/>
    <w:rsid w:val="00C67142"/>
    <w:rsid w:val="00C67184"/>
    <w:rsid w:val="00C676CE"/>
    <w:rsid w:val="00C67990"/>
    <w:rsid w:val="00C6799E"/>
    <w:rsid w:val="00C67A08"/>
    <w:rsid w:val="00C7008B"/>
    <w:rsid w:val="00C700AE"/>
    <w:rsid w:val="00C70514"/>
    <w:rsid w:val="00C70840"/>
    <w:rsid w:val="00C70AE3"/>
    <w:rsid w:val="00C70C5A"/>
    <w:rsid w:val="00C70DF4"/>
    <w:rsid w:val="00C7119F"/>
    <w:rsid w:val="00C7121F"/>
    <w:rsid w:val="00C7130F"/>
    <w:rsid w:val="00C71B0D"/>
    <w:rsid w:val="00C71D38"/>
    <w:rsid w:val="00C7213C"/>
    <w:rsid w:val="00C72931"/>
    <w:rsid w:val="00C72CA0"/>
    <w:rsid w:val="00C72D05"/>
    <w:rsid w:val="00C72D6C"/>
    <w:rsid w:val="00C72FBC"/>
    <w:rsid w:val="00C73A03"/>
    <w:rsid w:val="00C73CD2"/>
    <w:rsid w:val="00C74057"/>
    <w:rsid w:val="00C7405D"/>
    <w:rsid w:val="00C742C3"/>
    <w:rsid w:val="00C74561"/>
    <w:rsid w:val="00C74D4A"/>
    <w:rsid w:val="00C74F38"/>
    <w:rsid w:val="00C74FF9"/>
    <w:rsid w:val="00C750C8"/>
    <w:rsid w:val="00C75817"/>
    <w:rsid w:val="00C75A80"/>
    <w:rsid w:val="00C75AE7"/>
    <w:rsid w:val="00C75C6B"/>
    <w:rsid w:val="00C75F16"/>
    <w:rsid w:val="00C762DD"/>
    <w:rsid w:val="00C76440"/>
    <w:rsid w:val="00C76760"/>
    <w:rsid w:val="00C769F7"/>
    <w:rsid w:val="00C76F8B"/>
    <w:rsid w:val="00C772E1"/>
    <w:rsid w:val="00C77990"/>
    <w:rsid w:val="00C779BE"/>
    <w:rsid w:val="00C77ACC"/>
    <w:rsid w:val="00C77AE9"/>
    <w:rsid w:val="00C77C73"/>
    <w:rsid w:val="00C77CE8"/>
    <w:rsid w:val="00C77D38"/>
    <w:rsid w:val="00C802F1"/>
    <w:rsid w:val="00C8047F"/>
    <w:rsid w:val="00C80D57"/>
    <w:rsid w:val="00C80FEC"/>
    <w:rsid w:val="00C811B9"/>
    <w:rsid w:val="00C81DE1"/>
    <w:rsid w:val="00C81EAC"/>
    <w:rsid w:val="00C82134"/>
    <w:rsid w:val="00C8213F"/>
    <w:rsid w:val="00C825C1"/>
    <w:rsid w:val="00C829CE"/>
    <w:rsid w:val="00C82A1C"/>
    <w:rsid w:val="00C82DD6"/>
    <w:rsid w:val="00C8309C"/>
    <w:rsid w:val="00C83175"/>
    <w:rsid w:val="00C83935"/>
    <w:rsid w:val="00C83BA6"/>
    <w:rsid w:val="00C83C51"/>
    <w:rsid w:val="00C843C4"/>
    <w:rsid w:val="00C84612"/>
    <w:rsid w:val="00C84683"/>
    <w:rsid w:val="00C846E3"/>
    <w:rsid w:val="00C8477E"/>
    <w:rsid w:val="00C84839"/>
    <w:rsid w:val="00C852E8"/>
    <w:rsid w:val="00C8553E"/>
    <w:rsid w:val="00C85D9E"/>
    <w:rsid w:val="00C8600C"/>
    <w:rsid w:val="00C86235"/>
    <w:rsid w:val="00C863BB"/>
    <w:rsid w:val="00C8662A"/>
    <w:rsid w:val="00C86D4D"/>
    <w:rsid w:val="00C86EDC"/>
    <w:rsid w:val="00C871E7"/>
    <w:rsid w:val="00C876B2"/>
    <w:rsid w:val="00C8797A"/>
    <w:rsid w:val="00C87B98"/>
    <w:rsid w:val="00C87DC2"/>
    <w:rsid w:val="00C90527"/>
    <w:rsid w:val="00C906D9"/>
    <w:rsid w:val="00C909E2"/>
    <w:rsid w:val="00C9125F"/>
    <w:rsid w:val="00C912C5"/>
    <w:rsid w:val="00C919C5"/>
    <w:rsid w:val="00C91BF6"/>
    <w:rsid w:val="00C91E56"/>
    <w:rsid w:val="00C92255"/>
    <w:rsid w:val="00C929F5"/>
    <w:rsid w:val="00C9328E"/>
    <w:rsid w:val="00C93751"/>
    <w:rsid w:val="00C938CF"/>
    <w:rsid w:val="00C93B6C"/>
    <w:rsid w:val="00C93F30"/>
    <w:rsid w:val="00C9405E"/>
    <w:rsid w:val="00C94AC3"/>
    <w:rsid w:val="00C94E37"/>
    <w:rsid w:val="00C94FEC"/>
    <w:rsid w:val="00C950C5"/>
    <w:rsid w:val="00C9555B"/>
    <w:rsid w:val="00C9580A"/>
    <w:rsid w:val="00C9581C"/>
    <w:rsid w:val="00C95C6C"/>
    <w:rsid w:val="00C95E67"/>
    <w:rsid w:val="00C9626B"/>
    <w:rsid w:val="00C96329"/>
    <w:rsid w:val="00C9683E"/>
    <w:rsid w:val="00C9713C"/>
    <w:rsid w:val="00C97382"/>
    <w:rsid w:val="00C97696"/>
    <w:rsid w:val="00C97A4D"/>
    <w:rsid w:val="00C97B61"/>
    <w:rsid w:val="00C97FDA"/>
    <w:rsid w:val="00CA05DA"/>
    <w:rsid w:val="00CA07AF"/>
    <w:rsid w:val="00CA0B31"/>
    <w:rsid w:val="00CA0CA0"/>
    <w:rsid w:val="00CA0E1E"/>
    <w:rsid w:val="00CA0FB2"/>
    <w:rsid w:val="00CA1109"/>
    <w:rsid w:val="00CA1684"/>
    <w:rsid w:val="00CA1715"/>
    <w:rsid w:val="00CA1966"/>
    <w:rsid w:val="00CA20E6"/>
    <w:rsid w:val="00CA230E"/>
    <w:rsid w:val="00CA238B"/>
    <w:rsid w:val="00CA329A"/>
    <w:rsid w:val="00CA35C4"/>
    <w:rsid w:val="00CA391C"/>
    <w:rsid w:val="00CA3B29"/>
    <w:rsid w:val="00CA3C97"/>
    <w:rsid w:val="00CA4046"/>
    <w:rsid w:val="00CA408F"/>
    <w:rsid w:val="00CA43D8"/>
    <w:rsid w:val="00CA4BDD"/>
    <w:rsid w:val="00CA4D6E"/>
    <w:rsid w:val="00CA4DBC"/>
    <w:rsid w:val="00CA5245"/>
    <w:rsid w:val="00CA526F"/>
    <w:rsid w:val="00CA5689"/>
    <w:rsid w:val="00CA59BB"/>
    <w:rsid w:val="00CA5D0E"/>
    <w:rsid w:val="00CA603B"/>
    <w:rsid w:val="00CA632D"/>
    <w:rsid w:val="00CA643E"/>
    <w:rsid w:val="00CA6A4D"/>
    <w:rsid w:val="00CA6B23"/>
    <w:rsid w:val="00CA6B3B"/>
    <w:rsid w:val="00CA6C3C"/>
    <w:rsid w:val="00CA6DA1"/>
    <w:rsid w:val="00CA7493"/>
    <w:rsid w:val="00CA778B"/>
    <w:rsid w:val="00CA790C"/>
    <w:rsid w:val="00CA7B09"/>
    <w:rsid w:val="00CA7C6C"/>
    <w:rsid w:val="00CB04AF"/>
    <w:rsid w:val="00CB176C"/>
    <w:rsid w:val="00CB191C"/>
    <w:rsid w:val="00CB1B9C"/>
    <w:rsid w:val="00CB1EB2"/>
    <w:rsid w:val="00CB21E0"/>
    <w:rsid w:val="00CB21F6"/>
    <w:rsid w:val="00CB2290"/>
    <w:rsid w:val="00CB2349"/>
    <w:rsid w:val="00CB2B9A"/>
    <w:rsid w:val="00CB37AA"/>
    <w:rsid w:val="00CB385F"/>
    <w:rsid w:val="00CB3AF9"/>
    <w:rsid w:val="00CB3C76"/>
    <w:rsid w:val="00CB3DBB"/>
    <w:rsid w:val="00CB42F2"/>
    <w:rsid w:val="00CB48AA"/>
    <w:rsid w:val="00CB4D86"/>
    <w:rsid w:val="00CB59AA"/>
    <w:rsid w:val="00CB5B1A"/>
    <w:rsid w:val="00CB5DE7"/>
    <w:rsid w:val="00CB609A"/>
    <w:rsid w:val="00CB645E"/>
    <w:rsid w:val="00CB64BF"/>
    <w:rsid w:val="00CB6770"/>
    <w:rsid w:val="00CB6885"/>
    <w:rsid w:val="00CB6A15"/>
    <w:rsid w:val="00CB6A23"/>
    <w:rsid w:val="00CB6F0E"/>
    <w:rsid w:val="00CB6F9D"/>
    <w:rsid w:val="00CB70AA"/>
    <w:rsid w:val="00CB79A9"/>
    <w:rsid w:val="00CB7A56"/>
    <w:rsid w:val="00CB7C41"/>
    <w:rsid w:val="00CC00C5"/>
    <w:rsid w:val="00CC01E6"/>
    <w:rsid w:val="00CC0659"/>
    <w:rsid w:val="00CC06D3"/>
    <w:rsid w:val="00CC0A74"/>
    <w:rsid w:val="00CC0D47"/>
    <w:rsid w:val="00CC14D4"/>
    <w:rsid w:val="00CC15A9"/>
    <w:rsid w:val="00CC1A20"/>
    <w:rsid w:val="00CC1E32"/>
    <w:rsid w:val="00CC22F6"/>
    <w:rsid w:val="00CC25E7"/>
    <w:rsid w:val="00CC2683"/>
    <w:rsid w:val="00CC2A54"/>
    <w:rsid w:val="00CC2B7A"/>
    <w:rsid w:val="00CC2E6E"/>
    <w:rsid w:val="00CC324F"/>
    <w:rsid w:val="00CC3706"/>
    <w:rsid w:val="00CC39FE"/>
    <w:rsid w:val="00CC4092"/>
    <w:rsid w:val="00CC45F6"/>
    <w:rsid w:val="00CC462F"/>
    <w:rsid w:val="00CC4A1E"/>
    <w:rsid w:val="00CC5022"/>
    <w:rsid w:val="00CC5331"/>
    <w:rsid w:val="00CC5394"/>
    <w:rsid w:val="00CC5798"/>
    <w:rsid w:val="00CC5F33"/>
    <w:rsid w:val="00CC6089"/>
    <w:rsid w:val="00CC670C"/>
    <w:rsid w:val="00CC6BD4"/>
    <w:rsid w:val="00CC6CDF"/>
    <w:rsid w:val="00CC6F9B"/>
    <w:rsid w:val="00CC7063"/>
    <w:rsid w:val="00CC71E9"/>
    <w:rsid w:val="00CD03C3"/>
    <w:rsid w:val="00CD0955"/>
    <w:rsid w:val="00CD0EA4"/>
    <w:rsid w:val="00CD1372"/>
    <w:rsid w:val="00CD1444"/>
    <w:rsid w:val="00CD14ED"/>
    <w:rsid w:val="00CD17F7"/>
    <w:rsid w:val="00CD19C9"/>
    <w:rsid w:val="00CD19FB"/>
    <w:rsid w:val="00CD2322"/>
    <w:rsid w:val="00CD23E3"/>
    <w:rsid w:val="00CD24B5"/>
    <w:rsid w:val="00CD26CD"/>
    <w:rsid w:val="00CD2DEC"/>
    <w:rsid w:val="00CD3A24"/>
    <w:rsid w:val="00CD3C62"/>
    <w:rsid w:val="00CD3EEB"/>
    <w:rsid w:val="00CD4043"/>
    <w:rsid w:val="00CD4801"/>
    <w:rsid w:val="00CD4A78"/>
    <w:rsid w:val="00CD4AA1"/>
    <w:rsid w:val="00CD4AF1"/>
    <w:rsid w:val="00CD4C5F"/>
    <w:rsid w:val="00CD4E21"/>
    <w:rsid w:val="00CD4E6D"/>
    <w:rsid w:val="00CD52C7"/>
    <w:rsid w:val="00CD57B3"/>
    <w:rsid w:val="00CD5A1B"/>
    <w:rsid w:val="00CD6168"/>
    <w:rsid w:val="00CD62B6"/>
    <w:rsid w:val="00CD6698"/>
    <w:rsid w:val="00CD67AB"/>
    <w:rsid w:val="00CD6933"/>
    <w:rsid w:val="00CD6ADC"/>
    <w:rsid w:val="00CD6BB3"/>
    <w:rsid w:val="00CD6DAC"/>
    <w:rsid w:val="00CD73DF"/>
    <w:rsid w:val="00CD78A5"/>
    <w:rsid w:val="00CD7A09"/>
    <w:rsid w:val="00CD7E66"/>
    <w:rsid w:val="00CE010A"/>
    <w:rsid w:val="00CE021E"/>
    <w:rsid w:val="00CE0276"/>
    <w:rsid w:val="00CE083F"/>
    <w:rsid w:val="00CE18A2"/>
    <w:rsid w:val="00CE18DA"/>
    <w:rsid w:val="00CE25A2"/>
    <w:rsid w:val="00CE25ED"/>
    <w:rsid w:val="00CE2649"/>
    <w:rsid w:val="00CE27CE"/>
    <w:rsid w:val="00CE3420"/>
    <w:rsid w:val="00CE34F0"/>
    <w:rsid w:val="00CE3933"/>
    <w:rsid w:val="00CE3976"/>
    <w:rsid w:val="00CE3B67"/>
    <w:rsid w:val="00CE3F23"/>
    <w:rsid w:val="00CE41A4"/>
    <w:rsid w:val="00CE41EE"/>
    <w:rsid w:val="00CE436B"/>
    <w:rsid w:val="00CE45BC"/>
    <w:rsid w:val="00CE4937"/>
    <w:rsid w:val="00CE4A2B"/>
    <w:rsid w:val="00CE4E45"/>
    <w:rsid w:val="00CE5132"/>
    <w:rsid w:val="00CE5339"/>
    <w:rsid w:val="00CE5678"/>
    <w:rsid w:val="00CE5768"/>
    <w:rsid w:val="00CE588D"/>
    <w:rsid w:val="00CE595A"/>
    <w:rsid w:val="00CE5D56"/>
    <w:rsid w:val="00CE5EE2"/>
    <w:rsid w:val="00CE6251"/>
    <w:rsid w:val="00CE6274"/>
    <w:rsid w:val="00CE644C"/>
    <w:rsid w:val="00CE72D6"/>
    <w:rsid w:val="00CE7D24"/>
    <w:rsid w:val="00CE7FE5"/>
    <w:rsid w:val="00CF0E31"/>
    <w:rsid w:val="00CF11CE"/>
    <w:rsid w:val="00CF1657"/>
    <w:rsid w:val="00CF174F"/>
    <w:rsid w:val="00CF17F2"/>
    <w:rsid w:val="00CF1A6D"/>
    <w:rsid w:val="00CF1BB3"/>
    <w:rsid w:val="00CF1F31"/>
    <w:rsid w:val="00CF1F8C"/>
    <w:rsid w:val="00CF279C"/>
    <w:rsid w:val="00CF29BE"/>
    <w:rsid w:val="00CF2E32"/>
    <w:rsid w:val="00CF313F"/>
    <w:rsid w:val="00CF3839"/>
    <w:rsid w:val="00CF3BA2"/>
    <w:rsid w:val="00CF3CBA"/>
    <w:rsid w:val="00CF3CC3"/>
    <w:rsid w:val="00CF3F4D"/>
    <w:rsid w:val="00CF439A"/>
    <w:rsid w:val="00CF43DC"/>
    <w:rsid w:val="00CF456B"/>
    <w:rsid w:val="00CF4758"/>
    <w:rsid w:val="00CF4FF0"/>
    <w:rsid w:val="00CF5285"/>
    <w:rsid w:val="00CF52EC"/>
    <w:rsid w:val="00CF5853"/>
    <w:rsid w:val="00CF58F7"/>
    <w:rsid w:val="00CF5A22"/>
    <w:rsid w:val="00CF5E2C"/>
    <w:rsid w:val="00CF661C"/>
    <w:rsid w:val="00CF67D4"/>
    <w:rsid w:val="00CF6924"/>
    <w:rsid w:val="00CF7176"/>
    <w:rsid w:val="00CF7289"/>
    <w:rsid w:val="00CF7672"/>
    <w:rsid w:val="00CF769B"/>
    <w:rsid w:val="00CF76FB"/>
    <w:rsid w:val="00CF7896"/>
    <w:rsid w:val="00CF7BCE"/>
    <w:rsid w:val="00CF7CA5"/>
    <w:rsid w:val="00CF7EE3"/>
    <w:rsid w:val="00D001AA"/>
    <w:rsid w:val="00D002C6"/>
    <w:rsid w:val="00D0050C"/>
    <w:rsid w:val="00D0060D"/>
    <w:rsid w:val="00D00A02"/>
    <w:rsid w:val="00D00A8D"/>
    <w:rsid w:val="00D00B48"/>
    <w:rsid w:val="00D00FC5"/>
    <w:rsid w:val="00D01706"/>
    <w:rsid w:val="00D01CA6"/>
    <w:rsid w:val="00D01D26"/>
    <w:rsid w:val="00D020A7"/>
    <w:rsid w:val="00D0262E"/>
    <w:rsid w:val="00D02902"/>
    <w:rsid w:val="00D02D1B"/>
    <w:rsid w:val="00D034C8"/>
    <w:rsid w:val="00D03794"/>
    <w:rsid w:val="00D038C0"/>
    <w:rsid w:val="00D03945"/>
    <w:rsid w:val="00D039DF"/>
    <w:rsid w:val="00D03B0F"/>
    <w:rsid w:val="00D03D9E"/>
    <w:rsid w:val="00D0441D"/>
    <w:rsid w:val="00D04FC4"/>
    <w:rsid w:val="00D0535A"/>
    <w:rsid w:val="00D05774"/>
    <w:rsid w:val="00D05984"/>
    <w:rsid w:val="00D06224"/>
    <w:rsid w:val="00D06520"/>
    <w:rsid w:val="00D065E6"/>
    <w:rsid w:val="00D06C27"/>
    <w:rsid w:val="00D06CD9"/>
    <w:rsid w:val="00D06E37"/>
    <w:rsid w:val="00D06F04"/>
    <w:rsid w:val="00D0750B"/>
    <w:rsid w:val="00D07A5B"/>
    <w:rsid w:val="00D1011E"/>
    <w:rsid w:val="00D101BC"/>
    <w:rsid w:val="00D102AD"/>
    <w:rsid w:val="00D10432"/>
    <w:rsid w:val="00D1071C"/>
    <w:rsid w:val="00D10726"/>
    <w:rsid w:val="00D10834"/>
    <w:rsid w:val="00D10A31"/>
    <w:rsid w:val="00D10BFB"/>
    <w:rsid w:val="00D10C0B"/>
    <w:rsid w:val="00D10C61"/>
    <w:rsid w:val="00D1108E"/>
    <w:rsid w:val="00D110BD"/>
    <w:rsid w:val="00D110C4"/>
    <w:rsid w:val="00D1114B"/>
    <w:rsid w:val="00D11734"/>
    <w:rsid w:val="00D117E6"/>
    <w:rsid w:val="00D119A1"/>
    <w:rsid w:val="00D11A7D"/>
    <w:rsid w:val="00D11D85"/>
    <w:rsid w:val="00D11DF4"/>
    <w:rsid w:val="00D1207E"/>
    <w:rsid w:val="00D122A3"/>
    <w:rsid w:val="00D1294E"/>
    <w:rsid w:val="00D12A90"/>
    <w:rsid w:val="00D13731"/>
    <w:rsid w:val="00D13A5A"/>
    <w:rsid w:val="00D13F42"/>
    <w:rsid w:val="00D14202"/>
    <w:rsid w:val="00D1459D"/>
    <w:rsid w:val="00D14891"/>
    <w:rsid w:val="00D148B3"/>
    <w:rsid w:val="00D14B8E"/>
    <w:rsid w:val="00D14CED"/>
    <w:rsid w:val="00D14D29"/>
    <w:rsid w:val="00D14EE2"/>
    <w:rsid w:val="00D15CDB"/>
    <w:rsid w:val="00D15E4F"/>
    <w:rsid w:val="00D15FCF"/>
    <w:rsid w:val="00D161C4"/>
    <w:rsid w:val="00D168CE"/>
    <w:rsid w:val="00D16FD3"/>
    <w:rsid w:val="00D17A6F"/>
    <w:rsid w:val="00D17C0D"/>
    <w:rsid w:val="00D17D6C"/>
    <w:rsid w:val="00D20066"/>
    <w:rsid w:val="00D20104"/>
    <w:rsid w:val="00D20B51"/>
    <w:rsid w:val="00D20CB4"/>
    <w:rsid w:val="00D20DFF"/>
    <w:rsid w:val="00D20E2B"/>
    <w:rsid w:val="00D20F33"/>
    <w:rsid w:val="00D21765"/>
    <w:rsid w:val="00D21802"/>
    <w:rsid w:val="00D21862"/>
    <w:rsid w:val="00D2223C"/>
    <w:rsid w:val="00D22270"/>
    <w:rsid w:val="00D22EA8"/>
    <w:rsid w:val="00D22FF2"/>
    <w:rsid w:val="00D231BB"/>
    <w:rsid w:val="00D2326E"/>
    <w:rsid w:val="00D2391E"/>
    <w:rsid w:val="00D23D8D"/>
    <w:rsid w:val="00D24A67"/>
    <w:rsid w:val="00D24BBF"/>
    <w:rsid w:val="00D24D02"/>
    <w:rsid w:val="00D24EF5"/>
    <w:rsid w:val="00D25200"/>
    <w:rsid w:val="00D2532D"/>
    <w:rsid w:val="00D2545C"/>
    <w:rsid w:val="00D25AEF"/>
    <w:rsid w:val="00D26918"/>
    <w:rsid w:val="00D26CCF"/>
    <w:rsid w:val="00D26E1F"/>
    <w:rsid w:val="00D26E5A"/>
    <w:rsid w:val="00D272D0"/>
    <w:rsid w:val="00D274F3"/>
    <w:rsid w:val="00D274FC"/>
    <w:rsid w:val="00D2750C"/>
    <w:rsid w:val="00D27741"/>
    <w:rsid w:val="00D27D34"/>
    <w:rsid w:val="00D30133"/>
    <w:rsid w:val="00D30428"/>
    <w:rsid w:val="00D309FF"/>
    <w:rsid w:val="00D30CD5"/>
    <w:rsid w:val="00D30DCF"/>
    <w:rsid w:val="00D310FC"/>
    <w:rsid w:val="00D3182B"/>
    <w:rsid w:val="00D31B1E"/>
    <w:rsid w:val="00D31EC3"/>
    <w:rsid w:val="00D31ECF"/>
    <w:rsid w:val="00D31FEC"/>
    <w:rsid w:val="00D32056"/>
    <w:rsid w:val="00D3223D"/>
    <w:rsid w:val="00D3230C"/>
    <w:rsid w:val="00D32888"/>
    <w:rsid w:val="00D32EC8"/>
    <w:rsid w:val="00D32F0E"/>
    <w:rsid w:val="00D33657"/>
    <w:rsid w:val="00D3375A"/>
    <w:rsid w:val="00D33EC9"/>
    <w:rsid w:val="00D3424F"/>
    <w:rsid w:val="00D345CE"/>
    <w:rsid w:val="00D34AFC"/>
    <w:rsid w:val="00D34B45"/>
    <w:rsid w:val="00D34F84"/>
    <w:rsid w:val="00D35131"/>
    <w:rsid w:val="00D354CC"/>
    <w:rsid w:val="00D3572C"/>
    <w:rsid w:val="00D357FF"/>
    <w:rsid w:val="00D35A7E"/>
    <w:rsid w:val="00D35CC9"/>
    <w:rsid w:val="00D35CDD"/>
    <w:rsid w:val="00D3614B"/>
    <w:rsid w:val="00D36578"/>
    <w:rsid w:val="00D36600"/>
    <w:rsid w:val="00D367B6"/>
    <w:rsid w:val="00D36A9A"/>
    <w:rsid w:val="00D36AD8"/>
    <w:rsid w:val="00D375B2"/>
    <w:rsid w:val="00D3791E"/>
    <w:rsid w:val="00D37920"/>
    <w:rsid w:val="00D37C14"/>
    <w:rsid w:val="00D40294"/>
    <w:rsid w:val="00D4052D"/>
    <w:rsid w:val="00D40D7A"/>
    <w:rsid w:val="00D41189"/>
    <w:rsid w:val="00D41339"/>
    <w:rsid w:val="00D41760"/>
    <w:rsid w:val="00D41A91"/>
    <w:rsid w:val="00D41BBB"/>
    <w:rsid w:val="00D42107"/>
    <w:rsid w:val="00D42281"/>
    <w:rsid w:val="00D42357"/>
    <w:rsid w:val="00D4289F"/>
    <w:rsid w:val="00D43144"/>
    <w:rsid w:val="00D43668"/>
    <w:rsid w:val="00D43D8A"/>
    <w:rsid w:val="00D43E2C"/>
    <w:rsid w:val="00D440A1"/>
    <w:rsid w:val="00D44252"/>
    <w:rsid w:val="00D451AB"/>
    <w:rsid w:val="00D45423"/>
    <w:rsid w:val="00D454FF"/>
    <w:rsid w:val="00D457C4"/>
    <w:rsid w:val="00D45CC7"/>
    <w:rsid w:val="00D45DF2"/>
    <w:rsid w:val="00D46244"/>
    <w:rsid w:val="00D46661"/>
    <w:rsid w:val="00D46BB2"/>
    <w:rsid w:val="00D46C61"/>
    <w:rsid w:val="00D47111"/>
    <w:rsid w:val="00D474D9"/>
    <w:rsid w:val="00D47A39"/>
    <w:rsid w:val="00D50569"/>
    <w:rsid w:val="00D5114A"/>
    <w:rsid w:val="00D51198"/>
    <w:rsid w:val="00D518B8"/>
    <w:rsid w:val="00D51A88"/>
    <w:rsid w:val="00D51C02"/>
    <w:rsid w:val="00D51C81"/>
    <w:rsid w:val="00D51FFE"/>
    <w:rsid w:val="00D521DF"/>
    <w:rsid w:val="00D52708"/>
    <w:rsid w:val="00D52B30"/>
    <w:rsid w:val="00D53444"/>
    <w:rsid w:val="00D53702"/>
    <w:rsid w:val="00D53904"/>
    <w:rsid w:val="00D53A6A"/>
    <w:rsid w:val="00D53CCD"/>
    <w:rsid w:val="00D53D40"/>
    <w:rsid w:val="00D5400B"/>
    <w:rsid w:val="00D548A7"/>
    <w:rsid w:val="00D549ED"/>
    <w:rsid w:val="00D54AE1"/>
    <w:rsid w:val="00D54DAF"/>
    <w:rsid w:val="00D54ED6"/>
    <w:rsid w:val="00D55067"/>
    <w:rsid w:val="00D552F8"/>
    <w:rsid w:val="00D553D2"/>
    <w:rsid w:val="00D55B09"/>
    <w:rsid w:val="00D55CBB"/>
    <w:rsid w:val="00D56049"/>
    <w:rsid w:val="00D56A1E"/>
    <w:rsid w:val="00D56E6F"/>
    <w:rsid w:val="00D56EB8"/>
    <w:rsid w:val="00D56EBB"/>
    <w:rsid w:val="00D5794C"/>
    <w:rsid w:val="00D57BE7"/>
    <w:rsid w:val="00D57C68"/>
    <w:rsid w:val="00D57D56"/>
    <w:rsid w:val="00D6004D"/>
    <w:rsid w:val="00D60228"/>
    <w:rsid w:val="00D60263"/>
    <w:rsid w:val="00D6057A"/>
    <w:rsid w:val="00D60643"/>
    <w:rsid w:val="00D606B0"/>
    <w:rsid w:val="00D60976"/>
    <w:rsid w:val="00D617C8"/>
    <w:rsid w:val="00D61CCA"/>
    <w:rsid w:val="00D61EE2"/>
    <w:rsid w:val="00D62126"/>
    <w:rsid w:val="00D62F2A"/>
    <w:rsid w:val="00D62F64"/>
    <w:rsid w:val="00D62FDF"/>
    <w:rsid w:val="00D63229"/>
    <w:rsid w:val="00D634BE"/>
    <w:rsid w:val="00D6351C"/>
    <w:rsid w:val="00D6377D"/>
    <w:rsid w:val="00D63C6F"/>
    <w:rsid w:val="00D63E5D"/>
    <w:rsid w:val="00D63FF8"/>
    <w:rsid w:val="00D64449"/>
    <w:rsid w:val="00D64A12"/>
    <w:rsid w:val="00D64DCA"/>
    <w:rsid w:val="00D65266"/>
    <w:rsid w:val="00D65977"/>
    <w:rsid w:val="00D65B6C"/>
    <w:rsid w:val="00D65F83"/>
    <w:rsid w:val="00D6701F"/>
    <w:rsid w:val="00D671EC"/>
    <w:rsid w:val="00D67581"/>
    <w:rsid w:val="00D67844"/>
    <w:rsid w:val="00D679F0"/>
    <w:rsid w:val="00D67EC2"/>
    <w:rsid w:val="00D70C84"/>
    <w:rsid w:val="00D70EC3"/>
    <w:rsid w:val="00D70F80"/>
    <w:rsid w:val="00D7147E"/>
    <w:rsid w:val="00D71A44"/>
    <w:rsid w:val="00D71B94"/>
    <w:rsid w:val="00D72118"/>
    <w:rsid w:val="00D723D9"/>
    <w:rsid w:val="00D72422"/>
    <w:rsid w:val="00D726CC"/>
    <w:rsid w:val="00D7294B"/>
    <w:rsid w:val="00D72986"/>
    <w:rsid w:val="00D72ED6"/>
    <w:rsid w:val="00D7308F"/>
    <w:rsid w:val="00D731D0"/>
    <w:rsid w:val="00D7338F"/>
    <w:rsid w:val="00D734D3"/>
    <w:rsid w:val="00D735C3"/>
    <w:rsid w:val="00D737B5"/>
    <w:rsid w:val="00D743C2"/>
    <w:rsid w:val="00D74A97"/>
    <w:rsid w:val="00D74D54"/>
    <w:rsid w:val="00D74E66"/>
    <w:rsid w:val="00D74F81"/>
    <w:rsid w:val="00D75285"/>
    <w:rsid w:val="00D75532"/>
    <w:rsid w:val="00D756B7"/>
    <w:rsid w:val="00D75829"/>
    <w:rsid w:val="00D758EC"/>
    <w:rsid w:val="00D75D81"/>
    <w:rsid w:val="00D75F55"/>
    <w:rsid w:val="00D76480"/>
    <w:rsid w:val="00D765A1"/>
    <w:rsid w:val="00D767A3"/>
    <w:rsid w:val="00D76A44"/>
    <w:rsid w:val="00D76AD9"/>
    <w:rsid w:val="00D76D0B"/>
    <w:rsid w:val="00D76EA3"/>
    <w:rsid w:val="00D77845"/>
    <w:rsid w:val="00D7784C"/>
    <w:rsid w:val="00D77919"/>
    <w:rsid w:val="00D77B22"/>
    <w:rsid w:val="00D77B97"/>
    <w:rsid w:val="00D77CD5"/>
    <w:rsid w:val="00D77F7B"/>
    <w:rsid w:val="00D8028E"/>
    <w:rsid w:val="00D8046C"/>
    <w:rsid w:val="00D80705"/>
    <w:rsid w:val="00D809BA"/>
    <w:rsid w:val="00D80E52"/>
    <w:rsid w:val="00D812CE"/>
    <w:rsid w:val="00D813A5"/>
    <w:rsid w:val="00D81655"/>
    <w:rsid w:val="00D81FE7"/>
    <w:rsid w:val="00D83360"/>
    <w:rsid w:val="00D835D8"/>
    <w:rsid w:val="00D8373A"/>
    <w:rsid w:val="00D83B95"/>
    <w:rsid w:val="00D842F8"/>
    <w:rsid w:val="00D8469B"/>
    <w:rsid w:val="00D849F4"/>
    <w:rsid w:val="00D84A00"/>
    <w:rsid w:val="00D858AC"/>
    <w:rsid w:val="00D85F45"/>
    <w:rsid w:val="00D8651E"/>
    <w:rsid w:val="00D8662E"/>
    <w:rsid w:val="00D86C40"/>
    <w:rsid w:val="00D86CC4"/>
    <w:rsid w:val="00D8713A"/>
    <w:rsid w:val="00D8772F"/>
    <w:rsid w:val="00D87974"/>
    <w:rsid w:val="00D87A24"/>
    <w:rsid w:val="00D87E96"/>
    <w:rsid w:val="00D901BF"/>
    <w:rsid w:val="00D911BF"/>
    <w:rsid w:val="00D912AE"/>
    <w:rsid w:val="00D913BE"/>
    <w:rsid w:val="00D913D0"/>
    <w:rsid w:val="00D92088"/>
    <w:rsid w:val="00D9228B"/>
    <w:rsid w:val="00D922C5"/>
    <w:rsid w:val="00D92342"/>
    <w:rsid w:val="00D92455"/>
    <w:rsid w:val="00D93288"/>
    <w:rsid w:val="00D9349E"/>
    <w:rsid w:val="00D9372C"/>
    <w:rsid w:val="00D93753"/>
    <w:rsid w:val="00D9378C"/>
    <w:rsid w:val="00D93A10"/>
    <w:rsid w:val="00D93AAF"/>
    <w:rsid w:val="00D93C2D"/>
    <w:rsid w:val="00D93D9B"/>
    <w:rsid w:val="00D93E13"/>
    <w:rsid w:val="00D94286"/>
    <w:rsid w:val="00D94316"/>
    <w:rsid w:val="00D94465"/>
    <w:rsid w:val="00D947FB"/>
    <w:rsid w:val="00D94A6E"/>
    <w:rsid w:val="00D94AA1"/>
    <w:rsid w:val="00D94B4E"/>
    <w:rsid w:val="00D94D41"/>
    <w:rsid w:val="00D95956"/>
    <w:rsid w:val="00D959AF"/>
    <w:rsid w:val="00D9639C"/>
    <w:rsid w:val="00D96442"/>
    <w:rsid w:val="00D96E8B"/>
    <w:rsid w:val="00D97627"/>
    <w:rsid w:val="00D976F8"/>
    <w:rsid w:val="00D978EA"/>
    <w:rsid w:val="00D97BFF"/>
    <w:rsid w:val="00D97C7C"/>
    <w:rsid w:val="00D97E9E"/>
    <w:rsid w:val="00DA01B7"/>
    <w:rsid w:val="00DA03C7"/>
    <w:rsid w:val="00DA0D27"/>
    <w:rsid w:val="00DA12A4"/>
    <w:rsid w:val="00DA1382"/>
    <w:rsid w:val="00DA1540"/>
    <w:rsid w:val="00DA163D"/>
    <w:rsid w:val="00DA1DA9"/>
    <w:rsid w:val="00DA1E63"/>
    <w:rsid w:val="00DA2109"/>
    <w:rsid w:val="00DA30C5"/>
    <w:rsid w:val="00DA35EA"/>
    <w:rsid w:val="00DA3CBA"/>
    <w:rsid w:val="00DA3E00"/>
    <w:rsid w:val="00DA3EEE"/>
    <w:rsid w:val="00DA4421"/>
    <w:rsid w:val="00DA4454"/>
    <w:rsid w:val="00DA44FF"/>
    <w:rsid w:val="00DA5379"/>
    <w:rsid w:val="00DA59E8"/>
    <w:rsid w:val="00DA60B0"/>
    <w:rsid w:val="00DA6189"/>
    <w:rsid w:val="00DA6888"/>
    <w:rsid w:val="00DA6B06"/>
    <w:rsid w:val="00DA77A5"/>
    <w:rsid w:val="00DA7984"/>
    <w:rsid w:val="00DB0176"/>
    <w:rsid w:val="00DB0B3F"/>
    <w:rsid w:val="00DB0E65"/>
    <w:rsid w:val="00DB0E94"/>
    <w:rsid w:val="00DB0F74"/>
    <w:rsid w:val="00DB128D"/>
    <w:rsid w:val="00DB1761"/>
    <w:rsid w:val="00DB1927"/>
    <w:rsid w:val="00DB1A48"/>
    <w:rsid w:val="00DB1AF7"/>
    <w:rsid w:val="00DB1D1D"/>
    <w:rsid w:val="00DB202D"/>
    <w:rsid w:val="00DB2458"/>
    <w:rsid w:val="00DB25BE"/>
    <w:rsid w:val="00DB2603"/>
    <w:rsid w:val="00DB26B1"/>
    <w:rsid w:val="00DB2E83"/>
    <w:rsid w:val="00DB2F6B"/>
    <w:rsid w:val="00DB39A4"/>
    <w:rsid w:val="00DB3DCC"/>
    <w:rsid w:val="00DB3E7A"/>
    <w:rsid w:val="00DB4125"/>
    <w:rsid w:val="00DB42FE"/>
    <w:rsid w:val="00DB4749"/>
    <w:rsid w:val="00DB4918"/>
    <w:rsid w:val="00DB4A6B"/>
    <w:rsid w:val="00DB4AC7"/>
    <w:rsid w:val="00DB4B8C"/>
    <w:rsid w:val="00DB4D28"/>
    <w:rsid w:val="00DB4D2C"/>
    <w:rsid w:val="00DB4EA5"/>
    <w:rsid w:val="00DB4FDA"/>
    <w:rsid w:val="00DB508F"/>
    <w:rsid w:val="00DB53DE"/>
    <w:rsid w:val="00DB58F8"/>
    <w:rsid w:val="00DB5AD6"/>
    <w:rsid w:val="00DB642E"/>
    <w:rsid w:val="00DB72F4"/>
    <w:rsid w:val="00DB76B9"/>
    <w:rsid w:val="00DB7BD9"/>
    <w:rsid w:val="00DB7D61"/>
    <w:rsid w:val="00DC0512"/>
    <w:rsid w:val="00DC0D90"/>
    <w:rsid w:val="00DC1093"/>
    <w:rsid w:val="00DC1550"/>
    <w:rsid w:val="00DC19C3"/>
    <w:rsid w:val="00DC1F8D"/>
    <w:rsid w:val="00DC2372"/>
    <w:rsid w:val="00DC2959"/>
    <w:rsid w:val="00DC2AD3"/>
    <w:rsid w:val="00DC2C54"/>
    <w:rsid w:val="00DC2D30"/>
    <w:rsid w:val="00DC2D9C"/>
    <w:rsid w:val="00DC35B6"/>
    <w:rsid w:val="00DC3938"/>
    <w:rsid w:val="00DC3CE0"/>
    <w:rsid w:val="00DC3FE0"/>
    <w:rsid w:val="00DC43FC"/>
    <w:rsid w:val="00DC444E"/>
    <w:rsid w:val="00DC459B"/>
    <w:rsid w:val="00DC4629"/>
    <w:rsid w:val="00DC4AFE"/>
    <w:rsid w:val="00DC4F27"/>
    <w:rsid w:val="00DC5142"/>
    <w:rsid w:val="00DC5501"/>
    <w:rsid w:val="00DC58D9"/>
    <w:rsid w:val="00DC5E80"/>
    <w:rsid w:val="00DC6190"/>
    <w:rsid w:val="00DC699E"/>
    <w:rsid w:val="00DC6E7F"/>
    <w:rsid w:val="00DC6FAD"/>
    <w:rsid w:val="00DC7A08"/>
    <w:rsid w:val="00DD0066"/>
    <w:rsid w:val="00DD019D"/>
    <w:rsid w:val="00DD0304"/>
    <w:rsid w:val="00DD0790"/>
    <w:rsid w:val="00DD093A"/>
    <w:rsid w:val="00DD0A51"/>
    <w:rsid w:val="00DD0D0F"/>
    <w:rsid w:val="00DD0D63"/>
    <w:rsid w:val="00DD0DE7"/>
    <w:rsid w:val="00DD116D"/>
    <w:rsid w:val="00DD15E1"/>
    <w:rsid w:val="00DD1BA1"/>
    <w:rsid w:val="00DD20A5"/>
    <w:rsid w:val="00DD23FA"/>
    <w:rsid w:val="00DD27B4"/>
    <w:rsid w:val="00DD2F41"/>
    <w:rsid w:val="00DD3644"/>
    <w:rsid w:val="00DD3B0F"/>
    <w:rsid w:val="00DD3B23"/>
    <w:rsid w:val="00DD3C29"/>
    <w:rsid w:val="00DD3D08"/>
    <w:rsid w:val="00DD3F28"/>
    <w:rsid w:val="00DD4000"/>
    <w:rsid w:val="00DD4471"/>
    <w:rsid w:val="00DD4537"/>
    <w:rsid w:val="00DD476B"/>
    <w:rsid w:val="00DD49AF"/>
    <w:rsid w:val="00DD4E15"/>
    <w:rsid w:val="00DD5381"/>
    <w:rsid w:val="00DD568A"/>
    <w:rsid w:val="00DD59A0"/>
    <w:rsid w:val="00DD5B67"/>
    <w:rsid w:val="00DD702D"/>
    <w:rsid w:val="00DD7057"/>
    <w:rsid w:val="00DD7078"/>
    <w:rsid w:val="00DD766C"/>
    <w:rsid w:val="00DD76B0"/>
    <w:rsid w:val="00DD7D3B"/>
    <w:rsid w:val="00DD7D57"/>
    <w:rsid w:val="00DD7FF3"/>
    <w:rsid w:val="00DE0293"/>
    <w:rsid w:val="00DE06ED"/>
    <w:rsid w:val="00DE0E4B"/>
    <w:rsid w:val="00DE13AD"/>
    <w:rsid w:val="00DE1DEB"/>
    <w:rsid w:val="00DE1E4C"/>
    <w:rsid w:val="00DE1E56"/>
    <w:rsid w:val="00DE245B"/>
    <w:rsid w:val="00DE2589"/>
    <w:rsid w:val="00DE26E4"/>
    <w:rsid w:val="00DE2F9F"/>
    <w:rsid w:val="00DE33B7"/>
    <w:rsid w:val="00DE3777"/>
    <w:rsid w:val="00DE3B47"/>
    <w:rsid w:val="00DE3CCF"/>
    <w:rsid w:val="00DE3E56"/>
    <w:rsid w:val="00DE400C"/>
    <w:rsid w:val="00DE41C8"/>
    <w:rsid w:val="00DE4726"/>
    <w:rsid w:val="00DE4FCB"/>
    <w:rsid w:val="00DE5129"/>
    <w:rsid w:val="00DE583A"/>
    <w:rsid w:val="00DE5AAC"/>
    <w:rsid w:val="00DE5F13"/>
    <w:rsid w:val="00DE6054"/>
    <w:rsid w:val="00DE6329"/>
    <w:rsid w:val="00DE651F"/>
    <w:rsid w:val="00DE662D"/>
    <w:rsid w:val="00DE6697"/>
    <w:rsid w:val="00DE69B5"/>
    <w:rsid w:val="00DE6AB8"/>
    <w:rsid w:val="00DE72CF"/>
    <w:rsid w:val="00DE7B3C"/>
    <w:rsid w:val="00DE7EB6"/>
    <w:rsid w:val="00DE7FA7"/>
    <w:rsid w:val="00DF00D7"/>
    <w:rsid w:val="00DF0290"/>
    <w:rsid w:val="00DF0351"/>
    <w:rsid w:val="00DF09D7"/>
    <w:rsid w:val="00DF17D7"/>
    <w:rsid w:val="00DF32C8"/>
    <w:rsid w:val="00DF332F"/>
    <w:rsid w:val="00DF34E1"/>
    <w:rsid w:val="00DF3502"/>
    <w:rsid w:val="00DF411F"/>
    <w:rsid w:val="00DF4A8D"/>
    <w:rsid w:val="00DF4CF2"/>
    <w:rsid w:val="00DF4F06"/>
    <w:rsid w:val="00DF5420"/>
    <w:rsid w:val="00DF56ED"/>
    <w:rsid w:val="00DF595D"/>
    <w:rsid w:val="00DF5CFD"/>
    <w:rsid w:val="00DF5D2B"/>
    <w:rsid w:val="00DF5FDF"/>
    <w:rsid w:val="00DF61FB"/>
    <w:rsid w:val="00DF67F9"/>
    <w:rsid w:val="00DF6A79"/>
    <w:rsid w:val="00DF6C7D"/>
    <w:rsid w:val="00DF6EFC"/>
    <w:rsid w:val="00DF6F35"/>
    <w:rsid w:val="00DF6FA1"/>
    <w:rsid w:val="00DF704B"/>
    <w:rsid w:val="00DF735A"/>
    <w:rsid w:val="00DF76DB"/>
    <w:rsid w:val="00DF77D3"/>
    <w:rsid w:val="00DF78DF"/>
    <w:rsid w:val="00DF79B8"/>
    <w:rsid w:val="00DF79C1"/>
    <w:rsid w:val="00DF7BBA"/>
    <w:rsid w:val="00DF7BC7"/>
    <w:rsid w:val="00DF7FE0"/>
    <w:rsid w:val="00E00012"/>
    <w:rsid w:val="00E0003B"/>
    <w:rsid w:val="00E003DA"/>
    <w:rsid w:val="00E00484"/>
    <w:rsid w:val="00E00575"/>
    <w:rsid w:val="00E005D9"/>
    <w:rsid w:val="00E00660"/>
    <w:rsid w:val="00E006BC"/>
    <w:rsid w:val="00E00DD4"/>
    <w:rsid w:val="00E01785"/>
    <w:rsid w:val="00E01927"/>
    <w:rsid w:val="00E01A1E"/>
    <w:rsid w:val="00E01B07"/>
    <w:rsid w:val="00E01B09"/>
    <w:rsid w:val="00E01C10"/>
    <w:rsid w:val="00E01EE3"/>
    <w:rsid w:val="00E025E2"/>
    <w:rsid w:val="00E02646"/>
    <w:rsid w:val="00E028B2"/>
    <w:rsid w:val="00E028B5"/>
    <w:rsid w:val="00E02AFC"/>
    <w:rsid w:val="00E02EB3"/>
    <w:rsid w:val="00E035FB"/>
    <w:rsid w:val="00E03A1B"/>
    <w:rsid w:val="00E03AC0"/>
    <w:rsid w:val="00E03FC4"/>
    <w:rsid w:val="00E04229"/>
    <w:rsid w:val="00E04443"/>
    <w:rsid w:val="00E04B4C"/>
    <w:rsid w:val="00E04E90"/>
    <w:rsid w:val="00E05324"/>
    <w:rsid w:val="00E05425"/>
    <w:rsid w:val="00E05768"/>
    <w:rsid w:val="00E0580A"/>
    <w:rsid w:val="00E058CD"/>
    <w:rsid w:val="00E06160"/>
    <w:rsid w:val="00E063B9"/>
    <w:rsid w:val="00E06544"/>
    <w:rsid w:val="00E06697"/>
    <w:rsid w:val="00E0674B"/>
    <w:rsid w:val="00E06C48"/>
    <w:rsid w:val="00E070F0"/>
    <w:rsid w:val="00E071B0"/>
    <w:rsid w:val="00E0751B"/>
    <w:rsid w:val="00E07862"/>
    <w:rsid w:val="00E079D1"/>
    <w:rsid w:val="00E07A04"/>
    <w:rsid w:val="00E07C58"/>
    <w:rsid w:val="00E07E9A"/>
    <w:rsid w:val="00E10149"/>
    <w:rsid w:val="00E10B45"/>
    <w:rsid w:val="00E10FAF"/>
    <w:rsid w:val="00E11060"/>
    <w:rsid w:val="00E11194"/>
    <w:rsid w:val="00E12360"/>
    <w:rsid w:val="00E128D2"/>
    <w:rsid w:val="00E132F3"/>
    <w:rsid w:val="00E13421"/>
    <w:rsid w:val="00E13791"/>
    <w:rsid w:val="00E13E09"/>
    <w:rsid w:val="00E14090"/>
    <w:rsid w:val="00E14165"/>
    <w:rsid w:val="00E14478"/>
    <w:rsid w:val="00E14969"/>
    <w:rsid w:val="00E14987"/>
    <w:rsid w:val="00E14E8A"/>
    <w:rsid w:val="00E1511A"/>
    <w:rsid w:val="00E152B6"/>
    <w:rsid w:val="00E1614A"/>
    <w:rsid w:val="00E16371"/>
    <w:rsid w:val="00E16372"/>
    <w:rsid w:val="00E1651F"/>
    <w:rsid w:val="00E16E7C"/>
    <w:rsid w:val="00E17308"/>
    <w:rsid w:val="00E17B8E"/>
    <w:rsid w:val="00E17BF6"/>
    <w:rsid w:val="00E20171"/>
    <w:rsid w:val="00E202C3"/>
    <w:rsid w:val="00E20445"/>
    <w:rsid w:val="00E20570"/>
    <w:rsid w:val="00E20B00"/>
    <w:rsid w:val="00E20C17"/>
    <w:rsid w:val="00E20D6A"/>
    <w:rsid w:val="00E20ED6"/>
    <w:rsid w:val="00E20F7F"/>
    <w:rsid w:val="00E21358"/>
    <w:rsid w:val="00E21574"/>
    <w:rsid w:val="00E215A6"/>
    <w:rsid w:val="00E218A0"/>
    <w:rsid w:val="00E21B2D"/>
    <w:rsid w:val="00E21E46"/>
    <w:rsid w:val="00E22170"/>
    <w:rsid w:val="00E2236B"/>
    <w:rsid w:val="00E2249B"/>
    <w:rsid w:val="00E22642"/>
    <w:rsid w:val="00E22722"/>
    <w:rsid w:val="00E22A0D"/>
    <w:rsid w:val="00E22D0E"/>
    <w:rsid w:val="00E233AE"/>
    <w:rsid w:val="00E2377A"/>
    <w:rsid w:val="00E23C34"/>
    <w:rsid w:val="00E23E5D"/>
    <w:rsid w:val="00E23F5B"/>
    <w:rsid w:val="00E2456D"/>
    <w:rsid w:val="00E245A5"/>
    <w:rsid w:val="00E246B3"/>
    <w:rsid w:val="00E24E98"/>
    <w:rsid w:val="00E24FFE"/>
    <w:rsid w:val="00E258B6"/>
    <w:rsid w:val="00E258D9"/>
    <w:rsid w:val="00E25D9F"/>
    <w:rsid w:val="00E25F1B"/>
    <w:rsid w:val="00E26267"/>
    <w:rsid w:val="00E26541"/>
    <w:rsid w:val="00E26736"/>
    <w:rsid w:val="00E26857"/>
    <w:rsid w:val="00E2686B"/>
    <w:rsid w:val="00E26A0D"/>
    <w:rsid w:val="00E26B13"/>
    <w:rsid w:val="00E2707F"/>
    <w:rsid w:val="00E2722A"/>
    <w:rsid w:val="00E274D0"/>
    <w:rsid w:val="00E27586"/>
    <w:rsid w:val="00E275C0"/>
    <w:rsid w:val="00E275C8"/>
    <w:rsid w:val="00E2771E"/>
    <w:rsid w:val="00E27B73"/>
    <w:rsid w:val="00E27D64"/>
    <w:rsid w:val="00E303F7"/>
    <w:rsid w:val="00E304CF"/>
    <w:rsid w:val="00E30EA9"/>
    <w:rsid w:val="00E30F31"/>
    <w:rsid w:val="00E31850"/>
    <w:rsid w:val="00E31886"/>
    <w:rsid w:val="00E31965"/>
    <w:rsid w:val="00E31AA5"/>
    <w:rsid w:val="00E31CE9"/>
    <w:rsid w:val="00E32137"/>
    <w:rsid w:val="00E325F2"/>
    <w:rsid w:val="00E32A28"/>
    <w:rsid w:val="00E32A40"/>
    <w:rsid w:val="00E32B80"/>
    <w:rsid w:val="00E32BD0"/>
    <w:rsid w:val="00E32D9D"/>
    <w:rsid w:val="00E32ECA"/>
    <w:rsid w:val="00E331AA"/>
    <w:rsid w:val="00E3340A"/>
    <w:rsid w:val="00E335AD"/>
    <w:rsid w:val="00E33CD9"/>
    <w:rsid w:val="00E33ED6"/>
    <w:rsid w:val="00E33F01"/>
    <w:rsid w:val="00E34059"/>
    <w:rsid w:val="00E341E3"/>
    <w:rsid w:val="00E34315"/>
    <w:rsid w:val="00E3462F"/>
    <w:rsid w:val="00E353C7"/>
    <w:rsid w:val="00E35972"/>
    <w:rsid w:val="00E35D81"/>
    <w:rsid w:val="00E36936"/>
    <w:rsid w:val="00E36ACA"/>
    <w:rsid w:val="00E36FB0"/>
    <w:rsid w:val="00E3738E"/>
    <w:rsid w:val="00E37438"/>
    <w:rsid w:val="00E37469"/>
    <w:rsid w:val="00E37569"/>
    <w:rsid w:val="00E37597"/>
    <w:rsid w:val="00E379F9"/>
    <w:rsid w:val="00E37A44"/>
    <w:rsid w:val="00E37CF0"/>
    <w:rsid w:val="00E40264"/>
    <w:rsid w:val="00E403E4"/>
    <w:rsid w:val="00E407B3"/>
    <w:rsid w:val="00E407D8"/>
    <w:rsid w:val="00E40C1E"/>
    <w:rsid w:val="00E416BF"/>
    <w:rsid w:val="00E41D4D"/>
    <w:rsid w:val="00E41E30"/>
    <w:rsid w:val="00E41EA2"/>
    <w:rsid w:val="00E41FD9"/>
    <w:rsid w:val="00E420B0"/>
    <w:rsid w:val="00E42890"/>
    <w:rsid w:val="00E42CF4"/>
    <w:rsid w:val="00E42FC1"/>
    <w:rsid w:val="00E43BC8"/>
    <w:rsid w:val="00E43CAE"/>
    <w:rsid w:val="00E43D70"/>
    <w:rsid w:val="00E444C6"/>
    <w:rsid w:val="00E4454E"/>
    <w:rsid w:val="00E44B41"/>
    <w:rsid w:val="00E45060"/>
    <w:rsid w:val="00E45556"/>
    <w:rsid w:val="00E45714"/>
    <w:rsid w:val="00E45FF9"/>
    <w:rsid w:val="00E4609D"/>
    <w:rsid w:val="00E460FA"/>
    <w:rsid w:val="00E46A7E"/>
    <w:rsid w:val="00E46F02"/>
    <w:rsid w:val="00E47280"/>
    <w:rsid w:val="00E472B1"/>
    <w:rsid w:val="00E475CD"/>
    <w:rsid w:val="00E478D7"/>
    <w:rsid w:val="00E47B2C"/>
    <w:rsid w:val="00E5034B"/>
    <w:rsid w:val="00E504A4"/>
    <w:rsid w:val="00E506A3"/>
    <w:rsid w:val="00E50DB7"/>
    <w:rsid w:val="00E513D4"/>
    <w:rsid w:val="00E51560"/>
    <w:rsid w:val="00E51CC6"/>
    <w:rsid w:val="00E51D6F"/>
    <w:rsid w:val="00E51ED9"/>
    <w:rsid w:val="00E52182"/>
    <w:rsid w:val="00E5236D"/>
    <w:rsid w:val="00E523A1"/>
    <w:rsid w:val="00E52BEE"/>
    <w:rsid w:val="00E52DD9"/>
    <w:rsid w:val="00E53D97"/>
    <w:rsid w:val="00E53E3A"/>
    <w:rsid w:val="00E54525"/>
    <w:rsid w:val="00E54702"/>
    <w:rsid w:val="00E54B18"/>
    <w:rsid w:val="00E552E2"/>
    <w:rsid w:val="00E55424"/>
    <w:rsid w:val="00E55BB5"/>
    <w:rsid w:val="00E56821"/>
    <w:rsid w:val="00E56BAD"/>
    <w:rsid w:val="00E56CB1"/>
    <w:rsid w:val="00E57295"/>
    <w:rsid w:val="00E57542"/>
    <w:rsid w:val="00E57C28"/>
    <w:rsid w:val="00E57CA0"/>
    <w:rsid w:val="00E6037C"/>
    <w:rsid w:val="00E603DA"/>
    <w:rsid w:val="00E60468"/>
    <w:rsid w:val="00E6049C"/>
    <w:rsid w:val="00E605F9"/>
    <w:rsid w:val="00E608C4"/>
    <w:rsid w:val="00E60BEC"/>
    <w:rsid w:val="00E60DAE"/>
    <w:rsid w:val="00E60E15"/>
    <w:rsid w:val="00E61311"/>
    <w:rsid w:val="00E6144E"/>
    <w:rsid w:val="00E6165E"/>
    <w:rsid w:val="00E6169E"/>
    <w:rsid w:val="00E61719"/>
    <w:rsid w:val="00E61892"/>
    <w:rsid w:val="00E61A1D"/>
    <w:rsid w:val="00E61D9E"/>
    <w:rsid w:val="00E62201"/>
    <w:rsid w:val="00E6238F"/>
    <w:rsid w:val="00E628C1"/>
    <w:rsid w:val="00E62C9E"/>
    <w:rsid w:val="00E62D21"/>
    <w:rsid w:val="00E62E7F"/>
    <w:rsid w:val="00E630EB"/>
    <w:rsid w:val="00E63C8E"/>
    <w:rsid w:val="00E63CF1"/>
    <w:rsid w:val="00E63D87"/>
    <w:rsid w:val="00E646F0"/>
    <w:rsid w:val="00E649DE"/>
    <w:rsid w:val="00E64C80"/>
    <w:rsid w:val="00E64E9B"/>
    <w:rsid w:val="00E65068"/>
    <w:rsid w:val="00E65475"/>
    <w:rsid w:val="00E658E1"/>
    <w:rsid w:val="00E658EF"/>
    <w:rsid w:val="00E65BCC"/>
    <w:rsid w:val="00E65CC6"/>
    <w:rsid w:val="00E65E79"/>
    <w:rsid w:val="00E67416"/>
    <w:rsid w:val="00E67C0A"/>
    <w:rsid w:val="00E67FBA"/>
    <w:rsid w:val="00E70048"/>
    <w:rsid w:val="00E7042B"/>
    <w:rsid w:val="00E70457"/>
    <w:rsid w:val="00E70539"/>
    <w:rsid w:val="00E70803"/>
    <w:rsid w:val="00E709BE"/>
    <w:rsid w:val="00E70A8C"/>
    <w:rsid w:val="00E70B6C"/>
    <w:rsid w:val="00E70B7C"/>
    <w:rsid w:val="00E70F0D"/>
    <w:rsid w:val="00E711E1"/>
    <w:rsid w:val="00E7128A"/>
    <w:rsid w:val="00E7170F"/>
    <w:rsid w:val="00E718B6"/>
    <w:rsid w:val="00E71B97"/>
    <w:rsid w:val="00E71C0C"/>
    <w:rsid w:val="00E71D5E"/>
    <w:rsid w:val="00E71E3D"/>
    <w:rsid w:val="00E71FF8"/>
    <w:rsid w:val="00E722E0"/>
    <w:rsid w:val="00E72433"/>
    <w:rsid w:val="00E7243B"/>
    <w:rsid w:val="00E73581"/>
    <w:rsid w:val="00E73974"/>
    <w:rsid w:val="00E73E14"/>
    <w:rsid w:val="00E73F28"/>
    <w:rsid w:val="00E73FBA"/>
    <w:rsid w:val="00E74019"/>
    <w:rsid w:val="00E743F3"/>
    <w:rsid w:val="00E7442B"/>
    <w:rsid w:val="00E7480B"/>
    <w:rsid w:val="00E74D06"/>
    <w:rsid w:val="00E74E8E"/>
    <w:rsid w:val="00E7519D"/>
    <w:rsid w:val="00E752D5"/>
    <w:rsid w:val="00E757E3"/>
    <w:rsid w:val="00E757E7"/>
    <w:rsid w:val="00E75CDB"/>
    <w:rsid w:val="00E75E77"/>
    <w:rsid w:val="00E75EE1"/>
    <w:rsid w:val="00E76719"/>
    <w:rsid w:val="00E76922"/>
    <w:rsid w:val="00E77557"/>
    <w:rsid w:val="00E77C5A"/>
    <w:rsid w:val="00E77EC0"/>
    <w:rsid w:val="00E80015"/>
    <w:rsid w:val="00E801AF"/>
    <w:rsid w:val="00E80294"/>
    <w:rsid w:val="00E80585"/>
    <w:rsid w:val="00E806AD"/>
    <w:rsid w:val="00E80785"/>
    <w:rsid w:val="00E80A23"/>
    <w:rsid w:val="00E80A8A"/>
    <w:rsid w:val="00E80CFF"/>
    <w:rsid w:val="00E811E3"/>
    <w:rsid w:val="00E81A43"/>
    <w:rsid w:val="00E82121"/>
    <w:rsid w:val="00E82B3D"/>
    <w:rsid w:val="00E830C1"/>
    <w:rsid w:val="00E83110"/>
    <w:rsid w:val="00E83277"/>
    <w:rsid w:val="00E83852"/>
    <w:rsid w:val="00E83B95"/>
    <w:rsid w:val="00E83BDF"/>
    <w:rsid w:val="00E83CFB"/>
    <w:rsid w:val="00E83D20"/>
    <w:rsid w:val="00E84072"/>
    <w:rsid w:val="00E841D6"/>
    <w:rsid w:val="00E841E2"/>
    <w:rsid w:val="00E843C4"/>
    <w:rsid w:val="00E84A98"/>
    <w:rsid w:val="00E84CBC"/>
    <w:rsid w:val="00E85407"/>
    <w:rsid w:val="00E85482"/>
    <w:rsid w:val="00E86AE6"/>
    <w:rsid w:val="00E86D2E"/>
    <w:rsid w:val="00E86E19"/>
    <w:rsid w:val="00E87583"/>
    <w:rsid w:val="00E8764E"/>
    <w:rsid w:val="00E876A5"/>
    <w:rsid w:val="00E87DEC"/>
    <w:rsid w:val="00E87E3E"/>
    <w:rsid w:val="00E87EC6"/>
    <w:rsid w:val="00E87F50"/>
    <w:rsid w:val="00E9009D"/>
    <w:rsid w:val="00E900AD"/>
    <w:rsid w:val="00E9042C"/>
    <w:rsid w:val="00E90763"/>
    <w:rsid w:val="00E90BD1"/>
    <w:rsid w:val="00E90F52"/>
    <w:rsid w:val="00E91547"/>
    <w:rsid w:val="00E91687"/>
    <w:rsid w:val="00E91A2B"/>
    <w:rsid w:val="00E91BF1"/>
    <w:rsid w:val="00E921CE"/>
    <w:rsid w:val="00E92240"/>
    <w:rsid w:val="00E9267F"/>
    <w:rsid w:val="00E926BD"/>
    <w:rsid w:val="00E92748"/>
    <w:rsid w:val="00E9335E"/>
    <w:rsid w:val="00E934DD"/>
    <w:rsid w:val="00E936A9"/>
    <w:rsid w:val="00E936AD"/>
    <w:rsid w:val="00E9370F"/>
    <w:rsid w:val="00E938D7"/>
    <w:rsid w:val="00E938E4"/>
    <w:rsid w:val="00E93CCE"/>
    <w:rsid w:val="00E94317"/>
    <w:rsid w:val="00E943E9"/>
    <w:rsid w:val="00E94A38"/>
    <w:rsid w:val="00E94B78"/>
    <w:rsid w:val="00E94BE1"/>
    <w:rsid w:val="00E94D0E"/>
    <w:rsid w:val="00E95094"/>
    <w:rsid w:val="00E95465"/>
    <w:rsid w:val="00E9554B"/>
    <w:rsid w:val="00E957AF"/>
    <w:rsid w:val="00E95977"/>
    <w:rsid w:val="00E95CE9"/>
    <w:rsid w:val="00E95DFE"/>
    <w:rsid w:val="00E962C2"/>
    <w:rsid w:val="00E96353"/>
    <w:rsid w:val="00E965BD"/>
    <w:rsid w:val="00E96F33"/>
    <w:rsid w:val="00E9704A"/>
    <w:rsid w:val="00E97292"/>
    <w:rsid w:val="00E97748"/>
    <w:rsid w:val="00E97781"/>
    <w:rsid w:val="00E97C4A"/>
    <w:rsid w:val="00EA00F5"/>
    <w:rsid w:val="00EA0119"/>
    <w:rsid w:val="00EA0342"/>
    <w:rsid w:val="00EA0385"/>
    <w:rsid w:val="00EA0C78"/>
    <w:rsid w:val="00EA1575"/>
    <w:rsid w:val="00EA16C1"/>
    <w:rsid w:val="00EA21A3"/>
    <w:rsid w:val="00EA259C"/>
    <w:rsid w:val="00EA2759"/>
    <w:rsid w:val="00EA2901"/>
    <w:rsid w:val="00EA3070"/>
    <w:rsid w:val="00EA3088"/>
    <w:rsid w:val="00EA30E8"/>
    <w:rsid w:val="00EA3127"/>
    <w:rsid w:val="00EA35E4"/>
    <w:rsid w:val="00EA3672"/>
    <w:rsid w:val="00EA378C"/>
    <w:rsid w:val="00EA3864"/>
    <w:rsid w:val="00EA3B0B"/>
    <w:rsid w:val="00EA4144"/>
    <w:rsid w:val="00EA41F3"/>
    <w:rsid w:val="00EA453B"/>
    <w:rsid w:val="00EA4684"/>
    <w:rsid w:val="00EA54B8"/>
    <w:rsid w:val="00EA5617"/>
    <w:rsid w:val="00EA5721"/>
    <w:rsid w:val="00EA68EA"/>
    <w:rsid w:val="00EA6AA0"/>
    <w:rsid w:val="00EA6D72"/>
    <w:rsid w:val="00EA6DC7"/>
    <w:rsid w:val="00EA6EF2"/>
    <w:rsid w:val="00EA7C21"/>
    <w:rsid w:val="00EA7D89"/>
    <w:rsid w:val="00EA7DB4"/>
    <w:rsid w:val="00EB028B"/>
    <w:rsid w:val="00EB06EC"/>
    <w:rsid w:val="00EB0812"/>
    <w:rsid w:val="00EB0E63"/>
    <w:rsid w:val="00EB1034"/>
    <w:rsid w:val="00EB149C"/>
    <w:rsid w:val="00EB15B6"/>
    <w:rsid w:val="00EB1D0A"/>
    <w:rsid w:val="00EB1EFF"/>
    <w:rsid w:val="00EB202F"/>
    <w:rsid w:val="00EB203C"/>
    <w:rsid w:val="00EB264A"/>
    <w:rsid w:val="00EB2667"/>
    <w:rsid w:val="00EB2D0F"/>
    <w:rsid w:val="00EB2F68"/>
    <w:rsid w:val="00EB3457"/>
    <w:rsid w:val="00EB38E4"/>
    <w:rsid w:val="00EB3A40"/>
    <w:rsid w:val="00EB456D"/>
    <w:rsid w:val="00EB4916"/>
    <w:rsid w:val="00EB52F0"/>
    <w:rsid w:val="00EB567A"/>
    <w:rsid w:val="00EB5695"/>
    <w:rsid w:val="00EB58DC"/>
    <w:rsid w:val="00EB590D"/>
    <w:rsid w:val="00EB5C6D"/>
    <w:rsid w:val="00EB5D0A"/>
    <w:rsid w:val="00EB5E84"/>
    <w:rsid w:val="00EB5FF6"/>
    <w:rsid w:val="00EB6088"/>
    <w:rsid w:val="00EB60C6"/>
    <w:rsid w:val="00EB63F4"/>
    <w:rsid w:val="00EB655D"/>
    <w:rsid w:val="00EB65C9"/>
    <w:rsid w:val="00EB67D0"/>
    <w:rsid w:val="00EB6D82"/>
    <w:rsid w:val="00EB778A"/>
    <w:rsid w:val="00EB7A07"/>
    <w:rsid w:val="00EB7A62"/>
    <w:rsid w:val="00EC00C9"/>
    <w:rsid w:val="00EC029E"/>
    <w:rsid w:val="00EC0762"/>
    <w:rsid w:val="00EC07B6"/>
    <w:rsid w:val="00EC1BF3"/>
    <w:rsid w:val="00EC1EB6"/>
    <w:rsid w:val="00EC2144"/>
    <w:rsid w:val="00EC235E"/>
    <w:rsid w:val="00EC26A3"/>
    <w:rsid w:val="00EC2E88"/>
    <w:rsid w:val="00EC2FD6"/>
    <w:rsid w:val="00EC3338"/>
    <w:rsid w:val="00EC37A4"/>
    <w:rsid w:val="00EC390E"/>
    <w:rsid w:val="00EC3954"/>
    <w:rsid w:val="00EC39DC"/>
    <w:rsid w:val="00EC3A84"/>
    <w:rsid w:val="00EC3C95"/>
    <w:rsid w:val="00EC3D1F"/>
    <w:rsid w:val="00EC3EB3"/>
    <w:rsid w:val="00EC410D"/>
    <w:rsid w:val="00EC46E4"/>
    <w:rsid w:val="00EC49AF"/>
    <w:rsid w:val="00EC4C69"/>
    <w:rsid w:val="00EC541A"/>
    <w:rsid w:val="00EC5C4C"/>
    <w:rsid w:val="00EC624F"/>
    <w:rsid w:val="00EC683B"/>
    <w:rsid w:val="00EC6C2C"/>
    <w:rsid w:val="00EC6D0F"/>
    <w:rsid w:val="00EC7091"/>
    <w:rsid w:val="00EC7725"/>
    <w:rsid w:val="00EC787D"/>
    <w:rsid w:val="00EC79DE"/>
    <w:rsid w:val="00EC7C91"/>
    <w:rsid w:val="00ED051B"/>
    <w:rsid w:val="00ED05B5"/>
    <w:rsid w:val="00ED0A60"/>
    <w:rsid w:val="00ED0B0E"/>
    <w:rsid w:val="00ED0E6E"/>
    <w:rsid w:val="00ED1016"/>
    <w:rsid w:val="00ED16F7"/>
    <w:rsid w:val="00ED1B35"/>
    <w:rsid w:val="00ED1BE2"/>
    <w:rsid w:val="00ED2093"/>
    <w:rsid w:val="00ED20C3"/>
    <w:rsid w:val="00ED22C5"/>
    <w:rsid w:val="00ED25E9"/>
    <w:rsid w:val="00ED2B81"/>
    <w:rsid w:val="00ED2CA3"/>
    <w:rsid w:val="00ED300D"/>
    <w:rsid w:val="00ED3275"/>
    <w:rsid w:val="00ED33DC"/>
    <w:rsid w:val="00ED38C7"/>
    <w:rsid w:val="00ED39DC"/>
    <w:rsid w:val="00ED3D80"/>
    <w:rsid w:val="00ED3E69"/>
    <w:rsid w:val="00ED4027"/>
    <w:rsid w:val="00ED404C"/>
    <w:rsid w:val="00ED482B"/>
    <w:rsid w:val="00ED49C6"/>
    <w:rsid w:val="00ED4A4D"/>
    <w:rsid w:val="00ED4AC1"/>
    <w:rsid w:val="00ED4FCE"/>
    <w:rsid w:val="00ED50C2"/>
    <w:rsid w:val="00ED540D"/>
    <w:rsid w:val="00ED5779"/>
    <w:rsid w:val="00ED5A35"/>
    <w:rsid w:val="00ED5EA4"/>
    <w:rsid w:val="00ED6561"/>
    <w:rsid w:val="00ED66FF"/>
    <w:rsid w:val="00ED68D4"/>
    <w:rsid w:val="00ED6A88"/>
    <w:rsid w:val="00ED6E8D"/>
    <w:rsid w:val="00ED7199"/>
    <w:rsid w:val="00ED71D2"/>
    <w:rsid w:val="00ED79C0"/>
    <w:rsid w:val="00ED7D3A"/>
    <w:rsid w:val="00ED7E22"/>
    <w:rsid w:val="00ED7EB3"/>
    <w:rsid w:val="00ED7F17"/>
    <w:rsid w:val="00EE011F"/>
    <w:rsid w:val="00EE07A9"/>
    <w:rsid w:val="00EE07BD"/>
    <w:rsid w:val="00EE07D3"/>
    <w:rsid w:val="00EE0888"/>
    <w:rsid w:val="00EE0A45"/>
    <w:rsid w:val="00EE0C8C"/>
    <w:rsid w:val="00EE0F97"/>
    <w:rsid w:val="00EE1032"/>
    <w:rsid w:val="00EE1385"/>
    <w:rsid w:val="00EE171E"/>
    <w:rsid w:val="00EE1862"/>
    <w:rsid w:val="00EE1AB3"/>
    <w:rsid w:val="00EE1C11"/>
    <w:rsid w:val="00EE1DC6"/>
    <w:rsid w:val="00EE1DCB"/>
    <w:rsid w:val="00EE2302"/>
    <w:rsid w:val="00EE255D"/>
    <w:rsid w:val="00EE28B1"/>
    <w:rsid w:val="00EE2904"/>
    <w:rsid w:val="00EE2AC6"/>
    <w:rsid w:val="00EE33CB"/>
    <w:rsid w:val="00EE350D"/>
    <w:rsid w:val="00EE3B80"/>
    <w:rsid w:val="00EE3BF4"/>
    <w:rsid w:val="00EE3C2F"/>
    <w:rsid w:val="00EE3CDB"/>
    <w:rsid w:val="00EE4167"/>
    <w:rsid w:val="00EE42C9"/>
    <w:rsid w:val="00EE43B4"/>
    <w:rsid w:val="00EE4420"/>
    <w:rsid w:val="00EE454E"/>
    <w:rsid w:val="00EE4582"/>
    <w:rsid w:val="00EE47B3"/>
    <w:rsid w:val="00EE481C"/>
    <w:rsid w:val="00EE4EED"/>
    <w:rsid w:val="00EE5911"/>
    <w:rsid w:val="00EE5AEA"/>
    <w:rsid w:val="00EE5B17"/>
    <w:rsid w:val="00EE5CE7"/>
    <w:rsid w:val="00EE5DB0"/>
    <w:rsid w:val="00EE5EA6"/>
    <w:rsid w:val="00EE61BD"/>
    <w:rsid w:val="00EE688B"/>
    <w:rsid w:val="00EE69AE"/>
    <w:rsid w:val="00EE6A23"/>
    <w:rsid w:val="00EE6B2A"/>
    <w:rsid w:val="00EE79BA"/>
    <w:rsid w:val="00EE79BD"/>
    <w:rsid w:val="00EE7B39"/>
    <w:rsid w:val="00EF0171"/>
    <w:rsid w:val="00EF049F"/>
    <w:rsid w:val="00EF07C4"/>
    <w:rsid w:val="00EF0B6E"/>
    <w:rsid w:val="00EF0BDC"/>
    <w:rsid w:val="00EF0D9C"/>
    <w:rsid w:val="00EF0FF9"/>
    <w:rsid w:val="00EF18E5"/>
    <w:rsid w:val="00EF23AC"/>
    <w:rsid w:val="00EF29A1"/>
    <w:rsid w:val="00EF2BC8"/>
    <w:rsid w:val="00EF3021"/>
    <w:rsid w:val="00EF30B1"/>
    <w:rsid w:val="00EF3319"/>
    <w:rsid w:val="00EF3514"/>
    <w:rsid w:val="00EF3836"/>
    <w:rsid w:val="00EF412D"/>
    <w:rsid w:val="00EF4152"/>
    <w:rsid w:val="00EF422D"/>
    <w:rsid w:val="00EF42BE"/>
    <w:rsid w:val="00EF436E"/>
    <w:rsid w:val="00EF43B7"/>
    <w:rsid w:val="00EF43D6"/>
    <w:rsid w:val="00EF44FF"/>
    <w:rsid w:val="00EF45D5"/>
    <w:rsid w:val="00EF484E"/>
    <w:rsid w:val="00EF5E41"/>
    <w:rsid w:val="00EF61BF"/>
    <w:rsid w:val="00EF6407"/>
    <w:rsid w:val="00EF66B1"/>
    <w:rsid w:val="00EF6C51"/>
    <w:rsid w:val="00EF6E10"/>
    <w:rsid w:val="00EF700B"/>
    <w:rsid w:val="00EF701A"/>
    <w:rsid w:val="00EF7405"/>
    <w:rsid w:val="00EF772F"/>
    <w:rsid w:val="00EF7BDF"/>
    <w:rsid w:val="00EF7D8D"/>
    <w:rsid w:val="00F000E6"/>
    <w:rsid w:val="00F00396"/>
    <w:rsid w:val="00F00949"/>
    <w:rsid w:val="00F00BC7"/>
    <w:rsid w:val="00F00D4F"/>
    <w:rsid w:val="00F01265"/>
    <w:rsid w:val="00F0156B"/>
    <w:rsid w:val="00F01671"/>
    <w:rsid w:val="00F017CF"/>
    <w:rsid w:val="00F01B79"/>
    <w:rsid w:val="00F01BE6"/>
    <w:rsid w:val="00F02425"/>
    <w:rsid w:val="00F02734"/>
    <w:rsid w:val="00F0306D"/>
    <w:rsid w:val="00F03140"/>
    <w:rsid w:val="00F031B9"/>
    <w:rsid w:val="00F03324"/>
    <w:rsid w:val="00F03AC2"/>
    <w:rsid w:val="00F0409C"/>
    <w:rsid w:val="00F047C2"/>
    <w:rsid w:val="00F04889"/>
    <w:rsid w:val="00F04927"/>
    <w:rsid w:val="00F04ADD"/>
    <w:rsid w:val="00F0514F"/>
    <w:rsid w:val="00F05469"/>
    <w:rsid w:val="00F0577D"/>
    <w:rsid w:val="00F05BCA"/>
    <w:rsid w:val="00F05FF4"/>
    <w:rsid w:val="00F061B4"/>
    <w:rsid w:val="00F06727"/>
    <w:rsid w:val="00F067A2"/>
    <w:rsid w:val="00F067E3"/>
    <w:rsid w:val="00F06EFA"/>
    <w:rsid w:val="00F07273"/>
    <w:rsid w:val="00F0743C"/>
    <w:rsid w:val="00F07723"/>
    <w:rsid w:val="00F077EB"/>
    <w:rsid w:val="00F10206"/>
    <w:rsid w:val="00F1043E"/>
    <w:rsid w:val="00F10450"/>
    <w:rsid w:val="00F10482"/>
    <w:rsid w:val="00F104CF"/>
    <w:rsid w:val="00F10B0B"/>
    <w:rsid w:val="00F10E37"/>
    <w:rsid w:val="00F10F5C"/>
    <w:rsid w:val="00F10FA9"/>
    <w:rsid w:val="00F111E2"/>
    <w:rsid w:val="00F11C61"/>
    <w:rsid w:val="00F11E67"/>
    <w:rsid w:val="00F11FF0"/>
    <w:rsid w:val="00F12108"/>
    <w:rsid w:val="00F12385"/>
    <w:rsid w:val="00F125DA"/>
    <w:rsid w:val="00F1280F"/>
    <w:rsid w:val="00F12C70"/>
    <w:rsid w:val="00F12C9E"/>
    <w:rsid w:val="00F1311A"/>
    <w:rsid w:val="00F13611"/>
    <w:rsid w:val="00F13727"/>
    <w:rsid w:val="00F13770"/>
    <w:rsid w:val="00F13A8C"/>
    <w:rsid w:val="00F13ABC"/>
    <w:rsid w:val="00F13E5F"/>
    <w:rsid w:val="00F13E92"/>
    <w:rsid w:val="00F141B7"/>
    <w:rsid w:val="00F1462E"/>
    <w:rsid w:val="00F14911"/>
    <w:rsid w:val="00F14BAB"/>
    <w:rsid w:val="00F14C90"/>
    <w:rsid w:val="00F158A3"/>
    <w:rsid w:val="00F15CD0"/>
    <w:rsid w:val="00F160B7"/>
    <w:rsid w:val="00F160E6"/>
    <w:rsid w:val="00F16678"/>
    <w:rsid w:val="00F16BB6"/>
    <w:rsid w:val="00F16CAD"/>
    <w:rsid w:val="00F170D0"/>
    <w:rsid w:val="00F171C4"/>
    <w:rsid w:val="00F172F5"/>
    <w:rsid w:val="00F1783F"/>
    <w:rsid w:val="00F17968"/>
    <w:rsid w:val="00F17C34"/>
    <w:rsid w:val="00F17F84"/>
    <w:rsid w:val="00F20276"/>
    <w:rsid w:val="00F203F3"/>
    <w:rsid w:val="00F20E98"/>
    <w:rsid w:val="00F20FFE"/>
    <w:rsid w:val="00F21400"/>
    <w:rsid w:val="00F2156D"/>
    <w:rsid w:val="00F21C27"/>
    <w:rsid w:val="00F21E42"/>
    <w:rsid w:val="00F21FC0"/>
    <w:rsid w:val="00F224AD"/>
    <w:rsid w:val="00F225AE"/>
    <w:rsid w:val="00F22A2C"/>
    <w:rsid w:val="00F22AE9"/>
    <w:rsid w:val="00F22E53"/>
    <w:rsid w:val="00F22E79"/>
    <w:rsid w:val="00F22E89"/>
    <w:rsid w:val="00F23023"/>
    <w:rsid w:val="00F23235"/>
    <w:rsid w:val="00F23256"/>
    <w:rsid w:val="00F23F38"/>
    <w:rsid w:val="00F24003"/>
    <w:rsid w:val="00F242C7"/>
    <w:rsid w:val="00F24352"/>
    <w:rsid w:val="00F24429"/>
    <w:rsid w:val="00F244A9"/>
    <w:rsid w:val="00F244C6"/>
    <w:rsid w:val="00F246BC"/>
    <w:rsid w:val="00F24837"/>
    <w:rsid w:val="00F2499C"/>
    <w:rsid w:val="00F24D39"/>
    <w:rsid w:val="00F24DF2"/>
    <w:rsid w:val="00F2516C"/>
    <w:rsid w:val="00F255A5"/>
    <w:rsid w:val="00F2575F"/>
    <w:rsid w:val="00F2595A"/>
    <w:rsid w:val="00F25C07"/>
    <w:rsid w:val="00F25CC9"/>
    <w:rsid w:val="00F25D42"/>
    <w:rsid w:val="00F267E7"/>
    <w:rsid w:val="00F26C49"/>
    <w:rsid w:val="00F2701E"/>
    <w:rsid w:val="00F2762B"/>
    <w:rsid w:val="00F27D2B"/>
    <w:rsid w:val="00F27DA5"/>
    <w:rsid w:val="00F27E16"/>
    <w:rsid w:val="00F30667"/>
    <w:rsid w:val="00F31D10"/>
    <w:rsid w:val="00F31E50"/>
    <w:rsid w:val="00F3228D"/>
    <w:rsid w:val="00F32421"/>
    <w:rsid w:val="00F3258E"/>
    <w:rsid w:val="00F32AFB"/>
    <w:rsid w:val="00F32C49"/>
    <w:rsid w:val="00F32C4A"/>
    <w:rsid w:val="00F32EC6"/>
    <w:rsid w:val="00F331B7"/>
    <w:rsid w:val="00F3320F"/>
    <w:rsid w:val="00F3330D"/>
    <w:rsid w:val="00F33739"/>
    <w:rsid w:val="00F33B64"/>
    <w:rsid w:val="00F33B85"/>
    <w:rsid w:val="00F33BF2"/>
    <w:rsid w:val="00F33DE9"/>
    <w:rsid w:val="00F340A6"/>
    <w:rsid w:val="00F342FD"/>
    <w:rsid w:val="00F34509"/>
    <w:rsid w:val="00F348D8"/>
    <w:rsid w:val="00F34E36"/>
    <w:rsid w:val="00F34F82"/>
    <w:rsid w:val="00F3518A"/>
    <w:rsid w:val="00F35291"/>
    <w:rsid w:val="00F353D4"/>
    <w:rsid w:val="00F35B55"/>
    <w:rsid w:val="00F35EC0"/>
    <w:rsid w:val="00F3619A"/>
    <w:rsid w:val="00F36271"/>
    <w:rsid w:val="00F36B11"/>
    <w:rsid w:val="00F36C2D"/>
    <w:rsid w:val="00F36C83"/>
    <w:rsid w:val="00F373FA"/>
    <w:rsid w:val="00F37953"/>
    <w:rsid w:val="00F37CA2"/>
    <w:rsid w:val="00F403A1"/>
    <w:rsid w:val="00F40ABA"/>
    <w:rsid w:val="00F40C3C"/>
    <w:rsid w:val="00F40D9E"/>
    <w:rsid w:val="00F40F3E"/>
    <w:rsid w:val="00F42316"/>
    <w:rsid w:val="00F42464"/>
    <w:rsid w:val="00F42777"/>
    <w:rsid w:val="00F4279E"/>
    <w:rsid w:val="00F429B4"/>
    <w:rsid w:val="00F4357C"/>
    <w:rsid w:val="00F43BDD"/>
    <w:rsid w:val="00F44275"/>
    <w:rsid w:val="00F446FA"/>
    <w:rsid w:val="00F44CA4"/>
    <w:rsid w:val="00F44DA7"/>
    <w:rsid w:val="00F44E83"/>
    <w:rsid w:val="00F451A4"/>
    <w:rsid w:val="00F45B5F"/>
    <w:rsid w:val="00F45BF2"/>
    <w:rsid w:val="00F45FCE"/>
    <w:rsid w:val="00F4605A"/>
    <w:rsid w:val="00F466B0"/>
    <w:rsid w:val="00F4696F"/>
    <w:rsid w:val="00F46CB6"/>
    <w:rsid w:val="00F47B78"/>
    <w:rsid w:val="00F50117"/>
    <w:rsid w:val="00F5012E"/>
    <w:rsid w:val="00F504B2"/>
    <w:rsid w:val="00F5069E"/>
    <w:rsid w:val="00F507BF"/>
    <w:rsid w:val="00F508C2"/>
    <w:rsid w:val="00F51BB5"/>
    <w:rsid w:val="00F522E8"/>
    <w:rsid w:val="00F52680"/>
    <w:rsid w:val="00F52898"/>
    <w:rsid w:val="00F529EC"/>
    <w:rsid w:val="00F52B8C"/>
    <w:rsid w:val="00F52F71"/>
    <w:rsid w:val="00F530AD"/>
    <w:rsid w:val="00F53238"/>
    <w:rsid w:val="00F533DE"/>
    <w:rsid w:val="00F537B2"/>
    <w:rsid w:val="00F53972"/>
    <w:rsid w:val="00F53A90"/>
    <w:rsid w:val="00F53DE7"/>
    <w:rsid w:val="00F53F32"/>
    <w:rsid w:val="00F540A3"/>
    <w:rsid w:val="00F540F9"/>
    <w:rsid w:val="00F5454C"/>
    <w:rsid w:val="00F5460E"/>
    <w:rsid w:val="00F54AC6"/>
    <w:rsid w:val="00F54C98"/>
    <w:rsid w:val="00F54D05"/>
    <w:rsid w:val="00F550A3"/>
    <w:rsid w:val="00F55207"/>
    <w:rsid w:val="00F553C0"/>
    <w:rsid w:val="00F5559B"/>
    <w:rsid w:val="00F55698"/>
    <w:rsid w:val="00F55834"/>
    <w:rsid w:val="00F55960"/>
    <w:rsid w:val="00F55E73"/>
    <w:rsid w:val="00F56096"/>
    <w:rsid w:val="00F5637C"/>
    <w:rsid w:val="00F56C61"/>
    <w:rsid w:val="00F571CB"/>
    <w:rsid w:val="00F572CF"/>
    <w:rsid w:val="00F57590"/>
    <w:rsid w:val="00F5791C"/>
    <w:rsid w:val="00F60092"/>
    <w:rsid w:val="00F60DA4"/>
    <w:rsid w:val="00F61394"/>
    <w:rsid w:val="00F6154A"/>
    <w:rsid w:val="00F61A7F"/>
    <w:rsid w:val="00F61F42"/>
    <w:rsid w:val="00F62452"/>
    <w:rsid w:val="00F62773"/>
    <w:rsid w:val="00F62821"/>
    <w:rsid w:val="00F62D76"/>
    <w:rsid w:val="00F63301"/>
    <w:rsid w:val="00F636A7"/>
    <w:rsid w:val="00F63AD0"/>
    <w:rsid w:val="00F64091"/>
    <w:rsid w:val="00F64652"/>
    <w:rsid w:val="00F64D6F"/>
    <w:rsid w:val="00F65355"/>
    <w:rsid w:val="00F65E08"/>
    <w:rsid w:val="00F6612A"/>
    <w:rsid w:val="00F664BB"/>
    <w:rsid w:val="00F6655B"/>
    <w:rsid w:val="00F66A4F"/>
    <w:rsid w:val="00F66C61"/>
    <w:rsid w:val="00F66CD0"/>
    <w:rsid w:val="00F66CE5"/>
    <w:rsid w:val="00F66FDB"/>
    <w:rsid w:val="00F67224"/>
    <w:rsid w:val="00F678B0"/>
    <w:rsid w:val="00F6796C"/>
    <w:rsid w:val="00F67A0C"/>
    <w:rsid w:val="00F7007F"/>
    <w:rsid w:val="00F700E2"/>
    <w:rsid w:val="00F701DF"/>
    <w:rsid w:val="00F702C6"/>
    <w:rsid w:val="00F70359"/>
    <w:rsid w:val="00F708C7"/>
    <w:rsid w:val="00F70B5B"/>
    <w:rsid w:val="00F71134"/>
    <w:rsid w:val="00F7135A"/>
    <w:rsid w:val="00F71412"/>
    <w:rsid w:val="00F7143B"/>
    <w:rsid w:val="00F71611"/>
    <w:rsid w:val="00F7171E"/>
    <w:rsid w:val="00F71753"/>
    <w:rsid w:val="00F72253"/>
    <w:rsid w:val="00F72567"/>
    <w:rsid w:val="00F7269E"/>
    <w:rsid w:val="00F72823"/>
    <w:rsid w:val="00F728CF"/>
    <w:rsid w:val="00F72C2B"/>
    <w:rsid w:val="00F72C9D"/>
    <w:rsid w:val="00F72F5F"/>
    <w:rsid w:val="00F73202"/>
    <w:rsid w:val="00F73305"/>
    <w:rsid w:val="00F73345"/>
    <w:rsid w:val="00F735D4"/>
    <w:rsid w:val="00F73C12"/>
    <w:rsid w:val="00F73E19"/>
    <w:rsid w:val="00F740C6"/>
    <w:rsid w:val="00F740DD"/>
    <w:rsid w:val="00F74229"/>
    <w:rsid w:val="00F7448D"/>
    <w:rsid w:val="00F744B3"/>
    <w:rsid w:val="00F7496A"/>
    <w:rsid w:val="00F74CAF"/>
    <w:rsid w:val="00F74FE7"/>
    <w:rsid w:val="00F7532D"/>
    <w:rsid w:val="00F75394"/>
    <w:rsid w:val="00F75780"/>
    <w:rsid w:val="00F75CF6"/>
    <w:rsid w:val="00F75F42"/>
    <w:rsid w:val="00F76183"/>
    <w:rsid w:val="00F762C1"/>
    <w:rsid w:val="00F7661A"/>
    <w:rsid w:val="00F76E5E"/>
    <w:rsid w:val="00F76F03"/>
    <w:rsid w:val="00F770A7"/>
    <w:rsid w:val="00F771B2"/>
    <w:rsid w:val="00F772A6"/>
    <w:rsid w:val="00F77534"/>
    <w:rsid w:val="00F77842"/>
    <w:rsid w:val="00F77D1B"/>
    <w:rsid w:val="00F77DEE"/>
    <w:rsid w:val="00F77E02"/>
    <w:rsid w:val="00F80003"/>
    <w:rsid w:val="00F802C3"/>
    <w:rsid w:val="00F80E5D"/>
    <w:rsid w:val="00F810EF"/>
    <w:rsid w:val="00F81509"/>
    <w:rsid w:val="00F8157B"/>
    <w:rsid w:val="00F818A7"/>
    <w:rsid w:val="00F818C2"/>
    <w:rsid w:val="00F81F9E"/>
    <w:rsid w:val="00F8210D"/>
    <w:rsid w:val="00F82331"/>
    <w:rsid w:val="00F82339"/>
    <w:rsid w:val="00F82673"/>
    <w:rsid w:val="00F8268F"/>
    <w:rsid w:val="00F82750"/>
    <w:rsid w:val="00F8287E"/>
    <w:rsid w:val="00F82BD1"/>
    <w:rsid w:val="00F82C04"/>
    <w:rsid w:val="00F83465"/>
    <w:rsid w:val="00F8392D"/>
    <w:rsid w:val="00F8398F"/>
    <w:rsid w:val="00F83CC5"/>
    <w:rsid w:val="00F83FD3"/>
    <w:rsid w:val="00F840AA"/>
    <w:rsid w:val="00F84751"/>
    <w:rsid w:val="00F84A76"/>
    <w:rsid w:val="00F851CE"/>
    <w:rsid w:val="00F8528B"/>
    <w:rsid w:val="00F85527"/>
    <w:rsid w:val="00F858D2"/>
    <w:rsid w:val="00F8630B"/>
    <w:rsid w:val="00F86B34"/>
    <w:rsid w:val="00F86B6E"/>
    <w:rsid w:val="00F86B8F"/>
    <w:rsid w:val="00F8716D"/>
    <w:rsid w:val="00F87325"/>
    <w:rsid w:val="00F878EF"/>
    <w:rsid w:val="00F87B44"/>
    <w:rsid w:val="00F87BC7"/>
    <w:rsid w:val="00F87D54"/>
    <w:rsid w:val="00F87FDB"/>
    <w:rsid w:val="00F90088"/>
    <w:rsid w:val="00F901DB"/>
    <w:rsid w:val="00F902E0"/>
    <w:rsid w:val="00F907F4"/>
    <w:rsid w:val="00F90A59"/>
    <w:rsid w:val="00F90AAD"/>
    <w:rsid w:val="00F9167B"/>
    <w:rsid w:val="00F91687"/>
    <w:rsid w:val="00F9196A"/>
    <w:rsid w:val="00F919BA"/>
    <w:rsid w:val="00F91D0A"/>
    <w:rsid w:val="00F91FB9"/>
    <w:rsid w:val="00F924BB"/>
    <w:rsid w:val="00F92865"/>
    <w:rsid w:val="00F92867"/>
    <w:rsid w:val="00F92CD4"/>
    <w:rsid w:val="00F92D52"/>
    <w:rsid w:val="00F93A5C"/>
    <w:rsid w:val="00F93F63"/>
    <w:rsid w:val="00F943AB"/>
    <w:rsid w:val="00F9440F"/>
    <w:rsid w:val="00F94A9A"/>
    <w:rsid w:val="00F94D72"/>
    <w:rsid w:val="00F950D8"/>
    <w:rsid w:val="00F950F6"/>
    <w:rsid w:val="00F9547E"/>
    <w:rsid w:val="00F954F0"/>
    <w:rsid w:val="00F957B2"/>
    <w:rsid w:val="00F95BF8"/>
    <w:rsid w:val="00F95E54"/>
    <w:rsid w:val="00F95F3C"/>
    <w:rsid w:val="00F96412"/>
    <w:rsid w:val="00F964EC"/>
    <w:rsid w:val="00F9668F"/>
    <w:rsid w:val="00F96A89"/>
    <w:rsid w:val="00F96CA2"/>
    <w:rsid w:val="00F96D05"/>
    <w:rsid w:val="00F96D61"/>
    <w:rsid w:val="00F96F10"/>
    <w:rsid w:val="00F97200"/>
    <w:rsid w:val="00F97247"/>
    <w:rsid w:val="00F973EC"/>
    <w:rsid w:val="00F97583"/>
    <w:rsid w:val="00F97666"/>
    <w:rsid w:val="00F9784B"/>
    <w:rsid w:val="00F97A78"/>
    <w:rsid w:val="00F97C85"/>
    <w:rsid w:val="00FA0E74"/>
    <w:rsid w:val="00FA1044"/>
    <w:rsid w:val="00FA15A5"/>
    <w:rsid w:val="00FA1B08"/>
    <w:rsid w:val="00FA1E4A"/>
    <w:rsid w:val="00FA1EED"/>
    <w:rsid w:val="00FA209D"/>
    <w:rsid w:val="00FA2208"/>
    <w:rsid w:val="00FA24CE"/>
    <w:rsid w:val="00FA24E7"/>
    <w:rsid w:val="00FA255E"/>
    <w:rsid w:val="00FA2A2B"/>
    <w:rsid w:val="00FA2AFB"/>
    <w:rsid w:val="00FA2B0A"/>
    <w:rsid w:val="00FA2CEB"/>
    <w:rsid w:val="00FA3019"/>
    <w:rsid w:val="00FA320E"/>
    <w:rsid w:val="00FA380F"/>
    <w:rsid w:val="00FA3CB3"/>
    <w:rsid w:val="00FA4246"/>
    <w:rsid w:val="00FA425E"/>
    <w:rsid w:val="00FA46EE"/>
    <w:rsid w:val="00FA4722"/>
    <w:rsid w:val="00FA4930"/>
    <w:rsid w:val="00FA4CF5"/>
    <w:rsid w:val="00FA5219"/>
    <w:rsid w:val="00FA534F"/>
    <w:rsid w:val="00FA5380"/>
    <w:rsid w:val="00FA5424"/>
    <w:rsid w:val="00FA5800"/>
    <w:rsid w:val="00FA5867"/>
    <w:rsid w:val="00FA5C34"/>
    <w:rsid w:val="00FA62E5"/>
    <w:rsid w:val="00FA63CC"/>
    <w:rsid w:val="00FA6A75"/>
    <w:rsid w:val="00FA6FFE"/>
    <w:rsid w:val="00FA73F6"/>
    <w:rsid w:val="00FA77F6"/>
    <w:rsid w:val="00FB0164"/>
    <w:rsid w:val="00FB032B"/>
    <w:rsid w:val="00FB05CF"/>
    <w:rsid w:val="00FB0FFC"/>
    <w:rsid w:val="00FB12C9"/>
    <w:rsid w:val="00FB13FE"/>
    <w:rsid w:val="00FB1964"/>
    <w:rsid w:val="00FB1B7D"/>
    <w:rsid w:val="00FB1C76"/>
    <w:rsid w:val="00FB1D67"/>
    <w:rsid w:val="00FB2148"/>
    <w:rsid w:val="00FB25D7"/>
    <w:rsid w:val="00FB2852"/>
    <w:rsid w:val="00FB298E"/>
    <w:rsid w:val="00FB2FCB"/>
    <w:rsid w:val="00FB312E"/>
    <w:rsid w:val="00FB314F"/>
    <w:rsid w:val="00FB344A"/>
    <w:rsid w:val="00FB37D9"/>
    <w:rsid w:val="00FB3932"/>
    <w:rsid w:val="00FB3C3C"/>
    <w:rsid w:val="00FB3CC1"/>
    <w:rsid w:val="00FB3D85"/>
    <w:rsid w:val="00FB3F33"/>
    <w:rsid w:val="00FB462C"/>
    <w:rsid w:val="00FB4738"/>
    <w:rsid w:val="00FB52FF"/>
    <w:rsid w:val="00FB5335"/>
    <w:rsid w:val="00FB698E"/>
    <w:rsid w:val="00FB6D35"/>
    <w:rsid w:val="00FB71BB"/>
    <w:rsid w:val="00FB7478"/>
    <w:rsid w:val="00FB7707"/>
    <w:rsid w:val="00FB77E2"/>
    <w:rsid w:val="00FB78F5"/>
    <w:rsid w:val="00FB7A27"/>
    <w:rsid w:val="00FB7AE8"/>
    <w:rsid w:val="00FB7C87"/>
    <w:rsid w:val="00FC0327"/>
    <w:rsid w:val="00FC0644"/>
    <w:rsid w:val="00FC0EA9"/>
    <w:rsid w:val="00FC1074"/>
    <w:rsid w:val="00FC1254"/>
    <w:rsid w:val="00FC1441"/>
    <w:rsid w:val="00FC1884"/>
    <w:rsid w:val="00FC18C2"/>
    <w:rsid w:val="00FC1AF6"/>
    <w:rsid w:val="00FC1DA8"/>
    <w:rsid w:val="00FC20DE"/>
    <w:rsid w:val="00FC2ACE"/>
    <w:rsid w:val="00FC2D15"/>
    <w:rsid w:val="00FC3073"/>
    <w:rsid w:val="00FC31D2"/>
    <w:rsid w:val="00FC32FC"/>
    <w:rsid w:val="00FC33A4"/>
    <w:rsid w:val="00FC354B"/>
    <w:rsid w:val="00FC3A2D"/>
    <w:rsid w:val="00FC4073"/>
    <w:rsid w:val="00FC4553"/>
    <w:rsid w:val="00FC4B9A"/>
    <w:rsid w:val="00FC4E37"/>
    <w:rsid w:val="00FC578A"/>
    <w:rsid w:val="00FC5C86"/>
    <w:rsid w:val="00FC5D5A"/>
    <w:rsid w:val="00FC5F0B"/>
    <w:rsid w:val="00FC5F95"/>
    <w:rsid w:val="00FC6035"/>
    <w:rsid w:val="00FC613D"/>
    <w:rsid w:val="00FC64AC"/>
    <w:rsid w:val="00FC655B"/>
    <w:rsid w:val="00FC69A1"/>
    <w:rsid w:val="00FC6D06"/>
    <w:rsid w:val="00FC6DAC"/>
    <w:rsid w:val="00FC7074"/>
    <w:rsid w:val="00FC7246"/>
    <w:rsid w:val="00FC7A27"/>
    <w:rsid w:val="00FC7A98"/>
    <w:rsid w:val="00FC7B0C"/>
    <w:rsid w:val="00FC7E8B"/>
    <w:rsid w:val="00FC7FA4"/>
    <w:rsid w:val="00FD03D3"/>
    <w:rsid w:val="00FD0625"/>
    <w:rsid w:val="00FD09BA"/>
    <w:rsid w:val="00FD0E71"/>
    <w:rsid w:val="00FD0EB9"/>
    <w:rsid w:val="00FD0F57"/>
    <w:rsid w:val="00FD1C11"/>
    <w:rsid w:val="00FD1E19"/>
    <w:rsid w:val="00FD206C"/>
    <w:rsid w:val="00FD2092"/>
    <w:rsid w:val="00FD2100"/>
    <w:rsid w:val="00FD2137"/>
    <w:rsid w:val="00FD237B"/>
    <w:rsid w:val="00FD24C5"/>
    <w:rsid w:val="00FD258D"/>
    <w:rsid w:val="00FD25F3"/>
    <w:rsid w:val="00FD278C"/>
    <w:rsid w:val="00FD2B81"/>
    <w:rsid w:val="00FD2CDC"/>
    <w:rsid w:val="00FD3168"/>
    <w:rsid w:val="00FD3253"/>
    <w:rsid w:val="00FD40DE"/>
    <w:rsid w:val="00FD446D"/>
    <w:rsid w:val="00FD4717"/>
    <w:rsid w:val="00FD4B27"/>
    <w:rsid w:val="00FD5063"/>
    <w:rsid w:val="00FD52F0"/>
    <w:rsid w:val="00FD590C"/>
    <w:rsid w:val="00FD59C8"/>
    <w:rsid w:val="00FD5DBE"/>
    <w:rsid w:val="00FD69B6"/>
    <w:rsid w:val="00FD6F36"/>
    <w:rsid w:val="00FD7446"/>
    <w:rsid w:val="00FD74F8"/>
    <w:rsid w:val="00FD78BF"/>
    <w:rsid w:val="00FD7BC2"/>
    <w:rsid w:val="00FD7FAA"/>
    <w:rsid w:val="00FE0541"/>
    <w:rsid w:val="00FE1913"/>
    <w:rsid w:val="00FE1AB0"/>
    <w:rsid w:val="00FE1AE1"/>
    <w:rsid w:val="00FE1B57"/>
    <w:rsid w:val="00FE1C0F"/>
    <w:rsid w:val="00FE1D16"/>
    <w:rsid w:val="00FE2275"/>
    <w:rsid w:val="00FE250C"/>
    <w:rsid w:val="00FE2FCF"/>
    <w:rsid w:val="00FE3B48"/>
    <w:rsid w:val="00FE3D50"/>
    <w:rsid w:val="00FE3E61"/>
    <w:rsid w:val="00FE3EC5"/>
    <w:rsid w:val="00FE413E"/>
    <w:rsid w:val="00FE4408"/>
    <w:rsid w:val="00FE44FD"/>
    <w:rsid w:val="00FE4566"/>
    <w:rsid w:val="00FE45F0"/>
    <w:rsid w:val="00FE481A"/>
    <w:rsid w:val="00FE48C1"/>
    <w:rsid w:val="00FE48E1"/>
    <w:rsid w:val="00FE4BE8"/>
    <w:rsid w:val="00FE4E6B"/>
    <w:rsid w:val="00FE514C"/>
    <w:rsid w:val="00FE5B99"/>
    <w:rsid w:val="00FE5FD6"/>
    <w:rsid w:val="00FE6519"/>
    <w:rsid w:val="00FE684B"/>
    <w:rsid w:val="00FE6D27"/>
    <w:rsid w:val="00FE7DFD"/>
    <w:rsid w:val="00FE7E00"/>
    <w:rsid w:val="00FF0094"/>
    <w:rsid w:val="00FF038F"/>
    <w:rsid w:val="00FF069F"/>
    <w:rsid w:val="00FF0AAE"/>
    <w:rsid w:val="00FF0D12"/>
    <w:rsid w:val="00FF1BD3"/>
    <w:rsid w:val="00FF1CCE"/>
    <w:rsid w:val="00FF1D43"/>
    <w:rsid w:val="00FF1F82"/>
    <w:rsid w:val="00FF1FD2"/>
    <w:rsid w:val="00FF25D6"/>
    <w:rsid w:val="00FF263E"/>
    <w:rsid w:val="00FF2C0B"/>
    <w:rsid w:val="00FF2F7C"/>
    <w:rsid w:val="00FF31D2"/>
    <w:rsid w:val="00FF31E0"/>
    <w:rsid w:val="00FF3424"/>
    <w:rsid w:val="00FF3672"/>
    <w:rsid w:val="00FF3AD2"/>
    <w:rsid w:val="00FF3DCF"/>
    <w:rsid w:val="00FF4F69"/>
    <w:rsid w:val="00FF50EE"/>
    <w:rsid w:val="00FF5913"/>
    <w:rsid w:val="00FF5AA3"/>
    <w:rsid w:val="00FF5BD7"/>
    <w:rsid w:val="00FF61C2"/>
    <w:rsid w:val="00FF62DB"/>
    <w:rsid w:val="00FF62E8"/>
    <w:rsid w:val="00FF64DA"/>
    <w:rsid w:val="00FF6561"/>
    <w:rsid w:val="00FF699F"/>
    <w:rsid w:val="00FF6A2B"/>
    <w:rsid w:val="00FF6DCF"/>
    <w:rsid w:val="00FF77C4"/>
    <w:rsid w:val="00FF7B66"/>
    <w:rsid w:val="00FF7C52"/>
    <w:rsid w:val="00FF7E4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aliases w:val="PBAC 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PBAC 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A94C10"/>
    <w:pPr>
      <w:tabs>
        <w:tab w:val="right" w:leader="dot" w:pos="9016"/>
      </w:tabs>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E6165E"/>
    <w:pPr>
      <w:numPr>
        <w:numId w:val="7"/>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rsid w:val="00FB3F33"/>
    <w:rPr>
      <w:rFonts w:ascii="Arial Bold" w:hAnsi="Arial Bold" w:cs="Arial"/>
      <w:b/>
      <w:caps/>
      <w:snapToGrid w:val="0"/>
      <w:sz w:val="22"/>
      <w:lang w:eastAsia="en-US"/>
    </w:rPr>
  </w:style>
  <w:style w:type="paragraph" w:customStyle="1" w:styleId="PBACTableText">
    <w:name w:val="PBAC Table Text"/>
    <w:basedOn w:val="Normal"/>
    <w:link w:val="PBACTableTextChar"/>
    <w:qFormat/>
    <w:rsid w:val="00777D95"/>
    <w:pPr>
      <w:widowControl/>
      <w:spacing w:before="40" w:after="40"/>
      <w:jc w:val="left"/>
    </w:pPr>
    <w:rPr>
      <w:rFonts w:ascii="Sabon" w:hAnsi="Sabon" w:cs="Times New Roman"/>
      <w:snapToGrid/>
      <w:sz w:val="20"/>
      <w:lang w:val="en-US"/>
    </w:rPr>
  </w:style>
  <w:style w:type="character" w:customStyle="1" w:styleId="PBACTableTextChar">
    <w:name w:val="PBAC Table Text Char"/>
    <w:basedOn w:val="DefaultParagraphFont"/>
    <w:link w:val="PBACTableText"/>
    <w:rsid w:val="00777D95"/>
    <w:rPr>
      <w:rFonts w:ascii="Sabon" w:hAnsi="Sabon"/>
      <w:lang w:val="en-US" w:eastAsia="en-US"/>
    </w:rPr>
  </w:style>
  <w:style w:type="paragraph" w:customStyle="1" w:styleId="Default">
    <w:name w:val="Default"/>
    <w:rsid w:val="00955AB3"/>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semiHidden/>
    <w:unhideWhenUsed/>
    <w:rsid w:val="00854C19"/>
    <w:rPr>
      <w:sz w:val="20"/>
    </w:rPr>
  </w:style>
  <w:style w:type="character" w:customStyle="1" w:styleId="FootnoteTextChar">
    <w:name w:val="Footnote Text Char"/>
    <w:basedOn w:val="DefaultParagraphFont"/>
    <w:link w:val="FootnoteText"/>
    <w:semiHidden/>
    <w:rsid w:val="00854C19"/>
    <w:rPr>
      <w:rFonts w:ascii="Arial" w:hAnsi="Arial" w:cs="Arial"/>
      <w:snapToGrid w:val="0"/>
      <w:lang w:eastAsia="en-US"/>
    </w:rPr>
  </w:style>
  <w:style w:type="character" w:styleId="FootnoteReference">
    <w:name w:val="footnote reference"/>
    <w:basedOn w:val="DefaultParagraphFont"/>
    <w:semiHidden/>
    <w:unhideWhenUsed/>
    <w:rsid w:val="00854C19"/>
    <w:rPr>
      <w:vertAlign w:val="superscript"/>
    </w:rPr>
  </w:style>
  <w:style w:type="table" w:customStyle="1" w:styleId="TableGridbeth1">
    <w:name w:val="Table Gridbeth1"/>
    <w:basedOn w:val="TableNormal"/>
    <w:next w:val="TableGrid"/>
    <w:uiPriority w:val="59"/>
    <w:rsid w:val="008A5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1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251A6"/>
    <w:rPr>
      <w:rFonts w:ascii="Arial" w:hAnsi="Arial" w:cs="Arial"/>
      <w:snapToGrid w:val="0"/>
      <w:sz w:val="22"/>
      <w:u w:val="single"/>
      <w:lang w:eastAsia="en-US"/>
    </w:rPr>
  </w:style>
  <w:style w:type="character" w:customStyle="1" w:styleId="Heading4Char">
    <w:name w:val="Heading 4 Char"/>
    <w:basedOn w:val="DefaultParagraphFont"/>
    <w:link w:val="Heading4"/>
    <w:rsid w:val="00B251A6"/>
    <w:rPr>
      <w:rFonts w:ascii="Arial" w:hAnsi="Arial" w:cs="Arial"/>
      <w:b/>
      <w:bCs/>
      <w:i/>
      <w:snapToGrid w:val="0"/>
      <w:sz w:val="26"/>
      <w:szCs w:val="28"/>
      <w:lang w:eastAsia="en-US"/>
    </w:rPr>
  </w:style>
  <w:style w:type="character" w:customStyle="1" w:styleId="Heading5Char">
    <w:name w:val="Heading 5 Char"/>
    <w:basedOn w:val="DefaultParagraphFont"/>
    <w:link w:val="Heading5"/>
    <w:rsid w:val="00B251A6"/>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B251A6"/>
    <w:rPr>
      <w:rFonts w:ascii="Arial" w:hAnsi="Arial" w:cs="Arial"/>
      <w:b/>
      <w:bCs/>
      <w:i/>
      <w:snapToGrid w:val="0"/>
      <w:sz w:val="22"/>
      <w:szCs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14C90"/>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aliases w:val="BulletPoints Char"/>
    <w:link w:val="ListParagraph"/>
    <w:uiPriority w:val="72"/>
    <w:rsid w:val="003739A8"/>
    <w:rPr>
      <w:rFonts w:ascii="Arial" w:hAnsi="Arial" w:cs="Arial"/>
      <w:snapToGrid w:val="0"/>
      <w:sz w:val="22"/>
      <w:lang w:eastAsia="en-US"/>
    </w:rPr>
  </w:style>
  <w:style w:type="character" w:styleId="IntenseReference">
    <w:name w:val="Intense Reference"/>
    <w:uiPriority w:val="32"/>
    <w:qFormat/>
    <w:rsid w:val="00046749"/>
    <w:rPr>
      <w:b/>
      <w:bCs/>
      <w:i/>
      <w:smallCaps/>
      <w:color w:val="C0504D"/>
      <w:spacing w:val="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aliases w:val="PBAC 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aliases w:val="PBAC 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A94C10"/>
    <w:pPr>
      <w:tabs>
        <w:tab w:val="right" w:leader="dot" w:pos="9016"/>
      </w:tabs>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E6165E"/>
    <w:pPr>
      <w:numPr>
        <w:numId w:val="7"/>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rsid w:val="00FB3F33"/>
    <w:rPr>
      <w:rFonts w:ascii="Arial Bold" w:hAnsi="Arial Bold" w:cs="Arial"/>
      <w:b/>
      <w:caps/>
      <w:snapToGrid w:val="0"/>
      <w:sz w:val="22"/>
      <w:lang w:eastAsia="en-US"/>
    </w:rPr>
  </w:style>
  <w:style w:type="paragraph" w:customStyle="1" w:styleId="PBACTableText">
    <w:name w:val="PBAC Table Text"/>
    <w:basedOn w:val="Normal"/>
    <w:link w:val="PBACTableTextChar"/>
    <w:qFormat/>
    <w:rsid w:val="00777D95"/>
    <w:pPr>
      <w:widowControl/>
      <w:spacing w:before="40" w:after="40"/>
      <w:jc w:val="left"/>
    </w:pPr>
    <w:rPr>
      <w:rFonts w:ascii="Sabon" w:hAnsi="Sabon" w:cs="Times New Roman"/>
      <w:snapToGrid/>
      <w:sz w:val="20"/>
      <w:lang w:val="en-US"/>
    </w:rPr>
  </w:style>
  <w:style w:type="character" w:customStyle="1" w:styleId="PBACTableTextChar">
    <w:name w:val="PBAC Table Text Char"/>
    <w:basedOn w:val="DefaultParagraphFont"/>
    <w:link w:val="PBACTableText"/>
    <w:rsid w:val="00777D95"/>
    <w:rPr>
      <w:rFonts w:ascii="Sabon" w:hAnsi="Sabon"/>
      <w:lang w:val="en-US" w:eastAsia="en-US"/>
    </w:rPr>
  </w:style>
  <w:style w:type="paragraph" w:customStyle="1" w:styleId="Default">
    <w:name w:val="Default"/>
    <w:rsid w:val="00955AB3"/>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semiHidden/>
    <w:unhideWhenUsed/>
    <w:rsid w:val="00854C19"/>
    <w:rPr>
      <w:sz w:val="20"/>
    </w:rPr>
  </w:style>
  <w:style w:type="character" w:customStyle="1" w:styleId="FootnoteTextChar">
    <w:name w:val="Footnote Text Char"/>
    <w:basedOn w:val="DefaultParagraphFont"/>
    <w:link w:val="FootnoteText"/>
    <w:semiHidden/>
    <w:rsid w:val="00854C19"/>
    <w:rPr>
      <w:rFonts w:ascii="Arial" w:hAnsi="Arial" w:cs="Arial"/>
      <w:snapToGrid w:val="0"/>
      <w:lang w:eastAsia="en-US"/>
    </w:rPr>
  </w:style>
  <w:style w:type="character" w:styleId="FootnoteReference">
    <w:name w:val="footnote reference"/>
    <w:basedOn w:val="DefaultParagraphFont"/>
    <w:semiHidden/>
    <w:unhideWhenUsed/>
    <w:rsid w:val="00854C19"/>
    <w:rPr>
      <w:vertAlign w:val="superscript"/>
    </w:rPr>
  </w:style>
  <w:style w:type="table" w:customStyle="1" w:styleId="TableGridbeth1">
    <w:name w:val="Table Gridbeth1"/>
    <w:basedOn w:val="TableNormal"/>
    <w:next w:val="TableGrid"/>
    <w:uiPriority w:val="59"/>
    <w:rsid w:val="008A5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10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251A6"/>
    <w:rPr>
      <w:rFonts w:ascii="Arial" w:hAnsi="Arial" w:cs="Arial"/>
      <w:snapToGrid w:val="0"/>
      <w:sz w:val="22"/>
      <w:u w:val="single"/>
      <w:lang w:eastAsia="en-US"/>
    </w:rPr>
  </w:style>
  <w:style w:type="character" w:customStyle="1" w:styleId="Heading4Char">
    <w:name w:val="Heading 4 Char"/>
    <w:basedOn w:val="DefaultParagraphFont"/>
    <w:link w:val="Heading4"/>
    <w:rsid w:val="00B251A6"/>
    <w:rPr>
      <w:rFonts w:ascii="Arial" w:hAnsi="Arial" w:cs="Arial"/>
      <w:b/>
      <w:bCs/>
      <w:i/>
      <w:snapToGrid w:val="0"/>
      <w:sz w:val="26"/>
      <w:szCs w:val="28"/>
      <w:lang w:eastAsia="en-US"/>
    </w:rPr>
  </w:style>
  <w:style w:type="character" w:customStyle="1" w:styleId="Heading5Char">
    <w:name w:val="Heading 5 Char"/>
    <w:basedOn w:val="DefaultParagraphFont"/>
    <w:link w:val="Heading5"/>
    <w:rsid w:val="00B251A6"/>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B251A6"/>
    <w:rPr>
      <w:rFonts w:ascii="Arial" w:hAnsi="Arial" w:cs="Arial"/>
      <w:b/>
      <w:bCs/>
      <w:i/>
      <w:snapToGrid w:val="0"/>
      <w:sz w:val="22"/>
      <w:szCs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14C90"/>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aliases w:val="BulletPoints Char"/>
    <w:link w:val="ListParagraph"/>
    <w:uiPriority w:val="72"/>
    <w:rsid w:val="003739A8"/>
    <w:rPr>
      <w:rFonts w:ascii="Arial" w:hAnsi="Arial" w:cs="Arial"/>
      <w:snapToGrid w:val="0"/>
      <w:sz w:val="22"/>
      <w:lang w:eastAsia="en-US"/>
    </w:rPr>
  </w:style>
  <w:style w:type="character" w:styleId="IntenseReference">
    <w:name w:val="Intense Reference"/>
    <w:uiPriority w:val="32"/>
    <w:qFormat/>
    <w:rsid w:val="00046749"/>
    <w:rPr>
      <w:b/>
      <w:bCs/>
      <w:i/>
      <w:smallCaps/>
      <w:color w:val="C0504D"/>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2530">
      <w:bodyDiv w:val="1"/>
      <w:marLeft w:val="0"/>
      <w:marRight w:val="0"/>
      <w:marTop w:val="0"/>
      <w:marBottom w:val="0"/>
      <w:divBdr>
        <w:top w:val="none" w:sz="0" w:space="0" w:color="auto"/>
        <w:left w:val="none" w:sz="0" w:space="0" w:color="auto"/>
        <w:bottom w:val="none" w:sz="0" w:space="0" w:color="auto"/>
        <w:right w:val="none" w:sz="0" w:space="0" w:color="auto"/>
      </w:divBdr>
    </w:div>
    <w:div w:id="789670497">
      <w:bodyDiv w:val="1"/>
      <w:marLeft w:val="0"/>
      <w:marRight w:val="0"/>
      <w:marTop w:val="0"/>
      <w:marBottom w:val="0"/>
      <w:divBdr>
        <w:top w:val="none" w:sz="0" w:space="0" w:color="auto"/>
        <w:left w:val="none" w:sz="0" w:space="0" w:color="auto"/>
        <w:bottom w:val="none" w:sz="0" w:space="0" w:color="auto"/>
        <w:right w:val="none" w:sz="0" w:space="0" w:color="auto"/>
      </w:divBdr>
    </w:div>
    <w:div w:id="187611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D38B2-3C00-4936-AE65-6248A3E8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8074</Words>
  <Characters>45096</Characters>
  <Application>Microsoft Office Word</Application>
  <DocSecurity>0</DocSecurity>
  <Lines>375</Lines>
  <Paragraphs>106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2016-06-21T04:38:00Z</dcterms:created>
  <dcterms:modified xsi:type="dcterms:W3CDTF">2016-06-22T03:57:00Z</dcterms:modified>
</cp:coreProperties>
</file>