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80C" w:rsidRPr="0082086D" w:rsidRDefault="0036078B" w:rsidP="0047593B">
      <w:pPr>
        <w:pStyle w:val="Title"/>
      </w:pPr>
      <w:r w:rsidRPr="0082086D">
        <w:t>5.21</w:t>
      </w:r>
      <w:r w:rsidR="007C0F57" w:rsidRPr="0082086D">
        <w:tab/>
      </w:r>
      <w:r w:rsidRPr="0082086D">
        <w:t>TACROLIMUS</w:t>
      </w:r>
      <w:r w:rsidR="0047593B">
        <w:t xml:space="preserve"> </w:t>
      </w:r>
      <w:r w:rsidR="0047593B">
        <w:br/>
      </w:r>
      <w:r w:rsidR="0018535F" w:rsidRPr="0082086D">
        <w:t>75</w:t>
      </w:r>
      <w:r w:rsidR="00C35324" w:rsidRPr="0082086D">
        <w:t>0</w:t>
      </w:r>
      <w:r w:rsidR="0018535F" w:rsidRPr="0082086D">
        <w:t xml:space="preserve"> microgram capsule, 100; 2 mg capsule</w:t>
      </w:r>
      <w:r w:rsidR="0004240E" w:rsidRPr="0082086D">
        <w:t>,</w:t>
      </w:r>
      <w:r w:rsidR="0018535F" w:rsidRPr="0082086D">
        <w:t xml:space="preserve"> 100</w:t>
      </w:r>
      <w:r w:rsidR="0047593B">
        <w:t xml:space="preserve"> </w:t>
      </w:r>
      <w:r w:rsidR="0047593B">
        <w:br/>
      </w:r>
      <w:proofErr w:type="spellStart"/>
      <w:r w:rsidRPr="0082086D">
        <w:t>Tacrolimus</w:t>
      </w:r>
      <w:proofErr w:type="spellEnd"/>
      <w:r w:rsidRPr="0082086D">
        <w:t xml:space="preserve"> Sandoz</w:t>
      </w:r>
      <w:r w:rsidR="0004240E" w:rsidRPr="0082086D">
        <w:t>®</w:t>
      </w:r>
      <w:r w:rsidR="00EF44A0" w:rsidRPr="0082086D">
        <w:t xml:space="preserve">, </w:t>
      </w:r>
      <w:r w:rsidR="0018535F" w:rsidRPr="0082086D">
        <w:br/>
      </w:r>
      <w:r w:rsidRPr="0082086D">
        <w:t>Sandoz Pty Ltd</w:t>
      </w:r>
    </w:p>
    <w:p w:rsidR="00CE10C4" w:rsidRDefault="00CE10C4" w:rsidP="00C27B58">
      <w:pPr>
        <w:pStyle w:val="NoSpacing"/>
      </w:pPr>
    </w:p>
    <w:p w:rsidR="00C27B58" w:rsidRDefault="00C27B58" w:rsidP="00C27B58">
      <w:pPr>
        <w:pStyle w:val="NoSpacing"/>
      </w:pPr>
    </w:p>
    <w:p w:rsidR="00CE10C4" w:rsidRPr="0082086D" w:rsidRDefault="00CE10C4" w:rsidP="0082086D">
      <w:pPr>
        <w:pStyle w:val="Heading1"/>
      </w:pPr>
      <w:r w:rsidRPr="0082086D">
        <w:t xml:space="preserve">Purpose of </w:t>
      </w:r>
      <w:r w:rsidR="0004240E" w:rsidRPr="0082086D">
        <w:t>Application</w:t>
      </w:r>
    </w:p>
    <w:p w:rsidR="006A12A5" w:rsidRPr="00882085" w:rsidRDefault="006A12A5" w:rsidP="00882085">
      <w:pPr>
        <w:jc w:val="both"/>
        <w:rPr>
          <w:rFonts w:ascii="Arial" w:hAnsi="Arial"/>
          <w:sz w:val="22"/>
          <w:szCs w:val="22"/>
        </w:rPr>
      </w:pPr>
    </w:p>
    <w:p w:rsidR="00F9629A" w:rsidRPr="0036078B" w:rsidRDefault="00EF44A0" w:rsidP="00C27B58">
      <w:pPr>
        <w:pStyle w:val="ListParagraph"/>
        <w:numPr>
          <w:ilvl w:val="1"/>
          <w:numId w:val="25"/>
        </w:numPr>
        <w:jc w:val="both"/>
        <w:rPr>
          <w:rFonts w:ascii="Arial" w:hAnsi="Arial"/>
          <w:b/>
          <w:sz w:val="22"/>
          <w:szCs w:val="22"/>
        </w:rPr>
      </w:pPr>
      <w:r>
        <w:rPr>
          <w:rFonts w:ascii="Arial" w:hAnsi="Arial"/>
          <w:sz w:val="22"/>
          <w:szCs w:val="22"/>
        </w:rPr>
        <w:t>The mi</w:t>
      </w:r>
      <w:r w:rsidR="00FF2801">
        <w:rPr>
          <w:rFonts w:ascii="Arial" w:hAnsi="Arial"/>
          <w:sz w:val="22"/>
          <w:szCs w:val="22"/>
        </w:rPr>
        <w:t xml:space="preserve">nor submission </w:t>
      </w:r>
      <w:r w:rsidR="0036078B">
        <w:rPr>
          <w:rFonts w:ascii="Arial" w:hAnsi="Arial"/>
          <w:sz w:val="22"/>
          <w:szCs w:val="22"/>
        </w:rPr>
        <w:t xml:space="preserve">requested </w:t>
      </w:r>
      <w:r w:rsidR="007372F4">
        <w:rPr>
          <w:rFonts w:ascii="Arial" w:hAnsi="Arial"/>
          <w:sz w:val="22"/>
          <w:szCs w:val="22"/>
        </w:rPr>
        <w:t>PBS</w:t>
      </w:r>
      <w:r w:rsidR="0036078B">
        <w:rPr>
          <w:rFonts w:ascii="Arial" w:hAnsi="Arial"/>
          <w:sz w:val="22"/>
          <w:szCs w:val="22"/>
        </w:rPr>
        <w:t xml:space="preserve"> </w:t>
      </w:r>
      <w:r>
        <w:rPr>
          <w:rFonts w:ascii="Arial" w:hAnsi="Arial"/>
          <w:sz w:val="22"/>
          <w:szCs w:val="22"/>
        </w:rPr>
        <w:t>listing</w:t>
      </w:r>
      <w:r w:rsidR="0036078B">
        <w:rPr>
          <w:rFonts w:ascii="Arial" w:hAnsi="Arial"/>
          <w:sz w:val="22"/>
          <w:szCs w:val="22"/>
        </w:rPr>
        <w:t xml:space="preserve"> of </w:t>
      </w:r>
      <w:r w:rsidR="007372F4">
        <w:rPr>
          <w:rFonts w:ascii="Arial" w:hAnsi="Arial"/>
          <w:sz w:val="22"/>
          <w:szCs w:val="22"/>
        </w:rPr>
        <w:t xml:space="preserve">two </w:t>
      </w:r>
      <w:r w:rsidR="0036078B">
        <w:rPr>
          <w:rFonts w:ascii="Arial" w:hAnsi="Arial"/>
          <w:sz w:val="22"/>
          <w:szCs w:val="22"/>
        </w:rPr>
        <w:t xml:space="preserve">additional strengths of </w:t>
      </w:r>
      <w:proofErr w:type="spellStart"/>
      <w:r w:rsidR="0036078B">
        <w:rPr>
          <w:rFonts w:ascii="Arial" w:hAnsi="Arial"/>
          <w:sz w:val="22"/>
          <w:szCs w:val="22"/>
        </w:rPr>
        <w:t>tacrolimus</w:t>
      </w:r>
      <w:proofErr w:type="spellEnd"/>
      <w:r w:rsidR="007372F4">
        <w:rPr>
          <w:rFonts w:ascii="Arial" w:hAnsi="Arial"/>
          <w:sz w:val="22"/>
          <w:szCs w:val="22"/>
        </w:rPr>
        <w:t xml:space="preserve">, </w:t>
      </w:r>
      <w:r w:rsidR="0018535F">
        <w:rPr>
          <w:rFonts w:ascii="Arial" w:hAnsi="Arial"/>
          <w:sz w:val="22"/>
          <w:szCs w:val="22"/>
        </w:rPr>
        <w:t>75</w:t>
      </w:r>
      <w:r w:rsidR="00C35324">
        <w:rPr>
          <w:rFonts w:ascii="Arial" w:hAnsi="Arial"/>
          <w:sz w:val="22"/>
          <w:szCs w:val="22"/>
        </w:rPr>
        <w:t>0</w:t>
      </w:r>
      <w:r w:rsidR="0018535F">
        <w:rPr>
          <w:rFonts w:ascii="Arial" w:hAnsi="Arial"/>
          <w:sz w:val="22"/>
          <w:szCs w:val="22"/>
        </w:rPr>
        <w:t xml:space="preserve"> microgram</w:t>
      </w:r>
      <w:r w:rsidR="007372F4">
        <w:rPr>
          <w:rFonts w:ascii="Arial" w:hAnsi="Arial"/>
          <w:sz w:val="22"/>
          <w:szCs w:val="22"/>
        </w:rPr>
        <w:t xml:space="preserve"> and 2 mg. </w:t>
      </w:r>
      <w:r w:rsidR="0036078B">
        <w:rPr>
          <w:rFonts w:ascii="Arial" w:hAnsi="Arial"/>
          <w:sz w:val="22"/>
          <w:szCs w:val="22"/>
        </w:rPr>
        <w:t>The current</w:t>
      </w:r>
      <w:r w:rsidR="0018535F">
        <w:rPr>
          <w:rFonts w:ascii="Arial" w:hAnsi="Arial"/>
          <w:sz w:val="22"/>
          <w:szCs w:val="22"/>
        </w:rPr>
        <w:t>ly listed</w:t>
      </w:r>
      <w:r w:rsidR="0036078B">
        <w:rPr>
          <w:rFonts w:ascii="Arial" w:hAnsi="Arial"/>
          <w:sz w:val="22"/>
          <w:szCs w:val="22"/>
        </w:rPr>
        <w:t xml:space="preserve"> strengths are </w:t>
      </w:r>
      <w:r w:rsidR="0018535F">
        <w:rPr>
          <w:rFonts w:ascii="Arial" w:hAnsi="Arial"/>
          <w:sz w:val="22"/>
          <w:szCs w:val="22"/>
        </w:rPr>
        <w:t>500 microgram</w:t>
      </w:r>
      <w:r w:rsidR="0036078B">
        <w:rPr>
          <w:rFonts w:ascii="Arial" w:hAnsi="Arial"/>
          <w:sz w:val="22"/>
          <w:szCs w:val="22"/>
        </w:rPr>
        <w:t>, 1</w:t>
      </w:r>
      <w:r w:rsidR="007372F4">
        <w:rPr>
          <w:rFonts w:ascii="Arial" w:hAnsi="Arial"/>
          <w:sz w:val="22"/>
          <w:szCs w:val="22"/>
        </w:rPr>
        <w:t xml:space="preserve"> </w:t>
      </w:r>
      <w:r w:rsidR="0036078B">
        <w:rPr>
          <w:rFonts w:ascii="Arial" w:hAnsi="Arial"/>
          <w:sz w:val="22"/>
          <w:szCs w:val="22"/>
        </w:rPr>
        <w:t>mg and 5</w:t>
      </w:r>
      <w:r w:rsidR="007372F4">
        <w:rPr>
          <w:rFonts w:ascii="Arial" w:hAnsi="Arial"/>
          <w:sz w:val="22"/>
          <w:szCs w:val="22"/>
        </w:rPr>
        <w:t xml:space="preserve"> </w:t>
      </w:r>
      <w:r w:rsidR="0036078B">
        <w:rPr>
          <w:rFonts w:ascii="Arial" w:hAnsi="Arial"/>
          <w:sz w:val="22"/>
          <w:szCs w:val="22"/>
        </w:rPr>
        <w:t>mg.</w:t>
      </w:r>
    </w:p>
    <w:p w:rsidR="00EF44A0" w:rsidRDefault="00EF44A0" w:rsidP="00C27B58">
      <w:pPr>
        <w:pStyle w:val="NoSpacing"/>
      </w:pPr>
    </w:p>
    <w:p w:rsidR="00595612" w:rsidRPr="00C27B58" w:rsidRDefault="00595612" w:rsidP="00C27B58">
      <w:pPr>
        <w:pStyle w:val="NoSpacing"/>
      </w:pPr>
    </w:p>
    <w:p w:rsidR="00614159" w:rsidRPr="00882085" w:rsidRDefault="006A12A5" w:rsidP="0082086D">
      <w:pPr>
        <w:pStyle w:val="Heading1"/>
        <w:rPr>
          <w:b w:val="0"/>
        </w:rPr>
      </w:pPr>
      <w:r w:rsidRPr="00882085">
        <w:t>Requested listing</w:t>
      </w:r>
    </w:p>
    <w:p w:rsidR="006A12A5" w:rsidRPr="00882085" w:rsidRDefault="006A12A5" w:rsidP="00882085">
      <w:pPr>
        <w:jc w:val="both"/>
        <w:rPr>
          <w:rFonts w:ascii="Arial" w:hAnsi="Arial"/>
          <w:b/>
          <w:sz w:val="22"/>
          <w:szCs w:val="22"/>
        </w:rPr>
      </w:pPr>
    </w:p>
    <w:p w:rsidR="000E1E6D" w:rsidRDefault="00EF44A0" w:rsidP="00D50AB7">
      <w:pPr>
        <w:pStyle w:val="ListParagraph"/>
        <w:numPr>
          <w:ilvl w:val="1"/>
          <w:numId w:val="25"/>
        </w:numPr>
        <w:jc w:val="both"/>
        <w:rPr>
          <w:rFonts w:ascii="Arial" w:hAnsi="Arial"/>
          <w:sz w:val="22"/>
          <w:szCs w:val="22"/>
        </w:rPr>
      </w:pPr>
      <w:r>
        <w:rPr>
          <w:rFonts w:ascii="Arial" w:hAnsi="Arial"/>
          <w:sz w:val="22"/>
          <w:szCs w:val="22"/>
        </w:rPr>
        <w:t xml:space="preserve">The submission </w:t>
      </w:r>
      <w:r w:rsidR="00FC2A00">
        <w:rPr>
          <w:rFonts w:ascii="Arial" w:hAnsi="Arial"/>
          <w:sz w:val="22"/>
          <w:szCs w:val="22"/>
        </w:rPr>
        <w:t>sought to list the</w:t>
      </w:r>
      <w:r w:rsidR="00D27296">
        <w:rPr>
          <w:rFonts w:ascii="Arial" w:hAnsi="Arial"/>
          <w:sz w:val="22"/>
          <w:szCs w:val="22"/>
        </w:rPr>
        <w:t xml:space="preserve"> </w:t>
      </w:r>
      <w:r w:rsidR="0018535F">
        <w:rPr>
          <w:rFonts w:ascii="Arial" w:hAnsi="Arial"/>
          <w:sz w:val="22"/>
          <w:szCs w:val="22"/>
        </w:rPr>
        <w:t>75</w:t>
      </w:r>
      <w:r w:rsidR="00C35324">
        <w:rPr>
          <w:rFonts w:ascii="Arial" w:hAnsi="Arial"/>
          <w:sz w:val="22"/>
          <w:szCs w:val="22"/>
        </w:rPr>
        <w:t>0</w:t>
      </w:r>
      <w:r w:rsidR="0018535F">
        <w:rPr>
          <w:rFonts w:ascii="Arial" w:hAnsi="Arial"/>
          <w:sz w:val="22"/>
          <w:szCs w:val="22"/>
        </w:rPr>
        <w:t xml:space="preserve"> microgram </w:t>
      </w:r>
      <w:r w:rsidR="00D27296">
        <w:rPr>
          <w:rFonts w:ascii="Arial" w:hAnsi="Arial"/>
          <w:sz w:val="22"/>
          <w:szCs w:val="22"/>
        </w:rPr>
        <w:t>and 2 mg</w:t>
      </w:r>
      <w:r w:rsidR="00FC2A00">
        <w:rPr>
          <w:rFonts w:ascii="Arial" w:hAnsi="Arial"/>
          <w:sz w:val="22"/>
          <w:szCs w:val="22"/>
        </w:rPr>
        <w:t xml:space="preserve"> strengths with the same </w:t>
      </w:r>
      <w:r w:rsidR="00FC2A00" w:rsidRPr="00A51142">
        <w:rPr>
          <w:rFonts w:ascii="Arial" w:hAnsi="Arial"/>
          <w:sz w:val="22"/>
          <w:szCs w:val="22"/>
        </w:rPr>
        <w:t>General Schedule and Section 100 Highly Specialised Drugs (public/private) listings</w:t>
      </w:r>
      <w:r w:rsidR="00FC2A00">
        <w:rPr>
          <w:rFonts w:ascii="Arial" w:hAnsi="Arial"/>
          <w:sz w:val="22"/>
          <w:szCs w:val="22"/>
        </w:rPr>
        <w:t xml:space="preserve"> as the existing </w:t>
      </w:r>
      <w:r w:rsidR="00D27296">
        <w:rPr>
          <w:rFonts w:ascii="Arial" w:hAnsi="Arial"/>
          <w:sz w:val="22"/>
          <w:szCs w:val="22"/>
        </w:rPr>
        <w:t>strengths</w:t>
      </w:r>
      <w:r w:rsidR="00FC2A00">
        <w:rPr>
          <w:rFonts w:ascii="Arial" w:hAnsi="Arial"/>
          <w:sz w:val="22"/>
          <w:szCs w:val="22"/>
        </w:rPr>
        <w:t>.</w:t>
      </w:r>
      <w:r>
        <w:rPr>
          <w:rFonts w:ascii="Arial" w:hAnsi="Arial"/>
          <w:sz w:val="22"/>
          <w:szCs w:val="22"/>
        </w:rPr>
        <w:t xml:space="preserve"> </w:t>
      </w:r>
    </w:p>
    <w:p w:rsidR="0059489B" w:rsidRDefault="0059489B" w:rsidP="0059489B">
      <w:pPr>
        <w:jc w:val="both"/>
        <w:rPr>
          <w:rFonts w:ascii="Arial" w:hAnsi="Arial"/>
          <w:sz w:val="22"/>
          <w:szCs w:val="22"/>
        </w:rPr>
      </w:pPr>
    </w:p>
    <w:p w:rsidR="0059489B" w:rsidRPr="0059489B" w:rsidRDefault="0059489B" w:rsidP="0059489B">
      <w:pPr>
        <w:pStyle w:val="ListParagraph"/>
        <w:ind w:left="709"/>
        <w:jc w:val="both"/>
        <w:rPr>
          <w:rFonts w:ascii="Arial" w:hAnsi="Arial"/>
          <w:i/>
          <w:sz w:val="22"/>
          <w:szCs w:val="22"/>
        </w:rPr>
      </w:pPr>
      <w:r w:rsidRPr="00A81FBA">
        <w:rPr>
          <w:rFonts w:ascii="Arial" w:hAnsi="Arial"/>
          <w:i/>
          <w:sz w:val="22"/>
          <w:szCs w:val="22"/>
        </w:rPr>
        <w:t>For more detail on PBAC’s view, see section 6 “PBAC outcome”</w:t>
      </w:r>
    </w:p>
    <w:p w:rsidR="00BB7EC3" w:rsidRDefault="00BB7EC3" w:rsidP="00882085">
      <w:pPr>
        <w:jc w:val="both"/>
        <w:rPr>
          <w:rFonts w:ascii="Arial" w:hAnsi="Arial"/>
          <w:b/>
          <w:sz w:val="22"/>
          <w:szCs w:val="22"/>
        </w:rPr>
      </w:pPr>
    </w:p>
    <w:p w:rsidR="00595612" w:rsidRPr="00882085" w:rsidRDefault="00595612" w:rsidP="00882085">
      <w:pPr>
        <w:jc w:val="both"/>
        <w:rPr>
          <w:rFonts w:ascii="Arial" w:hAnsi="Arial"/>
          <w:b/>
          <w:sz w:val="22"/>
          <w:szCs w:val="22"/>
        </w:rPr>
      </w:pPr>
    </w:p>
    <w:p w:rsidR="00CE10C4" w:rsidRPr="00882085" w:rsidRDefault="00CE10C4" w:rsidP="0082086D">
      <w:pPr>
        <w:pStyle w:val="Heading1"/>
      </w:pPr>
      <w:r w:rsidRPr="00882085">
        <w:t>Background</w:t>
      </w:r>
    </w:p>
    <w:p w:rsidR="006A12A5" w:rsidRPr="00882085" w:rsidRDefault="006A12A5" w:rsidP="00882085">
      <w:pPr>
        <w:jc w:val="both"/>
        <w:rPr>
          <w:rFonts w:ascii="Arial" w:hAnsi="Arial"/>
          <w:sz w:val="22"/>
          <w:szCs w:val="22"/>
        </w:rPr>
      </w:pPr>
    </w:p>
    <w:p w:rsidR="002B1AE6" w:rsidRPr="00090D0B" w:rsidRDefault="00E21866" w:rsidP="00882085">
      <w:pPr>
        <w:pStyle w:val="ListParagraph"/>
        <w:numPr>
          <w:ilvl w:val="1"/>
          <w:numId w:val="25"/>
        </w:numPr>
        <w:jc w:val="both"/>
        <w:rPr>
          <w:rFonts w:ascii="Arial" w:hAnsi="Arial"/>
          <w:i/>
          <w:sz w:val="22"/>
          <w:szCs w:val="22"/>
        </w:rPr>
      </w:pPr>
      <w:r>
        <w:rPr>
          <w:rFonts w:ascii="Arial" w:hAnsi="Arial"/>
          <w:sz w:val="22"/>
          <w:szCs w:val="22"/>
        </w:rPr>
        <w:t xml:space="preserve">The currently listed strengths of </w:t>
      </w:r>
      <w:proofErr w:type="spellStart"/>
      <w:r>
        <w:rPr>
          <w:rFonts w:ascii="Arial" w:hAnsi="Arial"/>
          <w:sz w:val="22"/>
          <w:szCs w:val="22"/>
        </w:rPr>
        <w:t>t</w:t>
      </w:r>
      <w:r w:rsidR="000A1642">
        <w:rPr>
          <w:rFonts w:ascii="Arial" w:hAnsi="Arial"/>
          <w:sz w:val="22"/>
          <w:szCs w:val="22"/>
        </w:rPr>
        <w:t>acrolimus</w:t>
      </w:r>
      <w:proofErr w:type="spellEnd"/>
      <w:r>
        <w:rPr>
          <w:rFonts w:ascii="Arial" w:hAnsi="Arial"/>
          <w:sz w:val="22"/>
          <w:szCs w:val="22"/>
        </w:rPr>
        <w:t xml:space="preserve"> </w:t>
      </w:r>
      <w:r w:rsidR="003E1687">
        <w:rPr>
          <w:rFonts w:ascii="Arial" w:hAnsi="Arial"/>
          <w:sz w:val="22"/>
          <w:szCs w:val="22"/>
        </w:rPr>
        <w:t>Sandoz</w:t>
      </w:r>
      <w:r w:rsidR="003E1687" w:rsidRPr="003E1687">
        <w:rPr>
          <w:rFonts w:ascii="Arial" w:hAnsi="Arial"/>
          <w:sz w:val="22"/>
          <w:szCs w:val="22"/>
          <w:vertAlign w:val="superscript"/>
        </w:rPr>
        <w:t>®</w:t>
      </w:r>
      <w:r>
        <w:rPr>
          <w:rFonts w:ascii="Arial" w:hAnsi="Arial"/>
          <w:sz w:val="22"/>
          <w:szCs w:val="22"/>
        </w:rPr>
        <w:t xml:space="preserve"> </w:t>
      </w:r>
      <w:r w:rsidR="003E1687">
        <w:rPr>
          <w:rFonts w:ascii="Arial" w:hAnsi="Arial"/>
          <w:sz w:val="22"/>
          <w:szCs w:val="22"/>
        </w:rPr>
        <w:t>(</w:t>
      </w:r>
      <w:r>
        <w:rPr>
          <w:rFonts w:ascii="Arial" w:hAnsi="Arial"/>
          <w:sz w:val="22"/>
          <w:szCs w:val="22"/>
        </w:rPr>
        <w:t xml:space="preserve">a generic version of </w:t>
      </w:r>
      <w:proofErr w:type="spellStart"/>
      <w:r>
        <w:rPr>
          <w:rFonts w:ascii="Arial" w:hAnsi="Arial"/>
          <w:sz w:val="22"/>
          <w:szCs w:val="22"/>
        </w:rPr>
        <w:t>prograf</w:t>
      </w:r>
      <w:proofErr w:type="spellEnd"/>
      <w:r w:rsidRPr="00E21866">
        <w:rPr>
          <w:rFonts w:ascii="Arial" w:hAnsi="Arial" w:cs="Arial"/>
          <w:b/>
          <w:sz w:val="22"/>
          <w:szCs w:val="22"/>
          <w:vertAlign w:val="superscript"/>
        </w:rPr>
        <w:t>®</w:t>
      </w:r>
      <w:r w:rsidR="003E1687" w:rsidRPr="003E1687">
        <w:rPr>
          <w:rFonts w:ascii="Arial" w:hAnsi="Arial" w:cs="Arial"/>
          <w:sz w:val="22"/>
          <w:szCs w:val="22"/>
        </w:rPr>
        <w:t>)</w:t>
      </w:r>
      <w:r>
        <w:rPr>
          <w:rFonts w:ascii="Arial" w:hAnsi="Arial"/>
          <w:sz w:val="22"/>
          <w:szCs w:val="22"/>
        </w:rPr>
        <w:t xml:space="preserve"> were TGA registered in February 2010 </w:t>
      </w:r>
      <w:r w:rsidR="00476245">
        <w:rPr>
          <w:rFonts w:ascii="Arial" w:hAnsi="Arial"/>
          <w:sz w:val="22"/>
          <w:szCs w:val="22"/>
        </w:rPr>
        <w:t>for</w:t>
      </w:r>
      <w:r w:rsidR="000A1642">
        <w:rPr>
          <w:rFonts w:ascii="Arial" w:hAnsi="Arial"/>
          <w:sz w:val="22"/>
          <w:szCs w:val="22"/>
        </w:rPr>
        <w:t xml:space="preserve"> </w:t>
      </w:r>
      <w:r w:rsidR="000A1642" w:rsidRPr="000A1642">
        <w:rPr>
          <w:rFonts w:ascii="Arial" w:hAnsi="Arial"/>
          <w:sz w:val="22"/>
          <w:szCs w:val="22"/>
        </w:rPr>
        <w:t xml:space="preserve">use </w:t>
      </w:r>
      <w:r w:rsidR="000A1642" w:rsidRPr="000A1642">
        <w:rPr>
          <w:rFonts w:ascii="Arial" w:hAnsi="Arial" w:cs="Arial"/>
          <w:sz w:val="22"/>
          <w:szCs w:val="22"/>
        </w:rPr>
        <w:t>as an adjunct to liver, kidney, lung or heart allograft transplantation in adults and children</w:t>
      </w:r>
      <w:r w:rsidR="00FB00DC">
        <w:rPr>
          <w:rFonts w:ascii="Arial" w:hAnsi="Arial"/>
          <w:sz w:val="22"/>
          <w:szCs w:val="22"/>
        </w:rPr>
        <w:t>.</w:t>
      </w:r>
      <w:r w:rsidR="002B1AE6" w:rsidRPr="00476245">
        <w:rPr>
          <w:rFonts w:ascii="Arial" w:hAnsi="Arial"/>
          <w:sz w:val="22"/>
          <w:szCs w:val="22"/>
        </w:rPr>
        <w:t xml:space="preserve"> </w:t>
      </w:r>
      <w:r>
        <w:rPr>
          <w:rFonts w:ascii="Arial" w:hAnsi="Arial"/>
          <w:sz w:val="22"/>
          <w:szCs w:val="22"/>
        </w:rPr>
        <w:t xml:space="preserve">The two new requested strengths were registered on the ARTG </w:t>
      </w:r>
      <w:r w:rsidR="00090D0B">
        <w:rPr>
          <w:rFonts w:ascii="Arial" w:hAnsi="Arial"/>
          <w:sz w:val="22"/>
          <w:szCs w:val="22"/>
        </w:rPr>
        <w:t xml:space="preserve">on 25 November 2015. </w:t>
      </w:r>
    </w:p>
    <w:p w:rsidR="00090D0B" w:rsidRPr="00090D0B" w:rsidRDefault="00090D0B" w:rsidP="00090D0B">
      <w:pPr>
        <w:pStyle w:val="ListParagraph"/>
        <w:jc w:val="both"/>
        <w:rPr>
          <w:rFonts w:ascii="Arial" w:hAnsi="Arial"/>
          <w:i/>
          <w:sz w:val="22"/>
          <w:szCs w:val="22"/>
        </w:rPr>
      </w:pPr>
    </w:p>
    <w:p w:rsidR="00F22804" w:rsidRPr="00F22804" w:rsidRDefault="00090D0B" w:rsidP="00F22804">
      <w:pPr>
        <w:pStyle w:val="ListParagraph"/>
        <w:numPr>
          <w:ilvl w:val="1"/>
          <w:numId w:val="25"/>
        </w:numPr>
        <w:jc w:val="both"/>
        <w:rPr>
          <w:rFonts w:ascii="Arial" w:hAnsi="Arial" w:cs="Arial"/>
          <w:i/>
          <w:sz w:val="22"/>
          <w:szCs w:val="22"/>
        </w:rPr>
      </w:pPr>
      <w:proofErr w:type="spellStart"/>
      <w:r w:rsidRPr="00090D0B">
        <w:rPr>
          <w:rFonts w:ascii="Arial" w:hAnsi="Arial" w:cs="Arial"/>
          <w:sz w:val="22"/>
          <w:szCs w:val="22"/>
        </w:rPr>
        <w:t>Tacrolimus</w:t>
      </w:r>
      <w:proofErr w:type="spellEnd"/>
      <w:r w:rsidRPr="00090D0B">
        <w:rPr>
          <w:rFonts w:ascii="Arial" w:hAnsi="Arial" w:cs="Arial"/>
          <w:sz w:val="22"/>
          <w:szCs w:val="22"/>
        </w:rPr>
        <w:t xml:space="preserve"> was recommended for PBS listing f</w:t>
      </w:r>
      <w:r w:rsidRPr="00090D0B">
        <w:rPr>
          <w:rFonts w:ascii="Arial" w:hAnsi="Arial" w:cs="Arial"/>
          <w:color w:val="222222"/>
          <w:sz w:val="22"/>
          <w:szCs w:val="22"/>
          <w:shd w:val="clear" w:color="auto" w:fill="FFFFFF"/>
        </w:rPr>
        <w:t xml:space="preserve">or the prevention of rejection in primary liver transplant recipients </w:t>
      </w:r>
      <w:r w:rsidRPr="00090D0B">
        <w:rPr>
          <w:rFonts w:ascii="Arial" w:hAnsi="Arial" w:cs="Arial"/>
          <w:sz w:val="22"/>
          <w:szCs w:val="22"/>
        </w:rPr>
        <w:t>at the June 1997 meeting.</w:t>
      </w:r>
      <w:r>
        <w:rPr>
          <w:rFonts w:ascii="Arial" w:hAnsi="Arial" w:cs="Arial"/>
          <w:sz w:val="22"/>
          <w:szCs w:val="22"/>
        </w:rPr>
        <w:t xml:space="preserve"> In September 1999, the listing was extended to include </w:t>
      </w:r>
      <w:r w:rsidRPr="00090D0B">
        <w:rPr>
          <w:rFonts w:ascii="Arial" w:hAnsi="Arial" w:cs="Arial"/>
          <w:color w:val="222222"/>
          <w:sz w:val="22"/>
          <w:szCs w:val="22"/>
          <w:shd w:val="clear" w:color="auto" w:fill="FFFFFF"/>
        </w:rPr>
        <w:t>prevention of kidney transplant</w:t>
      </w:r>
      <w:r w:rsidR="00F22804">
        <w:rPr>
          <w:rFonts w:ascii="Arial" w:hAnsi="Arial" w:cs="Arial"/>
          <w:color w:val="222222"/>
          <w:sz w:val="22"/>
          <w:szCs w:val="22"/>
          <w:shd w:val="clear" w:color="auto" w:fill="FFFFFF"/>
        </w:rPr>
        <w:t>s</w:t>
      </w:r>
      <w:r>
        <w:rPr>
          <w:rFonts w:ascii="Arial" w:hAnsi="Arial" w:cs="Arial"/>
          <w:sz w:val="22"/>
          <w:szCs w:val="22"/>
        </w:rPr>
        <w:t>. The listing was extended again in November 2007 and March 2008 to include</w:t>
      </w:r>
      <w:r w:rsidR="00F22804">
        <w:rPr>
          <w:rFonts w:ascii="Arial" w:hAnsi="Arial" w:cs="Arial"/>
          <w:sz w:val="22"/>
          <w:szCs w:val="22"/>
        </w:rPr>
        <w:t xml:space="preserve"> cardiac transplants and lung transplants respectively. The current listing for all brands of </w:t>
      </w:r>
      <w:proofErr w:type="spellStart"/>
      <w:r w:rsidR="00F22804">
        <w:rPr>
          <w:rFonts w:ascii="Arial" w:hAnsi="Arial" w:cs="Arial"/>
          <w:sz w:val="22"/>
          <w:szCs w:val="22"/>
        </w:rPr>
        <w:t>tacrolimus</w:t>
      </w:r>
      <w:proofErr w:type="spellEnd"/>
      <w:r w:rsidR="00F22804">
        <w:rPr>
          <w:rFonts w:ascii="Arial" w:hAnsi="Arial" w:cs="Arial"/>
          <w:sz w:val="22"/>
          <w:szCs w:val="22"/>
        </w:rPr>
        <w:t xml:space="preserve"> is </w:t>
      </w:r>
      <w:r w:rsidR="00F22804" w:rsidRPr="00F22804">
        <w:rPr>
          <w:rFonts w:ascii="Arial" w:hAnsi="Arial" w:cs="Arial"/>
          <w:sz w:val="22"/>
          <w:szCs w:val="22"/>
        </w:rPr>
        <w:t>management of rejection in patients following organ or tissue transplantation.</w:t>
      </w:r>
      <w:r w:rsidR="00F22804">
        <w:rPr>
          <w:rFonts w:ascii="Arial" w:hAnsi="Arial" w:cs="Arial"/>
          <w:sz w:val="22"/>
          <w:szCs w:val="22"/>
        </w:rPr>
        <w:t xml:space="preserve"> </w:t>
      </w:r>
    </w:p>
    <w:p w:rsidR="00F22804" w:rsidRPr="00F22804" w:rsidRDefault="00F22804" w:rsidP="00F22804">
      <w:pPr>
        <w:pStyle w:val="ListParagraph"/>
        <w:rPr>
          <w:rFonts w:ascii="Arial" w:hAnsi="Arial"/>
          <w:sz w:val="22"/>
          <w:szCs w:val="22"/>
        </w:rPr>
      </w:pPr>
    </w:p>
    <w:p w:rsidR="00BB7EC3" w:rsidRPr="00F22804" w:rsidRDefault="00090D0B" w:rsidP="00882085">
      <w:pPr>
        <w:pStyle w:val="ListParagraph"/>
        <w:numPr>
          <w:ilvl w:val="1"/>
          <w:numId w:val="25"/>
        </w:numPr>
        <w:jc w:val="both"/>
        <w:rPr>
          <w:rFonts w:ascii="Arial" w:hAnsi="Arial" w:cs="Arial"/>
          <w:i/>
          <w:sz w:val="22"/>
          <w:szCs w:val="22"/>
        </w:rPr>
      </w:pPr>
      <w:r w:rsidRPr="00F22804">
        <w:rPr>
          <w:rFonts w:ascii="Arial" w:hAnsi="Arial"/>
          <w:sz w:val="22"/>
          <w:szCs w:val="22"/>
        </w:rPr>
        <w:t xml:space="preserve">The currently listed strengths of </w:t>
      </w:r>
      <w:proofErr w:type="spellStart"/>
      <w:r w:rsidR="00F22804">
        <w:rPr>
          <w:rFonts w:ascii="Arial" w:hAnsi="Arial"/>
          <w:sz w:val="22"/>
          <w:szCs w:val="22"/>
        </w:rPr>
        <w:t>t</w:t>
      </w:r>
      <w:r w:rsidRPr="00F22804">
        <w:rPr>
          <w:rFonts w:ascii="Arial" w:hAnsi="Arial"/>
          <w:sz w:val="22"/>
          <w:szCs w:val="22"/>
        </w:rPr>
        <w:t>acrolimus</w:t>
      </w:r>
      <w:proofErr w:type="spellEnd"/>
      <w:r w:rsidRPr="00F22804">
        <w:rPr>
          <w:rFonts w:ascii="Arial" w:hAnsi="Arial"/>
          <w:sz w:val="22"/>
          <w:szCs w:val="22"/>
        </w:rPr>
        <w:t xml:space="preserve"> </w:t>
      </w:r>
      <w:proofErr w:type="spellStart"/>
      <w:r w:rsidR="00F22804">
        <w:rPr>
          <w:rFonts w:ascii="Arial" w:hAnsi="Arial"/>
          <w:sz w:val="22"/>
          <w:szCs w:val="22"/>
        </w:rPr>
        <w:t>s</w:t>
      </w:r>
      <w:r w:rsidRPr="00F22804">
        <w:rPr>
          <w:rFonts w:ascii="Arial" w:hAnsi="Arial"/>
          <w:sz w:val="22"/>
          <w:szCs w:val="22"/>
        </w:rPr>
        <w:t>an</w:t>
      </w:r>
      <w:r w:rsidR="00C35324">
        <w:rPr>
          <w:rFonts w:ascii="Arial" w:hAnsi="Arial"/>
          <w:sz w:val="22"/>
          <w:szCs w:val="22"/>
        </w:rPr>
        <w:t>doz</w:t>
      </w:r>
      <w:proofErr w:type="spellEnd"/>
      <w:r w:rsidR="00C35324">
        <w:rPr>
          <w:rFonts w:ascii="Arial" w:hAnsi="Arial"/>
          <w:sz w:val="22"/>
          <w:szCs w:val="22"/>
        </w:rPr>
        <w:t xml:space="preserve"> were listed on the PBS on 1 </w:t>
      </w:r>
      <w:r w:rsidRPr="00F22804">
        <w:rPr>
          <w:rFonts w:ascii="Arial" w:hAnsi="Arial"/>
          <w:sz w:val="22"/>
          <w:szCs w:val="22"/>
        </w:rPr>
        <w:t>December 2010.</w:t>
      </w:r>
      <w:r w:rsidR="00F22804">
        <w:rPr>
          <w:rFonts w:ascii="Arial" w:hAnsi="Arial"/>
          <w:sz w:val="22"/>
          <w:szCs w:val="22"/>
        </w:rPr>
        <w:t xml:space="preserve"> The requested strengths have not previously been considered by the PBAC.</w:t>
      </w:r>
    </w:p>
    <w:p w:rsidR="006E37BA" w:rsidRDefault="006E37BA">
      <w:pPr>
        <w:rPr>
          <w:rFonts w:ascii="Arial" w:hAnsi="Arial"/>
          <w:b/>
          <w:sz w:val="22"/>
          <w:szCs w:val="22"/>
        </w:rPr>
      </w:pPr>
      <w:r>
        <w:rPr>
          <w:rFonts w:ascii="Arial" w:hAnsi="Arial"/>
          <w:b/>
          <w:sz w:val="22"/>
          <w:szCs w:val="22"/>
        </w:rPr>
        <w:br w:type="page"/>
      </w:r>
    </w:p>
    <w:p w:rsidR="008A1956" w:rsidRPr="00882085" w:rsidRDefault="008A1956" w:rsidP="00882085">
      <w:pPr>
        <w:jc w:val="both"/>
        <w:rPr>
          <w:rFonts w:ascii="Arial" w:hAnsi="Arial"/>
          <w:b/>
          <w:sz w:val="22"/>
          <w:szCs w:val="22"/>
        </w:rPr>
      </w:pPr>
    </w:p>
    <w:p w:rsidR="00CE10C4" w:rsidRPr="00882085" w:rsidRDefault="00CE10C4" w:rsidP="0082086D">
      <w:pPr>
        <w:pStyle w:val="Heading1"/>
        <w:rPr>
          <w:b w:val="0"/>
        </w:rPr>
      </w:pPr>
      <w:r w:rsidRPr="00882085">
        <w:t>Clinical place for the proposed ther</w:t>
      </w:r>
      <w:r w:rsidR="006A12A5" w:rsidRPr="00882085">
        <w:t>apy</w:t>
      </w:r>
    </w:p>
    <w:p w:rsidR="00595612" w:rsidRPr="00882085" w:rsidRDefault="00595612" w:rsidP="00882085">
      <w:pPr>
        <w:jc w:val="both"/>
        <w:rPr>
          <w:rFonts w:ascii="Arial" w:hAnsi="Arial"/>
          <w:sz w:val="22"/>
          <w:szCs w:val="22"/>
        </w:rPr>
      </w:pPr>
    </w:p>
    <w:p w:rsidR="0059489B" w:rsidRPr="0059489B" w:rsidRDefault="00F22804" w:rsidP="0059489B">
      <w:pPr>
        <w:pStyle w:val="ListParagraph"/>
        <w:numPr>
          <w:ilvl w:val="1"/>
          <w:numId w:val="25"/>
        </w:numPr>
        <w:jc w:val="both"/>
        <w:rPr>
          <w:rFonts w:ascii="Arial" w:hAnsi="Arial"/>
          <w:sz w:val="22"/>
          <w:szCs w:val="22"/>
        </w:rPr>
      </w:pPr>
      <w:proofErr w:type="spellStart"/>
      <w:r>
        <w:rPr>
          <w:rFonts w:ascii="Arial" w:hAnsi="Arial"/>
          <w:sz w:val="22"/>
          <w:szCs w:val="22"/>
        </w:rPr>
        <w:t>Tacrolimus</w:t>
      </w:r>
      <w:proofErr w:type="spellEnd"/>
      <w:r>
        <w:rPr>
          <w:rFonts w:ascii="Arial" w:hAnsi="Arial"/>
          <w:sz w:val="22"/>
          <w:szCs w:val="22"/>
        </w:rPr>
        <w:t xml:space="preserve"> is an immunosuppressive drug used post-transplant to reduce the risk of organ rejection. </w:t>
      </w:r>
      <w:proofErr w:type="spellStart"/>
      <w:r>
        <w:rPr>
          <w:rFonts w:ascii="Arial" w:hAnsi="Arial"/>
          <w:sz w:val="22"/>
          <w:szCs w:val="22"/>
        </w:rPr>
        <w:t>Tacrolimus</w:t>
      </w:r>
      <w:proofErr w:type="spellEnd"/>
      <w:r>
        <w:rPr>
          <w:rFonts w:ascii="Arial" w:hAnsi="Arial"/>
          <w:sz w:val="22"/>
          <w:szCs w:val="22"/>
        </w:rPr>
        <w:t xml:space="preserve"> has a narrow therapeutic range and</w:t>
      </w:r>
      <w:r w:rsidR="002114F4">
        <w:rPr>
          <w:rFonts w:ascii="Arial" w:hAnsi="Arial"/>
          <w:sz w:val="22"/>
          <w:szCs w:val="22"/>
        </w:rPr>
        <w:t xml:space="preserve"> the submission stated that</w:t>
      </w:r>
      <w:r>
        <w:rPr>
          <w:rFonts w:ascii="Arial" w:hAnsi="Arial"/>
          <w:sz w:val="22"/>
          <w:szCs w:val="22"/>
        </w:rPr>
        <w:t xml:space="preserve"> listing of the requested strengths would allow for finer dose adjustment</w:t>
      </w:r>
      <w:r w:rsidR="002114F4">
        <w:rPr>
          <w:rFonts w:ascii="Arial" w:hAnsi="Arial"/>
          <w:sz w:val="22"/>
          <w:szCs w:val="22"/>
        </w:rPr>
        <w:t xml:space="preserve"> and the ability for a greater number of patients to achieve their target dose. </w:t>
      </w:r>
    </w:p>
    <w:p w:rsidR="0082086D" w:rsidRDefault="0082086D" w:rsidP="0082086D">
      <w:pPr>
        <w:ind w:firstLine="720"/>
        <w:rPr>
          <w:i/>
        </w:rPr>
      </w:pPr>
    </w:p>
    <w:p w:rsidR="0059489B" w:rsidRPr="0082086D" w:rsidRDefault="0059489B" w:rsidP="0082086D">
      <w:pPr>
        <w:ind w:firstLine="720"/>
        <w:rPr>
          <w:rFonts w:ascii="Arial" w:hAnsi="Arial" w:cs="Arial"/>
          <w:i/>
          <w:sz w:val="22"/>
        </w:rPr>
      </w:pPr>
      <w:r w:rsidRPr="0082086D">
        <w:rPr>
          <w:rFonts w:ascii="Arial" w:hAnsi="Arial" w:cs="Arial"/>
          <w:i/>
          <w:sz w:val="22"/>
        </w:rPr>
        <w:t>For more detail on PBAC’s view, see section 6 “PBAC outcome”</w:t>
      </w:r>
    </w:p>
    <w:p w:rsidR="008A1956" w:rsidRDefault="008A1956" w:rsidP="00476245">
      <w:pPr>
        <w:jc w:val="both"/>
        <w:rPr>
          <w:rFonts w:ascii="Arial" w:hAnsi="Arial"/>
          <w:sz w:val="22"/>
          <w:szCs w:val="22"/>
        </w:rPr>
      </w:pPr>
    </w:p>
    <w:p w:rsidR="00595612" w:rsidRPr="00476245" w:rsidRDefault="00595612" w:rsidP="00476245">
      <w:pPr>
        <w:jc w:val="both"/>
        <w:rPr>
          <w:rFonts w:ascii="Arial" w:hAnsi="Arial"/>
          <w:sz w:val="22"/>
          <w:szCs w:val="22"/>
        </w:rPr>
      </w:pPr>
    </w:p>
    <w:p w:rsidR="000B558D" w:rsidRPr="00882085" w:rsidRDefault="008D7A41" w:rsidP="0082086D">
      <w:pPr>
        <w:pStyle w:val="Heading1"/>
        <w:rPr>
          <w:b w:val="0"/>
        </w:rPr>
      </w:pPr>
      <w:r>
        <w:t>C</w:t>
      </w:r>
      <w:r w:rsidR="00D84934">
        <w:t>onsideration of the evidence</w:t>
      </w:r>
    </w:p>
    <w:p w:rsidR="00595612" w:rsidRDefault="00595612" w:rsidP="00F9629A">
      <w:pPr>
        <w:jc w:val="both"/>
        <w:rPr>
          <w:rFonts w:ascii="Arial" w:hAnsi="Arial"/>
          <w:sz w:val="22"/>
          <w:szCs w:val="22"/>
        </w:rPr>
      </w:pPr>
    </w:p>
    <w:p w:rsidR="0059489B" w:rsidRDefault="0059489B" w:rsidP="0082086D">
      <w:pPr>
        <w:pStyle w:val="Heading2"/>
        <w:rPr>
          <w:snapToGrid w:val="0"/>
        </w:rPr>
      </w:pPr>
      <w:r w:rsidRPr="00AD32CF">
        <w:rPr>
          <w:snapToGrid w:val="0"/>
        </w:rPr>
        <w:t>Sponsor hearing</w:t>
      </w:r>
    </w:p>
    <w:p w:rsidR="0082086D" w:rsidRPr="0082086D" w:rsidRDefault="0082086D" w:rsidP="0082086D"/>
    <w:p w:rsidR="0059489B" w:rsidRPr="00AD32CF" w:rsidRDefault="0059489B" w:rsidP="0059489B">
      <w:pPr>
        <w:widowControl w:val="0"/>
        <w:numPr>
          <w:ilvl w:val="1"/>
          <w:numId w:val="25"/>
        </w:numPr>
        <w:contextualSpacing/>
        <w:jc w:val="both"/>
        <w:rPr>
          <w:rFonts w:ascii="Arial" w:hAnsi="Arial" w:cs="Arial"/>
          <w:bCs/>
          <w:snapToGrid w:val="0"/>
          <w:sz w:val="22"/>
          <w:szCs w:val="22"/>
        </w:rPr>
      </w:pPr>
      <w:r w:rsidRPr="00AD32CF">
        <w:rPr>
          <w:rFonts w:ascii="Arial" w:hAnsi="Arial" w:cs="Arial"/>
          <w:bCs/>
          <w:snapToGrid w:val="0"/>
          <w:sz w:val="22"/>
          <w:szCs w:val="22"/>
        </w:rPr>
        <w:t>There was no hearing for this item as it was a minor submission.</w:t>
      </w:r>
    </w:p>
    <w:p w:rsidR="0059489B" w:rsidRDefault="0059489B" w:rsidP="0059489B">
      <w:pPr>
        <w:jc w:val="both"/>
        <w:rPr>
          <w:rFonts w:ascii="Arial" w:hAnsi="Arial" w:cs="Arial"/>
          <w:bCs/>
          <w:snapToGrid w:val="0"/>
          <w:sz w:val="22"/>
          <w:szCs w:val="22"/>
        </w:rPr>
      </w:pPr>
    </w:p>
    <w:p w:rsidR="0059489B" w:rsidRPr="0035635D" w:rsidRDefault="0059489B" w:rsidP="0082086D">
      <w:pPr>
        <w:pStyle w:val="Heading2"/>
        <w:rPr>
          <w:snapToGrid w:val="0"/>
        </w:rPr>
      </w:pPr>
      <w:r>
        <w:rPr>
          <w:snapToGrid w:val="0"/>
        </w:rPr>
        <w:t xml:space="preserve">Consumer comments </w:t>
      </w:r>
    </w:p>
    <w:p w:rsidR="0059489B" w:rsidRPr="00AD32CF" w:rsidRDefault="0059489B" w:rsidP="0059489B">
      <w:pPr>
        <w:jc w:val="both"/>
        <w:rPr>
          <w:rFonts w:ascii="Arial" w:hAnsi="Arial" w:cs="Arial"/>
          <w:bCs/>
          <w:snapToGrid w:val="0"/>
          <w:sz w:val="22"/>
          <w:szCs w:val="22"/>
        </w:rPr>
      </w:pPr>
    </w:p>
    <w:p w:rsidR="001F506E" w:rsidRPr="00533ECB" w:rsidRDefault="00533ECB" w:rsidP="00D84934">
      <w:pPr>
        <w:widowControl w:val="0"/>
        <w:numPr>
          <w:ilvl w:val="1"/>
          <w:numId w:val="25"/>
        </w:numPr>
        <w:contextualSpacing/>
        <w:jc w:val="both"/>
        <w:rPr>
          <w:rFonts w:ascii="Arial" w:hAnsi="Arial"/>
          <w:b/>
          <w:i/>
          <w:sz w:val="22"/>
          <w:szCs w:val="22"/>
        </w:rPr>
      </w:pPr>
      <w:r w:rsidRPr="00533ECB">
        <w:rPr>
          <w:rFonts w:ascii="Arial" w:hAnsi="Arial" w:cs="Arial"/>
          <w:bCs/>
          <w:snapToGrid w:val="0"/>
          <w:sz w:val="22"/>
          <w:szCs w:val="22"/>
        </w:rPr>
        <w:t xml:space="preserve">The PBAC noted that </w:t>
      </w:r>
      <w:r w:rsidR="001F506E" w:rsidRPr="00533ECB">
        <w:rPr>
          <w:rFonts w:ascii="Arial" w:hAnsi="Arial" w:cs="Arial"/>
          <w:bCs/>
          <w:snapToGrid w:val="0"/>
          <w:sz w:val="22"/>
          <w:szCs w:val="22"/>
        </w:rPr>
        <w:t xml:space="preserve">no </w:t>
      </w:r>
      <w:r w:rsidRPr="00533ECB">
        <w:rPr>
          <w:rFonts w:ascii="Arial" w:hAnsi="Arial" w:cs="Arial"/>
          <w:bCs/>
          <w:snapToGrid w:val="0"/>
          <w:sz w:val="22"/>
          <w:szCs w:val="22"/>
        </w:rPr>
        <w:t xml:space="preserve">consumer </w:t>
      </w:r>
      <w:r w:rsidR="001F506E" w:rsidRPr="00533ECB">
        <w:rPr>
          <w:rFonts w:ascii="Arial" w:hAnsi="Arial" w:cs="Arial"/>
          <w:bCs/>
          <w:snapToGrid w:val="0"/>
          <w:sz w:val="22"/>
          <w:szCs w:val="22"/>
        </w:rPr>
        <w:t xml:space="preserve">comments </w:t>
      </w:r>
      <w:r w:rsidRPr="00533ECB">
        <w:rPr>
          <w:rFonts w:ascii="Arial" w:hAnsi="Arial" w:cs="Arial"/>
          <w:bCs/>
          <w:snapToGrid w:val="0"/>
          <w:sz w:val="22"/>
          <w:szCs w:val="22"/>
        </w:rPr>
        <w:t xml:space="preserve">were received </w:t>
      </w:r>
      <w:r w:rsidR="001F506E" w:rsidRPr="00533ECB">
        <w:rPr>
          <w:rFonts w:ascii="Arial" w:hAnsi="Arial" w:cs="Arial"/>
          <w:bCs/>
          <w:snapToGrid w:val="0"/>
          <w:sz w:val="22"/>
          <w:szCs w:val="22"/>
        </w:rPr>
        <w:t>for this item</w:t>
      </w:r>
      <w:r w:rsidRPr="00533ECB">
        <w:rPr>
          <w:rFonts w:ascii="Arial" w:hAnsi="Arial" w:cs="Arial"/>
          <w:bCs/>
          <w:snapToGrid w:val="0"/>
          <w:sz w:val="22"/>
          <w:szCs w:val="22"/>
        </w:rPr>
        <w:t>.</w:t>
      </w:r>
      <w:r w:rsidR="001F506E" w:rsidRPr="00533ECB">
        <w:rPr>
          <w:rFonts w:ascii="Arial" w:hAnsi="Arial" w:cs="Arial"/>
          <w:bCs/>
          <w:snapToGrid w:val="0"/>
          <w:sz w:val="22"/>
          <w:szCs w:val="22"/>
        </w:rPr>
        <w:t xml:space="preserve"> </w:t>
      </w:r>
    </w:p>
    <w:p w:rsidR="00533ECB" w:rsidRDefault="00533ECB" w:rsidP="00D84934">
      <w:pPr>
        <w:jc w:val="both"/>
        <w:rPr>
          <w:rFonts w:ascii="Arial" w:hAnsi="Arial"/>
          <w:b/>
          <w:i/>
          <w:sz w:val="22"/>
          <w:szCs w:val="22"/>
        </w:rPr>
      </w:pPr>
    </w:p>
    <w:p w:rsidR="00D84934" w:rsidRPr="00882085" w:rsidRDefault="00D84934" w:rsidP="0082086D">
      <w:pPr>
        <w:pStyle w:val="Heading2"/>
      </w:pPr>
      <w:r>
        <w:t>Clinical trials</w:t>
      </w:r>
    </w:p>
    <w:p w:rsidR="00D84934" w:rsidRPr="00F9629A" w:rsidRDefault="00D84934" w:rsidP="00F9629A">
      <w:pPr>
        <w:jc w:val="both"/>
        <w:rPr>
          <w:rFonts w:ascii="Arial" w:hAnsi="Arial"/>
          <w:sz w:val="22"/>
          <w:szCs w:val="22"/>
        </w:rPr>
      </w:pPr>
    </w:p>
    <w:p w:rsidR="0076420C" w:rsidRDefault="00F22804" w:rsidP="00D84934">
      <w:pPr>
        <w:pStyle w:val="ListParagraph"/>
        <w:numPr>
          <w:ilvl w:val="1"/>
          <w:numId w:val="25"/>
        </w:numPr>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trials </w:t>
      </w:r>
      <w:r w:rsidR="00FF2801">
        <w:rPr>
          <w:rFonts w:ascii="Arial" w:hAnsi="Arial"/>
          <w:sz w:val="22"/>
          <w:szCs w:val="22"/>
        </w:rPr>
        <w:t>were</w:t>
      </w:r>
      <w:r w:rsidR="0076420C">
        <w:rPr>
          <w:rFonts w:ascii="Arial" w:hAnsi="Arial"/>
          <w:sz w:val="22"/>
          <w:szCs w:val="22"/>
        </w:rPr>
        <w:t xml:space="preserve"> presented in the submission.</w:t>
      </w:r>
    </w:p>
    <w:p w:rsidR="00D84934" w:rsidRPr="00F22804" w:rsidRDefault="00D84934" w:rsidP="00F22804">
      <w:pPr>
        <w:jc w:val="both"/>
        <w:rPr>
          <w:rFonts w:ascii="Arial" w:hAnsi="Arial"/>
          <w:color w:val="FF00FF"/>
          <w:sz w:val="22"/>
          <w:szCs w:val="22"/>
        </w:rPr>
      </w:pPr>
    </w:p>
    <w:p w:rsidR="00C15B90" w:rsidRDefault="0076420C" w:rsidP="00C15B90">
      <w:pPr>
        <w:pStyle w:val="ListParagraph"/>
        <w:numPr>
          <w:ilvl w:val="1"/>
          <w:numId w:val="25"/>
        </w:numPr>
        <w:jc w:val="both"/>
        <w:rPr>
          <w:rFonts w:ascii="Arial" w:hAnsi="Arial"/>
          <w:sz w:val="22"/>
          <w:szCs w:val="22"/>
        </w:rPr>
      </w:pPr>
      <w:r w:rsidRPr="0076420C">
        <w:rPr>
          <w:rFonts w:ascii="Arial" w:hAnsi="Arial"/>
          <w:sz w:val="22"/>
          <w:szCs w:val="22"/>
        </w:rPr>
        <w:t xml:space="preserve">The basis of the minor submission’s request </w:t>
      </w:r>
      <w:r w:rsidR="00FF2801">
        <w:rPr>
          <w:rFonts w:ascii="Arial" w:hAnsi="Arial"/>
          <w:sz w:val="22"/>
          <w:szCs w:val="22"/>
        </w:rPr>
        <w:t>wa</w:t>
      </w:r>
      <w:r w:rsidR="00C15B90">
        <w:rPr>
          <w:rFonts w:ascii="Arial" w:hAnsi="Arial"/>
          <w:sz w:val="22"/>
          <w:szCs w:val="22"/>
        </w:rPr>
        <w:t xml:space="preserve">s </w:t>
      </w:r>
      <w:r w:rsidRPr="0076420C">
        <w:rPr>
          <w:rFonts w:ascii="Arial" w:hAnsi="Arial"/>
          <w:sz w:val="22"/>
          <w:szCs w:val="22"/>
        </w:rPr>
        <w:t>changes to the approved Product Information</w:t>
      </w:r>
      <w:r w:rsidR="00C15B90">
        <w:rPr>
          <w:rFonts w:ascii="Arial" w:hAnsi="Arial"/>
          <w:sz w:val="22"/>
          <w:szCs w:val="22"/>
        </w:rPr>
        <w:t xml:space="preserve"> and TGA approval of the </w:t>
      </w:r>
      <w:r w:rsidR="00C35324">
        <w:rPr>
          <w:rFonts w:ascii="Arial" w:hAnsi="Arial"/>
          <w:sz w:val="22"/>
          <w:szCs w:val="22"/>
        </w:rPr>
        <w:t>750 microgram</w:t>
      </w:r>
      <w:r w:rsidR="00C15B90">
        <w:rPr>
          <w:rFonts w:ascii="Arial" w:hAnsi="Arial"/>
          <w:sz w:val="22"/>
          <w:szCs w:val="22"/>
        </w:rPr>
        <w:t xml:space="preserve"> and 2 mg strengths. The TGA evaluation report noted that comparative bioequivalence data were not performed as there are no innovator strengths of </w:t>
      </w:r>
      <w:r w:rsidR="00C35324">
        <w:rPr>
          <w:rFonts w:ascii="Arial" w:hAnsi="Arial"/>
          <w:sz w:val="22"/>
          <w:szCs w:val="22"/>
        </w:rPr>
        <w:t>750 microgram</w:t>
      </w:r>
      <w:r w:rsidR="00C15B90">
        <w:rPr>
          <w:rFonts w:ascii="Arial" w:hAnsi="Arial"/>
          <w:sz w:val="22"/>
          <w:szCs w:val="22"/>
        </w:rPr>
        <w:t xml:space="preserve"> and 2 mg available. However, noting (among other considerations) that </w:t>
      </w:r>
      <w:proofErr w:type="spellStart"/>
      <w:r w:rsidR="00C15B90">
        <w:rPr>
          <w:rFonts w:ascii="Arial" w:hAnsi="Arial"/>
          <w:sz w:val="22"/>
          <w:szCs w:val="22"/>
        </w:rPr>
        <w:t>tacrolimus</w:t>
      </w:r>
      <w:proofErr w:type="spellEnd"/>
      <w:r w:rsidR="00C15B90">
        <w:rPr>
          <w:rFonts w:ascii="Arial" w:hAnsi="Arial"/>
          <w:sz w:val="22"/>
          <w:szCs w:val="22"/>
        </w:rPr>
        <w:t xml:space="preserve"> has a narrow therapeutic range; the new strengths </w:t>
      </w:r>
      <w:r w:rsidR="002114F4">
        <w:rPr>
          <w:rFonts w:ascii="Arial" w:hAnsi="Arial"/>
          <w:sz w:val="22"/>
          <w:szCs w:val="22"/>
        </w:rPr>
        <w:t>fall within the minimum (</w:t>
      </w:r>
      <w:r w:rsidR="00C35324">
        <w:rPr>
          <w:rFonts w:ascii="Arial" w:hAnsi="Arial"/>
          <w:sz w:val="22"/>
          <w:szCs w:val="22"/>
        </w:rPr>
        <w:t>500 microgram</w:t>
      </w:r>
      <w:r w:rsidR="002114F4">
        <w:rPr>
          <w:rFonts w:ascii="Arial" w:hAnsi="Arial"/>
          <w:sz w:val="22"/>
          <w:szCs w:val="22"/>
        </w:rPr>
        <w:t xml:space="preserve">) and maximum (5 mg) strengths already registered and the new strengths are direct </w:t>
      </w:r>
      <w:proofErr w:type="spellStart"/>
      <w:r w:rsidR="002114F4">
        <w:rPr>
          <w:rFonts w:ascii="Arial" w:hAnsi="Arial"/>
          <w:sz w:val="22"/>
          <w:szCs w:val="22"/>
        </w:rPr>
        <w:t>scales</w:t>
      </w:r>
      <w:proofErr w:type="spellEnd"/>
      <w:r w:rsidR="002114F4">
        <w:rPr>
          <w:rFonts w:ascii="Arial" w:hAnsi="Arial"/>
          <w:sz w:val="22"/>
          <w:szCs w:val="22"/>
        </w:rPr>
        <w:t xml:space="preserve"> of existing strengths, the clinical evaluator advised there were no clinical objections to the new strengths. </w:t>
      </w:r>
    </w:p>
    <w:p w:rsidR="00F57A6D" w:rsidRPr="00882085" w:rsidRDefault="00F57A6D" w:rsidP="00882085">
      <w:pPr>
        <w:ind w:left="720" w:hanging="720"/>
        <w:jc w:val="both"/>
        <w:rPr>
          <w:rFonts w:ascii="Arial" w:hAnsi="Arial"/>
          <w:sz w:val="22"/>
          <w:szCs w:val="22"/>
        </w:rPr>
      </w:pPr>
    </w:p>
    <w:p w:rsidR="005A3173" w:rsidRPr="0082086D" w:rsidRDefault="005A3173" w:rsidP="0082086D">
      <w:pPr>
        <w:pStyle w:val="Heading2"/>
      </w:pPr>
      <w:r w:rsidRPr="0082086D">
        <w:t>Economic analysis</w:t>
      </w:r>
    </w:p>
    <w:p w:rsidR="005A3173" w:rsidRPr="00882085" w:rsidRDefault="005A3173" w:rsidP="00D84934">
      <w:pPr>
        <w:pStyle w:val="NoSpacing"/>
      </w:pPr>
    </w:p>
    <w:p w:rsidR="009B0F67" w:rsidRPr="002114F4" w:rsidRDefault="00FF2801" w:rsidP="002114F4">
      <w:pPr>
        <w:pStyle w:val="ListParagraph"/>
        <w:numPr>
          <w:ilvl w:val="1"/>
          <w:numId w:val="25"/>
        </w:numPr>
        <w:jc w:val="both"/>
        <w:rPr>
          <w:rFonts w:ascii="Arial" w:hAnsi="Arial"/>
          <w:color w:val="FF00FF"/>
          <w:sz w:val="22"/>
          <w:szCs w:val="22"/>
        </w:rPr>
      </w:pPr>
      <w:r w:rsidRPr="002114F4">
        <w:rPr>
          <w:rFonts w:ascii="Arial" w:hAnsi="Arial"/>
          <w:sz w:val="22"/>
          <w:szCs w:val="22"/>
        </w:rPr>
        <w:t>As a minor submission, there wa</w:t>
      </w:r>
      <w:r w:rsidR="009B0F67" w:rsidRPr="002114F4">
        <w:rPr>
          <w:rFonts w:ascii="Arial" w:hAnsi="Arial"/>
          <w:sz w:val="22"/>
          <w:szCs w:val="22"/>
        </w:rPr>
        <w:t>s no economic comparison presented</w:t>
      </w:r>
      <w:r w:rsidR="002114F4">
        <w:rPr>
          <w:rFonts w:ascii="Arial" w:hAnsi="Arial"/>
          <w:sz w:val="22"/>
          <w:szCs w:val="22"/>
        </w:rPr>
        <w:t>.</w:t>
      </w:r>
    </w:p>
    <w:p w:rsidR="00A55FEE" w:rsidRDefault="00A55FEE" w:rsidP="002114F4">
      <w:pPr>
        <w:jc w:val="both"/>
        <w:rPr>
          <w:rFonts w:ascii="Arial" w:hAnsi="Arial"/>
          <w:b/>
          <w:i/>
          <w:sz w:val="22"/>
          <w:szCs w:val="22"/>
        </w:rPr>
      </w:pPr>
    </w:p>
    <w:p w:rsidR="005A3173" w:rsidRPr="00882085" w:rsidRDefault="005A3173" w:rsidP="0082086D">
      <w:pPr>
        <w:pStyle w:val="Heading2"/>
      </w:pPr>
      <w:r w:rsidRPr="00882085">
        <w:t>Estimated PBS usage &amp; financial implications</w:t>
      </w:r>
    </w:p>
    <w:p w:rsidR="005A3173" w:rsidRPr="00882085" w:rsidRDefault="005A3173" w:rsidP="00C35324">
      <w:pPr>
        <w:keepNext/>
        <w:ind w:left="720" w:hanging="720"/>
        <w:jc w:val="both"/>
        <w:rPr>
          <w:rFonts w:ascii="Arial" w:hAnsi="Arial"/>
          <w:b/>
          <w:i/>
          <w:sz w:val="22"/>
          <w:szCs w:val="22"/>
        </w:rPr>
      </w:pPr>
    </w:p>
    <w:p w:rsidR="003872CF" w:rsidRPr="0059489B" w:rsidRDefault="00FF2801" w:rsidP="0059489B">
      <w:pPr>
        <w:pStyle w:val="ListParagraph"/>
        <w:numPr>
          <w:ilvl w:val="1"/>
          <w:numId w:val="25"/>
        </w:numPr>
        <w:jc w:val="both"/>
        <w:rPr>
          <w:rFonts w:ascii="Arial" w:hAnsi="Arial"/>
          <w:sz w:val="22"/>
          <w:szCs w:val="22"/>
        </w:rPr>
      </w:pPr>
      <w:r w:rsidRPr="002114F4">
        <w:rPr>
          <w:rFonts w:ascii="Arial" w:hAnsi="Arial"/>
          <w:sz w:val="22"/>
          <w:szCs w:val="22"/>
        </w:rPr>
        <w:t>The minor submission estimated</w:t>
      </w:r>
      <w:r w:rsidR="00C00DA7" w:rsidRPr="002114F4">
        <w:rPr>
          <w:rFonts w:ascii="Arial" w:hAnsi="Arial"/>
          <w:sz w:val="22"/>
          <w:szCs w:val="22"/>
        </w:rPr>
        <w:t xml:space="preserve"> there to be no financial implications to the PBS</w:t>
      </w:r>
      <w:r w:rsidR="002114F4">
        <w:rPr>
          <w:rFonts w:ascii="Arial" w:hAnsi="Arial"/>
          <w:sz w:val="22"/>
          <w:szCs w:val="22"/>
        </w:rPr>
        <w:t xml:space="preserve"> </w:t>
      </w:r>
      <w:r w:rsidR="005328A6">
        <w:rPr>
          <w:rFonts w:ascii="Arial" w:hAnsi="Arial"/>
          <w:sz w:val="22"/>
          <w:szCs w:val="22"/>
        </w:rPr>
        <w:t xml:space="preserve">or the government as the majority of the switch to </w:t>
      </w:r>
      <w:proofErr w:type="spellStart"/>
      <w:r w:rsidR="005328A6">
        <w:rPr>
          <w:rFonts w:ascii="Arial" w:hAnsi="Arial"/>
          <w:sz w:val="22"/>
          <w:szCs w:val="22"/>
        </w:rPr>
        <w:t>tacrolimus</w:t>
      </w:r>
      <w:proofErr w:type="spellEnd"/>
      <w:r w:rsidR="005328A6">
        <w:rPr>
          <w:rFonts w:ascii="Arial" w:hAnsi="Arial"/>
          <w:sz w:val="22"/>
          <w:szCs w:val="22"/>
        </w:rPr>
        <w:t xml:space="preserve"> </w:t>
      </w:r>
      <w:r w:rsidR="00C35324">
        <w:rPr>
          <w:rFonts w:ascii="Arial" w:hAnsi="Arial"/>
          <w:sz w:val="22"/>
          <w:szCs w:val="22"/>
        </w:rPr>
        <w:t xml:space="preserve">750 microgram </w:t>
      </w:r>
      <w:r w:rsidR="005328A6">
        <w:rPr>
          <w:rFonts w:ascii="Arial" w:hAnsi="Arial"/>
          <w:sz w:val="22"/>
          <w:szCs w:val="22"/>
        </w:rPr>
        <w:t xml:space="preserve">and 2 mg will occur from an identical priced (per mg) </w:t>
      </w:r>
      <w:proofErr w:type="spellStart"/>
      <w:r w:rsidR="005328A6">
        <w:rPr>
          <w:rFonts w:ascii="Arial" w:hAnsi="Arial"/>
          <w:sz w:val="22"/>
          <w:szCs w:val="22"/>
        </w:rPr>
        <w:t>tacrolimus</w:t>
      </w:r>
      <w:proofErr w:type="spellEnd"/>
      <w:r w:rsidR="005328A6">
        <w:rPr>
          <w:rFonts w:ascii="Arial" w:hAnsi="Arial"/>
          <w:sz w:val="22"/>
          <w:szCs w:val="22"/>
        </w:rPr>
        <w:t xml:space="preserve"> </w:t>
      </w:r>
      <w:r w:rsidR="00C35324">
        <w:rPr>
          <w:rFonts w:ascii="Arial" w:hAnsi="Arial"/>
          <w:sz w:val="22"/>
          <w:szCs w:val="22"/>
        </w:rPr>
        <w:t>500 microgram</w:t>
      </w:r>
      <w:r w:rsidR="005328A6">
        <w:rPr>
          <w:rFonts w:ascii="Arial" w:hAnsi="Arial"/>
          <w:sz w:val="22"/>
          <w:szCs w:val="22"/>
        </w:rPr>
        <w:t xml:space="preserve">, 1 mg or 5 mg capsule. </w:t>
      </w:r>
    </w:p>
    <w:p w:rsidR="0082086D" w:rsidRDefault="0082086D" w:rsidP="0082086D">
      <w:pPr>
        <w:pStyle w:val="ListParagraph"/>
        <w:rPr>
          <w:rFonts w:ascii="Arial" w:hAnsi="Arial" w:cs="Arial"/>
          <w:i/>
          <w:sz w:val="22"/>
        </w:rPr>
      </w:pPr>
    </w:p>
    <w:p w:rsidR="0082086D" w:rsidRPr="0082086D" w:rsidRDefault="0082086D" w:rsidP="0082086D">
      <w:pPr>
        <w:pStyle w:val="ListParagraph"/>
        <w:rPr>
          <w:rFonts w:ascii="Arial" w:hAnsi="Arial" w:cs="Arial"/>
          <w:i/>
          <w:sz w:val="22"/>
        </w:rPr>
      </w:pPr>
      <w:r w:rsidRPr="0082086D">
        <w:rPr>
          <w:rFonts w:ascii="Arial" w:hAnsi="Arial" w:cs="Arial"/>
          <w:i/>
          <w:sz w:val="22"/>
        </w:rPr>
        <w:t>For more detail on PBAC’s view, see section 6 “PBAC outcome”</w:t>
      </w:r>
    </w:p>
    <w:p w:rsidR="003872CF" w:rsidRDefault="003872CF" w:rsidP="00D84934">
      <w:pPr>
        <w:jc w:val="both"/>
        <w:rPr>
          <w:rFonts w:ascii="Arial" w:hAnsi="Arial"/>
          <w:sz w:val="22"/>
          <w:szCs w:val="22"/>
        </w:rPr>
      </w:pPr>
    </w:p>
    <w:p w:rsidR="00057F03" w:rsidRDefault="00057F03">
      <w:pPr>
        <w:rPr>
          <w:rFonts w:ascii="Arial" w:hAnsi="Arial"/>
          <w:sz w:val="22"/>
          <w:szCs w:val="22"/>
        </w:rPr>
      </w:pPr>
      <w:r>
        <w:rPr>
          <w:rFonts w:ascii="Arial" w:hAnsi="Arial"/>
          <w:sz w:val="22"/>
          <w:szCs w:val="22"/>
        </w:rPr>
        <w:br w:type="page"/>
      </w:r>
    </w:p>
    <w:p w:rsidR="00595612" w:rsidRPr="00D84934" w:rsidRDefault="00595612" w:rsidP="00D84934">
      <w:pPr>
        <w:jc w:val="both"/>
        <w:rPr>
          <w:rFonts w:ascii="Arial" w:hAnsi="Arial"/>
          <w:sz w:val="22"/>
          <w:szCs w:val="22"/>
        </w:rPr>
      </w:pPr>
    </w:p>
    <w:p w:rsidR="0059489B" w:rsidRPr="00882085" w:rsidRDefault="0059489B" w:rsidP="0082086D">
      <w:pPr>
        <w:pStyle w:val="Heading1"/>
        <w:rPr>
          <w:b w:val="0"/>
        </w:rPr>
      </w:pPr>
      <w:r>
        <w:t>PBAC outcome</w:t>
      </w:r>
    </w:p>
    <w:p w:rsidR="00F64CC1" w:rsidRDefault="00F64CC1" w:rsidP="00E34EED">
      <w:pPr>
        <w:keepNext/>
        <w:jc w:val="both"/>
        <w:rPr>
          <w:rFonts w:ascii="Arial" w:hAnsi="Arial"/>
          <w:sz w:val="22"/>
          <w:szCs w:val="22"/>
        </w:rPr>
      </w:pPr>
    </w:p>
    <w:p w:rsidR="00DE0DDF" w:rsidRPr="00DE0DDF" w:rsidRDefault="0059489B" w:rsidP="00DE0DDF">
      <w:pPr>
        <w:pStyle w:val="ListParagraph"/>
        <w:numPr>
          <w:ilvl w:val="1"/>
          <w:numId w:val="25"/>
        </w:numPr>
        <w:jc w:val="both"/>
        <w:rPr>
          <w:rFonts w:ascii="Arial" w:hAnsi="Arial" w:cs="Arial"/>
          <w:i/>
          <w:sz w:val="22"/>
          <w:szCs w:val="22"/>
        </w:rPr>
      </w:pPr>
      <w:r w:rsidRPr="0059489B">
        <w:rPr>
          <w:rFonts w:ascii="Arial" w:hAnsi="Arial" w:cs="Arial"/>
          <w:bCs/>
          <w:snapToGrid w:val="0"/>
          <w:sz w:val="22"/>
          <w:szCs w:val="22"/>
          <w:lang w:val="en-GB"/>
        </w:rPr>
        <w:t>The PBA</w:t>
      </w:r>
      <w:r>
        <w:rPr>
          <w:rFonts w:ascii="Arial" w:hAnsi="Arial" w:cs="Arial"/>
          <w:bCs/>
          <w:snapToGrid w:val="0"/>
          <w:sz w:val="22"/>
          <w:szCs w:val="22"/>
          <w:lang w:val="en-GB"/>
        </w:rPr>
        <w:t xml:space="preserve">C recommended listing the additional strengths of </w:t>
      </w:r>
      <w:proofErr w:type="spellStart"/>
      <w:r>
        <w:rPr>
          <w:rFonts w:ascii="Arial" w:hAnsi="Arial" w:cs="Arial"/>
          <w:bCs/>
          <w:snapToGrid w:val="0"/>
          <w:sz w:val="22"/>
          <w:szCs w:val="22"/>
          <w:lang w:val="en-GB"/>
        </w:rPr>
        <w:t>tacrolimus</w:t>
      </w:r>
      <w:proofErr w:type="spellEnd"/>
      <w:r w:rsidR="00DE0DDF">
        <w:rPr>
          <w:rFonts w:ascii="Arial" w:hAnsi="Arial" w:cs="Arial"/>
          <w:bCs/>
          <w:snapToGrid w:val="0"/>
          <w:sz w:val="22"/>
          <w:szCs w:val="22"/>
          <w:lang w:val="en-GB"/>
        </w:rPr>
        <w:t>,</w:t>
      </w:r>
      <w:r>
        <w:rPr>
          <w:rFonts w:ascii="Arial" w:hAnsi="Arial" w:cs="Arial"/>
          <w:bCs/>
          <w:snapToGrid w:val="0"/>
          <w:sz w:val="22"/>
          <w:szCs w:val="22"/>
          <w:lang w:val="en-GB"/>
        </w:rPr>
        <w:t xml:space="preserve"> </w:t>
      </w:r>
      <w:r w:rsidR="00E34EED">
        <w:rPr>
          <w:rFonts w:ascii="Arial" w:hAnsi="Arial"/>
          <w:sz w:val="22"/>
          <w:szCs w:val="22"/>
        </w:rPr>
        <w:t>750 </w:t>
      </w:r>
      <w:r>
        <w:rPr>
          <w:rFonts w:ascii="Arial" w:hAnsi="Arial"/>
          <w:sz w:val="22"/>
          <w:szCs w:val="22"/>
        </w:rPr>
        <w:t>microgram and 2 mg</w:t>
      </w:r>
      <w:r w:rsidRPr="0059489B">
        <w:rPr>
          <w:rFonts w:ascii="Arial" w:hAnsi="Arial" w:cs="Arial"/>
          <w:bCs/>
          <w:snapToGrid w:val="0"/>
          <w:sz w:val="22"/>
          <w:szCs w:val="22"/>
          <w:lang w:val="en-GB"/>
        </w:rPr>
        <w:t xml:space="preserve">, </w:t>
      </w:r>
      <w:r w:rsidR="00E34EED">
        <w:rPr>
          <w:rFonts w:ascii="Arial" w:hAnsi="Arial" w:cs="Arial"/>
          <w:bCs/>
          <w:snapToGrid w:val="0"/>
          <w:sz w:val="22"/>
          <w:szCs w:val="22"/>
          <w:lang w:val="en-GB"/>
        </w:rPr>
        <w:t xml:space="preserve">under the same circumstances </w:t>
      </w:r>
      <w:r w:rsidR="002809BD">
        <w:rPr>
          <w:rFonts w:ascii="Arial" w:hAnsi="Arial" w:cs="Arial"/>
          <w:bCs/>
          <w:snapToGrid w:val="0"/>
          <w:sz w:val="22"/>
          <w:szCs w:val="22"/>
          <w:lang w:val="en-GB"/>
        </w:rPr>
        <w:t>and based on a same (ex</w:t>
      </w:r>
      <w:r w:rsidR="002809BD">
        <w:rPr>
          <w:rFonts w:ascii="Arial" w:hAnsi="Arial" w:cs="Arial"/>
          <w:bCs/>
          <w:snapToGrid w:val="0"/>
          <w:sz w:val="22"/>
          <w:szCs w:val="22"/>
          <w:lang w:val="en-GB"/>
        </w:rPr>
        <w:noBreakHyphen/>
        <w:t xml:space="preserve">manufacturer) price per mg </w:t>
      </w:r>
      <w:r w:rsidR="00E34EED">
        <w:rPr>
          <w:rFonts w:ascii="Arial" w:hAnsi="Arial" w:cs="Arial"/>
          <w:bCs/>
          <w:snapToGrid w:val="0"/>
          <w:sz w:val="22"/>
          <w:szCs w:val="22"/>
          <w:lang w:val="en-GB"/>
        </w:rPr>
        <w:t xml:space="preserve">as the currently listed strengths of </w:t>
      </w:r>
      <w:proofErr w:type="spellStart"/>
      <w:r w:rsidR="00E34EED">
        <w:rPr>
          <w:rFonts w:ascii="Arial" w:hAnsi="Arial" w:cs="Arial"/>
          <w:bCs/>
          <w:snapToGrid w:val="0"/>
          <w:sz w:val="22"/>
          <w:szCs w:val="22"/>
          <w:lang w:val="en-GB"/>
        </w:rPr>
        <w:t>tacrolimus</w:t>
      </w:r>
      <w:proofErr w:type="spellEnd"/>
      <w:r w:rsidR="00DE0DDF" w:rsidRPr="00F22804">
        <w:rPr>
          <w:rFonts w:ascii="Arial" w:hAnsi="Arial" w:cs="Arial"/>
          <w:sz w:val="22"/>
          <w:szCs w:val="22"/>
        </w:rPr>
        <w:t>.</w:t>
      </w:r>
    </w:p>
    <w:p w:rsidR="00DE0DDF" w:rsidRPr="00F22804" w:rsidRDefault="00DE0DDF" w:rsidP="00DE0DDF">
      <w:pPr>
        <w:pStyle w:val="ListParagraph"/>
        <w:jc w:val="both"/>
        <w:rPr>
          <w:rFonts w:ascii="Arial" w:hAnsi="Arial" w:cs="Arial"/>
          <w:i/>
          <w:sz w:val="22"/>
          <w:szCs w:val="22"/>
        </w:rPr>
      </w:pPr>
    </w:p>
    <w:p w:rsidR="0059489B" w:rsidRDefault="00DE0DDF" w:rsidP="0059489B">
      <w:pPr>
        <w:widowControl w:val="0"/>
        <w:numPr>
          <w:ilvl w:val="1"/>
          <w:numId w:val="25"/>
        </w:numPr>
        <w:contextualSpacing/>
        <w:jc w:val="both"/>
        <w:rPr>
          <w:rFonts w:ascii="Arial" w:hAnsi="Arial" w:cs="Arial"/>
          <w:bCs/>
          <w:snapToGrid w:val="0"/>
          <w:sz w:val="22"/>
          <w:szCs w:val="22"/>
          <w:lang w:val="en-GB"/>
        </w:rPr>
      </w:pPr>
      <w:r>
        <w:rPr>
          <w:rFonts w:ascii="Arial" w:hAnsi="Arial" w:cs="Arial"/>
          <w:bCs/>
          <w:snapToGrid w:val="0"/>
          <w:sz w:val="22"/>
          <w:szCs w:val="22"/>
          <w:lang w:val="en-GB"/>
        </w:rPr>
        <w:t xml:space="preserve">The PBAC </w:t>
      </w:r>
      <w:r w:rsidRPr="00CF6535">
        <w:rPr>
          <w:rFonts w:ascii="Arial" w:hAnsi="Arial" w:cs="Arial"/>
          <w:bCs/>
          <w:snapToGrid w:val="0"/>
          <w:sz w:val="22"/>
          <w:szCs w:val="22"/>
          <w:lang w:val="en-GB"/>
        </w:rPr>
        <w:t>accepted that there was a clinical place for the additional strength</w:t>
      </w:r>
      <w:r>
        <w:rPr>
          <w:rFonts w:ascii="Arial" w:hAnsi="Arial" w:cs="Arial"/>
          <w:bCs/>
          <w:snapToGrid w:val="0"/>
          <w:sz w:val="22"/>
          <w:szCs w:val="22"/>
          <w:lang w:val="en-GB"/>
        </w:rPr>
        <w:t xml:space="preserve">s, noting that while the addition of the extra strengths may encourage up-titration of patients this was likely to be balanced out </w:t>
      </w:r>
      <w:r w:rsidR="00E34EED">
        <w:rPr>
          <w:rFonts w:ascii="Arial" w:hAnsi="Arial" w:cs="Arial"/>
          <w:bCs/>
          <w:snapToGrid w:val="0"/>
          <w:sz w:val="22"/>
          <w:szCs w:val="22"/>
          <w:lang w:val="en-GB"/>
        </w:rPr>
        <w:t>with patients who would be down-titrated.</w:t>
      </w:r>
    </w:p>
    <w:p w:rsidR="00DE0DDF" w:rsidRDefault="00DE0DDF" w:rsidP="00DE0DDF">
      <w:pPr>
        <w:pStyle w:val="ListParagraph"/>
        <w:rPr>
          <w:rFonts w:ascii="Arial" w:hAnsi="Arial" w:cs="Arial"/>
          <w:bCs/>
          <w:snapToGrid w:val="0"/>
          <w:sz w:val="22"/>
          <w:szCs w:val="22"/>
          <w:lang w:val="en-GB"/>
        </w:rPr>
      </w:pPr>
    </w:p>
    <w:p w:rsidR="0059489B" w:rsidRPr="00561CEC" w:rsidRDefault="00561CEC" w:rsidP="00F64CC1">
      <w:pPr>
        <w:widowControl w:val="0"/>
        <w:numPr>
          <w:ilvl w:val="1"/>
          <w:numId w:val="25"/>
        </w:numPr>
        <w:contextualSpacing/>
        <w:jc w:val="both"/>
        <w:rPr>
          <w:rFonts w:ascii="Arial" w:hAnsi="Arial"/>
          <w:sz w:val="22"/>
          <w:szCs w:val="22"/>
        </w:rPr>
      </w:pPr>
      <w:r w:rsidRPr="00561CEC">
        <w:rPr>
          <w:rFonts w:ascii="Arial" w:hAnsi="Arial" w:cs="Arial"/>
          <w:bCs/>
          <w:snapToGrid w:val="0"/>
          <w:sz w:val="22"/>
          <w:szCs w:val="22"/>
          <w:lang w:val="en-GB"/>
        </w:rPr>
        <w:t xml:space="preserve">The PBAC noted that the </w:t>
      </w:r>
      <w:r w:rsidRPr="00561CEC">
        <w:rPr>
          <w:rFonts w:ascii="Arial" w:hAnsi="Arial" w:cs="Arial"/>
          <w:sz w:val="22"/>
          <w:szCs w:val="22"/>
        </w:rPr>
        <w:t xml:space="preserve">Early Supply Rule currently applies to some of the General Schedule listings of </w:t>
      </w:r>
      <w:proofErr w:type="spellStart"/>
      <w:r w:rsidRPr="00561CEC">
        <w:rPr>
          <w:rFonts w:ascii="Arial" w:hAnsi="Arial" w:cs="Arial"/>
          <w:sz w:val="22"/>
          <w:szCs w:val="22"/>
        </w:rPr>
        <w:t>tacrolimus</w:t>
      </w:r>
      <w:proofErr w:type="spellEnd"/>
      <w:r w:rsidRPr="00561CEC">
        <w:rPr>
          <w:rFonts w:ascii="Arial" w:hAnsi="Arial" w:cs="Arial"/>
          <w:sz w:val="22"/>
          <w:szCs w:val="22"/>
        </w:rPr>
        <w:t xml:space="preserve"> (the 30 packs of the 500 microgram and 5 mg capsules and 60 pack of the 1 mg capsules), but not to the remaining General Schedule listings or any of the Section 100 listings. </w:t>
      </w:r>
      <w:r>
        <w:rPr>
          <w:rFonts w:ascii="Arial" w:hAnsi="Arial" w:cs="Arial"/>
          <w:bCs/>
          <w:snapToGrid w:val="0"/>
          <w:sz w:val="22"/>
          <w:szCs w:val="22"/>
          <w:lang w:val="en-GB"/>
        </w:rPr>
        <w:t xml:space="preserve">The PBAC </w:t>
      </w:r>
      <w:r w:rsidR="00E16EB3">
        <w:rPr>
          <w:rFonts w:ascii="Arial" w:hAnsi="Arial" w:cs="Arial"/>
          <w:bCs/>
          <w:snapToGrid w:val="0"/>
          <w:sz w:val="22"/>
          <w:szCs w:val="22"/>
          <w:lang w:val="en-GB"/>
        </w:rPr>
        <w:t xml:space="preserve">considered </w:t>
      </w:r>
      <w:r>
        <w:rPr>
          <w:rFonts w:ascii="Arial" w:hAnsi="Arial" w:cs="Arial"/>
          <w:bCs/>
          <w:snapToGrid w:val="0"/>
          <w:sz w:val="22"/>
          <w:szCs w:val="22"/>
          <w:lang w:val="en-GB"/>
        </w:rPr>
        <w:t>that due to significant variation in dosing and the clinical imp</w:t>
      </w:r>
      <w:r w:rsidR="00E16EB3">
        <w:rPr>
          <w:rFonts w:ascii="Arial" w:hAnsi="Arial" w:cs="Arial"/>
          <w:bCs/>
          <w:snapToGrid w:val="0"/>
          <w:sz w:val="22"/>
          <w:szCs w:val="22"/>
          <w:lang w:val="en-GB"/>
        </w:rPr>
        <w:t xml:space="preserve">lications of a break in therapy, the Early Supply Rule should not apply to any </w:t>
      </w:r>
      <w:r w:rsidR="00E34EED">
        <w:rPr>
          <w:rFonts w:ascii="Arial" w:hAnsi="Arial" w:cs="Arial"/>
          <w:bCs/>
          <w:snapToGrid w:val="0"/>
          <w:sz w:val="22"/>
          <w:szCs w:val="22"/>
          <w:lang w:val="en-GB"/>
        </w:rPr>
        <w:t>PBS listing</w:t>
      </w:r>
      <w:r w:rsidR="00E16EB3">
        <w:rPr>
          <w:rFonts w:ascii="Arial" w:hAnsi="Arial" w:cs="Arial"/>
          <w:bCs/>
          <w:snapToGrid w:val="0"/>
          <w:sz w:val="22"/>
          <w:szCs w:val="22"/>
          <w:lang w:val="en-GB"/>
        </w:rPr>
        <w:t xml:space="preserve"> </w:t>
      </w:r>
      <w:r w:rsidR="00E34EED">
        <w:rPr>
          <w:rFonts w:ascii="Arial" w:hAnsi="Arial" w:cs="Arial"/>
          <w:bCs/>
          <w:snapToGrid w:val="0"/>
          <w:sz w:val="22"/>
          <w:szCs w:val="22"/>
          <w:lang w:val="en-GB"/>
        </w:rPr>
        <w:t xml:space="preserve">of </w:t>
      </w:r>
      <w:proofErr w:type="spellStart"/>
      <w:r w:rsidR="00E16EB3">
        <w:rPr>
          <w:rFonts w:ascii="Arial" w:hAnsi="Arial" w:cs="Arial"/>
          <w:bCs/>
          <w:snapToGrid w:val="0"/>
          <w:sz w:val="22"/>
          <w:szCs w:val="22"/>
          <w:lang w:val="en-GB"/>
        </w:rPr>
        <w:t>tacrolimus</w:t>
      </w:r>
      <w:proofErr w:type="spellEnd"/>
      <w:r w:rsidR="00E16EB3">
        <w:rPr>
          <w:rFonts w:ascii="Arial" w:hAnsi="Arial" w:cs="Arial"/>
          <w:bCs/>
          <w:snapToGrid w:val="0"/>
          <w:sz w:val="22"/>
          <w:szCs w:val="22"/>
          <w:lang w:val="en-GB"/>
        </w:rPr>
        <w:t>.</w:t>
      </w:r>
    </w:p>
    <w:p w:rsidR="00561CEC" w:rsidRDefault="00561CEC" w:rsidP="00561CEC">
      <w:pPr>
        <w:pStyle w:val="ListParagraph"/>
        <w:rPr>
          <w:rFonts w:ascii="Arial" w:hAnsi="Arial"/>
          <w:sz w:val="22"/>
          <w:szCs w:val="22"/>
        </w:rPr>
      </w:pPr>
    </w:p>
    <w:p w:rsidR="00561CEC" w:rsidRPr="00561CEC" w:rsidRDefault="00561CEC" w:rsidP="00F64CC1">
      <w:pPr>
        <w:widowControl w:val="0"/>
        <w:numPr>
          <w:ilvl w:val="1"/>
          <w:numId w:val="25"/>
        </w:numPr>
        <w:contextualSpacing/>
        <w:jc w:val="both"/>
        <w:rPr>
          <w:rFonts w:ascii="Arial" w:hAnsi="Arial"/>
          <w:sz w:val="22"/>
          <w:szCs w:val="22"/>
        </w:rPr>
      </w:pPr>
      <w:r>
        <w:rPr>
          <w:rFonts w:ascii="Arial" w:hAnsi="Arial"/>
          <w:sz w:val="22"/>
          <w:szCs w:val="22"/>
        </w:rPr>
        <w:t xml:space="preserve">The PBAC recommended that </w:t>
      </w:r>
      <w:proofErr w:type="spellStart"/>
      <w:r>
        <w:rPr>
          <w:rFonts w:ascii="Arial" w:hAnsi="Arial"/>
          <w:sz w:val="22"/>
          <w:szCs w:val="22"/>
        </w:rPr>
        <w:t>tacrolimus</w:t>
      </w:r>
      <w:proofErr w:type="spellEnd"/>
      <w:r>
        <w:rPr>
          <w:rFonts w:ascii="Arial" w:hAnsi="Arial"/>
          <w:sz w:val="22"/>
          <w:szCs w:val="22"/>
        </w:rPr>
        <w:t xml:space="preserve"> should not be treated as </w:t>
      </w:r>
      <w:r w:rsidRPr="00812B9C">
        <w:rPr>
          <w:rFonts w:ascii="Arial" w:hAnsi="Arial" w:cs="Arial"/>
          <w:sz w:val="22"/>
          <w:szCs w:val="22"/>
        </w:rPr>
        <w:t xml:space="preserve">interchangeable on an individual patient basis with any other drug(s) or medicinal </w:t>
      </w:r>
      <w:r>
        <w:rPr>
          <w:rFonts w:ascii="Arial" w:hAnsi="Arial" w:cs="Arial"/>
          <w:sz w:val="22"/>
          <w:szCs w:val="22"/>
        </w:rPr>
        <w:t>formulation</w:t>
      </w:r>
      <w:r w:rsidRPr="00812B9C">
        <w:rPr>
          <w:rFonts w:ascii="Arial" w:hAnsi="Arial" w:cs="Arial"/>
          <w:sz w:val="22"/>
          <w:szCs w:val="22"/>
        </w:rPr>
        <w:t>(s).</w:t>
      </w:r>
    </w:p>
    <w:p w:rsidR="00561CEC" w:rsidRDefault="00561CEC" w:rsidP="00561CEC">
      <w:pPr>
        <w:pStyle w:val="ListParagraph"/>
        <w:rPr>
          <w:rFonts w:ascii="Arial" w:hAnsi="Arial"/>
          <w:sz w:val="22"/>
          <w:szCs w:val="22"/>
        </w:rPr>
      </w:pPr>
    </w:p>
    <w:p w:rsidR="00561CEC" w:rsidRPr="00561CEC" w:rsidRDefault="00561CEC" w:rsidP="00561CEC">
      <w:pPr>
        <w:widowControl w:val="0"/>
        <w:numPr>
          <w:ilvl w:val="1"/>
          <w:numId w:val="25"/>
        </w:numPr>
        <w:contextualSpacing/>
        <w:jc w:val="both"/>
        <w:rPr>
          <w:rFonts w:ascii="Arial" w:hAnsi="Arial" w:cs="Arial"/>
          <w:b/>
          <w:bCs/>
          <w:snapToGrid w:val="0"/>
          <w:sz w:val="22"/>
          <w:szCs w:val="22"/>
          <w:lang w:val="en-GB"/>
        </w:rPr>
      </w:pPr>
      <w:r>
        <w:rPr>
          <w:rFonts w:ascii="Arial" w:hAnsi="Arial" w:cs="Arial"/>
          <w:bCs/>
          <w:snapToGrid w:val="0"/>
          <w:sz w:val="22"/>
          <w:szCs w:val="22"/>
          <w:lang w:val="en-GB"/>
        </w:rPr>
        <w:t xml:space="preserve">The PBAC advised that </w:t>
      </w:r>
      <w:proofErr w:type="spellStart"/>
      <w:r>
        <w:rPr>
          <w:rFonts w:ascii="Arial" w:hAnsi="Arial" w:cs="Arial"/>
          <w:bCs/>
          <w:snapToGrid w:val="0"/>
          <w:sz w:val="22"/>
          <w:szCs w:val="22"/>
          <w:lang w:val="en-GB"/>
        </w:rPr>
        <w:t>tacrolimus</w:t>
      </w:r>
      <w:proofErr w:type="spellEnd"/>
      <w:r>
        <w:rPr>
          <w:rFonts w:ascii="Arial" w:hAnsi="Arial" w:cs="Arial"/>
          <w:bCs/>
          <w:snapToGrid w:val="0"/>
          <w:sz w:val="22"/>
          <w:szCs w:val="22"/>
          <w:lang w:val="en-GB"/>
        </w:rPr>
        <w:t xml:space="preserve"> is not suitable for prescribing by nurse practitioners.</w:t>
      </w:r>
    </w:p>
    <w:p w:rsidR="00561CEC" w:rsidRPr="00812B9C" w:rsidRDefault="00561CEC" w:rsidP="00561CEC">
      <w:pPr>
        <w:widowControl w:val="0"/>
        <w:contextualSpacing/>
        <w:jc w:val="both"/>
        <w:rPr>
          <w:rFonts w:ascii="Arial" w:hAnsi="Arial" w:cs="Arial"/>
          <w:b/>
          <w:bCs/>
          <w:snapToGrid w:val="0"/>
          <w:sz w:val="22"/>
          <w:szCs w:val="22"/>
          <w:lang w:val="en-GB"/>
        </w:rPr>
      </w:pPr>
    </w:p>
    <w:p w:rsidR="00223A4A" w:rsidRPr="00A81FBA" w:rsidRDefault="00223A4A" w:rsidP="00223A4A">
      <w:pPr>
        <w:jc w:val="both"/>
        <w:rPr>
          <w:rFonts w:ascii="Arial" w:hAnsi="Arial" w:cs="Arial"/>
          <w:b/>
          <w:bCs/>
          <w:snapToGrid w:val="0"/>
          <w:sz w:val="22"/>
          <w:szCs w:val="22"/>
          <w:lang w:val="en-GB"/>
        </w:rPr>
      </w:pPr>
      <w:r w:rsidRPr="00A81FBA">
        <w:rPr>
          <w:rFonts w:ascii="Arial" w:hAnsi="Arial" w:cs="Arial"/>
          <w:b/>
          <w:bCs/>
          <w:snapToGrid w:val="0"/>
          <w:sz w:val="22"/>
          <w:szCs w:val="22"/>
          <w:lang w:val="en-GB"/>
        </w:rPr>
        <w:t>Outcome:</w:t>
      </w:r>
    </w:p>
    <w:p w:rsidR="00223A4A" w:rsidRDefault="00223A4A" w:rsidP="00223A4A">
      <w:pPr>
        <w:jc w:val="both"/>
        <w:rPr>
          <w:rFonts w:ascii="Arial" w:hAnsi="Arial" w:cs="Arial"/>
          <w:bCs/>
          <w:snapToGrid w:val="0"/>
          <w:sz w:val="22"/>
          <w:szCs w:val="22"/>
          <w:lang w:val="en-GB"/>
        </w:rPr>
      </w:pPr>
      <w:r w:rsidRPr="00A81FBA">
        <w:rPr>
          <w:rFonts w:ascii="Arial" w:hAnsi="Arial" w:cs="Arial"/>
          <w:bCs/>
          <w:snapToGrid w:val="0"/>
          <w:sz w:val="22"/>
          <w:szCs w:val="22"/>
          <w:lang w:val="en-GB"/>
        </w:rPr>
        <w:t>Recommended</w:t>
      </w:r>
      <w:bookmarkStart w:id="0" w:name="_GoBack"/>
      <w:bookmarkEnd w:id="0"/>
    </w:p>
    <w:p w:rsidR="00B72AF3" w:rsidRDefault="00B72AF3" w:rsidP="00223A4A">
      <w:pPr>
        <w:jc w:val="both"/>
        <w:rPr>
          <w:rFonts w:ascii="Arial" w:hAnsi="Arial" w:cs="Arial"/>
          <w:bCs/>
          <w:snapToGrid w:val="0"/>
          <w:sz w:val="22"/>
          <w:szCs w:val="22"/>
          <w:lang w:val="en-GB"/>
        </w:rPr>
      </w:pPr>
    </w:p>
    <w:p w:rsidR="00223A4A" w:rsidRDefault="00223A4A" w:rsidP="00223A4A">
      <w:pPr>
        <w:widowControl w:val="0"/>
        <w:jc w:val="both"/>
        <w:rPr>
          <w:rFonts w:ascii="Arial" w:hAnsi="Arial" w:cs="Arial"/>
          <w:b/>
          <w:bCs/>
          <w:snapToGrid w:val="0"/>
          <w:sz w:val="22"/>
          <w:szCs w:val="22"/>
          <w:highlight w:val="yellow"/>
        </w:rPr>
      </w:pPr>
    </w:p>
    <w:p w:rsidR="00223A4A" w:rsidRPr="005D3FE1" w:rsidRDefault="00223A4A" w:rsidP="0082086D">
      <w:pPr>
        <w:pStyle w:val="Heading1"/>
        <w:rPr>
          <w:rFonts w:cs="Arial"/>
          <w:b w:val="0"/>
          <w:bCs/>
          <w:i/>
          <w:snapToGrid w:val="0"/>
          <w:lang w:val="en-GB"/>
        </w:rPr>
      </w:pPr>
      <w:r w:rsidRPr="005D3FE1">
        <w:rPr>
          <w:rFonts w:cs="Arial"/>
          <w:bCs/>
          <w:snapToGrid w:val="0"/>
          <w:lang w:val="en-GB"/>
        </w:rPr>
        <w:t>Recommended listing</w:t>
      </w:r>
    </w:p>
    <w:p w:rsidR="0059489B" w:rsidRDefault="0059489B" w:rsidP="0059489B">
      <w:pPr>
        <w:jc w:val="both"/>
        <w:rPr>
          <w:rFonts w:ascii="Arial" w:hAnsi="Arial" w:cs="Arial"/>
          <w:b/>
          <w:i/>
          <w:sz w:val="22"/>
          <w:szCs w:val="22"/>
        </w:rPr>
      </w:pPr>
    </w:p>
    <w:p w:rsidR="00223A4A" w:rsidRDefault="00223A4A" w:rsidP="00223A4A">
      <w:pPr>
        <w:widowControl w:val="0"/>
        <w:numPr>
          <w:ilvl w:val="1"/>
          <w:numId w:val="25"/>
        </w:numPr>
        <w:contextualSpacing/>
        <w:jc w:val="both"/>
        <w:rPr>
          <w:rFonts w:ascii="Arial" w:hAnsi="Arial" w:cs="Arial"/>
          <w:bCs/>
          <w:snapToGrid w:val="0"/>
          <w:sz w:val="22"/>
          <w:szCs w:val="22"/>
        </w:rPr>
      </w:pPr>
      <w:r w:rsidRPr="005D3FE1">
        <w:rPr>
          <w:rFonts w:ascii="Arial" w:hAnsi="Arial" w:cs="Arial"/>
          <w:bCs/>
          <w:snapToGrid w:val="0"/>
          <w:sz w:val="22"/>
          <w:szCs w:val="22"/>
        </w:rPr>
        <w:t>Add new item</w:t>
      </w:r>
      <w:r w:rsidR="00E34EED">
        <w:rPr>
          <w:rFonts w:ascii="Arial" w:hAnsi="Arial" w:cs="Arial"/>
          <w:bCs/>
          <w:snapToGrid w:val="0"/>
          <w:sz w:val="22"/>
          <w:szCs w:val="22"/>
        </w:rPr>
        <w:t>s</w:t>
      </w:r>
      <w:r w:rsidRPr="005D3FE1">
        <w:rPr>
          <w:rFonts w:ascii="Arial" w:hAnsi="Arial" w:cs="Arial"/>
          <w:bCs/>
          <w:snapToGrid w:val="0"/>
          <w:sz w:val="22"/>
          <w:szCs w:val="22"/>
        </w:rPr>
        <w:t>:</w:t>
      </w:r>
    </w:p>
    <w:p w:rsidR="0059489B" w:rsidRPr="004465BD" w:rsidRDefault="0059489B" w:rsidP="00223A4A">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708"/>
        <w:gridCol w:w="709"/>
        <w:gridCol w:w="709"/>
        <w:gridCol w:w="1276"/>
        <w:gridCol w:w="1275"/>
        <w:gridCol w:w="1276"/>
        <w:gridCol w:w="425"/>
      </w:tblGrid>
      <w:tr w:rsidR="0059489B" w:rsidRPr="0039782C" w:rsidTr="0061057D">
        <w:trPr>
          <w:gridAfter w:val="1"/>
          <w:wAfter w:w="425" w:type="dxa"/>
          <w:cantSplit/>
          <w:trHeight w:val="471"/>
        </w:trPr>
        <w:tc>
          <w:tcPr>
            <w:tcW w:w="1985" w:type="dxa"/>
          </w:tcPr>
          <w:p w:rsidR="0059489B" w:rsidRPr="00D50AB7" w:rsidRDefault="0059489B" w:rsidP="0061057D">
            <w:pPr>
              <w:keepNext/>
              <w:ind w:left="-108"/>
              <w:rPr>
                <w:rFonts w:ascii="Arial Narrow" w:hAnsi="Arial Narrow" w:cs="Arial"/>
                <w:b/>
                <w:sz w:val="20"/>
                <w:szCs w:val="20"/>
              </w:rPr>
            </w:pPr>
            <w:r w:rsidRPr="0039782C">
              <w:rPr>
                <w:rFonts w:ascii="Arial Narrow" w:hAnsi="Arial Narrow" w:cs="Arial"/>
                <w:b/>
                <w:sz w:val="20"/>
                <w:szCs w:val="20"/>
              </w:rPr>
              <w:t>Name, Restriction,</w:t>
            </w:r>
            <w:r>
              <w:rPr>
                <w:rFonts w:ascii="Arial Narrow" w:hAnsi="Arial Narrow" w:cs="Arial"/>
                <w:b/>
                <w:sz w:val="20"/>
                <w:szCs w:val="20"/>
              </w:rPr>
              <w:t xml:space="preserve"> </w:t>
            </w:r>
            <w:r w:rsidRPr="0039782C">
              <w:rPr>
                <w:rFonts w:ascii="Arial Narrow" w:hAnsi="Arial Narrow" w:cs="Arial"/>
                <w:b/>
                <w:sz w:val="20"/>
                <w:szCs w:val="20"/>
              </w:rPr>
              <w:t>Manner of administration and form</w:t>
            </w:r>
          </w:p>
        </w:tc>
        <w:tc>
          <w:tcPr>
            <w:tcW w:w="708" w:type="dxa"/>
          </w:tcPr>
          <w:p w:rsidR="0059489B" w:rsidRPr="0039782C" w:rsidRDefault="0059489B" w:rsidP="0061057D">
            <w:pPr>
              <w:keepNext/>
              <w:ind w:left="-108"/>
              <w:jc w:val="both"/>
              <w:rPr>
                <w:rFonts w:ascii="Arial Narrow" w:hAnsi="Arial Narrow" w:cs="Arial"/>
                <w:b/>
                <w:sz w:val="20"/>
                <w:szCs w:val="20"/>
              </w:rPr>
            </w:pPr>
            <w:r w:rsidRPr="0039782C">
              <w:rPr>
                <w:rFonts w:ascii="Arial Narrow" w:hAnsi="Arial Narrow" w:cs="Arial"/>
                <w:b/>
                <w:sz w:val="20"/>
                <w:szCs w:val="20"/>
              </w:rPr>
              <w:t>Max.</w:t>
            </w:r>
          </w:p>
          <w:p w:rsidR="0059489B" w:rsidRPr="0039782C" w:rsidRDefault="0059489B" w:rsidP="0061057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r>
              <w:rPr>
                <w:rFonts w:ascii="Arial Narrow" w:hAnsi="Arial Narrow" w:cs="Arial"/>
                <w:b/>
                <w:sz w:val="20"/>
                <w:szCs w:val="20"/>
              </w:rPr>
              <w:t xml:space="preserve"> (packs)</w:t>
            </w:r>
          </w:p>
        </w:tc>
        <w:tc>
          <w:tcPr>
            <w:tcW w:w="709" w:type="dxa"/>
          </w:tcPr>
          <w:p w:rsidR="0059489B" w:rsidRPr="0039782C" w:rsidRDefault="0059489B" w:rsidP="0061057D">
            <w:pPr>
              <w:keepNext/>
              <w:ind w:left="-108"/>
              <w:jc w:val="both"/>
              <w:rPr>
                <w:rFonts w:ascii="Arial Narrow" w:hAnsi="Arial Narrow" w:cs="Arial"/>
                <w:b/>
                <w:sz w:val="20"/>
                <w:szCs w:val="20"/>
              </w:rPr>
            </w:pPr>
            <w:r w:rsidRPr="0039782C">
              <w:rPr>
                <w:rFonts w:ascii="Arial Narrow" w:hAnsi="Arial Narrow" w:cs="Arial"/>
                <w:b/>
                <w:sz w:val="20"/>
                <w:szCs w:val="20"/>
              </w:rPr>
              <w:t>Max.</w:t>
            </w:r>
          </w:p>
          <w:p w:rsidR="0059489B" w:rsidRPr="0039782C" w:rsidRDefault="0059489B" w:rsidP="0061057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r>
              <w:rPr>
                <w:rFonts w:ascii="Arial Narrow" w:hAnsi="Arial Narrow" w:cs="Arial"/>
                <w:b/>
                <w:sz w:val="20"/>
                <w:szCs w:val="20"/>
              </w:rPr>
              <w:t xml:space="preserve"> (units)</w:t>
            </w:r>
          </w:p>
        </w:tc>
        <w:tc>
          <w:tcPr>
            <w:tcW w:w="709" w:type="dxa"/>
          </w:tcPr>
          <w:p w:rsidR="0059489B" w:rsidRPr="0039782C" w:rsidRDefault="0059489B" w:rsidP="0061057D">
            <w:pPr>
              <w:keepNext/>
              <w:ind w:left="-108"/>
              <w:jc w:val="both"/>
              <w:rPr>
                <w:rFonts w:ascii="Arial Narrow" w:hAnsi="Arial Narrow" w:cs="Arial"/>
                <w:b/>
                <w:sz w:val="20"/>
                <w:szCs w:val="20"/>
              </w:rPr>
            </w:pPr>
            <w:r w:rsidRPr="0039782C">
              <w:rPr>
                <w:rFonts w:ascii="Arial Narrow" w:hAnsi="Arial Narrow" w:cs="Arial"/>
                <w:b/>
                <w:sz w:val="20"/>
                <w:szCs w:val="20"/>
              </w:rPr>
              <w:t>№.of</w:t>
            </w:r>
          </w:p>
          <w:p w:rsidR="0059489B" w:rsidRPr="0039782C" w:rsidRDefault="0059489B" w:rsidP="0061057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Pr>
          <w:p w:rsidR="0059489B" w:rsidRPr="0039782C" w:rsidRDefault="0059489B" w:rsidP="0061057D">
            <w:pPr>
              <w:keepNext/>
              <w:ind w:left="-108"/>
              <w:rPr>
                <w:rFonts w:ascii="Arial Narrow" w:hAnsi="Arial Narrow" w:cs="Arial"/>
                <w:b/>
                <w:sz w:val="20"/>
                <w:szCs w:val="20"/>
              </w:rPr>
            </w:pPr>
          </w:p>
        </w:tc>
        <w:tc>
          <w:tcPr>
            <w:tcW w:w="2551" w:type="dxa"/>
            <w:gridSpan w:val="2"/>
          </w:tcPr>
          <w:p w:rsidR="0059489B" w:rsidRPr="0039782C" w:rsidRDefault="0059489B" w:rsidP="0061057D">
            <w:pPr>
              <w:keepNext/>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59489B" w:rsidRPr="00260CE3" w:rsidTr="0061057D">
        <w:trPr>
          <w:gridAfter w:val="1"/>
          <w:wAfter w:w="425" w:type="dxa"/>
          <w:cantSplit/>
          <w:trHeight w:val="577"/>
        </w:trPr>
        <w:tc>
          <w:tcPr>
            <w:tcW w:w="1985" w:type="dxa"/>
          </w:tcPr>
          <w:p w:rsidR="0059489B" w:rsidRPr="00260CE3" w:rsidRDefault="0059489B" w:rsidP="0061057D">
            <w:pPr>
              <w:keepNext/>
              <w:ind w:left="-108"/>
              <w:jc w:val="both"/>
              <w:rPr>
                <w:rFonts w:ascii="Arial Narrow" w:hAnsi="Arial Narrow" w:cs="Arial"/>
                <w:sz w:val="20"/>
                <w:szCs w:val="20"/>
              </w:rPr>
            </w:pPr>
            <w:r>
              <w:rPr>
                <w:rFonts w:ascii="Arial Narrow" w:hAnsi="Arial Narrow" w:cs="Arial"/>
                <w:smallCaps/>
                <w:sz w:val="20"/>
                <w:szCs w:val="20"/>
              </w:rPr>
              <w:t>TACROLIMUS</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 xml:space="preserve">750 microgram capsule </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2 mg capsule</w:t>
            </w:r>
          </w:p>
          <w:p w:rsidR="0059489B" w:rsidRPr="00260CE3" w:rsidRDefault="0059489B" w:rsidP="0061057D">
            <w:pPr>
              <w:keepNext/>
              <w:ind w:left="-108"/>
              <w:jc w:val="both"/>
              <w:rPr>
                <w:rFonts w:ascii="Arial Narrow" w:hAnsi="Arial Narrow" w:cs="Arial"/>
                <w:sz w:val="20"/>
                <w:szCs w:val="20"/>
              </w:rPr>
            </w:pPr>
          </w:p>
        </w:tc>
        <w:tc>
          <w:tcPr>
            <w:tcW w:w="708" w:type="dxa"/>
          </w:tcPr>
          <w:p w:rsidR="0059489B" w:rsidRPr="00260CE3" w:rsidRDefault="0059489B" w:rsidP="0061057D">
            <w:pPr>
              <w:keepNext/>
              <w:ind w:left="-108"/>
              <w:jc w:val="both"/>
              <w:rPr>
                <w:rFonts w:ascii="Arial Narrow" w:hAnsi="Arial Narrow" w:cs="Arial"/>
                <w:sz w:val="20"/>
                <w:szCs w:val="20"/>
              </w:rPr>
            </w:pP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1</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1</w:t>
            </w:r>
          </w:p>
          <w:p w:rsidR="0059489B" w:rsidRPr="00260CE3" w:rsidRDefault="0059489B" w:rsidP="0061057D">
            <w:pPr>
              <w:keepNext/>
              <w:ind w:left="-108"/>
              <w:jc w:val="both"/>
              <w:rPr>
                <w:rFonts w:ascii="Arial Narrow" w:hAnsi="Arial Narrow" w:cs="Arial"/>
                <w:sz w:val="20"/>
                <w:szCs w:val="20"/>
              </w:rPr>
            </w:pPr>
          </w:p>
        </w:tc>
        <w:tc>
          <w:tcPr>
            <w:tcW w:w="709" w:type="dxa"/>
          </w:tcPr>
          <w:p w:rsidR="0059489B" w:rsidRPr="00260CE3" w:rsidRDefault="0059489B" w:rsidP="0061057D">
            <w:pPr>
              <w:keepNext/>
              <w:ind w:left="-108"/>
              <w:jc w:val="both"/>
              <w:rPr>
                <w:rFonts w:ascii="Arial Narrow" w:hAnsi="Arial Narrow" w:cs="Arial"/>
                <w:sz w:val="20"/>
                <w:szCs w:val="20"/>
              </w:rPr>
            </w:pP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100</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100</w:t>
            </w:r>
          </w:p>
          <w:p w:rsidR="0059489B" w:rsidRPr="00260CE3" w:rsidRDefault="0059489B" w:rsidP="0061057D">
            <w:pPr>
              <w:keepNext/>
              <w:ind w:left="-108"/>
              <w:jc w:val="both"/>
              <w:rPr>
                <w:rFonts w:ascii="Arial Narrow" w:hAnsi="Arial Narrow" w:cs="Arial"/>
                <w:sz w:val="20"/>
                <w:szCs w:val="20"/>
              </w:rPr>
            </w:pPr>
          </w:p>
        </w:tc>
        <w:tc>
          <w:tcPr>
            <w:tcW w:w="709" w:type="dxa"/>
          </w:tcPr>
          <w:p w:rsidR="0059489B" w:rsidRPr="00260CE3" w:rsidRDefault="0059489B" w:rsidP="0061057D">
            <w:pPr>
              <w:keepNext/>
              <w:ind w:left="-108"/>
              <w:jc w:val="both"/>
              <w:rPr>
                <w:rFonts w:ascii="Arial Narrow" w:hAnsi="Arial Narrow" w:cs="Arial"/>
                <w:sz w:val="20"/>
                <w:szCs w:val="20"/>
              </w:rPr>
            </w:pP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3</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3</w:t>
            </w:r>
          </w:p>
          <w:p w:rsidR="0059489B" w:rsidRPr="00260CE3" w:rsidRDefault="0059489B" w:rsidP="0061057D">
            <w:pPr>
              <w:keepNext/>
              <w:ind w:left="-108"/>
              <w:jc w:val="both"/>
              <w:rPr>
                <w:rFonts w:ascii="Arial Narrow" w:hAnsi="Arial Narrow" w:cs="Arial"/>
                <w:sz w:val="20"/>
                <w:szCs w:val="20"/>
              </w:rPr>
            </w:pPr>
          </w:p>
        </w:tc>
        <w:tc>
          <w:tcPr>
            <w:tcW w:w="1276" w:type="dxa"/>
          </w:tcPr>
          <w:p w:rsidR="0059489B" w:rsidRPr="00260CE3" w:rsidRDefault="0059489B" w:rsidP="0061057D">
            <w:pPr>
              <w:keepNext/>
              <w:ind w:left="-108"/>
              <w:jc w:val="both"/>
              <w:rPr>
                <w:rFonts w:ascii="Arial Narrow" w:hAnsi="Arial Narrow" w:cs="Arial"/>
                <w:sz w:val="20"/>
                <w:szCs w:val="20"/>
              </w:rPr>
            </w:pPr>
          </w:p>
        </w:tc>
        <w:tc>
          <w:tcPr>
            <w:tcW w:w="1275" w:type="dxa"/>
          </w:tcPr>
          <w:p w:rsidR="0059489B" w:rsidRDefault="0059489B" w:rsidP="0061057D">
            <w:pPr>
              <w:keepNext/>
              <w:jc w:val="both"/>
              <w:rPr>
                <w:rFonts w:ascii="Arial Narrow" w:hAnsi="Arial Narrow" w:cs="Arial"/>
                <w:sz w:val="20"/>
                <w:szCs w:val="20"/>
              </w:rPr>
            </w:pPr>
          </w:p>
          <w:p w:rsidR="0059489B" w:rsidRPr="00260CE3" w:rsidRDefault="0059489B" w:rsidP="0061057D">
            <w:pPr>
              <w:keepNext/>
              <w:jc w:val="both"/>
              <w:rPr>
                <w:rFonts w:ascii="Arial Narrow" w:hAnsi="Arial Narrow" w:cs="Arial"/>
                <w:sz w:val="20"/>
                <w:szCs w:val="20"/>
              </w:rPr>
            </w:pPr>
            <w:proofErr w:type="spellStart"/>
            <w:r>
              <w:rPr>
                <w:rFonts w:ascii="Arial Narrow" w:hAnsi="Arial Narrow" w:cs="Arial"/>
                <w:sz w:val="20"/>
                <w:szCs w:val="20"/>
              </w:rPr>
              <w:t>Tacrolimus</w:t>
            </w:r>
            <w:proofErr w:type="spellEnd"/>
            <w:r>
              <w:rPr>
                <w:rFonts w:ascii="Arial Narrow" w:hAnsi="Arial Narrow" w:cs="Arial"/>
                <w:sz w:val="20"/>
                <w:szCs w:val="20"/>
              </w:rPr>
              <w:t xml:space="preserve"> Sandoz</w:t>
            </w:r>
            <w:r w:rsidRPr="000E1E6D">
              <w:rPr>
                <w:rFonts w:ascii="Arial Narrow" w:hAnsi="Arial Narrow"/>
                <w:b/>
                <w:sz w:val="20"/>
                <w:szCs w:val="20"/>
                <w:vertAlign w:val="superscript"/>
              </w:rPr>
              <w:t>®</w:t>
            </w:r>
          </w:p>
        </w:tc>
        <w:tc>
          <w:tcPr>
            <w:tcW w:w="1276" w:type="dxa"/>
          </w:tcPr>
          <w:p w:rsidR="0059489B" w:rsidRDefault="0059489B" w:rsidP="0061057D">
            <w:pPr>
              <w:keepNext/>
              <w:jc w:val="both"/>
              <w:rPr>
                <w:rFonts w:ascii="Arial Narrow" w:hAnsi="Arial Narrow" w:cs="Arial"/>
                <w:sz w:val="20"/>
                <w:szCs w:val="20"/>
              </w:rPr>
            </w:pPr>
          </w:p>
          <w:p w:rsidR="0059489B" w:rsidRPr="00260CE3" w:rsidRDefault="0059489B" w:rsidP="0061057D">
            <w:pPr>
              <w:keepNext/>
              <w:rPr>
                <w:rFonts w:ascii="Arial Narrow" w:hAnsi="Arial Narrow" w:cs="Arial"/>
                <w:sz w:val="20"/>
                <w:szCs w:val="20"/>
              </w:rPr>
            </w:pPr>
            <w:r>
              <w:rPr>
                <w:rFonts w:ascii="Arial Narrow" w:hAnsi="Arial Narrow" w:cs="Arial"/>
                <w:sz w:val="20"/>
                <w:szCs w:val="20"/>
              </w:rPr>
              <w:t>Sandoz Pty Ltd</w:t>
            </w:r>
          </w:p>
        </w:tc>
      </w:tr>
      <w:tr w:rsidR="0059489B" w:rsidRPr="00260CE3" w:rsidTr="0061057D">
        <w:trPr>
          <w:cantSplit/>
          <w:trHeight w:val="360"/>
        </w:trPr>
        <w:tc>
          <w:tcPr>
            <w:tcW w:w="1985" w:type="dxa"/>
            <w:tcBorders>
              <w:top w:val="single" w:sz="4" w:space="0" w:color="auto"/>
              <w:left w:val="single" w:sz="4" w:space="0" w:color="auto"/>
              <w:bottom w:val="single" w:sz="4" w:space="0" w:color="auto"/>
              <w:right w:val="single" w:sz="4" w:space="0" w:color="auto"/>
            </w:tcBorders>
          </w:tcPr>
          <w:p w:rsidR="0059489B" w:rsidRPr="00260CE3" w:rsidRDefault="0059489B" w:rsidP="0061057D">
            <w:pPr>
              <w:jc w:val="both"/>
              <w:rPr>
                <w:rFonts w:ascii="Arial Narrow" w:hAnsi="Arial Narrow" w:cs="Arial"/>
                <w:b/>
                <w:sz w:val="20"/>
                <w:szCs w:val="20"/>
              </w:rPr>
            </w:pPr>
            <w:r w:rsidRPr="00260CE3">
              <w:rPr>
                <w:rFonts w:ascii="Arial Narrow" w:hAnsi="Arial Narrow" w:cs="Arial"/>
                <w:b/>
                <w:sz w:val="20"/>
                <w:szCs w:val="20"/>
              </w:rPr>
              <w:t xml:space="preserve">Category / </w:t>
            </w:r>
          </w:p>
          <w:p w:rsidR="0059489B" w:rsidRPr="00260CE3" w:rsidRDefault="0059489B" w:rsidP="0061057D">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7"/>
            <w:tcBorders>
              <w:top w:val="single" w:sz="4" w:space="0" w:color="auto"/>
              <w:left w:val="single" w:sz="4" w:space="0" w:color="auto"/>
              <w:bottom w:val="single" w:sz="4" w:space="0" w:color="auto"/>
              <w:right w:val="single" w:sz="4" w:space="0" w:color="auto"/>
            </w:tcBorders>
          </w:tcPr>
          <w:p w:rsidR="0059489B" w:rsidRPr="00260CE3" w:rsidRDefault="0059489B" w:rsidP="0061057D">
            <w:pPr>
              <w:rPr>
                <w:rFonts w:ascii="Arial Narrow" w:hAnsi="Arial Narrow" w:cs="Arial"/>
                <w:sz w:val="20"/>
                <w:szCs w:val="20"/>
              </w:rPr>
            </w:pPr>
            <w:r w:rsidRPr="00260CE3">
              <w:rPr>
                <w:rFonts w:ascii="Arial Narrow" w:hAnsi="Arial Narrow" w:cs="Arial"/>
                <w:sz w:val="20"/>
                <w:szCs w:val="20"/>
              </w:rPr>
              <w:t>GENERAL – General Schedule (Code GE)</w:t>
            </w:r>
          </w:p>
        </w:tc>
      </w:tr>
      <w:tr w:rsidR="0059489B" w:rsidRPr="00260CE3" w:rsidTr="0061057D">
        <w:trPr>
          <w:cantSplit/>
          <w:trHeight w:val="360"/>
        </w:trPr>
        <w:tc>
          <w:tcPr>
            <w:tcW w:w="1985" w:type="dxa"/>
            <w:tcBorders>
              <w:top w:val="single" w:sz="4" w:space="0" w:color="auto"/>
              <w:left w:val="single" w:sz="4" w:space="0" w:color="auto"/>
              <w:bottom w:val="single" w:sz="4" w:space="0" w:color="auto"/>
              <w:right w:val="single" w:sz="4" w:space="0" w:color="auto"/>
            </w:tcBorders>
          </w:tcPr>
          <w:p w:rsidR="0059489B" w:rsidRPr="00260CE3" w:rsidRDefault="0059489B" w:rsidP="0061057D">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7"/>
            <w:tcBorders>
              <w:top w:val="single" w:sz="4" w:space="0" w:color="auto"/>
              <w:left w:val="single" w:sz="4" w:space="0" w:color="auto"/>
              <w:bottom w:val="single" w:sz="4" w:space="0" w:color="auto"/>
              <w:right w:val="single" w:sz="4" w:space="0" w:color="auto"/>
            </w:tcBorders>
          </w:tcPr>
          <w:p w:rsidR="0059489B" w:rsidRPr="00260CE3" w:rsidRDefault="0059489B" w:rsidP="0061057D">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B44C02">
              <w:rPr>
                <w:rFonts w:ascii="Arial Narrow" w:hAnsi="Arial Narrow" w:cs="Arial"/>
                <w:sz w:val="20"/>
                <w:szCs w:val="20"/>
              </w:rPr>
            </w:r>
            <w:r w:rsidR="00B44C0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44C02">
              <w:rPr>
                <w:rFonts w:ascii="Arial Narrow" w:hAnsi="Arial Narrow" w:cs="Arial"/>
                <w:sz w:val="20"/>
                <w:szCs w:val="20"/>
              </w:rPr>
            </w:r>
            <w:r w:rsidR="00B44C0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Pr="00260CE3">
              <w:rPr>
                <w:rFonts w:ascii="Arial Narrow" w:hAnsi="Arial Narrow" w:cs="Arial"/>
                <w:sz w:val="20"/>
                <w:szCs w:val="20"/>
              </w:rPr>
              <w:fldChar w:fldCharType="begin">
                <w:ffData>
                  <w:name w:val="Check3"/>
                  <w:enabled/>
                  <w:calcOnExit w:val="0"/>
                  <w:checkBox>
                    <w:sizeAuto/>
                    <w:default w:val="0"/>
                  </w:checkBox>
                </w:ffData>
              </w:fldChar>
            </w:r>
            <w:r w:rsidRPr="00260CE3">
              <w:rPr>
                <w:rFonts w:ascii="Arial Narrow" w:hAnsi="Arial Narrow" w:cs="Arial"/>
                <w:sz w:val="20"/>
                <w:szCs w:val="20"/>
              </w:rPr>
              <w:instrText xml:space="preserve"> FORMCHECKBOX </w:instrText>
            </w:r>
            <w:r w:rsidR="00B44C02">
              <w:rPr>
                <w:rFonts w:ascii="Arial Narrow" w:hAnsi="Arial Narrow" w:cs="Arial"/>
                <w:sz w:val="20"/>
                <w:szCs w:val="20"/>
              </w:rPr>
            </w:r>
            <w:r w:rsidR="00B44C0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B44C02">
              <w:rPr>
                <w:rFonts w:ascii="Arial Narrow" w:hAnsi="Arial Narrow" w:cs="Arial"/>
                <w:sz w:val="20"/>
                <w:szCs w:val="20"/>
              </w:rPr>
            </w:r>
            <w:r w:rsidR="00B44C0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59489B" w:rsidRPr="00260CE3" w:rsidRDefault="0059489B" w:rsidP="0061057D">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B44C02">
              <w:rPr>
                <w:rFonts w:ascii="Arial Narrow" w:hAnsi="Arial Narrow" w:cs="Arial"/>
                <w:sz w:val="20"/>
                <w:szCs w:val="20"/>
              </w:rPr>
            </w:r>
            <w:r w:rsidR="00B44C0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59489B" w:rsidRPr="00260CE3" w:rsidTr="00E34EED">
        <w:trPr>
          <w:cantSplit/>
          <w:trHeight w:val="381"/>
        </w:trPr>
        <w:tc>
          <w:tcPr>
            <w:tcW w:w="1985" w:type="dxa"/>
            <w:tcBorders>
              <w:top w:val="single" w:sz="4" w:space="0" w:color="auto"/>
              <w:left w:val="single" w:sz="4" w:space="0" w:color="auto"/>
              <w:bottom w:val="single" w:sz="4" w:space="0" w:color="auto"/>
              <w:right w:val="single" w:sz="4" w:space="0" w:color="auto"/>
            </w:tcBorders>
          </w:tcPr>
          <w:p w:rsidR="0059489B" w:rsidRPr="00E34EED" w:rsidRDefault="0059489B" w:rsidP="0061057D">
            <w:pPr>
              <w:jc w:val="both"/>
              <w:rPr>
                <w:rFonts w:ascii="Arial Narrow" w:hAnsi="Arial Narrow" w:cs="Arial"/>
                <w:b/>
                <w:sz w:val="20"/>
                <w:szCs w:val="20"/>
              </w:rPr>
            </w:pPr>
            <w:r w:rsidRPr="00260CE3">
              <w:rPr>
                <w:rFonts w:ascii="Arial Narrow" w:hAnsi="Arial Narrow" w:cs="Arial"/>
                <w:b/>
                <w:sz w:val="20"/>
                <w:szCs w:val="20"/>
              </w:rPr>
              <w:t>Cautions</w:t>
            </w:r>
          </w:p>
        </w:tc>
        <w:tc>
          <w:tcPr>
            <w:tcW w:w="6378" w:type="dxa"/>
            <w:gridSpan w:val="7"/>
            <w:tcBorders>
              <w:top w:val="single" w:sz="4" w:space="0" w:color="auto"/>
              <w:left w:val="single" w:sz="4" w:space="0" w:color="auto"/>
              <w:bottom w:val="single" w:sz="4" w:space="0" w:color="auto"/>
              <w:right w:val="single" w:sz="4" w:space="0" w:color="auto"/>
            </w:tcBorders>
          </w:tcPr>
          <w:p w:rsidR="0059489B" w:rsidRPr="00260CE3" w:rsidRDefault="0059489B" w:rsidP="0061057D">
            <w:pPr>
              <w:rPr>
                <w:rFonts w:ascii="Arial Narrow" w:hAnsi="Arial Narrow" w:cs="Arial"/>
                <w:sz w:val="20"/>
                <w:szCs w:val="20"/>
              </w:rPr>
            </w:pPr>
            <w:r>
              <w:rPr>
                <w:rFonts w:ascii="Arial Narrow" w:hAnsi="Arial Narrow" w:cs="Arial"/>
                <w:sz w:val="20"/>
                <w:szCs w:val="20"/>
              </w:rPr>
              <w:t>Careful monitoring of patients is mandatory</w:t>
            </w:r>
          </w:p>
        </w:tc>
      </w:tr>
    </w:tbl>
    <w:p w:rsidR="0059489B" w:rsidRPr="00DC27AA" w:rsidRDefault="0059489B" w:rsidP="0059489B">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708"/>
        <w:gridCol w:w="709"/>
        <w:gridCol w:w="709"/>
        <w:gridCol w:w="1276"/>
        <w:gridCol w:w="1275"/>
        <w:gridCol w:w="1276"/>
        <w:gridCol w:w="425"/>
      </w:tblGrid>
      <w:tr w:rsidR="0059489B" w:rsidRPr="0039782C" w:rsidTr="0061057D">
        <w:trPr>
          <w:gridAfter w:val="1"/>
          <w:wAfter w:w="425" w:type="dxa"/>
          <w:cantSplit/>
          <w:trHeight w:val="471"/>
        </w:trPr>
        <w:tc>
          <w:tcPr>
            <w:tcW w:w="1985" w:type="dxa"/>
          </w:tcPr>
          <w:p w:rsidR="0059489B" w:rsidRPr="0039782C" w:rsidRDefault="0059489B" w:rsidP="0061057D">
            <w:pPr>
              <w:keepNext/>
              <w:ind w:left="-108"/>
              <w:rPr>
                <w:rFonts w:ascii="Arial Narrow" w:hAnsi="Arial Narrow" w:cs="Arial"/>
                <w:b/>
                <w:sz w:val="20"/>
                <w:szCs w:val="20"/>
              </w:rPr>
            </w:pPr>
            <w:r w:rsidRPr="0039782C">
              <w:rPr>
                <w:rFonts w:ascii="Arial Narrow" w:hAnsi="Arial Narrow" w:cs="Arial"/>
                <w:b/>
                <w:sz w:val="20"/>
                <w:szCs w:val="20"/>
              </w:rPr>
              <w:lastRenderedPageBreak/>
              <w:t>Name, Restriction,</w:t>
            </w:r>
          </w:p>
          <w:p w:rsidR="0059489B" w:rsidRPr="0039782C" w:rsidRDefault="0059489B" w:rsidP="0061057D">
            <w:pPr>
              <w:keepNext/>
              <w:ind w:left="-108"/>
              <w:rPr>
                <w:rFonts w:ascii="Arial Narrow" w:hAnsi="Arial Narrow" w:cs="Arial"/>
                <w:b/>
                <w:sz w:val="20"/>
                <w:szCs w:val="20"/>
              </w:rPr>
            </w:pPr>
            <w:r w:rsidRPr="0039782C">
              <w:rPr>
                <w:rFonts w:ascii="Arial Narrow" w:hAnsi="Arial Narrow" w:cs="Arial"/>
                <w:b/>
                <w:sz w:val="20"/>
                <w:szCs w:val="20"/>
              </w:rPr>
              <w:t>Manner of administration and form</w:t>
            </w:r>
          </w:p>
        </w:tc>
        <w:tc>
          <w:tcPr>
            <w:tcW w:w="708" w:type="dxa"/>
          </w:tcPr>
          <w:p w:rsidR="0059489B" w:rsidRPr="0039782C" w:rsidRDefault="0059489B" w:rsidP="0061057D">
            <w:pPr>
              <w:keepNext/>
              <w:ind w:left="-108"/>
              <w:jc w:val="both"/>
              <w:rPr>
                <w:rFonts w:ascii="Arial Narrow" w:hAnsi="Arial Narrow" w:cs="Arial"/>
                <w:b/>
                <w:sz w:val="20"/>
                <w:szCs w:val="20"/>
              </w:rPr>
            </w:pPr>
            <w:r w:rsidRPr="0039782C">
              <w:rPr>
                <w:rFonts w:ascii="Arial Narrow" w:hAnsi="Arial Narrow" w:cs="Arial"/>
                <w:b/>
                <w:sz w:val="20"/>
                <w:szCs w:val="20"/>
              </w:rPr>
              <w:t>Max.</w:t>
            </w:r>
          </w:p>
          <w:p w:rsidR="0059489B" w:rsidRPr="0039782C" w:rsidRDefault="0059489B" w:rsidP="0061057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r>
              <w:rPr>
                <w:rFonts w:ascii="Arial Narrow" w:hAnsi="Arial Narrow" w:cs="Arial"/>
                <w:b/>
                <w:sz w:val="20"/>
                <w:szCs w:val="20"/>
              </w:rPr>
              <w:t xml:space="preserve"> (packs)</w:t>
            </w:r>
          </w:p>
        </w:tc>
        <w:tc>
          <w:tcPr>
            <w:tcW w:w="709" w:type="dxa"/>
          </w:tcPr>
          <w:p w:rsidR="0059489B" w:rsidRPr="0039782C" w:rsidRDefault="0059489B" w:rsidP="0061057D">
            <w:pPr>
              <w:keepNext/>
              <w:ind w:left="-108"/>
              <w:jc w:val="both"/>
              <w:rPr>
                <w:rFonts w:ascii="Arial Narrow" w:hAnsi="Arial Narrow" w:cs="Arial"/>
                <w:b/>
                <w:sz w:val="20"/>
                <w:szCs w:val="20"/>
              </w:rPr>
            </w:pPr>
            <w:r w:rsidRPr="0039782C">
              <w:rPr>
                <w:rFonts w:ascii="Arial Narrow" w:hAnsi="Arial Narrow" w:cs="Arial"/>
                <w:b/>
                <w:sz w:val="20"/>
                <w:szCs w:val="20"/>
              </w:rPr>
              <w:t>Max.</w:t>
            </w:r>
          </w:p>
          <w:p w:rsidR="0059489B" w:rsidRPr="0039782C" w:rsidRDefault="0059489B" w:rsidP="0061057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r>
              <w:rPr>
                <w:rFonts w:ascii="Arial Narrow" w:hAnsi="Arial Narrow" w:cs="Arial"/>
                <w:b/>
                <w:sz w:val="20"/>
                <w:szCs w:val="20"/>
              </w:rPr>
              <w:t xml:space="preserve"> (units)</w:t>
            </w:r>
          </w:p>
        </w:tc>
        <w:tc>
          <w:tcPr>
            <w:tcW w:w="709" w:type="dxa"/>
          </w:tcPr>
          <w:p w:rsidR="0059489B" w:rsidRPr="0039782C" w:rsidRDefault="0059489B" w:rsidP="0061057D">
            <w:pPr>
              <w:keepNext/>
              <w:ind w:left="-108"/>
              <w:jc w:val="both"/>
              <w:rPr>
                <w:rFonts w:ascii="Arial Narrow" w:hAnsi="Arial Narrow" w:cs="Arial"/>
                <w:b/>
                <w:sz w:val="20"/>
                <w:szCs w:val="20"/>
              </w:rPr>
            </w:pPr>
            <w:r w:rsidRPr="0039782C">
              <w:rPr>
                <w:rFonts w:ascii="Arial Narrow" w:hAnsi="Arial Narrow" w:cs="Arial"/>
                <w:b/>
                <w:sz w:val="20"/>
                <w:szCs w:val="20"/>
              </w:rPr>
              <w:t>№.of</w:t>
            </w:r>
          </w:p>
          <w:p w:rsidR="0059489B" w:rsidRPr="0039782C" w:rsidRDefault="0059489B" w:rsidP="0061057D">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1276" w:type="dxa"/>
          </w:tcPr>
          <w:p w:rsidR="0059489B" w:rsidRPr="0039782C" w:rsidRDefault="0059489B" w:rsidP="0061057D">
            <w:pPr>
              <w:keepNext/>
              <w:ind w:left="-108"/>
              <w:rPr>
                <w:rFonts w:ascii="Arial Narrow" w:hAnsi="Arial Narrow" w:cs="Arial"/>
                <w:b/>
                <w:sz w:val="20"/>
                <w:szCs w:val="20"/>
              </w:rPr>
            </w:pPr>
          </w:p>
        </w:tc>
        <w:tc>
          <w:tcPr>
            <w:tcW w:w="2551" w:type="dxa"/>
            <w:gridSpan w:val="2"/>
          </w:tcPr>
          <w:p w:rsidR="0059489B" w:rsidRPr="0039782C" w:rsidRDefault="0059489B" w:rsidP="0061057D">
            <w:pPr>
              <w:keepNext/>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59489B" w:rsidRPr="00260CE3" w:rsidTr="0061057D">
        <w:trPr>
          <w:gridAfter w:val="1"/>
          <w:wAfter w:w="425" w:type="dxa"/>
          <w:cantSplit/>
          <w:trHeight w:val="577"/>
        </w:trPr>
        <w:tc>
          <w:tcPr>
            <w:tcW w:w="1985" w:type="dxa"/>
          </w:tcPr>
          <w:p w:rsidR="0059489B" w:rsidRPr="00260CE3" w:rsidRDefault="0059489B" w:rsidP="0061057D">
            <w:pPr>
              <w:keepNext/>
              <w:ind w:left="-108"/>
              <w:jc w:val="both"/>
              <w:rPr>
                <w:rFonts w:ascii="Arial Narrow" w:hAnsi="Arial Narrow" w:cs="Arial"/>
                <w:sz w:val="20"/>
                <w:szCs w:val="20"/>
              </w:rPr>
            </w:pPr>
            <w:r>
              <w:rPr>
                <w:rFonts w:ascii="Arial Narrow" w:hAnsi="Arial Narrow" w:cs="Arial"/>
                <w:smallCaps/>
                <w:sz w:val="20"/>
                <w:szCs w:val="20"/>
              </w:rPr>
              <w:t>TACROLIMUS</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 xml:space="preserve">750 microgram capsule </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2 mg capsule</w:t>
            </w:r>
          </w:p>
          <w:p w:rsidR="0059489B" w:rsidRPr="00260CE3" w:rsidRDefault="0059489B" w:rsidP="0061057D">
            <w:pPr>
              <w:keepNext/>
              <w:ind w:left="-108"/>
              <w:jc w:val="both"/>
              <w:rPr>
                <w:rFonts w:ascii="Arial Narrow" w:hAnsi="Arial Narrow" w:cs="Arial"/>
                <w:sz w:val="20"/>
                <w:szCs w:val="20"/>
              </w:rPr>
            </w:pPr>
          </w:p>
        </w:tc>
        <w:tc>
          <w:tcPr>
            <w:tcW w:w="708" w:type="dxa"/>
          </w:tcPr>
          <w:p w:rsidR="0059489B" w:rsidRDefault="0059489B" w:rsidP="0061057D">
            <w:pPr>
              <w:keepNext/>
              <w:jc w:val="both"/>
              <w:rPr>
                <w:rFonts w:ascii="Arial Narrow" w:hAnsi="Arial Narrow" w:cs="Arial"/>
                <w:sz w:val="20"/>
                <w:szCs w:val="20"/>
              </w:rPr>
            </w:pP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2</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2</w:t>
            </w:r>
          </w:p>
          <w:p w:rsidR="0059489B" w:rsidRPr="00260CE3" w:rsidRDefault="0059489B" w:rsidP="0061057D">
            <w:pPr>
              <w:keepNext/>
              <w:ind w:left="-108"/>
              <w:jc w:val="both"/>
              <w:rPr>
                <w:rFonts w:ascii="Arial Narrow" w:hAnsi="Arial Narrow" w:cs="Arial"/>
                <w:sz w:val="20"/>
                <w:szCs w:val="20"/>
              </w:rPr>
            </w:pPr>
          </w:p>
        </w:tc>
        <w:tc>
          <w:tcPr>
            <w:tcW w:w="709" w:type="dxa"/>
          </w:tcPr>
          <w:p w:rsidR="0059489B" w:rsidRDefault="0059489B" w:rsidP="0061057D">
            <w:pPr>
              <w:keepNext/>
              <w:jc w:val="both"/>
              <w:rPr>
                <w:rFonts w:ascii="Arial Narrow" w:hAnsi="Arial Narrow" w:cs="Arial"/>
                <w:sz w:val="20"/>
                <w:szCs w:val="20"/>
              </w:rPr>
            </w:pP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200</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200</w:t>
            </w:r>
          </w:p>
          <w:p w:rsidR="0059489B" w:rsidRPr="00260CE3" w:rsidRDefault="0059489B" w:rsidP="0061057D">
            <w:pPr>
              <w:keepNext/>
              <w:ind w:left="-108"/>
              <w:jc w:val="both"/>
              <w:rPr>
                <w:rFonts w:ascii="Arial Narrow" w:hAnsi="Arial Narrow" w:cs="Arial"/>
                <w:sz w:val="20"/>
                <w:szCs w:val="20"/>
              </w:rPr>
            </w:pPr>
          </w:p>
        </w:tc>
        <w:tc>
          <w:tcPr>
            <w:tcW w:w="709" w:type="dxa"/>
          </w:tcPr>
          <w:p w:rsidR="0059489B" w:rsidRDefault="0059489B" w:rsidP="0061057D">
            <w:pPr>
              <w:keepNext/>
              <w:jc w:val="both"/>
              <w:rPr>
                <w:rFonts w:ascii="Arial Narrow" w:hAnsi="Arial Narrow" w:cs="Arial"/>
                <w:sz w:val="20"/>
                <w:szCs w:val="20"/>
              </w:rPr>
            </w:pP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5</w:t>
            </w:r>
          </w:p>
          <w:p w:rsidR="0059489B" w:rsidRDefault="0059489B" w:rsidP="0061057D">
            <w:pPr>
              <w:keepNext/>
              <w:ind w:left="-108"/>
              <w:jc w:val="both"/>
              <w:rPr>
                <w:rFonts w:ascii="Arial Narrow" w:hAnsi="Arial Narrow" w:cs="Arial"/>
                <w:sz w:val="20"/>
                <w:szCs w:val="20"/>
              </w:rPr>
            </w:pPr>
            <w:r>
              <w:rPr>
                <w:rFonts w:ascii="Arial Narrow" w:hAnsi="Arial Narrow" w:cs="Arial"/>
                <w:sz w:val="20"/>
                <w:szCs w:val="20"/>
              </w:rPr>
              <w:t>5</w:t>
            </w:r>
          </w:p>
          <w:p w:rsidR="0059489B" w:rsidRPr="00260CE3" w:rsidRDefault="0059489B" w:rsidP="0061057D">
            <w:pPr>
              <w:keepNext/>
              <w:ind w:left="-108"/>
              <w:jc w:val="both"/>
              <w:rPr>
                <w:rFonts w:ascii="Arial Narrow" w:hAnsi="Arial Narrow" w:cs="Arial"/>
                <w:sz w:val="20"/>
                <w:szCs w:val="20"/>
              </w:rPr>
            </w:pPr>
          </w:p>
        </w:tc>
        <w:tc>
          <w:tcPr>
            <w:tcW w:w="1276" w:type="dxa"/>
          </w:tcPr>
          <w:p w:rsidR="0059489B" w:rsidRPr="00260CE3" w:rsidRDefault="0059489B" w:rsidP="0061057D">
            <w:pPr>
              <w:keepNext/>
              <w:jc w:val="both"/>
              <w:rPr>
                <w:rFonts w:ascii="Arial Narrow" w:hAnsi="Arial Narrow" w:cs="Arial"/>
                <w:sz w:val="20"/>
                <w:szCs w:val="20"/>
              </w:rPr>
            </w:pPr>
          </w:p>
        </w:tc>
        <w:tc>
          <w:tcPr>
            <w:tcW w:w="1275" w:type="dxa"/>
          </w:tcPr>
          <w:p w:rsidR="0059489B" w:rsidRDefault="0059489B" w:rsidP="0061057D">
            <w:pPr>
              <w:keepNext/>
              <w:jc w:val="both"/>
              <w:rPr>
                <w:rFonts w:ascii="Arial Narrow" w:hAnsi="Arial Narrow" w:cs="Arial"/>
                <w:sz w:val="20"/>
                <w:szCs w:val="20"/>
              </w:rPr>
            </w:pPr>
          </w:p>
          <w:p w:rsidR="0059489B" w:rsidRPr="00260CE3" w:rsidRDefault="0059489B" w:rsidP="0061057D">
            <w:pPr>
              <w:keepNext/>
              <w:jc w:val="both"/>
              <w:rPr>
                <w:rFonts w:ascii="Arial Narrow" w:hAnsi="Arial Narrow" w:cs="Arial"/>
                <w:sz w:val="20"/>
                <w:szCs w:val="20"/>
              </w:rPr>
            </w:pPr>
            <w:proofErr w:type="spellStart"/>
            <w:r>
              <w:rPr>
                <w:rFonts w:ascii="Arial Narrow" w:hAnsi="Arial Narrow" w:cs="Arial"/>
                <w:sz w:val="20"/>
                <w:szCs w:val="20"/>
              </w:rPr>
              <w:t>Tacrolimus</w:t>
            </w:r>
            <w:proofErr w:type="spellEnd"/>
            <w:r>
              <w:rPr>
                <w:rFonts w:ascii="Arial Narrow" w:hAnsi="Arial Narrow" w:cs="Arial"/>
                <w:sz w:val="20"/>
                <w:szCs w:val="20"/>
              </w:rPr>
              <w:t xml:space="preserve"> Sandoz</w:t>
            </w:r>
            <w:r w:rsidRPr="000E1E6D">
              <w:rPr>
                <w:rFonts w:ascii="Arial Narrow" w:hAnsi="Arial Narrow"/>
                <w:b/>
                <w:sz w:val="20"/>
                <w:szCs w:val="20"/>
                <w:vertAlign w:val="superscript"/>
              </w:rPr>
              <w:t>®</w:t>
            </w:r>
          </w:p>
        </w:tc>
        <w:tc>
          <w:tcPr>
            <w:tcW w:w="1276" w:type="dxa"/>
          </w:tcPr>
          <w:p w:rsidR="0059489B" w:rsidRDefault="0059489B" w:rsidP="0061057D">
            <w:pPr>
              <w:keepNext/>
              <w:jc w:val="both"/>
              <w:rPr>
                <w:rFonts w:ascii="Arial Narrow" w:hAnsi="Arial Narrow" w:cs="Arial"/>
                <w:sz w:val="20"/>
                <w:szCs w:val="20"/>
              </w:rPr>
            </w:pPr>
          </w:p>
          <w:p w:rsidR="0059489B" w:rsidRPr="00260CE3" w:rsidRDefault="0059489B" w:rsidP="0061057D">
            <w:pPr>
              <w:keepNext/>
              <w:rPr>
                <w:rFonts w:ascii="Arial Narrow" w:hAnsi="Arial Narrow" w:cs="Arial"/>
                <w:sz w:val="20"/>
                <w:szCs w:val="20"/>
              </w:rPr>
            </w:pPr>
            <w:r>
              <w:rPr>
                <w:rFonts w:ascii="Arial Narrow" w:hAnsi="Arial Narrow" w:cs="Arial"/>
                <w:sz w:val="20"/>
                <w:szCs w:val="20"/>
              </w:rPr>
              <w:t>Sandoz Pty Ltd</w:t>
            </w:r>
          </w:p>
        </w:tc>
      </w:tr>
      <w:tr w:rsidR="0059489B" w:rsidRPr="00260CE3" w:rsidTr="0061057D">
        <w:trPr>
          <w:cantSplit/>
          <w:trHeight w:val="360"/>
        </w:trPr>
        <w:tc>
          <w:tcPr>
            <w:tcW w:w="1985" w:type="dxa"/>
            <w:tcBorders>
              <w:top w:val="single" w:sz="4" w:space="0" w:color="auto"/>
              <w:left w:val="single" w:sz="4" w:space="0" w:color="auto"/>
              <w:bottom w:val="single" w:sz="4" w:space="0" w:color="auto"/>
              <w:right w:val="single" w:sz="4" w:space="0" w:color="auto"/>
            </w:tcBorders>
          </w:tcPr>
          <w:p w:rsidR="0059489B" w:rsidRPr="00260CE3" w:rsidRDefault="0059489B" w:rsidP="0061057D">
            <w:pPr>
              <w:jc w:val="both"/>
              <w:rPr>
                <w:rFonts w:ascii="Arial Narrow" w:hAnsi="Arial Narrow" w:cs="Arial"/>
                <w:b/>
                <w:sz w:val="20"/>
                <w:szCs w:val="20"/>
              </w:rPr>
            </w:pPr>
            <w:r w:rsidRPr="00260CE3">
              <w:rPr>
                <w:rFonts w:ascii="Arial Narrow" w:hAnsi="Arial Narrow" w:cs="Arial"/>
                <w:b/>
                <w:sz w:val="20"/>
                <w:szCs w:val="20"/>
              </w:rPr>
              <w:t xml:space="preserve">Category / </w:t>
            </w:r>
          </w:p>
          <w:p w:rsidR="0059489B" w:rsidRPr="00260CE3" w:rsidRDefault="0059489B" w:rsidP="0061057D">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7"/>
            <w:tcBorders>
              <w:top w:val="single" w:sz="4" w:space="0" w:color="auto"/>
              <w:left w:val="single" w:sz="4" w:space="0" w:color="auto"/>
              <w:bottom w:val="single" w:sz="4" w:space="0" w:color="auto"/>
              <w:right w:val="single" w:sz="4" w:space="0" w:color="auto"/>
            </w:tcBorders>
          </w:tcPr>
          <w:p w:rsidR="0059489B" w:rsidRPr="00260CE3" w:rsidRDefault="0059489B" w:rsidP="0061057D">
            <w:pPr>
              <w:rPr>
                <w:rFonts w:ascii="Arial Narrow" w:hAnsi="Arial Narrow" w:cs="Arial"/>
                <w:sz w:val="20"/>
                <w:szCs w:val="20"/>
              </w:rPr>
            </w:pPr>
            <w:r w:rsidRPr="00260CE3">
              <w:rPr>
                <w:rFonts w:ascii="Arial Narrow" w:hAnsi="Arial Narrow" w:cs="Arial"/>
                <w:sz w:val="20"/>
                <w:szCs w:val="20"/>
              </w:rPr>
              <w:t>Section 100 – Highly Specialised Drugs Program</w:t>
            </w:r>
          </w:p>
          <w:p w:rsidR="0059489B" w:rsidRPr="00260CE3" w:rsidRDefault="0059489B" w:rsidP="0061057D">
            <w:pPr>
              <w:rPr>
                <w:rFonts w:ascii="Arial Narrow" w:hAnsi="Arial Narrow" w:cs="Arial"/>
                <w:sz w:val="20"/>
                <w:szCs w:val="20"/>
              </w:rPr>
            </w:pPr>
          </w:p>
        </w:tc>
      </w:tr>
      <w:tr w:rsidR="0059489B" w:rsidRPr="00260CE3" w:rsidTr="0061057D">
        <w:trPr>
          <w:cantSplit/>
          <w:trHeight w:val="360"/>
        </w:trPr>
        <w:tc>
          <w:tcPr>
            <w:tcW w:w="1985" w:type="dxa"/>
            <w:tcBorders>
              <w:top w:val="single" w:sz="4" w:space="0" w:color="auto"/>
              <w:left w:val="single" w:sz="4" w:space="0" w:color="auto"/>
              <w:bottom w:val="single" w:sz="4" w:space="0" w:color="auto"/>
              <w:right w:val="single" w:sz="4" w:space="0" w:color="auto"/>
            </w:tcBorders>
          </w:tcPr>
          <w:p w:rsidR="0059489B" w:rsidRPr="00260CE3" w:rsidRDefault="0059489B" w:rsidP="0061057D">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7"/>
            <w:tcBorders>
              <w:top w:val="single" w:sz="4" w:space="0" w:color="auto"/>
              <w:left w:val="single" w:sz="4" w:space="0" w:color="auto"/>
              <w:bottom w:val="single" w:sz="4" w:space="0" w:color="auto"/>
              <w:right w:val="single" w:sz="4" w:space="0" w:color="auto"/>
            </w:tcBorders>
          </w:tcPr>
          <w:p w:rsidR="001C6BD5" w:rsidRPr="00260CE3" w:rsidRDefault="0059489B" w:rsidP="001C6BD5">
            <w:pP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B44C02">
              <w:rPr>
                <w:rFonts w:ascii="Arial Narrow" w:hAnsi="Arial Narrow" w:cs="Arial"/>
                <w:sz w:val="20"/>
                <w:szCs w:val="20"/>
              </w:rPr>
            </w:r>
            <w:r w:rsidR="00B44C0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p w:rsidR="0059489B" w:rsidRPr="00260CE3" w:rsidRDefault="0059489B" w:rsidP="0061057D">
            <w:pPr>
              <w:rPr>
                <w:rFonts w:ascii="Arial Narrow" w:hAnsi="Arial Narrow" w:cs="Arial"/>
                <w:sz w:val="20"/>
                <w:szCs w:val="20"/>
              </w:rPr>
            </w:pPr>
          </w:p>
        </w:tc>
      </w:tr>
      <w:tr w:rsidR="0059489B" w:rsidRPr="00260CE3" w:rsidTr="0061057D">
        <w:trPr>
          <w:cantSplit/>
          <w:trHeight w:val="360"/>
        </w:trPr>
        <w:tc>
          <w:tcPr>
            <w:tcW w:w="1985" w:type="dxa"/>
            <w:tcBorders>
              <w:top w:val="single" w:sz="4" w:space="0" w:color="auto"/>
              <w:left w:val="single" w:sz="4" w:space="0" w:color="auto"/>
              <w:bottom w:val="single" w:sz="4" w:space="0" w:color="auto"/>
              <w:right w:val="single" w:sz="4" w:space="0" w:color="auto"/>
            </w:tcBorders>
          </w:tcPr>
          <w:p w:rsidR="0059489B" w:rsidRPr="00260CE3" w:rsidRDefault="0059489B" w:rsidP="0061057D">
            <w:pPr>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59489B" w:rsidRPr="00260CE3" w:rsidRDefault="0059489B" w:rsidP="0061057D">
            <w:pPr>
              <w:rPr>
                <w:rFonts w:ascii="Arial Narrow" w:hAnsi="Arial Narrow" w:cs="Arial"/>
                <w:sz w:val="20"/>
                <w:szCs w:val="20"/>
              </w:rPr>
            </w:pPr>
          </w:p>
        </w:tc>
        <w:tc>
          <w:tcPr>
            <w:tcW w:w="6378" w:type="dxa"/>
            <w:gridSpan w:val="7"/>
            <w:tcBorders>
              <w:top w:val="single" w:sz="4" w:space="0" w:color="auto"/>
              <w:left w:val="single" w:sz="4" w:space="0" w:color="auto"/>
              <w:bottom w:val="single" w:sz="4" w:space="0" w:color="auto"/>
              <w:right w:val="single" w:sz="4" w:space="0" w:color="auto"/>
            </w:tcBorders>
          </w:tcPr>
          <w:p w:rsidR="0059489B" w:rsidRPr="00106BCF" w:rsidRDefault="0059489B" w:rsidP="001C6BD5">
            <w:pPr>
              <w:rPr>
                <w:rFonts w:ascii="Arial Narrow" w:hAnsi="Arial Narrow" w:cs="Arial"/>
                <w:sz w:val="20"/>
                <w:szCs w:val="20"/>
              </w:rPr>
            </w:pPr>
            <w:r w:rsidRPr="00106BCF">
              <w:rPr>
                <w:rFonts w:ascii="Arial Narrow" w:hAnsi="Arial Narrow" w:cs="Arial"/>
                <w:sz w:val="20"/>
                <w:szCs w:val="20"/>
              </w:rPr>
              <w:t xml:space="preserve">Authority Required </w:t>
            </w:r>
            <w:r w:rsidR="001C6BD5">
              <w:rPr>
                <w:rFonts w:ascii="Arial Narrow" w:hAnsi="Arial Narrow" w:cs="Arial"/>
                <w:sz w:val="20"/>
                <w:szCs w:val="20"/>
              </w:rPr>
              <w:t>– Private hospitals</w:t>
            </w:r>
          </w:p>
          <w:p w:rsidR="001C6BD5" w:rsidRPr="00260CE3" w:rsidRDefault="0059489B" w:rsidP="0061057D">
            <w:pPr>
              <w:rPr>
                <w:rFonts w:ascii="Arial Narrow" w:hAnsi="Arial Narrow" w:cs="Arial"/>
                <w:sz w:val="20"/>
                <w:szCs w:val="20"/>
              </w:rPr>
            </w:pPr>
            <w:r w:rsidRPr="00106BCF">
              <w:rPr>
                <w:rFonts w:ascii="Arial Narrow" w:hAnsi="Arial Narrow" w:cs="Arial"/>
                <w:sz w:val="20"/>
                <w:szCs w:val="20"/>
              </w:rPr>
              <w:t>Streamlined</w:t>
            </w:r>
            <w:r w:rsidR="001C6BD5">
              <w:rPr>
                <w:rFonts w:ascii="Arial Narrow" w:hAnsi="Arial Narrow" w:cs="Arial"/>
                <w:sz w:val="20"/>
                <w:szCs w:val="20"/>
              </w:rPr>
              <w:t xml:space="preserve"> – Public hospitals</w:t>
            </w:r>
          </w:p>
        </w:tc>
      </w:tr>
      <w:tr w:rsidR="0059489B" w:rsidRPr="00260CE3" w:rsidTr="0061057D">
        <w:trPr>
          <w:cantSplit/>
          <w:trHeight w:val="360"/>
        </w:trPr>
        <w:tc>
          <w:tcPr>
            <w:tcW w:w="1985" w:type="dxa"/>
            <w:tcBorders>
              <w:top w:val="single" w:sz="4" w:space="0" w:color="auto"/>
              <w:left w:val="single" w:sz="4" w:space="0" w:color="auto"/>
              <w:bottom w:val="single" w:sz="4" w:space="0" w:color="auto"/>
              <w:right w:val="single" w:sz="4" w:space="0" w:color="auto"/>
            </w:tcBorders>
          </w:tcPr>
          <w:p w:rsidR="0059489B" w:rsidRPr="00260CE3" w:rsidRDefault="0059489B" w:rsidP="0061057D">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7"/>
            <w:tcBorders>
              <w:top w:val="single" w:sz="4" w:space="0" w:color="auto"/>
              <w:left w:val="single" w:sz="4" w:space="0" w:color="auto"/>
              <w:bottom w:val="single" w:sz="4" w:space="0" w:color="auto"/>
              <w:right w:val="single" w:sz="4" w:space="0" w:color="auto"/>
            </w:tcBorders>
          </w:tcPr>
          <w:p w:rsidR="0059489B" w:rsidRPr="00CA3412" w:rsidRDefault="0059489B" w:rsidP="0061057D">
            <w:pPr>
              <w:rPr>
                <w:rFonts w:ascii="Arial Narrow" w:hAnsi="Arial Narrow" w:cs="Arial"/>
                <w:sz w:val="20"/>
                <w:szCs w:val="20"/>
              </w:rPr>
            </w:pPr>
            <w:r w:rsidRPr="00CA3412">
              <w:rPr>
                <w:rFonts w:ascii="Arial Narrow" w:hAnsi="Arial Narrow"/>
                <w:sz w:val="20"/>
                <w:szCs w:val="20"/>
              </w:rPr>
              <w:t>Management of rejection in patients following organ or tissue transplantation</w:t>
            </w:r>
          </w:p>
        </w:tc>
      </w:tr>
      <w:tr w:rsidR="0059489B" w:rsidRPr="00260CE3" w:rsidTr="0061057D">
        <w:trPr>
          <w:cantSplit/>
          <w:trHeight w:val="360"/>
        </w:trPr>
        <w:tc>
          <w:tcPr>
            <w:tcW w:w="1985" w:type="dxa"/>
            <w:tcBorders>
              <w:top w:val="single" w:sz="4" w:space="0" w:color="auto"/>
              <w:left w:val="single" w:sz="4" w:space="0" w:color="auto"/>
              <w:bottom w:val="single" w:sz="4" w:space="0" w:color="auto"/>
              <w:right w:val="single" w:sz="4" w:space="0" w:color="auto"/>
            </w:tcBorders>
          </w:tcPr>
          <w:p w:rsidR="0059489B" w:rsidRPr="00DC27AA" w:rsidRDefault="0059489B" w:rsidP="0061057D">
            <w:pPr>
              <w:jc w:val="both"/>
              <w:rPr>
                <w:rFonts w:ascii="Arial Narrow" w:hAnsi="Arial Narrow" w:cs="Arial"/>
                <w:b/>
                <w:sz w:val="20"/>
                <w:szCs w:val="20"/>
              </w:rPr>
            </w:pPr>
            <w:r w:rsidRPr="00260CE3">
              <w:rPr>
                <w:rFonts w:ascii="Arial Narrow" w:hAnsi="Arial Narrow" w:cs="Arial"/>
                <w:b/>
                <w:sz w:val="20"/>
                <w:szCs w:val="20"/>
              </w:rPr>
              <w:t>Clinical criteria:</w:t>
            </w:r>
          </w:p>
        </w:tc>
        <w:tc>
          <w:tcPr>
            <w:tcW w:w="6378" w:type="dxa"/>
            <w:gridSpan w:val="7"/>
            <w:tcBorders>
              <w:top w:val="single" w:sz="4" w:space="0" w:color="auto"/>
              <w:left w:val="single" w:sz="4" w:space="0" w:color="auto"/>
              <w:bottom w:val="single" w:sz="4" w:space="0" w:color="auto"/>
              <w:right w:val="single" w:sz="4" w:space="0" w:color="auto"/>
            </w:tcBorders>
          </w:tcPr>
          <w:p w:rsidR="0059489B" w:rsidRPr="00CA3412" w:rsidRDefault="0059489B" w:rsidP="0061057D">
            <w:pPr>
              <w:pStyle w:val="Default"/>
              <w:rPr>
                <w:rFonts w:ascii="Arial Narrow" w:hAnsi="Arial Narrow"/>
                <w:sz w:val="20"/>
                <w:szCs w:val="20"/>
              </w:rPr>
            </w:pPr>
            <w:r w:rsidRPr="00CA3412">
              <w:rPr>
                <w:rFonts w:ascii="Arial Narrow" w:hAnsi="Arial Narrow"/>
                <w:sz w:val="20"/>
                <w:szCs w:val="20"/>
              </w:rPr>
              <w:t xml:space="preserve">The treatment must be under the supervision and direction of a transplant unit, </w:t>
            </w:r>
          </w:p>
          <w:p w:rsidR="0059489B" w:rsidRPr="00CA3412" w:rsidRDefault="0059489B" w:rsidP="0061057D">
            <w:pPr>
              <w:pStyle w:val="Default"/>
              <w:rPr>
                <w:rFonts w:ascii="Arial Narrow" w:hAnsi="Arial Narrow"/>
                <w:sz w:val="20"/>
                <w:szCs w:val="20"/>
              </w:rPr>
            </w:pPr>
            <w:r w:rsidRPr="00CA3412">
              <w:rPr>
                <w:rFonts w:ascii="Arial Narrow" w:hAnsi="Arial Narrow"/>
                <w:sz w:val="20"/>
                <w:szCs w:val="20"/>
              </w:rPr>
              <w:t xml:space="preserve">AND </w:t>
            </w:r>
          </w:p>
          <w:p w:rsidR="0059489B" w:rsidRPr="00CA3412" w:rsidRDefault="0059489B" w:rsidP="0061057D">
            <w:pPr>
              <w:rPr>
                <w:rFonts w:ascii="Arial Narrow" w:hAnsi="Arial Narrow" w:cs="Arial"/>
                <w:sz w:val="20"/>
                <w:szCs w:val="20"/>
              </w:rPr>
            </w:pPr>
            <w:r w:rsidRPr="00CA3412">
              <w:rPr>
                <w:rFonts w:ascii="Arial Narrow" w:hAnsi="Arial Narrow"/>
                <w:sz w:val="20"/>
                <w:szCs w:val="20"/>
              </w:rPr>
              <w:t>The treatment must include initiation, stabilisation, and review of therapy as required</w:t>
            </w:r>
            <w:r>
              <w:rPr>
                <w:rFonts w:ascii="Arial Narrow" w:hAnsi="Arial Narrow" w:cs="Arial"/>
                <w:sz w:val="20"/>
                <w:szCs w:val="20"/>
              </w:rPr>
              <w:t>.</w:t>
            </w:r>
          </w:p>
        </w:tc>
      </w:tr>
      <w:tr w:rsidR="0059489B" w:rsidRPr="00260CE3" w:rsidTr="0061057D">
        <w:trPr>
          <w:cantSplit/>
          <w:trHeight w:val="360"/>
        </w:trPr>
        <w:tc>
          <w:tcPr>
            <w:tcW w:w="1985" w:type="dxa"/>
            <w:tcBorders>
              <w:top w:val="single" w:sz="4" w:space="0" w:color="auto"/>
              <w:left w:val="single" w:sz="4" w:space="0" w:color="auto"/>
              <w:bottom w:val="single" w:sz="4" w:space="0" w:color="auto"/>
              <w:right w:val="single" w:sz="4" w:space="0" w:color="auto"/>
            </w:tcBorders>
          </w:tcPr>
          <w:p w:rsidR="0059489B" w:rsidRPr="00E34EED" w:rsidRDefault="0059489B" w:rsidP="0061057D">
            <w:pPr>
              <w:jc w:val="both"/>
              <w:rPr>
                <w:rFonts w:ascii="Arial Narrow" w:hAnsi="Arial Narrow" w:cs="Arial"/>
                <w:b/>
                <w:sz w:val="20"/>
                <w:szCs w:val="20"/>
              </w:rPr>
            </w:pPr>
            <w:r w:rsidRPr="00260CE3">
              <w:rPr>
                <w:rFonts w:ascii="Arial Narrow" w:hAnsi="Arial Narrow" w:cs="Arial"/>
                <w:b/>
                <w:sz w:val="20"/>
                <w:szCs w:val="20"/>
              </w:rPr>
              <w:t>Cautions</w:t>
            </w:r>
          </w:p>
        </w:tc>
        <w:tc>
          <w:tcPr>
            <w:tcW w:w="6378" w:type="dxa"/>
            <w:gridSpan w:val="7"/>
            <w:tcBorders>
              <w:top w:val="single" w:sz="4" w:space="0" w:color="auto"/>
              <w:left w:val="single" w:sz="4" w:space="0" w:color="auto"/>
              <w:bottom w:val="single" w:sz="4" w:space="0" w:color="auto"/>
              <w:right w:val="single" w:sz="4" w:space="0" w:color="auto"/>
            </w:tcBorders>
          </w:tcPr>
          <w:p w:rsidR="0059489B" w:rsidRPr="00260CE3" w:rsidRDefault="0059489B" w:rsidP="0061057D">
            <w:pPr>
              <w:rPr>
                <w:rFonts w:ascii="Arial Narrow" w:hAnsi="Arial Narrow" w:cs="Arial"/>
                <w:sz w:val="20"/>
                <w:szCs w:val="20"/>
              </w:rPr>
            </w:pPr>
            <w:r>
              <w:rPr>
                <w:rFonts w:ascii="Arial Narrow" w:hAnsi="Arial Narrow" w:cs="Arial"/>
                <w:sz w:val="20"/>
                <w:szCs w:val="20"/>
              </w:rPr>
              <w:t>Careful monitoring of patients is mandatory</w:t>
            </w:r>
          </w:p>
        </w:tc>
      </w:tr>
    </w:tbl>
    <w:p w:rsidR="0059489B" w:rsidRDefault="0059489B" w:rsidP="0059489B">
      <w:pPr>
        <w:pStyle w:val="ListParagraph"/>
        <w:jc w:val="both"/>
        <w:rPr>
          <w:rFonts w:ascii="Arial" w:hAnsi="Arial"/>
          <w:sz w:val="22"/>
          <w:szCs w:val="22"/>
        </w:rPr>
      </w:pPr>
    </w:p>
    <w:p w:rsidR="0082086D" w:rsidRPr="00A81C85" w:rsidRDefault="0082086D" w:rsidP="0082086D">
      <w:pPr>
        <w:pStyle w:val="Heading1"/>
      </w:pPr>
      <w:r w:rsidRPr="00A81C85">
        <w:t>Context for Decision</w:t>
      </w:r>
    </w:p>
    <w:p w:rsidR="0082086D" w:rsidRPr="006B3CD8" w:rsidRDefault="0082086D" w:rsidP="0082086D"/>
    <w:p w:rsidR="0082086D" w:rsidRDefault="0082086D" w:rsidP="00057F03">
      <w:pPr>
        <w:ind w:left="720"/>
        <w:jc w:val="both"/>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82086D" w:rsidRDefault="0082086D" w:rsidP="0082086D">
      <w:pPr>
        <w:ind w:left="720"/>
      </w:pPr>
    </w:p>
    <w:p w:rsidR="0082086D" w:rsidRPr="004304F6" w:rsidRDefault="0082086D" w:rsidP="0082086D">
      <w:pPr>
        <w:pStyle w:val="Heading1"/>
      </w:pPr>
      <w:r w:rsidRPr="004304F6">
        <w:t>Sponsor’s Comment</w:t>
      </w:r>
    </w:p>
    <w:p w:rsidR="0082086D" w:rsidRDefault="0082086D" w:rsidP="0082086D">
      <w:pPr>
        <w:jc w:val="both"/>
        <w:rPr>
          <w:rFonts w:ascii="Arial" w:hAnsi="Arial"/>
          <w:sz w:val="22"/>
          <w:szCs w:val="22"/>
        </w:rPr>
      </w:pPr>
    </w:p>
    <w:p w:rsidR="00057F03" w:rsidRDefault="00057F03" w:rsidP="00057F03">
      <w:pPr>
        <w:spacing w:after="120"/>
        <w:ind w:left="720"/>
        <w:jc w:val="both"/>
        <w:rPr>
          <w:rFonts w:ascii="Arial" w:hAnsi="Arial" w:cs="Arial"/>
          <w:bCs/>
          <w:sz w:val="22"/>
        </w:rPr>
      </w:pPr>
      <w:r w:rsidRPr="003035CC">
        <w:rPr>
          <w:rFonts w:ascii="Arial" w:hAnsi="Arial" w:cs="Arial"/>
          <w:bCs/>
          <w:sz w:val="22"/>
        </w:rPr>
        <w:t>The sponsor had no comment.</w:t>
      </w:r>
    </w:p>
    <w:p w:rsidR="00057F03" w:rsidRDefault="00057F03" w:rsidP="0082086D">
      <w:pPr>
        <w:jc w:val="both"/>
        <w:rPr>
          <w:rFonts w:ascii="Arial" w:hAnsi="Arial"/>
          <w:sz w:val="22"/>
          <w:szCs w:val="22"/>
        </w:rPr>
      </w:pPr>
    </w:p>
    <w:p w:rsidR="0059489B" w:rsidRDefault="0059489B" w:rsidP="00223A4A">
      <w:pPr>
        <w:jc w:val="both"/>
        <w:rPr>
          <w:rFonts w:ascii="Arial" w:hAnsi="Arial"/>
          <w:sz w:val="22"/>
          <w:szCs w:val="22"/>
        </w:rPr>
      </w:pPr>
    </w:p>
    <w:sectPr w:rsidR="0059489B"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A3D" w:rsidRDefault="000A7A3D">
      <w:r>
        <w:separator/>
      </w:r>
    </w:p>
    <w:p w:rsidR="000A7A3D" w:rsidRDefault="000A7A3D"/>
  </w:endnote>
  <w:endnote w:type="continuationSeparator" w:id="0">
    <w:p w:rsidR="000A7A3D" w:rsidRDefault="000A7A3D">
      <w:r>
        <w:continuationSeparator/>
      </w:r>
    </w:p>
    <w:p w:rsidR="000A7A3D" w:rsidRDefault="000A7A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6078B" w:rsidTr="005A3173">
      <w:trPr>
        <w:trHeight w:val="151"/>
      </w:trPr>
      <w:tc>
        <w:tcPr>
          <w:tcW w:w="2250" w:type="pct"/>
          <w:tcBorders>
            <w:top w:val="nil"/>
            <w:left w:val="nil"/>
            <w:bottom w:val="single" w:sz="4" w:space="0" w:color="4F81BD"/>
            <w:right w:val="nil"/>
          </w:tcBorders>
        </w:tcPr>
        <w:p w:rsidR="0036078B" w:rsidRPr="005A3173" w:rsidRDefault="0036078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6078B" w:rsidRPr="005A3173" w:rsidRDefault="0036078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6078B" w:rsidRPr="005A3173" w:rsidRDefault="0036078B" w:rsidP="005A3173">
          <w:pPr>
            <w:pStyle w:val="Header"/>
            <w:spacing w:line="276" w:lineRule="auto"/>
            <w:rPr>
              <w:rFonts w:ascii="Calibri" w:eastAsia="MS Gothic" w:hAnsi="Calibri"/>
              <w:b/>
              <w:bCs/>
              <w:color w:val="4F81BD"/>
            </w:rPr>
          </w:pPr>
        </w:p>
      </w:tc>
    </w:tr>
    <w:tr w:rsidR="0036078B" w:rsidTr="005A3173">
      <w:trPr>
        <w:trHeight w:val="150"/>
      </w:trPr>
      <w:tc>
        <w:tcPr>
          <w:tcW w:w="2250" w:type="pct"/>
          <w:tcBorders>
            <w:top w:val="single" w:sz="4" w:space="0" w:color="4F81BD"/>
            <w:left w:val="nil"/>
            <w:bottom w:val="nil"/>
            <w:right w:val="nil"/>
          </w:tcBorders>
        </w:tcPr>
        <w:p w:rsidR="0036078B" w:rsidRPr="005A3173" w:rsidRDefault="0036078B" w:rsidP="005A3173">
          <w:pPr>
            <w:pStyle w:val="Header"/>
            <w:spacing w:line="276" w:lineRule="auto"/>
            <w:rPr>
              <w:rFonts w:ascii="Calibri" w:eastAsia="MS Gothic" w:hAnsi="Calibri"/>
              <w:b/>
              <w:bCs/>
              <w:color w:val="4F81BD"/>
            </w:rPr>
          </w:pPr>
        </w:p>
      </w:tc>
      <w:tc>
        <w:tcPr>
          <w:tcW w:w="0" w:type="auto"/>
          <w:vMerge/>
          <w:vAlign w:val="center"/>
          <w:hideMark/>
        </w:tcPr>
        <w:p w:rsidR="0036078B" w:rsidRPr="005A3173" w:rsidRDefault="0036078B" w:rsidP="005A3173">
          <w:pPr>
            <w:rPr>
              <w:rFonts w:ascii="Calibri" w:hAnsi="Calibri"/>
              <w:color w:val="365F91"/>
              <w:sz w:val="22"/>
              <w:szCs w:val="22"/>
            </w:rPr>
          </w:pPr>
        </w:p>
      </w:tc>
      <w:tc>
        <w:tcPr>
          <w:tcW w:w="2250" w:type="pct"/>
          <w:tcBorders>
            <w:top w:val="single" w:sz="4" w:space="0" w:color="4F81BD"/>
            <w:left w:val="nil"/>
            <w:bottom w:val="nil"/>
            <w:right w:val="nil"/>
          </w:tcBorders>
        </w:tcPr>
        <w:p w:rsidR="0036078B" w:rsidRPr="005A3173" w:rsidRDefault="0036078B" w:rsidP="005A3173">
          <w:pPr>
            <w:pStyle w:val="Header"/>
            <w:spacing w:line="276" w:lineRule="auto"/>
            <w:rPr>
              <w:rFonts w:ascii="Calibri" w:eastAsia="MS Gothic" w:hAnsi="Calibri"/>
              <w:b/>
              <w:bCs/>
              <w:color w:val="4F81BD"/>
            </w:rPr>
          </w:pPr>
        </w:p>
      </w:tc>
    </w:tr>
  </w:tbl>
  <w:p w:rsidR="0036078B" w:rsidRDefault="0036078B"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6078B" w:rsidRDefault="0036078B">
    <w:pPr>
      <w:pStyle w:val="Footer"/>
    </w:pPr>
  </w:p>
  <w:p w:rsidR="0036078B" w:rsidRDefault="0036078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7902007"/>
      <w:docPartObj>
        <w:docPartGallery w:val="Page Numbers (Bottom of Page)"/>
        <w:docPartUnique/>
      </w:docPartObj>
    </w:sdtPr>
    <w:sdtEndPr>
      <w:rPr>
        <w:rFonts w:ascii="Arial" w:hAnsi="Arial" w:cs="Arial"/>
        <w:noProof/>
        <w:sz w:val="20"/>
      </w:rPr>
    </w:sdtEndPr>
    <w:sdtContent>
      <w:p w:rsidR="0036078B" w:rsidRPr="0082086D" w:rsidRDefault="00B345DE" w:rsidP="0082086D">
        <w:pPr>
          <w:pStyle w:val="Footer"/>
          <w:jc w:val="center"/>
          <w:rPr>
            <w:rFonts w:ascii="Arial" w:hAnsi="Arial" w:cs="Arial"/>
            <w:sz w:val="20"/>
          </w:rPr>
        </w:pPr>
        <w:r w:rsidRPr="00B123B9">
          <w:rPr>
            <w:rFonts w:ascii="Arial" w:hAnsi="Arial" w:cs="Arial"/>
            <w:sz w:val="20"/>
          </w:rPr>
          <w:fldChar w:fldCharType="begin"/>
        </w:r>
        <w:r w:rsidRPr="00B123B9">
          <w:rPr>
            <w:rFonts w:ascii="Arial" w:hAnsi="Arial" w:cs="Arial"/>
            <w:sz w:val="20"/>
          </w:rPr>
          <w:instrText xml:space="preserve"> PAGE   \* MERGEFORMAT </w:instrText>
        </w:r>
        <w:r w:rsidRPr="00B123B9">
          <w:rPr>
            <w:rFonts w:ascii="Arial" w:hAnsi="Arial" w:cs="Arial"/>
            <w:sz w:val="20"/>
          </w:rPr>
          <w:fldChar w:fldCharType="separate"/>
        </w:r>
        <w:r w:rsidR="00B44C02">
          <w:rPr>
            <w:rFonts w:ascii="Arial" w:hAnsi="Arial" w:cs="Arial"/>
            <w:noProof/>
            <w:sz w:val="20"/>
          </w:rPr>
          <w:t>3</w:t>
        </w:r>
        <w:r w:rsidRPr="00B123B9">
          <w:rPr>
            <w:rFonts w:ascii="Arial" w:hAnsi="Arial" w:cs="Arial"/>
            <w:noProof/>
            <w:sz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36078B" w:rsidTr="005A3173">
      <w:trPr>
        <w:trHeight w:val="151"/>
      </w:trPr>
      <w:tc>
        <w:tcPr>
          <w:tcW w:w="2250" w:type="pct"/>
          <w:tcBorders>
            <w:top w:val="nil"/>
            <w:left w:val="nil"/>
            <w:bottom w:val="single" w:sz="4" w:space="0" w:color="4F81BD"/>
            <w:right w:val="nil"/>
          </w:tcBorders>
        </w:tcPr>
        <w:p w:rsidR="0036078B" w:rsidRPr="005A3173" w:rsidRDefault="0036078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6078B" w:rsidRPr="005A3173" w:rsidRDefault="0036078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6078B" w:rsidRPr="005A3173" w:rsidRDefault="0036078B" w:rsidP="005A3173">
          <w:pPr>
            <w:pStyle w:val="Header"/>
            <w:spacing w:line="276" w:lineRule="auto"/>
            <w:rPr>
              <w:rFonts w:ascii="Calibri" w:eastAsia="MS Gothic" w:hAnsi="Calibri"/>
              <w:b/>
              <w:bCs/>
              <w:color w:val="4F81BD"/>
            </w:rPr>
          </w:pPr>
        </w:p>
      </w:tc>
    </w:tr>
    <w:tr w:rsidR="0036078B" w:rsidTr="005A3173">
      <w:trPr>
        <w:trHeight w:val="150"/>
      </w:trPr>
      <w:tc>
        <w:tcPr>
          <w:tcW w:w="2250" w:type="pct"/>
          <w:tcBorders>
            <w:top w:val="single" w:sz="4" w:space="0" w:color="4F81BD"/>
            <w:left w:val="nil"/>
            <w:bottom w:val="nil"/>
            <w:right w:val="nil"/>
          </w:tcBorders>
        </w:tcPr>
        <w:p w:rsidR="0036078B" w:rsidRPr="005A3173" w:rsidRDefault="0036078B" w:rsidP="005A3173">
          <w:pPr>
            <w:pStyle w:val="Header"/>
            <w:spacing w:line="276" w:lineRule="auto"/>
            <w:rPr>
              <w:rFonts w:ascii="Calibri" w:eastAsia="MS Gothic" w:hAnsi="Calibri"/>
              <w:b/>
              <w:bCs/>
              <w:color w:val="4F81BD"/>
            </w:rPr>
          </w:pPr>
        </w:p>
      </w:tc>
      <w:tc>
        <w:tcPr>
          <w:tcW w:w="0" w:type="auto"/>
          <w:vMerge/>
          <w:vAlign w:val="center"/>
          <w:hideMark/>
        </w:tcPr>
        <w:p w:rsidR="0036078B" w:rsidRPr="005A3173" w:rsidRDefault="0036078B" w:rsidP="005A3173">
          <w:pPr>
            <w:rPr>
              <w:rFonts w:ascii="Calibri" w:hAnsi="Calibri"/>
              <w:color w:val="365F91"/>
              <w:sz w:val="22"/>
              <w:szCs w:val="22"/>
            </w:rPr>
          </w:pPr>
        </w:p>
      </w:tc>
      <w:tc>
        <w:tcPr>
          <w:tcW w:w="2250" w:type="pct"/>
          <w:tcBorders>
            <w:top w:val="single" w:sz="4" w:space="0" w:color="4F81BD"/>
            <w:left w:val="nil"/>
            <w:bottom w:val="nil"/>
            <w:right w:val="nil"/>
          </w:tcBorders>
        </w:tcPr>
        <w:p w:rsidR="0036078B" w:rsidRPr="005A3173" w:rsidRDefault="0036078B"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36078B" w:rsidTr="005A3173">
      <w:trPr>
        <w:trHeight w:val="151"/>
      </w:trPr>
      <w:tc>
        <w:tcPr>
          <w:tcW w:w="2250" w:type="pct"/>
          <w:tcBorders>
            <w:top w:val="nil"/>
            <w:left w:val="nil"/>
            <w:bottom w:val="single" w:sz="4" w:space="0" w:color="4F81BD"/>
            <w:right w:val="nil"/>
          </w:tcBorders>
        </w:tcPr>
        <w:p w:rsidR="0036078B" w:rsidRPr="005A3173" w:rsidRDefault="0036078B" w:rsidP="005A3173">
          <w:pPr>
            <w:pStyle w:val="Header"/>
            <w:spacing w:line="276" w:lineRule="auto"/>
            <w:rPr>
              <w:rFonts w:ascii="Calibri" w:eastAsia="MS Gothic" w:hAnsi="Calibri"/>
              <w:b/>
              <w:bCs/>
              <w:color w:val="4F81BD"/>
            </w:rPr>
          </w:pPr>
        </w:p>
      </w:tc>
      <w:tc>
        <w:tcPr>
          <w:tcW w:w="500" w:type="pct"/>
          <w:vMerge w:val="restart"/>
          <w:noWrap/>
          <w:vAlign w:val="center"/>
          <w:hideMark/>
        </w:tcPr>
        <w:p w:rsidR="0036078B" w:rsidRPr="005A3173" w:rsidRDefault="0036078B"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36078B" w:rsidRPr="005A3173" w:rsidRDefault="0036078B" w:rsidP="005A3173">
          <w:pPr>
            <w:pStyle w:val="Header"/>
            <w:spacing w:line="276" w:lineRule="auto"/>
            <w:rPr>
              <w:rFonts w:ascii="Calibri" w:eastAsia="MS Gothic" w:hAnsi="Calibri"/>
              <w:b/>
              <w:bCs/>
              <w:color w:val="4F81BD"/>
            </w:rPr>
          </w:pPr>
        </w:p>
      </w:tc>
    </w:tr>
    <w:tr w:rsidR="0036078B" w:rsidTr="005A3173">
      <w:trPr>
        <w:trHeight w:val="150"/>
      </w:trPr>
      <w:tc>
        <w:tcPr>
          <w:tcW w:w="2250" w:type="pct"/>
          <w:tcBorders>
            <w:top w:val="single" w:sz="4" w:space="0" w:color="4F81BD"/>
            <w:left w:val="nil"/>
            <w:bottom w:val="nil"/>
            <w:right w:val="nil"/>
          </w:tcBorders>
        </w:tcPr>
        <w:p w:rsidR="0036078B" w:rsidRPr="005A3173" w:rsidRDefault="0036078B" w:rsidP="005A3173">
          <w:pPr>
            <w:pStyle w:val="Header"/>
            <w:spacing w:line="276" w:lineRule="auto"/>
            <w:rPr>
              <w:rFonts w:ascii="Calibri" w:eastAsia="MS Gothic" w:hAnsi="Calibri"/>
              <w:b/>
              <w:bCs/>
              <w:color w:val="4F81BD"/>
            </w:rPr>
          </w:pPr>
        </w:p>
      </w:tc>
      <w:tc>
        <w:tcPr>
          <w:tcW w:w="0" w:type="auto"/>
          <w:vMerge/>
          <w:vAlign w:val="center"/>
          <w:hideMark/>
        </w:tcPr>
        <w:p w:rsidR="0036078B" w:rsidRPr="005A3173" w:rsidRDefault="0036078B" w:rsidP="005A3173">
          <w:pPr>
            <w:rPr>
              <w:rFonts w:ascii="Calibri" w:hAnsi="Calibri"/>
              <w:color w:val="365F91"/>
              <w:sz w:val="22"/>
              <w:szCs w:val="22"/>
            </w:rPr>
          </w:pPr>
        </w:p>
      </w:tc>
      <w:tc>
        <w:tcPr>
          <w:tcW w:w="2250" w:type="pct"/>
          <w:tcBorders>
            <w:top w:val="single" w:sz="4" w:space="0" w:color="4F81BD"/>
            <w:left w:val="nil"/>
            <w:bottom w:val="nil"/>
            <w:right w:val="nil"/>
          </w:tcBorders>
        </w:tcPr>
        <w:p w:rsidR="0036078B" w:rsidRPr="005A3173" w:rsidRDefault="0036078B" w:rsidP="005A3173">
          <w:pPr>
            <w:pStyle w:val="Header"/>
            <w:spacing w:line="276" w:lineRule="auto"/>
            <w:rPr>
              <w:rFonts w:ascii="Calibri" w:eastAsia="MS Gothic" w:hAnsi="Calibri"/>
              <w:b/>
              <w:bCs/>
              <w:color w:val="4F81BD"/>
            </w:rPr>
          </w:pPr>
        </w:p>
      </w:tc>
    </w:tr>
  </w:tbl>
  <w:p w:rsidR="0036078B" w:rsidRPr="007C0F57" w:rsidRDefault="0036078B"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36078B" w:rsidRPr="007C0F57" w:rsidRDefault="0036078B" w:rsidP="007C0F57">
    <w:pPr>
      <w:pStyle w:val="Footer"/>
      <w:jc w:val="center"/>
      <w:rPr>
        <w:b/>
        <w:i/>
        <w:sz w:val="20"/>
        <w:szCs w:val="20"/>
      </w:rPr>
    </w:pPr>
    <w:r w:rsidRPr="007C0F57">
      <w:rPr>
        <w:b/>
        <w:i/>
        <w:sz w:val="20"/>
        <w:szCs w:val="20"/>
      </w:rPr>
      <w:t>Commercial-in-Confidence</w:t>
    </w:r>
  </w:p>
  <w:p w:rsidR="0036078B" w:rsidRDefault="003607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A3D" w:rsidRDefault="000A7A3D">
      <w:r>
        <w:separator/>
      </w:r>
    </w:p>
    <w:p w:rsidR="000A7A3D" w:rsidRDefault="000A7A3D"/>
  </w:footnote>
  <w:footnote w:type="continuationSeparator" w:id="0">
    <w:p w:rsidR="000A7A3D" w:rsidRDefault="000A7A3D">
      <w:r>
        <w:continuationSeparator/>
      </w:r>
    </w:p>
    <w:p w:rsidR="000A7A3D" w:rsidRDefault="000A7A3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36078B" w:rsidRPr="008E0D90" w:rsidTr="00A06225">
      <w:trPr>
        <w:trHeight w:val="151"/>
      </w:trPr>
      <w:tc>
        <w:tcPr>
          <w:tcW w:w="2389" w:type="pct"/>
          <w:tcBorders>
            <w:top w:val="nil"/>
            <w:left w:val="nil"/>
            <w:bottom w:val="single" w:sz="4" w:space="0" w:color="4F81BD"/>
            <w:right w:val="nil"/>
          </w:tcBorders>
        </w:tcPr>
        <w:p w:rsidR="0036078B" w:rsidRPr="00A06225" w:rsidRDefault="0036078B">
          <w:pPr>
            <w:pStyle w:val="Header"/>
            <w:spacing w:line="276" w:lineRule="auto"/>
            <w:rPr>
              <w:rFonts w:ascii="Cambria" w:eastAsia="MS Gothic" w:hAnsi="Cambria"/>
              <w:b/>
              <w:bCs/>
              <w:color w:val="4F81BD"/>
            </w:rPr>
          </w:pPr>
        </w:p>
      </w:tc>
      <w:tc>
        <w:tcPr>
          <w:tcW w:w="333" w:type="pct"/>
          <w:vMerge w:val="restart"/>
          <w:noWrap/>
          <w:vAlign w:val="center"/>
          <w:hideMark/>
        </w:tcPr>
        <w:p w:rsidR="0036078B" w:rsidRPr="00A06225" w:rsidRDefault="0036078B"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36078B" w:rsidRPr="00A06225" w:rsidRDefault="0036078B">
          <w:pPr>
            <w:pStyle w:val="Header"/>
            <w:spacing w:line="276" w:lineRule="auto"/>
            <w:rPr>
              <w:rFonts w:ascii="Cambria" w:eastAsia="MS Gothic" w:hAnsi="Cambria"/>
              <w:b/>
              <w:bCs/>
              <w:color w:val="4F81BD"/>
            </w:rPr>
          </w:pPr>
        </w:p>
      </w:tc>
    </w:tr>
    <w:tr w:rsidR="0036078B" w:rsidRPr="008E0D90" w:rsidTr="00A06225">
      <w:trPr>
        <w:trHeight w:val="150"/>
      </w:trPr>
      <w:tc>
        <w:tcPr>
          <w:tcW w:w="2389" w:type="pct"/>
          <w:tcBorders>
            <w:top w:val="single" w:sz="4" w:space="0" w:color="4F81BD"/>
            <w:left w:val="nil"/>
            <w:bottom w:val="nil"/>
            <w:right w:val="nil"/>
          </w:tcBorders>
        </w:tcPr>
        <w:p w:rsidR="0036078B" w:rsidRPr="00A06225" w:rsidRDefault="0036078B">
          <w:pPr>
            <w:pStyle w:val="Header"/>
            <w:spacing w:line="276" w:lineRule="auto"/>
            <w:rPr>
              <w:rFonts w:ascii="Cambria" w:eastAsia="MS Gothic" w:hAnsi="Cambria"/>
              <w:b/>
              <w:bCs/>
              <w:color w:val="4F81BD"/>
            </w:rPr>
          </w:pPr>
        </w:p>
      </w:tc>
      <w:tc>
        <w:tcPr>
          <w:tcW w:w="0" w:type="auto"/>
          <w:vMerge/>
          <w:vAlign w:val="center"/>
          <w:hideMark/>
        </w:tcPr>
        <w:p w:rsidR="0036078B" w:rsidRPr="00A06225" w:rsidRDefault="0036078B">
          <w:pPr>
            <w:rPr>
              <w:rFonts w:ascii="Cambria" w:hAnsi="Cambria"/>
              <w:color w:val="4F81BD"/>
              <w:sz w:val="22"/>
              <w:szCs w:val="22"/>
            </w:rPr>
          </w:pPr>
        </w:p>
      </w:tc>
      <w:tc>
        <w:tcPr>
          <w:tcW w:w="2278" w:type="pct"/>
          <w:tcBorders>
            <w:top w:val="single" w:sz="4" w:space="0" w:color="4F81BD"/>
            <w:left w:val="nil"/>
            <w:bottom w:val="nil"/>
            <w:right w:val="nil"/>
          </w:tcBorders>
        </w:tcPr>
        <w:p w:rsidR="0036078B" w:rsidRPr="00A06225" w:rsidRDefault="0036078B">
          <w:pPr>
            <w:pStyle w:val="Header"/>
            <w:spacing w:line="276" w:lineRule="auto"/>
            <w:rPr>
              <w:rFonts w:ascii="Cambria" w:eastAsia="MS Gothic" w:hAnsi="Cambria"/>
              <w:b/>
              <w:bCs/>
              <w:color w:val="4F81BD"/>
            </w:rPr>
          </w:pPr>
        </w:p>
      </w:tc>
    </w:tr>
  </w:tbl>
  <w:p w:rsidR="0036078B" w:rsidRDefault="0036078B">
    <w:pPr>
      <w:pStyle w:val="Header"/>
    </w:pPr>
  </w:p>
  <w:p w:rsidR="0036078B" w:rsidRDefault="0036078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86D" w:rsidRPr="00150152" w:rsidRDefault="0082086D" w:rsidP="0082086D">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36078B" w:rsidRDefault="0036078B"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A3D" w:rsidRDefault="000A7A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8">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9">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1">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2">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4">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7">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19">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0">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1">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4">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5">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6">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8">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3">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5">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36">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7">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38">
    <w:nsid w:val="784D033C"/>
    <w:multiLevelType w:val="multilevel"/>
    <w:tmpl w:val="EAAC53D0"/>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color w:val="auto"/>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10"/>
  </w:num>
  <w:num w:numId="2">
    <w:abstractNumId w:val="34"/>
  </w:num>
  <w:num w:numId="3">
    <w:abstractNumId w:val="20"/>
  </w:num>
  <w:num w:numId="4">
    <w:abstractNumId w:val="0"/>
  </w:num>
  <w:num w:numId="5">
    <w:abstractNumId w:val="6"/>
  </w:num>
  <w:num w:numId="6">
    <w:abstractNumId w:val="19"/>
  </w:num>
  <w:num w:numId="7">
    <w:abstractNumId w:val="16"/>
  </w:num>
  <w:num w:numId="8">
    <w:abstractNumId w:val="5"/>
  </w:num>
  <w:num w:numId="9">
    <w:abstractNumId w:val="8"/>
  </w:num>
  <w:num w:numId="10">
    <w:abstractNumId w:val="32"/>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35"/>
  </w:num>
  <w:num w:numId="15">
    <w:abstractNumId w:val="27"/>
  </w:num>
  <w:num w:numId="16">
    <w:abstractNumId w:val="23"/>
  </w:num>
  <w:num w:numId="17">
    <w:abstractNumId w:val="37"/>
  </w:num>
  <w:num w:numId="18">
    <w:abstractNumId w:val="13"/>
  </w:num>
  <w:num w:numId="19">
    <w:abstractNumId w:val="18"/>
  </w:num>
  <w:num w:numId="20">
    <w:abstractNumId w:val="4"/>
  </w:num>
  <w:num w:numId="21">
    <w:abstractNumId w:val="30"/>
  </w:num>
  <w:num w:numId="22">
    <w:abstractNumId w:val="33"/>
  </w:num>
  <w:num w:numId="23">
    <w:abstractNumId w:val="39"/>
  </w:num>
  <w:num w:numId="24">
    <w:abstractNumId w:val="15"/>
  </w:num>
  <w:num w:numId="25">
    <w:abstractNumId w:val="38"/>
  </w:num>
  <w:num w:numId="26">
    <w:abstractNumId w:val="28"/>
  </w:num>
  <w:num w:numId="27">
    <w:abstractNumId w:val="12"/>
  </w:num>
  <w:num w:numId="28">
    <w:abstractNumId w:val="7"/>
  </w:num>
  <w:num w:numId="29">
    <w:abstractNumId w:val="25"/>
  </w:num>
  <w:num w:numId="30">
    <w:abstractNumId w:val="3"/>
  </w:num>
  <w:num w:numId="31">
    <w:abstractNumId w:val="26"/>
  </w:num>
  <w:num w:numId="32">
    <w:abstractNumId w:val="36"/>
  </w:num>
  <w:num w:numId="33">
    <w:abstractNumId w:val="24"/>
  </w:num>
  <w:num w:numId="34">
    <w:abstractNumId w:val="40"/>
  </w:num>
  <w:num w:numId="35">
    <w:abstractNumId w:val="11"/>
  </w:num>
  <w:num w:numId="36">
    <w:abstractNumId w:val="22"/>
  </w:num>
  <w:num w:numId="37">
    <w:abstractNumId w:val="29"/>
  </w:num>
  <w:num w:numId="38">
    <w:abstractNumId w:val="9"/>
  </w:num>
  <w:num w:numId="39">
    <w:abstractNumId w:val="17"/>
  </w:num>
  <w:num w:numId="40">
    <w:abstractNumId w:val="1"/>
  </w:num>
  <w:num w:numId="41">
    <w:abstractNumId w:val="14"/>
  </w:num>
  <w:num w:numId="42">
    <w:abstractNumId w:val="31"/>
  </w:num>
  <w:num w:numId="43">
    <w:abstractNumId w:val="2"/>
  </w:num>
  <w:num w:numId="44">
    <w:abstractNumId w:val="38"/>
  </w:num>
  <w:num w:numId="45">
    <w:abstractNumId w:val="38"/>
  </w:num>
  <w:num w:numId="46">
    <w:abstractNumId w:val="38"/>
  </w:num>
  <w:num w:numId="47">
    <w:abstractNumId w:val="38"/>
  </w:num>
  <w:num w:numId="48">
    <w:abstractNumId w:val="38"/>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2464A"/>
    <w:rsid w:val="0003106B"/>
    <w:rsid w:val="00037599"/>
    <w:rsid w:val="000421A1"/>
    <w:rsid w:val="0004240E"/>
    <w:rsid w:val="00045E26"/>
    <w:rsid w:val="000514B5"/>
    <w:rsid w:val="00057F03"/>
    <w:rsid w:val="00060E64"/>
    <w:rsid w:val="00066755"/>
    <w:rsid w:val="00081F0F"/>
    <w:rsid w:val="00090D0B"/>
    <w:rsid w:val="000969AD"/>
    <w:rsid w:val="000A1642"/>
    <w:rsid w:val="000A3E2B"/>
    <w:rsid w:val="000A7A3D"/>
    <w:rsid w:val="000B558D"/>
    <w:rsid w:val="000C6996"/>
    <w:rsid w:val="000D23BA"/>
    <w:rsid w:val="000E1E6D"/>
    <w:rsid w:val="000E681E"/>
    <w:rsid w:val="000F4E6A"/>
    <w:rsid w:val="001107BF"/>
    <w:rsid w:val="0012417C"/>
    <w:rsid w:val="00142395"/>
    <w:rsid w:val="00142714"/>
    <w:rsid w:val="001452ED"/>
    <w:rsid w:val="001830CE"/>
    <w:rsid w:val="0018535F"/>
    <w:rsid w:val="00196307"/>
    <w:rsid w:val="001976F4"/>
    <w:rsid w:val="001B017F"/>
    <w:rsid w:val="001B5129"/>
    <w:rsid w:val="001C1195"/>
    <w:rsid w:val="001C6BD5"/>
    <w:rsid w:val="001F506E"/>
    <w:rsid w:val="00206C22"/>
    <w:rsid w:val="002114F4"/>
    <w:rsid w:val="00213CFB"/>
    <w:rsid w:val="00223A4A"/>
    <w:rsid w:val="00271BA1"/>
    <w:rsid w:val="00277505"/>
    <w:rsid w:val="002809BD"/>
    <w:rsid w:val="0029458F"/>
    <w:rsid w:val="002A104C"/>
    <w:rsid w:val="002A4960"/>
    <w:rsid w:val="002B1AE6"/>
    <w:rsid w:val="002B30F8"/>
    <w:rsid w:val="002C212F"/>
    <w:rsid w:val="002E3153"/>
    <w:rsid w:val="002E72CA"/>
    <w:rsid w:val="00301E0D"/>
    <w:rsid w:val="00303039"/>
    <w:rsid w:val="00326E79"/>
    <w:rsid w:val="003367EF"/>
    <w:rsid w:val="00341AE4"/>
    <w:rsid w:val="0034670C"/>
    <w:rsid w:val="0036078B"/>
    <w:rsid w:val="003872CF"/>
    <w:rsid w:val="0039782C"/>
    <w:rsid w:val="003A5B4A"/>
    <w:rsid w:val="003B23C5"/>
    <w:rsid w:val="003B2A75"/>
    <w:rsid w:val="003D4AC4"/>
    <w:rsid w:val="003D63B7"/>
    <w:rsid w:val="003E1687"/>
    <w:rsid w:val="003E468B"/>
    <w:rsid w:val="003F5C8C"/>
    <w:rsid w:val="004465BD"/>
    <w:rsid w:val="00466ADA"/>
    <w:rsid w:val="0047593B"/>
    <w:rsid w:val="00476245"/>
    <w:rsid w:val="00485940"/>
    <w:rsid w:val="004A3367"/>
    <w:rsid w:val="004A5A85"/>
    <w:rsid w:val="004A63C3"/>
    <w:rsid w:val="004B5640"/>
    <w:rsid w:val="004C1BD7"/>
    <w:rsid w:val="004C691D"/>
    <w:rsid w:val="004E692D"/>
    <w:rsid w:val="00501554"/>
    <w:rsid w:val="00514CD7"/>
    <w:rsid w:val="005319B2"/>
    <w:rsid w:val="005328A6"/>
    <w:rsid w:val="00532C74"/>
    <w:rsid w:val="00533ECB"/>
    <w:rsid w:val="00534E2E"/>
    <w:rsid w:val="00544552"/>
    <w:rsid w:val="00561CEC"/>
    <w:rsid w:val="00581932"/>
    <w:rsid w:val="0059489B"/>
    <w:rsid w:val="00595612"/>
    <w:rsid w:val="005963BB"/>
    <w:rsid w:val="005A3173"/>
    <w:rsid w:val="005A3223"/>
    <w:rsid w:val="005A3DA3"/>
    <w:rsid w:val="005A52C4"/>
    <w:rsid w:val="005D03AB"/>
    <w:rsid w:val="005D5017"/>
    <w:rsid w:val="00601A91"/>
    <w:rsid w:val="00602BA3"/>
    <w:rsid w:val="00614159"/>
    <w:rsid w:val="00617C00"/>
    <w:rsid w:val="006263BF"/>
    <w:rsid w:val="0062748A"/>
    <w:rsid w:val="00630A2C"/>
    <w:rsid w:val="00651169"/>
    <w:rsid w:val="00653D69"/>
    <w:rsid w:val="00656DD4"/>
    <w:rsid w:val="00670A76"/>
    <w:rsid w:val="006711AA"/>
    <w:rsid w:val="00672B57"/>
    <w:rsid w:val="00675622"/>
    <w:rsid w:val="00685E13"/>
    <w:rsid w:val="006906DB"/>
    <w:rsid w:val="00694BA0"/>
    <w:rsid w:val="006A12A5"/>
    <w:rsid w:val="006B0D94"/>
    <w:rsid w:val="006B2CA7"/>
    <w:rsid w:val="006B485D"/>
    <w:rsid w:val="006C708E"/>
    <w:rsid w:val="006D6EC7"/>
    <w:rsid w:val="006E37BA"/>
    <w:rsid w:val="006F5125"/>
    <w:rsid w:val="007174BB"/>
    <w:rsid w:val="007372F4"/>
    <w:rsid w:val="0076420C"/>
    <w:rsid w:val="00770822"/>
    <w:rsid w:val="00773FE7"/>
    <w:rsid w:val="007753C2"/>
    <w:rsid w:val="007838B8"/>
    <w:rsid w:val="007B445D"/>
    <w:rsid w:val="007C0F57"/>
    <w:rsid w:val="007C40B6"/>
    <w:rsid w:val="007C729F"/>
    <w:rsid w:val="007E1D28"/>
    <w:rsid w:val="007F2641"/>
    <w:rsid w:val="007F7C36"/>
    <w:rsid w:val="00806796"/>
    <w:rsid w:val="0082086D"/>
    <w:rsid w:val="00826F6D"/>
    <w:rsid w:val="00832DDF"/>
    <w:rsid w:val="00856DDD"/>
    <w:rsid w:val="00863E68"/>
    <w:rsid w:val="00882085"/>
    <w:rsid w:val="00883188"/>
    <w:rsid w:val="00897D58"/>
    <w:rsid w:val="008A0A08"/>
    <w:rsid w:val="008A1956"/>
    <w:rsid w:val="008A4937"/>
    <w:rsid w:val="008D3752"/>
    <w:rsid w:val="008D3C82"/>
    <w:rsid w:val="008D447E"/>
    <w:rsid w:val="008D7A41"/>
    <w:rsid w:val="008E3680"/>
    <w:rsid w:val="008E5870"/>
    <w:rsid w:val="008F1434"/>
    <w:rsid w:val="008F7355"/>
    <w:rsid w:val="009067B7"/>
    <w:rsid w:val="0092304B"/>
    <w:rsid w:val="00930937"/>
    <w:rsid w:val="00933E6C"/>
    <w:rsid w:val="009356EE"/>
    <w:rsid w:val="00942160"/>
    <w:rsid w:val="00943F2D"/>
    <w:rsid w:val="009602C5"/>
    <w:rsid w:val="00974C21"/>
    <w:rsid w:val="009B0F67"/>
    <w:rsid w:val="009C703C"/>
    <w:rsid w:val="009D3CAA"/>
    <w:rsid w:val="009F4E46"/>
    <w:rsid w:val="009F5B65"/>
    <w:rsid w:val="009F5F2E"/>
    <w:rsid w:val="00A06225"/>
    <w:rsid w:val="00A128E6"/>
    <w:rsid w:val="00A37C8D"/>
    <w:rsid w:val="00A51142"/>
    <w:rsid w:val="00A5273B"/>
    <w:rsid w:val="00A53A9D"/>
    <w:rsid w:val="00A55FEE"/>
    <w:rsid w:val="00A62C1A"/>
    <w:rsid w:val="00A6426D"/>
    <w:rsid w:val="00A70622"/>
    <w:rsid w:val="00A70977"/>
    <w:rsid w:val="00A8390C"/>
    <w:rsid w:val="00A928BD"/>
    <w:rsid w:val="00AA4D1C"/>
    <w:rsid w:val="00AC5206"/>
    <w:rsid w:val="00AE11A5"/>
    <w:rsid w:val="00AE13E2"/>
    <w:rsid w:val="00AF68CC"/>
    <w:rsid w:val="00B079D8"/>
    <w:rsid w:val="00B123B9"/>
    <w:rsid w:val="00B205AA"/>
    <w:rsid w:val="00B22E84"/>
    <w:rsid w:val="00B25F75"/>
    <w:rsid w:val="00B345DE"/>
    <w:rsid w:val="00B43E90"/>
    <w:rsid w:val="00B44C02"/>
    <w:rsid w:val="00B467DC"/>
    <w:rsid w:val="00B56118"/>
    <w:rsid w:val="00B6773F"/>
    <w:rsid w:val="00B729DC"/>
    <w:rsid w:val="00B72AF3"/>
    <w:rsid w:val="00B801BA"/>
    <w:rsid w:val="00BB69F5"/>
    <w:rsid w:val="00BB7EC3"/>
    <w:rsid w:val="00BC4B9A"/>
    <w:rsid w:val="00BD784C"/>
    <w:rsid w:val="00BF4CB6"/>
    <w:rsid w:val="00C00DA7"/>
    <w:rsid w:val="00C12768"/>
    <w:rsid w:val="00C15B90"/>
    <w:rsid w:val="00C27B58"/>
    <w:rsid w:val="00C35324"/>
    <w:rsid w:val="00C35996"/>
    <w:rsid w:val="00C5342C"/>
    <w:rsid w:val="00C6256A"/>
    <w:rsid w:val="00C6435D"/>
    <w:rsid w:val="00C91449"/>
    <w:rsid w:val="00C92D10"/>
    <w:rsid w:val="00CA3412"/>
    <w:rsid w:val="00CA664E"/>
    <w:rsid w:val="00CE10C4"/>
    <w:rsid w:val="00CE27B5"/>
    <w:rsid w:val="00CE5083"/>
    <w:rsid w:val="00D0321E"/>
    <w:rsid w:val="00D1455A"/>
    <w:rsid w:val="00D27296"/>
    <w:rsid w:val="00D3280C"/>
    <w:rsid w:val="00D3406A"/>
    <w:rsid w:val="00D469B2"/>
    <w:rsid w:val="00D50AB7"/>
    <w:rsid w:val="00D741EB"/>
    <w:rsid w:val="00D84934"/>
    <w:rsid w:val="00D90577"/>
    <w:rsid w:val="00D91271"/>
    <w:rsid w:val="00DA2CB5"/>
    <w:rsid w:val="00DA4BAC"/>
    <w:rsid w:val="00DC27AA"/>
    <w:rsid w:val="00DE0DDF"/>
    <w:rsid w:val="00DE6D27"/>
    <w:rsid w:val="00DF217D"/>
    <w:rsid w:val="00DF26A7"/>
    <w:rsid w:val="00E164B3"/>
    <w:rsid w:val="00E16910"/>
    <w:rsid w:val="00E16EB3"/>
    <w:rsid w:val="00E21866"/>
    <w:rsid w:val="00E34EED"/>
    <w:rsid w:val="00E65E54"/>
    <w:rsid w:val="00E80155"/>
    <w:rsid w:val="00E848C0"/>
    <w:rsid w:val="00E91B96"/>
    <w:rsid w:val="00E941A1"/>
    <w:rsid w:val="00E95CE3"/>
    <w:rsid w:val="00EA2825"/>
    <w:rsid w:val="00EB5088"/>
    <w:rsid w:val="00ED1644"/>
    <w:rsid w:val="00EF44A0"/>
    <w:rsid w:val="00EF4FED"/>
    <w:rsid w:val="00F050BD"/>
    <w:rsid w:val="00F05657"/>
    <w:rsid w:val="00F22804"/>
    <w:rsid w:val="00F25578"/>
    <w:rsid w:val="00F258E5"/>
    <w:rsid w:val="00F300BC"/>
    <w:rsid w:val="00F3334E"/>
    <w:rsid w:val="00F504DE"/>
    <w:rsid w:val="00F50EC4"/>
    <w:rsid w:val="00F57A6D"/>
    <w:rsid w:val="00F638CC"/>
    <w:rsid w:val="00F64CC1"/>
    <w:rsid w:val="00F8247A"/>
    <w:rsid w:val="00F9629A"/>
    <w:rsid w:val="00FA5883"/>
    <w:rsid w:val="00FA6055"/>
    <w:rsid w:val="00FB00DC"/>
    <w:rsid w:val="00FB322F"/>
    <w:rsid w:val="00FB442F"/>
    <w:rsid w:val="00FC1929"/>
    <w:rsid w:val="00FC2A00"/>
    <w:rsid w:val="00FC5B46"/>
    <w:rsid w:val="00FE27E8"/>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82086D"/>
    <w:pPr>
      <w:numPr>
        <w:numId w:val="25"/>
      </w:numPr>
      <w:jc w:val="both"/>
      <w:outlineLvl w:val="0"/>
    </w:pPr>
    <w:rPr>
      <w:rFonts w:ascii="Arial" w:hAnsi="Arial"/>
      <w:b/>
      <w:sz w:val="22"/>
      <w:szCs w:val="22"/>
    </w:rPr>
  </w:style>
  <w:style w:type="paragraph" w:styleId="Heading2">
    <w:name w:val="heading 2"/>
    <w:basedOn w:val="Normal"/>
    <w:next w:val="Normal"/>
    <w:qFormat/>
    <w:rsid w:val="0082086D"/>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Default">
    <w:name w:val="Default"/>
    <w:rsid w:val="00CA3412"/>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72"/>
    <w:rsid w:val="0059489B"/>
    <w:rPr>
      <w:sz w:val="24"/>
      <w:szCs w:val="24"/>
    </w:rPr>
  </w:style>
  <w:style w:type="paragraph" w:customStyle="1" w:styleId="minorovrheadings">
    <w:name w:val="minor ovr headings"/>
    <w:basedOn w:val="Heading1"/>
    <w:link w:val="minorovrheadingsChar"/>
    <w:qFormat/>
    <w:rsid w:val="0059489B"/>
    <w:pPr>
      <w:spacing w:before="240" w:after="60"/>
    </w:pPr>
    <w:rPr>
      <w:rFonts w:cs="Arial"/>
      <w:b w:val="0"/>
      <w:bCs/>
      <w:kern w:val="28"/>
    </w:rPr>
  </w:style>
  <w:style w:type="character" w:customStyle="1" w:styleId="minorovrheadingsChar">
    <w:name w:val="minor ovr headings Char"/>
    <w:basedOn w:val="ListParagraphChar"/>
    <w:link w:val="minorovrheadings"/>
    <w:rsid w:val="0059489B"/>
    <w:rPr>
      <w:rFonts w:ascii="Arial" w:hAnsi="Arial" w:cs="Arial"/>
      <w:bCs/>
      <w:kern w:val="28"/>
      <w:sz w:val="22"/>
      <w:szCs w:val="22"/>
    </w:rPr>
  </w:style>
  <w:style w:type="paragraph" w:customStyle="1" w:styleId="PBACHeading1">
    <w:name w:val="PBAC Heading 1"/>
    <w:qFormat/>
    <w:rsid w:val="0059489B"/>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82086D"/>
    <w:pPr>
      <w:ind w:left="720" w:hanging="720"/>
      <w:outlineLvl w:val="0"/>
    </w:pPr>
    <w:rPr>
      <w:rFonts w:ascii="Arial" w:hAnsi="Arial"/>
      <w:b/>
      <w:sz w:val="28"/>
      <w:szCs w:val="28"/>
    </w:rPr>
  </w:style>
  <w:style w:type="character" w:customStyle="1" w:styleId="TitleChar">
    <w:name w:val="Title Char"/>
    <w:basedOn w:val="DefaultParagraphFont"/>
    <w:link w:val="Title"/>
    <w:rsid w:val="0082086D"/>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82086D"/>
    <w:pPr>
      <w:numPr>
        <w:numId w:val="25"/>
      </w:numPr>
      <w:jc w:val="both"/>
      <w:outlineLvl w:val="0"/>
    </w:pPr>
    <w:rPr>
      <w:rFonts w:ascii="Arial" w:hAnsi="Arial"/>
      <w:b/>
      <w:sz w:val="22"/>
      <w:szCs w:val="22"/>
    </w:rPr>
  </w:style>
  <w:style w:type="paragraph" w:styleId="Heading2">
    <w:name w:val="heading 2"/>
    <w:basedOn w:val="Normal"/>
    <w:next w:val="Normal"/>
    <w:qFormat/>
    <w:rsid w:val="0082086D"/>
    <w:pPr>
      <w:jc w:val="both"/>
      <w:outlineLvl w:val="1"/>
    </w:pPr>
    <w:rPr>
      <w:rFonts w:ascii="Arial" w:hAnsi="Arial"/>
      <w:b/>
      <w:i/>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Default">
    <w:name w:val="Default"/>
    <w:rsid w:val="00CA3412"/>
    <w:pPr>
      <w:autoSpaceDE w:val="0"/>
      <w:autoSpaceDN w:val="0"/>
      <w:adjustRightInd w:val="0"/>
    </w:pPr>
    <w:rPr>
      <w:color w:val="000000"/>
      <w:sz w:val="24"/>
      <w:szCs w:val="24"/>
    </w:rPr>
  </w:style>
  <w:style w:type="character" w:customStyle="1" w:styleId="ListParagraphChar">
    <w:name w:val="List Paragraph Char"/>
    <w:basedOn w:val="DefaultParagraphFont"/>
    <w:link w:val="ListParagraph"/>
    <w:uiPriority w:val="72"/>
    <w:rsid w:val="0059489B"/>
    <w:rPr>
      <w:sz w:val="24"/>
      <w:szCs w:val="24"/>
    </w:rPr>
  </w:style>
  <w:style w:type="paragraph" w:customStyle="1" w:styleId="minorovrheadings">
    <w:name w:val="minor ovr headings"/>
    <w:basedOn w:val="Heading1"/>
    <w:link w:val="minorovrheadingsChar"/>
    <w:qFormat/>
    <w:rsid w:val="0059489B"/>
    <w:pPr>
      <w:spacing w:before="240" w:after="60"/>
    </w:pPr>
    <w:rPr>
      <w:rFonts w:cs="Arial"/>
      <w:b w:val="0"/>
      <w:bCs/>
      <w:kern w:val="28"/>
    </w:rPr>
  </w:style>
  <w:style w:type="character" w:customStyle="1" w:styleId="minorovrheadingsChar">
    <w:name w:val="minor ovr headings Char"/>
    <w:basedOn w:val="ListParagraphChar"/>
    <w:link w:val="minorovrheadings"/>
    <w:rsid w:val="0059489B"/>
    <w:rPr>
      <w:rFonts w:ascii="Arial" w:hAnsi="Arial" w:cs="Arial"/>
      <w:bCs/>
      <w:kern w:val="28"/>
      <w:sz w:val="22"/>
      <w:szCs w:val="22"/>
    </w:rPr>
  </w:style>
  <w:style w:type="paragraph" w:customStyle="1" w:styleId="PBACHeading1">
    <w:name w:val="PBAC Heading 1"/>
    <w:qFormat/>
    <w:rsid w:val="0059489B"/>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82086D"/>
    <w:pPr>
      <w:ind w:left="720" w:hanging="720"/>
      <w:outlineLvl w:val="0"/>
    </w:pPr>
    <w:rPr>
      <w:rFonts w:ascii="Arial" w:hAnsi="Arial"/>
      <w:b/>
      <w:sz w:val="28"/>
      <w:szCs w:val="28"/>
    </w:rPr>
  </w:style>
  <w:style w:type="character" w:customStyle="1" w:styleId="TitleChar">
    <w:name w:val="Title Char"/>
    <w:basedOn w:val="DefaultParagraphFont"/>
    <w:link w:val="Title"/>
    <w:rsid w:val="0082086D"/>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494ED-029D-4583-A183-ACCA3BE83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994</Words>
  <Characters>5492</Characters>
  <Application>Microsoft Office Word</Application>
  <DocSecurity>0</DocSecurity>
  <Lines>189</Lines>
  <Paragraphs>115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2016-06-07T03:54:00Z</dcterms:created>
  <dcterms:modified xsi:type="dcterms:W3CDTF">2016-06-22T01:48:00Z</dcterms:modified>
</cp:coreProperties>
</file>