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020" w:rsidRPr="0056681A" w:rsidRDefault="00431B81" w:rsidP="00563240">
      <w:pPr>
        <w:pStyle w:val="Title"/>
        <w:outlineLvl w:val="0"/>
      </w:pPr>
      <w:r w:rsidRPr="0056681A">
        <w:t>5.22</w:t>
      </w:r>
      <w:r w:rsidR="00855020" w:rsidRPr="0056681A">
        <w:tab/>
      </w:r>
      <w:r w:rsidRPr="0056681A">
        <w:t>TOCILIZUMAB</w:t>
      </w:r>
      <w:r w:rsidR="00563240">
        <w:t xml:space="preserve"> </w:t>
      </w:r>
      <w:r w:rsidR="00563240">
        <w:br/>
      </w:r>
      <w:r w:rsidRPr="0056681A">
        <w:t xml:space="preserve">162 mg/0.9 mL injection, 4 x 0.9 mL syringes, </w:t>
      </w:r>
      <w:r w:rsidR="00563240">
        <w:br/>
      </w:r>
      <w:proofErr w:type="spellStart"/>
      <w:r w:rsidRPr="0056681A">
        <w:t>Actemra</w:t>
      </w:r>
      <w:proofErr w:type="spellEnd"/>
      <w:r w:rsidR="00855020" w:rsidRPr="0056681A">
        <w:t xml:space="preserve">®, </w:t>
      </w:r>
      <w:r w:rsidRPr="0056681A">
        <w:t>Roche Products Pty Limited</w:t>
      </w:r>
    </w:p>
    <w:p w:rsidR="00855020" w:rsidRPr="004C567C" w:rsidRDefault="00855020" w:rsidP="00855020">
      <w:pPr>
        <w:pStyle w:val="NoSpacing"/>
      </w:pPr>
    </w:p>
    <w:p w:rsidR="00855020" w:rsidRPr="004C567C" w:rsidRDefault="00855020" w:rsidP="00855020">
      <w:pPr>
        <w:pStyle w:val="NoSpacing"/>
      </w:pPr>
    </w:p>
    <w:p w:rsidR="00855020" w:rsidRPr="0056681A" w:rsidRDefault="00855020" w:rsidP="0056681A">
      <w:pPr>
        <w:pStyle w:val="Heading1"/>
      </w:pPr>
      <w:r w:rsidRPr="0056681A">
        <w:t>Purpose of Application</w:t>
      </w:r>
    </w:p>
    <w:p w:rsidR="00855020" w:rsidRPr="004C567C" w:rsidRDefault="00855020" w:rsidP="00855020">
      <w:pPr>
        <w:jc w:val="both"/>
        <w:rPr>
          <w:rFonts w:ascii="Arial" w:hAnsi="Arial"/>
          <w:sz w:val="22"/>
          <w:szCs w:val="22"/>
        </w:rPr>
      </w:pPr>
    </w:p>
    <w:p w:rsidR="00855020" w:rsidRPr="004C567C" w:rsidRDefault="00855020" w:rsidP="00844E55">
      <w:pPr>
        <w:pStyle w:val="ListParagraph"/>
        <w:numPr>
          <w:ilvl w:val="1"/>
          <w:numId w:val="5"/>
        </w:numPr>
        <w:jc w:val="both"/>
        <w:rPr>
          <w:rFonts w:ascii="Arial" w:hAnsi="Arial" w:cs="Arial"/>
          <w:sz w:val="22"/>
          <w:szCs w:val="22"/>
        </w:rPr>
      </w:pPr>
      <w:r w:rsidRPr="004C567C">
        <w:rPr>
          <w:rFonts w:ascii="Arial" w:hAnsi="Arial" w:cs="Arial"/>
          <w:sz w:val="22"/>
          <w:szCs w:val="22"/>
        </w:rPr>
        <w:t>The minor submission sought to</w:t>
      </w:r>
      <w:r w:rsidR="00431B81" w:rsidRPr="004C567C">
        <w:rPr>
          <w:rFonts w:ascii="Arial" w:hAnsi="Arial" w:cs="Arial"/>
          <w:sz w:val="22"/>
          <w:szCs w:val="22"/>
        </w:rPr>
        <w:t xml:space="preserve"> request an Authority Required Listing for a subcutaneous</w:t>
      </w:r>
      <w:r w:rsidR="00844E55" w:rsidRPr="004C567C">
        <w:rPr>
          <w:rFonts w:ascii="Arial" w:hAnsi="Arial" w:cs="Arial"/>
          <w:sz w:val="22"/>
          <w:szCs w:val="22"/>
        </w:rPr>
        <w:t xml:space="preserve"> (SC)</w:t>
      </w:r>
      <w:r w:rsidR="00431B81" w:rsidRPr="004C567C">
        <w:rPr>
          <w:rFonts w:ascii="Arial" w:hAnsi="Arial" w:cs="Arial"/>
          <w:sz w:val="22"/>
          <w:szCs w:val="22"/>
        </w:rPr>
        <w:t xml:space="preserve"> inject</w:t>
      </w:r>
      <w:r w:rsidR="00844E55" w:rsidRPr="004C567C">
        <w:rPr>
          <w:rFonts w:ascii="Arial" w:hAnsi="Arial" w:cs="Arial"/>
          <w:sz w:val="22"/>
          <w:szCs w:val="22"/>
        </w:rPr>
        <w:t xml:space="preserve">ion presentation of </w:t>
      </w:r>
      <w:proofErr w:type="spellStart"/>
      <w:r w:rsidR="00844E55" w:rsidRPr="004C567C">
        <w:rPr>
          <w:rFonts w:ascii="Arial" w:hAnsi="Arial" w:cs="Arial"/>
          <w:sz w:val="22"/>
          <w:szCs w:val="22"/>
        </w:rPr>
        <w:t>tocilizumab</w:t>
      </w:r>
      <w:proofErr w:type="spellEnd"/>
      <w:r w:rsidR="00844E55" w:rsidRPr="004C567C">
        <w:rPr>
          <w:rFonts w:ascii="Arial" w:hAnsi="Arial" w:cs="Arial"/>
          <w:sz w:val="22"/>
          <w:szCs w:val="22"/>
        </w:rPr>
        <w:t>, for the treatment of</w:t>
      </w:r>
      <w:r w:rsidR="000053D4" w:rsidRPr="004C567C">
        <w:rPr>
          <w:rFonts w:ascii="Arial" w:hAnsi="Arial" w:cs="Arial"/>
          <w:sz w:val="22"/>
          <w:szCs w:val="22"/>
        </w:rPr>
        <w:t xml:space="preserve"> severe active</w:t>
      </w:r>
      <w:r w:rsidR="00844E55" w:rsidRPr="004C567C">
        <w:rPr>
          <w:rFonts w:ascii="Arial" w:hAnsi="Arial" w:cs="Arial"/>
          <w:sz w:val="22"/>
          <w:szCs w:val="22"/>
        </w:rPr>
        <w:t xml:space="preserve"> </w:t>
      </w:r>
      <w:r w:rsidR="003113C7" w:rsidRPr="004C567C">
        <w:rPr>
          <w:rFonts w:ascii="Arial" w:hAnsi="Arial" w:cs="Arial"/>
          <w:sz w:val="22"/>
          <w:szCs w:val="22"/>
        </w:rPr>
        <w:t>r</w:t>
      </w:r>
      <w:r w:rsidR="00844E55" w:rsidRPr="004C567C">
        <w:rPr>
          <w:rFonts w:ascii="Arial" w:hAnsi="Arial" w:cs="Arial"/>
          <w:sz w:val="22"/>
          <w:szCs w:val="22"/>
        </w:rPr>
        <w:t>heumatoid arthritis</w:t>
      </w:r>
      <w:r w:rsidR="003113C7" w:rsidRPr="004C567C">
        <w:rPr>
          <w:rFonts w:ascii="Arial" w:hAnsi="Arial" w:cs="Arial"/>
          <w:sz w:val="22"/>
          <w:szCs w:val="22"/>
        </w:rPr>
        <w:t xml:space="preserve"> (RA)</w:t>
      </w:r>
      <w:r w:rsidR="00844E55" w:rsidRPr="004C567C">
        <w:rPr>
          <w:rFonts w:ascii="Arial" w:hAnsi="Arial" w:cs="Arial"/>
          <w:sz w:val="22"/>
          <w:szCs w:val="22"/>
        </w:rPr>
        <w:t>.</w:t>
      </w:r>
    </w:p>
    <w:p w:rsidR="00855020" w:rsidRPr="004C567C" w:rsidRDefault="00855020" w:rsidP="00855020">
      <w:pPr>
        <w:pStyle w:val="NoSpacing"/>
      </w:pPr>
    </w:p>
    <w:p w:rsidR="00855020" w:rsidRPr="004C567C" w:rsidRDefault="00855020" w:rsidP="0056681A">
      <w:pPr>
        <w:pStyle w:val="Heading1"/>
      </w:pPr>
      <w:r w:rsidRPr="004C567C">
        <w:t>Requested listing</w:t>
      </w:r>
    </w:p>
    <w:p w:rsidR="00855020" w:rsidRPr="004C567C" w:rsidRDefault="00855020" w:rsidP="00855020">
      <w:pPr>
        <w:jc w:val="both"/>
        <w:rPr>
          <w:rFonts w:ascii="Arial" w:hAnsi="Arial"/>
          <w:b/>
          <w:sz w:val="22"/>
          <w:szCs w:val="22"/>
        </w:rPr>
      </w:pPr>
    </w:p>
    <w:p w:rsidR="004C567C" w:rsidRPr="004F2A97" w:rsidRDefault="008003C9" w:rsidP="0021220A">
      <w:pPr>
        <w:pStyle w:val="ListParagraph"/>
        <w:numPr>
          <w:ilvl w:val="1"/>
          <w:numId w:val="5"/>
        </w:numPr>
        <w:jc w:val="both"/>
        <w:rPr>
          <w:rFonts w:ascii="Arial" w:hAnsi="Arial"/>
          <w:sz w:val="22"/>
          <w:szCs w:val="22"/>
        </w:rPr>
      </w:pPr>
      <w:r w:rsidRPr="004C567C">
        <w:rPr>
          <w:rFonts w:ascii="Arial" w:hAnsi="Arial"/>
          <w:sz w:val="22"/>
          <w:szCs w:val="22"/>
        </w:rPr>
        <w:t xml:space="preserve">The submission sought the same restriction for </w:t>
      </w:r>
      <w:proofErr w:type="spellStart"/>
      <w:r w:rsidRPr="004C567C">
        <w:rPr>
          <w:rFonts w:ascii="Arial" w:hAnsi="Arial"/>
          <w:sz w:val="22"/>
          <w:szCs w:val="22"/>
        </w:rPr>
        <w:t>tocilizumab</w:t>
      </w:r>
      <w:proofErr w:type="spellEnd"/>
      <w:r w:rsidRPr="004C567C">
        <w:rPr>
          <w:rFonts w:ascii="Arial" w:hAnsi="Arial"/>
          <w:sz w:val="22"/>
          <w:szCs w:val="22"/>
        </w:rPr>
        <w:t xml:space="preserve"> SC as currently exists for </w:t>
      </w:r>
      <w:proofErr w:type="spellStart"/>
      <w:r w:rsidRPr="004C567C">
        <w:rPr>
          <w:rFonts w:ascii="Arial" w:hAnsi="Arial"/>
          <w:sz w:val="22"/>
          <w:szCs w:val="22"/>
        </w:rPr>
        <w:t>tocilizumab</w:t>
      </w:r>
      <w:proofErr w:type="spellEnd"/>
      <w:r w:rsidRPr="004C567C">
        <w:rPr>
          <w:rFonts w:ascii="Arial" w:hAnsi="Arial"/>
          <w:sz w:val="22"/>
          <w:szCs w:val="22"/>
        </w:rPr>
        <w:t xml:space="preserve"> intravenous (IV) injection in </w:t>
      </w:r>
      <w:r w:rsidRPr="00443765">
        <w:rPr>
          <w:rFonts w:ascii="Arial" w:hAnsi="Arial"/>
          <w:sz w:val="22"/>
          <w:szCs w:val="22"/>
        </w:rPr>
        <w:t>severe active</w:t>
      </w:r>
      <w:r w:rsidRPr="004C567C">
        <w:rPr>
          <w:rFonts w:ascii="Arial" w:hAnsi="Arial"/>
          <w:sz w:val="22"/>
          <w:szCs w:val="22"/>
        </w:rPr>
        <w:t xml:space="preserve"> RA along with a new grandfathering restriction</w:t>
      </w:r>
      <w:r w:rsidR="004F2A97">
        <w:rPr>
          <w:rFonts w:ascii="Arial" w:hAnsi="Arial"/>
          <w:sz w:val="22"/>
          <w:szCs w:val="22"/>
        </w:rPr>
        <w:t>.</w:t>
      </w:r>
    </w:p>
    <w:p w:rsidR="003113C7" w:rsidRPr="004C567C" w:rsidRDefault="003113C7" w:rsidP="0021220A">
      <w:pPr>
        <w:jc w:val="both"/>
        <w:rPr>
          <w:rFonts w:ascii="Arial" w:hAnsi="Arial"/>
          <w:sz w:val="22"/>
          <w:szCs w:val="22"/>
        </w:rPr>
      </w:pPr>
    </w:p>
    <w:p w:rsidR="00D408CC" w:rsidRPr="0021220A" w:rsidRDefault="00D408CC" w:rsidP="0021220A">
      <w:pPr>
        <w:widowControl w:val="0"/>
        <w:ind w:left="709"/>
        <w:contextualSpacing/>
        <w:jc w:val="both"/>
        <w:rPr>
          <w:rFonts w:ascii="Arial" w:hAnsi="Arial" w:cs="Arial"/>
          <w:i/>
          <w:snapToGrid w:val="0"/>
          <w:sz w:val="22"/>
          <w:szCs w:val="22"/>
          <w:lang w:eastAsia="en-US"/>
        </w:rPr>
      </w:pPr>
      <w:r w:rsidRPr="0021220A">
        <w:rPr>
          <w:rFonts w:ascii="Arial" w:hAnsi="Arial" w:cs="Arial"/>
          <w:i/>
          <w:snapToGrid w:val="0"/>
          <w:sz w:val="22"/>
          <w:szCs w:val="22"/>
          <w:lang w:eastAsia="en-US"/>
        </w:rPr>
        <w:t>For more deta</w:t>
      </w:r>
      <w:r w:rsidR="00545DBC" w:rsidRPr="0021220A">
        <w:rPr>
          <w:rFonts w:ascii="Arial" w:hAnsi="Arial" w:cs="Arial"/>
          <w:i/>
          <w:snapToGrid w:val="0"/>
          <w:sz w:val="22"/>
          <w:szCs w:val="22"/>
          <w:lang w:eastAsia="en-US"/>
        </w:rPr>
        <w:t>il on PBAC’s view, see section 6</w:t>
      </w:r>
      <w:r w:rsidRPr="0021220A">
        <w:rPr>
          <w:rFonts w:ascii="Arial" w:hAnsi="Arial" w:cs="Arial"/>
          <w:i/>
          <w:snapToGrid w:val="0"/>
          <w:sz w:val="22"/>
          <w:szCs w:val="22"/>
          <w:lang w:eastAsia="en-US"/>
        </w:rPr>
        <w:t xml:space="preserve"> “PBAC outcome”</w:t>
      </w:r>
    </w:p>
    <w:p w:rsidR="00855020" w:rsidRPr="004C567C" w:rsidRDefault="00855020" w:rsidP="0021220A">
      <w:pPr>
        <w:jc w:val="both"/>
        <w:rPr>
          <w:rFonts w:ascii="Arial" w:hAnsi="Arial"/>
          <w:b/>
          <w:sz w:val="22"/>
          <w:szCs w:val="22"/>
        </w:rPr>
      </w:pPr>
    </w:p>
    <w:p w:rsidR="00855020" w:rsidRPr="004C567C" w:rsidRDefault="00855020" w:rsidP="0056681A">
      <w:pPr>
        <w:pStyle w:val="Heading1"/>
      </w:pPr>
      <w:r w:rsidRPr="004C567C">
        <w:t>Background</w:t>
      </w:r>
    </w:p>
    <w:p w:rsidR="00855020" w:rsidRPr="004C567C" w:rsidRDefault="00855020" w:rsidP="00855020">
      <w:pPr>
        <w:jc w:val="both"/>
        <w:rPr>
          <w:rFonts w:ascii="Arial" w:hAnsi="Arial"/>
          <w:sz w:val="22"/>
          <w:szCs w:val="22"/>
        </w:rPr>
      </w:pPr>
    </w:p>
    <w:p w:rsidR="00951F75" w:rsidRPr="004C567C" w:rsidRDefault="00951F75" w:rsidP="00951F75">
      <w:pPr>
        <w:pStyle w:val="ListParagraph"/>
        <w:numPr>
          <w:ilvl w:val="1"/>
          <w:numId w:val="5"/>
        </w:numPr>
        <w:jc w:val="both"/>
        <w:rPr>
          <w:rFonts w:ascii="Arial" w:hAnsi="Arial" w:cs="Arial"/>
          <w:sz w:val="22"/>
          <w:szCs w:val="22"/>
        </w:rPr>
      </w:pPr>
      <w:proofErr w:type="spellStart"/>
      <w:r w:rsidRPr="004C567C">
        <w:rPr>
          <w:rFonts w:ascii="Arial" w:hAnsi="Arial" w:cs="Arial"/>
          <w:sz w:val="22"/>
          <w:szCs w:val="22"/>
        </w:rPr>
        <w:t>Tocilizumab</w:t>
      </w:r>
      <w:proofErr w:type="spellEnd"/>
      <w:r w:rsidRPr="004C567C">
        <w:rPr>
          <w:rFonts w:ascii="Arial" w:hAnsi="Arial" w:cs="Arial"/>
          <w:sz w:val="22"/>
          <w:szCs w:val="22"/>
        </w:rPr>
        <w:t xml:space="preserve"> SC is TGA registered (</w:t>
      </w:r>
      <w:r w:rsidR="001F698A" w:rsidRPr="004C567C">
        <w:rPr>
          <w:rFonts w:ascii="Arial" w:hAnsi="Arial" w:cs="Arial"/>
          <w:sz w:val="22"/>
          <w:szCs w:val="22"/>
        </w:rPr>
        <w:t>2</w:t>
      </w:r>
      <w:r w:rsidR="001F698A">
        <w:rPr>
          <w:rFonts w:ascii="Arial" w:hAnsi="Arial" w:cs="Arial"/>
          <w:sz w:val="22"/>
          <w:szCs w:val="22"/>
        </w:rPr>
        <w:t>1</w:t>
      </w:r>
      <w:r w:rsidRPr="004C567C">
        <w:rPr>
          <w:rFonts w:ascii="Arial" w:hAnsi="Arial" w:cs="Arial"/>
          <w:sz w:val="22"/>
          <w:szCs w:val="22"/>
        </w:rPr>
        <w:t>/01/2016) for the following indications</w:t>
      </w:r>
      <w:r w:rsidR="007478DC" w:rsidRPr="004C567C">
        <w:rPr>
          <w:rFonts w:ascii="Arial" w:hAnsi="Arial" w:cs="Arial"/>
          <w:sz w:val="22"/>
          <w:szCs w:val="22"/>
        </w:rPr>
        <w:t>:</w:t>
      </w:r>
    </w:p>
    <w:p w:rsidR="007978C2" w:rsidRPr="004C567C" w:rsidRDefault="00951F75" w:rsidP="007478DC">
      <w:pPr>
        <w:pStyle w:val="ListParagraph"/>
        <w:numPr>
          <w:ilvl w:val="0"/>
          <w:numId w:val="12"/>
        </w:numPr>
        <w:jc w:val="both"/>
        <w:rPr>
          <w:rFonts w:ascii="Arial" w:hAnsi="Arial" w:cs="Arial"/>
          <w:sz w:val="22"/>
          <w:szCs w:val="22"/>
        </w:rPr>
      </w:pPr>
      <w:r w:rsidRPr="004C567C">
        <w:rPr>
          <w:rFonts w:ascii="Arial" w:hAnsi="Arial" w:cs="Arial"/>
          <w:sz w:val="22"/>
          <w:szCs w:val="22"/>
        </w:rPr>
        <w:t>The treatment of moderate to severe active rheumatoid arthritis (RA) in adult patients in combination with methotrexate (MTX) or other non-biological disease-modifying anti-rheumatic drugs (DMARDs) in case of either an inadequate response or intolerance to previous therapy with one or more DMARDs.</w:t>
      </w:r>
    </w:p>
    <w:p w:rsidR="007978C2" w:rsidRPr="004C567C" w:rsidRDefault="007978C2" w:rsidP="007478DC">
      <w:pPr>
        <w:pStyle w:val="ListParagraph"/>
        <w:numPr>
          <w:ilvl w:val="0"/>
          <w:numId w:val="12"/>
        </w:numPr>
        <w:jc w:val="both"/>
        <w:rPr>
          <w:rFonts w:ascii="Arial" w:hAnsi="Arial" w:cs="Arial"/>
          <w:sz w:val="22"/>
          <w:szCs w:val="22"/>
        </w:rPr>
      </w:pPr>
      <w:proofErr w:type="spellStart"/>
      <w:r w:rsidRPr="004C567C">
        <w:rPr>
          <w:rFonts w:ascii="Arial" w:hAnsi="Arial" w:cs="Arial"/>
          <w:sz w:val="22"/>
          <w:szCs w:val="22"/>
        </w:rPr>
        <w:t>Tocilizumab</w:t>
      </w:r>
      <w:proofErr w:type="spellEnd"/>
      <w:r w:rsidRPr="004C567C">
        <w:rPr>
          <w:rFonts w:ascii="Arial" w:hAnsi="Arial" w:cs="Arial"/>
          <w:sz w:val="22"/>
          <w:szCs w:val="22"/>
        </w:rPr>
        <w:t xml:space="preserve"> SC</w:t>
      </w:r>
      <w:r w:rsidR="00951F75" w:rsidRPr="004C567C">
        <w:rPr>
          <w:rFonts w:ascii="Arial" w:hAnsi="Arial" w:cs="Arial"/>
          <w:sz w:val="22"/>
          <w:szCs w:val="22"/>
        </w:rPr>
        <w:t xml:space="preserve"> is indicated for the treatment of moderate to severe active rheumatoid arthritis in adult patients with poor prognostic factors (see CLINICAL TRIALS) in combination with MTX in those not previously treated with MTX.</w:t>
      </w:r>
    </w:p>
    <w:p w:rsidR="007478DC" w:rsidRPr="004C567C" w:rsidRDefault="00951F75" w:rsidP="007478DC">
      <w:pPr>
        <w:pStyle w:val="ListParagraph"/>
        <w:numPr>
          <w:ilvl w:val="0"/>
          <w:numId w:val="12"/>
        </w:numPr>
        <w:jc w:val="both"/>
        <w:rPr>
          <w:rFonts w:ascii="Arial" w:hAnsi="Arial" w:cs="Arial"/>
          <w:sz w:val="22"/>
          <w:szCs w:val="22"/>
        </w:rPr>
      </w:pPr>
      <w:r w:rsidRPr="004C567C">
        <w:rPr>
          <w:rFonts w:ascii="Arial" w:hAnsi="Arial" w:cs="Arial"/>
          <w:sz w:val="22"/>
          <w:szCs w:val="22"/>
        </w:rPr>
        <w:t xml:space="preserve">In the two groups of patients above, </w:t>
      </w:r>
      <w:proofErr w:type="spellStart"/>
      <w:r w:rsidR="007978C2" w:rsidRPr="004C567C">
        <w:rPr>
          <w:rFonts w:ascii="Arial" w:hAnsi="Arial" w:cs="Arial"/>
          <w:sz w:val="22"/>
          <w:szCs w:val="22"/>
        </w:rPr>
        <w:t>Tocilizumab</w:t>
      </w:r>
      <w:proofErr w:type="spellEnd"/>
      <w:r w:rsidR="007978C2" w:rsidRPr="004C567C">
        <w:rPr>
          <w:rFonts w:ascii="Arial" w:hAnsi="Arial" w:cs="Arial"/>
          <w:sz w:val="22"/>
          <w:szCs w:val="22"/>
        </w:rPr>
        <w:t xml:space="preserve"> SC</w:t>
      </w:r>
      <w:r w:rsidRPr="004C567C">
        <w:rPr>
          <w:rFonts w:ascii="Arial" w:hAnsi="Arial" w:cs="Arial"/>
          <w:sz w:val="22"/>
          <w:szCs w:val="22"/>
        </w:rPr>
        <w:t xml:space="preserve"> can be given as monotherapy in case of intolerance to MTX or where continued treat</w:t>
      </w:r>
      <w:r w:rsidR="007978C2" w:rsidRPr="004C567C">
        <w:rPr>
          <w:rFonts w:ascii="Arial" w:hAnsi="Arial" w:cs="Arial"/>
          <w:sz w:val="22"/>
          <w:szCs w:val="22"/>
        </w:rPr>
        <w:t>ment with MTX is inappropriate.</w:t>
      </w:r>
    </w:p>
    <w:p w:rsidR="002E6587" w:rsidRPr="004C567C" w:rsidRDefault="002E6587" w:rsidP="002E6587">
      <w:pPr>
        <w:pStyle w:val="ListParagraph"/>
        <w:ind w:left="1440"/>
        <w:jc w:val="both"/>
        <w:rPr>
          <w:rFonts w:ascii="Arial" w:hAnsi="Arial" w:cs="Arial"/>
          <w:sz w:val="22"/>
          <w:szCs w:val="22"/>
        </w:rPr>
      </w:pPr>
    </w:p>
    <w:p w:rsidR="00951F75" w:rsidRPr="004C567C" w:rsidRDefault="00951F75" w:rsidP="007478DC">
      <w:pPr>
        <w:pStyle w:val="ListParagraph"/>
        <w:numPr>
          <w:ilvl w:val="1"/>
          <w:numId w:val="5"/>
        </w:numPr>
        <w:jc w:val="both"/>
        <w:rPr>
          <w:rFonts w:ascii="Arial" w:hAnsi="Arial" w:cs="Arial"/>
          <w:sz w:val="22"/>
          <w:szCs w:val="22"/>
        </w:rPr>
      </w:pPr>
      <w:proofErr w:type="spellStart"/>
      <w:r w:rsidRPr="004C567C">
        <w:rPr>
          <w:rFonts w:ascii="Arial" w:hAnsi="Arial" w:cs="Arial"/>
          <w:sz w:val="22"/>
          <w:szCs w:val="22"/>
        </w:rPr>
        <w:t>Tocilizumab</w:t>
      </w:r>
      <w:proofErr w:type="spellEnd"/>
      <w:r w:rsidRPr="004C567C">
        <w:rPr>
          <w:rFonts w:ascii="Arial" w:hAnsi="Arial" w:cs="Arial"/>
          <w:sz w:val="22"/>
          <w:szCs w:val="22"/>
        </w:rPr>
        <w:t xml:space="preserve"> SC has not </w:t>
      </w:r>
      <w:r w:rsidRPr="004C567C">
        <w:rPr>
          <w:rFonts w:ascii="Arial" w:hAnsi="Arial"/>
          <w:sz w:val="22"/>
          <w:szCs w:val="22"/>
        </w:rPr>
        <w:t>previously been considered by PBAC.</w:t>
      </w:r>
    </w:p>
    <w:p w:rsidR="00951F75" w:rsidRPr="004C567C" w:rsidRDefault="00951F75" w:rsidP="007478DC">
      <w:pPr>
        <w:jc w:val="both"/>
        <w:rPr>
          <w:rFonts w:ascii="Arial" w:hAnsi="Arial" w:cs="Arial"/>
          <w:sz w:val="22"/>
          <w:szCs w:val="22"/>
        </w:rPr>
      </w:pPr>
    </w:p>
    <w:p w:rsidR="00480832" w:rsidRPr="004C567C" w:rsidRDefault="00480832" w:rsidP="00480832">
      <w:pPr>
        <w:pStyle w:val="ListParagraph"/>
        <w:numPr>
          <w:ilvl w:val="1"/>
          <w:numId w:val="5"/>
        </w:numPr>
        <w:jc w:val="both"/>
        <w:rPr>
          <w:rFonts w:ascii="Arial" w:hAnsi="Arial" w:cs="Arial"/>
          <w:sz w:val="22"/>
          <w:szCs w:val="22"/>
        </w:rPr>
      </w:pPr>
      <w:proofErr w:type="spellStart"/>
      <w:r w:rsidRPr="004C567C">
        <w:rPr>
          <w:rFonts w:ascii="Arial" w:hAnsi="Arial" w:cs="Arial"/>
          <w:sz w:val="22"/>
          <w:szCs w:val="22"/>
        </w:rPr>
        <w:t>Tocilizumab</w:t>
      </w:r>
      <w:proofErr w:type="spellEnd"/>
      <w:r w:rsidRPr="004C567C">
        <w:rPr>
          <w:rFonts w:ascii="Arial" w:hAnsi="Arial" w:cs="Arial"/>
          <w:sz w:val="22"/>
          <w:szCs w:val="22"/>
        </w:rPr>
        <w:t xml:space="preserve"> solution for IV infusion has previously been </w:t>
      </w:r>
      <w:r w:rsidR="000053D4" w:rsidRPr="004C567C">
        <w:rPr>
          <w:rFonts w:ascii="Arial" w:hAnsi="Arial" w:cs="Arial"/>
          <w:sz w:val="22"/>
          <w:szCs w:val="22"/>
        </w:rPr>
        <w:t>considered for severe active RA by the PBAC in July and November 2009, March 2010 and March 2013</w:t>
      </w:r>
      <w:r w:rsidR="00951F75" w:rsidRPr="004C567C">
        <w:rPr>
          <w:rFonts w:ascii="Arial" w:hAnsi="Arial" w:cs="Arial"/>
          <w:sz w:val="22"/>
          <w:szCs w:val="22"/>
        </w:rPr>
        <w:t>. The PBAC in July 2009</w:t>
      </w:r>
      <w:r w:rsidR="000053D4" w:rsidRPr="004C567C">
        <w:rPr>
          <w:rFonts w:ascii="Arial" w:hAnsi="Arial" w:cs="Arial"/>
          <w:sz w:val="22"/>
          <w:szCs w:val="22"/>
        </w:rPr>
        <w:t xml:space="preserve"> </w:t>
      </w:r>
      <w:r w:rsidRPr="004C567C">
        <w:rPr>
          <w:rFonts w:ascii="Arial" w:hAnsi="Arial" w:cs="Arial"/>
          <w:sz w:val="22"/>
          <w:szCs w:val="22"/>
        </w:rPr>
        <w:t>recommended</w:t>
      </w:r>
      <w:r w:rsidR="00951F75" w:rsidRPr="004C567C">
        <w:rPr>
          <w:rFonts w:ascii="Arial" w:hAnsi="Arial" w:cs="Arial"/>
          <w:sz w:val="22"/>
          <w:szCs w:val="22"/>
        </w:rPr>
        <w:t xml:space="preserve"> </w:t>
      </w:r>
      <w:proofErr w:type="spellStart"/>
      <w:r w:rsidR="00951F75" w:rsidRPr="004C567C">
        <w:rPr>
          <w:rFonts w:ascii="Arial" w:hAnsi="Arial"/>
          <w:sz w:val="22"/>
          <w:szCs w:val="22"/>
        </w:rPr>
        <w:t>tocilizumab</w:t>
      </w:r>
      <w:proofErr w:type="spellEnd"/>
      <w:r w:rsidR="00951F75" w:rsidRPr="004C567C">
        <w:rPr>
          <w:rFonts w:ascii="Arial" w:hAnsi="Arial"/>
          <w:sz w:val="22"/>
          <w:szCs w:val="22"/>
        </w:rPr>
        <w:t xml:space="preserve"> IV</w:t>
      </w:r>
      <w:r w:rsidRPr="004C567C">
        <w:rPr>
          <w:rFonts w:ascii="Arial" w:hAnsi="Arial" w:cs="Arial"/>
          <w:sz w:val="22"/>
          <w:szCs w:val="22"/>
        </w:rPr>
        <w:t xml:space="preserve"> for PBS listing</w:t>
      </w:r>
      <w:r w:rsidR="00951F75" w:rsidRPr="004C567C">
        <w:rPr>
          <w:rFonts w:ascii="Arial" w:hAnsi="Arial" w:cs="Arial"/>
          <w:sz w:val="22"/>
          <w:szCs w:val="22"/>
        </w:rPr>
        <w:t xml:space="preserve"> for severe active RA</w:t>
      </w:r>
      <w:r w:rsidRPr="004C567C">
        <w:rPr>
          <w:rFonts w:ascii="Arial" w:hAnsi="Arial" w:cs="Arial"/>
          <w:sz w:val="22"/>
          <w:szCs w:val="22"/>
        </w:rPr>
        <w:t>.</w:t>
      </w:r>
    </w:p>
    <w:p w:rsidR="00480832" w:rsidRPr="004C567C" w:rsidRDefault="00480832" w:rsidP="00480832">
      <w:pPr>
        <w:pStyle w:val="ListParagraph"/>
        <w:jc w:val="both"/>
        <w:rPr>
          <w:rFonts w:ascii="Arial" w:hAnsi="Arial"/>
          <w:sz w:val="22"/>
          <w:szCs w:val="22"/>
        </w:rPr>
      </w:pPr>
    </w:p>
    <w:p w:rsidR="00480832" w:rsidRPr="004C567C" w:rsidRDefault="00480832" w:rsidP="002E6587">
      <w:pPr>
        <w:pStyle w:val="ListParagraph"/>
        <w:numPr>
          <w:ilvl w:val="1"/>
          <w:numId w:val="5"/>
        </w:numPr>
        <w:jc w:val="both"/>
        <w:rPr>
          <w:rFonts w:ascii="Arial" w:hAnsi="Arial"/>
          <w:sz w:val="22"/>
          <w:szCs w:val="22"/>
        </w:rPr>
      </w:pPr>
      <w:r w:rsidRPr="004C567C">
        <w:rPr>
          <w:rFonts w:ascii="Arial" w:hAnsi="Arial"/>
          <w:sz w:val="22"/>
          <w:szCs w:val="22"/>
        </w:rPr>
        <w:t>This current submission seeks the PBS listing of a new, SC administe</w:t>
      </w:r>
      <w:r w:rsidR="00020321" w:rsidRPr="004C567C">
        <w:rPr>
          <w:rFonts w:ascii="Arial" w:hAnsi="Arial"/>
          <w:sz w:val="22"/>
          <w:szCs w:val="22"/>
        </w:rPr>
        <w:t xml:space="preserve">red, formulation of </w:t>
      </w:r>
      <w:proofErr w:type="spellStart"/>
      <w:r w:rsidR="00020321" w:rsidRPr="004C567C">
        <w:rPr>
          <w:rFonts w:ascii="Arial" w:hAnsi="Arial"/>
          <w:sz w:val="22"/>
          <w:szCs w:val="22"/>
        </w:rPr>
        <w:t>tocilizumab</w:t>
      </w:r>
      <w:proofErr w:type="spellEnd"/>
      <w:r w:rsidR="00020321" w:rsidRPr="004C567C">
        <w:rPr>
          <w:rFonts w:ascii="Arial" w:hAnsi="Arial"/>
          <w:sz w:val="22"/>
          <w:szCs w:val="22"/>
        </w:rPr>
        <w:t>.</w:t>
      </w:r>
    </w:p>
    <w:p w:rsidR="002E6587" w:rsidRPr="004C567C" w:rsidRDefault="002E6587" w:rsidP="002E6587">
      <w:pPr>
        <w:jc w:val="both"/>
        <w:rPr>
          <w:rFonts w:ascii="Arial" w:hAnsi="Arial"/>
          <w:sz w:val="22"/>
          <w:szCs w:val="22"/>
        </w:rPr>
      </w:pPr>
    </w:p>
    <w:p w:rsidR="00855020" w:rsidRPr="004C567C" w:rsidRDefault="00480832" w:rsidP="0021220A">
      <w:pPr>
        <w:pStyle w:val="ListParagraph"/>
        <w:numPr>
          <w:ilvl w:val="1"/>
          <w:numId w:val="5"/>
        </w:numPr>
        <w:jc w:val="both"/>
        <w:rPr>
          <w:rFonts w:ascii="Arial" w:hAnsi="Arial"/>
          <w:sz w:val="22"/>
          <w:szCs w:val="22"/>
        </w:rPr>
      </w:pPr>
      <w:r w:rsidRPr="004C567C">
        <w:rPr>
          <w:rFonts w:ascii="Arial" w:hAnsi="Arial"/>
          <w:sz w:val="22"/>
          <w:szCs w:val="22"/>
        </w:rPr>
        <w:t xml:space="preserve">This submission nominates </w:t>
      </w:r>
      <w:proofErr w:type="spellStart"/>
      <w:r w:rsidRPr="004C567C">
        <w:rPr>
          <w:rFonts w:ascii="Arial" w:hAnsi="Arial"/>
          <w:sz w:val="22"/>
          <w:szCs w:val="22"/>
        </w:rPr>
        <w:t>etanercept</w:t>
      </w:r>
      <w:proofErr w:type="spellEnd"/>
      <w:r w:rsidR="007978C2" w:rsidRPr="004C567C">
        <w:rPr>
          <w:rFonts w:ascii="Arial" w:hAnsi="Arial"/>
          <w:sz w:val="22"/>
          <w:szCs w:val="22"/>
        </w:rPr>
        <w:t xml:space="preserve"> </w:t>
      </w:r>
      <w:r w:rsidRPr="004C567C">
        <w:rPr>
          <w:rFonts w:ascii="Arial" w:hAnsi="Arial"/>
          <w:sz w:val="22"/>
          <w:szCs w:val="22"/>
        </w:rPr>
        <w:t xml:space="preserve">and </w:t>
      </w:r>
      <w:proofErr w:type="spellStart"/>
      <w:proofErr w:type="gramStart"/>
      <w:r w:rsidRPr="004C567C">
        <w:rPr>
          <w:rFonts w:ascii="Arial" w:hAnsi="Arial"/>
          <w:sz w:val="22"/>
          <w:szCs w:val="22"/>
        </w:rPr>
        <w:t>adalimumab</w:t>
      </w:r>
      <w:proofErr w:type="spellEnd"/>
      <w:r w:rsidR="0021220A">
        <w:rPr>
          <w:rFonts w:ascii="Arial" w:hAnsi="Arial"/>
          <w:sz w:val="22"/>
          <w:szCs w:val="22"/>
        </w:rPr>
        <w:t>,</w:t>
      </w:r>
      <w:proofErr w:type="gramEnd"/>
      <w:r w:rsidR="0021220A">
        <w:rPr>
          <w:rFonts w:ascii="Arial" w:hAnsi="Arial"/>
          <w:sz w:val="22"/>
          <w:szCs w:val="22"/>
        </w:rPr>
        <w:t xml:space="preserve"> both delivered in subcutaneous form, </w:t>
      </w:r>
      <w:r w:rsidRPr="004C567C">
        <w:rPr>
          <w:rFonts w:ascii="Arial" w:hAnsi="Arial"/>
          <w:sz w:val="22"/>
          <w:szCs w:val="22"/>
        </w:rPr>
        <w:t>as the main comparators and presents a cost-minimisation analysis against these therapies.</w:t>
      </w:r>
      <w:r w:rsidR="007978C2" w:rsidRPr="004C567C">
        <w:rPr>
          <w:rFonts w:ascii="Arial" w:hAnsi="Arial"/>
          <w:sz w:val="22"/>
          <w:szCs w:val="22"/>
        </w:rPr>
        <w:t xml:space="preserve">  Based on </w:t>
      </w:r>
      <w:r w:rsidR="002F5E26" w:rsidRPr="004C567C">
        <w:rPr>
          <w:rFonts w:ascii="Arial" w:hAnsi="Arial"/>
          <w:sz w:val="22"/>
          <w:szCs w:val="22"/>
        </w:rPr>
        <w:t xml:space="preserve">the </w:t>
      </w:r>
      <w:r w:rsidR="007978C2" w:rsidRPr="004C567C">
        <w:rPr>
          <w:rFonts w:ascii="Arial" w:hAnsi="Arial"/>
          <w:sz w:val="22"/>
          <w:szCs w:val="22"/>
        </w:rPr>
        <w:t xml:space="preserve">previous submission to the </w:t>
      </w:r>
      <w:r w:rsidR="002F5E26" w:rsidRPr="004C567C">
        <w:rPr>
          <w:rFonts w:ascii="Arial" w:hAnsi="Arial"/>
          <w:sz w:val="22"/>
          <w:szCs w:val="22"/>
        </w:rPr>
        <w:t xml:space="preserve">July 2011 </w:t>
      </w:r>
      <w:r w:rsidR="007978C2" w:rsidRPr="004C567C">
        <w:rPr>
          <w:rFonts w:ascii="Arial" w:hAnsi="Arial"/>
          <w:sz w:val="22"/>
          <w:szCs w:val="22"/>
        </w:rPr>
        <w:t xml:space="preserve">PBAC for </w:t>
      </w:r>
      <w:proofErr w:type="spellStart"/>
      <w:r w:rsidR="002F5E26" w:rsidRPr="004C567C">
        <w:rPr>
          <w:rFonts w:ascii="Arial" w:hAnsi="Arial"/>
          <w:sz w:val="22"/>
          <w:szCs w:val="22"/>
        </w:rPr>
        <w:t>abatacept</w:t>
      </w:r>
      <w:proofErr w:type="spellEnd"/>
      <w:r w:rsidR="002F5E26" w:rsidRPr="004C567C">
        <w:rPr>
          <w:rFonts w:ascii="Arial" w:hAnsi="Arial"/>
          <w:sz w:val="22"/>
          <w:szCs w:val="22"/>
        </w:rPr>
        <w:t xml:space="preserve"> SC, which was recommended for PBS listing on a cost mini</w:t>
      </w:r>
      <w:r w:rsidR="0021220A">
        <w:rPr>
          <w:rFonts w:ascii="Arial" w:hAnsi="Arial"/>
          <w:sz w:val="22"/>
          <w:szCs w:val="22"/>
        </w:rPr>
        <w:t xml:space="preserve">misation basis to </w:t>
      </w:r>
      <w:proofErr w:type="spellStart"/>
      <w:r w:rsidR="0021220A">
        <w:rPr>
          <w:rFonts w:ascii="Arial" w:hAnsi="Arial"/>
          <w:sz w:val="22"/>
          <w:szCs w:val="22"/>
        </w:rPr>
        <w:t>etanercept</w:t>
      </w:r>
      <w:proofErr w:type="spellEnd"/>
      <w:r w:rsidR="0021220A">
        <w:rPr>
          <w:rFonts w:ascii="Arial" w:hAnsi="Arial"/>
          <w:sz w:val="22"/>
          <w:szCs w:val="22"/>
        </w:rPr>
        <w:t xml:space="preserve"> SC.</w:t>
      </w:r>
    </w:p>
    <w:p w:rsidR="00855020" w:rsidRPr="004C567C" w:rsidRDefault="00855020" w:rsidP="0021220A">
      <w:pPr>
        <w:jc w:val="both"/>
        <w:rPr>
          <w:rFonts w:ascii="Arial" w:hAnsi="Arial"/>
          <w:sz w:val="22"/>
          <w:szCs w:val="22"/>
        </w:rPr>
      </w:pPr>
    </w:p>
    <w:p w:rsidR="00D408CC" w:rsidRPr="004C567C" w:rsidRDefault="00D408CC" w:rsidP="0021220A">
      <w:pPr>
        <w:widowControl w:val="0"/>
        <w:ind w:left="709"/>
        <w:contextualSpacing/>
        <w:jc w:val="both"/>
        <w:rPr>
          <w:rFonts w:ascii="Arial" w:hAnsi="Arial" w:cs="Arial"/>
          <w:snapToGrid w:val="0"/>
          <w:sz w:val="22"/>
          <w:szCs w:val="22"/>
          <w:lang w:eastAsia="en-US"/>
        </w:rPr>
      </w:pPr>
      <w:r w:rsidRPr="0021220A">
        <w:rPr>
          <w:rFonts w:ascii="Arial" w:hAnsi="Arial" w:cs="Arial"/>
          <w:i/>
          <w:snapToGrid w:val="0"/>
          <w:sz w:val="22"/>
          <w:szCs w:val="22"/>
          <w:lang w:eastAsia="en-US"/>
        </w:rPr>
        <w:t>For more deta</w:t>
      </w:r>
      <w:r w:rsidR="00545DBC" w:rsidRPr="0021220A">
        <w:rPr>
          <w:rFonts w:ascii="Arial" w:hAnsi="Arial" w:cs="Arial"/>
          <w:i/>
          <w:snapToGrid w:val="0"/>
          <w:sz w:val="22"/>
          <w:szCs w:val="22"/>
          <w:lang w:eastAsia="en-US"/>
        </w:rPr>
        <w:t>il on PBAC’s view, see section 6</w:t>
      </w:r>
      <w:r w:rsidRPr="0021220A">
        <w:rPr>
          <w:rFonts w:ascii="Arial" w:hAnsi="Arial" w:cs="Arial"/>
          <w:i/>
          <w:snapToGrid w:val="0"/>
          <w:sz w:val="22"/>
          <w:szCs w:val="22"/>
          <w:lang w:eastAsia="en-US"/>
        </w:rPr>
        <w:t xml:space="preserve"> “PBAC outcome</w:t>
      </w:r>
      <w:r w:rsidRPr="004C567C">
        <w:rPr>
          <w:rFonts w:ascii="Arial" w:hAnsi="Arial" w:cs="Arial"/>
          <w:snapToGrid w:val="0"/>
          <w:sz w:val="22"/>
          <w:szCs w:val="22"/>
          <w:lang w:eastAsia="en-US"/>
        </w:rPr>
        <w:t>”</w:t>
      </w:r>
    </w:p>
    <w:p w:rsidR="00312883" w:rsidRPr="004C567C" w:rsidRDefault="00312883" w:rsidP="0021220A">
      <w:pPr>
        <w:jc w:val="both"/>
        <w:rPr>
          <w:rFonts w:ascii="Arial" w:hAnsi="Arial"/>
          <w:sz w:val="22"/>
          <w:szCs w:val="22"/>
        </w:rPr>
      </w:pPr>
    </w:p>
    <w:p w:rsidR="00472477" w:rsidRPr="004C567C" w:rsidRDefault="00472477" w:rsidP="0056681A">
      <w:pPr>
        <w:pStyle w:val="Heading1"/>
      </w:pPr>
      <w:r w:rsidRPr="004C567C">
        <w:t>Consideration of evidence</w:t>
      </w:r>
    </w:p>
    <w:p w:rsidR="00472477" w:rsidRPr="004C567C" w:rsidRDefault="00472477" w:rsidP="00472477">
      <w:pPr>
        <w:jc w:val="both"/>
        <w:rPr>
          <w:rFonts w:ascii="Arial" w:hAnsi="Arial"/>
          <w:b/>
          <w:sz w:val="22"/>
          <w:szCs w:val="22"/>
        </w:rPr>
      </w:pPr>
    </w:p>
    <w:p w:rsidR="00472477" w:rsidRPr="0056681A" w:rsidRDefault="00472477" w:rsidP="0056681A">
      <w:pPr>
        <w:pStyle w:val="Heading2"/>
      </w:pPr>
      <w:r w:rsidRPr="0056681A">
        <w:t>Sponsor hearing</w:t>
      </w:r>
    </w:p>
    <w:p w:rsidR="00472477" w:rsidRPr="004C567C" w:rsidRDefault="00472477" w:rsidP="00472477">
      <w:pPr>
        <w:jc w:val="both"/>
        <w:rPr>
          <w:rFonts w:ascii="Arial" w:hAnsi="Arial"/>
          <w:b/>
          <w:sz w:val="22"/>
          <w:szCs w:val="22"/>
        </w:rPr>
      </w:pPr>
    </w:p>
    <w:p w:rsidR="00472477" w:rsidRPr="004C567C" w:rsidRDefault="00472477" w:rsidP="00472477">
      <w:pPr>
        <w:pStyle w:val="ListParagraph"/>
        <w:numPr>
          <w:ilvl w:val="1"/>
          <w:numId w:val="5"/>
        </w:numPr>
        <w:jc w:val="both"/>
        <w:rPr>
          <w:rFonts w:ascii="Arial" w:hAnsi="Arial"/>
          <w:sz w:val="22"/>
          <w:szCs w:val="22"/>
        </w:rPr>
      </w:pPr>
      <w:r w:rsidRPr="004C567C">
        <w:rPr>
          <w:rFonts w:ascii="Arial" w:hAnsi="Arial"/>
          <w:sz w:val="22"/>
          <w:szCs w:val="22"/>
        </w:rPr>
        <w:t>There was no hearing for this item as it was a minor submission.</w:t>
      </w:r>
    </w:p>
    <w:p w:rsidR="00472477" w:rsidRPr="004C567C" w:rsidRDefault="00472477" w:rsidP="00472477">
      <w:pPr>
        <w:jc w:val="both"/>
        <w:rPr>
          <w:rFonts w:ascii="Arial" w:hAnsi="Arial"/>
          <w:sz w:val="22"/>
          <w:szCs w:val="22"/>
        </w:rPr>
      </w:pPr>
    </w:p>
    <w:p w:rsidR="00472477" w:rsidRPr="004C567C" w:rsidRDefault="00472477" w:rsidP="0056681A">
      <w:pPr>
        <w:pStyle w:val="Heading2"/>
      </w:pPr>
      <w:r w:rsidRPr="004C567C">
        <w:t>Consumer comments</w:t>
      </w:r>
    </w:p>
    <w:p w:rsidR="00472477" w:rsidRPr="004C567C" w:rsidRDefault="00472477" w:rsidP="00472477">
      <w:pPr>
        <w:jc w:val="both"/>
        <w:rPr>
          <w:rFonts w:ascii="Arial" w:hAnsi="Arial"/>
          <w:b/>
          <w:sz w:val="22"/>
          <w:szCs w:val="22"/>
        </w:rPr>
      </w:pPr>
    </w:p>
    <w:p w:rsidR="00472477" w:rsidRPr="004C567C" w:rsidRDefault="00472477" w:rsidP="00472477">
      <w:pPr>
        <w:pStyle w:val="ListParagraph"/>
        <w:numPr>
          <w:ilvl w:val="1"/>
          <w:numId w:val="5"/>
        </w:numPr>
        <w:jc w:val="both"/>
        <w:rPr>
          <w:rFonts w:ascii="Arial" w:hAnsi="Arial"/>
          <w:sz w:val="22"/>
          <w:szCs w:val="22"/>
        </w:rPr>
      </w:pPr>
      <w:r w:rsidRPr="004C567C">
        <w:rPr>
          <w:rFonts w:ascii="Arial" w:hAnsi="Arial"/>
          <w:sz w:val="22"/>
          <w:szCs w:val="22"/>
        </w:rPr>
        <w:t>The PBAC noted that no consumer comments were received for this item.</w:t>
      </w:r>
    </w:p>
    <w:p w:rsidR="00472477" w:rsidRPr="004C567C" w:rsidRDefault="00472477" w:rsidP="00472477">
      <w:pPr>
        <w:jc w:val="both"/>
        <w:rPr>
          <w:rFonts w:ascii="Arial" w:hAnsi="Arial"/>
          <w:b/>
          <w:sz w:val="22"/>
          <w:szCs w:val="22"/>
        </w:rPr>
      </w:pPr>
    </w:p>
    <w:p w:rsidR="00855020" w:rsidRPr="004C567C" w:rsidRDefault="00855020" w:rsidP="0056681A">
      <w:pPr>
        <w:pStyle w:val="Heading2"/>
      </w:pPr>
      <w:r w:rsidRPr="004C567C">
        <w:t>Clinical trials</w:t>
      </w:r>
    </w:p>
    <w:p w:rsidR="00C66B0D" w:rsidRPr="004C567C" w:rsidRDefault="00C66B0D" w:rsidP="00C66B0D">
      <w:pPr>
        <w:pStyle w:val="ListParagraph"/>
        <w:jc w:val="both"/>
        <w:rPr>
          <w:rFonts w:ascii="Arial" w:hAnsi="Arial"/>
          <w:b/>
          <w:sz w:val="22"/>
          <w:szCs w:val="22"/>
        </w:rPr>
      </w:pPr>
    </w:p>
    <w:p w:rsidR="006D6A2D" w:rsidRPr="004C567C" w:rsidRDefault="008003C9" w:rsidP="008003C9">
      <w:pPr>
        <w:pStyle w:val="ListParagraph"/>
        <w:numPr>
          <w:ilvl w:val="1"/>
          <w:numId w:val="5"/>
        </w:numPr>
        <w:jc w:val="both"/>
        <w:rPr>
          <w:rFonts w:ascii="Arial" w:hAnsi="Arial"/>
          <w:sz w:val="22"/>
          <w:szCs w:val="22"/>
        </w:rPr>
      </w:pPr>
      <w:r w:rsidRPr="004C567C">
        <w:rPr>
          <w:rFonts w:ascii="Arial" w:hAnsi="Arial"/>
          <w:sz w:val="22"/>
          <w:szCs w:val="22"/>
        </w:rPr>
        <w:t xml:space="preserve">The minor submission presented the results of one pivotal trial, SUMMACTA. The SUMMACTA trial was a randomised, double-blind, parallel group trial of the safety and effect on clinical outcome of </w:t>
      </w:r>
      <w:proofErr w:type="spellStart"/>
      <w:r w:rsidRPr="004C567C">
        <w:rPr>
          <w:rFonts w:ascii="Arial" w:hAnsi="Arial"/>
          <w:sz w:val="22"/>
          <w:szCs w:val="22"/>
        </w:rPr>
        <w:t>tocilizumab</w:t>
      </w:r>
      <w:proofErr w:type="spellEnd"/>
      <w:r w:rsidRPr="004C567C">
        <w:rPr>
          <w:rFonts w:ascii="Arial" w:hAnsi="Arial"/>
          <w:sz w:val="22"/>
          <w:szCs w:val="22"/>
        </w:rPr>
        <w:t xml:space="preserve"> SC versus </w:t>
      </w:r>
      <w:proofErr w:type="spellStart"/>
      <w:r w:rsidRPr="004C567C">
        <w:rPr>
          <w:rFonts w:ascii="Arial" w:hAnsi="Arial"/>
          <w:sz w:val="22"/>
          <w:szCs w:val="22"/>
        </w:rPr>
        <w:t>tocilizumab</w:t>
      </w:r>
      <w:proofErr w:type="spellEnd"/>
      <w:r w:rsidRPr="004C567C">
        <w:rPr>
          <w:rFonts w:ascii="Arial" w:hAnsi="Arial"/>
          <w:sz w:val="22"/>
          <w:szCs w:val="22"/>
        </w:rPr>
        <w:t xml:space="preserve"> IV, in combination with MTX, in patients with moderate to severe active RA who had an inadequate clinical response to MTX.</w:t>
      </w:r>
    </w:p>
    <w:p w:rsidR="003027CD" w:rsidRPr="004C567C" w:rsidRDefault="003027CD" w:rsidP="007478DC">
      <w:pPr>
        <w:pStyle w:val="ListParagraph"/>
        <w:jc w:val="both"/>
        <w:rPr>
          <w:rFonts w:ascii="Arial" w:hAnsi="Arial"/>
          <w:sz w:val="22"/>
          <w:szCs w:val="22"/>
        </w:rPr>
      </w:pPr>
    </w:p>
    <w:p w:rsidR="008003C9" w:rsidRPr="004C567C" w:rsidRDefault="003027CD" w:rsidP="008003C9">
      <w:pPr>
        <w:pStyle w:val="ListParagraph"/>
        <w:jc w:val="both"/>
        <w:rPr>
          <w:rFonts w:ascii="Arial" w:hAnsi="Arial"/>
          <w:sz w:val="22"/>
          <w:szCs w:val="22"/>
        </w:rPr>
      </w:pPr>
      <w:r w:rsidRPr="004C567C">
        <w:rPr>
          <w:rFonts w:ascii="Arial" w:hAnsi="Arial"/>
          <w:sz w:val="22"/>
          <w:szCs w:val="22"/>
        </w:rPr>
        <w:t>The primary objectives of the trial were to compare</w:t>
      </w:r>
      <w:r w:rsidR="008003C9" w:rsidRPr="004C567C">
        <w:rPr>
          <w:rFonts w:ascii="Arial" w:hAnsi="Arial"/>
          <w:sz w:val="22"/>
          <w:szCs w:val="22"/>
        </w:rPr>
        <w:t>:</w:t>
      </w:r>
    </w:p>
    <w:p w:rsidR="008003C9" w:rsidRPr="004C567C" w:rsidRDefault="008003C9" w:rsidP="002E6587">
      <w:pPr>
        <w:pStyle w:val="ListParagraph"/>
        <w:ind w:left="1440" w:hanging="720"/>
        <w:jc w:val="both"/>
        <w:rPr>
          <w:rFonts w:ascii="Arial" w:hAnsi="Arial"/>
          <w:sz w:val="22"/>
          <w:szCs w:val="22"/>
        </w:rPr>
      </w:pPr>
      <w:r w:rsidRPr="004C567C">
        <w:rPr>
          <w:rFonts w:ascii="Arial" w:hAnsi="Arial"/>
          <w:sz w:val="22"/>
          <w:szCs w:val="22"/>
        </w:rPr>
        <w:t>•</w:t>
      </w:r>
      <w:r w:rsidRPr="004C567C">
        <w:rPr>
          <w:rFonts w:ascii="Arial" w:hAnsi="Arial"/>
          <w:sz w:val="22"/>
          <w:szCs w:val="22"/>
        </w:rPr>
        <w:tab/>
        <w:t xml:space="preserve">The efficacy of treatment with 162 mg </w:t>
      </w:r>
      <w:proofErr w:type="spellStart"/>
      <w:r w:rsidRPr="004C567C">
        <w:rPr>
          <w:rFonts w:ascii="Arial" w:hAnsi="Arial"/>
          <w:sz w:val="22"/>
          <w:szCs w:val="22"/>
        </w:rPr>
        <w:t>tocilizumab</w:t>
      </w:r>
      <w:proofErr w:type="spellEnd"/>
      <w:r w:rsidRPr="004C567C">
        <w:rPr>
          <w:rFonts w:ascii="Arial" w:hAnsi="Arial"/>
          <w:sz w:val="22"/>
          <w:szCs w:val="22"/>
        </w:rPr>
        <w:t xml:space="preserve"> given SC weekly versus 8 mg/kg </w:t>
      </w:r>
      <w:proofErr w:type="spellStart"/>
      <w:r w:rsidRPr="004C567C">
        <w:rPr>
          <w:rFonts w:ascii="Arial" w:hAnsi="Arial"/>
          <w:sz w:val="22"/>
          <w:szCs w:val="22"/>
        </w:rPr>
        <w:t>tocilizumab</w:t>
      </w:r>
      <w:proofErr w:type="spellEnd"/>
      <w:r w:rsidRPr="004C567C">
        <w:rPr>
          <w:rFonts w:ascii="Arial" w:hAnsi="Arial"/>
          <w:sz w:val="22"/>
          <w:szCs w:val="22"/>
        </w:rPr>
        <w:t xml:space="preserve"> given IV every 4 weeks with regard to non-inferiority of the proportion of patients who achieved ACR20 response at Week 24.</w:t>
      </w:r>
    </w:p>
    <w:p w:rsidR="008003C9" w:rsidRPr="004C567C" w:rsidRDefault="008003C9" w:rsidP="002E6587">
      <w:pPr>
        <w:pStyle w:val="ListParagraph"/>
        <w:ind w:left="1440" w:hanging="720"/>
        <w:jc w:val="both"/>
        <w:rPr>
          <w:rFonts w:ascii="Arial" w:hAnsi="Arial"/>
          <w:sz w:val="22"/>
          <w:szCs w:val="22"/>
        </w:rPr>
      </w:pPr>
      <w:r w:rsidRPr="004C567C">
        <w:rPr>
          <w:rFonts w:ascii="Arial" w:hAnsi="Arial"/>
          <w:sz w:val="22"/>
          <w:szCs w:val="22"/>
        </w:rPr>
        <w:t>•</w:t>
      </w:r>
      <w:r w:rsidRPr="004C567C">
        <w:rPr>
          <w:rFonts w:ascii="Arial" w:hAnsi="Arial"/>
          <w:sz w:val="22"/>
          <w:szCs w:val="22"/>
        </w:rPr>
        <w:tab/>
        <w:t xml:space="preserve">The safety of treatment with 162 mg </w:t>
      </w:r>
      <w:proofErr w:type="spellStart"/>
      <w:r w:rsidRPr="004C567C">
        <w:rPr>
          <w:rFonts w:ascii="Arial" w:hAnsi="Arial"/>
          <w:sz w:val="22"/>
          <w:szCs w:val="22"/>
        </w:rPr>
        <w:t>tocilizumab</w:t>
      </w:r>
      <w:proofErr w:type="spellEnd"/>
      <w:r w:rsidRPr="004C567C">
        <w:rPr>
          <w:rFonts w:ascii="Arial" w:hAnsi="Arial"/>
          <w:sz w:val="22"/>
          <w:szCs w:val="22"/>
        </w:rPr>
        <w:t xml:space="preserve"> given SC weekly versus 8 mg/kg </w:t>
      </w:r>
      <w:proofErr w:type="spellStart"/>
      <w:r w:rsidRPr="004C567C">
        <w:rPr>
          <w:rFonts w:ascii="Arial" w:hAnsi="Arial"/>
          <w:sz w:val="22"/>
          <w:szCs w:val="22"/>
        </w:rPr>
        <w:t>tocilizumab</w:t>
      </w:r>
      <w:proofErr w:type="spellEnd"/>
      <w:r w:rsidRPr="004C567C">
        <w:rPr>
          <w:rFonts w:ascii="Arial" w:hAnsi="Arial"/>
          <w:sz w:val="22"/>
          <w:szCs w:val="22"/>
        </w:rPr>
        <w:t xml:space="preserve"> given IV every 4 weeks, with regard to AEs and laboratory assessments.</w:t>
      </w:r>
    </w:p>
    <w:p w:rsidR="008003C9" w:rsidRPr="004C567C" w:rsidRDefault="008003C9" w:rsidP="008003C9">
      <w:pPr>
        <w:pStyle w:val="ListParagraph"/>
        <w:jc w:val="both"/>
        <w:rPr>
          <w:rFonts w:ascii="Arial" w:hAnsi="Arial"/>
          <w:sz w:val="22"/>
          <w:szCs w:val="22"/>
        </w:rPr>
      </w:pPr>
    </w:p>
    <w:p w:rsidR="008003C9" w:rsidRPr="004C567C" w:rsidRDefault="003027CD" w:rsidP="008003C9">
      <w:pPr>
        <w:pStyle w:val="ListParagraph"/>
        <w:jc w:val="both"/>
        <w:rPr>
          <w:rFonts w:ascii="Arial" w:hAnsi="Arial"/>
          <w:sz w:val="22"/>
          <w:szCs w:val="22"/>
        </w:rPr>
      </w:pPr>
      <w:r w:rsidRPr="004C567C">
        <w:rPr>
          <w:rFonts w:ascii="Arial" w:hAnsi="Arial"/>
          <w:sz w:val="22"/>
          <w:szCs w:val="22"/>
        </w:rPr>
        <w:t>The s</w:t>
      </w:r>
      <w:r w:rsidR="008003C9" w:rsidRPr="004C567C">
        <w:rPr>
          <w:rFonts w:ascii="Arial" w:hAnsi="Arial"/>
          <w:sz w:val="22"/>
          <w:szCs w:val="22"/>
        </w:rPr>
        <w:t>econdary objectives</w:t>
      </w:r>
      <w:r w:rsidRPr="004C567C">
        <w:rPr>
          <w:rFonts w:ascii="Arial" w:hAnsi="Arial"/>
          <w:sz w:val="22"/>
          <w:szCs w:val="22"/>
        </w:rPr>
        <w:t xml:space="preserve"> were to evaluate and compare</w:t>
      </w:r>
      <w:r w:rsidRPr="004C567C">
        <w:t xml:space="preserve"> </w:t>
      </w:r>
      <w:r w:rsidRPr="004C567C">
        <w:rPr>
          <w:rFonts w:ascii="Arial" w:hAnsi="Arial"/>
          <w:sz w:val="22"/>
          <w:szCs w:val="22"/>
        </w:rPr>
        <w:t>additional efficacy indicators from the two arms including</w:t>
      </w:r>
      <w:r w:rsidR="008003C9" w:rsidRPr="004C567C">
        <w:rPr>
          <w:rFonts w:ascii="Arial" w:hAnsi="Arial"/>
          <w:sz w:val="22"/>
          <w:szCs w:val="22"/>
        </w:rPr>
        <w:t>:</w:t>
      </w:r>
    </w:p>
    <w:p w:rsidR="008003C9" w:rsidRPr="004C567C" w:rsidRDefault="008003C9" w:rsidP="008003C9">
      <w:pPr>
        <w:pStyle w:val="ListParagraph"/>
        <w:jc w:val="both"/>
        <w:rPr>
          <w:rFonts w:ascii="Arial" w:hAnsi="Arial"/>
          <w:sz w:val="22"/>
          <w:szCs w:val="22"/>
        </w:rPr>
      </w:pPr>
      <w:r w:rsidRPr="004C567C">
        <w:rPr>
          <w:rFonts w:ascii="Arial" w:hAnsi="Arial"/>
          <w:sz w:val="22"/>
          <w:szCs w:val="22"/>
        </w:rPr>
        <w:t>•</w:t>
      </w:r>
      <w:r w:rsidRPr="004C567C">
        <w:rPr>
          <w:rFonts w:ascii="Arial" w:hAnsi="Arial"/>
          <w:sz w:val="22"/>
          <w:szCs w:val="22"/>
        </w:rPr>
        <w:tab/>
        <w:t>Long-term safety and efficacy.</w:t>
      </w:r>
    </w:p>
    <w:p w:rsidR="008003C9" w:rsidRPr="004C567C" w:rsidRDefault="008003C9" w:rsidP="002E6587">
      <w:pPr>
        <w:pStyle w:val="ListParagraph"/>
        <w:ind w:left="1440" w:hanging="720"/>
        <w:jc w:val="both"/>
        <w:rPr>
          <w:rFonts w:ascii="Arial" w:hAnsi="Arial"/>
          <w:sz w:val="22"/>
          <w:szCs w:val="22"/>
        </w:rPr>
      </w:pPr>
      <w:r w:rsidRPr="004C567C">
        <w:rPr>
          <w:rFonts w:ascii="Arial" w:hAnsi="Arial"/>
          <w:sz w:val="22"/>
          <w:szCs w:val="22"/>
        </w:rPr>
        <w:t>•</w:t>
      </w:r>
      <w:r w:rsidRPr="004C567C">
        <w:rPr>
          <w:rFonts w:ascii="Arial" w:hAnsi="Arial"/>
          <w:sz w:val="22"/>
          <w:szCs w:val="22"/>
        </w:rPr>
        <w:tab/>
        <w:t xml:space="preserve">Pharmacokinetics and pharmacodynamics of </w:t>
      </w:r>
      <w:proofErr w:type="spellStart"/>
      <w:r w:rsidRPr="004C567C">
        <w:rPr>
          <w:rFonts w:ascii="Arial" w:hAnsi="Arial"/>
          <w:sz w:val="22"/>
          <w:szCs w:val="22"/>
        </w:rPr>
        <w:t>tocilizumab</w:t>
      </w:r>
      <w:proofErr w:type="spellEnd"/>
      <w:r w:rsidRPr="004C567C">
        <w:rPr>
          <w:rFonts w:ascii="Arial" w:hAnsi="Arial"/>
          <w:sz w:val="22"/>
          <w:szCs w:val="22"/>
        </w:rPr>
        <w:t xml:space="preserve"> following SC administration.</w:t>
      </w:r>
    </w:p>
    <w:p w:rsidR="008003C9" w:rsidRPr="004C567C" w:rsidRDefault="008003C9" w:rsidP="008003C9">
      <w:pPr>
        <w:pStyle w:val="ListParagraph"/>
        <w:jc w:val="both"/>
        <w:rPr>
          <w:rFonts w:ascii="Arial" w:hAnsi="Arial"/>
          <w:sz w:val="22"/>
          <w:szCs w:val="22"/>
        </w:rPr>
      </w:pPr>
      <w:r w:rsidRPr="004C567C">
        <w:rPr>
          <w:rFonts w:ascii="Arial" w:hAnsi="Arial"/>
          <w:sz w:val="22"/>
          <w:szCs w:val="22"/>
        </w:rPr>
        <w:t>•</w:t>
      </w:r>
      <w:r w:rsidRPr="004C567C">
        <w:rPr>
          <w:rFonts w:ascii="Arial" w:hAnsi="Arial"/>
          <w:sz w:val="22"/>
          <w:szCs w:val="22"/>
        </w:rPr>
        <w:tab/>
        <w:t xml:space="preserve">Immunogenicity of </w:t>
      </w:r>
      <w:proofErr w:type="spellStart"/>
      <w:r w:rsidRPr="004C567C">
        <w:rPr>
          <w:rFonts w:ascii="Arial" w:hAnsi="Arial"/>
          <w:sz w:val="22"/>
          <w:szCs w:val="22"/>
        </w:rPr>
        <w:t>tocilizumab</w:t>
      </w:r>
      <w:proofErr w:type="spellEnd"/>
      <w:r w:rsidRPr="004C567C">
        <w:rPr>
          <w:rFonts w:ascii="Arial" w:hAnsi="Arial"/>
          <w:sz w:val="22"/>
          <w:szCs w:val="22"/>
        </w:rPr>
        <w:t xml:space="preserve"> following SC administration.</w:t>
      </w:r>
    </w:p>
    <w:p w:rsidR="006D6A2D" w:rsidRPr="004C567C" w:rsidRDefault="008003C9" w:rsidP="008003C9">
      <w:pPr>
        <w:pStyle w:val="ListParagraph"/>
        <w:jc w:val="both"/>
        <w:rPr>
          <w:rFonts w:ascii="Arial" w:hAnsi="Arial"/>
          <w:sz w:val="22"/>
          <w:szCs w:val="22"/>
        </w:rPr>
      </w:pPr>
      <w:r w:rsidRPr="004C567C">
        <w:rPr>
          <w:rFonts w:ascii="Arial" w:hAnsi="Arial"/>
          <w:sz w:val="22"/>
          <w:szCs w:val="22"/>
        </w:rPr>
        <w:t>•</w:t>
      </w:r>
      <w:r w:rsidRPr="004C567C">
        <w:rPr>
          <w:rFonts w:ascii="Arial" w:hAnsi="Arial"/>
          <w:sz w:val="22"/>
          <w:szCs w:val="22"/>
        </w:rPr>
        <w:tab/>
        <w:t xml:space="preserve">Effect of IV to SC switch on the safety, efficacy, pharmacokinetics, and </w:t>
      </w:r>
      <w:r w:rsidR="002E6587" w:rsidRPr="004C567C">
        <w:rPr>
          <w:rFonts w:ascii="Arial" w:hAnsi="Arial"/>
          <w:sz w:val="22"/>
          <w:szCs w:val="22"/>
        </w:rPr>
        <w:tab/>
      </w:r>
      <w:r w:rsidRPr="004C567C">
        <w:rPr>
          <w:rFonts w:ascii="Arial" w:hAnsi="Arial"/>
          <w:sz w:val="22"/>
          <w:szCs w:val="22"/>
        </w:rPr>
        <w:t xml:space="preserve">pharmacodynamics of </w:t>
      </w:r>
      <w:proofErr w:type="spellStart"/>
      <w:r w:rsidRPr="004C567C">
        <w:rPr>
          <w:rFonts w:ascii="Arial" w:hAnsi="Arial"/>
          <w:sz w:val="22"/>
          <w:szCs w:val="22"/>
        </w:rPr>
        <w:t>tocilizumab</w:t>
      </w:r>
      <w:proofErr w:type="spellEnd"/>
      <w:r w:rsidRPr="004C567C">
        <w:rPr>
          <w:rFonts w:ascii="Arial" w:hAnsi="Arial"/>
          <w:sz w:val="22"/>
          <w:szCs w:val="22"/>
        </w:rPr>
        <w:t>.</w:t>
      </w:r>
    </w:p>
    <w:p w:rsidR="003027CD" w:rsidRPr="004C567C" w:rsidRDefault="003027CD" w:rsidP="008003C9">
      <w:pPr>
        <w:pStyle w:val="ListParagraph"/>
        <w:jc w:val="both"/>
        <w:rPr>
          <w:rFonts w:ascii="Arial" w:hAnsi="Arial"/>
          <w:sz w:val="22"/>
          <w:szCs w:val="22"/>
        </w:rPr>
      </w:pPr>
    </w:p>
    <w:p w:rsidR="003027CD" w:rsidRPr="004C567C" w:rsidRDefault="003027CD" w:rsidP="008003C9">
      <w:pPr>
        <w:pStyle w:val="ListParagraph"/>
        <w:jc w:val="both"/>
        <w:rPr>
          <w:rFonts w:ascii="Arial" w:hAnsi="Arial"/>
          <w:sz w:val="22"/>
          <w:szCs w:val="22"/>
        </w:rPr>
      </w:pPr>
      <w:r w:rsidRPr="004C567C">
        <w:rPr>
          <w:rFonts w:ascii="Arial" w:hAnsi="Arial"/>
          <w:sz w:val="22"/>
          <w:szCs w:val="22"/>
        </w:rPr>
        <w:t>The minor submission presented one direct randomised clinical trial (see Table 1).</w:t>
      </w:r>
    </w:p>
    <w:p w:rsidR="003027CD" w:rsidRPr="004C567C" w:rsidRDefault="003027CD" w:rsidP="008003C9">
      <w:pPr>
        <w:pStyle w:val="ListParagraph"/>
        <w:jc w:val="both"/>
        <w:rPr>
          <w:rFonts w:ascii="Arial" w:hAnsi="Arial"/>
          <w:sz w:val="22"/>
          <w:szCs w:val="22"/>
        </w:rPr>
      </w:pPr>
    </w:p>
    <w:p w:rsidR="003027CD" w:rsidRPr="004C567C" w:rsidRDefault="003027CD" w:rsidP="003027CD">
      <w:pPr>
        <w:keepNext/>
        <w:ind w:left="709"/>
        <w:jc w:val="both"/>
        <w:rPr>
          <w:rFonts w:ascii="Arial Narrow" w:hAnsi="Arial Narrow" w:cs="Arial"/>
          <w:b/>
          <w:snapToGrid w:val="0"/>
          <w:sz w:val="20"/>
          <w:szCs w:val="20"/>
          <w:lang w:eastAsia="en-US"/>
        </w:rPr>
      </w:pPr>
      <w:r w:rsidRPr="004C567C">
        <w:rPr>
          <w:rFonts w:ascii="Arial Narrow" w:hAnsi="Arial Narrow" w:cs="Arial"/>
          <w:b/>
          <w:snapToGrid w:val="0"/>
          <w:sz w:val="20"/>
          <w:szCs w:val="20"/>
          <w:lang w:eastAsia="en-US"/>
        </w:rPr>
        <w:lastRenderedPageBreak/>
        <w:t>Table 1: Trials and associated reports presented in the submission</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4818"/>
        <w:gridCol w:w="2550"/>
      </w:tblGrid>
      <w:tr w:rsidR="003027CD" w:rsidRPr="004C567C" w:rsidTr="00314E9D">
        <w:trPr>
          <w:cantSplit/>
          <w:trHeight w:val="113"/>
          <w:tblHeader/>
        </w:trPr>
        <w:tc>
          <w:tcPr>
            <w:tcW w:w="992" w:type="dxa"/>
            <w:tcMar>
              <w:left w:w="28" w:type="dxa"/>
              <w:right w:w="28" w:type="dxa"/>
            </w:tcMar>
            <w:vAlign w:val="center"/>
          </w:tcPr>
          <w:p w:rsidR="003027CD" w:rsidRPr="004C567C" w:rsidRDefault="003027CD" w:rsidP="003027CD">
            <w:pPr>
              <w:keepNext/>
              <w:jc w:val="both"/>
              <w:rPr>
                <w:rFonts w:ascii="Arial Narrow" w:hAnsi="Arial Narrow" w:cs="Arial"/>
                <w:b/>
                <w:snapToGrid w:val="0"/>
                <w:sz w:val="20"/>
                <w:szCs w:val="20"/>
                <w:lang w:eastAsia="en-US"/>
              </w:rPr>
            </w:pPr>
            <w:r w:rsidRPr="004C567C">
              <w:rPr>
                <w:rFonts w:ascii="Arial Narrow" w:hAnsi="Arial Narrow" w:cs="Arial"/>
                <w:b/>
                <w:snapToGrid w:val="0"/>
                <w:sz w:val="20"/>
                <w:szCs w:val="20"/>
                <w:lang w:eastAsia="en-US"/>
              </w:rPr>
              <w:t>Trial ID</w:t>
            </w:r>
          </w:p>
        </w:tc>
        <w:tc>
          <w:tcPr>
            <w:tcW w:w="4820" w:type="dxa"/>
            <w:tcMar>
              <w:left w:w="28" w:type="dxa"/>
              <w:right w:w="28" w:type="dxa"/>
            </w:tcMar>
            <w:vAlign w:val="center"/>
          </w:tcPr>
          <w:p w:rsidR="003027CD" w:rsidRPr="004C567C" w:rsidRDefault="003027CD" w:rsidP="003027CD">
            <w:pPr>
              <w:keepNext/>
              <w:jc w:val="center"/>
              <w:rPr>
                <w:rFonts w:ascii="Arial Narrow" w:hAnsi="Arial Narrow" w:cs="Arial"/>
                <w:b/>
                <w:snapToGrid w:val="0"/>
                <w:sz w:val="20"/>
                <w:szCs w:val="20"/>
                <w:lang w:eastAsia="en-US"/>
              </w:rPr>
            </w:pPr>
            <w:r w:rsidRPr="004C567C">
              <w:rPr>
                <w:rFonts w:ascii="Arial Narrow" w:hAnsi="Arial Narrow" w:cs="Arial"/>
                <w:b/>
                <w:snapToGrid w:val="0"/>
                <w:sz w:val="20"/>
                <w:szCs w:val="20"/>
                <w:lang w:eastAsia="en-US"/>
              </w:rPr>
              <w:t>Protocol title/ Publication title</w:t>
            </w:r>
          </w:p>
        </w:tc>
        <w:tc>
          <w:tcPr>
            <w:tcW w:w="2551" w:type="dxa"/>
            <w:tcMar>
              <w:left w:w="28" w:type="dxa"/>
              <w:right w:w="28" w:type="dxa"/>
            </w:tcMar>
            <w:vAlign w:val="center"/>
          </w:tcPr>
          <w:p w:rsidR="003027CD" w:rsidRPr="004C567C" w:rsidRDefault="003027CD" w:rsidP="003027CD">
            <w:pPr>
              <w:keepNext/>
              <w:jc w:val="both"/>
              <w:rPr>
                <w:rFonts w:ascii="Arial Narrow" w:hAnsi="Arial Narrow" w:cs="Arial"/>
                <w:b/>
                <w:snapToGrid w:val="0"/>
                <w:sz w:val="20"/>
                <w:szCs w:val="20"/>
                <w:lang w:eastAsia="en-US"/>
              </w:rPr>
            </w:pPr>
            <w:r w:rsidRPr="004C567C">
              <w:rPr>
                <w:rFonts w:ascii="Arial Narrow" w:hAnsi="Arial Narrow" w:cs="Arial"/>
                <w:b/>
                <w:snapToGrid w:val="0"/>
                <w:sz w:val="20"/>
                <w:szCs w:val="20"/>
                <w:lang w:eastAsia="en-US"/>
              </w:rPr>
              <w:t>Publication citation</w:t>
            </w:r>
          </w:p>
        </w:tc>
      </w:tr>
      <w:tr w:rsidR="003027CD" w:rsidRPr="004C567C" w:rsidTr="00314E9D">
        <w:trPr>
          <w:cantSplit/>
          <w:trHeight w:val="113"/>
        </w:trPr>
        <w:tc>
          <w:tcPr>
            <w:tcW w:w="8363" w:type="dxa"/>
            <w:gridSpan w:val="3"/>
            <w:tcMar>
              <w:left w:w="28" w:type="dxa"/>
              <w:right w:w="28" w:type="dxa"/>
            </w:tcMar>
            <w:vAlign w:val="center"/>
          </w:tcPr>
          <w:p w:rsidR="003027CD" w:rsidRPr="004C567C" w:rsidRDefault="003027CD" w:rsidP="003027CD">
            <w:pPr>
              <w:keepNext/>
              <w:jc w:val="both"/>
              <w:rPr>
                <w:rFonts w:ascii="Arial Narrow" w:hAnsi="Arial Narrow" w:cs="Arial"/>
                <w:b/>
                <w:snapToGrid w:val="0"/>
                <w:sz w:val="20"/>
                <w:szCs w:val="20"/>
                <w:lang w:eastAsia="en-US"/>
              </w:rPr>
            </w:pPr>
            <w:r w:rsidRPr="004C567C">
              <w:rPr>
                <w:rFonts w:ascii="Arial Narrow" w:hAnsi="Arial Narrow" w:cs="Arial"/>
                <w:b/>
                <w:snapToGrid w:val="0"/>
                <w:sz w:val="20"/>
                <w:szCs w:val="20"/>
                <w:lang w:eastAsia="en-US"/>
              </w:rPr>
              <w:t>Direct randomised trials</w:t>
            </w:r>
          </w:p>
        </w:tc>
      </w:tr>
      <w:tr w:rsidR="003027CD" w:rsidRPr="004C567C" w:rsidTr="00314E9D">
        <w:trPr>
          <w:cantSplit/>
          <w:trHeight w:val="113"/>
        </w:trPr>
        <w:tc>
          <w:tcPr>
            <w:tcW w:w="992" w:type="dxa"/>
            <w:tcMar>
              <w:left w:w="28" w:type="dxa"/>
              <w:right w:w="28" w:type="dxa"/>
            </w:tcMar>
            <w:vAlign w:val="center"/>
          </w:tcPr>
          <w:p w:rsidR="003027CD" w:rsidRPr="004C567C" w:rsidRDefault="003027CD" w:rsidP="003027CD">
            <w:pPr>
              <w:keepNext/>
              <w:jc w:val="both"/>
              <w:rPr>
                <w:rFonts w:ascii="Arial Narrow" w:hAnsi="Arial Narrow" w:cs="Arial"/>
                <w:snapToGrid w:val="0"/>
                <w:sz w:val="20"/>
                <w:szCs w:val="20"/>
                <w:lang w:eastAsia="en-US"/>
              </w:rPr>
            </w:pPr>
            <w:r w:rsidRPr="004C567C">
              <w:rPr>
                <w:rFonts w:ascii="Arial Narrow" w:hAnsi="Arial Narrow" w:cs="Arial"/>
                <w:snapToGrid w:val="0"/>
                <w:sz w:val="20"/>
                <w:szCs w:val="20"/>
                <w:lang w:eastAsia="en-US"/>
              </w:rPr>
              <w:t>SUMMACTA</w:t>
            </w:r>
          </w:p>
          <w:p w:rsidR="003027CD" w:rsidRPr="004C567C" w:rsidRDefault="003027CD" w:rsidP="003027CD">
            <w:pPr>
              <w:keepNext/>
              <w:jc w:val="both"/>
              <w:rPr>
                <w:rFonts w:ascii="Arial Narrow" w:hAnsi="Arial Narrow" w:cs="Arial"/>
                <w:b/>
                <w:snapToGrid w:val="0"/>
                <w:sz w:val="20"/>
                <w:szCs w:val="20"/>
                <w:lang w:eastAsia="en-US"/>
              </w:rPr>
            </w:pPr>
            <w:r w:rsidRPr="004C567C">
              <w:rPr>
                <w:rFonts w:ascii="Arial Narrow" w:hAnsi="Arial Narrow" w:cs="Arial"/>
                <w:snapToGrid w:val="0"/>
                <w:sz w:val="20"/>
                <w:szCs w:val="20"/>
                <w:lang w:eastAsia="en-US"/>
              </w:rPr>
              <w:t>(WA22762)</w:t>
            </w:r>
          </w:p>
        </w:tc>
        <w:tc>
          <w:tcPr>
            <w:tcW w:w="4820" w:type="dxa"/>
            <w:tcMar>
              <w:left w:w="28" w:type="dxa"/>
              <w:right w:w="28" w:type="dxa"/>
            </w:tcMar>
            <w:vAlign w:val="center"/>
          </w:tcPr>
          <w:p w:rsidR="003027CD" w:rsidRPr="004C567C" w:rsidRDefault="003027CD" w:rsidP="003027CD">
            <w:pPr>
              <w:keepNext/>
              <w:jc w:val="both"/>
              <w:rPr>
                <w:rFonts w:ascii="Arial Narrow" w:hAnsi="Arial Narrow" w:cs="Arial"/>
                <w:snapToGrid w:val="0"/>
                <w:sz w:val="20"/>
                <w:szCs w:val="20"/>
                <w:lang w:eastAsia="en-US"/>
              </w:rPr>
            </w:pPr>
          </w:p>
          <w:p w:rsidR="003027CD" w:rsidRPr="004C567C" w:rsidRDefault="003027CD" w:rsidP="00C90A4D">
            <w:pPr>
              <w:keepNext/>
              <w:jc w:val="both"/>
              <w:rPr>
                <w:rFonts w:ascii="Arial Narrow" w:hAnsi="Arial Narrow" w:cs="Arial"/>
                <w:snapToGrid w:val="0"/>
                <w:sz w:val="20"/>
                <w:szCs w:val="20"/>
                <w:lang w:eastAsia="en-US"/>
              </w:rPr>
            </w:pPr>
            <w:r w:rsidRPr="004C567C">
              <w:rPr>
                <w:rFonts w:ascii="Arial Narrow" w:hAnsi="Arial Narrow" w:cs="Arial"/>
                <w:snapToGrid w:val="0"/>
                <w:sz w:val="20"/>
                <w:szCs w:val="20"/>
                <w:lang w:eastAsia="en-US"/>
              </w:rPr>
              <w:t xml:space="preserve">SUMMACTA Synopsis </w:t>
            </w:r>
            <w:r w:rsidR="00C90A4D" w:rsidRPr="004C567C">
              <w:rPr>
                <w:rFonts w:ascii="Arial Narrow" w:hAnsi="Arial Narrow" w:cs="Arial"/>
                <w:snapToGrid w:val="0"/>
                <w:sz w:val="20"/>
                <w:szCs w:val="20"/>
                <w:lang w:eastAsia="en-US"/>
              </w:rPr>
              <w:t>(PROTOCOL WA22762)</w:t>
            </w:r>
            <w:r w:rsidRPr="004C567C">
              <w:rPr>
                <w:rFonts w:ascii="Arial Narrow" w:hAnsi="Arial Narrow" w:cs="Arial"/>
                <w:snapToGrid w:val="0"/>
                <w:sz w:val="20"/>
                <w:szCs w:val="20"/>
                <w:lang w:eastAsia="en-US"/>
              </w:rPr>
              <w:t xml:space="preserve">. A Randomized, Double-Blind, Parallel Group Study of the Safety and Effect on Clinical Outcome of </w:t>
            </w:r>
            <w:proofErr w:type="spellStart"/>
            <w:r w:rsidRPr="004C567C">
              <w:rPr>
                <w:rFonts w:ascii="Arial Narrow" w:hAnsi="Arial Narrow" w:cs="Arial"/>
                <w:snapToGrid w:val="0"/>
                <w:sz w:val="20"/>
                <w:szCs w:val="20"/>
                <w:lang w:eastAsia="en-US"/>
              </w:rPr>
              <w:t>Tocilizumab</w:t>
            </w:r>
            <w:proofErr w:type="spellEnd"/>
            <w:r w:rsidRPr="004C567C">
              <w:rPr>
                <w:rFonts w:ascii="Arial Narrow" w:hAnsi="Arial Narrow" w:cs="Arial"/>
                <w:snapToGrid w:val="0"/>
                <w:sz w:val="20"/>
                <w:szCs w:val="20"/>
                <w:lang w:eastAsia="en-US"/>
              </w:rPr>
              <w:t xml:space="preserve"> SC versus </w:t>
            </w:r>
            <w:proofErr w:type="spellStart"/>
            <w:r w:rsidRPr="004C567C">
              <w:rPr>
                <w:rFonts w:ascii="Arial Narrow" w:hAnsi="Arial Narrow" w:cs="Arial"/>
                <w:snapToGrid w:val="0"/>
                <w:sz w:val="20"/>
                <w:szCs w:val="20"/>
                <w:lang w:eastAsia="en-US"/>
              </w:rPr>
              <w:t>Tocilizumab</w:t>
            </w:r>
            <w:proofErr w:type="spellEnd"/>
            <w:r w:rsidRPr="004C567C">
              <w:rPr>
                <w:rFonts w:ascii="Arial Narrow" w:hAnsi="Arial Narrow" w:cs="Arial"/>
                <w:snapToGrid w:val="0"/>
                <w:sz w:val="20"/>
                <w:szCs w:val="20"/>
                <w:lang w:eastAsia="en-US"/>
              </w:rPr>
              <w:t xml:space="preserve"> IV, in Combination with Traditional Disease-Modifying Anti-Rheumatic Drugs (DMARDs), in Patients with Moderate to Severe Active Rheumatoid Arthritis. 2012</w:t>
            </w:r>
          </w:p>
        </w:tc>
        <w:tc>
          <w:tcPr>
            <w:tcW w:w="2551" w:type="dxa"/>
            <w:tcMar>
              <w:left w:w="28" w:type="dxa"/>
              <w:right w:w="28" w:type="dxa"/>
            </w:tcMar>
            <w:vAlign w:val="center"/>
          </w:tcPr>
          <w:p w:rsidR="003027CD" w:rsidRPr="004C567C" w:rsidRDefault="003027CD" w:rsidP="003027CD">
            <w:pPr>
              <w:keepNext/>
              <w:jc w:val="both"/>
              <w:rPr>
                <w:rFonts w:ascii="Arial Narrow" w:hAnsi="Arial Narrow" w:cs="Arial"/>
                <w:snapToGrid w:val="0"/>
                <w:sz w:val="20"/>
                <w:szCs w:val="20"/>
                <w:lang w:eastAsia="en-US"/>
              </w:rPr>
            </w:pPr>
            <w:proofErr w:type="spellStart"/>
            <w:r w:rsidRPr="004C567C">
              <w:rPr>
                <w:rFonts w:ascii="Arial Narrow" w:hAnsi="Arial Narrow" w:cs="Arial"/>
                <w:snapToGrid w:val="0"/>
                <w:sz w:val="20"/>
                <w:szCs w:val="20"/>
                <w:lang w:eastAsia="en-US"/>
              </w:rPr>
              <w:t>Burmester</w:t>
            </w:r>
            <w:proofErr w:type="spellEnd"/>
            <w:r w:rsidRPr="004C567C">
              <w:rPr>
                <w:rFonts w:ascii="Arial Narrow" w:hAnsi="Arial Narrow" w:cs="Arial"/>
                <w:snapToGrid w:val="0"/>
                <w:sz w:val="20"/>
                <w:szCs w:val="20"/>
                <w:lang w:eastAsia="en-US"/>
              </w:rPr>
              <w:t xml:space="preserve"> GR, </w:t>
            </w:r>
            <w:proofErr w:type="spellStart"/>
            <w:r w:rsidRPr="004C567C">
              <w:rPr>
                <w:rFonts w:ascii="Arial Narrow" w:hAnsi="Arial Narrow" w:cs="Arial"/>
                <w:snapToGrid w:val="0"/>
                <w:sz w:val="20"/>
                <w:szCs w:val="20"/>
                <w:lang w:eastAsia="en-US"/>
              </w:rPr>
              <w:t>Rubbert</w:t>
            </w:r>
            <w:proofErr w:type="spellEnd"/>
            <w:r w:rsidRPr="004C567C">
              <w:rPr>
                <w:rFonts w:ascii="Arial Narrow" w:hAnsi="Arial Narrow" w:cs="Arial"/>
                <w:snapToGrid w:val="0"/>
                <w:sz w:val="20"/>
                <w:szCs w:val="20"/>
                <w:lang w:eastAsia="en-US"/>
              </w:rPr>
              <w:t xml:space="preserve">-Roth A, </w:t>
            </w:r>
            <w:proofErr w:type="spellStart"/>
            <w:r w:rsidRPr="004C567C">
              <w:rPr>
                <w:rFonts w:ascii="Arial Narrow" w:hAnsi="Arial Narrow" w:cs="Arial"/>
                <w:snapToGrid w:val="0"/>
                <w:sz w:val="20"/>
                <w:szCs w:val="20"/>
                <w:lang w:eastAsia="en-US"/>
              </w:rPr>
              <w:t>Cantagrel</w:t>
            </w:r>
            <w:proofErr w:type="spellEnd"/>
            <w:r w:rsidRPr="004C567C">
              <w:rPr>
                <w:rFonts w:ascii="Arial Narrow" w:hAnsi="Arial Narrow" w:cs="Arial"/>
                <w:snapToGrid w:val="0"/>
                <w:sz w:val="20"/>
                <w:szCs w:val="20"/>
                <w:lang w:eastAsia="en-US"/>
              </w:rPr>
              <w:t xml:space="preserve"> A, et al.(2013) Ann</w:t>
            </w:r>
          </w:p>
          <w:p w:rsidR="003027CD" w:rsidRPr="004C567C" w:rsidRDefault="003027CD" w:rsidP="003027CD">
            <w:pPr>
              <w:keepNext/>
              <w:jc w:val="both"/>
              <w:rPr>
                <w:rFonts w:ascii="Arial Narrow" w:hAnsi="Arial Narrow" w:cs="Arial"/>
                <w:snapToGrid w:val="0"/>
                <w:sz w:val="20"/>
                <w:szCs w:val="20"/>
                <w:lang w:eastAsia="en-US"/>
              </w:rPr>
            </w:pPr>
            <w:r w:rsidRPr="004C567C">
              <w:rPr>
                <w:rFonts w:ascii="Arial Narrow" w:hAnsi="Arial Narrow" w:cs="Arial"/>
                <w:snapToGrid w:val="0"/>
                <w:sz w:val="20"/>
                <w:szCs w:val="20"/>
                <w:lang w:eastAsia="en-US"/>
              </w:rPr>
              <w:t>Rheum Dis</w:t>
            </w:r>
          </w:p>
          <w:p w:rsidR="003027CD" w:rsidRPr="004C567C" w:rsidRDefault="003027CD" w:rsidP="003027CD">
            <w:pPr>
              <w:keepNext/>
              <w:jc w:val="both"/>
              <w:rPr>
                <w:rFonts w:ascii="Arial Narrow" w:hAnsi="Arial Narrow" w:cs="Arial"/>
                <w:snapToGrid w:val="0"/>
                <w:sz w:val="20"/>
                <w:szCs w:val="20"/>
                <w:lang w:eastAsia="en-US"/>
              </w:rPr>
            </w:pPr>
          </w:p>
          <w:p w:rsidR="003027CD" w:rsidRPr="004C567C" w:rsidRDefault="003027CD" w:rsidP="003027CD">
            <w:pPr>
              <w:keepNext/>
              <w:jc w:val="both"/>
              <w:rPr>
                <w:rFonts w:ascii="Arial Narrow" w:hAnsi="Arial Narrow" w:cs="Arial"/>
                <w:snapToGrid w:val="0"/>
                <w:sz w:val="20"/>
                <w:szCs w:val="20"/>
                <w:lang w:eastAsia="en-US"/>
              </w:rPr>
            </w:pPr>
            <w:r w:rsidRPr="004C567C">
              <w:rPr>
                <w:rFonts w:ascii="Arial Narrow" w:hAnsi="Arial Narrow" w:cs="Arial"/>
                <w:snapToGrid w:val="0"/>
                <w:sz w:val="20"/>
                <w:szCs w:val="20"/>
                <w:lang w:eastAsia="en-US"/>
              </w:rPr>
              <w:t xml:space="preserve">Synopsis of research report </w:t>
            </w:r>
            <w:r w:rsidR="00C90A4D" w:rsidRPr="004C567C">
              <w:rPr>
                <w:rFonts w:ascii="Arial Narrow" w:hAnsi="Arial Narrow" w:cs="Arial"/>
                <w:snapToGrid w:val="0"/>
                <w:sz w:val="20"/>
                <w:szCs w:val="20"/>
                <w:lang w:eastAsia="en-US"/>
              </w:rPr>
              <w:t>1048410, October 2012</w:t>
            </w:r>
          </w:p>
          <w:p w:rsidR="003027CD" w:rsidRPr="004C567C" w:rsidRDefault="003027CD" w:rsidP="003027CD">
            <w:pPr>
              <w:keepNext/>
              <w:jc w:val="both"/>
              <w:rPr>
                <w:rFonts w:ascii="Arial Narrow" w:hAnsi="Arial Narrow" w:cs="Arial"/>
                <w:snapToGrid w:val="0"/>
                <w:sz w:val="20"/>
                <w:szCs w:val="20"/>
                <w:lang w:eastAsia="en-US"/>
              </w:rPr>
            </w:pPr>
          </w:p>
        </w:tc>
      </w:tr>
    </w:tbl>
    <w:p w:rsidR="003027CD" w:rsidRPr="004C567C" w:rsidRDefault="003027CD" w:rsidP="003027CD">
      <w:pPr>
        <w:keepNext/>
        <w:ind w:firstLine="709"/>
        <w:jc w:val="both"/>
        <w:rPr>
          <w:rFonts w:ascii="Arial Narrow" w:hAnsi="Arial Narrow" w:cs="Arial"/>
          <w:sz w:val="20"/>
          <w:szCs w:val="20"/>
          <w:lang w:eastAsia="en-US"/>
        </w:rPr>
      </w:pPr>
      <w:r w:rsidRPr="004C567C">
        <w:rPr>
          <w:rFonts w:ascii="Arial Narrow" w:hAnsi="Arial Narrow" w:cs="Arial"/>
          <w:sz w:val="20"/>
          <w:szCs w:val="20"/>
          <w:lang w:eastAsia="en-US"/>
        </w:rPr>
        <w:t>Source: Text, p14 of the submission</w:t>
      </w:r>
    </w:p>
    <w:p w:rsidR="00314E9D" w:rsidRPr="004C567C" w:rsidRDefault="00314E9D" w:rsidP="00314E9D">
      <w:pPr>
        <w:keepNext/>
        <w:ind w:firstLine="709"/>
        <w:jc w:val="both"/>
        <w:rPr>
          <w:rFonts w:ascii="Arial" w:hAnsi="Arial"/>
          <w:sz w:val="22"/>
          <w:szCs w:val="22"/>
        </w:rPr>
      </w:pPr>
    </w:p>
    <w:p w:rsidR="00314E9D" w:rsidRPr="004C567C" w:rsidRDefault="00C44910" w:rsidP="00314E9D">
      <w:pPr>
        <w:pStyle w:val="ListParagraph"/>
        <w:numPr>
          <w:ilvl w:val="1"/>
          <w:numId w:val="5"/>
        </w:numPr>
        <w:rPr>
          <w:rFonts w:ascii="Arial" w:hAnsi="Arial" w:cs="Arial"/>
          <w:sz w:val="22"/>
          <w:szCs w:val="22"/>
        </w:rPr>
      </w:pPr>
      <w:r w:rsidRPr="004C567C">
        <w:rPr>
          <w:rFonts w:ascii="Arial" w:hAnsi="Arial" w:cs="Arial"/>
          <w:sz w:val="22"/>
          <w:szCs w:val="22"/>
        </w:rPr>
        <w:t xml:space="preserve">The </w:t>
      </w:r>
      <w:r w:rsidR="00314E9D" w:rsidRPr="004C567C">
        <w:rPr>
          <w:rFonts w:ascii="Arial" w:hAnsi="Arial" w:cs="Arial"/>
          <w:sz w:val="22"/>
          <w:szCs w:val="22"/>
        </w:rPr>
        <w:t>trial design for the SUMMACTA trial is presented below:</w:t>
      </w:r>
    </w:p>
    <w:p w:rsidR="00314E9D" w:rsidRPr="004C567C" w:rsidRDefault="00314E9D" w:rsidP="00314E9D">
      <w:pPr>
        <w:rPr>
          <w:rFonts w:ascii="Arial" w:hAnsi="Arial" w:cs="Arial"/>
          <w:sz w:val="22"/>
          <w:szCs w:val="22"/>
        </w:rPr>
      </w:pPr>
    </w:p>
    <w:p w:rsidR="00314E9D" w:rsidRPr="004C567C" w:rsidRDefault="00314E9D" w:rsidP="00314E9D">
      <w:pPr>
        <w:ind w:left="720"/>
        <w:rPr>
          <w:rFonts w:ascii="Arial" w:hAnsi="Arial" w:cs="Arial"/>
          <w:sz w:val="22"/>
          <w:szCs w:val="22"/>
        </w:rPr>
      </w:pPr>
      <w:r w:rsidRPr="004C567C">
        <w:rPr>
          <w:rFonts w:ascii="Arial" w:hAnsi="Arial" w:cs="Arial"/>
          <w:sz w:val="22"/>
          <w:szCs w:val="22"/>
        </w:rPr>
        <w:t>Two-arm, 2-year, randomised, double-blind, double-dummy, active-controlled, parallel-group, multicentre trial:</w:t>
      </w:r>
    </w:p>
    <w:p w:rsidR="00314E9D" w:rsidRPr="004C567C" w:rsidRDefault="00314E9D" w:rsidP="00314E9D">
      <w:pPr>
        <w:ind w:left="720"/>
        <w:rPr>
          <w:rFonts w:ascii="Arial" w:hAnsi="Arial" w:cs="Arial"/>
          <w:sz w:val="22"/>
          <w:szCs w:val="22"/>
        </w:rPr>
      </w:pPr>
      <w:r w:rsidRPr="004C567C">
        <w:rPr>
          <w:rFonts w:ascii="Arial" w:hAnsi="Arial" w:cs="Arial"/>
          <w:sz w:val="22"/>
          <w:szCs w:val="22"/>
        </w:rPr>
        <w:t>•</w:t>
      </w:r>
      <w:r w:rsidRPr="004C567C">
        <w:rPr>
          <w:rFonts w:ascii="Arial" w:hAnsi="Arial" w:cs="Arial"/>
          <w:sz w:val="22"/>
          <w:szCs w:val="22"/>
        </w:rPr>
        <w:tab/>
        <w:t xml:space="preserve">Group A: 162 mg of </w:t>
      </w:r>
      <w:proofErr w:type="spellStart"/>
      <w:r w:rsidRPr="004C567C">
        <w:rPr>
          <w:rFonts w:ascii="Arial" w:hAnsi="Arial" w:cs="Arial"/>
          <w:sz w:val="22"/>
          <w:szCs w:val="22"/>
        </w:rPr>
        <w:t>tocilizumab</w:t>
      </w:r>
      <w:proofErr w:type="spellEnd"/>
      <w:r w:rsidRPr="004C567C">
        <w:rPr>
          <w:rFonts w:ascii="Arial" w:hAnsi="Arial" w:cs="Arial"/>
          <w:sz w:val="22"/>
          <w:szCs w:val="22"/>
        </w:rPr>
        <w:t xml:space="preserve"> SC weekly and IV placebo q4w for 24 weeks</w:t>
      </w:r>
    </w:p>
    <w:p w:rsidR="00314E9D" w:rsidRPr="004C567C" w:rsidRDefault="00314E9D" w:rsidP="00314E9D">
      <w:pPr>
        <w:ind w:left="720"/>
        <w:rPr>
          <w:rFonts w:ascii="Arial" w:hAnsi="Arial" w:cs="Arial"/>
          <w:sz w:val="22"/>
          <w:szCs w:val="22"/>
        </w:rPr>
      </w:pPr>
      <w:r w:rsidRPr="004C567C">
        <w:rPr>
          <w:rFonts w:ascii="Arial" w:hAnsi="Arial" w:cs="Arial"/>
          <w:sz w:val="22"/>
          <w:szCs w:val="22"/>
        </w:rPr>
        <w:t>•</w:t>
      </w:r>
      <w:r w:rsidRPr="004C567C">
        <w:rPr>
          <w:rFonts w:ascii="Arial" w:hAnsi="Arial" w:cs="Arial"/>
          <w:sz w:val="22"/>
          <w:szCs w:val="22"/>
        </w:rPr>
        <w:tab/>
        <w:t xml:space="preserve">Group B: 8 mg/kg of </w:t>
      </w:r>
      <w:proofErr w:type="spellStart"/>
      <w:r w:rsidRPr="004C567C">
        <w:rPr>
          <w:rFonts w:ascii="Arial" w:hAnsi="Arial" w:cs="Arial"/>
          <w:sz w:val="22"/>
          <w:szCs w:val="22"/>
        </w:rPr>
        <w:t>tocilizumab</w:t>
      </w:r>
      <w:proofErr w:type="spellEnd"/>
      <w:r w:rsidRPr="004C567C">
        <w:rPr>
          <w:rFonts w:ascii="Arial" w:hAnsi="Arial" w:cs="Arial"/>
          <w:sz w:val="22"/>
          <w:szCs w:val="22"/>
        </w:rPr>
        <w:t xml:space="preserve"> IV q4w and SC placebo </w:t>
      </w:r>
      <w:proofErr w:type="spellStart"/>
      <w:r w:rsidRPr="004C567C">
        <w:rPr>
          <w:rFonts w:ascii="Arial" w:hAnsi="Arial" w:cs="Arial"/>
          <w:sz w:val="22"/>
          <w:szCs w:val="22"/>
        </w:rPr>
        <w:t>qw</w:t>
      </w:r>
      <w:proofErr w:type="spellEnd"/>
      <w:r w:rsidRPr="004C567C">
        <w:rPr>
          <w:rFonts w:ascii="Arial" w:hAnsi="Arial" w:cs="Arial"/>
          <w:sz w:val="22"/>
          <w:szCs w:val="22"/>
        </w:rPr>
        <w:t xml:space="preserve"> for 24 weeks</w:t>
      </w:r>
    </w:p>
    <w:p w:rsidR="00314E9D" w:rsidRPr="004C567C" w:rsidRDefault="00314E9D" w:rsidP="00314E9D">
      <w:pPr>
        <w:ind w:left="720"/>
        <w:rPr>
          <w:rFonts w:ascii="Arial" w:hAnsi="Arial" w:cs="Arial"/>
          <w:sz w:val="22"/>
          <w:szCs w:val="22"/>
        </w:rPr>
      </w:pPr>
    </w:p>
    <w:p w:rsidR="00314E9D" w:rsidRPr="004C567C" w:rsidRDefault="00314E9D" w:rsidP="00314E9D">
      <w:pPr>
        <w:ind w:firstLine="720"/>
        <w:rPr>
          <w:rFonts w:ascii="Arial" w:hAnsi="Arial" w:cs="Arial"/>
          <w:sz w:val="22"/>
          <w:szCs w:val="22"/>
        </w:rPr>
      </w:pPr>
      <w:r w:rsidRPr="004C567C">
        <w:rPr>
          <w:rFonts w:ascii="Arial" w:hAnsi="Arial" w:cs="Arial"/>
          <w:sz w:val="22"/>
          <w:szCs w:val="22"/>
        </w:rPr>
        <w:t>Patients were subsequently re-randomised for the open-label treatment period.</w:t>
      </w:r>
    </w:p>
    <w:p w:rsidR="00314E9D" w:rsidRPr="004C567C" w:rsidRDefault="00314E9D" w:rsidP="00314E9D">
      <w:pPr>
        <w:rPr>
          <w:rFonts w:ascii="Arial" w:hAnsi="Arial" w:cs="Arial"/>
          <w:sz w:val="22"/>
          <w:szCs w:val="22"/>
        </w:rPr>
      </w:pPr>
    </w:p>
    <w:p w:rsidR="00C44910" w:rsidRPr="004C567C" w:rsidRDefault="00C44910" w:rsidP="0056681A">
      <w:pPr>
        <w:pStyle w:val="Heading2"/>
      </w:pPr>
      <w:r w:rsidRPr="004C567C">
        <w:t>Comparative effectiveness</w:t>
      </w:r>
    </w:p>
    <w:p w:rsidR="00C44910" w:rsidRPr="004C567C" w:rsidRDefault="00C44910" w:rsidP="00C44910">
      <w:pPr>
        <w:rPr>
          <w:rFonts w:ascii="Arial" w:hAnsi="Arial" w:cs="Arial"/>
          <w:sz w:val="22"/>
          <w:szCs w:val="22"/>
        </w:rPr>
      </w:pPr>
    </w:p>
    <w:p w:rsidR="00C445FA" w:rsidRPr="00C445FA" w:rsidRDefault="00C44910" w:rsidP="00C445FA">
      <w:pPr>
        <w:pStyle w:val="ListParagraph"/>
        <w:widowControl w:val="0"/>
        <w:numPr>
          <w:ilvl w:val="1"/>
          <w:numId w:val="5"/>
        </w:numPr>
        <w:jc w:val="both"/>
        <w:rPr>
          <w:rFonts w:ascii="Arial Narrow" w:hAnsi="Arial Narrow" w:cstheme="minorHAnsi"/>
        </w:rPr>
      </w:pPr>
      <w:r w:rsidRPr="004C567C">
        <w:rPr>
          <w:rFonts w:ascii="Arial" w:hAnsi="Arial" w:cs="Arial"/>
          <w:sz w:val="22"/>
          <w:szCs w:val="22"/>
        </w:rPr>
        <w:t xml:space="preserve">Results for the primary endpoint, </w:t>
      </w:r>
      <w:r w:rsidR="00314E9D" w:rsidRPr="004C567C">
        <w:rPr>
          <w:rFonts w:ascii="Arial" w:hAnsi="Arial" w:cs="Arial"/>
          <w:sz w:val="22"/>
          <w:szCs w:val="22"/>
        </w:rPr>
        <w:t>ACR20 responders (at Week 24</w:t>
      </w:r>
      <w:r w:rsidRPr="004C567C">
        <w:rPr>
          <w:rFonts w:ascii="Arial" w:hAnsi="Arial" w:cs="Arial"/>
          <w:sz w:val="22"/>
          <w:szCs w:val="22"/>
        </w:rPr>
        <w:t xml:space="preserve">) for </w:t>
      </w:r>
      <w:proofErr w:type="spellStart"/>
      <w:r w:rsidR="00314E9D" w:rsidRPr="004C567C">
        <w:rPr>
          <w:rFonts w:ascii="Arial" w:hAnsi="Arial" w:cs="Arial"/>
          <w:sz w:val="22"/>
          <w:szCs w:val="22"/>
        </w:rPr>
        <w:t>tocilizumab</w:t>
      </w:r>
      <w:proofErr w:type="spellEnd"/>
      <w:r w:rsidR="00314E9D" w:rsidRPr="004C567C">
        <w:rPr>
          <w:rFonts w:ascii="Arial" w:hAnsi="Arial" w:cs="Arial"/>
          <w:sz w:val="22"/>
          <w:szCs w:val="22"/>
        </w:rPr>
        <w:t xml:space="preserve"> </w:t>
      </w:r>
      <w:r w:rsidRPr="004C567C">
        <w:rPr>
          <w:rFonts w:ascii="Arial" w:hAnsi="Arial" w:cs="Arial"/>
          <w:sz w:val="22"/>
          <w:szCs w:val="22"/>
        </w:rPr>
        <w:t>SC (</w:t>
      </w:r>
      <w:r w:rsidR="00314E9D" w:rsidRPr="004C567C">
        <w:rPr>
          <w:rFonts w:ascii="Arial" w:hAnsi="Arial" w:cs="Arial"/>
          <w:sz w:val="22"/>
          <w:szCs w:val="22"/>
        </w:rPr>
        <w:t>162</w:t>
      </w:r>
      <w:r w:rsidRPr="004C567C">
        <w:rPr>
          <w:rFonts w:ascii="Arial" w:hAnsi="Arial" w:cs="Arial"/>
          <w:sz w:val="22"/>
          <w:szCs w:val="22"/>
        </w:rPr>
        <w:t xml:space="preserve"> mg fixed dose) and </w:t>
      </w:r>
      <w:proofErr w:type="spellStart"/>
      <w:r w:rsidR="00314E9D" w:rsidRPr="004C567C">
        <w:rPr>
          <w:rFonts w:ascii="Arial" w:hAnsi="Arial" w:cs="Arial"/>
          <w:sz w:val="22"/>
          <w:szCs w:val="22"/>
        </w:rPr>
        <w:t>tocilizumab</w:t>
      </w:r>
      <w:proofErr w:type="spellEnd"/>
      <w:r w:rsidRPr="004C567C">
        <w:rPr>
          <w:rFonts w:ascii="Arial" w:hAnsi="Arial" w:cs="Arial"/>
          <w:sz w:val="22"/>
          <w:szCs w:val="22"/>
        </w:rPr>
        <w:t xml:space="preserve"> IV (8 mg/kg dose) are shown in Table 2.</w:t>
      </w:r>
      <w:bookmarkStart w:id="0" w:name="_Ref363561034"/>
      <w:bookmarkStart w:id="1" w:name="_Toc438134043"/>
    </w:p>
    <w:p w:rsidR="00C445FA" w:rsidRPr="004C567C" w:rsidRDefault="00C445FA" w:rsidP="00C445FA">
      <w:pPr>
        <w:pStyle w:val="ListParagraph"/>
        <w:widowControl w:val="0"/>
        <w:jc w:val="both"/>
        <w:rPr>
          <w:rFonts w:ascii="Arial Narrow" w:hAnsi="Arial Narrow" w:cstheme="minorHAnsi"/>
        </w:rPr>
      </w:pPr>
    </w:p>
    <w:p w:rsidR="00314E9D" w:rsidRPr="004C567C" w:rsidRDefault="00476576" w:rsidP="00314E9D">
      <w:pPr>
        <w:pStyle w:val="Caption"/>
        <w:jc w:val="both"/>
        <w:rPr>
          <w:rFonts w:ascii="Arial Narrow" w:hAnsi="Arial Narrow" w:cstheme="minorHAnsi"/>
        </w:rPr>
      </w:pPr>
      <w:r w:rsidRPr="004C567C">
        <w:rPr>
          <w:rFonts w:ascii="Arial Narrow" w:hAnsi="Arial Narrow" w:cstheme="minorHAnsi"/>
        </w:rPr>
        <w:t xml:space="preserve"> </w:t>
      </w:r>
      <w:r w:rsidR="00314E9D" w:rsidRPr="004C567C">
        <w:rPr>
          <w:rFonts w:ascii="Arial Narrow" w:hAnsi="Arial Narrow" w:cstheme="minorHAnsi"/>
        </w:rPr>
        <w:t xml:space="preserve">Table </w:t>
      </w:r>
      <w:r w:rsidR="00314E9D" w:rsidRPr="004C567C">
        <w:rPr>
          <w:rFonts w:ascii="Arial Narrow" w:hAnsi="Arial Narrow" w:cstheme="minorHAnsi"/>
          <w:noProof/>
        </w:rPr>
        <w:t>2</w:t>
      </w:r>
      <w:bookmarkEnd w:id="0"/>
      <w:r w:rsidR="00312883" w:rsidRPr="004C567C">
        <w:rPr>
          <w:rFonts w:ascii="Arial Narrow" w:hAnsi="Arial Narrow" w:cstheme="minorHAnsi"/>
          <w:noProof/>
        </w:rPr>
        <w:t>:</w:t>
      </w:r>
      <w:r w:rsidR="00312883" w:rsidRPr="004C567C">
        <w:rPr>
          <w:rFonts w:ascii="Arial Narrow" w:hAnsi="Arial Narrow" w:cstheme="minorHAnsi"/>
        </w:rPr>
        <w:t xml:space="preserve"> </w:t>
      </w:r>
      <w:r w:rsidR="00314E9D" w:rsidRPr="004C567C">
        <w:rPr>
          <w:rFonts w:ascii="Arial Narrow" w:hAnsi="Arial Narrow" w:cstheme="minorHAnsi"/>
        </w:rPr>
        <w:t xml:space="preserve">Summary of </w:t>
      </w:r>
      <w:r w:rsidR="008F2C2F" w:rsidRPr="004C567C">
        <w:rPr>
          <w:rFonts w:ascii="Arial Narrow" w:hAnsi="Arial Narrow" w:cstheme="minorHAnsi"/>
        </w:rPr>
        <w:t xml:space="preserve">data for the primary outcome of </w:t>
      </w:r>
      <w:r w:rsidR="00314E9D" w:rsidRPr="004C567C">
        <w:rPr>
          <w:rFonts w:ascii="Arial Narrow" w:hAnsi="Arial Narrow" w:cstheme="minorHAnsi"/>
        </w:rPr>
        <w:t xml:space="preserve">SUMMACTA </w:t>
      </w:r>
      <w:bookmarkEnd w:id="1"/>
    </w:p>
    <w:tbl>
      <w:tblPr>
        <w:tblW w:w="4558" w:type="pct"/>
        <w:tblInd w:w="817" w:type="dxa"/>
        <w:tblLook w:val="0000" w:firstRow="0" w:lastRow="0" w:firstColumn="0" w:lastColumn="0" w:noHBand="0" w:noVBand="0"/>
      </w:tblPr>
      <w:tblGrid>
        <w:gridCol w:w="2523"/>
        <w:gridCol w:w="1949"/>
        <w:gridCol w:w="2003"/>
        <w:gridCol w:w="1950"/>
      </w:tblGrid>
      <w:tr w:rsidR="00314E9D" w:rsidRPr="004C567C" w:rsidTr="00476576">
        <w:trPr>
          <w:tblHeader/>
        </w:trPr>
        <w:tc>
          <w:tcPr>
            <w:tcW w:w="1497" w:type="pct"/>
            <w:tcBorders>
              <w:top w:val="single" w:sz="4" w:space="0" w:color="auto"/>
              <w:left w:val="single" w:sz="4" w:space="0" w:color="auto"/>
              <w:bottom w:val="single" w:sz="4" w:space="0" w:color="auto"/>
              <w:right w:val="single" w:sz="4" w:space="0" w:color="auto"/>
            </w:tcBorders>
            <w:vAlign w:val="center"/>
          </w:tcPr>
          <w:p w:rsidR="00314E9D" w:rsidRPr="004C567C" w:rsidRDefault="00314E9D" w:rsidP="00314E9D">
            <w:pPr>
              <w:rPr>
                <w:rFonts w:ascii="Arial Narrow" w:hAnsi="Arial Narrow" w:cs="Arial"/>
                <w:b/>
                <w:sz w:val="20"/>
                <w:szCs w:val="20"/>
              </w:rPr>
            </w:pPr>
            <w:r w:rsidRPr="004C567C">
              <w:rPr>
                <w:rFonts w:ascii="Arial Narrow" w:hAnsi="Arial Narrow" w:cs="Arial"/>
                <w:b/>
                <w:sz w:val="20"/>
                <w:szCs w:val="20"/>
              </w:rPr>
              <w:t>Efficacy</w:t>
            </w:r>
          </w:p>
        </w:tc>
        <w:tc>
          <w:tcPr>
            <w:tcW w:w="1156" w:type="pct"/>
            <w:tcBorders>
              <w:top w:val="single" w:sz="4" w:space="0" w:color="auto"/>
              <w:left w:val="nil"/>
              <w:bottom w:val="single" w:sz="4" w:space="0" w:color="auto"/>
              <w:right w:val="single" w:sz="4" w:space="0" w:color="auto"/>
            </w:tcBorders>
            <w:vAlign w:val="center"/>
          </w:tcPr>
          <w:p w:rsidR="00314E9D" w:rsidRPr="004C567C" w:rsidRDefault="00314E9D" w:rsidP="00314E9D">
            <w:pPr>
              <w:jc w:val="center"/>
              <w:rPr>
                <w:rFonts w:ascii="Arial Narrow" w:hAnsi="Arial Narrow" w:cs="Arial"/>
                <w:b/>
                <w:sz w:val="20"/>
                <w:szCs w:val="20"/>
              </w:rPr>
            </w:pPr>
            <w:r w:rsidRPr="004C567C">
              <w:rPr>
                <w:rFonts w:ascii="Arial Narrow" w:hAnsi="Arial Narrow" w:cs="Arial"/>
                <w:b/>
                <w:sz w:val="20"/>
                <w:szCs w:val="20"/>
              </w:rPr>
              <w:t xml:space="preserve">162 mg SC </w:t>
            </w:r>
            <w:proofErr w:type="spellStart"/>
            <w:r w:rsidRPr="004C567C">
              <w:rPr>
                <w:rFonts w:ascii="Arial Narrow" w:hAnsi="Arial Narrow" w:cs="Arial"/>
                <w:b/>
                <w:sz w:val="20"/>
                <w:szCs w:val="20"/>
              </w:rPr>
              <w:t>qw+MTX</w:t>
            </w:r>
            <w:proofErr w:type="spellEnd"/>
            <w:r w:rsidRPr="004C567C">
              <w:rPr>
                <w:rFonts w:ascii="Arial Narrow" w:hAnsi="Arial Narrow" w:cs="Arial"/>
                <w:b/>
                <w:sz w:val="20"/>
                <w:szCs w:val="20"/>
              </w:rPr>
              <w:br/>
              <w:t>(N=558)</w:t>
            </w:r>
          </w:p>
        </w:tc>
        <w:tc>
          <w:tcPr>
            <w:tcW w:w="1189" w:type="pct"/>
            <w:tcBorders>
              <w:top w:val="single" w:sz="4" w:space="0" w:color="auto"/>
              <w:left w:val="nil"/>
              <w:bottom w:val="single" w:sz="4" w:space="0" w:color="auto"/>
              <w:right w:val="single" w:sz="4" w:space="0" w:color="auto"/>
            </w:tcBorders>
            <w:vAlign w:val="center"/>
          </w:tcPr>
          <w:p w:rsidR="00314E9D" w:rsidRPr="004C567C" w:rsidRDefault="00314E9D" w:rsidP="00314E9D">
            <w:pPr>
              <w:jc w:val="center"/>
              <w:rPr>
                <w:rFonts w:ascii="Arial Narrow" w:hAnsi="Arial Narrow" w:cs="Arial"/>
                <w:b/>
                <w:sz w:val="20"/>
                <w:szCs w:val="20"/>
              </w:rPr>
            </w:pPr>
            <w:r w:rsidRPr="004C567C">
              <w:rPr>
                <w:rFonts w:ascii="Arial Narrow" w:hAnsi="Arial Narrow" w:cs="Arial"/>
                <w:b/>
                <w:sz w:val="20"/>
                <w:szCs w:val="20"/>
              </w:rPr>
              <w:t>8 mg/kg IV q4w+MTX</w:t>
            </w:r>
            <w:r w:rsidRPr="004C567C">
              <w:rPr>
                <w:rFonts w:ascii="Arial Narrow" w:hAnsi="Arial Narrow" w:cs="Arial"/>
                <w:b/>
                <w:sz w:val="20"/>
                <w:szCs w:val="20"/>
              </w:rPr>
              <w:br/>
              <w:t>(N=537)</w:t>
            </w:r>
          </w:p>
        </w:tc>
        <w:tc>
          <w:tcPr>
            <w:tcW w:w="1157" w:type="pct"/>
            <w:tcBorders>
              <w:top w:val="single" w:sz="4" w:space="0" w:color="auto"/>
              <w:left w:val="nil"/>
              <w:bottom w:val="single" w:sz="4" w:space="0" w:color="auto"/>
              <w:right w:val="single" w:sz="4" w:space="0" w:color="auto"/>
            </w:tcBorders>
          </w:tcPr>
          <w:p w:rsidR="00314E9D" w:rsidRPr="004C567C" w:rsidRDefault="00314E9D" w:rsidP="00314E9D">
            <w:pPr>
              <w:jc w:val="center"/>
              <w:rPr>
                <w:rFonts w:ascii="Arial Narrow" w:hAnsi="Arial Narrow" w:cs="Arial"/>
                <w:b/>
                <w:sz w:val="20"/>
                <w:szCs w:val="20"/>
              </w:rPr>
            </w:pPr>
            <w:r w:rsidRPr="004C567C">
              <w:rPr>
                <w:rFonts w:ascii="Arial Narrow" w:hAnsi="Arial Narrow" w:cs="Arial"/>
                <w:b/>
                <w:sz w:val="20"/>
                <w:szCs w:val="20"/>
              </w:rPr>
              <w:t>Weighted difference</w:t>
            </w:r>
            <w:r w:rsidRPr="004C567C">
              <w:rPr>
                <w:rFonts w:ascii="Arial Narrow" w:hAnsi="Arial Narrow" w:cs="Arial"/>
                <w:b/>
                <w:sz w:val="20"/>
                <w:szCs w:val="20"/>
              </w:rPr>
              <w:br/>
              <w:t>(95% CI)</w:t>
            </w:r>
          </w:p>
        </w:tc>
      </w:tr>
      <w:tr w:rsidR="00314E9D" w:rsidRPr="004C567C" w:rsidTr="00476576">
        <w:tc>
          <w:tcPr>
            <w:tcW w:w="1497" w:type="pct"/>
            <w:tcBorders>
              <w:top w:val="single" w:sz="4" w:space="0" w:color="auto"/>
              <w:left w:val="single" w:sz="4" w:space="0" w:color="auto"/>
              <w:right w:val="single" w:sz="4" w:space="0" w:color="auto"/>
            </w:tcBorders>
          </w:tcPr>
          <w:p w:rsidR="00314E9D" w:rsidRPr="004C567C" w:rsidRDefault="00314E9D" w:rsidP="008F2C2F">
            <w:pPr>
              <w:rPr>
                <w:rFonts w:ascii="Arial Narrow" w:hAnsi="Arial Narrow" w:cs="Arial"/>
                <w:sz w:val="20"/>
                <w:szCs w:val="20"/>
              </w:rPr>
            </w:pPr>
            <w:r w:rsidRPr="004C567C">
              <w:rPr>
                <w:rFonts w:ascii="Arial Narrow" w:hAnsi="Arial Narrow" w:cs="Arial"/>
                <w:sz w:val="20"/>
                <w:szCs w:val="20"/>
              </w:rPr>
              <w:t>Primary endpoint at week 24 (PP)</w:t>
            </w:r>
          </w:p>
        </w:tc>
        <w:tc>
          <w:tcPr>
            <w:tcW w:w="1156" w:type="pct"/>
            <w:tcBorders>
              <w:top w:val="single" w:sz="4" w:space="0" w:color="auto"/>
              <w:left w:val="nil"/>
              <w:right w:val="single" w:sz="4" w:space="0" w:color="auto"/>
            </w:tcBorders>
            <w:vAlign w:val="center"/>
          </w:tcPr>
          <w:p w:rsidR="00314E9D" w:rsidRPr="004C567C" w:rsidRDefault="00314E9D" w:rsidP="00314E9D">
            <w:pPr>
              <w:tabs>
                <w:tab w:val="left" w:pos="732"/>
              </w:tabs>
              <w:ind w:left="132"/>
              <w:jc w:val="center"/>
              <w:rPr>
                <w:rFonts w:ascii="Arial Narrow" w:hAnsi="Arial Narrow" w:cs="Arial"/>
                <w:sz w:val="20"/>
                <w:szCs w:val="20"/>
              </w:rPr>
            </w:pPr>
          </w:p>
        </w:tc>
        <w:tc>
          <w:tcPr>
            <w:tcW w:w="1189" w:type="pct"/>
            <w:tcBorders>
              <w:top w:val="single" w:sz="4" w:space="0" w:color="auto"/>
              <w:left w:val="nil"/>
              <w:right w:val="single" w:sz="4" w:space="0" w:color="auto"/>
            </w:tcBorders>
            <w:vAlign w:val="center"/>
          </w:tcPr>
          <w:p w:rsidR="00314E9D" w:rsidRPr="004C567C" w:rsidRDefault="00314E9D" w:rsidP="00314E9D">
            <w:pPr>
              <w:tabs>
                <w:tab w:val="left" w:pos="732"/>
              </w:tabs>
              <w:ind w:left="132"/>
              <w:jc w:val="center"/>
              <w:rPr>
                <w:rFonts w:ascii="Arial Narrow" w:hAnsi="Arial Narrow" w:cs="Arial"/>
                <w:sz w:val="20"/>
                <w:szCs w:val="20"/>
              </w:rPr>
            </w:pPr>
          </w:p>
        </w:tc>
        <w:tc>
          <w:tcPr>
            <w:tcW w:w="1157" w:type="pct"/>
            <w:tcBorders>
              <w:top w:val="single" w:sz="4" w:space="0" w:color="auto"/>
              <w:left w:val="nil"/>
              <w:right w:val="single" w:sz="4" w:space="0" w:color="auto"/>
            </w:tcBorders>
            <w:vAlign w:val="center"/>
          </w:tcPr>
          <w:p w:rsidR="00314E9D" w:rsidRPr="004C567C" w:rsidRDefault="00314E9D" w:rsidP="00314E9D">
            <w:pPr>
              <w:tabs>
                <w:tab w:val="left" w:pos="732"/>
              </w:tabs>
              <w:ind w:left="132"/>
              <w:jc w:val="center"/>
              <w:rPr>
                <w:rFonts w:ascii="Arial Narrow" w:hAnsi="Arial Narrow" w:cs="Arial"/>
                <w:sz w:val="20"/>
                <w:szCs w:val="20"/>
              </w:rPr>
            </w:pPr>
          </w:p>
        </w:tc>
      </w:tr>
      <w:tr w:rsidR="00314E9D" w:rsidRPr="004C567C" w:rsidTr="00476576">
        <w:tc>
          <w:tcPr>
            <w:tcW w:w="1497" w:type="pct"/>
            <w:tcBorders>
              <w:left w:val="single" w:sz="4" w:space="0" w:color="auto"/>
              <w:right w:val="single" w:sz="4" w:space="0" w:color="auto"/>
            </w:tcBorders>
          </w:tcPr>
          <w:p w:rsidR="00314E9D" w:rsidRPr="004C567C" w:rsidRDefault="00314E9D" w:rsidP="00476576">
            <w:pPr>
              <w:ind w:left="176"/>
              <w:rPr>
                <w:rFonts w:ascii="Arial Narrow" w:hAnsi="Arial Narrow" w:cs="Arial"/>
                <w:sz w:val="20"/>
                <w:szCs w:val="20"/>
              </w:rPr>
            </w:pPr>
            <w:r w:rsidRPr="004C567C">
              <w:rPr>
                <w:rFonts w:ascii="Arial Narrow" w:hAnsi="Arial Narrow" w:cs="Arial"/>
                <w:sz w:val="20"/>
                <w:szCs w:val="20"/>
              </w:rPr>
              <w:t>Percentage of ACR20 responders</w:t>
            </w:r>
          </w:p>
        </w:tc>
        <w:tc>
          <w:tcPr>
            <w:tcW w:w="1156" w:type="pct"/>
            <w:tcBorders>
              <w:left w:val="nil"/>
              <w:right w:val="single" w:sz="4" w:space="0" w:color="auto"/>
            </w:tcBorders>
            <w:vAlign w:val="center"/>
          </w:tcPr>
          <w:p w:rsidR="00314E9D" w:rsidRPr="004C567C" w:rsidRDefault="00314E9D" w:rsidP="008F2C2F">
            <w:pPr>
              <w:tabs>
                <w:tab w:val="left" w:pos="732"/>
              </w:tabs>
              <w:ind w:left="132"/>
              <w:jc w:val="center"/>
              <w:rPr>
                <w:rFonts w:ascii="Arial Narrow" w:hAnsi="Arial Narrow" w:cs="Arial"/>
                <w:sz w:val="20"/>
                <w:szCs w:val="20"/>
              </w:rPr>
            </w:pPr>
            <w:r w:rsidRPr="004C567C">
              <w:rPr>
                <w:rFonts w:ascii="Arial Narrow" w:hAnsi="Arial Narrow" w:cs="Arial"/>
                <w:sz w:val="20"/>
                <w:szCs w:val="20"/>
              </w:rPr>
              <w:t>69.4%</w:t>
            </w:r>
          </w:p>
        </w:tc>
        <w:tc>
          <w:tcPr>
            <w:tcW w:w="1189" w:type="pct"/>
            <w:tcBorders>
              <w:left w:val="nil"/>
              <w:right w:val="single" w:sz="4" w:space="0" w:color="auto"/>
            </w:tcBorders>
            <w:vAlign w:val="center"/>
          </w:tcPr>
          <w:p w:rsidR="00314E9D" w:rsidRPr="004C567C" w:rsidRDefault="00314E9D" w:rsidP="00BA6B47">
            <w:pPr>
              <w:tabs>
                <w:tab w:val="left" w:pos="732"/>
              </w:tabs>
              <w:ind w:left="132"/>
              <w:jc w:val="center"/>
              <w:rPr>
                <w:rFonts w:ascii="Arial Narrow" w:hAnsi="Arial Narrow" w:cs="Arial"/>
                <w:sz w:val="20"/>
                <w:szCs w:val="20"/>
              </w:rPr>
            </w:pPr>
            <w:r w:rsidRPr="004C567C">
              <w:rPr>
                <w:rFonts w:ascii="Arial Narrow" w:hAnsi="Arial Narrow" w:cs="Arial"/>
                <w:sz w:val="20"/>
                <w:szCs w:val="20"/>
              </w:rPr>
              <w:t>73.4%</w:t>
            </w:r>
          </w:p>
        </w:tc>
        <w:tc>
          <w:tcPr>
            <w:tcW w:w="1157" w:type="pct"/>
            <w:tcBorders>
              <w:left w:val="nil"/>
              <w:right w:val="single" w:sz="4" w:space="0" w:color="auto"/>
            </w:tcBorders>
            <w:vAlign w:val="center"/>
          </w:tcPr>
          <w:p w:rsidR="00314E9D" w:rsidRPr="004C567C" w:rsidRDefault="00314E9D">
            <w:pPr>
              <w:tabs>
                <w:tab w:val="left" w:pos="732"/>
              </w:tabs>
              <w:ind w:left="132"/>
              <w:jc w:val="center"/>
              <w:rPr>
                <w:rFonts w:ascii="Arial Narrow" w:hAnsi="Arial Narrow" w:cs="Arial"/>
                <w:sz w:val="20"/>
                <w:szCs w:val="20"/>
              </w:rPr>
            </w:pPr>
            <w:r w:rsidRPr="004C567C">
              <w:rPr>
                <w:rFonts w:ascii="Arial Narrow" w:hAnsi="Arial Narrow" w:cs="Arial"/>
                <w:sz w:val="20"/>
                <w:szCs w:val="20"/>
              </w:rPr>
              <w:t>−4.0(−9.2, 1.2)</w:t>
            </w:r>
          </w:p>
        </w:tc>
      </w:tr>
      <w:tr w:rsidR="00314E9D" w:rsidRPr="004C567C" w:rsidTr="00476576">
        <w:tc>
          <w:tcPr>
            <w:tcW w:w="1497" w:type="pct"/>
            <w:tcBorders>
              <w:top w:val="single" w:sz="4" w:space="0" w:color="auto"/>
              <w:left w:val="single" w:sz="4" w:space="0" w:color="auto"/>
              <w:right w:val="single" w:sz="4" w:space="0" w:color="auto"/>
            </w:tcBorders>
          </w:tcPr>
          <w:p w:rsidR="00314E9D" w:rsidRPr="004C567C" w:rsidRDefault="00314E9D" w:rsidP="008F2C2F">
            <w:pPr>
              <w:ind w:left="601" w:hanging="567"/>
              <w:rPr>
                <w:rFonts w:ascii="Arial Narrow" w:hAnsi="Arial Narrow" w:cs="Arial"/>
                <w:sz w:val="20"/>
                <w:szCs w:val="20"/>
              </w:rPr>
            </w:pPr>
            <w:r w:rsidRPr="004C567C">
              <w:rPr>
                <w:rFonts w:ascii="Arial Narrow" w:hAnsi="Arial Narrow" w:cs="Arial"/>
                <w:sz w:val="20"/>
                <w:szCs w:val="20"/>
              </w:rPr>
              <w:t>Sensitivity analysis (ITT)</w:t>
            </w:r>
          </w:p>
        </w:tc>
        <w:tc>
          <w:tcPr>
            <w:tcW w:w="1156" w:type="pct"/>
            <w:tcBorders>
              <w:top w:val="single" w:sz="4" w:space="0" w:color="auto"/>
              <w:left w:val="nil"/>
              <w:right w:val="single" w:sz="4" w:space="0" w:color="auto"/>
            </w:tcBorders>
            <w:vAlign w:val="center"/>
          </w:tcPr>
          <w:p w:rsidR="00314E9D" w:rsidRPr="004C567C" w:rsidRDefault="00314E9D" w:rsidP="008F2C2F">
            <w:pPr>
              <w:tabs>
                <w:tab w:val="left" w:pos="732"/>
              </w:tabs>
              <w:ind w:left="132"/>
              <w:jc w:val="center"/>
              <w:rPr>
                <w:rFonts w:ascii="Arial Narrow" w:hAnsi="Arial Narrow" w:cs="Arial"/>
                <w:sz w:val="20"/>
                <w:szCs w:val="20"/>
              </w:rPr>
            </w:pPr>
            <w:r w:rsidRPr="004C567C">
              <w:rPr>
                <w:rFonts w:ascii="Arial Narrow" w:hAnsi="Arial Narrow" w:cs="Arial"/>
                <w:sz w:val="20"/>
                <w:szCs w:val="20"/>
              </w:rPr>
              <w:t>n=631</w:t>
            </w:r>
          </w:p>
        </w:tc>
        <w:tc>
          <w:tcPr>
            <w:tcW w:w="1189" w:type="pct"/>
            <w:tcBorders>
              <w:top w:val="single" w:sz="4" w:space="0" w:color="auto"/>
              <w:left w:val="nil"/>
              <w:right w:val="single" w:sz="4" w:space="0" w:color="auto"/>
            </w:tcBorders>
            <w:vAlign w:val="center"/>
          </w:tcPr>
          <w:p w:rsidR="00314E9D" w:rsidRPr="004C567C" w:rsidRDefault="00314E9D" w:rsidP="00BA6B47">
            <w:pPr>
              <w:tabs>
                <w:tab w:val="left" w:pos="732"/>
              </w:tabs>
              <w:ind w:left="132"/>
              <w:jc w:val="center"/>
              <w:rPr>
                <w:rFonts w:ascii="Arial Narrow" w:hAnsi="Arial Narrow" w:cs="Arial"/>
                <w:sz w:val="20"/>
                <w:szCs w:val="20"/>
              </w:rPr>
            </w:pPr>
            <w:r w:rsidRPr="004C567C">
              <w:rPr>
                <w:rFonts w:ascii="Arial Narrow" w:hAnsi="Arial Narrow" w:cs="Arial"/>
                <w:sz w:val="20"/>
                <w:szCs w:val="20"/>
              </w:rPr>
              <w:t>n=631</w:t>
            </w:r>
          </w:p>
        </w:tc>
        <w:tc>
          <w:tcPr>
            <w:tcW w:w="1157" w:type="pct"/>
            <w:tcBorders>
              <w:top w:val="single" w:sz="4" w:space="0" w:color="auto"/>
              <w:left w:val="nil"/>
              <w:right w:val="single" w:sz="4" w:space="0" w:color="auto"/>
            </w:tcBorders>
            <w:vAlign w:val="center"/>
          </w:tcPr>
          <w:p w:rsidR="00314E9D" w:rsidRPr="004C567C" w:rsidRDefault="00314E9D">
            <w:pPr>
              <w:tabs>
                <w:tab w:val="left" w:pos="732"/>
              </w:tabs>
              <w:ind w:left="132"/>
              <w:jc w:val="center"/>
              <w:rPr>
                <w:rFonts w:ascii="Arial Narrow" w:hAnsi="Arial Narrow" w:cs="Arial"/>
                <w:sz w:val="20"/>
                <w:szCs w:val="20"/>
              </w:rPr>
            </w:pPr>
          </w:p>
        </w:tc>
      </w:tr>
      <w:tr w:rsidR="00314E9D" w:rsidRPr="004C567C" w:rsidTr="00476576">
        <w:tc>
          <w:tcPr>
            <w:tcW w:w="1497" w:type="pct"/>
            <w:tcBorders>
              <w:left w:val="single" w:sz="4" w:space="0" w:color="auto"/>
              <w:bottom w:val="single" w:sz="4" w:space="0" w:color="auto"/>
              <w:right w:val="single" w:sz="4" w:space="0" w:color="auto"/>
            </w:tcBorders>
          </w:tcPr>
          <w:p w:rsidR="00314E9D" w:rsidRPr="004C567C" w:rsidRDefault="00314E9D" w:rsidP="00476576">
            <w:pPr>
              <w:ind w:left="176"/>
              <w:rPr>
                <w:rFonts w:ascii="Arial Narrow" w:hAnsi="Arial Narrow" w:cs="Arial"/>
                <w:sz w:val="20"/>
                <w:szCs w:val="20"/>
              </w:rPr>
            </w:pPr>
            <w:r w:rsidRPr="004C567C">
              <w:rPr>
                <w:rFonts w:ascii="Arial Narrow" w:hAnsi="Arial Narrow" w:cs="Arial"/>
                <w:sz w:val="20"/>
                <w:szCs w:val="20"/>
              </w:rPr>
              <w:t>Percentage of ACR20 responders</w:t>
            </w:r>
          </w:p>
        </w:tc>
        <w:tc>
          <w:tcPr>
            <w:tcW w:w="1156" w:type="pct"/>
            <w:tcBorders>
              <w:left w:val="nil"/>
              <w:bottom w:val="single" w:sz="4" w:space="0" w:color="auto"/>
              <w:right w:val="single" w:sz="4" w:space="0" w:color="auto"/>
            </w:tcBorders>
            <w:vAlign w:val="center"/>
          </w:tcPr>
          <w:p w:rsidR="00314E9D" w:rsidRPr="004C567C" w:rsidRDefault="00314E9D" w:rsidP="008F2C2F">
            <w:pPr>
              <w:tabs>
                <w:tab w:val="left" w:pos="732"/>
              </w:tabs>
              <w:ind w:left="132"/>
              <w:jc w:val="center"/>
              <w:rPr>
                <w:rFonts w:ascii="Arial Narrow" w:hAnsi="Arial Narrow" w:cs="Arial"/>
                <w:sz w:val="20"/>
                <w:szCs w:val="20"/>
              </w:rPr>
            </w:pPr>
            <w:r w:rsidRPr="004C567C">
              <w:rPr>
                <w:rFonts w:ascii="Arial Narrow" w:hAnsi="Arial Narrow" w:cs="Arial"/>
                <w:sz w:val="20"/>
                <w:szCs w:val="20"/>
              </w:rPr>
              <w:t>67.7%</w:t>
            </w:r>
          </w:p>
        </w:tc>
        <w:tc>
          <w:tcPr>
            <w:tcW w:w="1189" w:type="pct"/>
            <w:tcBorders>
              <w:left w:val="nil"/>
              <w:bottom w:val="single" w:sz="4" w:space="0" w:color="auto"/>
              <w:right w:val="single" w:sz="4" w:space="0" w:color="auto"/>
            </w:tcBorders>
            <w:vAlign w:val="center"/>
          </w:tcPr>
          <w:p w:rsidR="00314E9D" w:rsidRPr="004C567C" w:rsidRDefault="00314E9D" w:rsidP="00BA6B47">
            <w:pPr>
              <w:tabs>
                <w:tab w:val="left" w:pos="732"/>
              </w:tabs>
              <w:ind w:left="132"/>
              <w:jc w:val="center"/>
              <w:rPr>
                <w:rFonts w:ascii="Arial Narrow" w:hAnsi="Arial Narrow" w:cs="Arial"/>
                <w:sz w:val="20"/>
                <w:szCs w:val="20"/>
              </w:rPr>
            </w:pPr>
            <w:r w:rsidRPr="004C567C">
              <w:rPr>
                <w:rFonts w:ascii="Arial Narrow" w:hAnsi="Arial Narrow" w:cs="Arial"/>
                <w:sz w:val="20"/>
                <w:szCs w:val="20"/>
              </w:rPr>
              <w:t>70.2%</w:t>
            </w:r>
          </w:p>
        </w:tc>
        <w:tc>
          <w:tcPr>
            <w:tcW w:w="1157" w:type="pct"/>
            <w:tcBorders>
              <w:left w:val="nil"/>
              <w:bottom w:val="single" w:sz="4" w:space="0" w:color="auto"/>
              <w:right w:val="single" w:sz="4" w:space="0" w:color="auto"/>
            </w:tcBorders>
            <w:vAlign w:val="center"/>
          </w:tcPr>
          <w:p w:rsidR="00314E9D" w:rsidRPr="004C567C" w:rsidRDefault="008F2C2F">
            <w:pPr>
              <w:tabs>
                <w:tab w:val="left" w:pos="732"/>
              </w:tabs>
              <w:ind w:left="132"/>
              <w:jc w:val="center"/>
              <w:rPr>
                <w:rFonts w:ascii="Arial Narrow" w:hAnsi="Arial Narrow" w:cs="Arial"/>
                <w:sz w:val="20"/>
                <w:szCs w:val="20"/>
              </w:rPr>
            </w:pPr>
            <w:r w:rsidRPr="004C567C">
              <w:rPr>
                <w:rFonts w:ascii="Arial Narrow" w:hAnsi="Arial Narrow" w:cs="Arial"/>
                <w:sz w:val="20"/>
                <w:szCs w:val="20"/>
              </w:rPr>
              <w:t xml:space="preserve">−2.7 </w:t>
            </w:r>
            <w:r w:rsidR="00314E9D" w:rsidRPr="004C567C">
              <w:rPr>
                <w:rFonts w:ascii="Arial Narrow" w:hAnsi="Arial Narrow" w:cs="Arial"/>
                <w:sz w:val="20"/>
                <w:szCs w:val="20"/>
              </w:rPr>
              <w:t>(−7.6, 2.2)</w:t>
            </w:r>
          </w:p>
        </w:tc>
      </w:tr>
    </w:tbl>
    <w:p w:rsidR="00314E9D" w:rsidRPr="004C567C" w:rsidRDefault="00314E9D" w:rsidP="00312883">
      <w:pPr>
        <w:tabs>
          <w:tab w:val="left" w:pos="2835"/>
          <w:tab w:val="left" w:pos="3960"/>
          <w:tab w:val="left" w:pos="5640"/>
          <w:tab w:val="left" w:pos="7320"/>
          <w:tab w:val="left" w:pos="8400"/>
          <w:tab w:val="left" w:pos="11400"/>
        </w:tabs>
        <w:ind w:left="1909" w:right="28" w:hanging="1200"/>
        <w:rPr>
          <w:rFonts w:ascii="Arial Narrow" w:hAnsi="Arial Narrow" w:cs="Arial"/>
          <w:sz w:val="20"/>
          <w:szCs w:val="20"/>
          <w:lang w:eastAsia="en-US"/>
        </w:rPr>
      </w:pPr>
      <w:r w:rsidRPr="004C567C">
        <w:rPr>
          <w:rFonts w:ascii="Arial Narrow" w:hAnsi="Arial Narrow" w:cs="Arial"/>
          <w:sz w:val="20"/>
          <w:szCs w:val="20"/>
          <w:lang w:eastAsia="en-US"/>
        </w:rPr>
        <w:t>Source</w:t>
      </w:r>
      <w:r w:rsidR="008F2C2F" w:rsidRPr="004C567C">
        <w:rPr>
          <w:rFonts w:ascii="Arial Narrow" w:hAnsi="Arial Narrow" w:cs="Arial"/>
          <w:sz w:val="20"/>
          <w:szCs w:val="20"/>
          <w:lang w:eastAsia="en-US"/>
        </w:rPr>
        <w:t>:</w:t>
      </w:r>
      <w:r w:rsidR="008F2C2F" w:rsidRPr="004C567C">
        <w:rPr>
          <w:rFonts w:ascii="Arial Narrow" w:hAnsi="Arial Narrow" w:cs="Arial"/>
          <w:sz w:val="20"/>
          <w:szCs w:val="20"/>
          <w:lang w:val="en-US" w:eastAsia="en-US"/>
        </w:rPr>
        <w:t xml:space="preserve"> Submission page 15</w:t>
      </w:r>
    </w:p>
    <w:p w:rsidR="00C44910" w:rsidRPr="004C567C" w:rsidRDefault="00312883" w:rsidP="00314E9D">
      <w:pPr>
        <w:pStyle w:val="ListParagraph"/>
        <w:ind w:left="709"/>
        <w:rPr>
          <w:rFonts w:ascii="Arial Narrow" w:hAnsi="Arial Narrow" w:cs="Arial"/>
          <w:sz w:val="20"/>
          <w:szCs w:val="20"/>
          <w:lang w:eastAsia="en-US"/>
        </w:rPr>
      </w:pPr>
      <w:r w:rsidRPr="004C567C">
        <w:rPr>
          <w:rFonts w:ascii="Arial Narrow" w:hAnsi="Arial Narrow" w:cs="Arial"/>
          <w:sz w:val="20"/>
          <w:szCs w:val="20"/>
          <w:lang w:eastAsia="en-US"/>
        </w:rPr>
        <w:t xml:space="preserve">Abbreviations: </w:t>
      </w:r>
      <w:r w:rsidR="00314E9D" w:rsidRPr="004C567C">
        <w:rPr>
          <w:rFonts w:ascii="Arial Narrow" w:hAnsi="Arial Narrow" w:cs="Arial"/>
          <w:sz w:val="20"/>
          <w:szCs w:val="20"/>
          <w:lang w:eastAsia="en-US"/>
        </w:rPr>
        <w:t>ACR=American College of Rheuma</w:t>
      </w:r>
      <w:r w:rsidR="00BE74F3">
        <w:rPr>
          <w:rFonts w:ascii="Arial Narrow" w:hAnsi="Arial Narrow" w:cs="Arial"/>
          <w:sz w:val="20"/>
          <w:szCs w:val="20"/>
          <w:lang w:eastAsia="en-US"/>
        </w:rPr>
        <w:t>tology; CI=confidence intervals</w:t>
      </w:r>
      <w:r w:rsidR="00314E9D" w:rsidRPr="004C567C">
        <w:rPr>
          <w:rFonts w:ascii="Arial Narrow" w:hAnsi="Arial Narrow" w:cs="Arial"/>
          <w:sz w:val="20"/>
          <w:szCs w:val="20"/>
          <w:lang w:eastAsia="en-US"/>
        </w:rPr>
        <w:t>; ITT=intent to treat; IV=intravenous; MTX=methotrexate;</w:t>
      </w:r>
      <w:r w:rsidRPr="004C567C">
        <w:rPr>
          <w:rFonts w:ascii="Arial Narrow" w:hAnsi="Arial Narrow" w:cs="Arial"/>
          <w:sz w:val="20"/>
          <w:szCs w:val="20"/>
          <w:lang w:eastAsia="en-US"/>
        </w:rPr>
        <w:t xml:space="preserve"> </w:t>
      </w:r>
      <w:r w:rsidR="00314E9D" w:rsidRPr="004C567C">
        <w:rPr>
          <w:rFonts w:ascii="Arial Narrow" w:hAnsi="Arial Narrow" w:cs="Arial"/>
          <w:sz w:val="20"/>
          <w:szCs w:val="20"/>
          <w:lang w:eastAsia="en-US"/>
        </w:rPr>
        <w:t>PP=per protocol; SC=subcutaneous.</w:t>
      </w:r>
    </w:p>
    <w:p w:rsidR="00314E9D" w:rsidRPr="004C567C" w:rsidRDefault="00314E9D" w:rsidP="00314E9D">
      <w:pPr>
        <w:pStyle w:val="ListParagraph"/>
        <w:ind w:left="709"/>
        <w:rPr>
          <w:szCs w:val="22"/>
        </w:rPr>
      </w:pPr>
    </w:p>
    <w:p w:rsidR="00C44910" w:rsidRPr="004C567C" w:rsidRDefault="00C44910" w:rsidP="008F2C2F">
      <w:pPr>
        <w:pStyle w:val="ListParagraph"/>
        <w:widowControl w:val="0"/>
        <w:numPr>
          <w:ilvl w:val="1"/>
          <w:numId w:val="5"/>
        </w:numPr>
        <w:jc w:val="both"/>
        <w:rPr>
          <w:rFonts w:ascii="Arial" w:hAnsi="Arial" w:cs="Arial"/>
          <w:sz w:val="22"/>
          <w:szCs w:val="22"/>
        </w:rPr>
      </w:pPr>
      <w:r w:rsidRPr="004C567C">
        <w:rPr>
          <w:rFonts w:ascii="Arial" w:hAnsi="Arial" w:cs="Arial"/>
          <w:sz w:val="22"/>
          <w:szCs w:val="22"/>
        </w:rPr>
        <w:t xml:space="preserve">The submission concluded that </w:t>
      </w:r>
      <w:proofErr w:type="spellStart"/>
      <w:r w:rsidR="00314E9D" w:rsidRPr="004C567C">
        <w:rPr>
          <w:rFonts w:ascii="Arial" w:hAnsi="Arial" w:cs="Arial"/>
          <w:sz w:val="22"/>
          <w:szCs w:val="22"/>
        </w:rPr>
        <w:t>tocilizumab</w:t>
      </w:r>
      <w:proofErr w:type="spellEnd"/>
      <w:r w:rsidRPr="004C567C">
        <w:rPr>
          <w:rFonts w:ascii="Arial" w:hAnsi="Arial" w:cs="Arial"/>
          <w:sz w:val="22"/>
          <w:szCs w:val="22"/>
        </w:rPr>
        <w:t xml:space="preserve"> SC was non-inferior to </w:t>
      </w:r>
      <w:proofErr w:type="spellStart"/>
      <w:r w:rsidR="00314E9D" w:rsidRPr="004C567C">
        <w:rPr>
          <w:rFonts w:ascii="Arial" w:hAnsi="Arial" w:cs="Arial"/>
          <w:sz w:val="22"/>
          <w:szCs w:val="22"/>
        </w:rPr>
        <w:t>tocilizumab</w:t>
      </w:r>
      <w:proofErr w:type="spellEnd"/>
      <w:r w:rsidRPr="004C567C">
        <w:rPr>
          <w:rFonts w:ascii="Arial" w:hAnsi="Arial" w:cs="Arial"/>
          <w:sz w:val="22"/>
          <w:szCs w:val="22"/>
        </w:rPr>
        <w:t xml:space="preserve"> IV. The </w:t>
      </w:r>
      <w:r w:rsidR="008F2C2F" w:rsidRPr="004C567C">
        <w:rPr>
          <w:rFonts w:ascii="Arial" w:hAnsi="Arial" w:cs="Arial"/>
          <w:sz w:val="22"/>
          <w:szCs w:val="22"/>
        </w:rPr>
        <w:t xml:space="preserve">ACR20 response at Week 24 using a non-inferiority margin of −12%. The percentages of patients who achieved an ACR20 response for </w:t>
      </w:r>
      <w:proofErr w:type="spellStart"/>
      <w:r w:rsidR="008F2C2F" w:rsidRPr="004C567C">
        <w:rPr>
          <w:rFonts w:ascii="Arial" w:hAnsi="Arial" w:cs="Arial"/>
          <w:sz w:val="22"/>
          <w:szCs w:val="22"/>
        </w:rPr>
        <w:t>tocilizumab</w:t>
      </w:r>
      <w:proofErr w:type="spellEnd"/>
      <w:r w:rsidR="008F2C2F" w:rsidRPr="004C567C">
        <w:rPr>
          <w:rFonts w:ascii="Arial" w:hAnsi="Arial" w:cs="Arial"/>
          <w:sz w:val="22"/>
          <w:szCs w:val="22"/>
        </w:rPr>
        <w:t xml:space="preserve"> SC and </w:t>
      </w:r>
      <w:proofErr w:type="spellStart"/>
      <w:r w:rsidR="008F2C2F" w:rsidRPr="004C567C">
        <w:rPr>
          <w:rFonts w:ascii="Arial" w:hAnsi="Arial" w:cs="Arial"/>
          <w:sz w:val="22"/>
          <w:szCs w:val="22"/>
        </w:rPr>
        <w:t>tocilizumab</w:t>
      </w:r>
      <w:proofErr w:type="spellEnd"/>
      <w:r w:rsidR="008F2C2F" w:rsidRPr="004C567C">
        <w:rPr>
          <w:rFonts w:ascii="Arial" w:hAnsi="Arial" w:cs="Arial"/>
          <w:sz w:val="22"/>
          <w:szCs w:val="22"/>
        </w:rPr>
        <w:t xml:space="preserve"> IV were 69.4% and 73.4%, respectively.</w:t>
      </w:r>
    </w:p>
    <w:p w:rsidR="00C44910" w:rsidRPr="004C567C" w:rsidRDefault="00C44910" w:rsidP="00C44910">
      <w:pPr>
        <w:pStyle w:val="ListParagraph"/>
        <w:rPr>
          <w:rFonts w:ascii="Arial" w:hAnsi="Arial" w:cs="Arial"/>
          <w:sz w:val="22"/>
          <w:szCs w:val="22"/>
        </w:rPr>
      </w:pPr>
    </w:p>
    <w:p w:rsidR="00C44910" w:rsidRPr="004C567C" w:rsidRDefault="008F2C2F" w:rsidP="00BE74F3">
      <w:pPr>
        <w:pStyle w:val="ListParagraph"/>
        <w:widowControl w:val="0"/>
        <w:numPr>
          <w:ilvl w:val="1"/>
          <w:numId w:val="5"/>
        </w:numPr>
        <w:jc w:val="both"/>
        <w:rPr>
          <w:rFonts w:ascii="Arial" w:hAnsi="Arial" w:cs="Arial"/>
          <w:sz w:val="22"/>
          <w:szCs w:val="22"/>
        </w:rPr>
      </w:pPr>
      <w:r w:rsidRPr="004C567C">
        <w:rPr>
          <w:rFonts w:ascii="Arial" w:hAnsi="Arial" w:cs="Arial"/>
          <w:sz w:val="22"/>
          <w:szCs w:val="22"/>
        </w:rPr>
        <w:t>Analysis of the secondary endpoints of ACR50 responders, ACR70 responders,</w:t>
      </w:r>
      <w:r w:rsidR="00BE74F3" w:rsidRPr="00BE74F3">
        <w:t xml:space="preserve"> </w:t>
      </w:r>
      <w:r w:rsidR="00BE74F3" w:rsidRPr="00BE74F3">
        <w:rPr>
          <w:rFonts w:ascii="Arial" w:hAnsi="Arial" w:cs="Arial"/>
          <w:sz w:val="22"/>
          <w:szCs w:val="22"/>
        </w:rPr>
        <w:t>disease activity score</w:t>
      </w:r>
      <w:r w:rsidRPr="004C567C">
        <w:rPr>
          <w:rFonts w:ascii="Arial" w:hAnsi="Arial" w:cs="Arial"/>
          <w:sz w:val="22"/>
          <w:szCs w:val="22"/>
        </w:rPr>
        <w:t xml:space="preserve"> </w:t>
      </w:r>
      <w:r w:rsidR="00BE74F3">
        <w:rPr>
          <w:rFonts w:ascii="Arial" w:hAnsi="Arial" w:cs="Arial"/>
          <w:sz w:val="22"/>
          <w:szCs w:val="22"/>
        </w:rPr>
        <w:t>(</w:t>
      </w:r>
      <w:r w:rsidRPr="004C567C">
        <w:rPr>
          <w:rFonts w:ascii="Arial" w:hAnsi="Arial" w:cs="Arial"/>
          <w:sz w:val="22"/>
          <w:szCs w:val="22"/>
        </w:rPr>
        <w:t>DAS remission</w:t>
      </w:r>
      <w:r w:rsidR="00BE74F3">
        <w:rPr>
          <w:rFonts w:ascii="Arial" w:hAnsi="Arial" w:cs="Arial"/>
          <w:sz w:val="22"/>
          <w:szCs w:val="22"/>
        </w:rPr>
        <w:t>)</w:t>
      </w:r>
      <w:r w:rsidRPr="004C567C">
        <w:rPr>
          <w:rFonts w:ascii="Arial" w:hAnsi="Arial" w:cs="Arial"/>
          <w:sz w:val="22"/>
          <w:szCs w:val="22"/>
        </w:rPr>
        <w:t xml:space="preserve">, decrease in HAQ-DI, and withdrawal for lack of therapeutic response </w:t>
      </w:r>
      <w:r w:rsidR="00BA6B47" w:rsidRPr="004C567C">
        <w:rPr>
          <w:rFonts w:ascii="Arial" w:hAnsi="Arial" w:cs="Arial"/>
          <w:sz w:val="22"/>
          <w:szCs w:val="22"/>
        </w:rPr>
        <w:t xml:space="preserve">is presented below </w:t>
      </w:r>
      <w:r w:rsidRPr="004C567C">
        <w:rPr>
          <w:rFonts w:ascii="Arial" w:hAnsi="Arial" w:cs="Arial"/>
          <w:sz w:val="22"/>
          <w:szCs w:val="22"/>
        </w:rPr>
        <w:t>(Table 3)</w:t>
      </w:r>
      <w:r w:rsidR="00BA6B47" w:rsidRPr="004C567C">
        <w:rPr>
          <w:rFonts w:ascii="Arial" w:hAnsi="Arial" w:cs="Arial"/>
          <w:sz w:val="22"/>
          <w:szCs w:val="22"/>
        </w:rPr>
        <w:t>.</w:t>
      </w:r>
    </w:p>
    <w:p w:rsidR="00C82F19" w:rsidRDefault="00C82F19">
      <w:pPr>
        <w:rPr>
          <w:szCs w:val="22"/>
        </w:rPr>
      </w:pPr>
      <w:r>
        <w:rPr>
          <w:szCs w:val="22"/>
        </w:rPr>
        <w:br w:type="page"/>
      </w:r>
    </w:p>
    <w:p w:rsidR="00C44910" w:rsidRPr="004C567C" w:rsidRDefault="00C44910" w:rsidP="00C44910">
      <w:pPr>
        <w:pStyle w:val="ListParagraph"/>
        <w:rPr>
          <w:szCs w:val="22"/>
        </w:rPr>
      </w:pPr>
    </w:p>
    <w:p w:rsidR="00C44910" w:rsidRPr="004C567C" w:rsidRDefault="00C44910" w:rsidP="00C44910">
      <w:pPr>
        <w:pStyle w:val="NoSpacing"/>
        <w:keepNext/>
        <w:ind w:left="709"/>
        <w:rPr>
          <w:rFonts w:ascii="Arial Narrow" w:hAnsi="Arial Narrow"/>
          <w:b/>
          <w:sz w:val="20"/>
          <w:szCs w:val="20"/>
        </w:rPr>
      </w:pPr>
      <w:r w:rsidRPr="004C567C">
        <w:rPr>
          <w:rFonts w:ascii="Arial Narrow" w:hAnsi="Arial Narrow"/>
          <w:b/>
          <w:sz w:val="20"/>
          <w:szCs w:val="20"/>
        </w:rPr>
        <w:t xml:space="preserve">Table 3: </w:t>
      </w:r>
      <w:r w:rsidR="008F2C2F" w:rsidRPr="004C567C">
        <w:rPr>
          <w:rFonts w:ascii="Arial Narrow" w:hAnsi="Arial Narrow"/>
          <w:b/>
          <w:sz w:val="20"/>
          <w:szCs w:val="20"/>
        </w:rPr>
        <w:t>Summary of data for the secondary outcomes of SUMMACTA</w:t>
      </w:r>
    </w:p>
    <w:tbl>
      <w:tblPr>
        <w:tblW w:w="4558" w:type="pct"/>
        <w:tblInd w:w="817" w:type="dxa"/>
        <w:tblLook w:val="0000" w:firstRow="0" w:lastRow="0" w:firstColumn="0" w:lastColumn="0" w:noHBand="0" w:noVBand="0"/>
      </w:tblPr>
      <w:tblGrid>
        <w:gridCol w:w="2523"/>
        <w:gridCol w:w="1949"/>
        <w:gridCol w:w="2003"/>
        <w:gridCol w:w="1950"/>
      </w:tblGrid>
      <w:tr w:rsidR="008F2C2F" w:rsidRPr="004C567C" w:rsidTr="00694AA7">
        <w:trPr>
          <w:tblHeader/>
        </w:trPr>
        <w:tc>
          <w:tcPr>
            <w:tcW w:w="1497" w:type="pct"/>
            <w:tcBorders>
              <w:top w:val="single" w:sz="4" w:space="0" w:color="auto"/>
              <w:left w:val="single" w:sz="4" w:space="0" w:color="auto"/>
              <w:bottom w:val="single" w:sz="4" w:space="0" w:color="auto"/>
              <w:right w:val="single" w:sz="4" w:space="0" w:color="auto"/>
            </w:tcBorders>
            <w:vAlign w:val="center"/>
          </w:tcPr>
          <w:p w:rsidR="008F2C2F" w:rsidRPr="004C567C" w:rsidRDefault="008F2C2F" w:rsidP="00B15895">
            <w:pPr>
              <w:rPr>
                <w:rFonts w:ascii="Arial Narrow" w:hAnsi="Arial Narrow" w:cs="Arial"/>
                <w:b/>
                <w:sz w:val="20"/>
                <w:szCs w:val="20"/>
              </w:rPr>
            </w:pPr>
            <w:r w:rsidRPr="004C567C">
              <w:rPr>
                <w:rFonts w:ascii="Arial Narrow" w:hAnsi="Arial Narrow" w:cs="Arial"/>
                <w:b/>
                <w:sz w:val="20"/>
                <w:szCs w:val="20"/>
              </w:rPr>
              <w:t>Efficacy</w:t>
            </w:r>
          </w:p>
        </w:tc>
        <w:tc>
          <w:tcPr>
            <w:tcW w:w="1156" w:type="pct"/>
            <w:tcBorders>
              <w:top w:val="single" w:sz="4" w:space="0" w:color="auto"/>
              <w:left w:val="nil"/>
              <w:bottom w:val="single" w:sz="4" w:space="0" w:color="auto"/>
              <w:right w:val="single" w:sz="4" w:space="0" w:color="auto"/>
            </w:tcBorders>
            <w:vAlign w:val="center"/>
          </w:tcPr>
          <w:p w:rsidR="008F2C2F" w:rsidRPr="004C567C" w:rsidRDefault="008F2C2F" w:rsidP="00B15895">
            <w:pPr>
              <w:jc w:val="center"/>
              <w:rPr>
                <w:rFonts w:ascii="Arial Narrow" w:hAnsi="Arial Narrow" w:cs="Arial"/>
                <w:b/>
                <w:sz w:val="20"/>
                <w:szCs w:val="20"/>
              </w:rPr>
            </w:pPr>
            <w:r w:rsidRPr="004C567C">
              <w:rPr>
                <w:rFonts w:ascii="Arial Narrow" w:hAnsi="Arial Narrow" w:cs="Arial"/>
                <w:b/>
                <w:sz w:val="20"/>
                <w:szCs w:val="20"/>
              </w:rPr>
              <w:t xml:space="preserve">162 mg SC </w:t>
            </w:r>
            <w:proofErr w:type="spellStart"/>
            <w:r w:rsidRPr="004C567C">
              <w:rPr>
                <w:rFonts w:ascii="Arial Narrow" w:hAnsi="Arial Narrow" w:cs="Arial"/>
                <w:b/>
                <w:sz w:val="20"/>
                <w:szCs w:val="20"/>
              </w:rPr>
              <w:t>qw+MTX</w:t>
            </w:r>
            <w:proofErr w:type="spellEnd"/>
            <w:r w:rsidRPr="004C567C">
              <w:rPr>
                <w:rFonts w:ascii="Arial Narrow" w:hAnsi="Arial Narrow" w:cs="Arial"/>
                <w:b/>
                <w:sz w:val="20"/>
                <w:szCs w:val="20"/>
              </w:rPr>
              <w:br/>
              <w:t>(N=558)</w:t>
            </w:r>
          </w:p>
        </w:tc>
        <w:tc>
          <w:tcPr>
            <w:tcW w:w="1189" w:type="pct"/>
            <w:tcBorders>
              <w:top w:val="single" w:sz="4" w:space="0" w:color="auto"/>
              <w:left w:val="nil"/>
              <w:bottom w:val="single" w:sz="4" w:space="0" w:color="auto"/>
              <w:right w:val="single" w:sz="4" w:space="0" w:color="auto"/>
            </w:tcBorders>
            <w:vAlign w:val="center"/>
          </w:tcPr>
          <w:p w:rsidR="008F2C2F" w:rsidRPr="004C567C" w:rsidRDefault="008F2C2F" w:rsidP="00B15895">
            <w:pPr>
              <w:jc w:val="center"/>
              <w:rPr>
                <w:rFonts w:ascii="Arial Narrow" w:hAnsi="Arial Narrow" w:cs="Arial"/>
                <w:b/>
                <w:sz w:val="20"/>
                <w:szCs w:val="20"/>
              </w:rPr>
            </w:pPr>
            <w:r w:rsidRPr="004C567C">
              <w:rPr>
                <w:rFonts w:ascii="Arial Narrow" w:hAnsi="Arial Narrow" w:cs="Arial"/>
                <w:b/>
                <w:sz w:val="20"/>
                <w:szCs w:val="20"/>
              </w:rPr>
              <w:t>8 mg/kg IV q4w+MTX</w:t>
            </w:r>
            <w:r w:rsidRPr="004C567C">
              <w:rPr>
                <w:rFonts w:ascii="Arial Narrow" w:hAnsi="Arial Narrow" w:cs="Arial"/>
                <w:b/>
                <w:sz w:val="20"/>
                <w:szCs w:val="20"/>
              </w:rPr>
              <w:br/>
              <w:t>(N=537)</w:t>
            </w:r>
          </w:p>
        </w:tc>
        <w:tc>
          <w:tcPr>
            <w:tcW w:w="1157" w:type="pct"/>
            <w:tcBorders>
              <w:top w:val="single" w:sz="4" w:space="0" w:color="auto"/>
              <w:left w:val="nil"/>
              <w:bottom w:val="single" w:sz="4" w:space="0" w:color="auto"/>
              <w:right w:val="single" w:sz="4" w:space="0" w:color="auto"/>
            </w:tcBorders>
          </w:tcPr>
          <w:p w:rsidR="008F2C2F" w:rsidRPr="004C567C" w:rsidRDefault="008F2C2F" w:rsidP="00B15895">
            <w:pPr>
              <w:jc w:val="center"/>
              <w:rPr>
                <w:rFonts w:ascii="Arial Narrow" w:hAnsi="Arial Narrow" w:cs="Arial"/>
                <w:b/>
                <w:sz w:val="20"/>
                <w:szCs w:val="20"/>
              </w:rPr>
            </w:pPr>
            <w:r w:rsidRPr="004C567C">
              <w:rPr>
                <w:rFonts w:ascii="Arial Narrow" w:hAnsi="Arial Narrow" w:cs="Arial"/>
                <w:b/>
                <w:sz w:val="20"/>
                <w:szCs w:val="20"/>
              </w:rPr>
              <w:t>Weighted difference</w:t>
            </w:r>
            <w:r w:rsidRPr="004C567C">
              <w:rPr>
                <w:rFonts w:ascii="Arial Narrow" w:hAnsi="Arial Narrow" w:cs="Arial"/>
                <w:b/>
                <w:sz w:val="20"/>
                <w:szCs w:val="20"/>
              </w:rPr>
              <w:br/>
              <w:t>(95% CI)</w:t>
            </w:r>
          </w:p>
        </w:tc>
      </w:tr>
      <w:tr w:rsidR="008F2C2F" w:rsidRPr="004C567C" w:rsidTr="00694AA7">
        <w:tc>
          <w:tcPr>
            <w:tcW w:w="1497" w:type="pct"/>
            <w:tcBorders>
              <w:top w:val="single" w:sz="4" w:space="0" w:color="auto"/>
              <w:left w:val="single" w:sz="4" w:space="0" w:color="auto"/>
              <w:right w:val="single" w:sz="4" w:space="0" w:color="auto"/>
            </w:tcBorders>
          </w:tcPr>
          <w:p w:rsidR="008F2C2F" w:rsidRPr="004C567C" w:rsidRDefault="008F2C2F" w:rsidP="00B15895">
            <w:pPr>
              <w:ind w:left="601" w:hanging="601"/>
              <w:rPr>
                <w:rFonts w:ascii="Arial Narrow" w:hAnsi="Arial Narrow" w:cs="Arial"/>
                <w:sz w:val="20"/>
                <w:szCs w:val="20"/>
              </w:rPr>
            </w:pPr>
            <w:r w:rsidRPr="004C567C">
              <w:rPr>
                <w:rFonts w:ascii="Arial Narrow" w:hAnsi="Arial Narrow" w:cs="Arial"/>
                <w:sz w:val="20"/>
                <w:szCs w:val="20"/>
              </w:rPr>
              <w:t>Secondary endpoints at week 24</w:t>
            </w:r>
          </w:p>
        </w:tc>
        <w:tc>
          <w:tcPr>
            <w:tcW w:w="1156" w:type="pct"/>
            <w:tcBorders>
              <w:top w:val="single" w:sz="4" w:space="0" w:color="auto"/>
              <w:left w:val="nil"/>
              <w:right w:val="single" w:sz="4" w:space="0" w:color="auto"/>
            </w:tcBorders>
            <w:vAlign w:val="center"/>
          </w:tcPr>
          <w:p w:rsidR="008F2C2F" w:rsidRPr="004C567C" w:rsidRDefault="008F2C2F" w:rsidP="00B15895">
            <w:pPr>
              <w:tabs>
                <w:tab w:val="left" w:pos="732"/>
              </w:tabs>
              <w:ind w:left="132"/>
              <w:jc w:val="center"/>
              <w:rPr>
                <w:rFonts w:ascii="Arial Narrow" w:hAnsi="Arial Narrow" w:cs="Arial"/>
                <w:sz w:val="20"/>
                <w:szCs w:val="20"/>
              </w:rPr>
            </w:pPr>
          </w:p>
        </w:tc>
        <w:tc>
          <w:tcPr>
            <w:tcW w:w="1189" w:type="pct"/>
            <w:tcBorders>
              <w:top w:val="single" w:sz="4" w:space="0" w:color="auto"/>
              <w:left w:val="nil"/>
              <w:right w:val="single" w:sz="4" w:space="0" w:color="auto"/>
            </w:tcBorders>
            <w:vAlign w:val="center"/>
          </w:tcPr>
          <w:p w:rsidR="008F2C2F" w:rsidRPr="004C567C" w:rsidRDefault="008F2C2F" w:rsidP="00B15895">
            <w:pPr>
              <w:tabs>
                <w:tab w:val="left" w:pos="732"/>
              </w:tabs>
              <w:ind w:left="132"/>
              <w:jc w:val="center"/>
              <w:rPr>
                <w:rFonts w:ascii="Arial Narrow" w:hAnsi="Arial Narrow" w:cs="Arial"/>
                <w:sz w:val="20"/>
                <w:szCs w:val="20"/>
              </w:rPr>
            </w:pPr>
          </w:p>
        </w:tc>
        <w:tc>
          <w:tcPr>
            <w:tcW w:w="1157" w:type="pct"/>
            <w:tcBorders>
              <w:top w:val="single" w:sz="4" w:space="0" w:color="auto"/>
              <w:left w:val="nil"/>
              <w:right w:val="single" w:sz="4" w:space="0" w:color="auto"/>
            </w:tcBorders>
            <w:vAlign w:val="center"/>
          </w:tcPr>
          <w:p w:rsidR="008F2C2F" w:rsidRPr="004C567C" w:rsidRDefault="008F2C2F" w:rsidP="00B15895">
            <w:pPr>
              <w:tabs>
                <w:tab w:val="left" w:pos="732"/>
              </w:tabs>
              <w:ind w:left="132"/>
              <w:jc w:val="center"/>
              <w:rPr>
                <w:rFonts w:ascii="Arial Narrow" w:hAnsi="Arial Narrow" w:cs="Arial"/>
                <w:sz w:val="20"/>
                <w:szCs w:val="20"/>
              </w:rPr>
            </w:pPr>
          </w:p>
        </w:tc>
      </w:tr>
      <w:tr w:rsidR="008F2C2F" w:rsidRPr="004C567C" w:rsidTr="00694AA7">
        <w:tc>
          <w:tcPr>
            <w:tcW w:w="1497" w:type="pct"/>
            <w:tcBorders>
              <w:left w:val="single" w:sz="4" w:space="0" w:color="auto"/>
              <w:right w:val="single" w:sz="4" w:space="0" w:color="auto"/>
            </w:tcBorders>
          </w:tcPr>
          <w:p w:rsidR="008F2C2F" w:rsidRPr="004C567C" w:rsidRDefault="008F2C2F" w:rsidP="00B15895">
            <w:pPr>
              <w:rPr>
                <w:rFonts w:ascii="Arial Narrow" w:hAnsi="Arial Narrow" w:cs="Arial"/>
                <w:sz w:val="20"/>
                <w:szCs w:val="20"/>
              </w:rPr>
            </w:pPr>
            <w:r w:rsidRPr="004C567C">
              <w:rPr>
                <w:rFonts w:ascii="Arial Narrow" w:hAnsi="Arial Narrow" w:cs="Arial"/>
                <w:sz w:val="20"/>
                <w:szCs w:val="20"/>
              </w:rPr>
              <w:t>ACR50 responders, n (%)</w:t>
            </w:r>
          </w:p>
        </w:tc>
        <w:tc>
          <w:tcPr>
            <w:tcW w:w="1156" w:type="pct"/>
            <w:tcBorders>
              <w:left w:val="nil"/>
              <w:right w:val="single" w:sz="4" w:space="0" w:color="auto"/>
            </w:tcBorders>
            <w:vAlign w:val="center"/>
          </w:tcPr>
          <w:p w:rsidR="008F2C2F" w:rsidRPr="004C567C" w:rsidRDefault="008F2C2F" w:rsidP="00B15895">
            <w:pPr>
              <w:tabs>
                <w:tab w:val="left" w:pos="732"/>
              </w:tabs>
              <w:ind w:left="132"/>
              <w:jc w:val="center"/>
              <w:rPr>
                <w:rFonts w:ascii="Arial Narrow" w:hAnsi="Arial Narrow" w:cs="Arial"/>
                <w:sz w:val="20"/>
                <w:szCs w:val="20"/>
              </w:rPr>
            </w:pPr>
            <w:r w:rsidRPr="004C567C">
              <w:rPr>
                <w:rFonts w:ascii="Arial Narrow" w:hAnsi="Arial Narrow" w:cs="Arial"/>
                <w:sz w:val="20"/>
                <w:szCs w:val="20"/>
              </w:rPr>
              <w:t>262 (47.0)</w:t>
            </w:r>
          </w:p>
        </w:tc>
        <w:tc>
          <w:tcPr>
            <w:tcW w:w="1189" w:type="pct"/>
            <w:tcBorders>
              <w:left w:val="nil"/>
              <w:right w:val="single" w:sz="4" w:space="0" w:color="auto"/>
            </w:tcBorders>
            <w:vAlign w:val="center"/>
          </w:tcPr>
          <w:p w:rsidR="008F2C2F" w:rsidRPr="004C567C" w:rsidRDefault="008F2C2F" w:rsidP="00B15895">
            <w:pPr>
              <w:tabs>
                <w:tab w:val="left" w:pos="732"/>
              </w:tabs>
              <w:ind w:left="132"/>
              <w:jc w:val="center"/>
              <w:rPr>
                <w:rFonts w:ascii="Arial Narrow" w:hAnsi="Arial Narrow" w:cs="Arial"/>
                <w:sz w:val="20"/>
                <w:szCs w:val="20"/>
              </w:rPr>
            </w:pPr>
            <w:r w:rsidRPr="004C567C">
              <w:rPr>
                <w:rFonts w:ascii="Arial Narrow" w:hAnsi="Arial Narrow" w:cs="Arial"/>
                <w:sz w:val="20"/>
                <w:szCs w:val="20"/>
              </w:rPr>
              <w:t>261 (48.6)</w:t>
            </w:r>
          </w:p>
        </w:tc>
        <w:tc>
          <w:tcPr>
            <w:tcW w:w="1157" w:type="pct"/>
            <w:tcBorders>
              <w:left w:val="nil"/>
              <w:right w:val="single" w:sz="4" w:space="0" w:color="auto"/>
            </w:tcBorders>
            <w:vAlign w:val="center"/>
          </w:tcPr>
          <w:p w:rsidR="008F2C2F" w:rsidRPr="004C567C" w:rsidRDefault="008F2C2F" w:rsidP="00B15895">
            <w:pPr>
              <w:tabs>
                <w:tab w:val="left" w:pos="732"/>
              </w:tabs>
              <w:ind w:left="132"/>
              <w:jc w:val="center"/>
              <w:rPr>
                <w:rFonts w:ascii="Arial Narrow" w:hAnsi="Arial Narrow" w:cs="Arial"/>
                <w:sz w:val="20"/>
                <w:szCs w:val="20"/>
              </w:rPr>
            </w:pPr>
            <w:r w:rsidRPr="004C567C">
              <w:rPr>
                <w:rFonts w:ascii="Arial Narrow" w:hAnsi="Arial Narrow" w:cs="Arial"/>
                <w:sz w:val="20"/>
                <w:szCs w:val="20"/>
              </w:rPr>
              <w:t>−1.8 (−7.5, 4.0)</w:t>
            </w:r>
          </w:p>
        </w:tc>
      </w:tr>
      <w:tr w:rsidR="008F2C2F" w:rsidRPr="004C567C" w:rsidTr="00694AA7">
        <w:tc>
          <w:tcPr>
            <w:tcW w:w="1497" w:type="pct"/>
            <w:tcBorders>
              <w:left w:val="single" w:sz="4" w:space="0" w:color="auto"/>
              <w:right w:val="single" w:sz="4" w:space="0" w:color="auto"/>
            </w:tcBorders>
          </w:tcPr>
          <w:p w:rsidR="008F2C2F" w:rsidRPr="004C567C" w:rsidRDefault="008F2C2F" w:rsidP="00B15895">
            <w:pPr>
              <w:rPr>
                <w:rFonts w:ascii="Arial Narrow" w:hAnsi="Arial Narrow" w:cs="Arial"/>
                <w:sz w:val="20"/>
                <w:szCs w:val="20"/>
              </w:rPr>
            </w:pPr>
            <w:r w:rsidRPr="004C567C">
              <w:rPr>
                <w:rFonts w:ascii="Arial Narrow" w:hAnsi="Arial Narrow" w:cs="Arial"/>
                <w:sz w:val="20"/>
                <w:szCs w:val="20"/>
              </w:rPr>
              <w:t>ACR70 responders, n (%)</w:t>
            </w:r>
          </w:p>
        </w:tc>
        <w:tc>
          <w:tcPr>
            <w:tcW w:w="1156" w:type="pct"/>
            <w:tcBorders>
              <w:left w:val="nil"/>
              <w:right w:val="single" w:sz="4" w:space="0" w:color="auto"/>
            </w:tcBorders>
            <w:vAlign w:val="center"/>
          </w:tcPr>
          <w:p w:rsidR="008F2C2F" w:rsidRPr="004C567C" w:rsidRDefault="008F2C2F" w:rsidP="00B15895">
            <w:pPr>
              <w:tabs>
                <w:tab w:val="left" w:pos="732"/>
              </w:tabs>
              <w:ind w:left="132"/>
              <w:jc w:val="center"/>
              <w:rPr>
                <w:rFonts w:ascii="Arial Narrow" w:hAnsi="Arial Narrow" w:cs="Arial"/>
                <w:sz w:val="20"/>
                <w:szCs w:val="20"/>
              </w:rPr>
            </w:pPr>
            <w:r w:rsidRPr="004C567C">
              <w:rPr>
                <w:rFonts w:ascii="Arial Narrow" w:hAnsi="Arial Narrow" w:cs="Arial"/>
                <w:sz w:val="20"/>
                <w:szCs w:val="20"/>
              </w:rPr>
              <w:t>134 (24.0)</w:t>
            </w:r>
          </w:p>
        </w:tc>
        <w:tc>
          <w:tcPr>
            <w:tcW w:w="1189" w:type="pct"/>
            <w:tcBorders>
              <w:left w:val="nil"/>
              <w:right w:val="single" w:sz="4" w:space="0" w:color="auto"/>
            </w:tcBorders>
            <w:vAlign w:val="center"/>
          </w:tcPr>
          <w:p w:rsidR="008F2C2F" w:rsidRPr="004C567C" w:rsidRDefault="008F2C2F" w:rsidP="00B15895">
            <w:pPr>
              <w:tabs>
                <w:tab w:val="left" w:pos="732"/>
              </w:tabs>
              <w:ind w:left="132"/>
              <w:jc w:val="center"/>
              <w:rPr>
                <w:rFonts w:ascii="Arial Narrow" w:hAnsi="Arial Narrow" w:cs="Arial"/>
                <w:sz w:val="20"/>
                <w:szCs w:val="20"/>
              </w:rPr>
            </w:pPr>
            <w:r w:rsidRPr="004C567C">
              <w:rPr>
                <w:rFonts w:ascii="Arial Narrow" w:hAnsi="Arial Narrow" w:cs="Arial"/>
                <w:sz w:val="20"/>
                <w:szCs w:val="20"/>
              </w:rPr>
              <w:t>150 (27.9)</w:t>
            </w:r>
          </w:p>
        </w:tc>
        <w:tc>
          <w:tcPr>
            <w:tcW w:w="1157" w:type="pct"/>
            <w:tcBorders>
              <w:left w:val="nil"/>
              <w:right w:val="single" w:sz="4" w:space="0" w:color="auto"/>
            </w:tcBorders>
            <w:vAlign w:val="center"/>
          </w:tcPr>
          <w:p w:rsidR="008F2C2F" w:rsidRPr="004C567C" w:rsidRDefault="008F2C2F" w:rsidP="00B15895">
            <w:pPr>
              <w:tabs>
                <w:tab w:val="left" w:pos="732"/>
              </w:tabs>
              <w:ind w:left="132"/>
              <w:jc w:val="center"/>
              <w:rPr>
                <w:rFonts w:ascii="Arial Narrow" w:hAnsi="Arial Narrow" w:cs="Arial"/>
                <w:sz w:val="20"/>
                <w:szCs w:val="20"/>
              </w:rPr>
            </w:pPr>
            <w:r w:rsidRPr="004C567C">
              <w:rPr>
                <w:rFonts w:ascii="Arial Narrow" w:hAnsi="Arial Narrow" w:cs="Arial"/>
                <w:sz w:val="20"/>
                <w:szCs w:val="20"/>
              </w:rPr>
              <w:t>−3.8 (−9.0, 1.3)</w:t>
            </w:r>
          </w:p>
        </w:tc>
      </w:tr>
      <w:tr w:rsidR="008F2C2F" w:rsidRPr="004C567C" w:rsidTr="00694AA7">
        <w:tc>
          <w:tcPr>
            <w:tcW w:w="1497" w:type="pct"/>
            <w:tcBorders>
              <w:left w:val="single" w:sz="4" w:space="0" w:color="auto"/>
              <w:right w:val="single" w:sz="4" w:space="0" w:color="auto"/>
            </w:tcBorders>
          </w:tcPr>
          <w:p w:rsidR="008F2C2F" w:rsidRPr="004C567C" w:rsidRDefault="008F2C2F" w:rsidP="00B15895">
            <w:pPr>
              <w:rPr>
                <w:rFonts w:ascii="Arial Narrow" w:hAnsi="Arial Narrow" w:cs="Arial"/>
                <w:sz w:val="20"/>
                <w:szCs w:val="20"/>
              </w:rPr>
            </w:pPr>
            <w:r w:rsidRPr="004C567C">
              <w:rPr>
                <w:rFonts w:ascii="Arial Narrow" w:hAnsi="Arial Narrow" w:cs="Arial"/>
                <w:sz w:val="20"/>
                <w:szCs w:val="20"/>
              </w:rPr>
              <w:t>DAS remission (&lt; 2.6) n (%)</w:t>
            </w:r>
          </w:p>
        </w:tc>
        <w:tc>
          <w:tcPr>
            <w:tcW w:w="1156" w:type="pct"/>
            <w:tcBorders>
              <w:left w:val="nil"/>
              <w:right w:val="single" w:sz="4" w:space="0" w:color="auto"/>
            </w:tcBorders>
            <w:vAlign w:val="center"/>
          </w:tcPr>
          <w:p w:rsidR="008F2C2F" w:rsidRPr="004C567C" w:rsidRDefault="008F2C2F" w:rsidP="00B15895">
            <w:pPr>
              <w:tabs>
                <w:tab w:val="left" w:pos="732"/>
              </w:tabs>
              <w:ind w:left="132"/>
              <w:jc w:val="center"/>
              <w:rPr>
                <w:rFonts w:ascii="Arial Narrow" w:hAnsi="Arial Narrow" w:cs="Arial"/>
                <w:sz w:val="20"/>
                <w:szCs w:val="20"/>
              </w:rPr>
            </w:pPr>
            <w:r w:rsidRPr="004C567C">
              <w:rPr>
                <w:rFonts w:ascii="Arial Narrow" w:hAnsi="Arial Narrow" w:cs="Arial"/>
                <w:sz w:val="20"/>
                <w:szCs w:val="20"/>
              </w:rPr>
              <w:t>198 (38.4)</w:t>
            </w:r>
          </w:p>
        </w:tc>
        <w:tc>
          <w:tcPr>
            <w:tcW w:w="1189" w:type="pct"/>
            <w:tcBorders>
              <w:left w:val="nil"/>
              <w:right w:val="single" w:sz="4" w:space="0" w:color="auto"/>
            </w:tcBorders>
            <w:vAlign w:val="center"/>
          </w:tcPr>
          <w:p w:rsidR="008F2C2F" w:rsidRPr="004C567C" w:rsidRDefault="008F2C2F" w:rsidP="00B15895">
            <w:pPr>
              <w:tabs>
                <w:tab w:val="left" w:pos="732"/>
              </w:tabs>
              <w:ind w:left="132"/>
              <w:jc w:val="center"/>
              <w:rPr>
                <w:rFonts w:ascii="Arial Narrow" w:hAnsi="Arial Narrow" w:cs="Arial"/>
                <w:sz w:val="20"/>
                <w:szCs w:val="20"/>
              </w:rPr>
            </w:pPr>
            <w:r w:rsidRPr="004C567C">
              <w:rPr>
                <w:rFonts w:ascii="Arial Narrow" w:hAnsi="Arial Narrow" w:cs="Arial"/>
                <w:sz w:val="20"/>
                <w:szCs w:val="20"/>
              </w:rPr>
              <w:t>184 (36.9)</w:t>
            </w:r>
          </w:p>
        </w:tc>
        <w:tc>
          <w:tcPr>
            <w:tcW w:w="1157" w:type="pct"/>
            <w:tcBorders>
              <w:left w:val="nil"/>
              <w:right w:val="single" w:sz="4" w:space="0" w:color="auto"/>
            </w:tcBorders>
            <w:vAlign w:val="center"/>
          </w:tcPr>
          <w:p w:rsidR="008F2C2F" w:rsidRPr="004C567C" w:rsidRDefault="008F2C2F" w:rsidP="00B15895">
            <w:pPr>
              <w:tabs>
                <w:tab w:val="left" w:pos="732"/>
              </w:tabs>
              <w:ind w:left="132"/>
              <w:jc w:val="center"/>
              <w:rPr>
                <w:rFonts w:ascii="Arial Narrow" w:hAnsi="Arial Narrow" w:cs="Arial"/>
                <w:sz w:val="20"/>
                <w:szCs w:val="20"/>
              </w:rPr>
            </w:pPr>
            <w:r w:rsidRPr="004C567C">
              <w:rPr>
                <w:rFonts w:ascii="Arial Narrow" w:hAnsi="Arial Narrow" w:cs="Arial"/>
                <w:sz w:val="20"/>
                <w:szCs w:val="20"/>
              </w:rPr>
              <w:t>0.9 (−5.0, 6.8)</w:t>
            </w:r>
          </w:p>
        </w:tc>
      </w:tr>
      <w:tr w:rsidR="008F2C2F" w:rsidRPr="004C567C" w:rsidTr="00694AA7">
        <w:tc>
          <w:tcPr>
            <w:tcW w:w="1497" w:type="pct"/>
            <w:tcBorders>
              <w:left w:val="single" w:sz="4" w:space="0" w:color="auto"/>
              <w:right w:val="single" w:sz="4" w:space="0" w:color="auto"/>
            </w:tcBorders>
          </w:tcPr>
          <w:p w:rsidR="008F2C2F" w:rsidRPr="004C567C" w:rsidRDefault="008F2C2F" w:rsidP="00B15895">
            <w:pPr>
              <w:rPr>
                <w:rFonts w:ascii="Arial Narrow" w:hAnsi="Arial Narrow" w:cs="Arial"/>
                <w:sz w:val="20"/>
                <w:szCs w:val="20"/>
              </w:rPr>
            </w:pPr>
            <w:r w:rsidRPr="004C567C">
              <w:rPr>
                <w:rFonts w:ascii="Arial Narrow" w:hAnsi="Arial Narrow" w:cs="Arial"/>
                <w:sz w:val="20"/>
                <w:szCs w:val="20"/>
              </w:rPr>
              <w:t>Decrease in HAQ-DI ≥ (0.3) n (%)</w:t>
            </w:r>
          </w:p>
        </w:tc>
        <w:tc>
          <w:tcPr>
            <w:tcW w:w="1156" w:type="pct"/>
            <w:tcBorders>
              <w:left w:val="nil"/>
              <w:right w:val="single" w:sz="4" w:space="0" w:color="auto"/>
            </w:tcBorders>
            <w:vAlign w:val="center"/>
          </w:tcPr>
          <w:p w:rsidR="008F2C2F" w:rsidRPr="004C567C" w:rsidRDefault="008F2C2F" w:rsidP="00B15895">
            <w:pPr>
              <w:tabs>
                <w:tab w:val="left" w:pos="732"/>
              </w:tabs>
              <w:ind w:left="132"/>
              <w:jc w:val="center"/>
              <w:rPr>
                <w:rFonts w:ascii="Arial Narrow" w:hAnsi="Arial Narrow" w:cs="Arial"/>
                <w:sz w:val="20"/>
                <w:szCs w:val="20"/>
              </w:rPr>
            </w:pPr>
            <w:r w:rsidRPr="004C567C">
              <w:rPr>
                <w:rFonts w:ascii="Arial Narrow" w:hAnsi="Arial Narrow" w:cs="Arial"/>
                <w:sz w:val="20"/>
                <w:szCs w:val="20"/>
              </w:rPr>
              <w:t>336 (65.2)</w:t>
            </w:r>
          </w:p>
        </w:tc>
        <w:tc>
          <w:tcPr>
            <w:tcW w:w="1189" w:type="pct"/>
            <w:tcBorders>
              <w:left w:val="nil"/>
              <w:right w:val="single" w:sz="4" w:space="0" w:color="auto"/>
            </w:tcBorders>
            <w:vAlign w:val="center"/>
          </w:tcPr>
          <w:p w:rsidR="008F2C2F" w:rsidRPr="004C567C" w:rsidRDefault="008F2C2F" w:rsidP="00B15895">
            <w:pPr>
              <w:tabs>
                <w:tab w:val="left" w:pos="732"/>
              </w:tabs>
              <w:ind w:left="132"/>
              <w:jc w:val="center"/>
              <w:rPr>
                <w:rFonts w:ascii="Arial Narrow" w:hAnsi="Arial Narrow" w:cs="Arial"/>
                <w:sz w:val="20"/>
                <w:szCs w:val="20"/>
              </w:rPr>
            </w:pPr>
            <w:r w:rsidRPr="004C567C">
              <w:rPr>
                <w:rFonts w:ascii="Arial Narrow" w:hAnsi="Arial Narrow" w:cs="Arial"/>
                <w:sz w:val="20"/>
                <w:szCs w:val="20"/>
              </w:rPr>
              <w:t>337 (67.4)</w:t>
            </w:r>
          </w:p>
        </w:tc>
        <w:tc>
          <w:tcPr>
            <w:tcW w:w="1157" w:type="pct"/>
            <w:tcBorders>
              <w:left w:val="nil"/>
              <w:right w:val="single" w:sz="4" w:space="0" w:color="auto"/>
            </w:tcBorders>
            <w:vAlign w:val="center"/>
          </w:tcPr>
          <w:p w:rsidR="008F2C2F" w:rsidRPr="004C567C" w:rsidRDefault="008F2C2F" w:rsidP="00B15895">
            <w:pPr>
              <w:tabs>
                <w:tab w:val="left" w:pos="732"/>
              </w:tabs>
              <w:ind w:left="132"/>
              <w:jc w:val="center"/>
              <w:rPr>
                <w:rFonts w:ascii="Arial Narrow" w:hAnsi="Arial Narrow" w:cs="Arial"/>
                <w:sz w:val="20"/>
                <w:szCs w:val="20"/>
              </w:rPr>
            </w:pPr>
            <w:r w:rsidRPr="004C567C">
              <w:rPr>
                <w:rFonts w:ascii="Arial Narrow" w:hAnsi="Arial Narrow" w:cs="Arial"/>
                <w:sz w:val="20"/>
                <w:szCs w:val="20"/>
              </w:rPr>
              <w:t>−2.3 (−8.1, 3.4)</w:t>
            </w:r>
          </w:p>
        </w:tc>
      </w:tr>
      <w:tr w:rsidR="008F2C2F" w:rsidRPr="004C567C" w:rsidTr="00312883">
        <w:tc>
          <w:tcPr>
            <w:tcW w:w="1497" w:type="pct"/>
            <w:tcBorders>
              <w:left w:val="single" w:sz="4" w:space="0" w:color="auto"/>
              <w:bottom w:val="single" w:sz="4" w:space="0" w:color="auto"/>
              <w:right w:val="single" w:sz="4" w:space="0" w:color="auto"/>
            </w:tcBorders>
          </w:tcPr>
          <w:p w:rsidR="008F2C2F" w:rsidRPr="004C567C" w:rsidRDefault="008F2C2F" w:rsidP="00B15895">
            <w:pPr>
              <w:rPr>
                <w:rFonts w:ascii="Arial Narrow" w:hAnsi="Arial Narrow" w:cs="Arial"/>
                <w:sz w:val="20"/>
                <w:szCs w:val="20"/>
              </w:rPr>
            </w:pPr>
            <w:r w:rsidRPr="004C567C">
              <w:rPr>
                <w:rFonts w:ascii="Arial Narrow" w:hAnsi="Arial Narrow" w:cs="Arial"/>
                <w:sz w:val="20"/>
                <w:szCs w:val="20"/>
              </w:rPr>
              <w:t>Withdrawal due to lack of therapeutic response n (%)</w:t>
            </w:r>
          </w:p>
        </w:tc>
        <w:tc>
          <w:tcPr>
            <w:tcW w:w="1156" w:type="pct"/>
            <w:tcBorders>
              <w:left w:val="nil"/>
              <w:bottom w:val="single" w:sz="4" w:space="0" w:color="auto"/>
              <w:right w:val="single" w:sz="4" w:space="0" w:color="auto"/>
            </w:tcBorders>
            <w:vAlign w:val="center"/>
          </w:tcPr>
          <w:p w:rsidR="008F2C2F" w:rsidRPr="004C567C" w:rsidRDefault="003E25D4" w:rsidP="00B15895">
            <w:pPr>
              <w:tabs>
                <w:tab w:val="left" w:pos="732"/>
              </w:tabs>
              <w:ind w:left="132"/>
              <w:jc w:val="center"/>
              <w:rPr>
                <w:rFonts w:ascii="Arial Narrow" w:hAnsi="Arial Narrow" w:cs="Arial"/>
                <w:sz w:val="20"/>
                <w:szCs w:val="20"/>
              </w:rPr>
            </w:pPr>
            <w:r>
              <w:rPr>
                <w:rFonts w:ascii="Arial Narrow" w:hAnsi="Arial Narrow" w:cs="Arial"/>
                <w:noProof/>
                <w:color w:val="000000"/>
                <w:sz w:val="20"/>
                <w:szCs w:val="20"/>
                <w:highlight w:val="black"/>
              </w:rPr>
              <w:t>'''''</w:t>
            </w:r>
            <w:r w:rsidR="008F2C2F" w:rsidRPr="004C567C">
              <w:rPr>
                <w:rFonts w:ascii="Arial Narrow" w:hAnsi="Arial Narrow" w:cs="Arial"/>
                <w:sz w:val="20"/>
                <w:szCs w:val="20"/>
              </w:rPr>
              <w:t xml:space="preserve"> (</w:t>
            </w:r>
            <w:r>
              <w:rPr>
                <w:rFonts w:ascii="Arial Narrow" w:hAnsi="Arial Narrow" w:cs="Arial"/>
                <w:noProof/>
                <w:color w:val="000000"/>
                <w:sz w:val="20"/>
                <w:szCs w:val="20"/>
                <w:highlight w:val="black"/>
              </w:rPr>
              <w:t>''''''''</w:t>
            </w:r>
            <w:r w:rsidR="008F2C2F" w:rsidRPr="004C567C">
              <w:rPr>
                <w:rFonts w:ascii="Arial Narrow" w:hAnsi="Arial Narrow" w:cs="Arial"/>
                <w:sz w:val="20"/>
                <w:szCs w:val="20"/>
              </w:rPr>
              <w:t>)</w:t>
            </w:r>
          </w:p>
        </w:tc>
        <w:tc>
          <w:tcPr>
            <w:tcW w:w="1189" w:type="pct"/>
            <w:tcBorders>
              <w:left w:val="nil"/>
              <w:bottom w:val="single" w:sz="4" w:space="0" w:color="auto"/>
              <w:right w:val="single" w:sz="4" w:space="0" w:color="auto"/>
            </w:tcBorders>
            <w:vAlign w:val="center"/>
          </w:tcPr>
          <w:p w:rsidR="008F2C2F" w:rsidRPr="004C567C" w:rsidRDefault="003E25D4" w:rsidP="00B15895">
            <w:pPr>
              <w:tabs>
                <w:tab w:val="left" w:pos="732"/>
              </w:tabs>
              <w:ind w:left="132"/>
              <w:jc w:val="center"/>
              <w:rPr>
                <w:rFonts w:ascii="Arial Narrow" w:hAnsi="Arial Narrow" w:cs="Arial"/>
                <w:sz w:val="20"/>
                <w:szCs w:val="20"/>
              </w:rPr>
            </w:pPr>
            <w:r>
              <w:rPr>
                <w:rFonts w:ascii="Arial Narrow" w:hAnsi="Arial Narrow" w:cs="Arial"/>
                <w:noProof/>
                <w:color w:val="000000"/>
                <w:sz w:val="20"/>
                <w:szCs w:val="20"/>
                <w:highlight w:val="black"/>
              </w:rPr>
              <w:t>''''</w:t>
            </w:r>
            <w:r w:rsidR="008F2C2F" w:rsidRPr="004C567C">
              <w:rPr>
                <w:rFonts w:ascii="Arial Narrow" w:hAnsi="Arial Narrow" w:cs="Arial"/>
                <w:sz w:val="20"/>
                <w:szCs w:val="20"/>
              </w:rPr>
              <w:t xml:space="preserve"> (</w:t>
            </w:r>
            <w:r>
              <w:rPr>
                <w:rFonts w:ascii="Arial Narrow" w:hAnsi="Arial Narrow" w:cs="Arial"/>
                <w:noProof/>
                <w:color w:val="000000"/>
                <w:sz w:val="20"/>
                <w:szCs w:val="20"/>
                <w:highlight w:val="black"/>
              </w:rPr>
              <w:t>'''''''''</w:t>
            </w:r>
            <w:r w:rsidR="008F2C2F" w:rsidRPr="004C567C">
              <w:rPr>
                <w:rFonts w:ascii="Arial Narrow" w:hAnsi="Arial Narrow" w:cs="Arial"/>
                <w:sz w:val="20"/>
                <w:szCs w:val="20"/>
              </w:rPr>
              <w:t>)</w:t>
            </w:r>
          </w:p>
        </w:tc>
        <w:tc>
          <w:tcPr>
            <w:tcW w:w="1157" w:type="pct"/>
            <w:tcBorders>
              <w:left w:val="nil"/>
              <w:bottom w:val="single" w:sz="4" w:space="0" w:color="auto"/>
              <w:right w:val="single" w:sz="4" w:space="0" w:color="auto"/>
            </w:tcBorders>
            <w:vAlign w:val="center"/>
          </w:tcPr>
          <w:p w:rsidR="008F2C2F" w:rsidRPr="004C567C" w:rsidRDefault="003E25D4" w:rsidP="00B15895">
            <w:pPr>
              <w:tabs>
                <w:tab w:val="left" w:pos="732"/>
              </w:tabs>
              <w:ind w:left="132"/>
              <w:jc w:val="center"/>
              <w:rPr>
                <w:rFonts w:ascii="Arial Narrow" w:hAnsi="Arial Narrow" w:cs="Arial"/>
                <w:sz w:val="20"/>
                <w:szCs w:val="20"/>
              </w:rPr>
            </w:pPr>
            <w:r>
              <w:rPr>
                <w:rFonts w:ascii="Arial Narrow" w:hAnsi="Arial Narrow" w:cs="Arial"/>
                <w:noProof/>
                <w:color w:val="000000"/>
                <w:sz w:val="20"/>
                <w:szCs w:val="20"/>
                <w:highlight w:val="black"/>
              </w:rPr>
              <w:t>'''''''</w:t>
            </w:r>
            <w:r w:rsidR="008F2C2F" w:rsidRPr="004C567C">
              <w:rPr>
                <w:rFonts w:ascii="Arial Narrow" w:hAnsi="Arial Narrow" w:cs="Arial"/>
                <w:sz w:val="20"/>
                <w:szCs w:val="20"/>
              </w:rPr>
              <w:t xml:space="preserve"> (−</w:t>
            </w:r>
            <w:r>
              <w:rPr>
                <w:rFonts w:ascii="Arial Narrow" w:hAnsi="Arial Narrow" w:cs="Arial"/>
                <w:noProof/>
                <w:color w:val="000000"/>
                <w:sz w:val="20"/>
                <w:szCs w:val="20"/>
                <w:highlight w:val="black"/>
              </w:rPr>
              <w:t>'''''''''</w:t>
            </w:r>
            <w:r w:rsidR="008F2C2F" w:rsidRPr="004C567C">
              <w:rPr>
                <w:rFonts w:ascii="Arial Narrow" w:hAnsi="Arial Narrow" w:cs="Arial"/>
                <w:sz w:val="20"/>
                <w:szCs w:val="20"/>
              </w:rPr>
              <w:t xml:space="preserve">, </w:t>
            </w:r>
            <w:r>
              <w:rPr>
                <w:rFonts w:ascii="Arial Narrow" w:hAnsi="Arial Narrow" w:cs="Arial"/>
                <w:noProof/>
                <w:color w:val="000000"/>
                <w:sz w:val="20"/>
                <w:szCs w:val="20"/>
                <w:highlight w:val="black"/>
              </w:rPr>
              <w:t>''''''''</w:t>
            </w:r>
            <w:r w:rsidR="008F2C2F" w:rsidRPr="004C567C">
              <w:rPr>
                <w:rFonts w:ascii="Arial Narrow" w:hAnsi="Arial Narrow" w:cs="Arial"/>
                <w:sz w:val="20"/>
                <w:szCs w:val="20"/>
              </w:rPr>
              <w:t>)</w:t>
            </w:r>
          </w:p>
        </w:tc>
      </w:tr>
    </w:tbl>
    <w:p w:rsidR="008F2C2F" w:rsidRPr="004C567C" w:rsidRDefault="008F2C2F" w:rsidP="00694AA7">
      <w:pPr>
        <w:ind w:firstLine="720"/>
        <w:rPr>
          <w:rFonts w:ascii="Arial Narrow" w:hAnsi="Arial Narrow"/>
          <w:snapToGrid w:val="0"/>
          <w:sz w:val="20"/>
          <w:szCs w:val="20"/>
          <w:lang w:eastAsia="en-US"/>
        </w:rPr>
      </w:pPr>
      <w:r w:rsidRPr="004C567C">
        <w:rPr>
          <w:rFonts w:ascii="Arial Narrow" w:hAnsi="Arial Narrow"/>
          <w:snapToGrid w:val="0"/>
          <w:sz w:val="20"/>
          <w:szCs w:val="20"/>
          <w:lang w:eastAsia="en-US"/>
        </w:rPr>
        <w:t>Source: Submission page 15</w:t>
      </w:r>
    </w:p>
    <w:p w:rsidR="00C44910" w:rsidRPr="004C567C" w:rsidRDefault="00312883" w:rsidP="008F2C2F">
      <w:pPr>
        <w:pStyle w:val="ListParagraph"/>
        <w:rPr>
          <w:rFonts w:ascii="Arial Narrow" w:hAnsi="Arial Narrow"/>
          <w:snapToGrid w:val="0"/>
          <w:sz w:val="20"/>
          <w:szCs w:val="20"/>
          <w:lang w:eastAsia="en-US"/>
        </w:rPr>
      </w:pPr>
      <w:r w:rsidRPr="004C567C">
        <w:rPr>
          <w:rFonts w:ascii="Arial Narrow" w:hAnsi="Arial Narrow"/>
          <w:snapToGrid w:val="0"/>
          <w:sz w:val="20"/>
          <w:szCs w:val="20"/>
          <w:lang w:eastAsia="en-US"/>
        </w:rPr>
        <w:t xml:space="preserve">Abbreviations: </w:t>
      </w:r>
      <w:r w:rsidR="008F2C2F" w:rsidRPr="004C567C">
        <w:rPr>
          <w:rFonts w:ascii="Arial Narrow" w:hAnsi="Arial Narrow"/>
          <w:snapToGrid w:val="0"/>
          <w:sz w:val="20"/>
          <w:szCs w:val="20"/>
          <w:lang w:eastAsia="en-US"/>
        </w:rPr>
        <w:t>ACR=American College of Rheumatology; CI=confidence intervals, DAS=disease activity score; HAQ-DI-Health Assessment Questionnaire-Disability Index; ITT=intent to treat; IV</w:t>
      </w:r>
      <w:r w:rsidRPr="004C567C">
        <w:rPr>
          <w:rFonts w:ascii="Arial Narrow" w:hAnsi="Arial Narrow"/>
          <w:snapToGrid w:val="0"/>
          <w:sz w:val="20"/>
          <w:szCs w:val="20"/>
          <w:lang w:eastAsia="en-US"/>
        </w:rPr>
        <w:t xml:space="preserve">=intravenous; MTX=methotrexate; </w:t>
      </w:r>
      <w:r w:rsidR="008F2C2F" w:rsidRPr="004C567C">
        <w:rPr>
          <w:rFonts w:ascii="Arial Narrow" w:hAnsi="Arial Narrow"/>
          <w:snapToGrid w:val="0"/>
          <w:sz w:val="20"/>
          <w:szCs w:val="20"/>
          <w:lang w:eastAsia="en-US"/>
        </w:rPr>
        <w:t>PP=per protocol; SC=subcutaneous</w:t>
      </w:r>
    </w:p>
    <w:p w:rsidR="00BA6B47" w:rsidRPr="004C567C" w:rsidRDefault="00BA6B47" w:rsidP="008F2C2F">
      <w:pPr>
        <w:pStyle w:val="ListParagraph"/>
        <w:rPr>
          <w:szCs w:val="22"/>
        </w:rPr>
      </w:pPr>
    </w:p>
    <w:p w:rsidR="00C44910" w:rsidRPr="004C567C" w:rsidRDefault="00C44910" w:rsidP="00BA6B47">
      <w:pPr>
        <w:pStyle w:val="ListParagraph"/>
        <w:widowControl w:val="0"/>
        <w:numPr>
          <w:ilvl w:val="1"/>
          <w:numId w:val="5"/>
        </w:numPr>
        <w:jc w:val="both"/>
        <w:rPr>
          <w:rFonts w:ascii="Arial" w:hAnsi="Arial" w:cs="Arial"/>
          <w:sz w:val="22"/>
          <w:szCs w:val="22"/>
        </w:rPr>
      </w:pPr>
      <w:r w:rsidRPr="004C567C">
        <w:rPr>
          <w:rFonts w:ascii="Arial" w:hAnsi="Arial" w:cs="Arial"/>
          <w:sz w:val="22"/>
          <w:szCs w:val="22"/>
        </w:rPr>
        <w:t xml:space="preserve">The submission stated </w:t>
      </w:r>
      <w:r w:rsidR="00BA6B47" w:rsidRPr="004C567C">
        <w:rPr>
          <w:rFonts w:ascii="Arial" w:hAnsi="Arial" w:cs="Arial"/>
          <w:sz w:val="22"/>
          <w:szCs w:val="22"/>
        </w:rPr>
        <w:t xml:space="preserve">all secondary outcomes supported the hypothesis that the </w:t>
      </w:r>
      <w:proofErr w:type="spellStart"/>
      <w:r w:rsidR="00BA6B47" w:rsidRPr="004C567C">
        <w:rPr>
          <w:rFonts w:ascii="Arial" w:hAnsi="Arial" w:cs="Arial"/>
          <w:sz w:val="22"/>
          <w:szCs w:val="22"/>
        </w:rPr>
        <w:t>tocilizumab</w:t>
      </w:r>
      <w:proofErr w:type="spellEnd"/>
      <w:r w:rsidR="00BA6B47" w:rsidRPr="004C567C">
        <w:rPr>
          <w:rFonts w:ascii="Arial" w:hAnsi="Arial" w:cs="Arial"/>
          <w:sz w:val="22"/>
          <w:szCs w:val="22"/>
        </w:rPr>
        <w:t xml:space="preserve"> SC regimen was non-inferior to the </w:t>
      </w:r>
      <w:proofErr w:type="spellStart"/>
      <w:r w:rsidR="00BA6B47" w:rsidRPr="004C567C">
        <w:rPr>
          <w:rFonts w:ascii="Arial" w:hAnsi="Arial" w:cs="Arial"/>
          <w:sz w:val="22"/>
          <w:szCs w:val="22"/>
        </w:rPr>
        <w:t>tocilizumab</w:t>
      </w:r>
      <w:proofErr w:type="spellEnd"/>
      <w:r w:rsidR="00BA6B47" w:rsidRPr="004C567C">
        <w:rPr>
          <w:rFonts w:ascii="Arial" w:hAnsi="Arial" w:cs="Arial"/>
          <w:sz w:val="22"/>
          <w:szCs w:val="22"/>
        </w:rPr>
        <w:t xml:space="preserve"> IV regimen. Similar improvements in quality of life endpoints (HAQ-DI score and SF-36) between baseline and Week 24 were also observed in both treatment arms.</w:t>
      </w:r>
    </w:p>
    <w:p w:rsidR="00C44910" w:rsidRPr="004C567C" w:rsidRDefault="00C44910" w:rsidP="00C44910">
      <w:pPr>
        <w:pStyle w:val="ListParagraph"/>
        <w:rPr>
          <w:rFonts w:ascii="Arial" w:hAnsi="Arial" w:cs="Arial"/>
          <w:sz w:val="22"/>
          <w:szCs w:val="22"/>
        </w:rPr>
      </w:pPr>
    </w:p>
    <w:p w:rsidR="00C44910" w:rsidRPr="004C567C" w:rsidRDefault="00C44910" w:rsidP="00C44910">
      <w:pPr>
        <w:pStyle w:val="ListParagraph"/>
        <w:widowControl w:val="0"/>
        <w:numPr>
          <w:ilvl w:val="1"/>
          <w:numId w:val="5"/>
        </w:numPr>
        <w:jc w:val="both"/>
        <w:rPr>
          <w:rFonts w:ascii="Arial" w:hAnsi="Arial" w:cs="Arial"/>
          <w:sz w:val="22"/>
          <w:szCs w:val="22"/>
        </w:rPr>
      </w:pPr>
      <w:r w:rsidRPr="004C567C">
        <w:rPr>
          <w:rFonts w:ascii="Arial" w:hAnsi="Arial" w:cs="Arial"/>
          <w:sz w:val="22"/>
          <w:szCs w:val="22"/>
        </w:rPr>
        <w:t>As this was a minor submission, the results have not been independently evaluated.</w:t>
      </w:r>
    </w:p>
    <w:p w:rsidR="00D408CC" w:rsidRPr="004C567C" w:rsidRDefault="00D408CC" w:rsidP="00C44910">
      <w:pPr>
        <w:rPr>
          <w:rFonts w:ascii="Arial" w:hAnsi="Arial" w:cs="Arial"/>
          <w:sz w:val="22"/>
          <w:szCs w:val="22"/>
        </w:rPr>
      </w:pPr>
    </w:p>
    <w:p w:rsidR="00C44910" w:rsidRPr="004C567C" w:rsidRDefault="00C44910" w:rsidP="00C44910">
      <w:pPr>
        <w:pStyle w:val="ListParagraph"/>
        <w:ind w:left="709"/>
        <w:rPr>
          <w:rFonts w:ascii="Arial" w:hAnsi="Arial" w:cs="Arial"/>
          <w:sz w:val="22"/>
          <w:szCs w:val="22"/>
        </w:rPr>
      </w:pPr>
    </w:p>
    <w:p w:rsidR="00C44910" w:rsidRPr="004C567C" w:rsidRDefault="00C44910" w:rsidP="0056681A">
      <w:pPr>
        <w:pStyle w:val="Heading2"/>
      </w:pPr>
      <w:r w:rsidRPr="004C567C">
        <w:t>Comparative harms</w:t>
      </w:r>
    </w:p>
    <w:p w:rsidR="00C44910" w:rsidRPr="004C567C" w:rsidRDefault="00C44910" w:rsidP="00C44910">
      <w:pPr>
        <w:pStyle w:val="ListParagraph"/>
        <w:rPr>
          <w:rFonts w:ascii="Arial" w:hAnsi="Arial" w:cs="Arial"/>
          <w:sz w:val="22"/>
          <w:szCs w:val="22"/>
        </w:rPr>
      </w:pPr>
    </w:p>
    <w:p w:rsidR="00C44910" w:rsidRPr="004C567C" w:rsidRDefault="00C44910" w:rsidP="00C44910">
      <w:pPr>
        <w:pStyle w:val="ListParagraph"/>
        <w:widowControl w:val="0"/>
        <w:numPr>
          <w:ilvl w:val="1"/>
          <w:numId w:val="5"/>
        </w:numPr>
        <w:jc w:val="both"/>
        <w:rPr>
          <w:rFonts w:ascii="Arial" w:hAnsi="Arial" w:cs="Arial"/>
          <w:sz w:val="22"/>
          <w:szCs w:val="22"/>
        </w:rPr>
      </w:pPr>
      <w:r w:rsidRPr="004C567C">
        <w:rPr>
          <w:rFonts w:ascii="Arial" w:hAnsi="Arial" w:cs="Arial"/>
          <w:sz w:val="22"/>
          <w:szCs w:val="22"/>
        </w:rPr>
        <w:t xml:space="preserve">Comparisons of adverse events between </w:t>
      </w:r>
      <w:proofErr w:type="spellStart"/>
      <w:r w:rsidR="00BA6B47" w:rsidRPr="004C567C">
        <w:rPr>
          <w:rFonts w:ascii="Arial" w:hAnsi="Arial" w:cs="Arial"/>
          <w:sz w:val="22"/>
          <w:szCs w:val="22"/>
        </w:rPr>
        <w:t>tocilizumab</w:t>
      </w:r>
      <w:proofErr w:type="spellEnd"/>
      <w:r w:rsidRPr="004C567C">
        <w:rPr>
          <w:rFonts w:ascii="Arial" w:hAnsi="Arial" w:cs="Arial"/>
          <w:sz w:val="22"/>
          <w:szCs w:val="22"/>
        </w:rPr>
        <w:t xml:space="preserve"> SC and </w:t>
      </w:r>
      <w:proofErr w:type="spellStart"/>
      <w:r w:rsidR="00BA6B47" w:rsidRPr="004C567C">
        <w:rPr>
          <w:rFonts w:ascii="Arial" w:hAnsi="Arial" w:cs="Arial"/>
          <w:sz w:val="22"/>
          <w:szCs w:val="22"/>
        </w:rPr>
        <w:t>tocilizumab</w:t>
      </w:r>
      <w:proofErr w:type="spellEnd"/>
      <w:r w:rsidRPr="004C567C">
        <w:rPr>
          <w:rFonts w:ascii="Arial" w:hAnsi="Arial" w:cs="Arial"/>
          <w:sz w:val="22"/>
          <w:szCs w:val="22"/>
        </w:rPr>
        <w:t xml:space="preserve"> IV are shown in Table 4.</w:t>
      </w:r>
    </w:p>
    <w:p w:rsidR="00A603E1" w:rsidRPr="004C567C" w:rsidRDefault="00A603E1" w:rsidP="00A603E1">
      <w:pPr>
        <w:rPr>
          <w:rFonts w:cs="Arial"/>
        </w:rPr>
      </w:pPr>
      <w:bookmarkStart w:id="2" w:name="_Ref363561152"/>
      <w:bookmarkStart w:id="3" w:name="_Toc438134044"/>
    </w:p>
    <w:p w:rsidR="00BA6B47" w:rsidRPr="004C567C" w:rsidRDefault="00BA6B47" w:rsidP="00A603E1">
      <w:pPr>
        <w:rPr>
          <w:rFonts w:ascii="Arial Narrow" w:hAnsi="Arial Narrow" w:cs="Arial"/>
          <w:b/>
          <w:sz w:val="20"/>
          <w:szCs w:val="20"/>
        </w:rPr>
      </w:pPr>
      <w:r w:rsidRPr="004C567C">
        <w:rPr>
          <w:rFonts w:ascii="Arial Narrow" w:hAnsi="Arial Narrow" w:cs="Arial"/>
          <w:b/>
          <w:sz w:val="20"/>
          <w:szCs w:val="20"/>
        </w:rPr>
        <w:t xml:space="preserve">Table </w:t>
      </w:r>
      <w:bookmarkEnd w:id="2"/>
      <w:r w:rsidR="00476576" w:rsidRPr="004C567C">
        <w:rPr>
          <w:rFonts w:ascii="Arial Narrow" w:hAnsi="Arial Narrow" w:cs="Arial"/>
          <w:b/>
          <w:sz w:val="20"/>
          <w:szCs w:val="20"/>
        </w:rPr>
        <w:t>4 Summary</w:t>
      </w:r>
      <w:r w:rsidRPr="004C567C">
        <w:rPr>
          <w:rFonts w:ascii="Arial Narrow" w:hAnsi="Arial Narrow" w:cs="Arial"/>
          <w:b/>
          <w:sz w:val="20"/>
          <w:szCs w:val="20"/>
        </w:rPr>
        <w:t xml:space="preserve"> of SUMMACTA safety results</w:t>
      </w:r>
      <w:bookmarkEnd w:id="3"/>
    </w:p>
    <w:p w:rsidR="00A603E1" w:rsidRPr="004C567C" w:rsidRDefault="00A603E1" w:rsidP="00A603E1">
      <w:pPr>
        <w:rPr>
          <w:rFonts w:ascii="Arial Narrow" w:eastAsiaTheme="minorEastAsia" w:hAnsi="Arial Narrow" w:cs="Arial"/>
          <w:b/>
          <w:bCs/>
          <w:sz w:val="20"/>
          <w:szCs w:val="20"/>
          <w:lang w:eastAsia="zh-CN"/>
        </w:rPr>
      </w:pPr>
    </w:p>
    <w:tbl>
      <w:tblPr>
        <w:tblStyle w:val="TableGrid"/>
        <w:tblW w:w="0" w:type="auto"/>
        <w:tblInd w:w="108" w:type="dxa"/>
        <w:tblLook w:val="04A0" w:firstRow="1" w:lastRow="0" w:firstColumn="1" w:lastColumn="0" w:noHBand="0" w:noVBand="1"/>
        <w:tblCaption w:val="Table 4 Summary of SUMMACTA safety results"/>
      </w:tblPr>
      <w:tblGrid>
        <w:gridCol w:w="4272"/>
        <w:gridCol w:w="2422"/>
        <w:gridCol w:w="2440"/>
      </w:tblGrid>
      <w:tr w:rsidR="00BA6B47" w:rsidRPr="004C567C" w:rsidTr="00C445FA">
        <w:trPr>
          <w:tblHeader/>
        </w:trPr>
        <w:tc>
          <w:tcPr>
            <w:tcW w:w="4395" w:type="dxa"/>
            <w:tcBorders>
              <w:bottom w:val="single" w:sz="4" w:space="0" w:color="000000" w:themeColor="text1"/>
            </w:tcBorders>
            <w:vAlign w:val="center"/>
          </w:tcPr>
          <w:p w:rsidR="00BA6B47" w:rsidRPr="004C567C" w:rsidRDefault="00BA6B47" w:rsidP="00BA6B47">
            <w:pPr>
              <w:rPr>
                <w:rFonts w:ascii="Arial Narrow" w:hAnsi="Arial Narrow" w:cs="Arial"/>
                <w:b/>
                <w:sz w:val="20"/>
                <w:szCs w:val="20"/>
              </w:rPr>
            </w:pPr>
            <w:r w:rsidRPr="004C567C">
              <w:rPr>
                <w:rFonts w:ascii="Arial Narrow" w:hAnsi="Arial Narrow" w:cs="Arial"/>
                <w:b/>
                <w:sz w:val="20"/>
                <w:szCs w:val="20"/>
              </w:rPr>
              <w:t>Safety</w:t>
            </w:r>
          </w:p>
        </w:tc>
        <w:tc>
          <w:tcPr>
            <w:tcW w:w="2480" w:type="dxa"/>
            <w:tcBorders>
              <w:bottom w:val="single" w:sz="4" w:space="0" w:color="000000" w:themeColor="text1"/>
            </w:tcBorders>
            <w:vAlign w:val="center"/>
          </w:tcPr>
          <w:p w:rsidR="00BA6B47" w:rsidRPr="004C567C" w:rsidRDefault="00BA6B47" w:rsidP="00BA6B47">
            <w:pPr>
              <w:jc w:val="center"/>
              <w:rPr>
                <w:rFonts w:ascii="Arial Narrow" w:hAnsi="Arial Narrow" w:cs="Arial"/>
                <w:b/>
                <w:sz w:val="20"/>
                <w:szCs w:val="20"/>
              </w:rPr>
            </w:pPr>
            <w:r w:rsidRPr="004C567C">
              <w:rPr>
                <w:rFonts w:ascii="Arial Narrow" w:hAnsi="Arial Narrow" w:cs="Arial"/>
                <w:b/>
                <w:sz w:val="20"/>
                <w:szCs w:val="20"/>
              </w:rPr>
              <w:t xml:space="preserve">162 mg SC </w:t>
            </w:r>
            <w:proofErr w:type="spellStart"/>
            <w:r w:rsidRPr="004C567C">
              <w:rPr>
                <w:rFonts w:ascii="Arial Narrow" w:hAnsi="Arial Narrow" w:cs="Arial"/>
                <w:b/>
                <w:sz w:val="20"/>
                <w:szCs w:val="20"/>
              </w:rPr>
              <w:t>qw+MTX</w:t>
            </w:r>
            <w:proofErr w:type="spellEnd"/>
            <w:r w:rsidRPr="004C567C">
              <w:rPr>
                <w:rFonts w:ascii="Arial Narrow" w:hAnsi="Arial Narrow" w:cs="Arial"/>
                <w:b/>
                <w:sz w:val="20"/>
                <w:szCs w:val="20"/>
              </w:rPr>
              <w:br/>
              <w:t>(N=631)</w:t>
            </w:r>
          </w:p>
        </w:tc>
        <w:tc>
          <w:tcPr>
            <w:tcW w:w="2481" w:type="dxa"/>
            <w:tcBorders>
              <w:bottom w:val="single" w:sz="4" w:space="0" w:color="000000" w:themeColor="text1"/>
            </w:tcBorders>
            <w:vAlign w:val="center"/>
          </w:tcPr>
          <w:p w:rsidR="00BA6B47" w:rsidRPr="004C567C" w:rsidRDefault="00BA6B47" w:rsidP="00BA6B47">
            <w:pPr>
              <w:jc w:val="center"/>
              <w:rPr>
                <w:rFonts w:ascii="Arial Narrow" w:hAnsi="Arial Narrow" w:cs="Arial"/>
                <w:b/>
                <w:sz w:val="20"/>
                <w:szCs w:val="20"/>
              </w:rPr>
            </w:pPr>
            <w:r w:rsidRPr="004C567C">
              <w:rPr>
                <w:rFonts w:ascii="Arial Narrow" w:hAnsi="Arial Narrow" w:cs="Arial"/>
                <w:b/>
                <w:sz w:val="20"/>
                <w:szCs w:val="20"/>
              </w:rPr>
              <w:t>8 mg/kg IV q4w+MTX</w:t>
            </w:r>
            <w:r w:rsidRPr="004C567C">
              <w:rPr>
                <w:rFonts w:ascii="Arial Narrow" w:hAnsi="Arial Narrow" w:cs="Arial"/>
                <w:b/>
                <w:sz w:val="20"/>
                <w:szCs w:val="20"/>
              </w:rPr>
              <w:br/>
              <w:t>(N=631)</w:t>
            </w:r>
          </w:p>
        </w:tc>
      </w:tr>
      <w:tr w:rsidR="00BA6B47" w:rsidRPr="004C567C" w:rsidTr="00B15895">
        <w:tc>
          <w:tcPr>
            <w:tcW w:w="4395" w:type="dxa"/>
            <w:tcBorders>
              <w:bottom w:val="nil"/>
            </w:tcBorders>
          </w:tcPr>
          <w:p w:rsidR="00BA6B47" w:rsidRPr="004C567C" w:rsidRDefault="00BA6B47" w:rsidP="00BA6B47">
            <w:pPr>
              <w:ind w:left="252" w:hanging="218"/>
              <w:rPr>
                <w:rFonts w:ascii="Arial Narrow" w:hAnsi="Arial Narrow" w:cs="Arial"/>
                <w:sz w:val="20"/>
                <w:szCs w:val="20"/>
              </w:rPr>
            </w:pPr>
            <w:r w:rsidRPr="004C567C">
              <w:rPr>
                <w:rFonts w:ascii="Arial Narrow" w:hAnsi="Arial Narrow" w:cs="Arial"/>
                <w:sz w:val="20"/>
                <w:szCs w:val="20"/>
              </w:rPr>
              <w:t>Any AE</w:t>
            </w:r>
          </w:p>
        </w:tc>
        <w:tc>
          <w:tcPr>
            <w:tcW w:w="2480" w:type="dxa"/>
            <w:tcBorders>
              <w:bottom w:val="nil"/>
            </w:tcBorders>
          </w:tcPr>
          <w:p w:rsidR="00BA6B47" w:rsidRPr="004C567C" w:rsidRDefault="00BA6B47" w:rsidP="00BA6B47">
            <w:pPr>
              <w:tabs>
                <w:tab w:val="left" w:pos="732"/>
              </w:tabs>
              <w:ind w:left="132"/>
              <w:jc w:val="center"/>
              <w:rPr>
                <w:rFonts w:ascii="Arial Narrow" w:hAnsi="Arial Narrow" w:cs="Arial"/>
                <w:sz w:val="20"/>
                <w:szCs w:val="20"/>
              </w:rPr>
            </w:pPr>
            <w:r w:rsidRPr="004C567C">
              <w:rPr>
                <w:rFonts w:ascii="Arial Narrow" w:hAnsi="Arial Narrow" w:cs="Arial"/>
                <w:sz w:val="20"/>
                <w:szCs w:val="20"/>
              </w:rPr>
              <w:t>481 (76.2%)</w:t>
            </w:r>
          </w:p>
        </w:tc>
        <w:tc>
          <w:tcPr>
            <w:tcW w:w="2481" w:type="dxa"/>
            <w:tcBorders>
              <w:bottom w:val="nil"/>
            </w:tcBorders>
          </w:tcPr>
          <w:p w:rsidR="00BA6B47" w:rsidRPr="004C567C" w:rsidRDefault="00BA6B47" w:rsidP="00BA6B47">
            <w:pPr>
              <w:tabs>
                <w:tab w:val="left" w:pos="732"/>
              </w:tabs>
              <w:ind w:left="132"/>
              <w:jc w:val="center"/>
              <w:rPr>
                <w:rFonts w:ascii="Arial Narrow" w:hAnsi="Arial Narrow" w:cs="Arial"/>
                <w:sz w:val="20"/>
                <w:szCs w:val="20"/>
              </w:rPr>
            </w:pPr>
            <w:r w:rsidRPr="004C567C">
              <w:rPr>
                <w:rFonts w:ascii="Arial Narrow" w:hAnsi="Arial Narrow" w:cs="Arial"/>
                <w:sz w:val="20"/>
                <w:szCs w:val="20"/>
              </w:rPr>
              <w:t>486 (77.0%)</w:t>
            </w:r>
          </w:p>
        </w:tc>
      </w:tr>
      <w:tr w:rsidR="00BA6B47" w:rsidRPr="004C567C" w:rsidTr="00B15895">
        <w:tc>
          <w:tcPr>
            <w:tcW w:w="4395" w:type="dxa"/>
            <w:tcBorders>
              <w:top w:val="nil"/>
              <w:bottom w:val="nil"/>
            </w:tcBorders>
          </w:tcPr>
          <w:p w:rsidR="00BA6B47" w:rsidRPr="004C567C" w:rsidRDefault="00BA6B47" w:rsidP="00BA6B47">
            <w:pPr>
              <w:ind w:left="743" w:hanging="709"/>
              <w:rPr>
                <w:rFonts w:ascii="Arial Narrow" w:hAnsi="Arial Narrow" w:cs="Arial"/>
                <w:sz w:val="20"/>
                <w:szCs w:val="20"/>
              </w:rPr>
            </w:pPr>
            <w:r w:rsidRPr="004C567C">
              <w:rPr>
                <w:rFonts w:ascii="Arial Narrow" w:hAnsi="Arial Narrow" w:cs="Arial"/>
                <w:sz w:val="20"/>
                <w:szCs w:val="20"/>
              </w:rPr>
              <w:t>Serious AEs</w:t>
            </w:r>
          </w:p>
        </w:tc>
        <w:tc>
          <w:tcPr>
            <w:tcW w:w="2480" w:type="dxa"/>
            <w:tcBorders>
              <w:top w:val="nil"/>
              <w:bottom w:val="nil"/>
            </w:tcBorders>
          </w:tcPr>
          <w:p w:rsidR="00BA6B47" w:rsidRPr="004C567C" w:rsidRDefault="00BA6B47" w:rsidP="00BA6B47">
            <w:pPr>
              <w:tabs>
                <w:tab w:val="left" w:pos="732"/>
              </w:tabs>
              <w:ind w:left="132"/>
              <w:jc w:val="center"/>
              <w:rPr>
                <w:rFonts w:ascii="Arial Narrow" w:hAnsi="Arial Narrow" w:cs="Arial"/>
                <w:sz w:val="20"/>
                <w:szCs w:val="20"/>
              </w:rPr>
            </w:pPr>
            <w:r w:rsidRPr="004C567C">
              <w:rPr>
                <w:rFonts w:ascii="Arial Narrow" w:hAnsi="Arial Narrow" w:cs="Arial"/>
                <w:sz w:val="20"/>
                <w:szCs w:val="20"/>
              </w:rPr>
              <w:t>29 (4.6%)</w:t>
            </w:r>
          </w:p>
        </w:tc>
        <w:tc>
          <w:tcPr>
            <w:tcW w:w="2481" w:type="dxa"/>
            <w:tcBorders>
              <w:top w:val="nil"/>
              <w:bottom w:val="nil"/>
            </w:tcBorders>
          </w:tcPr>
          <w:p w:rsidR="00BA6B47" w:rsidRPr="004C567C" w:rsidRDefault="00BA6B47" w:rsidP="00BA6B47">
            <w:pPr>
              <w:tabs>
                <w:tab w:val="left" w:pos="732"/>
              </w:tabs>
              <w:ind w:left="132"/>
              <w:jc w:val="center"/>
              <w:rPr>
                <w:rFonts w:ascii="Arial Narrow" w:hAnsi="Arial Narrow" w:cs="Arial"/>
                <w:sz w:val="20"/>
                <w:szCs w:val="20"/>
              </w:rPr>
            </w:pPr>
            <w:r w:rsidRPr="004C567C">
              <w:rPr>
                <w:rFonts w:ascii="Arial Narrow" w:hAnsi="Arial Narrow" w:cs="Arial"/>
                <w:sz w:val="20"/>
                <w:szCs w:val="20"/>
              </w:rPr>
              <w:t>33 (5.2%)</w:t>
            </w:r>
          </w:p>
        </w:tc>
      </w:tr>
      <w:tr w:rsidR="00BA6B47" w:rsidRPr="004C567C" w:rsidTr="00B15895">
        <w:tc>
          <w:tcPr>
            <w:tcW w:w="4395" w:type="dxa"/>
            <w:tcBorders>
              <w:top w:val="nil"/>
              <w:bottom w:val="nil"/>
            </w:tcBorders>
          </w:tcPr>
          <w:p w:rsidR="00BA6B47" w:rsidRPr="004C567C" w:rsidRDefault="00BA6B47" w:rsidP="00BA6B47">
            <w:pPr>
              <w:ind w:left="743" w:hanging="709"/>
              <w:rPr>
                <w:rFonts w:ascii="Arial Narrow" w:hAnsi="Arial Narrow" w:cs="Arial"/>
                <w:sz w:val="20"/>
                <w:szCs w:val="20"/>
              </w:rPr>
            </w:pPr>
            <w:r w:rsidRPr="004C567C">
              <w:rPr>
                <w:rFonts w:ascii="Arial Narrow" w:hAnsi="Arial Narrow" w:cs="Arial"/>
                <w:sz w:val="20"/>
                <w:szCs w:val="20"/>
              </w:rPr>
              <w:t>Deaths</w:t>
            </w:r>
          </w:p>
        </w:tc>
        <w:tc>
          <w:tcPr>
            <w:tcW w:w="2480" w:type="dxa"/>
            <w:tcBorders>
              <w:top w:val="nil"/>
              <w:bottom w:val="nil"/>
            </w:tcBorders>
          </w:tcPr>
          <w:p w:rsidR="00BA6B47" w:rsidRPr="004C567C" w:rsidRDefault="00BA6B47" w:rsidP="00BA6B47">
            <w:pPr>
              <w:tabs>
                <w:tab w:val="left" w:pos="732"/>
              </w:tabs>
              <w:ind w:left="132"/>
              <w:jc w:val="center"/>
              <w:rPr>
                <w:rFonts w:ascii="Arial Narrow" w:hAnsi="Arial Narrow" w:cs="Arial"/>
                <w:sz w:val="20"/>
                <w:szCs w:val="20"/>
              </w:rPr>
            </w:pPr>
            <w:r w:rsidRPr="004C567C">
              <w:rPr>
                <w:rFonts w:ascii="Arial Narrow" w:hAnsi="Arial Narrow" w:cs="Arial"/>
                <w:sz w:val="20"/>
                <w:szCs w:val="20"/>
              </w:rPr>
              <w:t>0 (0.0%)</w:t>
            </w:r>
          </w:p>
        </w:tc>
        <w:tc>
          <w:tcPr>
            <w:tcW w:w="2481" w:type="dxa"/>
            <w:tcBorders>
              <w:top w:val="nil"/>
              <w:bottom w:val="nil"/>
            </w:tcBorders>
          </w:tcPr>
          <w:p w:rsidR="00BA6B47" w:rsidRPr="004C567C" w:rsidRDefault="00BA6B47" w:rsidP="00BA6B47">
            <w:pPr>
              <w:tabs>
                <w:tab w:val="left" w:pos="732"/>
              </w:tabs>
              <w:ind w:left="132"/>
              <w:jc w:val="center"/>
              <w:rPr>
                <w:rFonts w:ascii="Arial Narrow" w:hAnsi="Arial Narrow" w:cs="Arial"/>
                <w:sz w:val="20"/>
                <w:szCs w:val="20"/>
                <w:vertAlign w:val="superscript"/>
              </w:rPr>
            </w:pPr>
            <w:r w:rsidRPr="004C567C">
              <w:rPr>
                <w:rFonts w:ascii="Arial Narrow" w:hAnsi="Arial Narrow" w:cs="Arial"/>
                <w:sz w:val="20"/>
                <w:szCs w:val="20"/>
              </w:rPr>
              <w:t>1 (&lt;1%)</w:t>
            </w:r>
          </w:p>
        </w:tc>
      </w:tr>
      <w:tr w:rsidR="00BA6B47" w:rsidRPr="004C567C" w:rsidTr="00B15895">
        <w:tc>
          <w:tcPr>
            <w:tcW w:w="4395" w:type="dxa"/>
            <w:tcBorders>
              <w:top w:val="nil"/>
              <w:bottom w:val="nil"/>
            </w:tcBorders>
          </w:tcPr>
          <w:p w:rsidR="00BA6B47" w:rsidRPr="004C567C" w:rsidRDefault="00BA6B47" w:rsidP="00BA6B47">
            <w:pPr>
              <w:ind w:left="743" w:hanging="709"/>
              <w:rPr>
                <w:rFonts w:ascii="Arial Narrow" w:hAnsi="Arial Narrow" w:cs="Arial"/>
                <w:sz w:val="20"/>
                <w:szCs w:val="20"/>
              </w:rPr>
            </w:pPr>
            <w:r w:rsidRPr="004C567C">
              <w:rPr>
                <w:rFonts w:ascii="Arial Narrow" w:hAnsi="Arial Narrow" w:cs="Arial"/>
                <w:sz w:val="20"/>
                <w:szCs w:val="20"/>
              </w:rPr>
              <w:t>Withdrawal due to AE</w:t>
            </w:r>
          </w:p>
        </w:tc>
        <w:tc>
          <w:tcPr>
            <w:tcW w:w="2480" w:type="dxa"/>
            <w:tcBorders>
              <w:top w:val="nil"/>
              <w:bottom w:val="nil"/>
            </w:tcBorders>
          </w:tcPr>
          <w:p w:rsidR="00BA6B47" w:rsidRPr="004C567C" w:rsidRDefault="00BA6B47" w:rsidP="00BA6B47">
            <w:pPr>
              <w:tabs>
                <w:tab w:val="left" w:pos="732"/>
              </w:tabs>
              <w:ind w:left="132"/>
              <w:jc w:val="center"/>
              <w:rPr>
                <w:rFonts w:ascii="Arial Narrow" w:hAnsi="Arial Narrow" w:cs="Arial"/>
                <w:sz w:val="20"/>
                <w:szCs w:val="20"/>
              </w:rPr>
            </w:pPr>
            <w:r w:rsidRPr="004C567C">
              <w:rPr>
                <w:rFonts w:ascii="Arial Narrow" w:hAnsi="Arial Narrow" w:cs="Arial"/>
                <w:sz w:val="20"/>
                <w:szCs w:val="20"/>
              </w:rPr>
              <w:t>30 (4.8%)</w:t>
            </w:r>
          </w:p>
        </w:tc>
        <w:tc>
          <w:tcPr>
            <w:tcW w:w="2481" w:type="dxa"/>
            <w:tcBorders>
              <w:top w:val="nil"/>
              <w:bottom w:val="nil"/>
            </w:tcBorders>
          </w:tcPr>
          <w:p w:rsidR="00BA6B47" w:rsidRPr="004C567C" w:rsidRDefault="00BA6B47" w:rsidP="00BA6B47">
            <w:pPr>
              <w:tabs>
                <w:tab w:val="left" w:pos="732"/>
              </w:tabs>
              <w:ind w:left="132"/>
              <w:jc w:val="center"/>
              <w:rPr>
                <w:rFonts w:ascii="Arial Narrow" w:hAnsi="Arial Narrow" w:cs="Arial"/>
                <w:sz w:val="20"/>
                <w:szCs w:val="20"/>
              </w:rPr>
            </w:pPr>
            <w:r w:rsidRPr="004C567C">
              <w:rPr>
                <w:rFonts w:ascii="Arial Narrow" w:hAnsi="Arial Narrow" w:cs="Arial"/>
                <w:sz w:val="20"/>
                <w:szCs w:val="20"/>
              </w:rPr>
              <w:t>41 (6.5%)</w:t>
            </w:r>
          </w:p>
        </w:tc>
      </w:tr>
      <w:tr w:rsidR="00BA6B47" w:rsidRPr="004C567C" w:rsidTr="00B15895">
        <w:tc>
          <w:tcPr>
            <w:tcW w:w="4395" w:type="dxa"/>
            <w:tcBorders>
              <w:top w:val="nil"/>
            </w:tcBorders>
          </w:tcPr>
          <w:p w:rsidR="00BA6B47" w:rsidRPr="004C567C" w:rsidRDefault="00BA6B47" w:rsidP="00BA6B47">
            <w:pPr>
              <w:ind w:left="34"/>
              <w:rPr>
                <w:rFonts w:ascii="Arial Narrow" w:hAnsi="Arial Narrow" w:cs="Arial"/>
                <w:sz w:val="20"/>
                <w:szCs w:val="20"/>
              </w:rPr>
            </w:pPr>
            <w:r w:rsidRPr="004C567C">
              <w:rPr>
                <w:rFonts w:ascii="Arial Narrow" w:hAnsi="Arial Narrow" w:cs="Arial"/>
                <w:sz w:val="20"/>
                <w:szCs w:val="20"/>
              </w:rPr>
              <w:t>AEs leading to dose modification or interruption</w:t>
            </w:r>
          </w:p>
        </w:tc>
        <w:tc>
          <w:tcPr>
            <w:tcW w:w="2480" w:type="dxa"/>
            <w:tcBorders>
              <w:top w:val="nil"/>
            </w:tcBorders>
          </w:tcPr>
          <w:p w:rsidR="00BA6B47" w:rsidRPr="004C567C" w:rsidRDefault="00BA6B47" w:rsidP="00BA6B47">
            <w:pPr>
              <w:tabs>
                <w:tab w:val="left" w:pos="732"/>
              </w:tabs>
              <w:ind w:left="132"/>
              <w:jc w:val="center"/>
              <w:rPr>
                <w:rFonts w:ascii="Arial Narrow" w:hAnsi="Arial Narrow" w:cs="Arial"/>
                <w:sz w:val="20"/>
                <w:szCs w:val="20"/>
              </w:rPr>
            </w:pPr>
            <w:r w:rsidRPr="004C567C">
              <w:rPr>
                <w:rFonts w:ascii="Arial Narrow" w:hAnsi="Arial Narrow" w:cs="Arial"/>
                <w:sz w:val="20"/>
                <w:szCs w:val="20"/>
              </w:rPr>
              <w:t>172 (27.3%)</w:t>
            </w:r>
          </w:p>
        </w:tc>
        <w:tc>
          <w:tcPr>
            <w:tcW w:w="2481" w:type="dxa"/>
            <w:tcBorders>
              <w:top w:val="nil"/>
            </w:tcBorders>
          </w:tcPr>
          <w:p w:rsidR="00BA6B47" w:rsidRPr="004C567C" w:rsidRDefault="00BA6B47" w:rsidP="00BA6B47">
            <w:pPr>
              <w:tabs>
                <w:tab w:val="left" w:pos="732"/>
              </w:tabs>
              <w:ind w:left="132"/>
              <w:jc w:val="center"/>
              <w:rPr>
                <w:rFonts w:ascii="Arial Narrow" w:hAnsi="Arial Narrow" w:cs="Arial"/>
                <w:sz w:val="20"/>
                <w:szCs w:val="20"/>
              </w:rPr>
            </w:pPr>
            <w:r w:rsidRPr="004C567C">
              <w:rPr>
                <w:rFonts w:ascii="Arial Narrow" w:hAnsi="Arial Narrow" w:cs="Arial"/>
                <w:sz w:val="20"/>
                <w:szCs w:val="20"/>
              </w:rPr>
              <w:t>170</w:t>
            </w:r>
            <w:r w:rsidRPr="004C567C">
              <w:rPr>
                <w:rFonts w:ascii="Arial Narrow" w:hAnsi="Arial Narrow" w:cs="Arial"/>
                <w:sz w:val="20"/>
                <w:szCs w:val="20"/>
              </w:rPr>
              <w:tab/>
              <w:t>(26.9%)</w:t>
            </w:r>
          </w:p>
        </w:tc>
      </w:tr>
    </w:tbl>
    <w:p w:rsidR="00BA6B47" w:rsidRPr="004C567C" w:rsidRDefault="00BA6B47" w:rsidP="00BA6B47">
      <w:pPr>
        <w:tabs>
          <w:tab w:val="left" w:pos="2835"/>
          <w:tab w:val="left" w:pos="3960"/>
          <w:tab w:val="left" w:pos="5640"/>
          <w:tab w:val="left" w:pos="7320"/>
          <w:tab w:val="left" w:pos="8400"/>
          <w:tab w:val="left" w:pos="11400"/>
        </w:tabs>
        <w:ind w:left="1200" w:right="28" w:hanging="1200"/>
        <w:rPr>
          <w:rFonts w:ascii="Arial Narrow" w:hAnsi="Arial Narrow" w:cs="Arial"/>
          <w:sz w:val="20"/>
          <w:szCs w:val="20"/>
          <w:lang w:eastAsia="en-US"/>
        </w:rPr>
      </w:pPr>
      <w:r w:rsidRPr="004C567C">
        <w:rPr>
          <w:rFonts w:ascii="Arial Narrow" w:hAnsi="Arial Narrow" w:cs="Arial"/>
          <w:sz w:val="20"/>
          <w:szCs w:val="20"/>
          <w:lang w:eastAsia="en-US"/>
        </w:rPr>
        <w:t>Source:</w:t>
      </w:r>
      <w:r w:rsidR="00312883" w:rsidRPr="004C567C">
        <w:rPr>
          <w:rFonts w:ascii="Arial Narrow" w:hAnsi="Arial Narrow" w:cs="Arial"/>
          <w:sz w:val="20"/>
          <w:szCs w:val="20"/>
          <w:lang w:eastAsia="en-US"/>
        </w:rPr>
        <w:t xml:space="preserve"> S</w:t>
      </w:r>
      <w:r w:rsidR="0053699B" w:rsidRPr="004C567C">
        <w:rPr>
          <w:rFonts w:ascii="Arial Narrow" w:hAnsi="Arial Narrow" w:cs="Arial"/>
          <w:sz w:val="20"/>
          <w:szCs w:val="20"/>
          <w:lang w:eastAsia="en-US"/>
        </w:rPr>
        <w:t xml:space="preserve">ubmission page 16 </w:t>
      </w:r>
    </w:p>
    <w:p w:rsidR="00BA6B47" w:rsidRPr="004C567C" w:rsidRDefault="00312883" w:rsidP="00BA6B47">
      <w:pPr>
        <w:tabs>
          <w:tab w:val="left" w:pos="2835"/>
          <w:tab w:val="left" w:pos="3960"/>
          <w:tab w:val="left" w:pos="5640"/>
          <w:tab w:val="left" w:pos="7320"/>
          <w:tab w:val="left" w:pos="8400"/>
          <w:tab w:val="left" w:pos="11400"/>
        </w:tabs>
        <w:ind w:left="1200" w:right="28" w:hanging="1200"/>
        <w:rPr>
          <w:rFonts w:ascii="Arial Narrow" w:hAnsi="Arial Narrow" w:cs="Arial"/>
          <w:sz w:val="20"/>
          <w:szCs w:val="20"/>
          <w:lang w:eastAsia="en-US"/>
        </w:rPr>
      </w:pPr>
      <w:r w:rsidRPr="004C567C">
        <w:rPr>
          <w:rFonts w:ascii="Arial Narrow" w:hAnsi="Arial Narrow" w:cs="Arial"/>
          <w:sz w:val="20"/>
          <w:szCs w:val="20"/>
          <w:lang w:eastAsia="en-US"/>
        </w:rPr>
        <w:t xml:space="preserve">Abbreviations: </w:t>
      </w:r>
      <w:r w:rsidR="00BA6B47" w:rsidRPr="004C567C">
        <w:rPr>
          <w:rFonts w:ascii="Arial Narrow" w:hAnsi="Arial Narrow" w:cs="Arial"/>
          <w:sz w:val="20"/>
          <w:szCs w:val="20"/>
          <w:lang w:eastAsia="en-US"/>
        </w:rPr>
        <w:t>AE=Adverse Event; IV=intravenous; MTX=methotrexate; SC=subcutaneous.</w:t>
      </w:r>
    </w:p>
    <w:p w:rsidR="00C44910" w:rsidRPr="004C567C" w:rsidRDefault="00C44910" w:rsidP="00C44910">
      <w:pPr>
        <w:pStyle w:val="tablenotes"/>
        <w:keepNext/>
        <w:ind w:left="720"/>
        <w:rPr>
          <w:rFonts w:cs="Arial"/>
          <w:sz w:val="18"/>
          <w:szCs w:val="18"/>
        </w:rPr>
      </w:pPr>
    </w:p>
    <w:p w:rsidR="00C44910" w:rsidRPr="004C567C" w:rsidRDefault="00C44910" w:rsidP="00C44910">
      <w:pPr>
        <w:pStyle w:val="ListParagraph"/>
        <w:widowControl w:val="0"/>
        <w:numPr>
          <w:ilvl w:val="1"/>
          <w:numId w:val="5"/>
        </w:numPr>
        <w:jc w:val="both"/>
        <w:rPr>
          <w:rFonts w:ascii="Arial" w:hAnsi="Arial" w:cs="Arial"/>
          <w:b/>
          <w:sz w:val="22"/>
          <w:szCs w:val="22"/>
        </w:rPr>
      </w:pPr>
      <w:r w:rsidRPr="004C567C">
        <w:rPr>
          <w:rFonts w:ascii="Arial" w:hAnsi="Arial" w:cs="Arial"/>
          <w:sz w:val="22"/>
          <w:szCs w:val="22"/>
        </w:rPr>
        <w:t xml:space="preserve">There was no significant difference in the type or frequency of adverse events across the two treatment arms. The incidence of </w:t>
      </w:r>
      <w:r w:rsidR="00BA6B47" w:rsidRPr="004C567C">
        <w:rPr>
          <w:rFonts w:ascii="Arial" w:hAnsi="Arial" w:cs="Arial"/>
          <w:sz w:val="22"/>
          <w:szCs w:val="22"/>
        </w:rPr>
        <w:t xml:space="preserve">any </w:t>
      </w:r>
      <w:r w:rsidRPr="004C567C">
        <w:rPr>
          <w:rFonts w:ascii="Arial" w:hAnsi="Arial" w:cs="Arial"/>
          <w:sz w:val="22"/>
          <w:szCs w:val="22"/>
        </w:rPr>
        <w:t>adverse events was also comparable across both arms (</w:t>
      </w:r>
      <w:r w:rsidR="00BA6B47" w:rsidRPr="004C567C">
        <w:rPr>
          <w:rFonts w:ascii="Arial" w:hAnsi="Arial" w:cs="Arial"/>
          <w:sz w:val="22"/>
          <w:szCs w:val="22"/>
        </w:rPr>
        <w:t>77.0</w:t>
      </w:r>
      <w:r w:rsidRPr="004C567C">
        <w:rPr>
          <w:rFonts w:ascii="Arial" w:hAnsi="Arial" w:cs="Arial"/>
          <w:sz w:val="22"/>
          <w:szCs w:val="22"/>
        </w:rPr>
        <w:t xml:space="preserve">% in the IV arm versus </w:t>
      </w:r>
      <w:r w:rsidR="00BA6B47" w:rsidRPr="004C567C">
        <w:rPr>
          <w:rFonts w:ascii="Arial" w:hAnsi="Arial" w:cs="Arial"/>
          <w:sz w:val="22"/>
          <w:szCs w:val="22"/>
        </w:rPr>
        <w:t>76.2</w:t>
      </w:r>
      <w:r w:rsidRPr="004C567C">
        <w:rPr>
          <w:rFonts w:ascii="Arial" w:hAnsi="Arial" w:cs="Arial"/>
          <w:sz w:val="22"/>
          <w:szCs w:val="22"/>
        </w:rPr>
        <w:t>% in the SC arm).</w:t>
      </w:r>
    </w:p>
    <w:p w:rsidR="00C44910" w:rsidRPr="004C567C" w:rsidRDefault="00C44910" w:rsidP="00BA6B47">
      <w:pPr>
        <w:ind w:left="720"/>
        <w:rPr>
          <w:rFonts w:ascii="Arial" w:hAnsi="Arial" w:cs="Arial"/>
          <w:sz w:val="22"/>
          <w:szCs w:val="22"/>
        </w:rPr>
      </w:pPr>
    </w:p>
    <w:p w:rsidR="00C44910" w:rsidRPr="004C567C" w:rsidRDefault="00C44910" w:rsidP="00C44910">
      <w:pPr>
        <w:pStyle w:val="ListParagraph"/>
        <w:widowControl w:val="0"/>
        <w:numPr>
          <w:ilvl w:val="1"/>
          <w:numId w:val="5"/>
        </w:numPr>
        <w:jc w:val="both"/>
        <w:rPr>
          <w:rFonts w:ascii="Arial" w:hAnsi="Arial" w:cs="Arial"/>
          <w:sz w:val="22"/>
          <w:szCs w:val="22"/>
        </w:rPr>
      </w:pPr>
      <w:r w:rsidRPr="004C567C">
        <w:rPr>
          <w:rFonts w:ascii="Arial" w:hAnsi="Arial" w:cs="Arial"/>
          <w:sz w:val="22"/>
          <w:szCs w:val="22"/>
        </w:rPr>
        <w:t>As this was a minor submission, the results have not been independently evaluated.</w:t>
      </w:r>
    </w:p>
    <w:p w:rsidR="00C44910" w:rsidRPr="004C567C" w:rsidRDefault="00C44910" w:rsidP="00C44910">
      <w:pPr>
        <w:rPr>
          <w:rFonts w:ascii="Arial" w:hAnsi="Arial" w:cs="Arial"/>
          <w:sz w:val="22"/>
          <w:szCs w:val="22"/>
        </w:rPr>
      </w:pPr>
    </w:p>
    <w:p w:rsidR="00694AA7" w:rsidRPr="004C567C" w:rsidRDefault="00694AA7" w:rsidP="00C44910">
      <w:pPr>
        <w:rPr>
          <w:rFonts w:ascii="Arial" w:hAnsi="Arial" w:cs="Arial"/>
          <w:b/>
          <w:sz w:val="22"/>
          <w:szCs w:val="22"/>
        </w:rPr>
      </w:pPr>
    </w:p>
    <w:p w:rsidR="00C44910" w:rsidRPr="004C567C" w:rsidRDefault="00C44910" w:rsidP="0056681A">
      <w:pPr>
        <w:pStyle w:val="Heading2"/>
      </w:pPr>
      <w:r w:rsidRPr="004C567C">
        <w:t>Clinical claim</w:t>
      </w:r>
    </w:p>
    <w:p w:rsidR="00C44910" w:rsidRPr="004C567C" w:rsidRDefault="00C44910" w:rsidP="00C44910">
      <w:pPr>
        <w:ind w:left="720" w:hanging="720"/>
        <w:rPr>
          <w:rFonts w:ascii="Arial" w:hAnsi="Arial" w:cs="Arial"/>
          <w:sz w:val="22"/>
          <w:szCs w:val="22"/>
        </w:rPr>
      </w:pPr>
    </w:p>
    <w:p w:rsidR="00C44910" w:rsidRPr="004C567C" w:rsidRDefault="00C44910" w:rsidP="00BE74F3">
      <w:pPr>
        <w:pStyle w:val="ListParagraph"/>
        <w:widowControl w:val="0"/>
        <w:numPr>
          <w:ilvl w:val="1"/>
          <w:numId w:val="5"/>
        </w:numPr>
        <w:jc w:val="both"/>
        <w:rPr>
          <w:rFonts w:ascii="Arial" w:hAnsi="Arial" w:cs="Arial"/>
          <w:sz w:val="22"/>
          <w:szCs w:val="22"/>
        </w:rPr>
      </w:pPr>
      <w:r w:rsidRPr="004C567C">
        <w:rPr>
          <w:rFonts w:ascii="Arial" w:hAnsi="Arial" w:cs="Arial"/>
          <w:sz w:val="22"/>
          <w:szCs w:val="22"/>
        </w:rPr>
        <w:t xml:space="preserve">The submission claimed non-inferior comparative effectiveness and non-inferior </w:t>
      </w:r>
      <w:r w:rsidRPr="004C567C">
        <w:rPr>
          <w:rFonts w:ascii="Arial" w:hAnsi="Arial" w:cs="Arial"/>
          <w:sz w:val="22"/>
          <w:szCs w:val="22"/>
        </w:rPr>
        <w:lastRenderedPageBreak/>
        <w:t xml:space="preserve">comparative safety of </w:t>
      </w:r>
      <w:proofErr w:type="spellStart"/>
      <w:r w:rsidR="00BA6B47" w:rsidRPr="004C567C">
        <w:rPr>
          <w:rFonts w:ascii="Arial" w:hAnsi="Arial" w:cs="Arial"/>
          <w:sz w:val="22"/>
          <w:szCs w:val="22"/>
        </w:rPr>
        <w:t>tocilizumab</w:t>
      </w:r>
      <w:proofErr w:type="spellEnd"/>
      <w:r w:rsidRPr="004C567C">
        <w:rPr>
          <w:rFonts w:ascii="Arial" w:hAnsi="Arial" w:cs="Arial"/>
          <w:sz w:val="22"/>
          <w:szCs w:val="22"/>
        </w:rPr>
        <w:t xml:space="preserve"> SC (</w:t>
      </w:r>
      <w:r w:rsidR="00BA6B47" w:rsidRPr="004C567C">
        <w:rPr>
          <w:rFonts w:ascii="Arial" w:hAnsi="Arial" w:cs="Arial"/>
          <w:sz w:val="22"/>
          <w:szCs w:val="22"/>
        </w:rPr>
        <w:t>162</w:t>
      </w:r>
      <w:r w:rsidRPr="004C567C">
        <w:rPr>
          <w:rFonts w:ascii="Arial" w:hAnsi="Arial" w:cs="Arial"/>
          <w:sz w:val="22"/>
          <w:szCs w:val="22"/>
        </w:rPr>
        <w:t xml:space="preserve"> mg fixed dose) compared with </w:t>
      </w:r>
      <w:proofErr w:type="spellStart"/>
      <w:r w:rsidR="00BA6B47" w:rsidRPr="004C567C">
        <w:rPr>
          <w:rFonts w:ascii="Arial" w:hAnsi="Arial" w:cs="Arial"/>
          <w:sz w:val="22"/>
          <w:szCs w:val="22"/>
        </w:rPr>
        <w:t>tocilizumab</w:t>
      </w:r>
      <w:proofErr w:type="spellEnd"/>
      <w:r w:rsidR="00BA6B47" w:rsidRPr="004C567C">
        <w:rPr>
          <w:rFonts w:ascii="Arial" w:hAnsi="Arial" w:cs="Arial"/>
          <w:sz w:val="22"/>
          <w:szCs w:val="22"/>
        </w:rPr>
        <w:t xml:space="preserve"> </w:t>
      </w:r>
      <w:r w:rsidR="0091324F">
        <w:rPr>
          <w:rFonts w:ascii="Arial" w:hAnsi="Arial" w:cs="Arial"/>
          <w:sz w:val="22"/>
          <w:szCs w:val="22"/>
        </w:rPr>
        <w:t>IV (8 mg/kg dose).</w:t>
      </w:r>
    </w:p>
    <w:p w:rsidR="00D408CC" w:rsidRPr="00BE74F3" w:rsidRDefault="00D408CC" w:rsidP="00BE74F3">
      <w:pPr>
        <w:widowControl w:val="0"/>
        <w:jc w:val="both"/>
        <w:rPr>
          <w:rFonts w:ascii="Arial" w:hAnsi="Arial" w:cs="Arial"/>
          <w:sz w:val="22"/>
          <w:szCs w:val="22"/>
        </w:rPr>
      </w:pPr>
    </w:p>
    <w:p w:rsidR="00D408CC" w:rsidRPr="004C567C" w:rsidRDefault="00D408CC" w:rsidP="00BE74F3">
      <w:pPr>
        <w:widowControl w:val="0"/>
        <w:ind w:left="709"/>
        <w:contextualSpacing/>
        <w:jc w:val="both"/>
        <w:rPr>
          <w:rFonts w:ascii="Arial" w:hAnsi="Arial" w:cs="Arial"/>
          <w:snapToGrid w:val="0"/>
          <w:sz w:val="22"/>
          <w:szCs w:val="22"/>
          <w:lang w:eastAsia="en-US"/>
        </w:rPr>
      </w:pPr>
      <w:r w:rsidRPr="004C567C">
        <w:rPr>
          <w:rFonts w:ascii="Arial" w:hAnsi="Arial" w:cs="Arial"/>
          <w:snapToGrid w:val="0"/>
          <w:sz w:val="22"/>
          <w:szCs w:val="22"/>
          <w:lang w:eastAsia="en-US"/>
        </w:rPr>
        <w:t>For more deta</w:t>
      </w:r>
      <w:r w:rsidR="00545DBC">
        <w:rPr>
          <w:rFonts w:ascii="Arial" w:hAnsi="Arial" w:cs="Arial"/>
          <w:snapToGrid w:val="0"/>
          <w:sz w:val="22"/>
          <w:szCs w:val="22"/>
          <w:lang w:eastAsia="en-US"/>
        </w:rPr>
        <w:t>il on PBAC’s view, see section 6</w:t>
      </w:r>
      <w:r w:rsidRPr="004C567C">
        <w:rPr>
          <w:rFonts w:ascii="Arial" w:hAnsi="Arial" w:cs="Arial"/>
          <w:snapToGrid w:val="0"/>
          <w:sz w:val="22"/>
          <w:szCs w:val="22"/>
          <w:lang w:eastAsia="en-US"/>
        </w:rPr>
        <w:t xml:space="preserve"> “PBAC outcome”</w:t>
      </w:r>
    </w:p>
    <w:p w:rsidR="00C66B0D" w:rsidRPr="004C567C" w:rsidRDefault="00C66B0D" w:rsidP="00BE74F3">
      <w:pPr>
        <w:pStyle w:val="ListParagraph"/>
        <w:jc w:val="both"/>
        <w:rPr>
          <w:rFonts w:ascii="Arial" w:hAnsi="Arial" w:cs="Arial"/>
          <w:b/>
          <w:sz w:val="22"/>
          <w:szCs w:val="22"/>
        </w:rPr>
      </w:pPr>
    </w:p>
    <w:p w:rsidR="00C66B0D" w:rsidRPr="004C567C" w:rsidRDefault="00C66B0D" w:rsidP="00C66B0D">
      <w:pPr>
        <w:pStyle w:val="ListParagraph"/>
        <w:jc w:val="both"/>
        <w:rPr>
          <w:rFonts w:ascii="Arial" w:hAnsi="Arial"/>
          <w:b/>
          <w:sz w:val="22"/>
          <w:szCs w:val="22"/>
        </w:rPr>
      </w:pPr>
    </w:p>
    <w:p w:rsidR="00C66B0D" w:rsidRPr="004C567C" w:rsidRDefault="0091324F" w:rsidP="0056681A">
      <w:pPr>
        <w:pStyle w:val="Heading1"/>
      </w:pPr>
      <w:r>
        <w:t>Pricing considerations</w:t>
      </w:r>
    </w:p>
    <w:p w:rsidR="00E259EF" w:rsidRPr="004C567C" w:rsidRDefault="00E259EF" w:rsidP="00E259EF">
      <w:pPr>
        <w:rPr>
          <w:rFonts w:asciiTheme="minorHAnsi" w:hAnsiTheme="minorHAnsi" w:cstheme="minorHAnsi"/>
        </w:rPr>
      </w:pPr>
    </w:p>
    <w:p w:rsidR="00020321" w:rsidRPr="004C567C" w:rsidRDefault="00BE74F3" w:rsidP="00BF3F25">
      <w:pPr>
        <w:pStyle w:val="ListParagraph"/>
        <w:numPr>
          <w:ilvl w:val="1"/>
          <w:numId w:val="5"/>
        </w:numPr>
        <w:jc w:val="both"/>
        <w:rPr>
          <w:rFonts w:ascii="Arial" w:hAnsi="Arial" w:cs="Arial"/>
          <w:sz w:val="22"/>
          <w:szCs w:val="22"/>
        </w:rPr>
      </w:pPr>
      <w:r w:rsidRPr="004C567C">
        <w:rPr>
          <w:rFonts w:ascii="Arial" w:hAnsi="Arial"/>
          <w:sz w:val="22"/>
          <w:szCs w:val="22"/>
        </w:rPr>
        <w:t xml:space="preserve">This submission </w:t>
      </w:r>
      <w:r>
        <w:rPr>
          <w:rFonts w:ascii="Arial" w:hAnsi="Arial"/>
          <w:sz w:val="22"/>
          <w:szCs w:val="22"/>
        </w:rPr>
        <w:t>presents</w:t>
      </w:r>
      <w:r w:rsidRPr="004C567C">
        <w:rPr>
          <w:rFonts w:ascii="Arial" w:hAnsi="Arial"/>
          <w:sz w:val="22"/>
          <w:szCs w:val="22"/>
        </w:rPr>
        <w:t xml:space="preserve"> </w:t>
      </w:r>
      <w:r w:rsidRPr="00BE74F3">
        <w:rPr>
          <w:rFonts w:ascii="Arial" w:hAnsi="Arial"/>
          <w:sz w:val="22"/>
          <w:szCs w:val="22"/>
        </w:rPr>
        <w:t xml:space="preserve">cost-minimisation analyses are based on the current PBS prices for </w:t>
      </w:r>
      <w:proofErr w:type="spellStart"/>
      <w:r w:rsidRPr="00BE74F3">
        <w:rPr>
          <w:rFonts w:ascii="Arial" w:hAnsi="Arial"/>
          <w:sz w:val="22"/>
          <w:szCs w:val="22"/>
        </w:rPr>
        <w:t>etanercept</w:t>
      </w:r>
      <w:proofErr w:type="spellEnd"/>
      <w:r w:rsidRPr="00BE74F3">
        <w:rPr>
          <w:rFonts w:ascii="Arial" w:hAnsi="Arial"/>
          <w:sz w:val="22"/>
          <w:szCs w:val="22"/>
        </w:rPr>
        <w:t xml:space="preserve"> and </w:t>
      </w:r>
      <w:proofErr w:type="spellStart"/>
      <w:r w:rsidRPr="00BE74F3">
        <w:rPr>
          <w:rFonts w:ascii="Arial" w:hAnsi="Arial"/>
          <w:sz w:val="22"/>
          <w:szCs w:val="22"/>
        </w:rPr>
        <w:t>adalimumab</w:t>
      </w:r>
      <w:proofErr w:type="spellEnd"/>
      <w:r w:rsidRPr="00BE74F3">
        <w:rPr>
          <w:rFonts w:ascii="Arial" w:hAnsi="Arial"/>
          <w:sz w:val="22"/>
          <w:szCs w:val="22"/>
        </w:rPr>
        <w:t xml:space="preserve"> for an equivalent treatment period.</w:t>
      </w:r>
      <w:r w:rsidRPr="004C567C">
        <w:rPr>
          <w:rFonts w:ascii="Arial" w:hAnsi="Arial"/>
          <w:sz w:val="22"/>
          <w:szCs w:val="22"/>
        </w:rPr>
        <w:t xml:space="preserve">  </w:t>
      </w:r>
      <w:r w:rsidR="00E259EF" w:rsidRPr="004C567C">
        <w:rPr>
          <w:rFonts w:ascii="Arial" w:hAnsi="Arial" w:cs="Arial"/>
          <w:sz w:val="22"/>
          <w:szCs w:val="22"/>
        </w:rPr>
        <w:t xml:space="preserve">The submission </w:t>
      </w:r>
      <w:r w:rsidR="002D0851" w:rsidRPr="004C567C">
        <w:rPr>
          <w:rFonts w:ascii="Arial" w:hAnsi="Arial" w:cs="Arial"/>
          <w:sz w:val="22"/>
          <w:szCs w:val="22"/>
        </w:rPr>
        <w:t xml:space="preserve">claimed that the listing of </w:t>
      </w:r>
      <w:proofErr w:type="spellStart"/>
      <w:r w:rsidR="00E259EF" w:rsidRPr="004C567C">
        <w:rPr>
          <w:rFonts w:ascii="Arial" w:hAnsi="Arial" w:cs="Arial"/>
          <w:sz w:val="22"/>
          <w:szCs w:val="22"/>
        </w:rPr>
        <w:t>tocilizumab</w:t>
      </w:r>
      <w:proofErr w:type="spellEnd"/>
      <w:r w:rsidR="00E259EF" w:rsidRPr="004C567C">
        <w:rPr>
          <w:rFonts w:ascii="Arial" w:hAnsi="Arial" w:cs="Arial"/>
          <w:sz w:val="22"/>
          <w:szCs w:val="22"/>
        </w:rPr>
        <w:t xml:space="preserve"> SC will be cost neutral to the PBS. </w:t>
      </w:r>
    </w:p>
    <w:p w:rsidR="009A1C86" w:rsidRPr="00BE74F3" w:rsidRDefault="009A1C86" w:rsidP="00BE74F3">
      <w:pPr>
        <w:rPr>
          <w:rFonts w:ascii="Arial" w:hAnsi="Arial" w:cs="Arial"/>
          <w:sz w:val="22"/>
          <w:szCs w:val="22"/>
        </w:rPr>
      </w:pPr>
    </w:p>
    <w:p w:rsidR="009A1C86" w:rsidRPr="004C567C" w:rsidRDefault="00BE74F3" w:rsidP="00672EF6">
      <w:pPr>
        <w:pStyle w:val="ListParagraph"/>
        <w:numPr>
          <w:ilvl w:val="1"/>
          <w:numId w:val="5"/>
        </w:numPr>
        <w:jc w:val="both"/>
        <w:rPr>
          <w:rFonts w:ascii="Arial" w:hAnsi="Arial" w:cs="Arial"/>
          <w:sz w:val="22"/>
          <w:szCs w:val="22"/>
        </w:rPr>
      </w:pPr>
      <w:r>
        <w:rPr>
          <w:rFonts w:ascii="Arial" w:hAnsi="Arial" w:cs="Arial"/>
          <w:sz w:val="22"/>
          <w:szCs w:val="22"/>
        </w:rPr>
        <w:t>At the price proposed in the submission, t</w:t>
      </w:r>
      <w:r w:rsidR="009A1C86" w:rsidRPr="004C567C">
        <w:rPr>
          <w:rFonts w:ascii="Arial" w:hAnsi="Arial" w:cs="Arial"/>
          <w:sz w:val="22"/>
          <w:szCs w:val="22"/>
        </w:rPr>
        <w:t xml:space="preserve">he negligible increase in net cost to Commonwealth Government </w:t>
      </w:r>
      <w:r w:rsidR="0053699B" w:rsidRPr="004C567C">
        <w:rPr>
          <w:rFonts w:ascii="Arial" w:hAnsi="Arial" w:cs="Arial"/>
          <w:sz w:val="22"/>
          <w:szCs w:val="22"/>
        </w:rPr>
        <w:t>wa</w:t>
      </w:r>
      <w:r w:rsidR="009A1C86" w:rsidRPr="004C567C">
        <w:rPr>
          <w:rFonts w:ascii="Arial" w:hAnsi="Arial" w:cs="Arial"/>
          <w:sz w:val="22"/>
          <w:szCs w:val="22"/>
        </w:rPr>
        <w:t>s due to differences in patient co</w:t>
      </w:r>
      <w:r w:rsidR="009A1C86" w:rsidRPr="004C567C">
        <w:rPr>
          <w:rFonts w:ascii="Arial" w:hAnsi="Arial" w:cs="Arial"/>
          <w:sz w:val="22"/>
          <w:szCs w:val="22"/>
        </w:rPr>
        <w:noBreakHyphen/>
        <w:t xml:space="preserve">payments and preferential cannibalisation of </w:t>
      </w:r>
      <w:proofErr w:type="spellStart"/>
      <w:r w:rsidR="009A1C86" w:rsidRPr="004C567C">
        <w:rPr>
          <w:rFonts w:ascii="Arial" w:hAnsi="Arial" w:cs="Arial"/>
          <w:sz w:val="22"/>
          <w:szCs w:val="22"/>
        </w:rPr>
        <w:t>adalimumab</w:t>
      </w:r>
      <w:proofErr w:type="spellEnd"/>
      <w:r w:rsidR="009A1C86" w:rsidRPr="004C567C">
        <w:rPr>
          <w:rFonts w:ascii="Arial" w:hAnsi="Arial" w:cs="Arial"/>
          <w:sz w:val="22"/>
          <w:szCs w:val="22"/>
        </w:rPr>
        <w:t xml:space="preserve"> by </w:t>
      </w:r>
      <w:proofErr w:type="spellStart"/>
      <w:r w:rsidR="009A1C86" w:rsidRPr="004C567C">
        <w:rPr>
          <w:rFonts w:ascii="Arial" w:hAnsi="Arial" w:cs="Arial"/>
          <w:sz w:val="22"/>
          <w:szCs w:val="22"/>
        </w:rPr>
        <w:t>tocilizumab</w:t>
      </w:r>
      <w:proofErr w:type="spellEnd"/>
      <w:r w:rsidR="009A1C86" w:rsidRPr="004C567C">
        <w:rPr>
          <w:rFonts w:ascii="Arial" w:hAnsi="Arial" w:cs="Arial"/>
          <w:sz w:val="22"/>
          <w:szCs w:val="22"/>
        </w:rPr>
        <w:t xml:space="preserve"> SC</w:t>
      </w:r>
      <w:r w:rsidR="002D0851" w:rsidRPr="004C567C">
        <w:rPr>
          <w:rFonts w:ascii="Arial" w:hAnsi="Arial" w:cs="Arial"/>
          <w:sz w:val="22"/>
          <w:szCs w:val="22"/>
        </w:rPr>
        <w:t xml:space="preserve"> (see Table </w:t>
      </w:r>
      <w:r w:rsidR="00BA6B47" w:rsidRPr="004C567C">
        <w:rPr>
          <w:rFonts w:ascii="Arial" w:hAnsi="Arial" w:cs="Arial"/>
          <w:sz w:val="22"/>
          <w:szCs w:val="22"/>
        </w:rPr>
        <w:t>5</w:t>
      </w:r>
      <w:r w:rsidR="002D0851" w:rsidRPr="004C567C">
        <w:rPr>
          <w:rFonts w:ascii="Arial" w:hAnsi="Arial" w:cs="Arial"/>
          <w:sz w:val="22"/>
          <w:szCs w:val="22"/>
        </w:rPr>
        <w:t xml:space="preserve"> below)</w:t>
      </w:r>
      <w:r w:rsidR="009A1C86" w:rsidRPr="004C567C">
        <w:rPr>
          <w:rFonts w:ascii="Arial" w:hAnsi="Arial" w:cs="Arial"/>
          <w:sz w:val="22"/>
          <w:szCs w:val="22"/>
        </w:rPr>
        <w:t>.</w:t>
      </w:r>
      <w:r w:rsidR="002D4138" w:rsidRPr="004C567C">
        <w:rPr>
          <w:rFonts w:ascii="Arial" w:hAnsi="Arial" w:cs="Arial"/>
          <w:sz w:val="22"/>
          <w:szCs w:val="22"/>
        </w:rPr>
        <w:t xml:space="preserve"> No increase in MBS</w:t>
      </w:r>
      <w:r w:rsidR="0053699B" w:rsidRPr="004C567C">
        <w:rPr>
          <w:rFonts w:ascii="Arial" w:hAnsi="Arial" w:cs="Arial"/>
          <w:sz w:val="22"/>
          <w:szCs w:val="22"/>
        </w:rPr>
        <w:t xml:space="preserve"> costs wa</w:t>
      </w:r>
      <w:r w:rsidR="002D4138" w:rsidRPr="004C567C">
        <w:rPr>
          <w:rFonts w:ascii="Arial" w:hAnsi="Arial" w:cs="Arial"/>
          <w:sz w:val="22"/>
          <w:szCs w:val="22"/>
        </w:rPr>
        <w:t xml:space="preserve">s predicted due to similarity of administration to </w:t>
      </w:r>
      <w:proofErr w:type="spellStart"/>
      <w:r w:rsidRPr="00BE74F3">
        <w:rPr>
          <w:rFonts w:ascii="Arial" w:hAnsi="Arial"/>
          <w:sz w:val="22"/>
          <w:szCs w:val="22"/>
        </w:rPr>
        <w:t>etanercept</w:t>
      </w:r>
      <w:proofErr w:type="spellEnd"/>
      <w:r w:rsidRPr="00BE74F3">
        <w:rPr>
          <w:rFonts w:ascii="Arial" w:hAnsi="Arial"/>
          <w:sz w:val="22"/>
          <w:szCs w:val="22"/>
        </w:rPr>
        <w:t xml:space="preserve"> and </w:t>
      </w:r>
      <w:proofErr w:type="spellStart"/>
      <w:r w:rsidRPr="00BE74F3">
        <w:rPr>
          <w:rFonts w:ascii="Arial" w:hAnsi="Arial"/>
          <w:sz w:val="22"/>
          <w:szCs w:val="22"/>
        </w:rPr>
        <w:t>adalimumab</w:t>
      </w:r>
      <w:proofErr w:type="spellEnd"/>
      <w:r w:rsidR="002D4138" w:rsidRPr="004C567C">
        <w:rPr>
          <w:rFonts w:ascii="Arial" w:hAnsi="Arial" w:cs="Arial"/>
          <w:sz w:val="22"/>
          <w:szCs w:val="22"/>
        </w:rPr>
        <w:t>.</w:t>
      </w:r>
    </w:p>
    <w:p w:rsidR="002D0851" w:rsidRPr="004C567C" w:rsidRDefault="002D0851" w:rsidP="00BA6B47">
      <w:pPr>
        <w:ind w:left="720"/>
        <w:rPr>
          <w:rFonts w:ascii="Arial" w:hAnsi="Arial" w:cs="Arial"/>
          <w:sz w:val="22"/>
          <w:szCs w:val="22"/>
        </w:rPr>
      </w:pPr>
    </w:p>
    <w:p w:rsidR="002D0851" w:rsidRPr="004C567C" w:rsidRDefault="002D0851" w:rsidP="00312883">
      <w:pPr>
        <w:pStyle w:val="Caption"/>
        <w:ind w:left="2421"/>
        <w:rPr>
          <w:rFonts w:ascii="Arial Narrow" w:hAnsi="Arial Narrow" w:cs="Arial"/>
        </w:rPr>
      </w:pPr>
      <w:bookmarkStart w:id="4" w:name="_Toc438134048"/>
      <w:r w:rsidRPr="004C567C">
        <w:rPr>
          <w:rFonts w:ascii="Arial Narrow" w:hAnsi="Arial Narrow" w:cs="Arial"/>
        </w:rPr>
        <w:t xml:space="preserve">Table </w:t>
      </w:r>
      <w:r w:rsidR="00BA6B47" w:rsidRPr="004C567C">
        <w:rPr>
          <w:rFonts w:ascii="Arial Narrow" w:hAnsi="Arial Narrow" w:cs="Arial"/>
        </w:rPr>
        <w:t>5</w:t>
      </w:r>
      <w:r w:rsidR="00312883" w:rsidRPr="004C567C">
        <w:rPr>
          <w:rFonts w:ascii="Arial Narrow" w:hAnsi="Arial Narrow" w:cs="Arial"/>
        </w:rPr>
        <w:t>:</w:t>
      </w:r>
      <w:r w:rsidRPr="004C567C">
        <w:rPr>
          <w:rFonts w:ascii="Arial Narrow" w:hAnsi="Arial Narrow" w:cs="Arial"/>
        </w:rPr>
        <w:t xml:space="preserve"> </w:t>
      </w:r>
      <w:r w:rsidRPr="004C567C">
        <w:rPr>
          <w:rFonts w:ascii="Arial Narrow" w:eastAsia="Times New Roman" w:hAnsi="Arial Narrow" w:cs="Arial"/>
          <w:iCs/>
          <w:lang w:eastAsia="en-AU"/>
        </w:rPr>
        <w:t xml:space="preserve">Overall net </w:t>
      </w:r>
      <w:r w:rsidRPr="004C567C">
        <w:rPr>
          <w:rFonts w:ascii="Arial Narrow" w:eastAsia="Times New Roman" w:hAnsi="Arial Narrow" w:cs="Arial"/>
          <w:lang w:eastAsia="en-AU"/>
        </w:rPr>
        <w:t xml:space="preserve">cost to Commonwealth Health budget of listing </w:t>
      </w:r>
      <w:proofErr w:type="spellStart"/>
      <w:r w:rsidRPr="004C567C">
        <w:rPr>
          <w:rFonts w:ascii="Arial Narrow" w:eastAsia="Times New Roman" w:hAnsi="Arial Narrow" w:cs="Arial"/>
          <w:lang w:eastAsia="en-AU"/>
        </w:rPr>
        <w:t>tocilizumab</w:t>
      </w:r>
      <w:proofErr w:type="spellEnd"/>
      <w:r w:rsidRPr="004C567C">
        <w:rPr>
          <w:rFonts w:ascii="Arial Narrow" w:eastAsia="Times New Roman" w:hAnsi="Arial Narrow" w:cs="Arial"/>
          <w:lang w:eastAsia="en-AU"/>
        </w:rPr>
        <w:t xml:space="preserve"> SC</w:t>
      </w:r>
      <w:bookmarkEnd w:id="4"/>
    </w:p>
    <w:tbl>
      <w:tblPr>
        <w:tblW w:w="4558" w:type="pct"/>
        <w:tblInd w:w="817" w:type="dxa"/>
        <w:tblLook w:val="04A0" w:firstRow="1" w:lastRow="0" w:firstColumn="1" w:lastColumn="0" w:noHBand="0" w:noVBand="1"/>
      </w:tblPr>
      <w:tblGrid>
        <w:gridCol w:w="1017"/>
        <w:gridCol w:w="1259"/>
        <w:gridCol w:w="1026"/>
        <w:gridCol w:w="1026"/>
        <w:gridCol w:w="1026"/>
        <w:gridCol w:w="1026"/>
        <w:gridCol w:w="1026"/>
        <w:gridCol w:w="1019"/>
      </w:tblGrid>
      <w:tr w:rsidR="002D0851" w:rsidRPr="004C567C" w:rsidTr="00312883">
        <w:trPr>
          <w:trHeight w:val="285"/>
        </w:trPr>
        <w:tc>
          <w:tcPr>
            <w:tcW w:w="1350" w:type="pct"/>
            <w:gridSpan w:val="2"/>
            <w:tcBorders>
              <w:top w:val="single" w:sz="4" w:space="0" w:color="3C3C3C"/>
              <w:left w:val="single" w:sz="4" w:space="0" w:color="3C3C3C"/>
              <w:bottom w:val="single" w:sz="4" w:space="0" w:color="3C3C3C"/>
              <w:right w:val="single" w:sz="4" w:space="0" w:color="3C3C3C"/>
            </w:tcBorders>
            <w:shd w:val="clear" w:color="auto" w:fill="auto"/>
            <w:noWrap/>
            <w:vAlign w:val="bottom"/>
            <w:hideMark/>
          </w:tcPr>
          <w:p w:rsidR="002D0851" w:rsidRPr="004C567C" w:rsidRDefault="002D0851" w:rsidP="00314E9D">
            <w:pPr>
              <w:pStyle w:val="TableHeadingRow"/>
              <w:rPr>
                <w:rFonts w:cs="Arial"/>
              </w:rPr>
            </w:pPr>
            <w:r w:rsidRPr="004C567C">
              <w:rPr>
                <w:rFonts w:cs="Arial"/>
              </w:rPr>
              <w:t> </w:t>
            </w:r>
          </w:p>
        </w:tc>
        <w:tc>
          <w:tcPr>
            <w:tcW w:w="609" w:type="pct"/>
            <w:tcBorders>
              <w:top w:val="single" w:sz="4" w:space="0" w:color="3C3C3C"/>
              <w:left w:val="nil"/>
              <w:bottom w:val="single" w:sz="4" w:space="0" w:color="3C3C3C"/>
              <w:right w:val="single" w:sz="4" w:space="0" w:color="3C3C3C"/>
            </w:tcBorders>
            <w:shd w:val="clear" w:color="auto" w:fill="auto"/>
            <w:vAlign w:val="bottom"/>
            <w:hideMark/>
          </w:tcPr>
          <w:p w:rsidR="002D0851" w:rsidRPr="004C567C" w:rsidRDefault="002D0851" w:rsidP="00314E9D">
            <w:pPr>
              <w:pStyle w:val="TableHeadingRow"/>
              <w:rPr>
                <w:rFonts w:cs="Arial"/>
              </w:rPr>
            </w:pPr>
            <w:r w:rsidRPr="004C567C">
              <w:rPr>
                <w:rFonts w:cs="Arial"/>
              </w:rPr>
              <w:t>Year 1</w:t>
            </w:r>
          </w:p>
        </w:tc>
        <w:tc>
          <w:tcPr>
            <w:tcW w:w="609" w:type="pct"/>
            <w:tcBorders>
              <w:top w:val="single" w:sz="4" w:space="0" w:color="3C3C3C"/>
              <w:left w:val="nil"/>
              <w:bottom w:val="single" w:sz="4" w:space="0" w:color="3C3C3C"/>
              <w:right w:val="single" w:sz="4" w:space="0" w:color="3C3C3C"/>
            </w:tcBorders>
            <w:shd w:val="clear" w:color="auto" w:fill="auto"/>
            <w:vAlign w:val="bottom"/>
            <w:hideMark/>
          </w:tcPr>
          <w:p w:rsidR="002D0851" w:rsidRPr="004C567C" w:rsidRDefault="002D0851" w:rsidP="00314E9D">
            <w:pPr>
              <w:pStyle w:val="TableHeadingRow"/>
              <w:rPr>
                <w:rFonts w:cs="Arial"/>
              </w:rPr>
            </w:pPr>
            <w:r w:rsidRPr="004C567C">
              <w:rPr>
                <w:rFonts w:cs="Arial"/>
              </w:rPr>
              <w:t>Year 2</w:t>
            </w:r>
          </w:p>
        </w:tc>
        <w:tc>
          <w:tcPr>
            <w:tcW w:w="609" w:type="pct"/>
            <w:tcBorders>
              <w:top w:val="single" w:sz="4" w:space="0" w:color="3C3C3C"/>
              <w:left w:val="nil"/>
              <w:bottom w:val="single" w:sz="4" w:space="0" w:color="3C3C3C"/>
              <w:right w:val="single" w:sz="4" w:space="0" w:color="3C3C3C"/>
            </w:tcBorders>
            <w:shd w:val="clear" w:color="auto" w:fill="auto"/>
            <w:vAlign w:val="bottom"/>
            <w:hideMark/>
          </w:tcPr>
          <w:p w:rsidR="002D0851" w:rsidRPr="004C567C" w:rsidRDefault="002D0851" w:rsidP="00314E9D">
            <w:pPr>
              <w:pStyle w:val="TableHeadingRow"/>
              <w:rPr>
                <w:rFonts w:cs="Arial"/>
              </w:rPr>
            </w:pPr>
            <w:r w:rsidRPr="004C567C">
              <w:rPr>
                <w:rFonts w:cs="Arial"/>
              </w:rPr>
              <w:t>Year 3</w:t>
            </w:r>
          </w:p>
        </w:tc>
        <w:tc>
          <w:tcPr>
            <w:tcW w:w="609" w:type="pct"/>
            <w:tcBorders>
              <w:top w:val="single" w:sz="4" w:space="0" w:color="3C3C3C"/>
              <w:left w:val="nil"/>
              <w:bottom w:val="single" w:sz="4" w:space="0" w:color="3C3C3C"/>
              <w:right w:val="single" w:sz="4" w:space="0" w:color="3C3C3C"/>
            </w:tcBorders>
            <w:shd w:val="clear" w:color="auto" w:fill="auto"/>
            <w:vAlign w:val="bottom"/>
            <w:hideMark/>
          </w:tcPr>
          <w:p w:rsidR="002D0851" w:rsidRPr="004C567C" w:rsidRDefault="002D0851" w:rsidP="00314E9D">
            <w:pPr>
              <w:pStyle w:val="TableHeadingRow"/>
              <w:rPr>
                <w:rFonts w:cs="Arial"/>
              </w:rPr>
            </w:pPr>
            <w:r w:rsidRPr="004C567C">
              <w:rPr>
                <w:rFonts w:cs="Arial"/>
              </w:rPr>
              <w:t>Year 4</w:t>
            </w:r>
          </w:p>
        </w:tc>
        <w:tc>
          <w:tcPr>
            <w:tcW w:w="609" w:type="pct"/>
            <w:tcBorders>
              <w:top w:val="single" w:sz="4" w:space="0" w:color="3C3C3C"/>
              <w:left w:val="nil"/>
              <w:bottom w:val="single" w:sz="4" w:space="0" w:color="3C3C3C"/>
              <w:right w:val="single" w:sz="4" w:space="0" w:color="3C3C3C"/>
            </w:tcBorders>
            <w:shd w:val="clear" w:color="auto" w:fill="auto"/>
            <w:vAlign w:val="bottom"/>
            <w:hideMark/>
          </w:tcPr>
          <w:p w:rsidR="002D0851" w:rsidRPr="004C567C" w:rsidRDefault="002D0851" w:rsidP="00314E9D">
            <w:pPr>
              <w:pStyle w:val="TableHeadingRow"/>
              <w:rPr>
                <w:rFonts w:cs="Arial"/>
              </w:rPr>
            </w:pPr>
            <w:r w:rsidRPr="004C567C">
              <w:rPr>
                <w:rFonts w:cs="Arial"/>
              </w:rPr>
              <w:t>Year 5</w:t>
            </w:r>
          </w:p>
        </w:tc>
        <w:tc>
          <w:tcPr>
            <w:tcW w:w="606" w:type="pct"/>
            <w:tcBorders>
              <w:top w:val="single" w:sz="4" w:space="0" w:color="3C3C3C"/>
              <w:left w:val="nil"/>
              <w:bottom w:val="single" w:sz="4" w:space="0" w:color="3C3C3C"/>
              <w:right w:val="single" w:sz="4" w:space="0" w:color="3C3C3C"/>
            </w:tcBorders>
            <w:shd w:val="clear" w:color="auto" w:fill="auto"/>
            <w:vAlign w:val="bottom"/>
            <w:hideMark/>
          </w:tcPr>
          <w:p w:rsidR="002D0851" w:rsidRPr="004C567C" w:rsidRDefault="002D0851" w:rsidP="00314E9D">
            <w:pPr>
              <w:pStyle w:val="TableHeadingRow"/>
              <w:rPr>
                <w:rFonts w:cs="Arial"/>
              </w:rPr>
            </w:pPr>
            <w:r w:rsidRPr="004C567C">
              <w:rPr>
                <w:rFonts w:cs="Arial"/>
              </w:rPr>
              <w:t>Year 6</w:t>
            </w:r>
          </w:p>
        </w:tc>
      </w:tr>
      <w:tr w:rsidR="002D0851" w:rsidRPr="004C567C" w:rsidTr="00312883">
        <w:trPr>
          <w:trHeight w:val="331"/>
        </w:trPr>
        <w:tc>
          <w:tcPr>
            <w:tcW w:w="1350" w:type="pct"/>
            <w:gridSpan w:val="2"/>
            <w:tcBorders>
              <w:top w:val="single" w:sz="4" w:space="0" w:color="3C3C3C"/>
              <w:left w:val="single" w:sz="4" w:space="0" w:color="3C3C3C"/>
              <w:bottom w:val="single" w:sz="4" w:space="0" w:color="3C3C3C"/>
              <w:right w:val="single" w:sz="4" w:space="0" w:color="3C3C3C"/>
            </w:tcBorders>
            <w:shd w:val="clear" w:color="E5FFFF" w:fill="FFFFFF"/>
            <w:vAlign w:val="bottom"/>
            <w:hideMark/>
          </w:tcPr>
          <w:p w:rsidR="002D0851" w:rsidRPr="004C567C" w:rsidRDefault="002D0851" w:rsidP="00314E9D">
            <w:pPr>
              <w:pStyle w:val="TableText"/>
              <w:rPr>
                <w:rFonts w:cs="Arial"/>
              </w:rPr>
            </w:pPr>
            <w:r w:rsidRPr="004C567C">
              <w:rPr>
                <w:rFonts w:cs="Arial"/>
              </w:rPr>
              <w:t xml:space="preserve">Overall net cost to the PBS </w:t>
            </w:r>
          </w:p>
        </w:tc>
        <w:tc>
          <w:tcPr>
            <w:tcW w:w="609" w:type="pct"/>
            <w:tcBorders>
              <w:top w:val="nil"/>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lang w:eastAsia="en-US"/>
              </w:rPr>
              <w:t>$</w:t>
            </w:r>
            <w:r w:rsidR="003E25D4">
              <w:rPr>
                <w:rFonts w:ascii="Arial Narrow" w:hAnsi="Arial Narrow" w:cs="Arial"/>
                <w:noProof/>
                <w:color w:val="000000"/>
                <w:sz w:val="20"/>
                <w:szCs w:val="20"/>
                <w:highlight w:val="black"/>
                <w:lang w:eastAsia="en-US"/>
              </w:rPr>
              <w:t>''''''</w:t>
            </w:r>
          </w:p>
        </w:tc>
        <w:tc>
          <w:tcPr>
            <w:tcW w:w="609" w:type="pct"/>
            <w:tcBorders>
              <w:top w:val="nil"/>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lang w:eastAsia="en-US"/>
              </w:rPr>
              <w:t>$</w:t>
            </w:r>
            <w:r w:rsidR="003E25D4">
              <w:rPr>
                <w:rFonts w:ascii="Arial Narrow" w:hAnsi="Arial Narrow" w:cs="Arial"/>
                <w:noProof/>
                <w:color w:val="000000"/>
                <w:sz w:val="20"/>
                <w:szCs w:val="20"/>
                <w:highlight w:val="black"/>
                <w:lang w:eastAsia="en-US"/>
              </w:rPr>
              <w:t>''''''</w:t>
            </w:r>
          </w:p>
        </w:tc>
        <w:tc>
          <w:tcPr>
            <w:tcW w:w="609" w:type="pct"/>
            <w:tcBorders>
              <w:top w:val="nil"/>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lang w:eastAsia="en-US"/>
              </w:rPr>
              <w:t>$</w:t>
            </w:r>
            <w:r w:rsidR="003E25D4">
              <w:rPr>
                <w:rFonts w:ascii="Arial Narrow" w:hAnsi="Arial Narrow" w:cs="Arial"/>
                <w:noProof/>
                <w:color w:val="000000"/>
                <w:sz w:val="20"/>
                <w:szCs w:val="20"/>
                <w:highlight w:val="black"/>
                <w:lang w:eastAsia="en-US"/>
              </w:rPr>
              <w:t>'''''''</w:t>
            </w:r>
          </w:p>
        </w:tc>
        <w:tc>
          <w:tcPr>
            <w:tcW w:w="609" w:type="pct"/>
            <w:tcBorders>
              <w:top w:val="nil"/>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lang w:eastAsia="en-US"/>
              </w:rPr>
              <w:t>$</w:t>
            </w:r>
            <w:r w:rsidR="003E25D4">
              <w:rPr>
                <w:rFonts w:ascii="Arial Narrow" w:hAnsi="Arial Narrow" w:cs="Arial"/>
                <w:noProof/>
                <w:color w:val="000000"/>
                <w:sz w:val="20"/>
                <w:szCs w:val="20"/>
                <w:highlight w:val="black"/>
                <w:lang w:eastAsia="en-US"/>
              </w:rPr>
              <w:t>''''''''''</w:t>
            </w:r>
          </w:p>
        </w:tc>
        <w:tc>
          <w:tcPr>
            <w:tcW w:w="609" w:type="pct"/>
            <w:tcBorders>
              <w:top w:val="nil"/>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lang w:eastAsia="en-US"/>
              </w:rPr>
              <w:t>$</w:t>
            </w:r>
            <w:r w:rsidR="003E25D4">
              <w:rPr>
                <w:rFonts w:ascii="Arial Narrow" w:hAnsi="Arial Narrow" w:cs="Arial"/>
                <w:noProof/>
                <w:color w:val="000000"/>
                <w:sz w:val="20"/>
                <w:szCs w:val="20"/>
                <w:highlight w:val="black"/>
                <w:lang w:eastAsia="en-US"/>
              </w:rPr>
              <w:t>'''''''''</w:t>
            </w:r>
          </w:p>
        </w:tc>
        <w:tc>
          <w:tcPr>
            <w:tcW w:w="606" w:type="pct"/>
            <w:tcBorders>
              <w:top w:val="nil"/>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lang w:eastAsia="en-US"/>
              </w:rPr>
              <w:t>$</w:t>
            </w:r>
            <w:r w:rsidR="003E25D4">
              <w:rPr>
                <w:rFonts w:ascii="Arial Narrow" w:hAnsi="Arial Narrow" w:cs="Arial"/>
                <w:noProof/>
                <w:color w:val="000000"/>
                <w:sz w:val="20"/>
                <w:szCs w:val="20"/>
                <w:highlight w:val="black"/>
                <w:lang w:eastAsia="en-US"/>
              </w:rPr>
              <w:t>''''''''''</w:t>
            </w:r>
          </w:p>
        </w:tc>
      </w:tr>
      <w:tr w:rsidR="002D0851" w:rsidRPr="004C567C" w:rsidTr="00312883">
        <w:trPr>
          <w:trHeight w:val="285"/>
        </w:trPr>
        <w:tc>
          <w:tcPr>
            <w:tcW w:w="1350" w:type="pct"/>
            <w:gridSpan w:val="2"/>
            <w:tcBorders>
              <w:top w:val="single" w:sz="4" w:space="0" w:color="3C3C3C"/>
              <w:left w:val="single" w:sz="4" w:space="0" w:color="3C3C3C"/>
              <w:bottom w:val="single" w:sz="4" w:space="0" w:color="3C3C3C"/>
              <w:right w:val="single" w:sz="4" w:space="0" w:color="3C3C3C"/>
            </w:tcBorders>
            <w:shd w:val="clear" w:color="E5FFFF" w:fill="FFFFFF"/>
            <w:vAlign w:val="bottom"/>
            <w:hideMark/>
          </w:tcPr>
          <w:p w:rsidR="002D0851" w:rsidRPr="004C567C" w:rsidRDefault="002D0851" w:rsidP="00314E9D">
            <w:pPr>
              <w:pStyle w:val="TableText"/>
              <w:rPr>
                <w:rFonts w:cs="Arial"/>
              </w:rPr>
            </w:pPr>
            <w:r w:rsidRPr="004C567C">
              <w:rPr>
                <w:rFonts w:cs="Arial"/>
              </w:rPr>
              <w:t xml:space="preserve">Overall net cost to the RPBS </w:t>
            </w:r>
          </w:p>
        </w:tc>
        <w:tc>
          <w:tcPr>
            <w:tcW w:w="609" w:type="pct"/>
            <w:tcBorders>
              <w:top w:val="nil"/>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rPr>
              <w:t>−</w:t>
            </w:r>
            <w:r w:rsidRPr="004C567C">
              <w:rPr>
                <w:rFonts w:ascii="Arial Narrow" w:hAnsi="Arial Narrow" w:cs="Arial"/>
                <w:sz w:val="20"/>
                <w:szCs w:val="20"/>
                <w:lang w:eastAsia="en-US"/>
              </w:rPr>
              <w:t>$0.19</w:t>
            </w:r>
          </w:p>
        </w:tc>
        <w:tc>
          <w:tcPr>
            <w:tcW w:w="609" w:type="pct"/>
            <w:tcBorders>
              <w:top w:val="nil"/>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rPr>
              <w:t>−</w:t>
            </w:r>
            <w:r w:rsidRPr="004C567C">
              <w:rPr>
                <w:rFonts w:ascii="Arial Narrow" w:hAnsi="Arial Narrow" w:cs="Arial"/>
                <w:sz w:val="20"/>
                <w:szCs w:val="20"/>
                <w:lang w:eastAsia="en-US"/>
              </w:rPr>
              <w:t>$0.37</w:t>
            </w:r>
          </w:p>
        </w:tc>
        <w:tc>
          <w:tcPr>
            <w:tcW w:w="609" w:type="pct"/>
            <w:tcBorders>
              <w:top w:val="nil"/>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rPr>
              <w:t>−</w:t>
            </w:r>
            <w:r w:rsidRPr="004C567C">
              <w:rPr>
                <w:rFonts w:ascii="Arial Narrow" w:hAnsi="Arial Narrow" w:cs="Arial"/>
                <w:sz w:val="20"/>
                <w:szCs w:val="20"/>
                <w:lang w:eastAsia="en-US"/>
              </w:rPr>
              <w:t>$0.64</w:t>
            </w:r>
          </w:p>
        </w:tc>
        <w:tc>
          <w:tcPr>
            <w:tcW w:w="609" w:type="pct"/>
            <w:tcBorders>
              <w:top w:val="nil"/>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rPr>
              <w:t>−</w:t>
            </w:r>
            <w:r w:rsidRPr="004C567C">
              <w:rPr>
                <w:rFonts w:ascii="Arial Narrow" w:hAnsi="Arial Narrow" w:cs="Arial"/>
                <w:sz w:val="20"/>
                <w:szCs w:val="20"/>
                <w:lang w:eastAsia="en-US"/>
              </w:rPr>
              <w:t>$0.90</w:t>
            </w:r>
          </w:p>
        </w:tc>
        <w:tc>
          <w:tcPr>
            <w:tcW w:w="609" w:type="pct"/>
            <w:tcBorders>
              <w:top w:val="nil"/>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rPr>
              <w:t>−</w:t>
            </w:r>
            <w:r w:rsidRPr="004C567C">
              <w:rPr>
                <w:rFonts w:ascii="Arial Narrow" w:hAnsi="Arial Narrow" w:cs="Arial"/>
                <w:sz w:val="20"/>
                <w:szCs w:val="20"/>
                <w:lang w:eastAsia="en-US"/>
              </w:rPr>
              <w:t>$0.95</w:t>
            </w:r>
          </w:p>
        </w:tc>
        <w:tc>
          <w:tcPr>
            <w:tcW w:w="606" w:type="pct"/>
            <w:tcBorders>
              <w:top w:val="nil"/>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rPr>
              <w:t>−</w:t>
            </w:r>
            <w:r w:rsidRPr="004C567C">
              <w:rPr>
                <w:rFonts w:ascii="Arial Narrow" w:hAnsi="Arial Narrow" w:cs="Arial"/>
                <w:sz w:val="20"/>
                <w:szCs w:val="20"/>
                <w:lang w:eastAsia="en-US"/>
              </w:rPr>
              <w:t>$0.99</w:t>
            </w:r>
          </w:p>
        </w:tc>
      </w:tr>
      <w:tr w:rsidR="002D0851" w:rsidRPr="004C567C" w:rsidTr="00312883">
        <w:trPr>
          <w:trHeight w:val="285"/>
        </w:trPr>
        <w:tc>
          <w:tcPr>
            <w:tcW w:w="1350" w:type="pct"/>
            <w:gridSpan w:val="2"/>
            <w:tcBorders>
              <w:top w:val="single" w:sz="4" w:space="0" w:color="3C3C3C"/>
              <w:left w:val="single" w:sz="4" w:space="0" w:color="3C3C3C"/>
              <w:bottom w:val="single" w:sz="4" w:space="0" w:color="3C3C3C"/>
              <w:right w:val="single" w:sz="4" w:space="0" w:color="3C3C3C"/>
            </w:tcBorders>
            <w:shd w:val="clear" w:color="E5FFFF" w:fill="FFFFFF"/>
            <w:vAlign w:val="bottom"/>
            <w:hideMark/>
          </w:tcPr>
          <w:p w:rsidR="002D0851" w:rsidRPr="004C567C" w:rsidRDefault="002D0851" w:rsidP="00314E9D">
            <w:pPr>
              <w:pStyle w:val="TableText"/>
              <w:rPr>
                <w:rFonts w:cs="Arial"/>
              </w:rPr>
            </w:pPr>
            <w:r w:rsidRPr="004C567C">
              <w:rPr>
                <w:rFonts w:cs="Arial"/>
              </w:rPr>
              <w:t>Overall net cost to Medicare Australia</w:t>
            </w:r>
          </w:p>
        </w:tc>
        <w:tc>
          <w:tcPr>
            <w:tcW w:w="609" w:type="pct"/>
            <w:tcBorders>
              <w:top w:val="nil"/>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lang w:eastAsia="en-US"/>
              </w:rPr>
              <w:t>$0.00</w:t>
            </w:r>
          </w:p>
        </w:tc>
        <w:tc>
          <w:tcPr>
            <w:tcW w:w="609" w:type="pct"/>
            <w:tcBorders>
              <w:top w:val="nil"/>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lang w:eastAsia="en-US"/>
              </w:rPr>
              <w:t>$0.00</w:t>
            </w:r>
          </w:p>
        </w:tc>
        <w:tc>
          <w:tcPr>
            <w:tcW w:w="609" w:type="pct"/>
            <w:tcBorders>
              <w:top w:val="nil"/>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lang w:eastAsia="en-US"/>
              </w:rPr>
              <w:t>$0.00</w:t>
            </w:r>
          </w:p>
        </w:tc>
        <w:tc>
          <w:tcPr>
            <w:tcW w:w="609" w:type="pct"/>
            <w:tcBorders>
              <w:top w:val="nil"/>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lang w:eastAsia="en-US"/>
              </w:rPr>
              <w:t>$0.00</w:t>
            </w:r>
          </w:p>
        </w:tc>
        <w:tc>
          <w:tcPr>
            <w:tcW w:w="609" w:type="pct"/>
            <w:tcBorders>
              <w:top w:val="nil"/>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lang w:eastAsia="en-US"/>
              </w:rPr>
              <w:t>$0.00</w:t>
            </w:r>
          </w:p>
        </w:tc>
        <w:tc>
          <w:tcPr>
            <w:tcW w:w="606" w:type="pct"/>
            <w:tcBorders>
              <w:top w:val="nil"/>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lang w:eastAsia="en-US"/>
              </w:rPr>
              <w:t>$0.00</w:t>
            </w:r>
          </w:p>
        </w:tc>
      </w:tr>
      <w:tr w:rsidR="002D0851" w:rsidRPr="004C567C" w:rsidTr="00312883">
        <w:trPr>
          <w:trHeight w:val="285"/>
        </w:trPr>
        <w:tc>
          <w:tcPr>
            <w:tcW w:w="1350" w:type="pct"/>
            <w:gridSpan w:val="2"/>
            <w:tcBorders>
              <w:top w:val="single" w:sz="4" w:space="0" w:color="3C3C3C"/>
              <w:left w:val="single" w:sz="4" w:space="0" w:color="3C3C3C"/>
              <w:bottom w:val="single" w:sz="4" w:space="0" w:color="3C3C3C"/>
              <w:right w:val="single" w:sz="4" w:space="0" w:color="3C3C3C"/>
            </w:tcBorders>
            <w:shd w:val="clear" w:color="E5FFFF" w:fill="FFFFFF"/>
            <w:vAlign w:val="bottom"/>
            <w:hideMark/>
          </w:tcPr>
          <w:p w:rsidR="002D0851" w:rsidRPr="004C567C" w:rsidRDefault="002D0851" w:rsidP="00314E9D">
            <w:pPr>
              <w:pStyle w:val="TableText"/>
              <w:rPr>
                <w:rFonts w:cs="Arial"/>
              </w:rPr>
            </w:pPr>
            <w:r w:rsidRPr="004C567C">
              <w:rPr>
                <w:rFonts w:cs="Arial"/>
              </w:rPr>
              <w:t>Overall net cost for MBS</w:t>
            </w:r>
          </w:p>
        </w:tc>
        <w:tc>
          <w:tcPr>
            <w:tcW w:w="609" w:type="pct"/>
            <w:tcBorders>
              <w:top w:val="nil"/>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lang w:eastAsia="en-US"/>
              </w:rPr>
              <w:t>$0.00</w:t>
            </w:r>
          </w:p>
        </w:tc>
        <w:tc>
          <w:tcPr>
            <w:tcW w:w="609" w:type="pct"/>
            <w:tcBorders>
              <w:top w:val="nil"/>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lang w:eastAsia="en-US"/>
              </w:rPr>
              <w:t>$0.00</w:t>
            </w:r>
          </w:p>
        </w:tc>
        <w:tc>
          <w:tcPr>
            <w:tcW w:w="609" w:type="pct"/>
            <w:tcBorders>
              <w:top w:val="nil"/>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lang w:eastAsia="en-US"/>
              </w:rPr>
              <w:t>$0.00</w:t>
            </w:r>
          </w:p>
        </w:tc>
        <w:tc>
          <w:tcPr>
            <w:tcW w:w="609" w:type="pct"/>
            <w:tcBorders>
              <w:top w:val="nil"/>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lang w:eastAsia="en-US"/>
              </w:rPr>
              <w:t>$0.00</w:t>
            </w:r>
          </w:p>
        </w:tc>
        <w:tc>
          <w:tcPr>
            <w:tcW w:w="609" w:type="pct"/>
            <w:tcBorders>
              <w:top w:val="nil"/>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lang w:eastAsia="en-US"/>
              </w:rPr>
              <w:t>$0.00</w:t>
            </w:r>
          </w:p>
        </w:tc>
        <w:tc>
          <w:tcPr>
            <w:tcW w:w="606" w:type="pct"/>
            <w:tcBorders>
              <w:top w:val="nil"/>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lang w:eastAsia="en-US"/>
              </w:rPr>
              <w:t>$0.00</w:t>
            </w:r>
          </w:p>
        </w:tc>
      </w:tr>
      <w:tr w:rsidR="002D0851" w:rsidRPr="004C567C" w:rsidTr="00312883">
        <w:trPr>
          <w:trHeight w:val="285"/>
        </w:trPr>
        <w:tc>
          <w:tcPr>
            <w:tcW w:w="603" w:type="pct"/>
            <w:tcBorders>
              <w:top w:val="nil"/>
              <w:left w:val="nil"/>
              <w:bottom w:val="nil"/>
              <w:right w:val="nil"/>
            </w:tcBorders>
            <w:shd w:val="clear" w:color="E5FFFF" w:fill="FFFFFF"/>
            <w:noWrap/>
            <w:vAlign w:val="bottom"/>
            <w:hideMark/>
          </w:tcPr>
          <w:p w:rsidR="002D0851" w:rsidRPr="004C567C" w:rsidRDefault="002D0851" w:rsidP="00314E9D">
            <w:pPr>
              <w:pStyle w:val="TableText"/>
              <w:rPr>
                <w:rFonts w:cs="Arial"/>
              </w:rPr>
            </w:pPr>
            <w:r w:rsidRPr="004C567C">
              <w:rPr>
                <w:rFonts w:cs="Arial"/>
              </w:rPr>
              <w:t> </w:t>
            </w:r>
          </w:p>
        </w:tc>
        <w:tc>
          <w:tcPr>
            <w:tcW w:w="747" w:type="pct"/>
            <w:tcBorders>
              <w:top w:val="nil"/>
              <w:left w:val="nil"/>
              <w:bottom w:val="nil"/>
              <w:right w:val="nil"/>
            </w:tcBorders>
            <w:shd w:val="clear" w:color="E5FFFF" w:fill="FFFFFF"/>
            <w:noWrap/>
            <w:vAlign w:val="bottom"/>
            <w:hideMark/>
          </w:tcPr>
          <w:p w:rsidR="002D0851" w:rsidRPr="004C567C" w:rsidRDefault="002D0851" w:rsidP="00314E9D">
            <w:pPr>
              <w:jc w:val="center"/>
              <w:rPr>
                <w:rFonts w:ascii="Arial Narrow" w:hAnsi="Arial Narrow" w:cs="Arial"/>
                <w:iCs/>
                <w:sz w:val="20"/>
                <w:szCs w:val="20"/>
              </w:rPr>
            </w:pPr>
            <w:r w:rsidRPr="004C567C">
              <w:rPr>
                <w:rFonts w:ascii="Arial Narrow" w:hAnsi="Arial Narrow" w:cs="Arial"/>
                <w:iCs/>
                <w:sz w:val="20"/>
                <w:szCs w:val="20"/>
              </w:rPr>
              <w:t> </w:t>
            </w:r>
          </w:p>
        </w:tc>
        <w:tc>
          <w:tcPr>
            <w:tcW w:w="609" w:type="pct"/>
            <w:tcBorders>
              <w:top w:val="nil"/>
              <w:left w:val="nil"/>
              <w:bottom w:val="nil"/>
              <w:right w:val="nil"/>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p>
        </w:tc>
        <w:tc>
          <w:tcPr>
            <w:tcW w:w="609" w:type="pct"/>
            <w:tcBorders>
              <w:top w:val="nil"/>
              <w:left w:val="nil"/>
              <w:bottom w:val="nil"/>
              <w:right w:val="nil"/>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p>
        </w:tc>
        <w:tc>
          <w:tcPr>
            <w:tcW w:w="609" w:type="pct"/>
            <w:tcBorders>
              <w:top w:val="nil"/>
              <w:left w:val="nil"/>
              <w:bottom w:val="nil"/>
              <w:right w:val="nil"/>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p>
        </w:tc>
        <w:tc>
          <w:tcPr>
            <w:tcW w:w="609" w:type="pct"/>
            <w:tcBorders>
              <w:top w:val="nil"/>
              <w:left w:val="nil"/>
              <w:bottom w:val="nil"/>
              <w:right w:val="nil"/>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p>
        </w:tc>
        <w:tc>
          <w:tcPr>
            <w:tcW w:w="609" w:type="pct"/>
            <w:tcBorders>
              <w:top w:val="nil"/>
              <w:left w:val="nil"/>
              <w:bottom w:val="nil"/>
              <w:right w:val="nil"/>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p>
        </w:tc>
        <w:tc>
          <w:tcPr>
            <w:tcW w:w="606" w:type="pct"/>
            <w:tcBorders>
              <w:top w:val="nil"/>
              <w:left w:val="nil"/>
              <w:bottom w:val="nil"/>
              <w:right w:val="nil"/>
            </w:tcBorders>
            <w:shd w:val="clear" w:color="E5FFFF" w:fill="FFFFFF"/>
            <w:noWrap/>
            <w:vAlign w:val="center"/>
          </w:tcPr>
          <w:p w:rsidR="002D0851" w:rsidRPr="004C567C" w:rsidRDefault="002D0851" w:rsidP="00314E9D">
            <w:pPr>
              <w:pStyle w:val="TableText"/>
              <w:keepNext/>
              <w:jc w:val="center"/>
              <w:rPr>
                <w:rFonts w:cs="Arial"/>
              </w:rPr>
            </w:pPr>
          </w:p>
        </w:tc>
      </w:tr>
      <w:tr w:rsidR="002D0851" w:rsidRPr="004C567C" w:rsidTr="00312883">
        <w:trPr>
          <w:trHeight w:val="285"/>
        </w:trPr>
        <w:tc>
          <w:tcPr>
            <w:tcW w:w="1350" w:type="pct"/>
            <w:gridSpan w:val="2"/>
            <w:tcBorders>
              <w:top w:val="single" w:sz="4" w:space="0" w:color="3C3C3C"/>
              <w:left w:val="single" w:sz="4" w:space="0" w:color="3C3C3C"/>
              <w:bottom w:val="single" w:sz="4" w:space="0" w:color="3C3C3C"/>
              <w:right w:val="single" w:sz="4" w:space="0" w:color="3C3C3C"/>
            </w:tcBorders>
            <w:shd w:val="clear" w:color="E5FFFF" w:fill="FFFFFF"/>
            <w:vAlign w:val="bottom"/>
            <w:hideMark/>
          </w:tcPr>
          <w:p w:rsidR="002D0851" w:rsidRPr="004C567C" w:rsidRDefault="002D0851" w:rsidP="00314E9D">
            <w:pPr>
              <w:pStyle w:val="TableText"/>
              <w:rPr>
                <w:rFonts w:cs="Arial"/>
              </w:rPr>
            </w:pPr>
            <w:r w:rsidRPr="004C567C">
              <w:rPr>
                <w:rFonts w:cs="Arial"/>
              </w:rPr>
              <w:t>Overall Net cost to Commonwealth Government Health Budget of listing Drug</w:t>
            </w:r>
          </w:p>
        </w:tc>
        <w:tc>
          <w:tcPr>
            <w:tcW w:w="609" w:type="pct"/>
            <w:tcBorders>
              <w:top w:val="single" w:sz="4" w:space="0" w:color="3C3C3C"/>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lang w:eastAsia="en-US"/>
              </w:rPr>
              <w:t>$</w:t>
            </w:r>
            <w:r w:rsidR="003E25D4">
              <w:rPr>
                <w:rFonts w:ascii="Arial Narrow" w:hAnsi="Arial Narrow" w:cs="Arial"/>
                <w:noProof/>
                <w:color w:val="000000"/>
                <w:sz w:val="20"/>
                <w:szCs w:val="20"/>
                <w:highlight w:val="black"/>
                <w:lang w:eastAsia="en-US"/>
              </w:rPr>
              <w:t>'''''</w:t>
            </w:r>
          </w:p>
        </w:tc>
        <w:tc>
          <w:tcPr>
            <w:tcW w:w="609" w:type="pct"/>
            <w:tcBorders>
              <w:top w:val="single" w:sz="4" w:space="0" w:color="3C3C3C"/>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lang w:eastAsia="en-US"/>
              </w:rPr>
              <w:t>$</w:t>
            </w:r>
            <w:r w:rsidR="003E25D4">
              <w:rPr>
                <w:rFonts w:ascii="Arial Narrow" w:hAnsi="Arial Narrow" w:cs="Arial"/>
                <w:noProof/>
                <w:color w:val="000000"/>
                <w:sz w:val="20"/>
                <w:szCs w:val="20"/>
                <w:highlight w:val="black"/>
                <w:lang w:eastAsia="en-US"/>
              </w:rPr>
              <w:t>'''''</w:t>
            </w:r>
          </w:p>
        </w:tc>
        <w:tc>
          <w:tcPr>
            <w:tcW w:w="609" w:type="pct"/>
            <w:tcBorders>
              <w:top w:val="single" w:sz="4" w:space="0" w:color="3C3C3C"/>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lang w:eastAsia="en-US"/>
              </w:rPr>
              <w:t>$</w:t>
            </w:r>
            <w:r w:rsidR="003E25D4">
              <w:rPr>
                <w:rFonts w:ascii="Arial Narrow" w:hAnsi="Arial Narrow" w:cs="Arial"/>
                <w:noProof/>
                <w:color w:val="000000"/>
                <w:sz w:val="20"/>
                <w:szCs w:val="20"/>
                <w:highlight w:val="black"/>
                <w:lang w:eastAsia="en-US"/>
              </w:rPr>
              <w:t>''''''</w:t>
            </w:r>
          </w:p>
        </w:tc>
        <w:tc>
          <w:tcPr>
            <w:tcW w:w="609" w:type="pct"/>
            <w:tcBorders>
              <w:top w:val="single" w:sz="4" w:space="0" w:color="3C3C3C"/>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lang w:eastAsia="en-US"/>
              </w:rPr>
              <w:t>$</w:t>
            </w:r>
            <w:r w:rsidR="003E25D4">
              <w:rPr>
                <w:rFonts w:ascii="Arial Narrow" w:hAnsi="Arial Narrow" w:cs="Arial"/>
                <w:noProof/>
                <w:color w:val="000000"/>
                <w:sz w:val="20"/>
                <w:szCs w:val="20"/>
                <w:highlight w:val="black"/>
                <w:lang w:eastAsia="en-US"/>
              </w:rPr>
              <w:t>'''''''''</w:t>
            </w:r>
          </w:p>
        </w:tc>
        <w:tc>
          <w:tcPr>
            <w:tcW w:w="609" w:type="pct"/>
            <w:tcBorders>
              <w:top w:val="single" w:sz="4" w:space="0" w:color="3C3C3C"/>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lang w:eastAsia="en-US"/>
              </w:rPr>
              <w:t>$</w:t>
            </w:r>
            <w:r w:rsidR="003E25D4">
              <w:rPr>
                <w:rFonts w:ascii="Arial Narrow" w:hAnsi="Arial Narrow" w:cs="Arial"/>
                <w:noProof/>
                <w:color w:val="000000"/>
                <w:sz w:val="20"/>
                <w:szCs w:val="20"/>
                <w:highlight w:val="black"/>
                <w:lang w:eastAsia="en-US"/>
              </w:rPr>
              <w:t>'''''''''</w:t>
            </w:r>
          </w:p>
        </w:tc>
        <w:tc>
          <w:tcPr>
            <w:tcW w:w="606" w:type="pct"/>
            <w:tcBorders>
              <w:top w:val="single" w:sz="4" w:space="0" w:color="3C3C3C"/>
              <w:left w:val="nil"/>
              <w:bottom w:val="single" w:sz="4" w:space="0" w:color="3C3C3C"/>
              <w:right w:val="single" w:sz="4" w:space="0" w:color="3C3C3C"/>
            </w:tcBorders>
            <w:shd w:val="clear" w:color="E5FFFF" w:fill="FFFFFF"/>
            <w:noWrap/>
            <w:vAlign w:val="center"/>
          </w:tcPr>
          <w:p w:rsidR="002D0851" w:rsidRPr="004C567C" w:rsidRDefault="002D0851" w:rsidP="00314E9D">
            <w:pPr>
              <w:keepNext/>
              <w:jc w:val="center"/>
              <w:rPr>
                <w:rFonts w:ascii="Arial Narrow" w:hAnsi="Arial Narrow" w:cs="Arial"/>
                <w:sz w:val="20"/>
                <w:szCs w:val="20"/>
                <w:lang w:eastAsia="en-US"/>
              </w:rPr>
            </w:pPr>
            <w:r w:rsidRPr="004C567C">
              <w:rPr>
                <w:rFonts w:ascii="Arial Narrow" w:hAnsi="Arial Narrow" w:cs="Arial"/>
                <w:sz w:val="20"/>
                <w:szCs w:val="20"/>
                <w:lang w:eastAsia="en-US"/>
              </w:rPr>
              <w:t>$</w:t>
            </w:r>
            <w:r w:rsidR="003E25D4">
              <w:rPr>
                <w:rFonts w:ascii="Arial Narrow" w:hAnsi="Arial Narrow" w:cs="Arial"/>
                <w:noProof/>
                <w:color w:val="000000"/>
                <w:sz w:val="20"/>
                <w:szCs w:val="20"/>
                <w:highlight w:val="black"/>
                <w:lang w:eastAsia="en-US"/>
              </w:rPr>
              <w:t>'''''''''</w:t>
            </w:r>
          </w:p>
        </w:tc>
      </w:tr>
    </w:tbl>
    <w:p w:rsidR="002D0851" w:rsidRDefault="002E74DB" w:rsidP="00312883">
      <w:pPr>
        <w:tabs>
          <w:tab w:val="left" w:pos="2835"/>
          <w:tab w:val="left" w:pos="3960"/>
          <w:tab w:val="left" w:pos="5640"/>
          <w:tab w:val="left" w:pos="7320"/>
          <w:tab w:val="left" w:pos="8400"/>
          <w:tab w:val="left" w:pos="11400"/>
        </w:tabs>
        <w:ind w:left="1920" w:right="28" w:hanging="1200"/>
        <w:rPr>
          <w:rFonts w:ascii="Arial Narrow" w:hAnsi="Arial Narrow" w:cs="Arial"/>
          <w:sz w:val="20"/>
          <w:szCs w:val="20"/>
          <w:lang w:eastAsia="en-US"/>
        </w:rPr>
      </w:pPr>
      <w:r w:rsidRPr="004C567C">
        <w:rPr>
          <w:rFonts w:ascii="Arial Narrow" w:hAnsi="Arial Narrow" w:cs="Arial"/>
          <w:sz w:val="20"/>
          <w:szCs w:val="20"/>
          <w:lang w:eastAsia="en-US"/>
        </w:rPr>
        <w:t xml:space="preserve">Source: </w:t>
      </w:r>
      <w:r w:rsidR="0053699B" w:rsidRPr="004C567C">
        <w:rPr>
          <w:rFonts w:ascii="Arial Narrow" w:hAnsi="Arial Narrow" w:cs="Arial"/>
          <w:sz w:val="20"/>
          <w:szCs w:val="20"/>
          <w:lang w:eastAsia="en-US"/>
        </w:rPr>
        <w:t>submission page 19</w:t>
      </w:r>
    </w:p>
    <w:p w:rsidR="00672EF6" w:rsidRDefault="00672EF6" w:rsidP="00312883">
      <w:pPr>
        <w:tabs>
          <w:tab w:val="left" w:pos="2835"/>
          <w:tab w:val="left" w:pos="3960"/>
          <w:tab w:val="left" w:pos="5640"/>
          <w:tab w:val="left" w:pos="7320"/>
          <w:tab w:val="left" w:pos="8400"/>
          <w:tab w:val="left" w:pos="11400"/>
        </w:tabs>
        <w:ind w:left="1920" w:right="28" w:hanging="1200"/>
        <w:rPr>
          <w:rFonts w:ascii="Arial Narrow" w:hAnsi="Arial Narrow" w:cs="Arial"/>
          <w:sz w:val="20"/>
          <w:szCs w:val="20"/>
          <w:lang w:eastAsia="en-US"/>
        </w:rPr>
      </w:pPr>
    </w:p>
    <w:p w:rsidR="00672EF6" w:rsidRPr="004C567C" w:rsidRDefault="00672EF6" w:rsidP="00672EF6">
      <w:pPr>
        <w:tabs>
          <w:tab w:val="left" w:pos="2835"/>
          <w:tab w:val="left" w:pos="3960"/>
          <w:tab w:val="left" w:pos="5640"/>
          <w:tab w:val="left" w:pos="7320"/>
          <w:tab w:val="left" w:pos="8400"/>
          <w:tab w:val="left" w:pos="11400"/>
        </w:tabs>
        <w:ind w:left="709" w:right="28" w:firstLine="11"/>
        <w:rPr>
          <w:rFonts w:ascii="Arial Narrow" w:hAnsi="Arial Narrow" w:cs="Arial"/>
          <w:sz w:val="20"/>
          <w:szCs w:val="20"/>
          <w:lang w:eastAsia="en-US"/>
        </w:rPr>
      </w:pPr>
      <w:r w:rsidRPr="00672EF6">
        <w:rPr>
          <w:rFonts w:ascii="Arial" w:hAnsi="Arial" w:cs="Arial"/>
          <w:sz w:val="22"/>
          <w:szCs w:val="22"/>
        </w:rPr>
        <w:t>The redacted table above shows that at year 6, the net cost to PBS would be</w:t>
      </w:r>
      <w:r w:rsidR="00CB128C">
        <w:rPr>
          <w:rFonts w:ascii="Arial" w:hAnsi="Arial" w:cs="Arial"/>
          <w:sz w:val="22"/>
          <w:szCs w:val="22"/>
        </w:rPr>
        <w:t xml:space="preserve"> negligible</w:t>
      </w:r>
      <w:r w:rsidRPr="00672EF6">
        <w:rPr>
          <w:rFonts w:ascii="Arial" w:hAnsi="Arial" w:cs="Arial"/>
          <w:sz w:val="22"/>
          <w:szCs w:val="22"/>
        </w:rPr>
        <w:t>.</w:t>
      </w:r>
    </w:p>
    <w:p w:rsidR="002D0851" w:rsidRPr="004C567C" w:rsidRDefault="002D0851" w:rsidP="00BA6B47">
      <w:pPr>
        <w:rPr>
          <w:rFonts w:ascii="Arial" w:hAnsi="Arial" w:cs="Arial"/>
          <w:sz w:val="22"/>
          <w:szCs w:val="22"/>
        </w:rPr>
      </w:pPr>
    </w:p>
    <w:p w:rsidR="00855020" w:rsidRPr="004C567C" w:rsidRDefault="0053699B" w:rsidP="00312883">
      <w:pPr>
        <w:pStyle w:val="ListParagraph"/>
        <w:widowControl w:val="0"/>
        <w:numPr>
          <w:ilvl w:val="1"/>
          <w:numId w:val="5"/>
        </w:numPr>
        <w:jc w:val="both"/>
        <w:rPr>
          <w:rFonts w:ascii="Arial" w:hAnsi="Arial" w:cs="Arial"/>
          <w:sz w:val="22"/>
          <w:szCs w:val="22"/>
        </w:rPr>
      </w:pPr>
      <w:r w:rsidRPr="004C567C">
        <w:rPr>
          <w:rFonts w:ascii="Arial" w:hAnsi="Arial" w:cs="Arial"/>
          <w:sz w:val="22"/>
          <w:szCs w:val="22"/>
        </w:rPr>
        <w:t xml:space="preserve">As this was a minor submission, the </w:t>
      </w:r>
      <w:r w:rsidR="00F60EA8">
        <w:rPr>
          <w:rFonts w:ascii="Arial" w:hAnsi="Arial" w:cs="Arial"/>
          <w:sz w:val="22"/>
          <w:szCs w:val="22"/>
        </w:rPr>
        <w:t>financial estimate</w:t>
      </w:r>
      <w:r w:rsidR="00F60EA8" w:rsidRPr="004C567C">
        <w:rPr>
          <w:rFonts w:ascii="Arial" w:hAnsi="Arial" w:cs="Arial"/>
          <w:sz w:val="22"/>
          <w:szCs w:val="22"/>
        </w:rPr>
        <w:t xml:space="preserve">s </w:t>
      </w:r>
      <w:r w:rsidRPr="004C567C">
        <w:rPr>
          <w:rFonts w:ascii="Arial" w:hAnsi="Arial" w:cs="Arial"/>
          <w:sz w:val="22"/>
          <w:szCs w:val="22"/>
        </w:rPr>
        <w:t>have not been independently evaluated.</w:t>
      </w:r>
    </w:p>
    <w:p w:rsidR="00312883" w:rsidRPr="004C567C" w:rsidRDefault="00312883" w:rsidP="00BE74F3">
      <w:pPr>
        <w:widowControl w:val="0"/>
        <w:jc w:val="both"/>
        <w:rPr>
          <w:rFonts w:ascii="Arial" w:hAnsi="Arial" w:cs="Arial"/>
          <w:sz w:val="22"/>
          <w:szCs w:val="22"/>
        </w:rPr>
      </w:pPr>
    </w:p>
    <w:p w:rsidR="00D408CC" w:rsidRDefault="00D408CC" w:rsidP="00BE74F3">
      <w:pPr>
        <w:widowControl w:val="0"/>
        <w:ind w:left="709"/>
        <w:contextualSpacing/>
        <w:jc w:val="both"/>
        <w:rPr>
          <w:rFonts w:ascii="Arial" w:hAnsi="Arial" w:cs="Arial"/>
          <w:i/>
          <w:snapToGrid w:val="0"/>
          <w:sz w:val="22"/>
          <w:szCs w:val="22"/>
          <w:lang w:eastAsia="en-US"/>
        </w:rPr>
      </w:pPr>
      <w:r w:rsidRPr="00BE74F3">
        <w:rPr>
          <w:rFonts w:ascii="Arial" w:hAnsi="Arial" w:cs="Arial"/>
          <w:i/>
          <w:snapToGrid w:val="0"/>
          <w:sz w:val="22"/>
          <w:szCs w:val="22"/>
          <w:lang w:eastAsia="en-US"/>
        </w:rPr>
        <w:t>For more deta</w:t>
      </w:r>
      <w:r w:rsidR="00545DBC" w:rsidRPr="00BE74F3">
        <w:rPr>
          <w:rFonts w:ascii="Arial" w:hAnsi="Arial" w:cs="Arial"/>
          <w:i/>
          <w:snapToGrid w:val="0"/>
          <w:sz w:val="22"/>
          <w:szCs w:val="22"/>
          <w:lang w:eastAsia="en-US"/>
        </w:rPr>
        <w:t>il on PBAC’s view, see section 6</w:t>
      </w:r>
      <w:r w:rsidRPr="00BE74F3">
        <w:rPr>
          <w:rFonts w:ascii="Arial" w:hAnsi="Arial" w:cs="Arial"/>
          <w:i/>
          <w:snapToGrid w:val="0"/>
          <w:sz w:val="22"/>
          <w:szCs w:val="22"/>
          <w:lang w:eastAsia="en-US"/>
        </w:rPr>
        <w:t xml:space="preserve"> “PBAC outcome”</w:t>
      </w:r>
    </w:p>
    <w:p w:rsidR="0056681A" w:rsidRPr="00BE74F3" w:rsidRDefault="0056681A" w:rsidP="00BE74F3">
      <w:pPr>
        <w:widowControl w:val="0"/>
        <w:ind w:left="709"/>
        <w:contextualSpacing/>
        <w:jc w:val="both"/>
        <w:rPr>
          <w:rFonts w:ascii="Arial" w:hAnsi="Arial" w:cs="Arial"/>
          <w:i/>
          <w:snapToGrid w:val="0"/>
          <w:sz w:val="22"/>
          <w:szCs w:val="22"/>
          <w:lang w:eastAsia="en-US"/>
        </w:rPr>
      </w:pPr>
    </w:p>
    <w:p w:rsidR="00D408CC" w:rsidRPr="004C567C" w:rsidRDefault="00D408CC" w:rsidP="0056681A">
      <w:pPr>
        <w:pStyle w:val="Heading1"/>
        <w:rPr>
          <w:snapToGrid w:val="0"/>
          <w:lang w:eastAsia="en-US"/>
        </w:rPr>
      </w:pPr>
      <w:r w:rsidRPr="004C567C">
        <w:rPr>
          <w:snapToGrid w:val="0"/>
          <w:lang w:eastAsia="en-US"/>
        </w:rPr>
        <w:t>PBAC Outcome</w:t>
      </w:r>
    </w:p>
    <w:p w:rsidR="00D408CC" w:rsidRPr="004C567C" w:rsidRDefault="00D408CC" w:rsidP="00BE74F3">
      <w:pPr>
        <w:contextualSpacing/>
        <w:jc w:val="both"/>
        <w:rPr>
          <w:rFonts w:ascii="Arial" w:hAnsi="Arial" w:cs="Arial"/>
          <w:b/>
          <w:bCs/>
          <w:snapToGrid w:val="0"/>
          <w:sz w:val="22"/>
          <w:szCs w:val="22"/>
          <w:lang w:val="en-GB" w:eastAsia="en-US"/>
        </w:rPr>
      </w:pPr>
    </w:p>
    <w:p w:rsidR="008D2124" w:rsidRDefault="004C567C" w:rsidP="00C82F19">
      <w:pPr>
        <w:pStyle w:val="ListParagraph"/>
        <w:numPr>
          <w:ilvl w:val="1"/>
          <w:numId w:val="5"/>
        </w:numPr>
        <w:jc w:val="both"/>
        <w:rPr>
          <w:rFonts w:ascii="Arial" w:hAnsi="Arial" w:cs="Arial"/>
          <w:sz w:val="22"/>
          <w:szCs w:val="22"/>
        </w:rPr>
      </w:pPr>
      <w:r w:rsidRPr="00C82F19">
        <w:rPr>
          <w:rFonts w:ascii="Arial" w:hAnsi="Arial" w:cs="Arial"/>
          <w:sz w:val="22"/>
          <w:szCs w:val="22"/>
        </w:rPr>
        <w:t xml:space="preserve">The PBAC recommended the </w:t>
      </w:r>
      <w:r w:rsidR="008E2EF0" w:rsidRPr="00C82F19">
        <w:rPr>
          <w:rFonts w:ascii="Arial" w:hAnsi="Arial" w:cs="Arial"/>
          <w:sz w:val="22"/>
          <w:szCs w:val="22"/>
        </w:rPr>
        <w:t xml:space="preserve">Authority </w:t>
      </w:r>
      <w:proofErr w:type="gramStart"/>
      <w:r w:rsidR="008E2EF0" w:rsidRPr="00C82F19">
        <w:rPr>
          <w:rFonts w:ascii="Arial" w:hAnsi="Arial" w:cs="Arial"/>
          <w:sz w:val="22"/>
          <w:szCs w:val="22"/>
        </w:rPr>
        <w:t>Required</w:t>
      </w:r>
      <w:proofErr w:type="gramEnd"/>
      <w:r w:rsidR="008E2EF0" w:rsidRPr="00C82F19">
        <w:rPr>
          <w:rFonts w:ascii="Arial" w:hAnsi="Arial" w:cs="Arial"/>
          <w:sz w:val="22"/>
          <w:szCs w:val="22"/>
        </w:rPr>
        <w:t xml:space="preserve"> </w:t>
      </w:r>
      <w:r w:rsidRPr="00C82F19">
        <w:rPr>
          <w:rFonts w:ascii="Arial" w:hAnsi="Arial" w:cs="Arial"/>
          <w:sz w:val="22"/>
          <w:szCs w:val="22"/>
        </w:rPr>
        <w:t xml:space="preserve">listing of </w:t>
      </w:r>
      <w:proofErr w:type="spellStart"/>
      <w:r w:rsidRPr="00C82F19">
        <w:rPr>
          <w:rFonts w:ascii="Arial" w:hAnsi="Arial" w:cs="Arial"/>
          <w:sz w:val="22"/>
          <w:szCs w:val="22"/>
        </w:rPr>
        <w:t>tocilizumab</w:t>
      </w:r>
      <w:proofErr w:type="spellEnd"/>
      <w:r w:rsidR="008E2EF0" w:rsidRPr="00C82F19">
        <w:rPr>
          <w:rFonts w:ascii="Arial" w:hAnsi="Arial" w:cs="Arial"/>
          <w:sz w:val="22"/>
          <w:szCs w:val="22"/>
        </w:rPr>
        <w:t>, delivered by a</w:t>
      </w:r>
      <w:r w:rsidRPr="00C82F19">
        <w:rPr>
          <w:rFonts w:ascii="Arial" w:hAnsi="Arial" w:cs="Arial"/>
          <w:sz w:val="22"/>
          <w:szCs w:val="22"/>
        </w:rPr>
        <w:t xml:space="preserve"> </w:t>
      </w:r>
      <w:r w:rsidRPr="00BE74F3">
        <w:rPr>
          <w:rFonts w:ascii="Arial" w:hAnsi="Arial" w:cs="Arial"/>
          <w:sz w:val="22"/>
          <w:szCs w:val="22"/>
        </w:rPr>
        <w:t>subcutaneous (SC) injection</w:t>
      </w:r>
      <w:r w:rsidR="008E2EF0" w:rsidRPr="00BE74F3">
        <w:rPr>
          <w:rFonts w:ascii="Arial" w:hAnsi="Arial" w:cs="Arial"/>
          <w:sz w:val="22"/>
          <w:szCs w:val="22"/>
        </w:rPr>
        <w:t xml:space="preserve">, </w:t>
      </w:r>
      <w:r w:rsidRPr="00BE74F3">
        <w:rPr>
          <w:rFonts w:ascii="Arial" w:hAnsi="Arial" w:cs="Arial"/>
          <w:sz w:val="22"/>
          <w:szCs w:val="22"/>
        </w:rPr>
        <w:t>for the treatment of severe active rheumatoid arthritis (RA)</w:t>
      </w:r>
      <w:r w:rsidR="004C3F69" w:rsidRPr="00BE74F3">
        <w:rPr>
          <w:rFonts w:ascii="Arial" w:hAnsi="Arial" w:cs="Arial"/>
          <w:sz w:val="22"/>
          <w:szCs w:val="22"/>
        </w:rPr>
        <w:t xml:space="preserve"> </w:t>
      </w:r>
      <w:r w:rsidR="00B950C5" w:rsidRPr="00BE74F3">
        <w:rPr>
          <w:rFonts w:ascii="Arial" w:hAnsi="Arial" w:cs="Arial"/>
          <w:sz w:val="22"/>
          <w:szCs w:val="22"/>
        </w:rPr>
        <w:t>on a cost minimisation basis</w:t>
      </w:r>
      <w:r w:rsidR="005E3DF2" w:rsidRPr="00BE74F3">
        <w:rPr>
          <w:rFonts w:ascii="Arial" w:hAnsi="Arial" w:cs="Arial"/>
          <w:sz w:val="22"/>
          <w:szCs w:val="22"/>
        </w:rPr>
        <w:t xml:space="preserve"> to the biological disease modifying </w:t>
      </w:r>
      <w:proofErr w:type="spellStart"/>
      <w:r w:rsidR="005E3DF2" w:rsidRPr="00BE74F3">
        <w:rPr>
          <w:rFonts w:ascii="Arial" w:hAnsi="Arial" w:cs="Arial"/>
          <w:sz w:val="22"/>
          <w:szCs w:val="22"/>
        </w:rPr>
        <w:t>antirheumatic</w:t>
      </w:r>
      <w:proofErr w:type="spellEnd"/>
      <w:r w:rsidR="005E3DF2" w:rsidRPr="00BE74F3">
        <w:rPr>
          <w:rFonts w:ascii="Arial" w:hAnsi="Arial" w:cs="Arial"/>
          <w:sz w:val="22"/>
          <w:szCs w:val="22"/>
        </w:rPr>
        <w:t xml:space="preserve"> drugs (</w:t>
      </w:r>
      <w:proofErr w:type="spellStart"/>
      <w:r w:rsidR="005E3DF2" w:rsidRPr="00BE74F3">
        <w:rPr>
          <w:rFonts w:ascii="Arial" w:hAnsi="Arial" w:cs="Arial"/>
          <w:sz w:val="22"/>
          <w:szCs w:val="22"/>
        </w:rPr>
        <w:t>bDMARDS</w:t>
      </w:r>
      <w:proofErr w:type="spellEnd"/>
      <w:r w:rsidR="005E3DF2" w:rsidRPr="00BE74F3">
        <w:rPr>
          <w:rFonts w:ascii="Arial" w:hAnsi="Arial" w:cs="Arial"/>
          <w:sz w:val="22"/>
          <w:szCs w:val="22"/>
        </w:rPr>
        <w:t>)</w:t>
      </w:r>
      <w:r w:rsidR="000C00E2">
        <w:rPr>
          <w:rFonts w:ascii="Arial" w:hAnsi="Arial" w:cs="Arial"/>
          <w:sz w:val="22"/>
          <w:szCs w:val="22"/>
        </w:rPr>
        <w:t>.</w:t>
      </w:r>
      <w:r w:rsidR="00B950C5" w:rsidRPr="00BE74F3">
        <w:rPr>
          <w:rFonts w:ascii="Arial" w:hAnsi="Arial" w:cs="Arial"/>
          <w:sz w:val="22"/>
          <w:szCs w:val="22"/>
        </w:rPr>
        <w:t xml:space="preserve"> </w:t>
      </w:r>
      <w:r w:rsidR="008E2EF0" w:rsidRPr="00BE74F3">
        <w:rPr>
          <w:rFonts w:ascii="Arial" w:hAnsi="Arial" w:cs="Arial"/>
          <w:sz w:val="22"/>
          <w:szCs w:val="22"/>
        </w:rPr>
        <w:t xml:space="preserve"> The PBAC agreed with the submission that it was reasonable to assume that </w:t>
      </w:r>
      <w:proofErr w:type="spellStart"/>
      <w:r w:rsidR="008E2EF0" w:rsidRPr="00BE74F3">
        <w:rPr>
          <w:rFonts w:ascii="Arial" w:hAnsi="Arial" w:cs="Arial"/>
          <w:sz w:val="22"/>
          <w:szCs w:val="22"/>
        </w:rPr>
        <w:t>tocilizumab</w:t>
      </w:r>
      <w:proofErr w:type="spellEnd"/>
      <w:r w:rsidR="008E2EF0" w:rsidRPr="00BE74F3">
        <w:rPr>
          <w:rFonts w:ascii="Arial" w:hAnsi="Arial" w:cs="Arial"/>
          <w:sz w:val="22"/>
          <w:szCs w:val="22"/>
        </w:rPr>
        <w:t xml:space="preserve"> SC is </w:t>
      </w:r>
      <w:proofErr w:type="spellStart"/>
      <w:r w:rsidR="008E2EF0" w:rsidRPr="00BE74F3">
        <w:rPr>
          <w:rFonts w:ascii="Arial" w:hAnsi="Arial" w:cs="Arial"/>
          <w:sz w:val="22"/>
          <w:szCs w:val="22"/>
        </w:rPr>
        <w:t>equi</w:t>
      </w:r>
      <w:proofErr w:type="spellEnd"/>
      <w:r w:rsidR="008E2EF0" w:rsidRPr="00BE74F3">
        <w:rPr>
          <w:rFonts w:ascii="Arial" w:hAnsi="Arial" w:cs="Arial"/>
          <w:sz w:val="22"/>
          <w:szCs w:val="22"/>
        </w:rPr>
        <w:t xml:space="preserve">-effective to all currently PBS-listed </w:t>
      </w:r>
      <w:proofErr w:type="spellStart"/>
      <w:r w:rsidR="008E2EF0" w:rsidRPr="00BE74F3">
        <w:rPr>
          <w:rFonts w:ascii="Arial" w:hAnsi="Arial" w:cs="Arial"/>
          <w:sz w:val="22"/>
          <w:szCs w:val="22"/>
        </w:rPr>
        <w:t>bDMARDs</w:t>
      </w:r>
      <w:proofErr w:type="spellEnd"/>
      <w:r w:rsidR="00F352BE">
        <w:rPr>
          <w:rFonts w:ascii="Arial" w:hAnsi="Arial" w:cs="Arial"/>
          <w:sz w:val="22"/>
          <w:szCs w:val="22"/>
        </w:rPr>
        <w:t xml:space="preserve"> for this indication</w:t>
      </w:r>
      <w:r w:rsidR="008E2EF0" w:rsidRPr="00BE74F3">
        <w:rPr>
          <w:rFonts w:ascii="Arial" w:hAnsi="Arial" w:cs="Arial"/>
          <w:sz w:val="22"/>
          <w:szCs w:val="22"/>
        </w:rPr>
        <w:t>.</w:t>
      </w:r>
    </w:p>
    <w:p w:rsidR="00BE74F3" w:rsidRDefault="008E2EF0" w:rsidP="008D2124">
      <w:pPr>
        <w:pStyle w:val="ListParagraph"/>
        <w:rPr>
          <w:rFonts w:ascii="Arial" w:hAnsi="Arial" w:cs="Arial"/>
          <w:sz w:val="22"/>
          <w:szCs w:val="22"/>
        </w:rPr>
      </w:pPr>
      <w:r w:rsidRPr="00BE74F3">
        <w:rPr>
          <w:rFonts w:ascii="Arial" w:hAnsi="Arial" w:cs="Arial"/>
          <w:sz w:val="22"/>
          <w:szCs w:val="22"/>
        </w:rPr>
        <w:lastRenderedPageBreak/>
        <w:t xml:space="preserve"> </w:t>
      </w:r>
    </w:p>
    <w:p w:rsidR="008E2EF0" w:rsidRDefault="008E2EF0" w:rsidP="008E2EF0">
      <w:pPr>
        <w:pStyle w:val="ListParagraph"/>
        <w:numPr>
          <w:ilvl w:val="1"/>
          <w:numId w:val="5"/>
        </w:numPr>
        <w:rPr>
          <w:rFonts w:ascii="Arial" w:hAnsi="Arial" w:cs="Arial"/>
          <w:sz w:val="22"/>
          <w:szCs w:val="22"/>
        </w:rPr>
      </w:pPr>
      <w:r w:rsidRPr="00BE74F3">
        <w:rPr>
          <w:rFonts w:ascii="Arial" w:hAnsi="Arial" w:cs="Arial"/>
          <w:sz w:val="22"/>
          <w:szCs w:val="22"/>
        </w:rPr>
        <w:t xml:space="preserve">Based on the </w:t>
      </w:r>
      <w:r w:rsidR="00496067" w:rsidRPr="00BE74F3">
        <w:rPr>
          <w:rFonts w:ascii="Arial" w:hAnsi="Arial" w:cs="Arial"/>
          <w:sz w:val="22"/>
          <w:szCs w:val="22"/>
        </w:rPr>
        <w:t xml:space="preserve">trial </w:t>
      </w:r>
      <w:r w:rsidRPr="00BE74F3">
        <w:rPr>
          <w:rFonts w:ascii="Arial" w:hAnsi="Arial" w:cs="Arial"/>
          <w:sz w:val="22"/>
          <w:szCs w:val="22"/>
        </w:rPr>
        <w:t xml:space="preserve">evidence provided in the submission, the </w:t>
      </w:r>
      <w:proofErr w:type="spellStart"/>
      <w:r w:rsidRPr="00BE74F3">
        <w:rPr>
          <w:rFonts w:ascii="Arial" w:hAnsi="Arial" w:cs="Arial"/>
          <w:sz w:val="22"/>
          <w:szCs w:val="22"/>
        </w:rPr>
        <w:t>equi</w:t>
      </w:r>
      <w:proofErr w:type="spellEnd"/>
      <w:r w:rsidRPr="00BE74F3">
        <w:rPr>
          <w:rFonts w:ascii="Arial" w:hAnsi="Arial" w:cs="Arial"/>
          <w:sz w:val="22"/>
          <w:szCs w:val="22"/>
        </w:rPr>
        <w:t xml:space="preserve">-effective doses were </w:t>
      </w:r>
      <w:proofErr w:type="spellStart"/>
      <w:r w:rsidRPr="00BE74F3">
        <w:rPr>
          <w:rFonts w:ascii="Arial" w:hAnsi="Arial" w:cs="Arial"/>
          <w:sz w:val="22"/>
          <w:szCs w:val="22"/>
        </w:rPr>
        <w:t>tocilizumab</w:t>
      </w:r>
      <w:proofErr w:type="spellEnd"/>
      <w:r w:rsidRPr="00BE74F3">
        <w:rPr>
          <w:rFonts w:ascii="Arial" w:hAnsi="Arial" w:cs="Arial"/>
          <w:sz w:val="22"/>
          <w:szCs w:val="22"/>
        </w:rPr>
        <w:t xml:space="preserve"> 162 mg in 0.9 </w:t>
      </w:r>
      <w:r w:rsidR="00BE74F3" w:rsidRPr="00BE74F3">
        <w:rPr>
          <w:rFonts w:ascii="Arial" w:hAnsi="Arial" w:cs="Arial"/>
          <w:sz w:val="22"/>
          <w:szCs w:val="22"/>
        </w:rPr>
        <w:t>mL administered</w:t>
      </w:r>
      <w:r w:rsidRPr="00BE74F3">
        <w:rPr>
          <w:rFonts w:ascii="Arial" w:hAnsi="Arial" w:cs="Arial"/>
          <w:sz w:val="22"/>
          <w:szCs w:val="22"/>
        </w:rPr>
        <w:t xml:space="preserve"> subcutaneously weekly and </w:t>
      </w:r>
      <w:proofErr w:type="spellStart"/>
      <w:r w:rsidRPr="00BE74F3">
        <w:rPr>
          <w:rFonts w:ascii="Arial" w:hAnsi="Arial" w:cs="Arial"/>
          <w:sz w:val="22"/>
          <w:szCs w:val="22"/>
        </w:rPr>
        <w:t>tocilizumab</w:t>
      </w:r>
      <w:proofErr w:type="spellEnd"/>
      <w:r w:rsidRPr="00BE74F3">
        <w:rPr>
          <w:rFonts w:ascii="Arial" w:hAnsi="Arial" w:cs="Arial"/>
          <w:sz w:val="22"/>
          <w:szCs w:val="22"/>
        </w:rPr>
        <w:t xml:space="preserve"> 8 mg/kg administered intravenously on day 1 and day </w:t>
      </w:r>
      <w:r w:rsidR="0091324F">
        <w:rPr>
          <w:rFonts w:ascii="Arial" w:hAnsi="Arial" w:cs="Arial"/>
          <w:sz w:val="22"/>
          <w:szCs w:val="22"/>
        </w:rPr>
        <w:t>29 and then every 28 day later.</w:t>
      </w:r>
    </w:p>
    <w:p w:rsidR="00BE74F3" w:rsidRPr="00BE74F3" w:rsidRDefault="00BE74F3" w:rsidP="00BE74F3">
      <w:pPr>
        <w:rPr>
          <w:rFonts w:ascii="Arial" w:hAnsi="Arial" w:cs="Arial"/>
          <w:sz w:val="22"/>
          <w:szCs w:val="22"/>
        </w:rPr>
      </w:pPr>
    </w:p>
    <w:p w:rsidR="009158CB" w:rsidRPr="009158CB" w:rsidRDefault="009158CB" w:rsidP="009158CB">
      <w:pPr>
        <w:pStyle w:val="ListParagraph"/>
        <w:numPr>
          <w:ilvl w:val="1"/>
          <w:numId w:val="5"/>
        </w:numPr>
        <w:jc w:val="both"/>
        <w:rPr>
          <w:rFonts w:ascii="Arial" w:hAnsi="Arial" w:cs="Arial"/>
          <w:sz w:val="22"/>
          <w:szCs w:val="22"/>
        </w:rPr>
      </w:pPr>
      <w:r w:rsidRPr="00BE74F3">
        <w:rPr>
          <w:rFonts w:ascii="Arial" w:hAnsi="Arial" w:cs="Arial"/>
          <w:sz w:val="22"/>
          <w:szCs w:val="22"/>
        </w:rPr>
        <w:t xml:space="preserve">The PBAC considered that a general schedule listing is consistent with other PBS-listed </w:t>
      </w:r>
      <w:proofErr w:type="spellStart"/>
      <w:r w:rsidRPr="00BE74F3">
        <w:rPr>
          <w:rFonts w:ascii="Arial" w:hAnsi="Arial" w:cs="Arial"/>
          <w:sz w:val="22"/>
          <w:szCs w:val="22"/>
        </w:rPr>
        <w:t>bDMARDS</w:t>
      </w:r>
      <w:proofErr w:type="spellEnd"/>
      <w:r w:rsidRPr="00BE74F3">
        <w:rPr>
          <w:rFonts w:ascii="Arial" w:hAnsi="Arial" w:cs="Arial"/>
          <w:sz w:val="22"/>
          <w:szCs w:val="22"/>
        </w:rPr>
        <w:t xml:space="preserve"> that are delivered via the subcutaneous route. The PBAC noted the request for grandfather clause to allow patients who have received </w:t>
      </w:r>
      <w:proofErr w:type="spellStart"/>
      <w:r w:rsidRPr="00BE74F3">
        <w:rPr>
          <w:rFonts w:ascii="Arial" w:hAnsi="Arial" w:cs="Arial"/>
          <w:bCs/>
          <w:snapToGrid w:val="0"/>
          <w:sz w:val="22"/>
          <w:szCs w:val="22"/>
          <w:lang w:val="en-GB" w:eastAsia="en-US"/>
        </w:rPr>
        <w:t>tocilizumab</w:t>
      </w:r>
      <w:proofErr w:type="spellEnd"/>
      <w:r w:rsidRPr="00BE74F3">
        <w:rPr>
          <w:rFonts w:ascii="Arial" w:hAnsi="Arial" w:cs="Arial"/>
          <w:bCs/>
          <w:snapToGrid w:val="0"/>
          <w:sz w:val="22"/>
          <w:szCs w:val="22"/>
          <w:lang w:val="en-GB" w:eastAsia="en-US"/>
        </w:rPr>
        <w:t xml:space="preserve"> SC outside the PBS to continue to access the treatment on the PBS. The potential size of the patient population </w:t>
      </w:r>
      <w:r w:rsidR="0091324F">
        <w:rPr>
          <w:rFonts w:ascii="Arial" w:hAnsi="Arial" w:cs="Arial"/>
          <w:bCs/>
          <w:snapToGrid w:val="0"/>
          <w:sz w:val="22"/>
          <w:szCs w:val="22"/>
          <w:lang w:val="en-GB" w:eastAsia="en-US"/>
        </w:rPr>
        <w:t>was provided in the submission.</w:t>
      </w:r>
    </w:p>
    <w:p w:rsidR="009158CB" w:rsidRPr="009158CB" w:rsidRDefault="009158CB" w:rsidP="009158CB">
      <w:pPr>
        <w:jc w:val="both"/>
        <w:rPr>
          <w:rFonts w:ascii="Arial" w:hAnsi="Arial" w:cs="Arial"/>
          <w:sz w:val="22"/>
          <w:szCs w:val="22"/>
        </w:rPr>
      </w:pPr>
    </w:p>
    <w:p w:rsidR="001F7380" w:rsidRPr="009158CB" w:rsidRDefault="001A739B" w:rsidP="009158CB">
      <w:pPr>
        <w:pStyle w:val="ListParagraph"/>
        <w:numPr>
          <w:ilvl w:val="1"/>
          <w:numId w:val="5"/>
        </w:numPr>
        <w:jc w:val="both"/>
        <w:rPr>
          <w:rFonts w:ascii="Arial" w:hAnsi="Arial" w:cs="Arial"/>
          <w:sz w:val="22"/>
          <w:szCs w:val="22"/>
        </w:rPr>
      </w:pPr>
      <w:r w:rsidRPr="009158CB">
        <w:rPr>
          <w:rFonts w:ascii="Arial" w:hAnsi="Arial" w:cs="Arial"/>
          <w:sz w:val="22"/>
          <w:szCs w:val="22"/>
        </w:rPr>
        <w:t xml:space="preserve">The PBAC considered that the outcomes of the SUMMACTA trial supported a clinical claim that </w:t>
      </w:r>
      <w:proofErr w:type="spellStart"/>
      <w:r w:rsidRPr="009158CB">
        <w:rPr>
          <w:rFonts w:ascii="Arial" w:hAnsi="Arial" w:cs="Arial"/>
          <w:sz w:val="22"/>
          <w:szCs w:val="22"/>
        </w:rPr>
        <w:t>tocilizumab</w:t>
      </w:r>
      <w:proofErr w:type="spellEnd"/>
      <w:r w:rsidRPr="009158CB">
        <w:rPr>
          <w:rFonts w:ascii="Arial" w:hAnsi="Arial" w:cs="Arial"/>
          <w:sz w:val="22"/>
          <w:szCs w:val="22"/>
        </w:rPr>
        <w:t xml:space="preserve"> SC was non-inferior in terms of comparative effectiveness and comparative safety to </w:t>
      </w:r>
      <w:proofErr w:type="spellStart"/>
      <w:r w:rsidRPr="009158CB">
        <w:rPr>
          <w:rFonts w:ascii="Arial" w:hAnsi="Arial" w:cs="Arial"/>
          <w:sz w:val="22"/>
          <w:szCs w:val="22"/>
        </w:rPr>
        <w:t>tocilizumab</w:t>
      </w:r>
      <w:proofErr w:type="spellEnd"/>
      <w:r w:rsidRPr="009158CB">
        <w:rPr>
          <w:rFonts w:ascii="Arial" w:hAnsi="Arial" w:cs="Arial"/>
          <w:sz w:val="22"/>
          <w:szCs w:val="22"/>
        </w:rPr>
        <w:t xml:space="preserve"> IV. The PBAC noted that the submission stated that in demonstrating non-inferiority of </w:t>
      </w:r>
      <w:proofErr w:type="spellStart"/>
      <w:r w:rsidRPr="009158CB">
        <w:rPr>
          <w:rFonts w:ascii="Arial" w:hAnsi="Arial" w:cs="Arial"/>
          <w:sz w:val="22"/>
          <w:szCs w:val="22"/>
        </w:rPr>
        <w:t>tocilizumab</w:t>
      </w:r>
      <w:proofErr w:type="spellEnd"/>
      <w:r w:rsidRPr="009158CB">
        <w:rPr>
          <w:rFonts w:ascii="Arial" w:hAnsi="Arial" w:cs="Arial"/>
          <w:sz w:val="22"/>
          <w:szCs w:val="22"/>
        </w:rPr>
        <w:t xml:space="preserve"> SC to an existing </w:t>
      </w:r>
      <w:proofErr w:type="spellStart"/>
      <w:r w:rsidRPr="009158CB">
        <w:rPr>
          <w:rFonts w:ascii="Arial" w:hAnsi="Arial" w:cs="Arial"/>
          <w:sz w:val="22"/>
          <w:szCs w:val="22"/>
        </w:rPr>
        <w:t>bDMARD</w:t>
      </w:r>
      <w:proofErr w:type="spellEnd"/>
      <w:r w:rsidRPr="009158CB">
        <w:rPr>
          <w:rFonts w:ascii="Arial" w:hAnsi="Arial" w:cs="Arial"/>
          <w:sz w:val="22"/>
          <w:szCs w:val="22"/>
        </w:rPr>
        <w:t xml:space="preserve"> (</w:t>
      </w:r>
      <w:proofErr w:type="spellStart"/>
      <w:r w:rsidRPr="009158CB">
        <w:rPr>
          <w:rFonts w:ascii="Arial" w:hAnsi="Arial" w:cs="Arial"/>
          <w:sz w:val="22"/>
          <w:szCs w:val="22"/>
        </w:rPr>
        <w:t>ie</w:t>
      </w:r>
      <w:proofErr w:type="spellEnd"/>
      <w:r w:rsidRPr="009158CB">
        <w:rPr>
          <w:rFonts w:ascii="Arial" w:hAnsi="Arial" w:cs="Arial"/>
          <w:sz w:val="22"/>
          <w:szCs w:val="22"/>
        </w:rPr>
        <w:t xml:space="preserve"> IV </w:t>
      </w:r>
      <w:proofErr w:type="spellStart"/>
      <w:r w:rsidRPr="009158CB">
        <w:rPr>
          <w:rFonts w:ascii="Arial" w:hAnsi="Arial" w:cs="Arial"/>
          <w:sz w:val="22"/>
          <w:szCs w:val="22"/>
        </w:rPr>
        <w:t>tocilizumab</w:t>
      </w:r>
      <w:proofErr w:type="spellEnd"/>
      <w:r w:rsidRPr="009158CB">
        <w:rPr>
          <w:rFonts w:ascii="Arial" w:hAnsi="Arial" w:cs="Arial"/>
          <w:sz w:val="22"/>
          <w:szCs w:val="22"/>
        </w:rPr>
        <w:t xml:space="preserve">) it is possible to infer that </w:t>
      </w:r>
      <w:proofErr w:type="spellStart"/>
      <w:r w:rsidRPr="009158CB">
        <w:rPr>
          <w:rFonts w:ascii="Arial" w:hAnsi="Arial" w:cs="Arial"/>
          <w:sz w:val="22"/>
          <w:szCs w:val="22"/>
        </w:rPr>
        <w:t>tocilizumab</w:t>
      </w:r>
      <w:proofErr w:type="spellEnd"/>
      <w:r w:rsidRPr="009158CB">
        <w:rPr>
          <w:rFonts w:ascii="Arial" w:hAnsi="Arial" w:cs="Arial"/>
          <w:sz w:val="22"/>
          <w:szCs w:val="22"/>
        </w:rPr>
        <w:t xml:space="preserve"> SC is non-inferior to all other PBS-listed </w:t>
      </w:r>
      <w:proofErr w:type="spellStart"/>
      <w:r w:rsidRPr="009158CB">
        <w:rPr>
          <w:rFonts w:ascii="Arial" w:hAnsi="Arial" w:cs="Arial"/>
          <w:sz w:val="22"/>
          <w:szCs w:val="22"/>
        </w:rPr>
        <w:t>bDMARDs</w:t>
      </w:r>
      <w:proofErr w:type="spellEnd"/>
      <w:r w:rsidRPr="009158CB">
        <w:rPr>
          <w:rFonts w:ascii="Arial" w:hAnsi="Arial" w:cs="Arial"/>
          <w:sz w:val="22"/>
          <w:szCs w:val="22"/>
        </w:rPr>
        <w:t xml:space="preserve">. The PBAC agreed that </w:t>
      </w:r>
      <w:r w:rsidR="00BE74F3" w:rsidRPr="009158CB">
        <w:rPr>
          <w:rFonts w:ascii="Arial" w:hAnsi="Arial" w:cs="Arial"/>
          <w:sz w:val="22"/>
          <w:szCs w:val="22"/>
        </w:rPr>
        <w:t>there is this i</w:t>
      </w:r>
      <w:r w:rsidRPr="009158CB">
        <w:rPr>
          <w:rFonts w:ascii="Arial" w:hAnsi="Arial" w:cs="Arial"/>
          <w:sz w:val="22"/>
          <w:szCs w:val="22"/>
        </w:rPr>
        <w:t xml:space="preserve">nference </w:t>
      </w:r>
      <w:r w:rsidR="00B40FB3" w:rsidRPr="009158CB">
        <w:rPr>
          <w:rFonts w:ascii="Arial" w:hAnsi="Arial" w:cs="Arial"/>
          <w:sz w:val="22"/>
          <w:szCs w:val="22"/>
        </w:rPr>
        <w:t xml:space="preserve">from the consideration of other </w:t>
      </w:r>
      <w:proofErr w:type="spellStart"/>
      <w:r w:rsidR="00B40FB3" w:rsidRPr="009158CB">
        <w:rPr>
          <w:rFonts w:ascii="Arial" w:hAnsi="Arial" w:cs="Arial"/>
          <w:sz w:val="22"/>
          <w:szCs w:val="22"/>
        </w:rPr>
        <w:t>bDMARDs</w:t>
      </w:r>
      <w:proofErr w:type="spellEnd"/>
      <w:r w:rsidR="00B40FB3" w:rsidRPr="009158CB">
        <w:rPr>
          <w:rFonts w:ascii="Arial" w:hAnsi="Arial" w:cs="Arial"/>
          <w:sz w:val="22"/>
          <w:szCs w:val="22"/>
        </w:rPr>
        <w:t xml:space="preserve"> for severe active rheumatoid arthritis</w:t>
      </w:r>
      <w:r w:rsidR="00BE74F3" w:rsidRPr="009158CB">
        <w:rPr>
          <w:rFonts w:ascii="Arial" w:hAnsi="Arial" w:cs="Arial"/>
          <w:sz w:val="22"/>
          <w:szCs w:val="22"/>
        </w:rPr>
        <w:t xml:space="preserve"> by the PBAC</w:t>
      </w:r>
      <w:r w:rsidR="00B40FB3" w:rsidRPr="009158CB">
        <w:rPr>
          <w:rFonts w:ascii="Arial" w:hAnsi="Arial" w:cs="Arial"/>
          <w:sz w:val="22"/>
          <w:szCs w:val="22"/>
        </w:rPr>
        <w:t xml:space="preserve">.  The PBAC </w:t>
      </w:r>
      <w:r w:rsidRPr="009158CB">
        <w:rPr>
          <w:rFonts w:ascii="Arial" w:hAnsi="Arial" w:cs="Arial"/>
          <w:sz w:val="22"/>
          <w:szCs w:val="22"/>
        </w:rPr>
        <w:t xml:space="preserve">noted that in </w:t>
      </w:r>
      <w:r w:rsidR="00BE74F3" w:rsidRPr="009158CB">
        <w:rPr>
          <w:rFonts w:ascii="Arial" w:hAnsi="Arial" w:cs="Arial"/>
          <w:sz w:val="22"/>
          <w:szCs w:val="22"/>
        </w:rPr>
        <w:t xml:space="preserve">recommending </w:t>
      </w:r>
      <w:proofErr w:type="spellStart"/>
      <w:r w:rsidR="00BE74F3" w:rsidRPr="009158CB">
        <w:rPr>
          <w:rFonts w:ascii="Arial" w:hAnsi="Arial" w:cs="Arial"/>
          <w:sz w:val="22"/>
          <w:szCs w:val="22"/>
        </w:rPr>
        <w:t>tocilizumab</w:t>
      </w:r>
      <w:proofErr w:type="spellEnd"/>
      <w:r w:rsidRPr="009158CB">
        <w:rPr>
          <w:rFonts w:ascii="Arial" w:hAnsi="Arial" w:cs="Arial"/>
          <w:sz w:val="22"/>
          <w:szCs w:val="22"/>
        </w:rPr>
        <w:t xml:space="preserve"> IV, </w:t>
      </w:r>
      <w:proofErr w:type="spellStart"/>
      <w:r w:rsidR="00B40FB3" w:rsidRPr="009158CB">
        <w:rPr>
          <w:rFonts w:ascii="Arial" w:hAnsi="Arial" w:cs="Arial"/>
          <w:sz w:val="22"/>
          <w:szCs w:val="22"/>
        </w:rPr>
        <w:t>abatacept</w:t>
      </w:r>
      <w:proofErr w:type="spellEnd"/>
      <w:r w:rsidR="00B40FB3" w:rsidRPr="009158CB">
        <w:rPr>
          <w:rFonts w:ascii="Arial" w:hAnsi="Arial" w:cs="Arial"/>
          <w:sz w:val="22"/>
          <w:szCs w:val="22"/>
        </w:rPr>
        <w:t xml:space="preserve"> and infliximab were</w:t>
      </w:r>
      <w:r w:rsidR="00561EFC" w:rsidRPr="009158CB">
        <w:rPr>
          <w:rFonts w:ascii="Arial" w:hAnsi="Arial" w:cs="Arial"/>
          <w:sz w:val="22"/>
          <w:szCs w:val="22"/>
        </w:rPr>
        <w:t xml:space="preserve"> considered to be </w:t>
      </w:r>
      <w:r w:rsidR="00B40FB3" w:rsidRPr="009158CB">
        <w:rPr>
          <w:rFonts w:ascii="Arial" w:hAnsi="Arial" w:cs="Arial"/>
          <w:sz w:val="22"/>
          <w:szCs w:val="22"/>
        </w:rPr>
        <w:t xml:space="preserve">appropriate as the main comparators </w:t>
      </w:r>
      <w:r w:rsidR="00561EFC" w:rsidRPr="009158CB">
        <w:rPr>
          <w:rFonts w:ascii="Arial" w:hAnsi="Arial" w:cs="Arial"/>
          <w:sz w:val="22"/>
          <w:szCs w:val="22"/>
        </w:rPr>
        <w:t xml:space="preserve">when </w:t>
      </w:r>
      <w:proofErr w:type="spellStart"/>
      <w:r w:rsidR="00561EFC" w:rsidRPr="009158CB">
        <w:rPr>
          <w:rFonts w:ascii="Arial" w:hAnsi="Arial" w:cs="Arial"/>
          <w:sz w:val="22"/>
          <w:szCs w:val="22"/>
        </w:rPr>
        <w:t>tocilizumab</w:t>
      </w:r>
      <w:proofErr w:type="spellEnd"/>
      <w:r w:rsidR="00561EFC" w:rsidRPr="009158CB">
        <w:rPr>
          <w:rFonts w:ascii="Arial" w:hAnsi="Arial" w:cs="Arial"/>
          <w:sz w:val="22"/>
          <w:szCs w:val="22"/>
        </w:rPr>
        <w:t xml:space="preserve"> was used with methotrexate and </w:t>
      </w:r>
      <w:proofErr w:type="spellStart"/>
      <w:r w:rsidR="00561EFC" w:rsidRPr="009158CB">
        <w:rPr>
          <w:rFonts w:ascii="Arial" w:hAnsi="Arial" w:cs="Arial"/>
          <w:sz w:val="22"/>
          <w:szCs w:val="22"/>
        </w:rPr>
        <w:t>etanercept</w:t>
      </w:r>
      <w:proofErr w:type="spellEnd"/>
      <w:r w:rsidR="00561EFC" w:rsidRPr="009158CB">
        <w:rPr>
          <w:rFonts w:ascii="Arial" w:hAnsi="Arial" w:cs="Arial"/>
          <w:sz w:val="22"/>
          <w:szCs w:val="22"/>
        </w:rPr>
        <w:t xml:space="preserve"> </w:t>
      </w:r>
      <w:r w:rsidR="00BE74F3" w:rsidRPr="009158CB">
        <w:rPr>
          <w:rFonts w:ascii="Arial" w:hAnsi="Arial" w:cs="Arial"/>
          <w:sz w:val="22"/>
          <w:szCs w:val="22"/>
        </w:rPr>
        <w:t xml:space="preserve">to be appropriate as the main comparators </w:t>
      </w:r>
      <w:r w:rsidR="00561EFC" w:rsidRPr="009158CB">
        <w:rPr>
          <w:rFonts w:ascii="Arial" w:hAnsi="Arial" w:cs="Arial"/>
          <w:sz w:val="22"/>
          <w:szCs w:val="22"/>
        </w:rPr>
        <w:t xml:space="preserve">when </w:t>
      </w:r>
      <w:proofErr w:type="spellStart"/>
      <w:r w:rsidR="00561EFC" w:rsidRPr="009158CB">
        <w:rPr>
          <w:rFonts w:ascii="Arial" w:hAnsi="Arial" w:cs="Arial"/>
          <w:sz w:val="22"/>
          <w:szCs w:val="22"/>
        </w:rPr>
        <w:t>tocil</w:t>
      </w:r>
      <w:r w:rsidR="0091324F">
        <w:rPr>
          <w:rFonts w:ascii="Arial" w:hAnsi="Arial" w:cs="Arial"/>
          <w:sz w:val="22"/>
          <w:szCs w:val="22"/>
        </w:rPr>
        <w:t>izumab</w:t>
      </w:r>
      <w:proofErr w:type="spellEnd"/>
      <w:r w:rsidR="0091324F">
        <w:rPr>
          <w:rFonts w:ascii="Arial" w:hAnsi="Arial" w:cs="Arial"/>
          <w:sz w:val="22"/>
          <w:szCs w:val="22"/>
        </w:rPr>
        <w:t xml:space="preserve"> was used in monotherapy.</w:t>
      </w:r>
    </w:p>
    <w:p w:rsidR="001F7380" w:rsidRPr="001F7380" w:rsidRDefault="001F7380" w:rsidP="001F7380">
      <w:pPr>
        <w:pStyle w:val="ListParagraph"/>
        <w:rPr>
          <w:rFonts w:ascii="Arial" w:hAnsi="Arial" w:cs="Arial"/>
          <w:bCs/>
          <w:snapToGrid w:val="0"/>
          <w:sz w:val="22"/>
          <w:szCs w:val="22"/>
          <w:lang w:val="en-GB" w:eastAsia="en-US"/>
        </w:rPr>
      </w:pPr>
    </w:p>
    <w:p w:rsidR="00C445FA" w:rsidRPr="00C445FA" w:rsidRDefault="004C1EB5" w:rsidP="00C445FA">
      <w:pPr>
        <w:pStyle w:val="ListParagraph"/>
        <w:numPr>
          <w:ilvl w:val="1"/>
          <w:numId w:val="5"/>
        </w:numPr>
        <w:jc w:val="both"/>
        <w:rPr>
          <w:rFonts w:ascii="Arial" w:hAnsi="Arial" w:cs="Arial"/>
          <w:sz w:val="22"/>
          <w:szCs w:val="22"/>
        </w:rPr>
      </w:pPr>
      <w:r w:rsidRPr="001F7380">
        <w:rPr>
          <w:rFonts w:ascii="Arial" w:hAnsi="Arial" w:cs="Arial"/>
          <w:bCs/>
          <w:snapToGrid w:val="0"/>
          <w:sz w:val="22"/>
          <w:szCs w:val="22"/>
          <w:lang w:val="en-GB" w:eastAsia="en-US"/>
        </w:rPr>
        <w:t xml:space="preserve">The PBAC noted the submission’s cost-minimisation analysis of </w:t>
      </w:r>
      <w:proofErr w:type="spellStart"/>
      <w:r w:rsidR="008E5261">
        <w:rPr>
          <w:rFonts w:ascii="Arial" w:hAnsi="Arial" w:cs="Arial"/>
          <w:sz w:val="22"/>
          <w:szCs w:val="22"/>
        </w:rPr>
        <w:t>tocilizumab</w:t>
      </w:r>
      <w:proofErr w:type="spellEnd"/>
      <w:r w:rsidR="008E5261">
        <w:rPr>
          <w:rFonts w:ascii="Arial" w:hAnsi="Arial" w:cs="Arial"/>
          <w:sz w:val="22"/>
          <w:szCs w:val="22"/>
        </w:rPr>
        <w:t xml:space="preserve"> SC</w:t>
      </w:r>
      <w:r w:rsidRPr="001F7380">
        <w:rPr>
          <w:rFonts w:ascii="Arial" w:hAnsi="Arial" w:cs="Arial"/>
          <w:bCs/>
          <w:snapToGrid w:val="0"/>
          <w:sz w:val="22"/>
          <w:szCs w:val="22"/>
          <w:lang w:val="en-GB" w:eastAsia="en-US"/>
        </w:rPr>
        <w:t xml:space="preserve"> versus </w:t>
      </w:r>
      <w:proofErr w:type="spellStart"/>
      <w:r w:rsidR="00561EFC" w:rsidRPr="001F7380">
        <w:rPr>
          <w:rFonts w:ascii="Arial" w:hAnsi="Arial" w:cs="Arial"/>
          <w:sz w:val="22"/>
          <w:szCs w:val="22"/>
        </w:rPr>
        <w:t>etanercept</w:t>
      </w:r>
      <w:proofErr w:type="spellEnd"/>
      <w:r w:rsidR="00561EFC" w:rsidRPr="001F7380">
        <w:rPr>
          <w:rFonts w:ascii="Arial" w:hAnsi="Arial" w:cs="Arial"/>
          <w:sz w:val="22"/>
          <w:szCs w:val="22"/>
        </w:rPr>
        <w:t xml:space="preserve"> and </w:t>
      </w:r>
      <w:proofErr w:type="spellStart"/>
      <w:r w:rsidR="00561EFC" w:rsidRPr="001F7380">
        <w:rPr>
          <w:rFonts w:ascii="Arial" w:hAnsi="Arial" w:cs="Arial"/>
          <w:sz w:val="22"/>
          <w:szCs w:val="22"/>
        </w:rPr>
        <w:t>adalimumab</w:t>
      </w:r>
      <w:proofErr w:type="spellEnd"/>
      <w:r w:rsidR="00561EFC" w:rsidRPr="001F7380">
        <w:rPr>
          <w:rFonts w:ascii="Arial" w:hAnsi="Arial" w:cs="Arial"/>
          <w:sz w:val="22"/>
          <w:szCs w:val="22"/>
        </w:rPr>
        <w:t xml:space="preserve"> for an equivalent treatment period. </w:t>
      </w:r>
      <w:r w:rsidR="0067433C" w:rsidRPr="001F7380">
        <w:rPr>
          <w:rFonts w:ascii="Arial" w:hAnsi="Arial" w:cs="Arial"/>
          <w:bCs/>
          <w:snapToGrid w:val="0"/>
          <w:sz w:val="22"/>
          <w:szCs w:val="22"/>
          <w:lang w:val="en-GB" w:eastAsia="en-US"/>
        </w:rPr>
        <w:t xml:space="preserve">The PBAC considered that all </w:t>
      </w:r>
      <w:proofErr w:type="spellStart"/>
      <w:r w:rsidR="0067433C" w:rsidRPr="001F7380">
        <w:rPr>
          <w:rFonts w:ascii="Arial" w:hAnsi="Arial" w:cs="Arial"/>
          <w:bCs/>
          <w:snapToGrid w:val="0"/>
          <w:sz w:val="22"/>
          <w:szCs w:val="22"/>
          <w:lang w:val="en-GB" w:eastAsia="en-US"/>
        </w:rPr>
        <w:t>bDMARDs</w:t>
      </w:r>
      <w:proofErr w:type="spellEnd"/>
      <w:r w:rsidR="0067433C" w:rsidRPr="001F7380">
        <w:rPr>
          <w:rFonts w:ascii="Arial" w:hAnsi="Arial" w:cs="Arial"/>
          <w:bCs/>
          <w:snapToGrid w:val="0"/>
          <w:sz w:val="22"/>
          <w:szCs w:val="22"/>
          <w:lang w:val="en-GB" w:eastAsia="en-US"/>
        </w:rPr>
        <w:t xml:space="preserve"> were appropriate comparators</w:t>
      </w:r>
      <w:r w:rsidR="00071F07">
        <w:rPr>
          <w:rFonts w:ascii="Arial" w:hAnsi="Arial" w:cs="Arial"/>
          <w:bCs/>
          <w:snapToGrid w:val="0"/>
          <w:sz w:val="22"/>
          <w:szCs w:val="22"/>
          <w:lang w:val="en-GB" w:eastAsia="en-US"/>
        </w:rPr>
        <w:t>,</w:t>
      </w:r>
      <w:r w:rsidR="0067433C" w:rsidRPr="001F7380">
        <w:rPr>
          <w:rFonts w:ascii="Arial" w:hAnsi="Arial" w:cs="Arial"/>
          <w:bCs/>
          <w:snapToGrid w:val="0"/>
          <w:sz w:val="22"/>
          <w:szCs w:val="22"/>
          <w:lang w:val="en-GB" w:eastAsia="en-US"/>
        </w:rPr>
        <w:t xml:space="preserve"> not</w:t>
      </w:r>
      <w:r w:rsidR="00F352BE">
        <w:rPr>
          <w:rFonts w:ascii="Arial" w:hAnsi="Arial" w:cs="Arial"/>
          <w:bCs/>
          <w:snapToGrid w:val="0"/>
          <w:sz w:val="22"/>
          <w:szCs w:val="22"/>
          <w:lang w:val="en-GB" w:eastAsia="en-US"/>
        </w:rPr>
        <w:t xml:space="preserve">ing </w:t>
      </w:r>
      <w:r w:rsidR="0067433C" w:rsidRPr="001F7380">
        <w:rPr>
          <w:rFonts w:ascii="Arial" w:hAnsi="Arial" w:cs="Arial"/>
          <w:bCs/>
          <w:snapToGrid w:val="0"/>
          <w:sz w:val="22"/>
          <w:szCs w:val="22"/>
          <w:lang w:val="en-GB" w:eastAsia="en-US"/>
        </w:rPr>
        <w:t xml:space="preserve">that </w:t>
      </w:r>
      <w:r w:rsidR="0021220A" w:rsidRPr="001F7380">
        <w:rPr>
          <w:rFonts w:ascii="Arial" w:hAnsi="Arial" w:cs="Arial"/>
          <w:bCs/>
          <w:snapToGrid w:val="0"/>
          <w:sz w:val="22"/>
          <w:szCs w:val="22"/>
          <w:lang w:val="en-GB" w:eastAsia="en-US"/>
        </w:rPr>
        <w:t xml:space="preserve">infliximab </w:t>
      </w:r>
      <w:r w:rsidR="00F352BE">
        <w:rPr>
          <w:rFonts w:ascii="Arial" w:hAnsi="Arial" w:cs="Arial"/>
          <w:bCs/>
          <w:snapToGrid w:val="0"/>
          <w:sz w:val="22"/>
          <w:szCs w:val="22"/>
          <w:lang w:val="en-GB" w:eastAsia="en-US"/>
        </w:rPr>
        <w:t xml:space="preserve">was the lowest </w:t>
      </w:r>
      <w:r w:rsidR="00905432">
        <w:rPr>
          <w:rFonts w:ascii="Arial" w:hAnsi="Arial" w:cs="Arial"/>
          <w:bCs/>
          <w:snapToGrid w:val="0"/>
          <w:sz w:val="22"/>
          <w:szCs w:val="22"/>
          <w:lang w:val="en-GB" w:eastAsia="en-US"/>
        </w:rPr>
        <w:t>cost</w:t>
      </w:r>
      <w:r w:rsidR="00F352BE">
        <w:rPr>
          <w:rFonts w:ascii="Arial" w:hAnsi="Arial" w:cs="Arial"/>
          <w:bCs/>
          <w:snapToGrid w:val="0"/>
          <w:sz w:val="22"/>
          <w:szCs w:val="22"/>
          <w:lang w:val="en-GB" w:eastAsia="en-US"/>
        </w:rPr>
        <w:t xml:space="preserve"> comparator</w:t>
      </w:r>
      <w:r w:rsidR="0021220A" w:rsidRPr="001F7380">
        <w:rPr>
          <w:rFonts w:ascii="Arial" w:hAnsi="Arial" w:cs="Arial"/>
          <w:bCs/>
          <w:snapToGrid w:val="0"/>
          <w:sz w:val="22"/>
          <w:szCs w:val="22"/>
          <w:lang w:val="en-GB" w:eastAsia="en-US"/>
        </w:rPr>
        <w:t xml:space="preserve">. </w:t>
      </w:r>
      <w:r w:rsidRPr="001F7380">
        <w:rPr>
          <w:rFonts w:ascii="Arial" w:hAnsi="Arial" w:cs="Arial"/>
          <w:bCs/>
          <w:snapToGrid w:val="0"/>
          <w:sz w:val="22"/>
          <w:szCs w:val="22"/>
          <w:lang w:val="en-GB" w:eastAsia="en-US"/>
        </w:rPr>
        <w:t>Based on the evide</w:t>
      </w:r>
      <w:r w:rsidR="001F7380">
        <w:rPr>
          <w:rFonts w:ascii="Arial" w:hAnsi="Arial" w:cs="Arial"/>
          <w:bCs/>
          <w:snapToGrid w:val="0"/>
          <w:sz w:val="22"/>
          <w:szCs w:val="22"/>
          <w:lang w:val="en-GB" w:eastAsia="en-US"/>
        </w:rPr>
        <w:t>nce presented in the submission</w:t>
      </w:r>
      <w:r w:rsidRPr="001F7380">
        <w:rPr>
          <w:rFonts w:ascii="Arial" w:hAnsi="Arial" w:cs="Arial"/>
          <w:bCs/>
          <w:snapToGrid w:val="0"/>
          <w:sz w:val="22"/>
          <w:szCs w:val="22"/>
          <w:lang w:val="en-GB" w:eastAsia="en-US"/>
        </w:rPr>
        <w:t xml:space="preserve">, the PBAC was not satisfied that </w:t>
      </w:r>
      <w:proofErr w:type="spellStart"/>
      <w:r w:rsidR="0067433C" w:rsidRPr="001F7380">
        <w:rPr>
          <w:rFonts w:ascii="Arial" w:hAnsi="Arial" w:cs="Arial"/>
          <w:sz w:val="22"/>
          <w:szCs w:val="22"/>
        </w:rPr>
        <w:t>tocilizumab</w:t>
      </w:r>
      <w:proofErr w:type="spellEnd"/>
      <w:r w:rsidR="0067433C" w:rsidRPr="001F7380" w:rsidDel="0067433C">
        <w:rPr>
          <w:rFonts w:ascii="Arial" w:hAnsi="Arial" w:cs="Arial"/>
          <w:bCs/>
          <w:snapToGrid w:val="0"/>
          <w:sz w:val="22"/>
          <w:szCs w:val="22"/>
          <w:lang w:val="en-GB" w:eastAsia="en-US"/>
        </w:rPr>
        <w:t xml:space="preserve"> </w:t>
      </w:r>
      <w:r w:rsidR="0067433C" w:rsidRPr="001F7380">
        <w:rPr>
          <w:rFonts w:ascii="Arial" w:hAnsi="Arial" w:cs="Arial"/>
          <w:bCs/>
          <w:snapToGrid w:val="0"/>
          <w:sz w:val="22"/>
          <w:szCs w:val="22"/>
          <w:lang w:val="en-GB" w:eastAsia="en-US"/>
        </w:rPr>
        <w:t>SC</w:t>
      </w:r>
      <w:r w:rsidR="001F7380">
        <w:rPr>
          <w:rFonts w:ascii="Arial" w:hAnsi="Arial" w:cs="Arial"/>
          <w:bCs/>
          <w:snapToGrid w:val="0"/>
          <w:sz w:val="22"/>
          <w:szCs w:val="22"/>
          <w:lang w:val="en-GB" w:eastAsia="en-US"/>
        </w:rPr>
        <w:t xml:space="preserve"> </w:t>
      </w:r>
      <w:r w:rsidRPr="001F7380">
        <w:rPr>
          <w:rFonts w:ascii="Arial" w:hAnsi="Arial" w:cs="Arial"/>
          <w:bCs/>
          <w:snapToGrid w:val="0"/>
          <w:sz w:val="22"/>
          <w:szCs w:val="22"/>
          <w:lang w:val="en-GB" w:eastAsia="en-US"/>
        </w:rPr>
        <w:t xml:space="preserve">provides a significant improvement in efficacy or reduction of toxicity over </w:t>
      </w:r>
      <w:r w:rsidR="0067433C" w:rsidRPr="001F7380">
        <w:rPr>
          <w:rFonts w:ascii="Arial" w:hAnsi="Arial" w:cs="Arial"/>
          <w:bCs/>
          <w:snapToGrid w:val="0"/>
          <w:sz w:val="22"/>
          <w:szCs w:val="22"/>
          <w:lang w:val="en-GB" w:eastAsia="en-US"/>
        </w:rPr>
        <w:t>infliximab</w:t>
      </w:r>
      <w:r w:rsidR="001F7380">
        <w:rPr>
          <w:rFonts w:ascii="Arial" w:hAnsi="Arial" w:cs="Arial"/>
          <w:bCs/>
          <w:snapToGrid w:val="0"/>
          <w:sz w:val="22"/>
          <w:szCs w:val="22"/>
          <w:lang w:val="en-GB" w:eastAsia="en-US"/>
        </w:rPr>
        <w:t xml:space="preserve">. </w:t>
      </w:r>
      <w:r w:rsidRPr="001F7380">
        <w:rPr>
          <w:rFonts w:ascii="Arial" w:hAnsi="Arial" w:cs="Arial"/>
          <w:bCs/>
          <w:snapToGrid w:val="0"/>
          <w:sz w:val="22"/>
          <w:szCs w:val="22"/>
          <w:lang w:val="en-GB" w:eastAsia="en-US"/>
        </w:rPr>
        <w:t xml:space="preserve">Therefore, there was no basis for </w:t>
      </w:r>
      <w:proofErr w:type="spellStart"/>
      <w:r w:rsidR="00561EFC" w:rsidRPr="001F7380">
        <w:rPr>
          <w:rFonts w:ascii="Arial" w:hAnsi="Arial" w:cs="Arial"/>
          <w:sz w:val="22"/>
          <w:szCs w:val="22"/>
        </w:rPr>
        <w:t>tocilizumab</w:t>
      </w:r>
      <w:proofErr w:type="spellEnd"/>
      <w:r w:rsidRPr="001F7380">
        <w:rPr>
          <w:rFonts w:ascii="Arial" w:hAnsi="Arial" w:cs="Arial"/>
          <w:bCs/>
          <w:snapToGrid w:val="0"/>
          <w:sz w:val="22"/>
          <w:szCs w:val="22"/>
          <w:lang w:val="en-GB" w:eastAsia="en-US"/>
        </w:rPr>
        <w:t xml:space="preserve"> to have a </w:t>
      </w:r>
      <w:r w:rsidR="00905432">
        <w:rPr>
          <w:rFonts w:ascii="Arial" w:hAnsi="Arial" w:cs="Arial"/>
          <w:bCs/>
          <w:snapToGrid w:val="0"/>
          <w:sz w:val="22"/>
          <w:szCs w:val="22"/>
          <w:lang w:val="en-GB" w:eastAsia="en-US"/>
        </w:rPr>
        <w:t>cost</w:t>
      </w:r>
      <w:r w:rsidRPr="001F7380">
        <w:rPr>
          <w:rFonts w:ascii="Arial" w:hAnsi="Arial" w:cs="Arial"/>
          <w:bCs/>
          <w:snapToGrid w:val="0"/>
          <w:sz w:val="22"/>
          <w:szCs w:val="22"/>
          <w:lang w:val="en-GB" w:eastAsia="en-US"/>
        </w:rPr>
        <w:t xml:space="preserve"> advantage over </w:t>
      </w:r>
      <w:r w:rsidR="00561EFC" w:rsidRPr="001F7380">
        <w:rPr>
          <w:rFonts w:ascii="Arial" w:hAnsi="Arial" w:cs="Arial"/>
          <w:bCs/>
          <w:snapToGrid w:val="0"/>
          <w:sz w:val="22"/>
          <w:szCs w:val="22"/>
          <w:lang w:val="en-GB" w:eastAsia="en-US"/>
        </w:rPr>
        <w:t>infliximab</w:t>
      </w:r>
      <w:r w:rsidR="0021220A" w:rsidRPr="001F7380">
        <w:rPr>
          <w:rFonts w:ascii="Arial" w:hAnsi="Arial" w:cs="Arial"/>
          <w:bCs/>
          <w:snapToGrid w:val="0"/>
          <w:sz w:val="22"/>
          <w:szCs w:val="22"/>
          <w:lang w:val="en-GB" w:eastAsia="en-US"/>
        </w:rPr>
        <w:t xml:space="preserve"> </w:t>
      </w:r>
      <w:r w:rsidR="0021220A" w:rsidRPr="001F7380">
        <w:rPr>
          <w:rFonts w:ascii="Arial" w:hAnsi="Arial" w:cs="Arial"/>
          <w:sz w:val="22"/>
          <w:szCs w:val="22"/>
        </w:rPr>
        <w:t>for an equivalent treatment period</w:t>
      </w:r>
      <w:r w:rsidR="00561EFC" w:rsidRPr="001F7380">
        <w:rPr>
          <w:rFonts w:ascii="Arial" w:hAnsi="Arial" w:cs="Arial"/>
          <w:bCs/>
          <w:snapToGrid w:val="0"/>
          <w:sz w:val="22"/>
          <w:szCs w:val="22"/>
          <w:lang w:val="en-GB" w:eastAsia="en-US"/>
        </w:rPr>
        <w:t>.</w:t>
      </w:r>
    </w:p>
    <w:p w:rsidR="004C567C" w:rsidRPr="00C445FA" w:rsidRDefault="004C567C" w:rsidP="00C445FA">
      <w:pPr>
        <w:jc w:val="both"/>
        <w:rPr>
          <w:rFonts w:ascii="Arial" w:hAnsi="Arial" w:cs="Arial"/>
          <w:sz w:val="22"/>
          <w:szCs w:val="22"/>
        </w:rPr>
      </w:pPr>
    </w:p>
    <w:p w:rsidR="00D408CC" w:rsidRPr="00BE74F3" w:rsidRDefault="00FA63EF" w:rsidP="004C3F69">
      <w:pPr>
        <w:pStyle w:val="ListParagraph"/>
        <w:numPr>
          <w:ilvl w:val="1"/>
          <w:numId w:val="5"/>
        </w:numPr>
        <w:jc w:val="both"/>
        <w:rPr>
          <w:rFonts w:ascii="Arial" w:hAnsi="Arial" w:cs="Arial"/>
          <w:sz w:val="22"/>
          <w:szCs w:val="22"/>
        </w:rPr>
      </w:pPr>
      <w:r w:rsidRPr="00BE74F3">
        <w:rPr>
          <w:rFonts w:ascii="Arial" w:hAnsi="Arial" w:cs="Arial"/>
          <w:sz w:val="22"/>
          <w:szCs w:val="22"/>
        </w:rPr>
        <w:t xml:space="preserve">The PBAC </w:t>
      </w:r>
      <w:r w:rsidR="00873888" w:rsidRPr="00BE74F3">
        <w:rPr>
          <w:rFonts w:ascii="Arial" w:hAnsi="Arial" w:cs="Arial"/>
          <w:sz w:val="22"/>
          <w:szCs w:val="22"/>
        </w:rPr>
        <w:t xml:space="preserve">noted </w:t>
      </w:r>
      <w:r w:rsidRPr="00BE74F3">
        <w:rPr>
          <w:rFonts w:ascii="Arial" w:hAnsi="Arial" w:cs="Arial"/>
          <w:sz w:val="22"/>
          <w:szCs w:val="22"/>
        </w:rPr>
        <w:t xml:space="preserve">that there </w:t>
      </w:r>
      <w:r w:rsidR="004C567C" w:rsidRPr="00BE74F3">
        <w:rPr>
          <w:rFonts w:ascii="Arial" w:hAnsi="Arial" w:cs="Arial"/>
          <w:sz w:val="22"/>
          <w:szCs w:val="22"/>
        </w:rPr>
        <w:t xml:space="preserve">will be flow on </w:t>
      </w:r>
      <w:r w:rsidR="009158CB">
        <w:rPr>
          <w:rFonts w:ascii="Arial" w:hAnsi="Arial" w:cs="Arial"/>
          <w:sz w:val="22"/>
          <w:szCs w:val="22"/>
        </w:rPr>
        <w:t xml:space="preserve">changes to </w:t>
      </w:r>
      <w:r w:rsidR="009158CB" w:rsidRPr="00BE74F3">
        <w:rPr>
          <w:rFonts w:ascii="Arial" w:hAnsi="Arial" w:cs="Arial"/>
          <w:sz w:val="22"/>
          <w:szCs w:val="22"/>
        </w:rPr>
        <w:t xml:space="preserve">the listing of all </w:t>
      </w:r>
      <w:proofErr w:type="spellStart"/>
      <w:r w:rsidR="00C445FA" w:rsidRPr="00BE74F3">
        <w:rPr>
          <w:rFonts w:ascii="Arial" w:hAnsi="Arial" w:cs="Arial"/>
          <w:sz w:val="22"/>
          <w:szCs w:val="22"/>
        </w:rPr>
        <w:t>bDMARDs</w:t>
      </w:r>
      <w:proofErr w:type="spellEnd"/>
      <w:r w:rsidR="00C445FA" w:rsidRPr="00BE74F3">
        <w:rPr>
          <w:rFonts w:ascii="Arial" w:hAnsi="Arial" w:cs="Arial"/>
          <w:sz w:val="22"/>
          <w:szCs w:val="22"/>
        </w:rPr>
        <w:t xml:space="preserve"> </w:t>
      </w:r>
      <w:r w:rsidR="00C445FA">
        <w:rPr>
          <w:rFonts w:ascii="Arial" w:hAnsi="Arial" w:cs="Arial"/>
          <w:sz w:val="22"/>
          <w:szCs w:val="22"/>
        </w:rPr>
        <w:t>following</w:t>
      </w:r>
      <w:r w:rsidR="009158CB">
        <w:rPr>
          <w:rFonts w:ascii="Arial" w:hAnsi="Arial" w:cs="Arial"/>
          <w:sz w:val="22"/>
          <w:szCs w:val="22"/>
        </w:rPr>
        <w:t xml:space="preserve"> the </w:t>
      </w:r>
      <w:r w:rsidRPr="00BE74F3">
        <w:rPr>
          <w:rFonts w:ascii="Arial" w:hAnsi="Arial" w:cs="Arial"/>
          <w:sz w:val="22"/>
          <w:szCs w:val="22"/>
        </w:rPr>
        <w:t xml:space="preserve">listing </w:t>
      </w:r>
      <w:r w:rsidRPr="00BE74F3">
        <w:rPr>
          <w:rFonts w:ascii="Arial" w:hAnsi="Arial" w:cs="Arial"/>
          <w:bCs/>
          <w:sz w:val="22"/>
          <w:szCs w:val="22"/>
          <w:lang w:val="en-GB"/>
        </w:rPr>
        <w:t xml:space="preserve">of </w:t>
      </w:r>
      <w:r w:rsidR="009158CB">
        <w:rPr>
          <w:rFonts w:ascii="Arial" w:hAnsi="Arial" w:cs="Arial"/>
          <w:bCs/>
          <w:sz w:val="22"/>
          <w:szCs w:val="22"/>
          <w:lang w:val="en-GB"/>
        </w:rPr>
        <w:t xml:space="preserve">subcutaneous version of </w:t>
      </w:r>
      <w:proofErr w:type="spellStart"/>
      <w:r w:rsidRPr="00BE74F3">
        <w:rPr>
          <w:rFonts w:ascii="Arial" w:hAnsi="Arial" w:cs="Arial"/>
          <w:bCs/>
          <w:sz w:val="22"/>
          <w:szCs w:val="22"/>
          <w:lang w:val="en-GB"/>
        </w:rPr>
        <w:t>tocilizumab</w:t>
      </w:r>
      <w:proofErr w:type="spellEnd"/>
      <w:r w:rsidRPr="00BE74F3">
        <w:rPr>
          <w:rFonts w:ascii="Arial" w:hAnsi="Arial" w:cs="Arial"/>
          <w:bCs/>
          <w:sz w:val="22"/>
          <w:szCs w:val="22"/>
          <w:lang w:val="en-GB"/>
        </w:rPr>
        <w:t xml:space="preserve"> </w:t>
      </w:r>
      <w:r w:rsidRPr="00BE74F3">
        <w:rPr>
          <w:rFonts w:ascii="Arial" w:hAnsi="Arial" w:cs="Arial"/>
          <w:sz w:val="22"/>
          <w:szCs w:val="22"/>
        </w:rPr>
        <w:t xml:space="preserve">(SC) </w:t>
      </w:r>
      <w:r w:rsidR="004C567C" w:rsidRPr="00BE74F3">
        <w:rPr>
          <w:rFonts w:ascii="Arial" w:hAnsi="Arial" w:cs="Arial"/>
          <w:sz w:val="22"/>
          <w:szCs w:val="22"/>
        </w:rPr>
        <w:t xml:space="preserve">to the listing of all </w:t>
      </w:r>
      <w:proofErr w:type="spellStart"/>
      <w:r w:rsidR="00796D26" w:rsidRPr="00BE74F3">
        <w:rPr>
          <w:rFonts w:ascii="Arial" w:hAnsi="Arial" w:cs="Arial"/>
          <w:sz w:val="22"/>
          <w:szCs w:val="22"/>
        </w:rPr>
        <w:t>bDMARDs</w:t>
      </w:r>
      <w:proofErr w:type="spellEnd"/>
      <w:r w:rsidR="00796D26" w:rsidRPr="00BE74F3">
        <w:rPr>
          <w:rFonts w:ascii="Arial" w:hAnsi="Arial" w:cs="Arial"/>
          <w:sz w:val="22"/>
          <w:szCs w:val="22"/>
        </w:rPr>
        <w:t>.</w:t>
      </w:r>
    </w:p>
    <w:p w:rsidR="00D408CC" w:rsidRPr="001F7380" w:rsidRDefault="00D408CC" w:rsidP="001F7380">
      <w:pPr>
        <w:widowControl w:val="0"/>
        <w:spacing w:after="120"/>
        <w:contextualSpacing/>
        <w:jc w:val="both"/>
        <w:rPr>
          <w:rFonts w:ascii="Arial" w:hAnsi="Arial" w:cs="Arial"/>
          <w:bCs/>
          <w:snapToGrid w:val="0"/>
          <w:sz w:val="22"/>
          <w:szCs w:val="22"/>
          <w:lang w:val="en-GB" w:eastAsia="en-US"/>
        </w:rPr>
      </w:pPr>
    </w:p>
    <w:p w:rsidR="000773B8" w:rsidRPr="00BE74F3" w:rsidRDefault="00D408CC" w:rsidP="00FA63EF">
      <w:pPr>
        <w:widowControl w:val="0"/>
        <w:numPr>
          <w:ilvl w:val="1"/>
          <w:numId w:val="5"/>
        </w:numPr>
        <w:spacing w:after="120"/>
        <w:contextualSpacing/>
        <w:jc w:val="both"/>
        <w:rPr>
          <w:rFonts w:ascii="Arial" w:hAnsi="Arial" w:cs="Arial"/>
          <w:bCs/>
          <w:snapToGrid w:val="0"/>
          <w:sz w:val="22"/>
          <w:szCs w:val="22"/>
          <w:lang w:val="en-GB" w:eastAsia="en-US"/>
        </w:rPr>
      </w:pPr>
      <w:r w:rsidRPr="00BE74F3">
        <w:rPr>
          <w:rFonts w:ascii="Arial" w:hAnsi="Arial" w:cs="Arial"/>
          <w:bCs/>
          <w:snapToGrid w:val="0"/>
          <w:sz w:val="22"/>
          <w:szCs w:val="22"/>
          <w:lang w:val="en-GB" w:eastAsia="en-US"/>
        </w:rPr>
        <w:t xml:space="preserve">The PBAC advised that </w:t>
      </w:r>
      <w:proofErr w:type="spellStart"/>
      <w:r w:rsidR="005C7EF5" w:rsidRPr="00BE74F3">
        <w:rPr>
          <w:rFonts w:ascii="Arial" w:hAnsi="Arial" w:cs="Arial"/>
          <w:bCs/>
          <w:snapToGrid w:val="0"/>
          <w:sz w:val="22"/>
          <w:szCs w:val="22"/>
          <w:lang w:val="en-GB" w:eastAsia="en-US"/>
        </w:rPr>
        <w:t>tocilizumab</w:t>
      </w:r>
      <w:proofErr w:type="spellEnd"/>
      <w:r w:rsidR="00796D26" w:rsidRPr="00BE74F3">
        <w:rPr>
          <w:rFonts w:ascii="Arial" w:hAnsi="Arial" w:cs="Arial"/>
          <w:bCs/>
          <w:snapToGrid w:val="0"/>
          <w:sz w:val="22"/>
          <w:szCs w:val="22"/>
          <w:lang w:val="en-GB" w:eastAsia="en-US"/>
        </w:rPr>
        <w:t xml:space="preserve"> SC </w:t>
      </w:r>
      <w:r w:rsidRPr="00BE74F3">
        <w:rPr>
          <w:rFonts w:ascii="Arial" w:hAnsi="Arial" w:cs="Arial"/>
          <w:bCs/>
          <w:snapToGrid w:val="0"/>
          <w:sz w:val="22"/>
          <w:szCs w:val="22"/>
          <w:lang w:val="en-GB" w:eastAsia="en-US"/>
        </w:rPr>
        <w:t>is not suitable for presc</w:t>
      </w:r>
      <w:r w:rsidR="0091324F">
        <w:rPr>
          <w:rFonts w:ascii="Arial" w:hAnsi="Arial" w:cs="Arial"/>
          <w:bCs/>
          <w:snapToGrid w:val="0"/>
          <w:sz w:val="22"/>
          <w:szCs w:val="22"/>
          <w:lang w:val="en-GB" w:eastAsia="en-US"/>
        </w:rPr>
        <w:t>ribing by nurse practitioners.</w:t>
      </w:r>
    </w:p>
    <w:p w:rsidR="000773B8" w:rsidRDefault="000773B8" w:rsidP="000773B8">
      <w:pPr>
        <w:pStyle w:val="ListParagraph"/>
        <w:numPr>
          <w:ilvl w:val="1"/>
          <w:numId w:val="5"/>
        </w:numPr>
        <w:jc w:val="both"/>
        <w:rPr>
          <w:rFonts w:ascii="Arial" w:hAnsi="Arial" w:cs="Arial"/>
          <w:sz w:val="22"/>
          <w:szCs w:val="22"/>
        </w:rPr>
      </w:pPr>
      <w:r w:rsidRPr="00BE74F3">
        <w:rPr>
          <w:rFonts w:ascii="Arial" w:hAnsi="Arial" w:cs="Arial"/>
          <w:sz w:val="22"/>
          <w:szCs w:val="22"/>
        </w:rPr>
        <w:t xml:space="preserve">The Early Supply Rule should apply to the continuing treatment phase listing as it currently applies to other </w:t>
      </w:r>
      <w:proofErr w:type="spellStart"/>
      <w:r w:rsidRPr="00BE74F3">
        <w:rPr>
          <w:rFonts w:ascii="Arial" w:hAnsi="Arial" w:cs="Arial"/>
          <w:sz w:val="22"/>
          <w:szCs w:val="22"/>
        </w:rPr>
        <w:t>bDMARDs</w:t>
      </w:r>
      <w:proofErr w:type="spellEnd"/>
      <w:r w:rsidRPr="00BE74F3">
        <w:rPr>
          <w:rFonts w:ascii="Arial" w:hAnsi="Arial" w:cs="Arial"/>
          <w:sz w:val="22"/>
          <w:szCs w:val="22"/>
        </w:rPr>
        <w:t xml:space="preserve"> preparation on the general schedule.</w:t>
      </w:r>
    </w:p>
    <w:p w:rsidR="00C82F19" w:rsidRDefault="00C82F19" w:rsidP="00C82F19">
      <w:pPr>
        <w:pStyle w:val="ListParagraph"/>
        <w:jc w:val="both"/>
        <w:rPr>
          <w:rFonts w:ascii="Arial" w:hAnsi="Arial" w:cs="Arial"/>
          <w:sz w:val="22"/>
          <w:szCs w:val="22"/>
        </w:rPr>
      </w:pPr>
    </w:p>
    <w:p w:rsidR="00504B3E" w:rsidRPr="00504B3E" w:rsidRDefault="00504B3E" w:rsidP="00C82F19">
      <w:pPr>
        <w:pStyle w:val="ListParagraph"/>
        <w:numPr>
          <w:ilvl w:val="1"/>
          <w:numId w:val="5"/>
        </w:numPr>
        <w:jc w:val="both"/>
        <w:rPr>
          <w:rFonts w:ascii="Arial" w:hAnsi="Arial" w:cs="Arial"/>
          <w:bCs/>
          <w:sz w:val="22"/>
          <w:szCs w:val="22"/>
          <w:lang w:val="en-GB"/>
        </w:rPr>
      </w:pPr>
      <w:r w:rsidRPr="00504B3E">
        <w:rPr>
          <w:rFonts w:ascii="Arial" w:hAnsi="Arial" w:cs="Arial"/>
          <w:bCs/>
          <w:sz w:val="22"/>
          <w:szCs w:val="22"/>
          <w:lang w:val="en-GB"/>
        </w:rPr>
        <w:t xml:space="preserve">The PBAC advised that </w:t>
      </w:r>
      <w:proofErr w:type="spellStart"/>
      <w:r>
        <w:rPr>
          <w:rFonts w:ascii="Arial" w:hAnsi="Arial" w:cs="Arial"/>
          <w:bCs/>
          <w:sz w:val="22"/>
          <w:szCs w:val="22"/>
          <w:lang w:val="en-GB"/>
        </w:rPr>
        <w:t>tocilizumab</w:t>
      </w:r>
      <w:proofErr w:type="spellEnd"/>
      <w:r w:rsidRPr="00504B3E">
        <w:rPr>
          <w:rFonts w:ascii="Arial" w:hAnsi="Arial" w:cs="Arial"/>
          <w:bCs/>
          <w:sz w:val="22"/>
          <w:szCs w:val="22"/>
          <w:lang w:val="en-GB"/>
        </w:rPr>
        <w:t xml:space="preserve"> SC should be treated as interchangeable on an individual patient basis with</w:t>
      </w:r>
      <w:r w:rsidR="0064116C">
        <w:rPr>
          <w:rFonts w:ascii="Arial" w:hAnsi="Arial" w:cs="Arial"/>
          <w:bCs/>
          <w:sz w:val="22"/>
          <w:szCs w:val="22"/>
          <w:lang w:val="en-GB"/>
        </w:rPr>
        <w:t xml:space="preserve"> the currently listed </w:t>
      </w:r>
      <w:proofErr w:type="spellStart"/>
      <w:r w:rsidR="0064116C">
        <w:rPr>
          <w:rFonts w:ascii="Arial" w:hAnsi="Arial" w:cs="Arial"/>
          <w:bCs/>
          <w:sz w:val="22"/>
          <w:szCs w:val="22"/>
          <w:lang w:val="en-GB"/>
        </w:rPr>
        <w:t>bDMARDs</w:t>
      </w:r>
      <w:proofErr w:type="spellEnd"/>
      <w:r w:rsidR="00070517">
        <w:rPr>
          <w:rFonts w:ascii="Arial" w:hAnsi="Arial" w:cs="Arial"/>
          <w:bCs/>
          <w:sz w:val="22"/>
          <w:szCs w:val="22"/>
          <w:lang w:val="en-GB"/>
        </w:rPr>
        <w:t xml:space="preserve"> for this indication: </w:t>
      </w:r>
      <w:proofErr w:type="spellStart"/>
      <w:r w:rsidR="00070517" w:rsidRPr="00070517">
        <w:rPr>
          <w:rFonts w:ascii="Arial" w:hAnsi="Arial" w:cs="Arial"/>
          <w:bCs/>
          <w:sz w:val="22"/>
          <w:szCs w:val="22"/>
          <w:lang w:val="en-GB"/>
        </w:rPr>
        <w:t>abatacept</w:t>
      </w:r>
      <w:proofErr w:type="spellEnd"/>
      <w:r w:rsidR="00070517" w:rsidRPr="00070517">
        <w:rPr>
          <w:rFonts w:ascii="Arial" w:hAnsi="Arial" w:cs="Arial"/>
          <w:bCs/>
          <w:sz w:val="22"/>
          <w:szCs w:val="22"/>
          <w:lang w:val="en-GB"/>
        </w:rPr>
        <w:t xml:space="preserve">, </w:t>
      </w:r>
      <w:proofErr w:type="spellStart"/>
      <w:r w:rsidR="00070517" w:rsidRPr="00070517">
        <w:rPr>
          <w:rFonts w:ascii="Arial" w:hAnsi="Arial" w:cs="Arial"/>
          <w:bCs/>
          <w:sz w:val="22"/>
          <w:szCs w:val="22"/>
          <w:lang w:val="en-GB"/>
        </w:rPr>
        <w:t>adalimumab</w:t>
      </w:r>
      <w:proofErr w:type="spellEnd"/>
      <w:r w:rsidR="00070517" w:rsidRPr="00070517">
        <w:rPr>
          <w:rFonts w:ascii="Arial" w:hAnsi="Arial" w:cs="Arial"/>
          <w:bCs/>
          <w:sz w:val="22"/>
          <w:szCs w:val="22"/>
          <w:lang w:val="en-GB"/>
        </w:rPr>
        <w:t xml:space="preserve">, </w:t>
      </w:r>
      <w:proofErr w:type="spellStart"/>
      <w:r w:rsidR="00070517" w:rsidRPr="00070517">
        <w:rPr>
          <w:rFonts w:ascii="Arial" w:hAnsi="Arial" w:cs="Arial"/>
          <w:bCs/>
          <w:sz w:val="22"/>
          <w:szCs w:val="22"/>
          <w:lang w:val="en-GB"/>
        </w:rPr>
        <w:t>certolizumab</w:t>
      </w:r>
      <w:proofErr w:type="spellEnd"/>
      <w:r w:rsidR="00070517" w:rsidRPr="00070517">
        <w:rPr>
          <w:rFonts w:ascii="Arial" w:hAnsi="Arial" w:cs="Arial"/>
          <w:bCs/>
          <w:sz w:val="22"/>
          <w:szCs w:val="22"/>
          <w:lang w:val="en-GB"/>
        </w:rPr>
        <w:t xml:space="preserve"> </w:t>
      </w:r>
      <w:proofErr w:type="spellStart"/>
      <w:r w:rsidR="00070517" w:rsidRPr="00070517">
        <w:rPr>
          <w:rFonts w:ascii="Arial" w:hAnsi="Arial" w:cs="Arial"/>
          <w:bCs/>
          <w:sz w:val="22"/>
          <w:szCs w:val="22"/>
          <w:lang w:val="en-GB"/>
        </w:rPr>
        <w:t>pegol</w:t>
      </w:r>
      <w:proofErr w:type="spellEnd"/>
      <w:r w:rsidR="00070517" w:rsidRPr="00070517">
        <w:rPr>
          <w:rFonts w:ascii="Arial" w:hAnsi="Arial" w:cs="Arial"/>
          <w:bCs/>
          <w:sz w:val="22"/>
          <w:szCs w:val="22"/>
          <w:lang w:val="en-GB"/>
        </w:rPr>
        <w:t xml:space="preserve">, </w:t>
      </w:r>
      <w:proofErr w:type="spellStart"/>
      <w:r w:rsidR="00070517" w:rsidRPr="00070517">
        <w:rPr>
          <w:rFonts w:ascii="Arial" w:hAnsi="Arial" w:cs="Arial"/>
          <w:bCs/>
          <w:sz w:val="22"/>
          <w:szCs w:val="22"/>
          <w:lang w:val="en-GB"/>
        </w:rPr>
        <w:t>etanercept</w:t>
      </w:r>
      <w:proofErr w:type="spellEnd"/>
      <w:r w:rsidR="00070517" w:rsidRPr="00070517">
        <w:rPr>
          <w:rFonts w:ascii="Arial" w:hAnsi="Arial" w:cs="Arial"/>
          <w:bCs/>
          <w:sz w:val="22"/>
          <w:szCs w:val="22"/>
          <w:lang w:val="en-GB"/>
        </w:rPr>
        <w:t xml:space="preserve">, </w:t>
      </w:r>
      <w:proofErr w:type="spellStart"/>
      <w:r w:rsidR="00070517" w:rsidRPr="00070517">
        <w:rPr>
          <w:rFonts w:ascii="Arial" w:hAnsi="Arial" w:cs="Arial"/>
          <w:bCs/>
          <w:sz w:val="22"/>
          <w:szCs w:val="22"/>
          <w:lang w:val="en-GB"/>
        </w:rPr>
        <w:t>golimumab</w:t>
      </w:r>
      <w:proofErr w:type="spellEnd"/>
      <w:r w:rsidR="00070517" w:rsidRPr="00070517">
        <w:rPr>
          <w:rFonts w:ascii="Arial" w:hAnsi="Arial" w:cs="Arial"/>
          <w:bCs/>
          <w:sz w:val="22"/>
          <w:szCs w:val="22"/>
          <w:lang w:val="en-GB"/>
        </w:rPr>
        <w:t xml:space="preserve">, infliximab, rituximab, </w:t>
      </w:r>
      <w:proofErr w:type="spellStart"/>
      <w:r w:rsidR="00070517" w:rsidRPr="00070517">
        <w:rPr>
          <w:rFonts w:ascii="Arial" w:hAnsi="Arial" w:cs="Arial"/>
          <w:bCs/>
          <w:sz w:val="22"/>
          <w:szCs w:val="22"/>
          <w:lang w:val="en-GB"/>
        </w:rPr>
        <w:t>tocilizumab</w:t>
      </w:r>
      <w:proofErr w:type="spellEnd"/>
      <w:r w:rsidR="00070517" w:rsidRPr="00070517">
        <w:rPr>
          <w:rFonts w:ascii="Arial" w:hAnsi="Arial" w:cs="Arial"/>
          <w:bCs/>
          <w:sz w:val="22"/>
          <w:szCs w:val="22"/>
          <w:lang w:val="en-GB"/>
        </w:rPr>
        <w:t xml:space="preserve"> and </w:t>
      </w:r>
      <w:proofErr w:type="spellStart"/>
      <w:r w:rsidR="00070517" w:rsidRPr="00070517">
        <w:rPr>
          <w:rFonts w:ascii="Arial" w:hAnsi="Arial" w:cs="Arial"/>
          <w:bCs/>
          <w:sz w:val="22"/>
          <w:szCs w:val="22"/>
          <w:lang w:val="en-GB"/>
        </w:rPr>
        <w:t>tofacitinib</w:t>
      </w:r>
      <w:proofErr w:type="spellEnd"/>
      <w:r w:rsidRPr="00504B3E">
        <w:rPr>
          <w:rFonts w:ascii="Arial" w:hAnsi="Arial" w:cs="Arial"/>
          <w:bCs/>
          <w:sz w:val="22"/>
          <w:szCs w:val="22"/>
          <w:lang w:val="en-GB"/>
        </w:rPr>
        <w:t>.</w:t>
      </w:r>
    </w:p>
    <w:p w:rsidR="000773B8" w:rsidRPr="00BE74F3" w:rsidRDefault="000773B8" w:rsidP="000773B8">
      <w:pPr>
        <w:pStyle w:val="ListParagraph"/>
        <w:rPr>
          <w:rFonts w:ascii="Arial" w:hAnsi="Arial" w:cs="Arial"/>
          <w:sz w:val="22"/>
          <w:szCs w:val="22"/>
        </w:rPr>
      </w:pPr>
    </w:p>
    <w:p w:rsidR="000773B8" w:rsidRPr="00BE74F3" w:rsidRDefault="000773B8" w:rsidP="000773B8">
      <w:pPr>
        <w:widowControl w:val="0"/>
        <w:numPr>
          <w:ilvl w:val="1"/>
          <w:numId w:val="5"/>
        </w:numPr>
        <w:contextualSpacing/>
        <w:jc w:val="both"/>
        <w:rPr>
          <w:rFonts w:ascii="Arial" w:hAnsi="Arial" w:cs="Arial"/>
          <w:bCs/>
          <w:snapToGrid w:val="0"/>
          <w:sz w:val="22"/>
          <w:szCs w:val="22"/>
          <w:lang w:val="en-GB"/>
        </w:rPr>
      </w:pPr>
      <w:r w:rsidRPr="00BE74F3">
        <w:rPr>
          <w:rFonts w:ascii="Arial" w:hAnsi="Arial" w:cs="Arial"/>
          <w:bCs/>
          <w:snapToGrid w:val="0"/>
          <w:sz w:val="22"/>
          <w:szCs w:val="22"/>
          <w:lang w:val="en-GB"/>
        </w:rPr>
        <w:t>The submission is not eligible for an Independent Review, because the PBAC has made a positive recommendation.</w:t>
      </w:r>
    </w:p>
    <w:p w:rsidR="000773B8" w:rsidRPr="000773B8" w:rsidRDefault="000773B8" w:rsidP="000773B8">
      <w:pPr>
        <w:widowControl w:val="0"/>
        <w:spacing w:after="120"/>
        <w:ind w:left="720"/>
        <w:contextualSpacing/>
        <w:jc w:val="both"/>
        <w:rPr>
          <w:rFonts w:ascii="Arial" w:hAnsi="Arial" w:cs="Arial"/>
          <w:bCs/>
          <w:snapToGrid w:val="0"/>
          <w:sz w:val="22"/>
          <w:szCs w:val="22"/>
          <w:lang w:val="en-GB" w:eastAsia="en-US"/>
        </w:rPr>
      </w:pPr>
    </w:p>
    <w:p w:rsidR="00C82F19" w:rsidRDefault="00C82F19">
      <w:pPr>
        <w:rPr>
          <w:rFonts w:ascii="Arial" w:hAnsi="Arial" w:cs="Arial"/>
          <w:b/>
          <w:bCs/>
          <w:snapToGrid w:val="0"/>
          <w:sz w:val="22"/>
          <w:szCs w:val="22"/>
          <w:lang w:val="en-GB" w:eastAsia="en-US"/>
        </w:rPr>
      </w:pPr>
      <w:r>
        <w:rPr>
          <w:rFonts w:ascii="Arial" w:hAnsi="Arial" w:cs="Arial"/>
          <w:b/>
          <w:bCs/>
          <w:snapToGrid w:val="0"/>
          <w:sz w:val="22"/>
          <w:szCs w:val="22"/>
          <w:lang w:val="en-GB" w:eastAsia="en-US"/>
        </w:rPr>
        <w:br w:type="page"/>
      </w:r>
    </w:p>
    <w:p w:rsidR="00D408CC" w:rsidRPr="004C567C" w:rsidRDefault="00D408CC" w:rsidP="00D408CC">
      <w:pPr>
        <w:jc w:val="both"/>
        <w:rPr>
          <w:rFonts w:ascii="Arial" w:hAnsi="Arial" w:cs="Arial"/>
          <w:b/>
          <w:bCs/>
          <w:snapToGrid w:val="0"/>
          <w:sz w:val="22"/>
          <w:szCs w:val="22"/>
          <w:lang w:val="en-GB" w:eastAsia="en-US"/>
        </w:rPr>
      </w:pPr>
    </w:p>
    <w:p w:rsidR="00D408CC" w:rsidRPr="004C567C" w:rsidRDefault="00D408CC" w:rsidP="00D408CC">
      <w:pPr>
        <w:jc w:val="both"/>
        <w:rPr>
          <w:rFonts w:ascii="Arial" w:hAnsi="Arial" w:cs="Arial"/>
          <w:b/>
          <w:bCs/>
          <w:snapToGrid w:val="0"/>
          <w:sz w:val="22"/>
          <w:szCs w:val="22"/>
          <w:lang w:val="en-GB" w:eastAsia="en-US"/>
        </w:rPr>
      </w:pPr>
      <w:r w:rsidRPr="004C567C">
        <w:rPr>
          <w:rFonts w:ascii="Arial" w:hAnsi="Arial" w:cs="Arial"/>
          <w:b/>
          <w:bCs/>
          <w:snapToGrid w:val="0"/>
          <w:sz w:val="22"/>
          <w:szCs w:val="22"/>
          <w:lang w:val="en-GB" w:eastAsia="en-US"/>
        </w:rPr>
        <w:t>Outcome:</w:t>
      </w:r>
    </w:p>
    <w:p w:rsidR="00D408CC" w:rsidRPr="004C567C" w:rsidRDefault="0091324F" w:rsidP="00D408CC">
      <w:pPr>
        <w:jc w:val="both"/>
        <w:rPr>
          <w:rFonts w:ascii="Arial" w:hAnsi="Arial" w:cs="Arial"/>
          <w:bCs/>
          <w:snapToGrid w:val="0"/>
          <w:sz w:val="22"/>
          <w:szCs w:val="22"/>
          <w:lang w:val="en-GB" w:eastAsia="en-US"/>
        </w:rPr>
      </w:pPr>
      <w:r>
        <w:rPr>
          <w:rFonts w:ascii="Arial" w:hAnsi="Arial" w:cs="Arial"/>
          <w:bCs/>
          <w:snapToGrid w:val="0"/>
          <w:sz w:val="22"/>
          <w:szCs w:val="22"/>
          <w:lang w:val="en-GB" w:eastAsia="en-US"/>
        </w:rPr>
        <w:t>Recommended</w:t>
      </w:r>
    </w:p>
    <w:p w:rsidR="00D408CC" w:rsidRPr="004C567C" w:rsidRDefault="00D408CC" w:rsidP="00D408CC">
      <w:pPr>
        <w:widowControl w:val="0"/>
        <w:jc w:val="both"/>
        <w:rPr>
          <w:rFonts w:ascii="Arial" w:hAnsi="Arial" w:cs="Arial"/>
          <w:b/>
          <w:bCs/>
          <w:snapToGrid w:val="0"/>
          <w:sz w:val="22"/>
          <w:szCs w:val="22"/>
          <w:lang w:eastAsia="en-US"/>
        </w:rPr>
      </w:pPr>
    </w:p>
    <w:p w:rsidR="00D408CC" w:rsidRPr="004C567C" w:rsidRDefault="00D408CC" w:rsidP="0056681A">
      <w:pPr>
        <w:pStyle w:val="Heading1"/>
        <w:rPr>
          <w:snapToGrid w:val="0"/>
          <w:lang w:val="en-GB" w:eastAsia="en-US"/>
        </w:rPr>
      </w:pPr>
      <w:r w:rsidRPr="004C567C">
        <w:rPr>
          <w:snapToGrid w:val="0"/>
          <w:lang w:val="en-GB" w:eastAsia="en-US"/>
        </w:rPr>
        <w:t>Recommended listing</w:t>
      </w:r>
    </w:p>
    <w:p w:rsidR="00D408CC" w:rsidRPr="004C567C" w:rsidRDefault="00D408CC" w:rsidP="00D408CC">
      <w:pPr>
        <w:jc w:val="both"/>
        <w:rPr>
          <w:rFonts w:ascii="Arial" w:hAnsi="Arial" w:cs="Arial"/>
          <w:b/>
          <w:bCs/>
          <w:snapToGrid w:val="0"/>
          <w:sz w:val="22"/>
          <w:szCs w:val="22"/>
          <w:lang w:val="en-GB" w:eastAsia="en-US"/>
        </w:rPr>
      </w:pPr>
    </w:p>
    <w:p w:rsidR="00BE74F3" w:rsidRDefault="00BE74F3" w:rsidP="00F0607A">
      <w:pPr>
        <w:pStyle w:val="ListParagraph"/>
        <w:numPr>
          <w:ilvl w:val="1"/>
          <w:numId w:val="5"/>
        </w:numPr>
        <w:rPr>
          <w:rFonts w:ascii="Arial" w:hAnsi="Arial" w:cs="Arial"/>
          <w:sz w:val="22"/>
          <w:lang w:val="en-GB" w:eastAsia="en-US"/>
        </w:rPr>
      </w:pPr>
      <w:r>
        <w:rPr>
          <w:rFonts w:ascii="Arial" w:hAnsi="Arial" w:cs="Arial"/>
          <w:sz w:val="22"/>
          <w:lang w:val="en-GB" w:eastAsia="en-US"/>
        </w:rPr>
        <w:t>Add new item:</w:t>
      </w:r>
    </w:p>
    <w:p w:rsidR="00BE74F3" w:rsidRDefault="00BE74F3" w:rsidP="0056681A">
      <w:pPr>
        <w:ind w:firstLine="720"/>
        <w:rPr>
          <w:rFonts w:ascii="Arial" w:hAnsi="Arial" w:cs="Arial"/>
          <w:sz w:val="22"/>
          <w:lang w:val="en-GB" w:eastAsia="en-US"/>
        </w:rPr>
      </w:pPr>
      <w:proofErr w:type="gramStart"/>
      <w:r w:rsidRPr="008D2124">
        <w:rPr>
          <w:rFonts w:ascii="Arial" w:hAnsi="Arial" w:cs="Arial"/>
          <w:sz w:val="22"/>
          <w:lang w:val="en-GB" w:eastAsia="en-US"/>
        </w:rPr>
        <w:t>Restriction to be finalised.</w:t>
      </w:r>
      <w:proofErr w:type="gramEnd"/>
    </w:p>
    <w:p w:rsidR="0056681A" w:rsidRPr="008D2124" w:rsidRDefault="0056681A" w:rsidP="0056681A">
      <w:pPr>
        <w:ind w:firstLine="720"/>
        <w:rPr>
          <w:rFonts w:ascii="Arial" w:hAnsi="Arial" w:cs="Arial"/>
          <w:sz w:val="22"/>
          <w:lang w:val="en-GB" w:eastAsia="en-US"/>
        </w:rPr>
      </w:pPr>
    </w:p>
    <w:p w:rsidR="0056681A" w:rsidRPr="00A81C85" w:rsidRDefault="0056681A" w:rsidP="0056681A">
      <w:pPr>
        <w:pStyle w:val="Heading1"/>
      </w:pPr>
      <w:r w:rsidRPr="00A81C85">
        <w:t>Context for Decision</w:t>
      </w:r>
    </w:p>
    <w:p w:rsidR="0056681A" w:rsidRPr="006B3CD8" w:rsidRDefault="0056681A" w:rsidP="0056681A"/>
    <w:p w:rsidR="0056681A" w:rsidRDefault="0056681A" w:rsidP="00C82F19">
      <w:pPr>
        <w:ind w:left="720"/>
        <w:jc w:val="both"/>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6681A" w:rsidRDefault="0056681A" w:rsidP="0056681A">
      <w:pPr>
        <w:ind w:left="720"/>
      </w:pPr>
    </w:p>
    <w:p w:rsidR="0056681A" w:rsidRDefault="0056681A" w:rsidP="0056681A">
      <w:pPr>
        <w:pStyle w:val="Heading1"/>
      </w:pPr>
      <w:r w:rsidRPr="004304F6">
        <w:t>Sponsor’s Comment</w:t>
      </w:r>
    </w:p>
    <w:p w:rsidR="00C82F19" w:rsidRDefault="00C82F19" w:rsidP="00C82F19"/>
    <w:p w:rsidR="00CB128C" w:rsidRDefault="00CB128C" w:rsidP="00CB128C">
      <w:pPr>
        <w:spacing w:after="120"/>
        <w:ind w:left="720"/>
        <w:jc w:val="both"/>
        <w:rPr>
          <w:rFonts w:ascii="Arial" w:hAnsi="Arial" w:cs="Arial"/>
          <w:bCs/>
          <w:sz w:val="22"/>
          <w:lang w:val="en-GB"/>
        </w:rPr>
      </w:pPr>
      <w:r w:rsidRPr="002C7BE7">
        <w:rPr>
          <w:rFonts w:ascii="Arial" w:hAnsi="Arial" w:cs="Arial"/>
          <w:bCs/>
          <w:sz w:val="22"/>
          <w:lang w:val="en-GB"/>
        </w:rPr>
        <w:t xml:space="preserve">Roche welcomes a positive recommendation for </w:t>
      </w:r>
      <w:proofErr w:type="spellStart"/>
      <w:r>
        <w:rPr>
          <w:rFonts w:ascii="Arial" w:hAnsi="Arial" w:cs="Arial"/>
          <w:bCs/>
          <w:sz w:val="22"/>
          <w:lang w:val="en-GB"/>
        </w:rPr>
        <w:t>tocilizumab</w:t>
      </w:r>
      <w:proofErr w:type="spellEnd"/>
      <w:r w:rsidRPr="002C7BE7">
        <w:rPr>
          <w:rFonts w:ascii="Arial" w:hAnsi="Arial" w:cs="Arial"/>
          <w:bCs/>
          <w:sz w:val="22"/>
          <w:lang w:val="en-GB"/>
        </w:rPr>
        <w:t xml:space="preserve"> SC.</w:t>
      </w:r>
      <w:r>
        <w:rPr>
          <w:rFonts w:ascii="Arial" w:hAnsi="Arial" w:cs="Arial"/>
          <w:bCs/>
          <w:sz w:val="22"/>
          <w:lang w:val="en-GB"/>
        </w:rPr>
        <w:t xml:space="preserve"> However, t</w:t>
      </w:r>
      <w:r w:rsidRPr="00F75C3A">
        <w:rPr>
          <w:rFonts w:ascii="Arial" w:hAnsi="Arial" w:cs="Arial"/>
          <w:bCs/>
          <w:sz w:val="22"/>
          <w:lang w:val="en-GB"/>
        </w:rPr>
        <w:t xml:space="preserve">here is a clear distinction between the patient populations that will be prescribed </w:t>
      </w:r>
      <w:proofErr w:type="spellStart"/>
      <w:r>
        <w:rPr>
          <w:rFonts w:ascii="Arial" w:hAnsi="Arial" w:cs="Arial"/>
          <w:bCs/>
          <w:sz w:val="22"/>
          <w:lang w:val="en-GB"/>
        </w:rPr>
        <w:t>tocilizumab</w:t>
      </w:r>
      <w:proofErr w:type="spellEnd"/>
      <w:r>
        <w:rPr>
          <w:rFonts w:ascii="Arial" w:hAnsi="Arial" w:cs="Arial"/>
          <w:bCs/>
          <w:sz w:val="22"/>
          <w:lang w:val="en-GB"/>
        </w:rPr>
        <w:t xml:space="preserve"> </w:t>
      </w:r>
      <w:r w:rsidRPr="00F75C3A">
        <w:rPr>
          <w:rFonts w:ascii="Arial" w:hAnsi="Arial" w:cs="Arial"/>
          <w:bCs/>
          <w:sz w:val="22"/>
          <w:lang w:val="en-GB"/>
        </w:rPr>
        <w:t xml:space="preserve">SC, and as such different comparators to </w:t>
      </w:r>
      <w:proofErr w:type="spellStart"/>
      <w:r>
        <w:rPr>
          <w:rFonts w:ascii="Arial" w:hAnsi="Arial" w:cs="Arial"/>
          <w:bCs/>
          <w:sz w:val="22"/>
          <w:lang w:val="en-GB"/>
        </w:rPr>
        <w:t>tocilizumab</w:t>
      </w:r>
      <w:proofErr w:type="spellEnd"/>
      <w:r w:rsidRPr="00F75C3A">
        <w:rPr>
          <w:rFonts w:ascii="Arial" w:hAnsi="Arial" w:cs="Arial"/>
          <w:bCs/>
          <w:sz w:val="22"/>
          <w:lang w:val="en-GB"/>
        </w:rPr>
        <w:t xml:space="preserve"> are appropriate for these patient groups.</w:t>
      </w:r>
      <w:r>
        <w:rPr>
          <w:rFonts w:ascii="Arial" w:hAnsi="Arial" w:cs="Arial"/>
          <w:bCs/>
          <w:sz w:val="22"/>
          <w:lang w:val="en-GB"/>
        </w:rPr>
        <w:t xml:space="preserve"> </w:t>
      </w:r>
      <w:r w:rsidRPr="002C7BE7">
        <w:rPr>
          <w:rFonts w:ascii="Arial" w:hAnsi="Arial" w:cs="Arial"/>
          <w:bCs/>
          <w:sz w:val="22"/>
          <w:lang w:val="en-GB"/>
        </w:rPr>
        <w:t>Roche does not believe that the PBAC’s choice of</w:t>
      </w:r>
      <w:r>
        <w:rPr>
          <w:rFonts w:ascii="Arial" w:hAnsi="Arial" w:cs="Arial"/>
          <w:bCs/>
          <w:sz w:val="22"/>
          <w:lang w:val="en-GB"/>
        </w:rPr>
        <w:t xml:space="preserve"> </w:t>
      </w:r>
      <w:r w:rsidRPr="002C7BE7">
        <w:rPr>
          <w:rFonts w:ascii="Arial" w:hAnsi="Arial" w:cs="Arial"/>
          <w:bCs/>
          <w:sz w:val="22"/>
          <w:lang w:val="en-GB"/>
        </w:rPr>
        <w:t xml:space="preserve">comparator for </w:t>
      </w:r>
      <w:proofErr w:type="spellStart"/>
      <w:r>
        <w:rPr>
          <w:rFonts w:ascii="Arial" w:hAnsi="Arial" w:cs="Arial"/>
          <w:bCs/>
          <w:sz w:val="22"/>
          <w:lang w:val="en-GB"/>
        </w:rPr>
        <w:t>tocilizumab</w:t>
      </w:r>
      <w:proofErr w:type="spellEnd"/>
      <w:r w:rsidRPr="002C7BE7" w:rsidDel="00AA1A58">
        <w:rPr>
          <w:rFonts w:ascii="Arial" w:hAnsi="Arial" w:cs="Arial"/>
          <w:bCs/>
          <w:sz w:val="22"/>
          <w:lang w:val="en-GB"/>
        </w:rPr>
        <w:t xml:space="preserve"> </w:t>
      </w:r>
      <w:r w:rsidRPr="002C7BE7">
        <w:rPr>
          <w:rFonts w:ascii="Arial" w:hAnsi="Arial" w:cs="Arial"/>
          <w:bCs/>
          <w:sz w:val="22"/>
          <w:lang w:val="en-GB"/>
        </w:rPr>
        <w:t xml:space="preserve">(infliximab, as the lowest cost </w:t>
      </w:r>
      <w:proofErr w:type="spellStart"/>
      <w:r w:rsidRPr="002C7BE7">
        <w:rPr>
          <w:rFonts w:ascii="Arial" w:hAnsi="Arial" w:cs="Arial"/>
          <w:bCs/>
          <w:sz w:val="22"/>
          <w:lang w:val="en-GB"/>
        </w:rPr>
        <w:t>bDMARD</w:t>
      </w:r>
      <w:proofErr w:type="spellEnd"/>
      <w:r w:rsidRPr="002C7BE7">
        <w:rPr>
          <w:rFonts w:ascii="Arial" w:hAnsi="Arial" w:cs="Arial"/>
          <w:bCs/>
          <w:sz w:val="22"/>
          <w:lang w:val="en-GB"/>
        </w:rPr>
        <w:t xml:space="preserve">) is aligned with clinical practice, previous PBAC decisions regarding the </w:t>
      </w:r>
      <w:proofErr w:type="spellStart"/>
      <w:r w:rsidRPr="002C7BE7">
        <w:rPr>
          <w:rFonts w:ascii="Arial" w:hAnsi="Arial" w:cs="Arial"/>
          <w:bCs/>
          <w:sz w:val="22"/>
          <w:lang w:val="en-GB"/>
        </w:rPr>
        <w:t>bDMARDs</w:t>
      </w:r>
      <w:proofErr w:type="spellEnd"/>
      <w:r w:rsidRPr="002C7BE7">
        <w:rPr>
          <w:rFonts w:ascii="Arial" w:hAnsi="Arial" w:cs="Arial"/>
          <w:bCs/>
          <w:sz w:val="22"/>
          <w:lang w:val="en-GB"/>
        </w:rPr>
        <w:t xml:space="preserve"> in rheumatoid arthritis, nor the existing or in-development versions of the PBAC guidelines.</w:t>
      </w:r>
    </w:p>
    <w:p w:rsidR="00CB128C" w:rsidRDefault="00CB128C" w:rsidP="00CB128C">
      <w:pPr>
        <w:spacing w:after="120"/>
        <w:ind w:left="720"/>
        <w:jc w:val="both"/>
        <w:rPr>
          <w:rFonts w:ascii="Arial" w:hAnsi="Arial" w:cs="Arial"/>
          <w:bCs/>
          <w:sz w:val="22"/>
          <w:lang w:val="en-GB"/>
        </w:rPr>
      </w:pPr>
    </w:p>
    <w:p w:rsidR="00CB128C" w:rsidRDefault="00CB128C" w:rsidP="00CB128C">
      <w:pPr>
        <w:spacing w:after="120"/>
        <w:ind w:left="720"/>
        <w:jc w:val="both"/>
        <w:rPr>
          <w:rFonts w:ascii="Arial" w:hAnsi="Arial" w:cs="Arial"/>
          <w:bCs/>
          <w:sz w:val="22"/>
          <w:lang w:val="en-GB"/>
        </w:rPr>
      </w:pPr>
      <w:r w:rsidRPr="00F75C3A">
        <w:rPr>
          <w:rFonts w:ascii="Arial" w:hAnsi="Arial" w:cs="Arial"/>
          <w:bCs/>
          <w:sz w:val="22"/>
          <w:lang w:val="en-GB"/>
        </w:rPr>
        <w:t xml:space="preserve">Roche is committed to working with the PBAC to achieve a PBS listing for </w:t>
      </w:r>
      <w:proofErr w:type="spellStart"/>
      <w:r>
        <w:rPr>
          <w:rFonts w:ascii="Arial" w:hAnsi="Arial" w:cs="Arial"/>
          <w:bCs/>
          <w:sz w:val="22"/>
          <w:lang w:val="en-GB"/>
        </w:rPr>
        <w:t>tocilizumab</w:t>
      </w:r>
      <w:proofErr w:type="spellEnd"/>
      <w:r>
        <w:rPr>
          <w:rFonts w:ascii="Arial" w:hAnsi="Arial" w:cs="Arial"/>
          <w:bCs/>
          <w:sz w:val="22"/>
          <w:lang w:val="en-GB"/>
        </w:rPr>
        <w:t xml:space="preserve"> SC in patients with </w:t>
      </w:r>
      <w:r w:rsidRPr="00F75C3A">
        <w:rPr>
          <w:rFonts w:ascii="Arial" w:hAnsi="Arial" w:cs="Arial"/>
          <w:bCs/>
          <w:sz w:val="22"/>
          <w:lang w:val="en-GB"/>
        </w:rPr>
        <w:t>severe active RA at the earliest opportunity.</w:t>
      </w:r>
    </w:p>
    <w:p w:rsidR="00BE74F3" w:rsidRDefault="00BE74F3" w:rsidP="00BE74F3"/>
    <w:p w:rsidR="0091324F" w:rsidRDefault="0091324F" w:rsidP="00BE74F3">
      <w:pPr>
        <w:rPr>
          <w:rFonts w:ascii="Arial" w:hAnsi="Arial" w:cs="Arial"/>
          <w:sz w:val="22"/>
          <w:lang w:val="en-GB" w:eastAsia="en-US"/>
        </w:rPr>
      </w:pPr>
      <w:bookmarkStart w:id="5" w:name="_GoBack"/>
      <w:bookmarkEnd w:id="5"/>
    </w:p>
    <w:sectPr w:rsidR="0091324F" w:rsidSect="00844E55">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5D4" w:rsidRDefault="003E25D4" w:rsidP="00431B81">
      <w:r>
        <w:separator/>
      </w:r>
    </w:p>
  </w:endnote>
  <w:endnote w:type="continuationSeparator" w:id="0">
    <w:p w:rsidR="003E25D4" w:rsidRDefault="003E25D4" w:rsidP="0043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D2124" w:rsidTr="00844E55">
      <w:trPr>
        <w:trHeight w:val="151"/>
      </w:trPr>
      <w:tc>
        <w:tcPr>
          <w:tcW w:w="2250" w:type="pct"/>
          <w:tcBorders>
            <w:top w:val="nil"/>
            <w:left w:val="nil"/>
            <w:bottom w:val="single" w:sz="4" w:space="0" w:color="4F81BD"/>
            <w:right w:val="nil"/>
          </w:tcBorders>
        </w:tcPr>
        <w:p w:rsidR="008D2124" w:rsidRPr="005A3173" w:rsidRDefault="008D2124" w:rsidP="00844E55">
          <w:pPr>
            <w:pStyle w:val="Header"/>
            <w:spacing w:line="276" w:lineRule="auto"/>
            <w:rPr>
              <w:rFonts w:ascii="Calibri" w:eastAsia="MS Gothic" w:hAnsi="Calibri"/>
              <w:b/>
              <w:bCs/>
              <w:color w:val="4F81BD"/>
            </w:rPr>
          </w:pPr>
        </w:p>
      </w:tc>
      <w:tc>
        <w:tcPr>
          <w:tcW w:w="500" w:type="pct"/>
          <w:vMerge w:val="restart"/>
          <w:noWrap/>
          <w:vAlign w:val="center"/>
          <w:hideMark/>
        </w:tcPr>
        <w:p w:rsidR="008D2124" w:rsidRPr="005A3173" w:rsidRDefault="008D2124" w:rsidP="00844E55">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D2124" w:rsidRPr="005A3173" w:rsidRDefault="008D2124" w:rsidP="00844E55">
          <w:pPr>
            <w:pStyle w:val="Header"/>
            <w:spacing w:line="276" w:lineRule="auto"/>
            <w:rPr>
              <w:rFonts w:ascii="Calibri" w:eastAsia="MS Gothic" w:hAnsi="Calibri"/>
              <w:b/>
              <w:bCs/>
              <w:color w:val="4F81BD"/>
            </w:rPr>
          </w:pPr>
        </w:p>
      </w:tc>
    </w:tr>
    <w:tr w:rsidR="008D2124" w:rsidTr="00844E55">
      <w:trPr>
        <w:trHeight w:val="150"/>
      </w:trPr>
      <w:tc>
        <w:tcPr>
          <w:tcW w:w="2250" w:type="pct"/>
          <w:tcBorders>
            <w:top w:val="single" w:sz="4" w:space="0" w:color="4F81BD"/>
            <w:left w:val="nil"/>
            <w:bottom w:val="nil"/>
            <w:right w:val="nil"/>
          </w:tcBorders>
        </w:tcPr>
        <w:p w:rsidR="008D2124" w:rsidRPr="005A3173" w:rsidRDefault="008D2124" w:rsidP="00844E55">
          <w:pPr>
            <w:pStyle w:val="Header"/>
            <w:spacing w:line="276" w:lineRule="auto"/>
            <w:rPr>
              <w:rFonts w:ascii="Calibri" w:eastAsia="MS Gothic" w:hAnsi="Calibri"/>
              <w:b/>
              <w:bCs/>
              <w:color w:val="4F81BD"/>
            </w:rPr>
          </w:pPr>
        </w:p>
      </w:tc>
      <w:tc>
        <w:tcPr>
          <w:tcW w:w="0" w:type="auto"/>
          <w:vMerge/>
          <w:vAlign w:val="center"/>
          <w:hideMark/>
        </w:tcPr>
        <w:p w:rsidR="008D2124" w:rsidRPr="005A3173" w:rsidRDefault="008D2124" w:rsidP="00844E55">
          <w:pPr>
            <w:rPr>
              <w:rFonts w:ascii="Calibri" w:hAnsi="Calibri"/>
              <w:color w:val="365F91"/>
              <w:sz w:val="22"/>
              <w:szCs w:val="22"/>
            </w:rPr>
          </w:pPr>
        </w:p>
      </w:tc>
      <w:tc>
        <w:tcPr>
          <w:tcW w:w="2250" w:type="pct"/>
          <w:tcBorders>
            <w:top w:val="single" w:sz="4" w:space="0" w:color="4F81BD"/>
            <w:left w:val="nil"/>
            <w:bottom w:val="nil"/>
            <w:right w:val="nil"/>
          </w:tcBorders>
        </w:tcPr>
        <w:p w:rsidR="008D2124" w:rsidRPr="005A3173" w:rsidRDefault="008D2124" w:rsidP="00844E55">
          <w:pPr>
            <w:pStyle w:val="Header"/>
            <w:spacing w:line="276" w:lineRule="auto"/>
            <w:rPr>
              <w:rFonts w:ascii="Calibri" w:eastAsia="MS Gothic" w:hAnsi="Calibri"/>
              <w:b/>
              <w:bCs/>
              <w:color w:val="4F81BD"/>
            </w:rPr>
          </w:pPr>
        </w:p>
      </w:tc>
    </w:tr>
  </w:tbl>
  <w:p w:rsidR="008D2124" w:rsidRDefault="008D2124" w:rsidP="00844E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2124" w:rsidRDefault="008D2124">
    <w:pPr>
      <w:pStyle w:val="Footer"/>
    </w:pPr>
  </w:p>
  <w:p w:rsidR="008D2124" w:rsidRDefault="008D21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413578"/>
      <w:docPartObj>
        <w:docPartGallery w:val="Page Numbers (Bottom of Page)"/>
        <w:docPartUnique/>
      </w:docPartObj>
    </w:sdtPr>
    <w:sdtEndPr>
      <w:rPr>
        <w:rFonts w:ascii="Arial" w:hAnsi="Arial" w:cs="Arial"/>
        <w:noProof/>
        <w:sz w:val="20"/>
        <w:szCs w:val="20"/>
      </w:rPr>
    </w:sdtEndPr>
    <w:sdtContent>
      <w:p w:rsidR="00A2325C" w:rsidRDefault="00A2325C" w:rsidP="00A2325C">
        <w:pPr>
          <w:pStyle w:val="Footer"/>
          <w:jc w:val="center"/>
        </w:pPr>
      </w:p>
      <w:p w:rsidR="008D2124" w:rsidRPr="00E33BA3" w:rsidRDefault="008D2124" w:rsidP="00A2325C">
        <w:pPr>
          <w:pStyle w:val="Footer"/>
          <w:jc w:val="center"/>
          <w:rPr>
            <w:rFonts w:ascii="Arial" w:hAnsi="Arial" w:cs="Arial"/>
            <w:sz w:val="20"/>
            <w:szCs w:val="20"/>
          </w:rPr>
        </w:pPr>
        <w:r w:rsidRPr="00E33BA3">
          <w:rPr>
            <w:rFonts w:ascii="Arial" w:hAnsi="Arial" w:cs="Arial"/>
            <w:sz w:val="20"/>
            <w:szCs w:val="20"/>
          </w:rPr>
          <w:fldChar w:fldCharType="begin"/>
        </w:r>
        <w:r w:rsidRPr="00E33BA3">
          <w:rPr>
            <w:rFonts w:ascii="Arial" w:hAnsi="Arial" w:cs="Arial"/>
            <w:sz w:val="20"/>
            <w:szCs w:val="20"/>
          </w:rPr>
          <w:instrText xml:space="preserve"> PAGE   \* MERGEFORMAT </w:instrText>
        </w:r>
        <w:r w:rsidRPr="00E33BA3">
          <w:rPr>
            <w:rFonts w:ascii="Arial" w:hAnsi="Arial" w:cs="Arial"/>
            <w:sz w:val="20"/>
            <w:szCs w:val="20"/>
          </w:rPr>
          <w:fldChar w:fldCharType="separate"/>
        </w:r>
        <w:r w:rsidR="001310B4">
          <w:rPr>
            <w:rFonts w:ascii="Arial" w:hAnsi="Arial" w:cs="Arial"/>
            <w:noProof/>
            <w:sz w:val="20"/>
            <w:szCs w:val="20"/>
          </w:rPr>
          <w:t>7</w:t>
        </w:r>
        <w:r w:rsidRPr="00E33BA3">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8D2124" w:rsidTr="00844E55">
      <w:trPr>
        <w:trHeight w:val="151"/>
      </w:trPr>
      <w:tc>
        <w:tcPr>
          <w:tcW w:w="2250" w:type="pct"/>
          <w:tcBorders>
            <w:top w:val="nil"/>
            <w:left w:val="nil"/>
            <w:bottom w:val="single" w:sz="4" w:space="0" w:color="4F81BD"/>
            <w:right w:val="nil"/>
          </w:tcBorders>
        </w:tcPr>
        <w:p w:rsidR="008D2124" w:rsidRPr="005A3173" w:rsidRDefault="008D2124" w:rsidP="00844E55">
          <w:pPr>
            <w:pStyle w:val="Header"/>
            <w:spacing w:line="276" w:lineRule="auto"/>
            <w:rPr>
              <w:rFonts w:ascii="Calibri" w:eastAsia="MS Gothic" w:hAnsi="Calibri"/>
              <w:b/>
              <w:bCs/>
              <w:color w:val="4F81BD"/>
            </w:rPr>
          </w:pPr>
        </w:p>
      </w:tc>
      <w:tc>
        <w:tcPr>
          <w:tcW w:w="500" w:type="pct"/>
          <w:vMerge w:val="restart"/>
          <w:noWrap/>
          <w:vAlign w:val="center"/>
          <w:hideMark/>
        </w:tcPr>
        <w:p w:rsidR="008D2124" w:rsidRPr="005A3173" w:rsidRDefault="008D2124" w:rsidP="00844E55">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D2124" w:rsidRPr="005A3173" w:rsidRDefault="008D2124" w:rsidP="00844E55">
          <w:pPr>
            <w:pStyle w:val="Header"/>
            <w:spacing w:line="276" w:lineRule="auto"/>
            <w:rPr>
              <w:rFonts w:ascii="Calibri" w:eastAsia="MS Gothic" w:hAnsi="Calibri"/>
              <w:b/>
              <w:bCs/>
              <w:color w:val="4F81BD"/>
            </w:rPr>
          </w:pPr>
        </w:p>
      </w:tc>
    </w:tr>
    <w:tr w:rsidR="008D2124" w:rsidTr="00844E55">
      <w:trPr>
        <w:trHeight w:val="150"/>
      </w:trPr>
      <w:tc>
        <w:tcPr>
          <w:tcW w:w="2250" w:type="pct"/>
          <w:tcBorders>
            <w:top w:val="single" w:sz="4" w:space="0" w:color="4F81BD"/>
            <w:left w:val="nil"/>
            <w:bottom w:val="nil"/>
            <w:right w:val="nil"/>
          </w:tcBorders>
        </w:tcPr>
        <w:p w:rsidR="008D2124" w:rsidRPr="005A3173" w:rsidRDefault="008D2124" w:rsidP="00844E55">
          <w:pPr>
            <w:pStyle w:val="Header"/>
            <w:spacing w:line="276" w:lineRule="auto"/>
            <w:rPr>
              <w:rFonts w:ascii="Calibri" w:eastAsia="MS Gothic" w:hAnsi="Calibri"/>
              <w:b/>
              <w:bCs/>
              <w:color w:val="4F81BD"/>
            </w:rPr>
          </w:pPr>
        </w:p>
      </w:tc>
      <w:tc>
        <w:tcPr>
          <w:tcW w:w="0" w:type="auto"/>
          <w:vMerge/>
          <w:vAlign w:val="center"/>
          <w:hideMark/>
        </w:tcPr>
        <w:p w:rsidR="008D2124" w:rsidRPr="005A3173" w:rsidRDefault="008D2124" w:rsidP="00844E55">
          <w:pPr>
            <w:rPr>
              <w:rFonts w:ascii="Calibri" w:hAnsi="Calibri"/>
              <w:color w:val="365F91"/>
              <w:sz w:val="22"/>
              <w:szCs w:val="22"/>
            </w:rPr>
          </w:pPr>
        </w:p>
      </w:tc>
      <w:tc>
        <w:tcPr>
          <w:tcW w:w="2250" w:type="pct"/>
          <w:tcBorders>
            <w:top w:val="single" w:sz="4" w:space="0" w:color="4F81BD"/>
            <w:left w:val="nil"/>
            <w:bottom w:val="nil"/>
            <w:right w:val="nil"/>
          </w:tcBorders>
        </w:tcPr>
        <w:p w:rsidR="008D2124" w:rsidRPr="005A3173" w:rsidRDefault="008D2124" w:rsidP="00844E55">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D2124" w:rsidTr="00844E55">
      <w:trPr>
        <w:trHeight w:val="151"/>
      </w:trPr>
      <w:tc>
        <w:tcPr>
          <w:tcW w:w="2250" w:type="pct"/>
          <w:tcBorders>
            <w:top w:val="nil"/>
            <w:left w:val="nil"/>
            <w:bottom w:val="single" w:sz="4" w:space="0" w:color="4F81BD"/>
            <w:right w:val="nil"/>
          </w:tcBorders>
        </w:tcPr>
        <w:p w:rsidR="008D2124" w:rsidRPr="005A3173" w:rsidRDefault="008D2124" w:rsidP="00844E55">
          <w:pPr>
            <w:pStyle w:val="Header"/>
            <w:spacing w:line="276" w:lineRule="auto"/>
            <w:rPr>
              <w:rFonts w:ascii="Calibri" w:eastAsia="MS Gothic" w:hAnsi="Calibri"/>
              <w:b/>
              <w:bCs/>
              <w:color w:val="4F81BD"/>
            </w:rPr>
          </w:pPr>
        </w:p>
      </w:tc>
      <w:tc>
        <w:tcPr>
          <w:tcW w:w="500" w:type="pct"/>
          <w:vMerge w:val="restart"/>
          <w:noWrap/>
          <w:vAlign w:val="center"/>
          <w:hideMark/>
        </w:tcPr>
        <w:p w:rsidR="008D2124" w:rsidRPr="005A3173" w:rsidRDefault="008D2124" w:rsidP="00844E55">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D2124" w:rsidRPr="005A3173" w:rsidRDefault="008D2124" w:rsidP="00844E55">
          <w:pPr>
            <w:pStyle w:val="Header"/>
            <w:spacing w:line="276" w:lineRule="auto"/>
            <w:rPr>
              <w:rFonts w:ascii="Calibri" w:eastAsia="MS Gothic" w:hAnsi="Calibri"/>
              <w:b/>
              <w:bCs/>
              <w:color w:val="4F81BD"/>
            </w:rPr>
          </w:pPr>
        </w:p>
      </w:tc>
    </w:tr>
    <w:tr w:rsidR="008D2124" w:rsidTr="00844E55">
      <w:trPr>
        <w:trHeight w:val="150"/>
      </w:trPr>
      <w:tc>
        <w:tcPr>
          <w:tcW w:w="2250" w:type="pct"/>
          <w:tcBorders>
            <w:top w:val="single" w:sz="4" w:space="0" w:color="4F81BD"/>
            <w:left w:val="nil"/>
            <w:bottom w:val="nil"/>
            <w:right w:val="nil"/>
          </w:tcBorders>
        </w:tcPr>
        <w:p w:rsidR="008D2124" w:rsidRPr="005A3173" w:rsidRDefault="008D2124" w:rsidP="00844E55">
          <w:pPr>
            <w:pStyle w:val="Header"/>
            <w:spacing w:line="276" w:lineRule="auto"/>
            <w:rPr>
              <w:rFonts w:ascii="Calibri" w:eastAsia="MS Gothic" w:hAnsi="Calibri"/>
              <w:b/>
              <w:bCs/>
              <w:color w:val="4F81BD"/>
            </w:rPr>
          </w:pPr>
        </w:p>
      </w:tc>
      <w:tc>
        <w:tcPr>
          <w:tcW w:w="0" w:type="auto"/>
          <w:vMerge/>
          <w:vAlign w:val="center"/>
          <w:hideMark/>
        </w:tcPr>
        <w:p w:rsidR="008D2124" w:rsidRPr="005A3173" w:rsidRDefault="008D2124" w:rsidP="00844E55">
          <w:pPr>
            <w:rPr>
              <w:rFonts w:ascii="Calibri" w:hAnsi="Calibri"/>
              <w:color w:val="365F91"/>
              <w:sz w:val="22"/>
              <w:szCs w:val="22"/>
            </w:rPr>
          </w:pPr>
        </w:p>
      </w:tc>
      <w:tc>
        <w:tcPr>
          <w:tcW w:w="2250" w:type="pct"/>
          <w:tcBorders>
            <w:top w:val="single" w:sz="4" w:space="0" w:color="4F81BD"/>
            <w:left w:val="nil"/>
            <w:bottom w:val="nil"/>
            <w:right w:val="nil"/>
          </w:tcBorders>
        </w:tcPr>
        <w:p w:rsidR="008D2124" w:rsidRPr="005A3173" w:rsidRDefault="008D2124" w:rsidP="00844E55">
          <w:pPr>
            <w:pStyle w:val="Header"/>
            <w:spacing w:line="276" w:lineRule="auto"/>
            <w:rPr>
              <w:rFonts w:ascii="Calibri" w:eastAsia="MS Gothic" w:hAnsi="Calibri"/>
              <w:b/>
              <w:bCs/>
              <w:color w:val="4F81BD"/>
            </w:rPr>
          </w:pPr>
        </w:p>
      </w:tc>
    </w:tr>
  </w:tbl>
  <w:p w:rsidR="008D2124" w:rsidRPr="007C0F57" w:rsidRDefault="008D2124" w:rsidP="00844E55">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8D2124" w:rsidRPr="007C0F57" w:rsidRDefault="008D2124" w:rsidP="00844E55">
    <w:pPr>
      <w:pStyle w:val="Footer"/>
      <w:jc w:val="center"/>
      <w:rPr>
        <w:b/>
        <w:i/>
        <w:sz w:val="20"/>
        <w:szCs w:val="20"/>
      </w:rPr>
    </w:pPr>
    <w:r w:rsidRPr="007C0F57">
      <w:rPr>
        <w:b/>
        <w:i/>
        <w:sz w:val="20"/>
        <w:szCs w:val="20"/>
      </w:rPr>
      <w:t>Commercial-in-Confidence</w:t>
    </w:r>
  </w:p>
  <w:p w:rsidR="008D2124" w:rsidRDefault="008D21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5D4" w:rsidRDefault="003E25D4" w:rsidP="00431B81">
      <w:r>
        <w:separator/>
      </w:r>
    </w:p>
  </w:footnote>
  <w:footnote w:type="continuationSeparator" w:id="0">
    <w:p w:rsidR="003E25D4" w:rsidRDefault="003E25D4" w:rsidP="00431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8D2124" w:rsidRPr="008E0D90" w:rsidTr="00844E55">
      <w:trPr>
        <w:trHeight w:val="151"/>
      </w:trPr>
      <w:tc>
        <w:tcPr>
          <w:tcW w:w="2389" w:type="pct"/>
          <w:tcBorders>
            <w:top w:val="nil"/>
            <w:left w:val="nil"/>
            <w:bottom w:val="single" w:sz="4" w:space="0" w:color="4F81BD"/>
            <w:right w:val="nil"/>
          </w:tcBorders>
        </w:tcPr>
        <w:p w:rsidR="008D2124" w:rsidRPr="00A06225" w:rsidRDefault="008D2124">
          <w:pPr>
            <w:pStyle w:val="Header"/>
            <w:spacing w:line="276" w:lineRule="auto"/>
            <w:rPr>
              <w:rFonts w:ascii="Cambria" w:eastAsia="MS Gothic" w:hAnsi="Cambria"/>
              <w:b/>
              <w:bCs/>
              <w:color w:val="4F81BD"/>
            </w:rPr>
          </w:pPr>
        </w:p>
      </w:tc>
      <w:tc>
        <w:tcPr>
          <w:tcW w:w="333" w:type="pct"/>
          <w:vMerge w:val="restart"/>
          <w:noWrap/>
          <w:vAlign w:val="center"/>
          <w:hideMark/>
        </w:tcPr>
        <w:p w:rsidR="008D2124" w:rsidRPr="00A06225" w:rsidRDefault="008D2124" w:rsidP="00844E5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D2124" w:rsidRPr="00A06225" w:rsidRDefault="008D2124">
          <w:pPr>
            <w:pStyle w:val="Header"/>
            <w:spacing w:line="276" w:lineRule="auto"/>
            <w:rPr>
              <w:rFonts w:ascii="Cambria" w:eastAsia="MS Gothic" w:hAnsi="Cambria"/>
              <w:b/>
              <w:bCs/>
              <w:color w:val="4F81BD"/>
            </w:rPr>
          </w:pPr>
        </w:p>
      </w:tc>
    </w:tr>
    <w:tr w:rsidR="008D2124" w:rsidRPr="008E0D90" w:rsidTr="00844E55">
      <w:trPr>
        <w:trHeight w:val="150"/>
      </w:trPr>
      <w:tc>
        <w:tcPr>
          <w:tcW w:w="2389" w:type="pct"/>
          <w:tcBorders>
            <w:top w:val="single" w:sz="4" w:space="0" w:color="4F81BD"/>
            <w:left w:val="nil"/>
            <w:bottom w:val="nil"/>
            <w:right w:val="nil"/>
          </w:tcBorders>
        </w:tcPr>
        <w:p w:rsidR="008D2124" w:rsidRPr="00A06225" w:rsidRDefault="008D2124">
          <w:pPr>
            <w:pStyle w:val="Header"/>
            <w:spacing w:line="276" w:lineRule="auto"/>
            <w:rPr>
              <w:rFonts w:ascii="Cambria" w:eastAsia="MS Gothic" w:hAnsi="Cambria"/>
              <w:b/>
              <w:bCs/>
              <w:color w:val="4F81BD"/>
            </w:rPr>
          </w:pPr>
        </w:p>
      </w:tc>
      <w:tc>
        <w:tcPr>
          <w:tcW w:w="0" w:type="auto"/>
          <w:vMerge/>
          <w:vAlign w:val="center"/>
          <w:hideMark/>
        </w:tcPr>
        <w:p w:rsidR="008D2124" w:rsidRPr="00A06225" w:rsidRDefault="008D2124">
          <w:pPr>
            <w:rPr>
              <w:rFonts w:ascii="Cambria" w:hAnsi="Cambria"/>
              <w:color w:val="4F81BD"/>
              <w:sz w:val="22"/>
              <w:szCs w:val="22"/>
            </w:rPr>
          </w:pPr>
        </w:p>
      </w:tc>
      <w:tc>
        <w:tcPr>
          <w:tcW w:w="2278" w:type="pct"/>
          <w:tcBorders>
            <w:top w:val="single" w:sz="4" w:space="0" w:color="4F81BD"/>
            <w:left w:val="nil"/>
            <w:bottom w:val="nil"/>
            <w:right w:val="nil"/>
          </w:tcBorders>
        </w:tcPr>
        <w:p w:rsidR="008D2124" w:rsidRPr="00A06225" w:rsidRDefault="008D2124">
          <w:pPr>
            <w:pStyle w:val="Header"/>
            <w:spacing w:line="276" w:lineRule="auto"/>
            <w:rPr>
              <w:rFonts w:ascii="Cambria" w:eastAsia="MS Gothic" w:hAnsi="Cambria"/>
              <w:b/>
              <w:bCs/>
              <w:color w:val="4F81BD"/>
            </w:rPr>
          </w:pPr>
        </w:p>
      </w:tc>
    </w:tr>
  </w:tbl>
  <w:p w:rsidR="008D2124" w:rsidRDefault="008D2124">
    <w:pPr>
      <w:pStyle w:val="Header"/>
    </w:pPr>
  </w:p>
  <w:p w:rsidR="008D2124" w:rsidRDefault="008D21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1A" w:rsidRPr="00150152" w:rsidRDefault="0056681A" w:rsidP="0056681A">
    <w:pPr>
      <w:pStyle w:val="Header"/>
      <w:ind w:left="360"/>
      <w:jc w:val="center"/>
      <w:rPr>
        <w:rFonts w:ascii="Arial" w:hAnsi="Arial" w:cs="Arial"/>
        <w:i/>
        <w:color w:val="808080"/>
        <w:sz w:val="22"/>
      </w:rPr>
    </w:pPr>
    <w:r>
      <w:rPr>
        <w:rFonts w:ascii="Arial" w:hAnsi="Arial" w:cs="Arial"/>
        <w:i/>
        <w:color w:val="808080"/>
        <w:sz w:val="22"/>
      </w:rPr>
      <w:t>Public Summary Document –</w:t>
    </w:r>
    <w:r w:rsidRPr="00DF217D">
      <w:rPr>
        <w:rFonts w:ascii="Arial" w:hAnsi="Arial" w:cs="Arial"/>
        <w:i/>
        <w:color w:val="808080"/>
        <w:sz w:val="22"/>
      </w:rPr>
      <w:t xml:space="preserve"> </w:t>
    </w:r>
    <w:r>
      <w:rPr>
        <w:rFonts w:ascii="Arial" w:hAnsi="Arial" w:cs="Arial"/>
        <w:i/>
        <w:color w:val="808080"/>
        <w:sz w:val="22"/>
      </w:rPr>
      <w:t xml:space="preserve">March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8D2124" w:rsidRDefault="008D2124" w:rsidP="00844E55">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5D4" w:rsidRDefault="003E25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B90174"/>
    <w:multiLevelType w:val="hybridMultilevel"/>
    <w:tmpl w:val="0BE819B6"/>
    <w:lvl w:ilvl="0" w:tplc="0C090001">
      <w:start w:val="1"/>
      <w:numFmt w:val="bullet"/>
      <w:lvlText w:val=""/>
      <w:lvlJc w:val="left"/>
      <w:pPr>
        <w:ind w:left="720" w:hanging="360"/>
      </w:pPr>
      <w:rPr>
        <w:rFonts w:ascii="Symbol" w:hAnsi="Symbol" w:hint="default"/>
      </w:rPr>
    </w:lvl>
    <w:lvl w:ilvl="1" w:tplc="7854B196">
      <w:start w:val="1"/>
      <w:numFmt w:val="bullet"/>
      <w:lvlText w:val="-"/>
      <w:lvlJc w:val="left"/>
      <w:pPr>
        <w:ind w:left="1440" w:hanging="360"/>
      </w:pPr>
      <w:rPr>
        <w:rFonts w:ascii="Arial Narrow" w:eastAsia="Times New Roman" w:hAnsi="Arial Narro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917E61"/>
    <w:multiLevelType w:val="hybridMultilevel"/>
    <w:tmpl w:val="56902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5EC51CD"/>
    <w:multiLevelType w:val="hybridMultilevel"/>
    <w:tmpl w:val="F2D2F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9E4F1C"/>
    <w:multiLevelType w:val="hybridMultilevel"/>
    <w:tmpl w:val="7AA80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7E84451"/>
    <w:multiLevelType w:val="hybridMultilevel"/>
    <w:tmpl w:val="484C1C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4D033C"/>
    <w:multiLevelType w:val="multilevel"/>
    <w:tmpl w:val="ED40697A"/>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
  </w:num>
  <w:num w:numId="3">
    <w:abstractNumId w:val="5"/>
  </w:num>
  <w:num w:numId="4">
    <w:abstractNumId w:val="17"/>
  </w:num>
  <w:num w:numId="5">
    <w:abstractNumId w:val="19"/>
  </w:num>
  <w:num w:numId="6">
    <w:abstractNumId w:val="6"/>
  </w:num>
  <w:num w:numId="7">
    <w:abstractNumId w:val="14"/>
  </w:num>
  <w:num w:numId="8">
    <w:abstractNumId w:val="2"/>
  </w:num>
  <w:num w:numId="9">
    <w:abstractNumId w:val="12"/>
  </w:num>
  <w:num w:numId="10">
    <w:abstractNumId w:val="11"/>
  </w:num>
  <w:num w:numId="11">
    <w:abstractNumId w:val="10"/>
  </w:num>
  <w:num w:numId="12">
    <w:abstractNumId w:val="16"/>
  </w:num>
  <w:num w:numId="13">
    <w:abstractNumId w:val="18"/>
  </w:num>
  <w:num w:numId="14">
    <w:abstractNumId w:val="3"/>
  </w:num>
  <w:num w:numId="15">
    <w:abstractNumId w:val="0"/>
  </w:num>
  <w:num w:numId="16">
    <w:abstractNumId w:val="9"/>
  </w:num>
  <w:num w:numId="17">
    <w:abstractNumId w:val="4"/>
  </w:num>
  <w:num w:numId="18">
    <w:abstractNumId w:val="13"/>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020"/>
    <w:rsid w:val="00003743"/>
    <w:rsid w:val="000053D4"/>
    <w:rsid w:val="00020321"/>
    <w:rsid w:val="00035968"/>
    <w:rsid w:val="00056F3F"/>
    <w:rsid w:val="00066FA0"/>
    <w:rsid w:val="00067456"/>
    <w:rsid w:val="00070517"/>
    <w:rsid w:val="00071F07"/>
    <w:rsid w:val="000773B8"/>
    <w:rsid w:val="000B23E8"/>
    <w:rsid w:val="000B4352"/>
    <w:rsid w:val="000C00E2"/>
    <w:rsid w:val="000C2C84"/>
    <w:rsid w:val="000E4FA0"/>
    <w:rsid w:val="00100F32"/>
    <w:rsid w:val="001310B4"/>
    <w:rsid w:val="00165CE8"/>
    <w:rsid w:val="00183AFB"/>
    <w:rsid w:val="001847BB"/>
    <w:rsid w:val="0019006D"/>
    <w:rsid w:val="001A739B"/>
    <w:rsid w:val="001B3443"/>
    <w:rsid w:val="001F698A"/>
    <w:rsid w:val="001F7380"/>
    <w:rsid w:val="0021220A"/>
    <w:rsid w:val="00232482"/>
    <w:rsid w:val="002C20C3"/>
    <w:rsid w:val="002D0851"/>
    <w:rsid w:val="002D4138"/>
    <w:rsid w:val="002E6587"/>
    <w:rsid w:val="002E74DB"/>
    <w:rsid w:val="002F2E0E"/>
    <w:rsid w:val="002F5E26"/>
    <w:rsid w:val="002F74F1"/>
    <w:rsid w:val="00300157"/>
    <w:rsid w:val="003027CD"/>
    <w:rsid w:val="0030786C"/>
    <w:rsid w:val="003113C7"/>
    <w:rsid w:val="00312883"/>
    <w:rsid w:val="00314E9D"/>
    <w:rsid w:val="00321627"/>
    <w:rsid w:val="00347245"/>
    <w:rsid w:val="003762A0"/>
    <w:rsid w:val="003D17F9"/>
    <w:rsid w:val="003D7804"/>
    <w:rsid w:val="003E25D4"/>
    <w:rsid w:val="003E7AB7"/>
    <w:rsid w:val="00413D7F"/>
    <w:rsid w:val="00431B81"/>
    <w:rsid w:val="00436558"/>
    <w:rsid w:val="00443765"/>
    <w:rsid w:val="00465AF0"/>
    <w:rsid w:val="00472477"/>
    <w:rsid w:val="00476576"/>
    <w:rsid w:val="00480832"/>
    <w:rsid w:val="004831F5"/>
    <w:rsid w:val="004867E2"/>
    <w:rsid w:val="00496067"/>
    <w:rsid w:val="004B7DB0"/>
    <w:rsid w:val="004C1EB5"/>
    <w:rsid w:val="004C3F69"/>
    <w:rsid w:val="004C567C"/>
    <w:rsid w:val="004C7982"/>
    <w:rsid w:val="004E53ED"/>
    <w:rsid w:val="004F2A97"/>
    <w:rsid w:val="00504B3E"/>
    <w:rsid w:val="00522A8F"/>
    <w:rsid w:val="0053699B"/>
    <w:rsid w:val="00545DBC"/>
    <w:rsid w:val="00561EFC"/>
    <w:rsid w:val="00563240"/>
    <w:rsid w:val="0056681A"/>
    <w:rsid w:val="00596DD8"/>
    <w:rsid w:val="005A777A"/>
    <w:rsid w:val="005B2CFE"/>
    <w:rsid w:val="005C7EF5"/>
    <w:rsid w:val="005E3DF2"/>
    <w:rsid w:val="005E6E99"/>
    <w:rsid w:val="005F7A85"/>
    <w:rsid w:val="00621B2E"/>
    <w:rsid w:val="0064116C"/>
    <w:rsid w:val="00672EF6"/>
    <w:rsid w:val="0067433C"/>
    <w:rsid w:val="00694AA7"/>
    <w:rsid w:val="006D6A2D"/>
    <w:rsid w:val="007478DC"/>
    <w:rsid w:val="0075090E"/>
    <w:rsid w:val="00796D26"/>
    <w:rsid w:val="007978C2"/>
    <w:rsid w:val="007C2D09"/>
    <w:rsid w:val="008003C9"/>
    <w:rsid w:val="00816F16"/>
    <w:rsid w:val="008264EB"/>
    <w:rsid w:val="00844E55"/>
    <w:rsid w:val="008520A3"/>
    <w:rsid w:val="00855020"/>
    <w:rsid w:val="00873888"/>
    <w:rsid w:val="008A69C3"/>
    <w:rsid w:val="008D2124"/>
    <w:rsid w:val="008E2EF0"/>
    <w:rsid w:val="008E5261"/>
    <w:rsid w:val="008F2C2F"/>
    <w:rsid w:val="00905432"/>
    <w:rsid w:val="00905ADE"/>
    <w:rsid w:val="0091324F"/>
    <w:rsid w:val="009158CB"/>
    <w:rsid w:val="0092486F"/>
    <w:rsid w:val="00951F75"/>
    <w:rsid w:val="0095749B"/>
    <w:rsid w:val="00970FB0"/>
    <w:rsid w:val="009A1C86"/>
    <w:rsid w:val="009B486F"/>
    <w:rsid w:val="00A014C3"/>
    <w:rsid w:val="00A03104"/>
    <w:rsid w:val="00A20311"/>
    <w:rsid w:val="00A2325C"/>
    <w:rsid w:val="00A4512D"/>
    <w:rsid w:val="00A603E1"/>
    <w:rsid w:val="00A705AF"/>
    <w:rsid w:val="00A910B3"/>
    <w:rsid w:val="00AA181A"/>
    <w:rsid w:val="00AB6C7B"/>
    <w:rsid w:val="00B03D44"/>
    <w:rsid w:val="00B06528"/>
    <w:rsid w:val="00B15895"/>
    <w:rsid w:val="00B40FB3"/>
    <w:rsid w:val="00B42851"/>
    <w:rsid w:val="00B46CB4"/>
    <w:rsid w:val="00B65D28"/>
    <w:rsid w:val="00B67D62"/>
    <w:rsid w:val="00B950C5"/>
    <w:rsid w:val="00BA6B47"/>
    <w:rsid w:val="00BC4074"/>
    <w:rsid w:val="00BE74F3"/>
    <w:rsid w:val="00BF3F25"/>
    <w:rsid w:val="00BF798E"/>
    <w:rsid w:val="00C012CB"/>
    <w:rsid w:val="00C12216"/>
    <w:rsid w:val="00C445FA"/>
    <w:rsid w:val="00C44910"/>
    <w:rsid w:val="00C6143E"/>
    <w:rsid w:val="00C66B0D"/>
    <w:rsid w:val="00C734EA"/>
    <w:rsid w:val="00C82F19"/>
    <w:rsid w:val="00C90A4D"/>
    <w:rsid w:val="00CB128C"/>
    <w:rsid w:val="00CB414B"/>
    <w:rsid w:val="00CB5B1A"/>
    <w:rsid w:val="00CE5FCE"/>
    <w:rsid w:val="00D408CC"/>
    <w:rsid w:val="00D62B32"/>
    <w:rsid w:val="00E259EF"/>
    <w:rsid w:val="00E33BA3"/>
    <w:rsid w:val="00E668C0"/>
    <w:rsid w:val="00F0607A"/>
    <w:rsid w:val="00F352BE"/>
    <w:rsid w:val="00F60EA8"/>
    <w:rsid w:val="00F756B1"/>
    <w:rsid w:val="00FA63EF"/>
    <w:rsid w:val="00FA7C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qFormat="1"/>
    <w:lsdException w:name="Title" w:uiPriority="10"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4FA0"/>
    <w:rPr>
      <w:sz w:val="24"/>
      <w:szCs w:val="24"/>
    </w:rPr>
  </w:style>
  <w:style w:type="paragraph" w:styleId="Heading1">
    <w:name w:val="heading 1"/>
    <w:basedOn w:val="ListParagraph"/>
    <w:next w:val="Normal"/>
    <w:qFormat/>
    <w:rsid w:val="0056681A"/>
    <w:pPr>
      <w:numPr>
        <w:numId w:val="5"/>
      </w:numPr>
      <w:jc w:val="both"/>
      <w:outlineLvl w:val="0"/>
    </w:pPr>
    <w:rPr>
      <w:rFonts w:ascii="Arial" w:hAnsi="Arial"/>
      <w:b/>
      <w:sz w:val="22"/>
      <w:szCs w:val="22"/>
    </w:rPr>
  </w:style>
  <w:style w:type="paragraph" w:styleId="Heading2">
    <w:name w:val="heading 2"/>
    <w:basedOn w:val="Normal"/>
    <w:next w:val="Normal"/>
    <w:qFormat/>
    <w:rsid w:val="0056681A"/>
    <w:pPr>
      <w:jc w:val="both"/>
      <w:outlineLvl w:val="1"/>
    </w:pPr>
    <w:rPr>
      <w:rFonts w:ascii="Arial" w:hAnsi="Arial"/>
      <w:b/>
      <w:i/>
      <w:sz w:val="22"/>
      <w:szCs w:val="22"/>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uiPriority w:val="10"/>
    <w:qFormat/>
    <w:rsid w:val="0056681A"/>
    <w:pPr>
      <w:ind w:left="720" w:hanging="720"/>
    </w:pPr>
    <w:rPr>
      <w:rFonts w:ascii="Arial" w:hAnsi="Arial"/>
      <w:b/>
      <w:sz w:val="28"/>
      <w:szCs w:val="28"/>
    </w:rPr>
  </w:style>
  <w:style w:type="character" w:customStyle="1" w:styleId="TitleChar">
    <w:name w:val="Title Char"/>
    <w:basedOn w:val="DefaultParagraphFont"/>
    <w:link w:val="Title"/>
    <w:uiPriority w:val="10"/>
    <w:rsid w:val="0056681A"/>
    <w:rPr>
      <w:rFonts w:ascii="Arial" w:hAnsi="Arial"/>
      <w:b/>
      <w:sz w:val="28"/>
      <w:szCs w:val="28"/>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72"/>
    <w:qFormat/>
    <w:rsid w:val="00A4512D"/>
    <w:pPr>
      <w:ind w:left="720"/>
      <w:contextualSpacing/>
    </w:pPr>
  </w:style>
  <w:style w:type="paragraph" w:styleId="Header">
    <w:name w:val="header"/>
    <w:aliases w:val="Page Header,Header title,he=header,cntr/bld"/>
    <w:basedOn w:val="Normal"/>
    <w:link w:val="HeaderChar"/>
    <w:uiPriority w:val="99"/>
    <w:rsid w:val="00855020"/>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rsid w:val="00855020"/>
    <w:rPr>
      <w:sz w:val="24"/>
      <w:szCs w:val="24"/>
    </w:rPr>
  </w:style>
  <w:style w:type="paragraph" w:styleId="Footer">
    <w:name w:val="footer"/>
    <w:basedOn w:val="Normal"/>
    <w:link w:val="FooterChar"/>
    <w:uiPriority w:val="99"/>
    <w:rsid w:val="00855020"/>
    <w:pPr>
      <w:tabs>
        <w:tab w:val="center" w:pos="4153"/>
        <w:tab w:val="right" w:pos="8306"/>
      </w:tabs>
    </w:pPr>
  </w:style>
  <w:style w:type="character" w:customStyle="1" w:styleId="FooterChar">
    <w:name w:val="Footer Char"/>
    <w:basedOn w:val="DefaultParagraphFont"/>
    <w:link w:val="Footer"/>
    <w:uiPriority w:val="99"/>
    <w:rsid w:val="00855020"/>
    <w:rPr>
      <w:sz w:val="24"/>
      <w:szCs w:val="24"/>
    </w:rPr>
  </w:style>
  <w:style w:type="character" w:styleId="PageNumber">
    <w:name w:val="page number"/>
    <w:basedOn w:val="DefaultParagraphFont"/>
    <w:rsid w:val="00855020"/>
  </w:style>
  <w:style w:type="paragraph" w:customStyle="1" w:styleId="MediumGrid21">
    <w:name w:val="Medium Grid 21"/>
    <w:link w:val="MediumGrid2Char"/>
    <w:qFormat/>
    <w:rsid w:val="00855020"/>
    <w:rPr>
      <w:rFonts w:ascii="PMingLiU" w:eastAsia="MS Mincho" w:hAnsi="PMingLiU"/>
      <w:sz w:val="22"/>
      <w:szCs w:val="22"/>
      <w:lang w:val="en-US" w:eastAsia="en-US"/>
    </w:rPr>
  </w:style>
  <w:style w:type="character" w:customStyle="1" w:styleId="MediumGrid2Char">
    <w:name w:val="Medium Grid 2 Char"/>
    <w:link w:val="MediumGrid21"/>
    <w:rsid w:val="00855020"/>
    <w:rPr>
      <w:rFonts w:ascii="PMingLiU" w:eastAsia="MS Mincho" w:hAnsi="PMingLiU"/>
      <w:sz w:val="22"/>
      <w:szCs w:val="22"/>
      <w:lang w:val="en-US" w:eastAsia="en-US"/>
    </w:rPr>
  </w:style>
  <w:style w:type="character" w:styleId="CommentReference">
    <w:name w:val="annotation reference"/>
    <w:aliases w:val="Table Title"/>
    <w:basedOn w:val="DefaultParagraphFont"/>
    <w:qFormat/>
    <w:rsid w:val="00855020"/>
    <w:rPr>
      <w:sz w:val="16"/>
      <w:szCs w:val="16"/>
    </w:rPr>
  </w:style>
  <w:style w:type="paragraph" w:styleId="CommentText">
    <w:name w:val="annotation text"/>
    <w:basedOn w:val="Normal"/>
    <w:link w:val="CommentTextChar"/>
    <w:rsid w:val="00855020"/>
    <w:rPr>
      <w:sz w:val="20"/>
      <w:szCs w:val="20"/>
    </w:rPr>
  </w:style>
  <w:style w:type="character" w:customStyle="1" w:styleId="CommentTextChar">
    <w:name w:val="Comment Text Char"/>
    <w:basedOn w:val="DefaultParagraphFont"/>
    <w:link w:val="CommentText"/>
    <w:rsid w:val="00855020"/>
  </w:style>
  <w:style w:type="paragraph" w:customStyle="1" w:styleId="tablenotes">
    <w:name w:val="table notes"/>
    <w:basedOn w:val="BodyText2"/>
    <w:qFormat/>
    <w:rsid w:val="00855020"/>
    <w:pPr>
      <w:widowControl w:val="0"/>
      <w:spacing w:after="0" w:line="240" w:lineRule="auto"/>
      <w:jc w:val="both"/>
    </w:pPr>
    <w:rPr>
      <w:rFonts w:ascii="Arial" w:hAnsi="Arial"/>
      <w:snapToGrid w:val="0"/>
      <w:sz w:val="20"/>
      <w:szCs w:val="20"/>
      <w:lang w:eastAsia="en-US"/>
    </w:rPr>
  </w:style>
  <w:style w:type="character" w:styleId="Hyperlink">
    <w:name w:val="Hyperlink"/>
    <w:uiPriority w:val="99"/>
    <w:rsid w:val="00855020"/>
    <w:rPr>
      <w:color w:val="0000FF"/>
      <w:u w:val="single"/>
    </w:rPr>
  </w:style>
  <w:style w:type="paragraph" w:styleId="BodyText2">
    <w:name w:val="Body Text 2"/>
    <w:basedOn w:val="Normal"/>
    <w:link w:val="BodyText2Char"/>
    <w:rsid w:val="00855020"/>
    <w:pPr>
      <w:spacing w:after="120" w:line="480" w:lineRule="auto"/>
    </w:pPr>
  </w:style>
  <w:style w:type="character" w:customStyle="1" w:styleId="BodyText2Char">
    <w:name w:val="Body Text 2 Char"/>
    <w:basedOn w:val="DefaultParagraphFont"/>
    <w:link w:val="BodyText2"/>
    <w:rsid w:val="00855020"/>
    <w:rPr>
      <w:sz w:val="24"/>
      <w:szCs w:val="24"/>
    </w:rPr>
  </w:style>
  <w:style w:type="paragraph" w:styleId="BalloonText">
    <w:name w:val="Balloon Text"/>
    <w:basedOn w:val="Normal"/>
    <w:link w:val="BalloonTextChar"/>
    <w:rsid w:val="00855020"/>
    <w:rPr>
      <w:rFonts w:ascii="Tahoma" w:hAnsi="Tahoma" w:cs="Tahoma"/>
      <w:sz w:val="16"/>
      <w:szCs w:val="16"/>
    </w:rPr>
  </w:style>
  <w:style w:type="character" w:customStyle="1" w:styleId="BalloonTextChar">
    <w:name w:val="Balloon Text Char"/>
    <w:basedOn w:val="DefaultParagraphFont"/>
    <w:link w:val="BalloonText"/>
    <w:rsid w:val="00855020"/>
    <w:rPr>
      <w:rFonts w:ascii="Tahoma" w:hAnsi="Tahoma" w:cs="Tahoma"/>
      <w:sz w:val="16"/>
      <w:szCs w:val="16"/>
    </w:rPr>
  </w:style>
  <w:style w:type="paragraph" w:styleId="CommentSubject">
    <w:name w:val="annotation subject"/>
    <w:basedOn w:val="CommentText"/>
    <w:next w:val="CommentText"/>
    <w:link w:val="CommentSubjectChar"/>
    <w:rsid w:val="00B46CB4"/>
    <w:rPr>
      <w:b/>
      <w:bCs/>
    </w:rPr>
  </w:style>
  <w:style w:type="character" w:customStyle="1" w:styleId="CommentSubjectChar">
    <w:name w:val="Comment Subject Char"/>
    <w:basedOn w:val="CommentTextChar"/>
    <w:link w:val="CommentSubject"/>
    <w:rsid w:val="00B46CB4"/>
    <w:rPr>
      <w:b/>
      <w:bCs/>
    </w:rPr>
  </w:style>
  <w:style w:type="paragraph" w:styleId="Caption">
    <w:name w:val="caption"/>
    <w:basedOn w:val="Normal"/>
    <w:next w:val="Normal"/>
    <w:uiPriority w:val="35"/>
    <w:unhideWhenUsed/>
    <w:qFormat/>
    <w:rsid w:val="002D0851"/>
    <w:pPr>
      <w:keepNext/>
      <w:tabs>
        <w:tab w:val="left" w:pos="1701"/>
      </w:tabs>
      <w:spacing w:after="40"/>
      <w:ind w:left="1701" w:hanging="1701"/>
    </w:pPr>
    <w:rPr>
      <w:rFonts w:ascii="Arial" w:eastAsiaTheme="minorEastAsia" w:hAnsi="Arial" w:cstheme="minorBidi"/>
      <w:b/>
      <w:bCs/>
      <w:sz w:val="20"/>
      <w:szCs w:val="20"/>
      <w:lang w:eastAsia="zh-CN"/>
    </w:rPr>
  </w:style>
  <w:style w:type="paragraph" w:customStyle="1" w:styleId="TableText">
    <w:name w:val="TableText"/>
    <w:basedOn w:val="Normal"/>
    <w:uiPriority w:val="99"/>
    <w:qFormat/>
    <w:rsid w:val="002D0851"/>
    <w:pPr>
      <w:spacing w:before="40" w:after="40"/>
    </w:pPr>
    <w:rPr>
      <w:rFonts w:ascii="Arial Narrow" w:hAnsi="Arial Narrow" w:cs="Arial Narrow"/>
      <w:sz w:val="20"/>
      <w:szCs w:val="20"/>
      <w:lang w:eastAsia="en-US"/>
    </w:rPr>
  </w:style>
  <w:style w:type="paragraph" w:customStyle="1" w:styleId="TableHeadingRow">
    <w:name w:val="TableHeadingRow"/>
    <w:basedOn w:val="TableText"/>
    <w:uiPriority w:val="96"/>
    <w:qFormat/>
    <w:rsid w:val="002D0851"/>
    <w:pPr>
      <w:jc w:val="center"/>
    </w:pPr>
    <w:rPr>
      <w:b/>
      <w:bCs/>
    </w:rPr>
  </w:style>
  <w:style w:type="character" w:customStyle="1" w:styleId="ListParagraphChar">
    <w:name w:val="List Paragraph Char"/>
    <w:basedOn w:val="DefaultParagraphFont"/>
    <w:link w:val="ListParagraph"/>
    <w:uiPriority w:val="72"/>
    <w:rsid w:val="00C44910"/>
    <w:rPr>
      <w:sz w:val="24"/>
      <w:szCs w:val="24"/>
    </w:rPr>
  </w:style>
  <w:style w:type="table" w:styleId="TableGrid">
    <w:name w:val="Table Grid"/>
    <w:basedOn w:val="TableNormal"/>
    <w:uiPriority w:val="59"/>
    <w:rsid w:val="00BA6B47"/>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BACHeading1">
    <w:name w:val="PBAC Heading 1"/>
    <w:qFormat/>
    <w:rsid w:val="00D408CC"/>
    <w:pPr>
      <w:ind w:left="720" w:hanging="72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qFormat="1"/>
    <w:lsdException w:name="Title" w:uiPriority="10"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4FA0"/>
    <w:rPr>
      <w:sz w:val="24"/>
      <w:szCs w:val="24"/>
    </w:rPr>
  </w:style>
  <w:style w:type="paragraph" w:styleId="Heading1">
    <w:name w:val="heading 1"/>
    <w:basedOn w:val="ListParagraph"/>
    <w:next w:val="Normal"/>
    <w:qFormat/>
    <w:rsid w:val="0056681A"/>
    <w:pPr>
      <w:numPr>
        <w:numId w:val="5"/>
      </w:numPr>
      <w:jc w:val="both"/>
      <w:outlineLvl w:val="0"/>
    </w:pPr>
    <w:rPr>
      <w:rFonts w:ascii="Arial" w:hAnsi="Arial"/>
      <w:b/>
      <w:sz w:val="22"/>
      <w:szCs w:val="22"/>
    </w:rPr>
  </w:style>
  <w:style w:type="paragraph" w:styleId="Heading2">
    <w:name w:val="heading 2"/>
    <w:basedOn w:val="Normal"/>
    <w:next w:val="Normal"/>
    <w:qFormat/>
    <w:rsid w:val="0056681A"/>
    <w:pPr>
      <w:jc w:val="both"/>
      <w:outlineLvl w:val="1"/>
    </w:pPr>
    <w:rPr>
      <w:rFonts w:ascii="Arial" w:hAnsi="Arial"/>
      <w:b/>
      <w:i/>
      <w:sz w:val="22"/>
      <w:szCs w:val="22"/>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uiPriority w:val="10"/>
    <w:qFormat/>
    <w:rsid w:val="0056681A"/>
    <w:pPr>
      <w:ind w:left="720" w:hanging="720"/>
    </w:pPr>
    <w:rPr>
      <w:rFonts w:ascii="Arial" w:hAnsi="Arial"/>
      <w:b/>
      <w:sz w:val="28"/>
      <w:szCs w:val="28"/>
    </w:rPr>
  </w:style>
  <w:style w:type="character" w:customStyle="1" w:styleId="TitleChar">
    <w:name w:val="Title Char"/>
    <w:basedOn w:val="DefaultParagraphFont"/>
    <w:link w:val="Title"/>
    <w:uiPriority w:val="10"/>
    <w:rsid w:val="0056681A"/>
    <w:rPr>
      <w:rFonts w:ascii="Arial" w:hAnsi="Arial"/>
      <w:b/>
      <w:sz w:val="28"/>
      <w:szCs w:val="28"/>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72"/>
    <w:qFormat/>
    <w:rsid w:val="00A4512D"/>
    <w:pPr>
      <w:ind w:left="720"/>
      <w:contextualSpacing/>
    </w:pPr>
  </w:style>
  <w:style w:type="paragraph" w:styleId="Header">
    <w:name w:val="header"/>
    <w:aliases w:val="Page Header,Header title,he=header,cntr/bld"/>
    <w:basedOn w:val="Normal"/>
    <w:link w:val="HeaderChar"/>
    <w:uiPriority w:val="99"/>
    <w:rsid w:val="00855020"/>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rsid w:val="00855020"/>
    <w:rPr>
      <w:sz w:val="24"/>
      <w:szCs w:val="24"/>
    </w:rPr>
  </w:style>
  <w:style w:type="paragraph" w:styleId="Footer">
    <w:name w:val="footer"/>
    <w:basedOn w:val="Normal"/>
    <w:link w:val="FooterChar"/>
    <w:uiPriority w:val="99"/>
    <w:rsid w:val="00855020"/>
    <w:pPr>
      <w:tabs>
        <w:tab w:val="center" w:pos="4153"/>
        <w:tab w:val="right" w:pos="8306"/>
      </w:tabs>
    </w:pPr>
  </w:style>
  <w:style w:type="character" w:customStyle="1" w:styleId="FooterChar">
    <w:name w:val="Footer Char"/>
    <w:basedOn w:val="DefaultParagraphFont"/>
    <w:link w:val="Footer"/>
    <w:uiPriority w:val="99"/>
    <w:rsid w:val="00855020"/>
    <w:rPr>
      <w:sz w:val="24"/>
      <w:szCs w:val="24"/>
    </w:rPr>
  </w:style>
  <w:style w:type="character" w:styleId="PageNumber">
    <w:name w:val="page number"/>
    <w:basedOn w:val="DefaultParagraphFont"/>
    <w:rsid w:val="00855020"/>
  </w:style>
  <w:style w:type="paragraph" w:customStyle="1" w:styleId="MediumGrid21">
    <w:name w:val="Medium Grid 21"/>
    <w:link w:val="MediumGrid2Char"/>
    <w:qFormat/>
    <w:rsid w:val="00855020"/>
    <w:rPr>
      <w:rFonts w:ascii="PMingLiU" w:eastAsia="MS Mincho" w:hAnsi="PMingLiU"/>
      <w:sz w:val="22"/>
      <w:szCs w:val="22"/>
      <w:lang w:val="en-US" w:eastAsia="en-US"/>
    </w:rPr>
  </w:style>
  <w:style w:type="character" w:customStyle="1" w:styleId="MediumGrid2Char">
    <w:name w:val="Medium Grid 2 Char"/>
    <w:link w:val="MediumGrid21"/>
    <w:rsid w:val="00855020"/>
    <w:rPr>
      <w:rFonts w:ascii="PMingLiU" w:eastAsia="MS Mincho" w:hAnsi="PMingLiU"/>
      <w:sz w:val="22"/>
      <w:szCs w:val="22"/>
      <w:lang w:val="en-US" w:eastAsia="en-US"/>
    </w:rPr>
  </w:style>
  <w:style w:type="character" w:styleId="CommentReference">
    <w:name w:val="annotation reference"/>
    <w:aliases w:val="Table Title"/>
    <w:basedOn w:val="DefaultParagraphFont"/>
    <w:qFormat/>
    <w:rsid w:val="00855020"/>
    <w:rPr>
      <w:sz w:val="16"/>
      <w:szCs w:val="16"/>
    </w:rPr>
  </w:style>
  <w:style w:type="paragraph" w:styleId="CommentText">
    <w:name w:val="annotation text"/>
    <w:basedOn w:val="Normal"/>
    <w:link w:val="CommentTextChar"/>
    <w:rsid w:val="00855020"/>
    <w:rPr>
      <w:sz w:val="20"/>
      <w:szCs w:val="20"/>
    </w:rPr>
  </w:style>
  <w:style w:type="character" w:customStyle="1" w:styleId="CommentTextChar">
    <w:name w:val="Comment Text Char"/>
    <w:basedOn w:val="DefaultParagraphFont"/>
    <w:link w:val="CommentText"/>
    <w:rsid w:val="00855020"/>
  </w:style>
  <w:style w:type="paragraph" w:customStyle="1" w:styleId="tablenotes">
    <w:name w:val="table notes"/>
    <w:basedOn w:val="BodyText2"/>
    <w:qFormat/>
    <w:rsid w:val="00855020"/>
    <w:pPr>
      <w:widowControl w:val="0"/>
      <w:spacing w:after="0" w:line="240" w:lineRule="auto"/>
      <w:jc w:val="both"/>
    </w:pPr>
    <w:rPr>
      <w:rFonts w:ascii="Arial" w:hAnsi="Arial"/>
      <w:snapToGrid w:val="0"/>
      <w:sz w:val="20"/>
      <w:szCs w:val="20"/>
      <w:lang w:eastAsia="en-US"/>
    </w:rPr>
  </w:style>
  <w:style w:type="character" w:styleId="Hyperlink">
    <w:name w:val="Hyperlink"/>
    <w:uiPriority w:val="99"/>
    <w:rsid w:val="00855020"/>
    <w:rPr>
      <w:color w:val="0000FF"/>
      <w:u w:val="single"/>
    </w:rPr>
  </w:style>
  <w:style w:type="paragraph" w:styleId="BodyText2">
    <w:name w:val="Body Text 2"/>
    <w:basedOn w:val="Normal"/>
    <w:link w:val="BodyText2Char"/>
    <w:rsid w:val="00855020"/>
    <w:pPr>
      <w:spacing w:after="120" w:line="480" w:lineRule="auto"/>
    </w:pPr>
  </w:style>
  <w:style w:type="character" w:customStyle="1" w:styleId="BodyText2Char">
    <w:name w:val="Body Text 2 Char"/>
    <w:basedOn w:val="DefaultParagraphFont"/>
    <w:link w:val="BodyText2"/>
    <w:rsid w:val="00855020"/>
    <w:rPr>
      <w:sz w:val="24"/>
      <w:szCs w:val="24"/>
    </w:rPr>
  </w:style>
  <w:style w:type="paragraph" w:styleId="BalloonText">
    <w:name w:val="Balloon Text"/>
    <w:basedOn w:val="Normal"/>
    <w:link w:val="BalloonTextChar"/>
    <w:rsid w:val="00855020"/>
    <w:rPr>
      <w:rFonts w:ascii="Tahoma" w:hAnsi="Tahoma" w:cs="Tahoma"/>
      <w:sz w:val="16"/>
      <w:szCs w:val="16"/>
    </w:rPr>
  </w:style>
  <w:style w:type="character" w:customStyle="1" w:styleId="BalloonTextChar">
    <w:name w:val="Balloon Text Char"/>
    <w:basedOn w:val="DefaultParagraphFont"/>
    <w:link w:val="BalloonText"/>
    <w:rsid w:val="00855020"/>
    <w:rPr>
      <w:rFonts w:ascii="Tahoma" w:hAnsi="Tahoma" w:cs="Tahoma"/>
      <w:sz w:val="16"/>
      <w:szCs w:val="16"/>
    </w:rPr>
  </w:style>
  <w:style w:type="paragraph" w:styleId="CommentSubject">
    <w:name w:val="annotation subject"/>
    <w:basedOn w:val="CommentText"/>
    <w:next w:val="CommentText"/>
    <w:link w:val="CommentSubjectChar"/>
    <w:rsid w:val="00B46CB4"/>
    <w:rPr>
      <w:b/>
      <w:bCs/>
    </w:rPr>
  </w:style>
  <w:style w:type="character" w:customStyle="1" w:styleId="CommentSubjectChar">
    <w:name w:val="Comment Subject Char"/>
    <w:basedOn w:val="CommentTextChar"/>
    <w:link w:val="CommentSubject"/>
    <w:rsid w:val="00B46CB4"/>
    <w:rPr>
      <w:b/>
      <w:bCs/>
    </w:rPr>
  </w:style>
  <w:style w:type="paragraph" w:styleId="Caption">
    <w:name w:val="caption"/>
    <w:basedOn w:val="Normal"/>
    <w:next w:val="Normal"/>
    <w:uiPriority w:val="35"/>
    <w:unhideWhenUsed/>
    <w:qFormat/>
    <w:rsid w:val="002D0851"/>
    <w:pPr>
      <w:keepNext/>
      <w:tabs>
        <w:tab w:val="left" w:pos="1701"/>
      </w:tabs>
      <w:spacing w:after="40"/>
      <w:ind w:left="1701" w:hanging="1701"/>
    </w:pPr>
    <w:rPr>
      <w:rFonts w:ascii="Arial" w:eastAsiaTheme="minorEastAsia" w:hAnsi="Arial" w:cstheme="minorBidi"/>
      <w:b/>
      <w:bCs/>
      <w:sz w:val="20"/>
      <w:szCs w:val="20"/>
      <w:lang w:eastAsia="zh-CN"/>
    </w:rPr>
  </w:style>
  <w:style w:type="paragraph" w:customStyle="1" w:styleId="TableText">
    <w:name w:val="TableText"/>
    <w:basedOn w:val="Normal"/>
    <w:uiPriority w:val="99"/>
    <w:qFormat/>
    <w:rsid w:val="002D0851"/>
    <w:pPr>
      <w:spacing w:before="40" w:after="40"/>
    </w:pPr>
    <w:rPr>
      <w:rFonts w:ascii="Arial Narrow" w:hAnsi="Arial Narrow" w:cs="Arial Narrow"/>
      <w:sz w:val="20"/>
      <w:szCs w:val="20"/>
      <w:lang w:eastAsia="en-US"/>
    </w:rPr>
  </w:style>
  <w:style w:type="paragraph" w:customStyle="1" w:styleId="TableHeadingRow">
    <w:name w:val="TableHeadingRow"/>
    <w:basedOn w:val="TableText"/>
    <w:uiPriority w:val="96"/>
    <w:qFormat/>
    <w:rsid w:val="002D0851"/>
    <w:pPr>
      <w:jc w:val="center"/>
    </w:pPr>
    <w:rPr>
      <w:b/>
      <w:bCs/>
    </w:rPr>
  </w:style>
  <w:style w:type="character" w:customStyle="1" w:styleId="ListParagraphChar">
    <w:name w:val="List Paragraph Char"/>
    <w:basedOn w:val="DefaultParagraphFont"/>
    <w:link w:val="ListParagraph"/>
    <w:uiPriority w:val="72"/>
    <w:rsid w:val="00C44910"/>
    <w:rPr>
      <w:sz w:val="24"/>
      <w:szCs w:val="24"/>
    </w:rPr>
  </w:style>
  <w:style w:type="table" w:styleId="TableGrid">
    <w:name w:val="Table Grid"/>
    <w:basedOn w:val="TableNormal"/>
    <w:uiPriority w:val="59"/>
    <w:rsid w:val="00BA6B47"/>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BACHeading1">
    <w:name w:val="PBAC Heading 1"/>
    <w:qFormat/>
    <w:rsid w:val="00D408CC"/>
    <w:pPr>
      <w:ind w:left="720" w:hanging="72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72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2198</Words>
  <Characters>12139</Characters>
  <Application>Microsoft Office Word</Application>
  <DocSecurity>0</DocSecurity>
  <Lines>337</Lines>
  <Paragraphs>143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2016-06-20T05:41:00Z</dcterms:created>
  <dcterms:modified xsi:type="dcterms:W3CDTF">2016-06-21T23:39:00Z</dcterms:modified>
</cp:coreProperties>
</file>