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394DDC" w:rsidRDefault="00D47AA0" w:rsidP="00394DDC">
      <w:pPr>
        <w:pStyle w:val="Title"/>
      </w:pPr>
      <w:bookmarkStart w:id="0" w:name="_Toc436831763"/>
      <w:bookmarkStart w:id="1" w:name="_Toc441050267"/>
      <w:bookmarkStart w:id="2" w:name="_GoBack"/>
      <w:bookmarkEnd w:id="2"/>
      <w:r w:rsidRPr="00394DDC">
        <w:t>5</w:t>
      </w:r>
      <w:r w:rsidR="00433044" w:rsidRPr="00394DDC">
        <w:t>.</w:t>
      </w:r>
      <w:r w:rsidRPr="00394DDC">
        <w:t>13</w:t>
      </w:r>
      <w:r w:rsidR="00B60939" w:rsidRPr="00394DDC">
        <w:tab/>
      </w:r>
      <w:r w:rsidR="005332FF" w:rsidRPr="00394DDC">
        <w:t>VISMODEGIB, 150</w:t>
      </w:r>
      <w:r w:rsidR="00BD047A" w:rsidRPr="00394DDC">
        <w:t> </w:t>
      </w:r>
      <w:r w:rsidR="005332FF" w:rsidRPr="00394DDC">
        <w:t>mg capsule, Erivedge®, Roche Products Pty Lt</w:t>
      </w:r>
      <w:bookmarkEnd w:id="0"/>
      <w:bookmarkEnd w:id="1"/>
      <w:r w:rsidR="00386FD0" w:rsidRPr="00394DDC">
        <w:t>d</w:t>
      </w:r>
    </w:p>
    <w:p w:rsidR="006A7881" w:rsidRDefault="006A7881" w:rsidP="006A7881"/>
    <w:p w:rsidR="00DA63C8" w:rsidRPr="001811A6" w:rsidRDefault="00DA63C8" w:rsidP="006A7881"/>
    <w:p w:rsidR="006A7881" w:rsidRPr="00394DDC" w:rsidRDefault="006A7881" w:rsidP="00394DDC">
      <w:pPr>
        <w:pStyle w:val="Heading1"/>
      </w:pPr>
      <w:bookmarkStart w:id="3" w:name="_Toc392858189"/>
      <w:bookmarkStart w:id="4" w:name="_Toc441050269"/>
      <w:r w:rsidRPr="00394DDC">
        <w:t>Purpose of Application</w:t>
      </w:r>
      <w:bookmarkEnd w:id="3"/>
      <w:bookmarkEnd w:id="4"/>
    </w:p>
    <w:p w:rsidR="006A7881" w:rsidRPr="001811A6" w:rsidRDefault="006A7881" w:rsidP="006A7881">
      <w:pPr>
        <w:rPr>
          <w:szCs w:val="22"/>
        </w:rPr>
      </w:pPr>
    </w:p>
    <w:p w:rsidR="006A7881" w:rsidRPr="001811A6" w:rsidRDefault="00544D61" w:rsidP="00B4462B">
      <w:pPr>
        <w:pStyle w:val="ListParagraph"/>
        <w:widowControl/>
        <w:numPr>
          <w:ilvl w:val="1"/>
          <w:numId w:val="1"/>
        </w:numPr>
        <w:rPr>
          <w:szCs w:val="22"/>
        </w:rPr>
      </w:pPr>
      <w:r w:rsidRPr="001811A6">
        <w:t xml:space="preserve">To seek </w:t>
      </w:r>
      <w:r w:rsidR="006A7881" w:rsidRPr="001811A6">
        <w:t xml:space="preserve">General Schedule, Authority </w:t>
      </w:r>
      <w:r w:rsidR="00A77519" w:rsidRPr="001811A6">
        <w:t>R</w:t>
      </w:r>
      <w:r w:rsidR="006A7881" w:rsidRPr="001811A6">
        <w:t xml:space="preserve">equired listing for vismodegib for treatment of adult patients with metastatic or locally advanced basal cell carcinoma (BCC) where surgery and </w:t>
      </w:r>
      <w:r w:rsidR="008F2EE8">
        <w:t>radiotherapy</w:t>
      </w:r>
      <w:r w:rsidR="006A7881" w:rsidRPr="001811A6">
        <w:t xml:space="preserve"> are not appropriate.</w:t>
      </w:r>
    </w:p>
    <w:p w:rsidR="006A7881" w:rsidRPr="001811A6" w:rsidRDefault="006A7881" w:rsidP="006A7881"/>
    <w:p w:rsidR="006A7881" w:rsidRPr="001811A6" w:rsidRDefault="006A7881" w:rsidP="006A7881"/>
    <w:p w:rsidR="006A7881" w:rsidRPr="001811A6" w:rsidRDefault="006A7881" w:rsidP="00394DDC">
      <w:pPr>
        <w:pStyle w:val="Heading1"/>
      </w:pPr>
      <w:bookmarkStart w:id="5" w:name="_Toc392858190"/>
      <w:bookmarkStart w:id="6" w:name="_Toc441050270"/>
      <w:r w:rsidRPr="001811A6">
        <w:t>Requested listing</w:t>
      </w:r>
      <w:bookmarkEnd w:id="5"/>
      <w:bookmarkEnd w:id="6"/>
    </w:p>
    <w:p w:rsidR="0021134E" w:rsidRPr="001811A6" w:rsidRDefault="0021134E" w:rsidP="003C1346">
      <w:pPr>
        <w:pStyle w:val="PBACHeading1"/>
        <w:numPr>
          <w:ilvl w:val="0"/>
          <w:numId w:val="0"/>
        </w:numPr>
        <w:ind w:left="720"/>
      </w:pPr>
    </w:p>
    <w:p w:rsidR="00D941DF" w:rsidRPr="001811A6" w:rsidRDefault="00D941DF" w:rsidP="00B4462B">
      <w:pPr>
        <w:pStyle w:val="ListParagraph"/>
        <w:widowControl/>
        <w:numPr>
          <w:ilvl w:val="1"/>
          <w:numId w:val="1"/>
        </w:numPr>
        <w:rPr>
          <w:szCs w:val="22"/>
        </w:rPr>
      </w:pPr>
      <w:r w:rsidRPr="001811A6">
        <w:rPr>
          <w:rFonts w:eastAsia="SimSun"/>
          <w:iCs/>
          <w:color w:val="000000"/>
          <w:szCs w:val="22"/>
        </w:rPr>
        <w:t>Suggestions and additions proposed by the Secretariat to the requested listing are added in italics and suggested deletions are crossed out with strikethrough.</w:t>
      </w:r>
    </w:p>
    <w:p w:rsidR="00D941DF" w:rsidRPr="001811A6" w:rsidRDefault="00D941DF" w:rsidP="003C1346">
      <w:pPr>
        <w:pStyle w:val="PBACHeading1"/>
        <w:numPr>
          <w:ilvl w:val="0"/>
          <w:numId w:val="0"/>
        </w:num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21134E" w:rsidRPr="001811A6" w:rsidTr="00FD5A44">
        <w:trPr>
          <w:cantSplit/>
          <w:trHeight w:val="471"/>
        </w:trPr>
        <w:tc>
          <w:tcPr>
            <w:tcW w:w="2552" w:type="dxa"/>
            <w:gridSpan w:val="2"/>
            <w:tcBorders>
              <w:bottom w:val="single" w:sz="4" w:space="0" w:color="auto"/>
            </w:tcBorders>
          </w:tcPr>
          <w:p w:rsidR="0021134E" w:rsidRPr="001811A6" w:rsidRDefault="0021134E" w:rsidP="000B309F">
            <w:pPr>
              <w:keepNext/>
              <w:ind w:left="-108"/>
              <w:rPr>
                <w:rFonts w:ascii="Arial Narrow" w:hAnsi="Arial Narrow"/>
                <w:sz w:val="20"/>
              </w:rPr>
            </w:pPr>
            <w:r w:rsidRPr="001811A6">
              <w:rPr>
                <w:rFonts w:ascii="Arial Narrow" w:hAnsi="Arial Narrow"/>
                <w:sz w:val="20"/>
              </w:rPr>
              <w:t>Name, Restriction,</w:t>
            </w:r>
          </w:p>
          <w:p w:rsidR="0021134E" w:rsidRPr="001811A6" w:rsidRDefault="0021134E" w:rsidP="000B309F">
            <w:pPr>
              <w:keepNext/>
              <w:ind w:left="-108"/>
              <w:rPr>
                <w:rFonts w:ascii="Arial Narrow" w:hAnsi="Arial Narrow"/>
                <w:sz w:val="20"/>
              </w:rPr>
            </w:pPr>
            <w:r w:rsidRPr="001811A6">
              <w:rPr>
                <w:rFonts w:ascii="Arial Narrow" w:hAnsi="Arial Narrow"/>
                <w:sz w:val="20"/>
              </w:rPr>
              <w:t>Manner of administration and form</w:t>
            </w:r>
          </w:p>
        </w:tc>
        <w:tc>
          <w:tcPr>
            <w:tcW w:w="567" w:type="dxa"/>
            <w:tcBorders>
              <w:bottom w:val="single" w:sz="4" w:space="0" w:color="auto"/>
            </w:tcBorders>
          </w:tcPr>
          <w:p w:rsidR="0021134E" w:rsidRPr="001811A6" w:rsidRDefault="0021134E" w:rsidP="000B309F">
            <w:pPr>
              <w:keepNext/>
              <w:ind w:left="-108"/>
              <w:rPr>
                <w:rFonts w:ascii="Arial Narrow" w:hAnsi="Arial Narrow"/>
                <w:sz w:val="20"/>
              </w:rPr>
            </w:pPr>
            <w:r w:rsidRPr="001811A6">
              <w:rPr>
                <w:rFonts w:ascii="Arial Narrow" w:hAnsi="Arial Narrow"/>
                <w:sz w:val="20"/>
              </w:rPr>
              <w:t>Max.</w:t>
            </w:r>
          </w:p>
          <w:p w:rsidR="0021134E" w:rsidRPr="001811A6" w:rsidRDefault="0021134E" w:rsidP="000B309F">
            <w:pPr>
              <w:keepNext/>
              <w:ind w:left="-108"/>
              <w:rPr>
                <w:rFonts w:ascii="Arial Narrow" w:hAnsi="Arial Narrow"/>
                <w:sz w:val="20"/>
              </w:rPr>
            </w:pPr>
            <w:r w:rsidRPr="001811A6">
              <w:rPr>
                <w:rFonts w:ascii="Arial Narrow" w:hAnsi="Arial Narrow"/>
                <w:sz w:val="20"/>
              </w:rPr>
              <w:t>Qty</w:t>
            </w:r>
          </w:p>
        </w:tc>
        <w:tc>
          <w:tcPr>
            <w:tcW w:w="850" w:type="dxa"/>
            <w:tcBorders>
              <w:bottom w:val="single" w:sz="4" w:space="0" w:color="auto"/>
            </w:tcBorders>
          </w:tcPr>
          <w:p w:rsidR="0021134E" w:rsidRPr="001811A6" w:rsidRDefault="0021134E" w:rsidP="000B309F">
            <w:pPr>
              <w:keepNext/>
              <w:ind w:left="-108"/>
              <w:rPr>
                <w:rFonts w:ascii="Arial Narrow" w:hAnsi="Arial Narrow"/>
                <w:sz w:val="20"/>
              </w:rPr>
            </w:pPr>
            <w:r w:rsidRPr="001811A6">
              <w:rPr>
                <w:rFonts w:ascii="Arial Narrow" w:hAnsi="Arial Narrow"/>
                <w:sz w:val="20"/>
              </w:rPr>
              <w:t>№.of</w:t>
            </w:r>
          </w:p>
          <w:p w:rsidR="0021134E" w:rsidRPr="001811A6" w:rsidRDefault="0021134E" w:rsidP="000B309F">
            <w:pPr>
              <w:keepNext/>
              <w:ind w:left="-108"/>
              <w:rPr>
                <w:rFonts w:ascii="Arial Narrow" w:hAnsi="Arial Narrow"/>
                <w:sz w:val="20"/>
              </w:rPr>
            </w:pPr>
            <w:r w:rsidRPr="001811A6">
              <w:rPr>
                <w:rFonts w:ascii="Arial Narrow" w:hAnsi="Arial Narrow"/>
                <w:sz w:val="20"/>
              </w:rPr>
              <w:t>Rpts</w:t>
            </w:r>
          </w:p>
        </w:tc>
        <w:tc>
          <w:tcPr>
            <w:tcW w:w="1701" w:type="dxa"/>
            <w:tcBorders>
              <w:bottom w:val="single" w:sz="4" w:space="0" w:color="auto"/>
            </w:tcBorders>
          </w:tcPr>
          <w:p w:rsidR="0021134E" w:rsidRPr="001811A6" w:rsidRDefault="0021134E" w:rsidP="000B309F">
            <w:pPr>
              <w:keepNext/>
              <w:ind w:left="-108"/>
              <w:rPr>
                <w:rFonts w:ascii="Arial Narrow" w:hAnsi="Arial Narrow"/>
                <w:sz w:val="20"/>
              </w:rPr>
            </w:pPr>
            <w:r w:rsidRPr="001811A6">
              <w:rPr>
                <w:rFonts w:ascii="Arial Narrow" w:hAnsi="Arial Narrow"/>
                <w:sz w:val="20"/>
              </w:rPr>
              <w:t>Dispensed Price for Max. Qty</w:t>
            </w:r>
          </w:p>
        </w:tc>
        <w:tc>
          <w:tcPr>
            <w:tcW w:w="2835" w:type="dxa"/>
            <w:gridSpan w:val="2"/>
            <w:tcBorders>
              <w:bottom w:val="single" w:sz="4" w:space="0" w:color="auto"/>
            </w:tcBorders>
          </w:tcPr>
          <w:p w:rsidR="0021134E" w:rsidRPr="001811A6" w:rsidRDefault="0021134E" w:rsidP="000B309F">
            <w:pPr>
              <w:keepNext/>
              <w:rPr>
                <w:rFonts w:ascii="Arial Narrow" w:hAnsi="Arial Narrow"/>
                <w:sz w:val="20"/>
              </w:rPr>
            </w:pPr>
            <w:r w:rsidRPr="001811A6">
              <w:rPr>
                <w:rFonts w:ascii="Arial Narrow" w:hAnsi="Arial Narrow"/>
                <w:sz w:val="20"/>
              </w:rPr>
              <w:t>Proprietary Name and Manufacturer</w:t>
            </w:r>
          </w:p>
        </w:tc>
      </w:tr>
      <w:tr w:rsidR="0021134E" w:rsidRPr="001811A6" w:rsidTr="00FD5A44">
        <w:trPr>
          <w:cantSplit/>
          <w:trHeight w:val="577"/>
        </w:trPr>
        <w:tc>
          <w:tcPr>
            <w:tcW w:w="2552" w:type="dxa"/>
            <w:gridSpan w:val="2"/>
          </w:tcPr>
          <w:p w:rsidR="0021134E" w:rsidRPr="001811A6" w:rsidRDefault="0021134E" w:rsidP="000B309F">
            <w:pPr>
              <w:keepNext/>
              <w:ind w:left="-108"/>
              <w:rPr>
                <w:rFonts w:ascii="Arial Narrow" w:hAnsi="Arial Narrow"/>
                <w:smallCaps/>
                <w:sz w:val="20"/>
              </w:rPr>
            </w:pPr>
            <w:r w:rsidRPr="001811A6">
              <w:rPr>
                <w:rFonts w:ascii="Arial Narrow" w:hAnsi="Arial Narrow"/>
                <w:smallCaps/>
                <w:sz w:val="20"/>
              </w:rPr>
              <w:t>Vismodegib</w:t>
            </w:r>
          </w:p>
          <w:p w:rsidR="0021134E" w:rsidRPr="001811A6" w:rsidRDefault="0021134E" w:rsidP="000B309F">
            <w:pPr>
              <w:keepNext/>
              <w:ind w:left="-108"/>
              <w:rPr>
                <w:rFonts w:ascii="Arial Narrow" w:hAnsi="Arial Narrow"/>
                <w:sz w:val="20"/>
              </w:rPr>
            </w:pPr>
            <w:r w:rsidRPr="001811A6">
              <w:rPr>
                <w:rFonts w:ascii="Arial Narrow" w:hAnsi="Arial Narrow"/>
                <w:smallCaps/>
                <w:sz w:val="20"/>
              </w:rPr>
              <w:t>150 mg capsule, 28</w:t>
            </w:r>
          </w:p>
        </w:tc>
        <w:tc>
          <w:tcPr>
            <w:tcW w:w="567" w:type="dxa"/>
          </w:tcPr>
          <w:p w:rsidR="0021134E" w:rsidRPr="001811A6" w:rsidRDefault="0021134E" w:rsidP="000B309F">
            <w:pPr>
              <w:keepNext/>
              <w:ind w:left="-108"/>
              <w:rPr>
                <w:rFonts w:ascii="Arial Narrow" w:hAnsi="Arial Narrow"/>
                <w:sz w:val="20"/>
              </w:rPr>
            </w:pPr>
          </w:p>
          <w:p w:rsidR="0021134E" w:rsidRPr="001811A6" w:rsidRDefault="0021134E" w:rsidP="000B309F">
            <w:pPr>
              <w:keepNext/>
              <w:ind w:left="-108"/>
              <w:rPr>
                <w:rFonts w:ascii="Arial Narrow" w:hAnsi="Arial Narrow"/>
                <w:sz w:val="20"/>
              </w:rPr>
            </w:pPr>
            <w:r w:rsidRPr="001811A6">
              <w:rPr>
                <w:rFonts w:ascii="Arial Narrow" w:hAnsi="Arial Narrow"/>
                <w:sz w:val="20"/>
              </w:rPr>
              <w:t>1</w:t>
            </w:r>
          </w:p>
        </w:tc>
        <w:tc>
          <w:tcPr>
            <w:tcW w:w="850" w:type="dxa"/>
          </w:tcPr>
          <w:p w:rsidR="0021134E" w:rsidRPr="001811A6" w:rsidRDefault="0021134E" w:rsidP="000B309F">
            <w:pPr>
              <w:keepNext/>
              <w:ind w:left="-108"/>
              <w:rPr>
                <w:rFonts w:ascii="Arial Narrow" w:hAnsi="Arial Narrow"/>
                <w:sz w:val="20"/>
              </w:rPr>
            </w:pPr>
          </w:p>
          <w:p w:rsidR="0021134E" w:rsidRPr="001811A6" w:rsidRDefault="0021134E" w:rsidP="000B309F">
            <w:pPr>
              <w:keepNext/>
              <w:ind w:left="-108"/>
              <w:rPr>
                <w:rFonts w:ascii="Arial Narrow" w:hAnsi="Arial Narrow"/>
                <w:sz w:val="20"/>
              </w:rPr>
            </w:pPr>
            <w:r w:rsidRPr="001811A6">
              <w:rPr>
                <w:rFonts w:ascii="Arial Narrow" w:hAnsi="Arial Narrow"/>
                <w:sz w:val="20"/>
              </w:rPr>
              <w:t>2</w:t>
            </w:r>
          </w:p>
        </w:tc>
        <w:tc>
          <w:tcPr>
            <w:tcW w:w="1701" w:type="dxa"/>
          </w:tcPr>
          <w:p w:rsidR="0021134E" w:rsidRPr="001811A6" w:rsidRDefault="0021134E" w:rsidP="000B309F">
            <w:pPr>
              <w:keepNext/>
              <w:ind w:left="-108"/>
              <w:rPr>
                <w:rFonts w:ascii="Arial Narrow" w:hAnsi="Arial Narrow"/>
                <w:sz w:val="20"/>
              </w:rPr>
            </w:pPr>
          </w:p>
          <w:p w:rsidR="0021134E" w:rsidRPr="001811A6" w:rsidRDefault="0021134E" w:rsidP="000B309F">
            <w:pPr>
              <w:keepNext/>
              <w:ind w:left="-108"/>
              <w:rPr>
                <w:rFonts w:ascii="Arial Narrow" w:hAnsi="Arial Narrow"/>
                <w:sz w:val="20"/>
              </w:rPr>
            </w:pPr>
            <w:r w:rsidRPr="001811A6">
              <w:rPr>
                <w:rFonts w:ascii="Arial Narrow" w:hAnsi="Arial Narrow"/>
                <w:sz w:val="20"/>
              </w:rPr>
              <w:t>$</w:t>
            </w:r>
            <w:r w:rsidR="00950905">
              <w:rPr>
                <w:rFonts w:ascii="Arial Narrow" w:hAnsi="Arial Narrow"/>
                <w:noProof/>
                <w:color w:val="000000"/>
                <w:sz w:val="20"/>
                <w:highlight w:val="black"/>
              </w:rPr>
              <w:t>'''''''''''''''''''</w:t>
            </w:r>
          </w:p>
        </w:tc>
        <w:tc>
          <w:tcPr>
            <w:tcW w:w="1559" w:type="dxa"/>
          </w:tcPr>
          <w:p w:rsidR="0021134E" w:rsidRPr="001811A6" w:rsidRDefault="0021134E" w:rsidP="000B309F">
            <w:pPr>
              <w:keepNext/>
              <w:rPr>
                <w:rFonts w:ascii="Arial Narrow" w:hAnsi="Arial Narrow"/>
                <w:sz w:val="20"/>
              </w:rPr>
            </w:pPr>
            <w:r w:rsidRPr="001811A6">
              <w:rPr>
                <w:rFonts w:ascii="Arial Narrow" w:hAnsi="Arial Narrow"/>
                <w:sz w:val="20"/>
              </w:rPr>
              <w:t>ERIVEDGE</w:t>
            </w:r>
          </w:p>
        </w:tc>
        <w:tc>
          <w:tcPr>
            <w:tcW w:w="1276" w:type="dxa"/>
          </w:tcPr>
          <w:p w:rsidR="0021134E" w:rsidRPr="001811A6" w:rsidRDefault="0021134E" w:rsidP="00FD5A44">
            <w:pPr>
              <w:keepNext/>
              <w:jc w:val="left"/>
              <w:rPr>
                <w:rFonts w:ascii="Arial Narrow" w:hAnsi="Arial Narrow"/>
                <w:sz w:val="20"/>
              </w:rPr>
            </w:pPr>
            <w:r w:rsidRPr="001811A6">
              <w:rPr>
                <w:rFonts w:ascii="Arial Narrow" w:hAnsi="Arial Narrow"/>
                <w:sz w:val="20"/>
              </w:rPr>
              <w:t>Roche Products Pty Limited</w:t>
            </w:r>
          </w:p>
        </w:tc>
      </w:tr>
      <w:tr w:rsidR="0021134E" w:rsidRPr="001811A6" w:rsidTr="00FD5A44">
        <w:trPr>
          <w:cantSplit/>
          <w:trHeight w:val="360"/>
        </w:trPr>
        <w:tc>
          <w:tcPr>
            <w:tcW w:w="8505" w:type="dxa"/>
            <w:gridSpan w:val="7"/>
            <w:tcBorders>
              <w:bottom w:val="single" w:sz="4" w:space="0" w:color="auto"/>
            </w:tcBorders>
          </w:tcPr>
          <w:p w:rsidR="0021134E" w:rsidRPr="001811A6" w:rsidRDefault="0021134E" w:rsidP="000B309F">
            <w:pPr>
              <w:rPr>
                <w:rFonts w:ascii="Arial Narrow" w:hAnsi="Arial Narrow"/>
                <w:sz w:val="20"/>
              </w:rPr>
            </w:pP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 xml:space="preserve">Category / </w:t>
            </w:r>
          </w:p>
          <w:p w:rsidR="0021134E" w:rsidRPr="001811A6" w:rsidRDefault="0021134E" w:rsidP="000B309F">
            <w:pPr>
              <w:rPr>
                <w:rFonts w:ascii="Arial Narrow" w:hAnsi="Arial Narrow"/>
                <w:b/>
                <w:sz w:val="20"/>
              </w:rPr>
            </w:pPr>
            <w:r w:rsidRPr="001811A6">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GENERAL – General Schedule (Code GE)</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Prescriber type:</w:t>
            </w:r>
          </w:p>
          <w:p w:rsidR="0021134E" w:rsidRPr="001811A6" w:rsidRDefault="0021134E" w:rsidP="000B309F">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Metastatic or locally advanced</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Basal cell carcinoma</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Metastatic or locally advanced basal cell carcinoma</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Initial</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Restriction Level / Method:</w:t>
            </w:r>
          </w:p>
          <w:p w:rsidR="0021134E" w:rsidRPr="001811A6" w:rsidRDefault="0021134E" w:rsidP="000B309F">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Clinical criteria:</w:t>
            </w:r>
          </w:p>
          <w:p w:rsidR="0021134E" w:rsidRPr="001811A6" w:rsidRDefault="0021134E" w:rsidP="000B309F">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 xml:space="preserve">Patient must have basal cell carcinoma (BCC) inappropriate for surgery and </w:t>
            </w:r>
            <w:r w:rsidRPr="001811A6">
              <w:rPr>
                <w:rFonts w:ascii="Arial Narrow" w:hAnsi="Arial Narrow"/>
                <w:i/>
                <w:sz w:val="20"/>
              </w:rPr>
              <w:t xml:space="preserve">curative </w:t>
            </w:r>
            <w:r w:rsidRPr="001811A6">
              <w:rPr>
                <w:rFonts w:ascii="Arial Narrow" w:hAnsi="Arial Narrow"/>
                <w:sz w:val="20"/>
              </w:rPr>
              <w:t>radiotherapy</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lastRenderedPageBreak/>
              <w:t>Prescriber Instructions</w:t>
            </w:r>
          </w:p>
          <w:p w:rsidR="0021134E" w:rsidRPr="001811A6" w:rsidRDefault="0021134E" w:rsidP="000B309F">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Authority applications for initial treatment must include:</w:t>
            </w:r>
          </w:p>
          <w:p w:rsidR="0021134E" w:rsidRPr="001811A6" w:rsidRDefault="0021134E" w:rsidP="000B309F">
            <w:pPr>
              <w:rPr>
                <w:rFonts w:ascii="Arial Narrow" w:hAnsi="Arial Narrow"/>
                <w:sz w:val="20"/>
              </w:rPr>
            </w:pPr>
            <w:r w:rsidRPr="001811A6">
              <w:rPr>
                <w:rFonts w:ascii="Arial Narrow" w:hAnsi="Arial Narrow"/>
                <w:sz w:val="20"/>
              </w:rPr>
              <w:t>A completed authority prescription form</w:t>
            </w:r>
          </w:p>
          <w:p w:rsidR="0021134E" w:rsidRPr="001811A6" w:rsidRDefault="0021134E" w:rsidP="000B309F">
            <w:pPr>
              <w:rPr>
                <w:rFonts w:ascii="Arial Narrow" w:hAnsi="Arial Narrow"/>
                <w:sz w:val="20"/>
              </w:rPr>
            </w:pPr>
            <w:r w:rsidRPr="001811A6">
              <w:rPr>
                <w:rFonts w:ascii="Arial Narrow" w:hAnsi="Arial Narrow"/>
                <w:sz w:val="20"/>
              </w:rPr>
              <w:t>Histological confirmation of BCC</w:t>
            </w:r>
          </w:p>
          <w:p w:rsidR="0021134E" w:rsidRPr="001811A6" w:rsidRDefault="0021134E" w:rsidP="000B309F">
            <w:pPr>
              <w:rPr>
                <w:rFonts w:ascii="Arial Narrow" w:hAnsi="Arial Narrow"/>
                <w:sz w:val="20"/>
              </w:rPr>
            </w:pPr>
            <w:r w:rsidRPr="001811A6">
              <w:rPr>
                <w:rFonts w:ascii="Arial Narrow" w:hAnsi="Arial Narrow"/>
                <w:sz w:val="20"/>
              </w:rPr>
              <w:t>A report from a surgically qualified clinician and radiation oncologist demonstrating inappropriateness for surgery and curative radiotherapy</w:t>
            </w:r>
          </w:p>
          <w:p w:rsidR="0021134E" w:rsidRPr="001811A6" w:rsidRDefault="0021134E" w:rsidP="000B309F">
            <w:pPr>
              <w:rPr>
                <w:rFonts w:ascii="Arial Narrow" w:hAnsi="Arial Narrow"/>
                <w:sz w:val="20"/>
              </w:rPr>
            </w:pPr>
            <w:r w:rsidRPr="001811A6">
              <w:rPr>
                <w:rFonts w:ascii="Arial Narrow" w:hAnsi="Arial Narrow"/>
                <w:sz w:val="20"/>
              </w:rPr>
              <w:t>A signed patient acknowledgement</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b/>
                <w:sz w:val="20"/>
              </w:rPr>
            </w:pPr>
            <w:r w:rsidRPr="001811A6">
              <w:rPr>
                <w:rFonts w:ascii="Arial Narrow" w:hAnsi="Arial Narrow"/>
                <w:b/>
                <w:sz w:val="20"/>
              </w:rPr>
              <w:t>Inappropriate for surgery is defined as:</w:t>
            </w:r>
          </w:p>
          <w:p w:rsidR="0021134E" w:rsidRPr="001811A6" w:rsidRDefault="0021134E" w:rsidP="000B309F">
            <w:pPr>
              <w:rPr>
                <w:rFonts w:ascii="Arial Narrow" w:hAnsi="Arial Narrow"/>
                <w:sz w:val="20"/>
              </w:rPr>
            </w:pPr>
            <w:r w:rsidRPr="001811A6">
              <w:rPr>
                <w:rFonts w:ascii="Arial Narrow" w:hAnsi="Arial Narrow"/>
                <w:sz w:val="20"/>
              </w:rPr>
              <w:t>Curative resection is unlikely, such as where BCC has recurred in the same location after two or more surgical procedures; and/or</w:t>
            </w:r>
          </w:p>
          <w:p w:rsidR="0021134E" w:rsidRPr="001811A6" w:rsidRDefault="0021134E" w:rsidP="000B309F">
            <w:pPr>
              <w:rPr>
                <w:rFonts w:ascii="Arial Narrow" w:hAnsi="Arial Narrow"/>
                <w:sz w:val="20"/>
              </w:rPr>
            </w:pPr>
            <w:r w:rsidRPr="001811A6">
              <w:rPr>
                <w:rFonts w:ascii="Arial Narrow" w:hAnsi="Arial Narrow"/>
                <w:sz w:val="20"/>
              </w:rPr>
              <w:t>Anticipated substantial morbidity and/or deformity from surgery or requiring complicated reconstructive surgery (e.g. removal of all or part of a facial structure, such as nose, ear, eyelid, eye; or requirement for limb amputation or free tissue transfer); and/or</w:t>
            </w:r>
          </w:p>
          <w:p w:rsidR="0021134E" w:rsidRPr="001811A6" w:rsidRDefault="0021134E" w:rsidP="000B309F">
            <w:pPr>
              <w:rPr>
                <w:rFonts w:ascii="Arial Narrow" w:hAnsi="Arial Narrow"/>
                <w:sz w:val="20"/>
              </w:rPr>
            </w:pPr>
            <w:r w:rsidRPr="001811A6">
              <w:rPr>
                <w:rFonts w:ascii="Arial Narrow" w:hAnsi="Arial Narrow"/>
                <w:sz w:val="20"/>
              </w:rPr>
              <w:t>Medical contraindication to surgery</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b/>
                <w:sz w:val="20"/>
              </w:rPr>
            </w:pPr>
            <w:r w:rsidRPr="001811A6">
              <w:rPr>
                <w:rFonts w:ascii="Arial Narrow" w:hAnsi="Arial Narrow"/>
                <w:b/>
                <w:sz w:val="20"/>
              </w:rPr>
              <w:t>Inappropriate for curative radiotherapy is defined as:</w:t>
            </w:r>
          </w:p>
          <w:p w:rsidR="0021134E" w:rsidRPr="001811A6" w:rsidRDefault="0021134E" w:rsidP="000B309F">
            <w:pPr>
              <w:rPr>
                <w:rFonts w:ascii="Arial Narrow" w:hAnsi="Arial Narrow"/>
                <w:sz w:val="20"/>
              </w:rPr>
            </w:pPr>
            <w:r w:rsidRPr="001811A6">
              <w:rPr>
                <w:rFonts w:ascii="Arial Narrow" w:hAnsi="Arial Narrow"/>
                <w:sz w:val="20"/>
              </w:rPr>
              <w:t>Hypersensitivity to radiation due to genetic syndrome such as Gorlin Syndrome; and/or</w:t>
            </w:r>
          </w:p>
          <w:p w:rsidR="0021134E" w:rsidRPr="001811A6" w:rsidRDefault="0021134E" w:rsidP="000B309F">
            <w:pPr>
              <w:rPr>
                <w:rFonts w:ascii="Arial Narrow" w:hAnsi="Arial Narrow"/>
                <w:sz w:val="20"/>
              </w:rPr>
            </w:pPr>
            <w:r w:rsidRPr="001811A6">
              <w:rPr>
                <w:rFonts w:ascii="Arial Narrow" w:hAnsi="Arial Narrow"/>
                <w:sz w:val="20"/>
              </w:rPr>
              <w:t>Limitations due to location of tumour; and/or</w:t>
            </w:r>
          </w:p>
          <w:p w:rsidR="0021134E" w:rsidRPr="001811A6" w:rsidRDefault="0021134E" w:rsidP="000B309F">
            <w:pPr>
              <w:rPr>
                <w:rFonts w:ascii="Arial Narrow" w:hAnsi="Arial Narrow"/>
                <w:sz w:val="20"/>
              </w:rPr>
            </w:pPr>
            <w:r w:rsidRPr="001811A6">
              <w:rPr>
                <w:rFonts w:ascii="Arial Narrow" w:hAnsi="Arial Narrow"/>
                <w:sz w:val="20"/>
              </w:rPr>
              <w:t>Limitations due to cumulative prior radiotherapy dose; and/or</w:t>
            </w:r>
          </w:p>
          <w:p w:rsidR="0021134E" w:rsidRPr="001811A6" w:rsidRDefault="0021134E" w:rsidP="000B309F">
            <w:pPr>
              <w:rPr>
                <w:rFonts w:ascii="Arial Narrow" w:hAnsi="Arial Narrow"/>
                <w:sz w:val="20"/>
              </w:rPr>
            </w:pPr>
            <w:r w:rsidRPr="001811A6">
              <w:rPr>
                <w:rFonts w:ascii="Arial Narrow" w:hAnsi="Arial Narrow"/>
                <w:sz w:val="20"/>
              </w:rPr>
              <w:t>Progressive disease despite prior irradiation of locally advanced BCC</w:t>
            </w:r>
          </w:p>
        </w:tc>
      </w:tr>
      <w:tr w:rsidR="0021134E" w:rsidRPr="001811A6" w:rsidTr="00FD5A44">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Administrative Advice</w:t>
            </w:r>
          </w:p>
          <w:p w:rsidR="0021134E" w:rsidRPr="001811A6" w:rsidRDefault="0021134E" w:rsidP="000B309F">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sz w:val="20"/>
              </w:rPr>
            </w:pPr>
            <w:r w:rsidRPr="001811A6">
              <w:rPr>
                <w:rFonts w:ascii="Arial Narrow" w:hAnsi="Arial Narrow"/>
                <w:sz w:val="20"/>
              </w:rPr>
              <w:t xml:space="preserve">Applications for authority to prescribe should be forwarded to: </w:t>
            </w:r>
          </w:p>
          <w:p w:rsidR="0021134E" w:rsidRPr="001811A6" w:rsidRDefault="0021134E" w:rsidP="000B309F">
            <w:pPr>
              <w:rPr>
                <w:rFonts w:ascii="Arial Narrow" w:hAnsi="Arial Narrow"/>
                <w:sz w:val="20"/>
              </w:rPr>
            </w:pPr>
            <w:r w:rsidRPr="001811A6">
              <w:rPr>
                <w:rFonts w:ascii="Arial Narrow" w:hAnsi="Arial Narrow"/>
                <w:sz w:val="20"/>
              </w:rPr>
              <w:t>Department of Human Services</w:t>
            </w:r>
          </w:p>
          <w:p w:rsidR="0021134E" w:rsidRPr="001811A6" w:rsidRDefault="0021134E" w:rsidP="000B309F">
            <w:pPr>
              <w:rPr>
                <w:rFonts w:ascii="Arial Narrow" w:hAnsi="Arial Narrow"/>
                <w:sz w:val="20"/>
              </w:rPr>
            </w:pPr>
            <w:r w:rsidRPr="001811A6">
              <w:rPr>
                <w:rFonts w:ascii="Arial Narrow" w:hAnsi="Arial Narrow"/>
                <w:sz w:val="20"/>
              </w:rPr>
              <w:t xml:space="preserve">Prior Written Approval of Complex Drugs </w:t>
            </w:r>
          </w:p>
          <w:p w:rsidR="0021134E" w:rsidRPr="001811A6" w:rsidRDefault="0021134E" w:rsidP="000B309F">
            <w:pPr>
              <w:rPr>
                <w:rFonts w:ascii="Arial Narrow" w:hAnsi="Arial Narrow"/>
                <w:sz w:val="20"/>
              </w:rPr>
            </w:pPr>
            <w:r w:rsidRPr="001811A6">
              <w:rPr>
                <w:rFonts w:ascii="Arial Narrow" w:hAnsi="Arial Narrow"/>
                <w:sz w:val="20"/>
              </w:rPr>
              <w:t xml:space="preserve">Reply Paid 9826 </w:t>
            </w:r>
          </w:p>
          <w:p w:rsidR="0021134E" w:rsidRPr="001811A6" w:rsidRDefault="0021134E" w:rsidP="000B309F">
            <w:pPr>
              <w:rPr>
                <w:rFonts w:ascii="Arial Narrow" w:hAnsi="Arial Narrow"/>
                <w:sz w:val="20"/>
              </w:rPr>
            </w:pPr>
            <w:r w:rsidRPr="001811A6">
              <w:rPr>
                <w:rFonts w:ascii="Arial Narrow" w:hAnsi="Arial Narrow"/>
                <w:sz w:val="20"/>
              </w:rPr>
              <w:t xml:space="preserve">GPO Box 9826 </w:t>
            </w:r>
          </w:p>
          <w:p w:rsidR="0021134E" w:rsidRPr="001811A6" w:rsidRDefault="0021134E" w:rsidP="000B309F">
            <w:pPr>
              <w:rPr>
                <w:rFonts w:ascii="Arial Narrow" w:hAnsi="Arial Narrow"/>
                <w:sz w:val="20"/>
              </w:rPr>
            </w:pPr>
            <w:r w:rsidRPr="001811A6">
              <w:rPr>
                <w:rFonts w:ascii="Arial Narrow" w:hAnsi="Arial Narrow"/>
                <w:sz w:val="20"/>
              </w:rPr>
              <w:t>HOBART TAS 7001</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i/>
                <w:sz w:val="20"/>
              </w:rPr>
            </w:pPr>
            <w:r w:rsidRPr="001811A6">
              <w:rPr>
                <w:rFonts w:ascii="Arial Narrow" w:hAnsi="Arial Narrow"/>
                <w:i/>
                <w:sz w:val="20"/>
              </w:rPr>
              <w:t>Special Pricing Arrangements apply.</w:t>
            </w:r>
          </w:p>
          <w:p w:rsidR="0021134E" w:rsidRPr="001811A6" w:rsidRDefault="0021134E" w:rsidP="000B309F">
            <w:pPr>
              <w:rPr>
                <w:rFonts w:ascii="Arial Narrow" w:hAnsi="Arial Narrow"/>
                <w:sz w:val="20"/>
              </w:rPr>
            </w:pPr>
          </w:p>
        </w:tc>
      </w:tr>
    </w:tbl>
    <w:p w:rsidR="0021134E" w:rsidRPr="001811A6" w:rsidRDefault="0021134E" w:rsidP="003C1346">
      <w:pPr>
        <w:pStyle w:val="PBACHeading1"/>
        <w:numPr>
          <w:ilvl w:val="0"/>
          <w:numId w:val="0"/>
        </w:numPr>
        <w:ind w:left="720"/>
      </w:pPr>
    </w:p>
    <w:tbl>
      <w:tblPr>
        <w:tblW w:w="8505" w:type="dxa"/>
        <w:tblInd w:w="817" w:type="dxa"/>
        <w:tblLayout w:type="fixed"/>
        <w:tblLook w:val="0000" w:firstRow="0" w:lastRow="0" w:firstColumn="0" w:lastColumn="0" w:noHBand="0" w:noVBand="0"/>
      </w:tblPr>
      <w:tblGrid>
        <w:gridCol w:w="2126"/>
        <w:gridCol w:w="6379"/>
      </w:tblGrid>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 xml:space="preserve">Category / </w:t>
            </w:r>
          </w:p>
          <w:p w:rsidR="0021134E" w:rsidRPr="001811A6" w:rsidRDefault="0021134E" w:rsidP="000B309F">
            <w:pPr>
              <w:rPr>
                <w:rFonts w:ascii="Arial Narrow" w:hAnsi="Arial Narrow"/>
                <w:b/>
                <w:sz w:val="20"/>
              </w:rPr>
            </w:pPr>
            <w:r w:rsidRPr="001811A6">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GENERAL – General Schedule (Code GE)</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Prescriber type:</w:t>
            </w:r>
          </w:p>
          <w:p w:rsidR="0021134E" w:rsidRPr="001811A6" w:rsidRDefault="0021134E" w:rsidP="000B309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Metastatic or locally advanced</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Basal cell carcinoma</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Metastatic or locally advanced basal cell carcinoma</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Continuing</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lastRenderedPageBreak/>
              <w:t>Restriction Level / Method:</w:t>
            </w:r>
          </w:p>
          <w:p w:rsidR="0021134E" w:rsidRPr="001811A6" w:rsidRDefault="0021134E" w:rsidP="000B309F">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21134E" w:rsidRPr="001811A6" w:rsidRDefault="0021134E" w:rsidP="000B309F">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21134E" w:rsidRPr="001811A6" w:rsidTr="00D941DF">
        <w:trPr>
          <w:cantSplit/>
          <w:trHeight w:val="1717"/>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Clinical criteria:</w:t>
            </w:r>
          </w:p>
          <w:p w:rsidR="0021134E" w:rsidRPr="001811A6" w:rsidRDefault="0021134E" w:rsidP="000B309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trike/>
                <w:sz w:val="20"/>
              </w:rPr>
              <w:t xml:space="preserve">The treatment must be for patients who have previously received PBS-subsidised treatment with vismodegib </w:t>
            </w:r>
            <w:r w:rsidRPr="001811A6">
              <w:rPr>
                <w:rFonts w:ascii="Arial Narrow" w:hAnsi="Arial Narrow"/>
                <w:i/>
                <w:sz w:val="20"/>
              </w:rPr>
              <w:t>Patient must have previously been issued with an authority prescription for</w:t>
            </w:r>
            <w:r w:rsidRPr="001811A6">
              <w:rPr>
                <w:rFonts w:ascii="Arial Narrow" w:hAnsi="Arial Narrow"/>
                <w:sz w:val="20"/>
              </w:rPr>
              <w:t xml:space="preserve"> </w:t>
            </w:r>
            <w:r w:rsidRPr="001811A6">
              <w:rPr>
                <w:rFonts w:ascii="Arial Narrow" w:hAnsi="Arial Narrow"/>
                <w:i/>
                <w:sz w:val="20"/>
              </w:rPr>
              <w:t>this drug</w:t>
            </w:r>
            <w:r w:rsidRPr="001811A6">
              <w:rPr>
                <w:rFonts w:ascii="Arial Narrow" w:hAnsi="Arial Narrow"/>
                <w:sz w:val="20"/>
              </w:rPr>
              <w:t xml:space="preserve"> for this condition</w:t>
            </w:r>
          </w:p>
          <w:p w:rsidR="0021134E" w:rsidRPr="001811A6" w:rsidRDefault="0021134E" w:rsidP="000B309F">
            <w:pPr>
              <w:rPr>
                <w:rFonts w:ascii="Arial Narrow" w:hAnsi="Arial Narrow"/>
                <w:sz w:val="20"/>
              </w:rPr>
            </w:pPr>
            <w:r w:rsidRPr="001811A6">
              <w:rPr>
                <w:rFonts w:ascii="Arial Narrow" w:hAnsi="Arial Narrow"/>
                <w:sz w:val="20"/>
              </w:rPr>
              <w:t>AND</w:t>
            </w:r>
          </w:p>
          <w:p w:rsidR="0021134E" w:rsidRPr="001811A6" w:rsidRDefault="0021134E" w:rsidP="000B309F">
            <w:pPr>
              <w:rPr>
                <w:rFonts w:ascii="Arial Narrow" w:hAnsi="Arial Narrow"/>
                <w:sz w:val="20"/>
              </w:rPr>
            </w:pPr>
            <w:r w:rsidRPr="001811A6">
              <w:rPr>
                <w:rFonts w:ascii="Arial Narrow" w:hAnsi="Arial Narrow"/>
                <w:sz w:val="20"/>
              </w:rPr>
              <w:t>Patient must not have progressive disease</w:t>
            </w:r>
          </w:p>
          <w:p w:rsidR="0021134E" w:rsidRPr="001811A6" w:rsidRDefault="0021134E" w:rsidP="000B309F">
            <w:pPr>
              <w:rPr>
                <w:rFonts w:ascii="Arial Narrow" w:hAnsi="Arial Narrow"/>
                <w:sz w:val="20"/>
              </w:rPr>
            </w:pPr>
            <w:r w:rsidRPr="001811A6">
              <w:rPr>
                <w:rFonts w:ascii="Arial Narrow" w:hAnsi="Arial Narrow"/>
                <w:sz w:val="20"/>
              </w:rPr>
              <w:t>AND</w:t>
            </w:r>
          </w:p>
          <w:p w:rsidR="0021134E" w:rsidRPr="001811A6" w:rsidRDefault="0021134E" w:rsidP="000B309F">
            <w:pPr>
              <w:rPr>
                <w:rFonts w:ascii="Arial Narrow" w:hAnsi="Arial Narrow"/>
                <w:sz w:val="20"/>
              </w:rPr>
            </w:pPr>
            <w:r w:rsidRPr="001811A6">
              <w:rPr>
                <w:rFonts w:ascii="Arial Narrow" w:hAnsi="Arial Narrow"/>
                <w:sz w:val="20"/>
              </w:rPr>
              <w:t>The patient must remain inappropriate for surgery and radiotherapy</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Prescriber Instructions</w:t>
            </w:r>
          </w:p>
          <w:p w:rsidR="0021134E" w:rsidRPr="001811A6" w:rsidRDefault="0021134E" w:rsidP="000B309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Authority applications for continuing treatment must include:</w:t>
            </w:r>
          </w:p>
          <w:p w:rsidR="0021134E" w:rsidRPr="001811A6" w:rsidRDefault="0021134E" w:rsidP="000B309F">
            <w:pPr>
              <w:rPr>
                <w:rFonts w:ascii="Arial Narrow" w:hAnsi="Arial Narrow"/>
                <w:sz w:val="20"/>
              </w:rPr>
            </w:pPr>
            <w:r w:rsidRPr="001811A6">
              <w:rPr>
                <w:rFonts w:ascii="Arial Narrow" w:hAnsi="Arial Narrow"/>
                <w:sz w:val="20"/>
              </w:rPr>
              <w:t>A completed authority prescription form</w:t>
            </w:r>
          </w:p>
          <w:p w:rsidR="0021134E" w:rsidRPr="001811A6" w:rsidRDefault="0021134E" w:rsidP="000B309F">
            <w:pPr>
              <w:rPr>
                <w:rFonts w:ascii="Arial Narrow" w:hAnsi="Arial Narrow"/>
                <w:sz w:val="20"/>
              </w:rPr>
            </w:pPr>
            <w:r w:rsidRPr="001811A6">
              <w:rPr>
                <w:rFonts w:ascii="Arial Narrow" w:hAnsi="Arial Narrow"/>
                <w:sz w:val="20"/>
              </w:rPr>
              <w:t>Histological confirmation of BCC</w:t>
            </w:r>
          </w:p>
          <w:p w:rsidR="0021134E" w:rsidRPr="001811A6" w:rsidRDefault="0021134E" w:rsidP="000B309F">
            <w:pPr>
              <w:rPr>
                <w:rFonts w:ascii="Arial Narrow" w:hAnsi="Arial Narrow"/>
                <w:sz w:val="20"/>
              </w:rPr>
            </w:pPr>
            <w:r w:rsidRPr="001811A6">
              <w:rPr>
                <w:rFonts w:ascii="Arial Narrow" w:hAnsi="Arial Narrow"/>
                <w:sz w:val="20"/>
              </w:rPr>
              <w:t>A report from a surgically qualified clinician and radiation oncologist demonstrating continued inappropriateness for surgery and curative radiotherapy</w:t>
            </w:r>
          </w:p>
          <w:p w:rsidR="0021134E" w:rsidRPr="001811A6" w:rsidRDefault="0021134E" w:rsidP="000B309F">
            <w:pPr>
              <w:rPr>
                <w:rFonts w:ascii="Arial Narrow" w:hAnsi="Arial Narrow"/>
                <w:sz w:val="20"/>
              </w:rPr>
            </w:pPr>
            <w:r w:rsidRPr="001811A6">
              <w:rPr>
                <w:rFonts w:ascii="Arial Narrow" w:hAnsi="Arial Narrow"/>
                <w:sz w:val="20"/>
              </w:rPr>
              <w:t>A statement form from the prescribing doctor that the disease has not progressed</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b/>
                <w:sz w:val="20"/>
              </w:rPr>
            </w:pPr>
            <w:r w:rsidRPr="001811A6">
              <w:rPr>
                <w:rFonts w:ascii="Arial Narrow" w:hAnsi="Arial Narrow"/>
                <w:b/>
                <w:sz w:val="20"/>
              </w:rPr>
              <w:t>Inappropriate for surgery is defined as:</w:t>
            </w:r>
          </w:p>
          <w:p w:rsidR="0021134E" w:rsidRPr="001811A6" w:rsidRDefault="0021134E" w:rsidP="000B309F">
            <w:pPr>
              <w:rPr>
                <w:rFonts w:ascii="Arial Narrow" w:hAnsi="Arial Narrow"/>
                <w:sz w:val="20"/>
              </w:rPr>
            </w:pPr>
            <w:r w:rsidRPr="001811A6">
              <w:rPr>
                <w:rFonts w:ascii="Arial Narrow" w:hAnsi="Arial Narrow"/>
                <w:sz w:val="20"/>
              </w:rPr>
              <w:t>Curative resection is unlikely, such as where BCC has recurred in the same location after two or more surgical procedures; and/or</w:t>
            </w:r>
          </w:p>
          <w:p w:rsidR="0021134E" w:rsidRPr="001811A6" w:rsidRDefault="0021134E" w:rsidP="000B309F">
            <w:pPr>
              <w:rPr>
                <w:rFonts w:ascii="Arial Narrow" w:hAnsi="Arial Narrow"/>
                <w:sz w:val="20"/>
              </w:rPr>
            </w:pPr>
            <w:r w:rsidRPr="001811A6">
              <w:rPr>
                <w:rFonts w:ascii="Arial Narrow" w:hAnsi="Arial Narrow"/>
                <w:sz w:val="20"/>
              </w:rPr>
              <w:t>Anticipated substantial morbidity and/or deformity from surgery or requiring complicated reconstructive surgery (e.g. removal of all or part of a facial structure, such as nose, ear, eyelid, eye; or requirement for limb amputation or free tissue transfer); and/or</w:t>
            </w:r>
          </w:p>
          <w:p w:rsidR="0021134E" w:rsidRPr="001811A6" w:rsidRDefault="0021134E" w:rsidP="000B309F">
            <w:pPr>
              <w:rPr>
                <w:rFonts w:ascii="Arial Narrow" w:hAnsi="Arial Narrow"/>
                <w:sz w:val="20"/>
              </w:rPr>
            </w:pPr>
            <w:r w:rsidRPr="001811A6">
              <w:rPr>
                <w:rFonts w:ascii="Arial Narrow" w:hAnsi="Arial Narrow"/>
                <w:sz w:val="20"/>
              </w:rPr>
              <w:t>Medical contraindication to surgery</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b/>
                <w:sz w:val="20"/>
              </w:rPr>
            </w:pPr>
            <w:r w:rsidRPr="001811A6">
              <w:rPr>
                <w:rFonts w:ascii="Arial Narrow" w:hAnsi="Arial Narrow"/>
                <w:b/>
                <w:sz w:val="20"/>
              </w:rPr>
              <w:t>Inappropriate for curative radiotherapy is defined as:</w:t>
            </w:r>
          </w:p>
          <w:p w:rsidR="0021134E" w:rsidRPr="001811A6" w:rsidRDefault="0021134E" w:rsidP="000B309F">
            <w:pPr>
              <w:rPr>
                <w:rFonts w:ascii="Arial Narrow" w:hAnsi="Arial Narrow"/>
                <w:sz w:val="20"/>
              </w:rPr>
            </w:pPr>
            <w:r w:rsidRPr="001811A6">
              <w:rPr>
                <w:rFonts w:ascii="Arial Narrow" w:hAnsi="Arial Narrow"/>
                <w:sz w:val="20"/>
              </w:rPr>
              <w:t>Hypersensitivity to radiation due to genetic syndrome such as Gorlin Syndrome; and/or</w:t>
            </w:r>
          </w:p>
          <w:p w:rsidR="0021134E" w:rsidRPr="001811A6" w:rsidRDefault="0021134E" w:rsidP="000B309F">
            <w:pPr>
              <w:rPr>
                <w:rFonts w:ascii="Arial Narrow" w:hAnsi="Arial Narrow"/>
                <w:sz w:val="20"/>
              </w:rPr>
            </w:pPr>
            <w:r w:rsidRPr="001811A6">
              <w:rPr>
                <w:rFonts w:ascii="Arial Narrow" w:hAnsi="Arial Narrow"/>
                <w:sz w:val="20"/>
              </w:rPr>
              <w:t>Limitations due to location of tumour; and/or</w:t>
            </w:r>
          </w:p>
          <w:p w:rsidR="0021134E" w:rsidRPr="001811A6" w:rsidRDefault="0021134E" w:rsidP="000B309F">
            <w:pPr>
              <w:rPr>
                <w:rFonts w:ascii="Arial Narrow" w:hAnsi="Arial Narrow"/>
                <w:sz w:val="20"/>
              </w:rPr>
            </w:pPr>
            <w:r w:rsidRPr="001811A6">
              <w:rPr>
                <w:rFonts w:ascii="Arial Narrow" w:hAnsi="Arial Narrow"/>
                <w:sz w:val="20"/>
              </w:rPr>
              <w:t>Limitations due to cumulative prior radiotherapy dose; and/or</w:t>
            </w:r>
          </w:p>
          <w:p w:rsidR="0021134E" w:rsidRPr="001811A6" w:rsidRDefault="0021134E" w:rsidP="000B309F">
            <w:pPr>
              <w:rPr>
                <w:rFonts w:ascii="Arial Narrow" w:hAnsi="Arial Narrow"/>
                <w:sz w:val="20"/>
              </w:rPr>
            </w:pPr>
            <w:r w:rsidRPr="001811A6">
              <w:rPr>
                <w:rFonts w:ascii="Arial Narrow" w:hAnsi="Arial Narrow"/>
                <w:sz w:val="20"/>
              </w:rPr>
              <w:t>Progressive disease despite prior irradiation of locally advanced BCC</w:t>
            </w:r>
          </w:p>
        </w:tc>
      </w:tr>
      <w:tr w:rsidR="0021134E" w:rsidRPr="001811A6" w:rsidTr="00D941DF">
        <w:trPr>
          <w:cantSplit/>
          <w:trHeight w:val="360"/>
        </w:trPr>
        <w:tc>
          <w:tcPr>
            <w:tcW w:w="2126"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b/>
                <w:sz w:val="20"/>
              </w:rPr>
            </w:pPr>
            <w:r w:rsidRPr="001811A6">
              <w:rPr>
                <w:rFonts w:ascii="Arial Narrow" w:hAnsi="Arial Narrow"/>
                <w:b/>
                <w:sz w:val="20"/>
              </w:rPr>
              <w:t>Administrative Advice</w:t>
            </w:r>
          </w:p>
          <w:p w:rsidR="0021134E" w:rsidRPr="001811A6" w:rsidRDefault="0021134E" w:rsidP="000B309F">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21134E" w:rsidRPr="001811A6" w:rsidRDefault="0021134E" w:rsidP="000B309F">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sz w:val="20"/>
              </w:rPr>
            </w:pPr>
            <w:r w:rsidRPr="001811A6">
              <w:rPr>
                <w:rFonts w:ascii="Arial Narrow" w:hAnsi="Arial Narrow"/>
                <w:sz w:val="20"/>
              </w:rPr>
              <w:t xml:space="preserve">Applications for authority to prescribe should be forwarded to: </w:t>
            </w:r>
          </w:p>
          <w:p w:rsidR="0021134E" w:rsidRPr="001811A6" w:rsidRDefault="0021134E" w:rsidP="000B309F">
            <w:pPr>
              <w:rPr>
                <w:rFonts w:ascii="Arial Narrow" w:hAnsi="Arial Narrow"/>
                <w:sz w:val="20"/>
              </w:rPr>
            </w:pPr>
            <w:r w:rsidRPr="001811A6">
              <w:rPr>
                <w:rFonts w:ascii="Arial Narrow" w:hAnsi="Arial Narrow"/>
                <w:sz w:val="20"/>
              </w:rPr>
              <w:t>Department of Human Services</w:t>
            </w:r>
          </w:p>
          <w:p w:rsidR="0021134E" w:rsidRPr="001811A6" w:rsidRDefault="0021134E" w:rsidP="000B309F">
            <w:pPr>
              <w:rPr>
                <w:rFonts w:ascii="Arial Narrow" w:hAnsi="Arial Narrow"/>
                <w:sz w:val="20"/>
              </w:rPr>
            </w:pPr>
            <w:r w:rsidRPr="001811A6">
              <w:rPr>
                <w:rFonts w:ascii="Arial Narrow" w:hAnsi="Arial Narrow"/>
                <w:sz w:val="20"/>
              </w:rPr>
              <w:t xml:space="preserve">Prior Written Approval of Complex Drugs </w:t>
            </w:r>
          </w:p>
          <w:p w:rsidR="0021134E" w:rsidRPr="001811A6" w:rsidRDefault="0021134E" w:rsidP="000B309F">
            <w:pPr>
              <w:rPr>
                <w:rFonts w:ascii="Arial Narrow" w:hAnsi="Arial Narrow"/>
                <w:sz w:val="20"/>
              </w:rPr>
            </w:pPr>
            <w:r w:rsidRPr="001811A6">
              <w:rPr>
                <w:rFonts w:ascii="Arial Narrow" w:hAnsi="Arial Narrow"/>
                <w:sz w:val="20"/>
              </w:rPr>
              <w:t xml:space="preserve">Reply Paid 9826 </w:t>
            </w:r>
          </w:p>
          <w:p w:rsidR="0021134E" w:rsidRPr="001811A6" w:rsidRDefault="0021134E" w:rsidP="000B309F">
            <w:pPr>
              <w:rPr>
                <w:rFonts w:ascii="Arial Narrow" w:hAnsi="Arial Narrow"/>
                <w:sz w:val="20"/>
              </w:rPr>
            </w:pPr>
            <w:r w:rsidRPr="001811A6">
              <w:rPr>
                <w:rFonts w:ascii="Arial Narrow" w:hAnsi="Arial Narrow"/>
                <w:sz w:val="20"/>
              </w:rPr>
              <w:t xml:space="preserve">GPO Box 9826 </w:t>
            </w:r>
          </w:p>
          <w:p w:rsidR="0021134E" w:rsidRPr="001811A6" w:rsidRDefault="0021134E" w:rsidP="000B309F">
            <w:pPr>
              <w:rPr>
                <w:rFonts w:ascii="Arial Narrow" w:hAnsi="Arial Narrow"/>
                <w:sz w:val="20"/>
              </w:rPr>
            </w:pPr>
            <w:r w:rsidRPr="001811A6">
              <w:rPr>
                <w:rFonts w:ascii="Arial Narrow" w:hAnsi="Arial Narrow"/>
                <w:sz w:val="20"/>
              </w:rPr>
              <w:t>HOBART TAS 7001</w:t>
            </w:r>
          </w:p>
          <w:p w:rsidR="0021134E" w:rsidRPr="001811A6" w:rsidRDefault="0021134E" w:rsidP="000B309F">
            <w:pPr>
              <w:rPr>
                <w:rFonts w:ascii="Arial Narrow" w:hAnsi="Arial Narrow"/>
                <w:sz w:val="20"/>
              </w:rPr>
            </w:pPr>
          </w:p>
          <w:p w:rsidR="0021134E" w:rsidRPr="001811A6" w:rsidRDefault="0021134E" w:rsidP="000B309F">
            <w:pPr>
              <w:rPr>
                <w:rFonts w:ascii="Arial Narrow" w:hAnsi="Arial Narrow"/>
                <w:i/>
                <w:sz w:val="20"/>
              </w:rPr>
            </w:pPr>
            <w:r w:rsidRPr="001811A6">
              <w:rPr>
                <w:rFonts w:ascii="Arial Narrow" w:hAnsi="Arial Narrow"/>
                <w:i/>
                <w:sz w:val="20"/>
              </w:rPr>
              <w:t>Special Pricing Arrangements apply.</w:t>
            </w:r>
          </w:p>
          <w:p w:rsidR="0021134E" w:rsidRPr="001811A6" w:rsidRDefault="0021134E" w:rsidP="000B309F">
            <w:pPr>
              <w:rPr>
                <w:rFonts w:ascii="Arial Narrow" w:hAnsi="Arial Narrow"/>
                <w:sz w:val="20"/>
              </w:rPr>
            </w:pPr>
          </w:p>
        </w:tc>
      </w:tr>
    </w:tbl>
    <w:p w:rsidR="0021134E" w:rsidRPr="001811A6" w:rsidRDefault="0021134E" w:rsidP="003C1346">
      <w:pPr>
        <w:pStyle w:val="PBACHeading1"/>
        <w:numPr>
          <w:ilvl w:val="0"/>
          <w:numId w:val="0"/>
        </w:numPr>
      </w:pPr>
    </w:p>
    <w:p w:rsidR="006A7881" w:rsidRPr="001811A6" w:rsidRDefault="006A7881" w:rsidP="006A7881"/>
    <w:p w:rsidR="00871FAD" w:rsidRPr="001811A6" w:rsidRDefault="00871FAD" w:rsidP="00B4462B">
      <w:pPr>
        <w:pStyle w:val="ListParagraph"/>
        <w:widowControl/>
        <w:numPr>
          <w:ilvl w:val="1"/>
          <w:numId w:val="1"/>
        </w:numPr>
        <w:rPr>
          <w:szCs w:val="22"/>
        </w:rPr>
      </w:pPr>
      <w:r w:rsidRPr="001811A6">
        <w:rPr>
          <w:szCs w:val="22"/>
        </w:rPr>
        <w:lastRenderedPageBreak/>
        <w:t xml:space="preserve">The ESC </w:t>
      </w:r>
      <w:r w:rsidRPr="001811A6">
        <w:t>considered that the definition</w:t>
      </w:r>
      <w:r w:rsidR="00587C47" w:rsidRPr="001811A6">
        <w:t xml:space="preserve"> in the restriction</w:t>
      </w:r>
      <w:r w:rsidRPr="001811A6">
        <w:t xml:space="preserve"> for ‘inappropriate for surgery and curative radiotherapy’ could be subjective and that this may lead to leakage</w:t>
      </w:r>
      <w:r w:rsidR="004901F4">
        <w:t xml:space="preserve"> to a broader patient population</w:t>
      </w:r>
      <w:r w:rsidRPr="001811A6">
        <w:t xml:space="preserve">, or to the use of vismodegib as a neoadjuvant therapy. </w:t>
      </w:r>
      <w:r w:rsidR="00EF4998" w:rsidRPr="001811A6">
        <w:t>The PBAC considered that the definition of condition in the restriction was acceptable</w:t>
      </w:r>
    </w:p>
    <w:p w:rsidR="00871FAD" w:rsidRPr="001811A6" w:rsidRDefault="00871FAD" w:rsidP="00587C47">
      <w:pPr>
        <w:pStyle w:val="ListParagraph"/>
        <w:widowControl/>
        <w:rPr>
          <w:szCs w:val="22"/>
        </w:rPr>
      </w:pPr>
    </w:p>
    <w:p w:rsidR="006A7881" w:rsidRPr="001811A6" w:rsidRDefault="006A7881" w:rsidP="00B4462B">
      <w:pPr>
        <w:pStyle w:val="ListParagraph"/>
        <w:widowControl/>
        <w:numPr>
          <w:ilvl w:val="1"/>
          <w:numId w:val="1"/>
        </w:numPr>
        <w:rPr>
          <w:szCs w:val="22"/>
        </w:rPr>
      </w:pPr>
      <w:r w:rsidRPr="001811A6">
        <w:rPr>
          <w:szCs w:val="22"/>
        </w:rPr>
        <w:t xml:space="preserve">The submission requested listing on the basis of relative cost-effectiveness compared with surgery. </w:t>
      </w:r>
    </w:p>
    <w:p w:rsidR="00B4462B" w:rsidRPr="001811A6" w:rsidRDefault="00B4462B" w:rsidP="00B4462B">
      <w:pPr>
        <w:pStyle w:val="ListParagraph"/>
        <w:ind w:left="709"/>
        <w:rPr>
          <w:i/>
          <w:szCs w:val="22"/>
        </w:rPr>
      </w:pPr>
    </w:p>
    <w:p w:rsidR="00B4462B" w:rsidRPr="001811A6" w:rsidRDefault="00B4462B" w:rsidP="003F04E9">
      <w:pPr>
        <w:pStyle w:val="ListParagraph"/>
        <w:ind w:left="709"/>
        <w:rPr>
          <w:i/>
          <w:szCs w:val="22"/>
        </w:rPr>
      </w:pPr>
      <w:r w:rsidRPr="001811A6">
        <w:rPr>
          <w:i/>
          <w:szCs w:val="22"/>
        </w:rPr>
        <w:t>For more detail on PBAC’s view, see section 7 “PBAC outcome”</w:t>
      </w:r>
    </w:p>
    <w:p w:rsidR="00B4462B" w:rsidRPr="001811A6" w:rsidRDefault="00B4462B" w:rsidP="00B4462B">
      <w:pPr>
        <w:widowControl/>
        <w:jc w:val="left"/>
      </w:pPr>
    </w:p>
    <w:p w:rsidR="006A7881" w:rsidRPr="001811A6" w:rsidRDefault="006A7881" w:rsidP="006A7881"/>
    <w:p w:rsidR="006A7881" w:rsidRPr="001811A6" w:rsidRDefault="006A7881" w:rsidP="00394DDC">
      <w:pPr>
        <w:pStyle w:val="Heading1"/>
      </w:pPr>
      <w:bookmarkStart w:id="7" w:name="_Toc392858191"/>
      <w:bookmarkStart w:id="8" w:name="_Toc441050271"/>
      <w:r w:rsidRPr="001811A6">
        <w:t>Background</w:t>
      </w:r>
      <w:bookmarkEnd w:id="7"/>
      <w:bookmarkEnd w:id="8"/>
    </w:p>
    <w:p w:rsidR="00500D43" w:rsidRPr="001811A6" w:rsidRDefault="00500D43" w:rsidP="0021134E">
      <w:pPr>
        <w:keepNext/>
        <w:widowControl/>
        <w:rPr>
          <w:szCs w:val="22"/>
        </w:rPr>
      </w:pPr>
    </w:p>
    <w:p w:rsidR="006A7881" w:rsidRPr="001811A6" w:rsidRDefault="006A7881" w:rsidP="00B4462B">
      <w:pPr>
        <w:pStyle w:val="ListParagraph"/>
        <w:keepNext/>
        <w:widowControl/>
        <w:numPr>
          <w:ilvl w:val="1"/>
          <w:numId w:val="1"/>
        </w:numPr>
        <w:rPr>
          <w:szCs w:val="22"/>
        </w:rPr>
      </w:pPr>
      <w:r w:rsidRPr="001811A6">
        <w:rPr>
          <w:szCs w:val="22"/>
        </w:rPr>
        <w:t xml:space="preserve">Vismodegib was TGA registered on 9 May 2013 for the treatment of adult patients with metastatic or locally advanced BCC where surgery and/or </w:t>
      </w:r>
      <w:r w:rsidR="008F2EE8">
        <w:rPr>
          <w:szCs w:val="22"/>
        </w:rPr>
        <w:t>radiotherapy</w:t>
      </w:r>
      <w:r w:rsidRPr="001811A6">
        <w:rPr>
          <w:szCs w:val="22"/>
        </w:rPr>
        <w:t xml:space="preserve"> are not appropriate.</w:t>
      </w:r>
    </w:p>
    <w:p w:rsidR="006A7881" w:rsidRPr="001811A6" w:rsidRDefault="006A7881" w:rsidP="006A7881">
      <w:pPr>
        <w:pStyle w:val="ListParagraph"/>
        <w:rPr>
          <w:szCs w:val="22"/>
        </w:rPr>
      </w:pPr>
    </w:p>
    <w:p w:rsidR="006A7881" w:rsidRPr="001811A6" w:rsidRDefault="006A7881" w:rsidP="006A7881">
      <w:r w:rsidRPr="001811A6">
        <w:t>3.2</w:t>
      </w:r>
      <w:r w:rsidRPr="001811A6">
        <w:tab/>
        <w:t>Vismodegib has not been considered by PBAC previously for this indication.</w:t>
      </w:r>
    </w:p>
    <w:p w:rsidR="00B4462B" w:rsidRPr="001811A6" w:rsidRDefault="00B4462B" w:rsidP="00B4462B">
      <w:pPr>
        <w:pStyle w:val="ListParagraph"/>
        <w:ind w:left="709"/>
        <w:rPr>
          <w:i/>
          <w:szCs w:val="22"/>
        </w:rPr>
      </w:pPr>
    </w:p>
    <w:p w:rsidR="006A7881" w:rsidRPr="001811A6" w:rsidRDefault="006A7881" w:rsidP="006A7881"/>
    <w:p w:rsidR="006A7881" w:rsidRPr="001811A6" w:rsidRDefault="006A7881" w:rsidP="00394DDC">
      <w:pPr>
        <w:pStyle w:val="Heading1"/>
      </w:pPr>
      <w:bookmarkStart w:id="9" w:name="_Toc392858192"/>
      <w:bookmarkStart w:id="10" w:name="_Toc441050272"/>
      <w:r w:rsidRPr="001811A6">
        <w:t>Clinical place for the proposed therapy</w:t>
      </w:r>
      <w:bookmarkEnd w:id="9"/>
      <w:bookmarkEnd w:id="10"/>
    </w:p>
    <w:p w:rsidR="006A7881" w:rsidRPr="001811A6" w:rsidRDefault="006A7881" w:rsidP="006A7881">
      <w:pPr>
        <w:rPr>
          <w:szCs w:val="22"/>
        </w:rPr>
      </w:pPr>
    </w:p>
    <w:p w:rsidR="006A7881" w:rsidRPr="001811A6" w:rsidRDefault="006A7881" w:rsidP="00B4462B">
      <w:pPr>
        <w:pStyle w:val="ListParagraph"/>
        <w:widowControl/>
        <w:numPr>
          <w:ilvl w:val="1"/>
          <w:numId w:val="1"/>
        </w:numPr>
        <w:rPr>
          <w:szCs w:val="22"/>
        </w:rPr>
      </w:pPr>
      <w:r w:rsidRPr="001811A6">
        <w:t xml:space="preserve">The proposed clinical treatment algorithm </w:t>
      </w:r>
      <w:r w:rsidR="00007A6F" w:rsidRPr="001811A6">
        <w:t xml:space="preserve">is simplified and does not encompass the complexity of metastatic and </w:t>
      </w:r>
      <w:r w:rsidR="003E39D1" w:rsidRPr="001811A6">
        <w:t>locally advanced</w:t>
      </w:r>
      <w:r w:rsidR="00007A6F" w:rsidRPr="001811A6">
        <w:t xml:space="preserve"> BCC, and </w:t>
      </w:r>
      <w:r w:rsidRPr="001811A6">
        <w:t xml:space="preserve">placed vismodegib as the only treatment for </w:t>
      </w:r>
      <w:r w:rsidR="00557F2B" w:rsidRPr="00443C8C">
        <w:t xml:space="preserve">all </w:t>
      </w:r>
      <w:r w:rsidRPr="00443C8C">
        <w:t>patients with</w:t>
      </w:r>
      <w:r w:rsidRPr="001811A6">
        <w:t xml:space="preserve"> BCC </w:t>
      </w:r>
      <w:r w:rsidR="00F15C9E" w:rsidRPr="001811A6">
        <w:t xml:space="preserve">who </w:t>
      </w:r>
      <w:r w:rsidR="00897C0C" w:rsidRPr="001811A6">
        <w:t xml:space="preserve">are </w:t>
      </w:r>
      <w:r w:rsidRPr="001811A6">
        <w:t xml:space="preserve">ineligible for radiotherapy and surgery. </w:t>
      </w:r>
      <w:r w:rsidR="00007A6F" w:rsidRPr="001811A6">
        <w:t xml:space="preserve">Whilst the definition of locally advanced BCC is being ineligible for surgery and radiotherapy, </w:t>
      </w:r>
      <w:r w:rsidR="001811A6">
        <w:t xml:space="preserve">a </w:t>
      </w:r>
      <w:r w:rsidR="00007A6F" w:rsidRPr="001811A6">
        <w:t>metastatic disease definition is not specified.</w:t>
      </w:r>
    </w:p>
    <w:p w:rsidR="006A7881" w:rsidRPr="001811A6" w:rsidRDefault="006A7881" w:rsidP="006A7881">
      <w:pPr>
        <w:widowControl/>
        <w:rPr>
          <w:szCs w:val="22"/>
        </w:rPr>
      </w:pPr>
    </w:p>
    <w:p w:rsidR="007F6ACC" w:rsidRPr="001811A6" w:rsidRDefault="00BB79D5" w:rsidP="00B4462B">
      <w:pPr>
        <w:pStyle w:val="ListParagraph"/>
        <w:numPr>
          <w:ilvl w:val="1"/>
          <w:numId w:val="1"/>
        </w:numPr>
      </w:pPr>
      <w:r w:rsidRPr="001811A6">
        <w:rPr>
          <w:szCs w:val="22"/>
        </w:rPr>
        <w:t xml:space="preserve">The proposed clinical algorithm was not consistent with PBS restriction </w:t>
      </w:r>
      <w:r w:rsidR="001811A6">
        <w:rPr>
          <w:szCs w:val="22"/>
        </w:rPr>
        <w:t xml:space="preserve">proposed </w:t>
      </w:r>
      <w:r w:rsidRPr="001811A6">
        <w:rPr>
          <w:szCs w:val="22"/>
        </w:rPr>
        <w:t xml:space="preserve">by the submission. </w:t>
      </w:r>
      <w:r w:rsidR="007F6ACC" w:rsidRPr="001811A6">
        <w:t xml:space="preserve">The submission placed vismodegib as the only treatment for adult patients with metastatic or locally advanced BCC where surgery and </w:t>
      </w:r>
      <w:r w:rsidR="008F2EE8">
        <w:t>radiotherapy</w:t>
      </w:r>
      <w:r w:rsidR="007F6ACC" w:rsidRPr="001811A6">
        <w:t xml:space="preserve"> are not appropriate. </w:t>
      </w:r>
    </w:p>
    <w:p w:rsidR="006A7881" w:rsidRPr="001811A6" w:rsidRDefault="006A7881" w:rsidP="006A7881">
      <w:pPr>
        <w:pStyle w:val="ListParagraph"/>
        <w:rPr>
          <w:szCs w:val="22"/>
        </w:rPr>
      </w:pPr>
    </w:p>
    <w:p w:rsidR="006A7881" w:rsidRPr="001811A6" w:rsidRDefault="006A7881" w:rsidP="00B4462B">
      <w:pPr>
        <w:pStyle w:val="ListParagraph"/>
        <w:widowControl/>
        <w:numPr>
          <w:ilvl w:val="1"/>
          <w:numId w:val="1"/>
        </w:numPr>
        <w:rPr>
          <w:szCs w:val="22"/>
        </w:rPr>
      </w:pPr>
      <w:r w:rsidRPr="001811A6">
        <w:rPr>
          <w:szCs w:val="22"/>
        </w:rPr>
        <w:t xml:space="preserve">The proposed PBS restriction was not consistent with the TGA registration. The proposed PBS restriction was for patients </w:t>
      </w:r>
      <w:r w:rsidR="00F15C9E" w:rsidRPr="001811A6">
        <w:rPr>
          <w:szCs w:val="22"/>
        </w:rPr>
        <w:t xml:space="preserve">who </w:t>
      </w:r>
      <w:r w:rsidRPr="001811A6">
        <w:rPr>
          <w:szCs w:val="22"/>
        </w:rPr>
        <w:t xml:space="preserve">were inappropriate for surgery AND </w:t>
      </w:r>
      <w:r w:rsidR="008F2EE8">
        <w:rPr>
          <w:szCs w:val="22"/>
        </w:rPr>
        <w:t>radiotherapy</w:t>
      </w:r>
      <w:r w:rsidRPr="001811A6">
        <w:rPr>
          <w:szCs w:val="22"/>
        </w:rPr>
        <w:t xml:space="preserve">; whereas, the TGA registration is for patients that were inappropriate for surgery AND/OR </w:t>
      </w:r>
      <w:r w:rsidR="008F2EE8">
        <w:rPr>
          <w:szCs w:val="22"/>
        </w:rPr>
        <w:t>radiotherapy</w:t>
      </w:r>
      <w:r w:rsidRPr="001811A6">
        <w:rPr>
          <w:szCs w:val="22"/>
        </w:rPr>
        <w:t>.</w:t>
      </w:r>
      <w:r w:rsidR="003E39D1" w:rsidRPr="001811A6">
        <w:rPr>
          <w:szCs w:val="22"/>
        </w:rPr>
        <w:t xml:space="preserve"> </w:t>
      </w:r>
      <w:r w:rsidR="003E39D1" w:rsidRPr="001811A6">
        <w:rPr>
          <w:iCs/>
        </w:rPr>
        <w:t xml:space="preserve">The Pre-Sub-Committee Response (PSCR) clarified that the requested listing is correct. The sponsor noted that this is a narrower listing than the TGA registration, requiring both surgery and </w:t>
      </w:r>
      <w:r w:rsidR="008F2EE8">
        <w:rPr>
          <w:iCs/>
        </w:rPr>
        <w:t>radiotherapy</w:t>
      </w:r>
      <w:r w:rsidR="003E39D1" w:rsidRPr="001811A6">
        <w:rPr>
          <w:iCs/>
        </w:rPr>
        <w:t xml:space="preserve"> to have been considered for the patient, and that this is consistent with the trial population. </w:t>
      </w:r>
    </w:p>
    <w:p w:rsidR="00B4462B" w:rsidRPr="001811A6" w:rsidRDefault="00B4462B" w:rsidP="00B4462B">
      <w:pPr>
        <w:pStyle w:val="ListParagraph"/>
        <w:ind w:left="709"/>
        <w:rPr>
          <w:szCs w:val="22"/>
        </w:rPr>
      </w:pPr>
    </w:p>
    <w:p w:rsidR="00B4462B" w:rsidRPr="001811A6" w:rsidRDefault="00B4462B" w:rsidP="003F04E9">
      <w:pPr>
        <w:pStyle w:val="ListParagraph"/>
        <w:ind w:left="709"/>
        <w:rPr>
          <w:i/>
          <w:szCs w:val="22"/>
        </w:rPr>
      </w:pPr>
      <w:r w:rsidRPr="001811A6">
        <w:rPr>
          <w:i/>
          <w:szCs w:val="22"/>
        </w:rPr>
        <w:t>For more detail on PBAC’s view, see section 7 “PBAC outcome”</w:t>
      </w:r>
    </w:p>
    <w:p w:rsidR="00B4462B" w:rsidRPr="001811A6" w:rsidRDefault="00B4462B" w:rsidP="00B4462B">
      <w:pPr>
        <w:widowControl/>
        <w:jc w:val="left"/>
      </w:pPr>
    </w:p>
    <w:p w:rsidR="006A7881" w:rsidRPr="001811A6" w:rsidRDefault="006A7881" w:rsidP="006A7881">
      <w:pPr>
        <w:pStyle w:val="Header"/>
        <w:rPr>
          <w:szCs w:val="22"/>
        </w:rPr>
      </w:pPr>
    </w:p>
    <w:p w:rsidR="006A7881" w:rsidRPr="001811A6" w:rsidRDefault="006A7881" w:rsidP="00394DDC">
      <w:pPr>
        <w:pStyle w:val="Heading1"/>
      </w:pPr>
      <w:bookmarkStart w:id="11" w:name="_Toc441050273"/>
      <w:r w:rsidRPr="001811A6">
        <w:t>Comparator</w:t>
      </w:r>
      <w:bookmarkEnd w:id="11"/>
    </w:p>
    <w:p w:rsidR="006A7881" w:rsidRPr="001811A6" w:rsidRDefault="006A7881" w:rsidP="006A7881"/>
    <w:p w:rsidR="00BB79D5" w:rsidRPr="001811A6" w:rsidRDefault="00BB79D5" w:rsidP="00B4462B">
      <w:pPr>
        <w:pStyle w:val="ListParagraph"/>
        <w:widowControl/>
        <w:numPr>
          <w:ilvl w:val="1"/>
          <w:numId w:val="1"/>
        </w:numPr>
        <w:rPr>
          <w:szCs w:val="22"/>
        </w:rPr>
      </w:pPr>
      <w:r w:rsidRPr="001811A6">
        <w:t>The submission nominated two comparators: surgery and best supportive care.</w:t>
      </w:r>
      <w:r w:rsidR="00995FDB" w:rsidRPr="001811A6">
        <w:t xml:space="preserve"> </w:t>
      </w:r>
      <w:r w:rsidR="00127AB9" w:rsidRPr="001811A6">
        <w:t xml:space="preserve">The </w:t>
      </w:r>
      <w:r w:rsidR="003E39D1" w:rsidRPr="001811A6">
        <w:t>ESC agreed that t</w:t>
      </w:r>
      <w:r w:rsidR="00995FDB" w:rsidRPr="001811A6">
        <w:t>hese were appropriate</w:t>
      </w:r>
      <w:r w:rsidR="003E39D1" w:rsidRPr="001811A6">
        <w:t xml:space="preserve"> comparators.</w:t>
      </w:r>
      <w:r w:rsidR="00992D85" w:rsidRPr="001811A6">
        <w:t xml:space="preserve"> </w:t>
      </w:r>
      <w:r w:rsidR="00992D85" w:rsidRPr="001811A6">
        <w:rPr>
          <w:iCs/>
        </w:rPr>
        <w:t xml:space="preserve">The PBAC </w:t>
      </w:r>
      <w:r w:rsidR="00125DEE">
        <w:rPr>
          <w:iCs/>
        </w:rPr>
        <w:t>was made aware that</w:t>
      </w:r>
      <w:r w:rsidR="00992D85" w:rsidRPr="001811A6">
        <w:rPr>
          <w:iCs/>
        </w:rPr>
        <w:t xml:space="preserve"> another oral </w:t>
      </w:r>
      <w:r w:rsidR="0011493F">
        <w:rPr>
          <w:iCs/>
        </w:rPr>
        <w:t>sonic hedgehog</w:t>
      </w:r>
      <w:r w:rsidR="0011493F" w:rsidRPr="001811A6">
        <w:rPr>
          <w:iCs/>
        </w:rPr>
        <w:t xml:space="preserve"> </w:t>
      </w:r>
      <w:r w:rsidR="0011493F">
        <w:rPr>
          <w:iCs/>
        </w:rPr>
        <w:t>(HH) p</w:t>
      </w:r>
      <w:r w:rsidR="0011493F" w:rsidRPr="001811A6">
        <w:rPr>
          <w:iCs/>
        </w:rPr>
        <w:t xml:space="preserve">athway </w:t>
      </w:r>
      <w:r w:rsidR="00992D85" w:rsidRPr="001811A6">
        <w:rPr>
          <w:iCs/>
        </w:rPr>
        <w:t xml:space="preserve">inhibitor sonidegib </w:t>
      </w:r>
      <w:r w:rsidR="00125DEE">
        <w:rPr>
          <w:iCs/>
        </w:rPr>
        <w:t>w</w:t>
      </w:r>
      <w:r w:rsidR="00992D85" w:rsidRPr="001811A6">
        <w:rPr>
          <w:iCs/>
        </w:rPr>
        <w:t xml:space="preserve">as a potential comparator. Sonidegib is TGA approved, but not PBS listed, for the treatment of adult patients with locally advanced BCC who are not amenable to curative surgery </w:t>
      </w:r>
      <w:r w:rsidR="00992D85" w:rsidRPr="001811A6">
        <w:rPr>
          <w:iCs/>
        </w:rPr>
        <w:lastRenderedPageBreak/>
        <w:t xml:space="preserve">or </w:t>
      </w:r>
      <w:r w:rsidR="008F2EE8">
        <w:rPr>
          <w:iCs/>
        </w:rPr>
        <w:t>radiotherapy</w:t>
      </w:r>
      <w:r w:rsidR="00992D85" w:rsidRPr="001811A6">
        <w:rPr>
          <w:iCs/>
        </w:rPr>
        <w:t xml:space="preserve"> and adult patients with metastatic BCC.</w:t>
      </w:r>
      <w:r w:rsidR="00F51F89" w:rsidRPr="001811A6">
        <w:rPr>
          <w:iCs/>
        </w:rPr>
        <w:t xml:space="preserve"> The ESC </w:t>
      </w:r>
      <w:r w:rsidR="00DE28F8" w:rsidRPr="001811A6">
        <w:rPr>
          <w:iCs/>
        </w:rPr>
        <w:t xml:space="preserve">and PBAC </w:t>
      </w:r>
      <w:r w:rsidR="00F51F89" w:rsidRPr="001811A6">
        <w:rPr>
          <w:iCs/>
        </w:rPr>
        <w:t xml:space="preserve">noted that the submission did not consider radiotherapy or the combination of radiotherapy and surgery as potential comparators. </w:t>
      </w:r>
    </w:p>
    <w:p w:rsidR="00BB79D5" w:rsidRPr="001811A6" w:rsidRDefault="00BB79D5" w:rsidP="00BD46D8">
      <w:pPr>
        <w:pStyle w:val="ListParagraph"/>
        <w:widowControl/>
        <w:rPr>
          <w:szCs w:val="22"/>
        </w:rPr>
      </w:pPr>
    </w:p>
    <w:p w:rsidR="006A7881" w:rsidRPr="001811A6" w:rsidRDefault="00995FDB" w:rsidP="00B4462B">
      <w:pPr>
        <w:pStyle w:val="ListParagraph"/>
        <w:widowControl/>
        <w:numPr>
          <w:ilvl w:val="1"/>
          <w:numId w:val="1"/>
        </w:numPr>
        <w:rPr>
          <w:szCs w:val="22"/>
        </w:rPr>
      </w:pPr>
      <w:r w:rsidRPr="001811A6">
        <w:t>While best supportive care was identified as a comparator in Sections A, C and E of the submission, the submission did not compare the clinical efficacy of vismodegib versus best supportive care. S</w:t>
      </w:r>
      <w:r w:rsidR="006A7881" w:rsidRPr="001811A6">
        <w:t>urgery was used as the main</w:t>
      </w:r>
      <w:r w:rsidR="00053F6D" w:rsidRPr="001811A6">
        <w:t xml:space="preserve"> clinical and economic</w:t>
      </w:r>
      <w:r w:rsidR="00F15C9E" w:rsidRPr="001811A6">
        <w:t xml:space="preserve"> </w:t>
      </w:r>
      <w:r w:rsidR="006A7881" w:rsidRPr="001811A6">
        <w:t>comparator throughout the submission. This was an appropriate comparator, though due to the complex nature of current treatment for this patient group</w:t>
      </w:r>
      <w:r w:rsidR="000A421E" w:rsidRPr="001811A6">
        <w:t>, other comparators</w:t>
      </w:r>
      <w:r w:rsidR="00F51F89" w:rsidRPr="001811A6">
        <w:t xml:space="preserve">, such as </w:t>
      </w:r>
      <w:r w:rsidR="00F51F89" w:rsidRPr="001811A6">
        <w:rPr>
          <w:iCs/>
        </w:rPr>
        <w:t>radiotherapy or supportive care</w:t>
      </w:r>
      <w:r w:rsidR="006A7881" w:rsidRPr="001811A6">
        <w:t xml:space="preserve"> </w:t>
      </w:r>
      <w:r w:rsidR="00DE28F8" w:rsidRPr="001811A6">
        <w:t>should also have</w:t>
      </w:r>
      <w:r w:rsidR="006A7881" w:rsidRPr="001811A6">
        <w:t xml:space="preserve"> be</w:t>
      </w:r>
      <w:r w:rsidR="00DE28F8" w:rsidRPr="001811A6">
        <w:t>en</w:t>
      </w:r>
      <w:r w:rsidR="006A7881" w:rsidRPr="001811A6">
        <w:t xml:space="preserve"> considered</w:t>
      </w:r>
      <w:r w:rsidR="00053F6D" w:rsidRPr="001811A6">
        <w:t xml:space="preserve"> </w:t>
      </w:r>
      <w:r w:rsidR="000A421E" w:rsidRPr="001811A6">
        <w:t>because</w:t>
      </w:r>
      <w:r w:rsidR="00053F6D" w:rsidRPr="001811A6">
        <w:t xml:space="preserve"> clinical guidelines recommend consultation with a multidisciplinary tumour board</w:t>
      </w:r>
      <w:r w:rsidR="006A7881" w:rsidRPr="001811A6">
        <w:t>.</w:t>
      </w:r>
    </w:p>
    <w:p w:rsidR="00B4462B" w:rsidRPr="001811A6" w:rsidRDefault="00B4462B" w:rsidP="00B4462B">
      <w:pPr>
        <w:pStyle w:val="ListParagraph"/>
        <w:ind w:left="709"/>
        <w:rPr>
          <w:szCs w:val="22"/>
        </w:rPr>
      </w:pPr>
    </w:p>
    <w:p w:rsidR="00B4462B" w:rsidRPr="001811A6" w:rsidRDefault="00B4462B" w:rsidP="003F04E9">
      <w:pPr>
        <w:pStyle w:val="ListParagraph"/>
        <w:ind w:left="709"/>
        <w:rPr>
          <w:i/>
          <w:szCs w:val="22"/>
        </w:rPr>
      </w:pPr>
      <w:r w:rsidRPr="001811A6">
        <w:rPr>
          <w:i/>
          <w:szCs w:val="22"/>
        </w:rPr>
        <w:t>For more detail on PBAC’s view, see section 7 “PBAC outcome”</w:t>
      </w:r>
    </w:p>
    <w:p w:rsidR="00B4462B" w:rsidRPr="001811A6" w:rsidRDefault="00B4462B" w:rsidP="00B4462B">
      <w:pPr>
        <w:widowControl/>
        <w:jc w:val="left"/>
      </w:pPr>
    </w:p>
    <w:p w:rsidR="006A7881" w:rsidRPr="001811A6" w:rsidRDefault="006A7881" w:rsidP="006A7881">
      <w:pPr>
        <w:pStyle w:val="ListParagraph"/>
        <w:widowControl/>
        <w:rPr>
          <w:szCs w:val="22"/>
        </w:rPr>
      </w:pPr>
    </w:p>
    <w:p w:rsidR="00B4462B" w:rsidRPr="001811A6" w:rsidRDefault="006A7881" w:rsidP="00394DDC">
      <w:pPr>
        <w:pStyle w:val="Heading1"/>
      </w:pPr>
      <w:bookmarkStart w:id="12" w:name="_Toc392858193"/>
      <w:bookmarkStart w:id="13" w:name="_Toc441050274"/>
      <w:r w:rsidRPr="001811A6">
        <w:t>Consideration of the evidence</w:t>
      </w:r>
      <w:bookmarkEnd w:id="12"/>
      <w:bookmarkEnd w:id="13"/>
    </w:p>
    <w:p w:rsidR="00A7328C" w:rsidRPr="001811A6" w:rsidRDefault="00A7328C" w:rsidP="003C1346">
      <w:pPr>
        <w:pStyle w:val="PBACHeading1"/>
        <w:numPr>
          <w:ilvl w:val="0"/>
          <w:numId w:val="0"/>
        </w:numPr>
        <w:ind w:left="720"/>
      </w:pPr>
    </w:p>
    <w:p w:rsidR="00A7328C" w:rsidRPr="003C1346" w:rsidRDefault="00A7328C" w:rsidP="003C1346">
      <w:pPr>
        <w:pStyle w:val="Heading2"/>
      </w:pPr>
      <w:r w:rsidRPr="003C1346">
        <w:t>Sponsor hearing</w:t>
      </w:r>
    </w:p>
    <w:p w:rsidR="00A7328C" w:rsidRPr="001811A6" w:rsidRDefault="00A7328C" w:rsidP="003C1346">
      <w:pPr>
        <w:pStyle w:val="PBACHeading1"/>
        <w:numPr>
          <w:ilvl w:val="0"/>
          <w:numId w:val="0"/>
        </w:numPr>
        <w:ind w:left="720"/>
      </w:pPr>
    </w:p>
    <w:p w:rsidR="004D76D7" w:rsidRPr="001811A6" w:rsidRDefault="004D76D7" w:rsidP="003C1346">
      <w:pPr>
        <w:pStyle w:val="ListParagraph"/>
        <w:widowControl/>
        <w:numPr>
          <w:ilvl w:val="1"/>
          <w:numId w:val="1"/>
        </w:numPr>
        <w:rPr>
          <w:b/>
        </w:rPr>
      </w:pPr>
      <w:r w:rsidRPr="001811A6">
        <w:t>There was no hearing for this item.</w:t>
      </w:r>
    </w:p>
    <w:p w:rsidR="00A7328C" w:rsidRPr="001811A6" w:rsidRDefault="00A7328C" w:rsidP="003C1346">
      <w:pPr>
        <w:pStyle w:val="PBACHeading1"/>
        <w:numPr>
          <w:ilvl w:val="0"/>
          <w:numId w:val="0"/>
        </w:numPr>
      </w:pPr>
    </w:p>
    <w:p w:rsidR="00A7328C" w:rsidRPr="001811A6" w:rsidRDefault="00A7328C" w:rsidP="003C1346">
      <w:pPr>
        <w:pStyle w:val="Heading2"/>
      </w:pPr>
      <w:r w:rsidRPr="001811A6">
        <w:t>Consumer comments</w:t>
      </w:r>
    </w:p>
    <w:p w:rsidR="00A7328C" w:rsidRPr="001811A6" w:rsidRDefault="00A7328C" w:rsidP="003C1346">
      <w:pPr>
        <w:pStyle w:val="PBACHeading1"/>
        <w:numPr>
          <w:ilvl w:val="0"/>
          <w:numId w:val="0"/>
        </w:numPr>
      </w:pPr>
    </w:p>
    <w:p w:rsidR="004D76D7" w:rsidRPr="001811A6" w:rsidRDefault="00A7328C" w:rsidP="003C1346">
      <w:pPr>
        <w:pStyle w:val="ListParagraph"/>
        <w:widowControl/>
        <w:numPr>
          <w:ilvl w:val="1"/>
          <w:numId w:val="1"/>
        </w:numPr>
        <w:rPr>
          <w:b/>
        </w:rPr>
      </w:pPr>
      <w:r w:rsidRPr="001811A6">
        <w:t>The PBAC noted and welcomed the input from individuals (5), health care professionals (4) and organisations (1) via the Consumer Comments facility on the PBS website.  The comments described a range of benefits of treatment with vismodegib including the shrinkage of tumours and avoidance of surgery, despite side effects.</w:t>
      </w:r>
    </w:p>
    <w:p w:rsidR="00F5277E" w:rsidRPr="001811A6" w:rsidRDefault="00F5277E" w:rsidP="003C1346">
      <w:pPr>
        <w:pStyle w:val="PBACHeading1"/>
        <w:numPr>
          <w:ilvl w:val="0"/>
          <w:numId w:val="0"/>
        </w:numPr>
        <w:ind w:left="720"/>
      </w:pPr>
    </w:p>
    <w:p w:rsidR="00F5277E" w:rsidRPr="001811A6" w:rsidRDefault="00F5277E" w:rsidP="003C1346">
      <w:pPr>
        <w:pStyle w:val="ListParagraph"/>
        <w:widowControl/>
        <w:numPr>
          <w:ilvl w:val="1"/>
          <w:numId w:val="1"/>
        </w:numPr>
        <w:rPr>
          <w:b/>
        </w:rPr>
      </w:pPr>
      <w:r w:rsidRPr="001811A6">
        <w:t xml:space="preserve">The PBAC noted the </w:t>
      </w:r>
      <w:r w:rsidR="00A77519" w:rsidRPr="001811A6">
        <w:t>input</w:t>
      </w:r>
      <w:r w:rsidRPr="001811A6">
        <w:t xml:space="preserve"> received from Rare Cancers Australia supporting the use of vismodegib</w:t>
      </w:r>
      <w:r w:rsidR="00B51A3C" w:rsidRPr="001811A6">
        <w:t xml:space="preserve"> in clinical practice. </w:t>
      </w:r>
      <w:r w:rsidRPr="001811A6">
        <w:t>The PBAC specifically noted the advice that the use of vismodegib may</w:t>
      </w:r>
      <w:r w:rsidR="00A77519" w:rsidRPr="001811A6">
        <w:t>,</w:t>
      </w:r>
      <w:r w:rsidRPr="001811A6">
        <w:t xml:space="preserve"> in patients with Gorlin’s Syndrome </w:t>
      </w:r>
      <w:r w:rsidR="00A77519" w:rsidRPr="001811A6">
        <w:t>who undergo many surgeries</w:t>
      </w:r>
      <w:r w:rsidR="00520B92" w:rsidRPr="001811A6">
        <w:t>,</w:t>
      </w:r>
      <w:r w:rsidR="00A77519" w:rsidRPr="001811A6">
        <w:t xml:space="preserve"> </w:t>
      </w:r>
      <w:r w:rsidR="00B51A3C" w:rsidRPr="001811A6">
        <w:t>offer relief from</w:t>
      </w:r>
      <w:r w:rsidR="00A77519" w:rsidRPr="001811A6">
        <w:t xml:space="preserve"> these</w:t>
      </w:r>
      <w:r w:rsidR="00B51A3C" w:rsidRPr="001811A6">
        <w:t xml:space="preserve"> multiple surgeries. </w:t>
      </w:r>
      <w:r w:rsidRPr="001811A6">
        <w:t>The PBAC noted that this advice was supportive of the evidence provided in the submission.</w:t>
      </w:r>
    </w:p>
    <w:p w:rsidR="00A7328C" w:rsidRPr="001811A6" w:rsidRDefault="00A7328C" w:rsidP="003C1346">
      <w:pPr>
        <w:pStyle w:val="PBACHeading1"/>
        <w:numPr>
          <w:ilvl w:val="0"/>
          <w:numId w:val="0"/>
        </w:numPr>
        <w:ind w:left="720"/>
      </w:pPr>
    </w:p>
    <w:p w:rsidR="006A7881" w:rsidRPr="001811A6" w:rsidRDefault="006A7881" w:rsidP="003C1346">
      <w:pPr>
        <w:pStyle w:val="Heading2"/>
      </w:pPr>
      <w:bookmarkStart w:id="14" w:name="_Toc392858194"/>
      <w:bookmarkStart w:id="15" w:name="_Toc441050275"/>
      <w:r w:rsidRPr="001811A6">
        <w:t>Clinical trials</w:t>
      </w:r>
      <w:bookmarkEnd w:id="14"/>
      <w:bookmarkEnd w:id="15"/>
    </w:p>
    <w:p w:rsidR="006A7881" w:rsidRPr="001811A6" w:rsidRDefault="006A7881" w:rsidP="006A7881">
      <w:pPr>
        <w:rPr>
          <w:szCs w:val="22"/>
        </w:rPr>
      </w:pPr>
    </w:p>
    <w:p w:rsidR="006A7881" w:rsidRPr="001811A6" w:rsidRDefault="006A7881" w:rsidP="00B4462B">
      <w:pPr>
        <w:pStyle w:val="ListParagraph"/>
        <w:widowControl/>
        <w:numPr>
          <w:ilvl w:val="1"/>
          <w:numId w:val="1"/>
        </w:numPr>
        <w:rPr>
          <w:szCs w:val="22"/>
        </w:rPr>
      </w:pPr>
      <w:r w:rsidRPr="001811A6">
        <w:t xml:space="preserve">The submission </w:t>
      </w:r>
      <w:r w:rsidR="00F15C9E" w:rsidRPr="001811A6">
        <w:t>wa</w:t>
      </w:r>
      <w:r w:rsidRPr="001811A6">
        <w:t xml:space="preserve">s based on three non-randomised, </w:t>
      </w:r>
      <w:r w:rsidR="00413806" w:rsidRPr="001811A6">
        <w:t>open-</w:t>
      </w:r>
      <w:r w:rsidRPr="001811A6">
        <w:t xml:space="preserve">label, </w:t>
      </w:r>
      <w:r w:rsidR="00413806" w:rsidRPr="001811A6">
        <w:t>single-</w:t>
      </w:r>
      <w:r w:rsidRPr="001811A6">
        <w:t>arm studies for vismodegib and one retrospective cohort study for surgery.</w:t>
      </w:r>
      <w:r w:rsidRPr="001811A6">
        <w:rPr>
          <w:color w:val="3366FF"/>
        </w:rPr>
        <w:t xml:space="preserve"> </w:t>
      </w:r>
    </w:p>
    <w:p w:rsidR="006A7881" w:rsidRPr="001811A6" w:rsidRDefault="006A7881" w:rsidP="006A7881">
      <w:pPr>
        <w:widowControl/>
        <w:rPr>
          <w:szCs w:val="22"/>
        </w:rPr>
      </w:pPr>
    </w:p>
    <w:p w:rsidR="006A7881" w:rsidRPr="001811A6" w:rsidRDefault="006A7881" w:rsidP="00B4462B">
      <w:pPr>
        <w:pStyle w:val="ListParagraph"/>
        <w:widowControl/>
        <w:numPr>
          <w:ilvl w:val="1"/>
          <w:numId w:val="1"/>
        </w:numPr>
        <w:rPr>
          <w:szCs w:val="22"/>
        </w:rPr>
      </w:pPr>
      <w:r w:rsidRPr="001811A6">
        <w:rPr>
          <w:szCs w:val="22"/>
        </w:rPr>
        <w:t xml:space="preserve">Details of the trials presented in the submission are provided in the table below. </w:t>
      </w:r>
    </w:p>
    <w:p w:rsidR="00A92A73" w:rsidRPr="001811A6" w:rsidRDefault="00A92A73" w:rsidP="00A92A73">
      <w:pPr>
        <w:widowControl/>
        <w:rPr>
          <w:szCs w:val="22"/>
        </w:rPr>
      </w:pPr>
    </w:p>
    <w:p w:rsidR="006A7881" w:rsidRPr="001811A6" w:rsidRDefault="006A7881" w:rsidP="004D7B08">
      <w:pPr>
        <w:keepNext/>
        <w:keepLines/>
        <w:ind w:firstLine="720"/>
        <w:rPr>
          <w:rStyle w:val="CommentReference"/>
        </w:rPr>
      </w:pPr>
      <w:r w:rsidRPr="001811A6">
        <w:rPr>
          <w:rStyle w:val="CommentReference"/>
        </w:rPr>
        <w:lastRenderedPageBreak/>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
        <w:gridCol w:w="4559"/>
        <w:gridCol w:w="2891"/>
      </w:tblGrid>
      <w:tr w:rsidR="00F5277E" w:rsidRPr="001811A6" w:rsidTr="00EA0CC0">
        <w:trPr>
          <w:cantSplit/>
          <w:tblHeader/>
        </w:trPr>
        <w:tc>
          <w:tcPr>
            <w:tcW w:w="536" w:type="pct"/>
            <w:tcBorders>
              <w:top w:val="single" w:sz="4" w:space="0" w:color="auto"/>
              <w:left w:val="single" w:sz="4" w:space="0" w:color="auto"/>
              <w:bottom w:val="single" w:sz="4" w:space="0" w:color="auto"/>
              <w:right w:val="single" w:sz="4" w:space="0" w:color="auto"/>
            </w:tcBorders>
            <w:vAlign w:val="center"/>
          </w:tcPr>
          <w:p w:rsidR="00F5277E" w:rsidRPr="001811A6" w:rsidRDefault="00F5277E" w:rsidP="00125B26">
            <w:pPr>
              <w:pStyle w:val="TableHeading"/>
              <w:spacing w:before="0" w:after="0"/>
              <w:rPr>
                <w:rFonts w:cs="Arial"/>
                <w:lang w:eastAsia="en-AU"/>
              </w:rPr>
            </w:pPr>
            <w:r w:rsidRPr="001811A6">
              <w:rPr>
                <w:rFonts w:cs="Arial"/>
                <w:lang w:eastAsia="en-AU"/>
              </w:rPr>
              <w:t>Study</w:t>
            </w:r>
          </w:p>
        </w:tc>
        <w:tc>
          <w:tcPr>
            <w:tcW w:w="2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pStyle w:val="TableHeading"/>
              <w:spacing w:before="0" w:after="0"/>
              <w:jc w:val="center"/>
              <w:rPr>
                <w:rFonts w:cs="Arial"/>
                <w:lang w:eastAsia="en-AU"/>
              </w:rPr>
            </w:pPr>
            <w:r w:rsidRPr="001811A6">
              <w:t>Protocol title/ Publication title</w:t>
            </w:r>
          </w:p>
        </w:tc>
        <w:tc>
          <w:tcPr>
            <w:tcW w:w="1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pStyle w:val="TableHeading"/>
              <w:spacing w:before="0" w:after="0"/>
              <w:jc w:val="center"/>
              <w:rPr>
                <w:rFonts w:cs="Arial"/>
                <w:lang w:eastAsia="en-AU"/>
              </w:rPr>
            </w:pPr>
            <w:r w:rsidRPr="001811A6">
              <w:t>Publication citation</w:t>
            </w:r>
          </w:p>
        </w:tc>
      </w:tr>
      <w:tr w:rsidR="006A7881" w:rsidRPr="001811A6" w:rsidTr="00125B26">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6A7881" w:rsidRPr="001811A6" w:rsidRDefault="00F15C9E" w:rsidP="00125B26">
            <w:pPr>
              <w:pStyle w:val="TableHeading"/>
              <w:spacing w:before="0" w:after="0"/>
              <w:rPr>
                <w:rFonts w:cs="Arial"/>
                <w:lang w:eastAsia="en-AU"/>
              </w:rPr>
            </w:pPr>
            <w:r w:rsidRPr="001811A6">
              <w:rPr>
                <w:rFonts w:cs="Arial"/>
                <w:lang w:eastAsia="en-AU"/>
              </w:rPr>
              <w:t>Vismodegib</w:t>
            </w:r>
          </w:p>
        </w:tc>
      </w:tr>
      <w:tr w:rsidR="006A7881" w:rsidRPr="001811A6" w:rsidTr="00125B26">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6A7881" w:rsidRPr="001811A6" w:rsidRDefault="006A7881" w:rsidP="00125B26">
            <w:pPr>
              <w:pStyle w:val="TableText0"/>
              <w:spacing w:before="0" w:after="0"/>
              <w:rPr>
                <w:rFonts w:cs="Arial"/>
                <w:i/>
                <w:iCs/>
                <w:lang w:eastAsia="en-AU"/>
              </w:rPr>
            </w:pPr>
            <w:r w:rsidRPr="001811A6">
              <w:rPr>
                <w:rFonts w:cs="Arial"/>
                <w:i/>
                <w:iCs/>
                <w:lang w:eastAsia="en-AU"/>
              </w:rPr>
              <w:t>Non</w:t>
            </w:r>
            <w:r w:rsidR="00FE3E2A" w:rsidRPr="001811A6">
              <w:rPr>
                <w:rFonts w:cs="Arial"/>
                <w:i/>
                <w:iCs/>
                <w:lang w:eastAsia="en-AU"/>
              </w:rPr>
              <w:t>-</w:t>
            </w:r>
            <w:r w:rsidRPr="001811A6">
              <w:rPr>
                <w:rFonts w:cs="Arial"/>
                <w:i/>
                <w:iCs/>
                <w:lang w:eastAsia="en-AU"/>
              </w:rPr>
              <w:t>randomised studies</w:t>
            </w:r>
          </w:p>
        </w:tc>
      </w:tr>
      <w:tr w:rsidR="00F5277E" w:rsidRPr="001811A6" w:rsidTr="00EA0CC0">
        <w:trPr>
          <w:cantSplit/>
        </w:trPr>
        <w:tc>
          <w:tcPr>
            <w:tcW w:w="536" w:type="pct"/>
            <w:tcBorders>
              <w:top w:val="single" w:sz="4" w:space="0" w:color="auto"/>
              <w:left w:val="single" w:sz="4" w:space="0" w:color="auto"/>
              <w:bottom w:val="single" w:sz="4" w:space="0" w:color="auto"/>
              <w:right w:val="single" w:sz="4" w:space="0" w:color="auto"/>
            </w:tcBorders>
            <w:vAlign w:val="center"/>
          </w:tcPr>
          <w:p w:rsidR="00F5277E" w:rsidRPr="001811A6" w:rsidRDefault="00F5277E" w:rsidP="00125B26">
            <w:pPr>
              <w:pStyle w:val="TableText0"/>
              <w:spacing w:before="0" w:after="0"/>
              <w:rPr>
                <w:rFonts w:cs="Arial"/>
                <w:lang w:eastAsia="en-AU"/>
              </w:rPr>
            </w:pPr>
            <w:r w:rsidRPr="001811A6">
              <w:rPr>
                <w:rFonts w:cs="Arial"/>
                <w:lang w:eastAsia="en-AU"/>
              </w:rPr>
              <w:t>ERIVANCE</w:t>
            </w:r>
          </w:p>
        </w:tc>
        <w:tc>
          <w:tcPr>
            <w:tcW w:w="2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jc w:val="left"/>
              <w:rPr>
                <w:rFonts w:ascii="Arial Narrow" w:hAnsi="Arial Narrow"/>
                <w:sz w:val="20"/>
              </w:rPr>
            </w:pPr>
            <w:r w:rsidRPr="001811A6">
              <w:rPr>
                <w:rFonts w:ascii="Arial Narrow" w:hAnsi="Arial Narrow"/>
                <w:sz w:val="20"/>
              </w:rPr>
              <w:t xml:space="preserve">A pivotal phase II, multicentre, single-arm, two-cohort trial evaluating the efficacy and safety of GDC 0449 in patients with advanced basal cell carcinoma. </w:t>
            </w:r>
          </w:p>
          <w:p w:rsidR="00F5277E" w:rsidRPr="001811A6" w:rsidRDefault="00F5277E" w:rsidP="00125B26">
            <w:pPr>
              <w:jc w:val="left"/>
              <w:rPr>
                <w:rFonts w:ascii="Arial Narrow" w:hAnsi="Arial Narrow"/>
                <w:sz w:val="20"/>
              </w:rPr>
            </w:pPr>
          </w:p>
          <w:p w:rsidR="00F5277E" w:rsidRPr="001811A6" w:rsidRDefault="00F5277E" w:rsidP="007F4277">
            <w:pPr>
              <w:jc w:val="left"/>
              <w:rPr>
                <w:rFonts w:ascii="Arial Narrow" w:hAnsi="Arial Narrow"/>
                <w:sz w:val="20"/>
              </w:rPr>
            </w:pPr>
            <w:r w:rsidRPr="001811A6">
              <w:rPr>
                <w:rFonts w:ascii="Arial Narrow" w:hAnsi="Arial Narrow"/>
                <w:sz w:val="20"/>
              </w:rPr>
              <w:t>Interim Clinical Study Report – SHH4476g: Clinical Study Report – A Pivotal Phase II, Multicenter, Single-Arm, Two-Cohort Trial Evaluating the Efficacy and Safety of GDC-0449 in Patients With Advanced Basal Cell Carcinoma</w:t>
            </w:r>
          </w:p>
          <w:p w:rsidR="00F5277E" w:rsidRPr="001811A6" w:rsidRDefault="00F5277E" w:rsidP="00125B26">
            <w:pPr>
              <w:jc w:val="left"/>
              <w:rPr>
                <w:rFonts w:ascii="Arial Narrow" w:hAnsi="Arial Narrow"/>
                <w:sz w:val="20"/>
              </w:rPr>
            </w:pPr>
          </w:p>
          <w:p w:rsidR="00F5277E" w:rsidRPr="001811A6" w:rsidRDefault="00F5277E" w:rsidP="000F2F9F">
            <w:pPr>
              <w:jc w:val="left"/>
              <w:rPr>
                <w:rFonts w:ascii="Arial Narrow" w:hAnsi="Arial Narrow"/>
                <w:sz w:val="20"/>
              </w:rPr>
            </w:pPr>
            <w:r w:rsidRPr="001811A6">
              <w:rPr>
                <w:rFonts w:ascii="Arial Narrow" w:hAnsi="Arial Narrow"/>
                <w:sz w:val="20"/>
              </w:rPr>
              <w:t xml:space="preserve">Sekulic, Migden, Lewis. </w:t>
            </w:r>
            <w:r w:rsidRPr="001811A6">
              <w:rPr>
                <w:rFonts w:ascii="Arial Narrow" w:hAnsi="Arial Narrow"/>
                <w:i/>
                <w:sz w:val="20"/>
              </w:rPr>
              <w:t>et al</w:t>
            </w:r>
            <w:r w:rsidRPr="001811A6">
              <w:rPr>
                <w:rFonts w:ascii="Arial Narrow" w:hAnsi="Arial Narrow"/>
                <w:sz w:val="20"/>
              </w:rPr>
              <w:t xml:space="preserve"> (2015) Pivotal ERIVANCE basal cell carcinoma (BCC) study: 12-month update of efficacy and safety of vismodegib in advanced BCC</w:t>
            </w:r>
          </w:p>
        </w:tc>
        <w:tc>
          <w:tcPr>
            <w:tcW w:w="1732" w:type="pct"/>
            <w:tcBorders>
              <w:top w:val="single" w:sz="4" w:space="0" w:color="auto"/>
              <w:left w:val="single" w:sz="4" w:space="0" w:color="auto"/>
              <w:bottom w:val="single" w:sz="4" w:space="0" w:color="auto"/>
              <w:right w:val="single" w:sz="4" w:space="0" w:color="auto"/>
            </w:tcBorders>
          </w:tcPr>
          <w:p w:rsidR="00F5277E" w:rsidRDefault="00F5277E" w:rsidP="00125B26">
            <w:pPr>
              <w:jc w:val="left"/>
              <w:rPr>
                <w:rFonts w:ascii="Arial Narrow" w:hAnsi="Arial Narrow"/>
                <w:sz w:val="20"/>
              </w:rPr>
            </w:pPr>
            <w:r w:rsidRPr="001811A6">
              <w:rPr>
                <w:rFonts w:ascii="Arial Narrow" w:hAnsi="Arial Narrow"/>
                <w:sz w:val="20"/>
              </w:rPr>
              <w:t>2011</w:t>
            </w:r>
          </w:p>
          <w:p w:rsidR="00F5277E" w:rsidRPr="001811A6" w:rsidRDefault="00F5277E" w:rsidP="00202F40">
            <w:pPr>
              <w:spacing w:before="600"/>
              <w:jc w:val="left"/>
              <w:rPr>
                <w:rFonts w:ascii="Arial Narrow" w:hAnsi="Arial Narrow"/>
                <w:sz w:val="20"/>
              </w:rPr>
            </w:pPr>
            <w:r w:rsidRPr="001811A6">
              <w:rPr>
                <w:rFonts w:ascii="Arial Narrow" w:hAnsi="Arial Narrow"/>
                <w:sz w:val="20"/>
              </w:rPr>
              <w:t>2014</w:t>
            </w:r>
          </w:p>
          <w:p w:rsidR="00F5277E" w:rsidRPr="001811A6" w:rsidRDefault="00F5277E" w:rsidP="00202F40">
            <w:pPr>
              <w:spacing w:before="800"/>
              <w:jc w:val="left"/>
              <w:rPr>
                <w:rFonts w:ascii="Arial Narrow" w:hAnsi="Arial Narrow"/>
                <w:i/>
                <w:sz w:val="20"/>
              </w:rPr>
            </w:pPr>
          </w:p>
          <w:p w:rsidR="00F5277E" w:rsidRPr="001811A6" w:rsidRDefault="00F5277E" w:rsidP="007F4277">
            <w:pPr>
              <w:jc w:val="left"/>
              <w:rPr>
                <w:rFonts w:ascii="Arial Narrow" w:hAnsi="Arial Narrow"/>
                <w:i/>
                <w:sz w:val="20"/>
              </w:rPr>
            </w:pPr>
            <w:r w:rsidRPr="001811A6">
              <w:rPr>
                <w:rFonts w:ascii="Arial Narrow" w:hAnsi="Arial Narrow"/>
                <w:i/>
                <w:sz w:val="20"/>
              </w:rPr>
              <w:t xml:space="preserve">Journal of the American Academy of Dermatology </w:t>
            </w:r>
            <w:r w:rsidRPr="001811A6">
              <w:rPr>
                <w:rFonts w:ascii="Arial Narrow" w:hAnsi="Arial Narrow"/>
                <w:sz w:val="20"/>
              </w:rPr>
              <w:t>2015; 72(6):1021-26.e8.</w:t>
            </w:r>
          </w:p>
        </w:tc>
      </w:tr>
      <w:tr w:rsidR="00F5277E" w:rsidRPr="001811A6" w:rsidTr="00EA0CC0">
        <w:trPr>
          <w:cantSplit/>
        </w:trPr>
        <w:tc>
          <w:tcPr>
            <w:tcW w:w="536" w:type="pct"/>
            <w:tcBorders>
              <w:top w:val="single" w:sz="4" w:space="0" w:color="auto"/>
              <w:left w:val="single" w:sz="4" w:space="0" w:color="auto"/>
              <w:bottom w:val="single" w:sz="4" w:space="0" w:color="auto"/>
              <w:right w:val="single" w:sz="4" w:space="0" w:color="auto"/>
            </w:tcBorders>
            <w:vAlign w:val="center"/>
          </w:tcPr>
          <w:p w:rsidR="00F5277E" w:rsidRPr="001811A6" w:rsidRDefault="00F5277E" w:rsidP="00125B26">
            <w:pPr>
              <w:pStyle w:val="TableText0"/>
              <w:spacing w:before="0" w:after="0"/>
              <w:rPr>
                <w:rFonts w:cs="Arial"/>
                <w:lang w:eastAsia="en-AU"/>
              </w:rPr>
            </w:pPr>
            <w:r w:rsidRPr="001811A6">
              <w:rPr>
                <w:rFonts w:cs="Arial"/>
                <w:lang w:eastAsia="en-AU"/>
              </w:rPr>
              <w:t>STEVIE</w:t>
            </w:r>
          </w:p>
        </w:tc>
        <w:tc>
          <w:tcPr>
            <w:tcW w:w="2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jc w:val="left"/>
              <w:rPr>
                <w:rFonts w:ascii="Arial Narrow" w:hAnsi="Arial Narrow"/>
                <w:sz w:val="20"/>
              </w:rPr>
            </w:pPr>
            <w:r w:rsidRPr="001811A6">
              <w:rPr>
                <w:rFonts w:ascii="Arial Narrow" w:hAnsi="Arial Narrow"/>
                <w:sz w:val="20"/>
              </w:rPr>
              <w:t>A single-arm, open-label, phase II, multicentre study to assess the safety of vismodegib (GDC-0449) in patients with locally advanced or metastatic basal cell carcinoma.</w:t>
            </w:r>
          </w:p>
          <w:p w:rsidR="00F5277E" w:rsidRPr="001811A6" w:rsidRDefault="00F5277E" w:rsidP="00125B26">
            <w:pPr>
              <w:jc w:val="left"/>
              <w:rPr>
                <w:rFonts w:ascii="Arial Narrow" w:hAnsi="Arial Narrow"/>
                <w:sz w:val="20"/>
              </w:rPr>
            </w:pPr>
          </w:p>
          <w:p w:rsidR="00F5277E" w:rsidRPr="001811A6" w:rsidRDefault="00F5277E" w:rsidP="00CE13F0">
            <w:pPr>
              <w:jc w:val="left"/>
              <w:rPr>
                <w:rFonts w:ascii="Arial Narrow" w:hAnsi="Arial Narrow"/>
                <w:sz w:val="20"/>
              </w:rPr>
            </w:pPr>
            <w:r w:rsidRPr="001811A6">
              <w:rPr>
                <w:rFonts w:ascii="Arial Narrow" w:hAnsi="Arial Narrow"/>
                <w:sz w:val="20"/>
              </w:rPr>
              <w:t xml:space="preserve">Basset-Seguin, Hauschild, Grob, </w:t>
            </w:r>
            <w:r w:rsidRPr="001811A6">
              <w:rPr>
                <w:rFonts w:ascii="Arial Narrow" w:hAnsi="Arial Narrow"/>
                <w:i/>
                <w:sz w:val="20"/>
              </w:rPr>
              <w:t>et al</w:t>
            </w:r>
            <w:r w:rsidRPr="001811A6">
              <w:rPr>
                <w:rFonts w:ascii="Arial Narrow" w:hAnsi="Arial Narrow"/>
                <w:sz w:val="20"/>
              </w:rPr>
              <w:t xml:space="preserve"> (2015) Vismodegib in patients with advanced basal cell carcinoma (STEVIE): a pre-planned interim analysis of an international, open-label trial</w:t>
            </w:r>
          </w:p>
        </w:tc>
        <w:tc>
          <w:tcPr>
            <w:tcW w:w="1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jc w:val="left"/>
              <w:rPr>
                <w:rFonts w:ascii="Arial Narrow" w:hAnsi="Arial Narrow"/>
                <w:sz w:val="20"/>
              </w:rPr>
            </w:pPr>
            <w:r w:rsidRPr="001811A6">
              <w:rPr>
                <w:rFonts w:ascii="Arial Narrow" w:hAnsi="Arial Narrow"/>
                <w:sz w:val="20"/>
              </w:rPr>
              <w:t>2014</w:t>
            </w:r>
          </w:p>
          <w:p w:rsidR="00F5277E" w:rsidRPr="001811A6" w:rsidRDefault="00F5277E" w:rsidP="00202F40">
            <w:pPr>
              <w:spacing w:before="600"/>
              <w:jc w:val="left"/>
              <w:rPr>
                <w:rFonts w:ascii="Arial Narrow" w:hAnsi="Arial Narrow"/>
                <w:sz w:val="20"/>
              </w:rPr>
            </w:pPr>
          </w:p>
          <w:p w:rsidR="00F5277E" w:rsidRPr="001811A6" w:rsidRDefault="00F5277E" w:rsidP="00CE13F0">
            <w:pPr>
              <w:jc w:val="left"/>
              <w:rPr>
                <w:rFonts w:ascii="Arial Narrow" w:hAnsi="Arial Narrow"/>
                <w:sz w:val="20"/>
              </w:rPr>
            </w:pPr>
            <w:r w:rsidRPr="001811A6">
              <w:rPr>
                <w:rFonts w:ascii="Arial Narrow" w:hAnsi="Arial Narrow"/>
                <w:i/>
                <w:sz w:val="20"/>
              </w:rPr>
              <w:t>The Lancet</w:t>
            </w:r>
            <w:r w:rsidRPr="001811A6">
              <w:rPr>
                <w:rFonts w:ascii="Arial Narrow" w:hAnsi="Arial Narrow"/>
                <w:sz w:val="20"/>
              </w:rPr>
              <w:t xml:space="preserve"> 2015; 16(6):729-736</w:t>
            </w:r>
          </w:p>
        </w:tc>
      </w:tr>
      <w:tr w:rsidR="00F5277E" w:rsidRPr="001811A6" w:rsidTr="00EA0CC0">
        <w:trPr>
          <w:cantSplit/>
        </w:trPr>
        <w:tc>
          <w:tcPr>
            <w:tcW w:w="536" w:type="pct"/>
            <w:tcBorders>
              <w:top w:val="single" w:sz="4" w:space="0" w:color="auto"/>
              <w:left w:val="single" w:sz="4" w:space="0" w:color="auto"/>
              <w:bottom w:val="single" w:sz="4" w:space="0" w:color="auto"/>
              <w:right w:val="single" w:sz="4" w:space="0" w:color="auto"/>
            </w:tcBorders>
            <w:vAlign w:val="center"/>
          </w:tcPr>
          <w:p w:rsidR="00F5277E" w:rsidRPr="001811A6" w:rsidRDefault="00F5277E" w:rsidP="00125B26">
            <w:pPr>
              <w:pStyle w:val="TableText0"/>
              <w:spacing w:before="0" w:after="0"/>
              <w:rPr>
                <w:rFonts w:cs="Arial"/>
                <w:lang w:eastAsia="en-AU"/>
              </w:rPr>
            </w:pPr>
            <w:r w:rsidRPr="001811A6">
              <w:t xml:space="preserve">Chang </w:t>
            </w:r>
            <w:r w:rsidRPr="001811A6">
              <w:rPr>
                <w:i/>
              </w:rPr>
              <w:t>et al</w:t>
            </w:r>
            <w:r w:rsidRPr="001811A6">
              <w:t xml:space="preserve"> (2014)</w:t>
            </w:r>
          </w:p>
        </w:tc>
        <w:tc>
          <w:tcPr>
            <w:tcW w:w="2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jc w:val="left"/>
              <w:rPr>
                <w:rFonts w:ascii="Arial Narrow" w:hAnsi="Arial Narrow"/>
                <w:sz w:val="20"/>
              </w:rPr>
            </w:pPr>
            <w:r w:rsidRPr="001811A6">
              <w:rPr>
                <w:rFonts w:ascii="Arial Narrow" w:hAnsi="Arial Narrow"/>
                <w:sz w:val="20"/>
              </w:rPr>
              <w:t xml:space="preserve">Chang, Solomon, Hainsworth, </w:t>
            </w:r>
            <w:r w:rsidRPr="001811A6">
              <w:rPr>
                <w:rFonts w:ascii="Arial Narrow" w:hAnsi="Arial Narrow"/>
                <w:i/>
                <w:sz w:val="20"/>
              </w:rPr>
              <w:t>et al</w:t>
            </w:r>
            <w:r w:rsidRPr="001811A6">
              <w:rPr>
                <w:rFonts w:ascii="Arial Narrow" w:hAnsi="Arial Narrow"/>
                <w:sz w:val="20"/>
              </w:rPr>
              <w:t xml:space="preserve"> (2014) Expanded access study of patients with advanced basal cell carcinoma treated with the Hedgehog pathway inhibitor, vismodegib.</w:t>
            </w:r>
          </w:p>
        </w:tc>
        <w:tc>
          <w:tcPr>
            <w:tcW w:w="1732" w:type="pct"/>
            <w:tcBorders>
              <w:top w:val="single" w:sz="4" w:space="0" w:color="auto"/>
              <w:left w:val="single" w:sz="4" w:space="0" w:color="auto"/>
              <w:bottom w:val="single" w:sz="4" w:space="0" w:color="auto"/>
              <w:right w:val="single" w:sz="4" w:space="0" w:color="auto"/>
            </w:tcBorders>
          </w:tcPr>
          <w:p w:rsidR="00F5277E" w:rsidRPr="001811A6" w:rsidRDefault="00F5277E" w:rsidP="00CE13F0">
            <w:pPr>
              <w:jc w:val="left"/>
              <w:rPr>
                <w:rFonts w:ascii="Arial Narrow" w:hAnsi="Arial Narrow"/>
                <w:sz w:val="20"/>
              </w:rPr>
            </w:pPr>
            <w:r w:rsidRPr="001811A6">
              <w:rPr>
                <w:rFonts w:ascii="Arial Narrow" w:hAnsi="Arial Narrow"/>
                <w:i/>
                <w:sz w:val="20"/>
              </w:rPr>
              <w:t>Journal of the American Academy of Dermatology</w:t>
            </w:r>
            <w:r w:rsidRPr="001811A6">
              <w:rPr>
                <w:rFonts w:ascii="Arial Narrow" w:hAnsi="Arial Narrow"/>
                <w:sz w:val="20"/>
              </w:rPr>
              <w:t xml:space="preserve"> 2014; 70(1):60-69.</w:t>
            </w:r>
          </w:p>
        </w:tc>
      </w:tr>
      <w:tr w:rsidR="006A7881" w:rsidRPr="001811A6" w:rsidTr="00125B26">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6A7881" w:rsidRPr="001811A6" w:rsidRDefault="00F15C9E" w:rsidP="00125B26">
            <w:pPr>
              <w:pStyle w:val="TableText0"/>
              <w:spacing w:before="0" w:after="0"/>
              <w:rPr>
                <w:rFonts w:cs="Arial"/>
                <w:b/>
                <w:bCs/>
                <w:lang w:eastAsia="en-AU"/>
              </w:rPr>
            </w:pPr>
            <w:r w:rsidRPr="001811A6">
              <w:rPr>
                <w:rFonts w:cs="Arial"/>
                <w:b/>
                <w:bCs/>
                <w:lang w:eastAsia="en-AU"/>
              </w:rPr>
              <w:t>Surgery</w:t>
            </w:r>
          </w:p>
        </w:tc>
      </w:tr>
      <w:tr w:rsidR="00F5277E" w:rsidRPr="001811A6" w:rsidTr="00EA0CC0">
        <w:trPr>
          <w:cantSplit/>
        </w:trPr>
        <w:tc>
          <w:tcPr>
            <w:tcW w:w="536" w:type="pct"/>
            <w:tcBorders>
              <w:top w:val="single" w:sz="4" w:space="0" w:color="auto"/>
              <w:left w:val="single" w:sz="4" w:space="0" w:color="auto"/>
              <w:bottom w:val="single" w:sz="4" w:space="0" w:color="auto"/>
              <w:right w:val="single" w:sz="4" w:space="0" w:color="auto"/>
            </w:tcBorders>
            <w:vAlign w:val="center"/>
          </w:tcPr>
          <w:p w:rsidR="00F5277E" w:rsidRPr="001811A6" w:rsidRDefault="00F5277E" w:rsidP="00125B26">
            <w:pPr>
              <w:pStyle w:val="TableText0"/>
              <w:spacing w:before="0" w:after="0"/>
              <w:rPr>
                <w:rFonts w:cs="Arial"/>
                <w:lang w:eastAsia="en-AU"/>
              </w:rPr>
            </w:pPr>
            <w:r w:rsidRPr="001811A6">
              <w:rPr>
                <w:color w:val="000000"/>
              </w:rPr>
              <w:t>Schwipper (2011)</w:t>
            </w:r>
          </w:p>
        </w:tc>
        <w:tc>
          <w:tcPr>
            <w:tcW w:w="2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pStyle w:val="TableText0"/>
              <w:spacing w:before="0" w:after="0"/>
              <w:rPr>
                <w:rFonts w:cs="Arial"/>
                <w:lang w:eastAsia="en-AU"/>
              </w:rPr>
            </w:pPr>
            <w:r w:rsidRPr="001811A6">
              <w:rPr>
                <w:color w:val="000000"/>
              </w:rPr>
              <w:t>Schwipper (2011) Invasive basal cell carcinoma of the head and neck (basalioma terebrans)</w:t>
            </w:r>
          </w:p>
        </w:tc>
        <w:tc>
          <w:tcPr>
            <w:tcW w:w="1732" w:type="pct"/>
            <w:tcBorders>
              <w:top w:val="single" w:sz="4" w:space="0" w:color="auto"/>
              <w:left w:val="single" w:sz="4" w:space="0" w:color="auto"/>
              <w:bottom w:val="single" w:sz="4" w:space="0" w:color="auto"/>
              <w:right w:val="single" w:sz="4" w:space="0" w:color="auto"/>
            </w:tcBorders>
          </w:tcPr>
          <w:p w:rsidR="00F5277E" w:rsidRPr="001811A6" w:rsidRDefault="00F5277E" w:rsidP="00125B26">
            <w:pPr>
              <w:pStyle w:val="TableText0"/>
              <w:spacing w:before="0" w:after="0"/>
              <w:rPr>
                <w:rFonts w:cs="Arial"/>
                <w:lang w:eastAsia="en-AU"/>
              </w:rPr>
            </w:pPr>
            <w:r w:rsidRPr="001811A6">
              <w:rPr>
                <w:i/>
                <w:iCs/>
                <w:color w:val="000000"/>
              </w:rPr>
              <w:t xml:space="preserve">Facial Plastic Surgery </w:t>
            </w:r>
            <w:r w:rsidRPr="001811A6">
              <w:rPr>
                <w:color w:val="000000"/>
              </w:rPr>
              <w:t>2011; 27:3 (258-265).</w:t>
            </w:r>
          </w:p>
        </w:tc>
      </w:tr>
    </w:tbl>
    <w:p w:rsidR="006A7881" w:rsidRPr="001811A6" w:rsidRDefault="006A7881" w:rsidP="006A7881">
      <w:pPr>
        <w:pStyle w:val="TableFooter"/>
      </w:pPr>
      <w:r w:rsidRPr="001811A6">
        <w:tab/>
        <w:t>Source: Table B.2.4</w:t>
      </w:r>
      <w:r w:rsidR="001E0E91" w:rsidRPr="001811A6">
        <w:t>,</w:t>
      </w:r>
      <w:r w:rsidRPr="001811A6">
        <w:t xml:space="preserve"> pp7-8 of Section B</w:t>
      </w:r>
      <w:r w:rsidR="001E0E91" w:rsidRPr="001811A6">
        <w:t>;</w:t>
      </w:r>
      <w:r w:rsidRPr="001811A6">
        <w:t xml:space="preserve"> and Attachment 1 of the submission</w:t>
      </w:r>
    </w:p>
    <w:p w:rsidR="006A7881" w:rsidRPr="001811A6" w:rsidRDefault="006A7881" w:rsidP="006A7881">
      <w:pPr>
        <w:ind w:firstLine="720"/>
        <w:rPr>
          <w:rStyle w:val="CommentReference"/>
        </w:rPr>
      </w:pPr>
    </w:p>
    <w:p w:rsidR="006A7881" w:rsidRPr="001811A6" w:rsidRDefault="006A7881" w:rsidP="00B4462B">
      <w:pPr>
        <w:pStyle w:val="ListParagraph"/>
        <w:widowControl/>
        <w:numPr>
          <w:ilvl w:val="1"/>
          <w:numId w:val="1"/>
        </w:numPr>
        <w:rPr>
          <w:szCs w:val="22"/>
        </w:rPr>
      </w:pPr>
      <w:r w:rsidRPr="001811A6">
        <w:rPr>
          <w:szCs w:val="22"/>
        </w:rPr>
        <w:t xml:space="preserve">The key features of the </w:t>
      </w:r>
      <w:r w:rsidR="00053F6D" w:rsidRPr="001811A6">
        <w:rPr>
          <w:szCs w:val="22"/>
        </w:rPr>
        <w:t>non-</w:t>
      </w:r>
      <w:r w:rsidRPr="001811A6">
        <w:rPr>
          <w:szCs w:val="22"/>
        </w:rPr>
        <w:t>randomised</w:t>
      </w:r>
      <w:r w:rsidR="00316C04" w:rsidRPr="001811A6">
        <w:rPr>
          <w:szCs w:val="22"/>
        </w:rPr>
        <w:t>,</w:t>
      </w:r>
      <w:r w:rsidRPr="001811A6">
        <w:rPr>
          <w:szCs w:val="22"/>
        </w:rPr>
        <w:t xml:space="preserve"> </w:t>
      </w:r>
      <w:r w:rsidR="00413806" w:rsidRPr="001811A6">
        <w:rPr>
          <w:szCs w:val="22"/>
        </w:rPr>
        <w:t>single-</w:t>
      </w:r>
      <w:r w:rsidR="00053F6D" w:rsidRPr="001811A6">
        <w:rPr>
          <w:szCs w:val="22"/>
        </w:rPr>
        <w:t>arm studies</w:t>
      </w:r>
      <w:r w:rsidRPr="001811A6">
        <w:rPr>
          <w:szCs w:val="22"/>
        </w:rPr>
        <w:t xml:space="preserve"> are summarised in the table below.</w:t>
      </w:r>
    </w:p>
    <w:p w:rsidR="000B1EA1" w:rsidRPr="001811A6" w:rsidRDefault="000B1EA1" w:rsidP="006A7881">
      <w:pPr>
        <w:ind w:firstLine="720"/>
        <w:rPr>
          <w:rStyle w:val="CommentReference"/>
        </w:rPr>
      </w:pPr>
    </w:p>
    <w:p w:rsidR="000F6687" w:rsidRDefault="000F6687" w:rsidP="006A7881">
      <w:pPr>
        <w:ind w:firstLine="720"/>
        <w:rPr>
          <w:rStyle w:val="CommentReference"/>
        </w:rPr>
      </w:pPr>
      <w:r>
        <w:rPr>
          <w:rStyle w:val="CommentReference"/>
        </w:rPr>
        <w:br w:type="page"/>
      </w:r>
    </w:p>
    <w:p w:rsidR="006A7881" w:rsidRPr="001811A6" w:rsidRDefault="000A421E" w:rsidP="006A7881">
      <w:pPr>
        <w:ind w:firstLine="720"/>
        <w:rPr>
          <w:rStyle w:val="CommentReference"/>
        </w:rPr>
      </w:pPr>
      <w:r w:rsidRPr="001811A6">
        <w:rPr>
          <w:rStyle w:val="CommentReference"/>
        </w:rPr>
        <w:lastRenderedPageBreak/>
        <w:t xml:space="preserve">Table </w:t>
      </w:r>
      <w:r w:rsidR="006A7881" w:rsidRPr="001811A6">
        <w:rPr>
          <w:rStyle w:val="CommentReference"/>
        </w:rPr>
        <w:t>2: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9"/>
        <w:gridCol w:w="491"/>
        <w:gridCol w:w="2061"/>
        <w:gridCol w:w="704"/>
        <w:gridCol w:w="1796"/>
        <w:gridCol w:w="1035"/>
        <w:gridCol w:w="1120"/>
      </w:tblGrid>
      <w:tr w:rsidR="00F15C9E" w:rsidRPr="001811A6" w:rsidTr="001E0E91">
        <w:trPr>
          <w:tblHeader/>
        </w:trPr>
        <w:tc>
          <w:tcPr>
            <w:tcW w:w="682" w:type="pct"/>
            <w:shd w:val="clear" w:color="auto" w:fill="auto"/>
            <w:vAlign w:val="center"/>
          </w:tcPr>
          <w:p w:rsidR="006A7881" w:rsidRPr="001811A6" w:rsidRDefault="006A7881" w:rsidP="00125B26">
            <w:pPr>
              <w:jc w:val="left"/>
              <w:rPr>
                <w:rFonts w:ascii="Arial Narrow" w:hAnsi="Arial Narrow"/>
                <w:b/>
                <w:sz w:val="20"/>
              </w:rPr>
            </w:pPr>
            <w:r w:rsidRPr="001811A6">
              <w:rPr>
                <w:rFonts w:ascii="Arial Narrow" w:hAnsi="Arial Narrow"/>
                <w:b/>
                <w:sz w:val="20"/>
              </w:rPr>
              <w:t>Trial</w:t>
            </w:r>
          </w:p>
        </w:tc>
        <w:tc>
          <w:tcPr>
            <w:tcW w:w="294" w:type="pct"/>
            <w:shd w:val="clear" w:color="auto" w:fill="auto"/>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N</w:t>
            </w:r>
          </w:p>
        </w:tc>
        <w:tc>
          <w:tcPr>
            <w:tcW w:w="1235" w:type="pct"/>
            <w:shd w:val="clear" w:color="auto" w:fill="auto"/>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Design/ duration</w:t>
            </w:r>
          </w:p>
        </w:tc>
        <w:tc>
          <w:tcPr>
            <w:tcW w:w="422" w:type="pct"/>
            <w:shd w:val="clear" w:color="auto" w:fill="auto"/>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Risk of bias</w:t>
            </w:r>
          </w:p>
        </w:tc>
        <w:tc>
          <w:tcPr>
            <w:tcW w:w="1076" w:type="pct"/>
            <w:shd w:val="clear" w:color="auto" w:fill="auto"/>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Patient population</w:t>
            </w:r>
          </w:p>
        </w:tc>
        <w:tc>
          <w:tcPr>
            <w:tcW w:w="620" w:type="pct"/>
            <w:shd w:val="clear" w:color="auto" w:fill="auto"/>
            <w:vAlign w:val="center"/>
          </w:tcPr>
          <w:p w:rsidR="006A7881" w:rsidRPr="001811A6" w:rsidRDefault="006A7881" w:rsidP="00FE3E2A">
            <w:pPr>
              <w:jc w:val="center"/>
              <w:rPr>
                <w:rFonts w:ascii="Arial Narrow" w:hAnsi="Arial Narrow"/>
                <w:b/>
                <w:sz w:val="20"/>
              </w:rPr>
            </w:pPr>
            <w:r w:rsidRPr="001811A6">
              <w:rPr>
                <w:rFonts w:ascii="Arial Narrow" w:hAnsi="Arial Narrow"/>
                <w:b/>
                <w:sz w:val="20"/>
              </w:rPr>
              <w:t>Outcomes</w:t>
            </w:r>
          </w:p>
        </w:tc>
        <w:tc>
          <w:tcPr>
            <w:tcW w:w="671" w:type="pct"/>
            <w:shd w:val="clear" w:color="auto" w:fill="auto"/>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Use</w:t>
            </w:r>
            <w:r w:rsidR="00F15C9E" w:rsidRPr="001811A6">
              <w:rPr>
                <w:rFonts w:ascii="Arial Narrow" w:hAnsi="Arial Narrow"/>
                <w:b/>
                <w:sz w:val="20"/>
              </w:rPr>
              <w:t>d</w:t>
            </w:r>
            <w:r w:rsidRPr="001811A6">
              <w:rPr>
                <w:rFonts w:ascii="Arial Narrow" w:hAnsi="Arial Narrow"/>
                <w:b/>
                <w:sz w:val="20"/>
              </w:rPr>
              <w:t xml:space="preserve"> in modelled evaluation</w:t>
            </w:r>
          </w:p>
        </w:tc>
      </w:tr>
      <w:tr w:rsidR="006A7881" w:rsidRPr="001811A6" w:rsidTr="007F6ACC">
        <w:tc>
          <w:tcPr>
            <w:tcW w:w="5000" w:type="pct"/>
            <w:gridSpan w:val="7"/>
            <w:shd w:val="clear" w:color="auto" w:fill="auto"/>
            <w:vAlign w:val="center"/>
          </w:tcPr>
          <w:p w:rsidR="006A7881" w:rsidRPr="001811A6" w:rsidRDefault="006A7881" w:rsidP="00125B26">
            <w:pPr>
              <w:jc w:val="left"/>
              <w:rPr>
                <w:rFonts w:ascii="Arial Narrow" w:hAnsi="Arial Narrow"/>
                <w:b/>
                <w:sz w:val="20"/>
              </w:rPr>
            </w:pPr>
            <w:r w:rsidRPr="001811A6">
              <w:rPr>
                <w:rFonts w:ascii="Arial Narrow" w:hAnsi="Arial Narrow"/>
                <w:b/>
                <w:sz w:val="20"/>
              </w:rPr>
              <w:t>Vismodegib</w:t>
            </w:r>
          </w:p>
        </w:tc>
      </w:tr>
      <w:tr w:rsidR="00F15C9E" w:rsidRPr="001811A6" w:rsidTr="001E0E91">
        <w:tc>
          <w:tcPr>
            <w:tcW w:w="682" w:type="pct"/>
            <w:shd w:val="clear" w:color="auto" w:fill="auto"/>
            <w:vAlign w:val="center"/>
          </w:tcPr>
          <w:p w:rsidR="006A7881" w:rsidRPr="001811A6" w:rsidRDefault="006A7881" w:rsidP="00125B26">
            <w:pPr>
              <w:jc w:val="left"/>
              <w:rPr>
                <w:rFonts w:ascii="Arial Narrow" w:hAnsi="Arial Narrow"/>
                <w:sz w:val="20"/>
              </w:rPr>
            </w:pPr>
            <w:r w:rsidRPr="001811A6">
              <w:rPr>
                <w:rFonts w:ascii="Arial Narrow" w:hAnsi="Arial Narrow"/>
                <w:sz w:val="20"/>
              </w:rPr>
              <w:t>STEVIE</w:t>
            </w:r>
          </w:p>
        </w:tc>
        <w:tc>
          <w:tcPr>
            <w:tcW w:w="294"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501</w:t>
            </w:r>
          </w:p>
        </w:tc>
        <w:tc>
          <w:tcPr>
            <w:tcW w:w="1235"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OL, MC, SA</w:t>
            </w:r>
          </w:p>
          <w:p w:rsidR="006A7881" w:rsidRPr="001811A6" w:rsidRDefault="006A7881" w:rsidP="00125B26">
            <w:pPr>
              <w:jc w:val="center"/>
              <w:rPr>
                <w:rFonts w:ascii="Arial Narrow" w:hAnsi="Arial Narrow"/>
                <w:sz w:val="20"/>
              </w:rPr>
            </w:pPr>
            <w:r w:rsidRPr="001811A6">
              <w:rPr>
                <w:rFonts w:ascii="Arial Narrow" w:hAnsi="Arial Narrow"/>
                <w:sz w:val="20"/>
              </w:rPr>
              <w:t>9.3 months median follow up – still ongoing</w:t>
            </w:r>
          </w:p>
        </w:tc>
        <w:tc>
          <w:tcPr>
            <w:tcW w:w="422"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High</w:t>
            </w:r>
          </w:p>
        </w:tc>
        <w:tc>
          <w:tcPr>
            <w:tcW w:w="1076" w:type="pct"/>
            <w:shd w:val="clear" w:color="auto" w:fill="auto"/>
            <w:vAlign w:val="center"/>
          </w:tcPr>
          <w:p w:rsidR="006A7881" w:rsidRPr="001811A6" w:rsidRDefault="000A421E" w:rsidP="00125B26">
            <w:pPr>
              <w:jc w:val="center"/>
              <w:rPr>
                <w:rFonts w:ascii="Arial Narrow" w:hAnsi="Arial Narrow"/>
                <w:sz w:val="20"/>
              </w:rPr>
            </w:pPr>
            <w:r w:rsidRPr="001811A6">
              <w:rPr>
                <w:rFonts w:ascii="Arial Narrow" w:hAnsi="Arial Narrow"/>
                <w:sz w:val="20"/>
              </w:rPr>
              <w:t>mBCC or laBCC not suitable</w:t>
            </w:r>
            <w:r w:rsidR="006A7881" w:rsidRPr="001811A6">
              <w:rPr>
                <w:rFonts w:ascii="Arial Narrow" w:hAnsi="Arial Narrow"/>
                <w:sz w:val="20"/>
              </w:rPr>
              <w:t xml:space="preserve"> for surgery</w:t>
            </w:r>
          </w:p>
        </w:tc>
        <w:tc>
          <w:tcPr>
            <w:tcW w:w="620" w:type="pct"/>
            <w:shd w:val="clear" w:color="auto" w:fill="auto"/>
            <w:vAlign w:val="center"/>
          </w:tcPr>
          <w:p w:rsidR="006A7881" w:rsidRPr="001811A6" w:rsidRDefault="006A7881" w:rsidP="003A0D86">
            <w:pPr>
              <w:jc w:val="center"/>
              <w:rPr>
                <w:rFonts w:ascii="Arial Narrow" w:hAnsi="Arial Narrow"/>
                <w:sz w:val="20"/>
              </w:rPr>
            </w:pPr>
            <w:r w:rsidRPr="001811A6">
              <w:rPr>
                <w:rFonts w:ascii="Arial Narrow" w:hAnsi="Arial Narrow"/>
                <w:sz w:val="20"/>
              </w:rPr>
              <w:t xml:space="preserve">AE, </w:t>
            </w:r>
            <w:r w:rsidR="003A1FCD">
              <w:rPr>
                <w:rFonts w:ascii="Arial Narrow" w:hAnsi="Arial Narrow"/>
                <w:sz w:val="20"/>
              </w:rPr>
              <w:t>ORR</w:t>
            </w:r>
            <w:r w:rsidRPr="001811A6">
              <w:rPr>
                <w:rFonts w:ascii="Arial Narrow" w:hAnsi="Arial Narrow"/>
                <w:sz w:val="20"/>
              </w:rPr>
              <w:t>, PFS, OS</w:t>
            </w:r>
          </w:p>
        </w:tc>
        <w:tc>
          <w:tcPr>
            <w:tcW w:w="671" w:type="pct"/>
            <w:shd w:val="clear" w:color="auto" w:fill="auto"/>
            <w:vAlign w:val="center"/>
          </w:tcPr>
          <w:p w:rsidR="006A7881" w:rsidRPr="001811A6" w:rsidRDefault="00F15C9E" w:rsidP="00125B26">
            <w:pPr>
              <w:jc w:val="center"/>
              <w:rPr>
                <w:rFonts w:ascii="Arial Narrow" w:hAnsi="Arial Narrow"/>
                <w:sz w:val="20"/>
              </w:rPr>
            </w:pPr>
            <w:r w:rsidRPr="001811A6">
              <w:rPr>
                <w:rFonts w:ascii="Arial Narrow" w:hAnsi="Arial Narrow"/>
                <w:sz w:val="20"/>
              </w:rPr>
              <w:t>Yes</w:t>
            </w:r>
          </w:p>
        </w:tc>
      </w:tr>
      <w:tr w:rsidR="00F15C9E" w:rsidRPr="001811A6" w:rsidTr="001E0E91">
        <w:tc>
          <w:tcPr>
            <w:tcW w:w="682" w:type="pct"/>
            <w:shd w:val="clear" w:color="auto" w:fill="auto"/>
            <w:vAlign w:val="center"/>
          </w:tcPr>
          <w:p w:rsidR="006A7881" w:rsidRPr="001811A6" w:rsidRDefault="006A7881" w:rsidP="00125B26">
            <w:pPr>
              <w:jc w:val="left"/>
              <w:rPr>
                <w:rFonts w:ascii="Arial Narrow" w:hAnsi="Arial Narrow"/>
                <w:sz w:val="20"/>
              </w:rPr>
            </w:pPr>
            <w:r w:rsidRPr="001811A6">
              <w:rPr>
                <w:rFonts w:ascii="Arial Narrow" w:hAnsi="Arial Narrow"/>
                <w:sz w:val="20"/>
              </w:rPr>
              <w:t>ERIVANCE</w:t>
            </w:r>
          </w:p>
        </w:tc>
        <w:tc>
          <w:tcPr>
            <w:tcW w:w="294"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104</w:t>
            </w:r>
          </w:p>
        </w:tc>
        <w:tc>
          <w:tcPr>
            <w:tcW w:w="1235"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OL, MC, SA</w:t>
            </w:r>
          </w:p>
          <w:p w:rsidR="006A7881" w:rsidRPr="001811A6" w:rsidRDefault="006A7881" w:rsidP="00125B26">
            <w:pPr>
              <w:jc w:val="center"/>
              <w:rPr>
                <w:rFonts w:ascii="Arial Narrow" w:hAnsi="Arial Narrow"/>
                <w:sz w:val="20"/>
              </w:rPr>
            </w:pPr>
            <w:r w:rsidRPr="001811A6">
              <w:rPr>
                <w:rFonts w:ascii="Arial Narrow" w:hAnsi="Arial Narrow"/>
                <w:sz w:val="20"/>
              </w:rPr>
              <w:t>14.5 months median follow up</w:t>
            </w:r>
          </w:p>
        </w:tc>
        <w:tc>
          <w:tcPr>
            <w:tcW w:w="422"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High</w:t>
            </w:r>
          </w:p>
        </w:tc>
        <w:tc>
          <w:tcPr>
            <w:tcW w:w="1076" w:type="pct"/>
            <w:shd w:val="clear" w:color="auto" w:fill="auto"/>
            <w:vAlign w:val="center"/>
          </w:tcPr>
          <w:p w:rsidR="006A7881" w:rsidRPr="001811A6" w:rsidRDefault="006A7881" w:rsidP="000A421E">
            <w:pPr>
              <w:jc w:val="center"/>
              <w:rPr>
                <w:rFonts w:ascii="Arial Narrow" w:hAnsi="Arial Narrow"/>
                <w:sz w:val="20"/>
              </w:rPr>
            </w:pPr>
            <w:r w:rsidRPr="001811A6">
              <w:rPr>
                <w:rFonts w:ascii="Arial Narrow" w:hAnsi="Arial Narrow"/>
                <w:sz w:val="20"/>
              </w:rPr>
              <w:t>mBCC or laBCC not suitabl</w:t>
            </w:r>
            <w:r w:rsidR="000A421E" w:rsidRPr="001811A6">
              <w:rPr>
                <w:rFonts w:ascii="Arial Narrow" w:hAnsi="Arial Narrow"/>
                <w:sz w:val="20"/>
              </w:rPr>
              <w:t>e</w:t>
            </w:r>
            <w:r w:rsidRPr="001811A6">
              <w:rPr>
                <w:rFonts w:ascii="Arial Narrow" w:hAnsi="Arial Narrow"/>
                <w:sz w:val="20"/>
              </w:rPr>
              <w:t xml:space="preserve"> for surgery</w:t>
            </w:r>
          </w:p>
        </w:tc>
        <w:tc>
          <w:tcPr>
            <w:tcW w:w="620" w:type="pct"/>
            <w:shd w:val="clear" w:color="auto" w:fill="auto"/>
            <w:vAlign w:val="center"/>
          </w:tcPr>
          <w:p w:rsidR="006A7881" w:rsidRPr="001811A6" w:rsidRDefault="003A1FCD" w:rsidP="00125B26">
            <w:pPr>
              <w:jc w:val="center"/>
              <w:rPr>
                <w:rFonts w:ascii="Arial Narrow" w:hAnsi="Arial Narrow"/>
                <w:sz w:val="20"/>
              </w:rPr>
            </w:pPr>
            <w:r>
              <w:rPr>
                <w:rFonts w:ascii="Arial Narrow" w:hAnsi="Arial Narrow"/>
                <w:sz w:val="20"/>
              </w:rPr>
              <w:t>ORR</w:t>
            </w:r>
            <w:r w:rsidR="006A7881" w:rsidRPr="001811A6">
              <w:rPr>
                <w:rFonts w:ascii="Arial Narrow" w:hAnsi="Arial Narrow"/>
                <w:sz w:val="20"/>
              </w:rPr>
              <w:t>, PFS, OS, AE</w:t>
            </w:r>
          </w:p>
        </w:tc>
        <w:tc>
          <w:tcPr>
            <w:tcW w:w="671" w:type="pct"/>
            <w:shd w:val="clear" w:color="auto" w:fill="auto"/>
            <w:vAlign w:val="center"/>
          </w:tcPr>
          <w:p w:rsidR="006A7881" w:rsidRPr="001811A6" w:rsidRDefault="00F15C9E" w:rsidP="00125B26">
            <w:pPr>
              <w:jc w:val="center"/>
              <w:rPr>
                <w:rFonts w:ascii="Arial Narrow" w:hAnsi="Arial Narrow"/>
                <w:sz w:val="20"/>
              </w:rPr>
            </w:pPr>
            <w:r w:rsidRPr="001811A6">
              <w:rPr>
                <w:rFonts w:ascii="Arial Narrow" w:hAnsi="Arial Narrow"/>
                <w:sz w:val="20"/>
              </w:rPr>
              <w:t>No</w:t>
            </w:r>
          </w:p>
        </w:tc>
      </w:tr>
      <w:tr w:rsidR="00F15C9E" w:rsidRPr="001811A6" w:rsidTr="001E0E91">
        <w:tc>
          <w:tcPr>
            <w:tcW w:w="682" w:type="pct"/>
            <w:shd w:val="clear" w:color="auto" w:fill="auto"/>
            <w:vAlign w:val="center"/>
          </w:tcPr>
          <w:p w:rsidR="006A7881" w:rsidRPr="001811A6" w:rsidRDefault="006A7881" w:rsidP="00125B26">
            <w:pPr>
              <w:jc w:val="left"/>
              <w:rPr>
                <w:rFonts w:ascii="Arial Narrow" w:hAnsi="Arial Narrow"/>
                <w:sz w:val="20"/>
              </w:rPr>
            </w:pPr>
            <w:r w:rsidRPr="001811A6">
              <w:rPr>
                <w:rFonts w:ascii="Arial Narrow" w:hAnsi="Arial Narrow"/>
                <w:sz w:val="20"/>
              </w:rPr>
              <w:t>Chang et al (2014)</w:t>
            </w:r>
          </w:p>
        </w:tc>
        <w:tc>
          <w:tcPr>
            <w:tcW w:w="294"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119</w:t>
            </w:r>
          </w:p>
        </w:tc>
        <w:tc>
          <w:tcPr>
            <w:tcW w:w="1235"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OL, MC, SA</w:t>
            </w:r>
          </w:p>
          <w:p w:rsidR="006A7881" w:rsidRPr="001811A6" w:rsidRDefault="006A7881" w:rsidP="00125B26">
            <w:pPr>
              <w:jc w:val="center"/>
              <w:rPr>
                <w:rFonts w:ascii="Arial Narrow" w:hAnsi="Arial Narrow"/>
                <w:sz w:val="20"/>
              </w:rPr>
            </w:pPr>
            <w:r w:rsidRPr="001811A6">
              <w:rPr>
                <w:rFonts w:ascii="Arial Narrow" w:hAnsi="Arial Narrow"/>
                <w:sz w:val="20"/>
              </w:rPr>
              <w:t>6.5 months median follow up</w:t>
            </w:r>
          </w:p>
        </w:tc>
        <w:tc>
          <w:tcPr>
            <w:tcW w:w="422"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High</w:t>
            </w:r>
          </w:p>
        </w:tc>
        <w:tc>
          <w:tcPr>
            <w:tcW w:w="1076" w:type="pct"/>
            <w:shd w:val="clear" w:color="auto" w:fill="auto"/>
            <w:vAlign w:val="center"/>
          </w:tcPr>
          <w:p w:rsidR="006A7881" w:rsidRPr="001811A6" w:rsidRDefault="006A7881" w:rsidP="000A421E">
            <w:pPr>
              <w:jc w:val="center"/>
              <w:rPr>
                <w:rFonts w:ascii="Arial Narrow" w:hAnsi="Arial Narrow"/>
                <w:sz w:val="20"/>
              </w:rPr>
            </w:pPr>
            <w:r w:rsidRPr="001811A6">
              <w:rPr>
                <w:rFonts w:ascii="Arial Narrow" w:hAnsi="Arial Narrow"/>
                <w:sz w:val="20"/>
              </w:rPr>
              <w:t>mBCC or laBCC not suitabl</w:t>
            </w:r>
            <w:r w:rsidR="000A421E" w:rsidRPr="001811A6">
              <w:rPr>
                <w:rFonts w:ascii="Arial Narrow" w:hAnsi="Arial Narrow"/>
                <w:sz w:val="20"/>
              </w:rPr>
              <w:t>e</w:t>
            </w:r>
            <w:r w:rsidRPr="001811A6">
              <w:rPr>
                <w:rFonts w:ascii="Arial Narrow" w:hAnsi="Arial Narrow"/>
                <w:sz w:val="20"/>
              </w:rPr>
              <w:t xml:space="preserve"> for surgery</w:t>
            </w:r>
          </w:p>
        </w:tc>
        <w:tc>
          <w:tcPr>
            <w:tcW w:w="620" w:type="pct"/>
            <w:shd w:val="clear" w:color="auto" w:fill="auto"/>
            <w:vAlign w:val="center"/>
          </w:tcPr>
          <w:p w:rsidR="006A7881" w:rsidRPr="001811A6" w:rsidRDefault="003A1FCD" w:rsidP="00125B26">
            <w:pPr>
              <w:jc w:val="center"/>
              <w:rPr>
                <w:rFonts w:ascii="Arial Narrow" w:hAnsi="Arial Narrow"/>
                <w:sz w:val="20"/>
              </w:rPr>
            </w:pPr>
            <w:r>
              <w:rPr>
                <w:rFonts w:ascii="Arial Narrow" w:hAnsi="Arial Narrow"/>
                <w:sz w:val="20"/>
              </w:rPr>
              <w:t>ORR</w:t>
            </w:r>
            <w:r w:rsidR="006A7881" w:rsidRPr="001811A6">
              <w:rPr>
                <w:rFonts w:ascii="Arial Narrow" w:hAnsi="Arial Narrow"/>
                <w:sz w:val="20"/>
              </w:rPr>
              <w:t>, PFS, OS, AE</w:t>
            </w:r>
          </w:p>
        </w:tc>
        <w:tc>
          <w:tcPr>
            <w:tcW w:w="671" w:type="pct"/>
            <w:shd w:val="clear" w:color="auto" w:fill="auto"/>
            <w:vAlign w:val="center"/>
          </w:tcPr>
          <w:p w:rsidR="006A7881" w:rsidRPr="001811A6" w:rsidRDefault="00F15C9E" w:rsidP="00125B26">
            <w:pPr>
              <w:jc w:val="center"/>
              <w:rPr>
                <w:rFonts w:ascii="Arial Narrow" w:hAnsi="Arial Narrow"/>
                <w:sz w:val="20"/>
              </w:rPr>
            </w:pPr>
            <w:r w:rsidRPr="001811A6">
              <w:rPr>
                <w:rFonts w:ascii="Arial Narrow" w:hAnsi="Arial Narrow"/>
                <w:sz w:val="20"/>
              </w:rPr>
              <w:t>No</w:t>
            </w:r>
          </w:p>
        </w:tc>
      </w:tr>
      <w:tr w:rsidR="006A7881" w:rsidRPr="001811A6" w:rsidTr="007F6ACC">
        <w:tc>
          <w:tcPr>
            <w:tcW w:w="5000" w:type="pct"/>
            <w:gridSpan w:val="7"/>
            <w:shd w:val="clear" w:color="auto" w:fill="auto"/>
            <w:vAlign w:val="center"/>
          </w:tcPr>
          <w:p w:rsidR="006A7881" w:rsidRPr="001811A6" w:rsidRDefault="006A7881" w:rsidP="00125B26">
            <w:pPr>
              <w:pStyle w:val="TableText0"/>
              <w:spacing w:before="0" w:after="0"/>
              <w:rPr>
                <w:rFonts w:cs="Arial"/>
                <w:b/>
                <w:bCs/>
                <w:lang w:eastAsia="en-AU"/>
              </w:rPr>
            </w:pPr>
            <w:r w:rsidRPr="001811A6">
              <w:rPr>
                <w:rFonts w:cs="Arial"/>
                <w:b/>
                <w:bCs/>
                <w:lang w:eastAsia="en-AU"/>
              </w:rPr>
              <w:t>Surgery</w:t>
            </w:r>
          </w:p>
        </w:tc>
      </w:tr>
      <w:tr w:rsidR="00F15C9E" w:rsidRPr="001811A6" w:rsidTr="001E0E91">
        <w:tc>
          <w:tcPr>
            <w:tcW w:w="682" w:type="pct"/>
            <w:shd w:val="clear" w:color="auto" w:fill="auto"/>
            <w:vAlign w:val="center"/>
          </w:tcPr>
          <w:p w:rsidR="006A7881" w:rsidRPr="001811A6" w:rsidRDefault="006A7881" w:rsidP="00125B26">
            <w:pPr>
              <w:jc w:val="left"/>
              <w:rPr>
                <w:rFonts w:ascii="Arial Narrow" w:hAnsi="Arial Narrow"/>
                <w:sz w:val="20"/>
              </w:rPr>
            </w:pPr>
            <w:r w:rsidRPr="001811A6">
              <w:rPr>
                <w:rFonts w:ascii="Arial Narrow" w:hAnsi="Arial Narrow"/>
                <w:sz w:val="20"/>
              </w:rPr>
              <w:t>Schwipper (2011)</w:t>
            </w:r>
          </w:p>
        </w:tc>
        <w:tc>
          <w:tcPr>
            <w:tcW w:w="294"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118</w:t>
            </w:r>
          </w:p>
        </w:tc>
        <w:tc>
          <w:tcPr>
            <w:tcW w:w="1235"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SA, Cohort study</w:t>
            </w:r>
          </w:p>
          <w:p w:rsidR="006A7881" w:rsidRPr="001811A6" w:rsidRDefault="006A7881" w:rsidP="00125B26">
            <w:pPr>
              <w:jc w:val="center"/>
              <w:rPr>
                <w:rFonts w:ascii="Arial Narrow" w:hAnsi="Arial Narrow"/>
                <w:sz w:val="20"/>
              </w:rPr>
            </w:pPr>
            <w:r w:rsidRPr="001811A6">
              <w:rPr>
                <w:rFonts w:ascii="Arial Narrow" w:hAnsi="Arial Narrow"/>
                <w:sz w:val="20"/>
              </w:rPr>
              <w:t>9 years</w:t>
            </w:r>
          </w:p>
        </w:tc>
        <w:tc>
          <w:tcPr>
            <w:tcW w:w="422"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High</w:t>
            </w:r>
          </w:p>
        </w:tc>
        <w:tc>
          <w:tcPr>
            <w:tcW w:w="1076" w:type="pct"/>
            <w:shd w:val="clear" w:color="auto" w:fill="auto"/>
            <w:vAlign w:val="center"/>
          </w:tcPr>
          <w:p w:rsidR="006A7881" w:rsidRPr="001811A6" w:rsidRDefault="006A7881" w:rsidP="00AE0E95">
            <w:pPr>
              <w:jc w:val="center"/>
              <w:rPr>
                <w:rFonts w:ascii="Arial Narrow" w:hAnsi="Arial Narrow"/>
                <w:sz w:val="20"/>
              </w:rPr>
            </w:pPr>
            <w:r w:rsidRPr="001811A6">
              <w:rPr>
                <w:rFonts w:ascii="Arial Narrow" w:hAnsi="Arial Narrow"/>
                <w:sz w:val="20"/>
              </w:rPr>
              <w:t>Invasive BCC of the Head</w:t>
            </w:r>
            <w:r w:rsidR="00F15C9E" w:rsidRPr="001811A6">
              <w:rPr>
                <w:rFonts w:ascii="Arial Narrow" w:hAnsi="Arial Narrow"/>
                <w:sz w:val="20"/>
              </w:rPr>
              <w:t xml:space="preserve"> </w:t>
            </w:r>
            <w:r w:rsidRPr="001811A6">
              <w:rPr>
                <w:rFonts w:ascii="Arial Narrow" w:hAnsi="Arial Narrow"/>
                <w:sz w:val="20"/>
              </w:rPr>
              <w:t>and Neck</w:t>
            </w:r>
          </w:p>
        </w:tc>
        <w:tc>
          <w:tcPr>
            <w:tcW w:w="620" w:type="pct"/>
            <w:shd w:val="clear" w:color="auto" w:fill="auto"/>
            <w:vAlign w:val="center"/>
          </w:tcPr>
          <w:p w:rsidR="006A7881" w:rsidRPr="001811A6" w:rsidRDefault="006A7881" w:rsidP="00125B26">
            <w:pPr>
              <w:jc w:val="center"/>
              <w:rPr>
                <w:rFonts w:ascii="Arial Narrow" w:hAnsi="Arial Narrow"/>
                <w:sz w:val="20"/>
              </w:rPr>
            </w:pPr>
            <w:r w:rsidRPr="001811A6">
              <w:rPr>
                <w:rFonts w:ascii="Arial Narrow" w:hAnsi="Arial Narrow"/>
                <w:sz w:val="20"/>
              </w:rPr>
              <w:t>CR, PFS, OS</w:t>
            </w:r>
          </w:p>
        </w:tc>
        <w:tc>
          <w:tcPr>
            <w:tcW w:w="671" w:type="pct"/>
            <w:shd w:val="clear" w:color="auto" w:fill="auto"/>
            <w:vAlign w:val="center"/>
          </w:tcPr>
          <w:p w:rsidR="006A7881" w:rsidRPr="001811A6" w:rsidRDefault="00F15C9E" w:rsidP="00125B26">
            <w:pPr>
              <w:jc w:val="center"/>
              <w:rPr>
                <w:rFonts w:ascii="Arial Narrow" w:hAnsi="Arial Narrow"/>
                <w:sz w:val="20"/>
              </w:rPr>
            </w:pPr>
            <w:r w:rsidRPr="001811A6">
              <w:rPr>
                <w:rFonts w:ascii="Arial Narrow" w:hAnsi="Arial Narrow"/>
                <w:sz w:val="20"/>
              </w:rPr>
              <w:t>Yes</w:t>
            </w:r>
          </w:p>
        </w:tc>
      </w:tr>
    </w:tbl>
    <w:p w:rsidR="00FD3134" w:rsidRPr="001811A6" w:rsidRDefault="00FD3134" w:rsidP="00FD3134">
      <w:pPr>
        <w:pStyle w:val="TableFooter"/>
        <w:ind w:firstLine="720"/>
      </w:pPr>
      <w:r w:rsidRPr="001811A6">
        <w:t xml:space="preserve">Source: </w:t>
      </w:r>
      <w:r w:rsidR="00746708" w:rsidRPr="001811A6">
        <w:rPr>
          <w:i/>
        </w:rPr>
        <w:t>Compiled during the evaluation</w:t>
      </w:r>
    </w:p>
    <w:p w:rsidR="006A7881" w:rsidRPr="001811A6" w:rsidRDefault="006A7881" w:rsidP="006A7881">
      <w:pPr>
        <w:pStyle w:val="TableFooter"/>
        <w:ind w:left="720"/>
      </w:pPr>
      <w:r w:rsidRPr="001811A6">
        <w:t>SA</w:t>
      </w:r>
      <w:r w:rsidR="00FD3134" w:rsidRPr="001811A6">
        <w:t xml:space="preserve"> </w:t>
      </w:r>
      <w:r w:rsidRPr="001811A6">
        <w:t>=</w:t>
      </w:r>
      <w:r w:rsidR="00FD3134" w:rsidRPr="001811A6">
        <w:t xml:space="preserve"> </w:t>
      </w:r>
      <w:r w:rsidR="00F836CB" w:rsidRPr="001811A6">
        <w:t>single-arm</w:t>
      </w:r>
      <w:r w:rsidRPr="001811A6">
        <w:t>; MC</w:t>
      </w:r>
      <w:r w:rsidR="00FD3134" w:rsidRPr="001811A6">
        <w:t xml:space="preserve"> </w:t>
      </w:r>
      <w:r w:rsidRPr="001811A6">
        <w:t>=</w:t>
      </w:r>
      <w:r w:rsidR="00FD3134" w:rsidRPr="001811A6">
        <w:t xml:space="preserve"> </w:t>
      </w:r>
      <w:r w:rsidRPr="001811A6">
        <w:t>multi-centre; OL</w:t>
      </w:r>
      <w:r w:rsidR="00FD3134" w:rsidRPr="001811A6">
        <w:t xml:space="preserve"> </w:t>
      </w:r>
      <w:r w:rsidRPr="001811A6">
        <w:t>=</w:t>
      </w:r>
      <w:r w:rsidR="00FD3134" w:rsidRPr="001811A6">
        <w:t xml:space="preserve"> </w:t>
      </w:r>
      <w:r w:rsidRPr="001811A6">
        <w:t>open label; ORR</w:t>
      </w:r>
      <w:r w:rsidR="00FD3134" w:rsidRPr="001811A6">
        <w:t xml:space="preserve"> </w:t>
      </w:r>
      <w:r w:rsidRPr="001811A6">
        <w:t>=</w:t>
      </w:r>
      <w:r w:rsidR="00FD3134" w:rsidRPr="001811A6">
        <w:t xml:space="preserve"> </w:t>
      </w:r>
      <w:r w:rsidRPr="001811A6">
        <w:t>objective response rate; AE</w:t>
      </w:r>
      <w:r w:rsidR="00FD3134" w:rsidRPr="001811A6">
        <w:t xml:space="preserve"> </w:t>
      </w:r>
      <w:r w:rsidRPr="001811A6">
        <w:t>=</w:t>
      </w:r>
      <w:r w:rsidR="00FD3134" w:rsidRPr="001811A6">
        <w:t xml:space="preserve"> </w:t>
      </w:r>
      <w:r w:rsidRPr="001811A6">
        <w:t xml:space="preserve">adverse events; </w:t>
      </w:r>
      <w:r w:rsidR="00FE3E2A" w:rsidRPr="001811A6">
        <w:t>OS </w:t>
      </w:r>
      <w:r w:rsidRPr="001811A6">
        <w:t>=</w:t>
      </w:r>
      <w:r w:rsidR="00FD3134" w:rsidRPr="001811A6">
        <w:t xml:space="preserve"> </w:t>
      </w:r>
      <w:r w:rsidRPr="001811A6">
        <w:t>overall survival; PFS</w:t>
      </w:r>
      <w:r w:rsidR="00FD3134" w:rsidRPr="001811A6">
        <w:t xml:space="preserve"> </w:t>
      </w:r>
      <w:r w:rsidRPr="001811A6">
        <w:t>=</w:t>
      </w:r>
      <w:r w:rsidR="00FD3134" w:rsidRPr="001811A6">
        <w:t xml:space="preserve"> </w:t>
      </w:r>
      <w:r w:rsidRPr="001811A6">
        <w:t>progression-free survival; CR</w:t>
      </w:r>
      <w:r w:rsidR="00FD3134" w:rsidRPr="001811A6">
        <w:t xml:space="preserve"> </w:t>
      </w:r>
      <w:r w:rsidRPr="001811A6">
        <w:t>=</w:t>
      </w:r>
      <w:r w:rsidR="00FD3134" w:rsidRPr="001811A6">
        <w:t xml:space="preserve"> </w:t>
      </w:r>
      <w:r w:rsidRPr="001811A6">
        <w:t>complete response; BCC = basal cell carcinoma; mBCC</w:t>
      </w:r>
      <w:r w:rsidR="00FD3134" w:rsidRPr="001811A6">
        <w:t xml:space="preserve"> </w:t>
      </w:r>
      <w:r w:rsidRPr="001811A6">
        <w:t>=</w:t>
      </w:r>
      <w:r w:rsidR="00FD3134" w:rsidRPr="001811A6">
        <w:t xml:space="preserve"> </w:t>
      </w:r>
      <w:r w:rsidRPr="001811A6">
        <w:t>metastatic BCC, laBCC</w:t>
      </w:r>
      <w:r w:rsidR="00FD3134" w:rsidRPr="001811A6">
        <w:t xml:space="preserve"> </w:t>
      </w:r>
      <w:r w:rsidRPr="001811A6">
        <w:t>=</w:t>
      </w:r>
      <w:r w:rsidR="00FD3134" w:rsidRPr="001811A6">
        <w:t xml:space="preserve"> </w:t>
      </w:r>
      <w:r w:rsidRPr="001811A6">
        <w:t>locally advanced BCC</w:t>
      </w:r>
    </w:p>
    <w:p w:rsidR="006A7881" w:rsidRPr="001811A6" w:rsidRDefault="006A7881" w:rsidP="00046B13">
      <w:bookmarkStart w:id="16" w:name="_Toc392858195"/>
    </w:p>
    <w:p w:rsidR="006A7881" w:rsidRPr="001811A6" w:rsidRDefault="006A7881" w:rsidP="00B4462B">
      <w:pPr>
        <w:pStyle w:val="ListParagraph"/>
        <w:widowControl/>
        <w:numPr>
          <w:ilvl w:val="1"/>
          <w:numId w:val="1"/>
        </w:numPr>
        <w:rPr>
          <w:szCs w:val="22"/>
        </w:rPr>
      </w:pPr>
      <w:r w:rsidRPr="001811A6">
        <w:rPr>
          <w:szCs w:val="22"/>
        </w:rPr>
        <w:t xml:space="preserve">The STEVIE study was identified by the submission as the pivotal study for the economic evaluation and </w:t>
      </w:r>
      <w:r w:rsidR="00F15C9E" w:rsidRPr="001811A6">
        <w:rPr>
          <w:szCs w:val="22"/>
        </w:rPr>
        <w:t xml:space="preserve">financial </w:t>
      </w:r>
      <w:r w:rsidRPr="001811A6">
        <w:rPr>
          <w:szCs w:val="22"/>
        </w:rPr>
        <w:t>estimates.</w:t>
      </w:r>
    </w:p>
    <w:p w:rsidR="006A7881" w:rsidRPr="001811A6" w:rsidRDefault="006A7881" w:rsidP="00046B13"/>
    <w:p w:rsidR="006A7881" w:rsidRPr="001811A6" w:rsidRDefault="006A7881" w:rsidP="003C1346">
      <w:pPr>
        <w:pStyle w:val="Heading2"/>
      </w:pPr>
      <w:bookmarkStart w:id="17" w:name="_Toc441050276"/>
      <w:r w:rsidRPr="001811A6">
        <w:t>Comparative effectiveness</w:t>
      </w:r>
      <w:bookmarkEnd w:id="16"/>
      <w:bookmarkEnd w:id="17"/>
    </w:p>
    <w:p w:rsidR="00F47B83" w:rsidRPr="001811A6" w:rsidRDefault="00F47B83" w:rsidP="00F47B83"/>
    <w:p w:rsidR="006A7881" w:rsidRPr="001811A6" w:rsidRDefault="007F6ACC" w:rsidP="003F04E9">
      <w:pPr>
        <w:pStyle w:val="ListParagraph"/>
        <w:numPr>
          <w:ilvl w:val="1"/>
          <w:numId w:val="1"/>
        </w:numPr>
        <w:rPr>
          <w:szCs w:val="22"/>
        </w:rPr>
      </w:pPr>
      <w:r w:rsidRPr="001811A6">
        <w:rPr>
          <w:szCs w:val="22"/>
        </w:rPr>
        <w:t>The submission highlighted objective response rate as the key outcome variable</w:t>
      </w:r>
      <w:r w:rsidR="003A0D86" w:rsidRPr="001811A6">
        <w:rPr>
          <w:szCs w:val="22"/>
        </w:rPr>
        <w:t xml:space="preserve">. An objective response was defined as a complete or partial response determined on two consecutive assessments </w:t>
      </w:r>
      <w:r w:rsidR="00BA34D3" w:rsidRPr="001811A6">
        <w:rPr>
          <w:szCs w:val="22"/>
        </w:rPr>
        <w:t>at least</w:t>
      </w:r>
      <w:r w:rsidR="00746708" w:rsidRPr="001811A6">
        <w:rPr>
          <w:szCs w:val="22"/>
        </w:rPr>
        <w:t xml:space="preserve"> four</w:t>
      </w:r>
      <w:r w:rsidR="003A0D86" w:rsidRPr="001811A6">
        <w:rPr>
          <w:szCs w:val="22"/>
        </w:rPr>
        <w:t xml:space="preserve"> weeks apart. In turn, </w:t>
      </w:r>
      <w:r w:rsidR="00316C04" w:rsidRPr="001811A6">
        <w:rPr>
          <w:szCs w:val="22"/>
        </w:rPr>
        <w:t>a</w:t>
      </w:r>
      <w:r w:rsidR="00BD46D8" w:rsidRPr="001811A6">
        <w:rPr>
          <w:szCs w:val="22"/>
        </w:rPr>
        <w:t xml:space="preserve"> complete response was where the target lesion(s) were no longer visible and this was maintained for at least </w:t>
      </w:r>
      <w:r w:rsidR="00897C0C" w:rsidRPr="001811A6">
        <w:rPr>
          <w:szCs w:val="22"/>
        </w:rPr>
        <w:t xml:space="preserve">four </w:t>
      </w:r>
      <w:r w:rsidR="00BD46D8" w:rsidRPr="001811A6">
        <w:rPr>
          <w:szCs w:val="22"/>
        </w:rPr>
        <w:t xml:space="preserve">weeks and a partial response was where the target lesion obtained a decrease of 30% or greater that was maintained for at least </w:t>
      </w:r>
      <w:r w:rsidR="00897C0C" w:rsidRPr="001811A6">
        <w:rPr>
          <w:szCs w:val="22"/>
        </w:rPr>
        <w:t xml:space="preserve">four </w:t>
      </w:r>
      <w:r w:rsidR="00BD46D8" w:rsidRPr="001811A6">
        <w:rPr>
          <w:szCs w:val="22"/>
        </w:rPr>
        <w:t xml:space="preserve">weeks. </w:t>
      </w:r>
      <w:r w:rsidR="00EC5FBC" w:rsidRPr="001811A6">
        <w:t>In the surgery study, the outcome was the surgical response rate defined as the proportion of patients considered ‘cured’ after an average post-operative follow</w:t>
      </w:r>
      <w:r w:rsidR="00316C04" w:rsidRPr="001811A6">
        <w:t>-</w:t>
      </w:r>
      <w:r w:rsidR="00EC5FBC" w:rsidRPr="001811A6">
        <w:t>up period of 5</w:t>
      </w:r>
      <w:r w:rsidR="00544D61" w:rsidRPr="001811A6">
        <w:t> </w:t>
      </w:r>
      <w:r w:rsidR="00EC5FBC" w:rsidRPr="001811A6">
        <w:t>years.</w:t>
      </w:r>
      <w:r w:rsidR="00FA197F" w:rsidRPr="001811A6">
        <w:rPr>
          <w:szCs w:val="22"/>
        </w:rPr>
        <w:t xml:space="preserve"> Table 3 presents the results of the main outcomes across the non-randomised studies.</w:t>
      </w:r>
    </w:p>
    <w:p w:rsidR="00544D61" w:rsidRPr="001811A6" w:rsidRDefault="00544D61" w:rsidP="000F2F9F">
      <w:pPr>
        <w:keepNext/>
        <w:widowControl/>
        <w:rPr>
          <w:rStyle w:val="CommentReference"/>
        </w:rPr>
      </w:pPr>
    </w:p>
    <w:p w:rsidR="006A7881" w:rsidRPr="001811A6" w:rsidRDefault="006A7881" w:rsidP="000F2F9F">
      <w:pPr>
        <w:keepNext/>
        <w:widowControl/>
        <w:rPr>
          <w:rStyle w:val="CommentReference"/>
        </w:rPr>
      </w:pPr>
      <w:r w:rsidRPr="001811A6">
        <w:rPr>
          <w:rStyle w:val="CommentReference"/>
        </w:rPr>
        <w:tab/>
        <w:t xml:space="preserve">Table </w:t>
      </w:r>
      <w:r w:rsidR="000A421E" w:rsidRPr="001811A6">
        <w:rPr>
          <w:rStyle w:val="CommentReference"/>
        </w:rPr>
        <w:t>3</w:t>
      </w:r>
      <w:r w:rsidRPr="001811A6">
        <w:rPr>
          <w:rStyle w:val="CommentReference"/>
        </w:rPr>
        <w:t>: Results of response across the non-randomised studies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2"/>
        <w:gridCol w:w="1701"/>
        <w:gridCol w:w="1844"/>
        <w:gridCol w:w="1559"/>
        <w:gridCol w:w="1399"/>
      </w:tblGrid>
      <w:tr w:rsidR="006A7881" w:rsidRPr="001811A6" w:rsidTr="00316C04">
        <w:trPr>
          <w:tblHeader/>
        </w:trPr>
        <w:tc>
          <w:tcPr>
            <w:tcW w:w="1104" w:type="pct"/>
            <w:vAlign w:val="center"/>
          </w:tcPr>
          <w:p w:rsidR="006A7881" w:rsidRPr="001811A6" w:rsidRDefault="006A7881" w:rsidP="000F2F9F">
            <w:pPr>
              <w:keepNext/>
              <w:widowControl/>
              <w:jc w:val="left"/>
              <w:rPr>
                <w:rFonts w:ascii="Arial Narrow" w:hAnsi="Arial Narrow"/>
                <w:b/>
                <w:sz w:val="20"/>
              </w:rPr>
            </w:pPr>
          </w:p>
        </w:tc>
        <w:tc>
          <w:tcPr>
            <w:tcW w:w="3058" w:type="pct"/>
            <w:gridSpan w:val="3"/>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Vismodegib</w:t>
            </w:r>
          </w:p>
        </w:tc>
        <w:tc>
          <w:tcPr>
            <w:tcW w:w="838" w:type="pct"/>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Surgery</w:t>
            </w:r>
          </w:p>
        </w:tc>
      </w:tr>
      <w:tr w:rsidR="006A7881" w:rsidRPr="001811A6" w:rsidTr="00316C04">
        <w:trPr>
          <w:tblHeader/>
        </w:trPr>
        <w:tc>
          <w:tcPr>
            <w:tcW w:w="1104" w:type="pct"/>
            <w:vAlign w:val="center"/>
          </w:tcPr>
          <w:p w:rsidR="006A7881" w:rsidRPr="001811A6" w:rsidRDefault="006A7881" w:rsidP="000F2F9F">
            <w:pPr>
              <w:keepNext/>
              <w:widowControl/>
              <w:jc w:val="left"/>
              <w:rPr>
                <w:rFonts w:ascii="Arial Narrow" w:hAnsi="Arial Narrow"/>
                <w:sz w:val="20"/>
              </w:rPr>
            </w:pPr>
            <w:r w:rsidRPr="001811A6">
              <w:rPr>
                <w:rFonts w:ascii="Arial Narrow" w:hAnsi="Arial Narrow"/>
                <w:b/>
                <w:sz w:val="20"/>
              </w:rPr>
              <w:t>Trial ID</w:t>
            </w:r>
          </w:p>
        </w:tc>
        <w:tc>
          <w:tcPr>
            <w:tcW w:w="1019" w:type="pct"/>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mBCC</w:t>
            </w:r>
          </w:p>
          <w:p w:rsidR="006A7881" w:rsidRPr="001811A6" w:rsidRDefault="006A7881" w:rsidP="000F2F9F">
            <w:pPr>
              <w:keepNext/>
              <w:widowControl/>
              <w:ind w:right="-108"/>
              <w:jc w:val="center"/>
              <w:rPr>
                <w:rFonts w:ascii="Arial Narrow" w:hAnsi="Arial Narrow"/>
                <w:sz w:val="20"/>
              </w:rPr>
            </w:pPr>
            <w:r w:rsidRPr="001811A6">
              <w:rPr>
                <w:rFonts w:ascii="Arial Narrow" w:hAnsi="Arial Narrow"/>
                <w:b/>
                <w:sz w:val="20"/>
              </w:rPr>
              <w:t>n/N (%)</w:t>
            </w:r>
          </w:p>
        </w:tc>
        <w:tc>
          <w:tcPr>
            <w:tcW w:w="1105" w:type="pct"/>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laBCC</w:t>
            </w:r>
          </w:p>
          <w:p w:rsidR="006A7881" w:rsidRPr="001811A6" w:rsidRDefault="006A7881" w:rsidP="000F2F9F">
            <w:pPr>
              <w:keepNext/>
              <w:widowControl/>
              <w:jc w:val="center"/>
              <w:rPr>
                <w:rFonts w:ascii="Arial Narrow" w:hAnsi="Arial Narrow"/>
                <w:sz w:val="20"/>
              </w:rPr>
            </w:pPr>
            <w:r w:rsidRPr="001811A6">
              <w:rPr>
                <w:rFonts w:ascii="Arial Narrow" w:hAnsi="Arial Narrow"/>
                <w:b/>
                <w:sz w:val="20"/>
              </w:rPr>
              <w:t>n/N (%)</w:t>
            </w:r>
          </w:p>
        </w:tc>
        <w:tc>
          <w:tcPr>
            <w:tcW w:w="934" w:type="pct"/>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All patients</w:t>
            </w:r>
          </w:p>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n/N (%)</w:t>
            </w:r>
          </w:p>
        </w:tc>
        <w:tc>
          <w:tcPr>
            <w:tcW w:w="838" w:type="pct"/>
            <w:vAlign w:val="center"/>
          </w:tcPr>
          <w:p w:rsidR="006A7881" w:rsidRPr="001811A6" w:rsidRDefault="006A7881" w:rsidP="000F2F9F">
            <w:pPr>
              <w:keepNext/>
              <w:widowControl/>
              <w:jc w:val="center"/>
              <w:rPr>
                <w:rFonts w:ascii="Arial Narrow" w:hAnsi="Arial Narrow"/>
                <w:b/>
                <w:sz w:val="20"/>
              </w:rPr>
            </w:pPr>
            <w:r w:rsidRPr="001811A6">
              <w:rPr>
                <w:rFonts w:ascii="Arial Narrow" w:hAnsi="Arial Narrow"/>
                <w:b/>
                <w:sz w:val="20"/>
              </w:rPr>
              <w:t>All patients</w:t>
            </w:r>
          </w:p>
          <w:p w:rsidR="006A7881" w:rsidRPr="001811A6" w:rsidRDefault="006A7881" w:rsidP="000F2F9F">
            <w:pPr>
              <w:keepNext/>
              <w:widowControl/>
              <w:jc w:val="center"/>
              <w:rPr>
                <w:rFonts w:ascii="Arial Narrow" w:hAnsi="Arial Narrow"/>
                <w:sz w:val="20"/>
              </w:rPr>
            </w:pPr>
            <w:r w:rsidRPr="001811A6">
              <w:rPr>
                <w:rFonts w:ascii="Arial Narrow" w:hAnsi="Arial Narrow"/>
                <w:b/>
                <w:sz w:val="20"/>
              </w:rPr>
              <w:t>n/N (%)</w:t>
            </w:r>
          </w:p>
        </w:tc>
      </w:tr>
      <w:tr w:rsidR="00CF27D2" w:rsidRPr="001811A6" w:rsidTr="00BD46D8">
        <w:tc>
          <w:tcPr>
            <w:tcW w:w="5000" w:type="pct"/>
            <w:gridSpan w:val="5"/>
            <w:vAlign w:val="center"/>
          </w:tcPr>
          <w:p w:rsidR="00CF27D2" w:rsidRPr="001811A6" w:rsidRDefault="00CF27D2" w:rsidP="000F2F9F">
            <w:pPr>
              <w:keepNext/>
              <w:widowControl/>
              <w:jc w:val="left"/>
              <w:rPr>
                <w:rFonts w:ascii="Arial Narrow" w:hAnsi="Arial Narrow"/>
                <w:b/>
                <w:sz w:val="20"/>
              </w:rPr>
            </w:pPr>
            <w:r w:rsidRPr="001811A6">
              <w:rPr>
                <w:rFonts w:ascii="Arial Narrow" w:hAnsi="Arial Narrow"/>
                <w:b/>
                <w:sz w:val="20"/>
              </w:rPr>
              <w:t xml:space="preserve">Objective response </w:t>
            </w:r>
            <w:r w:rsidR="00267F68" w:rsidRPr="001811A6">
              <w:rPr>
                <w:rFonts w:ascii="Arial Narrow" w:hAnsi="Arial Narrow"/>
                <w:b/>
                <w:sz w:val="20"/>
              </w:rPr>
              <w:t>(ORR)</w:t>
            </w:r>
          </w:p>
        </w:tc>
      </w:tr>
      <w:tr w:rsidR="006A7881" w:rsidRPr="001811A6" w:rsidTr="00316C04">
        <w:tc>
          <w:tcPr>
            <w:tcW w:w="1104" w:type="pct"/>
            <w:vAlign w:val="center"/>
          </w:tcPr>
          <w:p w:rsidR="006A7881" w:rsidRPr="001811A6" w:rsidRDefault="006A7881" w:rsidP="000F2F9F">
            <w:pPr>
              <w:keepNext/>
              <w:widowControl/>
              <w:jc w:val="left"/>
              <w:rPr>
                <w:rFonts w:ascii="Arial Narrow" w:hAnsi="Arial Narrow"/>
                <w:sz w:val="20"/>
              </w:rPr>
            </w:pPr>
            <w:r w:rsidRPr="001811A6">
              <w:rPr>
                <w:rFonts w:ascii="Arial Narrow" w:hAnsi="Arial Narrow"/>
                <w:sz w:val="20"/>
              </w:rPr>
              <w:t>STEVIE</w:t>
            </w:r>
            <w:r w:rsidRPr="001811A6">
              <w:rPr>
                <w:rFonts w:ascii="Arial Narrow" w:hAnsi="Arial Narrow"/>
                <w:sz w:val="20"/>
                <w:vertAlign w:val="superscript"/>
              </w:rPr>
              <w:t>a</w:t>
            </w:r>
          </w:p>
        </w:tc>
        <w:tc>
          <w:tcPr>
            <w:tcW w:w="1019"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11/29 (37.9)</w:t>
            </w:r>
          </w:p>
        </w:tc>
        <w:tc>
          <w:tcPr>
            <w:tcW w:w="1105"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302/453 (66.7)</w:t>
            </w:r>
          </w:p>
        </w:tc>
        <w:tc>
          <w:tcPr>
            <w:tcW w:w="934"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313/482 (64.9)</w:t>
            </w:r>
          </w:p>
        </w:tc>
        <w:tc>
          <w:tcPr>
            <w:tcW w:w="838"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w:t>
            </w:r>
          </w:p>
        </w:tc>
      </w:tr>
      <w:tr w:rsidR="006A7881" w:rsidRPr="001811A6" w:rsidTr="00316C04">
        <w:tc>
          <w:tcPr>
            <w:tcW w:w="1104" w:type="pct"/>
            <w:vAlign w:val="center"/>
          </w:tcPr>
          <w:p w:rsidR="006A7881" w:rsidRPr="001811A6" w:rsidRDefault="006A7881" w:rsidP="000F2F9F">
            <w:pPr>
              <w:keepNext/>
              <w:widowControl/>
              <w:jc w:val="left"/>
              <w:rPr>
                <w:rFonts w:ascii="Arial Narrow" w:hAnsi="Arial Narrow"/>
                <w:sz w:val="20"/>
              </w:rPr>
            </w:pPr>
            <w:r w:rsidRPr="001811A6">
              <w:rPr>
                <w:rFonts w:ascii="Arial Narrow" w:hAnsi="Arial Narrow"/>
                <w:sz w:val="20"/>
              </w:rPr>
              <w:t>ERIVANCE</w:t>
            </w:r>
            <w:r w:rsidRPr="001811A6">
              <w:rPr>
                <w:rFonts w:ascii="Arial Narrow" w:hAnsi="Arial Narrow"/>
                <w:sz w:val="20"/>
                <w:vertAlign w:val="superscript"/>
              </w:rPr>
              <w:t>a</w:t>
            </w:r>
          </w:p>
        </w:tc>
        <w:tc>
          <w:tcPr>
            <w:tcW w:w="1019"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15/33 (45.5)</w:t>
            </w:r>
          </w:p>
        </w:tc>
        <w:tc>
          <w:tcPr>
            <w:tcW w:w="1105"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38/63 (60.3)</w:t>
            </w:r>
          </w:p>
        </w:tc>
        <w:tc>
          <w:tcPr>
            <w:tcW w:w="934"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53/96 (55.2)</w:t>
            </w:r>
          </w:p>
        </w:tc>
        <w:tc>
          <w:tcPr>
            <w:tcW w:w="838" w:type="pct"/>
            <w:vAlign w:val="center"/>
          </w:tcPr>
          <w:p w:rsidR="006A7881" w:rsidRPr="001811A6" w:rsidRDefault="006A7881" w:rsidP="000F2F9F">
            <w:pPr>
              <w:keepNext/>
              <w:widowControl/>
              <w:jc w:val="center"/>
              <w:rPr>
                <w:rFonts w:ascii="Arial Narrow" w:hAnsi="Arial Narrow"/>
                <w:sz w:val="20"/>
              </w:rPr>
            </w:pPr>
          </w:p>
        </w:tc>
      </w:tr>
      <w:tr w:rsidR="006A7881" w:rsidRPr="001811A6" w:rsidTr="00316C04">
        <w:tc>
          <w:tcPr>
            <w:tcW w:w="1104" w:type="pct"/>
            <w:vAlign w:val="center"/>
          </w:tcPr>
          <w:p w:rsidR="006A7881" w:rsidRPr="001811A6" w:rsidRDefault="006A7881" w:rsidP="000F2F9F">
            <w:pPr>
              <w:keepNext/>
              <w:widowControl/>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r w:rsidRPr="001811A6">
              <w:rPr>
                <w:rFonts w:ascii="Arial Narrow" w:hAnsi="Arial Narrow"/>
                <w:sz w:val="20"/>
                <w:vertAlign w:val="superscript"/>
              </w:rPr>
              <w:t>b</w:t>
            </w:r>
          </w:p>
        </w:tc>
        <w:tc>
          <w:tcPr>
            <w:tcW w:w="1019" w:type="pct"/>
            <w:vAlign w:val="center"/>
          </w:tcPr>
          <w:p w:rsidR="006A7881" w:rsidRPr="001811A6" w:rsidRDefault="006A7881" w:rsidP="00897C0C">
            <w:pPr>
              <w:pStyle w:val="TableText0"/>
              <w:spacing w:before="0" w:after="0"/>
              <w:ind w:left="-22"/>
              <w:jc w:val="center"/>
            </w:pPr>
            <w:r w:rsidRPr="001811A6">
              <w:t>12/39 (30.8)</w:t>
            </w:r>
          </w:p>
        </w:tc>
        <w:tc>
          <w:tcPr>
            <w:tcW w:w="1105" w:type="pct"/>
            <w:vAlign w:val="center"/>
          </w:tcPr>
          <w:p w:rsidR="006A7881" w:rsidRPr="001811A6" w:rsidRDefault="006A7881" w:rsidP="00E37974">
            <w:pPr>
              <w:pStyle w:val="TableText0"/>
              <w:spacing w:before="0" w:after="0"/>
              <w:ind w:left="-22"/>
              <w:jc w:val="center"/>
            </w:pPr>
            <w:r w:rsidRPr="001811A6">
              <w:t>26/56 (46.4)</w:t>
            </w:r>
          </w:p>
        </w:tc>
        <w:tc>
          <w:tcPr>
            <w:tcW w:w="934" w:type="pct"/>
            <w:vAlign w:val="center"/>
          </w:tcPr>
          <w:p w:rsidR="006A7881" w:rsidRPr="001811A6" w:rsidRDefault="006A7881" w:rsidP="007A7CDE">
            <w:pPr>
              <w:pStyle w:val="TableText0"/>
              <w:spacing w:before="0" w:after="0"/>
              <w:ind w:left="-22"/>
              <w:jc w:val="center"/>
            </w:pPr>
            <w:r w:rsidRPr="001811A6">
              <w:t>38/95 (40.0)</w:t>
            </w:r>
          </w:p>
        </w:tc>
        <w:tc>
          <w:tcPr>
            <w:tcW w:w="838" w:type="pct"/>
            <w:vAlign w:val="center"/>
          </w:tcPr>
          <w:p w:rsidR="006A7881" w:rsidRPr="001811A6" w:rsidRDefault="006A7881" w:rsidP="000F2F9F">
            <w:pPr>
              <w:keepNext/>
              <w:widowControl/>
              <w:jc w:val="center"/>
              <w:rPr>
                <w:rFonts w:ascii="Arial Narrow" w:hAnsi="Arial Narrow"/>
                <w:sz w:val="20"/>
              </w:rPr>
            </w:pPr>
            <w:r w:rsidRPr="001811A6">
              <w:rPr>
                <w:rFonts w:ascii="Arial Narrow" w:hAnsi="Arial Narrow"/>
                <w:sz w:val="20"/>
              </w:rPr>
              <w:t>-</w:t>
            </w:r>
          </w:p>
        </w:tc>
      </w:tr>
      <w:tr w:rsidR="00053F6D" w:rsidRPr="001811A6" w:rsidTr="00053F6D">
        <w:tc>
          <w:tcPr>
            <w:tcW w:w="5000" w:type="pct"/>
            <w:gridSpan w:val="5"/>
            <w:vAlign w:val="center"/>
          </w:tcPr>
          <w:p w:rsidR="00053F6D" w:rsidRPr="001811A6" w:rsidRDefault="00053F6D" w:rsidP="000F2F9F">
            <w:pPr>
              <w:keepNext/>
              <w:widowControl/>
              <w:jc w:val="left"/>
              <w:rPr>
                <w:rFonts w:ascii="Arial Narrow" w:hAnsi="Arial Narrow"/>
                <w:b/>
                <w:sz w:val="20"/>
              </w:rPr>
            </w:pPr>
            <w:r w:rsidRPr="001811A6">
              <w:rPr>
                <w:rFonts w:ascii="Arial Narrow" w:hAnsi="Arial Narrow"/>
                <w:b/>
                <w:sz w:val="20"/>
              </w:rPr>
              <w:t>Patients considered ‘cured’ after an average post-operative follow up period of 5-years</w:t>
            </w:r>
          </w:p>
        </w:tc>
      </w:tr>
      <w:tr w:rsidR="00053F6D" w:rsidRPr="001811A6" w:rsidTr="00316C04">
        <w:tc>
          <w:tcPr>
            <w:tcW w:w="1104" w:type="pct"/>
            <w:vAlign w:val="center"/>
          </w:tcPr>
          <w:p w:rsidR="00053F6D" w:rsidRPr="001811A6" w:rsidRDefault="00053F6D" w:rsidP="000F2F9F">
            <w:pPr>
              <w:keepNext/>
              <w:widowControl/>
              <w:jc w:val="left"/>
              <w:rPr>
                <w:rFonts w:ascii="Arial Narrow" w:hAnsi="Arial Narrow"/>
                <w:sz w:val="20"/>
              </w:rPr>
            </w:pPr>
            <w:r w:rsidRPr="001811A6">
              <w:rPr>
                <w:rFonts w:ascii="Arial Narrow" w:hAnsi="Arial Narrow"/>
                <w:sz w:val="20"/>
              </w:rPr>
              <w:t>Schwipper 2011</w:t>
            </w:r>
          </w:p>
        </w:tc>
        <w:tc>
          <w:tcPr>
            <w:tcW w:w="1019" w:type="pct"/>
            <w:vAlign w:val="center"/>
          </w:tcPr>
          <w:p w:rsidR="00053F6D" w:rsidRPr="001811A6" w:rsidRDefault="00053F6D" w:rsidP="000F2F9F">
            <w:pPr>
              <w:keepNext/>
              <w:widowControl/>
              <w:jc w:val="center"/>
              <w:rPr>
                <w:rFonts w:ascii="Arial Narrow" w:hAnsi="Arial Narrow"/>
                <w:sz w:val="20"/>
              </w:rPr>
            </w:pPr>
          </w:p>
        </w:tc>
        <w:tc>
          <w:tcPr>
            <w:tcW w:w="1105" w:type="pct"/>
            <w:vAlign w:val="center"/>
          </w:tcPr>
          <w:p w:rsidR="00053F6D" w:rsidRPr="001811A6" w:rsidRDefault="00053F6D" w:rsidP="000F2F9F">
            <w:pPr>
              <w:keepNext/>
              <w:widowControl/>
              <w:jc w:val="center"/>
              <w:rPr>
                <w:rFonts w:ascii="Arial Narrow" w:hAnsi="Arial Narrow"/>
                <w:sz w:val="20"/>
              </w:rPr>
            </w:pPr>
          </w:p>
        </w:tc>
        <w:tc>
          <w:tcPr>
            <w:tcW w:w="934" w:type="pct"/>
            <w:vAlign w:val="center"/>
          </w:tcPr>
          <w:p w:rsidR="00053F6D" w:rsidRPr="001811A6" w:rsidRDefault="00053F6D" w:rsidP="000F2F9F">
            <w:pPr>
              <w:keepNext/>
              <w:widowControl/>
              <w:jc w:val="center"/>
              <w:rPr>
                <w:rFonts w:ascii="Arial Narrow" w:hAnsi="Arial Narrow"/>
                <w:sz w:val="20"/>
              </w:rPr>
            </w:pPr>
          </w:p>
        </w:tc>
        <w:tc>
          <w:tcPr>
            <w:tcW w:w="838" w:type="pct"/>
            <w:vAlign w:val="center"/>
          </w:tcPr>
          <w:p w:rsidR="00053F6D" w:rsidRPr="001811A6" w:rsidRDefault="00053F6D" w:rsidP="000F2F9F">
            <w:pPr>
              <w:keepNext/>
              <w:widowControl/>
              <w:jc w:val="center"/>
              <w:rPr>
                <w:rFonts w:ascii="Arial Narrow" w:hAnsi="Arial Narrow"/>
                <w:sz w:val="20"/>
              </w:rPr>
            </w:pPr>
            <w:r w:rsidRPr="001811A6">
              <w:rPr>
                <w:rFonts w:ascii="Arial Narrow" w:hAnsi="Arial Narrow"/>
                <w:sz w:val="20"/>
              </w:rPr>
              <w:t>63/118 (53.4)</w:t>
            </w:r>
          </w:p>
        </w:tc>
      </w:tr>
      <w:tr w:rsidR="00053F6D" w:rsidRPr="001811A6" w:rsidTr="00053F6D">
        <w:tc>
          <w:tcPr>
            <w:tcW w:w="5000" w:type="pct"/>
            <w:gridSpan w:val="5"/>
            <w:vAlign w:val="center"/>
          </w:tcPr>
          <w:p w:rsidR="00053F6D" w:rsidRPr="001811A6" w:rsidRDefault="00053F6D" w:rsidP="000F2F9F">
            <w:pPr>
              <w:keepNext/>
              <w:widowControl/>
              <w:jc w:val="left"/>
              <w:rPr>
                <w:rFonts w:ascii="Arial Narrow" w:hAnsi="Arial Narrow"/>
                <w:b/>
                <w:sz w:val="20"/>
              </w:rPr>
            </w:pPr>
            <w:r w:rsidRPr="001811A6">
              <w:rPr>
                <w:rFonts w:ascii="Arial Narrow" w:hAnsi="Arial Narrow"/>
                <w:b/>
                <w:sz w:val="20"/>
              </w:rPr>
              <w:t>Patients with resection within healthy tissue margin</w:t>
            </w:r>
          </w:p>
        </w:tc>
      </w:tr>
      <w:tr w:rsidR="00053F6D" w:rsidRPr="001811A6" w:rsidTr="00316C04">
        <w:tc>
          <w:tcPr>
            <w:tcW w:w="1104" w:type="pct"/>
            <w:vAlign w:val="center"/>
          </w:tcPr>
          <w:p w:rsidR="00053F6D" w:rsidRPr="001811A6" w:rsidRDefault="00053F6D" w:rsidP="000F2F9F">
            <w:pPr>
              <w:keepNext/>
              <w:widowControl/>
              <w:jc w:val="left"/>
              <w:rPr>
                <w:rFonts w:ascii="Arial Narrow" w:hAnsi="Arial Narrow"/>
                <w:sz w:val="20"/>
              </w:rPr>
            </w:pPr>
            <w:r w:rsidRPr="001811A6">
              <w:rPr>
                <w:rFonts w:ascii="Arial Narrow" w:hAnsi="Arial Narrow"/>
                <w:sz w:val="20"/>
              </w:rPr>
              <w:t>Schwipper 2011</w:t>
            </w:r>
          </w:p>
        </w:tc>
        <w:tc>
          <w:tcPr>
            <w:tcW w:w="1019" w:type="pct"/>
            <w:vAlign w:val="center"/>
          </w:tcPr>
          <w:p w:rsidR="00053F6D" w:rsidRPr="001811A6" w:rsidRDefault="00053F6D" w:rsidP="000F2F9F">
            <w:pPr>
              <w:keepNext/>
              <w:widowControl/>
              <w:jc w:val="center"/>
              <w:rPr>
                <w:rFonts w:ascii="Arial Narrow" w:hAnsi="Arial Narrow"/>
                <w:sz w:val="20"/>
              </w:rPr>
            </w:pPr>
          </w:p>
        </w:tc>
        <w:tc>
          <w:tcPr>
            <w:tcW w:w="1105" w:type="pct"/>
            <w:vAlign w:val="center"/>
          </w:tcPr>
          <w:p w:rsidR="00053F6D" w:rsidRPr="001811A6" w:rsidRDefault="00053F6D" w:rsidP="000F2F9F">
            <w:pPr>
              <w:keepNext/>
              <w:widowControl/>
              <w:jc w:val="center"/>
              <w:rPr>
                <w:rFonts w:ascii="Arial Narrow" w:hAnsi="Arial Narrow"/>
                <w:sz w:val="20"/>
              </w:rPr>
            </w:pPr>
          </w:p>
        </w:tc>
        <w:tc>
          <w:tcPr>
            <w:tcW w:w="934" w:type="pct"/>
            <w:vAlign w:val="center"/>
          </w:tcPr>
          <w:p w:rsidR="00053F6D" w:rsidRPr="001811A6" w:rsidRDefault="00053F6D" w:rsidP="000F2F9F">
            <w:pPr>
              <w:keepNext/>
              <w:widowControl/>
              <w:jc w:val="center"/>
              <w:rPr>
                <w:rFonts w:ascii="Arial Narrow" w:hAnsi="Arial Narrow"/>
                <w:sz w:val="20"/>
              </w:rPr>
            </w:pPr>
          </w:p>
        </w:tc>
        <w:tc>
          <w:tcPr>
            <w:tcW w:w="838" w:type="pct"/>
            <w:vAlign w:val="center"/>
          </w:tcPr>
          <w:p w:rsidR="00053F6D" w:rsidRPr="001811A6" w:rsidRDefault="00053F6D" w:rsidP="000F2F9F">
            <w:pPr>
              <w:keepNext/>
              <w:widowControl/>
              <w:jc w:val="center"/>
              <w:rPr>
                <w:rFonts w:ascii="Arial Narrow" w:hAnsi="Arial Narrow"/>
                <w:sz w:val="20"/>
              </w:rPr>
            </w:pPr>
            <w:r w:rsidRPr="001811A6">
              <w:rPr>
                <w:rFonts w:ascii="Arial Narrow" w:hAnsi="Arial Narrow"/>
                <w:sz w:val="20"/>
              </w:rPr>
              <w:t xml:space="preserve">107/118 (90.7) </w:t>
            </w:r>
          </w:p>
        </w:tc>
      </w:tr>
    </w:tbl>
    <w:p w:rsidR="00316C04" w:rsidRPr="001811A6" w:rsidRDefault="006A7881" w:rsidP="000F2F9F">
      <w:pPr>
        <w:pStyle w:val="TableFooter"/>
        <w:keepNext/>
        <w:widowControl/>
        <w:ind w:left="720"/>
      </w:pPr>
      <w:r w:rsidRPr="001811A6">
        <w:t xml:space="preserve">Source: Table B.6.1, p33; Table B.6.3, p35; Table B.6.5, p38 of Section B of the submission; </w:t>
      </w:r>
      <w:r w:rsidR="00316C04" w:rsidRPr="001811A6">
        <w:t xml:space="preserve">and </w:t>
      </w:r>
      <w:r w:rsidRPr="001811A6">
        <w:t xml:space="preserve">Schwipper (2011) </w:t>
      </w:r>
    </w:p>
    <w:p w:rsidR="00FD3134" w:rsidRPr="001811A6" w:rsidRDefault="00FD3134" w:rsidP="000F2F9F">
      <w:pPr>
        <w:pStyle w:val="TableFooter"/>
        <w:keepNext/>
        <w:widowControl/>
        <w:ind w:left="720"/>
      </w:pPr>
      <w:r w:rsidRPr="001811A6">
        <w:t>BCC = basal cell carcinoma; mBCC = metastatic BCC</w:t>
      </w:r>
      <w:r w:rsidR="00316C04" w:rsidRPr="001811A6">
        <w:t>;</w:t>
      </w:r>
      <w:r w:rsidRPr="001811A6">
        <w:t xml:space="preserve"> laBCC = locally advanced BCC</w:t>
      </w:r>
      <w:r w:rsidR="00267F68" w:rsidRPr="001811A6">
        <w:t>; ORR = objective response rate</w:t>
      </w:r>
    </w:p>
    <w:p w:rsidR="006A7881" w:rsidRPr="001811A6" w:rsidRDefault="006A7881" w:rsidP="000F2F9F">
      <w:pPr>
        <w:keepNext/>
        <w:widowControl/>
        <w:ind w:firstLine="720"/>
        <w:rPr>
          <w:rFonts w:ascii="Arial Narrow" w:hAnsi="Arial Narrow"/>
          <w:sz w:val="18"/>
          <w:szCs w:val="18"/>
        </w:rPr>
      </w:pPr>
      <w:r w:rsidRPr="001811A6">
        <w:rPr>
          <w:rFonts w:ascii="Arial Narrow" w:hAnsi="Arial Narrow"/>
          <w:sz w:val="18"/>
          <w:szCs w:val="18"/>
          <w:vertAlign w:val="superscript"/>
        </w:rPr>
        <w:t>a</w:t>
      </w:r>
      <w:r w:rsidRPr="001811A6">
        <w:rPr>
          <w:sz w:val="20"/>
          <w:vertAlign w:val="superscript"/>
        </w:rPr>
        <w:t xml:space="preserve"> </w:t>
      </w:r>
      <w:r w:rsidRPr="001811A6">
        <w:rPr>
          <w:rFonts w:ascii="Arial Narrow" w:hAnsi="Arial Narrow"/>
          <w:sz w:val="18"/>
          <w:szCs w:val="18"/>
        </w:rPr>
        <w:t xml:space="preserve">Investigator assessed </w:t>
      </w:r>
    </w:p>
    <w:p w:rsidR="006A7881" w:rsidRPr="001811A6" w:rsidRDefault="006A7881" w:rsidP="000F2F9F">
      <w:pPr>
        <w:keepNext/>
        <w:widowControl/>
        <w:ind w:firstLine="720"/>
        <w:rPr>
          <w:rFonts w:ascii="Arial Narrow" w:hAnsi="Arial Narrow"/>
          <w:sz w:val="18"/>
          <w:szCs w:val="18"/>
        </w:rPr>
      </w:pPr>
      <w:r w:rsidRPr="001811A6">
        <w:rPr>
          <w:rFonts w:ascii="Arial Narrow" w:hAnsi="Arial Narrow"/>
          <w:sz w:val="18"/>
          <w:szCs w:val="18"/>
          <w:vertAlign w:val="superscript"/>
        </w:rPr>
        <w:t>b</w:t>
      </w:r>
      <w:r w:rsidRPr="001811A6">
        <w:rPr>
          <w:rFonts w:ascii="Arial Narrow" w:hAnsi="Arial Narrow"/>
          <w:sz w:val="18"/>
          <w:szCs w:val="18"/>
        </w:rPr>
        <w:t xml:space="preserve"> Investigator assessed for a median follow up of 6.5 months due to early ending of the trial</w:t>
      </w:r>
    </w:p>
    <w:p w:rsidR="006A7881" w:rsidRPr="001811A6" w:rsidRDefault="006A7881" w:rsidP="006A7881">
      <w:pPr>
        <w:pStyle w:val="ListParagraph"/>
        <w:widowControl/>
        <w:rPr>
          <w:szCs w:val="22"/>
        </w:rPr>
      </w:pPr>
    </w:p>
    <w:p w:rsidR="00C43942" w:rsidRPr="001811A6" w:rsidRDefault="00EC5FBC" w:rsidP="003C1346">
      <w:pPr>
        <w:pStyle w:val="ListParagraph"/>
        <w:widowControl/>
        <w:numPr>
          <w:ilvl w:val="1"/>
          <w:numId w:val="1"/>
        </w:numPr>
        <w:rPr>
          <w:b/>
        </w:rPr>
      </w:pPr>
      <w:r w:rsidRPr="001811A6">
        <w:t>The surgical</w:t>
      </w:r>
      <w:r w:rsidR="00BD46D8" w:rsidRPr="001811A6">
        <w:t xml:space="preserve"> complete</w:t>
      </w:r>
      <w:r w:rsidRPr="001811A6">
        <w:t xml:space="preserve"> response rate</w:t>
      </w:r>
      <w:r w:rsidR="00BD46D8" w:rsidRPr="001811A6">
        <w:t xml:space="preserve"> after five years</w:t>
      </w:r>
      <w:r w:rsidR="00053F6D" w:rsidRPr="001811A6">
        <w:t xml:space="preserve"> </w:t>
      </w:r>
      <w:r w:rsidRPr="001811A6">
        <w:t xml:space="preserve">was </w:t>
      </w:r>
      <w:r w:rsidR="00053F6D" w:rsidRPr="001811A6">
        <w:t xml:space="preserve">compared </w:t>
      </w:r>
      <w:r w:rsidRPr="001811A6">
        <w:t>with the</w:t>
      </w:r>
      <w:r w:rsidR="00053F6D" w:rsidRPr="001811A6">
        <w:t xml:space="preserve"> objective response rate for the vismodegib studies; this was inappropriate. </w:t>
      </w:r>
      <w:r w:rsidR="006A7881" w:rsidRPr="001811A6">
        <w:t xml:space="preserve">This comparison was based on three </w:t>
      </w:r>
      <w:r w:rsidRPr="001811A6">
        <w:t>single-</w:t>
      </w:r>
      <w:r w:rsidR="006A7881" w:rsidRPr="001811A6">
        <w:t xml:space="preserve">arm studies with substantial baseline heterogeneity and </w:t>
      </w:r>
      <w:r w:rsidR="000A421E" w:rsidRPr="001811A6">
        <w:t xml:space="preserve">somewhat </w:t>
      </w:r>
      <w:r w:rsidR="006A7881" w:rsidRPr="001811A6">
        <w:t>different outcome measures that should be considered when interpreting this result.</w:t>
      </w:r>
      <w:r w:rsidRPr="001811A6">
        <w:t xml:space="preserve"> In the STEVIE and ERIVANCE stud</w:t>
      </w:r>
      <w:r w:rsidR="00316C04" w:rsidRPr="001811A6">
        <w:t>ies</w:t>
      </w:r>
      <w:r w:rsidRPr="001811A6">
        <w:t xml:space="preserve"> vismodegib had a lower objective response rate (63.3%) compared with resected BCC within historically controlled healthy safety margins in patients who received surgical excision (90.7%).</w:t>
      </w:r>
      <w:r w:rsidR="009A221F" w:rsidRPr="001811A6">
        <w:t xml:space="preserve">  The PBAC considered that the complete response rate for surgery was 90.7% with a cure rate of 53.4%.</w:t>
      </w:r>
    </w:p>
    <w:p w:rsidR="00C43942" w:rsidRPr="001811A6" w:rsidRDefault="00C43942" w:rsidP="003C1346">
      <w:pPr>
        <w:pStyle w:val="PBACHeading1"/>
        <w:numPr>
          <w:ilvl w:val="0"/>
          <w:numId w:val="0"/>
        </w:numPr>
        <w:ind w:left="720"/>
      </w:pPr>
    </w:p>
    <w:p w:rsidR="00C43942" w:rsidRPr="001811A6" w:rsidRDefault="00FA407E" w:rsidP="003C1346">
      <w:pPr>
        <w:pStyle w:val="ListParagraph"/>
        <w:widowControl/>
        <w:numPr>
          <w:ilvl w:val="1"/>
          <w:numId w:val="1"/>
        </w:numPr>
        <w:rPr>
          <w:b/>
        </w:rPr>
      </w:pPr>
      <w:r w:rsidRPr="001811A6">
        <w:t>T</w:t>
      </w:r>
      <w:r w:rsidR="003A7681" w:rsidRPr="001811A6">
        <w:t>he three vismodegib stud</w:t>
      </w:r>
      <w:r w:rsidRPr="001811A6">
        <w:t>ies</w:t>
      </w:r>
      <w:r w:rsidR="003A7681" w:rsidRPr="001811A6">
        <w:t xml:space="preserve"> report</w:t>
      </w:r>
      <w:r w:rsidR="00127AB9" w:rsidRPr="001811A6">
        <w:t>ed</w:t>
      </w:r>
      <w:r w:rsidRPr="001811A6">
        <w:t xml:space="preserve"> vismodegib</w:t>
      </w:r>
      <w:r w:rsidR="003A7681" w:rsidRPr="001811A6">
        <w:t xml:space="preserve"> </w:t>
      </w:r>
      <w:r w:rsidR="00443B66" w:rsidRPr="001811A6">
        <w:t>wa</w:t>
      </w:r>
      <w:r w:rsidR="003A7681" w:rsidRPr="001811A6">
        <w:t xml:space="preserve">s more effective in a locally advanced population than in a metastatic population. However, the incremental benefit of vismodegib between the two sub-populations </w:t>
      </w:r>
      <w:r w:rsidR="00127AB9" w:rsidRPr="001811A6">
        <w:t>wa</w:t>
      </w:r>
      <w:r w:rsidR="003A7681" w:rsidRPr="001811A6">
        <w:t xml:space="preserve">s not estimable as the Schwipper </w:t>
      </w:r>
      <w:r w:rsidR="00443B66" w:rsidRPr="001811A6">
        <w:t xml:space="preserve">(2011) </w:t>
      </w:r>
      <w:r w:rsidR="003A7681" w:rsidRPr="001811A6">
        <w:t>data do not sub-divide by metastatic versus locally advanced disease.</w:t>
      </w:r>
    </w:p>
    <w:p w:rsidR="00C43942" w:rsidRPr="001811A6" w:rsidRDefault="00C43942" w:rsidP="00C43942">
      <w:pPr>
        <w:pStyle w:val="ListParagraph"/>
      </w:pPr>
    </w:p>
    <w:p w:rsidR="00CF27D2" w:rsidRPr="001811A6" w:rsidRDefault="00CF27D2" w:rsidP="003C1346">
      <w:pPr>
        <w:pStyle w:val="ListParagraph"/>
        <w:widowControl/>
        <w:numPr>
          <w:ilvl w:val="1"/>
          <w:numId w:val="1"/>
        </w:numPr>
        <w:rPr>
          <w:b/>
        </w:rPr>
      </w:pPr>
      <w:r w:rsidRPr="001811A6">
        <w:t>Table 4 presents the duration of response across the non-randomised studies.</w:t>
      </w:r>
    </w:p>
    <w:p w:rsidR="006A7881" w:rsidRPr="001811A6" w:rsidRDefault="006A7881" w:rsidP="006A7881">
      <w:pPr>
        <w:ind w:firstLine="720"/>
        <w:rPr>
          <w:rStyle w:val="CommentReference"/>
        </w:rPr>
      </w:pPr>
    </w:p>
    <w:p w:rsidR="006A7881" w:rsidRPr="001811A6" w:rsidRDefault="006A7881" w:rsidP="006A7881">
      <w:pPr>
        <w:ind w:firstLine="720"/>
        <w:rPr>
          <w:rStyle w:val="CommentReference"/>
        </w:rPr>
      </w:pPr>
      <w:r w:rsidRPr="001811A6">
        <w:rPr>
          <w:rStyle w:val="CommentReference"/>
        </w:rPr>
        <w:t>Table 4</w:t>
      </w:r>
      <w:r w:rsidR="000A421E" w:rsidRPr="001811A6">
        <w:rPr>
          <w:rStyle w:val="CommentReference"/>
        </w:rPr>
        <w:t>:</w:t>
      </w:r>
      <w:r w:rsidRPr="001811A6">
        <w:rPr>
          <w:rStyle w:val="CommentReference"/>
        </w:rPr>
        <w:t xml:space="preserve"> Results of </w:t>
      </w:r>
      <w:r w:rsidRPr="001811A6">
        <w:rPr>
          <w:rFonts w:ascii="Arial Narrow" w:hAnsi="Arial Narrow"/>
          <w:b/>
          <w:sz w:val="20"/>
        </w:rPr>
        <w:t xml:space="preserve">duration of response </w:t>
      </w:r>
      <w:r w:rsidRPr="001811A6">
        <w:rPr>
          <w:rStyle w:val="CommentReference"/>
        </w:rPr>
        <w:t>across the non-randomised studies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6"/>
        <w:gridCol w:w="1984"/>
        <w:gridCol w:w="1843"/>
        <w:gridCol w:w="1682"/>
      </w:tblGrid>
      <w:tr w:rsidR="006A7881" w:rsidRPr="001811A6" w:rsidTr="00316C04">
        <w:trPr>
          <w:tblHeader/>
        </w:trPr>
        <w:tc>
          <w:tcPr>
            <w:tcW w:w="1699" w:type="pct"/>
            <w:vAlign w:val="center"/>
          </w:tcPr>
          <w:p w:rsidR="006A7881" w:rsidRPr="001811A6" w:rsidRDefault="006A7881" w:rsidP="00125B26">
            <w:pPr>
              <w:jc w:val="left"/>
              <w:rPr>
                <w:rFonts w:ascii="Arial Narrow" w:hAnsi="Arial Narrow"/>
                <w:sz w:val="20"/>
              </w:rPr>
            </w:pPr>
            <w:r w:rsidRPr="001811A6">
              <w:rPr>
                <w:rFonts w:ascii="Arial Narrow" w:hAnsi="Arial Narrow"/>
                <w:b/>
                <w:sz w:val="20"/>
              </w:rPr>
              <w:t>Trial ID</w:t>
            </w:r>
          </w:p>
        </w:tc>
        <w:tc>
          <w:tcPr>
            <w:tcW w:w="1189" w:type="pct"/>
            <w:vAlign w:val="center"/>
          </w:tcPr>
          <w:p w:rsidR="006A7881" w:rsidRPr="001811A6" w:rsidRDefault="006A7881" w:rsidP="00316C04">
            <w:pPr>
              <w:jc w:val="center"/>
              <w:rPr>
                <w:rFonts w:ascii="Arial Narrow" w:hAnsi="Arial Narrow"/>
                <w:b/>
                <w:sz w:val="20"/>
              </w:rPr>
            </w:pPr>
            <w:r w:rsidRPr="001811A6">
              <w:rPr>
                <w:rFonts w:ascii="Arial Narrow" w:hAnsi="Arial Narrow"/>
                <w:b/>
                <w:sz w:val="20"/>
              </w:rPr>
              <w:t>mBCC</w:t>
            </w:r>
          </w:p>
          <w:p w:rsidR="006A7881" w:rsidRPr="001811A6" w:rsidRDefault="006A7881" w:rsidP="00316C04">
            <w:pPr>
              <w:jc w:val="center"/>
              <w:rPr>
                <w:rFonts w:ascii="Arial Narrow" w:hAnsi="Arial Narrow"/>
                <w:sz w:val="20"/>
              </w:rPr>
            </w:pPr>
            <w:r w:rsidRPr="001811A6">
              <w:rPr>
                <w:rFonts w:ascii="Arial Narrow" w:hAnsi="Arial Narrow"/>
                <w:b/>
                <w:sz w:val="20"/>
              </w:rPr>
              <w:t>Months (95% CI)</w:t>
            </w:r>
          </w:p>
        </w:tc>
        <w:tc>
          <w:tcPr>
            <w:tcW w:w="1104" w:type="pct"/>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laBCC</w:t>
            </w:r>
          </w:p>
          <w:p w:rsidR="006A7881" w:rsidRPr="001811A6" w:rsidRDefault="006A7881" w:rsidP="00125B26">
            <w:pPr>
              <w:jc w:val="center"/>
              <w:rPr>
                <w:rFonts w:ascii="Arial Narrow" w:hAnsi="Arial Narrow"/>
                <w:sz w:val="20"/>
              </w:rPr>
            </w:pPr>
            <w:r w:rsidRPr="001811A6">
              <w:rPr>
                <w:rFonts w:ascii="Arial Narrow" w:hAnsi="Arial Narrow"/>
                <w:b/>
                <w:sz w:val="20"/>
              </w:rPr>
              <w:t>Months (95% CI)</w:t>
            </w:r>
          </w:p>
        </w:tc>
        <w:tc>
          <w:tcPr>
            <w:tcW w:w="1008" w:type="pct"/>
            <w:vAlign w:val="center"/>
          </w:tcPr>
          <w:p w:rsidR="006A7881" w:rsidRPr="001811A6" w:rsidRDefault="006A7881" w:rsidP="00125B26">
            <w:pPr>
              <w:jc w:val="center"/>
              <w:rPr>
                <w:rFonts w:ascii="Arial Narrow" w:hAnsi="Arial Narrow"/>
                <w:b/>
                <w:sz w:val="20"/>
              </w:rPr>
            </w:pPr>
            <w:r w:rsidRPr="001811A6">
              <w:rPr>
                <w:rFonts w:ascii="Arial Narrow" w:hAnsi="Arial Narrow"/>
                <w:b/>
                <w:sz w:val="20"/>
              </w:rPr>
              <w:t>All patients</w:t>
            </w:r>
          </w:p>
          <w:p w:rsidR="006A7881" w:rsidRPr="001811A6" w:rsidRDefault="006A7881" w:rsidP="00125B26">
            <w:pPr>
              <w:jc w:val="center"/>
              <w:rPr>
                <w:rFonts w:ascii="Arial Narrow" w:hAnsi="Arial Narrow"/>
                <w:b/>
                <w:sz w:val="20"/>
              </w:rPr>
            </w:pPr>
            <w:r w:rsidRPr="001811A6">
              <w:rPr>
                <w:rFonts w:ascii="Arial Narrow" w:hAnsi="Arial Narrow"/>
                <w:b/>
                <w:sz w:val="20"/>
              </w:rPr>
              <w:t>Months (95% CI)</w:t>
            </w:r>
          </w:p>
        </w:tc>
      </w:tr>
      <w:tr w:rsidR="0086069E" w:rsidRPr="001811A6" w:rsidTr="0086069E">
        <w:tc>
          <w:tcPr>
            <w:tcW w:w="5000" w:type="pct"/>
            <w:gridSpan w:val="4"/>
            <w:vAlign w:val="center"/>
          </w:tcPr>
          <w:p w:rsidR="0086069E" w:rsidRPr="001811A6" w:rsidRDefault="00F836CB" w:rsidP="00316C04">
            <w:pPr>
              <w:jc w:val="left"/>
              <w:rPr>
                <w:rFonts w:ascii="Arial Narrow" w:hAnsi="Arial Narrow"/>
                <w:b/>
                <w:sz w:val="20"/>
              </w:rPr>
            </w:pPr>
            <w:r w:rsidRPr="001811A6">
              <w:rPr>
                <w:rFonts w:ascii="Arial Narrow" w:hAnsi="Arial Narrow"/>
                <w:b/>
                <w:sz w:val="20"/>
              </w:rPr>
              <w:t>Median d</w:t>
            </w:r>
            <w:r w:rsidR="00CF27D2" w:rsidRPr="001811A6">
              <w:rPr>
                <w:rFonts w:ascii="Arial Narrow" w:hAnsi="Arial Narrow"/>
                <w:b/>
                <w:sz w:val="20"/>
              </w:rPr>
              <w:t>uration of</w:t>
            </w:r>
            <w:r w:rsidR="0086069E" w:rsidRPr="001811A6">
              <w:rPr>
                <w:rFonts w:ascii="Arial Narrow" w:hAnsi="Arial Narrow"/>
                <w:b/>
                <w:sz w:val="20"/>
              </w:rPr>
              <w:t xml:space="preserve"> objective response</w:t>
            </w:r>
            <w:r w:rsidRPr="001811A6">
              <w:rPr>
                <w:rFonts w:ascii="Arial Narrow" w:hAnsi="Arial Narrow"/>
                <w:b/>
                <w:sz w:val="20"/>
              </w:rPr>
              <w:t xml:space="preserve"> </w:t>
            </w:r>
            <w:r w:rsidR="00E37974" w:rsidRPr="001811A6">
              <w:rPr>
                <w:rFonts w:ascii="Arial Narrow" w:hAnsi="Arial Narrow"/>
                <w:b/>
                <w:sz w:val="20"/>
              </w:rPr>
              <w:t>– vismodegib studies</w:t>
            </w:r>
          </w:p>
        </w:tc>
      </w:tr>
      <w:tr w:rsidR="006A7881" w:rsidRPr="001811A6" w:rsidTr="00316C04">
        <w:tc>
          <w:tcPr>
            <w:tcW w:w="1699" w:type="pct"/>
            <w:vAlign w:val="center"/>
          </w:tcPr>
          <w:p w:rsidR="006A7881" w:rsidRPr="001811A6" w:rsidRDefault="006A7881" w:rsidP="00125B26">
            <w:pPr>
              <w:jc w:val="left"/>
              <w:rPr>
                <w:rFonts w:ascii="Arial Narrow" w:hAnsi="Arial Narrow"/>
                <w:sz w:val="20"/>
              </w:rPr>
            </w:pPr>
            <w:r w:rsidRPr="001811A6">
              <w:rPr>
                <w:rFonts w:ascii="Arial Narrow" w:hAnsi="Arial Narrow"/>
                <w:sz w:val="20"/>
              </w:rPr>
              <w:t>STEVIE</w:t>
            </w:r>
            <w:r w:rsidRPr="001811A6">
              <w:rPr>
                <w:rFonts w:ascii="Arial Narrow" w:hAnsi="Arial Narrow"/>
                <w:sz w:val="20"/>
                <w:vertAlign w:val="superscript"/>
              </w:rPr>
              <w:t xml:space="preserve">a </w:t>
            </w:r>
          </w:p>
        </w:tc>
        <w:tc>
          <w:tcPr>
            <w:tcW w:w="1189" w:type="pct"/>
            <w:vAlign w:val="center"/>
          </w:tcPr>
          <w:p w:rsidR="006A7881" w:rsidRPr="001811A6" w:rsidRDefault="006A7881" w:rsidP="00617251">
            <w:pPr>
              <w:jc w:val="center"/>
              <w:rPr>
                <w:rFonts w:ascii="Arial Narrow" w:hAnsi="Arial Narrow"/>
                <w:sz w:val="20"/>
              </w:rPr>
            </w:pPr>
            <w:r w:rsidRPr="001811A6">
              <w:rPr>
                <w:rFonts w:ascii="Arial Narrow" w:hAnsi="Arial Narrow"/>
                <w:sz w:val="20"/>
              </w:rPr>
              <w:t>10.0 (5.7</w:t>
            </w:r>
            <w:r w:rsidR="00617251" w:rsidRPr="001811A6">
              <w:rPr>
                <w:rFonts w:ascii="Arial Narrow" w:hAnsi="Arial Narrow"/>
                <w:sz w:val="20"/>
              </w:rPr>
              <w:t xml:space="preserve">, </w:t>
            </w:r>
            <w:r w:rsidRPr="001811A6">
              <w:rPr>
                <w:rFonts w:ascii="Arial Narrow" w:hAnsi="Arial Narrow"/>
                <w:sz w:val="20"/>
              </w:rPr>
              <w:t>NE)</w:t>
            </w:r>
          </w:p>
        </w:tc>
        <w:tc>
          <w:tcPr>
            <w:tcW w:w="1104" w:type="pct"/>
            <w:vAlign w:val="center"/>
          </w:tcPr>
          <w:p w:rsidR="006A7881" w:rsidRPr="001811A6" w:rsidRDefault="006A7881" w:rsidP="00617251">
            <w:pPr>
              <w:jc w:val="center"/>
              <w:rPr>
                <w:rFonts w:ascii="Arial Narrow" w:hAnsi="Arial Narrow"/>
                <w:sz w:val="20"/>
              </w:rPr>
            </w:pPr>
            <w:r w:rsidRPr="001811A6">
              <w:rPr>
                <w:rFonts w:ascii="Arial Narrow" w:hAnsi="Arial Narrow"/>
                <w:sz w:val="20"/>
              </w:rPr>
              <w:t>22.7 (16.8</w:t>
            </w:r>
            <w:r w:rsidR="00617251" w:rsidRPr="001811A6">
              <w:rPr>
                <w:rFonts w:ascii="Arial Narrow" w:hAnsi="Arial Narrow"/>
                <w:sz w:val="20"/>
              </w:rPr>
              <w:t xml:space="preserve">, </w:t>
            </w:r>
            <w:r w:rsidRPr="001811A6">
              <w:rPr>
                <w:rFonts w:ascii="Arial Narrow" w:hAnsi="Arial Narrow"/>
                <w:sz w:val="20"/>
              </w:rPr>
              <w:t>NE)</w:t>
            </w:r>
          </w:p>
        </w:tc>
        <w:tc>
          <w:tcPr>
            <w:tcW w:w="1008" w:type="pct"/>
            <w:vAlign w:val="center"/>
          </w:tcPr>
          <w:p w:rsidR="006A7881" w:rsidRPr="001811A6" w:rsidRDefault="006A7881" w:rsidP="00617251">
            <w:pPr>
              <w:jc w:val="center"/>
              <w:rPr>
                <w:rFonts w:ascii="Arial Narrow" w:hAnsi="Arial Narrow"/>
                <w:sz w:val="20"/>
              </w:rPr>
            </w:pPr>
            <w:r w:rsidRPr="001811A6">
              <w:rPr>
                <w:rFonts w:ascii="Arial Narrow" w:hAnsi="Arial Narrow"/>
                <w:sz w:val="20"/>
              </w:rPr>
              <w:t>22.7 (16.8</w:t>
            </w:r>
            <w:r w:rsidR="00617251" w:rsidRPr="001811A6">
              <w:rPr>
                <w:rFonts w:ascii="Arial Narrow" w:hAnsi="Arial Narrow"/>
                <w:sz w:val="20"/>
              </w:rPr>
              <w:t xml:space="preserve">, </w:t>
            </w:r>
            <w:r w:rsidRPr="001811A6">
              <w:rPr>
                <w:rFonts w:ascii="Arial Narrow" w:hAnsi="Arial Narrow"/>
                <w:sz w:val="20"/>
              </w:rPr>
              <w:t>NE)</w:t>
            </w:r>
          </w:p>
        </w:tc>
      </w:tr>
      <w:tr w:rsidR="006A7881" w:rsidRPr="006F1B6E" w:rsidTr="000F2F9F">
        <w:tc>
          <w:tcPr>
            <w:tcW w:w="1699" w:type="pct"/>
            <w:vAlign w:val="center"/>
          </w:tcPr>
          <w:p w:rsidR="00E37974" w:rsidRPr="001811A6" w:rsidRDefault="006A7881" w:rsidP="00125B26">
            <w:pPr>
              <w:jc w:val="left"/>
              <w:rPr>
                <w:rFonts w:ascii="Arial Narrow" w:hAnsi="Arial Narrow"/>
                <w:sz w:val="20"/>
              </w:rPr>
            </w:pPr>
            <w:r w:rsidRPr="001811A6">
              <w:rPr>
                <w:rFonts w:ascii="Arial Narrow" w:hAnsi="Arial Narrow"/>
                <w:sz w:val="20"/>
              </w:rPr>
              <w:t>ERIVANCE</w:t>
            </w:r>
          </w:p>
          <w:p w:rsidR="00E37974" w:rsidRPr="001811A6" w:rsidRDefault="00E37974" w:rsidP="00E37974">
            <w:pPr>
              <w:ind w:firstLine="256"/>
              <w:jc w:val="left"/>
              <w:rPr>
                <w:rFonts w:ascii="Arial Narrow" w:hAnsi="Arial Narrow"/>
                <w:sz w:val="20"/>
                <w:vertAlign w:val="superscript"/>
              </w:rPr>
            </w:pPr>
            <w:r w:rsidRPr="001811A6">
              <w:rPr>
                <w:rFonts w:ascii="Arial Narrow" w:hAnsi="Arial Narrow"/>
                <w:sz w:val="20"/>
              </w:rPr>
              <w:t>Investigator assessed</w:t>
            </w:r>
          </w:p>
          <w:p w:rsidR="00E37974" w:rsidRPr="001811A6" w:rsidRDefault="00E37974" w:rsidP="00E37974">
            <w:pPr>
              <w:ind w:firstLine="256"/>
              <w:jc w:val="left"/>
              <w:rPr>
                <w:rFonts w:ascii="Arial Narrow" w:hAnsi="Arial Narrow"/>
                <w:sz w:val="20"/>
              </w:rPr>
            </w:pPr>
            <w:r w:rsidRPr="001811A6">
              <w:rPr>
                <w:rFonts w:ascii="Arial Narrow" w:hAnsi="Arial Narrow"/>
                <w:sz w:val="20"/>
              </w:rPr>
              <w:t>Independent review</w:t>
            </w:r>
          </w:p>
          <w:p w:rsidR="006A7881" w:rsidRPr="001811A6" w:rsidRDefault="00E37974" w:rsidP="00E37974">
            <w:pPr>
              <w:ind w:firstLine="256"/>
              <w:jc w:val="left"/>
              <w:rPr>
                <w:rFonts w:ascii="Arial Narrow" w:hAnsi="Arial Narrow"/>
                <w:sz w:val="20"/>
              </w:rPr>
            </w:pPr>
            <w:r w:rsidRPr="001811A6">
              <w:rPr>
                <w:rFonts w:ascii="Arial Narrow" w:hAnsi="Arial Narrow"/>
                <w:sz w:val="20"/>
              </w:rPr>
              <w:t>30 month update</w:t>
            </w:r>
            <w:r w:rsidR="006A7881" w:rsidRPr="001811A6">
              <w:rPr>
                <w:rFonts w:ascii="Arial Narrow" w:hAnsi="Arial Narrow"/>
                <w:sz w:val="20"/>
                <w:vertAlign w:val="superscript"/>
              </w:rPr>
              <w:t xml:space="preserve">  </w:t>
            </w:r>
          </w:p>
        </w:tc>
        <w:tc>
          <w:tcPr>
            <w:tcW w:w="1189" w:type="pct"/>
            <w:vAlign w:val="bottom"/>
          </w:tcPr>
          <w:p w:rsidR="00E37974" w:rsidRPr="006F1B6E" w:rsidRDefault="006A7881" w:rsidP="000F2F9F">
            <w:pPr>
              <w:pStyle w:val="Tabletext"/>
              <w:jc w:val="center"/>
            </w:pPr>
            <w:r w:rsidRPr="006F1B6E">
              <w:t>12.9 (5.</w:t>
            </w:r>
            <w:r w:rsidR="000A421E" w:rsidRPr="006F1B6E">
              <w:t>6</w:t>
            </w:r>
            <w:r w:rsidRPr="006F1B6E">
              <w:t>, 12.9)</w:t>
            </w:r>
          </w:p>
          <w:p w:rsidR="00E37974" w:rsidRPr="006F1B6E" w:rsidRDefault="00E37974" w:rsidP="000F2F9F">
            <w:pPr>
              <w:pStyle w:val="Tabletext"/>
              <w:jc w:val="center"/>
            </w:pPr>
            <w:r w:rsidRPr="006F1B6E">
              <w:t>7.6 (5.6, NE)</w:t>
            </w:r>
          </w:p>
          <w:p w:rsidR="006A7881" w:rsidRPr="006F1B6E" w:rsidRDefault="00E37974" w:rsidP="000F2F9F">
            <w:pPr>
              <w:pStyle w:val="Tabletext"/>
              <w:jc w:val="center"/>
            </w:pPr>
            <w:r w:rsidRPr="006F1B6E">
              <w:t>14.8 (5.6, 17.0)</w:t>
            </w:r>
          </w:p>
        </w:tc>
        <w:tc>
          <w:tcPr>
            <w:tcW w:w="1104" w:type="pct"/>
            <w:vAlign w:val="bottom"/>
          </w:tcPr>
          <w:p w:rsidR="00E37974" w:rsidRPr="006F1B6E" w:rsidRDefault="006A7881" w:rsidP="000F2F9F">
            <w:pPr>
              <w:pStyle w:val="Tabletext"/>
              <w:jc w:val="center"/>
            </w:pPr>
            <w:r w:rsidRPr="006F1B6E">
              <w:t xml:space="preserve">7.6 </w:t>
            </w:r>
            <w:r w:rsidR="000A421E" w:rsidRPr="006F1B6E">
              <w:t>(7.4</w:t>
            </w:r>
            <w:r w:rsidRPr="006F1B6E">
              <w:t>, NE)</w:t>
            </w:r>
          </w:p>
          <w:p w:rsidR="00E37974" w:rsidRPr="006F1B6E" w:rsidRDefault="00E37974" w:rsidP="000F2F9F">
            <w:pPr>
              <w:pStyle w:val="Tabletext"/>
              <w:jc w:val="center"/>
            </w:pPr>
            <w:r w:rsidRPr="006F1B6E">
              <w:t>7.6 (5.7, 9.7)</w:t>
            </w:r>
          </w:p>
          <w:p w:rsidR="006A7881" w:rsidRPr="006F1B6E" w:rsidRDefault="00E37974" w:rsidP="000F2F9F">
            <w:pPr>
              <w:pStyle w:val="Tabletext"/>
              <w:jc w:val="center"/>
            </w:pPr>
            <w:r w:rsidRPr="006F1B6E">
              <w:t>26.2 (9.0, 37.6)</w:t>
            </w:r>
          </w:p>
        </w:tc>
        <w:tc>
          <w:tcPr>
            <w:tcW w:w="1008" w:type="pct"/>
            <w:vAlign w:val="bottom"/>
          </w:tcPr>
          <w:p w:rsidR="00E37974" w:rsidRPr="006F1B6E" w:rsidRDefault="006A7881" w:rsidP="000F2F9F">
            <w:pPr>
              <w:pStyle w:val="Tabletext"/>
              <w:jc w:val="center"/>
            </w:pPr>
            <w:r w:rsidRPr="006F1B6E">
              <w:t xml:space="preserve">9.5 </w:t>
            </w:r>
            <w:r w:rsidR="000A421E" w:rsidRPr="006F1B6E">
              <w:t>(7.4, 12.9</w:t>
            </w:r>
            <w:r w:rsidRPr="006F1B6E">
              <w:t>)</w:t>
            </w:r>
          </w:p>
          <w:p w:rsidR="00E37974" w:rsidRPr="006F1B6E" w:rsidRDefault="00E37974" w:rsidP="000F2F9F">
            <w:pPr>
              <w:pStyle w:val="Tabletext"/>
              <w:jc w:val="center"/>
            </w:pPr>
            <w:r w:rsidRPr="006F1B6E">
              <w:t>7.6 (5.7, 9.7)</w:t>
            </w:r>
          </w:p>
          <w:p w:rsidR="006A7881" w:rsidRPr="006F1B6E" w:rsidRDefault="00E37974" w:rsidP="000F2F9F">
            <w:pPr>
              <w:pStyle w:val="Tabletext"/>
              <w:jc w:val="center"/>
            </w:pPr>
            <w:r w:rsidRPr="006F1B6E">
              <w:t>16.1 (9.5, 26.2)</w:t>
            </w:r>
          </w:p>
        </w:tc>
      </w:tr>
      <w:tr w:rsidR="0086069E" w:rsidRPr="001811A6" w:rsidTr="0086069E">
        <w:tc>
          <w:tcPr>
            <w:tcW w:w="5000" w:type="pct"/>
            <w:gridSpan w:val="4"/>
            <w:vAlign w:val="center"/>
          </w:tcPr>
          <w:p w:rsidR="0086069E" w:rsidRPr="001811A6" w:rsidRDefault="00F836CB" w:rsidP="0009663A">
            <w:pPr>
              <w:keepNext/>
              <w:widowControl/>
              <w:jc w:val="left"/>
              <w:rPr>
                <w:rFonts w:ascii="Arial Narrow" w:hAnsi="Arial Narrow"/>
                <w:b/>
                <w:sz w:val="20"/>
              </w:rPr>
            </w:pPr>
            <w:r w:rsidRPr="001811A6">
              <w:rPr>
                <w:rFonts w:ascii="Arial Narrow" w:hAnsi="Arial Narrow"/>
                <w:b/>
                <w:sz w:val="20"/>
              </w:rPr>
              <w:t>Mean p</w:t>
            </w:r>
            <w:r w:rsidR="0086069E" w:rsidRPr="001811A6">
              <w:rPr>
                <w:rFonts w:ascii="Arial Narrow" w:hAnsi="Arial Narrow"/>
                <w:b/>
                <w:sz w:val="20"/>
              </w:rPr>
              <w:t>eriod free from recurrence</w:t>
            </w:r>
            <w:r w:rsidR="00E37974" w:rsidRPr="001811A6">
              <w:rPr>
                <w:rFonts w:ascii="Arial Narrow" w:hAnsi="Arial Narrow"/>
                <w:b/>
                <w:sz w:val="20"/>
              </w:rPr>
              <w:t xml:space="preserve"> – surgery study</w:t>
            </w:r>
          </w:p>
        </w:tc>
      </w:tr>
      <w:tr w:rsidR="006A7881" w:rsidRPr="001811A6" w:rsidTr="00316C04">
        <w:tc>
          <w:tcPr>
            <w:tcW w:w="1699" w:type="pct"/>
            <w:vAlign w:val="center"/>
          </w:tcPr>
          <w:p w:rsidR="006A7881" w:rsidRPr="001811A6" w:rsidRDefault="006A7881" w:rsidP="0009663A">
            <w:pPr>
              <w:keepNext/>
              <w:widowControl/>
              <w:jc w:val="left"/>
              <w:rPr>
                <w:rFonts w:ascii="Arial Narrow" w:hAnsi="Arial Narrow"/>
                <w:sz w:val="20"/>
              </w:rPr>
            </w:pPr>
            <w:r w:rsidRPr="001811A6">
              <w:rPr>
                <w:rFonts w:ascii="Arial Narrow" w:hAnsi="Arial Narrow"/>
                <w:sz w:val="20"/>
              </w:rPr>
              <w:t>Schwipper 201</w:t>
            </w:r>
            <w:r w:rsidR="0086069E" w:rsidRPr="001811A6">
              <w:rPr>
                <w:rFonts w:ascii="Arial Narrow" w:hAnsi="Arial Narrow"/>
                <w:sz w:val="20"/>
              </w:rPr>
              <w:t>1</w:t>
            </w:r>
          </w:p>
        </w:tc>
        <w:tc>
          <w:tcPr>
            <w:tcW w:w="1189" w:type="pct"/>
            <w:vAlign w:val="center"/>
          </w:tcPr>
          <w:p w:rsidR="006A7881" w:rsidRPr="001811A6" w:rsidRDefault="006A7881" w:rsidP="0009663A">
            <w:pPr>
              <w:keepNext/>
              <w:widowControl/>
              <w:jc w:val="center"/>
              <w:rPr>
                <w:rFonts w:ascii="Arial Narrow" w:hAnsi="Arial Narrow"/>
                <w:sz w:val="20"/>
              </w:rPr>
            </w:pPr>
          </w:p>
        </w:tc>
        <w:tc>
          <w:tcPr>
            <w:tcW w:w="1104" w:type="pct"/>
            <w:vAlign w:val="center"/>
          </w:tcPr>
          <w:p w:rsidR="006A7881" w:rsidRPr="001811A6" w:rsidRDefault="006A7881" w:rsidP="0009663A">
            <w:pPr>
              <w:keepNext/>
              <w:widowControl/>
              <w:jc w:val="center"/>
              <w:rPr>
                <w:rFonts w:ascii="Arial Narrow" w:hAnsi="Arial Narrow"/>
                <w:sz w:val="20"/>
              </w:rPr>
            </w:pPr>
          </w:p>
        </w:tc>
        <w:tc>
          <w:tcPr>
            <w:tcW w:w="1008" w:type="pct"/>
            <w:vAlign w:val="center"/>
          </w:tcPr>
          <w:p w:rsidR="006A7881" w:rsidRPr="001811A6" w:rsidRDefault="006A7881" w:rsidP="0009663A">
            <w:pPr>
              <w:keepNext/>
              <w:widowControl/>
              <w:jc w:val="center"/>
              <w:rPr>
                <w:rFonts w:ascii="Arial Narrow" w:hAnsi="Arial Narrow"/>
                <w:sz w:val="20"/>
              </w:rPr>
            </w:pPr>
            <w:r w:rsidRPr="001811A6">
              <w:rPr>
                <w:rFonts w:ascii="Arial Narrow" w:hAnsi="Arial Narrow"/>
                <w:sz w:val="20"/>
              </w:rPr>
              <w:t>25.6 (NR, NR)</w:t>
            </w:r>
          </w:p>
        </w:tc>
      </w:tr>
    </w:tbl>
    <w:p w:rsidR="006A7881" w:rsidRPr="001811A6" w:rsidRDefault="006A7881" w:rsidP="006A7881">
      <w:pPr>
        <w:pStyle w:val="TableFooter"/>
        <w:ind w:firstLine="720"/>
      </w:pPr>
      <w:r w:rsidRPr="001811A6">
        <w:t>Source: Table B.6.</w:t>
      </w:r>
      <w:r w:rsidR="00CF27D2" w:rsidRPr="001811A6">
        <w:t>6</w:t>
      </w:r>
      <w:r w:rsidR="0009663A" w:rsidRPr="001811A6">
        <w:t>-</w:t>
      </w:r>
      <w:r w:rsidRPr="001811A6">
        <w:t>B.6.</w:t>
      </w:r>
      <w:r w:rsidR="00CF27D2" w:rsidRPr="001811A6">
        <w:t>8</w:t>
      </w:r>
      <w:r w:rsidRPr="001811A6">
        <w:t>, pp</w:t>
      </w:r>
      <w:r w:rsidR="00CF27D2" w:rsidRPr="001811A6">
        <w:t>39-40</w:t>
      </w:r>
      <w:r w:rsidRPr="001811A6">
        <w:t xml:space="preserve">; text, </w:t>
      </w:r>
      <w:r w:rsidR="00CF27D2" w:rsidRPr="001811A6">
        <w:t xml:space="preserve">p44 </w:t>
      </w:r>
      <w:r w:rsidRPr="001811A6">
        <w:t>of Section B of the submission</w:t>
      </w:r>
      <w:r w:rsidR="0009663A" w:rsidRPr="001811A6">
        <w:t>;</w:t>
      </w:r>
      <w:r w:rsidRPr="001811A6">
        <w:t xml:space="preserve"> and Schwipper (2011)</w:t>
      </w:r>
    </w:p>
    <w:p w:rsidR="006A7881" w:rsidRPr="001811A6" w:rsidRDefault="00FD3134" w:rsidP="00FD3134">
      <w:pPr>
        <w:pStyle w:val="TableFooter"/>
        <w:ind w:left="720"/>
      </w:pPr>
      <w:r w:rsidRPr="001811A6">
        <w:t>BCC = basal cell carcinoma; mBCC = metastatic BCC</w:t>
      </w:r>
      <w:r w:rsidR="00C0566F" w:rsidRPr="001811A6">
        <w:t>;</w:t>
      </w:r>
      <w:r w:rsidRPr="001811A6">
        <w:t xml:space="preserve"> laBCC = locally advanced BCC</w:t>
      </w:r>
      <w:r w:rsidR="00C0566F" w:rsidRPr="001811A6">
        <w:t>;</w:t>
      </w:r>
      <w:r w:rsidRPr="001811A6">
        <w:t xml:space="preserve"> </w:t>
      </w:r>
      <w:r w:rsidR="006A7881" w:rsidRPr="001811A6">
        <w:t>CI = confidence intervals; NR = not reported; NE = not estimable</w:t>
      </w:r>
    </w:p>
    <w:p w:rsidR="006A7881" w:rsidRPr="001811A6" w:rsidRDefault="006A7881" w:rsidP="006A7881">
      <w:pPr>
        <w:ind w:firstLine="720"/>
        <w:rPr>
          <w:rFonts w:ascii="Arial Narrow" w:hAnsi="Arial Narrow"/>
          <w:sz w:val="18"/>
          <w:szCs w:val="18"/>
        </w:rPr>
      </w:pPr>
      <w:r w:rsidRPr="001811A6">
        <w:rPr>
          <w:rFonts w:ascii="Arial Narrow" w:hAnsi="Arial Narrow"/>
          <w:sz w:val="18"/>
          <w:szCs w:val="18"/>
          <w:vertAlign w:val="superscript"/>
        </w:rPr>
        <w:t>a</w:t>
      </w:r>
      <w:r w:rsidRPr="001811A6">
        <w:rPr>
          <w:sz w:val="20"/>
          <w:vertAlign w:val="superscript"/>
        </w:rPr>
        <w:t xml:space="preserve"> </w:t>
      </w:r>
      <w:r w:rsidRPr="001811A6">
        <w:rPr>
          <w:rFonts w:ascii="Arial Narrow" w:hAnsi="Arial Narrow"/>
          <w:sz w:val="18"/>
          <w:szCs w:val="18"/>
        </w:rPr>
        <w:t>Investigator assessed</w:t>
      </w:r>
    </w:p>
    <w:p w:rsidR="006A7881" w:rsidRPr="001811A6" w:rsidRDefault="006A7881" w:rsidP="000F2F9F">
      <w:pPr>
        <w:rPr>
          <w:rFonts w:ascii="Arial Narrow" w:hAnsi="Arial Narrow"/>
          <w:sz w:val="18"/>
          <w:szCs w:val="18"/>
        </w:rPr>
      </w:pPr>
      <w:r w:rsidRPr="001811A6">
        <w:rPr>
          <w:rFonts w:ascii="Arial Narrow" w:hAnsi="Arial Narrow"/>
          <w:sz w:val="18"/>
          <w:szCs w:val="18"/>
          <w:vertAlign w:val="superscript"/>
        </w:rPr>
        <w:tab/>
      </w:r>
    </w:p>
    <w:p w:rsidR="006A7881" w:rsidRPr="001811A6" w:rsidRDefault="006A7881" w:rsidP="00C43942">
      <w:pPr>
        <w:pStyle w:val="ListParagraph"/>
        <w:numPr>
          <w:ilvl w:val="1"/>
          <w:numId w:val="1"/>
        </w:numPr>
      </w:pPr>
      <w:r w:rsidRPr="001811A6">
        <w:t xml:space="preserve">The duration of response was similar between vismodegib and surgery; however, this comparison was based on different outcome measures (objective response in </w:t>
      </w:r>
      <w:r w:rsidR="00C0566F" w:rsidRPr="001811A6">
        <w:t xml:space="preserve">the </w:t>
      </w:r>
      <w:r w:rsidRPr="001811A6">
        <w:lastRenderedPageBreak/>
        <w:t xml:space="preserve">vismodegib studies and complete response in </w:t>
      </w:r>
      <w:r w:rsidR="00C0566F" w:rsidRPr="001811A6">
        <w:t xml:space="preserve">the </w:t>
      </w:r>
      <w:r w:rsidRPr="001811A6">
        <w:t>surgical study)</w:t>
      </w:r>
      <w:r w:rsidR="00053F6D" w:rsidRPr="001811A6">
        <w:t>. The comparison was also based on</w:t>
      </w:r>
      <w:r w:rsidRPr="001811A6">
        <w:t xml:space="preserve"> </w:t>
      </w:r>
      <w:r w:rsidR="000F7011" w:rsidRPr="001811A6">
        <w:t>single-</w:t>
      </w:r>
      <w:r w:rsidRPr="001811A6">
        <w:t xml:space="preserve">arm studies with substantial baseline heterogeneity </w:t>
      </w:r>
      <w:r w:rsidR="000A421E" w:rsidRPr="001811A6">
        <w:t xml:space="preserve">(year of treatment, disease inclusion criteria, age, location) </w:t>
      </w:r>
      <w:r w:rsidRPr="001811A6">
        <w:t>that should be considered when interpreting th</w:t>
      </w:r>
      <w:r w:rsidR="0033519C" w:rsidRPr="001811A6">
        <w:t>e</w:t>
      </w:r>
      <w:r w:rsidRPr="001811A6">
        <w:t xml:space="preserve"> result.</w:t>
      </w:r>
      <w:r w:rsidR="009A221F" w:rsidRPr="001811A6">
        <w:t xml:space="preserve"> The PBAC did not accept the equivalence of treatment with vismodegib to surgery and noted that no comparison was made to radiotherapy or best supportive care.</w:t>
      </w:r>
    </w:p>
    <w:p w:rsidR="006A7881" w:rsidRPr="001811A6" w:rsidRDefault="006A7881" w:rsidP="006A7881">
      <w:pPr>
        <w:ind w:firstLine="720"/>
        <w:rPr>
          <w:szCs w:val="22"/>
        </w:rPr>
      </w:pPr>
    </w:p>
    <w:p w:rsidR="006A7881" w:rsidRPr="001811A6" w:rsidRDefault="006A7881" w:rsidP="003C1346">
      <w:pPr>
        <w:pStyle w:val="Heading2"/>
      </w:pPr>
      <w:bookmarkStart w:id="18" w:name="_Toc392858196"/>
      <w:bookmarkStart w:id="19" w:name="_Toc441050277"/>
      <w:r w:rsidRPr="001811A6">
        <w:t>Comparative harms</w:t>
      </w:r>
      <w:bookmarkEnd w:id="18"/>
      <w:bookmarkEnd w:id="19"/>
    </w:p>
    <w:p w:rsidR="006A7881" w:rsidRPr="001811A6" w:rsidRDefault="006A7881" w:rsidP="006A7881">
      <w:pPr>
        <w:ind w:left="720" w:hanging="720"/>
        <w:rPr>
          <w:szCs w:val="22"/>
        </w:rPr>
      </w:pPr>
    </w:p>
    <w:p w:rsidR="006A7881" w:rsidRPr="001811A6" w:rsidRDefault="001F2A1F" w:rsidP="00B4462B">
      <w:pPr>
        <w:pStyle w:val="ListParagraph"/>
        <w:widowControl/>
        <w:numPr>
          <w:ilvl w:val="1"/>
          <w:numId w:val="1"/>
        </w:numPr>
        <w:rPr>
          <w:szCs w:val="22"/>
        </w:rPr>
      </w:pPr>
      <w:r w:rsidRPr="001811A6">
        <w:rPr>
          <w:szCs w:val="22"/>
        </w:rPr>
        <w:t xml:space="preserve">The submission did not present comparative harms for vismodegib compared with surgery. Vismodegib resulted in Grade 3 or greater </w:t>
      </w:r>
      <w:r w:rsidR="00CE13F0" w:rsidRPr="001811A6">
        <w:rPr>
          <w:szCs w:val="22"/>
        </w:rPr>
        <w:t>adverse events</w:t>
      </w:r>
      <w:r w:rsidR="00995947">
        <w:rPr>
          <w:szCs w:val="22"/>
        </w:rPr>
        <w:t xml:space="preserve"> including </w:t>
      </w:r>
      <w:r w:rsidRPr="001811A6">
        <w:rPr>
          <w:szCs w:val="22"/>
        </w:rPr>
        <w:t>m</w:t>
      </w:r>
      <w:r w:rsidR="006A7881" w:rsidRPr="001811A6">
        <w:t xml:space="preserve">uscle spasms and weight loss in </w:t>
      </w:r>
      <w:r w:rsidR="0039289C">
        <w:t xml:space="preserve">29 to 42% of patients in </w:t>
      </w:r>
      <w:r w:rsidR="006A7881" w:rsidRPr="001811A6">
        <w:t>the non-randomised studies</w:t>
      </w:r>
      <w:r w:rsidR="006B0813" w:rsidRPr="001811A6">
        <w:t>,</w:t>
      </w:r>
      <w:r w:rsidR="006A7881" w:rsidRPr="001811A6">
        <w:t xml:space="preserve"> </w:t>
      </w:r>
      <w:r w:rsidRPr="001811A6">
        <w:t>while</w:t>
      </w:r>
      <w:r w:rsidR="006A7881" w:rsidRPr="001811A6">
        <w:t xml:space="preserve"> muscle spasms, taste disturbances, alopecia and weight loss were </w:t>
      </w:r>
      <w:r w:rsidR="00C02514">
        <w:t xml:space="preserve">frequent </w:t>
      </w:r>
      <w:r w:rsidR="006A7881" w:rsidRPr="001811A6">
        <w:t xml:space="preserve">adverse events reported in the Periodic </w:t>
      </w:r>
      <w:r w:rsidR="00711456" w:rsidRPr="001811A6">
        <w:t xml:space="preserve">Safety Update Report </w:t>
      </w:r>
      <w:r w:rsidR="006A7881" w:rsidRPr="001811A6">
        <w:t xml:space="preserve">(PSUR). The submission suggested that pneumonia was the only adverse event </w:t>
      </w:r>
      <w:r w:rsidRPr="001811A6">
        <w:t xml:space="preserve">for vismodegib </w:t>
      </w:r>
      <w:r w:rsidR="006A7881" w:rsidRPr="001811A6">
        <w:t xml:space="preserve">that </w:t>
      </w:r>
      <w:r w:rsidRPr="001811A6">
        <w:t xml:space="preserve">resulted in increased costs </w:t>
      </w:r>
      <w:r w:rsidR="006A7881" w:rsidRPr="001811A6">
        <w:t xml:space="preserve">and utilised this in the economic evaluation. Only 1.8% of patients in the STEVIE study reported pneumonia. </w:t>
      </w:r>
      <w:r w:rsidR="009A221F" w:rsidRPr="001811A6">
        <w:t xml:space="preserve">The PBAC noted in JAMA Dermatology that there was an increased risk of </w:t>
      </w:r>
      <w:r w:rsidR="00043A32" w:rsidRPr="001811A6">
        <w:t>further neoplastic lesions</w:t>
      </w:r>
      <w:r w:rsidR="009A221F" w:rsidRPr="001811A6">
        <w:t xml:space="preserve"> in B</w:t>
      </w:r>
      <w:r w:rsidR="00407453">
        <w:t>C</w:t>
      </w:r>
      <w:r w:rsidR="009A221F" w:rsidRPr="001811A6">
        <w:t>C patients treated with vismodegib, HR 6.37 (95% CI, 3.39-11.98) for non-BCC malignancy and 8.12 (3.89</w:t>
      </w:r>
      <w:r w:rsidR="00544D61" w:rsidRPr="001811A6">
        <w:noBreakHyphen/>
      </w:r>
      <w:r w:rsidR="009A221F" w:rsidRPr="001811A6">
        <w:t xml:space="preserve">16.97) for cutaneous </w:t>
      </w:r>
      <w:r w:rsidR="00043A32" w:rsidRPr="001811A6">
        <w:t>squamous cell carcinoma (</w:t>
      </w:r>
      <w:r w:rsidR="009A221F" w:rsidRPr="001811A6">
        <w:t>SCC</w:t>
      </w:r>
      <w:r w:rsidR="00043A32" w:rsidRPr="001811A6">
        <w:t>)</w:t>
      </w:r>
      <w:r w:rsidR="009A221F" w:rsidRPr="001811A6">
        <w:t xml:space="preserve">. </w:t>
      </w:r>
      <w:r w:rsidR="00043A32" w:rsidRPr="001811A6">
        <w:t>It was n</w:t>
      </w:r>
      <w:r w:rsidR="009A221F" w:rsidRPr="001811A6">
        <w:t>ote</w:t>
      </w:r>
      <w:r w:rsidR="00043A32" w:rsidRPr="001811A6">
        <w:t>d that</w:t>
      </w:r>
      <w:r w:rsidR="009A221F" w:rsidRPr="001811A6">
        <w:t xml:space="preserve"> the SCC can arise within the advanced BCC. </w:t>
      </w:r>
      <w:r w:rsidR="002D2B71" w:rsidRPr="001811A6">
        <w:t xml:space="preserve">Approximately </w:t>
      </w:r>
      <w:r w:rsidR="009A221F" w:rsidRPr="001811A6">
        <w:t>50% of the non-BCC malignancies in cases were diagnosed within 1 y</w:t>
      </w:r>
      <w:r w:rsidR="00043A32" w:rsidRPr="001811A6">
        <w:t>ea</w:t>
      </w:r>
      <w:r w:rsidR="009A221F" w:rsidRPr="001811A6">
        <w:t xml:space="preserve">r </w:t>
      </w:r>
      <w:r w:rsidR="00043A32" w:rsidRPr="001811A6">
        <w:t>(</w:t>
      </w:r>
      <w:r w:rsidR="002D2B71" w:rsidRPr="001811A6">
        <w:t xml:space="preserve">Mohan et al., </w:t>
      </w:r>
      <w:r w:rsidR="009A221F" w:rsidRPr="001811A6">
        <w:t>JAMA dermatology, on line Feb</w:t>
      </w:r>
      <w:r w:rsidR="00544D61" w:rsidRPr="001811A6">
        <w:t> </w:t>
      </w:r>
      <w:r w:rsidR="009A221F" w:rsidRPr="001811A6">
        <w:t>24 2016</w:t>
      </w:r>
      <w:r w:rsidR="00043A32" w:rsidRPr="001811A6">
        <w:t>).</w:t>
      </w:r>
    </w:p>
    <w:p w:rsidR="006A7881" w:rsidRPr="001811A6" w:rsidRDefault="006A7881" w:rsidP="006A7881">
      <w:pPr>
        <w:pStyle w:val="ListParagraph"/>
        <w:widowControl/>
        <w:rPr>
          <w:szCs w:val="22"/>
        </w:rPr>
      </w:pPr>
    </w:p>
    <w:p w:rsidR="006A7881" w:rsidRPr="001811A6" w:rsidRDefault="006A7881" w:rsidP="00B4462B">
      <w:pPr>
        <w:pStyle w:val="ListParagraph"/>
        <w:widowControl/>
        <w:numPr>
          <w:ilvl w:val="1"/>
          <w:numId w:val="1"/>
        </w:numPr>
        <w:rPr>
          <w:szCs w:val="22"/>
        </w:rPr>
      </w:pPr>
      <w:r w:rsidRPr="001811A6">
        <w:t>In the surgery cohort (Schwipper 2011)</w:t>
      </w:r>
      <w:r w:rsidR="00FB08FC" w:rsidRPr="001811A6">
        <w:t>,</w:t>
      </w:r>
      <w:r w:rsidRPr="001811A6">
        <w:t xml:space="preserve"> 97/118 patients (82.2%) lost one or more facial organs. This was </w:t>
      </w:r>
      <w:r w:rsidR="00711456" w:rsidRPr="001811A6">
        <w:t xml:space="preserve">used </w:t>
      </w:r>
      <w:r w:rsidRPr="001811A6">
        <w:t xml:space="preserve">in the submission to describe disfigurement and deformity and it was assumed that patients in the vismodegib studies did not have </w:t>
      </w:r>
      <w:r w:rsidR="006B0813" w:rsidRPr="001811A6">
        <w:t>disfigurement and deformity</w:t>
      </w:r>
      <w:r w:rsidRPr="001811A6">
        <w:t xml:space="preserve">. This </w:t>
      </w:r>
      <w:r w:rsidR="00746708" w:rsidRPr="001811A6">
        <w:t>might</w:t>
      </w:r>
      <w:r w:rsidRPr="001811A6">
        <w:t xml:space="preserve"> not have been appropriate as no information was provided on those patients that progressed in the vismodegib studies. It was likely that these patients would need further </w:t>
      </w:r>
      <w:r w:rsidR="0011493F">
        <w:t xml:space="preserve">local </w:t>
      </w:r>
      <w:r w:rsidRPr="001811A6">
        <w:t xml:space="preserve">treatment that </w:t>
      </w:r>
      <w:r w:rsidR="00746708" w:rsidRPr="001811A6">
        <w:t>might</w:t>
      </w:r>
      <w:r w:rsidRPr="001811A6">
        <w:t xml:space="preserve"> have included surgery</w:t>
      </w:r>
      <w:r w:rsidR="008F2EE8">
        <w:t xml:space="preserve"> and or radiotherapy</w:t>
      </w:r>
      <w:r w:rsidRPr="001811A6">
        <w:t>.</w:t>
      </w:r>
    </w:p>
    <w:p w:rsidR="006A7881" w:rsidRPr="001811A6" w:rsidRDefault="006A7881" w:rsidP="006A7881">
      <w:pPr>
        <w:pStyle w:val="ListParagraph"/>
        <w:ind w:left="0"/>
        <w:rPr>
          <w:szCs w:val="22"/>
        </w:rPr>
      </w:pPr>
    </w:p>
    <w:p w:rsidR="007F1017" w:rsidRPr="001811A6" w:rsidRDefault="007F1017" w:rsidP="003C1346">
      <w:pPr>
        <w:pStyle w:val="Heading2"/>
      </w:pPr>
      <w:bookmarkStart w:id="20" w:name="_Toc436831773"/>
      <w:bookmarkStart w:id="21" w:name="_Toc441050278"/>
      <w:r w:rsidRPr="001811A6">
        <w:t>Benefits/harms</w:t>
      </w:r>
      <w:bookmarkEnd w:id="20"/>
      <w:bookmarkEnd w:id="21"/>
    </w:p>
    <w:p w:rsidR="007F1017" w:rsidRPr="001811A6" w:rsidRDefault="007F1017" w:rsidP="007F1017">
      <w:pPr>
        <w:pStyle w:val="ListParagraph"/>
        <w:ind w:left="0"/>
        <w:rPr>
          <w:szCs w:val="22"/>
        </w:rPr>
      </w:pPr>
    </w:p>
    <w:p w:rsidR="00EC00C9" w:rsidRPr="001811A6" w:rsidRDefault="00EC00C9" w:rsidP="00B4462B">
      <w:pPr>
        <w:pStyle w:val="ListParagraph"/>
        <w:widowControl/>
        <w:numPr>
          <w:ilvl w:val="1"/>
          <w:numId w:val="1"/>
        </w:numPr>
        <w:rPr>
          <w:szCs w:val="22"/>
        </w:rPr>
      </w:pPr>
      <w:r w:rsidRPr="001811A6">
        <w:rPr>
          <w:szCs w:val="22"/>
        </w:rPr>
        <w:t>A summary of the comp</w:t>
      </w:r>
      <w:r w:rsidR="00C02999" w:rsidRPr="001811A6">
        <w:rPr>
          <w:szCs w:val="22"/>
        </w:rPr>
        <w:t>arative benefits and harms for vismodegib</w:t>
      </w:r>
      <w:r w:rsidRPr="001811A6">
        <w:rPr>
          <w:szCs w:val="22"/>
        </w:rPr>
        <w:t xml:space="preserve"> versus </w:t>
      </w:r>
      <w:r w:rsidR="00C02999" w:rsidRPr="001811A6">
        <w:rPr>
          <w:szCs w:val="22"/>
        </w:rPr>
        <w:t>surgery</w:t>
      </w:r>
      <w:r w:rsidRPr="001811A6">
        <w:rPr>
          <w:szCs w:val="22"/>
        </w:rPr>
        <w:t xml:space="preserve"> is presented in the table below.</w:t>
      </w:r>
      <w:r w:rsidR="00410708" w:rsidRPr="001811A6">
        <w:rPr>
          <w:szCs w:val="22"/>
        </w:rPr>
        <w:t xml:space="preserve"> </w:t>
      </w:r>
    </w:p>
    <w:p w:rsidR="00B240E9" w:rsidRPr="001811A6" w:rsidRDefault="00B240E9" w:rsidP="00B240E9">
      <w:pPr>
        <w:pStyle w:val="ListParagraph"/>
        <w:widowControl/>
        <w:rPr>
          <w:szCs w:val="22"/>
        </w:rPr>
      </w:pPr>
    </w:p>
    <w:p w:rsidR="000A421E" w:rsidRPr="001811A6" w:rsidRDefault="000A421E" w:rsidP="000A421E">
      <w:pPr>
        <w:keepNext/>
        <w:ind w:left="720"/>
        <w:rPr>
          <w:rStyle w:val="CommentReference"/>
        </w:rPr>
      </w:pPr>
      <w:r w:rsidRPr="001811A6">
        <w:rPr>
          <w:rStyle w:val="CommentReference"/>
        </w:rPr>
        <w:t xml:space="preserve">Table 5: Summary of comparative benefits and harms for </w:t>
      </w:r>
      <w:r w:rsidR="00FB08FC" w:rsidRPr="001811A6">
        <w:rPr>
          <w:rStyle w:val="CommentReference"/>
        </w:rPr>
        <w:t>v</w:t>
      </w:r>
      <w:r w:rsidRPr="001811A6">
        <w:rPr>
          <w:rStyle w:val="CommentReference"/>
        </w:rPr>
        <w:t xml:space="preserve">ismodegib and </w:t>
      </w:r>
      <w:r w:rsidR="00FB08FC" w:rsidRPr="001811A6">
        <w:rPr>
          <w:rStyle w:val="CommentReference"/>
        </w:rPr>
        <w:t>s</w:t>
      </w:r>
      <w:r w:rsidR="00202F40">
        <w:rPr>
          <w:rStyle w:val="CommentReference"/>
        </w:rPr>
        <w:t>urgery</w:t>
      </w:r>
    </w:p>
    <w:tbl>
      <w:tblPr>
        <w:tblStyle w:val="TableGrid"/>
        <w:tblW w:w="4684" w:type="pct"/>
        <w:tblInd w:w="705" w:type="dxa"/>
        <w:tblLayout w:type="fixed"/>
        <w:tblCellMar>
          <w:left w:w="28" w:type="dxa"/>
          <w:right w:w="28" w:type="dxa"/>
        </w:tblCellMar>
        <w:tblLook w:val="04A0" w:firstRow="1" w:lastRow="0" w:firstColumn="1" w:lastColumn="0" w:noHBand="0" w:noVBand="1"/>
        <w:tblCaption w:val="Table 5: Summary of comparative benefits and harms for vismodegib and surgery"/>
      </w:tblPr>
      <w:tblGrid>
        <w:gridCol w:w="1732"/>
        <w:gridCol w:w="1581"/>
        <w:gridCol w:w="168"/>
        <w:gridCol w:w="800"/>
        <w:gridCol w:w="921"/>
        <w:gridCol w:w="19"/>
        <w:gridCol w:w="1480"/>
        <w:gridCol w:w="822"/>
        <w:gridCol w:w="15"/>
        <w:gridCol w:w="31"/>
        <w:gridCol w:w="939"/>
      </w:tblGrid>
      <w:tr w:rsidR="005951C1" w:rsidRPr="001811A6" w:rsidTr="005951C1">
        <w:trPr>
          <w:trHeight w:val="150"/>
          <w:tblHeader/>
        </w:trPr>
        <w:tc>
          <w:tcPr>
            <w:tcW w:w="1018" w:type="pct"/>
            <w:vMerge w:val="restart"/>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Trial</w:t>
            </w:r>
          </w:p>
        </w:tc>
        <w:tc>
          <w:tcPr>
            <w:tcW w:w="929" w:type="pct"/>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569"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52"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RR</w:t>
            </w:r>
          </w:p>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(95% CI)</w:t>
            </w:r>
          </w:p>
        </w:tc>
        <w:tc>
          <w:tcPr>
            <w:tcW w:w="1362" w:type="pct"/>
            <w:gridSpan w:val="3"/>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 xml:space="preserve">Event rate/100 patients* </w:t>
            </w:r>
          </w:p>
        </w:tc>
        <w:tc>
          <w:tcPr>
            <w:tcW w:w="570"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RD</w:t>
            </w:r>
          </w:p>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(95% CI)</w:t>
            </w:r>
          </w:p>
        </w:tc>
      </w:tr>
      <w:tr w:rsidR="005951C1" w:rsidRPr="001811A6" w:rsidTr="005951C1">
        <w:trPr>
          <w:trHeight w:val="315"/>
          <w:tblHeader/>
        </w:trPr>
        <w:tc>
          <w:tcPr>
            <w:tcW w:w="1018" w:type="pct"/>
            <w:vMerge/>
            <w:shd w:val="clear" w:color="auto" w:fill="auto"/>
            <w:vAlign w:val="center"/>
          </w:tcPr>
          <w:p w:rsidR="000A421E" w:rsidRPr="001811A6" w:rsidRDefault="000A421E" w:rsidP="00D80159">
            <w:pPr>
              <w:rPr>
                <w:rFonts w:ascii="Arial Narrow" w:hAnsi="Arial Narrow"/>
                <w:b/>
                <w:color w:val="000000"/>
                <w:sz w:val="20"/>
                <w:szCs w:val="18"/>
              </w:rPr>
            </w:pPr>
          </w:p>
        </w:tc>
        <w:tc>
          <w:tcPr>
            <w:tcW w:w="929" w:type="pct"/>
            <w:vMerge/>
            <w:vAlign w:val="center"/>
          </w:tcPr>
          <w:p w:rsidR="000A421E" w:rsidRPr="001811A6" w:rsidRDefault="000A421E" w:rsidP="00D80159">
            <w:pPr>
              <w:jc w:val="center"/>
              <w:rPr>
                <w:rFonts w:ascii="Arial Narrow" w:hAnsi="Arial Narrow"/>
                <w:b/>
                <w:color w:val="000000"/>
                <w:sz w:val="20"/>
                <w:szCs w:val="18"/>
              </w:rPr>
            </w:pPr>
          </w:p>
        </w:tc>
        <w:tc>
          <w:tcPr>
            <w:tcW w:w="569"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552"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870" w:type="pc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492" w:type="pct"/>
            <w:gridSpan w:val="2"/>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70" w:type="pct"/>
            <w:gridSpan w:val="2"/>
            <w:vMerge/>
            <w:vAlign w:val="center"/>
          </w:tcPr>
          <w:p w:rsidR="000A421E" w:rsidRPr="001811A6" w:rsidRDefault="000A421E" w:rsidP="00D80159">
            <w:pPr>
              <w:jc w:val="center"/>
              <w:rPr>
                <w:rFonts w:ascii="Arial Narrow" w:hAnsi="Arial Narrow"/>
                <w:b/>
                <w:color w:val="000000"/>
                <w:sz w:val="20"/>
                <w:szCs w:val="18"/>
              </w:rPr>
            </w:pPr>
          </w:p>
        </w:tc>
      </w:tr>
      <w:tr w:rsidR="000A421E" w:rsidRPr="001811A6" w:rsidTr="00D80159">
        <w:tc>
          <w:tcPr>
            <w:tcW w:w="5000" w:type="pct"/>
            <w:gridSpan w:val="11"/>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Benefits</w:t>
            </w:r>
          </w:p>
        </w:tc>
      </w:tr>
      <w:tr w:rsidR="000A421E" w:rsidRPr="001811A6" w:rsidTr="00D80159">
        <w:tc>
          <w:tcPr>
            <w:tcW w:w="5000" w:type="pct"/>
            <w:gridSpan w:val="11"/>
            <w:tcBorders>
              <w:top w:val="double" w:sz="4" w:space="0" w:color="auto"/>
            </w:tcBorders>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Objective response</w:t>
            </w:r>
          </w:p>
        </w:tc>
      </w:tr>
      <w:tr w:rsidR="005951C1" w:rsidRPr="001811A6" w:rsidTr="005951C1">
        <w:trPr>
          <w:trHeight w:val="105"/>
        </w:trPr>
        <w:tc>
          <w:tcPr>
            <w:tcW w:w="1018" w:type="pct"/>
            <w:vMerge w:val="restart"/>
            <w:shd w:val="clear" w:color="auto" w:fill="auto"/>
            <w:vAlign w:val="center"/>
          </w:tcPr>
          <w:p w:rsidR="000A421E" w:rsidRPr="001811A6" w:rsidRDefault="000A421E" w:rsidP="00D80159">
            <w:pPr>
              <w:rPr>
                <w:rFonts w:ascii="Arial Narrow" w:hAnsi="Arial Narrow"/>
                <w:color w:val="000000"/>
                <w:sz w:val="20"/>
                <w:szCs w:val="18"/>
              </w:rPr>
            </w:pPr>
          </w:p>
        </w:tc>
        <w:tc>
          <w:tcPr>
            <w:tcW w:w="929" w:type="pct"/>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569"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52"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RR</w:t>
            </w:r>
          </w:p>
          <w:p w:rsidR="000A421E" w:rsidRPr="001811A6" w:rsidRDefault="000A421E" w:rsidP="00D80159">
            <w:pPr>
              <w:jc w:val="center"/>
              <w:rPr>
                <w:rFonts w:ascii="Arial Narrow" w:hAnsi="Arial Narrow"/>
                <w:color w:val="000000"/>
                <w:sz w:val="20"/>
                <w:szCs w:val="18"/>
              </w:rPr>
            </w:pPr>
            <w:r w:rsidRPr="001811A6">
              <w:rPr>
                <w:rFonts w:ascii="Arial Narrow" w:hAnsi="Arial Narrow"/>
                <w:b/>
                <w:color w:val="000000"/>
                <w:sz w:val="20"/>
                <w:szCs w:val="18"/>
              </w:rPr>
              <w:t>(95% CI)</w:t>
            </w:r>
          </w:p>
        </w:tc>
        <w:tc>
          <w:tcPr>
            <w:tcW w:w="1362" w:type="pct"/>
            <w:gridSpan w:val="3"/>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 xml:space="preserve">Event rate/100 patients* </w:t>
            </w:r>
          </w:p>
        </w:tc>
        <w:tc>
          <w:tcPr>
            <w:tcW w:w="570"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RD</w:t>
            </w:r>
          </w:p>
          <w:p w:rsidR="000A421E" w:rsidRPr="001811A6" w:rsidRDefault="000A421E" w:rsidP="00D80159">
            <w:pPr>
              <w:jc w:val="center"/>
              <w:rPr>
                <w:rFonts w:ascii="Arial Narrow" w:hAnsi="Arial Narrow"/>
                <w:color w:val="000000"/>
                <w:sz w:val="20"/>
                <w:szCs w:val="18"/>
              </w:rPr>
            </w:pPr>
            <w:r w:rsidRPr="001811A6">
              <w:rPr>
                <w:rFonts w:ascii="Arial Narrow" w:hAnsi="Arial Narrow"/>
                <w:b/>
                <w:color w:val="000000"/>
                <w:sz w:val="20"/>
                <w:szCs w:val="18"/>
              </w:rPr>
              <w:t>(95% CI)</w:t>
            </w:r>
          </w:p>
        </w:tc>
      </w:tr>
      <w:tr w:rsidR="005951C1" w:rsidRPr="001811A6" w:rsidTr="005951C1">
        <w:trPr>
          <w:trHeight w:val="70"/>
        </w:trPr>
        <w:tc>
          <w:tcPr>
            <w:tcW w:w="1018" w:type="pct"/>
            <w:vMerge/>
            <w:shd w:val="clear" w:color="auto" w:fill="auto"/>
            <w:vAlign w:val="center"/>
          </w:tcPr>
          <w:p w:rsidR="000A421E" w:rsidRPr="001811A6" w:rsidRDefault="000A421E" w:rsidP="00D80159">
            <w:pPr>
              <w:rPr>
                <w:rFonts w:ascii="Arial Narrow" w:hAnsi="Arial Narrow"/>
                <w:color w:val="000000"/>
                <w:sz w:val="20"/>
                <w:szCs w:val="18"/>
              </w:rPr>
            </w:pPr>
          </w:p>
        </w:tc>
        <w:tc>
          <w:tcPr>
            <w:tcW w:w="929" w:type="pct"/>
            <w:vMerge/>
            <w:vAlign w:val="center"/>
          </w:tcPr>
          <w:p w:rsidR="000A421E" w:rsidRPr="001811A6" w:rsidRDefault="000A421E" w:rsidP="00D80159">
            <w:pPr>
              <w:jc w:val="center"/>
              <w:rPr>
                <w:rFonts w:ascii="Arial Narrow" w:hAnsi="Arial Narrow"/>
                <w:b/>
                <w:color w:val="000000"/>
                <w:sz w:val="20"/>
                <w:szCs w:val="18"/>
              </w:rPr>
            </w:pPr>
          </w:p>
        </w:tc>
        <w:tc>
          <w:tcPr>
            <w:tcW w:w="569"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552"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870" w:type="pc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492" w:type="pct"/>
            <w:gridSpan w:val="2"/>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70" w:type="pct"/>
            <w:gridSpan w:val="2"/>
            <w:vMerge/>
            <w:vAlign w:val="center"/>
          </w:tcPr>
          <w:p w:rsidR="000A421E" w:rsidRPr="001811A6" w:rsidRDefault="000A421E" w:rsidP="00D80159">
            <w:pPr>
              <w:jc w:val="center"/>
              <w:rPr>
                <w:rFonts w:ascii="Arial Narrow" w:hAnsi="Arial Narrow"/>
                <w:b/>
                <w:color w:val="000000"/>
                <w:sz w:val="20"/>
                <w:szCs w:val="18"/>
              </w:rPr>
            </w:pP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D80159">
            <w:pPr>
              <w:jc w:val="center"/>
              <w:rPr>
                <w:rFonts w:ascii="Arial Narrow" w:hAnsi="Arial Narrow"/>
                <w:sz w:val="20"/>
              </w:rPr>
            </w:pPr>
            <w:r w:rsidRPr="001811A6">
              <w:rPr>
                <w:rFonts w:ascii="Arial Narrow" w:hAnsi="Arial Narrow"/>
                <w:sz w:val="20"/>
              </w:rPr>
              <w:t>313/482</w:t>
            </w:r>
          </w:p>
        </w:tc>
        <w:tc>
          <w:tcPr>
            <w:tcW w:w="569"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552"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870" w:type="pct"/>
            <w:vAlign w:val="center"/>
          </w:tcPr>
          <w:p w:rsidR="000A421E" w:rsidRPr="001811A6" w:rsidRDefault="000A421E" w:rsidP="00D80159">
            <w:pPr>
              <w:jc w:val="center"/>
              <w:rPr>
                <w:rFonts w:ascii="Arial Narrow" w:hAnsi="Arial Narrow"/>
                <w:color w:val="000000"/>
                <w:sz w:val="20"/>
              </w:rPr>
            </w:pPr>
            <w:r w:rsidRPr="001811A6">
              <w:rPr>
                <w:rFonts w:ascii="Arial Narrow" w:hAnsi="Arial Narrow"/>
                <w:sz w:val="20"/>
              </w:rPr>
              <w:t>65</w:t>
            </w:r>
          </w:p>
        </w:tc>
        <w:tc>
          <w:tcPr>
            <w:tcW w:w="492"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570"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D80159">
            <w:pPr>
              <w:jc w:val="center"/>
              <w:rPr>
                <w:rFonts w:ascii="Arial Narrow" w:hAnsi="Arial Narrow"/>
                <w:sz w:val="20"/>
              </w:rPr>
            </w:pPr>
            <w:r w:rsidRPr="001811A6">
              <w:rPr>
                <w:rFonts w:ascii="Arial Narrow" w:hAnsi="Arial Narrow"/>
                <w:sz w:val="20"/>
              </w:rPr>
              <w:t>53/96</w:t>
            </w:r>
          </w:p>
        </w:tc>
        <w:tc>
          <w:tcPr>
            <w:tcW w:w="569"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552"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870" w:type="pct"/>
            <w:vAlign w:val="center"/>
          </w:tcPr>
          <w:p w:rsidR="000A421E" w:rsidRPr="001811A6" w:rsidRDefault="000A421E" w:rsidP="00D80159">
            <w:pPr>
              <w:jc w:val="center"/>
              <w:rPr>
                <w:rFonts w:ascii="Arial Narrow" w:hAnsi="Arial Narrow"/>
                <w:color w:val="000000"/>
                <w:sz w:val="20"/>
              </w:rPr>
            </w:pPr>
            <w:r w:rsidRPr="001811A6">
              <w:rPr>
                <w:rFonts w:ascii="Arial Narrow" w:hAnsi="Arial Narrow"/>
                <w:sz w:val="20"/>
              </w:rPr>
              <w:t>55</w:t>
            </w:r>
          </w:p>
        </w:tc>
        <w:tc>
          <w:tcPr>
            <w:tcW w:w="492"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570" w:type="pct"/>
            <w:gridSpan w:val="2"/>
            <w:vAlign w:val="center"/>
          </w:tcPr>
          <w:p w:rsidR="000A421E" w:rsidRPr="001811A6" w:rsidRDefault="000A421E" w:rsidP="00D80159">
            <w:pPr>
              <w:jc w:val="center"/>
              <w:rPr>
                <w:rFonts w:ascii="Arial Narrow" w:hAnsi="Arial Narrow"/>
                <w:sz w:val="20"/>
              </w:rPr>
            </w:pPr>
            <w:r w:rsidRPr="001811A6">
              <w:rPr>
                <w:rFonts w:ascii="Arial Narrow" w:hAnsi="Arial Narrow"/>
                <w:sz w:val="20"/>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D80159">
            <w:pPr>
              <w:pStyle w:val="TableText0"/>
              <w:spacing w:before="0" w:after="0"/>
              <w:jc w:val="center"/>
            </w:pPr>
            <w:r w:rsidRPr="001811A6">
              <w:t>38/95</w:t>
            </w:r>
          </w:p>
        </w:tc>
        <w:tc>
          <w:tcPr>
            <w:tcW w:w="569" w:type="pct"/>
            <w:gridSpan w:val="2"/>
            <w:vAlign w:val="center"/>
          </w:tcPr>
          <w:p w:rsidR="000A421E" w:rsidRPr="001811A6" w:rsidRDefault="000A421E" w:rsidP="00D80159">
            <w:pPr>
              <w:pStyle w:val="TableText0"/>
              <w:spacing w:before="0" w:after="0"/>
              <w:ind w:left="-22"/>
              <w:jc w:val="center"/>
            </w:pPr>
            <w:r w:rsidRPr="001811A6">
              <w:t>-</w:t>
            </w:r>
          </w:p>
        </w:tc>
        <w:tc>
          <w:tcPr>
            <w:tcW w:w="552" w:type="pct"/>
            <w:gridSpan w:val="2"/>
            <w:vAlign w:val="center"/>
          </w:tcPr>
          <w:p w:rsidR="000A421E" w:rsidRPr="001811A6" w:rsidRDefault="000A421E" w:rsidP="00D80159">
            <w:pPr>
              <w:pStyle w:val="TableText0"/>
              <w:spacing w:before="0" w:after="0"/>
              <w:ind w:left="-22"/>
              <w:jc w:val="center"/>
            </w:pPr>
            <w:r w:rsidRPr="001811A6">
              <w:t>-</w:t>
            </w:r>
          </w:p>
        </w:tc>
        <w:tc>
          <w:tcPr>
            <w:tcW w:w="870" w:type="pct"/>
            <w:vAlign w:val="center"/>
          </w:tcPr>
          <w:p w:rsidR="000A421E" w:rsidRPr="001811A6" w:rsidRDefault="000A421E" w:rsidP="00D80159">
            <w:pPr>
              <w:jc w:val="center"/>
              <w:rPr>
                <w:rFonts w:ascii="Arial Narrow" w:hAnsi="Arial Narrow"/>
                <w:color w:val="000000"/>
                <w:sz w:val="20"/>
              </w:rPr>
            </w:pPr>
            <w:r w:rsidRPr="001811A6">
              <w:rPr>
                <w:rFonts w:ascii="Arial Narrow" w:hAnsi="Arial Narrow"/>
                <w:sz w:val="20"/>
              </w:rPr>
              <w:t>40</w:t>
            </w:r>
          </w:p>
        </w:tc>
        <w:tc>
          <w:tcPr>
            <w:tcW w:w="492" w:type="pct"/>
            <w:gridSpan w:val="2"/>
            <w:vAlign w:val="center"/>
          </w:tcPr>
          <w:p w:rsidR="000A421E" w:rsidRPr="001811A6" w:rsidRDefault="000A421E" w:rsidP="00D80159">
            <w:pPr>
              <w:pStyle w:val="TableText0"/>
              <w:spacing w:before="0" w:after="0"/>
              <w:ind w:left="-22"/>
              <w:jc w:val="center"/>
            </w:pPr>
            <w:r w:rsidRPr="001811A6">
              <w:t>-</w:t>
            </w:r>
          </w:p>
        </w:tc>
        <w:tc>
          <w:tcPr>
            <w:tcW w:w="570" w:type="pct"/>
            <w:gridSpan w:val="2"/>
            <w:vAlign w:val="center"/>
          </w:tcPr>
          <w:p w:rsidR="000A421E" w:rsidRPr="001811A6" w:rsidRDefault="000A421E" w:rsidP="00D80159">
            <w:pPr>
              <w:pStyle w:val="TableText0"/>
              <w:spacing w:before="0" w:after="0"/>
              <w:ind w:left="-22"/>
              <w:jc w:val="center"/>
            </w:pPr>
            <w:r w:rsidRPr="001811A6">
              <w:t>-</w:t>
            </w:r>
          </w:p>
        </w:tc>
      </w:tr>
      <w:tr w:rsidR="005951C1" w:rsidRPr="001811A6" w:rsidTr="005951C1">
        <w:tc>
          <w:tcPr>
            <w:tcW w:w="1018" w:type="pct"/>
            <w:shd w:val="clear" w:color="auto" w:fill="auto"/>
            <w:vAlign w:val="center"/>
          </w:tcPr>
          <w:p w:rsidR="000A421E" w:rsidRPr="001811A6" w:rsidRDefault="000A421E" w:rsidP="00D80159">
            <w:pPr>
              <w:rPr>
                <w:rFonts w:ascii="Arial Narrow" w:hAnsi="Arial Narrow"/>
                <w:color w:val="000000"/>
                <w:sz w:val="20"/>
                <w:szCs w:val="18"/>
              </w:rPr>
            </w:pPr>
            <w:r w:rsidRPr="001811A6">
              <w:rPr>
                <w:rFonts w:ascii="Arial Narrow" w:hAnsi="Arial Narrow"/>
                <w:color w:val="000000"/>
                <w:sz w:val="20"/>
                <w:szCs w:val="18"/>
              </w:rPr>
              <w:t>Schwipper 2011</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52" w:type="pct"/>
            <w:gridSpan w:val="2"/>
            <w:vAlign w:val="center"/>
          </w:tcPr>
          <w:p w:rsidR="000A421E" w:rsidRPr="001811A6" w:rsidRDefault="000A421E" w:rsidP="00D80159">
            <w:pPr>
              <w:jc w:val="center"/>
              <w:rPr>
                <w:rFonts w:ascii="Arial Narrow" w:hAnsi="Arial Narrow"/>
                <w:sz w:val="20"/>
                <w:szCs w:val="18"/>
              </w:rPr>
            </w:pPr>
            <w:r w:rsidRPr="001811A6">
              <w:rPr>
                <w:rFonts w:ascii="Arial Narrow" w:hAnsi="Arial Narrow"/>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9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70"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tcBorders>
              <w:top w:val="double" w:sz="4" w:space="0" w:color="auto"/>
            </w:tcBorders>
            <w:shd w:val="clear" w:color="auto" w:fill="auto"/>
            <w:vAlign w:val="center"/>
          </w:tcPr>
          <w:p w:rsidR="000A421E" w:rsidRPr="001811A6" w:rsidRDefault="000A421E" w:rsidP="005951C1">
            <w:pPr>
              <w:keepNext/>
              <w:widowControl/>
              <w:rPr>
                <w:rFonts w:ascii="Arial Narrow" w:hAnsi="Arial Narrow"/>
                <w:b/>
                <w:color w:val="000000"/>
                <w:sz w:val="20"/>
                <w:szCs w:val="18"/>
              </w:rPr>
            </w:pPr>
            <w:r w:rsidRPr="001811A6">
              <w:rPr>
                <w:rFonts w:ascii="Arial Narrow" w:hAnsi="Arial Narrow"/>
                <w:b/>
                <w:color w:val="000000"/>
                <w:sz w:val="20"/>
                <w:szCs w:val="18"/>
              </w:rPr>
              <w:lastRenderedPageBreak/>
              <w:t>Complete response</w:t>
            </w:r>
            <w:r w:rsidRPr="001811A6">
              <w:rPr>
                <w:rFonts w:ascii="Arial Narrow" w:hAnsi="Arial Narrow"/>
                <w:b/>
                <w:color w:val="000000"/>
                <w:sz w:val="20"/>
                <w:szCs w:val="18"/>
                <w:vertAlign w:val="superscript"/>
              </w:rPr>
              <w:t>a</w:t>
            </w:r>
          </w:p>
        </w:tc>
      </w:tr>
      <w:tr w:rsidR="005951C1" w:rsidRPr="001811A6" w:rsidTr="005951C1">
        <w:trPr>
          <w:trHeight w:val="105"/>
        </w:trPr>
        <w:tc>
          <w:tcPr>
            <w:tcW w:w="1018" w:type="pct"/>
            <w:vMerge w:val="restart"/>
            <w:shd w:val="clear" w:color="auto" w:fill="auto"/>
            <w:vAlign w:val="center"/>
          </w:tcPr>
          <w:p w:rsidR="000A421E" w:rsidRPr="001811A6" w:rsidRDefault="000A421E" w:rsidP="005951C1">
            <w:pPr>
              <w:keepNext/>
              <w:widowControl/>
              <w:rPr>
                <w:rFonts w:ascii="Arial Narrow" w:hAnsi="Arial Narrow"/>
                <w:color w:val="000000"/>
                <w:sz w:val="20"/>
                <w:szCs w:val="18"/>
              </w:rPr>
            </w:pPr>
          </w:p>
        </w:tc>
        <w:tc>
          <w:tcPr>
            <w:tcW w:w="929" w:type="pct"/>
            <w:vMerge w:val="restart"/>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569" w:type="pct"/>
            <w:gridSpan w:val="2"/>
            <w:vMerge w:val="restart"/>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52" w:type="pct"/>
            <w:gridSpan w:val="2"/>
            <w:vMerge w:val="restart"/>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RR</w:t>
            </w:r>
          </w:p>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b/>
                <w:color w:val="000000"/>
                <w:sz w:val="20"/>
                <w:szCs w:val="18"/>
              </w:rPr>
              <w:t>(95% CI)</w:t>
            </w:r>
          </w:p>
        </w:tc>
        <w:tc>
          <w:tcPr>
            <w:tcW w:w="1362" w:type="pct"/>
            <w:gridSpan w:val="3"/>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 xml:space="preserve">Event rate/100 patients* </w:t>
            </w:r>
          </w:p>
        </w:tc>
        <w:tc>
          <w:tcPr>
            <w:tcW w:w="570" w:type="pct"/>
            <w:gridSpan w:val="2"/>
            <w:vMerge w:val="restart"/>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RD</w:t>
            </w:r>
          </w:p>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b/>
                <w:color w:val="000000"/>
                <w:sz w:val="20"/>
                <w:szCs w:val="18"/>
              </w:rPr>
              <w:t>(95% CI)</w:t>
            </w:r>
          </w:p>
        </w:tc>
      </w:tr>
      <w:tr w:rsidR="005951C1" w:rsidRPr="001811A6" w:rsidTr="005951C1">
        <w:trPr>
          <w:trHeight w:val="70"/>
        </w:trPr>
        <w:tc>
          <w:tcPr>
            <w:tcW w:w="1018" w:type="pct"/>
            <w:vMerge/>
            <w:shd w:val="clear" w:color="auto" w:fill="auto"/>
            <w:vAlign w:val="center"/>
          </w:tcPr>
          <w:p w:rsidR="000A421E" w:rsidRPr="001811A6" w:rsidRDefault="000A421E" w:rsidP="005951C1">
            <w:pPr>
              <w:keepNext/>
              <w:widowControl/>
              <w:rPr>
                <w:rFonts w:ascii="Arial Narrow" w:hAnsi="Arial Narrow"/>
                <w:color w:val="000000"/>
                <w:sz w:val="20"/>
                <w:szCs w:val="18"/>
              </w:rPr>
            </w:pPr>
          </w:p>
        </w:tc>
        <w:tc>
          <w:tcPr>
            <w:tcW w:w="929" w:type="pct"/>
            <w:vMerge/>
            <w:vAlign w:val="center"/>
          </w:tcPr>
          <w:p w:rsidR="000A421E" w:rsidRPr="001811A6" w:rsidRDefault="000A421E" w:rsidP="005951C1">
            <w:pPr>
              <w:keepNext/>
              <w:widowControl/>
              <w:jc w:val="center"/>
              <w:rPr>
                <w:rFonts w:ascii="Arial Narrow" w:hAnsi="Arial Narrow"/>
                <w:b/>
                <w:color w:val="000000"/>
                <w:sz w:val="20"/>
                <w:szCs w:val="18"/>
              </w:rPr>
            </w:pPr>
          </w:p>
        </w:tc>
        <w:tc>
          <w:tcPr>
            <w:tcW w:w="569" w:type="pct"/>
            <w:gridSpan w:val="2"/>
            <w:vMerge/>
            <w:vAlign w:val="center"/>
          </w:tcPr>
          <w:p w:rsidR="000A421E" w:rsidRPr="001811A6" w:rsidRDefault="000A421E" w:rsidP="005951C1">
            <w:pPr>
              <w:keepNext/>
              <w:widowControl/>
              <w:jc w:val="center"/>
              <w:rPr>
                <w:rFonts w:ascii="Arial Narrow" w:hAnsi="Arial Narrow"/>
                <w:b/>
                <w:color w:val="000000"/>
                <w:sz w:val="20"/>
                <w:szCs w:val="18"/>
              </w:rPr>
            </w:pPr>
          </w:p>
        </w:tc>
        <w:tc>
          <w:tcPr>
            <w:tcW w:w="552" w:type="pct"/>
            <w:gridSpan w:val="2"/>
            <w:vMerge/>
            <w:vAlign w:val="center"/>
          </w:tcPr>
          <w:p w:rsidR="000A421E" w:rsidRPr="001811A6" w:rsidRDefault="000A421E" w:rsidP="005951C1">
            <w:pPr>
              <w:keepNext/>
              <w:widowControl/>
              <w:jc w:val="center"/>
              <w:rPr>
                <w:rFonts w:ascii="Arial Narrow" w:hAnsi="Arial Narrow"/>
                <w:b/>
                <w:color w:val="000000"/>
                <w:sz w:val="20"/>
                <w:szCs w:val="18"/>
              </w:rPr>
            </w:pPr>
          </w:p>
        </w:tc>
        <w:tc>
          <w:tcPr>
            <w:tcW w:w="870" w:type="pct"/>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492" w:type="pct"/>
            <w:gridSpan w:val="2"/>
            <w:vAlign w:val="center"/>
          </w:tcPr>
          <w:p w:rsidR="000A421E" w:rsidRPr="001811A6" w:rsidRDefault="000A421E" w:rsidP="005951C1">
            <w:pPr>
              <w:keepNext/>
              <w:widowControl/>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70" w:type="pct"/>
            <w:gridSpan w:val="2"/>
            <w:vMerge/>
            <w:vAlign w:val="center"/>
          </w:tcPr>
          <w:p w:rsidR="000A421E" w:rsidRPr="001811A6" w:rsidRDefault="000A421E" w:rsidP="005951C1">
            <w:pPr>
              <w:keepNext/>
              <w:widowControl/>
              <w:jc w:val="center"/>
              <w:rPr>
                <w:rFonts w:ascii="Arial Narrow" w:hAnsi="Arial Narrow"/>
                <w:b/>
                <w:color w:val="000000"/>
                <w:sz w:val="20"/>
                <w:szCs w:val="18"/>
              </w:rPr>
            </w:pPr>
          </w:p>
        </w:tc>
      </w:tr>
      <w:tr w:rsidR="005951C1" w:rsidRPr="001811A6" w:rsidTr="005951C1">
        <w:tc>
          <w:tcPr>
            <w:tcW w:w="1018" w:type="pct"/>
            <w:shd w:val="clear" w:color="auto" w:fill="auto"/>
            <w:vAlign w:val="center"/>
          </w:tcPr>
          <w:p w:rsidR="000A421E" w:rsidRPr="001811A6" w:rsidRDefault="000A421E" w:rsidP="005951C1">
            <w:pPr>
              <w:keepNext/>
              <w:widowControl/>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155/482</w:t>
            </w:r>
          </w:p>
        </w:tc>
        <w:tc>
          <w:tcPr>
            <w:tcW w:w="569"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552"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870" w:type="pct"/>
            <w:vAlign w:val="center"/>
          </w:tcPr>
          <w:p w:rsidR="000A421E" w:rsidRPr="001811A6" w:rsidRDefault="000A421E" w:rsidP="005951C1">
            <w:pPr>
              <w:keepNext/>
              <w:widowControl/>
              <w:jc w:val="center"/>
              <w:rPr>
                <w:rFonts w:ascii="Arial Narrow" w:hAnsi="Arial Narrow"/>
                <w:color w:val="000000"/>
                <w:sz w:val="20"/>
              </w:rPr>
            </w:pPr>
            <w:r w:rsidRPr="001811A6">
              <w:rPr>
                <w:rFonts w:ascii="Arial Narrow" w:hAnsi="Arial Narrow"/>
                <w:sz w:val="20"/>
              </w:rPr>
              <w:t>32</w:t>
            </w:r>
          </w:p>
        </w:tc>
        <w:tc>
          <w:tcPr>
            <w:tcW w:w="492"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570"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r>
      <w:tr w:rsidR="005951C1" w:rsidRPr="001811A6" w:rsidTr="005951C1">
        <w:tc>
          <w:tcPr>
            <w:tcW w:w="1018" w:type="pct"/>
            <w:shd w:val="clear" w:color="auto" w:fill="auto"/>
            <w:vAlign w:val="center"/>
          </w:tcPr>
          <w:p w:rsidR="000A421E" w:rsidRPr="001811A6" w:rsidRDefault="000A421E" w:rsidP="005951C1">
            <w:pPr>
              <w:keepNext/>
              <w:widowControl/>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20/96</w:t>
            </w:r>
          </w:p>
        </w:tc>
        <w:tc>
          <w:tcPr>
            <w:tcW w:w="569"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552"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870" w:type="pct"/>
            <w:vAlign w:val="center"/>
          </w:tcPr>
          <w:p w:rsidR="000A421E" w:rsidRPr="001811A6" w:rsidRDefault="000A421E" w:rsidP="005951C1">
            <w:pPr>
              <w:keepNext/>
              <w:widowControl/>
              <w:jc w:val="center"/>
              <w:rPr>
                <w:rFonts w:ascii="Arial Narrow" w:hAnsi="Arial Narrow"/>
                <w:color w:val="000000"/>
                <w:sz w:val="20"/>
              </w:rPr>
            </w:pPr>
            <w:r w:rsidRPr="001811A6">
              <w:rPr>
                <w:rFonts w:ascii="Arial Narrow" w:hAnsi="Arial Narrow"/>
                <w:sz w:val="20"/>
              </w:rPr>
              <w:t>21</w:t>
            </w:r>
          </w:p>
        </w:tc>
        <w:tc>
          <w:tcPr>
            <w:tcW w:w="492"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c>
          <w:tcPr>
            <w:tcW w:w="570" w:type="pct"/>
            <w:gridSpan w:val="2"/>
            <w:vAlign w:val="center"/>
          </w:tcPr>
          <w:p w:rsidR="000A421E" w:rsidRPr="001811A6" w:rsidRDefault="000A421E" w:rsidP="005951C1">
            <w:pPr>
              <w:keepNext/>
              <w:widowControl/>
              <w:jc w:val="center"/>
              <w:rPr>
                <w:rFonts w:ascii="Arial Narrow" w:hAnsi="Arial Narrow"/>
                <w:sz w:val="20"/>
              </w:rPr>
            </w:pPr>
            <w:r w:rsidRPr="001811A6">
              <w:rPr>
                <w:rFonts w:ascii="Arial Narrow" w:hAnsi="Arial Narrow"/>
                <w:sz w:val="20"/>
              </w:rPr>
              <w:t>-</w:t>
            </w:r>
          </w:p>
        </w:tc>
      </w:tr>
      <w:tr w:rsidR="005951C1" w:rsidRPr="001811A6" w:rsidTr="005951C1">
        <w:tc>
          <w:tcPr>
            <w:tcW w:w="1018" w:type="pct"/>
            <w:shd w:val="clear" w:color="auto" w:fill="auto"/>
            <w:vAlign w:val="center"/>
          </w:tcPr>
          <w:p w:rsidR="000A421E" w:rsidRPr="001811A6" w:rsidRDefault="000A421E" w:rsidP="005951C1">
            <w:pPr>
              <w:keepNext/>
              <w:widowControl/>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5951C1">
            <w:pPr>
              <w:pStyle w:val="TableText0"/>
              <w:spacing w:before="0" w:after="0"/>
              <w:jc w:val="center"/>
            </w:pPr>
            <w:r w:rsidRPr="001811A6">
              <w:t>8/95</w:t>
            </w:r>
          </w:p>
        </w:tc>
        <w:tc>
          <w:tcPr>
            <w:tcW w:w="569" w:type="pct"/>
            <w:gridSpan w:val="2"/>
            <w:vAlign w:val="center"/>
          </w:tcPr>
          <w:p w:rsidR="000A421E" w:rsidRPr="001811A6" w:rsidRDefault="000A421E" w:rsidP="005951C1">
            <w:pPr>
              <w:pStyle w:val="TableText0"/>
              <w:spacing w:before="0" w:after="0"/>
              <w:ind w:left="-22"/>
              <w:jc w:val="center"/>
            </w:pPr>
            <w:r w:rsidRPr="001811A6">
              <w:t>-</w:t>
            </w:r>
          </w:p>
        </w:tc>
        <w:tc>
          <w:tcPr>
            <w:tcW w:w="552" w:type="pct"/>
            <w:gridSpan w:val="2"/>
            <w:vAlign w:val="center"/>
          </w:tcPr>
          <w:p w:rsidR="000A421E" w:rsidRPr="001811A6" w:rsidRDefault="000A421E" w:rsidP="005951C1">
            <w:pPr>
              <w:pStyle w:val="TableText0"/>
              <w:spacing w:before="0" w:after="0"/>
              <w:ind w:left="-22"/>
              <w:jc w:val="center"/>
            </w:pPr>
            <w:r w:rsidRPr="001811A6">
              <w:t>-</w:t>
            </w:r>
          </w:p>
        </w:tc>
        <w:tc>
          <w:tcPr>
            <w:tcW w:w="870" w:type="pct"/>
            <w:vAlign w:val="center"/>
          </w:tcPr>
          <w:p w:rsidR="000A421E" w:rsidRPr="001811A6" w:rsidRDefault="000A421E" w:rsidP="005951C1">
            <w:pPr>
              <w:keepNext/>
              <w:widowControl/>
              <w:jc w:val="center"/>
              <w:rPr>
                <w:rFonts w:ascii="Arial Narrow" w:hAnsi="Arial Narrow"/>
                <w:color w:val="000000"/>
                <w:sz w:val="20"/>
              </w:rPr>
            </w:pPr>
            <w:r w:rsidRPr="001811A6">
              <w:rPr>
                <w:rFonts w:ascii="Arial Narrow" w:hAnsi="Arial Narrow"/>
                <w:sz w:val="20"/>
              </w:rPr>
              <w:t>8</w:t>
            </w:r>
          </w:p>
        </w:tc>
        <w:tc>
          <w:tcPr>
            <w:tcW w:w="492" w:type="pct"/>
            <w:gridSpan w:val="2"/>
            <w:vAlign w:val="center"/>
          </w:tcPr>
          <w:p w:rsidR="000A421E" w:rsidRPr="001811A6" w:rsidRDefault="000A421E" w:rsidP="005951C1">
            <w:pPr>
              <w:pStyle w:val="TableText0"/>
              <w:spacing w:before="0" w:after="0"/>
              <w:ind w:left="-22"/>
              <w:jc w:val="center"/>
            </w:pPr>
            <w:r w:rsidRPr="001811A6">
              <w:t>-</w:t>
            </w:r>
          </w:p>
        </w:tc>
        <w:tc>
          <w:tcPr>
            <w:tcW w:w="570" w:type="pct"/>
            <w:gridSpan w:val="2"/>
            <w:vAlign w:val="center"/>
          </w:tcPr>
          <w:p w:rsidR="000A421E" w:rsidRPr="001811A6" w:rsidRDefault="000A421E" w:rsidP="005951C1">
            <w:pPr>
              <w:pStyle w:val="TableText0"/>
              <w:spacing w:before="0" w:after="0"/>
              <w:ind w:left="-22"/>
              <w:jc w:val="center"/>
            </w:pPr>
            <w:r w:rsidRPr="001811A6">
              <w:t>-</w:t>
            </w:r>
          </w:p>
        </w:tc>
      </w:tr>
      <w:tr w:rsidR="005951C1" w:rsidRPr="001811A6" w:rsidTr="005951C1">
        <w:tc>
          <w:tcPr>
            <w:tcW w:w="1018" w:type="pct"/>
            <w:shd w:val="clear" w:color="auto" w:fill="auto"/>
            <w:vAlign w:val="center"/>
          </w:tcPr>
          <w:p w:rsidR="000A421E" w:rsidRPr="001811A6" w:rsidRDefault="000A421E" w:rsidP="005951C1">
            <w:pPr>
              <w:keepNext/>
              <w:widowControl/>
              <w:rPr>
                <w:rFonts w:ascii="Arial Narrow" w:hAnsi="Arial Narrow"/>
                <w:color w:val="000000"/>
                <w:sz w:val="20"/>
                <w:szCs w:val="18"/>
              </w:rPr>
            </w:pPr>
            <w:r w:rsidRPr="001811A6">
              <w:rPr>
                <w:rFonts w:ascii="Arial Narrow" w:hAnsi="Arial Narrow"/>
                <w:color w:val="000000"/>
                <w:sz w:val="20"/>
                <w:szCs w:val="18"/>
              </w:rPr>
              <w:t>Schwipper 2011</w:t>
            </w:r>
          </w:p>
        </w:tc>
        <w:tc>
          <w:tcPr>
            <w:tcW w:w="929" w:type="pct"/>
            <w:vAlign w:val="center"/>
          </w:tcPr>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color w:val="000000"/>
                <w:sz w:val="20"/>
                <w:szCs w:val="18"/>
              </w:rPr>
              <w:t>95/118</w:t>
            </w:r>
          </w:p>
        </w:tc>
        <w:tc>
          <w:tcPr>
            <w:tcW w:w="552" w:type="pct"/>
            <w:gridSpan w:val="2"/>
            <w:vAlign w:val="center"/>
          </w:tcPr>
          <w:p w:rsidR="000A421E" w:rsidRPr="001811A6" w:rsidRDefault="000A421E" w:rsidP="005951C1">
            <w:pPr>
              <w:keepNext/>
              <w:widowControl/>
              <w:jc w:val="center"/>
              <w:rPr>
                <w:rFonts w:ascii="Arial Narrow" w:hAnsi="Arial Narrow"/>
                <w:sz w:val="20"/>
                <w:szCs w:val="18"/>
              </w:rPr>
            </w:pPr>
            <w:r w:rsidRPr="001811A6">
              <w:rPr>
                <w:rFonts w:ascii="Arial Narrow" w:hAnsi="Arial Narrow"/>
                <w:sz w:val="20"/>
                <w:szCs w:val="18"/>
              </w:rPr>
              <w:t>-</w:t>
            </w:r>
          </w:p>
        </w:tc>
        <w:tc>
          <w:tcPr>
            <w:tcW w:w="870" w:type="pct"/>
            <w:vAlign w:val="center"/>
          </w:tcPr>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color w:val="000000"/>
                <w:sz w:val="20"/>
                <w:szCs w:val="18"/>
              </w:rPr>
              <w:t>-</w:t>
            </w:r>
          </w:p>
        </w:tc>
        <w:tc>
          <w:tcPr>
            <w:tcW w:w="492" w:type="pct"/>
            <w:gridSpan w:val="2"/>
            <w:vAlign w:val="center"/>
          </w:tcPr>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color w:val="000000"/>
                <w:sz w:val="20"/>
                <w:szCs w:val="18"/>
              </w:rPr>
              <w:t>81</w:t>
            </w:r>
          </w:p>
        </w:tc>
        <w:tc>
          <w:tcPr>
            <w:tcW w:w="570" w:type="pct"/>
            <w:gridSpan w:val="2"/>
            <w:vAlign w:val="center"/>
          </w:tcPr>
          <w:p w:rsidR="000A421E" w:rsidRPr="001811A6" w:rsidRDefault="000A421E" w:rsidP="005951C1">
            <w:pPr>
              <w:keepNext/>
              <w:widowControl/>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Progression free survival; Median months (95% CI)</w:t>
            </w:r>
          </w:p>
        </w:tc>
      </w:tr>
      <w:tr w:rsidR="005951C1" w:rsidRPr="001811A6" w:rsidTr="005951C1">
        <w:tc>
          <w:tcPr>
            <w:tcW w:w="1018" w:type="pct"/>
            <w:shd w:val="clear" w:color="auto" w:fill="auto"/>
            <w:vAlign w:val="center"/>
          </w:tcPr>
          <w:p w:rsidR="000A421E" w:rsidRPr="001811A6" w:rsidRDefault="000A421E" w:rsidP="00D80159">
            <w:pPr>
              <w:jc w:val="center"/>
              <w:rPr>
                <w:rFonts w:ascii="Arial Narrow" w:hAnsi="Arial Narrow"/>
                <w:color w:val="000000"/>
                <w:sz w:val="20"/>
                <w:szCs w:val="18"/>
              </w:rPr>
            </w:pPr>
          </w:p>
        </w:tc>
        <w:tc>
          <w:tcPr>
            <w:tcW w:w="1028" w:type="pct"/>
            <w:gridSpan w:val="2"/>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1011" w:type="pct"/>
            <w:gridSpan w:val="2"/>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1373" w:type="pct"/>
            <w:gridSpan w:val="4"/>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Absolute Difference</w:t>
            </w:r>
          </w:p>
        </w:tc>
        <w:tc>
          <w:tcPr>
            <w:tcW w:w="570" w:type="pct"/>
            <w:gridSpan w:val="2"/>
            <w:vAlign w:val="center"/>
          </w:tcPr>
          <w:p w:rsidR="00E37974"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HR</w:t>
            </w:r>
          </w:p>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(95% CI)</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1028"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20.2 (</w:t>
            </w:r>
            <w:r w:rsidR="000E3CE5" w:rsidRPr="001811A6">
              <w:rPr>
                <w:rFonts w:ascii="Arial Narrow" w:hAnsi="Arial Narrow"/>
                <w:i/>
                <w:sz w:val="20"/>
              </w:rPr>
              <w:t>19</w:t>
            </w:r>
            <w:r w:rsidR="000E3CE5" w:rsidRPr="001811A6">
              <w:rPr>
                <w:rFonts w:ascii="Arial Narrow" w:hAnsi="Arial Narrow"/>
                <w:sz w:val="20"/>
              </w:rPr>
              <w:t>.</w:t>
            </w:r>
            <w:r w:rsidRPr="001811A6">
              <w:rPr>
                <w:rFonts w:ascii="Arial Narrow" w:hAnsi="Arial Narrow"/>
                <w:sz w:val="20"/>
              </w:rPr>
              <w:t>3; NE)</w:t>
            </w:r>
          </w:p>
        </w:tc>
        <w:tc>
          <w:tcPr>
            <w:tcW w:w="1011"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1373" w:type="pct"/>
            <w:gridSpan w:val="4"/>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0"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1028"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12.8 (9.46; 17.97)</w:t>
            </w:r>
          </w:p>
        </w:tc>
        <w:tc>
          <w:tcPr>
            <w:tcW w:w="1011"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1373" w:type="pct"/>
            <w:gridSpan w:val="4"/>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0"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rPr>
                <w:rFonts w:ascii="Arial Narrow" w:hAnsi="Arial Narrow"/>
                <w:color w:val="000000"/>
                <w:sz w:val="20"/>
                <w:szCs w:val="18"/>
              </w:rPr>
            </w:pPr>
            <w:r w:rsidRPr="001811A6">
              <w:rPr>
                <w:rFonts w:ascii="Arial Narrow" w:hAnsi="Arial Narrow"/>
                <w:color w:val="000000"/>
                <w:sz w:val="20"/>
                <w:szCs w:val="18"/>
              </w:rPr>
              <w:t>Schwipper 2011</w:t>
            </w:r>
          </w:p>
        </w:tc>
        <w:tc>
          <w:tcPr>
            <w:tcW w:w="1028"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w:t>
            </w:r>
          </w:p>
        </w:tc>
        <w:tc>
          <w:tcPr>
            <w:tcW w:w="1011" w:type="pct"/>
            <w:gridSpan w:val="2"/>
          </w:tcPr>
          <w:p w:rsidR="000A421E" w:rsidRPr="001811A6" w:rsidRDefault="000A421E" w:rsidP="00D80159">
            <w:pPr>
              <w:jc w:val="center"/>
              <w:rPr>
                <w:rFonts w:ascii="Arial Narrow" w:hAnsi="Arial Narrow"/>
                <w:sz w:val="20"/>
              </w:rPr>
            </w:pPr>
            <w:r w:rsidRPr="001811A6">
              <w:rPr>
                <w:rFonts w:ascii="Arial Narrow" w:hAnsi="Arial Narrow"/>
                <w:sz w:val="20"/>
              </w:rPr>
              <w:t>25.6 (NR, NR)</w:t>
            </w:r>
          </w:p>
        </w:tc>
        <w:tc>
          <w:tcPr>
            <w:tcW w:w="1373" w:type="pct"/>
            <w:gridSpan w:val="4"/>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0"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tcBorders>
              <w:top w:val="double" w:sz="4" w:space="0" w:color="auto"/>
            </w:tcBorders>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 xml:space="preserve">Harms </w:t>
            </w:r>
          </w:p>
        </w:tc>
      </w:tr>
      <w:tr w:rsidR="005951C1" w:rsidRPr="001811A6" w:rsidTr="005951C1">
        <w:trPr>
          <w:trHeight w:val="70"/>
        </w:trPr>
        <w:tc>
          <w:tcPr>
            <w:tcW w:w="1018" w:type="pct"/>
            <w:vMerge w:val="restart"/>
            <w:shd w:val="clear" w:color="auto" w:fill="auto"/>
            <w:vAlign w:val="center"/>
          </w:tcPr>
          <w:p w:rsidR="000A421E" w:rsidRPr="001811A6" w:rsidRDefault="000A421E" w:rsidP="00D80159">
            <w:pPr>
              <w:rPr>
                <w:rFonts w:ascii="Arial Narrow" w:hAnsi="Arial Narrow"/>
                <w:b/>
                <w:color w:val="000000"/>
                <w:sz w:val="20"/>
                <w:szCs w:val="18"/>
              </w:rPr>
            </w:pPr>
          </w:p>
        </w:tc>
        <w:tc>
          <w:tcPr>
            <w:tcW w:w="929" w:type="pct"/>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569"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52" w:type="pct"/>
            <w:gridSpan w:val="2"/>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RR</w:t>
            </w:r>
          </w:p>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(95% CI)</w:t>
            </w:r>
          </w:p>
        </w:tc>
        <w:tc>
          <w:tcPr>
            <w:tcW w:w="1379" w:type="pct"/>
            <w:gridSpan w:val="4"/>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 xml:space="preserve">Event rate/100 patients* </w:t>
            </w:r>
          </w:p>
        </w:tc>
        <w:tc>
          <w:tcPr>
            <w:tcW w:w="552" w:type="pct"/>
            <w:vMerge w:val="restar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RD</w:t>
            </w:r>
          </w:p>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(95% CI)</w:t>
            </w:r>
          </w:p>
        </w:tc>
      </w:tr>
      <w:tr w:rsidR="005951C1" w:rsidRPr="001811A6" w:rsidTr="005951C1">
        <w:trPr>
          <w:trHeight w:val="390"/>
        </w:trPr>
        <w:tc>
          <w:tcPr>
            <w:tcW w:w="1018" w:type="pct"/>
            <w:vMerge/>
            <w:shd w:val="clear" w:color="auto" w:fill="auto"/>
            <w:vAlign w:val="center"/>
          </w:tcPr>
          <w:p w:rsidR="000A421E" w:rsidRPr="001811A6" w:rsidRDefault="000A421E" w:rsidP="00D80159">
            <w:pPr>
              <w:rPr>
                <w:rFonts w:ascii="Arial Narrow" w:hAnsi="Arial Narrow"/>
                <w:b/>
                <w:color w:val="000000"/>
                <w:sz w:val="20"/>
                <w:szCs w:val="18"/>
              </w:rPr>
            </w:pPr>
          </w:p>
        </w:tc>
        <w:tc>
          <w:tcPr>
            <w:tcW w:w="929" w:type="pct"/>
            <w:vMerge/>
            <w:vAlign w:val="center"/>
          </w:tcPr>
          <w:p w:rsidR="000A421E" w:rsidRPr="001811A6" w:rsidRDefault="000A421E" w:rsidP="00D80159">
            <w:pPr>
              <w:jc w:val="center"/>
              <w:rPr>
                <w:rFonts w:ascii="Arial Narrow" w:hAnsi="Arial Narrow"/>
                <w:b/>
                <w:color w:val="000000"/>
                <w:sz w:val="20"/>
                <w:szCs w:val="18"/>
              </w:rPr>
            </w:pPr>
          </w:p>
        </w:tc>
        <w:tc>
          <w:tcPr>
            <w:tcW w:w="569"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552" w:type="pct"/>
            <w:gridSpan w:val="2"/>
            <w:vMerge/>
            <w:vAlign w:val="center"/>
          </w:tcPr>
          <w:p w:rsidR="000A421E" w:rsidRPr="001811A6" w:rsidRDefault="000A421E" w:rsidP="00D80159">
            <w:pPr>
              <w:jc w:val="center"/>
              <w:rPr>
                <w:rFonts w:ascii="Arial Narrow" w:hAnsi="Arial Narrow"/>
                <w:b/>
                <w:color w:val="000000"/>
                <w:sz w:val="20"/>
                <w:szCs w:val="18"/>
              </w:rPr>
            </w:pPr>
          </w:p>
        </w:tc>
        <w:tc>
          <w:tcPr>
            <w:tcW w:w="870" w:type="pct"/>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Vismodegib</w:t>
            </w:r>
          </w:p>
        </w:tc>
        <w:tc>
          <w:tcPr>
            <w:tcW w:w="510" w:type="pct"/>
            <w:gridSpan w:val="3"/>
            <w:vAlign w:val="center"/>
          </w:tcPr>
          <w:p w:rsidR="000A421E" w:rsidRPr="001811A6" w:rsidRDefault="000A421E" w:rsidP="00D80159">
            <w:pPr>
              <w:jc w:val="center"/>
              <w:rPr>
                <w:rFonts w:ascii="Arial Narrow" w:hAnsi="Arial Narrow"/>
                <w:b/>
                <w:color w:val="000000"/>
                <w:sz w:val="20"/>
                <w:szCs w:val="18"/>
              </w:rPr>
            </w:pPr>
            <w:r w:rsidRPr="001811A6">
              <w:rPr>
                <w:rFonts w:ascii="Arial Narrow" w:hAnsi="Arial Narrow"/>
                <w:b/>
                <w:color w:val="000000"/>
                <w:sz w:val="20"/>
                <w:szCs w:val="18"/>
              </w:rPr>
              <w:t>Surgery</w:t>
            </w:r>
          </w:p>
        </w:tc>
        <w:tc>
          <w:tcPr>
            <w:tcW w:w="552" w:type="pct"/>
            <w:vMerge/>
            <w:vAlign w:val="center"/>
          </w:tcPr>
          <w:p w:rsidR="000A421E" w:rsidRPr="001811A6" w:rsidRDefault="000A421E" w:rsidP="00D80159">
            <w:pPr>
              <w:jc w:val="center"/>
              <w:rPr>
                <w:rFonts w:ascii="Arial Narrow" w:hAnsi="Arial Narrow"/>
                <w:b/>
                <w:color w:val="000000"/>
                <w:sz w:val="20"/>
                <w:szCs w:val="18"/>
              </w:rPr>
            </w:pPr>
          </w:p>
        </w:tc>
      </w:tr>
      <w:tr w:rsidR="000A421E" w:rsidRPr="001811A6" w:rsidTr="00D80159">
        <w:tc>
          <w:tcPr>
            <w:tcW w:w="5000" w:type="pct"/>
            <w:gridSpan w:val="11"/>
            <w:shd w:val="clear" w:color="auto" w:fill="auto"/>
            <w:vAlign w:val="center"/>
          </w:tcPr>
          <w:p w:rsidR="000A421E" w:rsidRPr="001811A6" w:rsidRDefault="000A421E" w:rsidP="00D80159">
            <w:pPr>
              <w:rPr>
                <w:rFonts w:ascii="Arial Narrow" w:hAnsi="Arial Narrow"/>
                <w:color w:val="000000"/>
                <w:sz w:val="20"/>
                <w:szCs w:val="18"/>
              </w:rPr>
            </w:pPr>
            <w:r w:rsidRPr="001811A6">
              <w:rPr>
                <w:rFonts w:ascii="Arial Narrow" w:hAnsi="Arial Narrow"/>
                <w:b/>
                <w:color w:val="000000"/>
                <w:sz w:val="20"/>
                <w:szCs w:val="18"/>
              </w:rPr>
              <w:t>Any adverse event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492/500</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98</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104/104</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100</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116/119</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98</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Schwipper 2011</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shd w:val="clear" w:color="auto" w:fill="auto"/>
            <w:vAlign w:val="center"/>
          </w:tcPr>
          <w:p w:rsidR="000A421E" w:rsidRPr="001811A6" w:rsidRDefault="000A421E" w:rsidP="00D80159">
            <w:pPr>
              <w:rPr>
                <w:rFonts w:ascii="Arial Narrow" w:hAnsi="Arial Narrow"/>
                <w:b/>
                <w:color w:val="000000"/>
                <w:sz w:val="20"/>
                <w:szCs w:val="18"/>
              </w:rPr>
            </w:pPr>
            <w:r w:rsidRPr="001811A6">
              <w:rPr>
                <w:rFonts w:ascii="Arial Narrow" w:hAnsi="Arial Narrow"/>
                <w:b/>
                <w:color w:val="000000"/>
                <w:sz w:val="20"/>
                <w:szCs w:val="18"/>
              </w:rPr>
              <w:t>Grade ≥3 adverse event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210/500</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42</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44/104</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42</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35/119</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29</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Schwipper 2011</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shd w:val="clear" w:color="auto" w:fill="auto"/>
            <w:vAlign w:val="center"/>
          </w:tcPr>
          <w:p w:rsidR="000A421E" w:rsidRPr="001811A6" w:rsidRDefault="006D0B88" w:rsidP="006D0B88">
            <w:pPr>
              <w:rPr>
                <w:rFonts w:ascii="Arial Narrow" w:hAnsi="Arial Narrow"/>
                <w:color w:val="000000"/>
                <w:sz w:val="20"/>
                <w:szCs w:val="18"/>
              </w:rPr>
            </w:pPr>
            <w:r>
              <w:rPr>
                <w:rFonts w:ascii="Arial Narrow" w:hAnsi="Arial Narrow"/>
                <w:b/>
                <w:color w:val="000000"/>
                <w:sz w:val="20"/>
                <w:szCs w:val="18"/>
              </w:rPr>
              <w:t xml:space="preserve">Treatment related SAEs </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33/500</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7</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4/104</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4</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1/119</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412000">
            <w:pPr>
              <w:jc w:val="center"/>
              <w:rPr>
                <w:rFonts w:ascii="Arial Narrow" w:hAnsi="Arial Narrow"/>
                <w:color w:val="000000"/>
                <w:sz w:val="20"/>
                <w:szCs w:val="18"/>
              </w:rPr>
            </w:pPr>
            <w:r w:rsidRPr="001811A6">
              <w:rPr>
                <w:rFonts w:ascii="Arial Narrow" w:hAnsi="Arial Narrow"/>
                <w:color w:val="000000"/>
                <w:sz w:val="20"/>
                <w:szCs w:val="18"/>
              </w:rPr>
              <w:t>1</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Schwipper 2011</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NR</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0A421E" w:rsidRPr="001811A6" w:rsidTr="00D80159">
        <w:tc>
          <w:tcPr>
            <w:tcW w:w="5000" w:type="pct"/>
            <w:gridSpan w:val="11"/>
            <w:shd w:val="clear" w:color="auto" w:fill="auto"/>
            <w:vAlign w:val="center"/>
          </w:tcPr>
          <w:p w:rsidR="000A421E" w:rsidRPr="001811A6" w:rsidRDefault="000A421E" w:rsidP="00D80159">
            <w:pPr>
              <w:rPr>
                <w:rFonts w:ascii="Arial Narrow" w:hAnsi="Arial Narrow"/>
                <w:color w:val="000000"/>
                <w:sz w:val="20"/>
                <w:szCs w:val="18"/>
              </w:rPr>
            </w:pPr>
            <w:r w:rsidRPr="001811A6">
              <w:rPr>
                <w:rFonts w:ascii="Arial Narrow" w:hAnsi="Arial Narrow"/>
                <w:b/>
                <w:color w:val="000000"/>
                <w:sz w:val="20"/>
                <w:szCs w:val="18"/>
              </w:rPr>
              <w:t>Disfigurement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STEVIE</w:t>
            </w:r>
          </w:p>
        </w:tc>
        <w:tc>
          <w:tcPr>
            <w:tcW w:w="929" w:type="pct"/>
            <w:vAlign w:val="center"/>
          </w:tcPr>
          <w:p w:rsidR="000A421E" w:rsidRPr="001811A6" w:rsidRDefault="000A421E" w:rsidP="00D80159">
            <w:pPr>
              <w:jc w:val="center"/>
            </w:pPr>
            <w:r w:rsidRPr="001811A6">
              <w:rPr>
                <w:rFonts w:ascii="Arial Narrow" w:hAnsi="Arial Narrow"/>
                <w:color w:val="000000"/>
                <w:sz w:val="20"/>
                <w:szCs w:val="18"/>
              </w:rPr>
              <w:t>NR</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ERIVANCE</w:t>
            </w:r>
          </w:p>
        </w:tc>
        <w:tc>
          <w:tcPr>
            <w:tcW w:w="929" w:type="pct"/>
            <w:vAlign w:val="center"/>
          </w:tcPr>
          <w:p w:rsidR="000A421E" w:rsidRPr="001811A6" w:rsidRDefault="000A421E" w:rsidP="00D80159">
            <w:pPr>
              <w:jc w:val="center"/>
            </w:pPr>
            <w:r w:rsidRPr="001811A6">
              <w:rPr>
                <w:rFonts w:ascii="Arial Narrow" w:hAnsi="Arial Narrow"/>
                <w:color w:val="000000"/>
                <w:sz w:val="20"/>
                <w:szCs w:val="18"/>
              </w:rPr>
              <w:t>NR</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 xml:space="preserve">Chang </w:t>
            </w:r>
            <w:r w:rsidRPr="001811A6">
              <w:rPr>
                <w:rFonts w:ascii="Arial Narrow" w:hAnsi="Arial Narrow"/>
                <w:i/>
                <w:sz w:val="20"/>
              </w:rPr>
              <w:t>et al</w:t>
            </w:r>
            <w:r w:rsidRPr="001811A6">
              <w:rPr>
                <w:rFonts w:ascii="Arial Narrow" w:hAnsi="Arial Narrow"/>
                <w:sz w:val="20"/>
              </w:rPr>
              <w:t xml:space="preserve"> 2014</w:t>
            </w:r>
          </w:p>
        </w:tc>
        <w:tc>
          <w:tcPr>
            <w:tcW w:w="929" w:type="pct"/>
            <w:vAlign w:val="center"/>
          </w:tcPr>
          <w:p w:rsidR="000A421E" w:rsidRPr="001811A6" w:rsidRDefault="000A421E" w:rsidP="00D80159">
            <w:pPr>
              <w:jc w:val="center"/>
            </w:pPr>
            <w:r w:rsidRPr="001811A6">
              <w:rPr>
                <w:rFonts w:ascii="Arial Narrow" w:hAnsi="Arial Narrow"/>
                <w:color w:val="000000"/>
                <w:sz w:val="20"/>
                <w:szCs w:val="18"/>
              </w:rPr>
              <w:t>NR</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r w:rsidR="005951C1" w:rsidRPr="001811A6" w:rsidTr="005951C1">
        <w:tc>
          <w:tcPr>
            <w:tcW w:w="1018" w:type="pct"/>
            <w:shd w:val="clear" w:color="auto" w:fill="auto"/>
            <w:vAlign w:val="center"/>
          </w:tcPr>
          <w:p w:rsidR="000A421E" w:rsidRPr="001811A6" w:rsidRDefault="000A421E" w:rsidP="00D80159">
            <w:pPr>
              <w:jc w:val="left"/>
              <w:rPr>
                <w:rFonts w:ascii="Arial Narrow" w:hAnsi="Arial Narrow"/>
                <w:sz w:val="20"/>
              </w:rPr>
            </w:pPr>
            <w:r w:rsidRPr="001811A6">
              <w:rPr>
                <w:rFonts w:ascii="Arial Narrow" w:hAnsi="Arial Narrow"/>
                <w:sz w:val="20"/>
              </w:rPr>
              <w:t>Schwipper 2011</w:t>
            </w:r>
          </w:p>
        </w:tc>
        <w:tc>
          <w:tcPr>
            <w:tcW w:w="929"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569"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97/118</w:t>
            </w:r>
          </w:p>
        </w:tc>
        <w:tc>
          <w:tcPr>
            <w:tcW w:w="552" w:type="pct"/>
            <w:gridSpan w:val="2"/>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870"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c>
          <w:tcPr>
            <w:tcW w:w="483" w:type="pct"/>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82</w:t>
            </w:r>
          </w:p>
        </w:tc>
        <w:tc>
          <w:tcPr>
            <w:tcW w:w="579" w:type="pct"/>
            <w:gridSpan w:val="3"/>
            <w:vAlign w:val="center"/>
          </w:tcPr>
          <w:p w:rsidR="000A421E" w:rsidRPr="001811A6" w:rsidRDefault="000A421E" w:rsidP="00D80159">
            <w:pPr>
              <w:jc w:val="center"/>
              <w:rPr>
                <w:rFonts w:ascii="Arial Narrow" w:hAnsi="Arial Narrow"/>
                <w:color w:val="000000"/>
                <w:sz w:val="20"/>
                <w:szCs w:val="18"/>
              </w:rPr>
            </w:pPr>
            <w:r w:rsidRPr="001811A6">
              <w:rPr>
                <w:rFonts w:ascii="Arial Narrow" w:hAnsi="Arial Narrow"/>
                <w:color w:val="000000"/>
                <w:sz w:val="20"/>
                <w:szCs w:val="18"/>
              </w:rPr>
              <w:t>-</w:t>
            </w:r>
          </w:p>
        </w:tc>
      </w:tr>
    </w:tbl>
    <w:p w:rsidR="000A421E" w:rsidRPr="001811A6" w:rsidRDefault="000A421E" w:rsidP="000A421E">
      <w:pPr>
        <w:pStyle w:val="TableFooter"/>
        <w:ind w:left="720"/>
      </w:pPr>
      <w:r w:rsidRPr="001811A6">
        <w:t>Median duration of follow-up): STEVIE = 9.3 months; ERIVANCE = 14.5 months; Chang et al (2014) = 6.5 months; Schwipper (2011) = 5 years</w:t>
      </w:r>
    </w:p>
    <w:p w:rsidR="005951C1" w:rsidRPr="001811A6" w:rsidRDefault="005951C1" w:rsidP="005951C1">
      <w:pPr>
        <w:pStyle w:val="TableFooter"/>
        <w:ind w:firstLine="720"/>
      </w:pPr>
      <w:r w:rsidRPr="001811A6">
        <w:t xml:space="preserve">Source: </w:t>
      </w:r>
      <w:r w:rsidR="00746708" w:rsidRPr="001811A6">
        <w:rPr>
          <w:i/>
        </w:rPr>
        <w:t>Compiled during the evaluation</w:t>
      </w:r>
    </w:p>
    <w:p w:rsidR="000A421E" w:rsidRPr="001811A6" w:rsidRDefault="000A421E" w:rsidP="00746708">
      <w:pPr>
        <w:pStyle w:val="TableFooter"/>
        <w:ind w:left="742"/>
      </w:pPr>
      <w:r w:rsidRPr="001811A6">
        <w:t>RD = risk difference; RR = risk ratio; NE = not estimable; NR = not reported</w:t>
      </w:r>
      <w:r w:rsidR="005951C1" w:rsidRPr="001811A6">
        <w:t>; CI = confidence interval</w:t>
      </w:r>
    </w:p>
    <w:p w:rsidR="000A421E" w:rsidRPr="001811A6" w:rsidRDefault="000A421E" w:rsidP="000A421E">
      <w:pPr>
        <w:pStyle w:val="TableFooter"/>
        <w:ind w:left="720"/>
      </w:pPr>
      <w:r w:rsidRPr="001811A6">
        <w:rPr>
          <w:vertAlign w:val="superscript"/>
        </w:rPr>
        <w:t xml:space="preserve">a </w:t>
      </w:r>
      <w:r w:rsidRPr="001811A6">
        <w:t>Complete response in Schwipper (2011) was patients whose BCCs were resected within historically controlled healthy safety margins; whereas, complete response in the vismodegib studies was determined on two consecutive assessments ≥</w:t>
      </w:r>
      <w:r w:rsidR="005951C1" w:rsidRPr="001811A6">
        <w:t> </w:t>
      </w:r>
      <w:r w:rsidRPr="001811A6">
        <w:t>4 weeks apart and could not be directly compared.</w:t>
      </w:r>
    </w:p>
    <w:p w:rsidR="00B62715" w:rsidRPr="001811A6" w:rsidRDefault="00B62715" w:rsidP="00B62715"/>
    <w:p w:rsidR="00705395" w:rsidRPr="001811A6" w:rsidRDefault="00B240E9" w:rsidP="00B4462B">
      <w:pPr>
        <w:pStyle w:val="ListParagraph"/>
        <w:numPr>
          <w:ilvl w:val="1"/>
          <w:numId w:val="1"/>
        </w:numPr>
      </w:pPr>
      <w:r w:rsidRPr="001811A6">
        <w:t xml:space="preserve">The ESC </w:t>
      </w:r>
      <w:r w:rsidR="00B51A3C" w:rsidRPr="001811A6">
        <w:t xml:space="preserve">noted </w:t>
      </w:r>
      <w:r w:rsidRPr="001811A6">
        <w:t>that o</w:t>
      </w:r>
      <w:r w:rsidR="00705395" w:rsidRPr="001811A6">
        <w:t xml:space="preserve">n the basis of </w:t>
      </w:r>
      <w:r w:rsidR="00FB08FC" w:rsidRPr="001811A6">
        <w:t>single-</w:t>
      </w:r>
      <w:r w:rsidR="00705395" w:rsidRPr="001811A6">
        <w:t>arm</w:t>
      </w:r>
      <w:r w:rsidR="000A421E" w:rsidRPr="001811A6">
        <w:t xml:space="preserve"> study</w:t>
      </w:r>
      <w:r w:rsidR="00705395" w:rsidRPr="001811A6">
        <w:t xml:space="preserve"> evidence presented by the submission, </w:t>
      </w:r>
      <w:r w:rsidR="00E37974" w:rsidRPr="001811A6">
        <w:t>a</w:t>
      </w:r>
      <w:r w:rsidR="00705395" w:rsidRPr="001811A6">
        <w:t xml:space="preserve"> comparison of vismodegib and surgery </w:t>
      </w:r>
      <w:r w:rsidR="004B695E" w:rsidRPr="001811A6">
        <w:t>was not possible</w:t>
      </w:r>
      <w:r w:rsidR="00705395" w:rsidRPr="001811A6">
        <w:t>.</w:t>
      </w:r>
      <w:r w:rsidR="002D2B71" w:rsidRPr="001811A6">
        <w:t xml:space="preserve"> This was supported by the PBAC.</w:t>
      </w:r>
    </w:p>
    <w:p w:rsidR="00AE1707" w:rsidRPr="001811A6" w:rsidRDefault="00AE1707" w:rsidP="00A77519">
      <w:pPr>
        <w:pStyle w:val="ListParagraph"/>
      </w:pPr>
    </w:p>
    <w:p w:rsidR="00AE1707" w:rsidRPr="001811A6" w:rsidRDefault="00AE1707" w:rsidP="00A77519">
      <w:pPr>
        <w:numPr>
          <w:ilvl w:val="1"/>
          <w:numId w:val="1"/>
        </w:numPr>
        <w:contextualSpacing/>
      </w:pPr>
      <w:r w:rsidRPr="001811A6">
        <w:rPr>
          <w:bCs/>
          <w:szCs w:val="22"/>
        </w:rPr>
        <w:t xml:space="preserve">The PBAC considered that the data for the surgical comparator from a published retrospective study (Schwipper) most likely overestimated the disfigurement rate due to the age of the data and the subsequent advancements in surgical procedures. The </w:t>
      </w:r>
      <w:r w:rsidRPr="001811A6">
        <w:rPr>
          <w:bCs/>
          <w:szCs w:val="22"/>
        </w:rPr>
        <w:lastRenderedPageBreak/>
        <w:t>PBAC acknowledged that this was a rare subgroup of the disease and that no better data would be expected.</w:t>
      </w:r>
    </w:p>
    <w:p w:rsidR="00B60939" w:rsidRPr="001811A6" w:rsidRDefault="00B60939" w:rsidP="00705395">
      <w:pPr>
        <w:pStyle w:val="ListParagraph"/>
      </w:pPr>
    </w:p>
    <w:p w:rsidR="00B60939" w:rsidRPr="001811A6" w:rsidRDefault="00B60939" w:rsidP="003C1346">
      <w:pPr>
        <w:pStyle w:val="Heading2"/>
      </w:pPr>
      <w:bookmarkStart w:id="22" w:name="_Toc436831774"/>
      <w:bookmarkStart w:id="23" w:name="_Toc441050279"/>
      <w:r w:rsidRPr="001811A6">
        <w:t>Clinical claim</w:t>
      </w:r>
      <w:bookmarkEnd w:id="22"/>
      <w:bookmarkEnd w:id="23"/>
    </w:p>
    <w:p w:rsidR="00B60939" w:rsidRPr="001811A6" w:rsidRDefault="00B60939" w:rsidP="00B60939">
      <w:pPr>
        <w:ind w:left="720" w:hanging="720"/>
        <w:rPr>
          <w:szCs w:val="22"/>
        </w:rPr>
      </w:pPr>
    </w:p>
    <w:p w:rsidR="006B0813" w:rsidRPr="001811A6" w:rsidRDefault="00705395" w:rsidP="00B4462B">
      <w:pPr>
        <w:pStyle w:val="ListParagraph"/>
        <w:widowControl/>
        <w:numPr>
          <w:ilvl w:val="1"/>
          <w:numId w:val="1"/>
        </w:numPr>
        <w:rPr>
          <w:szCs w:val="22"/>
        </w:rPr>
      </w:pPr>
      <w:r w:rsidRPr="001811A6">
        <w:t>Based on a naïve indirect comparison with no common comparator, t</w:t>
      </w:r>
      <w:r w:rsidR="006B0813" w:rsidRPr="001811A6">
        <w:t xml:space="preserve">he submission described vismodegib as equivalent in terms of comparative effectiveness and superior in terms of comparative safety over surgery. This claim </w:t>
      </w:r>
      <w:r w:rsidR="00D46CCF" w:rsidRPr="001811A6">
        <w:t xml:space="preserve">was </w:t>
      </w:r>
      <w:r w:rsidR="006B0813" w:rsidRPr="001811A6">
        <w:t>not adequately supported.</w:t>
      </w:r>
    </w:p>
    <w:p w:rsidR="006B0813" w:rsidRPr="001811A6" w:rsidRDefault="006B0813" w:rsidP="00B4462B">
      <w:pPr>
        <w:pStyle w:val="ListParagraph"/>
        <w:numPr>
          <w:ilvl w:val="0"/>
          <w:numId w:val="7"/>
        </w:numPr>
      </w:pPr>
      <w:r w:rsidRPr="001811A6">
        <w:t xml:space="preserve">The evidence presented in the submission </w:t>
      </w:r>
      <w:r w:rsidR="004B695E" w:rsidRPr="001811A6">
        <w:t xml:space="preserve">for vismodegib and surgery </w:t>
      </w:r>
      <w:r w:rsidRPr="001811A6">
        <w:t xml:space="preserve">was </w:t>
      </w:r>
      <w:r w:rsidR="00673D34" w:rsidRPr="001811A6">
        <w:t>not comparable</w:t>
      </w:r>
      <w:r w:rsidR="00BB599D" w:rsidRPr="001811A6">
        <w:t>.</w:t>
      </w:r>
    </w:p>
    <w:p w:rsidR="000A421E" w:rsidRPr="001811A6" w:rsidRDefault="000A421E" w:rsidP="00B4462B">
      <w:pPr>
        <w:pStyle w:val="ListParagraph"/>
        <w:numPr>
          <w:ilvl w:val="0"/>
          <w:numId w:val="7"/>
        </w:numPr>
      </w:pPr>
      <w:r w:rsidRPr="001811A6">
        <w:t xml:space="preserve">The </w:t>
      </w:r>
      <w:r w:rsidR="00921617">
        <w:t xml:space="preserve">disfigurement rate associated with surgery was likely to be over-estimated. The </w:t>
      </w:r>
      <w:r w:rsidRPr="001811A6">
        <w:t xml:space="preserve">surgical study was based on data collected from surgical cases </w:t>
      </w:r>
      <w:r w:rsidR="00746708" w:rsidRPr="001811A6">
        <w:rPr>
          <w:szCs w:val="22"/>
        </w:rPr>
        <w:t xml:space="preserve">greater than or equal to </w:t>
      </w:r>
      <w:r w:rsidRPr="001811A6">
        <w:t xml:space="preserve">18 years ago; more effective surgical techniques and improved health care </w:t>
      </w:r>
      <w:r w:rsidR="00746708" w:rsidRPr="001811A6">
        <w:t>might</w:t>
      </w:r>
      <w:r w:rsidRPr="001811A6">
        <w:t xml:space="preserve"> have been available when the vismodegib data was collected.</w:t>
      </w:r>
      <w:r w:rsidR="00B240E9" w:rsidRPr="001811A6">
        <w:t xml:space="preserve"> The PSCR (p.2) argued that there have been no advances in surgical treatment during this time, noting that </w:t>
      </w:r>
      <w:r w:rsidR="00443B66" w:rsidRPr="001811A6">
        <w:t>Mohs surgery</w:t>
      </w:r>
      <w:r w:rsidR="00B240E9" w:rsidRPr="001811A6">
        <w:t xml:space="preserve">, which is now the standard of care, </w:t>
      </w:r>
      <w:r w:rsidR="00443B66" w:rsidRPr="001811A6">
        <w:t xml:space="preserve">was available at the time </w:t>
      </w:r>
      <w:r w:rsidR="00B240E9" w:rsidRPr="001811A6">
        <w:t>of data collection</w:t>
      </w:r>
      <w:r w:rsidR="00FF46F1" w:rsidRPr="001811A6">
        <w:t xml:space="preserve">. </w:t>
      </w:r>
      <w:r w:rsidR="00127AB9" w:rsidRPr="001811A6">
        <w:t xml:space="preserve">The ESC noted that the use of Mohs surgery has greatly increased since the time of the data </w:t>
      </w:r>
      <w:r w:rsidR="00D14094" w:rsidRPr="001811A6">
        <w:t>collection and consider this an area of uncertainty</w:t>
      </w:r>
      <w:r w:rsidR="00883FF0" w:rsidRPr="001811A6">
        <w:t>, increased use of Mohs surgery because it was better will favour vismodegib</w:t>
      </w:r>
      <w:r w:rsidR="00D14094" w:rsidRPr="001811A6">
        <w:t>.</w:t>
      </w:r>
    </w:p>
    <w:p w:rsidR="006B0813" w:rsidRPr="001811A6" w:rsidRDefault="006B0813" w:rsidP="00B4462B">
      <w:pPr>
        <w:pStyle w:val="ListParagraph"/>
        <w:numPr>
          <w:ilvl w:val="0"/>
          <w:numId w:val="7"/>
        </w:numPr>
      </w:pPr>
      <w:r w:rsidRPr="001811A6">
        <w:t>Using the available evidence</w:t>
      </w:r>
      <w:r w:rsidR="004B695E" w:rsidRPr="001811A6">
        <w:t>,</w:t>
      </w:r>
      <w:r w:rsidRPr="001811A6">
        <w:t xml:space="preserve"> it </w:t>
      </w:r>
      <w:r w:rsidR="00D46CCF" w:rsidRPr="001811A6">
        <w:t xml:space="preserve">was </w:t>
      </w:r>
      <w:r w:rsidRPr="001811A6">
        <w:t>likely that surgery had superior efficacy in terms of response rate</w:t>
      </w:r>
      <w:r w:rsidR="00BB599D" w:rsidRPr="001811A6">
        <w:t>.</w:t>
      </w:r>
    </w:p>
    <w:p w:rsidR="00E13EAC" w:rsidRPr="001811A6" w:rsidRDefault="00E13EAC" w:rsidP="00E13EAC">
      <w:pPr>
        <w:pStyle w:val="ListParagraph"/>
        <w:ind w:left="1440"/>
      </w:pPr>
    </w:p>
    <w:p w:rsidR="00E13EAC" w:rsidRPr="001811A6" w:rsidRDefault="00E13EAC" w:rsidP="00A77519">
      <w:pPr>
        <w:pStyle w:val="ListParagraph"/>
        <w:widowControl/>
        <w:numPr>
          <w:ilvl w:val="1"/>
          <w:numId w:val="1"/>
        </w:numPr>
        <w:rPr>
          <w:bCs/>
          <w:szCs w:val="22"/>
        </w:rPr>
      </w:pPr>
      <w:bookmarkStart w:id="24" w:name="_Toc436831775"/>
      <w:r w:rsidRPr="001811A6">
        <w:rPr>
          <w:bCs/>
          <w:szCs w:val="22"/>
        </w:rPr>
        <w:t>The PBAC considered that the claim of non-inferior comparative effectiveness was not adequately supported by the data.</w:t>
      </w:r>
      <w:r w:rsidR="002D2B71" w:rsidRPr="001811A6">
        <w:rPr>
          <w:bCs/>
          <w:szCs w:val="22"/>
        </w:rPr>
        <w:t xml:space="preserve"> The PBAC</w:t>
      </w:r>
      <w:r w:rsidR="00B90BFA" w:rsidRPr="001811A6">
        <w:rPr>
          <w:bCs/>
          <w:szCs w:val="22"/>
        </w:rPr>
        <w:t xml:space="preserve"> indicated</w:t>
      </w:r>
      <w:r w:rsidR="002D2B71" w:rsidRPr="001811A6">
        <w:rPr>
          <w:bCs/>
          <w:szCs w:val="22"/>
        </w:rPr>
        <w:t xml:space="preserve"> that there was a clinical place for vismodegib in a highly selected patient group with very large destructive BCCs in very difficult anatomical location</w:t>
      </w:r>
      <w:r w:rsidR="00B90BFA" w:rsidRPr="001811A6">
        <w:rPr>
          <w:bCs/>
          <w:szCs w:val="22"/>
        </w:rPr>
        <w:t>s</w:t>
      </w:r>
      <w:r w:rsidR="00B12C50" w:rsidRPr="001811A6">
        <w:rPr>
          <w:bCs/>
          <w:szCs w:val="22"/>
        </w:rPr>
        <w:t xml:space="preserve"> that </w:t>
      </w:r>
      <w:r w:rsidR="002D2B71" w:rsidRPr="001811A6">
        <w:rPr>
          <w:bCs/>
          <w:szCs w:val="22"/>
        </w:rPr>
        <w:t>would not be suitable for surgery</w:t>
      </w:r>
      <w:r w:rsidR="00B12C50" w:rsidRPr="001811A6">
        <w:rPr>
          <w:bCs/>
          <w:szCs w:val="22"/>
        </w:rPr>
        <w:t xml:space="preserve"> and </w:t>
      </w:r>
      <w:r w:rsidR="002D2B71" w:rsidRPr="001811A6">
        <w:rPr>
          <w:bCs/>
          <w:szCs w:val="22"/>
        </w:rPr>
        <w:t>radiotherapy</w:t>
      </w:r>
      <w:r w:rsidR="00B12C50" w:rsidRPr="001811A6">
        <w:rPr>
          <w:bCs/>
          <w:szCs w:val="22"/>
        </w:rPr>
        <w:t>.</w:t>
      </w:r>
    </w:p>
    <w:p w:rsidR="00E13EAC" w:rsidRPr="001811A6" w:rsidRDefault="00E13EAC" w:rsidP="00E13EAC">
      <w:pPr>
        <w:pStyle w:val="ListParagraph"/>
        <w:widowControl/>
        <w:jc w:val="left"/>
        <w:rPr>
          <w:bCs/>
          <w:szCs w:val="22"/>
          <w:highlight w:val="yellow"/>
        </w:rPr>
      </w:pPr>
    </w:p>
    <w:p w:rsidR="00E13EAC" w:rsidRPr="001811A6" w:rsidRDefault="00E13EAC" w:rsidP="00E13EAC">
      <w:pPr>
        <w:pStyle w:val="ListParagraph"/>
        <w:widowControl/>
        <w:numPr>
          <w:ilvl w:val="1"/>
          <w:numId w:val="1"/>
        </w:numPr>
        <w:rPr>
          <w:szCs w:val="22"/>
        </w:rPr>
      </w:pPr>
      <w:r w:rsidRPr="001811A6">
        <w:rPr>
          <w:szCs w:val="22"/>
        </w:rPr>
        <w:t>The PBAC considered that the claim of superior comparative safety was not adequately supported by the data.</w:t>
      </w:r>
      <w:r w:rsidR="00B12C50" w:rsidRPr="001811A6">
        <w:rPr>
          <w:szCs w:val="22"/>
        </w:rPr>
        <w:t xml:space="preserve"> The PBAC noted the high incidence of </w:t>
      </w:r>
      <w:r w:rsidR="00B90BFA" w:rsidRPr="001811A6">
        <w:rPr>
          <w:szCs w:val="22"/>
        </w:rPr>
        <w:t>serious AEs,</w:t>
      </w:r>
      <w:r w:rsidR="00B12C50" w:rsidRPr="001811A6">
        <w:rPr>
          <w:szCs w:val="22"/>
        </w:rPr>
        <w:t xml:space="preserve"> the increased risk of further malignancies</w:t>
      </w:r>
      <w:r w:rsidR="00D36103">
        <w:rPr>
          <w:szCs w:val="22"/>
        </w:rPr>
        <w:t>,</w:t>
      </w:r>
      <w:r w:rsidR="00B90BFA" w:rsidRPr="001811A6">
        <w:rPr>
          <w:szCs w:val="22"/>
        </w:rPr>
        <w:t xml:space="preserve"> and the teratogenic nature of vismodegib</w:t>
      </w:r>
      <w:r w:rsidR="00B12C50" w:rsidRPr="001811A6">
        <w:rPr>
          <w:szCs w:val="22"/>
        </w:rPr>
        <w:t>.</w:t>
      </w:r>
    </w:p>
    <w:p w:rsidR="00804AE6" w:rsidRPr="001811A6" w:rsidRDefault="00804AE6" w:rsidP="00592CFB"/>
    <w:p w:rsidR="00B60939" w:rsidRPr="001811A6" w:rsidRDefault="00B60939" w:rsidP="003C1346">
      <w:pPr>
        <w:pStyle w:val="Heading2"/>
      </w:pPr>
      <w:bookmarkStart w:id="25" w:name="_Toc441050280"/>
      <w:r w:rsidRPr="001811A6">
        <w:t>Economic analysis</w:t>
      </w:r>
      <w:bookmarkEnd w:id="24"/>
      <w:bookmarkEnd w:id="25"/>
      <w:r w:rsidR="00491B3A" w:rsidRPr="001811A6">
        <w:t xml:space="preserve"> </w:t>
      </w:r>
    </w:p>
    <w:p w:rsidR="00B60939" w:rsidRPr="001811A6" w:rsidRDefault="00B60939" w:rsidP="00B60939">
      <w:pPr>
        <w:ind w:left="720" w:hanging="720"/>
        <w:rPr>
          <w:szCs w:val="22"/>
        </w:rPr>
      </w:pPr>
    </w:p>
    <w:p w:rsidR="00275C5A" w:rsidRPr="001811A6" w:rsidRDefault="00BB599D" w:rsidP="00B4462B">
      <w:pPr>
        <w:pStyle w:val="ListParagraph"/>
        <w:widowControl/>
        <w:numPr>
          <w:ilvl w:val="1"/>
          <w:numId w:val="1"/>
        </w:numPr>
        <w:rPr>
          <w:szCs w:val="22"/>
        </w:rPr>
      </w:pPr>
      <w:r w:rsidRPr="001811A6">
        <w:t>The submission presen</w:t>
      </w:r>
      <w:r w:rsidR="00673D34" w:rsidRPr="001811A6">
        <w:t>ted a modelled cost-</w:t>
      </w:r>
      <w:r w:rsidRPr="001811A6">
        <w:t>effectiveness analysis using cost per disfigurement-free responder for the economic evaluation</w:t>
      </w:r>
      <w:r w:rsidR="00993B71" w:rsidRPr="001811A6">
        <w:t xml:space="preserve">. The </w:t>
      </w:r>
      <w:r w:rsidR="00851790" w:rsidRPr="001811A6">
        <w:t xml:space="preserve">submission provided two economic evaluations in parallel; one without any </w:t>
      </w:r>
      <w:r w:rsidR="00746708" w:rsidRPr="001811A6">
        <w:t>risk-sharing</w:t>
      </w:r>
      <w:r w:rsidR="00C622C4" w:rsidRPr="001811A6">
        <w:t xml:space="preserve"> </w:t>
      </w:r>
      <w:r w:rsidR="000A421E" w:rsidRPr="001811A6">
        <w:t>agreement</w:t>
      </w:r>
      <w:r w:rsidR="00851790" w:rsidRPr="001811A6">
        <w:t xml:space="preserve">, and one with a risk-sharing </w:t>
      </w:r>
      <w:r w:rsidR="000A421E" w:rsidRPr="001811A6">
        <w:t xml:space="preserve">agreement </w:t>
      </w:r>
      <w:r w:rsidR="00851790" w:rsidRPr="001811A6">
        <w:t xml:space="preserve">capping the number of PBS-subsidised packs of vismodegib </w:t>
      </w:r>
      <w:r w:rsidR="00544D61" w:rsidRPr="001811A6">
        <w:t xml:space="preserve">(to </w:t>
      </w:r>
      <w:r w:rsidR="00950905">
        <w:rPr>
          <w:noProof/>
          <w:color w:val="000000"/>
          <w:highlight w:val="black"/>
        </w:rPr>
        <w:t xml:space="preserve">''''''''''' </w:t>
      </w:r>
      <w:r w:rsidR="00544D61" w:rsidRPr="001811A6">
        <w:t xml:space="preserve">packs) </w:t>
      </w:r>
      <w:r w:rsidR="00851790" w:rsidRPr="001811A6">
        <w:t>per episode of care</w:t>
      </w:r>
      <w:r w:rsidR="008133FC" w:rsidRPr="001811A6">
        <w:t xml:space="preserve"> (EOC)</w:t>
      </w:r>
      <w:r w:rsidR="00851790" w:rsidRPr="001811A6">
        <w:t xml:space="preserve">. </w:t>
      </w:r>
    </w:p>
    <w:p w:rsidR="003F04E9" w:rsidRPr="001811A6" w:rsidRDefault="003F04E9">
      <w:pPr>
        <w:widowControl/>
        <w:jc w:val="left"/>
        <w:rPr>
          <w:rStyle w:val="CommentReference"/>
        </w:rPr>
      </w:pPr>
    </w:p>
    <w:p w:rsidR="000F6687" w:rsidRDefault="000F6687" w:rsidP="005D044D">
      <w:pPr>
        <w:ind w:firstLine="720"/>
        <w:rPr>
          <w:rStyle w:val="CommentReference"/>
        </w:rPr>
      </w:pPr>
      <w:r>
        <w:rPr>
          <w:rStyle w:val="CommentReference"/>
        </w:rPr>
        <w:br w:type="page"/>
      </w:r>
    </w:p>
    <w:p w:rsidR="00275C5A" w:rsidRPr="001811A6" w:rsidRDefault="00275C5A" w:rsidP="005D044D">
      <w:pPr>
        <w:ind w:firstLine="720"/>
        <w:rPr>
          <w:rStyle w:val="CommentReference"/>
        </w:rPr>
      </w:pPr>
      <w:r w:rsidRPr="001811A6">
        <w:rPr>
          <w:rStyle w:val="CommentReference"/>
        </w:rPr>
        <w:lastRenderedPageBreak/>
        <w:t xml:space="preserve">Table </w:t>
      </w:r>
      <w:r w:rsidR="007E2928" w:rsidRPr="001811A6">
        <w:rPr>
          <w:rStyle w:val="CommentReference"/>
        </w:rPr>
        <w:t>6</w:t>
      </w:r>
      <w:r w:rsidRPr="001811A6">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6219"/>
      </w:tblGrid>
      <w:tr w:rsidR="00275C5A" w:rsidRPr="001811A6" w:rsidTr="005951C1">
        <w:tc>
          <w:tcPr>
            <w:tcW w:w="1274" w:type="pct"/>
            <w:shd w:val="clear" w:color="auto" w:fill="auto"/>
            <w:vAlign w:val="center"/>
          </w:tcPr>
          <w:p w:rsidR="00275C5A" w:rsidRPr="001811A6" w:rsidRDefault="00275C5A" w:rsidP="00D110BD">
            <w:pPr>
              <w:jc w:val="left"/>
              <w:rPr>
                <w:rFonts w:ascii="Arial Narrow" w:hAnsi="Arial Narrow"/>
                <w:b/>
                <w:sz w:val="20"/>
              </w:rPr>
            </w:pPr>
            <w:r w:rsidRPr="001811A6">
              <w:rPr>
                <w:rFonts w:ascii="Arial Narrow" w:hAnsi="Arial Narrow"/>
                <w:b/>
                <w:sz w:val="20"/>
              </w:rPr>
              <w:t>Component</w:t>
            </w:r>
          </w:p>
        </w:tc>
        <w:tc>
          <w:tcPr>
            <w:tcW w:w="3726" w:type="pct"/>
            <w:shd w:val="clear" w:color="auto" w:fill="auto"/>
            <w:vAlign w:val="center"/>
          </w:tcPr>
          <w:p w:rsidR="00275C5A" w:rsidRPr="001811A6" w:rsidRDefault="00275C5A" w:rsidP="00D110BD">
            <w:pPr>
              <w:jc w:val="center"/>
              <w:rPr>
                <w:rFonts w:ascii="Arial Narrow" w:hAnsi="Arial Narrow"/>
                <w:b/>
                <w:sz w:val="20"/>
              </w:rPr>
            </w:pPr>
            <w:r w:rsidRPr="001811A6">
              <w:rPr>
                <w:rFonts w:ascii="Arial Narrow" w:hAnsi="Arial Narrow"/>
                <w:b/>
                <w:sz w:val="20"/>
              </w:rPr>
              <w:t>Summary</w:t>
            </w:r>
          </w:p>
        </w:tc>
      </w:tr>
      <w:tr w:rsidR="00275C5A" w:rsidRPr="001811A6" w:rsidTr="005951C1">
        <w:tc>
          <w:tcPr>
            <w:tcW w:w="1274" w:type="pct"/>
            <w:shd w:val="clear" w:color="auto" w:fill="auto"/>
            <w:vAlign w:val="center"/>
          </w:tcPr>
          <w:p w:rsidR="00275C5A" w:rsidRPr="001811A6" w:rsidRDefault="00275C5A" w:rsidP="00D110BD">
            <w:pPr>
              <w:jc w:val="left"/>
              <w:rPr>
                <w:rFonts w:ascii="Arial Narrow" w:hAnsi="Arial Narrow"/>
                <w:sz w:val="20"/>
              </w:rPr>
            </w:pPr>
            <w:r w:rsidRPr="001811A6">
              <w:rPr>
                <w:rFonts w:ascii="Arial Narrow" w:hAnsi="Arial Narrow"/>
                <w:sz w:val="20"/>
              </w:rPr>
              <w:t>Time horizon</w:t>
            </w:r>
          </w:p>
        </w:tc>
        <w:tc>
          <w:tcPr>
            <w:tcW w:w="3726" w:type="pct"/>
            <w:shd w:val="clear" w:color="auto" w:fill="auto"/>
            <w:vAlign w:val="center"/>
          </w:tcPr>
          <w:p w:rsidR="00275C5A" w:rsidRPr="001811A6" w:rsidRDefault="00BB599D" w:rsidP="005951C1">
            <w:pPr>
              <w:jc w:val="left"/>
              <w:rPr>
                <w:rFonts w:ascii="Arial Narrow" w:hAnsi="Arial Narrow"/>
                <w:sz w:val="20"/>
              </w:rPr>
            </w:pPr>
            <w:r w:rsidRPr="001811A6">
              <w:rPr>
                <w:rFonts w:ascii="Arial Narrow" w:hAnsi="Arial Narrow"/>
                <w:sz w:val="20"/>
              </w:rPr>
              <w:t>4</w:t>
            </w:r>
            <w:r w:rsidR="00275C5A" w:rsidRPr="001811A6">
              <w:rPr>
                <w:rFonts w:ascii="Arial Narrow" w:hAnsi="Arial Narrow"/>
                <w:sz w:val="20"/>
              </w:rPr>
              <w:t xml:space="preserve"> years in the model base case versus </w:t>
            </w:r>
            <w:r w:rsidRPr="001811A6">
              <w:rPr>
                <w:rFonts w:ascii="Arial Narrow" w:hAnsi="Arial Narrow"/>
                <w:sz w:val="20"/>
              </w:rPr>
              <w:t>12.7 months</w:t>
            </w:r>
            <w:r w:rsidR="00275C5A" w:rsidRPr="001811A6">
              <w:rPr>
                <w:rFonts w:ascii="Arial Narrow" w:hAnsi="Arial Narrow"/>
                <w:sz w:val="20"/>
              </w:rPr>
              <w:t xml:space="preserve"> in trial</w:t>
            </w:r>
          </w:p>
        </w:tc>
      </w:tr>
      <w:tr w:rsidR="00BB599D" w:rsidRPr="001811A6" w:rsidTr="005951C1">
        <w:tc>
          <w:tcPr>
            <w:tcW w:w="1274" w:type="pct"/>
            <w:shd w:val="clear" w:color="auto" w:fill="auto"/>
            <w:vAlign w:val="center"/>
          </w:tcPr>
          <w:p w:rsidR="00BB599D" w:rsidRPr="001811A6" w:rsidRDefault="00BB599D" w:rsidP="00D110BD">
            <w:pPr>
              <w:jc w:val="left"/>
              <w:rPr>
                <w:rFonts w:ascii="Arial Narrow" w:hAnsi="Arial Narrow"/>
                <w:sz w:val="20"/>
              </w:rPr>
            </w:pPr>
            <w:r w:rsidRPr="001811A6">
              <w:rPr>
                <w:rFonts w:ascii="Arial Narrow" w:hAnsi="Arial Narrow"/>
                <w:sz w:val="20"/>
              </w:rPr>
              <w:t>Outcomes</w:t>
            </w:r>
          </w:p>
        </w:tc>
        <w:tc>
          <w:tcPr>
            <w:tcW w:w="3726" w:type="pct"/>
            <w:shd w:val="clear" w:color="auto" w:fill="auto"/>
          </w:tcPr>
          <w:p w:rsidR="00BB599D" w:rsidRPr="001811A6" w:rsidRDefault="00BB599D" w:rsidP="005951C1">
            <w:pPr>
              <w:keepNext/>
              <w:widowControl/>
              <w:jc w:val="left"/>
              <w:rPr>
                <w:rFonts w:ascii="Arial Narrow" w:hAnsi="Arial Narrow"/>
                <w:sz w:val="20"/>
              </w:rPr>
            </w:pPr>
            <w:r w:rsidRPr="001811A6">
              <w:rPr>
                <w:rFonts w:ascii="Arial Narrow" w:hAnsi="Arial Narrow"/>
                <w:sz w:val="20"/>
              </w:rPr>
              <w:t>Disfigurement</w:t>
            </w:r>
            <w:r w:rsidR="00A266C6" w:rsidRPr="001811A6">
              <w:rPr>
                <w:rFonts w:ascii="Arial Narrow" w:hAnsi="Arial Narrow"/>
                <w:sz w:val="20"/>
              </w:rPr>
              <w:t>-</w:t>
            </w:r>
            <w:r w:rsidRPr="001811A6">
              <w:rPr>
                <w:rFonts w:ascii="Arial Narrow" w:hAnsi="Arial Narrow"/>
                <w:sz w:val="20"/>
              </w:rPr>
              <w:t>free</w:t>
            </w:r>
            <w:r w:rsidR="005951C1" w:rsidRPr="001811A6">
              <w:rPr>
                <w:rFonts w:ascii="Arial Narrow" w:hAnsi="Arial Narrow"/>
                <w:sz w:val="20"/>
              </w:rPr>
              <w:t xml:space="preserve"> responder = disfigurement rate </w:t>
            </w:r>
            <w:r w:rsidRPr="001811A6">
              <w:rPr>
                <w:rFonts w:ascii="Arial Narrow" w:hAnsi="Arial Narrow"/>
                <w:sz w:val="20"/>
              </w:rPr>
              <w:t>x</w:t>
            </w:r>
            <w:r w:rsidR="005951C1" w:rsidRPr="001811A6">
              <w:rPr>
                <w:rFonts w:ascii="Arial Narrow" w:hAnsi="Arial Narrow"/>
                <w:sz w:val="20"/>
              </w:rPr>
              <w:t> </w:t>
            </w:r>
            <w:r w:rsidRPr="001811A6">
              <w:rPr>
                <w:rFonts w:ascii="Arial Narrow" w:hAnsi="Arial Narrow"/>
                <w:sz w:val="20"/>
              </w:rPr>
              <w:t>responder rate</w:t>
            </w:r>
          </w:p>
        </w:tc>
      </w:tr>
      <w:tr w:rsidR="00BB599D" w:rsidRPr="001811A6" w:rsidTr="005951C1">
        <w:tc>
          <w:tcPr>
            <w:tcW w:w="1274" w:type="pct"/>
            <w:shd w:val="clear" w:color="auto" w:fill="auto"/>
            <w:vAlign w:val="center"/>
          </w:tcPr>
          <w:p w:rsidR="00BB599D" w:rsidRPr="001811A6" w:rsidRDefault="00BB599D" w:rsidP="005951C1">
            <w:pPr>
              <w:jc w:val="left"/>
              <w:rPr>
                <w:rFonts w:ascii="Arial Narrow" w:hAnsi="Arial Narrow"/>
                <w:sz w:val="20"/>
              </w:rPr>
            </w:pPr>
            <w:r w:rsidRPr="001811A6">
              <w:rPr>
                <w:rFonts w:ascii="Arial Narrow" w:hAnsi="Arial Narrow"/>
                <w:sz w:val="20"/>
              </w:rPr>
              <w:t>Methods used to generate results</w:t>
            </w:r>
          </w:p>
        </w:tc>
        <w:tc>
          <w:tcPr>
            <w:tcW w:w="3726" w:type="pct"/>
            <w:shd w:val="clear" w:color="auto" w:fill="auto"/>
          </w:tcPr>
          <w:p w:rsidR="00BB599D" w:rsidRPr="001811A6" w:rsidRDefault="00BB599D" w:rsidP="00993B71">
            <w:pPr>
              <w:keepNext/>
              <w:widowControl/>
              <w:rPr>
                <w:rFonts w:ascii="Arial Narrow" w:hAnsi="Arial Narrow"/>
                <w:sz w:val="20"/>
              </w:rPr>
            </w:pPr>
            <w:r w:rsidRPr="001811A6">
              <w:rPr>
                <w:rFonts w:ascii="Arial Narrow" w:hAnsi="Arial Narrow"/>
                <w:sz w:val="20"/>
              </w:rPr>
              <w:t>Kaplan Meier estimates</w:t>
            </w:r>
          </w:p>
        </w:tc>
      </w:tr>
      <w:tr w:rsidR="00BB599D" w:rsidRPr="001811A6" w:rsidTr="005951C1">
        <w:tc>
          <w:tcPr>
            <w:tcW w:w="1274" w:type="pct"/>
            <w:shd w:val="clear" w:color="auto" w:fill="auto"/>
            <w:vAlign w:val="center"/>
          </w:tcPr>
          <w:p w:rsidR="00BB599D" w:rsidRPr="001811A6" w:rsidRDefault="00BB599D" w:rsidP="00D110BD">
            <w:pPr>
              <w:jc w:val="left"/>
              <w:rPr>
                <w:rFonts w:ascii="Arial Narrow" w:hAnsi="Arial Narrow"/>
                <w:sz w:val="20"/>
              </w:rPr>
            </w:pPr>
            <w:r w:rsidRPr="001811A6">
              <w:rPr>
                <w:rFonts w:ascii="Arial Narrow" w:hAnsi="Arial Narrow"/>
                <w:sz w:val="20"/>
              </w:rPr>
              <w:t>Cycle length</w:t>
            </w:r>
          </w:p>
        </w:tc>
        <w:tc>
          <w:tcPr>
            <w:tcW w:w="3726" w:type="pct"/>
            <w:shd w:val="clear" w:color="auto" w:fill="auto"/>
            <w:vAlign w:val="center"/>
          </w:tcPr>
          <w:p w:rsidR="00BB599D" w:rsidRPr="001811A6" w:rsidRDefault="00BB599D" w:rsidP="00BB599D">
            <w:pPr>
              <w:jc w:val="left"/>
              <w:rPr>
                <w:rFonts w:ascii="Arial Narrow" w:hAnsi="Arial Narrow"/>
                <w:sz w:val="20"/>
              </w:rPr>
            </w:pPr>
            <w:r w:rsidRPr="001811A6">
              <w:rPr>
                <w:rFonts w:ascii="Arial Narrow" w:hAnsi="Arial Narrow"/>
                <w:sz w:val="20"/>
              </w:rPr>
              <w:t>1 week</w:t>
            </w:r>
          </w:p>
        </w:tc>
      </w:tr>
      <w:tr w:rsidR="00BB599D" w:rsidRPr="001811A6" w:rsidTr="005951C1">
        <w:tc>
          <w:tcPr>
            <w:tcW w:w="1274" w:type="pct"/>
            <w:shd w:val="clear" w:color="auto" w:fill="auto"/>
            <w:vAlign w:val="center"/>
          </w:tcPr>
          <w:p w:rsidR="00BB599D" w:rsidRPr="001811A6" w:rsidRDefault="00BB599D" w:rsidP="00D110BD">
            <w:pPr>
              <w:jc w:val="left"/>
              <w:rPr>
                <w:rFonts w:ascii="Arial Narrow" w:hAnsi="Arial Narrow"/>
                <w:sz w:val="20"/>
              </w:rPr>
            </w:pPr>
            <w:r w:rsidRPr="001811A6">
              <w:rPr>
                <w:rFonts w:ascii="Arial Narrow" w:hAnsi="Arial Narrow"/>
                <w:sz w:val="20"/>
              </w:rPr>
              <w:t>Transition probabilities</w:t>
            </w:r>
          </w:p>
        </w:tc>
        <w:tc>
          <w:tcPr>
            <w:tcW w:w="3726" w:type="pct"/>
            <w:shd w:val="clear" w:color="auto" w:fill="auto"/>
            <w:vAlign w:val="center"/>
          </w:tcPr>
          <w:p w:rsidR="00BB599D" w:rsidRPr="001811A6" w:rsidRDefault="00BB599D" w:rsidP="00D110BD">
            <w:pPr>
              <w:jc w:val="left"/>
              <w:rPr>
                <w:rFonts w:ascii="Arial Narrow" w:hAnsi="Arial Narrow"/>
                <w:sz w:val="20"/>
              </w:rPr>
            </w:pPr>
            <w:r w:rsidRPr="001811A6">
              <w:rPr>
                <w:rFonts w:ascii="Arial Narrow" w:hAnsi="Arial Narrow"/>
                <w:sz w:val="20"/>
              </w:rPr>
              <w:t>None</w:t>
            </w:r>
          </w:p>
        </w:tc>
      </w:tr>
    </w:tbl>
    <w:p w:rsidR="00275C5A" w:rsidRPr="001811A6" w:rsidRDefault="00275C5A" w:rsidP="005D044D">
      <w:pPr>
        <w:pStyle w:val="TableFooter"/>
        <w:ind w:firstLine="720"/>
      </w:pPr>
      <w:r w:rsidRPr="001811A6">
        <w:t xml:space="preserve">Source: </w:t>
      </w:r>
      <w:r w:rsidR="00746708" w:rsidRPr="001811A6">
        <w:rPr>
          <w:i/>
        </w:rPr>
        <w:t>Compiled during the evaluation</w:t>
      </w:r>
    </w:p>
    <w:p w:rsidR="00854E4E" w:rsidRPr="001811A6" w:rsidRDefault="00854E4E" w:rsidP="00275C5A">
      <w:pPr>
        <w:widowControl/>
        <w:rPr>
          <w:szCs w:val="22"/>
        </w:rPr>
      </w:pPr>
    </w:p>
    <w:p w:rsidR="00923864" w:rsidRPr="001811A6" w:rsidRDefault="00923864" w:rsidP="00B4462B">
      <w:pPr>
        <w:pStyle w:val="ListParagraph"/>
        <w:widowControl/>
        <w:numPr>
          <w:ilvl w:val="1"/>
          <w:numId w:val="1"/>
        </w:numPr>
      </w:pPr>
      <w:r w:rsidRPr="001811A6">
        <w:t>Table 7 presents the key drivers for the economic model.</w:t>
      </w:r>
    </w:p>
    <w:p w:rsidR="00275C5A" w:rsidRPr="001811A6" w:rsidRDefault="00275C5A" w:rsidP="00275C5A">
      <w:pPr>
        <w:widowControl/>
        <w:rPr>
          <w:szCs w:val="22"/>
        </w:rPr>
      </w:pPr>
    </w:p>
    <w:p w:rsidR="00D110BD" w:rsidRPr="001811A6" w:rsidRDefault="00D110BD" w:rsidP="005D044D">
      <w:pPr>
        <w:ind w:firstLine="720"/>
        <w:rPr>
          <w:rStyle w:val="CommentReference"/>
        </w:rPr>
      </w:pPr>
      <w:r w:rsidRPr="001811A6">
        <w:rPr>
          <w:rStyle w:val="CommentReference"/>
        </w:rPr>
        <w:t xml:space="preserve">Table </w:t>
      </w:r>
      <w:r w:rsidR="00923864" w:rsidRPr="001811A6">
        <w:rPr>
          <w:rStyle w:val="CommentReference"/>
        </w:rPr>
        <w:t>7</w:t>
      </w:r>
      <w:r w:rsidRPr="001811A6">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4393"/>
        <w:gridCol w:w="2250"/>
      </w:tblGrid>
      <w:tr w:rsidR="00D46CCF" w:rsidRPr="001811A6" w:rsidTr="00267F68">
        <w:trPr>
          <w:tblHeader/>
        </w:trPr>
        <w:tc>
          <w:tcPr>
            <w:tcW w:w="1020" w:type="pct"/>
            <w:shd w:val="clear" w:color="auto" w:fill="auto"/>
            <w:vAlign w:val="center"/>
          </w:tcPr>
          <w:p w:rsidR="00D110BD" w:rsidRPr="001811A6" w:rsidRDefault="00D110BD" w:rsidP="00D110BD">
            <w:pPr>
              <w:jc w:val="left"/>
              <w:rPr>
                <w:rFonts w:ascii="Arial Narrow" w:hAnsi="Arial Narrow"/>
                <w:b/>
                <w:sz w:val="20"/>
              </w:rPr>
            </w:pPr>
            <w:r w:rsidRPr="001811A6">
              <w:rPr>
                <w:rFonts w:ascii="Arial Narrow" w:hAnsi="Arial Narrow"/>
                <w:b/>
                <w:sz w:val="20"/>
              </w:rPr>
              <w:t>Description</w:t>
            </w:r>
          </w:p>
        </w:tc>
        <w:tc>
          <w:tcPr>
            <w:tcW w:w="2632" w:type="pct"/>
            <w:shd w:val="clear" w:color="auto" w:fill="auto"/>
            <w:vAlign w:val="center"/>
          </w:tcPr>
          <w:p w:rsidR="00D110BD" w:rsidRPr="001811A6" w:rsidRDefault="00D110BD" w:rsidP="00D110BD">
            <w:pPr>
              <w:jc w:val="center"/>
              <w:rPr>
                <w:rFonts w:ascii="Arial Narrow" w:hAnsi="Arial Narrow"/>
                <w:b/>
                <w:sz w:val="20"/>
              </w:rPr>
            </w:pPr>
            <w:r w:rsidRPr="001811A6">
              <w:rPr>
                <w:rFonts w:ascii="Arial Narrow" w:hAnsi="Arial Narrow"/>
                <w:b/>
                <w:sz w:val="20"/>
              </w:rPr>
              <w:t>Method/Value</w:t>
            </w:r>
          </w:p>
        </w:tc>
        <w:tc>
          <w:tcPr>
            <w:tcW w:w="1348" w:type="pct"/>
            <w:shd w:val="clear" w:color="auto" w:fill="auto"/>
            <w:vAlign w:val="center"/>
          </w:tcPr>
          <w:p w:rsidR="00D110BD" w:rsidRPr="001811A6" w:rsidRDefault="00D110BD" w:rsidP="00D110BD">
            <w:pPr>
              <w:jc w:val="center"/>
              <w:rPr>
                <w:rFonts w:ascii="Arial Narrow" w:hAnsi="Arial Narrow"/>
                <w:b/>
                <w:sz w:val="20"/>
              </w:rPr>
            </w:pPr>
            <w:r w:rsidRPr="001811A6">
              <w:rPr>
                <w:rFonts w:ascii="Arial Narrow" w:hAnsi="Arial Narrow"/>
                <w:b/>
                <w:sz w:val="20"/>
              </w:rPr>
              <w:t>Impact</w:t>
            </w:r>
          </w:p>
        </w:tc>
      </w:tr>
      <w:tr w:rsidR="00D46CCF" w:rsidRPr="001811A6" w:rsidTr="00267F68">
        <w:tc>
          <w:tcPr>
            <w:tcW w:w="1020" w:type="pct"/>
            <w:shd w:val="clear" w:color="auto" w:fill="auto"/>
            <w:vAlign w:val="center"/>
          </w:tcPr>
          <w:p w:rsidR="00D110BD" w:rsidRPr="001811A6" w:rsidRDefault="00A36DC1" w:rsidP="00D110BD">
            <w:pPr>
              <w:jc w:val="left"/>
              <w:rPr>
                <w:rFonts w:ascii="Arial Narrow" w:hAnsi="Arial Narrow"/>
                <w:sz w:val="20"/>
              </w:rPr>
            </w:pPr>
            <w:r w:rsidRPr="001811A6">
              <w:rPr>
                <w:rFonts w:ascii="Arial Narrow" w:hAnsi="Arial Narrow"/>
                <w:sz w:val="20"/>
              </w:rPr>
              <w:t>Response rate</w:t>
            </w:r>
          </w:p>
        </w:tc>
        <w:tc>
          <w:tcPr>
            <w:tcW w:w="2632" w:type="pct"/>
            <w:shd w:val="clear" w:color="auto" w:fill="auto"/>
            <w:vAlign w:val="center"/>
          </w:tcPr>
          <w:p w:rsidR="00D46CCF" w:rsidRPr="001811A6" w:rsidRDefault="00D46CCF" w:rsidP="000A421E">
            <w:pPr>
              <w:jc w:val="left"/>
              <w:rPr>
                <w:rFonts w:ascii="Arial Narrow" w:hAnsi="Arial Narrow"/>
                <w:sz w:val="20"/>
              </w:rPr>
            </w:pPr>
            <w:r w:rsidRPr="001811A6">
              <w:rPr>
                <w:rFonts w:ascii="Arial Narrow" w:hAnsi="Arial Narrow"/>
                <w:sz w:val="20"/>
                <w:u w:val="single"/>
              </w:rPr>
              <w:t>Vismodegib</w:t>
            </w:r>
            <w:r w:rsidRPr="001811A6">
              <w:rPr>
                <w:rFonts w:ascii="Arial Narrow" w:hAnsi="Arial Narrow"/>
                <w:sz w:val="20"/>
              </w:rPr>
              <w:t xml:space="preserve">: </w:t>
            </w:r>
            <w:r w:rsidR="00923864" w:rsidRPr="001811A6">
              <w:rPr>
                <w:rFonts w:ascii="Arial Narrow" w:hAnsi="Arial Narrow"/>
                <w:sz w:val="20"/>
              </w:rPr>
              <w:t>based on objective response rate from the STEVIE study</w:t>
            </w:r>
            <w:r w:rsidRPr="001811A6">
              <w:rPr>
                <w:rFonts w:ascii="Arial Narrow" w:hAnsi="Arial Narrow"/>
                <w:sz w:val="20"/>
              </w:rPr>
              <w:t>;</w:t>
            </w:r>
          </w:p>
          <w:p w:rsidR="00D110BD" w:rsidRPr="001811A6" w:rsidRDefault="00D46CCF" w:rsidP="000A421E">
            <w:pPr>
              <w:jc w:val="left"/>
              <w:rPr>
                <w:rFonts w:ascii="Arial Narrow" w:hAnsi="Arial Narrow"/>
                <w:sz w:val="20"/>
              </w:rPr>
            </w:pPr>
            <w:r w:rsidRPr="001811A6">
              <w:rPr>
                <w:rFonts w:ascii="Arial Narrow" w:hAnsi="Arial Narrow"/>
                <w:sz w:val="20"/>
                <w:u w:val="single"/>
              </w:rPr>
              <w:t>Surgery</w:t>
            </w:r>
            <w:r w:rsidRPr="001811A6">
              <w:rPr>
                <w:rFonts w:ascii="Arial Narrow" w:hAnsi="Arial Narrow"/>
                <w:sz w:val="20"/>
              </w:rPr>
              <w:t xml:space="preserve">: </w:t>
            </w:r>
            <w:r w:rsidR="00923864" w:rsidRPr="001811A6">
              <w:rPr>
                <w:rFonts w:ascii="Arial Narrow" w:hAnsi="Arial Narrow"/>
                <w:sz w:val="20"/>
              </w:rPr>
              <w:t xml:space="preserve"> based on the </w:t>
            </w:r>
            <w:r w:rsidR="00FB08FC" w:rsidRPr="001811A6">
              <w:rPr>
                <w:rFonts w:ascii="Arial Narrow" w:hAnsi="Arial Narrow"/>
                <w:sz w:val="20"/>
              </w:rPr>
              <w:t xml:space="preserve">proportion of </w:t>
            </w:r>
            <w:r w:rsidR="005173C1" w:rsidRPr="001811A6">
              <w:rPr>
                <w:rFonts w:ascii="Arial Narrow" w:hAnsi="Arial Narrow"/>
                <w:sz w:val="20"/>
              </w:rPr>
              <w:t>patients considered ‘cured’ after an average post-operative follow up period of 5-years.</w:t>
            </w:r>
          </w:p>
        </w:tc>
        <w:tc>
          <w:tcPr>
            <w:tcW w:w="1348" w:type="pct"/>
            <w:shd w:val="clear" w:color="auto" w:fill="auto"/>
            <w:vAlign w:val="center"/>
          </w:tcPr>
          <w:p w:rsidR="00D110BD" w:rsidRPr="001811A6" w:rsidRDefault="00BA34D3" w:rsidP="00D110BD">
            <w:pPr>
              <w:jc w:val="center"/>
              <w:rPr>
                <w:rFonts w:ascii="Arial Narrow" w:hAnsi="Arial Narrow"/>
                <w:sz w:val="20"/>
              </w:rPr>
            </w:pPr>
            <w:r w:rsidRPr="001811A6">
              <w:rPr>
                <w:rFonts w:ascii="Arial Narrow" w:hAnsi="Arial Narrow"/>
                <w:sz w:val="20"/>
              </w:rPr>
              <w:t>High</w:t>
            </w:r>
            <w:r w:rsidR="00A36DC1" w:rsidRPr="001811A6">
              <w:rPr>
                <w:rFonts w:ascii="Arial Narrow" w:hAnsi="Arial Narrow"/>
                <w:sz w:val="20"/>
              </w:rPr>
              <w:t>, favours vismodegib</w:t>
            </w:r>
          </w:p>
        </w:tc>
      </w:tr>
      <w:tr w:rsidR="00D46CCF" w:rsidRPr="001811A6" w:rsidTr="00267F68">
        <w:tc>
          <w:tcPr>
            <w:tcW w:w="1020" w:type="pct"/>
            <w:shd w:val="clear" w:color="auto" w:fill="auto"/>
            <w:vAlign w:val="center"/>
          </w:tcPr>
          <w:p w:rsidR="00A36DC1" w:rsidRPr="001811A6" w:rsidRDefault="00A36DC1" w:rsidP="00D46CCF">
            <w:pPr>
              <w:jc w:val="left"/>
              <w:rPr>
                <w:rFonts w:ascii="Arial Narrow" w:hAnsi="Arial Narrow"/>
                <w:sz w:val="20"/>
              </w:rPr>
            </w:pPr>
            <w:r w:rsidRPr="001811A6">
              <w:rPr>
                <w:rFonts w:ascii="Arial Narrow" w:hAnsi="Arial Narrow"/>
                <w:sz w:val="20"/>
              </w:rPr>
              <w:t xml:space="preserve">Proportion of patients receiving </w:t>
            </w:r>
            <w:r w:rsidR="00D46CCF" w:rsidRPr="001811A6">
              <w:rPr>
                <w:rFonts w:ascii="Arial Narrow" w:hAnsi="Arial Narrow"/>
                <w:sz w:val="20"/>
              </w:rPr>
              <w:t>vismodegib</w:t>
            </w:r>
          </w:p>
        </w:tc>
        <w:tc>
          <w:tcPr>
            <w:tcW w:w="2632" w:type="pct"/>
            <w:shd w:val="clear" w:color="auto" w:fill="auto"/>
            <w:vAlign w:val="center"/>
          </w:tcPr>
          <w:p w:rsidR="00A36DC1" w:rsidRPr="001811A6" w:rsidRDefault="005173C1" w:rsidP="000A421E">
            <w:pPr>
              <w:jc w:val="left"/>
              <w:rPr>
                <w:rFonts w:ascii="Arial Narrow" w:hAnsi="Arial Narrow"/>
                <w:b/>
                <w:snapToGrid/>
                <w:sz w:val="20"/>
              </w:rPr>
            </w:pPr>
            <w:r w:rsidRPr="001811A6">
              <w:rPr>
                <w:rFonts w:ascii="Arial Narrow" w:hAnsi="Arial Narrow"/>
                <w:sz w:val="20"/>
              </w:rPr>
              <w:t xml:space="preserve">The proportion of patients receiving vismodegib is based on </w:t>
            </w:r>
            <w:r w:rsidR="00364832" w:rsidRPr="001811A6">
              <w:rPr>
                <w:rFonts w:ascii="Arial Narrow" w:hAnsi="Arial Narrow"/>
                <w:sz w:val="20"/>
              </w:rPr>
              <w:t>time to off-treatment</w:t>
            </w:r>
            <w:r w:rsidRPr="001811A6">
              <w:rPr>
                <w:rFonts w:ascii="Arial Narrow" w:hAnsi="Arial Narrow"/>
                <w:sz w:val="20"/>
              </w:rPr>
              <w:t xml:space="preserve"> from the STEVIE study and modelled beyond 18.7 months. The data was immature and </w:t>
            </w:r>
            <w:r w:rsidR="00746708" w:rsidRPr="001811A6">
              <w:rPr>
                <w:rFonts w:ascii="Arial Narrow" w:hAnsi="Arial Narrow"/>
                <w:sz w:val="20"/>
              </w:rPr>
              <w:t>might</w:t>
            </w:r>
            <w:r w:rsidRPr="001811A6">
              <w:rPr>
                <w:rFonts w:ascii="Arial Narrow" w:hAnsi="Arial Narrow"/>
                <w:sz w:val="20"/>
              </w:rPr>
              <w:t xml:space="preserve"> have been affected by the study protocol.</w:t>
            </w:r>
          </w:p>
        </w:tc>
        <w:tc>
          <w:tcPr>
            <w:tcW w:w="1348" w:type="pct"/>
            <w:shd w:val="clear" w:color="auto" w:fill="auto"/>
            <w:vAlign w:val="center"/>
          </w:tcPr>
          <w:p w:rsidR="00A36DC1" w:rsidRPr="001811A6" w:rsidRDefault="00A36DC1" w:rsidP="00D110BD">
            <w:pPr>
              <w:jc w:val="center"/>
              <w:rPr>
                <w:rFonts w:ascii="Arial Narrow" w:hAnsi="Arial Narrow"/>
                <w:sz w:val="20"/>
              </w:rPr>
            </w:pPr>
            <w:r w:rsidRPr="001811A6">
              <w:rPr>
                <w:rFonts w:ascii="Arial Narrow" w:hAnsi="Arial Narrow"/>
                <w:sz w:val="20"/>
              </w:rPr>
              <w:t>High, favours vismodegib</w:t>
            </w:r>
          </w:p>
        </w:tc>
      </w:tr>
      <w:tr w:rsidR="00D46CCF" w:rsidRPr="001811A6" w:rsidTr="00267F68">
        <w:tc>
          <w:tcPr>
            <w:tcW w:w="1020" w:type="pct"/>
            <w:shd w:val="clear" w:color="auto" w:fill="auto"/>
            <w:vAlign w:val="center"/>
          </w:tcPr>
          <w:p w:rsidR="00D110BD" w:rsidRPr="001811A6" w:rsidRDefault="00A36DC1" w:rsidP="00D110BD">
            <w:pPr>
              <w:jc w:val="left"/>
              <w:rPr>
                <w:rFonts w:ascii="Arial Narrow" w:hAnsi="Arial Narrow"/>
                <w:sz w:val="20"/>
              </w:rPr>
            </w:pPr>
            <w:r w:rsidRPr="001811A6">
              <w:rPr>
                <w:rFonts w:ascii="Arial Narrow" w:hAnsi="Arial Narrow"/>
                <w:sz w:val="20"/>
              </w:rPr>
              <w:t>Proportion free of further disfigurement</w:t>
            </w:r>
          </w:p>
        </w:tc>
        <w:tc>
          <w:tcPr>
            <w:tcW w:w="2632" w:type="pct"/>
            <w:shd w:val="clear" w:color="auto" w:fill="auto"/>
            <w:vAlign w:val="center"/>
          </w:tcPr>
          <w:p w:rsidR="00D110BD" w:rsidRPr="001811A6" w:rsidRDefault="00D46CCF" w:rsidP="000A421E">
            <w:pPr>
              <w:jc w:val="left"/>
              <w:rPr>
                <w:rFonts w:ascii="Arial Narrow" w:hAnsi="Arial Narrow"/>
                <w:sz w:val="20"/>
              </w:rPr>
            </w:pPr>
            <w:r w:rsidRPr="001811A6">
              <w:rPr>
                <w:rFonts w:ascii="Arial Narrow" w:hAnsi="Arial Narrow"/>
                <w:sz w:val="20"/>
                <w:u w:val="single"/>
              </w:rPr>
              <w:t>Vismodegib</w:t>
            </w:r>
            <w:r w:rsidRPr="001811A6">
              <w:rPr>
                <w:rFonts w:ascii="Arial Narrow" w:hAnsi="Arial Narrow"/>
                <w:sz w:val="20"/>
              </w:rPr>
              <w:t xml:space="preserve">: Not reported and </w:t>
            </w:r>
            <w:r w:rsidR="005173C1" w:rsidRPr="001811A6">
              <w:rPr>
                <w:rFonts w:ascii="Arial Narrow" w:hAnsi="Arial Narrow"/>
                <w:sz w:val="20"/>
              </w:rPr>
              <w:t>was assumed that patients on vismodegib would not have any disfigurement.</w:t>
            </w:r>
          </w:p>
        </w:tc>
        <w:tc>
          <w:tcPr>
            <w:tcW w:w="1348" w:type="pct"/>
            <w:shd w:val="clear" w:color="auto" w:fill="auto"/>
            <w:vAlign w:val="center"/>
          </w:tcPr>
          <w:p w:rsidR="00D110BD" w:rsidRPr="001811A6" w:rsidRDefault="00A36DC1" w:rsidP="00D110BD">
            <w:pPr>
              <w:jc w:val="center"/>
              <w:rPr>
                <w:rFonts w:ascii="Arial Narrow" w:hAnsi="Arial Narrow"/>
                <w:sz w:val="20"/>
              </w:rPr>
            </w:pPr>
            <w:r w:rsidRPr="001811A6">
              <w:rPr>
                <w:rFonts w:ascii="Arial Narrow" w:hAnsi="Arial Narrow"/>
                <w:sz w:val="20"/>
              </w:rPr>
              <w:t>High, favours vismodegib</w:t>
            </w:r>
          </w:p>
        </w:tc>
      </w:tr>
    </w:tbl>
    <w:p w:rsidR="00D110BD" w:rsidRPr="001811A6" w:rsidRDefault="00D110BD" w:rsidP="005D044D">
      <w:pPr>
        <w:pStyle w:val="TableFooter"/>
        <w:ind w:firstLine="720"/>
      </w:pPr>
      <w:r w:rsidRPr="001811A6">
        <w:t xml:space="preserve">Source: </w:t>
      </w:r>
      <w:r w:rsidR="00746708" w:rsidRPr="001811A6">
        <w:rPr>
          <w:i/>
        </w:rPr>
        <w:t>Compiled during the evaluation</w:t>
      </w:r>
    </w:p>
    <w:p w:rsidR="00D110BD" w:rsidRPr="001811A6" w:rsidRDefault="00D110BD" w:rsidP="00275C5A">
      <w:pPr>
        <w:widowControl/>
        <w:rPr>
          <w:szCs w:val="22"/>
        </w:rPr>
      </w:pPr>
    </w:p>
    <w:p w:rsidR="00275C5A" w:rsidRPr="001811A6" w:rsidRDefault="00923864" w:rsidP="00B4462B">
      <w:pPr>
        <w:pStyle w:val="ListParagraph"/>
        <w:widowControl/>
        <w:numPr>
          <w:ilvl w:val="1"/>
          <w:numId w:val="1"/>
        </w:numPr>
        <w:rPr>
          <w:szCs w:val="22"/>
        </w:rPr>
      </w:pPr>
      <w:r w:rsidRPr="001811A6">
        <w:t>Table 8 presents the results of the economic model.</w:t>
      </w:r>
      <w:r w:rsidRPr="001811A6">
        <w:rPr>
          <w:color w:val="3366FF"/>
        </w:rPr>
        <w:t xml:space="preserve"> </w:t>
      </w:r>
    </w:p>
    <w:p w:rsidR="003F04E9" w:rsidRPr="001811A6" w:rsidRDefault="003F04E9">
      <w:pPr>
        <w:widowControl/>
        <w:jc w:val="left"/>
        <w:rPr>
          <w:rStyle w:val="CommentReference"/>
        </w:rPr>
      </w:pPr>
    </w:p>
    <w:p w:rsidR="00D110BD" w:rsidRPr="001811A6" w:rsidRDefault="000A421E" w:rsidP="005D044D">
      <w:pPr>
        <w:ind w:firstLine="720"/>
        <w:rPr>
          <w:rStyle w:val="CommentReference"/>
        </w:rPr>
      </w:pPr>
      <w:r w:rsidRPr="001811A6">
        <w:rPr>
          <w:rStyle w:val="CommentReference"/>
        </w:rPr>
        <w:t xml:space="preserve">Table </w:t>
      </w:r>
      <w:r w:rsidR="00923864" w:rsidRPr="001811A6">
        <w:rPr>
          <w:rStyle w:val="CommentReference"/>
        </w:rPr>
        <w:t>8</w:t>
      </w:r>
      <w:r w:rsidR="00D110BD" w:rsidRPr="001811A6">
        <w:rPr>
          <w:rStyle w:val="CommentReference"/>
        </w:rPr>
        <w:t xml:space="preserve">: Results of the </w:t>
      </w:r>
      <w:r w:rsidR="00D46CCF" w:rsidRPr="001811A6">
        <w:rPr>
          <w:rStyle w:val="CommentReference"/>
        </w:rPr>
        <w:t xml:space="preserve">modelled </w:t>
      </w:r>
      <w:r w:rsidR="00D110BD" w:rsidRPr="001811A6">
        <w:rPr>
          <w:rStyle w:val="CommentReference"/>
        </w:rPr>
        <w:t>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D110BD" w:rsidRPr="001811A6" w:rsidTr="005D044D">
        <w:trPr>
          <w:tblHeader/>
        </w:trPr>
        <w:tc>
          <w:tcPr>
            <w:tcW w:w="1529" w:type="pct"/>
            <w:vAlign w:val="center"/>
          </w:tcPr>
          <w:p w:rsidR="00D110BD" w:rsidRPr="001811A6" w:rsidRDefault="00D110BD" w:rsidP="004E0EB8">
            <w:pPr>
              <w:keepNext/>
              <w:jc w:val="left"/>
              <w:rPr>
                <w:rFonts w:ascii="Arial Narrow" w:hAnsi="Arial Narrow"/>
                <w:b/>
                <w:sz w:val="20"/>
              </w:rPr>
            </w:pPr>
            <w:r w:rsidRPr="001811A6">
              <w:rPr>
                <w:rFonts w:ascii="Arial Narrow" w:hAnsi="Arial Narrow"/>
                <w:b/>
                <w:sz w:val="20"/>
              </w:rPr>
              <w:t>Step and component</w:t>
            </w:r>
          </w:p>
        </w:tc>
        <w:tc>
          <w:tcPr>
            <w:tcW w:w="1359" w:type="pct"/>
            <w:vAlign w:val="center"/>
          </w:tcPr>
          <w:p w:rsidR="00D110BD" w:rsidRPr="001811A6" w:rsidRDefault="00993B71" w:rsidP="004E0EB8">
            <w:pPr>
              <w:keepNext/>
              <w:jc w:val="center"/>
              <w:rPr>
                <w:rFonts w:ascii="Arial Narrow" w:hAnsi="Arial Narrow"/>
                <w:b/>
                <w:sz w:val="20"/>
              </w:rPr>
            </w:pPr>
            <w:r w:rsidRPr="001811A6">
              <w:rPr>
                <w:rFonts w:ascii="Arial Narrow" w:hAnsi="Arial Narrow"/>
                <w:b/>
                <w:sz w:val="20"/>
              </w:rPr>
              <w:t>Vismodegib</w:t>
            </w:r>
          </w:p>
        </w:tc>
        <w:tc>
          <w:tcPr>
            <w:tcW w:w="1274" w:type="pct"/>
            <w:vAlign w:val="center"/>
          </w:tcPr>
          <w:p w:rsidR="00D110BD" w:rsidRPr="001811A6" w:rsidRDefault="00993B71" w:rsidP="004E0EB8">
            <w:pPr>
              <w:keepNext/>
              <w:jc w:val="center"/>
              <w:rPr>
                <w:rFonts w:ascii="Arial Narrow" w:hAnsi="Arial Narrow"/>
                <w:b/>
                <w:sz w:val="20"/>
              </w:rPr>
            </w:pPr>
            <w:r w:rsidRPr="001811A6">
              <w:rPr>
                <w:rFonts w:ascii="Arial Narrow" w:hAnsi="Arial Narrow"/>
                <w:b/>
                <w:sz w:val="20"/>
              </w:rPr>
              <w:t>Surgery</w:t>
            </w:r>
          </w:p>
        </w:tc>
        <w:tc>
          <w:tcPr>
            <w:tcW w:w="838" w:type="pct"/>
            <w:vAlign w:val="center"/>
          </w:tcPr>
          <w:p w:rsidR="00D110BD" w:rsidRPr="001811A6" w:rsidRDefault="00D110BD" w:rsidP="004E0EB8">
            <w:pPr>
              <w:keepNext/>
              <w:jc w:val="center"/>
              <w:rPr>
                <w:rFonts w:ascii="Arial Narrow" w:hAnsi="Arial Narrow"/>
                <w:b/>
                <w:sz w:val="20"/>
              </w:rPr>
            </w:pPr>
            <w:r w:rsidRPr="001811A6">
              <w:rPr>
                <w:rFonts w:ascii="Arial Narrow" w:hAnsi="Arial Narrow"/>
                <w:b/>
                <w:sz w:val="20"/>
              </w:rPr>
              <w:t>Increment</w:t>
            </w:r>
          </w:p>
        </w:tc>
      </w:tr>
      <w:tr w:rsidR="00D110BD" w:rsidRPr="001811A6" w:rsidTr="005D044D">
        <w:tc>
          <w:tcPr>
            <w:tcW w:w="5000" w:type="pct"/>
            <w:gridSpan w:val="4"/>
            <w:vAlign w:val="center"/>
          </w:tcPr>
          <w:p w:rsidR="00D110BD" w:rsidRPr="001811A6" w:rsidRDefault="00993B71" w:rsidP="002F79DB">
            <w:pPr>
              <w:pStyle w:val="TableHeading"/>
              <w:widowControl w:val="0"/>
              <w:spacing w:before="0" w:after="0"/>
              <w:rPr>
                <w:snapToGrid w:val="0"/>
              </w:rPr>
            </w:pPr>
            <w:r w:rsidRPr="001811A6">
              <w:rPr>
                <w:snapToGrid w:val="0"/>
              </w:rPr>
              <w:t>M</w:t>
            </w:r>
            <w:r w:rsidR="00D110BD" w:rsidRPr="001811A6">
              <w:rPr>
                <w:snapToGrid w:val="0"/>
              </w:rPr>
              <w:t>odelled evaluation</w:t>
            </w:r>
          </w:p>
        </w:tc>
      </w:tr>
      <w:tr w:rsidR="00993B71" w:rsidRPr="001811A6" w:rsidTr="005D044D">
        <w:tc>
          <w:tcPr>
            <w:tcW w:w="1529" w:type="pct"/>
            <w:vAlign w:val="center"/>
          </w:tcPr>
          <w:p w:rsidR="00993B71" w:rsidRPr="001811A6" w:rsidRDefault="00993B71" w:rsidP="00D110BD">
            <w:pPr>
              <w:jc w:val="left"/>
              <w:rPr>
                <w:rFonts w:ascii="Arial Narrow" w:hAnsi="Arial Narrow"/>
                <w:sz w:val="20"/>
              </w:rPr>
            </w:pPr>
            <w:r w:rsidRPr="001811A6">
              <w:rPr>
                <w:rFonts w:ascii="Arial Narrow" w:hAnsi="Arial Narrow"/>
                <w:sz w:val="20"/>
              </w:rPr>
              <w:t>Costs</w:t>
            </w:r>
          </w:p>
        </w:tc>
        <w:tc>
          <w:tcPr>
            <w:tcW w:w="1359" w:type="pct"/>
            <w:vAlign w:val="center"/>
          </w:tcPr>
          <w:p w:rsidR="00993B71" w:rsidRPr="001811A6" w:rsidRDefault="00993B71" w:rsidP="00FD3134">
            <w:pPr>
              <w:snapToGrid w:val="0"/>
              <w:jc w:val="right"/>
              <w:rPr>
                <w:rFonts w:ascii="Arial Narrow" w:hAnsi="Arial Narrow" w:cs="Times New Roman"/>
                <w:sz w:val="20"/>
              </w:rPr>
            </w:pPr>
            <w:r w:rsidRPr="001811A6">
              <w:rPr>
                <w:rFonts w:ascii="Arial Narrow" w:hAnsi="Arial Narrow" w:cs="Times New Roman"/>
                <w:sz w:val="20"/>
              </w:rPr>
              <w:t>$</w:t>
            </w:r>
            <w:r w:rsidR="00950905">
              <w:rPr>
                <w:rFonts w:ascii="Arial Narrow" w:hAnsi="Arial Narrow" w:cs="Times New Roman"/>
                <w:noProof/>
                <w:color w:val="000000"/>
                <w:sz w:val="20"/>
                <w:highlight w:val="black"/>
              </w:rPr>
              <w:t>'''''''''''''''''</w:t>
            </w:r>
          </w:p>
        </w:tc>
        <w:tc>
          <w:tcPr>
            <w:tcW w:w="1274" w:type="pct"/>
            <w:vAlign w:val="center"/>
          </w:tcPr>
          <w:p w:rsidR="00993B71" w:rsidRPr="001811A6" w:rsidRDefault="00993B71" w:rsidP="00FD3134">
            <w:pPr>
              <w:snapToGrid w:val="0"/>
              <w:jc w:val="right"/>
              <w:rPr>
                <w:rFonts w:ascii="Arial Narrow" w:hAnsi="Arial Narrow" w:cs="Times New Roman"/>
                <w:sz w:val="20"/>
              </w:rPr>
            </w:pPr>
            <w:r w:rsidRPr="001811A6">
              <w:rPr>
                <w:rFonts w:ascii="Arial Narrow" w:hAnsi="Arial Narrow" w:cs="Times New Roman"/>
                <w:sz w:val="20"/>
              </w:rPr>
              <w:t>$10,057</w:t>
            </w:r>
          </w:p>
        </w:tc>
        <w:tc>
          <w:tcPr>
            <w:tcW w:w="838" w:type="pct"/>
            <w:vAlign w:val="center"/>
          </w:tcPr>
          <w:p w:rsidR="00993B71" w:rsidRPr="001811A6" w:rsidRDefault="00993B71" w:rsidP="00FD3134">
            <w:pPr>
              <w:snapToGrid w:val="0"/>
              <w:jc w:val="right"/>
              <w:rPr>
                <w:rFonts w:ascii="Arial Narrow" w:hAnsi="Arial Narrow" w:cs="Times New Roman"/>
                <w:sz w:val="20"/>
              </w:rPr>
            </w:pPr>
            <w:r w:rsidRPr="001811A6">
              <w:rPr>
                <w:rFonts w:ascii="Arial Narrow" w:hAnsi="Arial Narrow" w:cs="Times New Roman"/>
                <w:sz w:val="20"/>
              </w:rPr>
              <w:t>$</w:t>
            </w:r>
            <w:r w:rsidR="00950905">
              <w:rPr>
                <w:rFonts w:ascii="Arial Narrow" w:hAnsi="Arial Narrow" w:cs="Times New Roman"/>
                <w:noProof/>
                <w:color w:val="000000"/>
                <w:sz w:val="20"/>
                <w:highlight w:val="black"/>
              </w:rPr>
              <w:t>''''''''''''''''</w:t>
            </w:r>
          </w:p>
        </w:tc>
      </w:tr>
      <w:tr w:rsidR="00993B71" w:rsidRPr="003D1092" w:rsidTr="005D044D">
        <w:tc>
          <w:tcPr>
            <w:tcW w:w="1529" w:type="pct"/>
            <w:vAlign w:val="center"/>
          </w:tcPr>
          <w:p w:rsidR="00993B71" w:rsidRPr="001811A6" w:rsidRDefault="00993B71" w:rsidP="00D110BD">
            <w:pPr>
              <w:jc w:val="left"/>
              <w:rPr>
                <w:rFonts w:ascii="Arial Narrow" w:hAnsi="Arial Narrow"/>
                <w:sz w:val="20"/>
              </w:rPr>
            </w:pPr>
            <w:r w:rsidRPr="001811A6">
              <w:rPr>
                <w:rFonts w:ascii="Arial Narrow" w:hAnsi="Arial Narrow"/>
                <w:sz w:val="20"/>
              </w:rPr>
              <w:t>Disfigurement-free response rate</w:t>
            </w:r>
          </w:p>
        </w:tc>
        <w:tc>
          <w:tcPr>
            <w:tcW w:w="1359" w:type="pct"/>
            <w:vAlign w:val="center"/>
          </w:tcPr>
          <w:p w:rsidR="00993B71" w:rsidRPr="003D1092" w:rsidRDefault="00950905" w:rsidP="00993B71">
            <w:pPr>
              <w:snapToGrid w:val="0"/>
              <w:jc w:val="center"/>
              <w:rPr>
                <w:rFonts w:ascii="Arial Narrow" w:hAnsi="Arial Narrow"/>
                <w:color w:val="000000"/>
                <w:sz w:val="20"/>
              </w:rPr>
            </w:pPr>
            <w:r>
              <w:rPr>
                <w:rFonts w:ascii="Arial Narrow" w:hAnsi="Arial Narrow"/>
                <w:noProof/>
                <w:color w:val="000000"/>
                <w:sz w:val="20"/>
                <w:highlight w:val="black"/>
              </w:rPr>
              <w:t>''''''''''</w:t>
            </w:r>
            <w:r w:rsidR="00993B71" w:rsidRPr="003D1092">
              <w:rPr>
                <w:rFonts w:ascii="Arial Narrow" w:hAnsi="Arial Narrow"/>
                <w:color w:val="000000"/>
                <w:sz w:val="20"/>
              </w:rPr>
              <w:t>%</w:t>
            </w:r>
          </w:p>
        </w:tc>
        <w:tc>
          <w:tcPr>
            <w:tcW w:w="1274" w:type="pct"/>
            <w:vAlign w:val="center"/>
          </w:tcPr>
          <w:p w:rsidR="00993B71" w:rsidRPr="003D1092" w:rsidRDefault="00950905" w:rsidP="00993B71">
            <w:pPr>
              <w:snapToGrid w:val="0"/>
              <w:jc w:val="center"/>
              <w:rPr>
                <w:rFonts w:ascii="Arial Narrow" w:hAnsi="Arial Narrow"/>
                <w:color w:val="000000"/>
                <w:sz w:val="20"/>
              </w:rPr>
            </w:pPr>
            <w:r>
              <w:rPr>
                <w:rFonts w:ascii="Arial Narrow" w:hAnsi="Arial Narrow"/>
                <w:noProof/>
                <w:color w:val="000000"/>
                <w:sz w:val="20"/>
                <w:highlight w:val="black"/>
              </w:rPr>
              <w:t>'''''''</w:t>
            </w:r>
            <w:r w:rsidR="00993B71" w:rsidRPr="003D1092">
              <w:rPr>
                <w:rFonts w:ascii="Arial Narrow" w:hAnsi="Arial Narrow"/>
                <w:color w:val="000000"/>
                <w:sz w:val="20"/>
              </w:rPr>
              <w:t>%</w:t>
            </w:r>
          </w:p>
        </w:tc>
        <w:tc>
          <w:tcPr>
            <w:tcW w:w="838" w:type="pct"/>
            <w:vAlign w:val="center"/>
          </w:tcPr>
          <w:p w:rsidR="00993B71" w:rsidRPr="003D1092" w:rsidRDefault="00950905" w:rsidP="00993B71">
            <w:pPr>
              <w:snapToGrid w:val="0"/>
              <w:jc w:val="center"/>
              <w:rPr>
                <w:rFonts w:ascii="Arial Narrow" w:hAnsi="Arial Narrow"/>
                <w:color w:val="000000"/>
                <w:sz w:val="20"/>
              </w:rPr>
            </w:pPr>
            <w:r>
              <w:rPr>
                <w:rFonts w:ascii="Arial Narrow" w:hAnsi="Arial Narrow"/>
                <w:noProof/>
                <w:color w:val="000000"/>
                <w:sz w:val="20"/>
                <w:highlight w:val="black"/>
              </w:rPr>
              <w:t>''''''''''</w:t>
            </w:r>
            <w:r w:rsidR="00993B71" w:rsidRPr="003D1092">
              <w:rPr>
                <w:rFonts w:ascii="Arial Narrow" w:hAnsi="Arial Narrow"/>
                <w:color w:val="000000"/>
                <w:sz w:val="20"/>
              </w:rPr>
              <w:t>%</w:t>
            </w:r>
          </w:p>
        </w:tc>
      </w:tr>
      <w:tr w:rsidR="00993B71" w:rsidRPr="001811A6" w:rsidTr="00993B71">
        <w:tc>
          <w:tcPr>
            <w:tcW w:w="4162" w:type="pct"/>
            <w:gridSpan w:val="3"/>
          </w:tcPr>
          <w:p w:rsidR="00993B71" w:rsidRPr="001811A6" w:rsidRDefault="00993B71" w:rsidP="00A266C6">
            <w:pPr>
              <w:snapToGrid w:val="0"/>
              <w:rPr>
                <w:rFonts w:ascii="Arial Narrow" w:hAnsi="Arial Narrow"/>
                <w:b/>
                <w:sz w:val="20"/>
              </w:rPr>
            </w:pPr>
            <w:r w:rsidRPr="001811A6">
              <w:rPr>
                <w:rFonts w:ascii="Arial Narrow" w:hAnsi="Arial Narrow"/>
                <w:b/>
                <w:sz w:val="20"/>
              </w:rPr>
              <w:t>Incremental cost/extra disfigurement</w:t>
            </w:r>
            <w:r w:rsidR="00A266C6" w:rsidRPr="001811A6">
              <w:rPr>
                <w:rFonts w:ascii="Arial Narrow" w:hAnsi="Arial Narrow"/>
                <w:b/>
                <w:sz w:val="20"/>
              </w:rPr>
              <w:t>-</w:t>
            </w:r>
            <w:r w:rsidRPr="001811A6">
              <w:rPr>
                <w:rFonts w:ascii="Arial Narrow" w:hAnsi="Arial Narrow"/>
                <w:b/>
                <w:sz w:val="20"/>
              </w:rPr>
              <w:t xml:space="preserve">free </w:t>
            </w:r>
            <w:r w:rsidR="002F79DB" w:rsidRPr="001811A6">
              <w:rPr>
                <w:rFonts w:ascii="Arial Narrow" w:hAnsi="Arial Narrow"/>
                <w:b/>
                <w:sz w:val="20"/>
              </w:rPr>
              <w:t>responder (</w:t>
            </w:r>
            <w:r w:rsidR="00E37974" w:rsidRPr="001811A6">
              <w:rPr>
                <w:rFonts w:ascii="Arial Narrow" w:hAnsi="Arial Narrow"/>
                <w:b/>
                <w:sz w:val="20"/>
              </w:rPr>
              <w:t xml:space="preserve">without </w:t>
            </w:r>
            <w:r w:rsidR="002F79DB" w:rsidRPr="001811A6">
              <w:rPr>
                <w:rFonts w:ascii="Arial Narrow" w:hAnsi="Arial Narrow"/>
                <w:b/>
                <w:sz w:val="20"/>
              </w:rPr>
              <w:t>EOC</w:t>
            </w:r>
            <w:r w:rsidR="000F2F9F" w:rsidRPr="001811A6">
              <w:rPr>
                <w:rFonts w:ascii="Arial Narrow" w:hAnsi="Arial Narrow"/>
                <w:b/>
                <w:sz w:val="20"/>
                <w:vertAlign w:val="superscript"/>
              </w:rPr>
              <w:t>a</w:t>
            </w:r>
            <w:r w:rsidR="002F79DB" w:rsidRPr="001811A6">
              <w:rPr>
                <w:rFonts w:ascii="Arial Narrow" w:hAnsi="Arial Narrow"/>
                <w:b/>
                <w:sz w:val="20"/>
              </w:rPr>
              <w:t xml:space="preserve"> cap)</w:t>
            </w:r>
          </w:p>
        </w:tc>
        <w:tc>
          <w:tcPr>
            <w:tcW w:w="838" w:type="pct"/>
          </w:tcPr>
          <w:p w:rsidR="00993B71" w:rsidRPr="001811A6" w:rsidRDefault="00993B71" w:rsidP="00FD3134">
            <w:pPr>
              <w:snapToGrid w:val="0"/>
              <w:jc w:val="right"/>
              <w:rPr>
                <w:rFonts w:ascii="Arial Narrow" w:hAnsi="Arial Narrow"/>
                <w:b/>
                <w:sz w:val="20"/>
              </w:rPr>
            </w:pPr>
            <w:r w:rsidRPr="001811A6">
              <w:rPr>
                <w:rFonts w:ascii="Arial Narrow" w:hAnsi="Arial Narrow"/>
                <w:b/>
                <w:sz w:val="20"/>
              </w:rPr>
              <w:t>$</w:t>
            </w:r>
            <w:r w:rsidR="00950905">
              <w:rPr>
                <w:rFonts w:ascii="Arial Narrow" w:hAnsi="Arial Narrow"/>
                <w:b/>
                <w:noProof/>
                <w:color w:val="000000"/>
                <w:sz w:val="20"/>
                <w:highlight w:val="black"/>
              </w:rPr>
              <w:t>''''''''''''''''''</w:t>
            </w:r>
          </w:p>
        </w:tc>
      </w:tr>
      <w:tr w:rsidR="00993B71" w:rsidRPr="001811A6" w:rsidTr="00993B71">
        <w:tc>
          <w:tcPr>
            <w:tcW w:w="4162" w:type="pct"/>
            <w:gridSpan w:val="3"/>
          </w:tcPr>
          <w:p w:rsidR="00993B71" w:rsidRPr="001811A6" w:rsidRDefault="00993B71" w:rsidP="00993B71">
            <w:pPr>
              <w:snapToGrid w:val="0"/>
              <w:rPr>
                <w:rFonts w:ascii="Arial Narrow" w:hAnsi="Arial Narrow"/>
                <w:b/>
                <w:sz w:val="20"/>
              </w:rPr>
            </w:pPr>
            <w:r w:rsidRPr="001811A6">
              <w:rPr>
                <w:rFonts w:ascii="Arial Narrow" w:hAnsi="Arial Narrow"/>
                <w:b/>
                <w:sz w:val="20"/>
              </w:rPr>
              <w:t>ICER under EOC cap from Section F</w:t>
            </w:r>
          </w:p>
        </w:tc>
        <w:tc>
          <w:tcPr>
            <w:tcW w:w="838" w:type="pct"/>
          </w:tcPr>
          <w:p w:rsidR="00993B71" w:rsidRPr="001811A6" w:rsidRDefault="00993B71" w:rsidP="00FD3134">
            <w:pPr>
              <w:snapToGrid w:val="0"/>
              <w:jc w:val="right"/>
              <w:rPr>
                <w:rFonts w:ascii="Arial Narrow" w:hAnsi="Arial Narrow"/>
                <w:b/>
                <w:sz w:val="20"/>
              </w:rPr>
            </w:pPr>
            <w:r w:rsidRPr="001811A6">
              <w:rPr>
                <w:rFonts w:ascii="Arial Narrow" w:hAnsi="Arial Narrow"/>
                <w:b/>
                <w:sz w:val="20"/>
              </w:rPr>
              <w:t>$</w:t>
            </w:r>
            <w:r w:rsidR="00950905">
              <w:rPr>
                <w:rFonts w:ascii="Arial Narrow" w:hAnsi="Arial Narrow"/>
                <w:b/>
                <w:noProof/>
                <w:color w:val="000000"/>
                <w:sz w:val="20"/>
                <w:highlight w:val="black"/>
              </w:rPr>
              <w:t>'''''''''''''''</w:t>
            </w:r>
          </w:p>
        </w:tc>
      </w:tr>
    </w:tbl>
    <w:p w:rsidR="005173C1" w:rsidRPr="001811A6" w:rsidRDefault="005173C1" w:rsidP="005173C1">
      <w:pPr>
        <w:widowControl/>
        <w:ind w:firstLine="720"/>
        <w:rPr>
          <w:rFonts w:ascii="Arial Narrow" w:hAnsi="Arial Narrow"/>
          <w:sz w:val="18"/>
        </w:rPr>
      </w:pPr>
      <w:r w:rsidRPr="001811A6">
        <w:rPr>
          <w:rFonts w:ascii="Arial Narrow" w:hAnsi="Arial Narrow"/>
          <w:sz w:val="18"/>
        </w:rPr>
        <w:t>Source: Table D.2.1-D2.2, p4 of Section D of the submission</w:t>
      </w:r>
    </w:p>
    <w:p w:rsidR="00D110BD" w:rsidRPr="001811A6" w:rsidRDefault="005173C1" w:rsidP="005173C1">
      <w:pPr>
        <w:widowControl/>
        <w:ind w:firstLine="720"/>
        <w:rPr>
          <w:rFonts w:ascii="Arial Narrow" w:hAnsi="Arial Narrow"/>
          <w:sz w:val="18"/>
        </w:rPr>
      </w:pPr>
      <w:r w:rsidRPr="001811A6">
        <w:rPr>
          <w:rFonts w:ascii="Arial Narrow" w:hAnsi="Arial Narrow"/>
          <w:sz w:val="18"/>
        </w:rPr>
        <w:t xml:space="preserve">ICER = incremental </w:t>
      </w:r>
      <w:r w:rsidR="00BD46D8" w:rsidRPr="001811A6">
        <w:rPr>
          <w:rFonts w:ascii="Arial Narrow" w:hAnsi="Arial Narrow"/>
          <w:sz w:val="18"/>
        </w:rPr>
        <w:t xml:space="preserve">cost-effectiveness </w:t>
      </w:r>
      <w:r w:rsidRPr="001811A6">
        <w:rPr>
          <w:rFonts w:ascii="Arial Narrow" w:hAnsi="Arial Narrow"/>
          <w:sz w:val="18"/>
        </w:rPr>
        <w:t>ratio; EOC = episode of care</w:t>
      </w:r>
    </w:p>
    <w:p w:rsidR="000F2F9F" w:rsidRPr="001811A6" w:rsidRDefault="000F2F9F" w:rsidP="005173C1">
      <w:pPr>
        <w:widowControl/>
        <w:ind w:firstLine="720"/>
        <w:rPr>
          <w:rFonts w:ascii="Arial Narrow" w:hAnsi="Arial Narrow"/>
          <w:sz w:val="18"/>
        </w:rPr>
      </w:pPr>
      <w:r w:rsidRPr="001811A6">
        <w:rPr>
          <w:rFonts w:ascii="Arial Narrow" w:hAnsi="Arial Narrow"/>
          <w:sz w:val="18"/>
          <w:vertAlign w:val="superscript"/>
        </w:rPr>
        <w:t>a</w:t>
      </w:r>
      <w:r w:rsidRPr="001811A6">
        <w:rPr>
          <w:rFonts w:ascii="Arial Narrow" w:hAnsi="Arial Narrow"/>
          <w:sz w:val="18"/>
        </w:rPr>
        <w:t xml:space="preserve"> The EOC cap was </w:t>
      </w:r>
      <w:r w:rsidR="00950905">
        <w:rPr>
          <w:rFonts w:ascii="Arial Narrow" w:hAnsi="Arial Narrow"/>
          <w:noProof/>
          <w:color w:val="000000"/>
          <w:sz w:val="18"/>
          <w:highlight w:val="black"/>
        </w:rPr>
        <w:t xml:space="preserve">''''''''''' </w:t>
      </w:r>
      <w:r w:rsidRPr="001811A6">
        <w:rPr>
          <w:rFonts w:ascii="Arial Narrow" w:hAnsi="Arial Narrow"/>
          <w:sz w:val="18"/>
        </w:rPr>
        <w:t>packs per patient treated with vismodegib</w:t>
      </w:r>
    </w:p>
    <w:p w:rsidR="005173C1" w:rsidRPr="001811A6" w:rsidRDefault="005173C1" w:rsidP="005173C1">
      <w:pPr>
        <w:widowControl/>
        <w:ind w:firstLine="720"/>
        <w:rPr>
          <w:szCs w:val="22"/>
        </w:rPr>
      </w:pPr>
    </w:p>
    <w:p w:rsidR="00DB60F7" w:rsidRPr="001811A6" w:rsidRDefault="008133FC" w:rsidP="00B4462B">
      <w:pPr>
        <w:pStyle w:val="ListParagraph"/>
        <w:numPr>
          <w:ilvl w:val="1"/>
          <w:numId w:val="1"/>
        </w:numPr>
      </w:pPr>
      <w:r w:rsidRPr="001811A6">
        <w:t>The economic evaluation resulted</w:t>
      </w:r>
      <w:r w:rsidR="00DB60F7" w:rsidRPr="001811A6">
        <w:t xml:space="preserve"> in an </w:t>
      </w:r>
      <w:r w:rsidR="005951C1" w:rsidRPr="001811A6">
        <w:t>incremental cost-effectiveness ratio (</w:t>
      </w:r>
      <w:r w:rsidR="00DB60F7" w:rsidRPr="001811A6">
        <w:t>ICER</w:t>
      </w:r>
      <w:r w:rsidR="005951C1" w:rsidRPr="001811A6">
        <w:t>)</w:t>
      </w:r>
      <w:r w:rsidR="00DB60F7" w:rsidRPr="001811A6">
        <w:t xml:space="preserve"> of </w:t>
      </w:r>
      <w:r w:rsidR="00866273">
        <w:t xml:space="preserve">$45,000 - $75,000 </w:t>
      </w:r>
      <w:r w:rsidR="00544D61" w:rsidRPr="001811A6">
        <w:t xml:space="preserve">per extra disfigurement-free responder for </w:t>
      </w:r>
      <w:r w:rsidRPr="001811A6">
        <w:t>vismodegib</w:t>
      </w:r>
      <w:r w:rsidR="00DB60F7" w:rsidRPr="001811A6">
        <w:t xml:space="preserve"> </w:t>
      </w:r>
      <w:r w:rsidR="00673D34" w:rsidRPr="001811A6">
        <w:t>versus</w:t>
      </w:r>
      <w:r w:rsidR="00DB60F7" w:rsidRPr="001811A6">
        <w:t xml:space="preserve"> </w:t>
      </w:r>
      <w:r w:rsidRPr="001811A6">
        <w:t xml:space="preserve">surgery </w:t>
      </w:r>
      <w:r w:rsidR="00544D61" w:rsidRPr="001811A6">
        <w:t>with</w:t>
      </w:r>
      <w:r w:rsidRPr="001811A6">
        <w:t xml:space="preserve"> the EOC cap and </w:t>
      </w:r>
      <w:r w:rsidR="00866273">
        <w:t>$</w:t>
      </w:r>
      <w:r w:rsidR="000060B8">
        <w:t xml:space="preserve">105,000 - $200,000 </w:t>
      </w:r>
      <w:r w:rsidRPr="001811A6">
        <w:t>without the EOC cap</w:t>
      </w:r>
      <w:r w:rsidR="00DB60F7" w:rsidRPr="001811A6">
        <w:t xml:space="preserve">. The </w:t>
      </w:r>
      <w:r w:rsidR="00804577">
        <w:t>cost-effectiveness of vismodegib</w:t>
      </w:r>
      <w:r w:rsidR="00804577" w:rsidRPr="001811A6">
        <w:t xml:space="preserve"> </w:t>
      </w:r>
      <w:r w:rsidR="00DC5BBA" w:rsidRPr="001811A6">
        <w:t>wa</w:t>
      </w:r>
      <w:r w:rsidR="00B51A3C" w:rsidRPr="001811A6">
        <w:t xml:space="preserve">s </w:t>
      </w:r>
      <w:r w:rsidR="00804577">
        <w:t xml:space="preserve">highly </w:t>
      </w:r>
      <w:r w:rsidR="00B51A3C" w:rsidRPr="001811A6">
        <w:t>uncertain</w:t>
      </w:r>
      <w:r w:rsidR="00DB60F7" w:rsidRPr="001811A6">
        <w:t>, due to:</w:t>
      </w:r>
    </w:p>
    <w:p w:rsidR="002C495A" w:rsidRPr="001811A6" w:rsidRDefault="002C495A" w:rsidP="00B4462B">
      <w:pPr>
        <w:pStyle w:val="ListParagraph"/>
        <w:widowControl/>
        <w:numPr>
          <w:ilvl w:val="2"/>
          <w:numId w:val="1"/>
        </w:numPr>
        <w:ind w:left="1060" w:hanging="340"/>
      </w:pPr>
      <w:r w:rsidRPr="001811A6">
        <w:t>The submission used disfigurement-free response rate</w:t>
      </w:r>
      <w:r w:rsidR="00B352F6" w:rsidRPr="001811A6">
        <w:t>,</w:t>
      </w:r>
      <w:r w:rsidRPr="001811A6">
        <w:t xml:space="preserve"> based on </w:t>
      </w:r>
      <w:r w:rsidR="00FB08FC" w:rsidRPr="001811A6">
        <w:t xml:space="preserve">the </w:t>
      </w:r>
      <w:r w:rsidRPr="001811A6">
        <w:t xml:space="preserve">response rate </w:t>
      </w:r>
      <w:r w:rsidR="00673D34" w:rsidRPr="001811A6">
        <w:t xml:space="preserve">multiplied by </w:t>
      </w:r>
      <w:r w:rsidR="00FB08FC" w:rsidRPr="001811A6">
        <w:t xml:space="preserve">the </w:t>
      </w:r>
      <w:r w:rsidRPr="001811A6">
        <w:t>proportion of patients free of further disfigurement. This was not appropriate as:</w:t>
      </w:r>
    </w:p>
    <w:p w:rsidR="008133FC" w:rsidRPr="001811A6" w:rsidRDefault="002C495A" w:rsidP="00B4462B">
      <w:pPr>
        <w:pStyle w:val="ListParagraph"/>
        <w:widowControl/>
        <w:numPr>
          <w:ilvl w:val="1"/>
          <w:numId w:val="3"/>
        </w:numPr>
        <w:ind w:left="1434" w:hanging="357"/>
      </w:pPr>
      <w:r w:rsidRPr="001811A6">
        <w:t>additional disfigurement-free responder was not a clinically meaningful efficacy outcome;</w:t>
      </w:r>
      <w:r w:rsidR="008133FC" w:rsidRPr="001811A6">
        <w:t xml:space="preserve"> </w:t>
      </w:r>
    </w:p>
    <w:p w:rsidR="008133FC" w:rsidRPr="001811A6" w:rsidRDefault="008133FC" w:rsidP="00B4462B">
      <w:pPr>
        <w:pStyle w:val="ListParagraph"/>
        <w:widowControl/>
        <w:numPr>
          <w:ilvl w:val="1"/>
          <w:numId w:val="3"/>
        </w:numPr>
        <w:ind w:left="1434" w:hanging="357"/>
      </w:pPr>
      <w:r w:rsidRPr="001811A6">
        <w:t xml:space="preserve">loss of </w:t>
      </w:r>
      <w:r w:rsidR="00F02C71" w:rsidRPr="001811A6">
        <w:t xml:space="preserve">an </w:t>
      </w:r>
      <w:r w:rsidRPr="001811A6">
        <w:t xml:space="preserve">organ as a measure of disfigurement </w:t>
      </w:r>
      <w:r w:rsidR="00746708" w:rsidRPr="001811A6">
        <w:t>might</w:t>
      </w:r>
      <w:r w:rsidRPr="001811A6">
        <w:t xml:space="preserve"> have been inappropriate as other disfigurement from the disease and treatment process </w:t>
      </w:r>
      <w:r w:rsidR="00746708" w:rsidRPr="001811A6">
        <w:t>might</w:t>
      </w:r>
      <w:r w:rsidRPr="001811A6">
        <w:t xml:space="preserve"> exist</w:t>
      </w:r>
      <w:r w:rsidR="00D46CCF" w:rsidRPr="001811A6">
        <w:t>;</w:t>
      </w:r>
    </w:p>
    <w:p w:rsidR="002C495A" w:rsidRPr="001811A6" w:rsidRDefault="002C495A" w:rsidP="00B4462B">
      <w:pPr>
        <w:pStyle w:val="ListParagraph"/>
        <w:widowControl/>
        <w:numPr>
          <w:ilvl w:val="1"/>
          <w:numId w:val="3"/>
        </w:numPr>
        <w:ind w:left="1434" w:hanging="357"/>
      </w:pPr>
      <w:r w:rsidRPr="001811A6">
        <w:t xml:space="preserve">the submission assumed that all patients who responded to vismodegib were free of further disfigurement; though this was not measured in the vismodegib </w:t>
      </w:r>
      <w:r w:rsidRPr="001811A6">
        <w:lastRenderedPageBreak/>
        <w:t>studies</w:t>
      </w:r>
      <w:r w:rsidR="00AE5473" w:rsidRPr="001811A6">
        <w:t>,</w:t>
      </w:r>
      <w:r w:rsidRPr="001811A6">
        <w:t xml:space="preserve"> </w:t>
      </w:r>
      <w:r w:rsidR="00AE5473" w:rsidRPr="001811A6">
        <w:t>the PBAC considered that this rate would be 20%</w:t>
      </w:r>
      <w:r w:rsidR="00816853">
        <w:t xml:space="preserve"> - 40%</w:t>
      </w:r>
      <w:r w:rsidR="00AE5473" w:rsidRPr="001811A6">
        <w:t xml:space="preserve"> encountering disfigurement; </w:t>
      </w:r>
      <w:r w:rsidRPr="001811A6">
        <w:t>and</w:t>
      </w:r>
    </w:p>
    <w:p w:rsidR="002C495A" w:rsidRPr="001811A6" w:rsidRDefault="002C495A" w:rsidP="00B4462B">
      <w:pPr>
        <w:pStyle w:val="ListParagraph"/>
        <w:widowControl/>
        <w:numPr>
          <w:ilvl w:val="1"/>
          <w:numId w:val="3"/>
        </w:numPr>
        <w:ind w:left="1434" w:hanging="357"/>
      </w:pPr>
      <w:r w:rsidRPr="001811A6">
        <w:t>the submission used an inappropriate response rate for surgery.</w:t>
      </w:r>
    </w:p>
    <w:p w:rsidR="000C07D0" w:rsidRPr="001811A6" w:rsidRDefault="008133FC" w:rsidP="00B4462B">
      <w:pPr>
        <w:pStyle w:val="ListParagraph"/>
        <w:widowControl/>
        <w:numPr>
          <w:ilvl w:val="2"/>
          <w:numId w:val="1"/>
        </w:numPr>
        <w:ind w:left="1060" w:hanging="340"/>
      </w:pPr>
      <w:r w:rsidRPr="001811A6">
        <w:t xml:space="preserve">The short follow up of the STEVIE study </w:t>
      </w:r>
      <w:r w:rsidR="00746708" w:rsidRPr="001811A6">
        <w:t>might</w:t>
      </w:r>
      <w:r w:rsidRPr="001811A6">
        <w:t xml:space="preserve"> have led to an underestimate of treatment duration (50.6 weeks), as the longer follow</w:t>
      </w:r>
      <w:r w:rsidR="00F02C71" w:rsidRPr="001811A6">
        <w:t>-</w:t>
      </w:r>
      <w:r w:rsidRPr="001811A6">
        <w:t>up ERIVANCE study had a treatment duration of approximately 73 weeks</w:t>
      </w:r>
      <w:r w:rsidR="004B695E" w:rsidRPr="001811A6">
        <w:t>;</w:t>
      </w:r>
      <w:r w:rsidR="00F02C71" w:rsidRPr="001811A6">
        <w:t xml:space="preserve"> </w:t>
      </w:r>
    </w:p>
    <w:p w:rsidR="000C07D0" w:rsidRPr="001811A6" w:rsidRDefault="00BA34D3" w:rsidP="00B4462B">
      <w:pPr>
        <w:pStyle w:val="ListParagraph"/>
        <w:widowControl/>
        <w:numPr>
          <w:ilvl w:val="2"/>
          <w:numId w:val="1"/>
        </w:numPr>
        <w:ind w:left="1060" w:hanging="340"/>
      </w:pPr>
      <w:r w:rsidRPr="001811A6">
        <w:t xml:space="preserve">The response outcome used for vismodegib (complete or partial response maintained for </w:t>
      </w:r>
      <w:r w:rsidR="00E37974" w:rsidRPr="001811A6">
        <w:t xml:space="preserve">four </w:t>
      </w:r>
      <w:r w:rsidRPr="001811A6">
        <w:t>week</w:t>
      </w:r>
      <w:r w:rsidR="002F79DB" w:rsidRPr="001811A6">
        <w:t>s</w:t>
      </w:r>
      <w:r w:rsidRPr="001811A6">
        <w:t xml:space="preserve"> or more) was different to that of surgery (patients considered ‘cured’ after an average post-operative follow up period of 5-years); and </w:t>
      </w:r>
    </w:p>
    <w:p w:rsidR="008133FC" w:rsidRPr="001811A6" w:rsidRDefault="008133FC" w:rsidP="00B4462B">
      <w:pPr>
        <w:pStyle w:val="ListParagraph"/>
        <w:widowControl/>
        <w:numPr>
          <w:ilvl w:val="2"/>
          <w:numId w:val="1"/>
        </w:numPr>
        <w:ind w:left="1060" w:hanging="340"/>
      </w:pPr>
      <w:r w:rsidRPr="001811A6">
        <w:t xml:space="preserve">The cost estimates for surgery </w:t>
      </w:r>
      <w:r w:rsidR="00D46CCF" w:rsidRPr="001811A6">
        <w:t xml:space="preserve">were </w:t>
      </w:r>
      <w:r w:rsidRPr="001811A6">
        <w:t>uncertain due to the processes used to estimate them.</w:t>
      </w:r>
    </w:p>
    <w:p w:rsidR="00B36DD5" w:rsidRPr="001811A6" w:rsidRDefault="00B36DD5" w:rsidP="00B4462B">
      <w:pPr>
        <w:pStyle w:val="ListParagraph"/>
        <w:widowControl/>
        <w:numPr>
          <w:ilvl w:val="2"/>
          <w:numId w:val="1"/>
        </w:numPr>
        <w:ind w:left="1060" w:hanging="340"/>
      </w:pPr>
      <w:r w:rsidRPr="001811A6">
        <w:t>No analysis compared to best supportive care was undertaken.</w:t>
      </w:r>
    </w:p>
    <w:p w:rsidR="00B12C50" w:rsidRPr="001811A6" w:rsidRDefault="00B12C50" w:rsidP="00B4462B">
      <w:pPr>
        <w:pStyle w:val="ListParagraph"/>
        <w:widowControl/>
        <w:numPr>
          <w:ilvl w:val="2"/>
          <w:numId w:val="1"/>
        </w:numPr>
        <w:ind w:left="1060" w:hanging="340"/>
      </w:pPr>
    </w:p>
    <w:p w:rsidR="00AE1707" w:rsidRPr="001811A6" w:rsidRDefault="00AE1707" w:rsidP="00B4462B">
      <w:pPr>
        <w:pStyle w:val="ListParagraph"/>
        <w:widowControl/>
        <w:numPr>
          <w:ilvl w:val="2"/>
          <w:numId w:val="1"/>
        </w:numPr>
        <w:ind w:left="1060" w:hanging="340"/>
      </w:pPr>
      <w:r w:rsidRPr="001811A6">
        <w:rPr>
          <w:bCs/>
          <w:szCs w:val="22"/>
        </w:rPr>
        <w:t>The PBAC noted that the use of the STEVIE trial to populate the model was the most optimistic in terms of benefits from treatment of all the provided trials of vismodegib.</w:t>
      </w:r>
      <w:r w:rsidR="00E526BA">
        <w:rPr>
          <w:bCs/>
          <w:szCs w:val="22"/>
        </w:rPr>
        <w:t xml:space="preserve"> The STEVIE trial reported a higher response compared to the other studies, </w:t>
      </w:r>
      <w:r w:rsidR="00646F52">
        <w:rPr>
          <w:bCs/>
          <w:szCs w:val="22"/>
        </w:rPr>
        <w:t xml:space="preserve">had the lowest proportion of participants with metastatic disease, and </w:t>
      </w:r>
      <w:r w:rsidR="00E526BA">
        <w:rPr>
          <w:bCs/>
          <w:szCs w:val="22"/>
        </w:rPr>
        <w:t>used investigator rather than independent response assessment</w:t>
      </w:r>
      <w:r w:rsidR="00646F52">
        <w:rPr>
          <w:bCs/>
          <w:szCs w:val="22"/>
        </w:rPr>
        <w:t>.</w:t>
      </w:r>
    </w:p>
    <w:p w:rsidR="002C495A" w:rsidRPr="001811A6" w:rsidRDefault="002C495A" w:rsidP="002C495A">
      <w:pPr>
        <w:pStyle w:val="ListParagraph"/>
        <w:widowControl/>
        <w:rPr>
          <w:i/>
        </w:rPr>
      </w:pPr>
    </w:p>
    <w:p w:rsidR="008133FC" w:rsidRPr="001811A6" w:rsidRDefault="008133FC" w:rsidP="00B4462B">
      <w:pPr>
        <w:pStyle w:val="ListParagraph"/>
        <w:widowControl/>
        <w:numPr>
          <w:ilvl w:val="1"/>
          <w:numId w:val="1"/>
        </w:numPr>
        <w:rPr>
          <w:szCs w:val="22"/>
        </w:rPr>
      </w:pPr>
      <w:r w:rsidRPr="001811A6">
        <w:t xml:space="preserve">Table 9 provides the results of the univariate sensitivity analyses presented by the submission and additional analyses conducted during the evaluation. </w:t>
      </w:r>
    </w:p>
    <w:p w:rsidR="008133FC" w:rsidRPr="001811A6" w:rsidRDefault="008133FC" w:rsidP="008133FC">
      <w:pPr>
        <w:pStyle w:val="ListParagraph"/>
        <w:widowControl/>
        <w:rPr>
          <w:szCs w:val="22"/>
        </w:rPr>
      </w:pPr>
    </w:p>
    <w:p w:rsidR="008133FC" w:rsidRPr="001811A6" w:rsidRDefault="00673D34" w:rsidP="008133FC">
      <w:pPr>
        <w:ind w:left="720"/>
        <w:jc w:val="left"/>
        <w:rPr>
          <w:rStyle w:val="CommentReference"/>
        </w:rPr>
      </w:pPr>
      <w:r w:rsidRPr="001811A6">
        <w:rPr>
          <w:rStyle w:val="CommentReference"/>
        </w:rPr>
        <w:t xml:space="preserve">Table </w:t>
      </w:r>
      <w:r w:rsidR="008133FC" w:rsidRPr="001811A6">
        <w:rPr>
          <w:rStyle w:val="CommentReference"/>
        </w:rPr>
        <w:t>9: Results of univariate sensitivity analyses</w:t>
      </w:r>
    </w:p>
    <w:tbl>
      <w:tblPr>
        <w:tblW w:w="452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0"/>
        <w:gridCol w:w="1279"/>
        <w:gridCol w:w="1274"/>
        <w:gridCol w:w="850"/>
        <w:gridCol w:w="1274"/>
        <w:gridCol w:w="850"/>
      </w:tblGrid>
      <w:tr w:rsidR="008133FC" w:rsidRPr="001811A6" w:rsidTr="00D14094">
        <w:trPr>
          <w:tblHeader/>
        </w:trPr>
        <w:tc>
          <w:tcPr>
            <w:tcW w:w="2415" w:type="pct"/>
            <w:gridSpan w:val="2"/>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b/>
                <w:sz w:val="20"/>
              </w:rPr>
            </w:pPr>
          </w:p>
        </w:tc>
        <w:tc>
          <w:tcPr>
            <w:tcW w:w="1292" w:type="pct"/>
            <w:gridSpan w:val="2"/>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b/>
                <w:sz w:val="20"/>
              </w:rPr>
            </w:pPr>
            <w:r w:rsidRPr="001811A6">
              <w:rPr>
                <w:rFonts w:ascii="Arial Narrow" w:hAnsi="Arial Narrow"/>
                <w:b/>
                <w:sz w:val="20"/>
              </w:rPr>
              <w:t>EOC</w:t>
            </w:r>
            <w:r w:rsidR="000F2F9F" w:rsidRPr="001811A6">
              <w:rPr>
                <w:rFonts w:ascii="Arial Narrow" w:hAnsi="Arial Narrow"/>
                <w:b/>
                <w:sz w:val="20"/>
                <w:vertAlign w:val="superscript"/>
              </w:rPr>
              <w:t>b</w:t>
            </w:r>
            <w:r w:rsidRPr="001811A6">
              <w:rPr>
                <w:rFonts w:ascii="Arial Narrow" w:hAnsi="Arial Narrow"/>
                <w:b/>
                <w:sz w:val="20"/>
              </w:rPr>
              <w:t xml:space="preserve"> cap applied</w:t>
            </w:r>
          </w:p>
        </w:tc>
        <w:tc>
          <w:tcPr>
            <w:tcW w:w="1292" w:type="pct"/>
            <w:gridSpan w:val="2"/>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b/>
                <w:sz w:val="20"/>
              </w:rPr>
            </w:pPr>
            <w:r w:rsidRPr="001811A6">
              <w:rPr>
                <w:rFonts w:ascii="Arial Narrow" w:hAnsi="Arial Narrow"/>
                <w:b/>
                <w:sz w:val="20"/>
              </w:rPr>
              <w:t>Without EOC cap</w:t>
            </w:r>
          </w:p>
        </w:tc>
      </w:tr>
      <w:tr w:rsidR="008133FC" w:rsidRPr="001811A6" w:rsidTr="00D14094">
        <w:trPr>
          <w:tblHeader/>
        </w:trPr>
        <w:tc>
          <w:tcPr>
            <w:tcW w:w="1637" w:type="pct"/>
            <w:tcBorders>
              <w:top w:val="single" w:sz="4" w:space="0" w:color="auto"/>
              <w:left w:val="single" w:sz="4" w:space="0" w:color="auto"/>
              <w:bottom w:val="single" w:sz="4" w:space="0" w:color="auto"/>
              <w:right w:val="single" w:sz="4" w:space="0" w:color="auto"/>
            </w:tcBorders>
            <w:vAlign w:val="center"/>
            <w:hideMark/>
          </w:tcPr>
          <w:p w:rsidR="008133FC" w:rsidRPr="001811A6" w:rsidRDefault="008133FC" w:rsidP="00822412">
            <w:pPr>
              <w:snapToGrid w:val="0"/>
              <w:jc w:val="left"/>
              <w:rPr>
                <w:rFonts w:ascii="Arial Narrow" w:hAnsi="Arial Narrow"/>
                <w:sz w:val="20"/>
              </w:rPr>
            </w:pPr>
            <w:r w:rsidRPr="001811A6">
              <w:rPr>
                <w:rFonts w:ascii="Arial Narrow" w:hAnsi="Arial Narrow"/>
                <w:b/>
                <w:sz w:val="20"/>
              </w:rPr>
              <w:t>Univariate analyses</w:t>
            </w:r>
          </w:p>
        </w:tc>
        <w:tc>
          <w:tcPr>
            <w:tcW w:w="778" w:type="pct"/>
            <w:tcBorders>
              <w:top w:val="single" w:sz="4" w:space="0" w:color="auto"/>
              <w:left w:val="single" w:sz="4" w:space="0" w:color="auto"/>
              <w:bottom w:val="single" w:sz="4" w:space="0" w:color="auto"/>
              <w:right w:val="single" w:sz="4" w:space="0" w:color="auto"/>
            </w:tcBorders>
            <w:vAlign w:val="center"/>
            <w:hideMark/>
          </w:tcPr>
          <w:p w:rsidR="008133FC" w:rsidRPr="001811A6" w:rsidRDefault="008133FC" w:rsidP="00822412">
            <w:pPr>
              <w:snapToGrid w:val="0"/>
              <w:jc w:val="center"/>
              <w:rPr>
                <w:rFonts w:ascii="Arial Narrow" w:hAnsi="Arial Narrow"/>
                <w:sz w:val="20"/>
              </w:rPr>
            </w:pPr>
            <w:r w:rsidRPr="001811A6">
              <w:rPr>
                <w:rFonts w:ascii="Arial Narrow" w:hAnsi="Arial Narrow"/>
                <w:b/>
                <w:sz w:val="20"/>
              </w:rPr>
              <w:t>Incremental effectiveness</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sz w:val="20"/>
              </w:rPr>
            </w:pPr>
            <w:r w:rsidRPr="001811A6">
              <w:rPr>
                <w:rFonts w:ascii="Arial Narrow" w:hAnsi="Arial Narrow"/>
                <w:b/>
                <w:sz w:val="20"/>
              </w:rPr>
              <w:t>Incremental costs</w:t>
            </w:r>
          </w:p>
        </w:tc>
        <w:tc>
          <w:tcPr>
            <w:tcW w:w="517" w:type="pct"/>
            <w:tcBorders>
              <w:top w:val="single" w:sz="4" w:space="0" w:color="auto"/>
              <w:left w:val="single" w:sz="4" w:space="0" w:color="auto"/>
              <w:bottom w:val="single" w:sz="4" w:space="0" w:color="auto"/>
              <w:right w:val="single" w:sz="4" w:space="0" w:color="auto"/>
            </w:tcBorders>
            <w:vAlign w:val="center"/>
            <w:hideMark/>
          </w:tcPr>
          <w:p w:rsidR="008133FC" w:rsidRPr="001811A6" w:rsidRDefault="008133FC" w:rsidP="00822412">
            <w:pPr>
              <w:snapToGrid w:val="0"/>
              <w:jc w:val="center"/>
              <w:rPr>
                <w:rFonts w:ascii="Arial Narrow" w:hAnsi="Arial Narrow"/>
                <w:sz w:val="20"/>
              </w:rPr>
            </w:pPr>
            <w:r w:rsidRPr="001811A6">
              <w:rPr>
                <w:rFonts w:ascii="Arial Narrow" w:hAnsi="Arial Narrow"/>
                <w:b/>
                <w:sz w:val="20"/>
              </w:rPr>
              <w:t>ICER</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sz w:val="20"/>
              </w:rPr>
            </w:pPr>
            <w:r w:rsidRPr="001811A6">
              <w:rPr>
                <w:rFonts w:ascii="Arial Narrow" w:hAnsi="Arial Narrow"/>
                <w:b/>
                <w:sz w:val="20"/>
              </w:rPr>
              <w:t>Incremental costs</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snapToGrid w:val="0"/>
              <w:jc w:val="center"/>
              <w:rPr>
                <w:rFonts w:ascii="Arial Narrow" w:hAnsi="Arial Narrow"/>
                <w:b/>
                <w:sz w:val="20"/>
              </w:rPr>
            </w:pPr>
            <w:r w:rsidRPr="001811A6">
              <w:rPr>
                <w:rFonts w:ascii="Arial Narrow" w:hAnsi="Arial Narrow"/>
                <w:b/>
                <w:sz w:val="20"/>
              </w:rPr>
              <w:t>ICER</w:t>
            </w:r>
          </w:p>
        </w:tc>
      </w:tr>
      <w:tr w:rsidR="008133FC" w:rsidRPr="001811A6" w:rsidTr="00D14094">
        <w:tc>
          <w:tcPr>
            <w:tcW w:w="1637" w:type="pct"/>
            <w:tcBorders>
              <w:top w:val="single" w:sz="4" w:space="0" w:color="auto"/>
              <w:left w:val="single" w:sz="4" w:space="0" w:color="auto"/>
              <w:bottom w:val="single" w:sz="4" w:space="0" w:color="auto"/>
              <w:right w:val="single" w:sz="4" w:space="0" w:color="auto"/>
            </w:tcBorders>
            <w:vAlign w:val="center"/>
            <w:hideMark/>
          </w:tcPr>
          <w:p w:rsidR="008133FC" w:rsidRPr="001811A6" w:rsidRDefault="008133FC" w:rsidP="00822412">
            <w:pPr>
              <w:pStyle w:val="TableText0"/>
              <w:spacing w:before="0" w:after="100" w:afterAutospacing="1"/>
            </w:pPr>
            <w:r w:rsidRPr="001811A6">
              <w:t>Base</w:t>
            </w:r>
            <w:r w:rsidR="00FE3E2A" w:rsidRPr="001811A6">
              <w:t xml:space="preserve"> </w:t>
            </w:r>
            <w:r w:rsidRPr="001811A6">
              <w:t>case</w:t>
            </w:r>
          </w:p>
        </w:tc>
        <w:tc>
          <w:tcPr>
            <w:tcW w:w="778" w:type="pct"/>
            <w:tcBorders>
              <w:top w:val="single" w:sz="4" w:space="0" w:color="auto"/>
              <w:left w:val="single" w:sz="4" w:space="0" w:color="auto"/>
              <w:bottom w:val="single" w:sz="4" w:space="0" w:color="auto"/>
              <w:right w:val="single" w:sz="4" w:space="0" w:color="auto"/>
            </w:tcBorders>
            <w:vAlign w:val="center"/>
          </w:tcPr>
          <w:p w:rsidR="008133FC" w:rsidRPr="00CD6879" w:rsidRDefault="00950905" w:rsidP="00822412">
            <w:pPr>
              <w:snapToGrid w:val="0"/>
              <w:spacing w:after="100" w:afterAutospacing="1"/>
              <w:jc w:val="center"/>
              <w:rPr>
                <w:rFonts w:ascii="Arial Narrow" w:hAnsi="Arial Narrow"/>
                <w:sz w:val="20"/>
              </w:rPr>
            </w:pPr>
            <w:r>
              <w:rPr>
                <w:rFonts w:ascii="Arial Narrow" w:hAnsi="Arial Narrow"/>
                <w:noProof/>
                <w:color w:val="000000"/>
                <w:sz w:val="20"/>
                <w:highlight w:val="black"/>
              </w:rPr>
              <w:t>''''''''''</w:t>
            </w:r>
            <w:r w:rsidR="008133FC" w:rsidRPr="00CD6879">
              <w:rPr>
                <w:rFonts w:ascii="Arial Narrow" w:hAnsi="Arial Narrow"/>
                <w:sz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r>
      <w:tr w:rsidR="008133FC" w:rsidRPr="001811A6" w:rsidTr="00D14094">
        <w:tc>
          <w:tcPr>
            <w:tcW w:w="1637" w:type="pct"/>
            <w:tcBorders>
              <w:top w:val="single" w:sz="4" w:space="0" w:color="auto"/>
              <w:left w:val="single" w:sz="4" w:space="0" w:color="auto"/>
              <w:bottom w:val="single" w:sz="4" w:space="0" w:color="auto"/>
              <w:right w:val="single" w:sz="4" w:space="0" w:color="auto"/>
            </w:tcBorders>
            <w:vAlign w:val="center"/>
            <w:hideMark/>
          </w:tcPr>
          <w:p w:rsidR="008133FC" w:rsidRPr="001811A6" w:rsidRDefault="008133FC" w:rsidP="00822412">
            <w:pPr>
              <w:pStyle w:val="TableText0"/>
              <w:spacing w:before="0" w:after="100" w:afterAutospacing="1"/>
            </w:pPr>
            <w:r w:rsidRPr="001811A6">
              <w:t>Equivalent response rate</w:t>
            </w:r>
          </w:p>
        </w:tc>
        <w:tc>
          <w:tcPr>
            <w:tcW w:w="778" w:type="pct"/>
            <w:tcBorders>
              <w:top w:val="single" w:sz="4" w:space="0" w:color="auto"/>
              <w:left w:val="single" w:sz="4" w:space="0" w:color="auto"/>
              <w:bottom w:val="single" w:sz="4" w:space="0" w:color="auto"/>
              <w:right w:val="single" w:sz="4" w:space="0" w:color="auto"/>
            </w:tcBorders>
            <w:vAlign w:val="center"/>
          </w:tcPr>
          <w:p w:rsidR="008133FC" w:rsidRPr="00CD6879" w:rsidRDefault="00950905" w:rsidP="00822412">
            <w:pPr>
              <w:snapToGrid w:val="0"/>
              <w:spacing w:after="100" w:afterAutospacing="1"/>
              <w:jc w:val="center"/>
              <w:rPr>
                <w:rFonts w:ascii="Arial Narrow" w:hAnsi="Arial Narrow"/>
                <w:sz w:val="20"/>
              </w:rPr>
            </w:pPr>
            <w:r>
              <w:rPr>
                <w:rFonts w:ascii="Arial Narrow" w:hAnsi="Arial Narrow"/>
                <w:noProof/>
                <w:color w:val="000000"/>
                <w:sz w:val="20"/>
                <w:highlight w:val="black"/>
              </w:rPr>
              <w:t>'''''''''''</w:t>
            </w:r>
            <w:r w:rsidR="008133FC" w:rsidRPr="00CD6879">
              <w:rPr>
                <w:rFonts w:ascii="Arial Narrow" w:hAnsi="Arial Narrow"/>
                <w:sz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pPr>
            <w:r w:rsidRPr="001811A6">
              <w:t>$</w:t>
            </w:r>
            <w:r w:rsidR="00950905">
              <w:rPr>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r>
      <w:tr w:rsidR="008133FC" w:rsidRPr="001811A6" w:rsidTr="00D14094">
        <w:tc>
          <w:tcPr>
            <w:tcW w:w="163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rPr>
                <w:i/>
              </w:rPr>
            </w:pPr>
            <w:r w:rsidRPr="001811A6">
              <w:rPr>
                <w:i/>
              </w:rPr>
              <w:t>Surgery response rate (90.7%)</w:t>
            </w:r>
          </w:p>
        </w:tc>
        <w:tc>
          <w:tcPr>
            <w:tcW w:w="778" w:type="pct"/>
            <w:tcBorders>
              <w:top w:val="single" w:sz="4" w:space="0" w:color="auto"/>
              <w:left w:val="single" w:sz="4" w:space="0" w:color="auto"/>
              <w:bottom w:val="single" w:sz="4" w:space="0" w:color="auto"/>
              <w:right w:val="single" w:sz="4" w:space="0" w:color="auto"/>
            </w:tcBorders>
            <w:vAlign w:val="center"/>
          </w:tcPr>
          <w:p w:rsidR="008133FC" w:rsidRPr="00CD6879" w:rsidRDefault="00950905" w:rsidP="00822412">
            <w:pPr>
              <w:snapToGrid w:val="0"/>
              <w:spacing w:after="100" w:afterAutospacing="1"/>
              <w:jc w:val="center"/>
              <w:rPr>
                <w:rFonts w:ascii="Arial Narrow" w:hAnsi="Arial Narrow"/>
                <w:i/>
                <w:sz w:val="20"/>
              </w:rPr>
            </w:pPr>
            <w:r>
              <w:rPr>
                <w:rFonts w:ascii="Arial Narrow" w:hAnsi="Arial Narrow"/>
                <w:i/>
                <w:noProof/>
                <w:color w:val="000000"/>
                <w:sz w:val="20"/>
                <w:highlight w:val="black"/>
              </w:rPr>
              <w:t>''''''''''</w:t>
            </w:r>
            <w:r w:rsidR="008133FC" w:rsidRPr="00CD6879">
              <w:rPr>
                <w:rFonts w:ascii="Arial Narrow" w:hAnsi="Arial Narrow"/>
                <w:i/>
                <w:sz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r>
      <w:tr w:rsidR="00D14094" w:rsidRPr="001811A6" w:rsidTr="00C65CFF">
        <w:tc>
          <w:tcPr>
            <w:tcW w:w="1637" w:type="pct"/>
            <w:tcBorders>
              <w:top w:val="single" w:sz="4" w:space="0" w:color="auto"/>
              <w:left w:val="single" w:sz="4" w:space="0" w:color="auto"/>
              <w:bottom w:val="single" w:sz="4" w:space="0" w:color="auto"/>
              <w:right w:val="single" w:sz="4" w:space="0" w:color="auto"/>
            </w:tcBorders>
            <w:vAlign w:val="bottom"/>
          </w:tcPr>
          <w:p w:rsidR="002877C6" w:rsidRPr="001811A6" w:rsidRDefault="00D14094" w:rsidP="00C65CFF">
            <w:pPr>
              <w:pStyle w:val="TableText0"/>
              <w:spacing w:before="0" w:after="0"/>
              <w:rPr>
                <w:b/>
                <w:i/>
              </w:rPr>
            </w:pPr>
            <w:r w:rsidRPr="001811A6">
              <w:rPr>
                <w:b/>
                <w:i/>
              </w:rPr>
              <w:t xml:space="preserve">PSCR (p, </w:t>
            </w:r>
            <w:r w:rsidR="002877C6" w:rsidRPr="001811A6">
              <w:rPr>
                <w:b/>
                <w:i/>
              </w:rPr>
              <w:t>5) calculated</w:t>
            </w:r>
          </w:p>
          <w:p w:rsidR="00D14094" w:rsidRPr="001811A6" w:rsidRDefault="00D14094" w:rsidP="00C65CFF">
            <w:pPr>
              <w:pStyle w:val="TableText0"/>
              <w:spacing w:before="0" w:after="0"/>
              <w:rPr>
                <w:b/>
                <w:i/>
                <w:vertAlign w:val="superscript"/>
              </w:rPr>
            </w:pPr>
            <w:r w:rsidRPr="001811A6">
              <w:rPr>
                <w:b/>
                <w:i/>
              </w:rPr>
              <w:t>Surgery response rate (90.7%)</w:t>
            </w:r>
            <w:r w:rsidR="002877C6" w:rsidRPr="001811A6">
              <w:rPr>
                <w:b/>
                <w:i/>
                <w:vertAlign w:val="superscript"/>
              </w:rPr>
              <w:t>c</w:t>
            </w:r>
          </w:p>
          <w:p w:rsidR="00C65CFF" w:rsidRPr="001811A6" w:rsidRDefault="00C65CFF" w:rsidP="00C65CFF">
            <w:pPr>
              <w:pStyle w:val="TableText0"/>
              <w:spacing w:before="0" w:after="0"/>
              <w:rPr>
                <w:b/>
                <w:i/>
              </w:rPr>
            </w:pPr>
            <w:r w:rsidRPr="001811A6">
              <w:rPr>
                <w:b/>
                <w:i/>
              </w:rPr>
              <w:t>New base case</w:t>
            </w:r>
          </w:p>
        </w:tc>
        <w:tc>
          <w:tcPr>
            <w:tcW w:w="778" w:type="pct"/>
            <w:tcBorders>
              <w:top w:val="single" w:sz="4" w:space="0" w:color="auto"/>
              <w:left w:val="single" w:sz="4" w:space="0" w:color="auto"/>
              <w:bottom w:val="single" w:sz="4" w:space="0" w:color="auto"/>
              <w:right w:val="single" w:sz="4" w:space="0" w:color="auto"/>
            </w:tcBorders>
            <w:vAlign w:val="bottom"/>
          </w:tcPr>
          <w:p w:rsidR="00D14094" w:rsidRPr="00CD6879" w:rsidRDefault="00950905" w:rsidP="00C65CFF">
            <w:pPr>
              <w:snapToGrid w:val="0"/>
              <w:spacing w:after="100" w:afterAutospacing="1"/>
              <w:jc w:val="center"/>
              <w:rPr>
                <w:rFonts w:ascii="Arial Narrow" w:hAnsi="Arial Narrow" w:cs="Arial Narrow"/>
                <w:b/>
                <w:i/>
                <w:snapToGrid/>
                <w:sz w:val="20"/>
              </w:rPr>
            </w:pPr>
            <w:r>
              <w:rPr>
                <w:rFonts w:ascii="Arial Narrow" w:hAnsi="Arial Narrow" w:cs="Arial Narrow"/>
                <w:b/>
                <w:i/>
                <w:noProof/>
                <w:snapToGrid/>
                <w:color w:val="000000"/>
                <w:sz w:val="20"/>
                <w:highlight w:val="black"/>
              </w:rPr>
              <w:t>'''''''''</w:t>
            </w:r>
            <w:r w:rsidR="00D14094" w:rsidRPr="00CD6879">
              <w:rPr>
                <w:rFonts w:ascii="Arial Narrow" w:hAnsi="Arial Narrow" w:cs="Arial Narrow"/>
                <w:b/>
                <w:i/>
                <w:snapToGrid/>
                <w:sz w:val="20"/>
              </w:rPr>
              <w:t>%</w:t>
            </w:r>
          </w:p>
        </w:tc>
        <w:tc>
          <w:tcPr>
            <w:tcW w:w="775" w:type="pct"/>
            <w:tcBorders>
              <w:top w:val="single" w:sz="4" w:space="0" w:color="auto"/>
              <w:left w:val="single" w:sz="4" w:space="0" w:color="auto"/>
              <w:bottom w:val="single" w:sz="4" w:space="0" w:color="auto"/>
              <w:right w:val="single" w:sz="4" w:space="0" w:color="auto"/>
            </w:tcBorders>
            <w:vAlign w:val="bottom"/>
          </w:tcPr>
          <w:p w:rsidR="00D14094" w:rsidRPr="001811A6" w:rsidRDefault="00D14094" w:rsidP="00C65CFF">
            <w:pPr>
              <w:pStyle w:val="TableText0"/>
              <w:spacing w:before="0" w:after="100" w:afterAutospacing="1"/>
              <w:jc w:val="right"/>
              <w:rPr>
                <w:b/>
                <w:i/>
              </w:rPr>
            </w:pPr>
            <w:r w:rsidRPr="001811A6">
              <w:rPr>
                <w:b/>
                <w:i/>
              </w:rPr>
              <w:t>$</w:t>
            </w:r>
            <w:r w:rsidR="00950905">
              <w:rPr>
                <w:b/>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bottom"/>
          </w:tcPr>
          <w:p w:rsidR="00D14094" w:rsidRPr="001811A6" w:rsidRDefault="00D14094" w:rsidP="00C65CFF">
            <w:pPr>
              <w:pStyle w:val="TableText0"/>
              <w:spacing w:before="0" w:after="100" w:afterAutospacing="1"/>
              <w:jc w:val="right"/>
              <w:rPr>
                <w:b/>
                <w:i/>
              </w:rPr>
            </w:pPr>
            <w:r w:rsidRPr="001811A6">
              <w:rPr>
                <w:b/>
                <w:i/>
              </w:rPr>
              <w:t>$</w:t>
            </w:r>
            <w:r w:rsidR="00950905">
              <w:rPr>
                <w:b/>
                <w:i/>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bottom"/>
          </w:tcPr>
          <w:p w:rsidR="00D14094" w:rsidRPr="001811A6" w:rsidRDefault="00D14094" w:rsidP="00C65CFF">
            <w:pPr>
              <w:pStyle w:val="TableText0"/>
              <w:spacing w:before="0" w:after="100" w:afterAutospacing="1"/>
              <w:jc w:val="right"/>
              <w:rPr>
                <w:b/>
                <w:i/>
              </w:rPr>
            </w:pPr>
          </w:p>
        </w:tc>
        <w:tc>
          <w:tcPr>
            <w:tcW w:w="517" w:type="pct"/>
            <w:tcBorders>
              <w:top w:val="single" w:sz="4" w:space="0" w:color="auto"/>
              <w:left w:val="single" w:sz="4" w:space="0" w:color="auto"/>
              <w:bottom w:val="single" w:sz="4" w:space="0" w:color="auto"/>
              <w:right w:val="single" w:sz="4" w:space="0" w:color="auto"/>
            </w:tcBorders>
            <w:vAlign w:val="bottom"/>
          </w:tcPr>
          <w:p w:rsidR="00D14094" w:rsidRPr="001811A6" w:rsidRDefault="00D14094" w:rsidP="00C65CFF">
            <w:pPr>
              <w:pStyle w:val="TableText0"/>
              <w:spacing w:before="0" w:after="100" w:afterAutospacing="1"/>
              <w:jc w:val="right"/>
              <w:rPr>
                <w:b/>
                <w:i/>
              </w:rPr>
            </w:pPr>
          </w:p>
        </w:tc>
      </w:tr>
      <w:tr w:rsidR="008133FC" w:rsidRPr="001811A6" w:rsidTr="00D14094">
        <w:tc>
          <w:tcPr>
            <w:tcW w:w="163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rPr>
                <w:i/>
              </w:rPr>
            </w:pPr>
            <w:r w:rsidRPr="001811A6">
              <w:rPr>
                <w:i/>
              </w:rPr>
              <w:t>Proportion free of further disfigurement in vismodegib (80%)</w:t>
            </w:r>
          </w:p>
        </w:tc>
        <w:tc>
          <w:tcPr>
            <w:tcW w:w="778" w:type="pct"/>
            <w:tcBorders>
              <w:top w:val="single" w:sz="4" w:space="0" w:color="auto"/>
              <w:left w:val="single" w:sz="4" w:space="0" w:color="auto"/>
              <w:bottom w:val="single" w:sz="4" w:space="0" w:color="auto"/>
              <w:right w:val="single" w:sz="4" w:space="0" w:color="auto"/>
            </w:tcBorders>
            <w:vAlign w:val="center"/>
          </w:tcPr>
          <w:p w:rsidR="008133FC" w:rsidRPr="00CD6879" w:rsidRDefault="00950905" w:rsidP="00822412">
            <w:pPr>
              <w:snapToGrid w:val="0"/>
              <w:spacing w:after="100" w:afterAutospacing="1"/>
              <w:jc w:val="center"/>
              <w:rPr>
                <w:rFonts w:ascii="Arial Narrow" w:hAnsi="Arial Narrow"/>
                <w:i/>
                <w:sz w:val="20"/>
              </w:rPr>
            </w:pPr>
            <w:r>
              <w:rPr>
                <w:rFonts w:ascii="Arial Narrow" w:hAnsi="Arial Narrow"/>
                <w:i/>
                <w:noProof/>
                <w:color w:val="000000"/>
                <w:sz w:val="20"/>
                <w:highlight w:val="black"/>
              </w:rPr>
              <w:t>'''''''''''</w:t>
            </w:r>
            <w:r w:rsidR="008133FC" w:rsidRPr="00CD6879">
              <w:rPr>
                <w:rFonts w:ascii="Arial Narrow" w:hAnsi="Arial Narrow"/>
                <w:i/>
                <w:sz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r>
      <w:tr w:rsidR="008133FC" w:rsidRPr="001811A6" w:rsidTr="00D14094">
        <w:tc>
          <w:tcPr>
            <w:tcW w:w="163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443C8C">
            <w:pPr>
              <w:pStyle w:val="TableText0"/>
              <w:spacing w:before="0" w:after="100" w:afterAutospacing="1"/>
              <w:rPr>
                <w:i/>
              </w:rPr>
            </w:pPr>
            <w:r w:rsidRPr="001811A6">
              <w:rPr>
                <w:i/>
              </w:rPr>
              <w:t xml:space="preserve">All </w:t>
            </w:r>
            <w:r w:rsidR="002F79DB" w:rsidRPr="001811A6">
              <w:rPr>
                <w:i/>
              </w:rPr>
              <w:t xml:space="preserve">patients starting treatment </w:t>
            </w:r>
            <w:r w:rsidRPr="001811A6">
              <w:rPr>
                <w:i/>
              </w:rPr>
              <w:t xml:space="preserve">receive </w:t>
            </w:r>
            <w:r w:rsidR="00950905">
              <w:rPr>
                <w:i/>
                <w:noProof/>
                <w:color w:val="000000"/>
                <w:highlight w:val="black"/>
              </w:rPr>
              <w:t xml:space="preserve">''' </w:t>
            </w:r>
            <w:r w:rsidRPr="001811A6">
              <w:rPr>
                <w:i/>
              </w:rPr>
              <w:t>packs at 100% dose intensity</w:t>
            </w:r>
          </w:p>
        </w:tc>
        <w:tc>
          <w:tcPr>
            <w:tcW w:w="778" w:type="pct"/>
            <w:tcBorders>
              <w:top w:val="single" w:sz="4" w:space="0" w:color="auto"/>
              <w:left w:val="single" w:sz="4" w:space="0" w:color="auto"/>
              <w:bottom w:val="single" w:sz="4" w:space="0" w:color="auto"/>
              <w:right w:val="single" w:sz="4" w:space="0" w:color="auto"/>
            </w:tcBorders>
            <w:vAlign w:val="center"/>
          </w:tcPr>
          <w:p w:rsidR="008133FC" w:rsidRPr="00CD6879" w:rsidRDefault="00950905" w:rsidP="00822412">
            <w:pPr>
              <w:snapToGrid w:val="0"/>
              <w:spacing w:after="100" w:afterAutospacing="1"/>
              <w:jc w:val="center"/>
              <w:rPr>
                <w:rFonts w:ascii="Arial Narrow" w:hAnsi="Arial Narrow"/>
                <w:i/>
                <w:sz w:val="20"/>
              </w:rPr>
            </w:pPr>
            <w:r>
              <w:rPr>
                <w:rFonts w:ascii="Arial Narrow" w:hAnsi="Arial Narrow"/>
                <w:i/>
                <w:noProof/>
                <w:color w:val="000000"/>
                <w:sz w:val="20"/>
                <w:highlight w:val="black"/>
              </w:rPr>
              <w:t>''''''''''</w:t>
            </w:r>
            <w:r w:rsidR="008133FC" w:rsidRPr="00CD6879">
              <w:rPr>
                <w:rFonts w:ascii="Arial Narrow" w:hAnsi="Arial Narrow"/>
                <w:i/>
                <w:sz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775"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c>
          <w:tcPr>
            <w:tcW w:w="517" w:type="pct"/>
            <w:tcBorders>
              <w:top w:val="single" w:sz="4" w:space="0" w:color="auto"/>
              <w:left w:val="single" w:sz="4" w:space="0" w:color="auto"/>
              <w:bottom w:val="single" w:sz="4" w:space="0" w:color="auto"/>
              <w:right w:val="single" w:sz="4" w:space="0" w:color="auto"/>
            </w:tcBorders>
            <w:vAlign w:val="center"/>
          </w:tcPr>
          <w:p w:rsidR="008133FC" w:rsidRPr="001811A6" w:rsidRDefault="008133FC" w:rsidP="00822412">
            <w:pPr>
              <w:pStyle w:val="TableText0"/>
              <w:spacing w:before="0" w:after="100" w:afterAutospacing="1"/>
              <w:jc w:val="right"/>
              <w:rPr>
                <w:i/>
              </w:rPr>
            </w:pPr>
            <w:r w:rsidRPr="001811A6">
              <w:rPr>
                <w:i/>
              </w:rPr>
              <w:t>$</w:t>
            </w:r>
            <w:r w:rsidR="00950905">
              <w:rPr>
                <w:i/>
                <w:noProof/>
                <w:color w:val="000000"/>
                <w:highlight w:val="black"/>
              </w:rPr>
              <w:t>''''''''''''''''''''</w:t>
            </w:r>
          </w:p>
        </w:tc>
      </w:tr>
    </w:tbl>
    <w:p w:rsidR="008133FC" w:rsidRPr="001811A6" w:rsidRDefault="008133FC" w:rsidP="008133FC">
      <w:pPr>
        <w:pStyle w:val="TableFooter"/>
        <w:ind w:left="720"/>
        <w:rPr>
          <w:i/>
        </w:rPr>
      </w:pPr>
      <w:r w:rsidRPr="001811A6">
        <w:t>Source: Table D.2.3, p6 of Section D of the submission</w:t>
      </w:r>
      <w:r w:rsidR="00F02C71" w:rsidRPr="001811A6">
        <w:t>;</w:t>
      </w:r>
      <w:r w:rsidRPr="001811A6">
        <w:t xml:space="preserve"> </w:t>
      </w:r>
      <w:r w:rsidRPr="001811A6">
        <w:rPr>
          <w:i/>
        </w:rPr>
        <w:t>and compiled during evaluation</w:t>
      </w:r>
    </w:p>
    <w:p w:rsidR="008133FC" w:rsidRPr="001811A6" w:rsidRDefault="008133FC" w:rsidP="008133FC">
      <w:pPr>
        <w:pStyle w:val="TableFooter"/>
        <w:ind w:left="720"/>
      </w:pPr>
      <w:r w:rsidRPr="001811A6">
        <w:t>ICER = incremental cost-effectiveness ratio; EOC = episode of care</w:t>
      </w:r>
    </w:p>
    <w:p w:rsidR="002F79DB" w:rsidRPr="001811A6" w:rsidRDefault="002F79DB" w:rsidP="002F79DB">
      <w:pPr>
        <w:pStyle w:val="TableFooter"/>
        <w:ind w:firstLine="720"/>
      </w:pPr>
      <w:r w:rsidRPr="001811A6">
        <w:rPr>
          <w:vertAlign w:val="superscript"/>
        </w:rPr>
        <w:t>a</w:t>
      </w:r>
      <w:r w:rsidRPr="001811A6">
        <w:t xml:space="preserve"> $</w:t>
      </w:r>
      <w:r w:rsidR="00950905">
        <w:rPr>
          <w:noProof/>
          <w:color w:val="000000"/>
          <w:highlight w:val="black"/>
        </w:rPr>
        <w:t>'''''''''''''''</w:t>
      </w:r>
      <w:r w:rsidRPr="001811A6">
        <w:t xml:space="preserve"> when checked in the Economic Evaluation.xlxs of the submission</w:t>
      </w:r>
    </w:p>
    <w:p w:rsidR="000F2F9F" w:rsidRPr="001811A6" w:rsidRDefault="000F2F9F" w:rsidP="002F79DB">
      <w:pPr>
        <w:pStyle w:val="TableFooter"/>
        <w:ind w:firstLine="720"/>
      </w:pPr>
      <w:r w:rsidRPr="001811A6">
        <w:rPr>
          <w:vertAlign w:val="superscript"/>
        </w:rPr>
        <w:t>b</w:t>
      </w:r>
      <w:r w:rsidRPr="001811A6">
        <w:t xml:space="preserve"> The EOC cap was </w:t>
      </w:r>
      <w:r w:rsidR="00950905">
        <w:rPr>
          <w:noProof/>
          <w:color w:val="000000"/>
          <w:highlight w:val="black"/>
        </w:rPr>
        <w:t>''''''''''''</w:t>
      </w:r>
      <w:r w:rsidRPr="001811A6">
        <w:t xml:space="preserve"> packs per patient treated with vismodegib</w:t>
      </w:r>
    </w:p>
    <w:p w:rsidR="002877C6" w:rsidRPr="001811A6" w:rsidRDefault="002877C6" w:rsidP="002F79DB">
      <w:pPr>
        <w:pStyle w:val="TableFooter"/>
        <w:ind w:firstLine="720"/>
      </w:pPr>
      <w:r w:rsidRPr="001811A6">
        <w:rPr>
          <w:vertAlign w:val="superscript"/>
        </w:rPr>
        <w:t>c</w:t>
      </w:r>
      <w:r w:rsidRPr="001811A6">
        <w:t xml:space="preserve"> Calculated by the sponsor in the PSCR (p, 5) the ICER is </w:t>
      </w:r>
      <w:r w:rsidR="00C65CFF" w:rsidRPr="001811A6">
        <w:t>slightly higher than that calculated during the evaluation.</w:t>
      </w:r>
    </w:p>
    <w:p w:rsidR="00C65CFF" w:rsidRPr="001811A6" w:rsidRDefault="00C65CFF" w:rsidP="008133FC">
      <w:pPr>
        <w:pStyle w:val="ListParagraph"/>
        <w:widowControl/>
        <w:rPr>
          <w:szCs w:val="22"/>
        </w:rPr>
      </w:pPr>
    </w:p>
    <w:p w:rsidR="003F04E9" w:rsidRPr="001811A6" w:rsidRDefault="003F04E9" w:rsidP="00B4462B">
      <w:pPr>
        <w:pStyle w:val="ListParagraph"/>
        <w:widowControl/>
        <w:numPr>
          <w:ilvl w:val="1"/>
          <w:numId w:val="1"/>
        </w:numPr>
      </w:pPr>
      <w:r w:rsidRPr="001811A6">
        <w:rPr>
          <w:szCs w:val="22"/>
        </w:rPr>
        <w:t>The PSCR acknowledged th</w:t>
      </w:r>
      <w:r w:rsidR="00B51A3C" w:rsidRPr="001811A6">
        <w:rPr>
          <w:szCs w:val="22"/>
        </w:rPr>
        <w:t>at</w:t>
      </w:r>
      <w:r w:rsidRPr="001811A6">
        <w:rPr>
          <w:szCs w:val="22"/>
        </w:rPr>
        <w:t xml:space="preserve"> in terms of the different definitions of response rate used in the vismodegib and surgery studies, Roche recognise</w:t>
      </w:r>
      <w:r w:rsidR="00B12C50" w:rsidRPr="001811A6">
        <w:rPr>
          <w:szCs w:val="22"/>
        </w:rPr>
        <w:t>d</w:t>
      </w:r>
      <w:r w:rsidRPr="001811A6">
        <w:rPr>
          <w:szCs w:val="22"/>
        </w:rPr>
        <w:t xml:space="preserve"> the uncertainty associated with the clinical comparison p</w:t>
      </w:r>
      <w:r w:rsidR="00B12C50" w:rsidRPr="001811A6">
        <w:rPr>
          <w:szCs w:val="22"/>
        </w:rPr>
        <w:t>resented in the submission and wa</w:t>
      </w:r>
      <w:r w:rsidRPr="001811A6">
        <w:rPr>
          <w:szCs w:val="22"/>
        </w:rPr>
        <w:t>s willing to accept the modification to the surgical response rate, to 90.7% as noted in Table</w:t>
      </w:r>
      <w:r w:rsidR="00544D61" w:rsidRPr="001811A6">
        <w:rPr>
          <w:szCs w:val="22"/>
        </w:rPr>
        <w:t> </w:t>
      </w:r>
      <w:r w:rsidRPr="001811A6">
        <w:rPr>
          <w:szCs w:val="22"/>
        </w:rPr>
        <w:t xml:space="preserve">9. This </w:t>
      </w:r>
      <w:r w:rsidR="00B12C50" w:rsidRPr="001811A6">
        <w:rPr>
          <w:szCs w:val="22"/>
        </w:rPr>
        <w:t xml:space="preserve">was </w:t>
      </w:r>
      <w:r w:rsidRPr="001811A6">
        <w:rPr>
          <w:szCs w:val="22"/>
        </w:rPr>
        <w:t>considered the new base case</w:t>
      </w:r>
      <w:r w:rsidR="00B51A3C" w:rsidRPr="001811A6">
        <w:rPr>
          <w:szCs w:val="22"/>
        </w:rPr>
        <w:t xml:space="preserve"> by the ESC and PBAC</w:t>
      </w:r>
      <w:r w:rsidRPr="001811A6">
        <w:rPr>
          <w:szCs w:val="22"/>
        </w:rPr>
        <w:t>.</w:t>
      </w:r>
    </w:p>
    <w:p w:rsidR="003F04E9" w:rsidRPr="001811A6" w:rsidRDefault="003F04E9" w:rsidP="003F04E9">
      <w:pPr>
        <w:pStyle w:val="ListParagraph"/>
        <w:widowControl/>
      </w:pPr>
    </w:p>
    <w:p w:rsidR="00A86E8B" w:rsidRPr="001811A6" w:rsidRDefault="008133FC" w:rsidP="00B4462B">
      <w:pPr>
        <w:pStyle w:val="ListParagraph"/>
        <w:widowControl/>
        <w:numPr>
          <w:ilvl w:val="1"/>
          <w:numId w:val="1"/>
        </w:numPr>
      </w:pPr>
      <w:r w:rsidRPr="001811A6">
        <w:t>The univariate sensitivity analyses conducted by the submission</w:t>
      </w:r>
      <w:r w:rsidR="00515489" w:rsidRPr="001811A6">
        <w:t xml:space="preserve"> (i.e. on the result reported as the base case in Table 9, rather than the new base case)</w:t>
      </w:r>
      <w:r w:rsidRPr="001811A6">
        <w:t xml:space="preserve"> resulted in an </w:t>
      </w:r>
      <w:r w:rsidRPr="001811A6">
        <w:lastRenderedPageBreak/>
        <w:t>ICER rang</w:t>
      </w:r>
      <w:r w:rsidR="00FB08FC" w:rsidRPr="001811A6">
        <w:t>ing</w:t>
      </w:r>
      <w:r w:rsidRPr="001811A6">
        <w:t xml:space="preserve"> from </w:t>
      </w:r>
      <w:r w:rsidR="00363902">
        <w:t xml:space="preserve"> $45,000 - $75,000 </w:t>
      </w:r>
      <w:r w:rsidR="00673D34" w:rsidRPr="001811A6">
        <w:t xml:space="preserve">per </w:t>
      </w:r>
      <w:r w:rsidR="00A266C6" w:rsidRPr="001811A6">
        <w:t>disfigurement-</w:t>
      </w:r>
      <w:r w:rsidR="007F7F53" w:rsidRPr="001811A6">
        <w:t xml:space="preserve">free response taking into account the EOC cap and a </w:t>
      </w:r>
      <w:r w:rsidR="00673D34" w:rsidRPr="001811A6">
        <w:t xml:space="preserve">range from </w:t>
      </w:r>
      <w:r w:rsidR="00363902">
        <w:t xml:space="preserve"> $105,000 - $200,000</w:t>
      </w:r>
      <w:r w:rsidR="00673D34" w:rsidRPr="001811A6">
        <w:t xml:space="preserve">per </w:t>
      </w:r>
      <w:r w:rsidR="00A266C6" w:rsidRPr="001811A6">
        <w:t>disfigurement-</w:t>
      </w:r>
      <w:r w:rsidR="007F7F53" w:rsidRPr="001811A6">
        <w:t>free response when no EOC cap was in place</w:t>
      </w:r>
      <w:r w:rsidRPr="001811A6">
        <w:t xml:space="preserve">. Analyses performed during evaluation, resulted in higher </w:t>
      </w:r>
      <w:r w:rsidR="007F7F53" w:rsidRPr="001811A6">
        <w:t xml:space="preserve">ICERs </w:t>
      </w:r>
      <w:r w:rsidR="00544D61" w:rsidRPr="001811A6">
        <w:t xml:space="preserve">of </w:t>
      </w:r>
      <w:r w:rsidR="007F7F53" w:rsidRPr="001811A6">
        <w:t xml:space="preserve">up to </w:t>
      </w:r>
      <w:r w:rsidR="00363902">
        <w:t xml:space="preserve">$75,000 - $105,000 </w:t>
      </w:r>
      <w:r w:rsidR="007F7F53" w:rsidRPr="001811A6">
        <w:t xml:space="preserve">(with EOC cap) and </w:t>
      </w:r>
      <w:r w:rsidR="00363902">
        <w:t>$105,000 - $200,000</w:t>
      </w:r>
      <w:r w:rsidR="00363902" w:rsidRPr="001811A6">
        <w:t xml:space="preserve"> </w:t>
      </w:r>
      <w:r w:rsidR="007F7F53" w:rsidRPr="001811A6">
        <w:t>(no EOC cap)</w:t>
      </w:r>
      <w:r w:rsidR="00673D34" w:rsidRPr="001811A6">
        <w:t xml:space="preserve"> per</w:t>
      </w:r>
      <w:r w:rsidR="00A266C6" w:rsidRPr="001811A6">
        <w:t xml:space="preserve"> disfigurement-</w:t>
      </w:r>
      <w:r w:rsidR="007F7F53" w:rsidRPr="001811A6">
        <w:t xml:space="preserve">free response </w:t>
      </w:r>
      <w:r w:rsidR="00673D34" w:rsidRPr="001811A6">
        <w:t>with the key drivers being</w:t>
      </w:r>
      <w:r w:rsidRPr="001811A6">
        <w:t xml:space="preserve"> </w:t>
      </w:r>
      <w:r w:rsidR="007F7F53" w:rsidRPr="001811A6">
        <w:t>response rate,</w:t>
      </w:r>
      <w:r w:rsidR="00673D34" w:rsidRPr="001811A6">
        <w:t xml:space="preserve"> the</w:t>
      </w:r>
      <w:r w:rsidR="007F7F53" w:rsidRPr="001811A6">
        <w:t xml:space="preserve"> proportion of patients receiving </w:t>
      </w:r>
      <w:r w:rsidR="00673D34" w:rsidRPr="001811A6">
        <w:t>vismodegib</w:t>
      </w:r>
      <w:r w:rsidR="007F7F53" w:rsidRPr="001811A6">
        <w:t xml:space="preserve">, and </w:t>
      </w:r>
      <w:r w:rsidR="00673D34" w:rsidRPr="001811A6">
        <w:t xml:space="preserve">the </w:t>
      </w:r>
      <w:r w:rsidR="007F7F53" w:rsidRPr="001811A6">
        <w:t>proportion free of further disfigurement</w:t>
      </w:r>
      <w:r w:rsidRPr="001811A6">
        <w:t xml:space="preserve">. </w:t>
      </w:r>
      <w:r w:rsidR="00C65CFF" w:rsidRPr="001811A6">
        <w:t xml:space="preserve">The </w:t>
      </w:r>
      <w:r w:rsidR="005F388C" w:rsidRPr="001811A6">
        <w:t xml:space="preserve">ESC </w:t>
      </w:r>
      <w:r w:rsidR="00544D61" w:rsidRPr="001811A6">
        <w:t xml:space="preserve">considered </w:t>
      </w:r>
      <w:r w:rsidR="005F388C" w:rsidRPr="001811A6">
        <w:t xml:space="preserve">that the response rates differ a lot between metastatic and locally advanced disease. </w:t>
      </w:r>
      <w:r w:rsidR="00FF46F1" w:rsidRPr="001811A6">
        <w:t>While t</w:t>
      </w:r>
      <w:r w:rsidR="005F388C" w:rsidRPr="001811A6">
        <w:t>he proposed listing treats these as one population,</w:t>
      </w:r>
      <w:r w:rsidR="00FF46F1" w:rsidRPr="001811A6">
        <w:t xml:space="preserve"> </w:t>
      </w:r>
      <w:r w:rsidR="00544D61" w:rsidRPr="001811A6">
        <w:t xml:space="preserve">the </w:t>
      </w:r>
      <w:r w:rsidR="00FF46F1" w:rsidRPr="001811A6">
        <w:t>ESC considered that</w:t>
      </w:r>
      <w:r w:rsidR="005F388C" w:rsidRPr="001811A6">
        <w:t xml:space="preserve"> the ICER would most likely be quite different in</w:t>
      </w:r>
      <w:r w:rsidR="00FF46F1" w:rsidRPr="001811A6">
        <w:t xml:space="preserve"> the</w:t>
      </w:r>
      <w:r w:rsidR="005F388C" w:rsidRPr="001811A6">
        <w:t xml:space="preserve"> two groups</w:t>
      </w:r>
      <w:r w:rsidR="00FF46F1" w:rsidRPr="001811A6">
        <w:t>;</w:t>
      </w:r>
      <w:r w:rsidR="005F388C" w:rsidRPr="001811A6">
        <w:t xml:space="preserve"> however, it was not possible to show this clearly.</w:t>
      </w:r>
    </w:p>
    <w:p w:rsidR="003357CB" w:rsidRPr="001811A6" w:rsidRDefault="003357CB" w:rsidP="00E24DFC">
      <w:pPr>
        <w:pStyle w:val="ListParagraph"/>
        <w:widowControl/>
      </w:pPr>
    </w:p>
    <w:p w:rsidR="003357CB" w:rsidRPr="001811A6" w:rsidRDefault="003357CB" w:rsidP="00B4462B">
      <w:pPr>
        <w:pStyle w:val="ListParagraph"/>
        <w:widowControl/>
        <w:numPr>
          <w:ilvl w:val="1"/>
          <w:numId w:val="1"/>
        </w:numPr>
      </w:pPr>
      <w:r w:rsidRPr="001811A6">
        <w:t>The PBAC considered that the</w:t>
      </w:r>
      <w:r w:rsidR="00EC0495">
        <w:t xml:space="preserve"> </w:t>
      </w:r>
      <w:r w:rsidR="00200D32">
        <w:t xml:space="preserve">most plausible </w:t>
      </w:r>
      <w:r w:rsidR="00C112EF">
        <w:t>estimates</w:t>
      </w:r>
      <w:r w:rsidR="00200D32">
        <w:t xml:space="preserve"> </w:t>
      </w:r>
      <w:r w:rsidR="00C112EF">
        <w:t xml:space="preserve">for the economic model included a </w:t>
      </w:r>
      <w:r w:rsidR="00200D32">
        <w:t>disfigurement rate associated with vismodegib</w:t>
      </w:r>
      <w:r w:rsidR="00C112EF">
        <w:t xml:space="preserve"> of </w:t>
      </w:r>
      <w:r w:rsidR="00200D32">
        <w:t xml:space="preserve">20%, </w:t>
      </w:r>
      <w:r w:rsidR="00C112EF">
        <w:t xml:space="preserve">a </w:t>
      </w:r>
      <w:r w:rsidR="00AF1C0B">
        <w:t xml:space="preserve">vismodegib response rate of 50%, and </w:t>
      </w:r>
      <w:r w:rsidR="00CB3195">
        <w:t xml:space="preserve">a </w:t>
      </w:r>
      <w:r w:rsidR="00200D32" w:rsidRPr="001811A6">
        <w:rPr>
          <w:szCs w:val="22"/>
        </w:rPr>
        <w:t>surgical response rate</w:t>
      </w:r>
      <w:r w:rsidR="00200D32">
        <w:rPr>
          <w:szCs w:val="22"/>
        </w:rPr>
        <w:t xml:space="preserve"> of </w:t>
      </w:r>
      <w:r w:rsidR="00200D32" w:rsidRPr="001811A6">
        <w:rPr>
          <w:szCs w:val="22"/>
        </w:rPr>
        <w:t>90.7%</w:t>
      </w:r>
      <w:r w:rsidR="009C5BF3">
        <w:rPr>
          <w:szCs w:val="22"/>
        </w:rPr>
        <w:t xml:space="preserve">. </w:t>
      </w:r>
      <w:r w:rsidR="002539D4">
        <w:rPr>
          <w:szCs w:val="22"/>
        </w:rPr>
        <w:t xml:space="preserve">At least a </w:t>
      </w:r>
      <w:r w:rsidR="00950905">
        <w:rPr>
          <w:noProof/>
          <w:color w:val="000000"/>
          <w:szCs w:val="22"/>
          <w:highlight w:val="black"/>
        </w:rPr>
        <w:t>''''''</w:t>
      </w:r>
      <w:r w:rsidR="002539D4">
        <w:rPr>
          <w:szCs w:val="22"/>
        </w:rPr>
        <w:t xml:space="preserve">% reduction in drug price would be required to achieve </w:t>
      </w:r>
      <w:r w:rsidR="009C5BF3">
        <w:rPr>
          <w:szCs w:val="22"/>
        </w:rPr>
        <w:t xml:space="preserve">an ICER </w:t>
      </w:r>
      <w:r w:rsidR="008F2EE8">
        <w:rPr>
          <w:szCs w:val="22"/>
        </w:rPr>
        <w:t>between</w:t>
      </w:r>
      <w:r w:rsidR="009C5BF3">
        <w:rPr>
          <w:szCs w:val="22"/>
        </w:rPr>
        <w:t xml:space="preserve"> </w:t>
      </w:r>
      <w:r w:rsidR="00363902">
        <w:t xml:space="preserve">$45,000 - $75,000 </w:t>
      </w:r>
      <w:r w:rsidR="009C5BF3" w:rsidRPr="001811A6">
        <w:t>per disfigurement-</w:t>
      </w:r>
      <w:r w:rsidR="009C5BF3">
        <w:t xml:space="preserve">free responder </w:t>
      </w:r>
      <w:r w:rsidR="008F2EE8">
        <w:t xml:space="preserve">using the </w:t>
      </w:r>
      <w:r w:rsidR="002E147A">
        <w:t xml:space="preserve">average treatment duration of </w:t>
      </w:r>
      <w:r w:rsidR="00950905">
        <w:rPr>
          <w:noProof/>
          <w:color w:val="000000"/>
          <w:highlight w:val="black"/>
        </w:rPr>
        <w:t>'''''''''''''''</w:t>
      </w:r>
      <w:r w:rsidR="002E147A">
        <w:t xml:space="preserve"> weeks, as </w:t>
      </w:r>
      <w:r w:rsidR="008F2EE8">
        <w:t>proposed</w:t>
      </w:r>
      <w:r w:rsidR="009C5BF3">
        <w:t xml:space="preserve"> </w:t>
      </w:r>
      <w:r w:rsidR="002E147A">
        <w:t xml:space="preserve">in the </w:t>
      </w:r>
      <w:r w:rsidR="009C5BF3">
        <w:t>EOC cap</w:t>
      </w:r>
      <w:r w:rsidR="002539D4">
        <w:t xml:space="preserve">. </w:t>
      </w:r>
    </w:p>
    <w:p w:rsidR="00C25D9C" w:rsidRPr="001811A6" w:rsidRDefault="00C25D9C" w:rsidP="00C25D9C">
      <w:pPr>
        <w:widowControl/>
        <w:rPr>
          <w:szCs w:val="22"/>
        </w:rPr>
      </w:pPr>
    </w:p>
    <w:p w:rsidR="00C25D9C" w:rsidRPr="001811A6" w:rsidRDefault="00C25D9C" w:rsidP="003C1346">
      <w:pPr>
        <w:pStyle w:val="Heading2"/>
      </w:pPr>
      <w:bookmarkStart w:id="26" w:name="_Toc436831776"/>
      <w:bookmarkStart w:id="27" w:name="_Toc441050281"/>
      <w:r w:rsidRPr="001811A6">
        <w:t>Drug cost/patient</w:t>
      </w:r>
      <w:bookmarkEnd w:id="26"/>
      <w:bookmarkEnd w:id="27"/>
      <w:r w:rsidR="00544D61" w:rsidRPr="001811A6">
        <w:t>/course</w:t>
      </w:r>
    </w:p>
    <w:p w:rsidR="00C25D9C" w:rsidRPr="001811A6" w:rsidRDefault="00C25D9C" w:rsidP="00C25D9C">
      <w:pPr>
        <w:widowControl/>
        <w:rPr>
          <w:szCs w:val="22"/>
        </w:rPr>
      </w:pPr>
    </w:p>
    <w:p w:rsidR="00A86E8B" w:rsidRPr="001811A6" w:rsidRDefault="003A1B3A" w:rsidP="00B4462B">
      <w:pPr>
        <w:pStyle w:val="ListParagraph"/>
        <w:widowControl/>
        <w:numPr>
          <w:ilvl w:val="1"/>
          <w:numId w:val="1"/>
        </w:numPr>
        <w:rPr>
          <w:szCs w:val="22"/>
        </w:rPr>
      </w:pPr>
      <w:r w:rsidRPr="001811A6">
        <w:rPr>
          <w:szCs w:val="22"/>
        </w:rPr>
        <w:t>The estimated average cost per patient per course was $</w:t>
      </w:r>
      <w:r w:rsidR="00950905">
        <w:rPr>
          <w:noProof/>
          <w:color w:val="000000"/>
          <w:szCs w:val="22"/>
          <w:highlight w:val="black"/>
        </w:rPr>
        <w:t>''''''''''''''''</w:t>
      </w:r>
      <w:r w:rsidR="00E00F1E" w:rsidRPr="001811A6">
        <w:rPr>
          <w:szCs w:val="22"/>
        </w:rPr>
        <w:t xml:space="preserve"> based on an</w:t>
      </w:r>
      <w:r w:rsidR="00FF46F1" w:rsidRPr="001811A6">
        <w:rPr>
          <w:szCs w:val="22"/>
        </w:rPr>
        <w:t xml:space="preserve"> </w:t>
      </w:r>
      <w:r w:rsidR="007126C8" w:rsidRPr="001811A6">
        <w:rPr>
          <w:szCs w:val="22"/>
        </w:rPr>
        <w:t>a</w:t>
      </w:r>
      <w:r w:rsidRPr="001811A6">
        <w:rPr>
          <w:szCs w:val="22"/>
        </w:rPr>
        <w:t>verage treatment duration of 50.62 weeks and a 92% compliance rate. Using the EOC cap the estimated average cost per patient per course was $</w:t>
      </w:r>
      <w:r w:rsidR="00950905">
        <w:rPr>
          <w:noProof/>
          <w:color w:val="000000"/>
          <w:szCs w:val="22"/>
          <w:highlight w:val="black"/>
        </w:rPr>
        <w:t>''''''''''''''''</w:t>
      </w:r>
      <w:r w:rsidR="00CE2CA6" w:rsidRPr="001811A6">
        <w:rPr>
          <w:szCs w:val="22"/>
        </w:rPr>
        <w:t xml:space="preserve"> </w:t>
      </w:r>
      <w:r w:rsidRPr="001811A6">
        <w:rPr>
          <w:szCs w:val="22"/>
        </w:rPr>
        <w:t>based on an</w:t>
      </w:r>
      <w:r w:rsidR="00C43942" w:rsidRPr="001811A6">
        <w:rPr>
          <w:szCs w:val="22"/>
        </w:rPr>
        <w:t xml:space="preserve"> </w:t>
      </w:r>
      <w:r w:rsidRPr="001811A6">
        <w:rPr>
          <w:szCs w:val="22"/>
        </w:rPr>
        <w:t xml:space="preserve">average treatment duration of </w:t>
      </w:r>
      <w:r w:rsidR="00950905">
        <w:rPr>
          <w:noProof/>
          <w:color w:val="000000"/>
          <w:szCs w:val="22"/>
          <w:highlight w:val="black"/>
        </w:rPr>
        <w:t>''''''''''''</w:t>
      </w:r>
      <w:r w:rsidRPr="001811A6">
        <w:rPr>
          <w:szCs w:val="22"/>
        </w:rPr>
        <w:t xml:space="preserve"> weeks and a 92% compliance rate.</w:t>
      </w:r>
      <w:r w:rsidR="00C25D9C" w:rsidRPr="001811A6">
        <w:rPr>
          <w:szCs w:val="22"/>
        </w:rPr>
        <w:t xml:space="preserve"> </w:t>
      </w:r>
      <w:r w:rsidR="00CE2CA6" w:rsidRPr="001811A6">
        <w:rPr>
          <w:szCs w:val="22"/>
        </w:rPr>
        <w:t xml:space="preserve">The average treatment length </w:t>
      </w:r>
      <w:r w:rsidR="00F02C71" w:rsidRPr="001811A6">
        <w:rPr>
          <w:szCs w:val="22"/>
        </w:rPr>
        <w:t>was</w:t>
      </w:r>
      <w:r w:rsidR="00CE2CA6" w:rsidRPr="001811A6">
        <w:rPr>
          <w:szCs w:val="22"/>
        </w:rPr>
        <w:t xml:space="preserve"> based on the modelled </w:t>
      </w:r>
      <w:r w:rsidR="00364832" w:rsidRPr="001811A6">
        <w:rPr>
          <w:szCs w:val="22"/>
        </w:rPr>
        <w:t>time to off-treatment</w:t>
      </w:r>
      <w:r w:rsidR="00CE2CA6" w:rsidRPr="001811A6">
        <w:rPr>
          <w:szCs w:val="22"/>
        </w:rPr>
        <w:t xml:space="preserve"> from the STEVIE study, treatment was considered to be ongoing until disease progression or intolerable toxicity was reached in the trial. There was potential for this to be higher in the PBS population as intolerable toxicity was not included in the PBS restriction </w:t>
      </w:r>
      <w:r w:rsidR="004512B3" w:rsidRPr="001811A6">
        <w:rPr>
          <w:szCs w:val="22"/>
        </w:rPr>
        <w:t xml:space="preserve">but was a stopping rule in </w:t>
      </w:r>
      <w:r w:rsidR="00CE2CA6" w:rsidRPr="001811A6">
        <w:rPr>
          <w:szCs w:val="22"/>
        </w:rPr>
        <w:t xml:space="preserve">the STEVIE </w:t>
      </w:r>
      <w:r w:rsidR="004512B3" w:rsidRPr="001811A6">
        <w:rPr>
          <w:szCs w:val="22"/>
        </w:rPr>
        <w:t xml:space="preserve">study. </w:t>
      </w:r>
      <w:r w:rsidR="003B4812" w:rsidRPr="001811A6">
        <w:rPr>
          <w:szCs w:val="22"/>
        </w:rPr>
        <w:t>In addition,</w:t>
      </w:r>
      <w:r w:rsidR="004512B3" w:rsidRPr="001811A6">
        <w:rPr>
          <w:szCs w:val="22"/>
        </w:rPr>
        <w:t xml:space="preserve"> the STEVIE study data </w:t>
      </w:r>
      <w:r w:rsidR="00CE2CA6" w:rsidRPr="001811A6">
        <w:rPr>
          <w:szCs w:val="22"/>
        </w:rPr>
        <w:t>was immature</w:t>
      </w:r>
      <w:r w:rsidR="004512B3" w:rsidRPr="001811A6">
        <w:rPr>
          <w:szCs w:val="22"/>
        </w:rPr>
        <w:t xml:space="preserve"> and the average length of </w:t>
      </w:r>
      <w:r w:rsidR="00AB4EA6" w:rsidRPr="001811A6">
        <w:rPr>
          <w:szCs w:val="22"/>
        </w:rPr>
        <w:t xml:space="preserve">treatment </w:t>
      </w:r>
      <w:r w:rsidR="00AB4EA6">
        <w:rPr>
          <w:szCs w:val="22"/>
        </w:rPr>
        <w:t>may</w:t>
      </w:r>
      <w:r w:rsidR="004512B3" w:rsidRPr="001811A6">
        <w:rPr>
          <w:szCs w:val="22"/>
        </w:rPr>
        <w:t xml:space="preserve"> be longer</w:t>
      </w:r>
      <w:r w:rsidR="00CE2CA6" w:rsidRPr="001811A6">
        <w:rPr>
          <w:szCs w:val="22"/>
        </w:rPr>
        <w:t>.</w:t>
      </w:r>
      <w:r w:rsidR="007126C8" w:rsidRPr="001811A6">
        <w:rPr>
          <w:szCs w:val="22"/>
        </w:rPr>
        <w:t xml:space="preserve"> The PSCR identified that in the commentary, the average cost per patient per course was originally calculated based on </w:t>
      </w:r>
      <w:r w:rsidR="00950905">
        <w:rPr>
          <w:noProof/>
          <w:color w:val="000000"/>
          <w:szCs w:val="22"/>
          <w:highlight w:val="black"/>
        </w:rPr>
        <w:t>''''''''''''</w:t>
      </w:r>
      <w:r w:rsidR="007126C8" w:rsidRPr="001811A6">
        <w:rPr>
          <w:szCs w:val="22"/>
        </w:rPr>
        <w:t xml:space="preserve"> weeks of treatment. The </w:t>
      </w:r>
      <w:r w:rsidR="002539D4">
        <w:rPr>
          <w:szCs w:val="22"/>
        </w:rPr>
        <w:t xml:space="preserve">treatment duration of </w:t>
      </w:r>
      <w:r w:rsidR="00950905">
        <w:rPr>
          <w:noProof/>
          <w:color w:val="000000"/>
          <w:szCs w:val="22"/>
          <w:highlight w:val="black"/>
        </w:rPr>
        <w:t>'''''''''''''</w:t>
      </w:r>
      <w:r w:rsidR="007126C8" w:rsidRPr="001811A6">
        <w:rPr>
          <w:szCs w:val="22"/>
        </w:rPr>
        <w:t xml:space="preserve"> weeks has now been used </w:t>
      </w:r>
      <w:r w:rsidR="002539D4">
        <w:rPr>
          <w:szCs w:val="22"/>
        </w:rPr>
        <w:t xml:space="preserve">in </w:t>
      </w:r>
      <w:r w:rsidR="002E147A">
        <w:rPr>
          <w:szCs w:val="22"/>
        </w:rPr>
        <w:t xml:space="preserve">Paragraph </w:t>
      </w:r>
      <w:r w:rsidR="002539D4">
        <w:rPr>
          <w:szCs w:val="22"/>
        </w:rPr>
        <w:t xml:space="preserve">6.28 </w:t>
      </w:r>
      <w:r w:rsidR="007126C8" w:rsidRPr="001811A6">
        <w:rPr>
          <w:szCs w:val="22"/>
        </w:rPr>
        <w:t>to calculate the average cost per patient per course.</w:t>
      </w:r>
      <w:r w:rsidR="00533198" w:rsidRPr="001811A6">
        <w:rPr>
          <w:szCs w:val="22"/>
        </w:rPr>
        <w:t xml:space="preserve"> The PBAC </w:t>
      </w:r>
      <w:r w:rsidR="00DC5BBA" w:rsidRPr="001811A6">
        <w:rPr>
          <w:szCs w:val="22"/>
        </w:rPr>
        <w:t xml:space="preserve">noted </w:t>
      </w:r>
      <w:r w:rsidR="00533198" w:rsidRPr="001811A6">
        <w:rPr>
          <w:szCs w:val="22"/>
        </w:rPr>
        <w:t>that the uncertainty surrounding the assumptions in the model for average treatment duration, compliance and dose intensity strongly favoured vismodegib.</w:t>
      </w:r>
      <w:r w:rsidR="00536520" w:rsidRPr="001811A6">
        <w:rPr>
          <w:szCs w:val="22"/>
        </w:rPr>
        <w:t xml:space="preserve"> The PBAC did not consider that the average treatment duration of 50.62 weeks was realistic</w:t>
      </w:r>
      <w:r w:rsidR="00FF6EE0">
        <w:rPr>
          <w:szCs w:val="22"/>
        </w:rPr>
        <w:t>,</w:t>
      </w:r>
      <w:r w:rsidR="00536520" w:rsidRPr="001811A6">
        <w:rPr>
          <w:szCs w:val="22"/>
        </w:rPr>
        <w:t xml:space="preserve"> with patients more likely to discontinue treatment early due to </w:t>
      </w:r>
      <w:r w:rsidR="00B51A3C" w:rsidRPr="001811A6">
        <w:rPr>
          <w:szCs w:val="22"/>
        </w:rPr>
        <w:t xml:space="preserve">an </w:t>
      </w:r>
      <w:r w:rsidR="005F4BCA" w:rsidRPr="001811A6">
        <w:rPr>
          <w:szCs w:val="22"/>
        </w:rPr>
        <w:t>AE.</w:t>
      </w:r>
    </w:p>
    <w:p w:rsidR="00B60939" w:rsidRPr="001811A6" w:rsidRDefault="00B60939" w:rsidP="001456B0">
      <w:pPr>
        <w:rPr>
          <w:szCs w:val="22"/>
        </w:rPr>
      </w:pPr>
    </w:p>
    <w:p w:rsidR="00B60939" w:rsidRPr="001811A6" w:rsidRDefault="00B60939" w:rsidP="003C1346">
      <w:pPr>
        <w:pStyle w:val="Heading2"/>
      </w:pPr>
      <w:bookmarkStart w:id="28" w:name="_Toc436831777"/>
      <w:bookmarkStart w:id="29" w:name="_Toc441050282"/>
      <w:r w:rsidRPr="001811A6">
        <w:t>Estimated PBS usage &amp; financial implications</w:t>
      </w:r>
      <w:bookmarkEnd w:id="28"/>
      <w:bookmarkEnd w:id="29"/>
    </w:p>
    <w:p w:rsidR="00B60939" w:rsidRPr="001811A6" w:rsidRDefault="00B60939" w:rsidP="00B60939">
      <w:pPr>
        <w:ind w:left="720" w:hanging="720"/>
        <w:rPr>
          <w:b/>
          <w:i/>
          <w:szCs w:val="22"/>
        </w:rPr>
      </w:pPr>
    </w:p>
    <w:p w:rsidR="00ED49EF" w:rsidRPr="001811A6" w:rsidRDefault="00ED49EF" w:rsidP="003C1346">
      <w:pPr>
        <w:pStyle w:val="ListParagraph"/>
        <w:widowControl/>
        <w:numPr>
          <w:ilvl w:val="1"/>
          <w:numId w:val="1"/>
        </w:numPr>
        <w:rPr>
          <w:b/>
        </w:rPr>
      </w:pPr>
      <w:r w:rsidRPr="001811A6">
        <w:t>The submission was considered by DUSC.</w:t>
      </w:r>
    </w:p>
    <w:p w:rsidR="00ED49EF" w:rsidRPr="001811A6" w:rsidRDefault="00ED49EF" w:rsidP="003C1346">
      <w:pPr>
        <w:pStyle w:val="PBACHeading1"/>
        <w:numPr>
          <w:ilvl w:val="0"/>
          <w:numId w:val="0"/>
        </w:numPr>
      </w:pPr>
    </w:p>
    <w:p w:rsidR="00ED49EF" w:rsidRPr="001811A6" w:rsidRDefault="00ED49EF" w:rsidP="003C1346">
      <w:pPr>
        <w:pStyle w:val="ListParagraph"/>
        <w:widowControl/>
        <w:numPr>
          <w:ilvl w:val="1"/>
          <w:numId w:val="1"/>
        </w:numPr>
        <w:rPr>
          <w:b/>
        </w:rPr>
      </w:pPr>
      <w:r w:rsidRPr="001811A6">
        <w:t>The submission took an epidemiological approach to</w:t>
      </w:r>
      <w:r w:rsidR="003357CB" w:rsidRPr="001811A6">
        <w:t xml:space="preserve"> estimate the utilisation and financial implications associated with the requested PBS listing of vismodegib for advanced </w:t>
      </w:r>
      <w:r w:rsidR="003B4812">
        <w:t>BCC</w:t>
      </w:r>
      <w:r w:rsidRPr="001811A6">
        <w:t xml:space="preserve">. </w:t>
      </w:r>
    </w:p>
    <w:p w:rsidR="00AD5BF2" w:rsidRDefault="00AD5BF2">
      <w:pPr>
        <w:widowControl/>
        <w:jc w:val="left"/>
        <w:rPr>
          <w:b/>
          <w:szCs w:val="22"/>
        </w:rPr>
      </w:pPr>
      <w:r>
        <w:br w:type="page"/>
      </w:r>
    </w:p>
    <w:p w:rsidR="003357CB" w:rsidRPr="001811A6" w:rsidRDefault="003357CB" w:rsidP="003C1346">
      <w:pPr>
        <w:pStyle w:val="PBACHeading1"/>
        <w:numPr>
          <w:ilvl w:val="0"/>
          <w:numId w:val="0"/>
        </w:numPr>
        <w:ind w:left="720"/>
      </w:pPr>
    </w:p>
    <w:p w:rsidR="00ED49EF" w:rsidRPr="000F6687" w:rsidRDefault="000F6687" w:rsidP="000F6687">
      <w:pPr>
        <w:pStyle w:val="PBACHeading1"/>
        <w:numPr>
          <w:ilvl w:val="0"/>
          <w:numId w:val="0"/>
        </w:numPr>
        <w:ind w:firstLine="720"/>
        <w:rPr>
          <w:rFonts w:ascii="Arial Narrow" w:hAnsi="Arial Narrow"/>
          <w:sz w:val="20"/>
        </w:rPr>
      </w:pPr>
      <w:r w:rsidRPr="000F6687">
        <w:rPr>
          <w:rFonts w:ascii="Arial Narrow" w:hAnsi="Arial Narrow"/>
          <w:sz w:val="20"/>
        </w:rPr>
        <w:t xml:space="preserve">Table 10: </w:t>
      </w:r>
      <w:r w:rsidR="00ED49EF" w:rsidRPr="000F6687">
        <w:rPr>
          <w:rFonts w:ascii="Arial Narrow" w:hAnsi="Arial Narrow"/>
          <w:sz w:val="20"/>
        </w:rPr>
        <w:t>Estimated PBS usage &amp;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5"/>
        <w:gridCol w:w="1170"/>
        <w:gridCol w:w="1170"/>
        <w:gridCol w:w="1170"/>
        <w:gridCol w:w="1293"/>
        <w:gridCol w:w="1297"/>
      </w:tblGrid>
      <w:tr w:rsidR="003C191A" w:rsidRPr="001811A6" w:rsidTr="000F6687">
        <w:trPr>
          <w:tblHeader/>
        </w:trPr>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b/>
                <w:sz w:val="20"/>
              </w:rPr>
            </w:pPr>
          </w:p>
        </w:tc>
        <w:tc>
          <w:tcPr>
            <w:tcW w:w="701" w:type="pct"/>
            <w:shd w:val="clear" w:color="auto" w:fill="auto"/>
            <w:vAlign w:val="center"/>
          </w:tcPr>
          <w:p w:rsidR="00C673F0" w:rsidRPr="001811A6" w:rsidRDefault="00C673F0" w:rsidP="000A1181">
            <w:pPr>
              <w:widowControl/>
              <w:jc w:val="center"/>
              <w:rPr>
                <w:rFonts w:ascii="Arial Narrow" w:hAnsi="Arial Narrow"/>
                <w:b/>
                <w:sz w:val="20"/>
              </w:rPr>
            </w:pPr>
            <w:r w:rsidRPr="001811A6">
              <w:rPr>
                <w:rFonts w:ascii="Arial Narrow" w:hAnsi="Arial Narrow"/>
                <w:b/>
                <w:sz w:val="20"/>
              </w:rPr>
              <w:t>Year 1</w:t>
            </w:r>
          </w:p>
        </w:tc>
        <w:tc>
          <w:tcPr>
            <w:tcW w:w="701" w:type="pct"/>
            <w:shd w:val="clear" w:color="auto" w:fill="auto"/>
            <w:vAlign w:val="center"/>
          </w:tcPr>
          <w:p w:rsidR="00C673F0" w:rsidRPr="001811A6" w:rsidRDefault="00C673F0" w:rsidP="000A1181">
            <w:pPr>
              <w:widowControl/>
              <w:jc w:val="center"/>
              <w:rPr>
                <w:rFonts w:ascii="Arial Narrow" w:hAnsi="Arial Narrow"/>
                <w:b/>
                <w:sz w:val="20"/>
              </w:rPr>
            </w:pPr>
            <w:r w:rsidRPr="001811A6">
              <w:rPr>
                <w:rFonts w:ascii="Arial Narrow" w:hAnsi="Arial Narrow"/>
                <w:b/>
                <w:sz w:val="20"/>
              </w:rPr>
              <w:t>Year 2</w:t>
            </w:r>
          </w:p>
        </w:tc>
        <w:tc>
          <w:tcPr>
            <w:tcW w:w="701" w:type="pct"/>
            <w:shd w:val="clear" w:color="auto" w:fill="auto"/>
            <w:vAlign w:val="center"/>
          </w:tcPr>
          <w:p w:rsidR="00C673F0" w:rsidRPr="001811A6" w:rsidRDefault="00C673F0" w:rsidP="000A1181">
            <w:pPr>
              <w:widowControl/>
              <w:jc w:val="center"/>
              <w:rPr>
                <w:rFonts w:ascii="Arial Narrow" w:hAnsi="Arial Narrow"/>
                <w:b/>
                <w:sz w:val="20"/>
              </w:rPr>
            </w:pPr>
            <w:r w:rsidRPr="001811A6">
              <w:rPr>
                <w:rFonts w:ascii="Arial Narrow" w:hAnsi="Arial Narrow"/>
                <w:b/>
                <w:sz w:val="20"/>
              </w:rPr>
              <w:t>Year 3</w:t>
            </w:r>
          </w:p>
        </w:tc>
        <w:tc>
          <w:tcPr>
            <w:tcW w:w="775" w:type="pct"/>
            <w:shd w:val="clear" w:color="auto" w:fill="auto"/>
            <w:vAlign w:val="center"/>
          </w:tcPr>
          <w:p w:rsidR="00C673F0" w:rsidRPr="001811A6" w:rsidRDefault="00C673F0" w:rsidP="000A1181">
            <w:pPr>
              <w:widowControl/>
              <w:jc w:val="center"/>
              <w:rPr>
                <w:rFonts w:ascii="Arial Narrow" w:hAnsi="Arial Narrow"/>
                <w:b/>
                <w:sz w:val="20"/>
              </w:rPr>
            </w:pPr>
            <w:r w:rsidRPr="001811A6">
              <w:rPr>
                <w:rFonts w:ascii="Arial Narrow" w:hAnsi="Arial Narrow"/>
                <w:b/>
                <w:sz w:val="20"/>
              </w:rPr>
              <w:t>Year 4</w:t>
            </w:r>
          </w:p>
        </w:tc>
        <w:tc>
          <w:tcPr>
            <w:tcW w:w="777" w:type="pct"/>
            <w:shd w:val="clear" w:color="auto" w:fill="auto"/>
            <w:vAlign w:val="center"/>
          </w:tcPr>
          <w:p w:rsidR="00C673F0" w:rsidRPr="001811A6" w:rsidRDefault="00C673F0" w:rsidP="000A1181">
            <w:pPr>
              <w:widowControl/>
              <w:jc w:val="center"/>
              <w:rPr>
                <w:rFonts w:ascii="Arial Narrow" w:hAnsi="Arial Narrow"/>
                <w:b/>
                <w:sz w:val="20"/>
              </w:rPr>
            </w:pPr>
            <w:r w:rsidRPr="001811A6">
              <w:rPr>
                <w:rFonts w:ascii="Arial Narrow" w:hAnsi="Arial Narrow"/>
                <w:b/>
                <w:sz w:val="20"/>
              </w:rPr>
              <w:t>Year 5</w:t>
            </w:r>
          </w:p>
        </w:tc>
      </w:tr>
      <w:tr w:rsidR="00ED49EF" w:rsidRPr="001811A6" w:rsidTr="000F6687">
        <w:tc>
          <w:tcPr>
            <w:tcW w:w="5000" w:type="pct"/>
            <w:gridSpan w:val="6"/>
            <w:shd w:val="clear" w:color="auto" w:fill="auto"/>
            <w:vAlign w:val="center"/>
          </w:tcPr>
          <w:p w:rsidR="00ED49EF" w:rsidRPr="001811A6" w:rsidRDefault="00ED49EF" w:rsidP="000A1181">
            <w:pPr>
              <w:widowControl/>
              <w:jc w:val="left"/>
              <w:rPr>
                <w:rFonts w:ascii="Arial Narrow" w:hAnsi="Arial Narrow"/>
                <w:b/>
                <w:bCs/>
                <w:color w:val="000000"/>
                <w:sz w:val="20"/>
              </w:rPr>
            </w:pPr>
            <w:r w:rsidRPr="001811A6">
              <w:rPr>
                <w:rFonts w:ascii="Arial Narrow" w:hAnsi="Arial Narrow"/>
                <w:b/>
                <w:bCs/>
                <w:color w:val="000000"/>
                <w:sz w:val="20"/>
              </w:rPr>
              <w:t>Estimated extent of use</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Number treated</w:t>
            </w:r>
          </w:p>
        </w:tc>
        <w:tc>
          <w:tcPr>
            <w:tcW w:w="701" w:type="pct"/>
            <w:shd w:val="clear" w:color="auto" w:fill="auto"/>
            <w:vAlign w:val="bottom"/>
          </w:tcPr>
          <w:p w:rsidR="00C673F0" w:rsidRPr="00950905" w:rsidRDefault="00950905" w:rsidP="000A1181">
            <w:pPr>
              <w:pStyle w:val="TableText0"/>
              <w:spacing w:before="0" w:after="0"/>
              <w:jc w:val="center"/>
              <w:rPr>
                <w:rFonts w:cs="Arial"/>
                <w:highlight w:val="black"/>
              </w:rPr>
            </w:pPr>
            <w:r>
              <w:rPr>
                <w:rFonts w:cs="Arial"/>
                <w:noProof/>
                <w:color w:val="000000"/>
                <w:highlight w:val="black"/>
              </w:rPr>
              <w:t>'''''''''</w:t>
            </w:r>
          </w:p>
        </w:tc>
        <w:tc>
          <w:tcPr>
            <w:tcW w:w="701" w:type="pct"/>
            <w:shd w:val="clear" w:color="auto" w:fill="auto"/>
            <w:vAlign w:val="bottom"/>
          </w:tcPr>
          <w:p w:rsidR="00C673F0" w:rsidRPr="00950905" w:rsidRDefault="00950905" w:rsidP="000A1181">
            <w:pPr>
              <w:pStyle w:val="TableText0"/>
              <w:spacing w:before="0" w:after="0"/>
              <w:jc w:val="center"/>
              <w:rPr>
                <w:rFonts w:cs="Arial"/>
                <w:highlight w:val="black"/>
              </w:rPr>
            </w:pPr>
            <w:r>
              <w:rPr>
                <w:rFonts w:cs="Arial"/>
                <w:noProof/>
                <w:color w:val="000000"/>
                <w:highlight w:val="black"/>
              </w:rPr>
              <w:t>''''''''''</w:t>
            </w:r>
          </w:p>
        </w:tc>
        <w:tc>
          <w:tcPr>
            <w:tcW w:w="701" w:type="pct"/>
            <w:shd w:val="clear" w:color="auto" w:fill="auto"/>
            <w:vAlign w:val="bottom"/>
          </w:tcPr>
          <w:p w:rsidR="00C673F0" w:rsidRPr="00950905" w:rsidRDefault="00950905" w:rsidP="000A1181">
            <w:pPr>
              <w:pStyle w:val="TableText0"/>
              <w:spacing w:before="0" w:after="0"/>
              <w:jc w:val="center"/>
              <w:rPr>
                <w:rFonts w:cs="Arial"/>
                <w:highlight w:val="black"/>
              </w:rPr>
            </w:pPr>
            <w:r>
              <w:rPr>
                <w:rFonts w:cs="Arial"/>
                <w:noProof/>
                <w:color w:val="000000"/>
                <w:highlight w:val="black"/>
              </w:rPr>
              <w:t>''''''''''</w:t>
            </w:r>
          </w:p>
        </w:tc>
        <w:tc>
          <w:tcPr>
            <w:tcW w:w="775" w:type="pct"/>
            <w:shd w:val="clear" w:color="auto" w:fill="auto"/>
            <w:vAlign w:val="bottom"/>
          </w:tcPr>
          <w:p w:rsidR="00C673F0" w:rsidRPr="00950905" w:rsidRDefault="00950905" w:rsidP="000A1181">
            <w:pPr>
              <w:pStyle w:val="TableText0"/>
              <w:spacing w:before="0" w:after="0"/>
              <w:jc w:val="center"/>
              <w:rPr>
                <w:rFonts w:cs="Arial"/>
                <w:highlight w:val="black"/>
              </w:rPr>
            </w:pPr>
            <w:r>
              <w:rPr>
                <w:rFonts w:cs="Arial"/>
                <w:noProof/>
                <w:color w:val="000000"/>
                <w:highlight w:val="black"/>
              </w:rPr>
              <w:t>''''''''''</w:t>
            </w:r>
          </w:p>
        </w:tc>
        <w:tc>
          <w:tcPr>
            <w:tcW w:w="777" w:type="pct"/>
            <w:shd w:val="clear" w:color="auto" w:fill="auto"/>
            <w:vAlign w:val="bottom"/>
          </w:tcPr>
          <w:p w:rsidR="00C673F0" w:rsidRPr="00950905" w:rsidRDefault="00950905" w:rsidP="000A1181">
            <w:pPr>
              <w:pStyle w:val="TableText0"/>
              <w:spacing w:before="0" w:after="0"/>
              <w:jc w:val="center"/>
              <w:rPr>
                <w:rFonts w:cs="Arial"/>
                <w:highlight w:val="black"/>
              </w:rPr>
            </w:pPr>
            <w:r>
              <w:rPr>
                <w:rFonts w:cs="Arial"/>
                <w:noProof/>
                <w:color w:val="000000"/>
                <w:highlight w:val="black"/>
              </w:rPr>
              <w:t>'''''''''</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Scripts</w:t>
            </w:r>
            <w:r w:rsidRPr="001811A6">
              <w:rPr>
                <w:rFonts w:ascii="Arial Narrow" w:hAnsi="Arial Narrow"/>
                <w:sz w:val="20"/>
                <w:vertAlign w:val="superscript"/>
              </w:rPr>
              <w:t>a</w:t>
            </w:r>
          </w:p>
        </w:tc>
        <w:tc>
          <w:tcPr>
            <w:tcW w:w="701" w:type="pct"/>
            <w:shd w:val="clear" w:color="auto" w:fill="auto"/>
            <w:vAlign w:val="center"/>
          </w:tcPr>
          <w:p w:rsidR="00C673F0" w:rsidRPr="00950905" w:rsidRDefault="00950905" w:rsidP="000A1181">
            <w:pPr>
              <w:widowControl/>
              <w:jc w:val="center"/>
              <w:rPr>
                <w:rFonts w:ascii="Arial Narrow" w:hAnsi="Arial Narrow"/>
                <w:sz w:val="20"/>
                <w:highlight w:val="black"/>
              </w:rPr>
            </w:pPr>
            <w:r>
              <w:rPr>
                <w:rFonts w:ascii="Arial Narrow" w:hAnsi="Arial Narrow"/>
                <w:noProof/>
                <w:color w:val="000000"/>
                <w:sz w:val="20"/>
                <w:highlight w:val="black"/>
              </w:rPr>
              <w:t>'''''''''''''''</w:t>
            </w:r>
          </w:p>
        </w:tc>
        <w:tc>
          <w:tcPr>
            <w:tcW w:w="701" w:type="pct"/>
            <w:shd w:val="clear" w:color="auto" w:fill="auto"/>
            <w:vAlign w:val="center"/>
          </w:tcPr>
          <w:p w:rsidR="00C673F0" w:rsidRPr="00950905" w:rsidRDefault="00950905" w:rsidP="000A1181">
            <w:pPr>
              <w:widowControl/>
              <w:jc w:val="center"/>
              <w:rPr>
                <w:rFonts w:ascii="Arial Narrow" w:hAnsi="Arial Narrow"/>
                <w:sz w:val="20"/>
                <w:highlight w:val="black"/>
              </w:rPr>
            </w:pPr>
            <w:r>
              <w:rPr>
                <w:rFonts w:ascii="Arial Narrow" w:hAnsi="Arial Narrow"/>
                <w:noProof/>
                <w:color w:val="000000"/>
                <w:sz w:val="20"/>
                <w:highlight w:val="black"/>
              </w:rPr>
              <w:t>'''''''''''''</w:t>
            </w:r>
          </w:p>
        </w:tc>
        <w:tc>
          <w:tcPr>
            <w:tcW w:w="701" w:type="pct"/>
            <w:shd w:val="clear" w:color="auto" w:fill="auto"/>
            <w:vAlign w:val="center"/>
          </w:tcPr>
          <w:p w:rsidR="00C673F0" w:rsidRPr="00950905" w:rsidRDefault="00950905" w:rsidP="000A1181">
            <w:pPr>
              <w:widowControl/>
              <w:jc w:val="center"/>
              <w:rPr>
                <w:rFonts w:ascii="Arial Narrow" w:hAnsi="Arial Narrow"/>
                <w:sz w:val="20"/>
                <w:highlight w:val="black"/>
              </w:rPr>
            </w:pPr>
            <w:r>
              <w:rPr>
                <w:rFonts w:ascii="Arial Narrow" w:hAnsi="Arial Narrow"/>
                <w:noProof/>
                <w:color w:val="000000"/>
                <w:sz w:val="20"/>
                <w:highlight w:val="black"/>
              </w:rPr>
              <w:t>'''''''''''''''</w:t>
            </w:r>
          </w:p>
        </w:tc>
        <w:tc>
          <w:tcPr>
            <w:tcW w:w="775" w:type="pct"/>
            <w:shd w:val="clear" w:color="auto" w:fill="auto"/>
            <w:vAlign w:val="center"/>
          </w:tcPr>
          <w:p w:rsidR="00C673F0" w:rsidRPr="00950905" w:rsidRDefault="00950905" w:rsidP="000A1181">
            <w:pPr>
              <w:widowControl/>
              <w:jc w:val="center"/>
              <w:rPr>
                <w:rFonts w:ascii="Arial Narrow" w:hAnsi="Arial Narrow"/>
                <w:sz w:val="20"/>
                <w:highlight w:val="black"/>
              </w:rPr>
            </w:pPr>
            <w:r>
              <w:rPr>
                <w:rFonts w:ascii="Arial Narrow" w:hAnsi="Arial Narrow"/>
                <w:noProof/>
                <w:color w:val="000000"/>
                <w:sz w:val="20"/>
                <w:highlight w:val="black"/>
              </w:rPr>
              <w:t>''''''''''''''</w:t>
            </w:r>
          </w:p>
        </w:tc>
        <w:tc>
          <w:tcPr>
            <w:tcW w:w="777" w:type="pct"/>
            <w:shd w:val="clear" w:color="auto" w:fill="auto"/>
            <w:vAlign w:val="center"/>
          </w:tcPr>
          <w:p w:rsidR="00C673F0" w:rsidRPr="00950905" w:rsidRDefault="00950905" w:rsidP="000A1181">
            <w:pPr>
              <w:widowControl/>
              <w:jc w:val="center"/>
              <w:rPr>
                <w:rFonts w:ascii="Arial Narrow" w:hAnsi="Arial Narrow"/>
                <w:sz w:val="20"/>
                <w:highlight w:val="black"/>
              </w:rPr>
            </w:pPr>
            <w:r>
              <w:rPr>
                <w:rFonts w:ascii="Arial Narrow" w:hAnsi="Arial Narrow"/>
                <w:noProof/>
                <w:color w:val="000000"/>
                <w:sz w:val="20"/>
                <w:highlight w:val="black"/>
              </w:rPr>
              <w:t>'''''''''''''</w:t>
            </w:r>
          </w:p>
        </w:tc>
      </w:tr>
      <w:tr w:rsidR="00ED49EF" w:rsidRPr="001811A6" w:rsidTr="000F6687">
        <w:tc>
          <w:tcPr>
            <w:tcW w:w="5000" w:type="pct"/>
            <w:gridSpan w:val="6"/>
            <w:shd w:val="clear" w:color="auto" w:fill="auto"/>
            <w:vAlign w:val="center"/>
          </w:tcPr>
          <w:p w:rsidR="00ED49EF" w:rsidRPr="001811A6" w:rsidRDefault="00ED49EF" w:rsidP="000A1181">
            <w:pPr>
              <w:widowControl/>
              <w:jc w:val="left"/>
              <w:rPr>
                <w:rFonts w:ascii="Arial Narrow" w:hAnsi="Arial Narrow"/>
                <w:b/>
                <w:bCs/>
                <w:color w:val="000000"/>
                <w:sz w:val="20"/>
              </w:rPr>
            </w:pPr>
            <w:r w:rsidRPr="001811A6">
              <w:rPr>
                <w:rFonts w:ascii="Arial Narrow" w:hAnsi="Arial Narrow"/>
                <w:b/>
                <w:bCs/>
                <w:color w:val="000000"/>
                <w:sz w:val="20"/>
              </w:rPr>
              <w:t>Estimated net cost to PBS/RPBS/MBS</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Net cost to PBS/RPBS</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5"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7"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Net cost to MBS</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5"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7" w:type="pct"/>
            <w:shd w:val="clear" w:color="auto" w:fill="auto"/>
            <w:vAlign w:val="center"/>
          </w:tcPr>
          <w:p w:rsidR="00C673F0" w:rsidRPr="001811A6" w:rsidRDefault="00C673F0" w:rsidP="000A1181">
            <w:pPr>
              <w:widowControl/>
              <w:jc w:val="right"/>
              <w:rPr>
                <w:rFonts w:ascii="Arial Narrow" w:hAnsi="Arial Narrow"/>
                <w:i/>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r>
      <w:tr w:rsidR="00ED49EF" w:rsidRPr="001811A6" w:rsidTr="000F6687">
        <w:tc>
          <w:tcPr>
            <w:tcW w:w="5000" w:type="pct"/>
            <w:gridSpan w:val="6"/>
            <w:shd w:val="clear" w:color="auto" w:fill="auto"/>
            <w:vAlign w:val="center"/>
          </w:tcPr>
          <w:p w:rsidR="00ED49EF" w:rsidRPr="001811A6" w:rsidRDefault="00ED49EF" w:rsidP="000A1181">
            <w:pPr>
              <w:widowControl/>
              <w:jc w:val="left"/>
              <w:rPr>
                <w:rFonts w:ascii="Arial Narrow" w:hAnsi="Arial Narrow"/>
                <w:b/>
                <w:color w:val="000000"/>
                <w:sz w:val="20"/>
              </w:rPr>
            </w:pPr>
            <w:r w:rsidRPr="001811A6">
              <w:rPr>
                <w:rFonts w:ascii="Arial Narrow" w:hAnsi="Arial Narrow"/>
                <w:b/>
                <w:color w:val="000000"/>
                <w:sz w:val="20"/>
              </w:rPr>
              <w:t>Estimated total net cost</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b/>
                <w:sz w:val="20"/>
              </w:rPr>
            </w:pPr>
            <w:r w:rsidRPr="001811A6">
              <w:rPr>
                <w:rFonts w:ascii="Arial Narrow" w:hAnsi="Arial Narrow"/>
                <w:b/>
                <w:bCs/>
                <w:color w:val="000000"/>
                <w:sz w:val="20"/>
              </w:rPr>
              <w:t>Net cost to PBS/RPBS/MBS</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5"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7"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r>
      <w:tr w:rsidR="00ED49EF" w:rsidRPr="001811A6" w:rsidTr="000F6687">
        <w:tc>
          <w:tcPr>
            <w:tcW w:w="5000" w:type="pct"/>
            <w:gridSpan w:val="6"/>
            <w:shd w:val="clear" w:color="auto" w:fill="auto"/>
            <w:vAlign w:val="center"/>
          </w:tcPr>
          <w:p w:rsidR="00ED49EF" w:rsidRPr="001811A6" w:rsidRDefault="00ED49EF" w:rsidP="000A1181">
            <w:pPr>
              <w:widowControl/>
              <w:jc w:val="left"/>
              <w:rPr>
                <w:rFonts w:ascii="Arial Narrow" w:hAnsi="Arial Narrow"/>
                <w:b/>
                <w:bCs/>
                <w:sz w:val="20"/>
              </w:rPr>
            </w:pPr>
            <w:r w:rsidRPr="001811A6">
              <w:rPr>
                <w:rFonts w:ascii="Arial Narrow" w:hAnsi="Arial Narrow"/>
                <w:b/>
                <w:bCs/>
                <w:sz w:val="20"/>
              </w:rPr>
              <w:t>Changes made based on episode of care cap of 8 packs</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 xml:space="preserve">Scripts paid for by PBS/RPBS </w:t>
            </w:r>
          </w:p>
        </w:tc>
        <w:tc>
          <w:tcPr>
            <w:tcW w:w="701" w:type="pct"/>
            <w:shd w:val="clear" w:color="auto" w:fill="auto"/>
            <w:vAlign w:val="center"/>
          </w:tcPr>
          <w:p w:rsidR="00C673F0" w:rsidRPr="00950905" w:rsidRDefault="00950905" w:rsidP="000A1181">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1" w:type="pct"/>
            <w:shd w:val="clear" w:color="auto" w:fill="auto"/>
            <w:vAlign w:val="center"/>
          </w:tcPr>
          <w:p w:rsidR="00C673F0" w:rsidRPr="00950905" w:rsidRDefault="00950905" w:rsidP="000A1181">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1" w:type="pct"/>
            <w:shd w:val="clear" w:color="auto" w:fill="auto"/>
            <w:vAlign w:val="center"/>
          </w:tcPr>
          <w:p w:rsidR="00C673F0" w:rsidRPr="00950905" w:rsidRDefault="00950905" w:rsidP="000A1181">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75" w:type="pct"/>
            <w:shd w:val="clear" w:color="auto" w:fill="auto"/>
            <w:vAlign w:val="center"/>
          </w:tcPr>
          <w:p w:rsidR="00C673F0" w:rsidRPr="00950905" w:rsidRDefault="00950905" w:rsidP="000A1181">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77" w:type="pct"/>
            <w:shd w:val="clear" w:color="auto" w:fill="auto"/>
            <w:vAlign w:val="center"/>
          </w:tcPr>
          <w:p w:rsidR="00C673F0" w:rsidRPr="00950905" w:rsidRDefault="00950905" w:rsidP="000A1181">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sz w:val="20"/>
              </w:rPr>
            </w:pPr>
            <w:r w:rsidRPr="001811A6">
              <w:rPr>
                <w:rFonts w:ascii="Arial Narrow" w:hAnsi="Arial Narrow"/>
                <w:sz w:val="20"/>
              </w:rPr>
              <w:t>Net cost to PBS/RPBS</w:t>
            </w:r>
          </w:p>
        </w:tc>
        <w:tc>
          <w:tcPr>
            <w:tcW w:w="701" w:type="pct"/>
            <w:shd w:val="clear" w:color="auto" w:fill="auto"/>
            <w:vAlign w:val="center"/>
          </w:tcPr>
          <w:p w:rsidR="00C673F0" w:rsidRPr="001811A6" w:rsidRDefault="00C673F0" w:rsidP="000A1181">
            <w:pPr>
              <w:widowControl/>
              <w:jc w:val="right"/>
              <w:rPr>
                <w:rFonts w:ascii="Arial Narrow" w:hAnsi="Arial Narrow"/>
                <w:i/>
                <w:iCs/>
                <w:sz w:val="20"/>
              </w:rPr>
            </w:pPr>
            <w:r w:rsidRPr="001811A6">
              <w:rPr>
                <w:rFonts w:ascii="Arial Narrow" w:hAnsi="Arial Narrow"/>
                <w:iCs/>
                <w:sz w:val="20"/>
              </w:rPr>
              <w:t>$</w:t>
            </w:r>
            <w:r w:rsidR="00950905">
              <w:rPr>
                <w:rFonts w:ascii="Arial Narrow" w:hAnsi="Arial Narrow"/>
                <w:iCs/>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iCs/>
                <w:sz w:val="20"/>
              </w:rPr>
            </w:pPr>
            <w:r w:rsidRPr="001811A6">
              <w:rPr>
                <w:rFonts w:ascii="Arial Narrow" w:hAnsi="Arial Narrow"/>
                <w:iCs/>
                <w:sz w:val="20"/>
              </w:rPr>
              <w:t>$</w:t>
            </w:r>
            <w:r w:rsidR="00950905">
              <w:rPr>
                <w:rFonts w:ascii="Arial Narrow" w:hAnsi="Arial Narrow"/>
                <w:iCs/>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i/>
                <w:iCs/>
                <w:sz w:val="20"/>
              </w:rPr>
            </w:pPr>
            <w:r w:rsidRPr="001811A6">
              <w:rPr>
                <w:rFonts w:ascii="Arial Narrow" w:hAnsi="Arial Narrow"/>
                <w:iCs/>
                <w:sz w:val="20"/>
              </w:rPr>
              <w:t>$</w:t>
            </w:r>
            <w:r w:rsidR="00950905">
              <w:rPr>
                <w:rFonts w:ascii="Arial Narrow" w:hAnsi="Arial Narrow"/>
                <w:iCs/>
                <w:noProof/>
                <w:color w:val="000000"/>
                <w:sz w:val="20"/>
                <w:highlight w:val="black"/>
              </w:rPr>
              <w:t>'''''''''''''''''''''''</w:t>
            </w:r>
          </w:p>
        </w:tc>
        <w:tc>
          <w:tcPr>
            <w:tcW w:w="775" w:type="pct"/>
            <w:shd w:val="clear" w:color="auto" w:fill="auto"/>
            <w:vAlign w:val="center"/>
          </w:tcPr>
          <w:p w:rsidR="00C673F0" w:rsidRPr="001811A6" w:rsidRDefault="00C673F0" w:rsidP="000A1181">
            <w:pPr>
              <w:widowControl/>
              <w:jc w:val="right"/>
              <w:rPr>
                <w:rFonts w:ascii="Arial Narrow" w:hAnsi="Arial Narrow"/>
                <w:i/>
                <w:iCs/>
                <w:sz w:val="20"/>
              </w:rPr>
            </w:pPr>
            <w:r w:rsidRPr="001811A6">
              <w:rPr>
                <w:rFonts w:ascii="Arial Narrow" w:hAnsi="Arial Narrow"/>
                <w:iCs/>
                <w:sz w:val="20"/>
              </w:rPr>
              <w:t>$</w:t>
            </w:r>
            <w:r w:rsidR="00950905">
              <w:rPr>
                <w:rFonts w:ascii="Arial Narrow" w:hAnsi="Arial Narrow"/>
                <w:iCs/>
                <w:noProof/>
                <w:color w:val="000000"/>
                <w:sz w:val="20"/>
                <w:highlight w:val="black"/>
              </w:rPr>
              <w:t>'''''''''''''''''''''''''</w:t>
            </w:r>
          </w:p>
        </w:tc>
        <w:tc>
          <w:tcPr>
            <w:tcW w:w="777" w:type="pct"/>
            <w:shd w:val="clear" w:color="auto" w:fill="auto"/>
            <w:vAlign w:val="center"/>
          </w:tcPr>
          <w:p w:rsidR="00C673F0" w:rsidRPr="001811A6" w:rsidRDefault="00C673F0" w:rsidP="000A1181">
            <w:pPr>
              <w:widowControl/>
              <w:jc w:val="right"/>
              <w:rPr>
                <w:rFonts w:ascii="Arial Narrow" w:hAnsi="Arial Narrow"/>
                <w:i/>
                <w:iCs/>
                <w:sz w:val="20"/>
              </w:rPr>
            </w:pPr>
            <w:r w:rsidRPr="001811A6">
              <w:rPr>
                <w:rFonts w:ascii="Arial Narrow" w:hAnsi="Arial Narrow"/>
                <w:iCs/>
                <w:sz w:val="20"/>
              </w:rPr>
              <w:t>$</w:t>
            </w:r>
            <w:r w:rsidR="00950905">
              <w:rPr>
                <w:rFonts w:ascii="Arial Narrow" w:hAnsi="Arial Narrow"/>
                <w:iCs/>
                <w:noProof/>
                <w:color w:val="000000"/>
                <w:sz w:val="20"/>
                <w:highlight w:val="black"/>
              </w:rPr>
              <w:t>''''''''''''''''''''''</w:t>
            </w:r>
          </w:p>
        </w:tc>
      </w:tr>
      <w:tr w:rsidR="00FA6F9E" w:rsidRPr="001811A6" w:rsidTr="000F6687">
        <w:tc>
          <w:tcPr>
            <w:tcW w:w="1345" w:type="pct"/>
            <w:shd w:val="clear" w:color="auto" w:fill="auto"/>
            <w:vAlign w:val="center"/>
          </w:tcPr>
          <w:p w:rsidR="00C673F0" w:rsidRPr="001811A6" w:rsidRDefault="00C673F0" w:rsidP="000A1181">
            <w:pPr>
              <w:widowControl/>
              <w:tabs>
                <w:tab w:val="left" w:pos="142"/>
              </w:tabs>
              <w:jc w:val="left"/>
              <w:rPr>
                <w:rFonts w:ascii="Arial Narrow" w:hAnsi="Arial Narrow"/>
                <w:b/>
                <w:bCs/>
                <w:color w:val="000000"/>
                <w:sz w:val="20"/>
              </w:rPr>
            </w:pPr>
            <w:r w:rsidRPr="001811A6">
              <w:rPr>
                <w:rFonts w:ascii="Arial Narrow" w:hAnsi="Arial Narrow"/>
                <w:b/>
                <w:sz w:val="20"/>
              </w:rPr>
              <w:t xml:space="preserve">Net cost to PBS/RPBS/MBS </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01"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5"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c>
          <w:tcPr>
            <w:tcW w:w="777" w:type="pct"/>
            <w:shd w:val="clear" w:color="auto" w:fill="auto"/>
            <w:vAlign w:val="center"/>
          </w:tcPr>
          <w:p w:rsidR="00C673F0" w:rsidRPr="001811A6" w:rsidRDefault="00C673F0" w:rsidP="000A1181">
            <w:pPr>
              <w:widowControl/>
              <w:jc w:val="right"/>
              <w:rPr>
                <w:rFonts w:ascii="Arial Narrow" w:hAnsi="Arial Narrow"/>
                <w:b/>
                <w:color w:val="000000"/>
                <w:sz w:val="20"/>
              </w:rPr>
            </w:pPr>
            <w:r w:rsidRPr="001811A6">
              <w:rPr>
                <w:rFonts w:ascii="Arial Narrow" w:hAnsi="Arial Narrow"/>
                <w:color w:val="000000"/>
                <w:sz w:val="20"/>
              </w:rPr>
              <w:t>$</w:t>
            </w:r>
            <w:r w:rsidR="00950905">
              <w:rPr>
                <w:rFonts w:ascii="Arial Narrow" w:hAnsi="Arial Narrow"/>
                <w:noProof/>
                <w:color w:val="000000"/>
                <w:sz w:val="20"/>
                <w:highlight w:val="black"/>
              </w:rPr>
              <w:t>'''''''''''''''''''''''''</w:t>
            </w:r>
          </w:p>
        </w:tc>
      </w:tr>
    </w:tbl>
    <w:p w:rsidR="00ED49EF" w:rsidRPr="00394DDC" w:rsidRDefault="00ED49EF" w:rsidP="000F6687">
      <w:pPr>
        <w:ind w:firstLine="720"/>
        <w:rPr>
          <w:rFonts w:ascii="Arial Narrow" w:hAnsi="Arial Narrow"/>
          <w:b/>
          <w:i/>
          <w:sz w:val="20"/>
        </w:rPr>
      </w:pPr>
      <w:r w:rsidRPr="00394DDC">
        <w:rPr>
          <w:rFonts w:ascii="Arial Narrow" w:hAnsi="Arial Narrow"/>
          <w:sz w:val="20"/>
        </w:rPr>
        <w:t xml:space="preserve">Source: Table E.2.1-E.2.2, p9; </w:t>
      </w:r>
      <w:r w:rsidRPr="00394DDC">
        <w:rPr>
          <w:rFonts w:ascii="Arial Narrow" w:eastAsia="SimSun" w:hAnsi="Arial Narrow"/>
          <w:snapToGrid/>
          <w:sz w:val="20"/>
        </w:rPr>
        <w:t>E.5.5 – E.5.6, p17</w:t>
      </w:r>
      <w:r w:rsidRPr="00394DDC">
        <w:rPr>
          <w:rFonts w:ascii="Arial Narrow" w:hAnsi="Arial Narrow"/>
          <w:sz w:val="20"/>
        </w:rPr>
        <w:t xml:space="preserve"> of Section E of the submission</w:t>
      </w:r>
    </w:p>
    <w:p w:rsidR="00ED49EF" w:rsidRDefault="00ED49EF" w:rsidP="000F6687">
      <w:pPr>
        <w:ind w:left="720"/>
        <w:rPr>
          <w:rFonts w:ascii="Arial Narrow" w:hAnsi="Arial Narrow"/>
          <w:sz w:val="20"/>
        </w:rPr>
      </w:pPr>
      <w:r w:rsidRPr="00394DDC">
        <w:rPr>
          <w:rFonts w:ascii="Arial Narrow" w:hAnsi="Arial Narrow"/>
          <w:sz w:val="20"/>
        </w:rPr>
        <w:t xml:space="preserve">PBS = Pharmaceutical Benefits Scheme; RPBS = Repatriation Pharmaceutical Benefits Scheme; MBS = Medical Benefits Scheme. </w:t>
      </w:r>
      <w:r w:rsidRPr="00394DDC">
        <w:rPr>
          <w:rFonts w:ascii="Arial Narrow" w:hAnsi="Arial Narrow"/>
          <w:sz w:val="20"/>
          <w:vertAlign w:val="superscript"/>
        </w:rPr>
        <w:t>a</w:t>
      </w:r>
      <w:r w:rsidRPr="00394DDC">
        <w:rPr>
          <w:rFonts w:ascii="Arial Narrow" w:hAnsi="Arial Narrow"/>
          <w:sz w:val="20"/>
        </w:rPr>
        <w:t xml:space="preserve"> Assuming 11.64 prescriptions per patient per year as estimated by the submission.</w:t>
      </w:r>
    </w:p>
    <w:p w:rsidR="00AD5BF2" w:rsidRDefault="00AD5BF2" w:rsidP="000F6687">
      <w:pPr>
        <w:ind w:left="720"/>
        <w:rPr>
          <w:rFonts w:ascii="Arial Narrow" w:hAnsi="Arial Narrow"/>
          <w:sz w:val="20"/>
        </w:rPr>
      </w:pPr>
    </w:p>
    <w:p w:rsidR="00AD5BF2" w:rsidRPr="00AD5BF2" w:rsidRDefault="00AD5BF2" w:rsidP="000F6687">
      <w:pPr>
        <w:ind w:left="720"/>
      </w:pPr>
      <w:r w:rsidRPr="00AD5BF2">
        <w:t xml:space="preserve">The redacted table above shows </w:t>
      </w:r>
      <w:r>
        <w:t>that at year 5, the estimated number of scripts was less than 10,000 and the net cost to PBS would be less than $10 million.</w:t>
      </w:r>
    </w:p>
    <w:p w:rsidR="00ED49EF" w:rsidRPr="001811A6" w:rsidRDefault="00ED49EF" w:rsidP="003C1346">
      <w:pPr>
        <w:pStyle w:val="PBACHeading1"/>
        <w:numPr>
          <w:ilvl w:val="0"/>
          <w:numId w:val="0"/>
        </w:numPr>
        <w:ind w:left="720"/>
      </w:pPr>
    </w:p>
    <w:p w:rsidR="003F04E9" w:rsidRPr="001811A6" w:rsidRDefault="003F04E9" w:rsidP="003C1346">
      <w:pPr>
        <w:pStyle w:val="ListParagraph"/>
        <w:widowControl/>
        <w:numPr>
          <w:ilvl w:val="1"/>
          <w:numId w:val="1"/>
        </w:numPr>
        <w:rPr>
          <w:b/>
        </w:rPr>
      </w:pPr>
      <w:r w:rsidRPr="001811A6">
        <w:t>DUSC consider</w:t>
      </w:r>
      <w:r w:rsidR="00544D61" w:rsidRPr="001811A6">
        <w:t>ed</w:t>
      </w:r>
      <w:r w:rsidRPr="001811A6">
        <w:t xml:space="preserve"> the estimates presented in the submission may be accurate, if use is limited to the severe patients intended by the sponsor. The main issues </w:t>
      </w:r>
      <w:r w:rsidR="00544D61" w:rsidRPr="001811A6">
        <w:t>were</w:t>
      </w:r>
      <w:r w:rsidRPr="001811A6">
        <w:t>:</w:t>
      </w:r>
    </w:p>
    <w:p w:rsidR="003F04E9" w:rsidRPr="001811A6" w:rsidRDefault="003F04E9" w:rsidP="003F04E9">
      <w:pPr>
        <w:pStyle w:val="ListParagraph"/>
        <w:numPr>
          <w:ilvl w:val="0"/>
          <w:numId w:val="16"/>
        </w:numPr>
        <w:rPr>
          <w:szCs w:val="22"/>
        </w:rPr>
      </w:pPr>
      <w:r w:rsidRPr="001811A6">
        <w:rPr>
          <w:szCs w:val="22"/>
        </w:rPr>
        <w:t>BCC is not required to be reported to cancer registries, so there is limited information regarding the incidence and prevalence of the disease.</w:t>
      </w:r>
    </w:p>
    <w:p w:rsidR="003F04E9" w:rsidRPr="001811A6" w:rsidRDefault="003F04E9" w:rsidP="003F04E9">
      <w:pPr>
        <w:pStyle w:val="ListParagraph"/>
        <w:numPr>
          <w:ilvl w:val="0"/>
          <w:numId w:val="16"/>
        </w:numPr>
        <w:rPr>
          <w:szCs w:val="22"/>
        </w:rPr>
      </w:pPr>
      <w:r w:rsidRPr="001811A6">
        <w:rPr>
          <w:szCs w:val="22"/>
        </w:rPr>
        <w:t>It is likely overseas data of the incidence of the disease underestimates the rate of BCC in Australia.</w:t>
      </w:r>
    </w:p>
    <w:p w:rsidR="003F04E9" w:rsidRPr="001811A6" w:rsidRDefault="003F04E9" w:rsidP="003F04E9">
      <w:pPr>
        <w:pStyle w:val="ListParagraph"/>
        <w:numPr>
          <w:ilvl w:val="0"/>
          <w:numId w:val="16"/>
        </w:numPr>
        <w:rPr>
          <w:szCs w:val="22"/>
        </w:rPr>
      </w:pPr>
      <w:r w:rsidRPr="001811A6">
        <w:rPr>
          <w:szCs w:val="22"/>
        </w:rPr>
        <w:t>The uncertainty around the definition of ‘locally advanced BCC’ and ‘inappropriate for surgery’ in the restriction would affect selection of potential patients and could allow patients with less severe disease to be treated with vismodegib. Additionally, it is common for patients with BCC to be affected by multiple lesions</w:t>
      </w:r>
      <w:r w:rsidRPr="001811A6">
        <w:t xml:space="preserve"> </w:t>
      </w:r>
      <w:r w:rsidRPr="001811A6">
        <w:rPr>
          <w:szCs w:val="22"/>
        </w:rPr>
        <w:t>on highly visible areas of the head and neck. The number of treated patients could be higher if vismodegib is used to treat milder disease in patients with multiple re-occurring lesions.</w:t>
      </w:r>
    </w:p>
    <w:p w:rsidR="003F04E9" w:rsidRPr="001811A6" w:rsidRDefault="003F04E9" w:rsidP="003F04E9">
      <w:pPr>
        <w:pStyle w:val="ListParagraph"/>
        <w:numPr>
          <w:ilvl w:val="0"/>
          <w:numId w:val="16"/>
        </w:numPr>
        <w:rPr>
          <w:szCs w:val="22"/>
        </w:rPr>
      </w:pPr>
      <w:r w:rsidRPr="001811A6">
        <w:rPr>
          <w:szCs w:val="22"/>
        </w:rPr>
        <w:t xml:space="preserve">However, as surgery is curative, and vismodegib is associated with significant adverse reactions, the risk of this leakage may be low as most BCC will continue to be treated with surgery. </w:t>
      </w:r>
    </w:p>
    <w:p w:rsidR="003F04E9" w:rsidRPr="001811A6" w:rsidRDefault="003F04E9" w:rsidP="003F04E9">
      <w:pPr>
        <w:pStyle w:val="ListParagraph"/>
        <w:numPr>
          <w:ilvl w:val="0"/>
          <w:numId w:val="16"/>
        </w:numPr>
        <w:rPr>
          <w:szCs w:val="22"/>
        </w:rPr>
      </w:pPr>
      <w:r w:rsidRPr="001811A6">
        <w:rPr>
          <w:szCs w:val="22"/>
        </w:rPr>
        <w:t xml:space="preserve">The subsidisation caps and </w:t>
      </w:r>
      <w:r w:rsidR="007527F7">
        <w:rPr>
          <w:noProof/>
          <w:color w:val="000000"/>
          <w:szCs w:val="22"/>
          <w:highlight w:val="black"/>
        </w:rPr>
        <w:t>'''''''''</w:t>
      </w:r>
      <w:r w:rsidRPr="001811A6">
        <w:rPr>
          <w:szCs w:val="22"/>
        </w:rPr>
        <w:t>% reimbursement of expenditure over the caps, which were proposed by the sponsor, protect the Commonwealth against higher than expected use.</w:t>
      </w:r>
    </w:p>
    <w:p w:rsidR="00D67CDF" w:rsidRPr="001811A6" w:rsidRDefault="00D67CDF" w:rsidP="003C1346">
      <w:pPr>
        <w:pStyle w:val="PBACHeading1"/>
        <w:numPr>
          <w:ilvl w:val="0"/>
          <w:numId w:val="0"/>
        </w:numPr>
        <w:ind w:left="720"/>
      </w:pPr>
    </w:p>
    <w:p w:rsidR="00D67CDF" w:rsidRPr="001811A6" w:rsidRDefault="00D67CDF" w:rsidP="00394DDC">
      <w:pPr>
        <w:pStyle w:val="Heading2"/>
      </w:pPr>
      <w:r w:rsidRPr="001811A6">
        <w:t>Quality Use of Medicines</w:t>
      </w:r>
    </w:p>
    <w:p w:rsidR="00D67CDF" w:rsidRPr="001811A6" w:rsidRDefault="00D67CDF" w:rsidP="003C1346">
      <w:pPr>
        <w:pStyle w:val="PBACHeading1"/>
        <w:numPr>
          <w:ilvl w:val="0"/>
          <w:numId w:val="0"/>
        </w:numPr>
        <w:ind w:left="720"/>
      </w:pPr>
    </w:p>
    <w:p w:rsidR="003F04E9" w:rsidRPr="001811A6" w:rsidRDefault="003F04E9" w:rsidP="003C1346">
      <w:pPr>
        <w:pStyle w:val="ListParagraph"/>
        <w:widowControl/>
        <w:numPr>
          <w:ilvl w:val="1"/>
          <w:numId w:val="1"/>
        </w:numPr>
        <w:rPr>
          <w:b/>
        </w:rPr>
      </w:pPr>
      <w:r w:rsidRPr="001811A6">
        <w:t xml:space="preserve">DUSC commented vismodegib is a toxic drug and several adverse drug reactions were reported to be very common (≥10%) in the clinical studies. Additionally, </w:t>
      </w:r>
      <w:r w:rsidR="002539D4">
        <w:t>sonic h</w:t>
      </w:r>
      <w:r w:rsidRPr="001811A6">
        <w:t>edgehog pathway inhibitors such as vismodegib have been demonstrated to be embryotoxic and/or teratogenic. Teratogenic effects include severe midline defects, missing digits, and other irreversible malformations. Vismodegib exposure through semen can also be embryotoxic and/or teratogenic.</w:t>
      </w:r>
    </w:p>
    <w:p w:rsidR="00C43942" w:rsidRPr="001811A6" w:rsidRDefault="00C43942" w:rsidP="00C43942">
      <w:pPr>
        <w:widowControl/>
        <w:rPr>
          <w:szCs w:val="22"/>
        </w:rPr>
      </w:pPr>
    </w:p>
    <w:p w:rsidR="000F6687" w:rsidRDefault="000F6687" w:rsidP="00394DDC">
      <w:pPr>
        <w:pStyle w:val="Heading2"/>
      </w:pPr>
      <w:bookmarkStart w:id="30" w:name="_Toc436831779"/>
      <w:bookmarkStart w:id="31" w:name="_Toc441050283"/>
      <w:r>
        <w:br w:type="page"/>
      </w:r>
    </w:p>
    <w:p w:rsidR="00576972" w:rsidRPr="001811A6" w:rsidRDefault="00576972" w:rsidP="00394DDC">
      <w:pPr>
        <w:pStyle w:val="Heading2"/>
      </w:pPr>
      <w:r w:rsidRPr="001811A6">
        <w:lastRenderedPageBreak/>
        <w:t xml:space="preserve">Financial Management – </w:t>
      </w:r>
      <w:r w:rsidR="00746708" w:rsidRPr="001811A6">
        <w:t>Risk-sharing</w:t>
      </w:r>
      <w:r w:rsidR="002F79DB" w:rsidRPr="001811A6">
        <w:t xml:space="preserve"> </w:t>
      </w:r>
      <w:r w:rsidRPr="001811A6">
        <w:t>Arrangements</w:t>
      </w:r>
      <w:bookmarkEnd w:id="30"/>
      <w:bookmarkEnd w:id="31"/>
    </w:p>
    <w:p w:rsidR="00C25D9C" w:rsidRPr="001811A6" w:rsidRDefault="00C25D9C" w:rsidP="00576972">
      <w:pPr>
        <w:widowControl/>
        <w:rPr>
          <w:szCs w:val="22"/>
        </w:rPr>
      </w:pPr>
    </w:p>
    <w:p w:rsidR="00576972" w:rsidRPr="001811A6" w:rsidRDefault="00D144FC" w:rsidP="00B4462B">
      <w:pPr>
        <w:pStyle w:val="ListParagraph"/>
        <w:widowControl/>
        <w:numPr>
          <w:ilvl w:val="1"/>
          <w:numId w:val="1"/>
        </w:numPr>
        <w:rPr>
          <w:szCs w:val="22"/>
        </w:rPr>
      </w:pPr>
      <w:r w:rsidRPr="001811A6">
        <w:t xml:space="preserve">The submission proposed a </w:t>
      </w:r>
      <w:r w:rsidR="003B4812">
        <w:t>R</w:t>
      </w:r>
      <w:r w:rsidR="003B4812" w:rsidRPr="001811A6">
        <w:t>isk</w:t>
      </w:r>
      <w:r w:rsidR="003B4812">
        <w:t xml:space="preserve"> S</w:t>
      </w:r>
      <w:r w:rsidR="00746708" w:rsidRPr="001811A6">
        <w:t>haring</w:t>
      </w:r>
      <w:r w:rsidR="002F79DB" w:rsidRPr="001811A6">
        <w:t xml:space="preserve"> </w:t>
      </w:r>
      <w:r w:rsidR="003B4812">
        <w:t>A</w:t>
      </w:r>
      <w:r w:rsidR="003B4812" w:rsidRPr="001811A6">
        <w:t xml:space="preserve">rrangement </w:t>
      </w:r>
      <w:r w:rsidRPr="001811A6">
        <w:t xml:space="preserve">in the form of an </w:t>
      </w:r>
      <w:r w:rsidR="00F70304" w:rsidRPr="001811A6">
        <w:t>EOC</w:t>
      </w:r>
      <w:r w:rsidRPr="001811A6">
        <w:t xml:space="preserve"> cap for vismodegib. The submission proposed that the </w:t>
      </w:r>
      <w:r w:rsidR="00F70304" w:rsidRPr="001811A6">
        <w:t>EOC</w:t>
      </w:r>
      <w:r w:rsidRPr="001811A6">
        <w:t xml:space="preserve"> cap of </w:t>
      </w:r>
      <w:r w:rsidR="00950905">
        <w:rPr>
          <w:noProof/>
          <w:color w:val="000000"/>
          <w:highlight w:val="black"/>
        </w:rPr>
        <w:t>'''''''''''''</w:t>
      </w:r>
      <w:r w:rsidR="007A7CDE" w:rsidRPr="001811A6">
        <w:t xml:space="preserve"> </w:t>
      </w:r>
      <w:r w:rsidRPr="001811A6">
        <w:t xml:space="preserve">packs be operationalised as a subsidisation cap taking into account the estimated number of patients treated with vismodegib per year. </w:t>
      </w:r>
      <w:r w:rsidR="00673D34" w:rsidRPr="001811A6">
        <w:t xml:space="preserve">The submission stated that </w:t>
      </w:r>
      <w:r w:rsidR="007527F7">
        <w:rPr>
          <w:noProof/>
          <w:color w:val="000000"/>
          <w:highlight w:val="black"/>
        </w:rPr>
        <w:t>''''''''''</w:t>
      </w:r>
      <w:r w:rsidR="002F6E73" w:rsidRPr="001811A6">
        <w:t xml:space="preserve">% </w:t>
      </w:r>
      <w:r w:rsidR="00673D34" w:rsidRPr="001811A6">
        <w:t xml:space="preserve">of expenditure above the subsidisation caps will be rebated to Government. </w:t>
      </w:r>
    </w:p>
    <w:p w:rsidR="00D67CDF" w:rsidRPr="001811A6" w:rsidRDefault="00D67CDF" w:rsidP="00D67CDF">
      <w:pPr>
        <w:pStyle w:val="ListParagraph"/>
        <w:widowControl/>
        <w:rPr>
          <w:szCs w:val="22"/>
        </w:rPr>
      </w:pPr>
    </w:p>
    <w:p w:rsidR="00AE5473" w:rsidRPr="001811A6" w:rsidRDefault="00D67CDF" w:rsidP="003C1346">
      <w:pPr>
        <w:pStyle w:val="ListParagraph"/>
        <w:widowControl/>
        <w:numPr>
          <w:ilvl w:val="1"/>
          <w:numId w:val="1"/>
        </w:numPr>
        <w:rPr>
          <w:b/>
        </w:rPr>
      </w:pPr>
      <w:r w:rsidRPr="001811A6">
        <w:t xml:space="preserve">The PBAC considered that the financial implications to the </w:t>
      </w:r>
      <w:r w:rsidR="00F46008">
        <w:t>C</w:t>
      </w:r>
      <w:r w:rsidR="00F46008" w:rsidRPr="001811A6">
        <w:t xml:space="preserve">ommonwealth </w:t>
      </w:r>
      <w:r w:rsidRPr="001811A6">
        <w:t>were unacceptable as presented in the submission</w:t>
      </w:r>
      <w:r w:rsidR="00D20EDD">
        <w:t>.</w:t>
      </w:r>
      <w:r w:rsidRPr="001811A6">
        <w:t xml:space="preserve"> </w:t>
      </w:r>
      <w:r w:rsidR="00D20EDD">
        <w:t>T</w:t>
      </w:r>
      <w:r w:rsidRPr="001811A6">
        <w:t xml:space="preserve">he </w:t>
      </w:r>
      <w:r w:rsidR="003617B5">
        <w:t xml:space="preserve">proposed price was </w:t>
      </w:r>
      <w:r w:rsidR="00F46008">
        <w:t>too high</w:t>
      </w:r>
      <w:r w:rsidR="00D20EDD">
        <w:t>, given the uncertainties regarding incremental effectiveness</w:t>
      </w:r>
      <w:r w:rsidR="004038B5">
        <w:t xml:space="preserve"> and harms</w:t>
      </w:r>
      <w:r w:rsidR="00D20EDD">
        <w:t>,</w:t>
      </w:r>
      <w:r w:rsidR="00F46008">
        <w:t xml:space="preserve"> </w:t>
      </w:r>
      <w:r w:rsidR="003617B5">
        <w:t xml:space="preserve">the </w:t>
      </w:r>
      <w:r w:rsidR="00D20EDD">
        <w:t>uncertainties regarding i</w:t>
      </w:r>
      <w:r w:rsidR="00D20EDD" w:rsidRPr="00D20EDD">
        <w:t>ncremental cost</w:t>
      </w:r>
      <w:r w:rsidR="00D20EDD">
        <w:t xml:space="preserve"> per </w:t>
      </w:r>
      <w:r w:rsidR="00D20EDD" w:rsidRPr="00D20EDD">
        <w:t>extra disfigurement-free responder</w:t>
      </w:r>
      <w:r w:rsidR="00D20EDD">
        <w:t xml:space="preserve">, and the </w:t>
      </w:r>
      <w:r w:rsidR="00A7675A">
        <w:t xml:space="preserve">unknown but </w:t>
      </w:r>
      <w:r w:rsidR="00D20EDD">
        <w:t>potential</w:t>
      </w:r>
      <w:r w:rsidR="00A7675A">
        <w:t>ly</w:t>
      </w:r>
      <w:r w:rsidR="00D20EDD">
        <w:t xml:space="preserve"> very high and unacceptable incremental </w:t>
      </w:r>
      <w:r w:rsidR="003617B5">
        <w:t xml:space="preserve">cost </w:t>
      </w:r>
      <w:r w:rsidR="00D20EDD">
        <w:t>per QALY gained</w:t>
      </w:r>
      <w:r w:rsidR="003617B5">
        <w:t xml:space="preserve">. </w:t>
      </w:r>
      <w:r w:rsidRPr="001811A6">
        <w:t xml:space="preserve">The use of a fixed total </w:t>
      </w:r>
      <w:r w:rsidR="003617B5">
        <w:t>financial</w:t>
      </w:r>
      <w:r w:rsidR="003617B5" w:rsidRPr="001811A6">
        <w:t xml:space="preserve"> </w:t>
      </w:r>
      <w:r w:rsidRPr="001811A6">
        <w:t>cap was proposed by the PBAC to mitigate the uncertainty around the cost effective</w:t>
      </w:r>
      <w:r w:rsidR="00674E8C">
        <w:t>ness</w:t>
      </w:r>
      <w:r w:rsidRPr="001811A6">
        <w:t xml:space="preserve"> </w:t>
      </w:r>
      <w:r w:rsidR="002764D1">
        <w:t xml:space="preserve">and total financial impact </w:t>
      </w:r>
      <w:r w:rsidRPr="001811A6">
        <w:t>of vismodegib in these patients</w:t>
      </w:r>
      <w:r w:rsidR="00EC7E5D">
        <w:t>.</w:t>
      </w:r>
    </w:p>
    <w:p w:rsidR="00AE5473" w:rsidRPr="001811A6" w:rsidRDefault="00AE5473" w:rsidP="003C1346">
      <w:pPr>
        <w:pStyle w:val="PBACHeading1"/>
        <w:numPr>
          <w:ilvl w:val="0"/>
          <w:numId w:val="0"/>
        </w:numPr>
        <w:ind w:left="720"/>
      </w:pPr>
    </w:p>
    <w:p w:rsidR="00D67CDF" w:rsidRPr="001811A6" w:rsidRDefault="00544D61" w:rsidP="003C1346">
      <w:pPr>
        <w:pStyle w:val="ListParagraph"/>
        <w:widowControl/>
        <w:numPr>
          <w:ilvl w:val="1"/>
          <w:numId w:val="1"/>
        </w:numPr>
        <w:rPr>
          <w:b/>
        </w:rPr>
      </w:pPr>
      <w:r w:rsidRPr="001811A6">
        <w:t xml:space="preserve">Rather than accept the </w:t>
      </w:r>
      <w:r w:rsidR="003617B5">
        <w:t xml:space="preserve">subsidisation </w:t>
      </w:r>
      <w:r w:rsidRPr="001811A6">
        <w:t>cap</w:t>
      </w:r>
      <w:r w:rsidR="003617B5">
        <w:t>s</w:t>
      </w:r>
      <w:r w:rsidRPr="001811A6">
        <w:t xml:space="preserve"> proposed by the </w:t>
      </w:r>
      <w:r w:rsidRPr="00394DDC">
        <w:t>submission, t</w:t>
      </w:r>
      <w:r w:rsidR="00D67CDF" w:rsidRPr="00394DDC">
        <w:t>h</w:t>
      </w:r>
      <w:r w:rsidR="00AE5473" w:rsidRPr="00394DDC">
        <w:t xml:space="preserve">e </w:t>
      </w:r>
      <w:r w:rsidRPr="00394DDC">
        <w:t xml:space="preserve">PBAC recommended </w:t>
      </w:r>
      <w:r w:rsidR="0037101F" w:rsidRPr="00394DDC">
        <w:t xml:space="preserve">that a </w:t>
      </w:r>
      <w:r w:rsidRPr="00394DDC">
        <w:t xml:space="preserve">total </w:t>
      </w:r>
      <w:r w:rsidR="00AE5473" w:rsidRPr="00394DDC">
        <w:t>financial</w:t>
      </w:r>
      <w:r w:rsidR="00D67CDF" w:rsidRPr="00394DDC">
        <w:t xml:space="preserve"> cap </w:t>
      </w:r>
      <w:r w:rsidR="0037101F" w:rsidRPr="00394DDC">
        <w:t>should be based on the submission</w:t>
      </w:r>
      <w:r w:rsidR="00674E8C" w:rsidRPr="00394DDC">
        <w:t>’</w:t>
      </w:r>
      <w:r w:rsidR="00AB4EA6" w:rsidRPr="00394DDC">
        <w:t xml:space="preserve">s estimated patient </w:t>
      </w:r>
      <w:r w:rsidR="0037101F" w:rsidRPr="00394DDC">
        <w:t>numbers</w:t>
      </w:r>
      <w:r w:rsidR="00816853" w:rsidRPr="00394DDC">
        <w:t>,</w:t>
      </w:r>
      <w:r w:rsidR="0037101F" w:rsidRPr="00394DDC">
        <w:t xml:space="preserve"> the estimated average cost per patient per course under the EOC, </w:t>
      </w:r>
      <w:r w:rsidR="00816853" w:rsidRPr="00394DDC">
        <w:t xml:space="preserve">after </w:t>
      </w:r>
      <w:r w:rsidR="0037101F" w:rsidRPr="00394DDC">
        <w:t>taking into account PBAC’s requested price reduction</w:t>
      </w:r>
      <w:r w:rsidR="0037101F">
        <w:t xml:space="preserve">. </w:t>
      </w:r>
      <w:r w:rsidR="00D67CDF" w:rsidRPr="001811A6">
        <w:t xml:space="preserve"> </w:t>
      </w:r>
      <w:r w:rsidR="0037101F">
        <w:t>B</w:t>
      </w:r>
      <w:r w:rsidR="00D67CDF" w:rsidRPr="001811A6">
        <w:t xml:space="preserve">eyond </w:t>
      </w:r>
      <w:r w:rsidR="0037101F">
        <w:t xml:space="preserve">the financial cap a total rebate of </w:t>
      </w:r>
      <w:r w:rsidR="007527F7">
        <w:rPr>
          <w:noProof/>
          <w:color w:val="000000"/>
          <w:highlight w:val="black"/>
        </w:rPr>
        <w:t>''''''''</w:t>
      </w:r>
      <w:r w:rsidR="00D67CDF" w:rsidRPr="001811A6">
        <w:t>% of expenditure above the cap would be rebated to Government.</w:t>
      </w:r>
      <w:r w:rsidR="00816853">
        <w:t xml:space="preserve">  This was a pragmatic decision taking into account the high clinical need for an alternative to surgery</w:t>
      </w:r>
      <w:r w:rsidR="004C32B0">
        <w:t>,</w:t>
      </w:r>
      <w:r w:rsidR="00816853">
        <w:t xml:space="preserve"> but noting the high toxicity and discontinuation rates associated with use of vismodegib</w:t>
      </w:r>
      <w:r w:rsidR="004C32B0">
        <w:t>, and the limitations of the clinical data in this rare population</w:t>
      </w:r>
      <w:r w:rsidR="00816853">
        <w:t xml:space="preserve">. </w:t>
      </w:r>
    </w:p>
    <w:p w:rsidR="004E43B2" w:rsidRPr="001811A6" w:rsidRDefault="004E43B2">
      <w:pPr>
        <w:widowControl/>
        <w:jc w:val="left"/>
      </w:pPr>
    </w:p>
    <w:p w:rsidR="00B4462B" w:rsidRPr="001811A6" w:rsidRDefault="00B4462B" w:rsidP="003F04E9">
      <w:pPr>
        <w:pStyle w:val="ListParagraph"/>
        <w:ind w:left="709"/>
        <w:rPr>
          <w:i/>
          <w:szCs w:val="22"/>
        </w:rPr>
      </w:pPr>
      <w:r w:rsidRPr="001811A6">
        <w:rPr>
          <w:i/>
          <w:szCs w:val="22"/>
        </w:rPr>
        <w:t>For more detail on PBAC’s view, see section 7 “PBAC outcome”</w:t>
      </w:r>
    </w:p>
    <w:p w:rsidR="00B4462B" w:rsidRPr="001811A6" w:rsidRDefault="00B4462B" w:rsidP="00B4462B">
      <w:pPr>
        <w:widowControl/>
        <w:jc w:val="left"/>
      </w:pPr>
    </w:p>
    <w:p w:rsidR="00B4462B" w:rsidRPr="001811A6" w:rsidRDefault="00B4462B" w:rsidP="000F6687"/>
    <w:p w:rsidR="00B4462B" w:rsidRPr="001811A6" w:rsidRDefault="00B4462B" w:rsidP="00394DDC">
      <w:pPr>
        <w:pStyle w:val="Heading1"/>
        <w:rPr>
          <w:rFonts w:ascii="Arial Narrow" w:hAnsi="Arial Narrow"/>
          <w:sz w:val="18"/>
          <w:szCs w:val="18"/>
        </w:rPr>
      </w:pPr>
      <w:r w:rsidRPr="001811A6">
        <w:t>PBAC Outcome</w:t>
      </w:r>
    </w:p>
    <w:p w:rsidR="00B4462B" w:rsidRPr="001811A6" w:rsidRDefault="00B4462B" w:rsidP="00F534EB">
      <w:pPr>
        <w:contextualSpacing/>
        <w:rPr>
          <w:bCs/>
          <w:szCs w:val="22"/>
          <w:highlight w:val="yellow"/>
        </w:rPr>
      </w:pPr>
    </w:p>
    <w:p w:rsidR="00B4462B" w:rsidRPr="001811A6" w:rsidRDefault="00B4462B" w:rsidP="00B36DD5">
      <w:pPr>
        <w:numPr>
          <w:ilvl w:val="1"/>
          <w:numId w:val="1"/>
        </w:numPr>
        <w:contextualSpacing/>
        <w:rPr>
          <w:bCs/>
          <w:szCs w:val="22"/>
        </w:rPr>
      </w:pPr>
      <w:r w:rsidRPr="001811A6">
        <w:rPr>
          <w:bCs/>
          <w:szCs w:val="22"/>
        </w:rPr>
        <w:t xml:space="preserve">The PBAC recommended </w:t>
      </w:r>
      <w:r w:rsidR="00667807" w:rsidRPr="001811A6">
        <w:rPr>
          <w:bCs/>
          <w:szCs w:val="22"/>
        </w:rPr>
        <w:t>the Authority Required listing</w:t>
      </w:r>
      <w:r w:rsidRPr="001811A6">
        <w:rPr>
          <w:bCs/>
          <w:szCs w:val="22"/>
        </w:rPr>
        <w:t xml:space="preserve"> of </w:t>
      </w:r>
      <w:r w:rsidR="00F534EB" w:rsidRPr="001811A6">
        <w:rPr>
          <w:bCs/>
          <w:szCs w:val="22"/>
        </w:rPr>
        <w:t>vismodegib</w:t>
      </w:r>
      <w:r w:rsidR="00667807" w:rsidRPr="001811A6">
        <w:rPr>
          <w:bCs/>
          <w:szCs w:val="22"/>
        </w:rPr>
        <w:t xml:space="preserve"> for the treatment of metastatic or locally advanced </w:t>
      </w:r>
      <w:r w:rsidR="003B4812">
        <w:rPr>
          <w:bCs/>
          <w:szCs w:val="22"/>
        </w:rPr>
        <w:t xml:space="preserve">BCC </w:t>
      </w:r>
      <w:r w:rsidR="00B36DD5" w:rsidRPr="001811A6">
        <w:rPr>
          <w:bCs/>
          <w:szCs w:val="22"/>
        </w:rPr>
        <w:t>inappropriate for surgery and curative radiotherapy</w:t>
      </w:r>
      <w:r w:rsidR="00667807" w:rsidRPr="001811A6">
        <w:rPr>
          <w:bCs/>
          <w:szCs w:val="22"/>
        </w:rPr>
        <w:t>.</w:t>
      </w:r>
    </w:p>
    <w:p w:rsidR="00B4462B" w:rsidRPr="001811A6" w:rsidRDefault="00B4462B" w:rsidP="00B4462B">
      <w:pPr>
        <w:ind w:left="720"/>
        <w:contextualSpacing/>
        <w:rPr>
          <w:bCs/>
          <w:szCs w:val="22"/>
        </w:rPr>
      </w:pPr>
    </w:p>
    <w:p w:rsidR="00B4462B" w:rsidRPr="001811A6" w:rsidRDefault="00B4462B" w:rsidP="00B36DD5">
      <w:pPr>
        <w:numPr>
          <w:ilvl w:val="1"/>
          <w:numId w:val="1"/>
        </w:numPr>
        <w:contextualSpacing/>
        <w:rPr>
          <w:bCs/>
          <w:szCs w:val="22"/>
        </w:rPr>
      </w:pPr>
      <w:r w:rsidRPr="001811A6">
        <w:rPr>
          <w:bCs/>
          <w:szCs w:val="22"/>
        </w:rPr>
        <w:t xml:space="preserve">The PBAC </w:t>
      </w:r>
      <w:r w:rsidR="005E1875" w:rsidRPr="001811A6">
        <w:rPr>
          <w:bCs/>
          <w:szCs w:val="22"/>
        </w:rPr>
        <w:t>wa</w:t>
      </w:r>
      <w:r w:rsidRPr="001811A6">
        <w:rPr>
          <w:bCs/>
          <w:szCs w:val="22"/>
        </w:rPr>
        <w:t xml:space="preserve">s satisfied that </w:t>
      </w:r>
      <w:r w:rsidR="00B36DD5" w:rsidRPr="001811A6">
        <w:rPr>
          <w:bCs/>
          <w:szCs w:val="22"/>
        </w:rPr>
        <w:t>vismodegib</w:t>
      </w:r>
      <w:r w:rsidRPr="001811A6">
        <w:rPr>
          <w:bCs/>
          <w:szCs w:val="22"/>
        </w:rPr>
        <w:t xml:space="preserve"> provides, for </w:t>
      </w:r>
      <w:r w:rsidR="00B36DD5" w:rsidRPr="001811A6">
        <w:rPr>
          <w:bCs/>
          <w:szCs w:val="22"/>
        </w:rPr>
        <w:t>a highly selected patient group</w:t>
      </w:r>
      <w:r w:rsidRPr="001811A6">
        <w:rPr>
          <w:bCs/>
          <w:szCs w:val="22"/>
        </w:rPr>
        <w:t xml:space="preserve">, a significant improvement in efficacy over </w:t>
      </w:r>
      <w:r w:rsidR="00B36DD5" w:rsidRPr="001811A6">
        <w:rPr>
          <w:bCs/>
          <w:szCs w:val="22"/>
        </w:rPr>
        <w:t>best supportive care</w:t>
      </w:r>
      <w:r w:rsidR="003B4812">
        <w:rPr>
          <w:bCs/>
          <w:szCs w:val="22"/>
        </w:rPr>
        <w:t>.</w:t>
      </w:r>
    </w:p>
    <w:p w:rsidR="00B4462B" w:rsidRPr="001811A6" w:rsidRDefault="00B4462B" w:rsidP="005F4BCA">
      <w:pPr>
        <w:contextualSpacing/>
        <w:rPr>
          <w:bCs/>
          <w:szCs w:val="22"/>
        </w:rPr>
      </w:pPr>
    </w:p>
    <w:p w:rsidR="00B4462B" w:rsidRPr="001811A6" w:rsidRDefault="005F4BCA" w:rsidP="005F4BCA">
      <w:pPr>
        <w:numPr>
          <w:ilvl w:val="1"/>
          <w:numId w:val="1"/>
        </w:numPr>
        <w:contextualSpacing/>
        <w:rPr>
          <w:bCs/>
          <w:szCs w:val="22"/>
        </w:rPr>
      </w:pPr>
      <w:r w:rsidRPr="001811A6">
        <w:rPr>
          <w:bCs/>
          <w:szCs w:val="22"/>
        </w:rPr>
        <w:t>The PBAC considered that the c</w:t>
      </w:r>
      <w:r w:rsidR="00B4462B" w:rsidRPr="001811A6">
        <w:rPr>
          <w:bCs/>
          <w:szCs w:val="22"/>
        </w:rPr>
        <w:t xml:space="preserve">linical place for </w:t>
      </w:r>
      <w:r w:rsidR="00544D61" w:rsidRPr="001811A6">
        <w:rPr>
          <w:bCs/>
          <w:szCs w:val="22"/>
        </w:rPr>
        <w:t>vismodegib</w:t>
      </w:r>
      <w:r w:rsidR="00B4462B" w:rsidRPr="001811A6">
        <w:rPr>
          <w:bCs/>
          <w:szCs w:val="22"/>
        </w:rPr>
        <w:t xml:space="preserve"> </w:t>
      </w:r>
      <w:r w:rsidRPr="001811A6">
        <w:rPr>
          <w:bCs/>
          <w:szCs w:val="22"/>
        </w:rPr>
        <w:t>is in</w:t>
      </w:r>
      <w:r w:rsidRPr="001811A6">
        <w:t xml:space="preserve"> </w:t>
      </w:r>
      <w:r w:rsidRPr="001811A6">
        <w:rPr>
          <w:bCs/>
          <w:szCs w:val="22"/>
        </w:rPr>
        <w:t xml:space="preserve">metastatic or locally advanced </w:t>
      </w:r>
      <w:r w:rsidR="003B4812">
        <w:rPr>
          <w:bCs/>
          <w:szCs w:val="22"/>
        </w:rPr>
        <w:t xml:space="preserve">BCC </w:t>
      </w:r>
      <w:r w:rsidR="003B4812" w:rsidRPr="001811A6">
        <w:rPr>
          <w:bCs/>
          <w:szCs w:val="22"/>
        </w:rPr>
        <w:t>that</w:t>
      </w:r>
      <w:r w:rsidR="00544D61" w:rsidRPr="001811A6">
        <w:rPr>
          <w:bCs/>
          <w:szCs w:val="22"/>
        </w:rPr>
        <w:t xml:space="preserve"> </w:t>
      </w:r>
      <w:r w:rsidRPr="001811A6">
        <w:rPr>
          <w:bCs/>
          <w:szCs w:val="22"/>
        </w:rPr>
        <w:t>is inappropriate for surgery and curative radiotherapy.</w:t>
      </w:r>
    </w:p>
    <w:p w:rsidR="00092DBF" w:rsidRPr="001811A6" w:rsidRDefault="00092DBF" w:rsidP="00D57A9F">
      <w:pPr>
        <w:pStyle w:val="ListParagraph"/>
        <w:rPr>
          <w:bCs/>
          <w:szCs w:val="22"/>
        </w:rPr>
      </w:pPr>
    </w:p>
    <w:p w:rsidR="00092DBF" w:rsidRPr="001811A6" w:rsidRDefault="00092DBF" w:rsidP="005F4BCA">
      <w:pPr>
        <w:numPr>
          <w:ilvl w:val="1"/>
          <w:numId w:val="1"/>
        </w:numPr>
        <w:contextualSpacing/>
        <w:rPr>
          <w:bCs/>
          <w:szCs w:val="22"/>
        </w:rPr>
      </w:pPr>
      <w:r w:rsidRPr="001811A6">
        <w:rPr>
          <w:bCs/>
          <w:szCs w:val="22"/>
        </w:rPr>
        <w:t>The PBAC considered that</w:t>
      </w:r>
      <w:r w:rsidR="00AE1707" w:rsidRPr="001811A6">
        <w:rPr>
          <w:bCs/>
          <w:szCs w:val="22"/>
        </w:rPr>
        <w:t xml:space="preserve"> the wording of the restriction</w:t>
      </w:r>
      <w:r w:rsidR="00C435F6" w:rsidRPr="001811A6">
        <w:rPr>
          <w:bCs/>
          <w:szCs w:val="22"/>
        </w:rPr>
        <w:t>,</w:t>
      </w:r>
      <w:r w:rsidR="00AE1707" w:rsidRPr="001811A6">
        <w:rPr>
          <w:bCs/>
          <w:szCs w:val="22"/>
        </w:rPr>
        <w:t xml:space="preserve"> to exclude patients who should have</w:t>
      </w:r>
      <w:r w:rsidR="00C435F6" w:rsidRPr="001811A6">
        <w:rPr>
          <w:bCs/>
          <w:szCs w:val="22"/>
        </w:rPr>
        <w:t xml:space="preserve"> access to</w:t>
      </w:r>
      <w:r w:rsidR="00AE1707" w:rsidRPr="001811A6">
        <w:rPr>
          <w:bCs/>
          <w:szCs w:val="22"/>
        </w:rPr>
        <w:t xml:space="preserve"> surgery or </w:t>
      </w:r>
      <w:r w:rsidR="00EA3686">
        <w:rPr>
          <w:bCs/>
          <w:szCs w:val="22"/>
        </w:rPr>
        <w:t>radiotherapy</w:t>
      </w:r>
      <w:r w:rsidR="00EA3686" w:rsidRPr="001811A6">
        <w:rPr>
          <w:bCs/>
          <w:szCs w:val="22"/>
        </w:rPr>
        <w:t xml:space="preserve"> </w:t>
      </w:r>
      <w:r w:rsidR="00AE1707" w:rsidRPr="001811A6">
        <w:rPr>
          <w:bCs/>
          <w:szCs w:val="22"/>
        </w:rPr>
        <w:t>instead of vismodegib</w:t>
      </w:r>
      <w:r w:rsidR="00C435F6" w:rsidRPr="001811A6">
        <w:rPr>
          <w:bCs/>
          <w:szCs w:val="22"/>
        </w:rPr>
        <w:t>,</w:t>
      </w:r>
      <w:r w:rsidR="00AE1707" w:rsidRPr="001811A6">
        <w:rPr>
          <w:bCs/>
          <w:szCs w:val="22"/>
        </w:rPr>
        <w:t xml:space="preserve"> was sufficient to limit access to vismodegib to the target population. There was considered only a small risk of leakage to patients for whom surgery was an option based mainly on the safety profile of the drug.</w:t>
      </w:r>
    </w:p>
    <w:p w:rsidR="00B4462B" w:rsidRPr="001811A6" w:rsidRDefault="00B4462B" w:rsidP="00B4462B">
      <w:pPr>
        <w:ind w:left="720"/>
        <w:contextualSpacing/>
        <w:rPr>
          <w:bCs/>
          <w:szCs w:val="22"/>
          <w:highlight w:val="yellow"/>
        </w:rPr>
      </w:pPr>
    </w:p>
    <w:p w:rsidR="00B4462B" w:rsidRPr="001811A6" w:rsidRDefault="005F4BCA" w:rsidP="005F4BCA">
      <w:pPr>
        <w:numPr>
          <w:ilvl w:val="1"/>
          <w:numId w:val="1"/>
        </w:numPr>
        <w:contextualSpacing/>
        <w:rPr>
          <w:bCs/>
          <w:szCs w:val="22"/>
        </w:rPr>
      </w:pPr>
      <w:r w:rsidRPr="00464F2A">
        <w:rPr>
          <w:bCs/>
          <w:szCs w:val="22"/>
        </w:rPr>
        <w:t xml:space="preserve">The PBAC considered that </w:t>
      </w:r>
      <w:r w:rsidRPr="001C6EC2">
        <w:rPr>
          <w:bCs/>
          <w:szCs w:val="22"/>
        </w:rPr>
        <w:t>appropriate</w:t>
      </w:r>
      <w:r w:rsidR="00544D61" w:rsidRPr="001C6EC2">
        <w:rPr>
          <w:bCs/>
          <w:szCs w:val="22"/>
        </w:rPr>
        <w:t xml:space="preserve"> comparator</w:t>
      </w:r>
      <w:r w:rsidR="003548CE" w:rsidRPr="002E147A">
        <w:rPr>
          <w:bCs/>
          <w:szCs w:val="22"/>
        </w:rPr>
        <w:t xml:space="preserve">s included </w:t>
      </w:r>
      <w:r w:rsidRPr="001C6EC2">
        <w:rPr>
          <w:bCs/>
          <w:szCs w:val="22"/>
        </w:rPr>
        <w:t>surgery</w:t>
      </w:r>
      <w:r w:rsidR="003548CE" w:rsidRPr="002E147A">
        <w:rPr>
          <w:bCs/>
          <w:szCs w:val="22"/>
        </w:rPr>
        <w:t xml:space="preserve"> and best supportive care</w:t>
      </w:r>
      <w:r w:rsidR="002E147A">
        <w:rPr>
          <w:bCs/>
          <w:szCs w:val="22"/>
        </w:rPr>
        <w:t xml:space="preserve">. </w:t>
      </w:r>
      <w:r w:rsidR="00EA3686">
        <w:rPr>
          <w:bCs/>
          <w:szCs w:val="22"/>
        </w:rPr>
        <w:t>V</w:t>
      </w:r>
      <w:r w:rsidR="00EA3686" w:rsidRPr="001811A6">
        <w:rPr>
          <w:bCs/>
          <w:szCs w:val="22"/>
        </w:rPr>
        <w:t xml:space="preserve">ismodegib </w:t>
      </w:r>
      <w:r w:rsidR="00D57A9F" w:rsidRPr="001811A6">
        <w:rPr>
          <w:bCs/>
          <w:szCs w:val="22"/>
        </w:rPr>
        <w:t>was not considered</w:t>
      </w:r>
      <w:r w:rsidR="00544D61" w:rsidRPr="001811A6">
        <w:rPr>
          <w:bCs/>
          <w:szCs w:val="22"/>
        </w:rPr>
        <w:t xml:space="preserve"> equivalent in terms of comparative effectiveness to surgery, as vismodegib was not considered to be curative </w:t>
      </w:r>
      <w:r w:rsidR="003B4812">
        <w:rPr>
          <w:bCs/>
          <w:szCs w:val="22"/>
        </w:rPr>
        <w:t xml:space="preserve">for </w:t>
      </w:r>
      <w:r w:rsidR="00544D61" w:rsidRPr="001811A6">
        <w:rPr>
          <w:bCs/>
          <w:szCs w:val="22"/>
        </w:rPr>
        <w:t>BCC.</w:t>
      </w:r>
    </w:p>
    <w:p w:rsidR="00B4462B" w:rsidRPr="001811A6" w:rsidRDefault="00B4462B" w:rsidP="00E24DFC">
      <w:pPr>
        <w:ind w:left="720"/>
        <w:contextualSpacing/>
        <w:rPr>
          <w:bCs/>
          <w:szCs w:val="22"/>
        </w:rPr>
      </w:pPr>
    </w:p>
    <w:p w:rsidR="00B4462B" w:rsidRPr="001811A6" w:rsidRDefault="00BD4BD7" w:rsidP="00B4462B">
      <w:pPr>
        <w:numPr>
          <w:ilvl w:val="1"/>
          <w:numId w:val="1"/>
        </w:numPr>
        <w:contextualSpacing/>
        <w:rPr>
          <w:bCs/>
          <w:szCs w:val="22"/>
        </w:rPr>
      </w:pPr>
      <w:r w:rsidRPr="001811A6">
        <w:rPr>
          <w:bCs/>
          <w:szCs w:val="22"/>
        </w:rPr>
        <w:t xml:space="preserve">The </w:t>
      </w:r>
      <w:r w:rsidR="00B4462B" w:rsidRPr="001811A6">
        <w:rPr>
          <w:bCs/>
          <w:szCs w:val="22"/>
        </w:rPr>
        <w:t>PBAC</w:t>
      </w:r>
      <w:r w:rsidRPr="001811A6">
        <w:rPr>
          <w:bCs/>
          <w:szCs w:val="22"/>
        </w:rPr>
        <w:t xml:space="preserve"> did not accept </w:t>
      </w:r>
      <w:r w:rsidR="00E25F75" w:rsidRPr="001811A6">
        <w:rPr>
          <w:bCs/>
          <w:szCs w:val="22"/>
        </w:rPr>
        <w:t xml:space="preserve">that vismodegib was superior in safety to best supportive </w:t>
      </w:r>
      <w:r w:rsidR="00E25F75" w:rsidRPr="001C6EC2">
        <w:rPr>
          <w:bCs/>
          <w:szCs w:val="22"/>
        </w:rPr>
        <w:t>care</w:t>
      </w:r>
      <w:r w:rsidR="00092DBF" w:rsidRPr="004C23BE">
        <w:rPr>
          <w:bCs/>
          <w:szCs w:val="22"/>
        </w:rPr>
        <w:t xml:space="preserve">, noting </w:t>
      </w:r>
      <w:r w:rsidR="00E25F75" w:rsidRPr="004C23BE">
        <w:rPr>
          <w:bCs/>
          <w:szCs w:val="22"/>
        </w:rPr>
        <w:t xml:space="preserve">the </w:t>
      </w:r>
      <w:r w:rsidR="001C6EC2" w:rsidRPr="004C23BE">
        <w:rPr>
          <w:bCs/>
          <w:szCs w:val="22"/>
        </w:rPr>
        <w:t xml:space="preserve">high frequency of adverse events, and the potentially </w:t>
      </w:r>
      <w:r w:rsidR="00E25F75" w:rsidRPr="004C23BE">
        <w:rPr>
          <w:bCs/>
          <w:szCs w:val="22"/>
        </w:rPr>
        <w:t>teratogenic and mutagenic</w:t>
      </w:r>
      <w:r w:rsidR="00E25F75" w:rsidRPr="00995947">
        <w:rPr>
          <w:bCs/>
          <w:szCs w:val="22"/>
        </w:rPr>
        <w:t xml:space="preserve"> nature of vismodegib.</w:t>
      </w:r>
      <w:r w:rsidR="00256280" w:rsidRPr="001C6EC2">
        <w:rPr>
          <w:bCs/>
          <w:szCs w:val="22"/>
        </w:rPr>
        <w:t xml:space="preserve"> The PBAC noted that most patients discontinued</w:t>
      </w:r>
      <w:r w:rsidR="00256280" w:rsidRPr="001811A6">
        <w:rPr>
          <w:bCs/>
          <w:szCs w:val="22"/>
        </w:rPr>
        <w:t xml:space="preserve"> due to AEs</w:t>
      </w:r>
      <w:r w:rsidR="000A1181" w:rsidRPr="001811A6">
        <w:rPr>
          <w:bCs/>
          <w:szCs w:val="22"/>
        </w:rPr>
        <w:t>.</w:t>
      </w:r>
      <w:r w:rsidR="00EA3686">
        <w:rPr>
          <w:bCs/>
          <w:szCs w:val="22"/>
        </w:rPr>
        <w:t xml:space="preserve"> </w:t>
      </w:r>
      <w:r w:rsidR="002E147A">
        <w:rPr>
          <w:bCs/>
          <w:szCs w:val="22"/>
        </w:rPr>
        <w:t xml:space="preserve">The </w:t>
      </w:r>
      <w:r w:rsidR="00EA3686">
        <w:rPr>
          <w:bCs/>
          <w:szCs w:val="22"/>
        </w:rPr>
        <w:t xml:space="preserve">PBAC also noted that a significantly increased risk of cutaneous SCC in patients exposed to vismodegib had been reported. </w:t>
      </w:r>
    </w:p>
    <w:p w:rsidR="00B4462B" w:rsidRPr="001811A6" w:rsidRDefault="00B4462B" w:rsidP="00B4462B">
      <w:pPr>
        <w:ind w:left="720"/>
        <w:contextualSpacing/>
        <w:rPr>
          <w:bCs/>
          <w:szCs w:val="22"/>
          <w:highlight w:val="yellow"/>
        </w:rPr>
      </w:pPr>
    </w:p>
    <w:p w:rsidR="000F6361" w:rsidRPr="001811A6" w:rsidRDefault="00E25F75" w:rsidP="000F6361">
      <w:pPr>
        <w:numPr>
          <w:ilvl w:val="1"/>
          <w:numId w:val="1"/>
        </w:numPr>
        <w:contextualSpacing/>
        <w:rPr>
          <w:bCs/>
          <w:szCs w:val="22"/>
        </w:rPr>
      </w:pPr>
      <w:r w:rsidRPr="001811A6">
        <w:rPr>
          <w:bCs/>
          <w:szCs w:val="22"/>
        </w:rPr>
        <w:t xml:space="preserve">The PBAC did not consider that the model as presented in the submission was </w:t>
      </w:r>
      <w:r w:rsidR="0090618C" w:rsidRPr="001811A6">
        <w:rPr>
          <w:bCs/>
          <w:szCs w:val="22"/>
        </w:rPr>
        <w:t>either reasonable or acceptable</w:t>
      </w:r>
      <w:r w:rsidRPr="001811A6">
        <w:rPr>
          <w:bCs/>
          <w:szCs w:val="22"/>
        </w:rPr>
        <w:t>, as the inputs were overly optimistic in favour of treatment with vismodegib. The resultant ICER was not considered to be representative of the actual ICER due to the inputs selected, the lack of any costs associated with AEs and the use of 100% offset of disfigurement from treatment.</w:t>
      </w:r>
      <w:r w:rsidR="00256280" w:rsidRPr="001811A6">
        <w:rPr>
          <w:bCs/>
          <w:szCs w:val="22"/>
        </w:rPr>
        <w:t xml:space="preserve"> However</w:t>
      </w:r>
      <w:r w:rsidR="0090618C" w:rsidRPr="001811A6">
        <w:rPr>
          <w:bCs/>
          <w:szCs w:val="22"/>
        </w:rPr>
        <w:t>,</w:t>
      </w:r>
      <w:r w:rsidR="00256280" w:rsidRPr="001811A6">
        <w:rPr>
          <w:bCs/>
          <w:szCs w:val="22"/>
        </w:rPr>
        <w:t xml:space="preserve"> the PBAC considered that there was a</w:t>
      </w:r>
      <w:r w:rsidR="000F6361" w:rsidRPr="001811A6">
        <w:rPr>
          <w:bCs/>
          <w:szCs w:val="22"/>
        </w:rPr>
        <w:t>n unmet</w:t>
      </w:r>
      <w:r w:rsidR="00256280" w:rsidRPr="001811A6">
        <w:rPr>
          <w:bCs/>
          <w:szCs w:val="22"/>
        </w:rPr>
        <w:t xml:space="preserve"> clinical need for vismodegib</w:t>
      </w:r>
      <w:r w:rsidR="00C208C8" w:rsidRPr="001811A6">
        <w:rPr>
          <w:bCs/>
          <w:szCs w:val="22"/>
        </w:rPr>
        <w:t xml:space="preserve"> to be PBS listed for the treatment of</w:t>
      </w:r>
      <w:r w:rsidR="00256280" w:rsidRPr="001811A6">
        <w:rPr>
          <w:bCs/>
          <w:szCs w:val="22"/>
        </w:rPr>
        <w:t xml:space="preserve"> metastatic or locally advanced </w:t>
      </w:r>
      <w:r w:rsidR="003B4812">
        <w:rPr>
          <w:bCs/>
          <w:szCs w:val="22"/>
        </w:rPr>
        <w:t xml:space="preserve">BCC </w:t>
      </w:r>
      <w:r w:rsidR="000F6361" w:rsidRPr="001811A6">
        <w:rPr>
          <w:bCs/>
          <w:szCs w:val="22"/>
        </w:rPr>
        <w:t>in a highly restricted sub-population</w:t>
      </w:r>
      <w:r w:rsidR="0090618C" w:rsidRPr="001811A6">
        <w:rPr>
          <w:bCs/>
          <w:szCs w:val="22"/>
        </w:rPr>
        <w:t xml:space="preserve"> with the following </w:t>
      </w:r>
      <w:r w:rsidR="00E24DFC" w:rsidRPr="001811A6">
        <w:rPr>
          <w:bCs/>
          <w:szCs w:val="22"/>
        </w:rPr>
        <w:t>conditions</w:t>
      </w:r>
      <w:r w:rsidR="0090618C" w:rsidRPr="001811A6">
        <w:rPr>
          <w:bCs/>
          <w:szCs w:val="22"/>
        </w:rPr>
        <w:t xml:space="preserve"> to be met by the sponsor before listing could occur</w:t>
      </w:r>
      <w:r w:rsidR="000F6361" w:rsidRPr="001811A6">
        <w:rPr>
          <w:bCs/>
          <w:szCs w:val="22"/>
        </w:rPr>
        <w:t>.</w:t>
      </w:r>
    </w:p>
    <w:p w:rsidR="00E25F75" w:rsidRPr="001811A6" w:rsidRDefault="00E25F75" w:rsidP="00E25F75">
      <w:pPr>
        <w:ind w:left="720"/>
        <w:contextualSpacing/>
        <w:rPr>
          <w:bCs/>
          <w:szCs w:val="22"/>
        </w:rPr>
      </w:pPr>
    </w:p>
    <w:p w:rsidR="00B4462B" w:rsidRPr="001811A6" w:rsidRDefault="00E25F75" w:rsidP="00B4462B">
      <w:pPr>
        <w:numPr>
          <w:ilvl w:val="1"/>
          <w:numId w:val="1"/>
        </w:numPr>
        <w:contextualSpacing/>
        <w:rPr>
          <w:bCs/>
          <w:szCs w:val="22"/>
        </w:rPr>
      </w:pPr>
      <w:r w:rsidRPr="001811A6">
        <w:rPr>
          <w:bCs/>
          <w:szCs w:val="22"/>
        </w:rPr>
        <w:t>The PBAC considered that the patient estimates were reasonable when restricted to the clinical criteria in the restriction.</w:t>
      </w:r>
    </w:p>
    <w:p w:rsidR="000F6361" w:rsidRPr="001811A6" w:rsidRDefault="000F6361" w:rsidP="00C96419">
      <w:pPr>
        <w:ind w:left="720"/>
        <w:contextualSpacing/>
        <w:rPr>
          <w:bCs/>
          <w:szCs w:val="22"/>
        </w:rPr>
      </w:pPr>
    </w:p>
    <w:p w:rsidR="000F6361" w:rsidRPr="00F23DFB" w:rsidRDefault="000F6361" w:rsidP="00B4462B">
      <w:pPr>
        <w:numPr>
          <w:ilvl w:val="1"/>
          <w:numId w:val="1"/>
        </w:numPr>
        <w:contextualSpacing/>
        <w:rPr>
          <w:bCs/>
          <w:szCs w:val="22"/>
        </w:rPr>
      </w:pPr>
      <w:r w:rsidRPr="00F23DFB">
        <w:t>The PBAC considered that the</w:t>
      </w:r>
      <w:r w:rsidR="000A1181" w:rsidRPr="001D0280">
        <w:t xml:space="preserve"> financial implications to the C</w:t>
      </w:r>
      <w:r w:rsidRPr="001D0280">
        <w:t xml:space="preserve">ommonwealth were unacceptable as presented in the submission, </w:t>
      </w:r>
      <w:r w:rsidR="002E147A">
        <w:t>at the price proposed by the sponsor</w:t>
      </w:r>
      <w:r w:rsidRPr="00F23DFB">
        <w:t>.</w:t>
      </w:r>
    </w:p>
    <w:p w:rsidR="000F6361" w:rsidRPr="001811A6" w:rsidRDefault="000F6361" w:rsidP="00C96419">
      <w:pPr>
        <w:ind w:left="720"/>
        <w:contextualSpacing/>
        <w:rPr>
          <w:bCs/>
          <w:szCs w:val="22"/>
        </w:rPr>
      </w:pPr>
    </w:p>
    <w:p w:rsidR="000F6361" w:rsidRPr="001811A6" w:rsidRDefault="000F6361" w:rsidP="004560AB">
      <w:pPr>
        <w:numPr>
          <w:ilvl w:val="1"/>
          <w:numId w:val="1"/>
        </w:numPr>
        <w:contextualSpacing/>
        <w:rPr>
          <w:bCs/>
          <w:szCs w:val="22"/>
        </w:rPr>
      </w:pPr>
      <w:r w:rsidRPr="001811A6">
        <w:rPr>
          <w:bCs/>
          <w:szCs w:val="22"/>
        </w:rPr>
        <w:t xml:space="preserve">The PBAC considered that </w:t>
      </w:r>
      <w:r w:rsidR="00EA3686">
        <w:rPr>
          <w:bCs/>
          <w:szCs w:val="22"/>
        </w:rPr>
        <w:t>a price reduction of</w:t>
      </w:r>
      <w:r w:rsidRPr="001811A6">
        <w:rPr>
          <w:bCs/>
          <w:szCs w:val="22"/>
        </w:rPr>
        <w:t xml:space="preserve"> at </w:t>
      </w:r>
      <w:r w:rsidR="003B4812">
        <w:rPr>
          <w:bCs/>
          <w:szCs w:val="22"/>
        </w:rPr>
        <w:t xml:space="preserve">least </w:t>
      </w:r>
      <w:r w:rsidR="00950905">
        <w:rPr>
          <w:bCs/>
          <w:noProof/>
          <w:color w:val="000000"/>
          <w:szCs w:val="22"/>
          <w:highlight w:val="black"/>
        </w:rPr>
        <w:t>'''''''</w:t>
      </w:r>
      <w:r w:rsidRPr="001811A6">
        <w:rPr>
          <w:bCs/>
          <w:szCs w:val="22"/>
        </w:rPr>
        <w:t xml:space="preserve">% </w:t>
      </w:r>
      <w:r w:rsidR="00EA3686">
        <w:rPr>
          <w:bCs/>
          <w:szCs w:val="22"/>
        </w:rPr>
        <w:t xml:space="preserve">was required to achieve a high but acceptable ICER </w:t>
      </w:r>
      <w:r w:rsidR="00EA3686" w:rsidRPr="001811A6">
        <w:t>per disfigurement-</w:t>
      </w:r>
      <w:r w:rsidR="00EA3686">
        <w:t>free responder</w:t>
      </w:r>
      <w:r w:rsidR="00EA3686">
        <w:rPr>
          <w:bCs/>
          <w:szCs w:val="22"/>
        </w:rPr>
        <w:t>.</w:t>
      </w:r>
      <w:r w:rsidR="002E147A">
        <w:rPr>
          <w:bCs/>
          <w:szCs w:val="22"/>
        </w:rPr>
        <w:t xml:space="preserve"> </w:t>
      </w:r>
      <w:r w:rsidRPr="001811A6">
        <w:rPr>
          <w:bCs/>
          <w:szCs w:val="22"/>
        </w:rPr>
        <w:t xml:space="preserve">The PBAC recommendation to list is based on a corresponding reduction in price </w:t>
      </w:r>
      <w:r w:rsidR="003B4812">
        <w:rPr>
          <w:bCs/>
          <w:szCs w:val="22"/>
        </w:rPr>
        <w:t>together with acceptance of a Risk Sharing Arrangement</w:t>
      </w:r>
      <w:r w:rsidRPr="001811A6">
        <w:rPr>
          <w:bCs/>
          <w:szCs w:val="22"/>
        </w:rPr>
        <w:t>.</w:t>
      </w:r>
    </w:p>
    <w:p w:rsidR="000F6361" w:rsidRPr="001811A6" w:rsidRDefault="000F6361" w:rsidP="00C96419">
      <w:pPr>
        <w:ind w:left="720"/>
        <w:contextualSpacing/>
        <w:rPr>
          <w:bCs/>
          <w:szCs w:val="22"/>
        </w:rPr>
      </w:pPr>
    </w:p>
    <w:p w:rsidR="000F6361" w:rsidRPr="001811A6" w:rsidRDefault="007B4085" w:rsidP="003C1346">
      <w:pPr>
        <w:pStyle w:val="ListParagraph"/>
        <w:widowControl/>
        <w:numPr>
          <w:ilvl w:val="1"/>
          <w:numId w:val="1"/>
        </w:numPr>
        <w:rPr>
          <w:b/>
        </w:rPr>
      </w:pPr>
      <w:r w:rsidRPr="001811A6">
        <w:t>T</w:t>
      </w:r>
      <w:r w:rsidR="000F6361" w:rsidRPr="001811A6">
        <w:t xml:space="preserve">he PBAC recommended a total financial cap of beyond which </w:t>
      </w:r>
      <w:r w:rsidR="007527F7">
        <w:rPr>
          <w:noProof/>
          <w:color w:val="000000"/>
          <w:highlight w:val="black"/>
        </w:rPr>
        <w:t>'''''''''</w:t>
      </w:r>
      <w:r w:rsidR="000F6361" w:rsidRPr="001811A6">
        <w:t>% of expenditure above the cap would be rebated to Government.</w:t>
      </w:r>
    </w:p>
    <w:p w:rsidR="00B4462B" w:rsidRPr="001811A6" w:rsidRDefault="00B4462B" w:rsidP="00E25F75">
      <w:pPr>
        <w:contextualSpacing/>
        <w:rPr>
          <w:bCs/>
          <w:szCs w:val="22"/>
        </w:rPr>
      </w:pPr>
    </w:p>
    <w:p w:rsidR="00B4462B" w:rsidRPr="001811A6" w:rsidRDefault="00B4462B" w:rsidP="00B4462B">
      <w:pPr>
        <w:numPr>
          <w:ilvl w:val="1"/>
          <w:numId w:val="1"/>
        </w:numPr>
        <w:contextualSpacing/>
        <w:rPr>
          <w:bCs/>
          <w:szCs w:val="22"/>
        </w:rPr>
      </w:pPr>
      <w:r w:rsidRPr="001811A6">
        <w:rPr>
          <w:bCs/>
          <w:szCs w:val="22"/>
        </w:rPr>
        <w:t xml:space="preserve">The PBAC advised that </w:t>
      </w:r>
      <w:r w:rsidR="00B90BFA" w:rsidRPr="001811A6">
        <w:rPr>
          <w:bCs/>
          <w:szCs w:val="22"/>
        </w:rPr>
        <w:t>vismodegib</w:t>
      </w:r>
      <w:r w:rsidRPr="001811A6">
        <w:rPr>
          <w:bCs/>
          <w:szCs w:val="22"/>
        </w:rPr>
        <w:t xml:space="preserve"> </w:t>
      </w:r>
      <w:r w:rsidR="00B90BFA" w:rsidRPr="001811A6">
        <w:rPr>
          <w:bCs/>
          <w:szCs w:val="22"/>
        </w:rPr>
        <w:t xml:space="preserve">is </w:t>
      </w:r>
      <w:r w:rsidRPr="001811A6">
        <w:rPr>
          <w:bCs/>
          <w:szCs w:val="22"/>
        </w:rPr>
        <w:t>not suitable for prescribing by nurse practitioners.</w:t>
      </w:r>
    </w:p>
    <w:p w:rsidR="00437D31" w:rsidRPr="001811A6" w:rsidRDefault="00437D31" w:rsidP="00C96419">
      <w:pPr>
        <w:pStyle w:val="ListParagraph"/>
        <w:rPr>
          <w:bCs/>
          <w:szCs w:val="22"/>
        </w:rPr>
      </w:pPr>
    </w:p>
    <w:p w:rsidR="00437D31" w:rsidRPr="001811A6" w:rsidRDefault="007B4085" w:rsidP="007B4085">
      <w:pPr>
        <w:numPr>
          <w:ilvl w:val="1"/>
          <w:numId w:val="1"/>
        </w:numPr>
        <w:contextualSpacing/>
        <w:rPr>
          <w:bCs/>
          <w:szCs w:val="22"/>
        </w:rPr>
      </w:pPr>
      <w:r w:rsidRPr="001811A6">
        <w:rPr>
          <w:bCs/>
          <w:szCs w:val="22"/>
        </w:rPr>
        <w:t>The PBAC recommended that vismodegib should not be treated as interchangeable on an individual patient basis with any other drug.</w:t>
      </w:r>
    </w:p>
    <w:p w:rsidR="00B4462B" w:rsidRPr="001811A6" w:rsidRDefault="00B4462B" w:rsidP="00B4462B">
      <w:pPr>
        <w:ind w:left="720"/>
        <w:contextualSpacing/>
        <w:rPr>
          <w:bCs/>
          <w:szCs w:val="22"/>
        </w:rPr>
      </w:pPr>
    </w:p>
    <w:p w:rsidR="00B4462B" w:rsidRPr="001811A6" w:rsidRDefault="00B4462B" w:rsidP="00B4462B">
      <w:pPr>
        <w:numPr>
          <w:ilvl w:val="1"/>
          <w:numId w:val="1"/>
        </w:numPr>
        <w:contextualSpacing/>
        <w:rPr>
          <w:bCs/>
          <w:szCs w:val="22"/>
        </w:rPr>
      </w:pPr>
      <w:r w:rsidRPr="001811A6">
        <w:rPr>
          <w:bCs/>
          <w:szCs w:val="22"/>
        </w:rPr>
        <w:t xml:space="preserve">The PBAC recommended that the </w:t>
      </w:r>
      <w:r w:rsidR="00B90BFA" w:rsidRPr="001811A6">
        <w:rPr>
          <w:bCs/>
          <w:szCs w:val="22"/>
        </w:rPr>
        <w:t>Early Supply</w:t>
      </w:r>
      <w:r w:rsidRPr="001811A6">
        <w:rPr>
          <w:bCs/>
          <w:szCs w:val="22"/>
        </w:rPr>
        <w:t xml:space="preserve"> Rule should apply</w:t>
      </w:r>
      <w:r w:rsidR="009440E6" w:rsidRPr="001811A6">
        <w:rPr>
          <w:bCs/>
          <w:szCs w:val="22"/>
        </w:rPr>
        <w:t xml:space="preserve"> </w:t>
      </w:r>
      <w:r w:rsidR="009440E6" w:rsidRPr="001811A6">
        <w:rPr>
          <w:szCs w:val="22"/>
        </w:rPr>
        <w:t>as the requested maximum quantity is sufficient supply for 28 days of treatment</w:t>
      </w:r>
      <w:r w:rsidRPr="001811A6">
        <w:rPr>
          <w:bCs/>
          <w:szCs w:val="22"/>
        </w:rPr>
        <w:t xml:space="preserve">. </w:t>
      </w:r>
    </w:p>
    <w:p w:rsidR="00B4462B" w:rsidRPr="001811A6" w:rsidRDefault="00B4462B" w:rsidP="00B4462B">
      <w:pPr>
        <w:ind w:left="720"/>
        <w:contextualSpacing/>
        <w:rPr>
          <w:bCs/>
          <w:szCs w:val="22"/>
        </w:rPr>
      </w:pPr>
    </w:p>
    <w:p w:rsidR="00B4462B" w:rsidRPr="001811A6" w:rsidRDefault="00B4462B" w:rsidP="00B90BFA">
      <w:pPr>
        <w:numPr>
          <w:ilvl w:val="1"/>
          <w:numId w:val="1"/>
        </w:numPr>
        <w:contextualSpacing/>
        <w:rPr>
          <w:b/>
          <w:szCs w:val="22"/>
        </w:rPr>
      </w:pPr>
      <w:r w:rsidRPr="001811A6">
        <w:rPr>
          <w:bCs/>
          <w:szCs w:val="22"/>
        </w:rPr>
        <w:t>The PBAC noted that this submission</w:t>
      </w:r>
      <w:r w:rsidR="00B90BFA" w:rsidRPr="001811A6">
        <w:rPr>
          <w:bCs/>
          <w:szCs w:val="22"/>
        </w:rPr>
        <w:t xml:space="preserve"> </w:t>
      </w:r>
      <w:r w:rsidRPr="001811A6">
        <w:rPr>
          <w:bCs/>
          <w:szCs w:val="22"/>
        </w:rPr>
        <w:t>is not eligible for an Independent Review</w:t>
      </w:r>
      <w:r w:rsidR="00B90BFA" w:rsidRPr="001811A6">
        <w:rPr>
          <w:bCs/>
          <w:szCs w:val="22"/>
        </w:rPr>
        <w:t xml:space="preserve"> as </w:t>
      </w:r>
      <w:r w:rsidR="00092DBF" w:rsidRPr="001811A6">
        <w:rPr>
          <w:bCs/>
          <w:szCs w:val="22"/>
        </w:rPr>
        <w:t xml:space="preserve">the submission was </w:t>
      </w:r>
      <w:r w:rsidR="00B90BFA" w:rsidRPr="001811A6">
        <w:rPr>
          <w:bCs/>
          <w:szCs w:val="22"/>
        </w:rPr>
        <w:t>recommend</w:t>
      </w:r>
      <w:r w:rsidR="00092DBF" w:rsidRPr="001811A6">
        <w:rPr>
          <w:bCs/>
          <w:szCs w:val="22"/>
        </w:rPr>
        <w:t>ed</w:t>
      </w:r>
      <w:r w:rsidR="00B90BFA" w:rsidRPr="001811A6">
        <w:rPr>
          <w:bCs/>
          <w:szCs w:val="22"/>
        </w:rPr>
        <w:t>.</w:t>
      </w:r>
      <w:r w:rsidRPr="001811A6">
        <w:rPr>
          <w:bCs/>
          <w:szCs w:val="22"/>
        </w:rPr>
        <w:t xml:space="preserve"> </w:t>
      </w:r>
    </w:p>
    <w:p w:rsidR="00B4462B" w:rsidRPr="001811A6" w:rsidRDefault="00B4462B" w:rsidP="00B4462B">
      <w:pPr>
        <w:rPr>
          <w:b/>
          <w:bCs/>
          <w:szCs w:val="22"/>
        </w:rPr>
      </w:pPr>
    </w:p>
    <w:p w:rsidR="00B4462B" w:rsidRPr="001811A6" w:rsidRDefault="00B4462B" w:rsidP="00B4462B">
      <w:pPr>
        <w:rPr>
          <w:b/>
          <w:bCs/>
          <w:szCs w:val="22"/>
        </w:rPr>
      </w:pPr>
      <w:r w:rsidRPr="001811A6">
        <w:rPr>
          <w:b/>
          <w:bCs/>
          <w:szCs w:val="22"/>
        </w:rPr>
        <w:t>Outcome:</w:t>
      </w:r>
    </w:p>
    <w:p w:rsidR="00B4462B" w:rsidRPr="001811A6" w:rsidRDefault="00831C0B" w:rsidP="00B4462B">
      <w:pPr>
        <w:rPr>
          <w:bCs/>
          <w:szCs w:val="22"/>
        </w:rPr>
      </w:pPr>
      <w:r w:rsidRPr="001811A6">
        <w:rPr>
          <w:bCs/>
          <w:szCs w:val="22"/>
        </w:rPr>
        <w:t>Recommended</w:t>
      </w:r>
    </w:p>
    <w:p w:rsidR="000F6687" w:rsidRDefault="000F6687" w:rsidP="00B4462B">
      <w:pPr>
        <w:rPr>
          <w:bCs/>
          <w:szCs w:val="22"/>
          <w:highlight w:val="yellow"/>
        </w:rPr>
      </w:pPr>
      <w:r>
        <w:rPr>
          <w:bCs/>
          <w:szCs w:val="22"/>
          <w:highlight w:val="yellow"/>
        </w:rPr>
        <w:br w:type="page"/>
      </w:r>
    </w:p>
    <w:p w:rsidR="00B4462B" w:rsidRPr="001811A6" w:rsidRDefault="00B4462B" w:rsidP="00217DD4">
      <w:pPr>
        <w:pStyle w:val="Heading1"/>
        <w:rPr>
          <w:i/>
        </w:rPr>
      </w:pPr>
      <w:r w:rsidRPr="001811A6">
        <w:lastRenderedPageBreak/>
        <w:t>Recommended listing</w:t>
      </w:r>
    </w:p>
    <w:p w:rsidR="00B4462B" w:rsidRPr="001811A6" w:rsidRDefault="00B4462B" w:rsidP="00B4462B">
      <w:pPr>
        <w:rPr>
          <w:b/>
          <w:bCs/>
          <w:i/>
          <w:szCs w:val="22"/>
        </w:rPr>
      </w:pPr>
    </w:p>
    <w:p w:rsidR="00B90BFA" w:rsidRPr="001811A6" w:rsidRDefault="00B90BFA" w:rsidP="003C1346">
      <w:pPr>
        <w:pStyle w:val="ListParagraph"/>
        <w:widowControl/>
        <w:numPr>
          <w:ilvl w:val="1"/>
          <w:numId w:val="1"/>
        </w:numPr>
        <w:rPr>
          <w:b/>
        </w:rPr>
      </w:pPr>
      <w:r w:rsidRPr="001811A6">
        <w:t>Add new item:</w:t>
      </w:r>
    </w:p>
    <w:p w:rsidR="00B90BFA" w:rsidRPr="001811A6" w:rsidRDefault="00B90BFA" w:rsidP="00B4462B">
      <w:pPr>
        <w:ind w:firstLine="720"/>
        <w:rPr>
          <w:bCs/>
          <w:szCs w:val="22"/>
          <w:highlight w:val="yellow"/>
        </w:rPr>
      </w:pPr>
    </w:p>
    <w:tbl>
      <w:tblPr>
        <w:tblW w:w="8505" w:type="dxa"/>
        <w:tblInd w:w="817" w:type="dxa"/>
        <w:tblLayout w:type="fixed"/>
        <w:tblLook w:val="0000" w:firstRow="0" w:lastRow="0" w:firstColumn="0" w:lastColumn="0" w:noHBand="0" w:noVBand="0"/>
      </w:tblPr>
      <w:tblGrid>
        <w:gridCol w:w="2126"/>
        <w:gridCol w:w="426"/>
        <w:gridCol w:w="567"/>
        <w:gridCol w:w="850"/>
        <w:gridCol w:w="1559"/>
        <w:gridCol w:w="1276"/>
        <w:gridCol w:w="1701"/>
      </w:tblGrid>
      <w:tr w:rsidR="00B506C3" w:rsidRPr="001811A6" w:rsidTr="00F5277E">
        <w:trPr>
          <w:gridAfter w:val="1"/>
          <w:wAfter w:w="1701" w:type="dxa"/>
          <w:cantSplit/>
          <w:trHeight w:val="471"/>
        </w:trPr>
        <w:tc>
          <w:tcPr>
            <w:tcW w:w="2552" w:type="dxa"/>
            <w:gridSpan w:val="2"/>
            <w:tcBorders>
              <w:bottom w:val="single" w:sz="4" w:space="0" w:color="auto"/>
            </w:tcBorders>
          </w:tcPr>
          <w:p w:rsidR="00B506C3" w:rsidRPr="001811A6" w:rsidRDefault="00B506C3" w:rsidP="00F5277E">
            <w:pPr>
              <w:keepNext/>
              <w:ind w:left="-108"/>
              <w:rPr>
                <w:rFonts w:ascii="Arial Narrow" w:hAnsi="Arial Narrow"/>
                <w:sz w:val="20"/>
              </w:rPr>
            </w:pPr>
            <w:r w:rsidRPr="001811A6">
              <w:rPr>
                <w:rFonts w:ascii="Arial Narrow" w:hAnsi="Arial Narrow"/>
                <w:sz w:val="20"/>
              </w:rPr>
              <w:t>Name, Restriction,</w:t>
            </w:r>
          </w:p>
          <w:p w:rsidR="00B506C3" w:rsidRPr="001811A6" w:rsidRDefault="00B506C3" w:rsidP="00F5277E">
            <w:pPr>
              <w:keepNext/>
              <w:ind w:left="-108"/>
              <w:rPr>
                <w:rFonts w:ascii="Arial Narrow" w:hAnsi="Arial Narrow"/>
                <w:sz w:val="20"/>
              </w:rPr>
            </w:pPr>
            <w:r w:rsidRPr="001811A6">
              <w:rPr>
                <w:rFonts w:ascii="Arial Narrow" w:hAnsi="Arial Narrow"/>
                <w:sz w:val="20"/>
              </w:rPr>
              <w:t>Manner of administration and form</w:t>
            </w:r>
          </w:p>
        </w:tc>
        <w:tc>
          <w:tcPr>
            <w:tcW w:w="567" w:type="dxa"/>
            <w:tcBorders>
              <w:bottom w:val="single" w:sz="4" w:space="0" w:color="auto"/>
            </w:tcBorders>
          </w:tcPr>
          <w:p w:rsidR="00B506C3" w:rsidRPr="001811A6" w:rsidRDefault="00B506C3" w:rsidP="00F5277E">
            <w:pPr>
              <w:keepNext/>
              <w:ind w:left="-108"/>
              <w:rPr>
                <w:rFonts w:ascii="Arial Narrow" w:hAnsi="Arial Narrow"/>
                <w:sz w:val="20"/>
              </w:rPr>
            </w:pPr>
            <w:r w:rsidRPr="001811A6">
              <w:rPr>
                <w:rFonts w:ascii="Arial Narrow" w:hAnsi="Arial Narrow"/>
                <w:sz w:val="20"/>
              </w:rPr>
              <w:t>Max.</w:t>
            </w:r>
          </w:p>
          <w:p w:rsidR="00B506C3" w:rsidRPr="001811A6" w:rsidRDefault="00B506C3" w:rsidP="00F5277E">
            <w:pPr>
              <w:keepNext/>
              <w:ind w:left="-108"/>
              <w:rPr>
                <w:rFonts w:ascii="Arial Narrow" w:hAnsi="Arial Narrow"/>
                <w:sz w:val="20"/>
              </w:rPr>
            </w:pPr>
            <w:r w:rsidRPr="001811A6">
              <w:rPr>
                <w:rFonts w:ascii="Arial Narrow" w:hAnsi="Arial Narrow"/>
                <w:sz w:val="20"/>
              </w:rPr>
              <w:t>Qty</w:t>
            </w:r>
          </w:p>
        </w:tc>
        <w:tc>
          <w:tcPr>
            <w:tcW w:w="850" w:type="dxa"/>
            <w:tcBorders>
              <w:bottom w:val="single" w:sz="4" w:space="0" w:color="auto"/>
            </w:tcBorders>
          </w:tcPr>
          <w:p w:rsidR="00B506C3" w:rsidRPr="001811A6" w:rsidRDefault="00B506C3" w:rsidP="00F5277E">
            <w:pPr>
              <w:keepNext/>
              <w:ind w:left="-108"/>
              <w:rPr>
                <w:rFonts w:ascii="Arial Narrow" w:hAnsi="Arial Narrow"/>
                <w:sz w:val="20"/>
              </w:rPr>
            </w:pPr>
            <w:r w:rsidRPr="001811A6">
              <w:rPr>
                <w:rFonts w:ascii="Arial Narrow" w:hAnsi="Arial Narrow"/>
                <w:sz w:val="20"/>
              </w:rPr>
              <w:t>№.of</w:t>
            </w:r>
          </w:p>
          <w:p w:rsidR="00B506C3" w:rsidRPr="001811A6" w:rsidRDefault="00B506C3" w:rsidP="00F5277E">
            <w:pPr>
              <w:keepNext/>
              <w:ind w:left="-108"/>
              <w:rPr>
                <w:rFonts w:ascii="Arial Narrow" w:hAnsi="Arial Narrow"/>
                <w:sz w:val="20"/>
              </w:rPr>
            </w:pPr>
            <w:r w:rsidRPr="001811A6">
              <w:rPr>
                <w:rFonts w:ascii="Arial Narrow" w:hAnsi="Arial Narrow"/>
                <w:sz w:val="20"/>
              </w:rPr>
              <w:t>Rpts</w:t>
            </w:r>
          </w:p>
        </w:tc>
        <w:tc>
          <w:tcPr>
            <w:tcW w:w="2835" w:type="dxa"/>
            <w:gridSpan w:val="2"/>
            <w:tcBorders>
              <w:bottom w:val="single" w:sz="4" w:space="0" w:color="auto"/>
            </w:tcBorders>
          </w:tcPr>
          <w:p w:rsidR="00B506C3" w:rsidRPr="001811A6" w:rsidRDefault="00B506C3" w:rsidP="00F5277E">
            <w:pPr>
              <w:keepNext/>
              <w:rPr>
                <w:rFonts w:ascii="Arial Narrow" w:hAnsi="Arial Narrow"/>
                <w:sz w:val="20"/>
              </w:rPr>
            </w:pPr>
            <w:r w:rsidRPr="001811A6">
              <w:rPr>
                <w:rFonts w:ascii="Arial Narrow" w:hAnsi="Arial Narrow"/>
                <w:sz w:val="20"/>
              </w:rPr>
              <w:t>Proprietary Name and Manufacturer</w:t>
            </w:r>
          </w:p>
        </w:tc>
      </w:tr>
      <w:tr w:rsidR="00B506C3" w:rsidRPr="001811A6" w:rsidTr="00F5277E">
        <w:trPr>
          <w:gridAfter w:val="1"/>
          <w:wAfter w:w="1701" w:type="dxa"/>
          <w:cantSplit/>
          <w:trHeight w:val="577"/>
        </w:trPr>
        <w:tc>
          <w:tcPr>
            <w:tcW w:w="2552" w:type="dxa"/>
            <w:gridSpan w:val="2"/>
          </w:tcPr>
          <w:p w:rsidR="00B506C3" w:rsidRPr="001811A6" w:rsidRDefault="00B506C3" w:rsidP="00F5277E">
            <w:pPr>
              <w:keepNext/>
              <w:ind w:left="-108"/>
              <w:rPr>
                <w:rFonts w:ascii="Arial Narrow" w:hAnsi="Arial Narrow"/>
                <w:smallCaps/>
                <w:sz w:val="20"/>
              </w:rPr>
            </w:pPr>
            <w:r w:rsidRPr="001811A6">
              <w:rPr>
                <w:rFonts w:ascii="Arial Narrow" w:hAnsi="Arial Narrow"/>
                <w:smallCaps/>
                <w:sz w:val="20"/>
              </w:rPr>
              <w:t>Vismodegib</w:t>
            </w:r>
          </w:p>
          <w:p w:rsidR="00B506C3" w:rsidRPr="001811A6" w:rsidRDefault="00B506C3" w:rsidP="00F5277E">
            <w:pPr>
              <w:keepNext/>
              <w:ind w:left="-108"/>
              <w:rPr>
                <w:rFonts w:ascii="Arial Narrow" w:hAnsi="Arial Narrow"/>
                <w:sz w:val="20"/>
              </w:rPr>
            </w:pPr>
            <w:r w:rsidRPr="001811A6">
              <w:rPr>
                <w:rFonts w:ascii="Arial Narrow" w:hAnsi="Arial Narrow"/>
                <w:smallCaps/>
                <w:sz w:val="20"/>
              </w:rPr>
              <w:t>150 mg capsule, 28</w:t>
            </w:r>
          </w:p>
        </w:tc>
        <w:tc>
          <w:tcPr>
            <w:tcW w:w="567" w:type="dxa"/>
          </w:tcPr>
          <w:p w:rsidR="00B506C3" w:rsidRPr="001811A6" w:rsidRDefault="00B506C3" w:rsidP="00F5277E">
            <w:pPr>
              <w:keepNext/>
              <w:ind w:left="-108"/>
              <w:rPr>
                <w:rFonts w:ascii="Arial Narrow" w:hAnsi="Arial Narrow"/>
                <w:sz w:val="20"/>
              </w:rPr>
            </w:pPr>
          </w:p>
          <w:p w:rsidR="00B506C3" w:rsidRPr="001811A6" w:rsidRDefault="00B506C3" w:rsidP="00F5277E">
            <w:pPr>
              <w:keepNext/>
              <w:ind w:left="-108"/>
              <w:rPr>
                <w:rFonts w:ascii="Arial Narrow" w:hAnsi="Arial Narrow"/>
                <w:sz w:val="20"/>
              </w:rPr>
            </w:pPr>
            <w:r w:rsidRPr="001811A6">
              <w:rPr>
                <w:rFonts w:ascii="Arial Narrow" w:hAnsi="Arial Narrow"/>
                <w:sz w:val="20"/>
              </w:rPr>
              <w:t>1</w:t>
            </w:r>
          </w:p>
        </w:tc>
        <w:tc>
          <w:tcPr>
            <w:tcW w:w="850" w:type="dxa"/>
          </w:tcPr>
          <w:p w:rsidR="00B506C3" w:rsidRPr="001811A6" w:rsidRDefault="00B506C3" w:rsidP="00F5277E">
            <w:pPr>
              <w:keepNext/>
              <w:ind w:left="-108"/>
              <w:rPr>
                <w:rFonts w:ascii="Arial Narrow" w:hAnsi="Arial Narrow"/>
                <w:sz w:val="20"/>
              </w:rPr>
            </w:pPr>
          </w:p>
          <w:p w:rsidR="00B506C3" w:rsidRPr="001811A6" w:rsidRDefault="00B506C3" w:rsidP="00F5277E">
            <w:pPr>
              <w:keepNext/>
              <w:ind w:left="-108"/>
              <w:rPr>
                <w:rFonts w:ascii="Arial Narrow" w:hAnsi="Arial Narrow"/>
                <w:sz w:val="20"/>
              </w:rPr>
            </w:pPr>
            <w:r w:rsidRPr="001811A6">
              <w:rPr>
                <w:rFonts w:ascii="Arial Narrow" w:hAnsi="Arial Narrow"/>
                <w:sz w:val="20"/>
              </w:rPr>
              <w:t>2</w:t>
            </w:r>
          </w:p>
        </w:tc>
        <w:tc>
          <w:tcPr>
            <w:tcW w:w="1559" w:type="dxa"/>
          </w:tcPr>
          <w:p w:rsidR="00B506C3" w:rsidRPr="001811A6" w:rsidRDefault="00B506C3" w:rsidP="00F5277E">
            <w:pPr>
              <w:keepNext/>
              <w:rPr>
                <w:rFonts w:ascii="Arial Narrow" w:hAnsi="Arial Narrow"/>
                <w:sz w:val="20"/>
              </w:rPr>
            </w:pPr>
            <w:r w:rsidRPr="001811A6">
              <w:rPr>
                <w:rFonts w:ascii="Arial Narrow" w:hAnsi="Arial Narrow"/>
                <w:sz w:val="20"/>
              </w:rPr>
              <w:t>ERIVEDGE</w:t>
            </w:r>
          </w:p>
        </w:tc>
        <w:tc>
          <w:tcPr>
            <w:tcW w:w="1276" w:type="dxa"/>
          </w:tcPr>
          <w:p w:rsidR="00B506C3" w:rsidRPr="001811A6" w:rsidRDefault="00B506C3" w:rsidP="00F5277E">
            <w:pPr>
              <w:keepNext/>
              <w:jc w:val="left"/>
              <w:rPr>
                <w:rFonts w:ascii="Arial Narrow" w:hAnsi="Arial Narrow"/>
                <w:sz w:val="20"/>
              </w:rPr>
            </w:pPr>
            <w:r w:rsidRPr="001811A6">
              <w:rPr>
                <w:rFonts w:ascii="Arial Narrow" w:hAnsi="Arial Narrow"/>
                <w:sz w:val="20"/>
              </w:rPr>
              <w:t>Roche Products Pty Limited</w:t>
            </w:r>
          </w:p>
        </w:tc>
      </w:tr>
      <w:tr w:rsidR="00B90BFA" w:rsidRPr="001811A6" w:rsidTr="00F5277E">
        <w:trPr>
          <w:cantSplit/>
          <w:trHeight w:val="360"/>
        </w:trPr>
        <w:tc>
          <w:tcPr>
            <w:tcW w:w="8505" w:type="dxa"/>
            <w:gridSpan w:val="7"/>
            <w:tcBorders>
              <w:bottom w:val="single" w:sz="4" w:space="0" w:color="auto"/>
            </w:tcBorders>
          </w:tcPr>
          <w:p w:rsidR="00B90BFA" w:rsidRPr="001811A6" w:rsidRDefault="00B90BFA" w:rsidP="00F5277E">
            <w:pPr>
              <w:rPr>
                <w:rFonts w:ascii="Arial Narrow" w:hAnsi="Arial Narrow"/>
                <w:sz w:val="20"/>
              </w:rPr>
            </w:pP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 xml:space="preserve">Category / </w:t>
            </w:r>
          </w:p>
          <w:p w:rsidR="00B90BFA" w:rsidRPr="001811A6" w:rsidRDefault="00B90BFA" w:rsidP="00F5277E">
            <w:pPr>
              <w:rPr>
                <w:rFonts w:ascii="Arial Narrow" w:hAnsi="Arial Narrow"/>
                <w:b/>
                <w:sz w:val="20"/>
              </w:rPr>
            </w:pPr>
            <w:r w:rsidRPr="001811A6">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GENERAL – General Schedule (Code GE)</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Prescriber type:</w:t>
            </w:r>
          </w:p>
          <w:p w:rsidR="00B90BFA" w:rsidRPr="001811A6" w:rsidRDefault="00B90BFA" w:rsidP="00F527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Metastatic or locally advanced</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Basal cell carcinoma</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Metastatic or locally advanced basal cell carcinoma</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Initial</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Restriction Level / Method:</w:t>
            </w:r>
          </w:p>
          <w:p w:rsidR="00B90BFA" w:rsidRPr="001811A6" w:rsidRDefault="00B90BFA" w:rsidP="00F527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Clinical criteria:</w:t>
            </w:r>
          </w:p>
          <w:p w:rsidR="00B90BFA" w:rsidRPr="001811A6" w:rsidRDefault="00B90BFA" w:rsidP="00F527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Patient must have basal cell carcinoma (BCC) inappropriate for surgery and curative radiotherapy</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Prescriber Instructions</w:t>
            </w:r>
          </w:p>
          <w:p w:rsidR="00B90BFA" w:rsidRPr="001811A6" w:rsidRDefault="00B90BFA" w:rsidP="00F527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Authority applications for initial treatment must include:</w:t>
            </w:r>
          </w:p>
          <w:p w:rsidR="00B90BFA" w:rsidRPr="001811A6" w:rsidRDefault="00B90BFA" w:rsidP="00F5277E">
            <w:pPr>
              <w:rPr>
                <w:rFonts w:ascii="Arial Narrow" w:hAnsi="Arial Narrow"/>
                <w:sz w:val="20"/>
              </w:rPr>
            </w:pPr>
            <w:r w:rsidRPr="001811A6">
              <w:rPr>
                <w:rFonts w:ascii="Arial Narrow" w:hAnsi="Arial Narrow"/>
                <w:sz w:val="20"/>
              </w:rPr>
              <w:t>A completed authority prescription form</w:t>
            </w:r>
          </w:p>
          <w:p w:rsidR="00B90BFA" w:rsidRPr="001811A6" w:rsidRDefault="00B90BFA" w:rsidP="00F5277E">
            <w:pPr>
              <w:rPr>
                <w:rFonts w:ascii="Arial Narrow" w:hAnsi="Arial Narrow"/>
                <w:sz w:val="20"/>
              </w:rPr>
            </w:pPr>
            <w:r w:rsidRPr="001811A6">
              <w:rPr>
                <w:rFonts w:ascii="Arial Narrow" w:hAnsi="Arial Narrow"/>
                <w:sz w:val="20"/>
              </w:rPr>
              <w:t>Histological confirmation of BCC</w:t>
            </w:r>
          </w:p>
          <w:p w:rsidR="00B90BFA" w:rsidRPr="001811A6" w:rsidRDefault="00B90BFA" w:rsidP="00F5277E">
            <w:pPr>
              <w:rPr>
                <w:rFonts w:ascii="Arial Narrow" w:hAnsi="Arial Narrow"/>
                <w:sz w:val="20"/>
              </w:rPr>
            </w:pPr>
            <w:r w:rsidRPr="001811A6">
              <w:rPr>
                <w:rFonts w:ascii="Arial Narrow" w:hAnsi="Arial Narrow"/>
                <w:sz w:val="20"/>
              </w:rPr>
              <w:t>A report from a surgically qualified clinician and radiation oncologist demonstrating inappropriateness for surgery and curative radiotherapy</w:t>
            </w:r>
          </w:p>
          <w:p w:rsidR="00B90BFA" w:rsidRPr="001811A6" w:rsidRDefault="00B90BFA" w:rsidP="00F5277E">
            <w:pPr>
              <w:rPr>
                <w:rFonts w:ascii="Arial Narrow" w:hAnsi="Arial Narrow"/>
                <w:sz w:val="20"/>
              </w:rPr>
            </w:pPr>
            <w:r w:rsidRPr="001811A6">
              <w:rPr>
                <w:rFonts w:ascii="Arial Narrow" w:hAnsi="Arial Narrow"/>
                <w:sz w:val="20"/>
              </w:rPr>
              <w:t>A signed patient acknowledgement</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b/>
                <w:sz w:val="20"/>
              </w:rPr>
            </w:pPr>
            <w:r w:rsidRPr="001811A6">
              <w:rPr>
                <w:rFonts w:ascii="Arial Narrow" w:hAnsi="Arial Narrow"/>
                <w:b/>
                <w:sz w:val="20"/>
              </w:rPr>
              <w:t>Inappropriate for surgery is defined as:</w:t>
            </w:r>
          </w:p>
          <w:p w:rsidR="00B90BFA" w:rsidRPr="001811A6" w:rsidRDefault="00B90BFA" w:rsidP="00F5277E">
            <w:pPr>
              <w:rPr>
                <w:rFonts w:ascii="Arial Narrow" w:hAnsi="Arial Narrow"/>
                <w:sz w:val="20"/>
              </w:rPr>
            </w:pPr>
            <w:r w:rsidRPr="001811A6">
              <w:rPr>
                <w:rFonts w:ascii="Arial Narrow" w:hAnsi="Arial Narrow"/>
                <w:sz w:val="20"/>
              </w:rPr>
              <w:t>Curative resection is unlikely, such as where BCC has recurred in the same location after two or more surgical procedures; and/or</w:t>
            </w:r>
          </w:p>
          <w:p w:rsidR="00B90BFA" w:rsidRPr="001811A6" w:rsidRDefault="00B90BFA" w:rsidP="00F5277E">
            <w:pPr>
              <w:rPr>
                <w:rFonts w:ascii="Arial Narrow" w:hAnsi="Arial Narrow"/>
                <w:sz w:val="20"/>
              </w:rPr>
            </w:pPr>
            <w:r w:rsidRPr="001811A6">
              <w:rPr>
                <w:rFonts w:ascii="Arial Narrow" w:hAnsi="Arial Narrow"/>
                <w:sz w:val="20"/>
              </w:rPr>
              <w:t>Anticipated substantial morbidity and/or deformity from surgery or requiring complicated reconstructive surgery (e.g. removal of all or part of a facial structure, such as nose, ear, eyelid, eye; or requirement for limb amputation or free tissue transfer); and/or</w:t>
            </w:r>
          </w:p>
          <w:p w:rsidR="00B90BFA" w:rsidRPr="001811A6" w:rsidRDefault="00B90BFA" w:rsidP="00F5277E">
            <w:pPr>
              <w:rPr>
                <w:rFonts w:ascii="Arial Narrow" w:hAnsi="Arial Narrow"/>
                <w:sz w:val="20"/>
              </w:rPr>
            </w:pPr>
            <w:r w:rsidRPr="001811A6">
              <w:rPr>
                <w:rFonts w:ascii="Arial Narrow" w:hAnsi="Arial Narrow"/>
                <w:sz w:val="20"/>
              </w:rPr>
              <w:t>Medical contraindication to surgery</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b/>
                <w:sz w:val="20"/>
              </w:rPr>
            </w:pPr>
            <w:r w:rsidRPr="001811A6">
              <w:rPr>
                <w:rFonts w:ascii="Arial Narrow" w:hAnsi="Arial Narrow"/>
                <w:b/>
                <w:sz w:val="20"/>
              </w:rPr>
              <w:t>Inappropriate for curative radiotherapy is defined as:</w:t>
            </w:r>
          </w:p>
          <w:p w:rsidR="00B90BFA" w:rsidRPr="001811A6" w:rsidRDefault="00B90BFA" w:rsidP="00F5277E">
            <w:pPr>
              <w:rPr>
                <w:rFonts w:ascii="Arial Narrow" w:hAnsi="Arial Narrow"/>
                <w:sz w:val="20"/>
              </w:rPr>
            </w:pPr>
            <w:r w:rsidRPr="001811A6">
              <w:rPr>
                <w:rFonts w:ascii="Arial Narrow" w:hAnsi="Arial Narrow"/>
                <w:sz w:val="20"/>
              </w:rPr>
              <w:t>Hypersensitivity to radiation due to genetic syndrome such as Gorlin Syndrome; and/or</w:t>
            </w:r>
          </w:p>
          <w:p w:rsidR="00B90BFA" w:rsidRPr="001811A6" w:rsidRDefault="00B90BFA" w:rsidP="00F5277E">
            <w:pPr>
              <w:rPr>
                <w:rFonts w:ascii="Arial Narrow" w:hAnsi="Arial Narrow"/>
                <w:sz w:val="20"/>
              </w:rPr>
            </w:pPr>
            <w:r w:rsidRPr="001811A6">
              <w:rPr>
                <w:rFonts w:ascii="Arial Narrow" w:hAnsi="Arial Narrow"/>
                <w:sz w:val="20"/>
              </w:rPr>
              <w:t>Limitations due to location of tumour; and/or</w:t>
            </w:r>
          </w:p>
          <w:p w:rsidR="00B90BFA" w:rsidRPr="001811A6" w:rsidRDefault="00B90BFA" w:rsidP="00F5277E">
            <w:pPr>
              <w:rPr>
                <w:rFonts w:ascii="Arial Narrow" w:hAnsi="Arial Narrow"/>
                <w:sz w:val="20"/>
              </w:rPr>
            </w:pPr>
            <w:r w:rsidRPr="001811A6">
              <w:rPr>
                <w:rFonts w:ascii="Arial Narrow" w:hAnsi="Arial Narrow"/>
                <w:sz w:val="20"/>
              </w:rPr>
              <w:t>Limitations due to cumulative prior radiotherapy dose; and/or</w:t>
            </w:r>
          </w:p>
          <w:p w:rsidR="00B90BFA" w:rsidRPr="001811A6" w:rsidRDefault="00B90BFA" w:rsidP="00F5277E">
            <w:pPr>
              <w:rPr>
                <w:rFonts w:ascii="Arial Narrow" w:hAnsi="Arial Narrow"/>
                <w:sz w:val="20"/>
              </w:rPr>
            </w:pPr>
            <w:r w:rsidRPr="001811A6">
              <w:rPr>
                <w:rFonts w:ascii="Arial Narrow" w:hAnsi="Arial Narrow"/>
                <w:sz w:val="20"/>
              </w:rPr>
              <w:t>Progressive disease despite prior irradiation of locally advanced BCC</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lastRenderedPageBreak/>
              <w:t>Administrative Advice</w:t>
            </w:r>
          </w:p>
          <w:p w:rsidR="00B90BFA" w:rsidRPr="001811A6" w:rsidRDefault="00B90BFA" w:rsidP="00F527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 xml:space="preserve">Applications for authority to prescribe should be forwarded to: </w:t>
            </w:r>
          </w:p>
          <w:p w:rsidR="00B90BFA" w:rsidRPr="001811A6" w:rsidRDefault="00B90BFA" w:rsidP="00F5277E">
            <w:pPr>
              <w:rPr>
                <w:rFonts w:ascii="Arial Narrow" w:hAnsi="Arial Narrow"/>
                <w:sz w:val="20"/>
              </w:rPr>
            </w:pPr>
            <w:r w:rsidRPr="001811A6">
              <w:rPr>
                <w:rFonts w:ascii="Arial Narrow" w:hAnsi="Arial Narrow"/>
                <w:sz w:val="20"/>
              </w:rPr>
              <w:t>Department of Human Services</w:t>
            </w:r>
          </w:p>
          <w:p w:rsidR="00B90BFA" w:rsidRPr="001811A6" w:rsidRDefault="00B90BFA" w:rsidP="00F5277E">
            <w:pPr>
              <w:rPr>
                <w:rFonts w:ascii="Arial Narrow" w:hAnsi="Arial Narrow"/>
                <w:sz w:val="20"/>
              </w:rPr>
            </w:pPr>
            <w:r w:rsidRPr="001811A6">
              <w:rPr>
                <w:rFonts w:ascii="Arial Narrow" w:hAnsi="Arial Narrow"/>
                <w:sz w:val="20"/>
              </w:rPr>
              <w:t xml:space="preserve">Prior Written Approval of Complex Drugs </w:t>
            </w:r>
          </w:p>
          <w:p w:rsidR="00B90BFA" w:rsidRPr="001811A6" w:rsidRDefault="00B90BFA" w:rsidP="00F5277E">
            <w:pPr>
              <w:rPr>
                <w:rFonts w:ascii="Arial Narrow" w:hAnsi="Arial Narrow"/>
                <w:sz w:val="20"/>
              </w:rPr>
            </w:pPr>
            <w:r w:rsidRPr="001811A6">
              <w:rPr>
                <w:rFonts w:ascii="Arial Narrow" w:hAnsi="Arial Narrow"/>
                <w:sz w:val="20"/>
              </w:rPr>
              <w:t xml:space="preserve">Reply Paid 9826 </w:t>
            </w:r>
          </w:p>
          <w:p w:rsidR="00B90BFA" w:rsidRPr="001811A6" w:rsidRDefault="00B90BFA" w:rsidP="00F5277E">
            <w:pPr>
              <w:rPr>
                <w:rFonts w:ascii="Arial Narrow" w:hAnsi="Arial Narrow"/>
                <w:sz w:val="20"/>
              </w:rPr>
            </w:pPr>
            <w:r w:rsidRPr="001811A6">
              <w:rPr>
                <w:rFonts w:ascii="Arial Narrow" w:hAnsi="Arial Narrow"/>
                <w:sz w:val="20"/>
              </w:rPr>
              <w:t xml:space="preserve">GPO Box 9826 </w:t>
            </w:r>
          </w:p>
          <w:p w:rsidR="00B90BFA" w:rsidRPr="001811A6" w:rsidRDefault="00B90BFA" w:rsidP="00F5277E">
            <w:pPr>
              <w:rPr>
                <w:rFonts w:ascii="Arial Narrow" w:hAnsi="Arial Narrow"/>
                <w:sz w:val="20"/>
              </w:rPr>
            </w:pPr>
            <w:r w:rsidRPr="001811A6">
              <w:rPr>
                <w:rFonts w:ascii="Arial Narrow" w:hAnsi="Arial Narrow"/>
                <w:sz w:val="20"/>
              </w:rPr>
              <w:t>HOBART TAS 7001</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Special Pricing Arrangements apply.</w:t>
            </w:r>
          </w:p>
          <w:p w:rsidR="00B90BFA" w:rsidRPr="001811A6" w:rsidRDefault="00B90BFA" w:rsidP="00F5277E">
            <w:pPr>
              <w:rPr>
                <w:rFonts w:ascii="Arial Narrow" w:hAnsi="Arial Narrow"/>
                <w:sz w:val="20"/>
              </w:rPr>
            </w:pPr>
          </w:p>
        </w:tc>
      </w:tr>
    </w:tbl>
    <w:p w:rsidR="00B90BFA" w:rsidRPr="001811A6" w:rsidRDefault="00B90BFA" w:rsidP="003C1346">
      <w:pPr>
        <w:pStyle w:val="PBACHeading1"/>
        <w:numPr>
          <w:ilvl w:val="0"/>
          <w:numId w:val="0"/>
        </w:numPr>
        <w:ind w:left="720"/>
      </w:pPr>
    </w:p>
    <w:p w:rsidR="00B90BFA" w:rsidRPr="001811A6" w:rsidRDefault="00B90BFA">
      <w:pPr>
        <w:widowControl/>
        <w:jc w:val="left"/>
        <w:rPr>
          <w:b/>
          <w:szCs w:val="22"/>
        </w:rPr>
      </w:pPr>
      <w:r w:rsidRPr="001811A6">
        <w:br w:type="page"/>
      </w:r>
    </w:p>
    <w:p w:rsidR="00B90BFA" w:rsidRPr="001811A6" w:rsidRDefault="00B90BFA" w:rsidP="003C1346">
      <w:pPr>
        <w:pStyle w:val="PBACHeading1"/>
        <w:numPr>
          <w:ilvl w:val="0"/>
          <w:numId w:val="0"/>
        </w:numPr>
        <w:ind w:left="720"/>
      </w:pPr>
    </w:p>
    <w:tbl>
      <w:tblPr>
        <w:tblW w:w="8505" w:type="dxa"/>
        <w:tblInd w:w="817" w:type="dxa"/>
        <w:tblLayout w:type="fixed"/>
        <w:tblLook w:val="0000" w:firstRow="0" w:lastRow="0" w:firstColumn="0" w:lastColumn="0" w:noHBand="0" w:noVBand="0"/>
      </w:tblPr>
      <w:tblGrid>
        <w:gridCol w:w="2126"/>
        <w:gridCol w:w="6379"/>
      </w:tblGrid>
      <w:tr w:rsidR="00B90BFA" w:rsidRPr="001811A6" w:rsidTr="00F5277E">
        <w:trPr>
          <w:cantSplit/>
          <w:trHeight w:val="360"/>
        </w:trPr>
        <w:tc>
          <w:tcPr>
            <w:tcW w:w="8505" w:type="dxa"/>
            <w:gridSpan w:val="2"/>
            <w:tcBorders>
              <w:bottom w:val="single" w:sz="4" w:space="0" w:color="auto"/>
            </w:tcBorders>
          </w:tcPr>
          <w:p w:rsidR="00B90BFA" w:rsidRPr="001811A6" w:rsidRDefault="00B90BFA" w:rsidP="00F5277E">
            <w:pPr>
              <w:rPr>
                <w:rFonts w:ascii="Arial Narrow" w:hAnsi="Arial Narrow"/>
                <w:sz w:val="20"/>
              </w:rPr>
            </w:pP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 xml:space="preserve">Category / </w:t>
            </w:r>
          </w:p>
          <w:p w:rsidR="00B90BFA" w:rsidRPr="001811A6" w:rsidRDefault="00B90BFA" w:rsidP="00F5277E">
            <w:pPr>
              <w:rPr>
                <w:rFonts w:ascii="Arial Narrow" w:hAnsi="Arial Narrow"/>
                <w:b/>
                <w:sz w:val="20"/>
              </w:rPr>
            </w:pPr>
            <w:r w:rsidRPr="001811A6">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GENERAL – General Schedule (Code GE)</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Prescriber type:</w:t>
            </w:r>
          </w:p>
          <w:p w:rsidR="00B90BFA" w:rsidRPr="001811A6" w:rsidRDefault="00B90BFA" w:rsidP="00F5277E">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Metastatic or locally advanced</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Basal cell carcinoma</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Metastatic or locally advanced basal cell carcinoma</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Continuing</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Restriction Level / Method:</w:t>
            </w:r>
          </w:p>
          <w:p w:rsidR="00B90BFA" w:rsidRPr="001811A6" w:rsidRDefault="00B90BFA" w:rsidP="00F5277E">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B90BFA" w:rsidRPr="001811A6" w:rsidRDefault="00B90BFA" w:rsidP="00F5277E">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170C5">
              <w:rPr>
                <w:rFonts w:ascii="Arial Narrow" w:hAnsi="Arial Narrow"/>
                <w:sz w:val="20"/>
              </w:rPr>
            </w:r>
            <w:r w:rsidR="003170C5">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B90BFA" w:rsidRPr="001811A6" w:rsidTr="00B90BFA">
        <w:trPr>
          <w:cantSplit/>
          <w:trHeight w:val="1481"/>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Clinical criteria:</w:t>
            </w:r>
          </w:p>
          <w:p w:rsidR="00B90BFA" w:rsidRPr="001811A6" w:rsidRDefault="00B90BFA" w:rsidP="00F5277E">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Patient must have previously been issued with an authority prescription for this drug for this condition</w:t>
            </w:r>
          </w:p>
          <w:p w:rsidR="00B90BFA" w:rsidRPr="001811A6" w:rsidRDefault="00B90BFA" w:rsidP="00F5277E">
            <w:pPr>
              <w:rPr>
                <w:rFonts w:ascii="Arial Narrow" w:hAnsi="Arial Narrow"/>
                <w:sz w:val="20"/>
              </w:rPr>
            </w:pPr>
            <w:r w:rsidRPr="001811A6">
              <w:rPr>
                <w:rFonts w:ascii="Arial Narrow" w:hAnsi="Arial Narrow"/>
                <w:sz w:val="20"/>
              </w:rPr>
              <w:t>AND</w:t>
            </w:r>
          </w:p>
          <w:p w:rsidR="00B90BFA" w:rsidRPr="001811A6" w:rsidRDefault="00B90BFA" w:rsidP="00F5277E">
            <w:pPr>
              <w:rPr>
                <w:rFonts w:ascii="Arial Narrow" w:hAnsi="Arial Narrow"/>
                <w:sz w:val="20"/>
              </w:rPr>
            </w:pPr>
            <w:r w:rsidRPr="001811A6">
              <w:rPr>
                <w:rFonts w:ascii="Arial Narrow" w:hAnsi="Arial Narrow"/>
                <w:sz w:val="20"/>
              </w:rPr>
              <w:t>Patient must not have progressive disease</w:t>
            </w:r>
          </w:p>
          <w:p w:rsidR="00B90BFA" w:rsidRPr="001811A6" w:rsidRDefault="00B90BFA" w:rsidP="00F5277E">
            <w:pPr>
              <w:rPr>
                <w:rFonts w:ascii="Arial Narrow" w:hAnsi="Arial Narrow"/>
                <w:sz w:val="20"/>
              </w:rPr>
            </w:pPr>
            <w:r w:rsidRPr="001811A6">
              <w:rPr>
                <w:rFonts w:ascii="Arial Narrow" w:hAnsi="Arial Narrow"/>
                <w:sz w:val="20"/>
              </w:rPr>
              <w:t>AND</w:t>
            </w:r>
          </w:p>
          <w:p w:rsidR="00B90BFA" w:rsidRPr="001811A6" w:rsidRDefault="00B90BFA" w:rsidP="00F5277E">
            <w:pPr>
              <w:rPr>
                <w:rFonts w:ascii="Arial Narrow" w:hAnsi="Arial Narrow"/>
                <w:sz w:val="20"/>
              </w:rPr>
            </w:pPr>
            <w:r w:rsidRPr="001811A6">
              <w:rPr>
                <w:rFonts w:ascii="Arial Narrow" w:hAnsi="Arial Narrow"/>
                <w:sz w:val="20"/>
              </w:rPr>
              <w:t>The patient must remain inappropriate for surgery and radiotherapy</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t>Prescriber Instructions</w:t>
            </w:r>
          </w:p>
          <w:p w:rsidR="00B90BFA" w:rsidRPr="001811A6" w:rsidRDefault="00B90BFA" w:rsidP="00F5277E">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Authority applications for continuing treatment must include:</w:t>
            </w:r>
          </w:p>
          <w:p w:rsidR="00B90BFA" w:rsidRPr="001811A6" w:rsidRDefault="00B90BFA" w:rsidP="00F5277E">
            <w:pPr>
              <w:rPr>
                <w:rFonts w:ascii="Arial Narrow" w:hAnsi="Arial Narrow"/>
                <w:sz w:val="20"/>
              </w:rPr>
            </w:pPr>
            <w:r w:rsidRPr="001811A6">
              <w:rPr>
                <w:rFonts w:ascii="Arial Narrow" w:hAnsi="Arial Narrow"/>
                <w:sz w:val="20"/>
              </w:rPr>
              <w:t>A completed authority prescription form</w:t>
            </w:r>
          </w:p>
          <w:p w:rsidR="00B90BFA" w:rsidRPr="001811A6" w:rsidRDefault="00B90BFA" w:rsidP="00F5277E">
            <w:pPr>
              <w:rPr>
                <w:rFonts w:ascii="Arial Narrow" w:hAnsi="Arial Narrow"/>
                <w:sz w:val="20"/>
              </w:rPr>
            </w:pPr>
            <w:r w:rsidRPr="001811A6">
              <w:rPr>
                <w:rFonts w:ascii="Arial Narrow" w:hAnsi="Arial Narrow"/>
                <w:sz w:val="20"/>
              </w:rPr>
              <w:t>Histological confirmation of BCC</w:t>
            </w:r>
          </w:p>
          <w:p w:rsidR="00B90BFA" w:rsidRPr="001811A6" w:rsidRDefault="00B90BFA" w:rsidP="00F5277E">
            <w:pPr>
              <w:rPr>
                <w:rFonts w:ascii="Arial Narrow" w:hAnsi="Arial Narrow"/>
                <w:sz w:val="20"/>
              </w:rPr>
            </w:pPr>
            <w:r w:rsidRPr="001811A6">
              <w:rPr>
                <w:rFonts w:ascii="Arial Narrow" w:hAnsi="Arial Narrow"/>
                <w:sz w:val="20"/>
              </w:rPr>
              <w:t>A report from a surgically qualified clinician and radiation oncologist demonstrating continued inappropriateness for surgery and curative radiotherapy</w:t>
            </w:r>
          </w:p>
          <w:p w:rsidR="00B90BFA" w:rsidRPr="001811A6" w:rsidRDefault="00B90BFA" w:rsidP="00F5277E">
            <w:pPr>
              <w:rPr>
                <w:rFonts w:ascii="Arial Narrow" w:hAnsi="Arial Narrow"/>
                <w:sz w:val="20"/>
              </w:rPr>
            </w:pPr>
            <w:r w:rsidRPr="001811A6">
              <w:rPr>
                <w:rFonts w:ascii="Arial Narrow" w:hAnsi="Arial Narrow"/>
                <w:sz w:val="20"/>
              </w:rPr>
              <w:t>A statement form from the prescribing doctor that the disease has not progressed</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b/>
                <w:sz w:val="20"/>
              </w:rPr>
            </w:pPr>
            <w:r w:rsidRPr="001811A6">
              <w:rPr>
                <w:rFonts w:ascii="Arial Narrow" w:hAnsi="Arial Narrow"/>
                <w:b/>
                <w:sz w:val="20"/>
              </w:rPr>
              <w:t>Inappropriate for surgery is defined as:</w:t>
            </w:r>
          </w:p>
          <w:p w:rsidR="00B90BFA" w:rsidRPr="001811A6" w:rsidRDefault="00B90BFA" w:rsidP="00F5277E">
            <w:pPr>
              <w:rPr>
                <w:rFonts w:ascii="Arial Narrow" w:hAnsi="Arial Narrow"/>
                <w:sz w:val="20"/>
              </w:rPr>
            </w:pPr>
            <w:r w:rsidRPr="001811A6">
              <w:rPr>
                <w:rFonts w:ascii="Arial Narrow" w:hAnsi="Arial Narrow"/>
                <w:sz w:val="20"/>
              </w:rPr>
              <w:t>Curative resection is unlikely, such as where BCC has recurred in the same location after two or more surgical procedures; and/or</w:t>
            </w:r>
          </w:p>
          <w:p w:rsidR="00B90BFA" w:rsidRPr="001811A6" w:rsidRDefault="00B90BFA" w:rsidP="00F5277E">
            <w:pPr>
              <w:rPr>
                <w:rFonts w:ascii="Arial Narrow" w:hAnsi="Arial Narrow"/>
                <w:sz w:val="20"/>
              </w:rPr>
            </w:pPr>
            <w:r w:rsidRPr="001811A6">
              <w:rPr>
                <w:rFonts w:ascii="Arial Narrow" w:hAnsi="Arial Narrow"/>
                <w:sz w:val="20"/>
              </w:rPr>
              <w:t>Anticipated substantial morbidity and/or deformity from surgery or requiring complicated reconstructive surgery (e.g. removal of all or part of a facial structure, such as nose, ear, eyelid, eye; or requirement for limb amputation or free tissue transfer); and/or</w:t>
            </w:r>
          </w:p>
          <w:p w:rsidR="00B90BFA" w:rsidRPr="001811A6" w:rsidRDefault="00B90BFA" w:rsidP="00F5277E">
            <w:pPr>
              <w:rPr>
                <w:rFonts w:ascii="Arial Narrow" w:hAnsi="Arial Narrow"/>
                <w:sz w:val="20"/>
              </w:rPr>
            </w:pPr>
            <w:r w:rsidRPr="001811A6">
              <w:rPr>
                <w:rFonts w:ascii="Arial Narrow" w:hAnsi="Arial Narrow"/>
                <w:sz w:val="20"/>
              </w:rPr>
              <w:t>Medical contraindication to surgery</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b/>
                <w:sz w:val="20"/>
              </w:rPr>
            </w:pPr>
            <w:r w:rsidRPr="001811A6">
              <w:rPr>
                <w:rFonts w:ascii="Arial Narrow" w:hAnsi="Arial Narrow"/>
                <w:b/>
                <w:sz w:val="20"/>
              </w:rPr>
              <w:t>Inappropriate for curative radiotherapy is defined as:</w:t>
            </w:r>
          </w:p>
          <w:p w:rsidR="00B90BFA" w:rsidRPr="001811A6" w:rsidRDefault="00B90BFA" w:rsidP="00F5277E">
            <w:pPr>
              <w:rPr>
                <w:rFonts w:ascii="Arial Narrow" w:hAnsi="Arial Narrow"/>
                <w:sz w:val="20"/>
              </w:rPr>
            </w:pPr>
            <w:r w:rsidRPr="001811A6">
              <w:rPr>
                <w:rFonts w:ascii="Arial Narrow" w:hAnsi="Arial Narrow"/>
                <w:sz w:val="20"/>
              </w:rPr>
              <w:t>Hypersensitivity to radiation due to genetic syndrome such as Gorlin Syndrome; and/or</w:t>
            </w:r>
          </w:p>
          <w:p w:rsidR="00B90BFA" w:rsidRPr="001811A6" w:rsidRDefault="00B90BFA" w:rsidP="00F5277E">
            <w:pPr>
              <w:rPr>
                <w:rFonts w:ascii="Arial Narrow" w:hAnsi="Arial Narrow"/>
                <w:sz w:val="20"/>
              </w:rPr>
            </w:pPr>
            <w:r w:rsidRPr="001811A6">
              <w:rPr>
                <w:rFonts w:ascii="Arial Narrow" w:hAnsi="Arial Narrow"/>
                <w:sz w:val="20"/>
              </w:rPr>
              <w:t>Limitations due to location of tumour; and/or</w:t>
            </w:r>
          </w:p>
          <w:p w:rsidR="00B90BFA" w:rsidRPr="001811A6" w:rsidRDefault="00B90BFA" w:rsidP="00F5277E">
            <w:pPr>
              <w:rPr>
                <w:rFonts w:ascii="Arial Narrow" w:hAnsi="Arial Narrow"/>
                <w:sz w:val="20"/>
              </w:rPr>
            </w:pPr>
            <w:r w:rsidRPr="001811A6">
              <w:rPr>
                <w:rFonts w:ascii="Arial Narrow" w:hAnsi="Arial Narrow"/>
                <w:sz w:val="20"/>
              </w:rPr>
              <w:t>Limitations due to cumulative prior radiotherapy dose; and/or</w:t>
            </w:r>
          </w:p>
          <w:p w:rsidR="00B90BFA" w:rsidRPr="001811A6" w:rsidRDefault="00B90BFA" w:rsidP="00F5277E">
            <w:pPr>
              <w:rPr>
                <w:rFonts w:ascii="Arial Narrow" w:hAnsi="Arial Narrow"/>
                <w:sz w:val="20"/>
              </w:rPr>
            </w:pPr>
            <w:r w:rsidRPr="001811A6">
              <w:rPr>
                <w:rFonts w:ascii="Arial Narrow" w:hAnsi="Arial Narrow"/>
                <w:sz w:val="20"/>
              </w:rPr>
              <w:t>Progressive disease despite prior irradiation of locally advanced BCC</w:t>
            </w:r>
          </w:p>
        </w:tc>
      </w:tr>
      <w:tr w:rsidR="00B90BFA" w:rsidRPr="001811A6" w:rsidTr="00F5277E">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b/>
                <w:sz w:val="20"/>
              </w:rPr>
            </w:pPr>
            <w:r w:rsidRPr="001811A6">
              <w:rPr>
                <w:rFonts w:ascii="Arial Narrow" w:hAnsi="Arial Narrow"/>
                <w:b/>
                <w:sz w:val="20"/>
              </w:rPr>
              <w:lastRenderedPageBreak/>
              <w:t>Administrative Advice</w:t>
            </w:r>
          </w:p>
          <w:p w:rsidR="00B90BFA" w:rsidRPr="001811A6" w:rsidRDefault="00B90BFA" w:rsidP="00F5277E">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B90BFA" w:rsidRPr="001811A6" w:rsidRDefault="00B90BFA" w:rsidP="00F5277E">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 xml:space="preserve">Applications for authority to prescribe should be forwarded to: </w:t>
            </w:r>
          </w:p>
          <w:p w:rsidR="00B90BFA" w:rsidRPr="001811A6" w:rsidRDefault="00B90BFA" w:rsidP="00F5277E">
            <w:pPr>
              <w:rPr>
                <w:rFonts w:ascii="Arial Narrow" w:hAnsi="Arial Narrow"/>
                <w:sz w:val="20"/>
              </w:rPr>
            </w:pPr>
            <w:r w:rsidRPr="001811A6">
              <w:rPr>
                <w:rFonts w:ascii="Arial Narrow" w:hAnsi="Arial Narrow"/>
                <w:sz w:val="20"/>
              </w:rPr>
              <w:t>Department of Human Services</w:t>
            </w:r>
          </w:p>
          <w:p w:rsidR="00B90BFA" w:rsidRPr="001811A6" w:rsidRDefault="00B90BFA" w:rsidP="00F5277E">
            <w:pPr>
              <w:rPr>
                <w:rFonts w:ascii="Arial Narrow" w:hAnsi="Arial Narrow"/>
                <w:sz w:val="20"/>
              </w:rPr>
            </w:pPr>
            <w:r w:rsidRPr="001811A6">
              <w:rPr>
                <w:rFonts w:ascii="Arial Narrow" w:hAnsi="Arial Narrow"/>
                <w:sz w:val="20"/>
              </w:rPr>
              <w:t xml:space="preserve">Prior Written Approval of Complex Drugs </w:t>
            </w:r>
          </w:p>
          <w:p w:rsidR="00B90BFA" w:rsidRPr="001811A6" w:rsidRDefault="00B90BFA" w:rsidP="00F5277E">
            <w:pPr>
              <w:rPr>
                <w:rFonts w:ascii="Arial Narrow" w:hAnsi="Arial Narrow"/>
                <w:sz w:val="20"/>
              </w:rPr>
            </w:pPr>
            <w:r w:rsidRPr="001811A6">
              <w:rPr>
                <w:rFonts w:ascii="Arial Narrow" w:hAnsi="Arial Narrow"/>
                <w:sz w:val="20"/>
              </w:rPr>
              <w:t xml:space="preserve">Reply Paid 9826 </w:t>
            </w:r>
          </w:p>
          <w:p w:rsidR="00B90BFA" w:rsidRPr="001811A6" w:rsidRDefault="00B90BFA" w:rsidP="00F5277E">
            <w:pPr>
              <w:rPr>
                <w:rFonts w:ascii="Arial Narrow" w:hAnsi="Arial Narrow"/>
                <w:sz w:val="20"/>
              </w:rPr>
            </w:pPr>
            <w:r w:rsidRPr="001811A6">
              <w:rPr>
                <w:rFonts w:ascii="Arial Narrow" w:hAnsi="Arial Narrow"/>
                <w:sz w:val="20"/>
              </w:rPr>
              <w:t xml:space="preserve">GPO Box 9826 </w:t>
            </w:r>
          </w:p>
          <w:p w:rsidR="00B90BFA" w:rsidRPr="001811A6" w:rsidRDefault="00B90BFA" w:rsidP="00F5277E">
            <w:pPr>
              <w:rPr>
                <w:rFonts w:ascii="Arial Narrow" w:hAnsi="Arial Narrow"/>
                <w:sz w:val="20"/>
              </w:rPr>
            </w:pPr>
            <w:r w:rsidRPr="001811A6">
              <w:rPr>
                <w:rFonts w:ascii="Arial Narrow" w:hAnsi="Arial Narrow"/>
                <w:sz w:val="20"/>
              </w:rPr>
              <w:t>HOBART TAS 7001</w:t>
            </w:r>
          </w:p>
          <w:p w:rsidR="00B90BFA" w:rsidRPr="001811A6" w:rsidRDefault="00B90BFA" w:rsidP="00F5277E">
            <w:pPr>
              <w:rPr>
                <w:rFonts w:ascii="Arial Narrow" w:hAnsi="Arial Narrow"/>
                <w:sz w:val="20"/>
              </w:rPr>
            </w:pPr>
          </w:p>
          <w:p w:rsidR="00B90BFA" w:rsidRPr="001811A6" w:rsidRDefault="00B90BFA" w:rsidP="00F5277E">
            <w:pPr>
              <w:rPr>
                <w:rFonts w:ascii="Arial Narrow" w:hAnsi="Arial Narrow"/>
                <w:sz w:val="20"/>
              </w:rPr>
            </w:pPr>
            <w:r w:rsidRPr="001811A6">
              <w:rPr>
                <w:rFonts w:ascii="Arial Narrow" w:hAnsi="Arial Narrow"/>
                <w:sz w:val="20"/>
              </w:rPr>
              <w:t>Special Pricing Arrangements apply.</w:t>
            </w:r>
          </w:p>
          <w:p w:rsidR="00B90BFA" w:rsidRPr="001811A6" w:rsidRDefault="00B90BFA" w:rsidP="00F5277E">
            <w:pPr>
              <w:rPr>
                <w:rFonts w:ascii="Arial Narrow" w:hAnsi="Arial Narrow"/>
                <w:sz w:val="20"/>
              </w:rPr>
            </w:pPr>
          </w:p>
        </w:tc>
      </w:tr>
    </w:tbl>
    <w:p w:rsidR="00B4462B" w:rsidRDefault="00B4462B" w:rsidP="003F04E9">
      <w:pPr>
        <w:rPr>
          <w:bCs/>
          <w:szCs w:val="22"/>
        </w:rPr>
      </w:pPr>
    </w:p>
    <w:p w:rsidR="00CC2D6F" w:rsidRPr="00A81C85" w:rsidRDefault="00CC2D6F" w:rsidP="00CC2D6F">
      <w:pPr>
        <w:pStyle w:val="Heading1"/>
        <w:contextualSpacing/>
        <w:jc w:val="both"/>
      </w:pPr>
      <w:r w:rsidRPr="00A81C85">
        <w:t>Context for Decision</w:t>
      </w:r>
    </w:p>
    <w:p w:rsidR="00CC2D6F" w:rsidRPr="006B3CD8" w:rsidRDefault="00CC2D6F" w:rsidP="00CC2D6F"/>
    <w:p w:rsidR="00CC2D6F" w:rsidRDefault="00CC2D6F" w:rsidP="00CC2D6F">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2D6F" w:rsidRDefault="00CC2D6F" w:rsidP="00CC2D6F">
      <w:pPr>
        <w:ind w:left="720"/>
      </w:pPr>
    </w:p>
    <w:p w:rsidR="00CC2D6F" w:rsidRDefault="00CC2D6F" w:rsidP="00CC2D6F">
      <w:pPr>
        <w:ind w:left="720"/>
      </w:pPr>
    </w:p>
    <w:p w:rsidR="00CC2D6F" w:rsidRDefault="00CC2D6F" w:rsidP="00CC2D6F">
      <w:pPr>
        <w:pStyle w:val="Heading1"/>
        <w:contextualSpacing/>
        <w:jc w:val="both"/>
      </w:pPr>
      <w:r w:rsidRPr="004304F6">
        <w:t>Sponsor’s Comment</w:t>
      </w:r>
    </w:p>
    <w:p w:rsidR="00962618" w:rsidRDefault="00962618" w:rsidP="00962618"/>
    <w:p w:rsidR="00927BE8" w:rsidRPr="00927BE8" w:rsidRDefault="00927BE8" w:rsidP="00927BE8">
      <w:pPr>
        <w:spacing w:after="120"/>
        <w:ind w:left="720"/>
        <w:rPr>
          <w:bCs/>
          <w:lang w:val="en-GB"/>
        </w:rPr>
      </w:pPr>
      <w:r w:rsidRPr="00927BE8">
        <w:rPr>
          <w:bCs/>
          <w:lang w:val="en-GB"/>
        </w:rPr>
        <w:t>Roche welcomes the PBACs pragmatism in its decision to enable access to vismodegib for patients with advanced BCC who are currently without suitable treatment alternatives.</w:t>
      </w:r>
    </w:p>
    <w:p w:rsidR="00962618" w:rsidRPr="00962618" w:rsidRDefault="00962618" w:rsidP="00962618">
      <w:pPr>
        <w:rPr>
          <w:b/>
        </w:rPr>
      </w:pPr>
    </w:p>
    <w:p w:rsidR="00CC2D6F" w:rsidRPr="001811A6" w:rsidRDefault="00CC2D6F" w:rsidP="003F04E9">
      <w:pPr>
        <w:rPr>
          <w:bCs/>
          <w:szCs w:val="22"/>
        </w:rPr>
      </w:pPr>
    </w:p>
    <w:sectPr w:rsidR="00CC2D6F" w:rsidRPr="001811A6" w:rsidSect="00A119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72367" w15:done="0"/>
  <w15:commentEx w15:paraId="1A58DAB2" w15:done="0"/>
  <w15:commentEx w15:paraId="1464284E" w15:done="0"/>
  <w15:commentEx w15:paraId="5B1F5B8C" w15:done="0"/>
  <w15:commentEx w15:paraId="221B5A5A" w15:done="0"/>
  <w15:commentEx w15:paraId="65EC21A3" w15:done="0"/>
  <w15:commentEx w15:paraId="3A524296" w15:done="0"/>
  <w15:commentEx w15:paraId="3DF1425F" w15:done="0"/>
  <w15:commentEx w15:paraId="46C7EF91" w15:done="0"/>
  <w15:commentEx w15:paraId="1901C7B2" w15:done="0"/>
  <w15:commentEx w15:paraId="2CADEA67" w15:done="0"/>
  <w15:commentEx w15:paraId="62EF1AE6" w15:done="0"/>
  <w15:commentEx w15:paraId="7D89B717" w15:done="0"/>
  <w15:commentEx w15:paraId="6237B1D2" w15:done="0"/>
  <w15:commentEx w15:paraId="72BB03A8" w15:done="0"/>
  <w15:commentEx w15:paraId="6B58F3C7" w15:done="0"/>
  <w15:commentEx w15:paraId="06008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F7" w:rsidRDefault="007527F7" w:rsidP="00124A51">
      <w:r>
        <w:separator/>
      </w:r>
    </w:p>
  </w:endnote>
  <w:endnote w:type="continuationSeparator" w:id="0">
    <w:p w:rsidR="007527F7" w:rsidRDefault="007527F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40" w:rsidRDefault="00202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38407"/>
      <w:docPartObj>
        <w:docPartGallery w:val="Page Numbers (Bottom of Page)"/>
        <w:docPartUnique/>
      </w:docPartObj>
    </w:sdtPr>
    <w:sdtEndPr>
      <w:rPr>
        <w:noProof/>
      </w:rPr>
    </w:sdtEndPr>
    <w:sdtContent>
      <w:p w:rsidR="00202F40" w:rsidRDefault="00202F40">
        <w:pPr>
          <w:pStyle w:val="Footer"/>
          <w:jc w:val="center"/>
        </w:pPr>
        <w:r>
          <w:fldChar w:fldCharType="begin"/>
        </w:r>
        <w:r>
          <w:instrText xml:space="preserve"> PAGE   \* MERGEFORMAT </w:instrText>
        </w:r>
        <w:r>
          <w:fldChar w:fldCharType="separate"/>
        </w:r>
        <w:r w:rsidR="003170C5">
          <w:rPr>
            <w:noProof/>
          </w:rPr>
          <w:t>2</w:t>
        </w:r>
        <w:r>
          <w:rPr>
            <w:noProof/>
          </w:rPr>
          <w:fldChar w:fldCharType="end"/>
        </w:r>
      </w:p>
    </w:sdtContent>
  </w:sdt>
  <w:p w:rsidR="00202F40" w:rsidRPr="00015886" w:rsidRDefault="00202F40"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40" w:rsidRDefault="00202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F7" w:rsidRDefault="007527F7" w:rsidP="00124A51">
      <w:r>
        <w:separator/>
      </w:r>
    </w:p>
  </w:footnote>
  <w:footnote w:type="continuationSeparator" w:id="0">
    <w:p w:rsidR="007527F7" w:rsidRDefault="007527F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40" w:rsidRDefault="00202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40" w:rsidRPr="00DF217D" w:rsidRDefault="00202F40" w:rsidP="00AE756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202F40" w:rsidRPr="00AE7566" w:rsidRDefault="00202F40" w:rsidP="00AE7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40" w:rsidRDefault="00202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BE746C"/>
    <w:multiLevelType w:val="hybridMultilevel"/>
    <w:tmpl w:val="4E48B0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AB56EB"/>
    <w:multiLevelType w:val="multilevel"/>
    <w:tmpl w:val="365601D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DF03CB"/>
    <w:multiLevelType w:val="hybridMultilevel"/>
    <w:tmpl w:val="F090477A"/>
    <w:lvl w:ilvl="0" w:tplc="6F6E54DE">
      <w:numFmt w:val="bullet"/>
      <w:pStyle w:val="Bulletlis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E01BA3"/>
    <w:multiLevelType w:val="multilevel"/>
    <w:tmpl w:val="5E2AE90A"/>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F305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E54BD3"/>
    <w:multiLevelType w:val="hybridMultilevel"/>
    <w:tmpl w:val="4B0A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CB7A57"/>
    <w:multiLevelType w:val="hybridMultilevel"/>
    <w:tmpl w:val="2E783B4A"/>
    <w:lvl w:ilvl="0" w:tplc="953A46C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AE71DA"/>
    <w:multiLevelType w:val="multilevel"/>
    <w:tmpl w:val="365601D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B41A7D"/>
    <w:multiLevelType w:val="hybridMultilevel"/>
    <w:tmpl w:val="BCAC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8D3050"/>
    <w:multiLevelType w:val="hybridMultilevel"/>
    <w:tmpl w:val="66DED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EA2191"/>
    <w:multiLevelType w:val="hybridMultilevel"/>
    <w:tmpl w:val="D966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E5757A"/>
    <w:multiLevelType w:val="hybridMultilevel"/>
    <w:tmpl w:val="705E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AA45F56"/>
    <w:multiLevelType w:val="hybridMultilevel"/>
    <w:tmpl w:val="DA544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C50CE6A4"/>
    <w:lvl w:ilvl="0">
      <w:start w:val="1"/>
      <w:numFmt w:val="decimal"/>
      <w:pStyle w:val="PBACHeading1"/>
      <w:lvlText w:val="%1"/>
      <w:lvlJc w:val="left"/>
      <w:pPr>
        <w:ind w:left="720" w:hanging="720"/>
      </w:pPr>
      <w:rPr>
        <w:rFonts w:ascii="Arial" w:hAnsi="Arial" w:cs="Arial" w:hint="default"/>
        <w:b/>
        <w:i w:val="0"/>
        <w:sz w:val="22"/>
        <w:szCs w:val="22"/>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4D66D7"/>
    <w:multiLevelType w:val="hybridMultilevel"/>
    <w:tmpl w:val="2960C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5"/>
  </w:num>
  <w:num w:numId="3">
    <w:abstractNumId w:val="6"/>
  </w:num>
  <w:num w:numId="4">
    <w:abstractNumId w:val="15"/>
  </w:num>
  <w:num w:numId="5">
    <w:abstractNumId w:val="18"/>
  </w:num>
  <w:num w:numId="6">
    <w:abstractNumId w:val="1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0"/>
  </w:num>
  <w:num w:numId="12">
    <w:abstractNumId w:val="4"/>
  </w:num>
  <w:num w:numId="13">
    <w:abstractNumId w:val="13"/>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9"/>
  </w:num>
  <w:num w:numId="19">
    <w:abstractNumId w:val="7"/>
  </w:num>
  <w:num w:numId="20">
    <w:abstractNumId w:val="10"/>
  </w:num>
  <w:num w:numId="21">
    <w:abstractNumId w:val="3"/>
  </w:num>
  <w:num w:numId="22">
    <w:abstractNumId w:val="12"/>
  </w:num>
  <w:num w:numId="23">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49"/>
    <w:rsid w:val="00000790"/>
    <w:rsid w:val="0000110B"/>
    <w:rsid w:val="00001281"/>
    <w:rsid w:val="00003499"/>
    <w:rsid w:val="000060B8"/>
    <w:rsid w:val="00007A6F"/>
    <w:rsid w:val="00011841"/>
    <w:rsid w:val="00012224"/>
    <w:rsid w:val="00012CBD"/>
    <w:rsid w:val="00013247"/>
    <w:rsid w:val="00014F00"/>
    <w:rsid w:val="00015886"/>
    <w:rsid w:val="000162EF"/>
    <w:rsid w:val="000201C5"/>
    <w:rsid w:val="0002225F"/>
    <w:rsid w:val="00022ADF"/>
    <w:rsid w:val="00023763"/>
    <w:rsid w:val="00027A2F"/>
    <w:rsid w:val="000316B9"/>
    <w:rsid w:val="00031D06"/>
    <w:rsid w:val="00031FE3"/>
    <w:rsid w:val="0003683B"/>
    <w:rsid w:val="000400FB"/>
    <w:rsid w:val="00040895"/>
    <w:rsid w:val="00043A32"/>
    <w:rsid w:val="00043C37"/>
    <w:rsid w:val="00046B13"/>
    <w:rsid w:val="0005166A"/>
    <w:rsid w:val="00053F6D"/>
    <w:rsid w:val="000546D7"/>
    <w:rsid w:val="00056DE9"/>
    <w:rsid w:val="000577D6"/>
    <w:rsid w:val="000619F5"/>
    <w:rsid w:val="00062493"/>
    <w:rsid w:val="00063599"/>
    <w:rsid w:val="00063D3A"/>
    <w:rsid w:val="00071248"/>
    <w:rsid w:val="000720B9"/>
    <w:rsid w:val="000812CA"/>
    <w:rsid w:val="00081F1E"/>
    <w:rsid w:val="00082AAE"/>
    <w:rsid w:val="00083029"/>
    <w:rsid w:val="00090698"/>
    <w:rsid w:val="00090C7E"/>
    <w:rsid w:val="00092DBF"/>
    <w:rsid w:val="000930DC"/>
    <w:rsid w:val="00095832"/>
    <w:rsid w:val="0009663A"/>
    <w:rsid w:val="000A1181"/>
    <w:rsid w:val="000A421E"/>
    <w:rsid w:val="000B1EA1"/>
    <w:rsid w:val="000B309F"/>
    <w:rsid w:val="000B4819"/>
    <w:rsid w:val="000B6C1C"/>
    <w:rsid w:val="000C07D0"/>
    <w:rsid w:val="000C46B3"/>
    <w:rsid w:val="000C4FF8"/>
    <w:rsid w:val="000C6C9F"/>
    <w:rsid w:val="000C7B79"/>
    <w:rsid w:val="000C7E6F"/>
    <w:rsid w:val="000D1BFC"/>
    <w:rsid w:val="000D6A70"/>
    <w:rsid w:val="000E29A6"/>
    <w:rsid w:val="000E3CE5"/>
    <w:rsid w:val="000E3ED7"/>
    <w:rsid w:val="000E5AC6"/>
    <w:rsid w:val="000F2B48"/>
    <w:rsid w:val="000F2F9F"/>
    <w:rsid w:val="000F3A44"/>
    <w:rsid w:val="000F4BB8"/>
    <w:rsid w:val="000F6361"/>
    <w:rsid w:val="000F6687"/>
    <w:rsid w:val="000F7011"/>
    <w:rsid w:val="000F7127"/>
    <w:rsid w:val="000F7138"/>
    <w:rsid w:val="00100F8A"/>
    <w:rsid w:val="00105D19"/>
    <w:rsid w:val="0011032E"/>
    <w:rsid w:val="0011348B"/>
    <w:rsid w:val="00113C93"/>
    <w:rsid w:val="0011493F"/>
    <w:rsid w:val="00115025"/>
    <w:rsid w:val="00115BA0"/>
    <w:rsid w:val="001169A7"/>
    <w:rsid w:val="0012107C"/>
    <w:rsid w:val="00121799"/>
    <w:rsid w:val="001222FC"/>
    <w:rsid w:val="00122BAB"/>
    <w:rsid w:val="00124A51"/>
    <w:rsid w:val="00125B26"/>
    <w:rsid w:val="00125DEE"/>
    <w:rsid w:val="00126621"/>
    <w:rsid w:val="00127AB9"/>
    <w:rsid w:val="001301E9"/>
    <w:rsid w:val="0013313D"/>
    <w:rsid w:val="00137645"/>
    <w:rsid w:val="0014015A"/>
    <w:rsid w:val="00140E78"/>
    <w:rsid w:val="00140E99"/>
    <w:rsid w:val="00142343"/>
    <w:rsid w:val="001447CD"/>
    <w:rsid w:val="00144BA3"/>
    <w:rsid w:val="00145540"/>
    <w:rsid w:val="001456B0"/>
    <w:rsid w:val="00147470"/>
    <w:rsid w:val="00157130"/>
    <w:rsid w:val="0016164A"/>
    <w:rsid w:val="00161A0F"/>
    <w:rsid w:val="00162913"/>
    <w:rsid w:val="00163B77"/>
    <w:rsid w:val="00163EFF"/>
    <w:rsid w:val="001661FB"/>
    <w:rsid w:val="00170958"/>
    <w:rsid w:val="0017598F"/>
    <w:rsid w:val="00176D3A"/>
    <w:rsid w:val="001811A6"/>
    <w:rsid w:val="00182005"/>
    <w:rsid w:val="00183485"/>
    <w:rsid w:val="001835DC"/>
    <w:rsid w:val="001847DE"/>
    <w:rsid w:val="001866C2"/>
    <w:rsid w:val="0018752F"/>
    <w:rsid w:val="00195222"/>
    <w:rsid w:val="00196050"/>
    <w:rsid w:val="001975D8"/>
    <w:rsid w:val="001A2324"/>
    <w:rsid w:val="001A45A9"/>
    <w:rsid w:val="001B3443"/>
    <w:rsid w:val="001C52AD"/>
    <w:rsid w:val="001C6E66"/>
    <w:rsid w:val="001C6EC2"/>
    <w:rsid w:val="001C76CC"/>
    <w:rsid w:val="001D0280"/>
    <w:rsid w:val="001D751D"/>
    <w:rsid w:val="001E0E91"/>
    <w:rsid w:val="001E238E"/>
    <w:rsid w:val="001E2B1E"/>
    <w:rsid w:val="001E52EB"/>
    <w:rsid w:val="001E740C"/>
    <w:rsid w:val="001F1235"/>
    <w:rsid w:val="001F196D"/>
    <w:rsid w:val="001F1CB3"/>
    <w:rsid w:val="001F2A1F"/>
    <w:rsid w:val="001F7361"/>
    <w:rsid w:val="00200D32"/>
    <w:rsid w:val="002011F8"/>
    <w:rsid w:val="00201AC2"/>
    <w:rsid w:val="00202F40"/>
    <w:rsid w:val="0020385F"/>
    <w:rsid w:val="00207021"/>
    <w:rsid w:val="00207D00"/>
    <w:rsid w:val="002105C1"/>
    <w:rsid w:val="002111C6"/>
    <w:rsid w:val="0021134E"/>
    <w:rsid w:val="002144E3"/>
    <w:rsid w:val="0021761D"/>
    <w:rsid w:val="00217DD4"/>
    <w:rsid w:val="002212AE"/>
    <w:rsid w:val="00222116"/>
    <w:rsid w:val="002239D0"/>
    <w:rsid w:val="00223B49"/>
    <w:rsid w:val="0022480B"/>
    <w:rsid w:val="00224DD4"/>
    <w:rsid w:val="00225121"/>
    <w:rsid w:val="00227429"/>
    <w:rsid w:val="002309CC"/>
    <w:rsid w:val="002362F3"/>
    <w:rsid w:val="0024212A"/>
    <w:rsid w:val="00245843"/>
    <w:rsid w:val="00246150"/>
    <w:rsid w:val="00250E84"/>
    <w:rsid w:val="002539D4"/>
    <w:rsid w:val="00254052"/>
    <w:rsid w:val="00254B02"/>
    <w:rsid w:val="00254DCF"/>
    <w:rsid w:val="0025534B"/>
    <w:rsid w:val="00255BB7"/>
    <w:rsid w:val="00256280"/>
    <w:rsid w:val="0025722F"/>
    <w:rsid w:val="00260FA8"/>
    <w:rsid w:val="00261C26"/>
    <w:rsid w:val="00262A87"/>
    <w:rsid w:val="00265B4D"/>
    <w:rsid w:val="0026637A"/>
    <w:rsid w:val="00267F68"/>
    <w:rsid w:val="00275C5A"/>
    <w:rsid w:val="002764D1"/>
    <w:rsid w:val="00281014"/>
    <w:rsid w:val="00283E23"/>
    <w:rsid w:val="002856F4"/>
    <w:rsid w:val="002875CA"/>
    <w:rsid w:val="002877C6"/>
    <w:rsid w:val="00293F55"/>
    <w:rsid w:val="00296C2D"/>
    <w:rsid w:val="002A14AB"/>
    <w:rsid w:val="002A1F7E"/>
    <w:rsid w:val="002A788D"/>
    <w:rsid w:val="002B1C1F"/>
    <w:rsid w:val="002B432F"/>
    <w:rsid w:val="002B5A69"/>
    <w:rsid w:val="002B6CCE"/>
    <w:rsid w:val="002B6F1B"/>
    <w:rsid w:val="002C1CFF"/>
    <w:rsid w:val="002C2775"/>
    <w:rsid w:val="002C27C1"/>
    <w:rsid w:val="002C495A"/>
    <w:rsid w:val="002D2B71"/>
    <w:rsid w:val="002E147A"/>
    <w:rsid w:val="002E16E2"/>
    <w:rsid w:val="002E3D91"/>
    <w:rsid w:val="002E5C39"/>
    <w:rsid w:val="002F023C"/>
    <w:rsid w:val="002F3B4F"/>
    <w:rsid w:val="002F3BDA"/>
    <w:rsid w:val="002F6AC9"/>
    <w:rsid w:val="002F6E73"/>
    <w:rsid w:val="002F79DB"/>
    <w:rsid w:val="00301017"/>
    <w:rsid w:val="00302035"/>
    <w:rsid w:val="0030786C"/>
    <w:rsid w:val="003100D0"/>
    <w:rsid w:val="0031031A"/>
    <w:rsid w:val="00310981"/>
    <w:rsid w:val="003135D3"/>
    <w:rsid w:val="00313D85"/>
    <w:rsid w:val="00315498"/>
    <w:rsid w:val="00316C04"/>
    <w:rsid w:val="003170C5"/>
    <w:rsid w:val="003171FF"/>
    <w:rsid w:val="00322B5E"/>
    <w:rsid w:val="003262B9"/>
    <w:rsid w:val="003265C9"/>
    <w:rsid w:val="0033068B"/>
    <w:rsid w:val="003329DD"/>
    <w:rsid w:val="00334B04"/>
    <w:rsid w:val="0033519C"/>
    <w:rsid w:val="003357CB"/>
    <w:rsid w:val="0033621A"/>
    <w:rsid w:val="003366C9"/>
    <w:rsid w:val="003371B0"/>
    <w:rsid w:val="00340820"/>
    <w:rsid w:val="0034340F"/>
    <w:rsid w:val="0034549C"/>
    <w:rsid w:val="00347575"/>
    <w:rsid w:val="003523A3"/>
    <w:rsid w:val="003548CE"/>
    <w:rsid w:val="0035620E"/>
    <w:rsid w:val="00356319"/>
    <w:rsid w:val="003617B5"/>
    <w:rsid w:val="00363902"/>
    <w:rsid w:val="00364832"/>
    <w:rsid w:val="0037101F"/>
    <w:rsid w:val="00372CB0"/>
    <w:rsid w:val="0037312A"/>
    <w:rsid w:val="00374880"/>
    <w:rsid w:val="0037631D"/>
    <w:rsid w:val="0038365C"/>
    <w:rsid w:val="00385951"/>
    <w:rsid w:val="00386FD0"/>
    <w:rsid w:val="00387792"/>
    <w:rsid w:val="0039169A"/>
    <w:rsid w:val="0039289C"/>
    <w:rsid w:val="003931AB"/>
    <w:rsid w:val="00394DDC"/>
    <w:rsid w:val="00396FD0"/>
    <w:rsid w:val="003A0D86"/>
    <w:rsid w:val="003A1A7A"/>
    <w:rsid w:val="003A1B3A"/>
    <w:rsid w:val="003A1FCD"/>
    <w:rsid w:val="003A244C"/>
    <w:rsid w:val="003A5F7B"/>
    <w:rsid w:val="003A7681"/>
    <w:rsid w:val="003B33FF"/>
    <w:rsid w:val="003B4812"/>
    <w:rsid w:val="003C1346"/>
    <w:rsid w:val="003C191A"/>
    <w:rsid w:val="003C515D"/>
    <w:rsid w:val="003D1092"/>
    <w:rsid w:val="003D1828"/>
    <w:rsid w:val="003D18E6"/>
    <w:rsid w:val="003D1F02"/>
    <w:rsid w:val="003D2422"/>
    <w:rsid w:val="003D2E32"/>
    <w:rsid w:val="003E1CCC"/>
    <w:rsid w:val="003E1DB5"/>
    <w:rsid w:val="003E39D1"/>
    <w:rsid w:val="003E5F94"/>
    <w:rsid w:val="003E60C1"/>
    <w:rsid w:val="003F04E9"/>
    <w:rsid w:val="003F31D0"/>
    <w:rsid w:val="003F37D7"/>
    <w:rsid w:val="003F3D3D"/>
    <w:rsid w:val="003F40B9"/>
    <w:rsid w:val="003F4156"/>
    <w:rsid w:val="003F55EA"/>
    <w:rsid w:val="003F5FBA"/>
    <w:rsid w:val="00401282"/>
    <w:rsid w:val="004025F3"/>
    <w:rsid w:val="004038B5"/>
    <w:rsid w:val="00405EE0"/>
    <w:rsid w:val="00407453"/>
    <w:rsid w:val="00410708"/>
    <w:rsid w:val="00410EC7"/>
    <w:rsid w:val="00411C27"/>
    <w:rsid w:val="00412000"/>
    <w:rsid w:val="00413806"/>
    <w:rsid w:val="00414476"/>
    <w:rsid w:val="00420B9F"/>
    <w:rsid w:val="00423851"/>
    <w:rsid w:val="004267EF"/>
    <w:rsid w:val="00426991"/>
    <w:rsid w:val="004319F8"/>
    <w:rsid w:val="00433044"/>
    <w:rsid w:val="00433487"/>
    <w:rsid w:val="00434D67"/>
    <w:rsid w:val="0043710A"/>
    <w:rsid w:val="00437D31"/>
    <w:rsid w:val="0044177F"/>
    <w:rsid w:val="00442A8C"/>
    <w:rsid w:val="00443B66"/>
    <w:rsid w:val="00443C8C"/>
    <w:rsid w:val="004442A8"/>
    <w:rsid w:val="0044430E"/>
    <w:rsid w:val="004443A7"/>
    <w:rsid w:val="0044531E"/>
    <w:rsid w:val="004464EB"/>
    <w:rsid w:val="00446D75"/>
    <w:rsid w:val="004512B3"/>
    <w:rsid w:val="00455D45"/>
    <w:rsid w:val="004560AB"/>
    <w:rsid w:val="00457493"/>
    <w:rsid w:val="00464595"/>
    <w:rsid w:val="00464C35"/>
    <w:rsid w:val="00464F2A"/>
    <w:rsid w:val="0046518A"/>
    <w:rsid w:val="0047110C"/>
    <w:rsid w:val="004714A3"/>
    <w:rsid w:val="00475BA0"/>
    <w:rsid w:val="00482636"/>
    <w:rsid w:val="00483DA5"/>
    <w:rsid w:val="00486062"/>
    <w:rsid w:val="004867E2"/>
    <w:rsid w:val="004901F4"/>
    <w:rsid w:val="00491425"/>
    <w:rsid w:val="004915C3"/>
    <w:rsid w:val="004919CE"/>
    <w:rsid w:val="00491B3A"/>
    <w:rsid w:val="00492137"/>
    <w:rsid w:val="00492CFD"/>
    <w:rsid w:val="004962D2"/>
    <w:rsid w:val="004A0DA1"/>
    <w:rsid w:val="004A1291"/>
    <w:rsid w:val="004A57E7"/>
    <w:rsid w:val="004A5B91"/>
    <w:rsid w:val="004A6597"/>
    <w:rsid w:val="004A75E8"/>
    <w:rsid w:val="004A7BD9"/>
    <w:rsid w:val="004B0881"/>
    <w:rsid w:val="004B1CB4"/>
    <w:rsid w:val="004B2F18"/>
    <w:rsid w:val="004B3549"/>
    <w:rsid w:val="004B3DDB"/>
    <w:rsid w:val="004B44FD"/>
    <w:rsid w:val="004B4CFE"/>
    <w:rsid w:val="004B5796"/>
    <w:rsid w:val="004B5CFC"/>
    <w:rsid w:val="004B695E"/>
    <w:rsid w:val="004B777D"/>
    <w:rsid w:val="004C23BE"/>
    <w:rsid w:val="004C32B0"/>
    <w:rsid w:val="004C4AED"/>
    <w:rsid w:val="004C4C28"/>
    <w:rsid w:val="004C7AE2"/>
    <w:rsid w:val="004D76D7"/>
    <w:rsid w:val="004D7B08"/>
    <w:rsid w:val="004E0EB8"/>
    <w:rsid w:val="004E0F8E"/>
    <w:rsid w:val="004E2ADC"/>
    <w:rsid w:val="004E3366"/>
    <w:rsid w:val="004E43B2"/>
    <w:rsid w:val="004E52C2"/>
    <w:rsid w:val="004E6B3E"/>
    <w:rsid w:val="004F0A0D"/>
    <w:rsid w:val="004F1D02"/>
    <w:rsid w:val="004F2679"/>
    <w:rsid w:val="004F7865"/>
    <w:rsid w:val="00500D43"/>
    <w:rsid w:val="00506928"/>
    <w:rsid w:val="00512F00"/>
    <w:rsid w:val="005152B5"/>
    <w:rsid w:val="00515489"/>
    <w:rsid w:val="005173C1"/>
    <w:rsid w:val="0052050F"/>
    <w:rsid w:val="00520A8B"/>
    <w:rsid w:val="00520B92"/>
    <w:rsid w:val="00521319"/>
    <w:rsid w:val="00521AC5"/>
    <w:rsid w:val="005223A2"/>
    <w:rsid w:val="00523C28"/>
    <w:rsid w:val="00523E1E"/>
    <w:rsid w:val="00524C86"/>
    <w:rsid w:val="00531673"/>
    <w:rsid w:val="00533198"/>
    <w:rsid w:val="005332FF"/>
    <w:rsid w:val="00533EDE"/>
    <w:rsid w:val="005360CF"/>
    <w:rsid w:val="00536520"/>
    <w:rsid w:val="00542508"/>
    <w:rsid w:val="00544D61"/>
    <w:rsid w:val="00546C5D"/>
    <w:rsid w:val="00546DAC"/>
    <w:rsid w:val="0054736C"/>
    <w:rsid w:val="005502C4"/>
    <w:rsid w:val="00550779"/>
    <w:rsid w:val="00552BD3"/>
    <w:rsid w:val="00553534"/>
    <w:rsid w:val="00555109"/>
    <w:rsid w:val="00555472"/>
    <w:rsid w:val="00557F2B"/>
    <w:rsid w:val="0056696F"/>
    <w:rsid w:val="00572DB4"/>
    <w:rsid w:val="0057332C"/>
    <w:rsid w:val="00575D8D"/>
    <w:rsid w:val="00576972"/>
    <w:rsid w:val="00580611"/>
    <w:rsid w:val="00581286"/>
    <w:rsid w:val="00583560"/>
    <w:rsid w:val="00583699"/>
    <w:rsid w:val="00584409"/>
    <w:rsid w:val="00584586"/>
    <w:rsid w:val="00584850"/>
    <w:rsid w:val="00586C43"/>
    <w:rsid w:val="00587C47"/>
    <w:rsid w:val="005902F6"/>
    <w:rsid w:val="00592CFB"/>
    <w:rsid w:val="005950D1"/>
    <w:rsid w:val="005951C1"/>
    <w:rsid w:val="005A1512"/>
    <w:rsid w:val="005B0FF1"/>
    <w:rsid w:val="005B2D24"/>
    <w:rsid w:val="005B3922"/>
    <w:rsid w:val="005B3C92"/>
    <w:rsid w:val="005B5655"/>
    <w:rsid w:val="005B5857"/>
    <w:rsid w:val="005B7D3E"/>
    <w:rsid w:val="005C188F"/>
    <w:rsid w:val="005C1B83"/>
    <w:rsid w:val="005C346B"/>
    <w:rsid w:val="005C4861"/>
    <w:rsid w:val="005D044D"/>
    <w:rsid w:val="005D18AD"/>
    <w:rsid w:val="005D7178"/>
    <w:rsid w:val="005E1347"/>
    <w:rsid w:val="005E1875"/>
    <w:rsid w:val="005E5922"/>
    <w:rsid w:val="005E73C0"/>
    <w:rsid w:val="005F1EF1"/>
    <w:rsid w:val="005F2706"/>
    <w:rsid w:val="005F388C"/>
    <w:rsid w:val="005F4BCA"/>
    <w:rsid w:val="005F5618"/>
    <w:rsid w:val="005F6A8F"/>
    <w:rsid w:val="005F748C"/>
    <w:rsid w:val="00602F48"/>
    <w:rsid w:val="00604719"/>
    <w:rsid w:val="00607669"/>
    <w:rsid w:val="00610DC3"/>
    <w:rsid w:val="00612150"/>
    <w:rsid w:val="00612F97"/>
    <w:rsid w:val="00616802"/>
    <w:rsid w:val="00616DB8"/>
    <w:rsid w:val="00617251"/>
    <w:rsid w:val="00617E12"/>
    <w:rsid w:val="0062137C"/>
    <w:rsid w:val="00621477"/>
    <w:rsid w:val="00621B49"/>
    <w:rsid w:val="00623473"/>
    <w:rsid w:val="00623A9B"/>
    <w:rsid w:val="00623E3E"/>
    <w:rsid w:val="00626EB8"/>
    <w:rsid w:val="00631D6B"/>
    <w:rsid w:val="0063479F"/>
    <w:rsid w:val="006364A1"/>
    <w:rsid w:val="00636D7A"/>
    <w:rsid w:val="00637BFD"/>
    <w:rsid w:val="006416C8"/>
    <w:rsid w:val="0064200B"/>
    <w:rsid w:val="00643E28"/>
    <w:rsid w:val="00644184"/>
    <w:rsid w:val="00646F52"/>
    <w:rsid w:val="006471CC"/>
    <w:rsid w:val="0065079F"/>
    <w:rsid w:val="006509C3"/>
    <w:rsid w:val="00652E87"/>
    <w:rsid w:val="006552C4"/>
    <w:rsid w:val="006627C0"/>
    <w:rsid w:val="00664527"/>
    <w:rsid w:val="00665218"/>
    <w:rsid w:val="00666586"/>
    <w:rsid w:val="00667807"/>
    <w:rsid w:val="006702DB"/>
    <w:rsid w:val="00672FE8"/>
    <w:rsid w:val="00673582"/>
    <w:rsid w:val="00673D34"/>
    <w:rsid w:val="00674E42"/>
    <w:rsid w:val="00674E8C"/>
    <w:rsid w:val="006764B0"/>
    <w:rsid w:val="00682112"/>
    <w:rsid w:val="0068231B"/>
    <w:rsid w:val="00682B70"/>
    <w:rsid w:val="00685DE0"/>
    <w:rsid w:val="006872BA"/>
    <w:rsid w:val="006917D7"/>
    <w:rsid w:val="0069190C"/>
    <w:rsid w:val="006931E7"/>
    <w:rsid w:val="00694F44"/>
    <w:rsid w:val="006954A7"/>
    <w:rsid w:val="006A0FB6"/>
    <w:rsid w:val="006A32AE"/>
    <w:rsid w:val="006A46E3"/>
    <w:rsid w:val="006A53DF"/>
    <w:rsid w:val="006A7881"/>
    <w:rsid w:val="006A798D"/>
    <w:rsid w:val="006A7C7B"/>
    <w:rsid w:val="006B0813"/>
    <w:rsid w:val="006B19B5"/>
    <w:rsid w:val="006B58B5"/>
    <w:rsid w:val="006B7D41"/>
    <w:rsid w:val="006C2A8E"/>
    <w:rsid w:val="006C40AA"/>
    <w:rsid w:val="006C615A"/>
    <w:rsid w:val="006C74B8"/>
    <w:rsid w:val="006D0AEC"/>
    <w:rsid w:val="006D0B88"/>
    <w:rsid w:val="006D1C74"/>
    <w:rsid w:val="006D3C7D"/>
    <w:rsid w:val="006D5CB5"/>
    <w:rsid w:val="006D5D5F"/>
    <w:rsid w:val="006E0DAA"/>
    <w:rsid w:val="006E259F"/>
    <w:rsid w:val="006F03C3"/>
    <w:rsid w:val="006F1A90"/>
    <w:rsid w:val="006F1B6E"/>
    <w:rsid w:val="006F585E"/>
    <w:rsid w:val="006F63A5"/>
    <w:rsid w:val="0070276E"/>
    <w:rsid w:val="0070280E"/>
    <w:rsid w:val="00702F8F"/>
    <w:rsid w:val="00703592"/>
    <w:rsid w:val="00705395"/>
    <w:rsid w:val="00707130"/>
    <w:rsid w:val="00711456"/>
    <w:rsid w:val="00711A36"/>
    <w:rsid w:val="007126C8"/>
    <w:rsid w:val="00714790"/>
    <w:rsid w:val="007172AD"/>
    <w:rsid w:val="00717CEB"/>
    <w:rsid w:val="00720BD1"/>
    <w:rsid w:val="0072416F"/>
    <w:rsid w:val="007320FE"/>
    <w:rsid w:val="00735328"/>
    <w:rsid w:val="0073685B"/>
    <w:rsid w:val="007412C0"/>
    <w:rsid w:val="007421F3"/>
    <w:rsid w:val="00746708"/>
    <w:rsid w:val="007527F7"/>
    <w:rsid w:val="00754E00"/>
    <w:rsid w:val="007621F4"/>
    <w:rsid w:val="0076566A"/>
    <w:rsid w:val="00776DFF"/>
    <w:rsid w:val="00777263"/>
    <w:rsid w:val="00777F66"/>
    <w:rsid w:val="0078060D"/>
    <w:rsid w:val="00782151"/>
    <w:rsid w:val="00782E8A"/>
    <w:rsid w:val="00783911"/>
    <w:rsid w:val="007845A9"/>
    <w:rsid w:val="007849B2"/>
    <w:rsid w:val="00791311"/>
    <w:rsid w:val="007A0A12"/>
    <w:rsid w:val="007A7CDE"/>
    <w:rsid w:val="007B142B"/>
    <w:rsid w:val="007B251D"/>
    <w:rsid w:val="007B4085"/>
    <w:rsid w:val="007B635B"/>
    <w:rsid w:val="007B77D1"/>
    <w:rsid w:val="007B7A84"/>
    <w:rsid w:val="007C0C39"/>
    <w:rsid w:val="007C0F05"/>
    <w:rsid w:val="007C361D"/>
    <w:rsid w:val="007D0B38"/>
    <w:rsid w:val="007E2928"/>
    <w:rsid w:val="007E3E20"/>
    <w:rsid w:val="007F1017"/>
    <w:rsid w:val="007F3274"/>
    <w:rsid w:val="007F4277"/>
    <w:rsid w:val="007F4A3F"/>
    <w:rsid w:val="007F6ACC"/>
    <w:rsid w:val="007F75A3"/>
    <w:rsid w:val="007F7F53"/>
    <w:rsid w:val="00804577"/>
    <w:rsid w:val="00804AE6"/>
    <w:rsid w:val="00805142"/>
    <w:rsid w:val="008065BA"/>
    <w:rsid w:val="00807A8B"/>
    <w:rsid w:val="00812149"/>
    <w:rsid w:val="00812E5A"/>
    <w:rsid w:val="008133FC"/>
    <w:rsid w:val="00813B51"/>
    <w:rsid w:val="008166EF"/>
    <w:rsid w:val="00816853"/>
    <w:rsid w:val="00817EE4"/>
    <w:rsid w:val="00821076"/>
    <w:rsid w:val="00822412"/>
    <w:rsid w:val="008264EB"/>
    <w:rsid w:val="00831C0B"/>
    <w:rsid w:val="008327FB"/>
    <w:rsid w:val="00833B05"/>
    <w:rsid w:val="008375CE"/>
    <w:rsid w:val="00840CA2"/>
    <w:rsid w:val="00843101"/>
    <w:rsid w:val="00845BC3"/>
    <w:rsid w:val="008509D1"/>
    <w:rsid w:val="00851790"/>
    <w:rsid w:val="00852701"/>
    <w:rsid w:val="00852B75"/>
    <w:rsid w:val="00853093"/>
    <w:rsid w:val="00854E4E"/>
    <w:rsid w:val="00856E9A"/>
    <w:rsid w:val="0086069E"/>
    <w:rsid w:val="00862502"/>
    <w:rsid w:val="0086503F"/>
    <w:rsid w:val="00866273"/>
    <w:rsid w:val="00867B53"/>
    <w:rsid w:val="00867BC7"/>
    <w:rsid w:val="00871EA6"/>
    <w:rsid w:val="00871FAD"/>
    <w:rsid w:val="00874C9B"/>
    <w:rsid w:val="008762E8"/>
    <w:rsid w:val="008766E2"/>
    <w:rsid w:val="0088182C"/>
    <w:rsid w:val="008825D7"/>
    <w:rsid w:val="00882874"/>
    <w:rsid w:val="00883787"/>
    <w:rsid w:val="00883FF0"/>
    <w:rsid w:val="00894489"/>
    <w:rsid w:val="00895D69"/>
    <w:rsid w:val="008963A5"/>
    <w:rsid w:val="00896583"/>
    <w:rsid w:val="008968F5"/>
    <w:rsid w:val="0089752B"/>
    <w:rsid w:val="00897C0C"/>
    <w:rsid w:val="008A3853"/>
    <w:rsid w:val="008A3C3E"/>
    <w:rsid w:val="008A6F69"/>
    <w:rsid w:val="008A791A"/>
    <w:rsid w:val="008A79DE"/>
    <w:rsid w:val="008B54BF"/>
    <w:rsid w:val="008B7D7E"/>
    <w:rsid w:val="008B7E1E"/>
    <w:rsid w:val="008C35F3"/>
    <w:rsid w:val="008C4718"/>
    <w:rsid w:val="008C4B9F"/>
    <w:rsid w:val="008C7ECB"/>
    <w:rsid w:val="008D14A3"/>
    <w:rsid w:val="008E1B9E"/>
    <w:rsid w:val="008F120A"/>
    <w:rsid w:val="008F2514"/>
    <w:rsid w:val="008F2AF7"/>
    <w:rsid w:val="008F2EE8"/>
    <w:rsid w:val="008F48EB"/>
    <w:rsid w:val="008F4F0B"/>
    <w:rsid w:val="00900AA8"/>
    <w:rsid w:val="00900BE4"/>
    <w:rsid w:val="00902E23"/>
    <w:rsid w:val="009054AD"/>
    <w:rsid w:val="0090618C"/>
    <w:rsid w:val="009062A5"/>
    <w:rsid w:val="00906F3E"/>
    <w:rsid w:val="00911272"/>
    <w:rsid w:val="009116E3"/>
    <w:rsid w:val="00917A02"/>
    <w:rsid w:val="00920722"/>
    <w:rsid w:val="00921617"/>
    <w:rsid w:val="00923864"/>
    <w:rsid w:val="009245D9"/>
    <w:rsid w:val="009279EF"/>
    <w:rsid w:val="00927BE8"/>
    <w:rsid w:val="0093149A"/>
    <w:rsid w:val="009440E6"/>
    <w:rsid w:val="00944DA4"/>
    <w:rsid w:val="00945279"/>
    <w:rsid w:val="00950905"/>
    <w:rsid w:val="00950CBB"/>
    <w:rsid w:val="00962618"/>
    <w:rsid w:val="00962CB9"/>
    <w:rsid w:val="00964312"/>
    <w:rsid w:val="0096472B"/>
    <w:rsid w:val="00965E30"/>
    <w:rsid w:val="00973686"/>
    <w:rsid w:val="009747B8"/>
    <w:rsid w:val="00983E57"/>
    <w:rsid w:val="00986554"/>
    <w:rsid w:val="0098768D"/>
    <w:rsid w:val="00987953"/>
    <w:rsid w:val="00992D85"/>
    <w:rsid w:val="00993B71"/>
    <w:rsid w:val="009940A1"/>
    <w:rsid w:val="00994EF6"/>
    <w:rsid w:val="00995947"/>
    <w:rsid w:val="00995FDB"/>
    <w:rsid w:val="00996B1A"/>
    <w:rsid w:val="009A221F"/>
    <w:rsid w:val="009A38DC"/>
    <w:rsid w:val="009A5242"/>
    <w:rsid w:val="009A72BC"/>
    <w:rsid w:val="009B3E26"/>
    <w:rsid w:val="009B47C1"/>
    <w:rsid w:val="009B4CC8"/>
    <w:rsid w:val="009B4D2B"/>
    <w:rsid w:val="009C03FB"/>
    <w:rsid w:val="009C20F0"/>
    <w:rsid w:val="009C5BF3"/>
    <w:rsid w:val="009C765F"/>
    <w:rsid w:val="009C790C"/>
    <w:rsid w:val="009D0BEA"/>
    <w:rsid w:val="009D2ABD"/>
    <w:rsid w:val="009D5B91"/>
    <w:rsid w:val="009D6DD6"/>
    <w:rsid w:val="009E0767"/>
    <w:rsid w:val="009E474B"/>
    <w:rsid w:val="009E48D4"/>
    <w:rsid w:val="009E4C07"/>
    <w:rsid w:val="009F2998"/>
    <w:rsid w:val="009F2F71"/>
    <w:rsid w:val="009F34D4"/>
    <w:rsid w:val="009F4118"/>
    <w:rsid w:val="00A005E7"/>
    <w:rsid w:val="00A015FD"/>
    <w:rsid w:val="00A03D43"/>
    <w:rsid w:val="00A04380"/>
    <w:rsid w:val="00A11099"/>
    <w:rsid w:val="00A1196B"/>
    <w:rsid w:val="00A119AD"/>
    <w:rsid w:val="00A12E13"/>
    <w:rsid w:val="00A13948"/>
    <w:rsid w:val="00A17133"/>
    <w:rsid w:val="00A21131"/>
    <w:rsid w:val="00A2287E"/>
    <w:rsid w:val="00A23088"/>
    <w:rsid w:val="00A266C6"/>
    <w:rsid w:val="00A26D9D"/>
    <w:rsid w:val="00A27AEC"/>
    <w:rsid w:val="00A33949"/>
    <w:rsid w:val="00A34269"/>
    <w:rsid w:val="00A35D16"/>
    <w:rsid w:val="00A36DC1"/>
    <w:rsid w:val="00A372FC"/>
    <w:rsid w:val="00A439E8"/>
    <w:rsid w:val="00A43C59"/>
    <w:rsid w:val="00A44A31"/>
    <w:rsid w:val="00A473A0"/>
    <w:rsid w:val="00A47DEC"/>
    <w:rsid w:val="00A50ECD"/>
    <w:rsid w:val="00A519CF"/>
    <w:rsid w:val="00A52729"/>
    <w:rsid w:val="00A53675"/>
    <w:rsid w:val="00A537BC"/>
    <w:rsid w:val="00A545E0"/>
    <w:rsid w:val="00A56B6A"/>
    <w:rsid w:val="00A578DC"/>
    <w:rsid w:val="00A61296"/>
    <w:rsid w:val="00A61643"/>
    <w:rsid w:val="00A6227F"/>
    <w:rsid w:val="00A62E72"/>
    <w:rsid w:val="00A634A1"/>
    <w:rsid w:val="00A66823"/>
    <w:rsid w:val="00A6725B"/>
    <w:rsid w:val="00A702A2"/>
    <w:rsid w:val="00A7328C"/>
    <w:rsid w:val="00A7675A"/>
    <w:rsid w:val="00A76D62"/>
    <w:rsid w:val="00A77519"/>
    <w:rsid w:val="00A81BD9"/>
    <w:rsid w:val="00A86A72"/>
    <w:rsid w:val="00A86E8B"/>
    <w:rsid w:val="00A90D64"/>
    <w:rsid w:val="00A92A73"/>
    <w:rsid w:val="00A93072"/>
    <w:rsid w:val="00A9364F"/>
    <w:rsid w:val="00A93CF8"/>
    <w:rsid w:val="00A945C5"/>
    <w:rsid w:val="00A959D8"/>
    <w:rsid w:val="00A961DC"/>
    <w:rsid w:val="00AA6A8C"/>
    <w:rsid w:val="00AB042A"/>
    <w:rsid w:val="00AB2089"/>
    <w:rsid w:val="00AB2D34"/>
    <w:rsid w:val="00AB3430"/>
    <w:rsid w:val="00AB3A78"/>
    <w:rsid w:val="00AB4EA6"/>
    <w:rsid w:val="00AB7CFA"/>
    <w:rsid w:val="00AC234F"/>
    <w:rsid w:val="00AC4C6B"/>
    <w:rsid w:val="00AC51E3"/>
    <w:rsid w:val="00AC5F2D"/>
    <w:rsid w:val="00AC670F"/>
    <w:rsid w:val="00AC748C"/>
    <w:rsid w:val="00AD1991"/>
    <w:rsid w:val="00AD48BC"/>
    <w:rsid w:val="00AD5BF2"/>
    <w:rsid w:val="00AD65CC"/>
    <w:rsid w:val="00AE0E95"/>
    <w:rsid w:val="00AE1707"/>
    <w:rsid w:val="00AE3F93"/>
    <w:rsid w:val="00AE5473"/>
    <w:rsid w:val="00AE6738"/>
    <w:rsid w:val="00AE6FC8"/>
    <w:rsid w:val="00AE7566"/>
    <w:rsid w:val="00AF1C0B"/>
    <w:rsid w:val="00AF2D52"/>
    <w:rsid w:val="00AF40FF"/>
    <w:rsid w:val="00AF58A7"/>
    <w:rsid w:val="00B060A9"/>
    <w:rsid w:val="00B0686B"/>
    <w:rsid w:val="00B1027B"/>
    <w:rsid w:val="00B12C50"/>
    <w:rsid w:val="00B142A5"/>
    <w:rsid w:val="00B1669B"/>
    <w:rsid w:val="00B2373B"/>
    <w:rsid w:val="00B240E9"/>
    <w:rsid w:val="00B24E5F"/>
    <w:rsid w:val="00B27853"/>
    <w:rsid w:val="00B316AE"/>
    <w:rsid w:val="00B352F6"/>
    <w:rsid w:val="00B357E0"/>
    <w:rsid w:val="00B36DD5"/>
    <w:rsid w:val="00B37967"/>
    <w:rsid w:val="00B40C1F"/>
    <w:rsid w:val="00B41EA5"/>
    <w:rsid w:val="00B42851"/>
    <w:rsid w:val="00B4462B"/>
    <w:rsid w:val="00B4489A"/>
    <w:rsid w:val="00B455BB"/>
    <w:rsid w:val="00B457C2"/>
    <w:rsid w:val="00B4761C"/>
    <w:rsid w:val="00B4797F"/>
    <w:rsid w:val="00B506C3"/>
    <w:rsid w:val="00B50DB8"/>
    <w:rsid w:val="00B51849"/>
    <w:rsid w:val="00B51A3C"/>
    <w:rsid w:val="00B5286B"/>
    <w:rsid w:val="00B52EBE"/>
    <w:rsid w:val="00B53905"/>
    <w:rsid w:val="00B54B5B"/>
    <w:rsid w:val="00B5562E"/>
    <w:rsid w:val="00B5604F"/>
    <w:rsid w:val="00B57000"/>
    <w:rsid w:val="00B60939"/>
    <w:rsid w:val="00B60AFD"/>
    <w:rsid w:val="00B62715"/>
    <w:rsid w:val="00B63D98"/>
    <w:rsid w:val="00B7579E"/>
    <w:rsid w:val="00B818A4"/>
    <w:rsid w:val="00B8490A"/>
    <w:rsid w:val="00B8649C"/>
    <w:rsid w:val="00B90BFA"/>
    <w:rsid w:val="00B92D0B"/>
    <w:rsid w:val="00B92DCB"/>
    <w:rsid w:val="00B94945"/>
    <w:rsid w:val="00B9525C"/>
    <w:rsid w:val="00B95532"/>
    <w:rsid w:val="00B97CB9"/>
    <w:rsid w:val="00BA0D5A"/>
    <w:rsid w:val="00BA34D3"/>
    <w:rsid w:val="00BA3F2D"/>
    <w:rsid w:val="00BB1CFC"/>
    <w:rsid w:val="00BB276C"/>
    <w:rsid w:val="00BB3E85"/>
    <w:rsid w:val="00BB599D"/>
    <w:rsid w:val="00BB633F"/>
    <w:rsid w:val="00BB7405"/>
    <w:rsid w:val="00BB79D5"/>
    <w:rsid w:val="00BB7C4B"/>
    <w:rsid w:val="00BC09C0"/>
    <w:rsid w:val="00BC4D96"/>
    <w:rsid w:val="00BD025E"/>
    <w:rsid w:val="00BD047A"/>
    <w:rsid w:val="00BD139C"/>
    <w:rsid w:val="00BD2894"/>
    <w:rsid w:val="00BD46D8"/>
    <w:rsid w:val="00BD4BD7"/>
    <w:rsid w:val="00BD5758"/>
    <w:rsid w:val="00BD6CF3"/>
    <w:rsid w:val="00BE095D"/>
    <w:rsid w:val="00BE2180"/>
    <w:rsid w:val="00BE2BD5"/>
    <w:rsid w:val="00BE4275"/>
    <w:rsid w:val="00BE45A7"/>
    <w:rsid w:val="00BE5C92"/>
    <w:rsid w:val="00BE6762"/>
    <w:rsid w:val="00BF0146"/>
    <w:rsid w:val="00BF2433"/>
    <w:rsid w:val="00BF2C1D"/>
    <w:rsid w:val="00BF5458"/>
    <w:rsid w:val="00BF61C9"/>
    <w:rsid w:val="00C015E4"/>
    <w:rsid w:val="00C02514"/>
    <w:rsid w:val="00C02999"/>
    <w:rsid w:val="00C02DCE"/>
    <w:rsid w:val="00C035E5"/>
    <w:rsid w:val="00C0566F"/>
    <w:rsid w:val="00C1063B"/>
    <w:rsid w:val="00C112EF"/>
    <w:rsid w:val="00C121D6"/>
    <w:rsid w:val="00C1256E"/>
    <w:rsid w:val="00C2008E"/>
    <w:rsid w:val="00C208C8"/>
    <w:rsid w:val="00C22198"/>
    <w:rsid w:val="00C22674"/>
    <w:rsid w:val="00C22DF9"/>
    <w:rsid w:val="00C25418"/>
    <w:rsid w:val="00C25422"/>
    <w:rsid w:val="00C25D9C"/>
    <w:rsid w:val="00C31649"/>
    <w:rsid w:val="00C3204D"/>
    <w:rsid w:val="00C352F4"/>
    <w:rsid w:val="00C40385"/>
    <w:rsid w:val="00C42C10"/>
    <w:rsid w:val="00C435F6"/>
    <w:rsid w:val="00C43708"/>
    <w:rsid w:val="00C43942"/>
    <w:rsid w:val="00C44F01"/>
    <w:rsid w:val="00C45962"/>
    <w:rsid w:val="00C622C4"/>
    <w:rsid w:val="00C64452"/>
    <w:rsid w:val="00C65576"/>
    <w:rsid w:val="00C65CFF"/>
    <w:rsid w:val="00C66165"/>
    <w:rsid w:val="00C673F0"/>
    <w:rsid w:val="00C73051"/>
    <w:rsid w:val="00C7428B"/>
    <w:rsid w:val="00C750C8"/>
    <w:rsid w:val="00C80FB2"/>
    <w:rsid w:val="00C812AF"/>
    <w:rsid w:val="00C8213F"/>
    <w:rsid w:val="00C829BC"/>
    <w:rsid w:val="00C84458"/>
    <w:rsid w:val="00C84C57"/>
    <w:rsid w:val="00C86BE7"/>
    <w:rsid w:val="00C8797A"/>
    <w:rsid w:val="00C938CF"/>
    <w:rsid w:val="00C94738"/>
    <w:rsid w:val="00C95ADB"/>
    <w:rsid w:val="00C96419"/>
    <w:rsid w:val="00C97BAB"/>
    <w:rsid w:val="00CA07AD"/>
    <w:rsid w:val="00CA5037"/>
    <w:rsid w:val="00CA5245"/>
    <w:rsid w:val="00CA7B09"/>
    <w:rsid w:val="00CB0F46"/>
    <w:rsid w:val="00CB3195"/>
    <w:rsid w:val="00CB5AA6"/>
    <w:rsid w:val="00CB5B1A"/>
    <w:rsid w:val="00CB7408"/>
    <w:rsid w:val="00CC0C97"/>
    <w:rsid w:val="00CC1687"/>
    <w:rsid w:val="00CC2D6F"/>
    <w:rsid w:val="00CC39F9"/>
    <w:rsid w:val="00CD19F7"/>
    <w:rsid w:val="00CD2D41"/>
    <w:rsid w:val="00CD4304"/>
    <w:rsid w:val="00CD6879"/>
    <w:rsid w:val="00CD6ADC"/>
    <w:rsid w:val="00CE0CD4"/>
    <w:rsid w:val="00CE13F0"/>
    <w:rsid w:val="00CE2CA6"/>
    <w:rsid w:val="00CE3C17"/>
    <w:rsid w:val="00CE4996"/>
    <w:rsid w:val="00CE6098"/>
    <w:rsid w:val="00CE6274"/>
    <w:rsid w:val="00CE7003"/>
    <w:rsid w:val="00CF27D2"/>
    <w:rsid w:val="00CF456B"/>
    <w:rsid w:val="00CF5A22"/>
    <w:rsid w:val="00CF62EE"/>
    <w:rsid w:val="00CF74B2"/>
    <w:rsid w:val="00D01975"/>
    <w:rsid w:val="00D0262E"/>
    <w:rsid w:val="00D049B3"/>
    <w:rsid w:val="00D06F44"/>
    <w:rsid w:val="00D10CA9"/>
    <w:rsid w:val="00D110BD"/>
    <w:rsid w:val="00D14094"/>
    <w:rsid w:val="00D14355"/>
    <w:rsid w:val="00D144FC"/>
    <w:rsid w:val="00D16A50"/>
    <w:rsid w:val="00D17D6C"/>
    <w:rsid w:val="00D20EDD"/>
    <w:rsid w:val="00D2272A"/>
    <w:rsid w:val="00D24480"/>
    <w:rsid w:val="00D31E3E"/>
    <w:rsid w:val="00D32643"/>
    <w:rsid w:val="00D357FF"/>
    <w:rsid w:val="00D36103"/>
    <w:rsid w:val="00D370F1"/>
    <w:rsid w:val="00D408B0"/>
    <w:rsid w:val="00D41788"/>
    <w:rsid w:val="00D465B4"/>
    <w:rsid w:val="00D46CCF"/>
    <w:rsid w:val="00D47AA0"/>
    <w:rsid w:val="00D50A61"/>
    <w:rsid w:val="00D530EC"/>
    <w:rsid w:val="00D533D7"/>
    <w:rsid w:val="00D54186"/>
    <w:rsid w:val="00D555B7"/>
    <w:rsid w:val="00D577ED"/>
    <w:rsid w:val="00D57A9F"/>
    <w:rsid w:val="00D662DB"/>
    <w:rsid w:val="00D66452"/>
    <w:rsid w:val="00D67CDF"/>
    <w:rsid w:val="00D71479"/>
    <w:rsid w:val="00D76A44"/>
    <w:rsid w:val="00D80159"/>
    <w:rsid w:val="00D9123A"/>
    <w:rsid w:val="00D91D8A"/>
    <w:rsid w:val="00D93753"/>
    <w:rsid w:val="00D941DF"/>
    <w:rsid w:val="00D95920"/>
    <w:rsid w:val="00DA23AB"/>
    <w:rsid w:val="00DA63C8"/>
    <w:rsid w:val="00DA77A5"/>
    <w:rsid w:val="00DB3BDB"/>
    <w:rsid w:val="00DB60F7"/>
    <w:rsid w:val="00DC5501"/>
    <w:rsid w:val="00DC57B2"/>
    <w:rsid w:val="00DC5943"/>
    <w:rsid w:val="00DC5BBA"/>
    <w:rsid w:val="00DC66A3"/>
    <w:rsid w:val="00DC7756"/>
    <w:rsid w:val="00DC7E41"/>
    <w:rsid w:val="00DD00A7"/>
    <w:rsid w:val="00DD0E64"/>
    <w:rsid w:val="00DD3F28"/>
    <w:rsid w:val="00DD4537"/>
    <w:rsid w:val="00DD4E15"/>
    <w:rsid w:val="00DD5386"/>
    <w:rsid w:val="00DD59D0"/>
    <w:rsid w:val="00DE0204"/>
    <w:rsid w:val="00DE28F8"/>
    <w:rsid w:val="00DE29A1"/>
    <w:rsid w:val="00DE4D47"/>
    <w:rsid w:val="00DE4FCB"/>
    <w:rsid w:val="00DE5ABD"/>
    <w:rsid w:val="00DF4848"/>
    <w:rsid w:val="00DF50C3"/>
    <w:rsid w:val="00DF5D2B"/>
    <w:rsid w:val="00DF6742"/>
    <w:rsid w:val="00DF7B75"/>
    <w:rsid w:val="00E00F1E"/>
    <w:rsid w:val="00E02B07"/>
    <w:rsid w:val="00E043DA"/>
    <w:rsid w:val="00E04679"/>
    <w:rsid w:val="00E04A55"/>
    <w:rsid w:val="00E0502A"/>
    <w:rsid w:val="00E06424"/>
    <w:rsid w:val="00E071DA"/>
    <w:rsid w:val="00E10149"/>
    <w:rsid w:val="00E104D0"/>
    <w:rsid w:val="00E11D65"/>
    <w:rsid w:val="00E13EAC"/>
    <w:rsid w:val="00E15D81"/>
    <w:rsid w:val="00E16372"/>
    <w:rsid w:val="00E2049B"/>
    <w:rsid w:val="00E20ED6"/>
    <w:rsid w:val="00E21358"/>
    <w:rsid w:val="00E2249B"/>
    <w:rsid w:val="00E22A0D"/>
    <w:rsid w:val="00E24DFC"/>
    <w:rsid w:val="00E25F75"/>
    <w:rsid w:val="00E2771E"/>
    <w:rsid w:val="00E33722"/>
    <w:rsid w:val="00E37569"/>
    <w:rsid w:val="00E37974"/>
    <w:rsid w:val="00E41E30"/>
    <w:rsid w:val="00E43D70"/>
    <w:rsid w:val="00E47B2C"/>
    <w:rsid w:val="00E51560"/>
    <w:rsid w:val="00E51EE9"/>
    <w:rsid w:val="00E526BA"/>
    <w:rsid w:val="00E53234"/>
    <w:rsid w:val="00E535DE"/>
    <w:rsid w:val="00E53F96"/>
    <w:rsid w:val="00E54C50"/>
    <w:rsid w:val="00E55424"/>
    <w:rsid w:val="00E55668"/>
    <w:rsid w:val="00E55BB5"/>
    <w:rsid w:val="00E6044C"/>
    <w:rsid w:val="00E63394"/>
    <w:rsid w:val="00E64135"/>
    <w:rsid w:val="00E65E79"/>
    <w:rsid w:val="00E671BE"/>
    <w:rsid w:val="00E67416"/>
    <w:rsid w:val="00E718B6"/>
    <w:rsid w:val="00E72EB8"/>
    <w:rsid w:val="00E73581"/>
    <w:rsid w:val="00E739E1"/>
    <w:rsid w:val="00E7520B"/>
    <w:rsid w:val="00E7549E"/>
    <w:rsid w:val="00E83BDF"/>
    <w:rsid w:val="00E8532B"/>
    <w:rsid w:val="00E92F48"/>
    <w:rsid w:val="00E93162"/>
    <w:rsid w:val="00E937A3"/>
    <w:rsid w:val="00E93D6F"/>
    <w:rsid w:val="00EA0CC0"/>
    <w:rsid w:val="00EA3686"/>
    <w:rsid w:val="00EA3864"/>
    <w:rsid w:val="00EA45D7"/>
    <w:rsid w:val="00EA6295"/>
    <w:rsid w:val="00EB0EAD"/>
    <w:rsid w:val="00EB15B6"/>
    <w:rsid w:val="00EB4916"/>
    <w:rsid w:val="00EC00C9"/>
    <w:rsid w:val="00EC0495"/>
    <w:rsid w:val="00EC22A4"/>
    <w:rsid w:val="00EC24F7"/>
    <w:rsid w:val="00EC400B"/>
    <w:rsid w:val="00EC5FBC"/>
    <w:rsid w:val="00EC7E5D"/>
    <w:rsid w:val="00ED18E7"/>
    <w:rsid w:val="00ED338F"/>
    <w:rsid w:val="00ED49EF"/>
    <w:rsid w:val="00ED62F8"/>
    <w:rsid w:val="00EE07D3"/>
    <w:rsid w:val="00EE249F"/>
    <w:rsid w:val="00EE394F"/>
    <w:rsid w:val="00EE5203"/>
    <w:rsid w:val="00EF031D"/>
    <w:rsid w:val="00EF4998"/>
    <w:rsid w:val="00F01B64"/>
    <w:rsid w:val="00F02C71"/>
    <w:rsid w:val="00F067A2"/>
    <w:rsid w:val="00F12D68"/>
    <w:rsid w:val="00F15C9E"/>
    <w:rsid w:val="00F214F3"/>
    <w:rsid w:val="00F23DFB"/>
    <w:rsid w:val="00F24837"/>
    <w:rsid w:val="00F2575F"/>
    <w:rsid w:val="00F33DE9"/>
    <w:rsid w:val="00F36119"/>
    <w:rsid w:val="00F3619A"/>
    <w:rsid w:val="00F3659F"/>
    <w:rsid w:val="00F36CE4"/>
    <w:rsid w:val="00F374AD"/>
    <w:rsid w:val="00F408F6"/>
    <w:rsid w:val="00F4540C"/>
    <w:rsid w:val="00F46008"/>
    <w:rsid w:val="00F46CB6"/>
    <w:rsid w:val="00F47187"/>
    <w:rsid w:val="00F47B83"/>
    <w:rsid w:val="00F47DE6"/>
    <w:rsid w:val="00F5170C"/>
    <w:rsid w:val="00F51F89"/>
    <w:rsid w:val="00F5277E"/>
    <w:rsid w:val="00F534EB"/>
    <w:rsid w:val="00F53792"/>
    <w:rsid w:val="00F54D98"/>
    <w:rsid w:val="00F55E73"/>
    <w:rsid w:val="00F60092"/>
    <w:rsid w:val="00F605ED"/>
    <w:rsid w:val="00F60A45"/>
    <w:rsid w:val="00F64C24"/>
    <w:rsid w:val="00F66F21"/>
    <w:rsid w:val="00F67109"/>
    <w:rsid w:val="00F70304"/>
    <w:rsid w:val="00F703F8"/>
    <w:rsid w:val="00F71728"/>
    <w:rsid w:val="00F736EF"/>
    <w:rsid w:val="00F75C62"/>
    <w:rsid w:val="00F76F92"/>
    <w:rsid w:val="00F80E5D"/>
    <w:rsid w:val="00F836CB"/>
    <w:rsid w:val="00F851CE"/>
    <w:rsid w:val="00F85F5A"/>
    <w:rsid w:val="00F864DF"/>
    <w:rsid w:val="00F867AE"/>
    <w:rsid w:val="00F90470"/>
    <w:rsid w:val="00F97A78"/>
    <w:rsid w:val="00FA0084"/>
    <w:rsid w:val="00FA197F"/>
    <w:rsid w:val="00FA24E7"/>
    <w:rsid w:val="00FA2F94"/>
    <w:rsid w:val="00FA3FF3"/>
    <w:rsid w:val="00FA407E"/>
    <w:rsid w:val="00FA6F9E"/>
    <w:rsid w:val="00FB08FC"/>
    <w:rsid w:val="00FB28B4"/>
    <w:rsid w:val="00FB2FCB"/>
    <w:rsid w:val="00FB43B2"/>
    <w:rsid w:val="00FB47BA"/>
    <w:rsid w:val="00FB4CB9"/>
    <w:rsid w:val="00FB7B0F"/>
    <w:rsid w:val="00FC1074"/>
    <w:rsid w:val="00FC1884"/>
    <w:rsid w:val="00FC2DB0"/>
    <w:rsid w:val="00FC4019"/>
    <w:rsid w:val="00FC4B74"/>
    <w:rsid w:val="00FD2100"/>
    <w:rsid w:val="00FD2258"/>
    <w:rsid w:val="00FD3134"/>
    <w:rsid w:val="00FD446D"/>
    <w:rsid w:val="00FD4608"/>
    <w:rsid w:val="00FD5A44"/>
    <w:rsid w:val="00FD6E68"/>
    <w:rsid w:val="00FE34A7"/>
    <w:rsid w:val="00FE3E2A"/>
    <w:rsid w:val="00FF1ADF"/>
    <w:rsid w:val="00FF3DCF"/>
    <w:rsid w:val="00FF46F1"/>
    <w:rsid w:val="00FF5AA3"/>
    <w:rsid w:val="00FF6E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2"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7953"/>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394DDC"/>
    <w:pPr>
      <w:outlineLvl w:val="0"/>
    </w:pPr>
  </w:style>
  <w:style w:type="paragraph" w:styleId="Heading2">
    <w:name w:val="heading 2"/>
    <w:basedOn w:val="PBACHeading1"/>
    <w:next w:val="Normal"/>
    <w:link w:val="Heading2Char"/>
    <w:qFormat/>
    <w:rsid w:val="003C1346"/>
    <w:pPr>
      <w:numPr>
        <w:numId w:val="0"/>
      </w:numPr>
      <w:outlineLvl w:val="1"/>
    </w:pPr>
    <w:rPr>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3C1346"/>
    <w:rPr>
      <w:rFonts w:ascii="Arial" w:hAnsi="Arial" w:cs="Arial"/>
      <w:b/>
      <w:i/>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394DDC"/>
    <w:pPr>
      <w:spacing w:before="240" w:after="60"/>
      <w:ind w:left="720" w:hanging="720"/>
      <w:jc w:val="left"/>
      <w:outlineLvl w:val="0"/>
    </w:pPr>
    <w:rPr>
      <w:b/>
      <w:bCs/>
      <w:kern w:val="28"/>
      <w:sz w:val="28"/>
      <w:szCs w:val="32"/>
    </w:rPr>
  </w:style>
  <w:style w:type="character" w:customStyle="1" w:styleId="TitleChar">
    <w:name w:val="Title Char"/>
    <w:basedOn w:val="DefaultParagraphFont"/>
    <w:link w:val="Title"/>
    <w:uiPriority w:val="99"/>
    <w:rsid w:val="00394DD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1346"/>
    <w:pPr>
      <w:numPr>
        <w:numId w:val="1"/>
      </w:numPr>
    </w:pPr>
    <w:rPr>
      <w:rFonts w:ascii="Arial" w:hAnsi="Arial" w:cs="Arial"/>
      <w:b/>
      <w:snapToGrid w:val="0"/>
      <w:sz w:val="22"/>
      <w:szCs w:val="22"/>
      <w:lang w:eastAsia="en-US"/>
    </w:rPr>
  </w:style>
  <w:style w:type="character" w:customStyle="1" w:styleId="SourceChar1">
    <w:name w:val="Source Char1"/>
    <w:link w:val="Source"/>
    <w:locked/>
    <w:rsid w:val="00FB7B0F"/>
    <w:rPr>
      <w:rFonts w:eastAsia="SimSun"/>
      <w:sz w:val="18"/>
      <w:szCs w:val="18"/>
      <w:lang w:eastAsia="en-US"/>
    </w:rPr>
  </w:style>
  <w:style w:type="paragraph" w:customStyle="1" w:styleId="Source">
    <w:name w:val="Source"/>
    <w:basedOn w:val="Normal"/>
    <w:link w:val="SourceChar1"/>
    <w:qFormat/>
    <w:rsid w:val="00FB7B0F"/>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paragraph" w:customStyle="1" w:styleId="Bulletlist">
    <w:name w:val="Bullet list"/>
    <w:basedOn w:val="ListParagraph"/>
    <w:uiPriority w:val="99"/>
    <w:qFormat/>
    <w:rsid w:val="00C035E5"/>
    <w:pPr>
      <w:widowControl/>
      <w:numPr>
        <w:numId w:val="2"/>
      </w:numPr>
    </w:pPr>
    <w:rPr>
      <w:rFonts w:eastAsia="MS Mincho"/>
      <w:i/>
      <w:snapToGrid/>
      <w:szCs w:val="22"/>
      <w:lang w:val="en-US"/>
    </w:rPr>
  </w:style>
  <w:style w:type="character" w:customStyle="1" w:styleId="TableTextChar0">
    <w:name w:val="TableText Char"/>
    <w:basedOn w:val="DefaultParagraphFont"/>
    <w:link w:val="TableText0"/>
    <w:uiPriority w:val="3"/>
    <w:locked/>
    <w:rsid w:val="00446D75"/>
    <w:rPr>
      <w:rFonts w:ascii="Arial Narrow" w:hAnsi="Arial Narrow" w:cs="Arial Narrow"/>
      <w:lang w:eastAsia="en-US"/>
    </w:rPr>
  </w:style>
  <w:style w:type="paragraph" w:customStyle="1" w:styleId="TableNotes">
    <w:name w:val="TableNotes"/>
    <w:basedOn w:val="Normal"/>
    <w:next w:val="Normal"/>
    <w:uiPriority w:val="3"/>
    <w:qFormat/>
    <w:rsid w:val="00E535DE"/>
    <w:pPr>
      <w:widowControl/>
      <w:tabs>
        <w:tab w:val="left" w:pos="1134"/>
      </w:tabs>
      <w:ind w:left="1134" w:hanging="1134"/>
      <w:jc w:val="left"/>
    </w:pPr>
    <w:rPr>
      <w:rFonts w:ascii="Arial Narrow" w:eastAsiaTheme="minorEastAsia" w:hAnsi="Arial Narrow" w:cstheme="minorBidi"/>
      <w:snapToGrid/>
      <w:sz w:val="18"/>
      <w:szCs w:val="18"/>
    </w:rPr>
  </w:style>
  <w:style w:type="paragraph" w:customStyle="1" w:styleId="TableHeadingRow">
    <w:name w:val="TableHeadingRow"/>
    <w:basedOn w:val="Normal"/>
    <w:uiPriority w:val="3"/>
    <w:qFormat/>
    <w:rsid w:val="003100D0"/>
    <w:pPr>
      <w:keepNext/>
      <w:widowControl/>
      <w:spacing w:before="20" w:after="20"/>
      <w:jc w:val="left"/>
    </w:pPr>
    <w:rPr>
      <w:rFonts w:ascii="Calibri" w:hAnsi="Calibri" w:cstheme="minorHAnsi"/>
      <w:b/>
      <w:snapToGrid/>
      <w:sz w:val="20"/>
    </w:rPr>
  </w:style>
  <w:style w:type="character" w:customStyle="1" w:styleId="Heading1Char">
    <w:name w:val="Heading 1 Char"/>
    <w:basedOn w:val="DefaultParagraphFont"/>
    <w:link w:val="Heading1"/>
    <w:rsid w:val="00394DDC"/>
    <w:rPr>
      <w:rFonts w:ascii="Arial" w:hAnsi="Arial" w:cs="Arial"/>
      <w:b/>
      <w:snapToGrid w:val="0"/>
      <w:sz w:val="22"/>
      <w:szCs w:val="22"/>
      <w:lang w:eastAsia="en-US"/>
    </w:rPr>
  </w:style>
  <w:style w:type="character" w:customStyle="1" w:styleId="Heading3Char">
    <w:name w:val="Heading 3 Char"/>
    <w:basedOn w:val="DefaultParagraphFont"/>
    <w:link w:val="Heading3"/>
    <w:rsid w:val="008F2514"/>
    <w:rPr>
      <w:rFonts w:ascii="Arial" w:hAnsi="Arial" w:cs="Arial"/>
      <w:snapToGrid w:val="0"/>
      <w:sz w:val="22"/>
      <w:u w:val="single"/>
      <w:lang w:eastAsia="en-US"/>
    </w:rPr>
  </w:style>
  <w:style w:type="character" w:customStyle="1" w:styleId="Heading4Char">
    <w:name w:val="Heading 4 Char"/>
    <w:basedOn w:val="DefaultParagraphFont"/>
    <w:link w:val="Heading4"/>
    <w:rsid w:val="008F2514"/>
    <w:rPr>
      <w:rFonts w:ascii="Arial" w:hAnsi="Arial" w:cs="Arial"/>
      <w:b/>
      <w:bCs/>
      <w:i/>
      <w:snapToGrid w:val="0"/>
      <w:sz w:val="26"/>
      <w:szCs w:val="28"/>
      <w:lang w:eastAsia="en-US"/>
    </w:rPr>
  </w:style>
  <w:style w:type="character" w:customStyle="1" w:styleId="Heading5Char">
    <w:name w:val="Heading 5 Char"/>
    <w:basedOn w:val="DefaultParagraphFont"/>
    <w:link w:val="Heading5"/>
    <w:rsid w:val="008F2514"/>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8F2514"/>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8F2514"/>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8F2514"/>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90D64"/>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rsid w:val="00D14094"/>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left">
    <w:name w:val="Table Text 1 (left)"/>
    <w:basedOn w:val="Normal"/>
    <w:link w:val="TableText1leftChar"/>
    <w:qFormat/>
    <w:rsid w:val="00D14094"/>
    <w:pPr>
      <w:widowControl/>
      <w:spacing w:before="40" w:after="40"/>
      <w:jc w:val="left"/>
    </w:pPr>
    <w:rPr>
      <w:rFonts w:ascii="Times New Roman" w:eastAsia="SimSun" w:hAnsi="Times New Roman" w:cs="Times New Roman"/>
      <w:snapToGrid/>
      <w:sz w:val="20"/>
      <w:lang w:val="en-GB"/>
    </w:rPr>
  </w:style>
  <w:style w:type="character" w:customStyle="1" w:styleId="TableText1leftChar">
    <w:name w:val="Table Text 1 (left) Char"/>
    <w:link w:val="TableText1left"/>
    <w:locked/>
    <w:rsid w:val="00D14094"/>
    <w:rPr>
      <w:rFonts w:eastAsia="SimSun"/>
      <w:lang w:val="en-GB" w:eastAsia="en-US"/>
    </w:rPr>
  </w:style>
  <w:style w:type="character" w:customStyle="1" w:styleId="ListParagraphChar">
    <w:name w:val="List Paragraph Char"/>
    <w:link w:val="ListParagraph"/>
    <w:uiPriority w:val="34"/>
    <w:rsid w:val="00AE756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2"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7953"/>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394DDC"/>
    <w:pPr>
      <w:outlineLvl w:val="0"/>
    </w:pPr>
  </w:style>
  <w:style w:type="paragraph" w:styleId="Heading2">
    <w:name w:val="heading 2"/>
    <w:basedOn w:val="PBACHeading1"/>
    <w:next w:val="Normal"/>
    <w:link w:val="Heading2Char"/>
    <w:qFormat/>
    <w:rsid w:val="003C1346"/>
    <w:pPr>
      <w:numPr>
        <w:numId w:val="0"/>
      </w:numPr>
      <w:outlineLvl w:val="1"/>
    </w:pPr>
    <w:rPr>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3C1346"/>
    <w:rPr>
      <w:rFonts w:ascii="Arial" w:hAnsi="Arial" w:cs="Arial"/>
      <w:b/>
      <w:i/>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394DDC"/>
    <w:pPr>
      <w:spacing w:before="240" w:after="60"/>
      <w:ind w:left="720" w:hanging="720"/>
      <w:jc w:val="left"/>
      <w:outlineLvl w:val="0"/>
    </w:pPr>
    <w:rPr>
      <w:b/>
      <w:bCs/>
      <w:kern w:val="28"/>
      <w:sz w:val="28"/>
      <w:szCs w:val="32"/>
    </w:rPr>
  </w:style>
  <w:style w:type="character" w:customStyle="1" w:styleId="TitleChar">
    <w:name w:val="Title Char"/>
    <w:basedOn w:val="DefaultParagraphFont"/>
    <w:link w:val="Title"/>
    <w:uiPriority w:val="99"/>
    <w:rsid w:val="00394DD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1346"/>
    <w:pPr>
      <w:numPr>
        <w:numId w:val="1"/>
      </w:numPr>
    </w:pPr>
    <w:rPr>
      <w:rFonts w:ascii="Arial" w:hAnsi="Arial" w:cs="Arial"/>
      <w:b/>
      <w:snapToGrid w:val="0"/>
      <w:sz w:val="22"/>
      <w:szCs w:val="22"/>
      <w:lang w:eastAsia="en-US"/>
    </w:rPr>
  </w:style>
  <w:style w:type="character" w:customStyle="1" w:styleId="SourceChar1">
    <w:name w:val="Source Char1"/>
    <w:link w:val="Source"/>
    <w:locked/>
    <w:rsid w:val="00FB7B0F"/>
    <w:rPr>
      <w:rFonts w:eastAsia="SimSun"/>
      <w:sz w:val="18"/>
      <w:szCs w:val="18"/>
      <w:lang w:eastAsia="en-US"/>
    </w:rPr>
  </w:style>
  <w:style w:type="paragraph" w:customStyle="1" w:styleId="Source">
    <w:name w:val="Source"/>
    <w:basedOn w:val="Normal"/>
    <w:link w:val="SourceChar1"/>
    <w:qFormat/>
    <w:rsid w:val="00FB7B0F"/>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paragraph" w:customStyle="1" w:styleId="Bulletlist">
    <w:name w:val="Bullet list"/>
    <w:basedOn w:val="ListParagraph"/>
    <w:uiPriority w:val="99"/>
    <w:qFormat/>
    <w:rsid w:val="00C035E5"/>
    <w:pPr>
      <w:widowControl/>
      <w:numPr>
        <w:numId w:val="2"/>
      </w:numPr>
    </w:pPr>
    <w:rPr>
      <w:rFonts w:eastAsia="MS Mincho"/>
      <w:i/>
      <w:snapToGrid/>
      <w:szCs w:val="22"/>
      <w:lang w:val="en-US"/>
    </w:rPr>
  </w:style>
  <w:style w:type="character" w:customStyle="1" w:styleId="TableTextChar0">
    <w:name w:val="TableText Char"/>
    <w:basedOn w:val="DefaultParagraphFont"/>
    <w:link w:val="TableText0"/>
    <w:uiPriority w:val="3"/>
    <w:locked/>
    <w:rsid w:val="00446D75"/>
    <w:rPr>
      <w:rFonts w:ascii="Arial Narrow" w:hAnsi="Arial Narrow" w:cs="Arial Narrow"/>
      <w:lang w:eastAsia="en-US"/>
    </w:rPr>
  </w:style>
  <w:style w:type="paragraph" w:customStyle="1" w:styleId="TableNotes">
    <w:name w:val="TableNotes"/>
    <w:basedOn w:val="Normal"/>
    <w:next w:val="Normal"/>
    <w:uiPriority w:val="3"/>
    <w:qFormat/>
    <w:rsid w:val="00E535DE"/>
    <w:pPr>
      <w:widowControl/>
      <w:tabs>
        <w:tab w:val="left" w:pos="1134"/>
      </w:tabs>
      <w:ind w:left="1134" w:hanging="1134"/>
      <w:jc w:val="left"/>
    </w:pPr>
    <w:rPr>
      <w:rFonts w:ascii="Arial Narrow" w:eastAsiaTheme="minorEastAsia" w:hAnsi="Arial Narrow" w:cstheme="minorBidi"/>
      <w:snapToGrid/>
      <w:sz w:val="18"/>
      <w:szCs w:val="18"/>
    </w:rPr>
  </w:style>
  <w:style w:type="paragraph" w:customStyle="1" w:styleId="TableHeadingRow">
    <w:name w:val="TableHeadingRow"/>
    <w:basedOn w:val="Normal"/>
    <w:uiPriority w:val="3"/>
    <w:qFormat/>
    <w:rsid w:val="003100D0"/>
    <w:pPr>
      <w:keepNext/>
      <w:widowControl/>
      <w:spacing w:before="20" w:after="20"/>
      <w:jc w:val="left"/>
    </w:pPr>
    <w:rPr>
      <w:rFonts w:ascii="Calibri" w:hAnsi="Calibri" w:cstheme="minorHAnsi"/>
      <w:b/>
      <w:snapToGrid/>
      <w:sz w:val="20"/>
    </w:rPr>
  </w:style>
  <w:style w:type="character" w:customStyle="1" w:styleId="Heading1Char">
    <w:name w:val="Heading 1 Char"/>
    <w:basedOn w:val="DefaultParagraphFont"/>
    <w:link w:val="Heading1"/>
    <w:rsid w:val="00394DDC"/>
    <w:rPr>
      <w:rFonts w:ascii="Arial" w:hAnsi="Arial" w:cs="Arial"/>
      <w:b/>
      <w:snapToGrid w:val="0"/>
      <w:sz w:val="22"/>
      <w:szCs w:val="22"/>
      <w:lang w:eastAsia="en-US"/>
    </w:rPr>
  </w:style>
  <w:style w:type="character" w:customStyle="1" w:styleId="Heading3Char">
    <w:name w:val="Heading 3 Char"/>
    <w:basedOn w:val="DefaultParagraphFont"/>
    <w:link w:val="Heading3"/>
    <w:rsid w:val="008F2514"/>
    <w:rPr>
      <w:rFonts w:ascii="Arial" w:hAnsi="Arial" w:cs="Arial"/>
      <w:snapToGrid w:val="0"/>
      <w:sz w:val="22"/>
      <w:u w:val="single"/>
      <w:lang w:eastAsia="en-US"/>
    </w:rPr>
  </w:style>
  <w:style w:type="character" w:customStyle="1" w:styleId="Heading4Char">
    <w:name w:val="Heading 4 Char"/>
    <w:basedOn w:val="DefaultParagraphFont"/>
    <w:link w:val="Heading4"/>
    <w:rsid w:val="008F2514"/>
    <w:rPr>
      <w:rFonts w:ascii="Arial" w:hAnsi="Arial" w:cs="Arial"/>
      <w:b/>
      <w:bCs/>
      <w:i/>
      <w:snapToGrid w:val="0"/>
      <w:sz w:val="26"/>
      <w:szCs w:val="28"/>
      <w:lang w:eastAsia="en-US"/>
    </w:rPr>
  </w:style>
  <w:style w:type="character" w:customStyle="1" w:styleId="Heading5Char">
    <w:name w:val="Heading 5 Char"/>
    <w:basedOn w:val="DefaultParagraphFont"/>
    <w:link w:val="Heading5"/>
    <w:rsid w:val="008F2514"/>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8F2514"/>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8F2514"/>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8F2514"/>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90D64"/>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rsid w:val="00D14094"/>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left">
    <w:name w:val="Table Text 1 (left)"/>
    <w:basedOn w:val="Normal"/>
    <w:link w:val="TableText1leftChar"/>
    <w:qFormat/>
    <w:rsid w:val="00D14094"/>
    <w:pPr>
      <w:widowControl/>
      <w:spacing w:before="40" w:after="40"/>
      <w:jc w:val="left"/>
    </w:pPr>
    <w:rPr>
      <w:rFonts w:ascii="Times New Roman" w:eastAsia="SimSun" w:hAnsi="Times New Roman" w:cs="Times New Roman"/>
      <w:snapToGrid/>
      <w:sz w:val="20"/>
      <w:lang w:val="en-GB"/>
    </w:rPr>
  </w:style>
  <w:style w:type="character" w:customStyle="1" w:styleId="TableText1leftChar">
    <w:name w:val="Table Text 1 (left) Char"/>
    <w:link w:val="TableText1left"/>
    <w:locked/>
    <w:rsid w:val="00D14094"/>
    <w:rPr>
      <w:rFonts w:eastAsia="SimSun"/>
      <w:lang w:val="en-GB" w:eastAsia="en-US"/>
    </w:rPr>
  </w:style>
  <w:style w:type="character" w:customStyle="1" w:styleId="ListParagraphChar">
    <w:name w:val="List Paragraph Char"/>
    <w:link w:val="ListParagraph"/>
    <w:uiPriority w:val="34"/>
    <w:rsid w:val="00AE756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4316">
      <w:bodyDiv w:val="1"/>
      <w:marLeft w:val="0"/>
      <w:marRight w:val="0"/>
      <w:marTop w:val="0"/>
      <w:marBottom w:val="0"/>
      <w:divBdr>
        <w:top w:val="none" w:sz="0" w:space="0" w:color="auto"/>
        <w:left w:val="none" w:sz="0" w:space="0" w:color="auto"/>
        <w:bottom w:val="none" w:sz="0" w:space="0" w:color="auto"/>
        <w:right w:val="none" w:sz="0" w:space="0" w:color="auto"/>
      </w:divBdr>
    </w:div>
    <w:div w:id="166333216">
      <w:bodyDiv w:val="1"/>
      <w:marLeft w:val="0"/>
      <w:marRight w:val="0"/>
      <w:marTop w:val="0"/>
      <w:marBottom w:val="0"/>
      <w:divBdr>
        <w:top w:val="none" w:sz="0" w:space="0" w:color="auto"/>
        <w:left w:val="none" w:sz="0" w:space="0" w:color="auto"/>
        <w:bottom w:val="none" w:sz="0" w:space="0" w:color="auto"/>
        <w:right w:val="none" w:sz="0" w:space="0" w:color="auto"/>
      </w:divBdr>
    </w:div>
    <w:div w:id="362901105">
      <w:bodyDiv w:val="1"/>
      <w:marLeft w:val="0"/>
      <w:marRight w:val="0"/>
      <w:marTop w:val="0"/>
      <w:marBottom w:val="0"/>
      <w:divBdr>
        <w:top w:val="none" w:sz="0" w:space="0" w:color="auto"/>
        <w:left w:val="none" w:sz="0" w:space="0" w:color="auto"/>
        <w:bottom w:val="none" w:sz="0" w:space="0" w:color="auto"/>
        <w:right w:val="none" w:sz="0" w:space="0" w:color="auto"/>
      </w:divBdr>
    </w:div>
    <w:div w:id="543719372">
      <w:bodyDiv w:val="1"/>
      <w:marLeft w:val="0"/>
      <w:marRight w:val="0"/>
      <w:marTop w:val="0"/>
      <w:marBottom w:val="0"/>
      <w:divBdr>
        <w:top w:val="none" w:sz="0" w:space="0" w:color="auto"/>
        <w:left w:val="none" w:sz="0" w:space="0" w:color="auto"/>
        <w:bottom w:val="none" w:sz="0" w:space="0" w:color="auto"/>
        <w:right w:val="none" w:sz="0" w:space="0" w:color="auto"/>
      </w:divBdr>
      <w:divsChild>
        <w:div w:id="1634942160">
          <w:marLeft w:val="0"/>
          <w:marRight w:val="0"/>
          <w:marTop w:val="0"/>
          <w:marBottom w:val="0"/>
          <w:divBdr>
            <w:top w:val="none" w:sz="0" w:space="0" w:color="auto"/>
            <w:left w:val="none" w:sz="0" w:space="0" w:color="auto"/>
            <w:bottom w:val="none" w:sz="0" w:space="0" w:color="auto"/>
            <w:right w:val="none" w:sz="0" w:space="0" w:color="auto"/>
          </w:divBdr>
          <w:divsChild>
            <w:div w:id="1782263533">
              <w:marLeft w:val="0"/>
              <w:marRight w:val="0"/>
              <w:marTop w:val="0"/>
              <w:marBottom w:val="0"/>
              <w:divBdr>
                <w:top w:val="none" w:sz="0" w:space="0" w:color="auto"/>
                <w:left w:val="none" w:sz="0" w:space="0" w:color="auto"/>
                <w:bottom w:val="none" w:sz="0" w:space="0" w:color="auto"/>
                <w:right w:val="none" w:sz="0" w:space="0" w:color="auto"/>
              </w:divBdr>
              <w:divsChild>
                <w:div w:id="562104236">
                  <w:marLeft w:val="0"/>
                  <w:marRight w:val="0"/>
                  <w:marTop w:val="0"/>
                  <w:marBottom w:val="0"/>
                  <w:divBdr>
                    <w:top w:val="none" w:sz="0" w:space="0" w:color="auto"/>
                    <w:left w:val="none" w:sz="0" w:space="0" w:color="auto"/>
                    <w:bottom w:val="none" w:sz="0" w:space="0" w:color="auto"/>
                    <w:right w:val="none" w:sz="0" w:space="0" w:color="auto"/>
                  </w:divBdr>
                  <w:divsChild>
                    <w:div w:id="19398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7809">
      <w:bodyDiv w:val="1"/>
      <w:marLeft w:val="0"/>
      <w:marRight w:val="0"/>
      <w:marTop w:val="0"/>
      <w:marBottom w:val="0"/>
      <w:divBdr>
        <w:top w:val="none" w:sz="0" w:space="0" w:color="auto"/>
        <w:left w:val="none" w:sz="0" w:space="0" w:color="auto"/>
        <w:bottom w:val="none" w:sz="0" w:space="0" w:color="auto"/>
        <w:right w:val="none" w:sz="0" w:space="0" w:color="auto"/>
      </w:divBdr>
    </w:div>
    <w:div w:id="656999653">
      <w:bodyDiv w:val="1"/>
      <w:marLeft w:val="0"/>
      <w:marRight w:val="0"/>
      <w:marTop w:val="0"/>
      <w:marBottom w:val="0"/>
      <w:divBdr>
        <w:top w:val="none" w:sz="0" w:space="0" w:color="auto"/>
        <w:left w:val="none" w:sz="0" w:space="0" w:color="auto"/>
        <w:bottom w:val="none" w:sz="0" w:space="0" w:color="auto"/>
        <w:right w:val="none" w:sz="0" w:space="0" w:color="auto"/>
      </w:divBdr>
    </w:div>
    <w:div w:id="663093373">
      <w:bodyDiv w:val="1"/>
      <w:marLeft w:val="0"/>
      <w:marRight w:val="0"/>
      <w:marTop w:val="0"/>
      <w:marBottom w:val="0"/>
      <w:divBdr>
        <w:top w:val="none" w:sz="0" w:space="0" w:color="auto"/>
        <w:left w:val="none" w:sz="0" w:space="0" w:color="auto"/>
        <w:bottom w:val="none" w:sz="0" w:space="0" w:color="auto"/>
        <w:right w:val="none" w:sz="0" w:space="0" w:color="auto"/>
      </w:divBdr>
    </w:div>
    <w:div w:id="689525594">
      <w:bodyDiv w:val="1"/>
      <w:marLeft w:val="0"/>
      <w:marRight w:val="0"/>
      <w:marTop w:val="0"/>
      <w:marBottom w:val="0"/>
      <w:divBdr>
        <w:top w:val="none" w:sz="0" w:space="0" w:color="auto"/>
        <w:left w:val="none" w:sz="0" w:space="0" w:color="auto"/>
        <w:bottom w:val="none" w:sz="0" w:space="0" w:color="auto"/>
        <w:right w:val="none" w:sz="0" w:space="0" w:color="auto"/>
      </w:divBdr>
    </w:div>
    <w:div w:id="737827369">
      <w:bodyDiv w:val="1"/>
      <w:marLeft w:val="0"/>
      <w:marRight w:val="0"/>
      <w:marTop w:val="0"/>
      <w:marBottom w:val="0"/>
      <w:divBdr>
        <w:top w:val="none" w:sz="0" w:space="0" w:color="auto"/>
        <w:left w:val="none" w:sz="0" w:space="0" w:color="auto"/>
        <w:bottom w:val="none" w:sz="0" w:space="0" w:color="auto"/>
        <w:right w:val="none" w:sz="0" w:space="0" w:color="auto"/>
      </w:divBdr>
    </w:div>
    <w:div w:id="793720151">
      <w:bodyDiv w:val="1"/>
      <w:marLeft w:val="0"/>
      <w:marRight w:val="0"/>
      <w:marTop w:val="0"/>
      <w:marBottom w:val="0"/>
      <w:divBdr>
        <w:top w:val="none" w:sz="0" w:space="0" w:color="auto"/>
        <w:left w:val="none" w:sz="0" w:space="0" w:color="auto"/>
        <w:bottom w:val="none" w:sz="0" w:space="0" w:color="auto"/>
        <w:right w:val="none" w:sz="0" w:space="0" w:color="auto"/>
      </w:divBdr>
    </w:div>
    <w:div w:id="885218293">
      <w:bodyDiv w:val="1"/>
      <w:marLeft w:val="0"/>
      <w:marRight w:val="0"/>
      <w:marTop w:val="0"/>
      <w:marBottom w:val="0"/>
      <w:divBdr>
        <w:top w:val="none" w:sz="0" w:space="0" w:color="auto"/>
        <w:left w:val="none" w:sz="0" w:space="0" w:color="auto"/>
        <w:bottom w:val="none" w:sz="0" w:space="0" w:color="auto"/>
        <w:right w:val="none" w:sz="0" w:space="0" w:color="auto"/>
      </w:divBdr>
    </w:div>
    <w:div w:id="1015881848">
      <w:bodyDiv w:val="1"/>
      <w:marLeft w:val="0"/>
      <w:marRight w:val="0"/>
      <w:marTop w:val="0"/>
      <w:marBottom w:val="0"/>
      <w:divBdr>
        <w:top w:val="none" w:sz="0" w:space="0" w:color="auto"/>
        <w:left w:val="none" w:sz="0" w:space="0" w:color="auto"/>
        <w:bottom w:val="none" w:sz="0" w:space="0" w:color="auto"/>
        <w:right w:val="none" w:sz="0" w:space="0" w:color="auto"/>
      </w:divBdr>
    </w:div>
    <w:div w:id="1540045155">
      <w:bodyDiv w:val="1"/>
      <w:marLeft w:val="0"/>
      <w:marRight w:val="0"/>
      <w:marTop w:val="0"/>
      <w:marBottom w:val="0"/>
      <w:divBdr>
        <w:top w:val="none" w:sz="0" w:space="0" w:color="auto"/>
        <w:left w:val="none" w:sz="0" w:space="0" w:color="auto"/>
        <w:bottom w:val="none" w:sz="0" w:space="0" w:color="auto"/>
        <w:right w:val="none" w:sz="0" w:space="0" w:color="auto"/>
      </w:divBdr>
    </w:div>
    <w:div w:id="1602493016">
      <w:bodyDiv w:val="1"/>
      <w:marLeft w:val="0"/>
      <w:marRight w:val="0"/>
      <w:marTop w:val="0"/>
      <w:marBottom w:val="0"/>
      <w:divBdr>
        <w:top w:val="none" w:sz="0" w:space="0" w:color="auto"/>
        <w:left w:val="none" w:sz="0" w:space="0" w:color="auto"/>
        <w:bottom w:val="none" w:sz="0" w:space="0" w:color="auto"/>
        <w:right w:val="none" w:sz="0" w:space="0" w:color="auto"/>
      </w:divBdr>
    </w:div>
    <w:div w:id="1604457535">
      <w:bodyDiv w:val="1"/>
      <w:marLeft w:val="0"/>
      <w:marRight w:val="0"/>
      <w:marTop w:val="0"/>
      <w:marBottom w:val="0"/>
      <w:divBdr>
        <w:top w:val="none" w:sz="0" w:space="0" w:color="auto"/>
        <w:left w:val="none" w:sz="0" w:space="0" w:color="auto"/>
        <w:bottom w:val="none" w:sz="0" w:space="0" w:color="auto"/>
        <w:right w:val="none" w:sz="0" w:space="0" w:color="auto"/>
      </w:divBdr>
    </w:div>
    <w:div w:id="21412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0203-CC27-499D-A874-64C1786E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6998</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2016-06-22T23:33:00Z</dcterms:created>
  <dcterms:modified xsi:type="dcterms:W3CDTF">2016-06-22T23:36:00Z</dcterms:modified>
</cp:coreProperties>
</file>