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65AC7" w:rsidRDefault="002159FA" w:rsidP="00565AC7">
      <w:pPr>
        <w:pStyle w:val="Title"/>
      </w:pPr>
      <w:r w:rsidRPr="00565AC7">
        <w:t>7.02</w:t>
      </w:r>
      <w:r w:rsidR="007C0F57" w:rsidRPr="00565AC7">
        <w:tab/>
      </w:r>
      <w:r w:rsidR="00B71DD7" w:rsidRPr="00565AC7">
        <w:t>ADALIMUMAB,</w:t>
      </w:r>
    </w:p>
    <w:p w:rsidR="00B71DD7" w:rsidRPr="00565AC7" w:rsidRDefault="00B71DD7" w:rsidP="00565AC7">
      <w:pPr>
        <w:pStyle w:val="Title"/>
        <w:ind w:firstLine="0"/>
      </w:pPr>
      <w:r w:rsidRPr="00565AC7">
        <w:t xml:space="preserve">40 mg in 0.8 mL pre-filled syringe, </w:t>
      </w:r>
    </w:p>
    <w:p w:rsidR="00C27B58" w:rsidRPr="00565AC7" w:rsidRDefault="00B71DD7" w:rsidP="00565AC7">
      <w:pPr>
        <w:pStyle w:val="Title"/>
        <w:ind w:firstLine="0"/>
      </w:pPr>
      <w:r w:rsidRPr="00565AC7">
        <w:t>40 mg in 0.8 mL pre-filled pen,</w:t>
      </w:r>
    </w:p>
    <w:p w:rsidR="00D3280C" w:rsidRPr="00565AC7" w:rsidRDefault="00B71DD7" w:rsidP="00565AC7">
      <w:pPr>
        <w:pStyle w:val="Title"/>
        <w:ind w:firstLine="0"/>
      </w:pPr>
      <w:proofErr w:type="spellStart"/>
      <w:r w:rsidRPr="00565AC7">
        <w:t>Humira</w:t>
      </w:r>
      <w:proofErr w:type="spellEnd"/>
      <w:r w:rsidR="0004240E" w:rsidRPr="00565AC7">
        <w:t>®</w:t>
      </w:r>
      <w:r w:rsidR="00EF44A0" w:rsidRPr="00565AC7">
        <w:t xml:space="preserve">, </w:t>
      </w:r>
      <w:proofErr w:type="spellStart"/>
      <w:r w:rsidRPr="00565AC7">
        <w:t>Abbvie</w:t>
      </w:r>
      <w:proofErr w:type="spellEnd"/>
      <w:r w:rsidRPr="00565AC7">
        <w:t xml:space="preserve"> Pty Ltd</w:t>
      </w:r>
    </w:p>
    <w:p w:rsidR="00CE10C4" w:rsidRPr="00443075" w:rsidRDefault="00CE10C4" w:rsidP="00322E23">
      <w:pPr>
        <w:pStyle w:val="NoSpacing"/>
      </w:pPr>
    </w:p>
    <w:p w:rsidR="00C27B58" w:rsidRPr="00443075" w:rsidRDefault="00C27B58" w:rsidP="00322E23">
      <w:pPr>
        <w:pStyle w:val="NoSpacing"/>
      </w:pPr>
    </w:p>
    <w:p w:rsidR="00CE10C4" w:rsidRPr="00565AC7" w:rsidRDefault="00CE10C4" w:rsidP="00565AC7">
      <w:pPr>
        <w:pStyle w:val="Heading1"/>
      </w:pPr>
      <w:r w:rsidRPr="00565AC7">
        <w:t xml:space="preserve">Purpose of </w:t>
      </w:r>
      <w:r w:rsidR="0004240E" w:rsidRPr="00565AC7">
        <w:t>Application</w:t>
      </w:r>
    </w:p>
    <w:p w:rsidR="006A12A5" w:rsidRPr="00443075" w:rsidRDefault="006A12A5" w:rsidP="00322E23">
      <w:pPr>
        <w:jc w:val="both"/>
        <w:rPr>
          <w:rFonts w:ascii="Arial" w:hAnsi="Arial"/>
          <w:sz w:val="22"/>
          <w:szCs w:val="22"/>
        </w:rPr>
      </w:pPr>
    </w:p>
    <w:p w:rsidR="001258BD" w:rsidRPr="00443075" w:rsidRDefault="00EF44A0" w:rsidP="00322E23">
      <w:pPr>
        <w:pStyle w:val="ListParagraph"/>
        <w:numPr>
          <w:ilvl w:val="1"/>
          <w:numId w:val="1"/>
        </w:numPr>
        <w:jc w:val="both"/>
        <w:rPr>
          <w:rFonts w:ascii="Arial" w:hAnsi="Arial"/>
          <w:sz w:val="22"/>
          <w:szCs w:val="22"/>
        </w:rPr>
      </w:pPr>
      <w:r w:rsidRPr="00443075">
        <w:rPr>
          <w:rFonts w:ascii="Arial" w:hAnsi="Arial"/>
          <w:sz w:val="22"/>
          <w:szCs w:val="22"/>
        </w:rPr>
        <w:t xml:space="preserve">The minor </w:t>
      </w:r>
      <w:r w:rsidR="00204EFD" w:rsidRPr="00443075">
        <w:rPr>
          <w:rFonts w:ascii="Arial" w:hAnsi="Arial"/>
          <w:sz w:val="22"/>
          <w:szCs w:val="22"/>
        </w:rPr>
        <w:t>re-</w:t>
      </w:r>
      <w:r w:rsidRPr="00443075">
        <w:rPr>
          <w:rFonts w:ascii="Arial" w:hAnsi="Arial"/>
          <w:sz w:val="22"/>
          <w:szCs w:val="22"/>
        </w:rPr>
        <w:t>submission s</w:t>
      </w:r>
      <w:r w:rsidR="00204EFD" w:rsidRPr="00443075">
        <w:rPr>
          <w:rFonts w:ascii="Arial" w:hAnsi="Arial"/>
          <w:sz w:val="22"/>
          <w:szCs w:val="22"/>
        </w:rPr>
        <w:t>ought an</w:t>
      </w:r>
      <w:r w:rsidRPr="00443075">
        <w:rPr>
          <w:rFonts w:ascii="Arial" w:hAnsi="Arial"/>
          <w:sz w:val="22"/>
          <w:szCs w:val="22"/>
        </w:rPr>
        <w:t xml:space="preserve"> </w:t>
      </w:r>
      <w:r w:rsidR="001258BD" w:rsidRPr="00443075">
        <w:rPr>
          <w:rFonts w:ascii="Arial" w:hAnsi="Arial"/>
          <w:sz w:val="22"/>
          <w:szCs w:val="22"/>
        </w:rPr>
        <w:t xml:space="preserve">Authority </w:t>
      </w:r>
      <w:proofErr w:type="gramStart"/>
      <w:r w:rsidR="001258BD" w:rsidRPr="00443075">
        <w:rPr>
          <w:rFonts w:ascii="Arial" w:hAnsi="Arial"/>
          <w:sz w:val="22"/>
          <w:szCs w:val="22"/>
        </w:rPr>
        <w:t>Required</w:t>
      </w:r>
      <w:proofErr w:type="gramEnd"/>
      <w:r w:rsidR="001258BD" w:rsidRPr="00443075">
        <w:rPr>
          <w:rFonts w:ascii="Arial" w:hAnsi="Arial"/>
          <w:sz w:val="22"/>
          <w:szCs w:val="22"/>
        </w:rPr>
        <w:t xml:space="preserve"> listing for </w:t>
      </w:r>
      <w:proofErr w:type="spellStart"/>
      <w:r w:rsidR="001258BD" w:rsidRPr="00443075">
        <w:rPr>
          <w:rFonts w:ascii="Arial" w:hAnsi="Arial"/>
          <w:sz w:val="22"/>
          <w:szCs w:val="22"/>
        </w:rPr>
        <w:t>adalimumab</w:t>
      </w:r>
      <w:proofErr w:type="spellEnd"/>
      <w:r w:rsidR="001258BD" w:rsidRPr="00443075">
        <w:rPr>
          <w:rFonts w:ascii="Arial" w:hAnsi="Arial"/>
          <w:sz w:val="22"/>
          <w:szCs w:val="22"/>
        </w:rPr>
        <w:t xml:space="preserve"> for the initial treatment of moderate</w:t>
      </w:r>
      <w:r w:rsidR="001258BD" w:rsidRPr="00443075">
        <w:rPr>
          <w:rFonts w:ascii="Arial" w:hAnsi="Arial"/>
          <w:sz w:val="22"/>
          <w:szCs w:val="22"/>
        </w:rPr>
        <w:noBreakHyphen/>
        <w:t>to</w:t>
      </w:r>
      <w:r w:rsidR="001258BD" w:rsidRPr="00443075">
        <w:rPr>
          <w:rFonts w:ascii="Arial" w:hAnsi="Arial"/>
          <w:sz w:val="22"/>
          <w:szCs w:val="22"/>
        </w:rPr>
        <w:noBreakHyphen/>
        <w:t xml:space="preserve">severe </w:t>
      </w:r>
      <w:r w:rsidR="00A05F6B" w:rsidRPr="00443075">
        <w:rPr>
          <w:rFonts w:ascii="Arial" w:hAnsi="Arial"/>
          <w:sz w:val="22"/>
          <w:szCs w:val="22"/>
        </w:rPr>
        <w:t>h</w:t>
      </w:r>
      <w:r w:rsidR="001258BD" w:rsidRPr="00443075">
        <w:rPr>
          <w:rFonts w:ascii="Arial" w:hAnsi="Arial"/>
          <w:sz w:val="22"/>
          <w:szCs w:val="22"/>
        </w:rPr>
        <w:t xml:space="preserve">idradenitis </w:t>
      </w:r>
      <w:proofErr w:type="spellStart"/>
      <w:r w:rsidR="00A05F6B" w:rsidRPr="00443075">
        <w:rPr>
          <w:rFonts w:ascii="Arial" w:hAnsi="Arial"/>
          <w:sz w:val="22"/>
          <w:szCs w:val="22"/>
        </w:rPr>
        <w:t>s</w:t>
      </w:r>
      <w:r w:rsidR="001258BD" w:rsidRPr="00443075">
        <w:rPr>
          <w:rFonts w:ascii="Arial" w:hAnsi="Arial"/>
          <w:sz w:val="22"/>
          <w:szCs w:val="22"/>
        </w:rPr>
        <w:t>uppurativa</w:t>
      </w:r>
      <w:proofErr w:type="spellEnd"/>
      <w:r w:rsidR="001258BD" w:rsidRPr="00443075">
        <w:rPr>
          <w:rFonts w:ascii="Arial" w:hAnsi="Arial"/>
          <w:sz w:val="22"/>
          <w:szCs w:val="22"/>
        </w:rPr>
        <w:t xml:space="preserve"> (HS) and </w:t>
      </w:r>
      <w:r w:rsidR="00D3784C" w:rsidRPr="00443075">
        <w:rPr>
          <w:rFonts w:ascii="Arial" w:hAnsi="Arial"/>
          <w:sz w:val="22"/>
          <w:szCs w:val="22"/>
        </w:rPr>
        <w:t>Authority Required (</w:t>
      </w:r>
      <w:r w:rsidR="001258BD" w:rsidRPr="005F21BB">
        <w:rPr>
          <w:rFonts w:ascii="Arial" w:hAnsi="Arial"/>
          <w:caps/>
          <w:sz w:val="22"/>
          <w:szCs w:val="22"/>
        </w:rPr>
        <w:t>Streamlined</w:t>
      </w:r>
      <w:r w:rsidR="00D3784C" w:rsidRPr="00443075">
        <w:rPr>
          <w:rFonts w:ascii="Arial" w:hAnsi="Arial"/>
          <w:sz w:val="22"/>
          <w:szCs w:val="22"/>
        </w:rPr>
        <w:t>)</w:t>
      </w:r>
      <w:r w:rsidR="001258BD" w:rsidRPr="00443075">
        <w:rPr>
          <w:rFonts w:ascii="Arial" w:hAnsi="Arial"/>
          <w:sz w:val="22"/>
          <w:szCs w:val="22"/>
        </w:rPr>
        <w:t xml:space="preserve"> listing for subsequent continuation of HS.</w:t>
      </w:r>
    </w:p>
    <w:p w:rsidR="00F9629A" w:rsidRPr="00443075" w:rsidRDefault="00F9629A" w:rsidP="00A655FB">
      <w:pPr>
        <w:pStyle w:val="NoSpacing"/>
      </w:pPr>
    </w:p>
    <w:p w:rsidR="00EF44A0" w:rsidRPr="00443075" w:rsidRDefault="00EF44A0" w:rsidP="00087B7E">
      <w:pPr>
        <w:pStyle w:val="NoSpacing"/>
      </w:pPr>
    </w:p>
    <w:p w:rsidR="00614159" w:rsidRPr="00443075" w:rsidRDefault="006A12A5" w:rsidP="00565AC7">
      <w:pPr>
        <w:pStyle w:val="Heading1"/>
      </w:pPr>
      <w:r w:rsidRPr="00443075">
        <w:t>Requested listing</w:t>
      </w:r>
    </w:p>
    <w:p w:rsidR="006A12A5" w:rsidRPr="00443075" w:rsidRDefault="006A12A5">
      <w:pPr>
        <w:jc w:val="both"/>
        <w:rPr>
          <w:rFonts w:ascii="Arial" w:hAnsi="Arial"/>
          <w:b/>
          <w:sz w:val="22"/>
          <w:szCs w:val="22"/>
        </w:rPr>
      </w:pPr>
    </w:p>
    <w:p w:rsidR="00204EFD" w:rsidRPr="00443075" w:rsidRDefault="00EF44A0" w:rsidP="007926ED">
      <w:pPr>
        <w:pStyle w:val="ListParagraph"/>
        <w:numPr>
          <w:ilvl w:val="1"/>
          <w:numId w:val="1"/>
        </w:numPr>
        <w:jc w:val="both"/>
        <w:rPr>
          <w:rFonts w:ascii="Arial" w:hAnsi="Arial"/>
          <w:sz w:val="22"/>
          <w:szCs w:val="22"/>
        </w:rPr>
      </w:pPr>
      <w:r w:rsidRPr="00443075">
        <w:rPr>
          <w:rFonts w:ascii="Arial" w:hAnsi="Arial"/>
          <w:sz w:val="22"/>
          <w:szCs w:val="22"/>
        </w:rPr>
        <w:t xml:space="preserve">The </w:t>
      </w:r>
      <w:r w:rsidR="00CF5775" w:rsidRPr="00443075">
        <w:rPr>
          <w:rFonts w:ascii="Arial" w:hAnsi="Arial"/>
          <w:sz w:val="22"/>
          <w:szCs w:val="22"/>
        </w:rPr>
        <w:t xml:space="preserve">minor </w:t>
      </w:r>
      <w:r w:rsidR="00204EFD" w:rsidRPr="00443075">
        <w:rPr>
          <w:rFonts w:ascii="Arial" w:hAnsi="Arial"/>
          <w:sz w:val="22"/>
          <w:szCs w:val="22"/>
        </w:rPr>
        <w:t>re-</w:t>
      </w:r>
      <w:r w:rsidRPr="00443075">
        <w:rPr>
          <w:rFonts w:ascii="Arial" w:hAnsi="Arial"/>
          <w:sz w:val="22"/>
          <w:szCs w:val="22"/>
        </w:rPr>
        <w:t>submission</w:t>
      </w:r>
      <w:r w:rsidR="00204EFD" w:rsidRPr="00443075">
        <w:rPr>
          <w:rFonts w:ascii="Arial" w:hAnsi="Arial"/>
          <w:sz w:val="22"/>
          <w:szCs w:val="22"/>
        </w:rPr>
        <w:t xml:space="preserve"> requested the </w:t>
      </w:r>
      <w:r w:rsidR="00F130B3" w:rsidRPr="00443075">
        <w:rPr>
          <w:rFonts w:ascii="Arial" w:hAnsi="Arial"/>
          <w:sz w:val="22"/>
          <w:szCs w:val="22"/>
        </w:rPr>
        <w:t>following restriction.</w:t>
      </w:r>
    </w:p>
    <w:p w:rsidR="007926ED" w:rsidRPr="00443075" w:rsidRDefault="007926ED" w:rsidP="007926ED">
      <w:pPr>
        <w:pStyle w:val="Body"/>
        <w:keepNext/>
        <w:spacing w:before="0" w:after="0"/>
        <w:rPr>
          <w:rStyle w:val="CommentReference"/>
        </w:rPr>
      </w:pPr>
    </w:p>
    <w:tbl>
      <w:tblPr>
        <w:tblW w:w="4525" w:type="pct"/>
        <w:tblInd w:w="817" w:type="dxa"/>
        <w:tblLayout w:type="fixed"/>
        <w:tblLook w:val="0000" w:firstRow="0" w:lastRow="0" w:firstColumn="0" w:lastColumn="0" w:noHBand="0" w:noVBand="0"/>
      </w:tblPr>
      <w:tblGrid>
        <w:gridCol w:w="2785"/>
        <w:gridCol w:w="627"/>
        <w:gridCol w:w="627"/>
        <w:gridCol w:w="1915"/>
        <w:gridCol w:w="1094"/>
        <w:gridCol w:w="1316"/>
      </w:tblGrid>
      <w:tr w:rsidR="007926ED" w:rsidRPr="00443075" w:rsidTr="007926ED">
        <w:trPr>
          <w:cantSplit/>
          <w:trHeight w:val="471"/>
        </w:trPr>
        <w:tc>
          <w:tcPr>
            <w:tcW w:w="1664" w:type="pct"/>
            <w:tcBorders>
              <w:bottom w:val="single" w:sz="4" w:space="0" w:color="auto"/>
            </w:tcBorders>
          </w:tcPr>
          <w:p w:rsidR="007926ED" w:rsidRPr="00443075" w:rsidRDefault="007926ED" w:rsidP="007926ED">
            <w:pPr>
              <w:keepNext/>
              <w:ind w:left="-108"/>
              <w:jc w:val="both"/>
              <w:rPr>
                <w:rFonts w:ascii="Arial Narrow" w:hAnsi="Arial Narrow" w:cs="Arial"/>
                <w:b/>
                <w:sz w:val="20"/>
                <w:szCs w:val="20"/>
              </w:rPr>
            </w:pPr>
            <w:r w:rsidRPr="00443075">
              <w:rPr>
                <w:rFonts w:ascii="Arial Narrow" w:hAnsi="Arial Narrow" w:cs="Arial"/>
                <w:b/>
                <w:sz w:val="20"/>
                <w:szCs w:val="20"/>
              </w:rPr>
              <w:t>Name, Restriction,</w:t>
            </w:r>
          </w:p>
          <w:p w:rsidR="007926ED" w:rsidRPr="00443075" w:rsidRDefault="007926ED" w:rsidP="007926ED">
            <w:pPr>
              <w:keepNext/>
              <w:ind w:left="-108"/>
              <w:jc w:val="both"/>
              <w:rPr>
                <w:rFonts w:ascii="Arial Narrow" w:hAnsi="Arial Narrow" w:cs="Arial"/>
                <w:b/>
                <w:sz w:val="20"/>
                <w:szCs w:val="20"/>
              </w:rPr>
            </w:pPr>
            <w:r w:rsidRPr="00443075">
              <w:rPr>
                <w:rFonts w:ascii="Arial Narrow" w:hAnsi="Arial Narrow" w:cs="Arial"/>
                <w:b/>
                <w:sz w:val="20"/>
                <w:szCs w:val="20"/>
              </w:rPr>
              <w:t>Manner of administration and form</w:t>
            </w:r>
          </w:p>
        </w:tc>
        <w:tc>
          <w:tcPr>
            <w:tcW w:w="375" w:type="pct"/>
            <w:tcBorders>
              <w:bottom w:val="single" w:sz="4" w:space="0" w:color="auto"/>
            </w:tcBorders>
          </w:tcPr>
          <w:p w:rsidR="007926ED" w:rsidRPr="00443075" w:rsidRDefault="007926ED" w:rsidP="007926ED">
            <w:pPr>
              <w:keepNext/>
              <w:ind w:left="-108"/>
              <w:jc w:val="both"/>
              <w:rPr>
                <w:rFonts w:ascii="Arial Narrow" w:hAnsi="Arial Narrow" w:cs="Arial"/>
                <w:b/>
                <w:sz w:val="20"/>
                <w:szCs w:val="20"/>
              </w:rPr>
            </w:pPr>
            <w:r w:rsidRPr="00443075">
              <w:rPr>
                <w:rFonts w:ascii="Arial Narrow" w:hAnsi="Arial Narrow" w:cs="Arial"/>
                <w:b/>
                <w:sz w:val="20"/>
                <w:szCs w:val="20"/>
              </w:rPr>
              <w:t>Max.</w:t>
            </w:r>
          </w:p>
          <w:p w:rsidR="007926ED" w:rsidRPr="00443075" w:rsidRDefault="007926ED" w:rsidP="007926ED">
            <w:pPr>
              <w:keepNext/>
              <w:ind w:left="-108"/>
              <w:jc w:val="both"/>
              <w:rPr>
                <w:rFonts w:ascii="Arial Narrow" w:hAnsi="Arial Narrow" w:cs="Arial"/>
                <w:b/>
                <w:sz w:val="20"/>
                <w:szCs w:val="20"/>
              </w:rPr>
            </w:pPr>
            <w:proofErr w:type="spellStart"/>
            <w:r w:rsidRPr="00443075">
              <w:rPr>
                <w:rFonts w:ascii="Arial Narrow" w:hAnsi="Arial Narrow" w:cs="Arial"/>
                <w:b/>
                <w:sz w:val="20"/>
                <w:szCs w:val="20"/>
              </w:rPr>
              <w:t>Qty</w:t>
            </w:r>
            <w:proofErr w:type="spellEnd"/>
          </w:p>
        </w:tc>
        <w:tc>
          <w:tcPr>
            <w:tcW w:w="375" w:type="pct"/>
            <w:tcBorders>
              <w:bottom w:val="single" w:sz="4" w:space="0" w:color="auto"/>
            </w:tcBorders>
          </w:tcPr>
          <w:p w:rsidR="007926ED" w:rsidRPr="00443075" w:rsidRDefault="007926ED" w:rsidP="007926ED">
            <w:pPr>
              <w:keepNext/>
              <w:ind w:left="-108"/>
              <w:jc w:val="both"/>
              <w:rPr>
                <w:rFonts w:ascii="Arial Narrow" w:hAnsi="Arial Narrow" w:cs="Arial"/>
                <w:b/>
                <w:sz w:val="20"/>
                <w:szCs w:val="20"/>
              </w:rPr>
            </w:pPr>
            <w:r w:rsidRPr="00443075">
              <w:rPr>
                <w:rFonts w:ascii="Arial Narrow" w:hAnsi="Arial Narrow" w:cs="Arial"/>
                <w:b/>
                <w:sz w:val="20"/>
                <w:szCs w:val="20"/>
              </w:rPr>
              <w:t>№.of</w:t>
            </w:r>
          </w:p>
          <w:p w:rsidR="007926ED" w:rsidRPr="00443075" w:rsidRDefault="007926ED" w:rsidP="007926ED">
            <w:pPr>
              <w:keepNext/>
              <w:ind w:left="-108"/>
              <w:jc w:val="both"/>
              <w:rPr>
                <w:rFonts w:ascii="Arial Narrow" w:hAnsi="Arial Narrow" w:cs="Arial"/>
                <w:b/>
                <w:sz w:val="20"/>
                <w:szCs w:val="20"/>
              </w:rPr>
            </w:pPr>
            <w:proofErr w:type="spellStart"/>
            <w:r w:rsidRPr="00443075">
              <w:rPr>
                <w:rFonts w:ascii="Arial Narrow" w:hAnsi="Arial Narrow" w:cs="Arial"/>
                <w:b/>
                <w:sz w:val="20"/>
                <w:szCs w:val="20"/>
              </w:rPr>
              <w:t>Rpts</w:t>
            </w:r>
            <w:proofErr w:type="spellEnd"/>
          </w:p>
        </w:tc>
        <w:tc>
          <w:tcPr>
            <w:tcW w:w="1145" w:type="pct"/>
            <w:tcBorders>
              <w:bottom w:val="single" w:sz="4" w:space="0" w:color="auto"/>
            </w:tcBorders>
          </w:tcPr>
          <w:p w:rsidR="007926ED" w:rsidRPr="00443075" w:rsidRDefault="007926ED" w:rsidP="007926ED">
            <w:pPr>
              <w:keepNext/>
              <w:ind w:left="-108"/>
              <w:rPr>
                <w:rFonts w:ascii="Arial Narrow" w:hAnsi="Arial Narrow" w:cs="Arial"/>
                <w:b/>
                <w:sz w:val="20"/>
                <w:szCs w:val="20"/>
              </w:rPr>
            </w:pPr>
            <w:r w:rsidRPr="00443075">
              <w:rPr>
                <w:rFonts w:ascii="Arial Narrow" w:hAnsi="Arial Narrow" w:cs="Arial"/>
                <w:b/>
                <w:sz w:val="20"/>
                <w:szCs w:val="20"/>
              </w:rPr>
              <w:t xml:space="preserve">Dispensed Price for Max. </w:t>
            </w:r>
            <w:proofErr w:type="spellStart"/>
            <w:r w:rsidRPr="00443075">
              <w:rPr>
                <w:rFonts w:ascii="Arial Narrow" w:hAnsi="Arial Narrow" w:cs="Arial"/>
                <w:b/>
                <w:sz w:val="20"/>
                <w:szCs w:val="20"/>
              </w:rPr>
              <w:t>Qty</w:t>
            </w:r>
            <w:proofErr w:type="spellEnd"/>
          </w:p>
        </w:tc>
        <w:tc>
          <w:tcPr>
            <w:tcW w:w="1441" w:type="pct"/>
            <w:gridSpan w:val="2"/>
            <w:tcBorders>
              <w:bottom w:val="single" w:sz="4" w:space="0" w:color="auto"/>
            </w:tcBorders>
          </w:tcPr>
          <w:p w:rsidR="007926ED" w:rsidRPr="00443075" w:rsidRDefault="007926ED" w:rsidP="007926ED">
            <w:pPr>
              <w:keepNext/>
              <w:jc w:val="both"/>
              <w:rPr>
                <w:rFonts w:ascii="Arial Narrow" w:hAnsi="Arial Narrow" w:cs="Arial"/>
                <w:b/>
                <w:sz w:val="20"/>
                <w:szCs w:val="20"/>
              </w:rPr>
            </w:pPr>
            <w:r w:rsidRPr="00443075">
              <w:rPr>
                <w:rFonts w:ascii="Arial Narrow" w:hAnsi="Arial Narrow" w:cs="Arial"/>
                <w:b/>
                <w:sz w:val="20"/>
                <w:szCs w:val="20"/>
              </w:rPr>
              <w:t>Proprietary Name and Manufacturer</w:t>
            </w:r>
          </w:p>
        </w:tc>
      </w:tr>
      <w:tr w:rsidR="007926ED" w:rsidRPr="00443075" w:rsidTr="007926ED">
        <w:trPr>
          <w:cantSplit/>
          <w:trHeight w:val="577"/>
        </w:trPr>
        <w:tc>
          <w:tcPr>
            <w:tcW w:w="1664" w:type="pct"/>
          </w:tcPr>
          <w:p w:rsidR="007926ED" w:rsidRPr="00443075" w:rsidRDefault="007926ED" w:rsidP="007926ED">
            <w:pPr>
              <w:keepNext/>
              <w:ind w:left="-108"/>
              <w:jc w:val="both"/>
              <w:rPr>
                <w:rFonts w:ascii="Arial Narrow" w:hAnsi="Arial Narrow" w:cs="Arial"/>
                <w:sz w:val="20"/>
                <w:szCs w:val="20"/>
              </w:rPr>
            </w:pPr>
            <w:r w:rsidRPr="00443075">
              <w:rPr>
                <w:rFonts w:ascii="Arial Narrow" w:hAnsi="Arial Narrow" w:cs="Arial"/>
                <w:smallCaps/>
                <w:sz w:val="20"/>
                <w:szCs w:val="20"/>
              </w:rPr>
              <w:t>ADALIMUMAB</w:t>
            </w:r>
          </w:p>
          <w:p w:rsidR="007926ED" w:rsidRPr="00443075" w:rsidRDefault="007926ED" w:rsidP="007926ED">
            <w:pPr>
              <w:keepNext/>
              <w:ind w:left="-108"/>
              <w:jc w:val="both"/>
              <w:rPr>
                <w:rFonts w:ascii="Arial Narrow" w:hAnsi="Arial Narrow" w:cs="Arial"/>
                <w:sz w:val="20"/>
                <w:szCs w:val="20"/>
              </w:rPr>
            </w:pPr>
            <w:r w:rsidRPr="00443075">
              <w:rPr>
                <w:rFonts w:ascii="Arial Narrow" w:hAnsi="Arial Narrow" w:cs="Arial"/>
                <w:sz w:val="20"/>
                <w:szCs w:val="20"/>
              </w:rPr>
              <w:t xml:space="preserve">Injection, 40 mg in 0.8 mL pre-filled syringe </w:t>
            </w:r>
          </w:p>
          <w:p w:rsidR="007926ED" w:rsidRPr="00443075" w:rsidRDefault="007926ED" w:rsidP="007926ED">
            <w:pPr>
              <w:keepNext/>
              <w:ind w:left="-108"/>
              <w:jc w:val="both"/>
              <w:rPr>
                <w:rFonts w:ascii="Arial Narrow" w:hAnsi="Arial Narrow" w:cs="Arial"/>
                <w:sz w:val="20"/>
                <w:szCs w:val="20"/>
              </w:rPr>
            </w:pPr>
            <w:r w:rsidRPr="00443075">
              <w:rPr>
                <w:rFonts w:ascii="Arial Narrow" w:hAnsi="Arial Narrow" w:cs="Arial"/>
                <w:sz w:val="20"/>
                <w:szCs w:val="20"/>
              </w:rPr>
              <w:t>Injection, 40 mg in 0.8 mL pre-filled pen</w:t>
            </w:r>
          </w:p>
        </w:tc>
        <w:tc>
          <w:tcPr>
            <w:tcW w:w="375" w:type="pct"/>
          </w:tcPr>
          <w:p w:rsidR="007926ED" w:rsidRPr="00443075" w:rsidRDefault="007926ED" w:rsidP="007926ED">
            <w:pPr>
              <w:keepNext/>
              <w:ind w:left="-108"/>
              <w:jc w:val="both"/>
              <w:rPr>
                <w:rFonts w:ascii="Arial Narrow" w:hAnsi="Arial Narrow" w:cs="Arial"/>
                <w:sz w:val="20"/>
                <w:szCs w:val="20"/>
              </w:rPr>
            </w:pPr>
          </w:p>
          <w:p w:rsidR="007926ED" w:rsidRPr="00443075" w:rsidRDefault="007926ED" w:rsidP="007926ED">
            <w:pPr>
              <w:keepNext/>
              <w:ind w:left="-108"/>
              <w:jc w:val="both"/>
              <w:rPr>
                <w:rFonts w:ascii="Arial Narrow" w:hAnsi="Arial Narrow" w:cs="Arial"/>
                <w:sz w:val="20"/>
                <w:szCs w:val="20"/>
              </w:rPr>
            </w:pPr>
            <w:r w:rsidRPr="00443075">
              <w:rPr>
                <w:rFonts w:ascii="Arial Narrow" w:hAnsi="Arial Narrow" w:cs="Arial"/>
                <w:sz w:val="20"/>
                <w:szCs w:val="20"/>
              </w:rPr>
              <w:t>6</w:t>
            </w:r>
          </w:p>
        </w:tc>
        <w:tc>
          <w:tcPr>
            <w:tcW w:w="375" w:type="pct"/>
          </w:tcPr>
          <w:p w:rsidR="007926ED" w:rsidRPr="00443075" w:rsidRDefault="007926ED" w:rsidP="007926ED">
            <w:pPr>
              <w:keepNext/>
              <w:ind w:left="-108"/>
              <w:jc w:val="both"/>
              <w:rPr>
                <w:rFonts w:ascii="Arial Narrow" w:hAnsi="Arial Narrow" w:cs="Arial"/>
                <w:sz w:val="20"/>
                <w:szCs w:val="20"/>
              </w:rPr>
            </w:pPr>
          </w:p>
          <w:p w:rsidR="007926ED" w:rsidRPr="00443075" w:rsidRDefault="007926ED" w:rsidP="007926ED">
            <w:pPr>
              <w:keepNext/>
              <w:ind w:left="-108"/>
              <w:jc w:val="both"/>
              <w:rPr>
                <w:rFonts w:ascii="Arial Narrow" w:hAnsi="Arial Narrow" w:cs="Arial"/>
                <w:sz w:val="20"/>
                <w:szCs w:val="20"/>
              </w:rPr>
            </w:pPr>
            <w:r w:rsidRPr="00443075">
              <w:rPr>
                <w:rFonts w:ascii="Arial Narrow" w:hAnsi="Arial Narrow" w:cs="Arial"/>
                <w:sz w:val="20"/>
                <w:szCs w:val="20"/>
              </w:rPr>
              <w:t>0</w:t>
            </w:r>
          </w:p>
        </w:tc>
        <w:tc>
          <w:tcPr>
            <w:tcW w:w="1145" w:type="pct"/>
          </w:tcPr>
          <w:p w:rsidR="007926ED" w:rsidRPr="00443075" w:rsidRDefault="007926ED" w:rsidP="007926ED">
            <w:pPr>
              <w:keepNext/>
              <w:ind w:left="-108"/>
              <w:rPr>
                <w:rFonts w:ascii="Arial Narrow" w:hAnsi="Arial Narrow" w:cs="Arial"/>
                <w:sz w:val="20"/>
                <w:szCs w:val="20"/>
              </w:rPr>
            </w:pPr>
          </w:p>
          <w:p w:rsidR="007926ED" w:rsidRPr="00443075" w:rsidRDefault="007926ED" w:rsidP="007926ED">
            <w:pPr>
              <w:keepNext/>
              <w:ind w:left="-108"/>
              <w:rPr>
                <w:rFonts w:ascii="Arial Narrow" w:hAnsi="Arial Narrow" w:cs="Arial"/>
                <w:sz w:val="20"/>
                <w:szCs w:val="20"/>
              </w:rPr>
            </w:pPr>
            <w:r w:rsidRPr="00443075">
              <w:rPr>
                <w:rFonts w:ascii="Arial Narrow" w:hAnsi="Arial Narrow" w:cs="Arial"/>
                <w:sz w:val="20"/>
                <w:szCs w:val="20"/>
              </w:rPr>
              <w:t xml:space="preserve">Effective price </w:t>
            </w:r>
          </w:p>
          <w:p w:rsidR="007926ED" w:rsidRPr="00443075" w:rsidRDefault="007926ED" w:rsidP="007926ED">
            <w:pPr>
              <w:keepNext/>
              <w:ind w:left="-108"/>
              <w:rPr>
                <w:rFonts w:ascii="Arial Narrow" w:hAnsi="Arial Narrow" w:cs="Arial"/>
                <w:sz w:val="20"/>
                <w:szCs w:val="20"/>
              </w:rPr>
            </w:pPr>
            <w:r w:rsidRPr="00443075">
              <w:rPr>
                <w:rFonts w:ascii="Arial Narrow" w:hAnsi="Arial Narrow" w:cs="Arial"/>
                <w:sz w:val="20"/>
                <w:szCs w:val="20"/>
              </w:rPr>
              <w:t>$</w:t>
            </w:r>
            <w:r w:rsidR="00565AC7">
              <w:rPr>
                <w:rFonts w:ascii="Arial Narrow" w:hAnsi="Arial Narrow" w:cs="Arial"/>
                <w:noProof/>
                <w:color w:val="000000"/>
                <w:sz w:val="20"/>
                <w:szCs w:val="20"/>
                <w:highlight w:val="black"/>
              </w:rPr>
              <w:t>'''''''''''''''''''''''</w:t>
            </w:r>
          </w:p>
          <w:p w:rsidR="007926ED" w:rsidRPr="00443075" w:rsidRDefault="007926ED" w:rsidP="007926ED">
            <w:pPr>
              <w:keepNext/>
              <w:ind w:left="-108"/>
              <w:rPr>
                <w:rFonts w:ascii="Arial Narrow" w:hAnsi="Arial Narrow" w:cs="Arial"/>
                <w:sz w:val="20"/>
                <w:szCs w:val="20"/>
              </w:rPr>
            </w:pPr>
            <w:r w:rsidRPr="00443075">
              <w:rPr>
                <w:rFonts w:ascii="Arial Narrow" w:hAnsi="Arial Narrow" w:cs="Arial"/>
                <w:sz w:val="20"/>
                <w:szCs w:val="20"/>
              </w:rPr>
              <w:t>Public price</w:t>
            </w:r>
          </w:p>
          <w:p w:rsidR="007926ED" w:rsidRPr="00443075" w:rsidRDefault="007926ED" w:rsidP="007926ED">
            <w:pPr>
              <w:keepNext/>
              <w:ind w:left="-108"/>
              <w:rPr>
                <w:rFonts w:ascii="Arial Narrow" w:hAnsi="Arial Narrow" w:cs="Arial"/>
                <w:sz w:val="20"/>
                <w:szCs w:val="20"/>
              </w:rPr>
            </w:pPr>
            <w:r w:rsidRPr="00443075">
              <w:rPr>
                <w:rFonts w:ascii="Arial Narrow" w:hAnsi="Arial Narrow" w:cs="Arial"/>
                <w:sz w:val="20"/>
                <w:szCs w:val="20"/>
              </w:rPr>
              <w:t>$4,792.37</w:t>
            </w:r>
          </w:p>
        </w:tc>
        <w:tc>
          <w:tcPr>
            <w:tcW w:w="654" w:type="pct"/>
          </w:tcPr>
          <w:p w:rsidR="007926ED" w:rsidRPr="00443075" w:rsidRDefault="007926ED" w:rsidP="007926ED">
            <w:pPr>
              <w:keepNext/>
              <w:jc w:val="both"/>
              <w:rPr>
                <w:rFonts w:ascii="Arial Narrow" w:hAnsi="Arial Narrow" w:cs="Arial"/>
                <w:sz w:val="20"/>
                <w:szCs w:val="20"/>
              </w:rPr>
            </w:pPr>
          </w:p>
          <w:p w:rsidR="007926ED" w:rsidRPr="00443075" w:rsidRDefault="007926ED" w:rsidP="007926ED">
            <w:pPr>
              <w:keepNext/>
              <w:jc w:val="both"/>
              <w:rPr>
                <w:rFonts w:ascii="Arial Narrow" w:hAnsi="Arial Narrow" w:cs="Arial"/>
                <w:sz w:val="20"/>
                <w:szCs w:val="20"/>
              </w:rPr>
            </w:pPr>
            <w:r w:rsidRPr="00443075">
              <w:rPr>
                <w:rFonts w:ascii="Arial Narrow" w:hAnsi="Arial Narrow" w:cs="Arial"/>
                <w:sz w:val="20"/>
                <w:szCs w:val="20"/>
              </w:rPr>
              <w:t>HUMIRA®</w:t>
            </w:r>
          </w:p>
        </w:tc>
        <w:tc>
          <w:tcPr>
            <w:tcW w:w="787" w:type="pct"/>
          </w:tcPr>
          <w:p w:rsidR="007926ED" w:rsidRPr="00443075" w:rsidRDefault="007926ED" w:rsidP="007926ED">
            <w:pPr>
              <w:keepNext/>
              <w:jc w:val="both"/>
              <w:rPr>
                <w:rFonts w:ascii="Arial Narrow" w:hAnsi="Arial Narrow" w:cs="Arial"/>
                <w:sz w:val="20"/>
                <w:szCs w:val="20"/>
              </w:rPr>
            </w:pPr>
          </w:p>
          <w:p w:rsidR="007926ED" w:rsidRPr="00443075" w:rsidRDefault="007926ED" w:rsidP="007926ED">
            <w:pPr>
              <w:keepNext/>
              <w:tabs>
                <w:tab w:val="left" w:pos="1100"/>
              </w:tabs>
              <w:jc w:val="both"/>
              <w:rPr>
                <w:rFonts w:ascii="Arial Narrow" w:hAnsi="Arial Narrow" w:cs="Arial"/>
                <w:sz w:val="20"/>
                <w:szCs w:val="20"/>
              </w:rPr>
            </w:pPr>
            <w:proofErr w:type="spellStart"/>
            <w:r w:rsidRPr="00443075">
              <w:rPr>
                <w:rFonts w:ascii="Arial Narrow" w:hAnsi="Arial Narrow" w:cs="Arial"/>
                <w:sz w:val="20"/>
                <w:szCs w:val="20"/>
              </w:rPr>
              <w:t>AbbVie</w:t>
            </w:r>
            <w:proofErr w:type="spellEnd"/>
            <w:r w:rsidRPr="00443075">
              <w:rPr>
                <w:rFonts w:ascii="Arial Narrow" w:hAnsi="Arial Narrow" w:cs="Arial"/>
                <w:sz w:val="20"/>
                <w:szCs w:val="20"/>
              </w:rPr>
              <w:t xml:space="preserve"> Pty Ltd</w:t>
            </w:r>
          </w:p>
        </w:tc>
      </w:tr>
      <w:tr w:rsidR="007926ED" w:rsidRPr="00443075" w:rsidTr="007926ED">
        <w:trPr>
          <w:cantSplit/>
          <w:trHeight w:val="669"/>
        </w:trPr>
        <w:tc>
          <w:tcPr>
            <w:tcW w:w="1664" w:type="pct"/>
          </w:tcPr>
          <w:p w:rsidR="007926ED" w:rsidRPr="00443075" w:rsidRDefault="007926ED" w:rsidP="007926ED">
            <w:pPr>
              <w:keepNext/>
              <w:ind w:left="-108"/>
              <w:jc w:val="both"/>
              <w:rPr>
                <w:rFonts w:ascii="Arial Narrow" w:hAnsi="Arial Narrow" w:cs="Arial"/>
                <w:smallCaps/>
                <w:sz w:val="20"/>
                <w:szCs w:val="20"/>
              </w:rPr>
            </w:pPr>
            <w:r w:rsidRPr="00443075">
              <w:rPr>
                <w:rFonts w:ascii="Arial Narrow" w:hAnsi="Arial Narrow" w:cs="Arial"/>
                <w:smallCaps/>
                <w:sz w:val="20"/>
                <w:szCs w:val="20"/>
              </w:rPr>
              <w:t>ADALIMUMAB</w:t>
            </w:r>
          </w:p>
          <w:p w:rsidR="007926ED" w:rsidRPr="00443075" w:rsidRDefault="007926ED" w:rsidP="007926ED">
            <w:pPr>
              <w:keepNext/>
              <w:ind w:left="-108"/>
              <w:jc w:val="both"/>
              <w:rPr>
                <w:rFonts w:ascii="Arial Narrow" w:hAnsi="Arial Narrow" w:cs="Arial"/>
                <w:sz w:val="20"/>
                <w:szCs w:val="20"/>
              </w:rPr>
            </w:pPr>
            <w:r w:rsidRPr="00443075">
              <w:rPr>
                <w:rFonts w:ascii="Arial Narrow" w:hAnsi="Arial Narrow" w:cs="Arial"/>
                <w:sz w:val="20"/>
                <w:szCs w:val="20"/>
              </w:rPr>
              <w:t xml:space="preserve">Injection, 40 mg in 0.8 mL pre-filled syringe </w:t>
            </w:r>
          </w:p>
          <w:p w:rsidR="007926ED" w:rsidRPr="00443075" w:rsidRDefault="007926ED" w:rsidP="007926ED">
            <w:pPr>
              <w:keepNext/>
              <w:ind w:left="-108"/>
              <w:jc w:val="both"/>
              <w:rPr>
                <w:rFonts w:ascii="Arial Narrow" w:hAnsi="Arial Narrow" w:cs="Arial"/>
                <w:smallCaps/>
                <w:sz w:val="20"/>
                <w:szCs w:val="20"/>
              </w:rPr>
            </w:pPr>
            <w:r w:rsidRPr="00443075">
              <w:rPr>
                <w:rFonts w:ascii="Arial Narrow" w:hAnsi="Arial Narrow" w:cs="Arial"/>
                <w:sz w:val="20"/>
                <w:szCs w:val="20"/>
              </w:rPr>
              <w:t>Injection, 40 mg in 0.8 mL pre-filled pen</w:t>
            </w:r>
          </w:p>
        </w:tc>
        <w:tc>
          <w:tcPr>
            <w:tcW w:w="375" w:type="pct"/>
          </w:tcPr>
          <w:p w:rsidR="007926ED" w:rsidRPr="00443075" w:rsidRDefault="007926ED" w:rsidP="007926ED">
            <w:pPr>
              <w:keepNext/>
              <w:ind w:left="-108"/>
              <w:jc w:val="both"/>
              <w:rPr>
                <w:rFonts w:ascii="Arial Narrow" w:hAnsi="Arial Narrow" w:cs="Arial"/>
                <w:sz w:val="20"/>
                <w:szCs w:val="20"/>
              </w:rPr>
            </w:pPr>
          </w:p>
          <w:p w:rsidR="007926ED" w:rsidRPr="00443075" w:rsidRDefault="007926ED" w:rsidP="007926ED">
            <w:pPr>
              <w:keepNext/>
              <w:ind w:left="-108"/>
              <w:jc w:val="both"/>
              <w:rPr>
                <w:rFonts w:ascii="Arial Narrow" w:hAnsi="Arial Narrow" w:cs="Arial"/>
                <w:sz w:val="20"/>
                <w:szCs w:val="20"/>
              </w:rPr>
            </w:pPr>
            <w:r w:rsidRPr="00443075">
              <w:rPr>
                <w:rFonts w:ascii="Arial Narrow" w:hAnsi="Arial Narrow" w:cs="Arial"/>
                <w:sz w:val="20"/>
                <w:szCs w:val="20"/>
              </w:rPr>
              <w:t>4</w:t>
            </w:r>
          </w:p>
        </w:tc>
        <w:tc>
          <w:tcPr>
            <w:tcW w:w="375" w:type="pct"/>
          </w:tcPr>
          <w:p w:rsidR="007926ED" w:rsidRPr="00443075" w:rsidRDefault="007926ED" w:rsidP="007926ED">
            <w:pPr>
              <w:keepNext/>
              <w:ind w:left="-108"/>
              <w:jc w:val="both"/>
              <w:rPr>
                <w:rFonts w:ascii="Arial Narrow" w:hAnsi="Arial Narrow" w:cs="Arial"/>
                <w:sz w:val="20"/>
                <w:szCs w:val="20"/>
              </w:rPr>
            </w:pPr>
          </w:p>
          <w:p w:rsidR="007926ED" w:rsidRPr="00443075" w:rsidRDefault="007926ED" w:rsidP="007926ED">
            <w:pPr>
              <w:keepNext/>
              <w:ind w:left="-108"/>
              <w:jc w:val="both"/>
              <w:rPr>
                <w:rFonts w:ascii="Arial Narrow" w:hAnsi="Arial Narrow" w:cs="Arial"/>
                <w:sz w:val="20"/>
                <w:szCs w:val="20"/>
              </w:rPr>
            </w:pPr>
            <w:r w:rsidRPr="00443075">
              <w:rPr>
                <w:rFonts w:ascii="Arial Narrow" w:hAnsi="Arial Narrow" w:cs="Arial"/>
                <w:sz w:val="20"/>
                <w:szCs w:val="20"/>
              </w:rPr>
              <w:t>2</w:t>
            </w:r>
          </w:p>
        </w:tc>
        <w:tc>
          <w:tcPr>
            <w:tcW w:w="1145" w:type="pct"/>
          </w:tcPr>
          <w:p w:rsidR="007926ED" w:rsidRPr="00443075" w:rsidRDefault="007926ED" w:rsidP="007926ED">
            <w:pPr>
              <w:keepNext/>
              <w:ind w:left="-108"/>
              <w:rPr>
                <w:rFonts w:ascii="Arial Narrow" w:hAnsi="Arial Narrow" w:cs="Arial"/>
                <w:sz w:val="20"/>
                <w:szCs w:val="20"/>
              </w:rPr>
            </w:pPr>
          </w:p>
          <w:p w:rsidR="007926ED" w:rsidRPr="00443075" w:rsidRDefault="007926ED" w:rsidP="007926ED">
            <w:pPr>
              <w:keepNext/>
              <w:ind w:left="-108"/>
              <w:rPr>
                <w:rFonts w:ascii="Arial Narrow" w:hAnsi="Arial Narrow" w:cs="Arial"/>
                <w:sz w:val="20"/>
                <w:szCs w:val="20"/>
              </w:rPr>
            </w:pPr>
            <w:r w:rsidRPr="00443075">
              <w:rPr>
                <w:rFonts w:ascii="Arial Narrow" w:hAnsi="Arial Narrow" w:cs="Arial"/>
                <w:sz w:val="20"/>
                <w:szCs w:val="20"/>
              </w:rPr>
              <w:t>Effective price</w:t>
            </w:r>
          </w:p>
          <w:p w:rsidR="007926ED" w:rsidRPr="00443075" w:rsidRDefault="007926ED" w:rsidP="007926ED">
            <w:pPr>
              <w:keepNext/>
              <w:ind w:left="-108"/>
              <w:rPr>
                <w:rFonts w:ascii="Arial Narrow" w:hAnsi="Arial Narrow" w:cs="Arial"/>
                <w:sz w:val="20"/>
                <w:szCs w:val="20"/>
              </w:rPr>
            </w:pPr>
            <w:r w:rsidRPr="00443075">
              <w:rPr>
                <w:rFonts w:ascii="Arial Narrow" w:hAnsi="Arial Narrow" w:cs="Arial"/>
                <w:sz w:val="20"/>
                <w:szCs w:val="20"/>
              </w:rPr>
              <w:t>$</w:t>
            </w:r>
            <w:r w:rsidR="00565AC7">
              <w:rPr>
                <w:rFonts w:ascii="Arial Narrow" w:hAnsi="Arial Narrow" w:cs="Arial"/>
                <w:noProof/>
                <w:color w:val="000000"/>
                <w:sz w:val="20"/>
                <w:szCs w:val="20"/>
                <w:highlight w:val="black"/>
              </w:rPr>
              <w:t>'''''''''''''''''''''</w:t>
            </w:r>
          </w:p>
          <w:p w:rsidR="007926ED" w:rsidRPr="00443075" w:rsidRDefault="007926ED" w:rsidP="007926ED">
            <w:pPr>
              <w:keepNext/>
              <w:ind w:left="-108"/>
              <w:rPr>
                <w:rFonts w:ascii="Arial Narrow" w:hAnsi="Arial Narrow" w:cs="Arial"/>
                <w:sz w:val="20"/>
                <w:szCs w:val="20"/>
              </w:rPr>
            </w:pPr>
            <w:r w:rsidRPr="00443075">
              <w:rPr>
                <w:rFonts w:ascii="Arial Narrow" w:hAnsi="Arial Narrow" w:cs="Arial"/>
                <w:sz w:val="20"/>
                <w:szCs w:val="20"/>
              </w:rPr>
              <w:t>Public price</w:t>
            </w:r>
          </w:p>
          <w:p w:rsidR="007926ED" w:rsidRPr="00443075" w:rsidRDefault="007926ED" w:rsidP="007926ED">
            <w:pPr>
              <w:keepNext/>
              <w:ind w:left="-108"/>
              <w:rPr>
                <w:rFonts w:ascii="Arial Narrow" w:hAnsi="Arial Narrow" w:cs="Arial"/>
                <w:sz w:val="20"/>
                <w:szCs w:val="20"/>
              </w:rPr>
            </w:pPr>
            <w:r w:rsidRPr="00443075">
              <w:rPr>
                <w:rFonts w:ascii="Arial Narrow" w:hAnsi="Arial Narrow" w:cs="Arial"/>
                <w:sz w:val="20"/>
                <w:szCs w:val="20"/>
              </w:rPr>
              <w:t>$3,243.87</w:t>
            </w:r>
          </w:p>
        </w:tc>
        <w:tc>
          <w:tcPr>
            <w:tcW w:w="654" w:type="pct"/>
          </w:tcPr>
          <w:p w:rsidR="007926ED" w:rsidRPr="00443075" w:rsidRDefault="007926ED" w:rsidP="007926ED">
            <w:pPr>
              <w:keepNext/>
              <w:jc w:val="both"/>
              <w:rPr>
                <w:rFonts w:ascii="Arial Narrow" w:hAnsi="Arial Narrow" w:cs="Arial"/>
                <w:sz w:val="20"/>
                <w:szCs w:val="20"/>
              </w:rPr>
            </w:pPr>
          </w:p>
          <w:p w:rsidR="007926ED" w:rsidRPr="00443075" w:rsidRDefault="007926ED" w:rsidP="007926ED">
            <w:pPr>
              <w:keepNext/>
              <w:jc w:val="both"/>
              <w:rPr>
                <w:rFonts w:ascii="Arial Narrow" w:hAnsi="Arial Narrow" w:cs="Arial"/>
                <w:sz w:val="20"/>
                <w:szCs w:val="20"/>
              </w:rPr>
            </w:pPr>
            <w:r w:rsidRPr="00443075">
              <w:rPr>
                <w:rFonts w:ascii="Arial Narrow" w:hAnsi="Arial Narrow" w:cs="Arial"/>
                <w:sz w:val="20"/>
                <w:szCs w:val="20"/>
              </w:rPr>
              <w:t>HUMIRA®</w:t>
            </w:r>
          </w:p>
        </w:tc>
        <w:tc>
          <w:tcPr>
            <w:tcW w:w="787" w:type="pct"/>
          </w:tcPr>
          <w:p w:rsidR="007926ED" w:rsidRPr="00443075" w:rsidRDefault="007926ED" w:rsidP="007926ED">
            <w:pPr>
              <w:keepNext/>
              <w:jc w:val="both"/>
              <w:rPr>
                <w:rFonts w:ascii="Arial Narrow" w:hAnsi="Arial Narrow" w:cs="Arial"/>
                <w:sz w:val="20"/>
                <w:szCs w:val="20"/>
              </w:rPr>
            </w:pPr>
          </w:p>
          <w:p w:rsidR="007926ED" w:rsidRPr="00443075" w:rsidRDefault="007926ED" w:rsidP="007926ED">
            <w:pPr>
              <w:keepNext/>
              <w:jc w:val="both"/>
              <w:rPr>
                <w:rFonts w:ascii="Arial Narrow" w:hAnsi="Arial Narrow" w:cs="Arial"/>
                <w:sz w:val="20"/>
                <w:szCs w:val="20"/>
              </w:rPr>
            </w:pPr>
            <w:proofErr w:type="spellStart"/>
            <w:r w:rsidRPr="00443075">
              <w:rPr>
                <w:rFonts w:ascii="Arial Narrow" w:hAnsi="Arial Narrow" w:cs="Arial"/>
                <w:sz w:val="20"/>
                <w:szCs w:val="20"/>
              </w:rPr>
              <w:t>AbbVie</w:t>
            </w:r>
            <w:proofErr w:type="spellEnd"/>
            <w:r w:rsidRPr="00443075">
              <w:rPr>
                <w:rFonts w:ascii="Arial Narrow" w:hAnsi="Arial Narrow" w:cs="Arial"/>
                <w:sz w:val="20"/>
                <w:szCs w:val="20"/>
              </w:rPr>
              <w:t xml:space="preserve"> Pty Ltd</w:t>
            </w:r>
          </w:p>
        </w:tc>
      </w:tr>
    </w:tbl>
    <w:p w:rsidR="007926ED" w:rsidRPr="00443075" w:rsidRDefault="007926ED" w:rsidP="007926ED">
      <w:pPr>
        <w:pStyle w:val="Body"/>
        <w:keepNext/>
        <w:spacing w:before="0" w:after="0"/>
        <w:rPr>
          <w:rStyle w:val="CommentReference"/>
        </w:rPr>
      </w:pPr>
    </w:p>
    <w:tbl>
      <w:tblPr>
        <w:tblW w:w="4594" w:type="pct"/>
        <w:tblInd w:w="737" w:type="dxa"/>
        <w:tblCellMar>
          <w:left w:w="28" w:type="dxa"/>
          <w:right w:w="28" w:type="dxa"/>
        </w:tblCellMar>
        <w:tblLook w:val="04A0" w:firstRow="1" w:lastRow="0" w:firstColumn="1" w:lastColumn="0" w:noHBand="0" w:noVBand="1"/>
      </w:tblPr>
      <w:tblGrid>
        <w:gridCol w:w="1843"/>
        <w:gridCol w:w="6502"/>
      </w:tblGrid>
      <w:tr w:rsidR="007926ED" w:rsidRPr="00443075" w:rsidTr="007926ED">
        <w:trPr>
          <w:cantSplit/>
          <w:trHeight w:val="403"/>
        </w:trPr>
        <w:tc>
          <w:tcPr>
            <w:tcW w:w="1104" w:type="pct"/>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keepNext/>
              <w:rPr>
                <w:rFonts w:ascii="Arial Narrow" w:hAnsi="Arial Narrow"/>
                <w:b/>
                <w:sz w:val="20"/>
              </w:rPr>
            </w:pPr>
            <w:r w:rsidRPr="00443075">
              <w:rPr>
                <w:rFonts w:ascii="Arial Narrow" w:hAnsi="Arial Narrow"/>
                <w:b/>
                <w:sz w:val="20"/>
              </w:rPr>
              <w:t>Category / Program</w:t>
            </w:r>
          </w:p>
        </w:tc>
        <w:tc>
          <w:tcPr>
            <w:tcW w:w="3896" w:type="pct"/>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keepNext/>
              <w:spacing w:line="276" w:lineRule="auto"/>
              <w:rPr>
                <w:rFonts w:ascii="Arial Narrow" w:hAnsi="Arial Narrow"/>
                <w:sz w:val="20"/>
              </w:rPr>
            </w:pPr>
            <w:r w:rsidRPr="00443075">
              <w:rPr>
                <w:rFonts w:ascii="Arial Narrow" w:hAnsi="Arial Narrow"/>
                <w:sz w:val="20"/>
              </w:rPr>
              <w:t>GENERAL – General Schedule (Code GE)</w:t>
            </w:r>
          </w:p>
        </w:tc>
      </w:tr>
      <w:tr w:rsidR="007926ED" w:rsidRPr="00443075" w:rsidTr="007926ED">
        <w:trPr>
          <w:cantSplit/>
          <w:trHeight w:val="281"/>
        </w:trPr>
        <w:tc>
          <w:tcPr>
            <w:tcW w:w="1104" w:type="pct"/>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Prescriber type:</w:t>
            </w:r>
          </w:p>
        </w:tc>
        <w:tc>
          <w:tcPr>
            <w:tcW w:w="3896" w:type="pct"/>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spacing w:after="200" w:line="276" w:lineRule="auto"/>
              <w:rPr>
                <w:rFonts w:ascii="Arial Narrow" w:hAnsi="Arial Narrow"/>
                <w:sz w:val="20"/>
              </w:rPr>
            </w:pPr>
            <w:r w:rsidRPr="00443075">
              <w:rPr>
                <w:rFonts w:ascii="Arial Narrow" w:hAnsi="Arial Narrow"/>
                <w:sz w:val="20"/>
              </w:rPr>
              <w:fldChar w:fldCharType="begin">
                <w:ffData>
                  <w:name w:val="Check1"/>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Dental </w:t>
            </w:r>
            <w:r w:rsidRPr="00443075">
              <w:rPr>
                <w:rFonts w:ascii="Arial Narrow" w:hAnsi="Arial Narrow"/>
                <w:sz w:val="20"/>
              </w:rPr>
              <w:fldChar w:fldCharType="begin">
                <w:ffData>
                  <w:name w:val=""/>
                  <w:enabled/>
                  <w:calcOnExit w:val="0"/>
                  <w:checkBox>
                    <w:sizeAuto/>
                    <w:default w:val="1"/>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Medical Practitioners </w:t>
            </w:r>
            <w:r w:rsidRPr="00443075">
              <w:rPr>
                <w:rFonts w:ascii="Arial Narrow" w:hAnsi="Arial Narrow"/>
                <w:sz w:val="20"/>
              </w:rPr>
              <w:fldChar w:fldCharType="begin">
                <w:ffData>
                  <w:name w:val="Check3"/>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Nurse practitioners </w:t>
            </w:r>
            <w:r w:rsidRPr="00443075">
              <w:rPr>
                <w:rFonts w:ascii="Arial Narrow" w:hAnsi="Arial Narrow"/>
                <w:sz w:val="20"/>
              </w:rPr>
              <w:fldChar w:fldCharType="begin">
                <w:ffData>
                  <w:name w:val=""/>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Optometrists </w:t>
            </w:r>
            <w:r w:rsidRPr="00443075">
              <w:rPr>
                <w:rFonts w:ascii="Arial Narrow" w:hAnsi="Arial Narrow"/>
                <w:sz w:val="20"/>
              </w:rPr>
              <w:fldChar w:fldCharType="begin">
                <w:ffData>
                  <w:name w:val="Check5"/>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Midwives</w:t>
            </w:r>
          </w:p>
        </w:tc>
      </w:tr>
      <w:tr w:rsidR="007926ED" w:rsidRPr="00443075" w:rsidTr="007926ED">
        <w:trPr>
          <w:cantSplit/>
          <w:trHeight w:val="227"/>
        </w:trPr>
        <w:tc>
          <w:tcPr>
            <w:tcW w:w="1104" w:type="pct"/>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Severity:</w:t>
            </w:r>
          </w:p>
        </w:tc>
        <w:tc>
          <w:tcPr>
            <w:tcW w:w="3896" w:type="pct"/>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Moderate to severe</w:t>
            </w:r>
          </w:p>
        </w:tc>
      </w:tr>
      <w:tr w:rsidR="007926ED" w:rsidRPr="00443075" w:rsidTr="007926ED">
        <w:trPr>
          <w:cantSplit/>
          <w:trHeight w:val="227"/>
        </w:trPr>
        <w:tc>
          <w:tcPr>
            <w:tcW w:w="1104" w:type="pct"/>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Condition:</w:t>
            </w:r>
          </w:p>
        </w:tc>
        <w:tc>
          <w:tcPr>
            <w:tcW w:w="3896" w:type="pct"/>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 xml:space="preserve">Hidradenitis </w:t>
            </w:r>
            <w:proofErr w:type="spellStart"/>
            <w:r w:rsidRPr="00443075">
              <w:rPr>
                <w:rFonts w:ascii="Arial Narrow" w:hAnsi="Arial Narrow"/>
                <w:sz w:val="20"/>
              </w:rPr>
              <w:t>suppurativa</w:t>
            </w:r>
            <w:proofErr w:type="spellEnd"/>
          </w:p>
        </w:tc>
      </w:tr>
      <w:tr w:rsidR="007926ED" w:rsidRPr="00443075" w:rsidTr="007926ED">
        <w:trPr>
          <w:cantSplit/>
          <w:trHeight w:val="227"/>
        </w:trPr>
        <w:tc>
          <w:tcPr>
            <w:tcW w:w="1104" w:type="pct"/>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PBS indication:</w:t>
            </w:r>
          </w:p>
        </w:tc>
        <w:tc>
          <w:tcPr>
            <w:tcW w:w="3896" w:type="pct"/>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 xml:space="preserve">Moderate to severe hidradenitis </w:t>
            </w:r>
            <w:proofErr w:type="spellStart"/>
            <w:r w:rsidRPr="00443075">
              <w:rPr>
                <w:rFonts w:ascii="Arial Narrow" w:hAnsi="Arial Narrow"/>
                <w:sz w:val="20"/>
              </w:rPr>
              <w:t>suppurativa</w:t>
            </w:r>
            <w:proofErr w:type="spellEnd"/>
          </w:p>
        </w:tc>
      </w:tr>
      <w:tr w:rsidR="007926ED" w:rsidRPr="00443075" w:rsidTr="007926ED">
        <w:trPr>
          <w:cantSplit/>
          <w:trHeight w:val="227"/>
        </w:trPr>
        <w:tc>
          <w:tcPr>
            <w:tcW w:w="1104" w:type="pct"/>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Treatment phase:</w:t>
            </w:r>
          </w:p>
        </w:tc>
        <w:tc>
          <w:tcPr>
            <w:tcW w:w="3896" w:type="pct"/>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sz w:val="20"/>
              </w:rPr>
            </w:pPr>
            <w:r w:rsidRPr="00443075">
              <w:rPr>
                <w:rFonts w:ascii="Arial Narrow" w:hAnsi="Arial Narrow"/>
                <w:sz w:val="20"/>
              </w:rPr>
              <w:t>Initial treatment (new patients)</w:t>
            </w:r>
            <w:r w:rsidRPr="00443075">
              <w:rPr>
                <w:rFonts w:ascii="Arial Narrow" w:hAnsi="Arial Narrow"/>
                <w:sz w:val="20"/>
                <w:highlight w:val="yellow"/>
              </w:rPr>
              <w:t xml:space="preserve"> </w:t>
            </w:r>
          </w:p>
        </w:tc>
      </w:tr>
      <w:tr w:rsidR="007926ED" w:rsidRPr="00443075" w:rsidTr="007926ED">
        <w:trPr>
          <w:cantSplit/>
          <w:trHeight w:val="227"/>
        </w:trPr>
        <w:tc>
          <w:tcPr>
            <w:tcW w:w="1104" w:type="pct"/>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Restriction Level / Method:</w:t>
            </w:r>
          </w:p>
        </w:tc>
        <w:tc>
          <w:tcPr>
            <w:tcW w:w="3896" w:type="pct"/>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sz w:val="20"/>
              </w:rPr>
            </w:pPr>
            <w:r w:rsidRPr="00443075">
              <w:rPr>
                <w:rFonts w:ascii="Arial Narrow" w:hAnsi="Arial Narrow"/>
                <w:sz w:val="20"/>
              </w:rPr>
              <w:fldChar w:fldCharType="begin">
                <w:ffData>
                  <w:name w:val="Check1"/>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Restricted benefit </w:t>
            </w:r>
            <w:r w:rsidRPr="00443075">
              <w:rPr>
                <w:rFonts w:ascii="Arial Narrow" w:hAnsi="Arial Narrow"/>
                <w:sz w:val="20"/>
              </w:rPr>
              <w:fldChar w:fldCharType="begin">
                <w:ffData>
                  <w:name w:val=""/>
                  <w:enabled/>
                  <w:calcOnExit w:val="0"/>
                  <w:checkBox>
                    <w:sizeAuto/>
                    <w:default w:val="1"/>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In Writing </w:t>
            </w:r>
            <w:r w:rsidRPr="00443075">
              <w:rPr>
                <w:rFonts w:ascii="Arial Narrow" w:hAnsi="Arial Narrow"/>
                <w:sz w:val="20"/>
              </w:rPr>
              <w:fldChar w:fldCharType="begin">
                <w:ffData>
                  <w:name w:val="Check3"/>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Telephone </w:t>
            </w:r>
            <w:r w:rsidRPr="00443075">
              <w:rPr>
                <w:rFonts w:ascii="Arial Narrow" w:hAnsi="Arial Narrow"/>
                <w:sz w:val="20"/>
              </w:rPr>
              <w:fldChar w:fldCharType="begin">
                <w:ffData>
                  <w:name w:val=""/>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Emergency </w:t>
            </w:r>
            <w:r w:rsidRPr="00443075">
              <w:rPr>
                <w:rFonts w:ascii="Arial Narrow" w:hAnsi="Arial Narrow"/>
                <w:sz w:val="20"/>
              </w:rPr>
              <w:fldChar w:fldCharType="begin">
                <w:ffData>
                  <w:name w:val="Check5"/>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Electronic </w:t>
            </w:r>
            <w:r w:rsidRPr="00443075">
              <w:rPr>
                <w:rFonts w:ascii="Arial Narrow" w:hAnsi="Arial Narrow"/>
                <w:sz w:val="20"/>
              </w:rPr>
              <w:fldChar w:fldCharType="begin">
                <w:ffData>
                  <w:name w:val="Check5"/>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Streamlined</w:t>
            </w:r>
          </w:p>
        </w:tc>
      </w:tr>
      <w:tr w:rsidR="007926ED" w:rsidRPr="00443075" w:rsidTr="007926ED">
        <w:trPr>
          <w:cantSplit/>
          <w:trHeight w:val="227"/>
        </w:trPr>
        <w:tc>
          <w:tcPr>
            <w:tcW w:w="1104" w:type="pct"/>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Treatment criteria:</w:t>
            </w:r>
          </w:p>
        </w:tc>
        <w:tc>
          <w:tcPr>
            <w:tcW w:w="3896" w:type="pct"/>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sz w:val="20"/>
              </w:rPr>
            </w:pPr>
            <w:r w:rsidRPr="00443075">
              <w:rPr>
                <w:rFonts w:ascii="Arial Narrow" w:hAnsi="Arial Narrow"/>
                <w:sz w:val="20"/>
              </w:rPr>
              <w:t>Must be treated by a dermatologist</w:t>
            </w:r>
          </w:p>
        </w:tc>
      </w:tr>
      <w:tr w:rsidR="007926ED" w:rsidRPr="00443075" w:rsidTr="007926ED">
        <w:trPr>
          <w:cantSplit/>
          <w:trHeight w:val="227"/>
        </w:trPr>
        <w:tc>
          <w:tcPr>
            <w:tcW w:w="1104" w:type="pct"/>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lastRenderedPageBreak/>
              <w:t>Clinical criteria:</w:t>
            </w:r>
          </w:p>
        </w:tc>
        <w:tc>
          <w:tcPr>
            <w:tcW w:w="3896" w:type="pct"/>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iCs/>
                <w:sz w:val="20"/>
              </w:rPr>
            </w:pPr>
            <w:r w:rsidRPr="00443075">
              <w:rPr>
                <w:rFonts w:ascii="Arial Narrow" w:hAnsi="Arial Narrow"/>
                <w:iCs/>
                <w:sz w:val="20"/>
              </w:rPr>
              <w:t xml:space="preserve">Patient must have confirmed hidradenitis </w:t>
            </w:r>
            <w:proofErr w:type="spellStart"/>
            <w:r w:rsidRPr="00443075">
              <w:rPr>
                <w:rFonts w:ascii="Arial Narrow" w:hAnsi="Arial Narrow"/>
                <w:iCs/>
                <w:sz w:val="20"/>
              </w:rPr>
              <w:t>suppurativa</w:t>
            </w:r>
            <w:proofErr w:type="spellEnd"/>
            <w:r w:rsidRPr="00443075">
              <w:rPr>
                <w:rFonts w:ascii="Arial Narrow" w:hAnsi="Arial Narrow"/>
                <w:iCs/>
                <w:sz w:val="20"/>
              </w:rPr>
              <w:t>, with the diagnosis confirmed by a dermatologist;</w:t>
            </w:r>
          </w:p>
          <w:p w:rsidR="007926ED" w:rsidRPr="00443075" w:rsidRDefault="007926ED" w:rsidP="007926ED">
            <w:pPr>
              <w:rPr>
                <w:rFonts w:ascii="Arial Narrow" w:hAnsi="Arial Narrow"/>
                <w:sz w:val="20"/>
              </w:rPr>
            </w:pPr>
            <w:r w:rsidRPr="00443075">
              <w:rPr>
                <w:rFonts w:ascii="Arial Narrow" w:hAnsi="Arial Narrow"/>
                <w:sz w:val="20"/>
              </w:rPr>
              <w:t>AND</w:t>
            </w:r>
          </w:p>
          <w:p w:rsidR="007926ED" w:rsidRPr="00443075" w:rsidRDefault="007926ED" w:rsidP="007926ED">
            <w:pPr>
              <w:rPr>
                <w:rFonts w:ascii="Arial Narrow" w:hAnsi="Arial Narrow"/>
                <w:iCs/>
                <w:sz w:val="20"/>
              </w:rPr>
            </w:pPr>
            <w:r w:rsidRPr="00443075">
              <w:rPr>
                <w:rFonts w:ascii="Arial Narrow" w:hAnsi="Arial Narrow"/>
                <w:iCs/>
                <w:sz w:val="20"/>
              </w:rPr>
              <w:t>Patient must have failed to achieve an adequate response to 2 courses of different antibiotics each for 3 months; OR</w:t>
            </w:r>
          </w:p>
          <w:p w:rsidR="007926ED" w:rsidRPr="00443075" w:rsidRDefault="007926ED" w:rsidP="007926ED">
            <w:pPr>
              <w:rPr>
                <w:rFonts w:ascii="Arial Narrow" w:hAnsi="Arial Narrow"/>
                <w:iCs/>
                <w:sz w:val="20"/>
              </w:rPr>
            </w:pPr>
            <w:r w:rsidRPr="00443075">
              <w:rPr>
                <w:rFonts w:ascii="Arial Narrow" w:hAnsi="Arial Narrow"/>
                <w:iCs/>
                <w:sz w:val="20"/>
              </w:rPr>
              <w:t>Patient must have a documented intolerance of a severity necessitating permanent treatment withdrawal or a medical contra-indication to such therapy;</w:t>
            </w:r>
          </w:p>
          <w:p w:rsidR="007926ED" w:rsidRPr="00443075" w:rsidRDefault="007926ED" w:rsidP="007926ED">
            <w:pPr>
              <w:rPr>
                <w:rFonts w:ascii="Arial Narrow" w:hAnsi="Arial Narrow"/>
                <w:sz w:val="20"/>
              </w:rPr>
            </w:pPr>
            <w:r w:rsidRPr="00443075">
              <w:rPr>
                <w:rFonts w:ascii="Arial Narrow" w:hAnsi="Arial Narrow"/>
                <w:sz w:val="20"/>
              </w:rPr>
              <w:t>AND</w:t>
            </w:r>
          </w:p>
          <w:p w:rsidR="007926ED" w:rsidRPr="00443075" w:rsidRDefault="007926ED" w:rsidP="007926ED">
            <w:pPr>
              <w:rPr>
                <w:rFonts w:ascii="Arial Narrow" w:hAnsi="Arial Narrow"/>
                <w:iCs/>
                <w:sz w:val="20"/>
              </w:rPr>
            </w:pPr>
            <w:r w:rsidRPr="00443075">
              <w:rPr>
                <w:rFonts w:ascii="Arial Narrow" w:hAnsi="Arial Narrow"/>
                <w:sz w:val="20"/>
              </w:rPr>
              <w:t xml:space="preserve">Patient must have, at the time of application, </w:t>
            </w:r>
            <w:r w:rsidRPr="00443075">
              <w:rPr>
                <w:rFonts w:ascii="Arial Narrow" w:hAnsi="Arial Narrow"/>
                <w:iCs/>
                <w:sz w:val="20"/>
              </w:rPr>
              <w:t xml:space="preserve">disease severity considered to be moderate to severe as demonstrated by a Hurley stage II or III with an </w:t>
            </w:r>
            <w:proofErr w:type="spellStart"/>
            <w:r w:rsidRPr="00443075">
              <w:rPr>
                <w:rFonts w:ascii="Arial Narrow" w:hAnsi="Arial Narrow"/>
                <w:iCs/>
                <w:sz w:val="20"/>
              </w:rPr>
              <w:t>AN</w:t>
            </w:r>
            <w:proofErr w:type="spellEnd"/>
            <w:r w:rsidRPr="00443075">
              <w:rPr>
                <w:rFonts w:ascii="Arial Narrow" w:hAnsi="Arial Narrow"/>
                <w:iCs/>
                <w:sz w:val="20"/>
              </w:rPr>
              <w:t xml:space="preserve"> count ≥3 preferably whilst still on treatment, but no longer than 1 month following cessation of the most recent prior conventional treatment and which is no more than 1 month old at the time of application.</w:t>
            </w:r>
          </w:p>
        </w:tc>
      </w:tr>
      <w:tr w:rsidR="007926ED" w:rsidRPr="00443075" w:rsidTr="007926ED">
        <w:trPr>
          <w:cantSplit/>
          <w:trHeight w:val="227"/>
        </w:trPr>
        <w:tc>
          <w:tcPr>
            <w:tcW w:w="1104" w:type="pct"/>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Prescriber Instructions</w:t>
            </w:r>
          </w:p>
        </w:tc>
        <w:tc>
          <w:tcPr>
            <w:tcW w:w="3896" w:type="pct"/>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sz w:val="20"/>
              </w:rPr>
            </w:pPr>
            <w:r w:rsidRPr="00443075">
              <w:rPr>
                <w:rFonts w:ascii="Arial Narrow" w:hAnsi="Arial Narrow"/>
                <w:sz w:val="20"/>
              </w:rPr>
              <w:t>A maximum of 16 weeks treatment will be authorised under this criterion.</w:t>
            </w:r>
          </w:p>
          <w:p w:rsidR="007926ED" w:rsidRPr="00443075" w:rsidRDefault="007926ED" w:rsidP="007926ED">
            <w:pPr>
              <w:rPr>
                <w:rFonts w:ascii="Arial Narrow" w:hAnsi="Arial Narrow"/>
                <w:sz w:val="20"/>
              </w:rPr>
            </w:pPr>
            <w:r w:rsidRPr="00443075">
              <w:rPr>
                <w:rFonts w:ascii="Arial Narrow" w:hAnsi="Arial Narrow"/>
                <w:sz w:val="20"/>
              </w:rPr>
              <w:t xml:space="preserve">Two completed authority prescriptions must be submitted with every initial application for </w:t>
            </w:r>
            <w:proofErr w:type="spellStart"/>
            <w:r w:rsidRPr="00443075">
              <w:rPr>
                <w:rFonts w:ascii="Arial Narrow" w:hAnsi="Arial Narrow"/>
                <w:sz w:val="20"/>
              </w:rPr>
              <w:t>adalimumab</w:t>
            </w:r>
            <w:proofErr w:type="spellEnd"/>
            <w:r w:rsidRPr="00443075">
              <w:rPr>
                <w:rFonts w:ascii="Arial Narrow" w:hAnsi="Arial Narrow"/>
                <w:sz w:val="20"/>
              </w:rPr>
              <w:t>. One prescription must be for the induction pack containing a quantity of 6 doses of 40 mg and no repeats. The second prescription must be written for 4 doses of 40 mg and 2 repeats.</w:t>
            </w:r>
          </w:p>
          <w:p w:rsidR="007926ED" w:rsidRPr="00443075" w:rsidRDefault="007926ED" w:rsidP="007926ED">
            <w:pPr>
              <w:rPr>
                <w:rFonts w:ascii="Arial Narrow" w:hAnsi="Arial Narrow"/>
                <w:sz w:val="20"/>
              </w:rPr>
            </w:pPr>
            <w:r w:rsidRPr="00443075">
              <w:rPr>
                <w:rFonts w:ascii="Arial Narrow" w:hAnsi="Arial Narrow"/>
                <w:sz w:val="20"/>
              </w:rPr>
              <w:t>An assessment of the patient's response to this initial course of treatment must be made following a minimum of 12 weeks of therapy so that there is adequate time for a response to be demonstrated.</w:t>
            </w:r>
          </w:p>
        </w:tc>
      </w:tr>
    </w:tbl>
    <w:p w:rsidR="007926ED" w:rsidRPr="00443075" w:rsidRDefault="007926ED" w:rsidP="007926ED">
      <w:pPr>
        <w:keepNext/>
        <w:ind w:left="-108" w:firstLine="828"/>
        <w:jc w:val="both"/>
        <w:rPr>
          <w:rFonts w:ascii="Arial Narrow" w:hAnsi="Arial Narrow" w:cs="Arial"/>
          <w:b/>
          <w:sz w:val="20"/>
          <w:szCs w:val="20"/>
          <w:u w:val="single"/>
        </w:rPr>
      </w:pPr>
    </w:p>
    <w:tbl>
      <w:tblPr>
        <w:tblW w:w="8363" w:type="dxa"/>
        <w:tblInd w:w="737" w:type="dxa"/>
        <w:tblLayout w:type="fixed"/>
        <w:tblCellMar>
          <w:left w:w="28" w:type="dxa"/>
          <w:right w:w="28" w:type="dxa"/>
        </w:tblCellMar>
        <w:tblLook w:val="04A0" w:firstRow="1" w:lastRow="0" w:firstColumn="1" w:lastColumn="0" w:noHBand="0" w:noVBand="1"/>
      </w:tblPr>
      <w:tblGrid>
        <w:gridCol w:w="1843"/>
        <w:gridCol w:w="6520"/>
      </w:tblGrid>
      <w:tr w:rsidR="007926ED" w:rsidRPr="00443075" w:rsidTr="007926ED">
        <w:trPr>
          <w:cantSplit/>
          <w:trHeight w:val="227"/>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Category / Program</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spacing w:line="276" w:lineRule="auto"/>
              <w:rPr>
                <w:rFonts w:ascii="Arial Narrow" w:hAnsi="Arial Narrow"/>
                <w:sz w:val="20"/>
              </w:rPr>
            </w:pPr>
            <w:r w:rsidRPr="00443075">
              <w:rPr>
                <w:rFonts w:ascii="Arial Narrow" w:hAnsi="Arial Narrow"/>
                <w:sz w:val="20"/>
              </w:rPr>
              <w:t>GENERAL – General Schedule (Code GE)</w:t>
            </w:r>
          </w:p>
        </w:tc>
      </w:tr>
      <w:tr w:rsidR="007926ED" w:rsidRPr="00443075" w:rsidTr="007926ED">
        <w:trPr>
          <w:cantSplit/>
          <w:trHeight w:val="484"/>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Prescriber type:</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spacing w:after="200" w:line="276" w:lineRule="auto"/>
              <w:rPr>
                <w:rFonts w:ascii="Arial Narrow" w:hAnsi="Arial Narrow"/>
                <w:sz w:val="20"/>
              </w:rPr>
            </w:pPr>
            <w:r w:rsidRPr="00443075">
              <w:rPr>
                <w:rFonts w:ascii="Arial Narrow" w:hAnsi="Arial Narrow"/>
                <w:sz w:val="20"/>
              </w:rPr>
              <w:fldChar w:fldCharType="begin">
                <w:ffData>
                  <w:name w:val="Check1"/>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Dental  </w:t>
            </w:r>
            <w:r w:rsidRPr="00443075">
              <w:rPr>
                <w:rFonts w:ascii="Arial Narrow" w:hAnsi="Arial Narrow"/>
                <w:sz w:val="20"/>
              </w:rPr>
              <w:fldChar w:fldCharType="begin">
                <w:ffData>
                  <w:name w:val=""/>
                  <w:enabled/>
                  <w:calcOnExit w:val="0"/>
                  <w:checkBox>
                    <w:sizeAuto/>
                    <w:default w:val="1"/>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Medical Practitioners  </w:t>
            </w:r>
            <w:r w:rsidRPr="00443075">
              <w:rPr>
                <w:rFonts w:ascii="Arial Narrow" w:hAnsi="Arial Narrow"/>
                <w:sz w:val="20"/>
              </w:rPr>
              <w:fldChar w:fldCharType="begin">
                <w:ffData>
                  <w:name w:val="Check3"/>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Nurse practitioners  </w:t>
            </w:r>
            <w:r w:rsidRPr="00443075">
              <w:rPr>
                <w:rFonts w:ascii="Arial Narrow" w:hAnsi="Arial Narrow"/>
                <w:sz w:val="20"/>
              </w:rPr>
              <w:fldChar w:fldCharType="begin">
                <w:ffData>
                  <w:name w:val=""/>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Optometrists   </w:t>
            </w:r>
            <w:r w:rsidRPr="00443075">
              <w:rPr>
                <w:rFonts w:ascii="Arial Narrow" w:hAnsi="Arial Narrow"/>
                <w:sz w:val="20"/>
              </w:rPr>
              <w:fldChar w:fldCharType="begin">
                <w:ffData>
                  <w:name w:val="Check5"/>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Midwives</w:t>
            </w:r>
          </w:p>
        </w:tc>
      </w:tr>
      <w:tr w:rsidR="007926ED" w:rsidRPr="00443075" w:rsidTr="007926ED">
        <w:trPr>
          <w:cantSplit/>
          <w:trHeight w:val="227"/>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Severity:</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Moderate to severe</w:t>
            </w:r>
          </w:p>
        </w:tc>
      </w:tr>
      <w:tr w:rsidR="007926ED" w:rsidRPr="00443075" w:rsidTr="007926ED">
        <w:trPr>
          <w:cantSplit/>
          <w:trHeight w:val="227"/>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Condition:</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 xml:space="preserve">Hidradenitis </w:t>
            </w:r>
            <w:proofErr w:type="spellStart"/>
            <w:r w:rsidRPr="00443075">
              <w:rPr>
                <w:rFonts w:ascii="Arial Narrow" w:hAnsi="Arial Narrow"/>
                <w:sz w:val="20"/>
              </w:rPr>
              <w:t>suppurativa</w:t>
            </w:r>
            <w:proofErr w:type="spellEnd"/>
          </w:p>
        </w:tc>
      </w:tr>
      <w:tr w:rsidR="007926ED" w:rsidRPr="00443075" w:rsidTr="007926ED">
        <w:trPr>
          <w:cantSplit/>
          <w:trHeight w:val="227"/>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PBS indication:</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 xml:space="preserve">Moderate to severe hidradenitis </w:t>
            </w:r>
            <w:proofErr w:type="spellStart"/>
            <w:r w:rsidRPr="00443075">
              <w:rPr>
                <w:rFonts w:ascii="Arial Narrow" w:hAnsi="Arial Narrow"/>
                <w:sz w:val="20"/>
              </w:rPr>
              <w:t>suppurativa</w:t>
            </w:r>
            <w:proofErr w:type="spellEnd"/>
          </w:p>
        </w:tc>
      </w:tr>
      <w:tr w:rsidR="007926ED" w:rsidRPr="00443075" w:rsidTr="007926ED">
        <w:trPr>
          <w:cantSplit/>
          <w:trHeight w:val="227"/>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Treatment phase:</w:t>
            </w:r>
          </w:p>
        </w:tc>
        <w:tc>
          <w:tcPr>
            <w:tcW w:w="6520"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sz w:val="20"/>
              </w:rPr>
            </w:pPr>
            <w:r w:rsidRPr="00443075">
              <w:rPr>
                <w:rFonts w:ascii="Arial Narrow" w:hAnsi="Arial Narrow"/>
                <w:sz w:val="20"/>
              </w:rPr>
              <w:t>Re</w:t>
            </w:r>
            <w:r w:rsidRPr="00443075">
              <w:rPr>
                <w:rFonts w:ascii="Cambria Math" w:hAnsi="Cambria Math" w:cs="Cambria Math"/>
                <w:sz w:val="20"/>
              </w:rPr>
              <w:t>‐</w:t>
            </w:r>
            <w:r w:rsidRPr="00443075">
              <w:rPr>
                <w:rFonts w:ascii="Arial Narrow" w:hAnsi="Arial Narrow"/>
                <w:sz w:val="20"/>
              </w:rPr>
              <w:t>initiation of PBS</w:t>
            </w:r>
            <w:r w:rsidRPr="00443075">
              <w:rPr>
                <w:rFonts w:ascii="Cambria Math" w:hAnsi="Cambria Math" w:cs="Cambria Math"/>
                <w:sz w:val="20"/>
              </w:rPr>
              <w:t>‐</w:t>
            </w:r>
            <w:r w:rsidRPr="00443075">
              <w:rPr>
                <w:rFonts w:ascii="Arial Narrow" w:hAnsi="Arial Narrow"/>
                <w:sz w:val="20"/>
              </w:rPr>
              <w:t xml:space="preserve">subsidised treatment of hidradenitis </w:t>
            </w:r>
            <w:proofErr w:type="spellStart"/>
            <w:r w:rsidRPr="00443075">
              <w:rPr>
                <w:rFonts w:ascii="Arial Narrow" w:hAnsi="Arial Narrow"/>
                <w:sz w:val="20"/>
              </w:rPr>
              <w:t>suppurativa</w:t>
            </w:r>
            <w:proofErr w:type="spellEnd"/>
            <w:r w:rsidRPr="00443075">
              <w:rPr>
                <w:rFonts w:ascii="Arial Narrow" w:hAnsi="Arial Narrow"/>
                <w:sz w:val="20"/>
              </w:rPr>
              <w:t xml:space="preserve"> by a dermatologist </w:t>
            </w:r>
          </w:p>
        </w:tc>
      </w:tr>
      <w:tr w:rsidR="007926ED" w:rsidRPr="00443075" w:rsidTr="007926ED">
        <w:trPr>
          <w:cantSplit/>
          <w:trHeight w:val="227"/>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Restriction Level / Method:</w:t>
            </w:r>
          </w:p>
        </w:tc>
        <w:tc>
          <w:tcPr>
            <w:tcW w:w="6520"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sz w:val="20"/>
              </w:rPr>
            </w:pPr>
            <w:r w:rsidRPr="00443075">
              <w:rPr>
                <w:rFonts w:ascii="Arial Narrow" w:hAnsi="Arial Narrow"/>
                <w:sz w:val="20"/>
              </w:rPr>
              <w:fldChar w:fldCharType="begin">
                <w:ffData>
                  <w:name w:val="Check1"/>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Restricted benefit </w:t>
            </w:r>
            <w:r w:rsidRPr="00443075">
              <w:rPr>
                <w:rFonts w:ascii="Arial Narrow" w:hAnsi="Arial Narrow"/>
                <w:sz w:val="20"/>
              </w:rPr>
              <w:fldChar w:fldCharType="begin">
                <w:ffData>
                  <w:name w:val=""/>
                  <w:enabled/>
                  <w:calcOnExit w:val="0"/>
                  <w:checkBox>
                    <w:sizeAuto/>
                    <w:default w:val="1"/>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In Writing </w:t>
            </w:r>
            <w:r w:rsidRPr="00443075">
              <w:rPr>
                <w:rFonts w:ascii="Arial Narrow" w:hAnsi="Arial Narrow"/>
                <w:sz w:val="20"/>
              </w:rPr>
              <w:fldChar w:fldCharType="begin">
                <w:ffData>
                  <w:name w:val="Check3"/>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Authority Required - Telephone</w:t>
            </w:r>
          </w:p>
          <w:p w:rsidR="007926ED" w:rsidRPr="00443075" w:rsidRDefault="007926ED" w:rsidP="007926ED">
            <w:pPr>
              <w:rPr>
                <w:rFonts w:ascii="Arial Narrow" w:hAnsi="Arial Narrow"/>
                <w:sz w:val="20"/>
              </w:rPr>
            </w:pPr>
            <w:r w:rsidRPr="00443075">
              <w:rPr>
                <w:rFonts w:ascii="Arial Narrow" w:hAnsi="Arial Narrow"/>
                <w:sz w:val="20"/>
              </w:rPr>
              <w:fldChar w:fldCharType="begin">
                <w:ffData>
                  <w:name w:val=""/>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Emergency </w:t>
            </w:r>
            <w:r w:rsidRPr="00443075">
              <w:rPr>
                <w:rFonts w:ascii="Arial Narrow" w:hAnsi="Arial Narrow"/>
                <w:sz w:val="20"/>
              </w:rPr>
              <w:fldChar w:fldCharType="begin">
                <w:ffData>
                  <w:name w:val="Check5"/>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Electronic </w:t>
            </w:r>
            <w:r w:rsidRPr="00443075">
              <w:rPr>
                <w:rFonts w:ascii="Arial Narrow" w:hAnsi="Arial Narrow"/>
                <w:sz w:val="20"/>
              </w:rPr>
              <w:fldChar w:fldCharType="begin">
                <w:ffData>
                  <w:name w:val="Check5"/>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Streamlined</w:t>
            </w:r>
          </w:p>
        </w:tc>
      </w:tr>
      <w:tr w:rsidR="007926ED" w:rsidRPr="00443075" w:rsidTr="007926ED">
        <w:trPr>
          <w:cantSplit/>
          <w:trHeight w:val="227"/>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Treatment criteria:</w:t>
            </w:r>
          </w:p>
        </w:tc>
        <w:tc>
          <w:tcPr>
            <w:tcW w:w="6520"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sz w:val="20"/>
              </w:rPr>
            </w:pPr>
            <w:r w:rsidRPr="00443075">
              <w:rPr>
                <w:rFonts w:ascii="Arial Narrow" w:hAnsi="Arial Narrow"/>
                <w:sz w:val="20"/>
              </w:rPr>
              <w:t xml:space="preserve">Must be treated by a dermatologist </w:t>
            </w:r>
          </w:p>
        </w:tc>
      </w:tr>
      <w:tr w:rsidR="007926ED" w:rsidRPr="00443075" w:rsidTr="007926ED">
        <w:trPr>
          <w:cantSplit/>
          <w:trHeight w:val="227"/>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Clinical criteria:</w:t>
            </w:r>
          </w:p>
        </w:tc>
        <w:tc>
          <w:tcPr>
            <w:tcW w:w="6520"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iCs/>
                <w:sz w:val="20"/>
              </w:rPr>
            </w:pPr>
            <w:r w:rsidRPr="00443075">
              <w:rPr>
                <w:rFonts w:ascii="Arial Narrow" w:hAnsi="Arial Narrow"/>
                <w:iCs/>
                <w:sz w:val="20"/>
              </w:rPr>
              <w:t xml:space="preserve">Patient must have a documented history of hidradenitis </w:t>
            </w:r>
            <w:proofErr w:type="spellStart"/>
            <w:r w:rsidRPr="00443075">
              <w:rPr>
                <w:rFonts w:ascii="Arial Narrow" w:hAnsi="Arial Narrow"/>
                <w:iCs/>
                <w:sz w:val="20"/>
              </w:rPr>
              <w:t>suppurativa</w:t>
            </w:r>
            <w:proofErr w:type="spellEnd"/>
            <w:r w:rsidRPr="00443075">
              <w:rPr>
                <w:rFonts w:ascii="Arial Narrow" w:hAnsi="Arial Narrow"/>
                <w:iCs/>
                <w:sz w:val="20"/>
              </w:rPr>
              <w:t>, with the diagnosis confirmed by a dermatologist;</w:t>
            </w:r>
          </w:p>
          <w:p w:rsidR="007926ED" w:rsidRPr="00443075" w:rsidRDefault="007926ED" w:rsidP="007926ED">
            <w:pPr>
              <w:rPr>
                <w:rFonts w:ascii="Arial Narrow" w:hAnsi="Arial Narrow"/>
                <w:sz w:val="20"/>
              </w:rPr>
            </w:pPr>
            <w:r w:rsidRPr="00443075">
              <w:rPr>
                <w:rFonts w:ascii="Arial Narrow" w:hAnsi="Arial Narrow"/>
                <w:sz w:val="20"/>
              </w:rPr>
              <w:t>AND</w:t>
            </w:r>
          </w:p>
          <w:p w:rsidR="007926ED" w:rsidRPr="00443075" w:rsidRDefault="007926ED" w:rsidP="007926ED">
            <w:pPr>
              <w:rPr>
                <w:rFonts w:ascii="Arial Narrow" w:hAnsi="Arial Narrow"/>
                <w:iCs/>
                <w:sz w:val="20"/>
              </w:rPr>
            </w:pPr>
            <w:r w:rsidRPr="00443075">
              <w:rPr>
                <w:rFonts w:ascii="Arial Narrow" w:hAnsi="Arial Narrow"/>
                <w:sz w:val="20"/>
              </w:rPr>
              <w:t xml:space="preserve">Patient must have, </w:t>
            </w:r>
            <w:r w:rsidRPr="00443075">
              <w:rPr>
                <w:rFonts w:ascii="Arial Narrow" w:hAnsi="Arial Narrow"/>
                <w:iCs/>
                <w:sz w:val="20"/>
              </w:rPr>
              <w:t xml:space="preserve">an </w:t>
            </w:r>
            <w:proofErr w:type="spellStart"/>
            <w:r w:rsidRPr="00443075">
              <w:rPr>
                <w:rFonts w:ascii="Arial Narrow" w:hAnsi="Arial Narrow"/>
                <w:iCs/>
                <w:sz w:val="20"/>
              </w:rPr>
              <w:t>AN</w:t>
            </w:r>
            <w:proofErr w:type="spellEnd"/>
            <w:r w:rsidRPr="00443075">
              <w:rPr>
                <w:rFonts w:ascii="Arial Narrow" w:hAnsi="Arial Narrow"/>
                <w:iCs/>
                <w:sz w:val="20"/>
              </w:rPr>
              <w:t xml:space="preserve"> count ≥3 </w:t>
            </w:r>
          </w:p>
          <w:p w:rsidR="007926ED" w:rsidRPr="00443075" w:rsidRDefault="007926ED" w:rsidP="007926ED">
            <w:pPr>
              <w:rPr>
                <w:rFonts w:ascii="Arial Narrow" w:hAnsi="Arial Narrow"/>
                <w:iCs/>
                <w:sz w:val="20"/>
              </w:rPr>
            </w:pPr>
            <w:r w:rsidRPr="00443075">
              <w:rPr>
                <w:rFonts w:ascii="Arial Narrow" w:hAnsi="Arial Narrow"/>
                <w:iCs/>
                <w:sz w:val="20"/>
              </w:rPr>
              <w:t>AND</w:t>
            </w:r>
          </w:p>
          <w:p w:rsidR="007926ED" w:rsidRPr="00443075" w:rsidRDefault="007926ED" w:rsidP="007926ED">
            <w:pPr>
              <w:rPr>
                <w:rFonts w:ascii="Arial Narrow" w:hAnsi="Arial Narrow"/>
                <w:iCs/>
                <w:sz w:val="20"/>
              </w:rPr>
            </w:pPr>
            <w:r w:rsidRPr="00443075">
              <w:rPr>
                <w:rFonts w:ascii="Arial Narrow" w:hAnsi="Arial Narrow"/>
                <w:iCs/>
                <w:sz w:val="20"/>
              </w:rPr>
              <w:t>Patient has previously received PBS</w:t>
            </w:r>
            <w:r w:rsidRPr="00443075">
              <w:rPr>
                <w:rFonts w:ascii="Cambria Math" w:hAnsi="Cambria Math" w:cs="Cambria Math"/>
                <w:iCs/>
                <w:sz w:val="20"/>
              </w:rPr>
              <w:t>‐</w:t>
            </w:r>
            <w:r w:rsidRPr="00443075">
              <w:rPr>
                <w:rFonts w:ascii="Arial Narrow" w:hAnsi="Arial Narrow"/>
                <w:iCs/>
                <w:sz w:val="20"/>
              </w:rPr>
              <w:t xml:space="preserve">subsidised </w:t>
            </w:r>
            <w:proofErr w:type="spellStart"/>
            <w:r w:rsidRPr="00443075">
              <w:rPr>
                <w:rFonts w:ascii="Arial Narrow" w:hAnsi="Arial Narrow"/>
                <w:iCs/>
                <w:sz w:val="20"/>
              </w:rPr>
              <w:t>adalimumab</w:t>
            </w:r>
            <w:proofErr w:type="spellEnd"/>
            <w:r w:rsidRPr="00443075">
              <w:rPr>
                <w:rFonts w:ascii="Arial Narrow" w:hAnsi="Arial Narrow"/>
                <w:iCs/>
                <w:sz w:val="20"/>
              </w:rPr>
              <w:t xml:space="preserve"> for the treatment hidradenitis </w:t>
            </w:r>
            <w:proofErr w:type="spellStart"/>
            <w:r w:rsidRPr="00443075">
              <w:rPr>
                <w:rFonts w:ascii="Arial Narrow" w:hAnsi="Arial Narrow"/>
                <w:iCs/>
                <w:sz w:val="20"/>
              </w:rPr>
              <w:t>suppurativa</w:t>
            </w:r>
            <w:proofErr w:type="spellEnd"/>
            <w:r w:rsidRPr="00443075">
              <w:rPr>
                <w:rFonts w:ascii="Arial Narrow" w:hAnsi="Arial Narrow"/>
                <w:iCs/>
                <w:sz w:val="20"/>
              </w:rPr>
              <w:t>; and EITHER</w:t>
            </w:r>
          </w:p>
          <w:p w:rsidR="007926ED" w:rsidRPr="00443075" w:rsidRDefault="007926ED" w:rsidP="007926ED">
            <w:pPr>
              <w:rPr>
                <w:rFonts w:ascii="Arial Narrow" w:hAnsi="Arial Narrow"/>
                <w:iCs/>
                <w:sz w:val="20"/>
              </w:rPr>
            </w:pPr>
            <w:r w:rsidRPr="00443075">
              <w:rPr>
                <w:rFonts w:ascii="Arial Narrow" w:hAnsi="Arial Narrow"/>
                <w:iCs/>
                <w:sz w:val="20"/>
              </w:rPr>
              <w:t>has demonstrated or sustained an adequate response to the most recent course of PBS</w:t>
            </w:r>
            <w:r w:rsidRPr="00443075">
              <w:rPr>
                <w:rFonts w:ascii="Cambria Math" w:hAnsi="Cambria Math" w:cs="Cambria Math"/>
                <w:iCs/>
                <w:sz w:val="20"/>
              </w:rPr>
              <w:t>‐</w:t>
            </w:r>
            <w:r w:rsidRPr="00443075">
              <w:rPr>
                <w:rFonts w:ascii="Arial Narrow" w:hAnsi="Arial Narrow"/>
                <w:iCs/>
                <w:sz w:val="20"/>
              </w:rPr>
              <w:t xml:space="preserve">subsidised treatment with </w:t>
            </w:r>
            <w:proofErr w:type="spellStart"/>
            <w:r w:rsidRPr="00443075">
              <w:rPr>
                <w:rFonts w:ascii="Arial Narrow" w:hAnsi="Arial Narrow"/>
                <w:iCs/>
                <w:sz w:val="20"/>
              </w:rPr>
              <w:t>adalimumab</w:t>
            </w:r>
            <w:proofErr w:type="spellEnd"/>
            <w:r w:rsidRPr="00443075">
              <w:rPr>
                <w:rFonts w:ascii="Arial Narrow" w:hAnsi="Arial Narrow"/>
                <w:iCs/>
                <w:sz w:val="20"/>
              </w:rPr>
              <w:t xml:space="preserve"> for this condition;</w:t>
            </w:r>
          </w:p>
          <w:p w:rsidR="007926ED" w:rsidRPr="00443075" w:rsidRDefault="007926ED" w:rsidP="007926ED">
            <w:pPr>
              <w:rPr>
                <w:rFonts w:ascii="Arial Narrow" w:hAnsi="Arial Narrow"/>
                <w:iCs/>
                <w:sz w:val="20"/>
              </w:rPr>
            </w:pPr>
            <w:r w:rsidRPr="00443075">
              <w:rPr>
                <w:rFonts w:ascii="Arial Narrow" w:hAnsi="Arial Narrow"/>
                <w:iCs/>
                <w:sz w:val="20"/>
              </w:rPr>
              <w:t>OR</w:t>
            </w:r>
          </w:p>
          <w:p w:rsidR="007926ED" w:rsidRPr="00443075" w:rsidRDefault="007926ED" w:rsidP="007926ED">
            <w:pPr>
              <w:rPr>
                <w:rFonts w:ascii="Arial Narrow" w:hAnsi="Arial Narrow"/>
                <w:iCs/>
                <w:sz w:val="20"/>
              </w:rPr>
            </w:pPr>
            <w:r w:rsidRPr="00443075">
              <w:rPr>
                <w:rFonts w:ascii="Arial Narrow" w:hAnsi="Arial Narrow"/>
                <w:iCs/>
                <w:sz w:val="20"/>
              </w:rPr>
              <w:t>has failed to demonstrate or sustain an adequate response to PBS</w:t>
            </w:r>
            <w:r w:rsidRPr="00443075">
              <w:rPr>
                <w:rFonts w:ascii="Cambria Math" w:hAnsi="Cambria Math" w:cs="Cambria Math"/>
                <w:iCs/>
                <w:sz w:val="20"/>
              </w:rPr>
              <w:t>‐</w:t>
            </w:r>
            <w:r w:rsidRPr="00443075">
              <w:rPr>
                <w:rFonts w:ascii="Arial Narrow" w:hAnsi="Arial Narrow"/>
                <w:iCs/>
                <w:sz w:val="20"/>
              </w:rPr>
              <w:t xml:space="preserve">subsidised treatment with </w:t>
            </w:r>
            <w:proofErr w:type="spellStart"/>
            <w:r w:rsidRPr="00443075">
              <w:rPr>
                <w:rFonts w:ascii="Arial Narrow" w:hAnsi="Arial Narrow"/>
                <w:iCs/>
                <w:sz w:val="20"/>
              </w:rPr>
              <w:t>adalimumab</w:t>
            </w:r>
            <w:proofErr w:type="spellEnd"/>
            <w:r w:rsidRPr="00443075">
              <w:rPr>
                <w:rFonts w:ascii="Arial Narrow" w:hAnsi="Arial Narrow"/>
                <w:iCs/>
                <w:sz w:val="20"/>
              </w:rPr>
              <w:t xml:space="preserve"> for this condition and 12 months have elapsed from the date on which treatment was ceased.</w:t>
            </w:r>
          </w:p>
        </w:tc>
      </w:tr>
      <w:tr w:rsidR="007926ED" w:rsidRPr="00443075" w:rsidTr="007926ED">
        <w:trPr>
          <w:cantSplit/>
          <w:trHeight w:val="227"/>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Prescriber Instructions</w:t>
            </w:r>
          </w:p>
        </w:tc>
        <w:tc>
          <w:tcPr>
            <w:tcW w:w="6520"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sz w:val="20"/>
              </w:rPr>
            </w:pPr>
            <w:r w:rsidRPr="00443075">
              <w:rPr>
                <w:rFonts w:ascii="Arial Narrow" w:hAnsi="Arial Narrow"/>
                <w:sz w:val="20"/>
              </w:rPr>
              <w:t>A maximum of 16 weeks treatment will be authorised under this criterion.</w:t>
            </w:r>
          </w:p>
          <w:p w:rsidR="007926ED" w:rsidRPr="00443075" w:rsidRDefault="007926ED" w:rsidP="007926ED">
            <w:pPr>
              <w:rPr>
                <w:rFonts w:ascii="Arial Narrow" w:hAnsi="Arial Narrow"/>
                <w:sz w:val="20"/>
              </w:rPr>
            </w:pPr>
            <w:r w:rsidRPr="00443075">
              <w:rPr>
                <w:rFonts w:ascii="Arial Narrow" w:hAnsi="Arial Narrow"/>
                <w:sz w:val="20"/>
              </w:rPr>
              <w:t xml:space="preserve">Two completed authority prescriptions must be submitted with every initial application for </w:t>
            </w:r>
            <w:proofErr w:type="spellStart"/>
            <w:r w:rsidRPr="00443075">
              <w:rPr>
                <w:rFonts w:ascii="Arial Narrow" w:hAnsi="Arial Narrow"/>
                <w:sz w:val="20"/>
              </w:rPr>
              <w:t>adalimumab</w:t>
            </w:r>
            <w:proofErr w:type="spellEnd"/>
            <w:r w:rsidRPr="00443075">
              <w:rPr>
                <w:rFonts w:ascii="Arial Narrow" w:hAnsi="Arial Narrow"/>
                <w:sz w:val="20"/>
              </w:rPr>
              <w:t>. One prescription must be for the induction pack containing a quantity of 6 doses of 40 mg and no repeats. The second prescription must be written for 4 doses of 40 mg and 2 repeats.</w:t>
            </w:r>
          </w:p>
          <w:p w:rsidR="007926ED" w:rsidRPr="00443075" w:rsidRDefault="007926ED" w:rsidP="007926ED">
            <w:pPr>
              <w:rPr>
                <w:rFonts w:ascii="Arial Narrow" w:hAnsi="Arial Narrow"/>
                <w:sz w:val="20"/>
              </w:rPr>
            </w:pPr>
            <w:r w:rsidRPr="00443075">
              <w:rPr>
                <w:rFonts w:ascii="Arial Narrow" w:hAnsi="Arial Narrow"/>
                <w:sz w:val="20"/>
              </w:rPr>
              <w:t>An assessment of the patient's response to this initial course of treatment must be made following a minimum of 12 weeks of therapy so that there is adequate time for a response to be demonstrated.</w:t>
            </w:r>
          </w:p>
        </w:tc>
      </w:tr>
    </w:tbl>
    <w:p w:rsidR="007926ED" w:rsidRPr="00443075" w:rsidRDefault="007926ED" w:rsidP="007926ED">
      <w:pPr>
        <w:keepNext/>
        <w:ind w:left="-108" w:firstLine="828"/>
        <w:jc w:val="both"/>
        <w:rPr>
          <w:rFonts w:ascii="Arial Narrow" w:hAnsi="Arial Narrow" w:cs="Arial"/>
          <w:b/>
          <w:sz w:val="20"/>
          <w:szCs w:val="20"/>
          <w:u w:val="single"/>
        </w:rPr>
      </w:pPr>
    </w:p>
    <w:tbl>
      <w:tblPr>
        <w:tblW w:w="4558" w:type="pct"/>
        <w:tblInd w:w="817" w:type="dxa"/>
        <w:tblLayout w:type="fixed"/>
        <w:tblLook w:val="0000" w:firstRow="0" w:lastRow="0" w:firstColumn="0" w:lastColumn="0" w:noHBand="0" w:noVBand="0"/>
      </w:tblPr>
      <w:tblGrid>
        <w:gridCol w:w="2785"/>
        <w:gridCol w:w="627"/>
        <w:gridCol w:w="627"/>
        <w:gridCol w:w="2037"/>
        <w:gridCol w:w="1095"/>
        <w:gridCol w:w="1254"/>
      </w:tblGrid>
      <w:tr w:rsidR="007926ED" w:rsidRPr="00443075" w:rsidTr="007926ED">
        <w:trPr>
          <w:cantSplit/>
          <w:trHeight w:val="471"/>
        </w:trPr>
        <w:tc>
          <w:tcPr>
            <w:tcW w:w="1653" w:type="pct"/>
            <w:tcBorders>
              <w:bottom w:val="single" w:sz="4" w:space="0" w:color="auto"/>
            </w:tcBorders>
          </w:tcPr>
          <w:p w:rsidR="007926ED" w:rsidRPr="00443075" w:rsidRDefault="007926ED" w:rsidP="007926ED">
            <w:pPr>
              <w:keepNext/>
              <w:ind w:left="-108"/>
              <w:jc w:val="both"/>
              <w:rPr>
                <w:rFonts w:ascii="Arial Narrow" w:hAnsi="Arial Narrow" w:cs="Arial"/>
                <w:b/>
                <w:sz w:val="20"/>
                <w:szCs w:val="20"/>
              </w:rPr>
            </w:pPr>
            <w:r w:rsidRPr="00443075">
              <w:rPr>
                <w:rFonts w:ascii="Arial Narrow" w:hAnsi="Arial Narrow" w:cs="Arial"/>
                <w:b/>
                <w:sz w:val="20"/>
                <w:szCs w:val="20"/>
              </w:rPr>
              <w:t>Name, Restriction,</w:t>
            </w:r>
          </w:p>
          <w:p w:rsidR="007926ED" w:rsidRPr="00443075" w:rsidRDefault="007926ED" w:rsidP="007926ED">
            <w:pPr>
              <w:keepNext/>
              <w:ind w:left="-108"/>
              <w:jc w:val="both"/>
              <w:rPr>
                <w:rFonts w:ascii="Arial Narrow" w:hAnsi="Arial Narrow" w:cs="Arial"/>
                <w:b/>
                <w:sz w:val="20"/>
                <w:szCs w:val="20"/>
              </w:rPr>
            </w:pPr>
            <w:r w:rsidRPr="00443075">
              <w:rPr>
                <w:rFonts w:ascii="Arial Narrow" w:hAnsi="Arial Narrow" w:cs="Arial"/>
                <w:b/>
                <w:sz w:val="20"/>
                <w:szCs w:val="20"/>
              </w:rPr>
              <w:t>Manner of administration and form</w:t>
            </w:r>
          </w:p>
        </w:tc>
        <w:tc>
          <w:tcPr>
            <w:tcW w:w="372" w:type="pct"/>
            <w:tcBorders>
              <w:bottom w:val="single" w:sz="4" w:space="0" w:color="auto"/>
            </w:tcBorders>
          </w:tcPr>
          <w:p w:rsidR="007926ED" w:rsidRPr="00443075" w:rsidRDefault="007926ED" w:rsidP="007926ED">
            <w:pPr>
              <w:keepNext/>
              <w:ind w:left="-108"/>
              <w:jc w:val="both"/>
              <w:rPr>
                <w:rFonts w:ascii="Arial Narrow" w:hAnsi="Arial Narrow" w:cs="Arial"/>
                <w:b/>
                <w:sz w:val="20"/>
                <w:szCs w:val="20"/>
              </w:rPr>
            </w:pPr>
            <w:r w:rsidRPr="00443075">
              <w:rPr>
                <w:rFonts w:ascii="Arial Narrow" w:hAnsi="Arial Narrow" w:cs="Arial"/>
                <w:b/>
                <w:sz w:val="20"/>
                <w:szCs w:val="20"/>
              </w:rPr>
              <w:t>Max.</w:t>
            </w:r>
          </w:p>
          <w:p w:rsidR="007926ED" w:rsidRPr="00443075" w:rsidRDefault="007926ED" w:rsidP="007926ED">
            <w:pPr>
              <w:keepNext/>
              <w:ind w:left="-108"/>
              <w:jc w:val="both"/>
              <w:rPr>
                <w:rFonts w:ascii="Arial Narrow" w:hAnsi="Arial Narrow" w:cs="Arial"/>
                <w:b/>
                <w:sz w:val="20"/>
                <w:szCs w:val="20"/>
              </w:rPr>
            </w:pPr>
            <w:proofErr w:type="spellStart"/>
            <w:r w:rsidRPr="00443075">
              <w:rPr>
                <w:rFonts w:ascii="Arial Narrow" w:hAnsi="Arial Narrow" w:cs="Arial"/>
                <w:b/>
                <w:sz w:val="20"/>
                <w:szCs w:val="20"/>
              </w:rPr>
              <w:t>Qty</w:t>
            </w:r>
            <w:proofErr w:type="spellEnd"/>
          </w:p>
        </w:tc>
        <w:tc>
          <w:tcPr>
            <w:tcW w:w="372" w:type="pct"/>
            <w:tcBorders>
              <w:bottom w:val="single" w:sz="4" w:space="0" w:color="auto"/>
            </w:tcBorders>
          </w:tcPr>
          <w:p w:rsidR="007926ED" w:rsidRPr="00443075" w:rsidRDefault="007926ED" w:rsidP="007926ED">
            <w:pPr>
              <w:keepNext/>
              <w:ind w:left="-108"/>
              <w:jc w:val="both"/>
              <w:rPr>
                <w:rFonts w:ascii="Arial Narrow" w:hAnsi="Arial Narrow" w:cs="Arial"/>
                <w:b/>
                <w:sz w:val="20"/>
                <w:szCs w:val="20"/>
              </w:rPr>
            </w:pPr>
            <w:r w:rsidRPr="00443075">
              <w:rPr>
                <w:rFonts w:ascii="Arial Narrow" w:hAnsi="Arial Narrow" w:cs="Arial"/>
                <w:b/>
                <w:sz w:val="20"/>
                <w:szCs w:val="20"/>
              </w:rPr>
              <w:t>№.of</w:t>
            </w:r>
          </w:p>
          <w:p w:rsidR="007926ED" w:rsidRPr="00443075" w:rsidRDefault="007926ED" w:rsidP="007926ED">
            <w:pPr>
              <w:keepNext/>
              <w:ind w:left="-108"/>
              <w:jc w:val="both"/>
              <w:rPr>
                <w:rFonts w:ascii="Arial Narrow" w:hAnsi="Arial Narrow" w:cs="Arial"/>
                <w:b/>
                <w:sz w:val="20"/>
                <w:szCs w:val="20"/>
              </w:rPr>
            </w:pPr>
            <w:proofErr w:type="spellStart"/>
            <w:r w:rsidRPr="00443075">
              <w:rPr>
                <w:rFonts w:ascii="Arial Narrow" w:hAnsi="Arial Narrow" w:cs="Arial"/>
                <w:b/>
                <w:sz w:val="20"/>
                <w:szCs w:val="20"/>
              </w:rPr>
              <w:t>Rpts</w:t>
            </w:r>
            <w:proofErr w:type="spellEnd"/>
          </w:p>
        </w:tc>
        <w:tc>
          <w:tcPr>
            <w:tcW w:w="1209" w:type="pct"/>
            <w:tcBorders>
              <w:bottom w:val="single" w:sz="4" w:space="0" w:color="auto"/>
            </w:tcBorders>
          </w:tcPr>
          <w:p w:rsidR="007926ED" w:rsidRPr="00443075" w:rsidRDefault="007926ED" w:rsidP="007926ED">
            <w:pPr>
              <w:keepNext/>
              <w:ind w:left="-108"/>
              <w:rPr>
                <w:rFonts w:ascii="Arial Narrow" w:hAnsi="Arial Narrow" w:cs="Arial"/>
                <w:b/>
                <w:sz w:val="20"/>
                <w:szCs w:val="20"/>
              </w:rPr>
            </w:pPr>
            <w:r w:rsidRPr="00443075">
              <w:rPr>
                <w:rFonts w:ascii="Arial Narrow" w:hAnsi="Arial Narrow" w:cs="Arial"/>
                <w:b/>
                <w:sz w:val="20"/>
                <w:szCs w:val="20"/>
              </w:rPr>
              <w:t xml:space="preserve">Dispensed Price for Max. </w:t>
            </w:r>
            <w:proofErr w:type="spellStart"/>
            <w:r w:rsidRPr="00443075">
              <w:rPr>
                <w:rFonts w:ascii="Arial Narrow" w:hAnsi="Arial Narrow" w:cs="Arial"/>
                <w:b/>
                <w:sz w:val="20"/>
                <w:szCs w:val="20"/>
              </w:rPr>
              <w:t>Qty</w:t>
            </w:r>
            <w:proofErr w:type="spellEnd"/>
          </w:p>
        </w:tc>
        <w:tc>
          <w:tcPr>
            <w:tcW w:w="1394" w:type="pct"/>
            <w:gridSpan w:val="2"/>
            <w:tcBorders>
              <w:bottom w:val="single" w:sz="4" w:space="0" w:color="auto"/>
            </w:tcBorders>
          </w:tcPr>
          <w:p w:rsidR="007926ED" w:rsidRPr="00443075" w:rsidRDefault="007926ED" w:rsidP="007926ED">
            <w:pPr>
              <w:keepNext/>
              <w:jc w:val="both"/>
              <w:rPr>
                <w:rFonts w:ascii="Arial Narrow" w:hAnsi="Arial Narrow" w:cs="Arial"/>
                <w:b/>
                <w:sz w:val="20"/>
                <w:szCs w:val="20"/>
              </w:rPr>
            </w:pPr>
            <w:r w:rsidRPr="00443075">
              <w:rPr>
                <w:rFonts w:ascii="Arial Narrow" w:hAnsi="Arial Narrow" w:cs="Arial"/>
                <w:b/>
                <w:sz w:val="20"/>
                <w:szCs w:val="20"/>
              </w:rPr>
              <w:t>Proprietary Name and Manufacturer</w:t>
            </w:r>
          </w:p>
        </w:tc>
      </w:tr>
      <w:tr w:rsidR="007926ED" w:rsidRPr="00443075" w:rsidTr="007926ED">
        <w:trPr>
          <w:cantSplit/>
          <w:trHeight w:val="577"/>
        </w:trPr>
        <w:tc>
          <w:tcPr>
            <w:tcW w:w="1653" w:type="pct"/>
          </w:tcPr>
          <w:p w:rsidR="007926ED" w:rsidRPr="00443075" w:rsidRDefault="007926ED" w:rsidP="007926ED">
            <w:pPr>
              <w:keepNext/>
              <w:ind w:left="-108"/>
              <w:jc w:val="both"/>
              <w:rPr>
                <w:rFonts w:ascii="Arial Narrow" w:hAnsi="Arial Narrow" w:cs="Arial"/>
                <w:smallCaps/>
                <w:sz w:val="20"/>
                <w:szCs w:val="20"/>
              </w:rPr>
            </w:pPr>
            <w:r w:rsidRPr="00443075">
              <w:rPr>
                <w:rFonts w:ascii="Arial Narrow" w:hAnsi="Arial Narrow" w:cs="Arial"/>
                <w:smallCaps/>
                <w:sz w:val="20"/>
                <w:szCs w:val="20"/>
              </w:rPr>
              <w:t>ADALIMUMAB</w:t>
            </w:r>
          </w:p>
          <w:p w:rsidR="007926ED" w:rsidRPr="00443075" w:rsidRDefault="007926ED" w:rsidP="007926ED">
            <w:pPr>
              <w:keepNext/>
              <w:ind w:left="-108"/>
              <w:jc w:val="both"/>
              <w:rPr>
                <w:rFonts w:ascii="Arial Narrow" w:hAnsi="Arial Narrow" w:cs="Arial"/>
                <w:sz w:val="20"/>
                <w:szCs w:val="20"/>
              </w:rPr>
            </w:pPr>
            <w:r w:rsidRPr="00443075">
              <w:rPr>
                <w:rFonts w:ascii="Arial Narrow" w:hAnsi="Arial Narrow" w:cs="Arial"/>
                <w:sz w:val="20"/>
                <w:szCs w:val="20"/>
              </w:rPr>
              <w:t xml:space="preserve">Injection, 40 mg in 0.8 mL pre-filled syringe </w:t>
            </w:r>
          </w:p>
          <w:p w:rsidR="007926ED" w:rsidRPr="00443075" w:rsidRDefault="007926ED" w:rsidP="007926ED">
            <w:pPr>
              <w:keepNext/>
              <w:ind w:left="-108"/>
              <w:jc w:val="both"/>
              <w:rPr>
                <w:rFonts w:ascii="Arial Narrow" w:hAnsi="Arial Narrow" w:cs="Arial"/>
                <w:smallCaps/>
                <w:sz w:val="20"/>
                <w:szCs w:val="20"/>
              </w:rPr>
            </w:pPr>
            <w:r w:rsidRPr="00443075">
              <w:rPr>
                <w:rFonts w:ascii="Arial Narrow" w:hAnsi="Arial Narrow" w:cs="Arial"/>
                <w:sz w:val="20"/>
                <w:szCs w:val="20"/>
              </w:rPr>
              <w:t>Injection, 40 mg in 0.8 mL pre-filled pen</w:t>
            </w:r>
          </w:p>
        </w:tc>
        <w:tc>
          <w:tcPr>
            <w:tcW w:w="372" w:type="pct"/>
          </w:tcPr>
          <w:p w:rsidR="007926ED" w:rsidRPr="00443075" w:rsidRDefault="007926ED" w:rsidP="007926ED">
            <w:pPr>
              <w:keepNext/>
              <w:ind w:left="-108"/>
              <w:jc w:val="both"/>
              <w:rPr>
                <w:rFonts w:ascii="Arial Narrow" w:hAnsi="Arial Narrow" w:cs="Arial"/>
                <w:sz w:val="20"/>
                <w:szCs w:val="20"/>
              </w:rPr>
            </w:pPr>
          </w:p>
          <w:p w:rsidR="007926ED" w:rsidRPr="00443075" w:rsidRDefault="007926ED" w:rsidP="007926ED">
            <w:pPr>
              <w:keepNext/>
              <w:ind w:left="-108"/>
              <w:jc w:val="both"/>
              <w:rPr>
                <w:rFonts w:ascii="Arial Narrow" w:hAnsi="Arial Narrow" w:cs="Arial"/>
                <w:sz w:val="20"/>
                <w:szCs w:val="20"/>
              </w:rPr>
            </w:pPr>
            <w:r w:rsidRPr="00443075">
              <w:rPr>
                <w:rFonts w:ascii="Arial Narrow" w:hAnsi="Arial Narrow" w:cs="Arial"/>
                <w:sz w:val="20"/>
                <w:szCs w:val="20"/>
              </w:rPr>
              <w:t>4</w:t>
            </w:r>
          </w:p>
        </w:tc>
        <w:tc>
          <w:tcPr>
            <w:tcW w:w="372" w:type="pct"/>
          </w:tcPr>
          <w:p w:rsidR="007926ED" w:rsidRPr="00443075" w:rsidRDefault="007926ED" w:rsidP="007926ED">
            <w:pPr>
              <w:keepNext/>
              <w:ind w:left="-108"/>
              <w:jc w:val="both"/>
              <w:rPr>
                <w:rFonts w:ascii="Arial Narrow" w:hAnsi="Arial Narrow" w:cs="Arial"/>
                <w:sz w:val="20"/>
                <w:szCs w:val="20"/>
              </w:rPr>
            </w:pPr>
          </w:p>
          <w:p w:rsidR="007926ED" w:rsidRPr="00443075" w:rsidRDefault="007926ED" w:rsidP="007926ED">
            <w:pPr>
              <w:keepNext/>
              <w:ind w:left="-108"/>
              <w:jc w:val="both"/>
              <w:rPr>
                <w:rFonts w:ascii="Arial Narrow" w:hAnsi="Arial Narrow" w:cs="Arial"/>
                <w:sz w:val="20"/>
                <w:szCs w:val="20"/>
              </w:rPr>
            </w:pPr>
            <w:r w:rsidRPr="00443075">
              <w:rPr>
                <w:rFonts w:ascii="Arial Narrow" w:hAnsi="Arial Narrow" w:cs="Arial"/>
                <w:sz w:val="20"/>
                <w:szCs w:val="20"/>
              </w:rPr>
              <w:t>5</w:t>
            </w:r>
          </w:p>
        </w:tc>
        <w:tc>
          <w:tcPr>
            <w:tcW w:w="1209" w:type="pct"/>
          </w:tcPr>
          <w:p w:rsidR="007926ED" w:rsidRPr="00443075" w:rsidRDefault="007926ED" w:rsidP="007926ED">
            <w:pPr>
              <w:keepNext/>
              <w:ind w:left="-108"/>
              <w:rPr>
                <w:rFonts w:ascii="Arial Narrow" w:hAnsi="Arial Narrow" w:cs="Arial"/>
                <w:sz w:val="20"/>
                <w:szCs w:val="20"/>
              </w:rPr>
            </w:pPr>
          </w:p>
          <w:p w:rsidR="007926ED" w:rsidRPr="00443075" w:rsidRDefault="007926ED" w:rsidP="007926ED">
            <w:pPr>
              <w:keepNext/>
              <w:ind w:left="-108"/>
              <w:rPr>
                <w:rFonts w:ascii="Arial Narrow" w:hAnsi="Arial Narrow" w:cs="Arial"/>
                <w:sz w:val="20"/>
                <w:szCs w:val="20"/>
              </w:rPr>
            </w:pPr>
            <w:r w:rsidRPr="00443075">
              <w:rPr>
                <w:rFonts w:ascii="Arial Narrow" w:hAnsi="Arial Narrow" w:cs="Arial"/>
                <w:sz w:val="20"/>
                <w:szCs w:val="20"/>
              </w:rPr>
              <w:t>Effective price</w:t>
            </w:r>
          </w:p>
          <w:p w:rsidR="007926ED" w:rsidRPr="00443075" w:rsidRDefault="007926ED" w:rsidP="007926ED">
            <w:pPr>
              <w:keepNext/>
              <w:ind w:left="-108"/>
              <w:rPr>
                <w:rFonts w:ascii="Arial Narrow" w:hAnsi="Arial Narrow" w:cs="Arial"/>
                <w:sz w:val="20"/>
                <w:szCs w:val="20"/>
              </w:rPr>
            </w:pPr>
            <w:r w:rsidRPr="00443075">
              <w:rPr>
                <w:rFonts w:ascii="Arial Narrow" w:hAnsi="Arial Narrow" w:cs="Arial"/>
                <w:sz w:val="20"/>
                <w:szCs w:val="20"/>
              </w:rPr>
              <w:t>$</w:t>
            </w:r>
            <w:r w:rsidR="00565AC7">
              <w:rPr>
                <w:rFonts w:ascii="Arial Narrow" w:hAnsi="Arial Narrow" w:cs="Arial"/>
                <w:noProof/>
                <w:color w:val="000000"/>
                <w:sz w:val="20"/>
                <w:szCs w:val="20"/>
                <w:highlight w:val="black"/>
              </w:rPr>
              <w:t>'''''''''''''''''''''''</w:t>
            </w:r>
          </w:p>
          <w:p w:rsidR="007926ED" w:rsidRPr="00443075" w:rsidRDefault="007926ED" w:rsidP="007926ED">
            <w:pPr>
              <w:keepNext/>
              <w:ind w:left="-108"/>
              <w:rPr>
                <w:rFonts w:ascii="Arial Narrow" w:hAnsi="Arial Narrow" w:cs="Arial"/>
                <w:sz w:val="20"/>
                <w:szCs w:val="20"/>
              </w:rPr>
            </w:pPr>
            <w:r w:rsidRPr="00443075">
              <w:rPr>
                <w:rFonts w:ascii="Arial Narrow" w:hAnsi="Arial Narrow" w:cs="Arial"/>
                <w:sz w:val="20"/>
                <w:szCs w:val="20"/>
              </w:rPr>
              <w:t>Public price</w:t>
            </w:r>
          </w:p>
          <w:p w:rsidR="007926ED" w:rsidRPr="00443075" w:rsidRDefault="007926ED" w:rsidP="007926ED">
            <w:pPr>
              <w:keepNext/>
              <w:ind w:left="-108"/>
              <w:rPr>
                <w:rFonts w:ascii="Arial Narrow" w:hAnsi="Arial Narrow" w:cs="Arial"/>
                <w:sz w:val="20"/>
                <w:szCs w:val="20"/>
              </w:rPr>
            </w:pPr>
            <w:r w:rsidRPr="00443075">
              <w:rPr>
                <w:rFonts w:ascii="Arial Narrow" w:hAnsi="Arial Narrow" w:cs="Arial"/>
                <w:sz w:val="20"/>
                <w:szCs w:val="20"/>
              </w:rPr>
              <w:t>$3,243.87</w:t>
            </w:r>
          </w:p>
        </w:tc>
        <w:tc>
          <w:tcPr>
            <w:tcW w:w="650" w:type="pct"/>
          </w:tcPr>
          <w:p w:rsidR="007926ED" w:rsidRPr="00443075" w:rsidRDefault="007926ED" w:rsidP="007926ED">
            <w:pPr>
              <w:keepNext/>
              <w:jc w:val="both"/>
              <w:rPr>
                <w:rFonts w:ascii="Arial Narrow" w:hAnsi="Arial Narrow" w:cs="Arial"/>
                <w:sz w:val="20"/>
                <w:szCs w:val="20"/>
              </w:rPr>
            </w:pPr>
          </w:p>
          <w:p w:rsidR="007926ED" w:rsidRPr="00443075" w:rsidRDefault="007926ED" w:rsidP="007926ED">
            <w:pPr>
              <w:keepNext/>
              <w:jc w:val="both"/>
              <w:rPr>
                <w:rFonts w:ascii="Arial Narrow" w:hAnsi="Arial Narrow" w:cs="Arial"/>
                <w:sz w:val="20"/>
                <w:szCs w:val="20"/>
              </w:rPr>
            </w:pPr>
            <w:r w:rsidRPr="00443075">
              <w:rPr>
                <w:rFonts w:ascii="Arial Narrow" w:hAnsi="Arial Narrow" w:cs="Arial"/>
                <w:sz w:val="20"/>
                <w:szCs w:val="20"/>
              </w:rPr>
              <w:t>HUMIRA®</w:t>
            </w:r>
          </w:p>
        </w:tc>
        <w:tc>
          <w:tcPr>
            <w:tcW w:w="744" w:type="pct"/>
          </w:tcPr>
          <w:p w:rsidR="007926ED" w:rsidRPr="00443075" w:rsidRDefault="007926ED" w:rsidP="007926ED">
            <w:pPr>
              <w:keepNext/>
              <w:jc w:val="both"/>
              <w:rPr>
                <w:rFonts w:ascii="Arial Narrow" w:hAnsi="Arial Narrow" w:cs="Arial"/>
                <w:sz w:val="20"/>
                <w:szCs w:val="20"/>
              </w:rPr>
            </w:pPr>
          </w:p>
          <w:p w:rsidR="007926ED" w:rsidRPr="00443075" w:rsidRDefault="007926ED" w:rsidP="007926ED">
            <w:pPr>
              <w:keepNext/>
              <w:jc w:val="both"/>
              <w:rPr>
                <w:rFonts w:ascii="Arial Narrow" w:hAnsi="Arial Narrow" w:cs="Arial"/>
                <w:sz w:val="20"/>
                <w:szCs w:val="20"/>
              </w:rPr>
            </w:pPr>
            <w:proofErr w:type="spellStart"/>
            <w:r w:rsidRPr="00443075">
              <w:rPr>
                <w:rFonts w:ascii="Arial Narrow" w:hAnsi="Arial Narrow" w:cs="Arial"/>
                <w:sz w:val="20"/>
                <w:szCs w:val="20"/>
              </w:rPr>
              <w:t>AbbVie</w:t>
            </w:r>
            <w:proofErr w:type="spellEnd"/>
            <w:r w:rsidRPr="00443075">
              <w:rPr>
                <w:rFonts w:ascii="Arial Narrow" w:hAnsi="Arial Narrow" w:cs="Arial"/>
                <w:sz w:val="20"/>
                <w:szCs w:val="20"/>
              </w:rPr>
              <w:t xml:space="preserve"> Pty Ltd</w:t>
            </w:r>
          </w:p>
        </w:tc>
      </w:tr>
    </w:tbl>
    <w:p w:rsidR="007926ED" w:rsidRPr="00443075" w:rsidRDefault="007926ED" w:rsidP="007926ED">
      <w:pPr>
        <w:pStyle w:val="Body"/>
        <w:keepNext/>
        <w:spacing w:after="0"/>
        <w:rPr>
          <w:rStyle w:val="CommentReference"/>
        </w:rPr>
      </w:pPr>
    </w:p>
    <w:tbl>
      <w:tblPr>
        <w:tblW w:w="8363" w:type="dxa"/>
        <w:tblInd w:w="737" w:type="dxa"/>
        <w:tblLayout w:type="fixed"/>
        <w:tblCellMar>
          <w:left w:w="28" w:type="dxa"/>
          <w:right w:w="28" w:type="dxa"/>
        </w:tblCellMar>
        <w:tblLook w:val="04A0" w:firstRow="1" w:lastRow="0" w:firstColumn="1" w:lastColumn="0" w:noHBand="0" w:noVBand="1"/>
      </w:tblPr>
      <w:tblGrid>
        <w:gridCol w:w="1843"/>
        <w:gridCol w:w="6520"/>
      </w:tblGrid>
      <w:tr w:rsidR="007926ED" w:rsidRPr="00443075" w:rsidTr="007926ED">
        <w:trPr>
          <w:cantSplit/>
          <w:trHeight w:val="123"/>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keepNext/>
              <w:rPr>
                <w:rFonts w:ascii="Arial Narrow" w:hAnsi="Arial Narrow"/>
                <w:b/>
                <w:sz w:val="20"/>
              </w:rPr>
            </w:pPr>
            <w:r w:rsidRPr="00443075">
              <w:rPr>
                <w:rFonts w:ascii="Arial Narrow" w:hAnsi="Arial Narrow"/>
                <w:b/>
                <w:sz w:val="20"/>
              </w:rPr>
              <w:t>Category / Program</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keepNext/>
              <w:spacing w:line="276" w:lineRule="auto"/>
              <w:rPr>
                <w:rFonts w:ascii="Arial Narrow" w:hAnsi="Arial Narrow"/>
                <w:sz w:val="20"/>
              </w:rPr>
            </w:pPr>
            <w:r w:rsidRPr="00443075">
              <w:rPr>
                <w:rFonts w:ascii="Arial Narrow" w:hAnsi="Arial Narrow"/>
                <w:sz w:val="20"/>
              </w:rPr>
              <w:t>GENERAL – General Schedule (Code GE)</w:t>
            </w:r>
          </w:p>
        </w:tc>
      </w:tr>
      <w:tr w:rsidR="007926ED" w:rsidRPr="00443075" w:rsidTr="007926ED">
        <w:trPr>
          <w:cantSplit/>
          <w:trHeight w:val="497"/>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Prescriber type:</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spacing w:after="200" w:line="276" w:lineRule="auto"/>
              <w:rPr>
                <w:rFonts w:ascii="Arial Narrow" w:hAnsi="Arial Narrow"/>
                <w:sz w:val="20"/>
              </w:rPr>
            </w:pPr>
            <w:r w:rsidRPr="00443075">
              <w:rPr>
                <w:rFonts w:ascii="Arial Narrow" w:hAnsi="Arial Narrow"/>
                <w:sz w:val="20"/>
              </w:rPr>
              <w:fldChar w:fldCharType="begin">
                <w:ffData>
                  <w:name w:val="Check1"/>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Dental  </w:t>
            </w:r>
            <w:r w:rsidRPr="00443075">
              <w:rPr>
                <w:rFonts w:ascii="Arial Narrow" w:hAnsi="Arial Narrow"/>
                <w:sz w:val="20"/>
              </w:rPr>
              <w:fldChar w:fldCharType="begin">
                <w:ffData>
                  <w:name w:val=""/>
                  <w:enabled/>
                  <w:calcOnExit w:val="0"/>
                  <w:checkBox>
                    <w:sizeAuto/>
                    <w:default w:val="1"/>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Medical Practitioners  </w:t>
            </w:r>
            <w:r w:rsidRPr="00443075">
              <w:rPr>
                <w:rFonts w:ascii="Arial Narrow" w:hAnsi="Arial Narrow"/>
                <w:sz w:val="20"/>
              </w:rPr>
              <w:fldChar w:fldCharType="begin">
                <w:ffData>
                  <w:name w:val="Check3"/>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Nurse practitioners  </w:t>
            </w:r>
            <w:r w:rsidRPr="00443075">
              <w:rPr>
                <w:rFonts w:ascii="Arial Narrow" w:hAnsi="Arial Narrow"/>
                <w:sz w:val="20"/>
              </w:rPr>
              <w:fldChar w:fldCharType="begin">
                <w:ffData>
                  <w:name w:val=""/>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Optometrists   </w:t>
            </w:r>
            <w:r w:rsidRPr="00443075">
              <w:rPr>
                <w:rFonts w:ascii="Arial Narrow" w:hAnsi="Arial Narrow"/>
                <w:sz w:val="20"/>
              </w:rPr>
              <w:fldChar w:fldCharType="begin">
                <w:ffData>
                  <w:name w:val="Check5"/>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Midwives</w:t>
            </w:r>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Severity:</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Moderate to severe</w:t>
            </w:r>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Condition:</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 xml:space="preserve">Hidradenitis </w:t>
            </w:r>
            <w:proofErr w:type="spellStart"/>
            <w:r w:rsidRPr="00443075">
              <w:rPr>
                <w:rFonts w:ascii="Arial Narrow" w:hAnsi="Arial Narrow"/>
                <w:sz w:val="20"/>
              </w:rPr>
              <w:t>suppurativa</w:t>
            </w:r>
            <w:proofErr w:type="spellEnd"/>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PBS indication:</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 xml:space="preserve">Moderate to severe hidradenitis </w:t>
            </w:r>
            <w:proofErr w:type="spellStart"/>
            <w:r w:rsidRPr="00443075">
              <w:rPr>
                <w:rFonts w:ascii="Arial Narrow" w:hAnsi="Arial Narrow"/>
                <w:sz w:val="20"/>
              </w:rPr>
              <w:t>suppurativa</w:t>
            </w:r>
            <w:proofErr w:type="spellEnd"/>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Treatment phase:</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Continuing treatment (initial)</w:t>
            </w:r>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Restriction Level / Method:</w:t>
            </w:r>
          </w:p>
        </w:tc>
        <w:tc>
          <w:tcPr>
            <w:tcW w:w="6520"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sz w:val="20"/>
              </w:rPr>
            </w:pPr>
            <w:r w:rsidRPr="00443075">
              <w:rPr>
                <w:rFonts w:ascii="Arial Narrow" w:hAnsi="Arial Narrow"/>
                <w:sz w:val="20"/>
              </w:rPr>
              <w:fldChar w:fldCharType="begin">
                <w:ffData>
                  <w:name w:val="Check1"/>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Restricted benefit </w:t>
            </w:r>
            <w:r w:rsidRPr="00443075">
              <w:rPr>
                <w:rFonts w:ascii="Arial Narrow" w:hAnsi="Arial Narrow"/>
                <w:sz w:val="20"/>
              </w:rPr>
              <w:fldChar w:fldCharType="begin">
                <w:ffData>
                  <w:name w:val=""/>
                  <w:enabled/>
                  <w:calcOnExit w:val="0"/>
                  <w:checkBox>
                    <w:sizeAuto/>
                    <w:default w:val="1"/>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In Writing Only </w:t>
            </w:r>
            <w:r w:rsidRPr="00443075">
              <w:rPr>
                <w:rFonts w:ascii="Arial Narrow" w:hAnsi="Arial Narrow"/>
                <w:sz w:val="20"/>
              </w:rPr>
              <w:fldChar w:fldCharType="begin">
                <w:ffData>
                  <w:name w:val="Check3"/>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Telephone </w:t>
            </w:r>
            <w:r w:rsidRPr="00443075">
              <w:rPr>
                <w:rFonts w:ascii="Arial Narrow" w:hAnsi="Arial Narrow"/>
                <w:sz w:val="20"/>
              </w:rPr>
              <w:fldChar w:fldCharType="begin">
                <w:ffData>
                  <w:name w:val=""/>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Emergency </w:t>
            </w:r>
            <w:r w:rsidRPr="00443075">
              <w:rPr>
                <w:rFonts w:ascii="Arial Narrow" w:hAnsi="Arial Narrow"/>
                <w:sz w:val="20"/>
              </w:rPr>
              <w:fldChar w:fldCharType="begin">
                <w:ffData>
                  <w:name w:val="Check5"/>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Electronic </w:t>
            </w:r>
            <w:r w:rsidRPr="00443075">
              <w:rPr>
                <w:rFonts w:ascii="Arial Narrow" w:hAnsi="Arial Narrow"/>
                <w:sz w:val="20"/>
              </w:rPr>
              <w:fldChar w:fldCharType="begin">
                <w:ffData>
                  <w:name w:val="Check5"/>
                  <w:enabled/>
                  <w:calcOnExit w:val="0"/>
                  <w:checkBox>
                    <w:sizeAuto/>
                    <w:default w:val="0"/>
                  </w:checkBox>
                </w:ffData>
              </w:fldChar>
            </w:r>
            <w:bookmarkStart w:id="0" w:name="Check5"/>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bookmarkEnd w:id="0"/>
            <w:r w:rsidRPr="00443075">
              <w:rPr>
                <w:rFonts w:ascii="Arial Narrow" w:hAnsi="Arial Narrow"/>
                <w:sz w:val="20"/>
              </w:rPr>
              <w:t>Streamlined</w:t>
            </w:r>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Treatment criteria:</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 xml:space="preserve">Must be treated by a dermatologist </w:t>
            </w:r>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Clinical criteria:</w:t>
            </w:r>
          </w:p>
        </w:tc>
        <w:tc>
          <w:tcPr>
            <w:tcW w:w="6520"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iCs/>
                <w:sz w:val="20"/>
              </w:rPr>
            </w:pPr>
            <w:r w:rsidRPr="00443075">
              <w:rPr>
                <w:rFonts w:ascii="Arial Narrow" w:hAnsi="Arial Narrow"/>
                <w:iCs/>
                <w:sz w:val="20"/>
              </w:rPr>
              <w:t xml:space="preserve">Patient must have a documented history of moderate to severe hidradenitis </w:t>
            </w:r>
            <w:proofErr w:type="spellStart"/>
            <w:r w:rsidRPr="00443075">
              <w:rPr>
                <w:rFonts w:ascii="Arial Narrow" w:hAnsi="Arial Narrow"/>
                <w:iCs/>
                <w:sz w:val="20"/>
              </w:rPr>
              <w:t>suppurativa</w:t>
            </w:r>
            <w:proofErr w:type="spellEnd"/>
            <w:r w:rsidRPr="00443075">
              <w:rPr>
                <w:rFonts w:ascii="Arial Narrow" w:hAnsi="Arial Narrow"/>
                <w:iCs/>
                <w:sz w:val="20"/>
              </w:rPr>
              <w:t>;</w:t>
            </w:r>
          </w:p>
          <w:p w:rsidR="007926ED" w:rsidRPr="00443075" w:rsidRDefault="007926ED" w:rsidP="007926ED">
            <w:pPr>
              <w:rPr>
                <w:rFonts w:ascii="Arial Narrow" w:hAnsi="Arial Narrow"/>
                <w:sz w:val="20"/>
              </w:rPr>
            </w:pPr>
            <w:r w:rsidRPr="00443075">
              <w:rPr>
                <w:rFonts w:ascii="Arial Narrow" w:hAnsi="Arial Narrow"/>
                <w:sz w:val="20"/>
              </w:rPr>
              <w:t>AND</w:t>
            </w:r>
          </w:p>
          <w:p w:rsidR="007926ED" w:rsidRPr="00443075" w:rsidRDefault="007926ED" w:rsidP="007926ED">
            <w:pPr>
              <w:rPr>
                <w:rFonts w:ascii="Arial Narrow" w:hAnsi="Arial Narrow"/>
                <w:sz w:val="20"/>
              </w:rPr>
            </w:pPr>
            <w:r w:rsidRPr="00443075">
              <w:rPr>
                <w:rFonts w:ascii="Arial Narrow" w:hAnsi="Arial Narrow"/>
                <w:sz w:val="20"/>
              </w:rPr>
              <w:t>Patient must have previously been issued with an initiation prescription for this drug for this condition;</w:t>
            </w:r>
          </w:p>
          <w:p w:rsidR="007926ED" w:rsidRPr="00443075" w:rsidRDefault="007926ED" w:rsidP="007926ED">
            <w:pPr>
              <w:rPr>
                <w:rFonts w:ascii="Arial Narrow" w:hAnsi="Arial Narrow"/>
                <w:sz w:val="20"/>
              </w:rPr>
            </w:pPr>
            <w:r w:rsidRPr="00443075">
              <w:rPr>
                <w:rFonts w:ascii="Arial Narrow" w:hAnsi="Arial Narrow"/>
                <w:sz w:val="20"/>
              </w:rPr>
              <w:t>AND</w:t>
            </w:r>
          </w:p>
          <w:p w:rsidR="007926ED" w:rsidRPr="00443075" w:rsidRDefault="007926ED" w:rsidP="007926ED">
            <w:pPr>
              <w:rPr>
                <w:rFonts w:ascii="Arial Narrow" w:hAnsi="Arial Narrow"/>
                <w:iCs/>
                <w:sz w:val="20"/>
              </w:rPr>
            </w:pPr>
            <w:r w:rsidRPr="00443075">
              <w:rPr>
                <w:rFonts w:ascii="Arial Narrow" w:hAnsi="Arial Narrow"/>
                <w:iCs/>
                <w:sz w:val="20"/>
              </w:rPr>
              <w:t xml:space="preserve">Patient must have demonstrated </w:t>
            </w:r>
            <w:proofErr w:type="spellStart"/>
            <w:r w:rsidRPr="00443075">
              <w:rPr>
                <w:rFonts w:ascii="Arial Narrow" w:hAnsi="Arial Narrow"/>
                <w:iCs/>
                <w:sz w:val="20"/>
              </w:rPr>
              <w:t>HiSCR</w:t>
            </w:r>
            <w:proofErr w:type="spellEnd"/>
            <w:r w:rsidRPr="00443075">
              <w:rPr>
                <w:rFonts w:ascii="Arial Narrow" w:hAnsi="Arial Narrow"/>
                <w:iCs/>
                <w:sz w:val="20"/>
              </w:rPr>
              <w:t xml:space="preserve"> with this drug, defined as a 50% decrease from baseline in inflammatory abscesses and nodules, with the assessment being no more than 1 month old at the time of application.</w:t>
            </w:r>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Prescriber Instructions</w:t>
            </w:r>
          </w:p>
        </w:tc>
        <w:tc>
          <w:tcPr>
            <w:tcW w:w="6520"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sz w:val="20"/>
              </w:rPr>
            </w:pPr>
            <w:r w:rsidRPr="00443075">
              <w:rPr>
                <w:rFonts w:ascii="Arial Narrow" w:hAnsi="Arial Narrow"/>
                <w:sz w:val="20"/>
              </w:rPr>
              <w:t xml:space="preserve">If the application is the first application for continuing treatment with </w:t>
            </w:r>
            <w:proofErr w:type="spellStart"/>
            <w:r w:rsidRPr="00443075">
              <w:rPr>
                <w:rFonts w:ascii="Arial Narrow" w:hAnsi="Arial Narrow"/>
                <w:sz w:val="20"/>
              </w:rPr>
              <w:t>adalimumab</w:t>
            </w:r>
            <w:proofErr w:type="spellEnd"/>
            <w:r w:rsidRPr="00443075">
              <w:rPr>
                <w:rFonts w:ascii="Arial Narrow" w:hAnsi="Arial Narrow"/>
                <w:sz w:val="20"/>
              </w:rPr>
              <w:t xml:space="preserve">, </w:t>
            </w:r>
            <w:proofErr w:type="spellStart"/>
            <w:r w:rsidRPr="00443075">
              <w:rPr>
                <w:rFonts w:ascii="Arial Narrow" w:hAnsi="Arial Narrow"/>
                <w:sz w:val="20"/>
              </w:rPr>
              <w:t>HiSCR</w:t>
            </w:r>
            <w:proofErr w:type="spellEnd"/>
            <w:r w:rsidRPr="00443075">
              <w:rPr>
                <w:rFonts w:ascii="Arial Narrow" w:hAnsi="Arial Narrow"/>
                <w:sz w:val="20"/>
              </w:rPr>
              <w:t xml:space="preserve"> assessment of the patient's response to this initial course of treatment must be made following a minimum of 12 weeks of therapy so that there is adequate time for a response to be demonstrated.</w:t>
            </w:r>
          </w:p>
          <w:p w:rsidR="007926ED" w:rsidRPr="00443075" w:rsidRDefault="007926ED" w:rsidP="007926ED">
            <w:pPr>
              <w:rPr>
                <w:rFonts w:ascii="Arial Narrow" w:hAnsi="Arial Narrow"/>
                <w:sz w:val="20"/>
              </w:rPr>
            </w:pPr>
            <w:r w:rsidRPr="00443075">
              <w:rPr>
                <w:rFonts w:ascii="Arial Narrow" w:hAnsi="Arial Narrow"/>
                <w:sz w:val="20"/>
              </w:rP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p>
          <w:p w:rsidR="007926ED" w:rsidRPr="00443075" w:rsidRDefault="007926ED" w:rsidP="007926ED">
            <w:pPr>
              <w:rPr>
                <w:rFonts w:ascii="Arial Narrow" w:hAnsi="Arial Narrow"/>
                <w:sz w:val="20"/>
              </w:rPr>
            </w:pPr>
            <w:r w:rsidRPr="00443075">
              <w:rPr>
                <w:rFonts w:ascii="Arial Narrow" w:hAnsi="Arial Narrow"/>
                <w:sz w:val="20"/>
              </w:rPr>
              <w:t>Where an assessment is not submitted to the Department of Human Services within these timeframes, patients will be deemed to have failed to respond, or to have failed to sustain a response, to treatment with this drug.</w:t>
            </w:r>
          </w:p>
          <w:p w:rsidR="007926ED" w:rsidRPr="00443075" w:rsidRDefault="007926ED" w:rsidP="007926ED">
            <w:pPr>
              <w:rPr>
                <w:rFonts w:ascii="Arial Narrow" w:hAnsi="Arial Narrow"/>
                <w:sz w:val="20"/>
              </w:rPr>
            </w:pPr>
            <w:r w:rsidRPr="00443075">
              <w:rPr>
                <w:rFonts w:ascii="Arial Narrow" w:hAnsi="Arial Narrow"/>
                <w:sz w:val="20"/>
              </w:rPr>
              <w:t>Patients are eligible to receive an additional 24 weeks of treatment with this drug providing they demonstrate a response as described above.</w:t>
            </w:r>
          </w:p>
          <w:p w:rsidR="007926ED" w:rsidRPr="00443075" w:rsidRDefault="007926ED" w:rsidP="007926ED">
            <w:pPr>
              <w:rPr>
                <w:rFonts w:ascii="Arial Narrow" w:hAnsi="Arial Narrow"/>
                <w:sz w:val="20"/>
              </w:rPr>
            </w:pPr>
            <w:r w:rsidRPr="00443075">
              <w:rPr>
                <w:rFonts w:ascii="Arial Narrow" w:hAnsi="Arial Narrow"/>
                <w:sz w:val="20"/>
              </w:rPr>
              <w:t>A maximum of 24 weeks treatment will be authorised under this criterion.</w:t>
            </w:r>
          </w:p>
        </w:tc>
      </w:tr>
    </w:tbl>
    <w:p w:rsidR="007926ED" w:rsidRPr="00443075" w:rsidRDefault="007926ED" w:rsidP="007926ED">
      <w:pPr>
        <w:pStyle w:val="Body"/>
        <w:keepNext/>
        <w:spacing w:before="0" w:after="0" w:line="240" w:lineRule="auto"/>
      </w:pPr>
    </w:p>
    <w:tbl>
      <w:tblPr>
        <w:tblW w:w="8363" w:type="dxa"/>
        <w:tblInd w:w="737" w:type="dxa"/>
        <w:tblLayout w:type="fixed"/>
        <w:tblCellMar>
          <w:left w:w="28" w:type="dxa"/>
          <w:right w:w="28" w:type="dxa"/>
        </w:tblCellMar>
        <w:tblLook w:val="04A0" w:firstRow="1" w:lastRow="0" w:firstColumn="1" w:lastColumn="0" w:noHBand="0" w:noVBand="1"/>
      </w:tblPr>
      <w:tblGrid>
        <w:gridCol w:w="1843"/>
        <w:gridCol w:w="6520"/>
      </w:tblGrid>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keepNext/>
              <w:spacing w:after="200" w:line="276" w:lineRule="auto"/>
              <w:rPr>
                <w:rFonts w:ascii="Arial Narrow" w:hAnsi="Arial Narrow"/>
                <w:b/>
                <w:sz w:val="20"/>
              </w:rPr>
            </w:pPr>
            <w:r w:rsidRPr="00443075">
              <w:rPr>
                <w:rFonts w:ascii="Arial Narrow" w:hAnsi="Arial Narrow"/>
                <w:b/>
                <w:sz w:val="20"/>
              </w:rPr>
              <w:t>Category / Program</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keepNext/>
              <w:spacing w:line="276" w:lineRule="auto"/>
              <w:rPr>
                <w:rFonts w:ascii="Arial Narrow" w:hAnsi="Arial Narrow"/>
                <w:sz w:val="20"/>
              </w:rPr>
            </w:pPr>
            <w:r w:rsidRPr="00443075">
              <w:rPr>
                <w:rFonts w:ascii="Arial Narrow" w:hAnsi="Arial Narrow"/>
                <w:sz w:val="20"/>
              </w:rPr>
              <w:t>GENERAL – General Schedule (Code GE)</w:t>
            </w:r>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spacing w:after="200" w:line="276" w:lineRule="auto"/>
              <w:rPr>
                <w:rFonts w:ascii="Arial Narrow" w:hAnsi="Arial Narrow"/>
                <w:b/>
                <w:sz w:val="20"/>
              </w:rPr>
            </w:pPr>
            <w:r w:rsidRPr="00443075">
              <w:rPr>
                <w:rFonts w:ascii="Arial Narrow" w:hAnsi="Arial Narrow"/>
                <w:b/>
                <w:sz w:val="20"/>
              </w:rPr>
              <w:t>Prescriber type:</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spacing w:after="200" w:line="276" w:lineRule="auto"/>
              <w:rPr>
                <w:rFonts w:ascii="Arial Narrow" w:hAnsi="Arial Narrow"/>
                <w:sz w:val="20"/>
              </w:rPr>
            </w:pPr>
            <w:r w:rsidRPr="00443075">
              <w:rPr>
                <w:rFonts w:ascii="Arial Narrow" w:hAnsi="Arial Narrow"/>
                <w:sz w:val="20"/>
              </w:rPr>
              <w:fldChar w:fldCharType="begin">
                <w:ffData>
                  <w:name w:val="Check1"/>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Dental  </w:t>
            </w:r>
            <w:r w:rsidRPr="00443075">
              <w:rPr>
                <w:rFonts w:ascii="Arial Narrow" w:hAnsi="Arial Narrow"/>
                <w:sz w:val="20"/>
              </w:rPr>
              <w:fldChar w:fldCharType="begin">
                <w:ffData>
                  <w:name w:val=""/>
                  <w:enabled/>
                  <w:calcOnExit w:val="0"/>
                  <w:checkBox>
                    <w:sizeAuto/>
                    <w:default w:val="1"/>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Medical Practitioners  </w:t>
            </w:r>
            <w:r w:rsidRPr="00443075">
              <w:rPr>
                <w:rFonts w:ascii="Arial Narrow" w:hAnsi="Arial Narrow"/>
                <w:sz w:val="20"/>
              </w:rPr>
              <w:fldChar w:fldCharType="begin">
                <w:ffData>
                  <w:name w:val="Check3"/>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Nurse practitioners  </w:t>
            </w:r>
            <w:r w:rsidRPr="00443075">
              <w:rPr>
                <w:rFonts w:ascii="Arial Narrow" w:hAnsi="Arial Narrow"/>
                <w:sz w:val="20"/>
              </w:rPr>
              <w:fldChar w:fldCharType="begin">
                <w:ffData>
                  <w:name w:val=""/>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Optometrists   </w:t>
            </w:r>
            <w:r w:rsidRPr="00443075">
              <w:rPr>
                <w:rFonts w:ascii="Arial Narrow" w:hAnsi="Arial Narrow"/>
                <w:sz w:val="20"/>
              </w:rPr>
              <w:fldChar w:fldCharType="begin">
                <w:ffData>
                  <w:name w:val="Check5"/>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Midwives</w:t>
            </w:r>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Severity:</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Moderate to severe</w:t>
            </w:r>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Condition:</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 xml:space="preserve">Hidradenitis </w:t>
            </w:r>
            <w:proofErr w:type="spellStart"/>
            <w:r w:rsidRPr="00443075">
              <w:rPr>
                <w:rFonts w:ascii="Arial Narrow" w:hAnsi="Arial Narrow"/>
                <w:sz w:val="20"/>
              </w:rPr>
              <w:t>suppurativa</w:t>
            </w:r>
            <w:proofErr w:type="spellEnd"/>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b/>
                <w:sz w:val="20"/>
              </w:rPr>
            </w:pPr>
            <w:r w:rsidRPr="00443075">
              <w:rPr>
                <w:rFonts w:ascii="Arial Narrow" w:hAnsi="Arial Narrow"/>
                <w:b/>
                <w:sz w:val="20"/>
              </w:rPr>
              <w:t>PBS indication:</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 xml:space="preserve">Moderate to severe hidradenitis </w:t>
            </w:r>
            <w:proofErr w:type="spellStart"/>
            <w:r w:rsidRPr="00443075">
              <w:rPr>
                <w:rFonts w:ascii="Arial Narrow" w:hAnsi="Arial Narrow"/>
                <w:sz w:val="20"/>
              </w:rPr>
              <w:t>suppurativa</w:t>
            </w:r>
            <w:proofErr w:type="spellEnd"/>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Treatment phase:</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Continuing treatment (subsequent)</w:t>
            </w:r>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Restriction Level / Method:</w:t>
            </w:r>
          </w:p>
        </w:tc>
        <w:tc>
          <w:tcPr>
            <w:tcW w:w="6520"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sz w:val="20"/>
              </w:rPr>
            </w:pPr>
            <w:r w:rsidRPr="00443075">
              <w:rPr>
                <w:rFonts w:ascii="Arial Narrow" w:hAnsi="Arial Narrow"/>
                <w:sz w:val="20"/>
              </w:rPr>
              <w:fldChar w:fldCharType="begin">
                <w:ffData>
                  <w:name w:val="Check1"/>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Restricted benefit </w:t>
            </w:r>
            <w:r w:rsidRPr="00443075">
              <w:rPr>
                <w:rFonts w:ascii="Arial Narrow" w:hAnsi="Arial Narrow"/>
                <w:sz w:val="20"/>
              </w:rPr>
              <w:fldChar w:fldCharType="begin">
                <w:ffData>
                  <w:name w:val="Check3"/>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In Writing Only </w:t>
            </w:r>
            <w:r w:rsidRPr="00443075">
              <w:rPr>
                <w:rFonts w:ascii="Arial Narrow" w:hAnsi="Arial Narrow"/>
                <w:sz w:val="20"/>
              </w:rPr>
              <w:fldChar w:fldCharType="begin">
                <w:ffData>
                  <w:name w:val="Check3"/>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Authority Required - Telephone</w:t>
            </w:r>
          </w:p>
          <w:p w:rsidR="007926ED" w:rsidRPr="00443075" w:rsidRDefault="007926ED" w:rsidP="007926ED">
            <w:pPr>
              <w:rPr>
                <w:rFonts w:ascii="Arial Narrow" w:hAnsi="Arial Narrow"/>
                <w:sz w:val="20"/>
              </w:rPr>
            </w:pPr>
            <w:r w:rsidRPr="00443075">
              <w:rPr>
                <w:rFonts w:ascii="Arial Narrow" w:hAnsi="Arial Narrow"/>
                <w:sz w:val="20"/>
              </w:rPr>
              <w:fldChar w:fldCharType="begin">
                <w:ffData>
                  <w:name w:val=""/>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Emergency </w:t>
            </w:r>
            <w:r w:rsidRPr="00443075">
              <w:rPr>
                <w:rFonts w:ascii="Arial Narrow" w:hAnsi="Arial Narrow"/>
                <w:sz w:val="20"/>
              </w:rPr>
              <w:fldChar w:fldCharType="begin">
                <w:ffData>
                  <w:name w:val="Check5"/>
                  <w:enabled/>
                  <w:calcOnExit w:val="0"/>
                  <w:checkBox>
                    <w:sizeAuto/>
                    <w:default w:val="0"/>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 xml:space="preserve">Authority Required – Electronic </w:t>
            </w:r>
            <w:r w:rsidRPr="00443075">
              <w:rPr>
                <w:rFonts w:ascii="Arial Narrow" w:hAnsi="Arial Narrow"/>
                <w:sz w:val="20"/>
              </w:rPr>
              <w:fldChar w:fldCharType="begin">
                <w:ffData>
                  <w:name w:val=""/>
                  <w:enabled/>
                  <w:calcOnExit w:val="0"/>
                  <w:checkBox>
                    <w:sizeAuto/>
                    <w:default w:val="1"/>
                  </w:checkBox>
                </w:ffData>
              </w:fldChar>
            </w:r>
            <w:r w:rsidRPr="00443075">
              <w:rPr>
                <w:rFonts w:ascii="Arial Narrow" w:hAnsi="Arial Narrow"/>
                <w:sz w:val="20"/>
              </w:rPr>
              <w:instrText xml:space="preserve"> FORMCHECKBOX </w:instrText>
            </w:r>
            <w:r w:rsidR="00565AC7">
              <w:rPr>
                <w:rFonts w:ascii="Arial Narrow" w:hAnsi="Arial Narrow"/>
                <w:sz w:val="20"/>
              </w:rPr>
            </w:r>
            <w:r w:rsidR="00565AC7">
              <w:rPr>
                <w:rFonts w:ascii="Arial Narrow" w:hAnsi="Arial Narrow"/>
                <w:sz w:val="20"/>
              </w:rPr>
              <w:fldChar w:fldCharType="separate"/>
            </w:r>
            <w:r w:rsidRPr="00443075">
              <w:rPr>
                <w:rFonts w:ascii="Arial Narrow" w:hAnsi="Arial Narrow"/>
                <w:sz w:val="20"/>
              </w:rPr>
              <w:fldChar w:fldCharType="end"/>
            </w:r>
            <w:r w:rsidRPr="00443075">
              <w:rPr>
                <w:rFonts w:ascii="Arial Narrow" w:hAnsi="Arial Narrow"/>
                <w:sz w:val="20"/>
              </w:rPr>
              <w:t>Streamlined</w:t>
            </w:r>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Treatment criteria:</w:t>
            </w:r>
          </w:p>
        </w:tc>
        <w:tc>
          <w:tcPr>
            <w:tcW w:w="6520" w:type="dxa"/>
            <w:tcBorders>
              <w:top w:val="single" w:sz="4" w:space="0" w:color="auto"/>
              <w:left w:val="single" w:sz="4" w:space="0" w:color="auto"/>
              <w:bottom w:val="single" w:sz="4" w:space="0" w:color="auto"/>
              <w:right w:val="single" w:sz="4" w:space="0" w:color="auto"/>
            </w:tcBorders>
            <w:hideMark/>
          </w:tcPr>
          <w:p w:rsidR="007926ED" w:rsidRPr="00443075" w:rsidRDefault="007926ED" w:rsidP="007926ED">
            <w:pPr>
              <w:rPr>
                <w:rFonts w:ascii="Arial Narrow" w:hAnsi="Arial Narrow"/>
                <w:sz w:val="20"/>
              </w:rPr>
            </w:pPr>
            <w:r w:rsidRPr="00443075">
              <w:rPr>
                <w:rFonts w:ascii="Arial Narrow" w:hAnsi="Arial Narrow"/>
                <w:sz w:val="20"/>
              </w:rPr>
              <w:t xml:space="preserve">Must be treated by a dermatologist </w:t>
            </w:r>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Clinical criteria:</w:t>
            </w:r>
          </w:p>
        </w:tc>
        <w:tc>
          <w:tcPr>
            <w:tcW w:w="6520"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iCs/>
                <w:sz w:val="20"/>
              </w:rPr>
            </w:pPr>
            <w:r w:rsidRPr="00443075">
              <w:rPr>
                <w:rFonts w:ascii="Arial Narrow" w:hAnsi="Arial Narrow"/>
                <w:iCs/>
                <w:sz w:val="20"/>
              </w:rPr>
              <w:t xml:space="preserve">Patient must have a documented history of moderate to severe hidradenitis </w:t>
            </w:r>
            <w:proofErr w:type="spellStart"/>
            <w:r w:rsidRPr="00443075">
              <w:rPr>
                <w:rFonts w:ascii="Arial Narrow" w:hAnsi="Arial Narrow"/>
                <w:iCs/>
                <w:sz w:val="20"/>
              </w:rPr>
              <w:t>suppurativa</w:t>
            </w:r>
            <w:proofErr w:type="spellEnd"/>
            <w:r w:rsidRPr="00443075">
              <w:rPr>
                <w:rFonts w:ascii="Arial Narrow" w:hAnsi="Arial Narrow"/>
                <w:iCs/>
                <w:sz w:val="20"/>
              </w:rPr>
              <w:t>;</w:t>
            </w:r>
          </w:p>
          <w:p w:rsidR="007926ED" w:rsidRPr="00443075" w:rsidRDefault="007926ED" w:rsidP="007926ED">
            <w:pPr>
              <w:rPr>
                <w:rFonts w:ascii="Arial Narrow" w:hAnsi="Arial Narrow"/>
                <w:sz w:val="20"/>
              </w:rPr>
            </w:pPr>
            <w:r w:rsidRPr="00443075">
              <w:rPr>
                <w:rFonts w:ascii="Arial Narrow" w:hAnsi="Arial Narrow"/>
                <w:sz w:val="20"/>
              </w:rPr>
              <w:t>AND</w:t>
            </w:r>
          </w:p>
          <w:p w:rsidR="007926ED" w:rsidRPr="00443075" w:rsidRDefault="007926ED" w:rsidP="007926ED">
            <w:pPr>
              <w:rPr>
                <w:rFonts w:ascii="Arial Narrow" w:hAnsi="Arial Narrow"/>
                <w:sz w:val="20"/>
              </w:rPr>
            </w:pPr>
            <w:r w:rsidRPr="00443075">
              <w:rPr>
                <w:rFonts w:ascii="Arial Narrow" w:hAnsi="Arial Narrow"/>
                <w:sz w:val="20"/>
              </w:rPr>
              <w:t>Patient must have previously been issued with a prescription for this drug for this condition;</w:t>
            </w:r>
          </w:p>
          <w:p w:rsidR="007926ED" w:rsidRPr="00443075" w:rsidRDefault="007926ED" w:rsidP="007926ED">
            <w:pPr>
              <w:rPr>
                <w:rFonts w:ascii="Arial Narrow" w:hAnsi="Arial Narrow"/>
                <w:sz w:val="20"/>
              </w:rPr>
            </w:pPr>
            <w:r w:rsidRPr="00443075">
              <w:rPr>
                <w:rFonts w:ascii="Arial Narrow" w:hAnsi="Arial Narrow"/>
                <w:sz w:val="20"/>
              </w:rPr>
              <w:t>AND</w:t>
            </w:r>
          </w:p>
          <w:p w:rsidR="007926ED" w:rsidRPr="00443075" w:rsidRDefault="007926ED" w:rsidP="007926ED">
            <w:pPr>
              <w:rPr>
                <w:rFonts w:ascii="Arial Narrow" w:hAnsi="Arial Narrow"/>
                <w:iCs/>
                <w:sz w:val="20"/>
              </w:rPr>
            </w:pPr>
            <w:r w:rsidRPr="00443075">
              <w:rPr>
                <w:rFonts w:ascii="Arial Narrow" w:hAnsi="Arial Narrow"/>
                <w:iCs/>
                <w:sz w:val="20"/>
              </w:rPr>
              <w:t xml:space="preserve">Patient must have demonstrated an adequate response to treatment with this drug as defined as achieving </w:t>
            </w:r>
            <w:proofErr w:type="spellStart"/>
            <w:r w:rsidRPr="00443075">
              <w:rPr>
                <w:rFonts w:ascii="Arial Narrow" w:hAnsi="Arial Narrow"/>
                <w:iCs/>
                <w:sz w:val="20"/>
              </w:rPr>
              <w:t>HiSCR</w:t>
            </w:r>
            <w:proofErr w:type="spellEnd"/>
            <w:r w:rsidRPr="00443075">
              <w:rPr>
                <w:rFonts w:ascii="Arial Narrow" w:hAnsi="Arial Narrow"/>
                <w:iCs/>
                <w:sz w:val="20"/>
              </w:rPr>
              <w:t xml:space="preserve"> (50% reduction in AN count as compared to baseline with no increase in abscesses or draining fistulae) with the assessment being no more than 1 month old at the time of application.</w:t>
            </w:r>
          </w:p>
        </w:tc>
      </w:tr>
      <w:tr w:rsidR="007926ED" w:rsidRPr="00443075" w:rsidTr="007926ED">
        <w:trPr>
          <w:cantSplit/>
          <w:trHeight w:val="20"/>
        </w:trPr>
        <w:tc>
          <w:tcPr>
            <w:tcW w:w="1843"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b/>
                <w:sz w:val="20"/>
              </w:rPr>
            </w:pPr>
            <w:r w:rsidRPr="00443075">
              <w:rPr>
                <w:rFonts w:ascii="Arial Narrow" w:hAnsi="Arial Narrow"/>
                <w:b/>
                <w:sz w:val="20"/>
              </w:rPr>
              <w:t>Prescriber Instructions</w:t>
            </w:r>
          </w:p>
        </w:tc>
        <w:tc>
          <w:tcPr>
            <w:tcW w:w="6520" w:type="dxa"/>
            <w:tcBorders>
              <w:top w:val="single" w:sz="4" w:space="0" w:color="auto"/>
              <w:left w:val="single" w:sz="4" w:space="0" w:color="auto"/>
              <w:bottom w:val="single" w:sz="4" w:space="0" w:color="auto"/>
              <w:right w:val="single" w:sz="4" w:space="0" w:color="auto"/>
            </w:tcBorders>
          </w:tcPr>
          <w:p w:rsidR="007926ED" w:rsidRPr="00443075" w:rsidRDefault="007926ED" w:rsidP="007926ED">
            <w:pPr>
              <w:rPr>
                <w:rFonts w:ascii="Arial Narrow" w:hAnsi="Arial Narrow"/>
                <w:sz w:val="20"/>
              </w:rPr>
            </w:pPr>
            <w:r w:rsidRPr="00443075">
              <w:rPr>
                <w:rFonts w:ascii="Arial Narrow" w:hAnsi="Arial Narrow"/>
                <w:sz w:val="20"/>
              </w:rPr>
              <w:t>If the application is the first application for continuing treatment after the initiation and 1</w:t>
            </w:r>
            <w:r w:rsidRPr="00443075">
              <w:rPr>
                <w:rFonts w:ascii="Arial Narrow" w:hAnsi="Arial Narrow"/>
                <w:sz w:val="20"/>
                <w:vertAlign w:val="superscript"/>
              </w:rPr>
              <w:t>st</w:t>
            </w:r>
            <w:r w:rsidRPr="00443075">
              <w:rPr>
                <w:rFonts w:ascii="Arial Narrow" w:hAnsi="Arial Narrow"/>
                <w:sz w:val="20"/>
              </w:rPr>
              <w:t xml:space="preserve"> continuing script with </w:t>
            </w:r>
            <w:proofErr w:type="spellStart"/>
            <w:r w:rsidRPr="00443075">
              <w:rPr>
                <w:rFonts w:ascii="Arial Narrow" w:hAnsi="Arial Narrow"/>
                <w:sz w:val="20"/>
              </w:rPr>
              <w:t>adalimumab</w:t>
            </w:r>
            <w:proofErr w:type="spellEnd"/>
            <w:r w:rsidRPr="00443075">
              <w:rPr>
                <w:rFonts w:ascii="Arial Narrow" w:hAnsi="Arial Narrow"/>
                <w:sz w:val="20"/>
              </w:rPr>
              <w:t>, an AN50 assessment of the patient's response to this initial course of treatment must be made following a minimum of 24 weeks of therapy after the initiation course, so that there is adequate time for a response to be demonstrated.</w:t>
            </w:r>
          </w:p>
          <w:p w:rsidR="007926ED" w:rsidRPr="00443075" w:rsidRDefault="007926ED" w:rsidP="007926ED">
            <w:pPr>
              <w:rPr>
                <w:rFonts w:ascii="Arial Narrow" w:hAnsi="Arial Narrow"/>
                <w:sz w:val="20"/>
              </w:rPr>
            </w:pPr>
            <w:r w:rsidRPr="00443075">
              <w:rPr>
                <w:rFonts w:ascii="Arial Narrow" w:hAnsi="Arial Narrow"/>
                <w:sz w:val="20"/>
              </w:rP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p>
          <w:p w:rsidR="007926ED" w:rsidRPr="00443075" w:rsidRDefault="007926ED" w:rsidP="007926ED">
            <w:pPr>
              <w:rPr>
                <w:rFonts w:ascii="Arial Narrow" w:hAnsi="Arial Narrow"/>
                <w:sz w:val="20"/>
              </w:rPr>
            </w:pPr>
            <w:r w:rsidRPr="00443075">
              <w:rPr>
                <w:rFonts w:ascii="Arial Narrow" w:hAnsi="Arial Narrow"/>
                <w:sz w:val="20"/>
              </w:rPr>
              <w:t>Where an assessment is not submitted to the Department of Human Services within these timeframes, patients will be deemed to have failed to respond, or to have failed to sustain a response, to treatment with this drug.</w:t>
            </w:r>
          </w:p>
          <w:p w:rsidR="007926ED" w:rsidRPr="00443075" w:rsidRDefault="007926ED" w:rsidP="007926ED">
            <w:pPr>
              <w:rPr>
                <w:rFonts w:ascii="Arial Narrow" w:hAnsi="Arial Narrow"/>
                <w:sz w:val="20"/>
              </w:rPr>
            </w:pPr>
            <w:r w:rsidRPr="00443075">
              <w:rPr>
                <w:rFonts w:ascii="Arial Narrow" w:hAnsi="Arial Narrow"/>
                <w:sz w:val="20"/>
              </w:rPr>
              <w:t>Patients are eligible to receive continuing treatment with this drug in courses of up to 24 weeks providing they continue to sustain the response.</w:t>
            </w:r>
          </w:p>
          <w:p w:rsidR="007926ED" w:rsidRPr="00443075" w:rsidRDefault="007926ED" w:rsidP="007926ED">
            <w:pPr>
              <w:rPr>
                <w:rFonts w:ascii="Arial Narrow" w:hAnsi="Arial Narrow"/>
                <w:sz w:val="20"/>
              </w:rPr>
            </w:pPr>
          </w:p>
          <w:p w:rsidR="007926ED" w:rsidRPr="00443075" w:rsidRDefault="007926ED" w:rsidP="007926ED">
            <w:pPr>
              <w:rPr>
                <w:rFonts w:ascii="Arial Narrow" w:hAnsi="Arial Narrow"/>
                <w:sz w:val="20"/>
              </w:rPr>
            </w:pPr>
            <w:r w:rsidRPr="00443075">
              <w:rPr>
                <w:rFonts w:ascii="Arial Narrow" w:hAnsi="Arial Narrow"/>
                <w:sz w:val="20"/>
              </w:rPr>
              <w:t>A maximum of 24 weeks treatment will be authorised under this criterion.</w:t>
            </w:r>
          </w:p>
        </w:tc>
      </w:tr>
    </w:tbl>
    <w:p w:rsidR="002C64EF" w:rsidRPr="00443075" w:rsidRDefault="002C64EF" w:rsidP="007926ED">
      <w:pPr>
        <w:pStyle w:val="ListParagraph"/>
        <w:jc w:val="both"/>
      </w:pPr>
    </w:p>
    <w:p w:rsidR="003F04D1" w:rsidRPr="00443075" w:rsidRDefault="003F04D1" w:rsidP="00087B7E">
      <w:pPr>
        <w:pStyle w:val="ListParagraph"/>
        <w:numPr>
          <w:ilvl w:val="1"/>
          <w:numId w:val="1"/>
        </w:numPr>
        <w:jc w:val="both"/>
        <w:rPr>
          <w:rStyle w:val="CommentReference"/>
          <w:sz w:val="24"/>
          <w:szCs w:val="24"/>
        </w:rPr>
      </w:pPr>
      <w:r w:rsidRPr="00443075">
        <w:rPr>
          <w:rStyle w:val="CommentReference"/>
          <w:rFonts w:ascii="Arial" w:hAnsi="Arial"/>
          <w:sz w:val="22"/>
          <w:szCs w:val="22"/>
        </w:rPr>
        <w:t xml:space="preserve">The sponsor proposed that patients who do not respond according to </w:t>
      </w:r>
      <w:proofErr w:type="spellStart"/>
      <w:r w:rsidRPr="00443075">
        <w:rPr>
          <w:rStyle w:val="CommentReference"/>
          <w:rFonts w:ascii="Arial" w:hAnsi="Arial"/>
          <w:sz w:val="22"/>
          <w:szCs w:val="22"/>
        </w:rPr>
        <w:t>HiSCR</w:t>
      </w:r>
      <w:proofErr w:type="spellEnd"/>
      <w:r w:rsidRPr="00443075">
        <w:rPr>
          <w:rStyle w:val="CommentReference"/>
          <w:rFonts w:ascii="Arial" w:hAnsi="Arial"/>
          <w:sz w:val="22"/>
          <w:szCs w:val="22"/>
        </w:rPr>
        <w:t xml:space="preserve"> have a maximum of </w:t>
      </w:r>
      <w:r w:rsidR="00D7738D" w:rsidRPr="00443075">
        <w:rPr>
          <w:rStyle w:val="CommentReference"/>
          <w:rFonts w:ascii="Arial" w:hAnsi="Arial"/>
          <w:sz w:val="22"/>
          <w:szCs w:val="22"/>
        </w:rPr>
        <w:t>three</w:t>
      </w:r>
      <w:r w:rsidRPr="00443075">
        <w:rPr>
          <w:rStyle w:val="CommentReference"/>
          <w:rFonts w:ascii="Arial" w:hAnsi="Arial"/>
          <w:sz w:val="22"/>
          <w:szCs w:val="22"/>
        </w:rPr>
        <w:t xml:space="preserve"> attempts, 12 months apart, in order to achieve </w:t>
      </w:r>
      <w:proofErr w:type="spellStart"/>
      <w:r w:rsidRPr="00443075">
        <w:rPr>
          <w:rStyle w:val="CommentReference"/>
          <w:rFonts w:ascii="Arial" w:hAnsi="Arial"/>
          <w:sz w:val="22"/>
          <w:szCs w:val="22"/>
        </w:rPr>
        <w:t>HiSCR</w:t>
      </w:r>
      <w:proofErr w:type="spellEnd"/>
      <w:r w:rsidRPr="00443075">
        <w:rPr>
          <w:rStyle w:val="CommentReference"/>
          <w:rFonts w:ascii="Arial" w:hAnsi="Arial"/>
          <w:sz w:val="22"/>
          <w:szCs w:val="22"/>
        </w:rPr>
        <w:t xml:space="preserve">. This </w:t>
      </w:r>
      <w:r w:rsidR="00146EA0" w:rsidRPr="00443075">
        <w:rPr>
          <w:rStyle w:val="CommentReference"/>
          <w:rFonts w:ascii="Arial" w:hAnsi="Arial"/>
          <w:sz w:val="22"/>
          <w:szCs w:val="22"/>
        </w:rPr>
        <w:t xml:space="preserve">was </w:t>
      </w:r>
      <w:r w:rsidR="003D3B21" w:rsidRPr="00443075">
        <w:rPr>
          <w:rStyle w:val="CommentReference"/>
          <w:rFonts w:ascii="Arial" w:hAnsi="Arial"/>
          <w:sz w:val="22"/>
          <w:szCs w:val="22"/>
        </w:rPr>
        <w:t xml:space="preserve">not </w:t>
      </w:r>
      <w:r w:rsidR="009E6D49" w:rsidRPr="00443075">
        <w:rPr>
          <w:rStyle w:val="CommentReference"/>
          <w:rFonts w:ascii="Arial" w:hAnsi="Arial"/>
          <w:sz w:val="22"/>
          <w:szCs w:val="22"/>
        </w:rPr>
        <w:t xml:space="preserve">incorporated </w:t>
      </w:r>
      <w:r w:rsidRPr="00443075">
        <w:rPr>
          <w:rStyle w:val="CommentReference"/>
          <w:rFonts w:ascii="Arial" w:hAnsi="Arial"/>
          <w:sz w:val="22"/>
          <w:szCs w:val="22"/>
        </w:rPr>
        <w:t xml:space="preserve">in the </w:t>
      </w:r>
      <w:r w:rsidR="009E6D49" w:rsidRPr="00443075">
        <w:rPr>
          <w:rStyle w:val="CommentReference"/>
          <w:rFonts w:ascii="Arial" w:hAnsi="Arial"/>
          <w:sz w:val="22"/>
          <w:szCs w:val="22"/>
        </w:rPr>
        <w:t xml:space="preserve">requested </w:t>
      </w:r>
      <w:r w:rsidRPr="00443075">
        <w:rPr>
          <w:rStyle w:val="CommentReference"/>
          <w:rFonts w:ascii="Arial" w:hAnsi="Arial"/>
          <w:sz w:val="22"/>
          <w:szCs w:val="22"/>
        </w:rPr>
        <w:t>listing.</w:t>
      </w:r>
      <w:r w:rsidR="00452F20" w:rsidRPr="00443075">
        <w:rPr>
          <w:rStyle w:val="CommentReference"/>
          <w:rFonts w:ascii="Arial" w:hAnsi="Arial"/>
          <w:sz w:val="22"/>
          <w:szCs w:val="22"/>
        </w:rPr>
        <w:t xml:space="preserve"> </w:t>
      </w:r>
      <w:r w:rsidR="00452F20" w:rsidRPr="00443075">
        <w:rPr>
          <w:rFonts w:ascii="Arial" w:hAnsi="Arial"/>
          <w:sz w:val="22"/>
          <w:szCs w:val="22"/>
        </w:rPr>
        <w:t>The pre-PBAC response proposed removing the re-treatment of patients who have failed to demonstrate response after one initiation script from the restriction criteria.</w:t>
      </w:r>
    </w:p>
    <w:p w:rsidR="00A64DB4" w:rsidRPr="00443075" w:rsidRDefault="00A64DB4">
      <w:pPr>
        <w:pStyle w:val="ListParagraph"/>
        <w:jc w:val="both"/>
      </w:pPr>
    </w:p>
    <w:p w:rsidR="00EB45ED" w:rsidRPr="00443075" w:rsidRDefault="00FB649B">
      <w:pPr>
        <w:pStyle w:val="ListParagraph"/>
        <w:numPr>
          <w:ilvl w:val="1"/>
          <w:numId w:val="1"/>
        </w:numPr>
        <w:jc w:val="both"/>
      </w:pPr>
      <w:r w:rsidRPr="00443075">
        <w:rPr>
          <w:rFonts w:ascii="Arial" w:hAnsi="Arial"/>
          <w:sz w:val="22"/>
          <w:szCs w:val="22"/>
        </w:rPr>
        <w:t xml:space="preserve">As recorded in the </w:t>
      </w:r>
      <w:r w:rsidR="00A05F6B" w:rsidRPr="00443075">
        <w:rPr>
          <w:rFonts w:ascii="Arial" w:hAnsi="Arial"/>
          <w:sz w:val="22"/>
          <w:szCs w:val="22"/>
        </w:rPr>
        <w:t xml:space="preserve">Public Summary Document (PSD) </w:t>
      </w:r>
      <w:r w:rsidR="00A64DB4" w:rsidRPr="00443075">
        <w:rPr>
          <w:rFonts w:ascii="Arial" w:hAnsi="Arial"/>
          <w:sz w:val="22"/>
          <w:szCs w:val="22"/>
        </w:rPr>
        <w:t xml:space="preserve">of the March 2016 PBAC meeting, the PBAC considered that a </w:t>
      </w:r>
      <w:r w:rsidR="003E4D75" w:rsidRPr="00443075">
        <w:rPr>
          <w:rFonts w:ascii="Arial" w:hAnsi="Arial"/>
          <w:sz w:val="22"/>
          <w:szCs w:val="22"/>
        </w:rPr>
        <w:t>re-submission would need to pres</w:t>
      </w:r>
      <w:r w:rsidR="00A64DB4" w:rsidRPr="00443075">
        <w:rPr>
          <w:rFonts w:ascii="Arial" w:hAnsi="Arial"/>
          <w:sz w:val="22"/>
          <w:szCs w:val="22"/>
        </w:rPr>
        <w:t xml:space="preserve">ent a well-defined place of </w:t>
      </w:r>
      <w:proofErr w:type="spellStart"/>
      <w:r w:rsidR="00A64DB4" w:rsidRPr="00443075">
        <w:rPr>
          <w:rFonts w:ascii="Arial" w:hAnsi="Arial"/>
          <w:sz w:val="22"/>
          <w:szCs w:val="22"/>
        </w:rPr>
        <w:t>adalimumab</w:t>
      </w:r>
      <w:proofErr w:type="spellEnd"/>
      <w:r w:rsidR="00A64DB4" w:rsidRPr="00443075">
        <w:rPr>
          <w:rFonts w:ascii="Arial" w:hAnsi="Arial"/>
          <w:sz w:val="22"/>
          <w:szCs w:val="22"/>
        </w:rPr>
        <w:t xml:space="preserve"> in the treatment algorithm for HS. The re</w:t>
      </w:r>
      <w:r w:rsidR="00EB45ED" w:rsidRPr="00443075">
        <w:rPr>
          <w:rFonts w:ascii="Arial" w:hAnsi="Arial"/>
          <w:sz w:val="22"/>
          <w:szCs w:val="22"/>
        </w:rPr>
        <w:t>-</w:t>
      </w:r>
      <w:r w:rsidR="00A64DB4" w:rsidRPr="00443075">
        <w:rPr>
          <w:rFonts w:ascii="Arial" w:hAnsi="Arial"/>
          <w:sz w:val="22"/>
          <w:szCs w:val="22"/>
        </w:rPr>
        <w:t xml:space="preserve">submission stated that the place of </w:t>
      </w:r>
      <w:proofErr w:type="spellStart"/>
      <w:r w:rsidR="00A64DB4" w:rsidRPr="00443075">
        <w:rPr>
          <w:rFonts w:ascii="Arial" w:hAnsi="Arial"/>
          <w:sz w:val="22"/>
          <w:szCs w:val="22"/>
        </w:rPr>
        <w:t>adalimumab</w:t>
      </w:r>
      <w:proofErr w:type="spellEnd"/>
      <w:r w:rsidR="00A64DB4" w:rsidRPr="00443075">
        <w:rPr>
          <w:rFonts w:ascii="Arial" w:hAnsi="Arial"/>
          <w:sz w:val="22"/>
          <w:szCs w:val="22"/>
        </w:rPr>
        <w:t xml:space="preserve"> in </w:t>
      </w:r>
      <w:r w:rsidR="00B75C75" w:rsidRPr="00443075">
        <w:rPr>
          <w:rFonts w:ascii="Arial" w:hAnsi="Arial"/>
          <w:sz w:val="22"/>
          <w:szCs w:val="22"/>
        </w:rPr>
        <w:t>the treatment algorithm reflected</w:t>
      </w:r>
      <w:r w:rsidR="00A64DB4" w:rsidRPr="00443075">
        <w:rPr>
          <w:rFonts w:ascii="Arial" w:hAnsi="Arial"/>
          <w:sz w:val="22"/>
          <w:szCs w:val="22"/>
        </w:rPr>
        <w:t xml:space="preserve"> the updated TGA wording, wherein patients who achieve </w:t>
      </w:r>
      <w:proofErr w:type="spellStart"/>
      <w:r w:rsidR="00A64DB4" w:rsidRPr="00443075">
        <w:rPr>
          <w:rFonts w:ascii="Arial" w:hAnsi="Arial"/>
          <w:sz w:val="22"/>
          <w:szCs w:val="22"/>
        </w:rPr>
        <w:t>HiSCR</w:t>
      </w:r>
      <w:proofErr w:type="spellEnd"/>
      <w:r w:rsidR="00A64DB4" w:rsidRPr="00443075">
        <w:rPr>
          <w:rFonts w:ascii="Arial" w:hAnsi="Arial"/>
          <w:sz w:val="22"/>
          <w:szCs w:val="22"/>
        </w:rPr>
        <w:t xml:space="preserve"> at 12 weeks are allowed to continue treatment. Patients are required to fail antibiotic treatment prior</w:t>
      </w:r>
      <w:r w:rsidR="00B75C75" w:rsidRPr="00443075">
        <w:rPr>
          <w:rFonts w:ascii="Arial" w:hAnsi="Arial"/>
          <w:sz w:val="22"/>
          <w:szCs w:val="22"/>
        </w:rPr>
        <w:t xml:space="preserve"> which is also</w:t>
      </w:r>
      <w:r w:rsidR="00A64DB4" w:rsidRPr="00443075">
        <w:rPr>
          <w:rFonts w:ascii="Arial" w:hAnsi="Arial"/>
          <w:sz w:val="22"/>
          <w:szCs w:val="22"/>
        </w:rPr>
        <w:t xml:space="preserve"> </w:t>
      </w:r>
      <w:r w:rsidR="00B75E62" w:rsidRPr="00443075">
        <w:rPr>
          <w:rFonts w:ascii="Arial" w:hAnsi="Arial"/>
          <w:sz w:val="22"/>
          <w:szCs w:val="22"/>
        </w:rPr>
        <w:t xml:space="preserve">in line with the updated TGA </w:t>
      </w:r>
      <w:r w:rsidR="00CF5775" w:rsidRPr="00443075">
        <w:rPr>
          <w:rFonts w:ascii="Arial" w:hAnsi="Arial"/>
          <w:sz w:val="22"/>
          <w:szCs w:val="22"/>
        </w:rPr>
        <w:t xml:space="preserve">indication </w:t>
      </w:r>
      <w:r w:rsidR="00B75E62" w:rsidRPr="00443075">
        <w:rPr>
          <w:rFonts w:ascii="Arial" w:hAnsi="Arial"/>
          <w:sz w:val="22"/>
          <w:szCs w:val="22"/>
        </w:rPr>
        <w:t>wording.</w:t>
      </w:r>
    </w:p>
    <w:p w:rsidR="00EB45ED" w:rsidRPr="00443075" w:rsidRDefault="00EB45ED">
      <w:pPr>
        <w:pStyle w:val="ListParagraph"/>
      </w:pPr>
    </w:p>
    <w:p w:rsidR="00EB45ED" w:rsidRPr="00443075" w:rsidRDefault="00EB45ED">
      <w:pPr>
        <w:pStyle w:val="ListParagraph"/>
        <w:numPr>
          <w:ilvl w:val="1"/>
          <w:numId w:val="1"/>
        </w:numPr>
        <w:jc w:val="both"/>
        <w:rPr>
          <w:rFonts w:ascii="Arial" w:hAnsi="Arial"/>
          <w:sz w:val="22"/>
          <w:szCs w:val="22"/>
        </w:rPr>
      </w:pPr>
      <w:r w:rsidRPr="00443075">
        <w:rPr>
          <w:rFonts w:ascii="Arial" w:hAnsi="Arial"/>
          <w:sz w:val="22"/>
          <w:szCs w:val="22"/>
        </w:rPr>
        <w:t xml:space="preserve">The TGA approved Product Information advised that </w:t>
      </w:r>
      <w:proofErr w:type="spellStart"/>
      <w:r w:rsidRPr="00443075">
        <w:rPr>
          <w:rFonts w:ascii="Arial" w:hAnsi="Arial"/>
          <w:sz w:val="22"/>
          <w:szCs w:val="22"/>
        </w:rPr>
        <w:t>adalimumab</w:t>
      </w:r>
      <w:proofErr w:type="spellEnd"/>
      <w:r w:rsidRPr="00443075">
        <w:rPr>
          <w:rFonts w:ascii="Arial" w:hAnsi="Arial"/>
          <w:sz w:val="22"/>
          <w:szCs w:val="22"/>
        </w:rPr>
        <w:t xml:space="preserve"> should be discontinued in patients without benefit after 12 weeks and that ongoing evidence of benefit, potential loss of response and the risks of treatment in patients continuing </w:t>
      </w:r>
      <w:proofErr w:type="spellStart"/>
      <w:r w:rsidRPr="00443075">
        <w:rPr>
          <w:rFonts w:ascii="Arial" w:hAnsi="Arial"/>
          <w:sz w:val="22"/>
          <w:szCs w:val="22"/>
        </w:rPr>
        <w:t>adalimumab</w:t>
      </w:r>
      <w:proofErr w:type="spellEnd"/>
      <w:r w:rsidRPr="00443075">
        <w:rPr>
          <w:rFonts w:ascii="Arial" w:hAnsi="Arial"/>
          <w:sz w:val="22"/>
          <w:szCs w:val="22"/>
        </w:rPr>
        <w:t xml:space="preserve"> beyond 12 weeks should be periodically evaluated “for example, after a further 12 weeks and every 6 months thereafter”. The re-submission suggested re</w:t>
      </w:r>
      <w:r w:rsidR="0026408D" w:rsidRPr="00443075">
        <w:rPr>
          <w:rFonts w:ascii="Arial" w:hAnsi="Arial"/>
          <w:sz w:val="22"/>
          <w:szCs w:val="22"/>
        </w:rPr>
        <w:noBreakHyphen/>
      </w:r>
      <w:r w:rsidRPr="00443075">
        <w:rPr>
          <w:rFonts w:ascii="Arial" w:hAnsi="Arial"/>
          <w:sz w:val="22"/>
          <w:szCs w:val="22"/>
        </w:rPr>
        <w:t>evaluation every 24 weeks (6 months). This is similar to the suggested periods in the Product Information, but without the first re-evaluation after “a further 12 weeks”.</w:t>
      </w:r>
    </w:p>
    <w:p w:rsidR="00982F3A" w:rsidRPr="00443075" w:rsidRDefault="00982F3A" w:rsidP="007926ED">
      <w:pPr>
        <w:pStyle w:val="ListParagraph"/>
        <w:jc w:val="both"/>
        <w:rPr>
          <w:rFonts w:ascii="Arial" w:hAnsi="Arial"/>
          <w:sz w:val="22"/>
          <w:szCs w:val="22"/>
        </w:rPr>
      </w:pPr>
    </w:p>
    <w:p w:rsidR="00733D34" w:rsidRPr="00443075" w:rsidRDefault="00B30320" w:rsidP="00322E23">
      <w:pPr>
        <w:pStyle w:val="ListParagraph"/>
        <w:numPr>
          <w:ilvl w:val="1"/>
          <w:numId w:val="1"/>
        </w:numPr>
        <w:jc w:val="both"/>
        <w:rPr>
          <w:rFonts w:ascii="Arial" w:hAnsi="Arial"/>
          <w:sz w:val="22"/>
          <w:szCs w:val="22"/>
        </w:rPr>
      </w:pPr>
      <w:r w:rsidRPr="00443075">
        <w:rPr>
          <w:rFonts w:ascii="Arial" w:hAnsi="Arial"/>
          <w:sz w:val="22"/>
          <w:szCs w:val="22"/>
        </w:rPr>
        <w:t xml:space="preserve">The March 2016 </w:t>
      </w:r>
      <w:r w:rsidR="00982F3A" w:rsidRPr="00443075">
        <w:rPr>
          <w:rFonts w:ascii="Arial" w:hAnsi="Arial"/>
          <w:sz w:val="22"/>
          <w:szCs w:val="22"/>
        </w:rPr>
        <w:t xml:space="preserve">pre-PBAC response and the minor re-submission requested listing for continuing therapy </w:t>
      </w:r>
      <w:r w:rsidRPr="00443075">
        <w:rPr>
          <w:rFonts w:ascii="Arial" w:hAnsi="Arial"/>
          <w:sz w:val="22"/>
          <w:szCs w:val="22"/>
        </w:rPr>
        <w:t xml:space="preserve">for </w:t>
      </w:r>
      <w:proofErr w:type="spellStart"/>
      <w:r w:rsidRPr="00443075">
        <w:rPr>
          <w:rFonts w:ascii="Arial" w:hAnsi="Arial"/>
          <w:sz w:val="22"/>
          <w:szCs w:val="22"/>
        </w:rPr>
        <w:t>HiSCR</w:t>
      </w:r>
      <w:proofErr w:type="spellEnd"/>
      <w:r w:rsidRPr="00443075">
        <w:rPr>
          <w:rFonts w:ascii="Arial" w:hAnsi="Arial"/>
          <w:sz w:val="22"/>
          <w:szCs w:val="22"/>
        </w:rPr>
        <w:t xml:space="preserve"> responders at week 12 (as opposed to </w:t>
      </w:r>
      <w:r w:rsidR="00982F3A" w:rsidRPr="00443075">
        <w:rPr>
          <w:rFonts w:ascii="Arial" w:hAnsi="Arial"/>
          <w:sz w:val="22"/>
          <w:szCs w:val="22"/>
        </w:rPr>
        <w:t xml:space="preserve">partial responders based on AN25 </w:t>
      </w:r>
      <w:r w:rsidRPr="00443075">
        <w:rPr>
          <w:rFonts w:ascii="Arial" w:hAnsi="Arial"/>
          <w:sz w:val="22"/>
          <w:szCs w:val="22"/>
        </w:rPr>
        <w:t xml:space="preserve">as </w:t>
      </w:r>
      <w:r w:rsidR="00982F3A" w:rsidRPr="00443075">
        <w:rPr>
          <w:rFonts w:ascii="Arial" w:hAnsi="Arial"/>
          <w:sz w:val="22"/>
          <w:szCs w:val="22"/>
        </w:rPr>
        <w:t xml:space="preserve">originally </w:t>
      </w:r>
      <w:r w:rsidRPr="00443075">
        <w:rPr>
          <w:rFonts w:ascii="Arial" w:hAnsi="Arial"/>
          <w:sz w:val="22"/>
          <w:szCs w:val="22"/>
        </w:rPr>
        <w:t>requested in the March 2016 major submission)</w:t>
      </w:r>
      <w:r w:rsidR="00982F3A" w:rsidRPr="00443075">
        <w:rPr>
          <w:rFonts w:ascii="Arial" w:hAnsi="Arial"/>
          <w:sz w:val="22"/>
          <w:szCs w:val="22"/>
        </w:rPr>
        <w:t>. The PBAC considered that this was reasonable and consistent with the ACPM recommendation (</w:t>
      </w:r>
      <w:r w:rsidR="00882D37" w:rsidRPr="00443075">
        <w:rPr>
          <w:rFonts w:ascii="Arial" w:hAnsi="Arial"/>
          <w:sz w:val="22"/>
          <w:szCs w:val="22"/>
        </w:rPr>
        <w:t>paragraph</w:t>
      </w:r>
      <w:r w:rsidR="00982F3A" w:rsidRPr="00443075">
        <w:rPr>
          <w:rFonts w:ascii="Arial" w:hAnsi="Arial"/>
          <w:sz w:val="22"/>
          <w:szCs w:val="22"/>
        </w:rPr>
        <w:t xml:space="preserve"> 7.4</w:t>
      </w:r>
      <w:r w:rsidR="00727B66" w:rsidRPr="00443075">
        <w:rPr>
          <w:rFonts w:ascii="Arial" w:hAnsi="Arial"/>
          <w:sz w:val="22"/>
          <w:szCs w:val="22"/>
        </w:rPr>
        <w:t xml:space="preserve"> of the March 2016 </w:t>
      </w:r>
      <w:proofErr w:type="spellStart"/>
      <w:r w:rsidR="00727B66" w:rsidRPr="00443075">
        <w:rPr>
          <w:rFonts w:ascii="Arial" w:hAnsi="Arial"/>
          <w:sz w:val="22"/>
          <w:szCs w:val="22"/>
        </w:rPr>
        <w:t>adalimumab</w:t>
      </w:r>
      <w:proofErr w:type="spellEnd"/>
      <w:r w:rsidR="00727B66" w:rsidRPr="00443075">
        <w:rPr>
          <w:rFonts w:ascii="Arial" w:hAnsi="Arial"/>
          <w:sz w:val="22"/>
          <w:szCs w:val="22"/>
        </w:rPr>
        <w:t xml:space="preserve"> PSD</w:t>
      </w:r>
      <w:r w:rsidR="00982F3A" w:rsidRPr="00443075">
        <w:rPr>
          <w:rFonts w:ascii="Arial" w:hAnsi="Arial"/>
          <w:sz w:val="22"/>
          <w:szCs w:val="22"/>
        </w:rPr>
        <w:t xml:space="preserve">). </w:t>
      </w:r>
      <w:r w:rsidR="005D4B6E" w:rsidRPr="00443075">
        <w:rPr>
          <w:rFonts w:ascii="Arial" w:hAnsi="Arial"/>
          <w:sz w:val="22"/>
          <w:szCs w:val="22"/>
        </w:rPr>
        <w:t xml:space="preserve">The proposed restriction </w:t>
      </w:r>
      <w:r w:rsidR="00B6388B" w:rsidRPr="00443075">
        <w:rPr>
          <w:rFonts w:ascii="Arial" w:hAnsi="Arial"/>
          <w:sz w:val="22"/>
          <w:szCs w:val="22"/>
        </w:rPr>
        <w:t>did</w:t>
      </w:r>
      <w:r w:rsidR="005D4B6E" w:rsidRPr="00443075">
        <w:rPr>
          <w:rFonts w:ascii="Arial" w:hAnsi="Arial"/>
          <w:sz w:val="22"/>
          <w:szCs w:val="22"/>
        </w:rPr>
        <w:t xml:space="preserve"> not include a limit on the number of times a patient who has previously responded to treatment can be prescribed </w:t>
      </w:r>
      <w:proofErr w:type="spellStart"/>
      <w:r w:rsidR="005D4B6E" w:rsidRPr="00443075">
        <w:rPr>
          <w:rFonts w:ascii="Arial" w:hAnsi="Arial"/>
          <w:sz w:val="22"/>
          <w:szCs w:val="22"/>
        </w:rPr>
        <w:t>adalimumab</w:t>
      </w:r>
      <w:proofErr w:type="spellEnd"/>
      <w:r w:rsidR="005D4B6E" w:rsidRPr="00443075">
        <w:rPr>
          <w:rFonts w:ascii="Arial" w:hAnsi="Arial"/>
          <w:sz w:val="22"/>
          <w:szCs w:val="22"/>
        </w:rPr>
        <w:t xml:space="preserve"> for HS.</w:t>
      </w:r>
      <w:r w:rsidR="003100F8" w:rsidRPr="00443075">
        <w:rPr>
          <w:rFonts w:ascii="Arial" w:hAnsi="Arial"/>
          <w:sz w:val="22"/>
          <w:szCs w:val="22"/>
        </w:rPr>
        <w:t xml:space="preserve"> </w:t>
      </w:r>
      <w:r w:rsidR="00452F20" w:rsidRPr="00443075">
        <w:rPr>
          <w:rFonts w:ascii="Arial" w:hAnsi="Arial"/>
          <w:sz w:val="22"/>
          <w:szCs w:val="22"/>
        </w:rPr>
        <w:t>The pre-PBAC response argued that responders may require a temporary break in therapy (e.g. desire to fall pregnant or have surgery) and these patients should be allowed to re-initiate treatment after this break. The pre-PBAC response stated that the number of responding patients that were expected to re</w:t>
      </w:r>
      <w:r w:rsidR="00452F20" w:rsidRPr="00443075">
        <w:rPr>
          <w:rFonts w:ascii="Arial" w:hAnsi="Arial"/>
          <w:sz w:val="22"/>
          <w:szCs w:val="22"/>
        </w:rPr>
        <w:noBreakHyphen/>
        <w:t>initiate treatment is estimated to be fewer than 5% of responding patients per year</w:t>
      </w:r>
      <w:r w:rsidRPr="00443075">
        <w:rPr>
          <w:rFonts w:ascii="Arial" w:hAnsi="Arial"/>
          <w:sz w:val="22"/>
          <w:szCs w:val="22"/>
        </w:rPr>
        <w:t>.</w:t>
      </w:r>
    </w:p>
    <w:p w:rsidR="00733D34" w:rsidRPr="00443075" w:rsidRDefault="00733D34" w:rsidP="00195759">
      <w:pPr>
        <w:pStyle w:val="ListParagraph"/>
        <w:jc w:val="both"/>
        <w:rPr>
          <w:rFonts w:ascii="Arial" w:hAnsi="Arial"/>
          <w:sz w:val="22"/>
          <w:szCs w:val="22"/>
        </w:rPr>
      </w:pPr>
    </w:p>
    <w:p w:rsidR="00452F20" w:rsidRPr="00443075" w:rsidRDefault="00733D34" w:rsidP="00322E23">
      <w:pPr>
        <w:pStyle w:val="ListParagraph"/>
        <w:numPr>
          <w:ilvl w:val="1"/>
          <w:numId w:val="1"/>
        </w:numPr>
        <w:jc w:val="both"/>
        <w:rPr>
          <w:rFonts w:ascii="Arial" w:hAnsi="Arial"/>
          <w:sz w:val="22"/>
          <w:szCs w:val="22"/>
        </w:rPr>
      </w:pPr>
      <w:r w:rsidRPr="00443075">
        <w:rPr>
          <w:rFonts w:ascii="Arial" w:hAnsi="Arial"/>
          <w:sz w:val="22"/>
          <w:szCs w:val="22"/>
        </w:rPr>
        <w:t xml:space="preserve">The pre-PBAC response </w:t>
      </w:r>
      <w:r w:rsidR="00B30320" w:rsidRPr="00443075">
        <w:rPr>
          <w:rFonts w:ascii="Arial" w:hAnsi="Arial"/>
          <w:sz w:val="22"/>
          <w:szCs w:val="22"/>
        </w:rPr>
        <w:t xml:space="preserve">for the current submission included a revised </w:t>
      </w:r>
      <w:r w:rsidRPr="00443075">
        <w:rPr>
          <w:rFonts w:ascii="Arial" w:hAnsi="Arial"/>
          <w:sz w:val="22"/>
          <w:szCs w:val="22"/>
        </w:rPr>
        <w:t xml:space="preserve">price offer </w:t>
      </w:r>
      <w:r w:rsidR="00B30320" w:rsidRPr="00443075">
        <w:rPr>
          <w:rFonts w:ascii="Arial" w:hAnsi="Arial"/>
          <w:sz w:val="22"/>
          <w:szCs w:val="22"/>
        </w:rPr>
        <w:t xml:space="preserve">of a </w:t>
      </w:r>
      <w:r w:rsidR="00565AC7">
        <w:rPr>
          <w:rFonts w:ascii="Arial" w:hAnsi="Arial"/>
          <w:noProof/>
          <w:color w:val="000000"/>
          <w:sz w:val="22"/>
          <w:szCs w:val="22"/>
          <w:highlight w:val="black"/>
        </w:rPr>
        <w:t>'''''''</w:t>
      </w:r>
      <w:r w:rsidRPr="00443075">
        <w:rPr>
          <w:rFonts w:ascii="Arial" w:hAnsi="Arial"/>
          <w:sz w:val="22"/>
          <w:szCs w:val="22"/>
        </w:rPr>
        <w:t xml:space="preserve">% discount on the published price of </w:t>
      </w:r>
      <w:proofErr w:type="spellStart"/>
      <w:r w:rsidRPr="00443075">
        <w:rPr>
          <w:rFonts w:ascii="Arial" w:hAnsi="Arial"/>
          <w:sz w:val="22"/>
          <w:szCs w:val="22"/>
        </w:rPr>
        <w:t>adalimumab</w:t>
      </w:r>
      <w:proofErr w:type="spellEnd"/>
      <w:r w:rsidR="008D5C5C" w:rsidRPr="00443075">
        <w:rPr>
          <w:rFonts w:ascii="Arial" w:hAnsi="Arial"/>
          <w:sz w:val="22"/>
          <w:szCs w:val="22"/>
        </w:rPr>
        <w:t>.</w:t>
      </w:r>
    </w:p>
    <w:p w:rsidR="00881715" w:rsidRPr="00443075" w:rsidRDefault="00881715" w:rsidP="00195759">
      <w:pPr>
        <w:rPr>
          <w:rFonts w:ascii="Arial" w:hAnsi="Arial"/>
          <w:sz w:val="22"/>
          <w:szCs w:val="22"/>
        </w:rPr>
      </w:pPr>
    </w:p>
    <w:p w:rsidR="0064795C" w:rsidRPr="00443075" w:rsidRDefault="0064795C">
      <w:pPr>
        <w:ind w:firstLine="720"/>
        <w:jc w:val="both"/>
        <w:rPr>
          <w:rFonts w:ascii="Arial" w:hAnsi="Arial"/>
          <w:b/>
          <w:sz w:val="22"/>
          <w:szCs w:val="22"/>
        </w:rPr>
      </w:pPr>
      <w:r w:rsidRPr="00443075">
        <w:rPr>
          <w:rFonts w:ascii="Arial" w:hAnsi="Arial" w:cs="Arial"/>
          <w:bCs/>
          <w:i/>
          <w:snapToGrid w:val="0"/>
          <w:sz w:val="22"/>
          <w:szCs w:val="22"/>
        </w:rPr>
        <w:t>For more detail on PBAC’s view, see section 7 “PBAC outcome”</w:t>
      </w:r>
    </w:p>
    <w:p w:rsidR="00A159BD" w:rsidRPr="00443075" w:rsidRDefault="00A159BD">
      <w:pPr>
        <w:jc w:val="both"/>
        <w:rPr>
          <w:rFonts w:ascii="Arial" w:hAnsi="Arial"/>
          <w:b/>
          <w:sz w:val="22"/>
          <w:szCs w:val="22"/>
        </w:rPr>
      </w:pPr>
    </w:p>
    <w:p w:rsidR="008E0038" w:rsidRPr="00443075" w:rsidRDefault="008E0038">
      <w:pPr>
        <w:jc w:val="both"/>
        <w:rPr>
          <w:rFonts w:ascii="Arial" w:hAnsi="Arial"/>
          <w:b/>
          <w:sz w:val="22"/>
          <w:szCs w:val="22"/>
        </w:rPr>
      </w:pPr>
    </w:p>
    <w:p w:rsidR="00CE10C4" w:rsidRPr="00443075" w:rsidRDefault="00CE10C4" w:rsidP="00565AC7">
      <w:pPr>
        <w:pStyle w:val="Heading1"/>
      </w:pPr>
      <w:r w:rsidRPr="00443075">
        <w:t>Background</w:t>
      </w:r>
    </w:p>
    <w:p w:rsidR="000B6212" w:rsidRPr="00443075" w:rsidRDefault="000B6212">
      <w:pPr>
        <w:pStyle w:val="ListParagraph"/>
        <w:jc w:val="both"/>
        <w:rPr>
          <w:rFonts w:ascii="Arial" w:hAnsi="Arial"/>
          <w:sz w:val="22"/>
          <w:szCs w:val="22"/>
        </w:rPr>
      </w:pPr>
    </w:p>
    <w:p w:rsidR="000B6212" w:rsidRPr="00443075" w:rsidRDefault="00525890">
      <w:pPr>
        <w:pStyle w:val="ListParagraph"/>
        <w:numPr>
          <w:ilvl w:val="1"/>
          <w:numId w:val="1"/>
        </w:numPr>
        <w:jc w:val="both"/>
        <w:rPr>
          <w:rFonts w:ascii="Arial" w:hAnsi="Arial"/>
          <w:sz w:val="22"/>
          <w:szCs w:val="22"/>
        </w:rPr>
      </w:pPr>
      <w:proofErr w:type="spellStart"/>
      <w:r w:rsidRPr="00443075">
        <w:rPr>
          <w:rFonts w:ascii="Arial" w:hAnsi="Arial"/>
          <w:sz w:val="22"/>
          <w:szCs w:val="22"/>
        </w:rPr>
        <w:t>Adalimumab</w:t>
      </w:r>
      <w:proofErr w:type="spellEnd"/>
      <w:r w:rsidRPr="00443075">
        <w:rPr>
          <w:rFonts w:ascii="Arial" w:hAnsi="Arial"/>
          <w:sz w:val="22"/>
          <w:szCs w:val="22"/>
        </w:rPr>
        <w:t xml:space="preserve"> is </w:t>
      </w:r>
      <w:r w:rsidR="00476245" w:rsidRPr="00443075">
        <w:rPr>
          <w:rFonts w:ascii="Arial" w:hAnsi="Arial"/>
          <w:sz w:val="22"/>
          <w:szCs w:val="22"/>
        </w:rPr>
        <w:t>TGA registered for</w:t>
      </w:r>
      <w:r w:rsidRPr="00443075">
        <w:rPr>
          <w:rFonts w:ascii="Arial" w:hAnsi="Arial"/>
          <w:sz w:val="22"/>
          <w:szCs w:val="22"/>
        </w:rPr>
        <w:t xml:space="preserve"> the treatment of active moderate to</w:t>
      </w:r>
      <w:r w:rsidR="00167978" w:rsidRPr="00443075">
        <w:rPr>
          <w:rFonts w:ascii="Arial" w:hAnsi="Arial"/>
          <w:sz w:val="22"/>
          <w:szCs w:val="22"/>
        </w:rPr>
        <w:t xml:space="preserve"> severe </w:t>
      </w:r>
      <w:r w:rsidRPr="00443075">
        <w:rPr>
          <w:rFonts w:ascii="Arial" w:hAnsi="Arial"/>
          <w:sz w:val="22"/>
          <w:szCs w:val="22"/>
        </w:rPr>
        <w:t>HS in adult patients with an inadequate response to conventional systemic HS therapy.</w:t>
      </w:r>
    </w:p>
    <w:p w:rsidR="006B0D94" w:rsidRPr="00443075" w:rsidRDefault="000B6212">
      <w:pPr>
        <w:pStyle w:val="ListParagraph"/>
        <w:jc w:val="both"/>
        <w:rPr>
          <w:rFonts w:ascii="Arial" w:hAnsi="Arial"/>
          <w:sz w:val="22"/>
          <w:szCs w:val="22"/>
        </w:rPr>
      </w:pPr>
      <w:r w:rsidRPr="00443075">
        <w:rPr>
          <w:rFonts w:ascii="Arial" w:hAnsi="Arial"/>
          <w:sz w:val="22"/>
          <w:szCs w:val="22"/>
        </w:rPr>
        <w:t xml:space="preserve"> </w:t>
      </w:r>
    </w:p>
    <w:p w:rsidR="00326E79" w:rsidRPr="00443075" w:rsidRDefault="000B6212">
      <w:pPr>
        <w:pStyle w:val="ListParagraph"/>
        <w:numPr>
          <w:ilvl w:val="1"/>
          <w:numId w:val="1"/>
        </w:numPr>
        <w:jc w:val="both"/>
        <w:rPr>
          <w:rFonts w:ascii="Arial" w:hAnsi="Arial"/>
          <w:sz w:val="22"/>
          <w:szCs w:val="22"/>
        </w:rPr>
      </w:pPr>
      <w:r w:rsidRPr="00443075">
        <w:rPr>
          <w:rFonts w:ascii="Arial" w:hAnsi="Arial"/>
          <w:sz w:val="22"/>
          <w:szCs w:val="22"/>
        </w:rPr>
        <w:t xml:space="preserve">A major submission for </w:t>
      </w:r>
      <w:proofErr w:type="spellStart"/>
      <w:r w:rsidRPr="00443075">
        <w:rPr>
          <w:rFonts w:ascii="Arial" w:hAnsi="Arial"/>
          <w:sz w:val="22"/>
          <w:szCs w:val="22"/>
        </w:rPr>
        <w:t>adalimumab</w:t>
      </w:r>
      <w:proofErr w:type="spellEnd"/>
      <w:r w:rsidRPr="00443075">
        <w:rPr>
          <w:rFonts w:ascii="Arial" w:hAnsi="Arial"/>
          <w:sz w:val="22"/>
          <w:szCs w:val="22"/>
        </w:rPr>
        <w:t xml:space="preserve"> for HS was rejected at the March 2016 PBAC meeting on the basis of unknown cost effectiveness of ongoing treatment with </w:t>
      </w:r>
      <w:proofErr w:type="spellStart"/>
      <w:r w:rsidRPr="00443075">
        <w:rPr>
          <w:rFonts w:ascii="Arial" w:hAnsi="Arial"/>
          <w:sz w:val="22"/>
          <w:szCs w:val="22"/>
        </w:rPr>
        <w:t>adalimumab</w:t>
      </w:r>
      <w:proofErr w:type="spellEnd"/>
      <w:r w:rsidRPr="00443075">
        <w:rPr>
          <w:rFonts w:ascii="Arial" w:hAnsi="Arial"/>
          <w:sz w:val="22"/>
          <w:szCs w:val="22"/>
        </w:rPr>
        <w:t xml:space="preserve"> (</w:t>
      </w:r>
      <w:r w:rsidR="00B30320" w:rsidRPr="00443075">
        <w:rPr>
          <w:rFonts w:ascii="Arial" w:hAnsi="Arial"/>
          <w:sz w:val="22"/>
          <w:szCs w:val="22"/>
        </w:rPr>
        <w:t xml:space="preserve">paragraph </w:t>
      </w:r>
      <w:r w:rsidRPr="00443075">
        <w:rPr>
          <w:rFonts w:ascii="Arial" w:hAnsi="Arial"/>
          <w:sz w:val="22"/>
          <w:szCs w:val="22"/>
        </w:rPr>
        <w:t xml:space="preserve">7.1 of the </w:t>
      </w:r>
      <w:r w:rsidR="00882D37" w:rsidRPr="00443075">
        <w:rPr>
          <w:rFonts w:ascii="Arial" w:hAnsi="Arial"/>
          <w:sz w:val="22"/>
          <w:szCs w:val="22"/>
        </w:rPr>
        <w:t xml:space="preserve">March 2016 </w:t>
      </w:r>
      <w:proofErr w:type="spellStart"/>
      <w:r w:rsidR="00882D37" w:rsidRPr="00443075">
        <w:rPr>
          <w:rFonts w:ascii="Arial" w:hAnsi="Arial"/>
          <w:sz w:val="22"/>
          <w:szCs w:val="22"/>
        </w:rPr>
        <w:t>adalimumab</w:t>
      </w:r>
      <w:proofErr w:type="spellEnd"/>
      <w:r w:rsidR="00882D37" w:rsidRPr="00443075">
        <w:rPr>
          <w:rFonts w:ascii="Arial" w:hAnsi="Arial"/>
          <w:sz w:val="22"/>
          <w:szCs w:val="22"/>
        </w:rPr>
        <w:t xml:space="preserve"> PSD</w:t>
      </w:r>
      <w:r w:rsidRPr="00443075">
        <w:rPr>
          <w:rFonts w:ascii="Arial" w:hAnsi="Arial"/>
          <w:sz w:val="22"/>
          <w:szCs w:val="22"/>
        </w:rPr>
        <w:t>).</w:t>
      </w:r>
    </w:p>
    <w:p w:rsidR="006A12A5" w:rsidRPr="00443075" w:rsidRDefault="006A12A5">
      <w:pPr>
        <w:pStyle w:val="ListParagraph"/>
        <w:jc w:val="both"/>
        <w:rPr>
          <w:rFonts w:ascii="Arial" w:hAnsi="Arial"/>
          <w:sz w:val="22"/>
          <w:szCs w:val="22"/>
        </w:rPr>
      </w:pPr>
    </w:p>
    <w:p w:rsidR="00FB649B" w:rsidRPr="00443075" w:rsidRDefault="000B6212">
      <w:pPr>
        <w:pStyle w:val="ListParagraph"/>
        <w:numPr>
          <w:ilvl w:val="1"/>
          <w:numId w:val="1"/>
        </w:numPr>
        <w:jc w:val="both"/>
        <w:rPr>
          <w:rFonts w:ascii="Arial" w:hAnsi="Arial"/>
          <w:sz w:val="22"/>
          <w:szCs w:val="22"/>
        </w:rPr>
      </w:pPr>
      <w:r w:rsidRPr="00443075">
        <w:rPr>
          <w:rFonts w:ascii="Arial" w:hAnsi="Arial"/>
          <w:sz w:val="22"/>
          <w:szCs w:val="22"/>
        </w:rPr>
        <w:t>In March 2016, the PBAC considered that “a major re</w:t>
      </w:r>
      <w:r w:rsidR="00EB45ED" w:rsidRPr="00443075">
        <w:rPr>
          <w:rFonts w:ascii="Arial" w:hAnsi="Arial"/>
          <w:sz w:val="22"/>
          <w:szCs w:val="22"/>
        </w:rPr>
        <w:t>-</w:t>
      </w:r>
      <w:r w:rsidRPr="00443075">
        <w:rPr>
          <w:rFonts w:ascii="Arial" w:hAnsi="Arial"/>
          <w:sz w:val="22"/>
          <w:szCs w:val="22"/>
        </w:rPr>
        <w:t xml:space="preserve">submission should include a </w:t>
      </w:r>
      <w:r w:rsidR="00CA1251" w:rsidRPr="00443075">
        <w:rPr>
          <w:rFonts w:ascii="Arial" w:hAnsi="Arial"/>
          <w:sz w:val="22"/>
          <w:szCs w:val="22"/>
        </w:rPr>
        <w:t>revised</w:t>
      </w:r>
      <w:r w:rsidRPr="00443075">
        <w:rPr>
          <w:rFonts w:ascii="Arial" w:hAnsi="Arial"/>
          <w:sz w:val="22"/>
          <w:szCs w:val="22"/>
        </w:rPr>
        <w:t xml:space="preserve"> model of ongoing therapy with </w:t>
      </w:r>
      <w:proofErr w:type="spellStart"/>
      <w:r w:rsidRPr="00443075">
        <w:rPr>
          <w:rFonts w:ascii="Arial" w:hAnsi="Arial"/>
          <w:sz w:val="22"/>
          <w:szCs w:val="22"/>
        </w:rPr>
        <w:t>adalimumab</w:t>
      </w:r>
      <w:proofErr w:type="spellEnd"/>
      <w:r w:rsidRPr="00443075">
        <w:rPr>
          <w:rFonts w:ascii="Arial" w:hAnsi="Arial"/>
          <w:sz w:val="22"/>
          <w:szCs w:val="22"/>
        </w:rPr>
        <w:t xml:space="preserve"> and more conservative assumptions regarding the maintenance of treatment benefit. The re</w:t>
      </w:r>
      <w:r w:rsidR="0026408D" w:rsidRPr="00443075">
        <w:rPr>
          <w:rFonts w:ascii="Arial" w:hAnsi="Arial"/>
          <w:sz w:val="22"/>
          <w:szCs w:val="22"/>
        </w:rPr>
        <w:noBreakHyphen/>
      </w:r>
      <w:r w:rsidRPr="00443075">
        <w:rPr>
          <w:rFonts w:ascii="Arial" w:hAnsi="Arial"/>
          <w:sz w:val="22"/>
          <w:szCs w:val="22"/>
        </w:rPr>
        <w:t xml:space="preserve">submission would also need to present additional supportive evidence to justify the choice of the </w:t>
      </w:r>
      <w:proofErr w:type="spellStart"/>
      <w:r w:rsidRPr="00443075">
        <w:rPr>
          <w:rFonts w:ascii="Arial" w:hAnsi="Arial"/>
          <w:sz w:val="22"/>
          <w:szCs w:val="22"/>
        </w:rPr>
        <w:t>HiSCR</w:t>
      </w:r>
      <w:proofErr w:type="spellEnd"/>
      <w:r w:rsidRPr="00443075">
        <w:rPr>
          <w:rFonts w:ascii="Arial" w:hAnsi="Arial"/>
          <w:sz w:val="22"/>
          <w:szCs w:val="22"/>
        </w:rPr>
        <w:t xml:space="preserve"> primary outcome and have a well-defined place of </w:t>
      </w:r>
      <w:proofErr w:type="spellStart"/>
      <w:r w:rsidRPr="00443075">
        <w:rPr>
          <w:rFonts w:ascii="Arial" w:hAnsi="Arial"/>
          <w:sz w:val="22"/>
          <w:szCs w:val="22"/>
        </w:rPr>
        <w:t>adalimumab</w:t>
      </w:r>
      <w:proofErr w:type="spellEnd"/>
      <w:r w:rsidRPr="00443075">
        <w:rPr>
          <w:rFonts w:ascii="Arial" w:hAnsi="Arial"/>
          <w:sz w:val="22"/>
          <w:szCs w:val="22"/>
        </w:rPr>
        <w:t xml:space="preserve"> in the treatment algorithm for this condition. The utilisation and financial estimates should also be updated to reflect ongoing treatment” (</w:t>
      </w:r>
      <w:r w:rsidR="00BA1ED0" w:rsidRPr="00443075">
        <w:rPr>
          <w:rFonts w:ascii="Arial" w:hAnsi="Arial"/>
          <w:sz w:val="22"/>
          <w:szCs w:val="22"/>
        </w:rPr>
        <w:t>paragraph</w:t>
      </w:r>
      <w:r w:rsidRPr="00443075">
        <w:rPr>
          <w:rFonts w:ascii="Arial" w:hAnsi="Arial"/>
          <w:sz w:val="22"/>
          <w:szCs w:val="22"/>
        </w:rPr>
        <w:t xml:space="preserve"> 7.13 of the </w:t>
      </w:r>
      <w:r w:rsidR="00A05F6B" w:rsidRPr="00443075">
        <w:rPr>
          <w:rFonts w:ascii="Arial" w:hAnsi="Arial"/>
          <w:sz w:val="22"/>
          <w:szCs w:val="22"/>
        </w:rPr>
        <w:t xml:space="preserve">March 2016 </w:t>
      </w:r>
      <w:proofErr w:type="spellStart"/>
      <w:r w:rsidR="00A05F6B" w:rsidRPr="00443075">
        <w:rPr>
          <w:rFonts w:ascii="Arial" w:hAnsi="Arial"/>
          <w:sz w:val="22"/>
          <w:szCs w:val="22"/>
        </w:rPr>
        <w:t>adalimumab</w:t>
      </w:r>
      <w:proofErr w:type="spellEnd"/>
      <w:r w:rsidR="00A05F6B" w:rsidRPr="00443075">
        <w:rPr>
          <w:rFonts w:ascii="Arial" w:hAnsi="Arial"/>
          <w:sz w:val="22"/>
          <w:szCs w:val="22"/>
        </w:rPr>
        <w:t xml:space="preserve"> PSD</w:t>
      </w:r>
      <w:r w:rsidR="0023133C" w:rsidRPr="00443075">
        <w:rPr>
          <w:rFonts w:ascii="Arial" w:hAnsi="Arial"/>
          <w:sz w:val="22"/>
          <w:szCs w:val="22"/>
        </w:rPr>
        <w:t>)</w:t>
      </w:r>
      <w:r w:rsidR="00E152F6" w:rsidRPr="00443075">
        <w:rPr>
          <w:rFonts w:ascii="Arial" w:hAnsi="Arial"/>
          <w:sz w:val="22"/>
          <w:szCs w:val="22"/>
        </w:rPr>
        <w:t>.</w:t>
      </w:r>
    </w:p>
    <w:p w:rsidR="00DD6F3E" w:rsidRPr="00443075" w:rsidRDefault="00DD6F3E" w:rsidP="00322E23">
      <w:pPr>
        <w:pStyle w:val="ListParagraph"/>
        <w:jc w:val="both"/>
        <w:rPr>
          <w:rFonts w:ascii="Arial" w:hAnsi="Arial"/>
          <w:sz w:val="22"/>
          <w:szCs w:val="22"/>
        </w:rPr>
      </w:pPr>
    </w:p>
    <w:p w:rsidR="00787237" w:rsidRPr="00443075" w:rsidRDefault="0064795C" w:rsidP="009205E3">
      <w:pPr>
        <w:ind w:firstLine="720"/>
        <w:jc w:val="both"/>
        <w:rPr>
          <w:rFonts w:ascii="Arial" w:hAnsi="Arial"/>
          <w:sz w:val="22"/>
          <w:szCs w:val="22"/>
        </w:rPr>
      </w:pPr>
      <w:r w:rsidRPr="00443075">
        <w:rPr>
          <w:rFonts w:ascii="Arial" w:hAnsi="Arial" w:cs="Arial"/>
          <w:bCs/>
          <w:i/>
          <w:snapToGrid w:val="0"/>
          <w:sz w:val="22"/>
          <w:szCs w:val="22"/>
        </w:rPr>
        <w:t>For more detail on PBAC’s view, see section 7 “PBAC outcome”</w:t>
      </w:r>
    </w:p>
    <w:p w:rsidR="0064795C" w:rsidRPr="00443075" w:rsidRDefault="0064795C" w:rsidP="00322E23">
      <w:pPr>
        <w:pStyle w:val="ListParagraph"/>
        <w:jc w:val="both"/>
        <w:rPr>
          <w:rFonts w:ascii="Arial" w:hAnsi="Arial"/>
          <w:sz w:val="22"/>
          <w:szCs w:val="22"/>
        </w:rPr>
      </w:pPr>
    </w:p>
    <w:p w:rsidR="0023133C" w:rsidRPr="00443075" w:rsidRDefault="0023133C" w:rsidP="00A655FB">
      <w:pPr>
        <w:pStyle w:val="ListParagraph"/>
        <w:jc w:val="both"/>
        <w:rPr>
          <w:rFonts w:ascii="Arial" w:hAnsi="Arial"/>
          <w:sz w:val="22"/>
          <w:szCs w:val="22"/>
        </w:rPr>
      </w:pPr>
    </w:p>
    <w:p w:rsidR="00CE10C4" w:rsidRPr="00443075" w:rsidRDefault="00CE10C4" w:rsidP="00565AC7">
      <w:pPr>
        <w:pStyle w:val="Heading1"/>
      </w:pPr>
      <w:r w:rsidRPr="00443075">
        <w:t>Clinical place for the proposed ther</w:t>
      </w:r>
      <w:r w:rsidR="006A12A5" w:rsidRPr="00443075">
        <w:t>apy</w:t>
      </w:r>
    </w:p>
    <w:p w:rsidR="00805F0A" w:rsidRPr="00443075" w:rsidRDefault="00805F0A">
      <w:pPr>
        <w:pStyle w:val="ListParagraph"/>
        <w:jc w:val="both"/>
        <w:rPr>
          <w:rFonts w:ascii="Arial" w:hAnsi="Arial"/>
          <w:b/>
          <w:sz w:val="22"/>
          <w:szCs w:val="22"/>
        </w:rPr>
      </w:pPr>
    </w:p>
    <w:p w:rsidR="008E4735" w:rsidRPr="00443075" w:rsidRDefault="00C863E2">
      <w:pPr>
        <w:pStyle w:val="ListParagraph"/>
        <w:numPr>
          <w:ilvl w:val="1"/>
          <w:numId w:val="1"/>
        </w:numPr>
        <w:jc w:val="both"/>
        <w:rPr>
          <w:rFonts w:ascii="Arial" w:hAnsi="Arial"/>
          <w:sz w:val="22"/>
          <w:szCs w:val="22"/>
        </w:rPr>
      </w:pPr>
      <w:r w:rsidRPr="00443075">
        <w:rPr>
          <w:rFonts w:ascii="Arial" w:hAnsi="Arial"/>
          <w:sz w:val="22"/>
          <w:szCs w:val="22"/>
        </w:rPr>
        <w:t xml:space="preserve">HS </w:t>
      </w:r>
      <w:r w:rsidR="008E4735" w:rsidRPr="00443075">
        <w:rPr>
          <w:rFonts w:ascii="Arial" w:hAnsi="Arial"/>
          <w:sz w:val="22"/>
          <w:szCs w:val="22"/>
        </w:rPr>
        <w:t>is an inflammatory disease of the hair follicle associated with inflammatory cytokines including TNF-α and interleukins. HS is a chronic, inflammatory skin disease, with painful nodules causing morbidity and poor quality of life.</w:t>
      </w:r>
    </w:p>
    <w:p w:rsidR="008E4735" w:rsidRPr="00443075" w:rsidRDefault="008E4735">
      <w:pPr>
        <w:pStyle w:val="ListParagraph"/>
        <w:jc w:val="both"/>
        <w:rPr>
          <w:rFonts w:ascii="Arial" w:hAnsi="Arial"/>
          <w:sz w:val="22"/>
          <w:szCs w:val="22"/>
        </w:rPr>
      </w:pPr>
    </w:p>
    <w:p w:rsidR="008E4735" w:rsidRPr="00443075" w:rsidRDefault="008E4735">
      <w:pPr>
        <w:pStyle w:val="ListParagraph"/>
        <w:numPr>
          <w:ilvl w:val="1"/>
          <w:numId w:val="1"/>
        </w:numPr>
        <w:jc w:val="both"/>
        <w:rPr>
          <w:rFonts w:ascii="Arial" w:hAnsi="Arial"/>
          <w:sz w:val="22"/>
          <w:szCs w:val="22"/>
        </w:rPr>
      </w:pPr>
      <w:proofErr w:type="spellStart"/>
      <w:r w:rsidRPr="00443075">
        <w:rPr>
          <w:rFonts w:ascii="Arial" w:hAnsi="Arial"/>
          <w:sz w:val="22"/>
          <w:szCs w:val="22"/>
        </w:rPr>
        <w:t>Adalimumab</w:t>
      </w:r>
      <w:proofErr w:type="spellEnd"/>
      <w:r w:rsidRPr="00443075">
        <w:rPr>
          <w:rFonts w:ascii="Arial" w:hAnsi="Arial"/>
          <w:sz w:val="22"/>
          <w:szCs w:val="22"/>
        </w:rPr>
        <w:t xml:space="preserve"> is proposed for patients with moderate</w:t>
      </w:r>
      <w:r w:rsidRPr="00443075">
        <w:rPr>
          <w:rFonts w:ascii="Arial" w:hAnsi="Arial"/>
          <w:sz w:val="22"/>
          <w:szCs w:val="22"/>
        </w:rPr>
        <w:noBreakHyphen/>
        <w:t>to</w:t>
      </w:r>
      <w:r w:rsidRPr="00443075">
        <w:rPr>
          <w:rFonts w:ascii="Arial" w:hAnsi="Arial"/>
          <w:sz w:val="22"/>
          <w:szCs w:val="22"/>
        </w:rPr>
        <w:noBreakHyphen/>
        <w:t>severe disease with an abscess and inflammatory nodule count greater or equal to 3, and prior treatment with 2 courses of antibiotics for at least 3 months duration each.</w:t>
      </w:r>
    </w:p>
    <w:p w:rsidR="008E4735" w:rsidRPr="00443075" w:rsidRDefault="008E4735">
      <w:pPr>
        <w:pStyle w:val="Header"/>
        <w:rPr>
          <w:szCs w:val="22"/>
        </w:rPr>
      </w:pPr>
    </w:p>
    <w:p w:rsidR="0064795C" w:rsidRPr="00443075" w:rsidRDefault="0064795C" w:rsidP="009205E3">
      <w:pPr>
        <w:pStyle w:val="Header"/>
        <w:ind w:firstLine="709"/>
        <w:rPr>
          <w:szCs w:val="22"/>
        </w:rPr>
      </w:pPr>
      <w:r w:rsidRPr="00443075">
        <w:rPr>
          <w:rFonts w:ascii="Arial" w:hAnsi="Arial" w:cs="Arial"/>
          <w:bCs/>
          <w:i/>
          <w:snapToGrid w:val="0"/>
          <w:sz w:val="22"/>
          <w:szCs w:val="22"/>
        </w:rPr>
        <w:t>For more detail on PBAC’s view, see section 7 “PBAC outcome”</w:t>
      </w:r>
    </w:p>
    <w:p w:rsidR="008A1956" w:rsidRPr="00443075" w:rsidRDefault="008A1956" w:rsidP="00322E23">
      <w:pPr>
        <w:pStyle w:val="Header"/>
        <w:tabs>
          <w:tab w:val="clear" w:pos="4153"/>
          <w:tab w:val="clear" w:pos="8306"/>
        </w:tabs>
        <w:jc w:val="both"/>
        <w:rPr>
          <w:rFonts w:ascii="Arial" w:hAnsi="Arial"/>
          <w:sz w:val="22"/>
          <w:szCs w:val="22"/>
        </w:rPr>
      </w:pPr>
    </w:p>
    <w:p w:rsidR="0023133C" w:rsidRPr="00443075" w:rsidRDefault="0023133C" w:rsidP="00A655FB">
      <w:pPr>
        <w:pStyle w:val="Header"/>
        <w:tabs>
          <w:tab w:val="clear" w:pos="4153"/>
          <w:tab w:val="clear" w:pos="8306"/>
        </w:tabs>
        <w:jc w:val="both"/>
        <w:rPr>
          <w:rFonts w:ascii="Arial" w:hAnsi="Arial"/>
          <w:sz w:val="22"/>
          <w:szCs w:val="22"/>
        </w:rPr>
      </w:pPr>
    </w:p>
    <w:p w:rsidR="005A3173" w:rsidRPr="00443075" w:rsidRDefault="005A3173" w:rsidP="00565AC7">
      <w:pPr>
        <w:pStyle w:val="Heading1"/>
      </w:pPr>
      <w:r w:rsidRPr="00443075">
        <w:t>Comparator</w:t>
      </w:r>
    </w:p>
    <w:p w:rsidR="005A3173" w:rsidRPr="00443075" w:rsidRDefault="005A3173">
      <w:pPr>
        <w:pStyle w:val="Header"/>
        <w:keepNext/>
        <w:tabs>
          <w:tab w:val="clear" w:pos="4153"/>
          <w:tab w:val="clear" w:pos="8306"/>
        </w:tabs>
        <w:jc w:val="both"/>
        <w:rPr>
          <w:rFonts w:ascii="Arial" w:hAnsi="Arial"/>
          <w:b/>
          <w:sz w:val="22"/>
          <w:szCs w:val="22"/>
        </w:rPr>
      </w:pPr>
    </w:p>
    <w:p w:rsidR="00267D0D" w:rsidRPr="00443075" w:rsidRDefault="00476245">
      <w:pPr>
        <w:pStyle w:val="ListParagraph"/>
        <w:numPr>
          <w:ilvl w:val="1"/>
          <w:numId w:val="1"/>
        </w:numPr>
        <w:jc w:val="both"/>
        <w:rPr>
          <w:rFonts w:ascii="Arial" w:hAnsi="Arial"/>
          <w:sz w:val="22"/>
          <w:szCs w:val="22"/>
        </w:rPr>
      </w:pPr>
      <w:r w:rsidRPr="00443075">
        <w:rPr>
          <w:rFonts w:ascii="Arial" w:hAnsi="Arial"/>
          <w:sz w:val="22"/>
          <w:szCs w:val="22"/>
        </w:rPr>
        <w:t xml:space="preserve">The previous major submission considered by the PBAC in </w:t>
      </w:r>
      <w:r w:rsidR="00267D0D" w:rsidRPr="00443075">
        <w:rPr>
          <w:rFonts w:ascii="Arial" w:hAnsi="Arial"/>
          <w:sz w:val="22"/>
          <w:szCs w:val="22"/>
        </w:rPr>
        <w:t xml:space="preserve">March 2016 </w:t>
      </w:r>
      <w:r w:rsidRPr="00443075">
        <w:rPr>
          <w:rFonts w:ascii="Arial" w:hAnsi="Arial"/>
          <w:sz w:val="22"/>
          <w:szCs w:val="22"/>
        </w:rPr>
        <w:t>nominated</w:t>
      </w:r>
      <w:r w:rsidR="00267D0D" w:rsidRPr="00443075">
        <w:rPr>
          <w:rFonts w:ascii="Arial" w:hAnsi="Arial"/>
          <w:sz w:val="22"/>
          <w:szCs w:val="22"/>
        </w:rPr>
        <w:t xml:space="preserve"> best supportive care</w:t>
      </w:r>
      <w:r w:rsidR="000827AA" w:rsidRPr="00443075">
        <w:rPr>
          <w:rFonts w:ascii="Arial" w:hAnsi="Arial"/>
          <w:sz w:val="22"/>
          <w:szCs w:val="22"/>
        </w:rPr>
        <w:t xml:space="preserve"> (BSC)</w:t>
      </w:r>
      <w:r w:rsidR="00267D0D" w:rsidRPr="00443075">
        <w:rPr>
          <w:rFonts w:ascii="Arial" w:hAnsi="Arial"/>
          <w:sz w:val="22"/>
          <w:szCs w:val="22"/>
        </w:rPr>
        <w:t xml:space="preserve"> (placebo)</w:t>
      </w:r>
      <w:proofErr w:type="gramStart"/>
      <w:r w:rsidRPr="00443075">
        <w:rPr>
          <w:rFonts w:ascii="Arial" w:hAnsi="Arial"/>
          <w:sz w:val="22"/>
          <w:szCs w:val="22"/>
        </w:rPr>
        <w:t xml:space="preserve">.  </w:t>
      </w:r>
      <w:proofErr w:type="gramEnd"/>
      <w:r w:rsidRPr="00443075">
        <w:rPr>
          <w:rFonts w:ascii="Arial" w:hAnsi="Arial"/>
          <w:sz w:val="22"/>
          <w:szCs w:val="22"/>
        </w:rPr>
        <w:t xml:space="preserve">This </w:t>
      </w:r>
      <w:r w:rsidR="00DA5C13" w:rsidRPr="00443075">
        <w:rPr>
          <w:rFonts w:ascii="Arial" w:hAnsi="Arial"/>
          <w:sz w:val="22"/>
          <w:szCs w:val="22"/>
        </w:rPr>
        <w:t>wa</w:t>
      </w:r>
      <w:r w:rsidRPr="00443075">
        <w:rPr>
          <w:rFonts w:ascii="Arial" w:hAnsi="Arial"/>
          <w:sz w:val="22"/>
          <w:szCs w:val="22"/>
        </w:rPr>
        <w:t>s unchanged</w:t>
      </w:r>
      <w:r w:rsidR="0023133C" w:rsidRPr="00443075">
        <w:rPr>
          <w:rFonts w:ascii="Arial" w:hAnsi="Arial"/>
          <w:sz w:val="22"/>
          <w:szCs w:val="22"/>
        </w:rPr>
        <w:t xml:space="preserve"> in the minor re-submission</w:t>
      </w:r>
      <w:r w:rsidR="00267D0D" w:rsidRPr="00443075">
        <w:rPr>
          <w:rFonts w:ascii="Arial" w:hAnsi="Arial"/>
          <w:sz w:val="22"/>
          <w:szCs w:val="22"/>
        </w:rPr>
        <w:t>. The PBAC considered that BSC</w:t>
      </w:r>
      <w:r w:rsidR="00365544" w:rsidRPr="00443075">
        <w:rPr>
          <w:rFonts w:ascii="Arial" w:hAnsi="Arial"/>
          <w:sz w:val="22"/>
          <w:szCs w:val="22"/>
        </w:rPr>
        <w:t xml:space="preserve"> was the appropriate comparator</w:t>
      </w:r>
      <w:r w:rsidR="00267D0D" w:rsidRPr="00443075">
        <w:rPr>
          <w:rFonts w:ascii="Arial" w:hAnsi="Arial"/>
          <w:sz w:val="22"/>
          <w:szCs w:val="22"/>
        </w:rPr>
        <w:t xml:space="preserve"> (</w:t>
      </w:r>
      <w:r w:rsidR="00277501" w:rsidRPr="00443075">
        <w:rPr>
          <w:rFonts w:ascii="Arial" w:hAnsi="Arial"/>
          <w:sz w:val="22"/>
          <w:szCs w:val="22"/>
        </w:rPr>
        <w:t>paragraph</w:t>
      </w:r>
      <w:r w:rsidR="00267D0D" w:rsidRPr="00443075">
        <w:rPr>
          <w:rFonts w:ascii="Arial" w:hAnsi="Arial"/>
          <w:sz w:val="22"/>
          <w:szCs w:val="22"/>
        </w:rPr>
        <w:t xml:space="preserve"> 7.5 of the </w:t>
      </w:r>
      <w:r w:rsidR="00277501" w:rsidRPr="00443075">
        <w:rPr>
          <w:rFonts w:ascii="Arial" w:hAnsi="Arial"/>
          <w:sz w:val="22"/>
          <w:szCs w:val="22"/>
        </w:rPr>
        <w:t xml:space="preserve">March 2016 </w:t>
      </w:r>
      <w:proofErr w:type="spellStart"/>
      <w:r w:rsidR="00277501" w:rsidRPr="00443075">
        <w:rPr>
          <w:rFonts w:ascii="Arial" w:hAnsi="Arial"/>
          <w:sz w:val="22"/>
          <w:szCs w:val="22"/>
        </w:rPr>
        <w:t>adalimumab</w:t>
      </w:r>
      <w:proofErr w:type="spellEnd"/>
      <w:r w:rsidR="00277501" w:rsidRPr="00443075">
        <w:rPr>
          <w:rFonts w:ascii="Arial" w:hAnsi="Arial"/>
          <w:sz w:val="22"/>
          <w:szCs w:val="22"/>
        </w:rPr>
        <w:t xml:space="preserve"> </w:t>
      </w:r>
      <w:r w:rsidR="00A05F6B" w:rsidRPr="00443075">
        <w:rPr>
          <w:rFonts w:ascii="Arial" w:hAnsi="Arial"/>
          <w:sz w:val="22"/>
          <w:szCs w:val="22"/>
        </w:rPr>
        <w:t>PSD</w:t>
      </w:r>
      <w:r w:rsidR="00267D0D" w:rsidRPr="00443075">
        <w:rPr>
          <w:rFonts w:ascii="Arial" w:hAnsi="Arial"/>
          <w:sz w:val="22"/>
          <w:szCs w:val="22"/>
        </w:rPr>
        <w:t>).</w:t>
      </w:r>
    </w:p>
    <w:p w:rsidR="008A1956" w:rsidRPr="00443075" w:rsidRDefault="008A1956">
      <w:pPr>
        <w:jc w:val="both"/>
        <w:rPr>
          <w:rFonts w:ascii="Arial" w:hAnsi="Arial"/>
          <w:sz w:val="22"/>
          <w:szCs w:val="22"/>
        </w:rPr>
      </w:pPr>
    </w:p>
    <w:p w:rsidR="00FC69B9" w:rsidRPr="00443075" w:rsidRDefault="00FC69B9" w:rsidP="009205E3">
      <w:pPr>
        <w:ind w:firstLine="720"/>
        <w:jc w:val="both"/>
        <w:rPr>
          <w:rFonts w:ascii="Arial" w:hAnsi="Arial"/>
          <w:sz w:val="22"/>
          <w:szCs w:val="22"/>
        </w:rPr>
      </w:pPr>
      <w:r w:rsidRPr="00443075">
        <w:rPr>
          <w:rFonts w:ascii="Arial" w:hAnsi="Arial" w:cs="Arial"/>
          <w:bCs/>
          <w:i/>
          <w:snapToGrid w:val="0"/>
          <w:sz w:val="22"/>
          <w:szCs w:val="22"/>
        </w:rPr>
        <w:t>For more detail on PBAC’s view, see section 7 “PBAC outcome”</w:t>
      </w:r>
    </w:p>
    <w:p w:rsidR="00267D0D" w:rsidRPr="00443075" w:rsidRDefault="00267D0D" w:rsidP="00322E23">
      <w:pPr>
        <w:jc w:val="both"/>
        <w:rPr>
          <w:rFonts w:ascii="Arial" w:hAnsi="Arial"/>
          <w:sz w:val="22"/>
          <w:szCs w:val="22"/>
        </w:rPr>
      </w:pPr>
    </w:p>
    <w:p w:rsidR="001134AF" w:rsidRPr="00443075" w:rsidRDefault="001134AF" w:rsidP="00A655FB">
      <w:pPr>
        <w:jc w:val="both"/>
        <w:rPr>
          <w:rFonts w:ascii="Arial" w:hAnsi="Arial"/>
          <w:sz w:val="22"/>
          <w:szCs w:val="22"/>
        </w:rPr>
      </w:pPr>
    </w:p>
    <w:p w:rsidR="000B558D" w:rsidRPr="00443075" w:rsidRDefault="008D7A41" w:rsidP="00565AC7">
      <w:pPr>
        <w:pStyle w:val="Heading1"/>
      </w:pPr>
      <w:r w:rsidRPr="00443075">
        <w:t>C</w:t>
      </w:r>
      <w:r w:rsidR="00D84934" w:rsidRPr="00443075">
        <w:t>onsideration of the evidence</w:t>
      </w:r>
    </w:p>
    <w:p w:rsidR="00BB7EC3" w:rsidRPr="00443075" w:rsidRDefault="00BB7EC3">
      <w:pPr>
        <w:jc w:val="both"/>
        <w:rPr>
          <w:rFonts w:ascii="Arial" w:hAnsi="Arial"/>
          <w:sz w:val="22"/>
          <w:szCs w:val="22"/>
        </w:rPr>
      </w:pPr>
    </w:p>
    <w:p w:rsidR="00380E71" w:rsidRPr="00565AC7" w:rsidRDefault="00380E71" w:rsidP="00565AC7">
      <w:pPr>
        <w:pStyle w:val="Heading2"/>
      </w:pPr>
      <w:r w:rsidRPr="00565AC7">
        <w:t>Sponsor hearing</w:t>
      </w:r>
    </w:p>
    <w:p w:rsidR="00B448E9" w:rsidRPr="00443075" w:rsidRDefault="00B448E9">
      <w:pPr>
        <w:rPr>
          <w:rFonts w:ascii="Arial" w:hAnsi="Arial" w:cs="Arial"/>
          <w:b/>
          <w:bCs/>
          <w:snapToGrid w:val="0"/>
          <w:sz w:val="22"/>
          <w:szCs w:val="22"/>
        </w:rPr>
      </w:pPr>
    </w:p>
    <w:p w:rsidR="00380E71" w:rsidRPr="00443075" w:rsidRDefault="00380E71">
      <w:pPr>
        <w:numPr>
          <w:ilvl w:val="1"/>
          <w:numId w:val="1"/>
        </w:numPr>
        <w:spacing w:after="120"/>
        <w:rPr>
          <w:rFonts w:ascii="Arial" w:hAnsi="Arial" w:cs="Arial"/>
          <w:bCs/>
          <w:snapToGrid w:val="0"/>
          <w:sz w:val="22"/>
          <w:szCs w:val="22"/>
        </w:rPr>
      </w:pPr>
      <w:r w:rsidRPr="00443075">
        <w:rPr>
          <w:rFonts w:ascii="Arial" w:hAnsi="Arial" w:cs="Arial"/>
          <w:bCs/>
          <w:snapToGrid w:val="0"/>
          <w:sz w:val="22"/>
          <w:szCs w:val="22"/>
        </w:rPr>
        <w:t>There was no hearing for this item as it was a minor submission.</w:t>
      </w:r>
    </w:p>
    <w:p w:rsidR="00380E71" w:rsidRPr="00443075" w:rsidRDefault="00380E71">
      <w:pPr>
        <w:rPr>
          <w:rFonts w:ascii="Arial" w:hAnsi="Arial" w:cs="Arial"/>
          <w:bCs/>
          <w:snapToGrid w:val="0"/>
          <w:sz w:val="22"/>
          <w:szCs w:val="22"/>
          <w:highlight w:val="yellow"/>
        </w:rPr>
      </w:pPr>
    </w:p>
    <w:p w:rsidR="00380E71" w:rsidRPr="00443075" w:rsidRDefault="00380E71" w:rsidP="00565AC7">
      <w:pPr>
        <w:pStyle w:val="Heading2"/>
      </w:pPr>
      <w:r w:rsidRPr="00443075">
        <w:t>Consumer comments</w:t>
      </w:r>
    </w:p>
    <w:p w:rsidR="00B448E9" w:rsidRPr="00443075" w:rsidRDefault="00B448E9">
      <w:pPr>
        <w:rPr>
          <w:rFonts w:ascii="Arial" w:hAnsi="Arial" w:cs="Arial"/>
          <w:b/>
          <w:bCs/>
          <w:snapToGrid w:val="0"/>
          <w:sz w:val="22"/>
          <w:szCs w:val="22"/>
        </w:rPr>
      </w:pPr>
    </w:p>
    <w:p w:rsidR="00380E71" w:rsidRPr="00443075" w:rsidRDefault="00380E71" w:rsidP="009205E3">
      <w:pPr>
        <w:numPr>
          <w:ilvl w:val="1"/>
          <w:numId w:val="1"/>
        </w:numPr>
        <w:spacing w:after="120"/>
        <w:jc w:val="both"/>
        <w:rPr>
          <w:rFonts w:ascii="Arial" w:hAnsi="Arial" w:cs="Arial"/>
          <w:bCs/>
          <w:snapToGrid w:val="0"/>
          <w:sz w:val="22"/>
          <w:szCs w:val="22"/>
        </w:rPr>
      </w:pPr>
      <w:r w:rsidRPr="00443075">
        <w:rPr>
          <w:rFonts w:ascii="Arial" w:hAnsi="Arial" w:cs="Arial"/>
          <w:bCs/>
          <w:snapToGrid w:val="0"/>
          <w:sz w:val="22"/>
          <w:szCs w:val="22"/>
        </w:rPr>
        <w:t xml:space="preserve">The PBAC noted and welcomed the input from </w:t>
      </w:r>
      <w:r w:rsidR="00DA5C13" w:rsidRPr="00443075">
        <w:rPr>
          <w:rFonts w:ascii="Arial" w:hAnsi="Arial" w:cs="Arial"/>
          <w:bCs/>
          <w:snapToGrid w:val="0"/>
          <w:sz w:val="22"/>
          <w:szCs w:val="22"/>
        </w:rPr>
        <w:t xml:space="preserve">an </w:t>
      </w:r>
      <w:r w:rsidRPr="00443075">
        <w:rPr>
          <w:rFonts w:ascii="Arial" w:hAnsi="Arial" w:cs="Arial"/>
          <w:bCs/>
          <w:snapToGrid w:val="0"/>
          <w:sz w:val="22"/>
          <w:szCs w:val="22"/>
        </w:rPr>
        <w:t>individual (</w:t>
      </w:r>
      <w:r w:rsidR="005E37C6" w:rsidRPr="00443075">
        <w:rPr>
          <w:rFonts w:ascii="Arial" w:hAnsi="Arial" w:cs="Arial"/>
          <w:bCs/>
          <w:snapToGrid w:val="0"/>
          <w:sz w:val="22"/>
          <w:szCs w:val="22"/>
        </w:rPr>
        <w:t>1</w:t>
      </w:r>
      <w:r w:rsidRPr="00443075">
        <w:rPr>
          <w:rFonts w:ascii="Arial" w:hAnsi="Arial" w:cs="Arial"/>
          <w:bCs/>
          <w:snapToGrid w:val="0"/>
          <w:sz w:val="22"/>
          <w:szCs w:val="22"/>
        </w:rPr>
        <w:t>)</w:t>
      </w:r>
      <w:r w:rsidR="005E37C6" w:rsidRPr="00443075">
        <w:rPr>
          <w:rFonts w:ascii="Arial" w:hAnsi="Arial" w:cs="Arial"/>
          <w:bCs/>
          <w:snapToGrid w:val="0"/>
          <w:sz w:val="22"/>
          <w:szCs w:val="22"/>
        </w:rPr>
        <w:t xml:space="preserve"> and</w:t>
      </w:r>
      <w:r w:rsidRPr="00443075">
        <w:rPr>
          <w:rFonts w:ascii="Arial" w:hAnsi="Arial" w:cs="Arial"/>
          <w:bCs/>
          <w:snapToGrid w:val="0"/>
          <w:sz w:val="22"/>
          <w:szCs w:val="22"/>
        </w:rPr>
        <w:t xml:space="preserve"> health care professionals (</w:t>
      </w:r>
      <w:r w:rsidR="005E37C6" w:rsidRPr="00443075">
        <w:rPr>
          <w:rFonts w:ascii="Arial" w:hAnsi="Arial" w:cs="Arial"/>
          <w:bCs/>
          <w:snapToGrid w:val="0"/>
          <w:sz w:val="22"/>
          <w:szCs w:val="22"/>
        </w:rPr>
        <w:t>6</w:t>
      </w:r>
      <w:r w:rsidRPr="00443075">
        <w:rPr>
          <w:rFonts w:ascii="Arial" w:hAnsi="Arial" w:cs="Arial"/>
          <w:bCs/>
          <w:snapToGrid w:val="0"/>
          <w:sz w:val="22"/>
          <w:szCs w:val="22"/>
        </w:rPr>
        <w:t>) via the Consumer Comments facility on the PBS website</w:t>
      </w:r>
      <w:proofErr w:type="gramStart"/>
      <w:r w:rsidRPr="00443075">
        <w:rPr>
          <w:rFonts w:ascii="Arial" w:hAnsi="Arial" w:cs="Arial"/>
          <w:bCs/>
          <w:snapToGrid w:val="0"/>
          <w:sz w:val="22"/>
          <w:szCs w:val="22"/>
        </w:rPr>
        <w:t xml:space="preserve">.  </w:t>
      </w:r>
      <w:proofErr w:type="gramEnd"/>
      <w:r w:rsidRPr="00443075">
        <w:rPr>
          <w:rFonts w:ascii="Arial" w:hAnsi="Arial" w:cs="Arial"/>
          <w:bCs/>
          <w:snapToGrid w:val="0"/>
          <w:sz w:val="22"/>
          <w:szCs w:val="22"/>
        </w:rPr>
        <w:t xml:space="preserve">The comments described a range of benefits of treatment with </w:t>
      </w:r>
      <w:proofErr w:type="spellStart"/>
      <w:r w:rsidR="004A6890" w:rsidRPr="00443075">
        <w:rPr>
          <w:rFonts w:ascii="Arial" w:hAnsi="Arial" w:cs="Arial"/>
          <w:bCs/>
          <w:snapToGrid w:val="0"/>
          <w:sz w:val="22"/>
          <w:szCs w:val="22"/>
        </w:rPr>
        <w:t>adalimumab</w:t>
      </w:r>
      <w:proofErr w:type="spellEnd"/>
      <w:r w:rsidR="004A6890" w:rsidRPr="00443075">
        <w:rPr>
          <w:rFonts w:ascii="Arial" w:hAnsi="Arial" w:cs="Arial"/>
          <w:bCs/>
          <w:snapToGrid w:val="0"/>
          <w:sz w:val="22"/>
          <w:szCs w:val="22"/>
        </w:rPr>
        <w:t xml:space="preserve"> </w:t>
      </w:r>
      <w:r w:rsidRPr="00443075">
        <w:rPr>
          <w:rFonts w:ascii="Arial" w:hAnsi="Arial" w:cs="Arial"/>
          <w:bCs/>
          <w:snapToGrid w:val="0"/>
          <w:sz w:val="22"/>
          <w:szCs w:val="22"/>
        </w:rPr>
        <w:t xml:space="preserve">including the </w:t>
      </w:r>
      <w:r w:rsidR="004A6890" w:rsidRPr="00443075">
        <w:rPr>
          <w:rFonts w:ascii="Arial" w:hAnsi="Arial" w:cs="Arial"/>
          <w:bCs/>
          <w:snapToGrid w:val="0"/>
          <w:sz w:val="22"/>
          <w:szCs w:val="22"/>
        </w:rPr>
        <w:t>improvements in disease control and quality of life</w:t>
      </w:r>
      <w:r w:rsidR="00B448E9" w:rsidRPr="00443075">
        <w:rPr>
          <w:rFonts w:ascii="Arial" w:hAnsi="Arial" w:cs="Arial"/>
          <w:bCs/>
          <w:snapToGrid w:val="0"/>
          <w:sz w:val="22"/>
          <w:szCs w:val="22"/>
        </w:rPr>
        <w:t>.</w:t>
      </w:r>
      <w:r w:rsidR="005D6CA8" w:rsidRPr="00443075">
        <w:rPr>
          <w:rFonts w:ascii="Arial" w:hAnsi="Arial" w:cs="Arial"/>
          <w:bCs/>
          <w:snapToGrid w:val="0"/>
          <w:sz w:val="22"/>
          <w:szCs w:val="22"/>
        </w:rPr>
        <w:t xml:space="preserve"> The comments were supportive of a listing that restricted access to the most severely affected patients for whom other treatments have been ineffective or inappropriate. </w:t>
      </w:r>
    </w:p>
    <w:p w:rsidR="00380E71" w:rsidRPr="00443075" w:rsidRDefault="00380E71">
      <w:pPr>
        <w:jc w:val="both"/>
        <w:rPr>
          <w:rFonts w:ascii="Arial" w:hAnsi="Arial"/>
          <w:sz w:val="22"/>
          <w:szCs w:val="22"/>
        </w:rPr>
      </w:pPr>
    </w:p>
    <w:p w:rsidR="00D84934" w:rsidRPr="00443075" w:rsidRDefault="00D84934" w:rsidP="00565AC7">
      <w:pPr>
        <w:pStyle w:val="Heading2"/>
      </w:pPr>
      <w:r w:rsidRPr="00443075">
        <w:t>Clinical trials</w:t>
      </w:r>
    </w:p>
    <w:p w:rsidR="00D84934" w:rsidRPr="00443075" w:rsidRDefault="00D84934" w:rsidP="009205E3">
      <w:pPr>
        <w:keepNext/>
        <w:jc w:val="both"/>
        <w:rPr>
          <w:rFonts w:ascii="Arial" w:hAnsi="Arial"/>
          <w:sz w:val="22"/>
          <w:szCs w:val="22"/>
        </w:rPr>
      </w:pPr>
    </w:p>
    <w:p w:rsidR="00226025" w:rsidRPr="00443075" w:rsidRDefault="00267D0D" w:rsidP="00322E23">
      <w:pPr>
        <w:pStyle w:val="ListParagraph"/>
        <w:numPr>
          <w:ilvl w:val="1"/>
          <w:numId w:val="1"/>
        </w:numPr>
        <w:jc w:val="both"/>
        <w:rPr>
          <w:rFonts w:ascii="Arial" w:hAnsi="Arial"/>
          <w:sz w:val="22"/>
          <w:szCs w:val="22"/>
        </w:rPr>
      </w:pPr>
      <w:r w:rsidRPr="00443075">
        <w:rPr>
          <w:rFonts w:ascii="Arial" w:hAnsi="Arial"/>
          <w:sz w:val="22"/>
          <w:szCs w:val="22"/>
        </w:rPr>
        <w:t>N</w:t>
      </w:r>
      <w:r w:rsidR="0076420C" w:rsidRPr="00443075">
        <w:rPr>
          <w:rFonts w:ascii="Arial" w:hAnsi="Arial"/>
          <w:sz w:val="22"/>
          <w:szCs w:val="22"/>
        </w:rPr>
        <w:t xml:space="preserve">o new clinical </w:t>
      </w:r>
      <w:r w:rsidR="005D03B1" w:rsidRPr="00443075">
        <w:rPr>
          <w:rFonts w:ascii="Arial" w:hAnsi="Arial"/>
          <w:sz w:val="22"/>
          <w:szCs w:val="22"/>
        </w:rPr>
        <w:t>data</w:t>
      </w:r>
      <w:r w:rsidR="0076420C" w:rsidRPr="00443075">
        <w:rPr>
          <w:rFonts w:ascii="Arial" w:hAnsi="Arial"/>
          <w:sz w:val="22"/>
          <w:szCs w:val="22"/>
        </w:rPr>
        <w:t xml:space="preserve"> </w:t>
      </w:r>
      <w:r w:rsidRPr="00443075">
        <w:rPr>
          <w:rFonts w:ascii="Arial" w:hAnsi="Arial"/>
          <w:sz w:val="22"/>
          <w:szCs w:val="22"/>
        </w:rPr>
        <w:t>we</w:t>
      </w:r>
      <w:r w:rsidR="0076420C" w:rsidRPr="00443075">
        <w:rPr>
          <w:rFonts w:ascii="Arial" w:hAnsi="Arial"/>
          <w:sz w:val="22"/>
          <w:szCs w:val="22"/>
        </w:rPr>
        <w:t xml:space="preserve">re presented in the </w:t>
      </w:r>
      <w:r w:rsidRPr="00443075">
        <w:rPr>
          <w:rFonts w:ascii="Arial" w:hAnsi="Arial"/>
          <w:sz w:val="22"/>
          <w:szCs w:val="22"/>
        </w:rPr>
        <w:t xml:space="preserve">minor </w:t>
      </w:r>
      <w:r w:rsidR="0076420C" w:rsidRPr="00443075">
        <w:rPr>
          <w:rFonts w:ascii="Arial" w:hAnsi="Arial"/>
          <w:sz w:val="22"/>
          <w:szCs w:val="22"/>
        </w:rPr>
        <w:t>re-submission.</w:t>
      </w:r>
      <w:r w:rsidR="00226025" w:rsidRPr="00443075">
        <w:rPr>
          <w:rFonts w:ascii="Arial" w:hAnsi="Arial"/>
          <w:sz w:val="22"/>
          <w:szCs w:val="22"/>
        </w:rPr>
        <w:t xml:space="preserve"> The March 2016 submission included three head-to-head trials comparing </w:t>
      </w:r>
      <w:proofErr w:type="spellStart"/>
      <w:r w:rsidR="00E23F89" w:rsidRPr="00443075">
        <w:rPr>
          <w:rFonts w:ascii="Arial" w:hAnsi="Arial"/>
          <w:sz w:val="22"/>
          <w:szCs w:val="22"/>
        </w:rPr>
        <w:t>adalimumab</w:t>
      </w:r>
      <w:proofErr w:type="spellEnd"/>
      <w:r w:rsidR="00E23F89" w:rsidRPr="00443075">
        <w:rPr>
          <w:rFonts w:ascii="Arial" w:hAnsi="Arial"/>
          <w:sz w:val="22"/>
          <w:szCs w:val="22"/>
        </w:rPr>
        <w:t xml:space="preserve"> to placebo: </w:t>
      </w:r>
      <w:r w:rsidR="00226025" w:rsidRPr="00443075">
        <w:rPr>
          <w:rFonts w:ascii="Arial" w:hAnsi="Arial"/>
          <w:sz w:val="22"/>
          <w:szCs w:val="22"/>
        </w:rPr>
        <w:t>M10</w:t>
      </w:r>
      <w:r w:rsidR="00226025" w:rsidRPr="00443075">
        <w:rPr>
          <w:rFonts w:ascii="Arial" w:hAnsi="Arial"/>
          <w:sz w:val="22"/>
          <w:szCs w:val="22"/>
        </w:rPr>
        <w:noBreakHyphen/>
        <w:t xml:space="preserve">467 (n=102), PIONEER </w:t>
      </w:r>
      <w:proofErr w:type="gramStart"/>
      <w:r w:rsidR="00226025" w:rsidRPr="00443075">
        <w:rPr>
          <w:rFonts w:ascii="Arial" w:hAnsi="Arial"/>
          <w:sz w:val="22"/>
          <w:szCs w:val="22"/>
        </w:rPr>
        <w:t>I</w:t>
      </w:r>
      <w:proofErr w:type="gramEnd"/>
      <w:r w:rsidR="00226025" w:rsidRPr="00443075">
        <w:rPr>
          <w:rFonts w:ascii="Arial" w:hAnsi="Arial"/>
          <w:sz w:val="22"/>
          <w:szCs w:val="22"/>
        </w:rPr>
        <w:t xml:space="preserve"> (n=307) and PIONEER II (n=326).</w:t>
      </w:r>
    </w:p>
    <w:p w:rsidR="00226025" w:rsidRPr="00443075" w:rsidRDefault="00226025" w:rsidP="00A655FB">
      <w:pPr>
        <w:pStyle w:val="ListParagraph"/>
        <w:jc w:val="both"/>
        <w:rPr>
          <w:rFonts w:ascii="Arial" w:hAnsi="Arial"/>
          <w:sz w:val="22"/>
          <w:szCs w:val="22"/>
        </w:rPr>
      </w:pPr>
    </w:p>
    <w:p w:rsidR="00226025" w:rsidRPr="00443075" w:rsidRDefault="0076420C" w:rsidP="00087B7E">
      <w:pPr>
        <w:pStyle w:val="ListParagraph"/>
        <w:numPr>
          <w:ilvl w:val="1"/>
          <w:numId w:val="1"/>
        </w:numPr>
        <w:jc w:val="both"/>
        <w:rPr>
          <w:rFonts w:ascii="Arial" w:hAnsi="Arial"/>
          <w:sz w:val="22"/>
          <w:szCs w:val="22"/>
        </w:rPr>
      </w:pPr>
      <w:r w:rsidRPr="00443075">
        <w:rPr>
          <w:rFonts w:ascii="Arial" w:hAnsi="Arial"/>
          <w:sz w:val="22"/>
          <w:szCs w:val="22"/>
        </w:rPr>
        <w:t xml:space="preserve">The minor re-submission </w:t>
      </w:r>
      <w:r w:rsidR="007524FF" w:rsidRPr="00443075">
        <w:rPr>
          <w:rFonts w:ascii="Arial" w:hAnsi="Arial"/>
          <w:sz w:val="22"/>
          <w:szCs w:val="22"/>
        </w:rPr>
        <w:t xml:space="preserve">sought </w:t>
      </w:r>
      <w:r w:rsidRPr="00443075">
        <w:rPr>
          <w:rFonts w:ascii="Arial" w:hAnsi="Arial"/>
          <w:sz w:val="22"/>
          <w:szCs w:val="22"/>
        </w:rPr>
        <w:t>to respecify the best estimate of the base case ICER by</w:t>
      </w:r>
      <w:r w:rsidR="00226025" w:rsidRPr="00443075">
        <w:rPr>
          <w:rFonts w:ascii="Arial" w:hAnsi="Arial"/>
          <w:sz w:val="22"/>
          <w:szCs w:val="22"/>
        </w:rPr>
        <w:t xml:space="preserve"> </w:t>
      </w:r>
      <w:r w:rsidRPr="00443075">
        <w:rPr>
          <w:rFonts w:ascii="Arial" w:hAnsi="Arial"/>
          <w:sz w:val="22"/>
          <w:szCs w:val="22"/>
        </w:rPr>
        <w:t>reducing the price</w:t>
      </w:r>
      <w:r w:rsidR="00270BA5" w:rsidRPr="00443075">
        <w:rPr>
          <w:rFonts w:ascii="Arial" w:hAnsi="Arial"/>
          <w:sz w:val="22"/>
          <w:szCs w:val="22"/>
        </w:rPr>
        <w:t xml:space="preserve"> and adapting the continuation criteria</w:t>
      </w:r>
      <w:r w:rsidR="00DA2CB5" w:rsidRPr="00443075">
        <w:rPr>
          <w:rFonts w:ascii="Arial" w:hAnsi="Arial"/>
          <w:sz w:val="22"/>
          <w:szCs w:val="22"/>
        </w:rPr>
        <w:t>.</w:t>
      </w:r>
    </w:p>
    <w:p w:rsidR="00226025" w:rsidRPr="00443075" w:rsidRDefault="00226025">
      <w:pPr>
        <w:pStyle w:val="ListParagraph"/>
        <w:rPr>
          <w:rFonts w:ascii="Arial" w:hAnsi="Arial"/>
          <w:sz w:val="22"/>
          <w:szCs w:val="22"/>
        </w:rPr>
      </w:pPr>
    </w:p>
    <w:p w:rsidR="003424F0" w:rsidRPr="00443075" w:rsidRDefault="003424F0">
      <w:pPr>
        <w:pStyle w:val="ListParagraph"/>
        <w:numPr>
          <w:ilvl w:val="1"/>
          <w:numId w:val="1"/>
        </w:numPr>
        <w:jc w:val="both"/>
        <w:rPr>
          <w:rFonts w:ascii="Arial" w:hAnsi="Arial"/>
          <w:sz w:val="22"/>
          <w:szCs w:val="22"/>
        </w:rPr>
      </w:pPr>
      <w:r w:rsidRPr="00443075">
        <w:rPr>
          <w:rFonts w:ascii="Arial" w:hAnsi="Arial"/>
          <w:sz w:val="22"/>
          <w:szCs w:val="22"/>
        </w:rPr>
        <w:t xml:space="preserve">It was noted in the March 2016 </w:t>
      </w:r>
      <w:proofErr w:type="spellStart"/>
      <w:r w:rsidR="008C4E49" w:rsidRPr="00443075">
        <w:rPr>
          <w:rFonts w:ascii="Arial" w:hAnsi="Arial"/>
          <w:sz w:val="22"/>
          <w:szCs w:val="22"/>
        </w:rPr>
        <w:t>adalimumab</w:t>
      </w:r>
      <w:proofErr w:type="spellEnd"/>
      <w:r w:rsidRPr="00443075">
        <w:rPr>
          <w:rFonts w:ascii="Arial" w:hAnsi="Arial"/>
          <w:sz w:val="22"/>
          <w:szCs w:val="22"/>
        </w:rPr>
        <w:t xml:space="preserve"> </w:t>
      </w:r>
      <w:r w:rsidR="00A05F6B" w:rsidRPr="00443075">
        <w:rPr>
          <w:rFonts w:ascii="Arial" w:hAnsi="Arial"/>
          <w:sz w:val="22"/>
          <w:szCs w:val="22"/>
        </w:rPr>
        <w:t xml:space="preserve">PSD </w:t>
      </w:r>
      <w:r w:rsidRPr="00443075">
        <w:rPr>
          <w:rFonts w:ascii="Arial" w:hAnsi="Arial"/>
          <w:sz w:val="22"/>
          <w:szCs w:val="22"/>
        </w:rPr>
        <w:t>that the primary outcome (</w:t>
      </w:r>
      <w:proofErr w:type="spellStart"/>
      <w:r w:rsidRPr="00443075">
        <w:rPr>
          <w:rFonts w:ascii="Arial" w:hAnsi="Arial"/>
          <w:sz w:val="22"/>
          <w:szCs w:val="22"/>
        </w:rPr>
        <w:t>HiSCR</w:t>
      </w:r>
      <w:proofErr w:type="spellEnd"/>
      <w:r w:rsidRPr="00443075">
        <w:rPr>
          <w:rFonts w:ascii="Arial" w:hAnsi="Arial"/>
          <w:sz w:val="22"/>
          <w:szCs w:val="22"/>
        </w:rPr>
        <w:t xml:space="preserve">) </w:t>
      </w:r>
      <w:r w:rsidR="005314BA" w:rsidRPr="00443075">
        <w:rPr>
          <w:rFonts w:ascii="Arial" w:hAnsi="Arial"/>
          <w:sz w:val="22"/>
          <w:szCs w:val="22"/>
        </w:rPr>
        <w:t>ha</w:t>
      </w:r>
      <w:r w:rsidR="007524FF" w:rsidRPr="00443075">
        <w:rPr>
          <w:rFonts w:ascii="Arial" w:hAnsi="Arial"/>
          <w:sz w:val="22"/>
          <w:szCs w:val="22"/>
        </w:rPr>
        <w:t>d</w:t>
      </w:r>
      <w:r w:rsidR="005314BA" w:rsidRPr="00443075">
        <w:rPr>
          <w:rFonts w:ascii="Arial" w:hAnsi="Arial"/>
          <w:sz w:val="22"/>
          <w:szCs w:val="22"/>
        </w:rPr>
        <w:t xml:space="preserve"> not been previously considered by the PBAC, was developed retrospectively using data from M10-467, </w:t>
      </w:r>
      <w:r w:rsidRPr="00443075">
        <w:rPr>
          <w:rFonts w:ascii="Arial" w:hAnsi="Arial"/>
          <w:sz w:val="22"/>
          <w:szCs w:val="22"/>
        </w:rPr>
        <w:t>d</w:t>
      </w:r>
      <w:r w:rsidR="00BB0DE2" w:rsidRPr="00443075">
        <w:rPr>
          <w:rFonts w:ascii="Arial" w:hAnsi="Arial"/>
          <w:sz w:val="22"/>
          <w:szCs w:val="22"/>
        </w:rPr>
        <w:t>oes</w:t>
      </w:r>
      <w:r w:rsidRPr="00443075">
        <w:rPr>
          <w:rFonts w:ascii="Arial" w:hAnsi="Arial"/>
          <w:sz w:val="22"/>
          <w:szCs w:val="22"/>
        </w:rPr>
        <w:t xml:space="preserve"> not capture all aspects of quality of life and is not as well established as other outcomes, such as PASI75 for chronic plaque psoriasis. The PBAC also considered that should the </w:t>
      </w:r>
      <w:proofErr w:type="spellStart"/>
      <w:r w:rsidRPr="00443075">
        <w:rPr>
          <w:rFonts w:ascii="Arial" w:hAnsi="Arial"/>
          <w:sz w:val="22"/>
          <w:szCs w:val="22"/>
        </w:rPr>
        <w:t>HiSCR</w:t>
      </w:r>
      <w:proofErr w:type="spellEnd"/>
      <w:r w:rsidRPr="00443075">
        <w:rPr>
          <w:rFonts w:ascii="Arial" w:hAnsi="Arial"/>
          <w:sz w:val="22"/>
          <w:szCs w:val="22"/>
        </w:rPr>
        <w:t xml:space="preserve"> outcome be used as an outcome measure, more supporting data would be required to justify the choice of using </w:t>
      </w:r>
      <w:proofErr w:type="spellStart"/>
      <w:r w:rsidRPr="00443075">
        <w:rPr>
          <w:rFonts w:ascii="Arial" w:hAnsi="Arial"/>
          <w:sz w:val="22"/>
          <w:szCs w:val="22"/>
        </w:rPr>
        <w:t>HiSCR</w:t>
      </w:r>
      <w:proofErr w:type="spellEnd"/>
      <w:r w:rsidRPr="00443075">
        <w:rPr>
          <w:rFonts w:ascii="Arial" w:hAnsi="Arial"/>
          <w:sz w:val="22"/>
          <w:szCs w:val="22"/>
        </w:rPr>
        <w:t xml:space="preserve"> as an outcome measure in this setting (</w:t>
      </w:r>
      <w:r w:rsidR="00BB0DE2" w:rsidRPr="00443075">
        <w:rPr>
          <w:rFonts w:ascii="Arial" w:hAnsi="Arial"/>
          <w:sz w:val="22"/>
          <w:szCs w:val="22"/>
        </w:rPr>
        <w:t xml:space="preserve">paragraph </w:t>
      </w:r>
      <w:r w:rsidRPr="00443075">
        <w:rPr>
          <w:rFonts w:ascii="Arial" w:hAnsi="Arial"/>
          <w:sz w:val="22"/>
          <w:szCs w:val="22"/>
        </w:rPr>
        <w:t>7.6 of the</w:t>
      </w:r>
      <w:r w:rsidR="00BB0DE2" w:rsidRPr="00443075">
        <w:rPr>
          <w:rFonts w:ascii="Arial" w:hAnsi="Arial"/>
          <w:sz w:val="22"/>
          <w:szCs w:val="22"/>
        </w:rPr>
        <w:t xml:space="preserve"> March 2016 </w:t>
      </w:r>
      <w:proofErr w:type="spellStart"/>
      <w:r w:rsidR="00BB0DE2" w:rsidRPr="00443075">
        <w:rPr>
          <w:rFonts w:ascii="Arial" w:hAnsi="Arial"/>
          <w:sz w:val="22"/>
          <w:szCs w:val="22"/>
        </w:rPr>
        <w:t>adalimumab</w:t>
      </w:r>
      <w:proofErr w:type="spellEnd"/>
      <w:r w:rsidRPr="00443075">
        <w:rPr>
          <w:rFonts w:ascii="Arial" w:hAnsi="Arial"/>
          <w:sz w:val="22"/>
          <w:szCs w:val="22"/>
        </w:rPr>
        <w:t xml:space="preserve"> </w:t>
      </w:r>
      <w:r w:rsidR="00A05F6B" w:rsidRPr="00443075">
        <w:rPr>
          <w:rFonts w:ascii="Arial" w:hAnsi="Arial"/>
          <w:sz w:val="22"/>
          <w:szCs w:val="22"/>
        </w:rPr>
        <w:t>PSD</w:t>
      </w:r>
      <w:r w:rsidRPr="00443075">
        <w:rPr>
          <w:rFonts w:ascii="Arial" w:hAnsi="Arial"/>
          <w:sz w:val="22"/>
          <w:szCs w:val="22"/>
        </w:rPr>
        <w:t>).</w:t>
      </w:r>
      <w:r w:rsidR="005314BA" w:rsidRPr="00443075">
        <w:rPr>
          <w:rFonts w:ascii="Arial" w:hAnsi="Arial"/>
          <w:sz w:val="22"/>
          <w:szCs w:val="22"/>
        </w:rPr>
        <w:t xml:space="preserve"> </w:t>
      </w:r>
      <w:r w:rsidRPr="00443075">
        <w:rPr>
          <w:rFonts w:ascii="Arial" w:hAnsi="Arial"/>
          <w:sz w:val="22"/>
          <w:szCs w:val="22"/>
        </w:rPr>
        <w:t>The minor re</w:t>
      </w:r>
      <w:r w:rsidR="00F04C50" w:rsidRPr="00443075">
        <w:rPr>
          <w:rFonts w:ascii="Arial" w:hAnsi="Arial"/>
          <w:sz w:val="22"/>
          <w:szCs w:val="22"/>
        </w:rPr>
        <w:noBreakHyphen/>
      </w:r>
      <w:r w:rsidRPr="00443075">
        <w:rPr>
          <w:rFonts w:ascii="Arial" w:hAnsi="Arial"/>
          <w:sz w:val="22"/>
          <w:szCs w:val="22"/>
        </w:rPr>
        <w:t xml:space="preserve">submission reiterated that </w:t>
      </w:r>
      <w:proofErr w:type="spellStart"/>
      <w:r w:rsidRPr="00443075">
        <w:rPr>
          <w:rFonts w:ascii="Arial" w:hAnsi="Arial"/>
          <w:sz w:val="22"/>
          <w:szCs w:val="22"/>
        </w:rPr>
        <w:t>HiSCR</w:t>
      </w:r>
      <w:proofErr w:type="spellEnd"/>
      <w:r w:rsidRPr="00443075">
        <w:rPr>
          <w:rFonts w:ascii="Arial" w:hAnsi="Arial"/>
          <w:sz w:val="22"/>
          <w:szCs w:val="22"/>
        </w:rPr>
        <w:t xml:space="preserve"> is a validated and reliable outcome measure, which has been published in peer reviewed journals and accepted by respected regulatory agencies internationally.</w:t>
      </w:r>
      <w:r w:rsidR="005314BA" w:rsidRPr="00443075">
        <w:rPr>
          <w:rFonts w:ascii="Arial" w:hAnsi="Arial"/>
          <w:sz w:val="22"/>
          <w:szCs w:val="22"/>
        </w:rPr>
        <w:t xml:space="preserve"> </w:t>
      </w:r>
    </w:p>
    <w:p w:rsidR="00E73ADD" w:rsidRPr="00443075" w:rsidRDefault="00E73ADD">
      <w:pPr>
        <w:jc w:val="both"/>
        <w:rPr>
          <w:rFonts w:ascii="Arial" w:hAnsi="Arial"/>
          <w:sz w:val="22"/>
          <w:szCs w:val="22"/>
        </w:rPr>
      </w:pPr>
    </w:p>
    <w:p w:rsidR="00E73ADD" w:rsidRPr="00443075" w:rsidRDefault="00E73ADD">
      <w:pPr>
        <w:pStyle w:val="ListParagraph"/>
        <w:numPr>
          <w:ilvl w:val="1"/>
          <w:numId w:val="1"/>
        </w:numPr>
        <w:jc w:val="both"/>
        <w:rPr>
          <w:rFonts w:ascii="Arial" w:hAnsi="Arial"/>
          <w:sz w:val="22"/>
          <w:szCs w:val="22"/>
        </w:rPr>
      </w:pPr>
      <w:r w:rsidRPr="00443075">
        <w:rPr>
          <w:rFonts w:ascii="Arial" w:hAnsi="Arial"/>
          <w:sz w:val="22"/>
          <w:szCs w:val="22"/>
        </w:rPr>
        <w:t xml:space="preserve">The minor re-submission stated there is no additional data collection planned </w:t>
      </w:r>
      <w:r w:rsidR="00BB0DE2" w:rsidRPr="00443075">
        <w:rPr>
          <w:rFonts w:ascii="Arial" w:hAnsi="Arial"/>
          <w:sz w:val="22"/>
          <w:szCs w:val="22"/>
        </w:rPr>
        <w:t xml:space="preserve">to </w:t>
      </w:r>
      <w:r w:rsidRPr="00443075">
        <w:rPr>
          <w:rFonts w:ascii="Arial" w:hAnsi="Arial"/>
          <w:sz w:val="22"/>
          <w:szCs w:val="22"/>
        </w:rPr>
        <w:t>assess</w:t>
      </w:r>
      <w:r w:rsidR="00BB0DE2" w:rsidRPr="00443075">
        <w:rPr>
          <w:rFonts w:ascii="Arial" w:hAnsi="Arial"/>
          <w:sz w:val="22"/>
          <w:szCs w:val="22"/>
        </w:rPr>
        <w:t xml:space="preserve"> </w:t>
      </w:r>
      <w:r w:rsidRPr="00443075">
        <w:rPr>
          <w:rFonts w:ascii="Arial" w:hAnsi="Arial"/>
          <w:sz w:val="22"/>
          <w:szCs w:val="22"/>
        </w:rPr>
        <w:t>the outstanding areas of concern addressed in the March 2016</w:t>
      </w:r>
      <w:r w:rsidR="008C4E49" w:rsidRPr="00443075">
        <w:rPr>
          <w:rFonts w:ascii="Arial" w:hAnsi="Arial"/>
          <w:sz w:val="22"/>
          <w:szCs w:val="22"/>
        </w:rPr>
        <w:t xml:space="preserve"> </w:t>
      </w:r>
      <w:proofErr w:type="spellStart"/>
      <w:r w:rsidR="008C4E49" w:rsidRPr="00443075">
        <w:rPr>
          <w:rFonts w:ascii="Arial" w:hAnsi="Arial"/>
          <w:sz w:val="22"/>
          <w:szCs w:val="22"/>
        </w:rPr>
        <w:t>adalimumab</w:t>
      </w:r>
      <w:proofErr w:type="spellEnd"/>
      <w:r w:rsidRPr="00443075">
        <w:rPr>
          <w:rFonts w:ascii="Arial" w:hAnsi="Arial"/>
          <w:sz w:val="22"/>
          <w:szCs w:val="22"/>
        </w:rPr>
        <w:t xml:space="preserve"> </w:t>
      </w:r>
      <w:r w:rsidR="00A05F6B" w:rsidRPr="00443075">
        <w:rPr>
          <w:rFonts w:ascii="Arial" w:hAnsi="Arial"/>
          <w:sz w:val="22"/>
          <w:szCs w:val="22"/>
        </w:rPr>
        <w:t xml:space="preserve">PSD </w:t>
      </w:r>
      <w:r w:rsidRPr="00443075">
        <w:rPr>
          <w:rFonts w:ascii="Arial" w:hAnsi="Arial"/>
          <w:sz w:val="22"/>
          <w:szCs w:val="22"/>
        </w:rPr>
        <w:t>(i.e. the maintenance of treatment benefit in the longer term and with re</w:t>
      </w:r>
      <w:r w:rsidR="00D97454" w:rsidRPr="00443075">
        <w:rPr>
          <w:rFonts w:ascii="Arial" w:hAnsi="Arial"/>
          <w:sz w:val="22"/>
          <w:szCs w:val="22"/>
        </w:rPr>
        <w:t>-</w:t>
      </w:r>
      <w:r w:rsidRPr="00443075">
        <w:rPr>
          <w:rFonts w:ascii="Arial" w:hAnsi="Arial"/>
          <w:sz w:val="22"/>
          <w:szCs w:val="22"/>
        </w:rPr>
        <w:t>treatment).</w:t>
      </w:r>
    </w:p>
    <w:p w:rsidR="005D03B1" w:rsidRPr="00443075" w:rsidRDefault="005D03B1">
      <w:pPr>
        <w:jc w:val="both"/>
        <w:rPr>
          <w:rFonts w:ascii="Arial" w:hAnsi="Arial"/>
          <w:sz w:val="22"/>
          <w:szCs w:val="22"/>
        </w:rPr>
      </w:pPr>
    </w:p>
    <w:p w:rsidR="005A3173" w:rsidRPr="00443075" w:rsidRDefault="005A3173" w:rsidP="00565AC7">
      <w:pPr>
        <w:pStyle w:val="Heading2"/>
      </w:pPr>
      <w:r w:rsidRPr="00443075">
        <w:t>Comparative effectiveness</w:t>
      </w:r>
    </w:p>
    <w:p w:rsidR="005A3173" w:rsidRPr="00443075" w:rsidRDefault="005A3173" w:rsidP="0000289B">
      <w:pPr>
        <w:keepNext/>
        <w:jc w:val="both"/>
        <w:rPr>
          <w:rFonts w:ascii="Arial" w:hAnsi="Arial"/>
          <w:sz w:val="22"/>
          <w:szCs w:val="22"/>
        </w:rPr>
      </w:pPr>
    </w:p>
    <w:p w:rsidR="00D1036C" w:rsidRPr="00443075" w:rsidRDefault="009B0F67" w:rsidP="00322E23">
      <w:pPr>
        <w:pStyle w:val="ListParagraph"/>
        <w:numPr>
          <w:ilvl w:val="1"/>
          <w:numId w:val="1"/>
        </w:numPr>
        <w:jc w:val="both"/>
        <w:rPr>
          <w:rFonts w:ascii="Arial" w:hAnsi="Arial"/>
          <w:sz w:val="22"/>
          <w:szCs w:val="22"/>
        </w:rPr>
      </w:pPr>
      <w:r w:rsidRPr="00443075">
        <w:rPr>
          <w:rFonts w:ascii="Arial" w:hAnsi="Arial"/>
          <w:sz w:val="22"/>
          <w:szCs w:val="22"/>
        </w:rPr>
        <w:t xml:space="preserve">The trial results remain unchanged from the major submission considered in </w:t>
      </w:r>
      <w:r w:rsidR="00625DF1" w:rsidRPr="00443075">
        <w:rPr>
          <w:rFonts w:ascii="Arial" w:hAnsi="Arial"/>
          <w:sz w:val="22"/>
          <w:szCs w:val="22"/>
        </w:rPr>
        <w:t>March 2016</w:t>
      </w:r>
      <w:r w:rsidRPr="00443075">
        <w:rPr>
          <w:rFonts w:ascii="Arial" w:hAnsi="Arial"/>
          <w:sz w:val="22"/>
          <w:szCs w:val="22"/>
        </w:rPr>
        <w:t>. The results from the M</w:t>
      </w:r>
      <w:r w:rsidR="00625DF1" w:rsidRPr="00443075">
        <w:rPr>
          <w:rFonts w:ascii="Arial" w:hAnsi="Arial"/>
          <w:sz w:val="22"/>
          <w:szCs w:val="22"/>
        </w:rPr>
        <w:t xml:space="preserve">arch 2016 </w:t>
      </w:r>
      <w:r w:rsidRPr="00443075">
        <w:rPr>
          <w:rFonts w:ascii="Arial" w:hAnsi="Arial"/>
          <w:sz w:val="22"/>
          <w:szCs w:val="22"/>
        </w:rPr>
        <w:t>submission are repeated below</w:t>
      </w:r>
      <w:r w:rsidR="00625DF1" w:rsidRPr="00443075">
        <w:rPr>
          <w:rFonts w:ascii="Arial" w:hAnsi="Arial"/>
          <w:sz w:val="22"/>
          <w:szCs w:val="22"/>
        </w:rPr>
        <w:t>.</w:t>
      </w:r>
    </w:p>
    <w:p w:rsidR="00365544" w:rsidRPr="00443075" w:rsidRDefault="00365544" w:rsidP="00A655FB">
      <w:pPr>
        <w:pStyle w:val="ListParagraph"/>
        <w:ind w:left="709"/>
        <w:jc w:val="both"/>
        <w:rPr>
          <w:rFonts w:ascii="Arial Narrow" w:hAnsi="Arial Narrow"/>
          <w:b/>
          <w:sz w:val="20"/>
          <w:szCs w:val="22"/>
        </w:rPr>
      </w:pPr>
    </w:p>
    <w:p w:rsidR="00D1036C" w:rsidRPr="00443075" w:rsidRDefault="00D1036C" w:rsidP="00087B7E">
      <w:pPr>
        <w:pStyle w:val="NoSpacing"/>
        <w:keepNext/>
        <w:keepLines/>
        <w:ind w:left="709"/>
        <w:rPr>
          <w:rFonts w:ascii="Arial Narrow" w:hAnsi="Arial Narrow"/>
          <w:b/>
          <w:sz w:val="20"/>
        </w:rPr>
      </w:pPr>
      <w:r w:rsidRPr="00443075">
        <w:rPr>
          <w:rFonts w:ascii="Arial Narrow" w:hAnsi="Arial Narrow"/>
          <w:b/>
          <w:sz w:val="20"/>
        </w:rPr>
        <w:t xml:space="preserve">Table </w:t>
      </w:r>
      <w:r w:rsidR="00394E18" w:rsidRPr="00443075">
        <w:rPr>
          <w:rFonts w:ascii="Arial Narrow" w:hAnsi="Arial Narrow"/>
          <w:b/>
          <w:sz w:val="20"/>
        </w:rPr>
        <w:t>1</w:t>
      </w:r>
      <w:r w:rsidR="00940B1C" w:rsidRPr="00443075">
        <w:rPr>
          <w:rFonts w:ascii="Arial Narrow" w:hAnsi="Arial Narrow"/>
          <w:b/>
          <w:sz w:val="20"/>
        </w:rPr>
        <w:t xml:space="preserve">: </w:t>
      </w:r>
      <w:proofErr w:type="spellStart"/>
      <w:r w:rsidRPr="00443075">
        <w:rPr>
          <w:rFonts w:ascii="Arial Narrow" w:hAnsi="Arial Narrow"/>
          <w:b/>
          <w:sz w:val="20"/>
        </w:rPr>
        <w:t>HiSCR</w:t>
      </w:r>
      <w:proofErr w:type="spellEnd"/>
      <w:r w:rsidRPr="00443075">
        <w:rPr>
          <w:rFonts w:ascii="Arial Narrow" w:hAnsi="Arial Narrow"/>
          <w:b/>
          <w:sz w:val="20"/>
        </w:rPr>
        <w:t xml:space="preserve"> results across the direct randomised trials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6"/>
        <w:gridCol w:w="2124"/>
        <w:gridCol w:w="1985"/>
        <w:gridCol w:w="1561"/>
        <w:gridCol w:w="1557"/>
      </w:tblGrid>
      <w:tr w:rsidR="00BB7C5A" w:rsidRPr="00443075" w:rsidTr="00305310">
        <w:trPr>
          <w:cantSplit/>
          <w:tblHeader/>
        </w:trPr>
        <w:tc>
          <w:tcPr>
            <w:tcW w:w="679" w:type="pct"/>
            <w:vMerge w:val="restart"/>
            <w:tcBorders>
              <w:top w:val="single" w:sz="4" w:space="0" w:color="auto"/>
              <w:left w:val="single" w:sz="4" w:space="0" w:color="auto"/>
              <w:bottom w:val="single" w:sz="4" w:space="0" w:color="auto"/>
              <w:right w:val="single" w:sz="4" w:space="0" w:color="auto"/>
            </w:tcBorders>
            <w:hideMark/>
          </w:tcPr>
          <w:p w:rsidR="00BB7C5A" w:rsidRPr="00443075" w:rsidRDefault="00BB7C5A">
            <w:pPr>
              <w:keepNext/>
              <w:keepLines/>
              <w:snapToGrid w:val="0"/>
              <w:ind w:firstLine="25"/>
              <w:jc w:val="both"/>
              <w:rPr>
                <w:rFonts w:ascii="Arial Narrow" w:hAnsi="Arial Narrow" w:cs="Arial"/>
                <w:b/>
                <w:sz w:val="19"/>
                <w:szCs w:val="19"/>
                <w:lang w:eastAsia="en-US"/>
              </w:rPr>
            </w:pPr>
            <w:r w:rsidRPr="00443075">
              <w:rPr>
                <w:rFonts w:ascii="Arial Narrow" w:hAnsi="Arial Narrow"/>
                <w:b/>
                <w:sz w:val="19"/>
                <w:szCs w:val="19"/>
              </w:rPr>
              <w:t>Trial ID</w:t>
            </w:r>
          </w:p>
        </w:tc>
        <w:tc>
          <w:tcPr>
            <w:tcW w:w="4321" w:type="pct"/>
            <w:gridSpan w:val="4"/>
            <w:tcBorders>
              <w:top w:val="single" w:sz="4" w:space="0" w:color="auto"/>
              <w:left w:val="single" w:sz="4" w:space="0" w:color="auto"/>
              <w:bottom w:val="single" w:sz="4" w:space="0" w:color="auto"/>
              <w:right w:val="single" w:sz="4" w:space="0" w:color="auto"/>
            </w:tcBorders>
            <w:hideMark/>
          </w:tcPr>
          <w:p w:rsidR="00BB7C5A" w:rsidRPr="00443075" w:rsidRDefault="00BB7C5A">
            <w:pPr>
              <w:keepNext/>
              <w:keepLines/>
              <w:snapToGrid w:val="0"/>
              <w:jc w:val="both"/>
              <w:rPr>
                <w:rFonts w:ascii="Arial Narrow" w:hAnsi="Arial Narrow" w:cs="Arial"/>
                <w:b/>
                <w:sz w:val="19"/>
                <w:szCs w:val="19"/>
                <w:lang w:eastAsia="en-US"/>
              </w:rPr>
            </w:pPr>
            <w:proofErr w:type="spellStart"/>
            <w:r w:rsidRPr="00443075">
              <w:rPr>
                <w:rFonts w:ascii="Arial Narrow" w:hAnsi="Arial Narrow"/>
                <w:b/>
                <w:sz w:val="19"/>
                <w:szCs w:val="19"/>
              </w:rPr>
              <w:t>HiSCR</w:t>
            </w:r>
            <w:proofErr w:type="spellEnd"/>
            <w:r w:rsidRPr="00443075">
              <w:rPr>
                <w:rFonts w:ascii="Arial Narrow" w:hAnsi="Arial Narrow"/>
                <w:b/>
                <w:sz w:val="19"/>
                <w:szCs w:val="19"/>
              </w:rPr>
              <w:t xml:space="preserve"> response at Week 12</w:t>
            </w:r>
          </w:p>
        </w:tc>
      </w:tr>
      <w:tr w:rsidR="007524FF" w:rsidRPr="00443075" w:rsidTr="007524FF">
        <w:trPr>
          <w:cantSplit/>
          <w:tblHeader/>
        </w:trPr>
        <w:tc>
          <w:tcPr>
            <w:tcW w:w="679" w:type="pct"/>
            <w:vMerge/>
            <w:tcBorders>
              <w:top w:val="single" w:sz="4" w:space="0" w:color="auto"/>
              <w:left w:val="single" w:sz="4" w:space="0" w:color="auto"/>
              <w:bottom w:val="single" w:sz="4" w:space="0" w:color="auto"/>
              <w:right w:val="single" w:sz="4" w:space="0" w:color="auto"/>
            </w:tcBorders>
            <w:vAlign w:val="center"/>
            <w:hideMark/>
          </w:tcPr>
          <w:p w:rsidR="00BB7C5A" w:rsidRPr="00443075" w:rsidRDefault="00BB7C5A">
            <w:pPr>
              <w:keepNext/>
              <w:keepLines/>
              <w:jc w:val="both"/>
              <w:rPr>
                <w:rFonts w:ascii="Arial Narrow" w:hAnsi="Arial Narrow" w:cs="Arial"/>
                <w:b/>
                <w:sz w:val="19"/>
                <w:szCs w:val="19"/>
                <w:lang w:eastAsia="en-US"/>
              </w:rPr>
            </w:pPr>
          </w:p>
        </w:tc>
        <w:tc>
          <w:tcPr>
            <w:tcW w:w="1270" w:type="pct"/>
            <w:tcBorders>
              <w:top w:val="single" w:sz="4" w:space="0" w:color="auto"/>
              <w:left w:val="single" w:sz="4" w:space="0" w:color="auto"/>
              <w:bottom w:val="single" w:sz="4" w:space="0" w:color="auto"/>
              <w:right w:val="single" w:sz="4" w:space="0" w:color="auto"/>
            </w:tcBorders>
            <w:hideMark/>
          </w:tcPr>
          <w:p w:rsidR="00BB7C5A" w:rsidRPr="00443075" w:rsidRDefault="00BB7C5A">
            <w:pPr>
              <w:keepNext/>
              <w:keepLines/>
              <w:snapToGrid w:val="0"/>
              <w:jc w:val="both"/>
              <w:rPr>
                <w:rFonts w:ascii="Arial Narrow" w:hAnsi="Arial Narrow" w:cs="Arial"/>
                <w:b/>
                <w:sz w:val="19"/>
                <w:szCs w:val="19"/>
                <w:lang w:eastAsia="en-US"/>
              </w:rPr>
            </w:pPr>
            <w:r w:rsidRPr="00443075">
              <w:rPr>
                <w:rFonts w:ascii="Arial Narrow" w:hAnsi="Arial Narrow"/>
                <w:b/>
                <w:sz w:val="19"/>
                <w:szCs w:val="19"/>
              </w:rPr>
              <w:t xml:space="preserve">ADA 40mg </w:t>
            </w:r>
            <w:proofErr w:type="spellStart"/>
            <w:r w:rsidRPr="00443075">
              <w:rPr>
                <w:rFonts w:ascii="Arial Narrow" w:hAnsi="Arial Narrow"/>
                <w:b/>
                <w:sz w:val="19"/>
                <w:szCs w:val="19"/>
              </w:rPr>
              <w:t>ew</w:t>
            </w:r>
            <w:proofErr w:type="spellEnd"/>
            <w:r w:rsidRPr="00443075">
              <w:rPr>
                <w:rFonts w:ascii="Arial Narrow" w:hAnsi="Arial Narrow"/>
                <w:b/>
                <w:sz w:val="19"/>
                <w:szCs w:val="19"/>
              </w:rPr>
              <w:t xml:space="preserve"> n/N (%)</w:t>
            </w:r>
          </w:p>
        </w:tc>
        <w:tc>
          <w:tcPr>
            <w:tcW w:w="1187" w:type="pct"/>
            <w:tcBorders>
              <w:top w:val="single" w:sz="4" w:space="0" w:color="auto"/>
              <w:left w:val="single" w:sz="4" w:space="0" w:color="auto"/>
              <w:bottom w:val="single" w:sz="4" w:space="0" w:color="auto"/>
              <w:right w:val="single" w:sz="4" w:space="0" w:color="auto"/>
            </w:tcBorders>
            <w:hideMark/>
          </w:tcPr>
          <w:p w:rsidR="00BB7C5A" w:rsidRPr="00443075" w:rsidRDefault="00BB7C5A">
            <w:pPr>
              <w:keepNext/>
              <w:keepLines/>
              <w:snapToGrid w:val="0"/>
              <w:jc w:val="both"/>
              <w:rPr>
                <w:rFonts w:ascii="Arial Narrow" w:hAnsi="Arial Narrow" w:cs="Arial"/>
                <w:b/>
                <w:sz w:val="19"/>
                <w:szCs w:val="19"/>
                <w:lang w:eastAsia="en-US"/>
              </w:rPr>
            </w:pPr>
            <w:r w:rsidRPr="00443075">
              <w:rPr>
                <w:rFonts w:ascii="Arial Narrow" w:hAnsi="Arial Narrow"/>
                <w:b/>
                <w:sz w:val="19"/>
                <w:szCs w:val="19"/>
              </w:rPr>
              <w:t>Placebo n/N (%)</w:t>
            </w:r>
          </w:p>
        </w:tc>
        <w:tc>
          <w:tcPr>
            <w:tcW w:w="933" w:type="pct"/>
            <w:tcBorders>
              <w:top w:val="single" w:sz="4" w:space="0" w:color="auto"/>
              <w:left w:val="single" w:sz="4" w:space="0" w:color="auto"/>
              <w:bottom w:val="single" w:sz="4" w:space="0" w:color="auto"/>
              <w:right w:val="single" w:sz="4" w:space="0" w:color="auto"/>
            </w:tcBorders>
            <w:hideMark/>
          </w:tcPr>
          <w:p w:rsidR="00BB7C5A" w:rsidRPr="00443075" w:rsidRDefault="00BB7C5A">
            <w:pPr>
              <w:keepNext/>
              <w:keepLines/>
              <w:snapToGrid w:val="0"/>
              <w:jc w:val="both"/>
              <w:rPr>
                <w:rFonts w:ascii="Arial Narrow" w:hAnsi="Arial Narrow" w:cs="Arial"/>
                <w:b/>
                <w:sz w:val="19"/>
                <w:szCs w:val="19"/>
                <w:lang w:eastAsia="en-US"/>
              </w:rPr>
            </w:pPr>
            <w:r w:rsidRPr="00443075">
              <w:rPr>
                <w:rFonts w:ascii="Arial Narrow" w:hAnsi="Arial Narrow"/>
                <w:b/>
                <w:sz w:val="19"/>
                <w:szCs w:val="19"/>
              </w:rPr>
              <w:t>RD [95% CI]</w:t>
            </w:r>
          </w:p>
        </w:tc>
        <w:tc>
          <w:tcPr>
            <w:tcW w:w="931" w:type="pct"/>
            <w:tcBorders>
              <w:top w:val="single" w:sz="4" w:space="0" w:color="auto"/>
              <w:left w:val="single" w:sz="4" w:space="0" w:color="auto"/>
              <w:bottom w:val="single" w:sz="4" w:space="0" w:color="auto"/>
              <w:right w:val="single" w:sz="4" w:space="0" w:color="auto"/>
            </w:tcBorders>
            <w:hideMark/>
          </w:tcPr>
          <w:p w:rsidR="00BB7C5A" w:rsidRPr="00443075" w:rsidRDefault="00BB7C5A">
            <w:pPr>
              <w:keepNext/>
              <w:keepLines/>
              <w:snapToGrid w:val="0"/>
              <w:jc w:val="both"/>
              <w:rPr>
                <w:rFonts w:ascii="Arial Narrow" w:hAnsi="Arial Narrow" w:cs="Arial"/>
                <w:b/>
                <w:sz w:val="19"/>
                <w:szCs w:val="19"/>
                <w:lang w:eastAsia="en-US"/>
              </w:rPr>
            </w:pPr>
            <w:r w:rsidRPr="00443075">
              <w:rPr>
                <w:rFonts w:ascii="Arial Narrow" w:hAnsi="Arial Narrow"/>
                <w:b/>
                <w:sz w:val="19"/>
                <w:szCs w:val="19"/>
              </w:rPr>
              <w:t>RR[95% CI]</w:t>
            </w:r>
          </w:p>
        </w:tc>
      </w:tr>
      <w:tr w:rsidR="007524FF" w:rsidRPr="00443075" w:rsidTr="007524FF">
        <w:trPr>
          <w:cantSplit/>
        </w:trPr>
        <w:tc>
          <w:tcPr>
            <w:tcW w:w="679" w:type="pct"/>
            <w:tcBorders>
              <w:top w:val="single" w:sz="4" w:space="0" w:color="auto"/>
              <w:left w:val="single" w:sz="4" w:space="0" w:color="auto"/>
              <w:bottom w:val="single" w:sz="4" w:space="0" w:color="auto"/>
              <w:right w:val="single" w:sz="4" w:space="0" w:color="auto"/>
            </w:tcBorders>
            <w:hideMark/>
          </w:tcPr>
          <w:p w:rsidR="00BB7C5A" w:rsidRPr="00443075" w:rsidRDefault="00BB7C5A" w:rsidP="00322E23">
            <w:pPr>
              <w:keepNext/>
              <w:keepLines/>
              <w:snapToGrid w:val="0"/>
              <w:jc w:val="both"/>
              <w:rPr>
                <w:rFonts w:ascii="Arial Narrow" w:hAnsi="Arial Narrow" w:cs="Arial"/>
                <w:sz w:val="19"/>
                <w:szCs w:val="19"/>
                <w:lang w:eastAsia="en-US"/>
              </w:rPr>
            </w:pPr>
            <w:r w:rsidRPr="00443075">
              <w:rPr>
                <w:rFonts w:ascii="Arial Narrow" w:hAnsi="Arial Narrow"/>
                <w:sz w:val="19"/>
                <w:szCs w:val="19"/>
              </w:rPr>
              <w:t>M10-467</w:t>
            </w:r>
            <w:r w:rsidRPr="00443075">
              <w:rPr>
                <w:rFonts w:ascii="Arial Narrow" w:hAnsi="Arial Narrow"/>
                <w:sz w:val="19"/>
                <w:szCs w:val="19"/>
                <w:vertAlign w:val="superscript"/>
              </w:rPr>
              <w:t>a</w:t>
            </w:r>
          </w:p>
        </w:tc>
        <w:tc>
          <w:tcPr>
            <w:tcW w:w="1270" w:type="pct"/>
            <w:tcBorders>
              <w:top w:val="single" w:sz="4" w:space="0" w:color="auto"/>
              <w:left w:val="single" w:sz="4" w:space="0" w:color="auto"/>
              <w:bottom w:val="single" w:sz="4" w:space="0" w:color="auto"/>
              <w:right w:val="single" w:sz="4" w:space="0" w:color="auto"/>
            </w:tcBorders>
            <w:vAlign w:val="bottom"/>
            <w:hideMark/>
          </w:tcPr>
          <w:p w:rsidR="00BB7C5A" w:rsidRPr="00443075" w:rsidRDefault="00565AC7" w:rsidP="00A655FB">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w:t>
            </w:r>
          </w:p>
        </w:tc>
        <w:tc>
          <w:tcPr>
            <w:tcW w:w="1187" w:type="pct"/>
            <w:tcBorders>
              <w:top w:val="single" w:sz="4" w:space="0" w:color="auto"/>
              <w:left w:val="single" w:sz="4" w:space="0" w:color="auto"/>
              <w:bottom w:val="single" w:sz="4" w:space="0" w:color="auto"/>
              <w:right w:val="single" w:sz="4" w:space="0" w:color="auto"/>
            </w:tcBorders>
            <w:vAlign w:val="bottom"/>
            <w:hideMark/>
          </w:tcPr>
          <w:p w:rsidR="00BB7C5A" w:rsidRPr="00443075" w:rsidRDefault="00565AC7" w:rsidP="00087B7E">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443075">
              <w:rPr>
                <w:rFonts w:ascii="Arial Narrow" w:hAnsi="Arial Narrow"/>
                <w:sz w:val="19"/>
                <w:szCs w:val="19"/>
              </w:rPr>
              <w:t>/</w:t>
            </w:r>
            <w:r>
              <w:rPr>
                <w:rFonts w:ascii="Arial Narrow" w:hAnsi="Arial Narrow"/>
                <w:noProof/>
                <w:color w:val="000000"/>
                <w:sz w:val="19"/>
                <w:szCs w:val="19"/>
                <w:highlight w:val="black"/>
              </w:rPr>
              <w:t>''''''</w:t>
            </w:r>
            <w:r w:rsidR="00BB7C5A" w:rsidRPr="00443075">
              <w:rPr>
                <w:rFonts w:ascii="Arial Narrow" w:hAnsi="Arial Narrow"/>
                <w:sz w:val="19"/>
                <w:szCs w:val="19"/>
              </w:rPr>
              <w:t xml:space="preserve"> (</w:t>
            </w:r>
            <w:r>
              <w:rPr>
                <w:rFonts w:ascii="Arial Narrow" w:hAnsi="Arial Narrow"/>
                <w:noProof/>
                <w:color w:val="000000"/>
                <w:sz w:val="19"/>
                <w:szCs w:val="19"/>
                <w:highlight w:val="black"/>
              </w:rPr>
              <w:t>'''''''''''</w:t>
            </w:r>
            <w:r w:rsidR="00BB7C5A" w:rsidRPr="00443075">
              <w:rPr>
                <w:rFonts w:ascii="Arial Narrow" w:hAnsi="Arial Narrow"/>
                <w:sz w:val="19"/>
                <w:szCs w:val="19"/>
              </w:rPr>
              <w:t>)</w:t>
            </w:r>
          </w:p>
        </w:tc>
        <w:tc>
          <w:tcPr>
            <w:tcW w:w="933" w:type="pct"/>
            <w:tcBorders>
              <w:top w:val="single" w:sz="4" w:space="0" w:color="auto"/>
              <w:left w:val="single" w:sz="4" w:space="0" w:color="auto"/>
              <w:bottom w:val="single" w:sz="4" w:space="0" w:color="auto"/>
              <w:right w:val="single" w:sz="4" w:space="0" w:color="auto"/>
            </w:tcBorders>
            <w:vAlign w:val="center"/>
            <w:hideMark/>
          </w:tcPr>
          <w:p w:rsidR="00BB7C5A" w:rsidRPr="00443075" w:rsidRDefault="00565AC7">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w:t>
            </w:r>
          </w:p>
        </w:tc>
        <w:tc>
          <w:tcPr>
            <w:tcW w:w="931" w:type="pct"/>
            <w:tcBorders>
              <w:top w:val="single" w:sz="4" w:space="0" w:color="auto"/>
              <w:left w:val="single" w:sz="4" w:space="0" w:color="auto"/>
              <w:bottom w:val="single" w:sz="4" w:space="0" w:color="auto"/>
              <w:right w:val="single" w:sz="4" w:space="0" w:color="auto"/>
            </w:tcBorders>
            <w:vAlign w:val="center"/>
            <w:hideMark/>
          </w:tcPr>
          <w:p w:rsidR="00BB7C5A" w:rsidRPr="00443075" w:rsidRDefault="00565AC7">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w:t>
            </w:r>
          </w:p>
        </w:tc>
      </w:tr>
      <w:tr w:rsidR="007524FF" w:rsidRPr="00443075" w:rsidTr="007524FF">
        <w:trPr>
          <w:cantSplit/>
        </w:trPr>
        <w:tc>
          <w:tcPr>
            <w:tcW w:w="679" w:type="pct"/>
            <w:tcBorders>
              <w:top w:val="single" w:sz="4" w:space="0" w:color="auto"/>
              <w:left w:val="single" w:sz="4" w:space="0" w:color="auto"/>
              <w:bottom w:val="single" w:sz="4" w:space="0" w:color="auto"/>
              <w:right w:val="single" w:sz="4" w:space="0" w:color="auto"/>
            </w:tcBorders>
            <w:hideMark/>
          </w:tcPr>
          <w:p w:rsidR="00BB7C5A" w:rsidRPr="00443075" w:rsidRDefault="00BB7C5A" w:rsidP="00322E23">
            <w:pPr>
              <w:keepNext/>
              <w:keepLines/>
              <w:snapToGrid w:val="0"/>
              <w:jc w:val="both"/>
              <w:rPr>
                <w:rFonts w:ascii="Arial Narrow" w:hAnsi="Arial Narrow" w:cs="Arial"/>
                <w:sz w:val="19"/>
                <w:szCs w:val="19"/>
                <w:lang w:eastAsia="en-US"/>
              </w:rPr>
            </w:pPr>
            <w:r w:rsidRPr="00443075">
              <w:rPr>
                <w:rFonts w:ascii="Arial Narrow" w:hAnsi="Arial Narrow"/>
                <w:sz w:val="19"/>
                <w:szCs w:val="19"/>
              </w:rPr>
              <w:t>PIONEER I</w:t>
            </w:r>
          </w:p>
        </w:tc>
        <w:tc>
          <w:tcPr>
            <w:tcW w:w="1270" w:type="pct"/>
            <w:tcBorders>
              <w:top w:val="single" w:sz="4" w:space="0" w:color="auto"/>
              <w:left w:val="single" w:sz="4" w:space="0" w:color="auto"/>
              <w:bottom w:val="single" w:sz="4" w:space="0" w:color="auto"/>
              <w:right w:val="single" w:sz="4" w:space="0" w:color="auto"/>
            </w:tcBorders>
            <w:vAlign w:val="bottom"/>
            <w:hideMark/>
          </w:tcPr>
          <w:p w:rsidR="00BB7C5A" w:rsidRPr="00443075" w:rsidRDefault="00565AC7" w:rsidP="00A655FB">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w:t>
            </w:r>
          </w:p>
        </w:tc>
        <w:tc>
          <w:tcPr>
            <w:tcW w:w="1187" w:type="pct"/>
            <w:tcBorders>
              <w:top w:val="single" w:sz="4" w:space="0" w:color="auto"/>
              <w:left w:val="single" w:sz="4" w:space="0" w:color="auto"/>
              <w:bottom w:val="single" w:sz="4" w:space="0" w:color="auto"/>
              <w:right w:val="single" w:sz="4" w:space="0" w:color="auto"/>
            </w:tcBorders>
            <w:vAlign w:val="bottom"/>
            <w:hideMark/>
          </w:tcPr>
          <w:p w:rsidR="00BB7C5A" w:rsidRPr="00443075" w:rsidRDefault="00565AC7" w:rsidP="00087B7E">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443075">
              <w:rPr>
                <w:rFonts w:ascii="Arial Narrow" w:hAnsi="Arial Narrow"/>
                <w:sz w:val="19"/>
                <w:szCs w:val="19"/>
              </w:rPr>
              <w:t>/</w:t>
            </w:r>
            <w:r>
              <w:rPr>
                <w:rFonts w:ascii="Arial Narrow" w:hAnsi="Arial Narrow"/>
                <w:noProof/>
                <w:color w:val="000000"/>
                <w:sz w:val="19"/>
                <w:szCs w:val="19"/>
                <w:highlight w:val="black"/>
              </w:rPr>
              <w:t>'''''''''</w:t>
            </w:r>
            <w:r w:rsidR="00BB7C5A" w:rsidRPr="00443075">
              <w:rPr>
                <w:rFonts w:ascii="Arial Narrow" w:hAnsi="Arial Narrow"/>
                <w:sz w:val="19"/>
                <w:szCs w:val="19"/>
              </w:rPr>
              <w:t xml:space="preserve"> (</w:t>
            </w:r>
            <w:r>
              <w:rPr>
                <w:rFonts w:ascii="Arial Narrow" w:hAnsi="Arial Narrow"/>
                <w:noProof/>
                <w:color w:val="000000"/>
                <w:sz w:val="19"/>
                <w:szCs w:val="19"/>
                <w:highlight w:val="black"/>
              </w:rPr>
              <w:t>''''''''''</w:t>
            </w:r>
            <w:r w:rsidR="00BB7C5A" w:rsidRPr="00443075">
              <w:rPr>
                <w:rFonts w:ascii="Arial Narrow" w:hAnsi="Arial Narrow"/>
                <w:sz w:val="19"/>
                <w:szCs w:val="19"/>
              </w:rPr>
              <w:t>)</w:t>
            </w:r>
          </w:p>
        </w:tc>
        <w:tc>
          <w:tcPr>
            <w:tcW w:w="933" w:type="pct"/>
            <w:tcBorders>
              <w:top w:val="single" w:sz="4" w:space="0" w:color="auto"/>
              <w:left w:val="single" w:sz="4" w:space="0" w:color="auto"/>
              <w:bottom w:val="single" w:sz="4" w:space="0" w:color="auto"/>
              <w:right w:val="single" w:sz="4" w:space="0" w:color="auto"/>
            </w:tcBorders>
            <w:vAlign w:val="center"/>
            <w:hideMark/>
          </w:tcPr>
          <w:p w:rsidR="00BB7C5A" w:rsidRPr="00443075" w:rsidRDefault="00565AC7">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w:t>
            </w:r>
          </w:p>
        </w:tc>
        <w:tc>
          <w:tcPr>
            <w:tcW w:w="931" w:type="pct"/>
            <w:tcBorders>
              <w:top w:val="single" w:sz="4" w:space="0" w:color="auto"/>
              <w:left w:val="single" w:sz="4" w:space="0" w:color="auto"/>
              <w:bottom w:val="single" w:sz="4" w:space="0" w:color="auto"/>
              <w:right w:val="single" w:sz="4" w:space="0" w:color="auto"/>
            </w:tcBorders>
            <w:vAlign w:val="center"/>
            <w:hideMark/>
          </w:tcPr>
          <w:p w:rsidR="00BB7C5A" w:rsidRPr="00443075" w:rsidRDefault="00565AC7">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w:t>
            </w:r>
          </w:p>
        </w:tc>
      </w:tr>
      <w:tr w:rsidR="007524FF" w:rsidRPr="00443075" w:rsidTr="007524FF">
        <w:trPr>
          <w:cantSplit/>
        </w:trPr>
        <w:tc>
          <w:tcPr>
            <w:tcW w:w="679" w:type="pct"/>
            <w:tcBorders>
              <w:top w:val="single" w:sz="4" w:space="0" w:color="auto"/>
              <w:left w:val="single" w:sz="4" w:space="0" w:color="auto"/>
              <w:bottom w:val="single" w:sz="4" w:space="0" w:color="auto"/>
              <w:right w:val="single" w:sz="4" w:space="0" w:color="auto"/>
            </w:tcBorders>
            <w:hideMark/>
          </w:tcPr>
          <w:p w:rsidR="00BB7C5A" w:rsidRPr="00443075" w:rsidRDefault="00BB7C5A" w:rsidP="00322E23">
            <w:pPr>
              <w:keepNext/>
              <w:keepLines/>
              <w:snapToGrid w:val="0"/>
              <w:jc w:val="both"/>
              <w:rPr>
                <w:rFonts w:ascii="Arial Narrow" w:hAnsi="Arial Narrow" w:cs="Arial"/>
                <w:sz w:val="19"/>
                <w:szCs w:val="19"/>
                <w:lang w:eastAsia="en-US"/>
              </w:rPr>
            </w:pPr>
            <w:r w:rsidRPr="00443075">
              <w:rPr>
                <w:rFonts w:ascii="Arial Narrow" w:hAnsi="Arial Narrow"/>
                <w:sz w:val="19"/>
                <w:szCs w:val="19"/>
              </w:rPr>
              <w:t>PIONEER II</w:t>
            </w:r>
          </w:p>
        </w:tc>
        <w:tc>
          <w:tcPr>
            <w:tcW w:w="1270" w:type="pct"/>
            <w:tcBorders>
              <w:top w:val="single" w:sz="4" w:space="0" w:color="auto"/>
              <w:left w:val="single" w:sz="4" w:space="0" w:color="auto"/>
              <w:bottom w:val="single" w:sz="4" w:space="0" w:color="auto"/>
              <w:right w:val="single" w:sz="4" w:space="0" w:color="auto"/>
            </w:tcBorders>
            <w:vAlign w:val="bottom"/>
            <w:hideMark/>
          </w:tcPr>
          <w:p w:rsidR="00BB7C5A" w:rsidRPr="00443075" w:rsidRDefault="00565AC7" w:rsidP="00A655FB">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w:t>
            </w:r>
          </w:p>
        </w:tc>
        <w:tc>
          <w:tcPr>
            <w:tcW w:w="1187" w:type="pct"/>
            <w:tcBorders>
              <w:top w:val="single" w:sz="4" w:space="0" w:color="auto"/>
              <w:left w:val="single" w:sz="4" w:space="0" w:color="auto"/>
              <w:bottom w:val="single" w:sz="4" w:space="0" w:color="auto"/>
              <w:right w:val="single" w:sz="4" w:space="0" w:color="auto"/>
            </w:tcBorders>
            <w:vAlign w:val="bottom"/>
            <w:hideMark/>
          </w:tcPr>
          <w:p w:rsidR="00BB7C5A" w:rsidRPr="00443075" w:rsidRDefault="00565AC7" w:rsidP="00087B7E">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443075">
              <w:rPr>
                <w:rFonts w:ascii="Arial Narrow" w:hAnsi="Arial Narrow"/>
                <w:sz w:val="19"/>
                <w:szCs w:val="19"/>
              </w:rPr>
              <w:t>/</w:t>
            </w:r>
            <w:r>
              <w:rPr>
                <w:rFonts w:ascii="Arial Narrow" w:hAnsi="Arial Narrow"/>
                <w:noProof/>
                <w:color w:val="000000"/>
                <w:sz w:val="19"/>
                <w:szCs w:val="19"/>
                <w:highlight w:val="black"/>
              </w:rPr>
              <w:t>''''''''''</w:t>
            </w:r>
            <w:r w:rsidR="00BB7C5A" w:rsidRPr="00443075">
              <w:rPr>
                <w:rFonts w:ascii="Arial Narrow" w:hAnsi="Arial Narrow"/>
                <w:sz w:val="19"/>
                <w:szCs w:val="19"/>
              </w:rPr>
              <w:t xml:space="preserve"> (</w:t>
            </w:r>
            <w:r>
              <w:rPr>
                <w:rFonts w:ascii="Arial Narrow" w:hAnsi="Arial Narrow"/>
                <w:noProof/>
                <w:color w:val="000000"/>
                <w:sz w:val="19"/>
                <w:szCs w:val="19"/>
                <w:highlight w:val="black"/>
              </w:rPr>
              <w:t>''''''''''''</w:t>
            </w:r>
            <w:r w:rsidR="00BB7C5A" w:rsidRPr="00443075">
              <w:rPr>
                <w:rFonts w:ascii="Arial Narrow" w:hAnsi="Arial Narrow"/>
                <w:sz w:val="19"/>
                <w:szCs w:val="19"/>
              </w:rPr>
              <w:t>)</w:t>
            </w:r>
          </w:p>
        </w:tc>
        <w:tc>
          <w:tcPr>
            <w:tcW w:w="933" w:type="pct"/>
            <w:tcBorders>
              <w:top w:val="single" w:sz="4" w:space="0" w:color="auto"/>
              <w:left w:val="single" w:sz="4" w:space="0" w:color="auto"/>
              <w:bottom w:val="single" w:sz="4" w:space="0" w:color="auto"/>
              <w:right w:val="single" w:sz="4" w:space="0" w:color="auto"/>
            </w:tcBorders>
            <w:vAlign w:val="center"/>
            <w:hideMark/>
          </w:tcPr>
          <w:p w:rsidR="00BB7C5A" w:rsidRPr="00443075" w:rsidRDefault="00565AC7">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w:t>
            </w:r>
          </w:p>
        </w:tc>
        <w:tc>
          <w:tcPr>
            <w:tcW w:w="931" w:type="pct"/>
            <w:tcBorders>
              <w:top w:val="single" w:sz="4" w:space="0" w:color="auto"/>
              <w:left w:val="single" w:sz="4" w:space="0" w:color="auto"/>
              <w:bottom w:val="single" w:sz="4" w:space="0" w:color="auto"/>
              <w:right w:val="single" w:sz="4" w:space="0" w:color="auto"/>
            </w:tcBorders>
            <w:vAlign w:val="center"/>
            <w:hideMark/>
          </w:tcPr>
          <w:p w:rsidR="00BB7C5A" w:rsidRPr="00443075" w:rsidRDefault="00565AC7">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w:t>
            </w:r>
          </w:p>
        </w:tc>
      </w:tr>
      <w:tr w:rsidR="00BB7C5A" w:rsidRPr="00443075" w:rsidTr="00305310">
        <w:trPr>
          <w:cantSplit/>
        </w:trPr>
        <w:tc>
          <w:tcPr>
            <w:tcW w:w="3136" w:type="pct"/>
            <w:gridSpan w:val="3"/>
            <w:tcBorders>
              <w:top w:val="single" w:sz="4" w:space="0" w:color="auto"/>
              <w:left w:val="single" w:sz="4" w:space="0" w:color="auto"/>
              <w:bottom w:val="single" w:sz="4" w:space="0" w:color="auto"/>
              <w:right w:val="single" w:sz="4" w:space="0" w:color="auto"/>
            </w:tcBorders>
            <w:hideMark/>
          </w:tcPr>
          <w:p w:rsidR="00BB7C5A" w:rsidRPr="00443075" w:rsidRDefault="00BB7C5A" w:rsidP="00322E23">
            <w:pPr>
              <w:keepNext/>
              <w:keepLines/>
              <w:snapToGrid w:val="0"/>
              <w:jc w:val="both"/>
              <w:rPr>
                <w:rFonts w:ascii="Arial Narrow" w:hAnsi="Arial Narrow" w:cs="Arial"/>
                <w:sz w:val="19"/>
                <w:szCs w:val="19"/>
                <w:lang w:eastAsia="en-US"/>
              </w:rPr>
            </w:pPr>
            <w:r w:rsidRPr="00443075">
              <w:rPr>
                <w:rFonts w:ascii="Arial Narrow" w:hAnsi="Arial Narrow"/>
                <w:sz w:val="19"/>
                <w:szCs w:val="19"/>
              </w:rPr>
              <w:t>Pooled result from random effects model</w:t>
            </w:r>
          </w:p>
        </w:tc>
        <w:tc>
          <w:tcPr>
            <w:tcW w:w="933" w:type="pct"/>
            <w:tcBorders>
              <w:top w:val="single" w:sz="4" w:space="0" w:color="auto"/>
              <w:left w:val="single" w:sz="4" w:space="0" w:color="auto"/>
              <w:bottom w:val="single" w:sz="4" w:space="0" w:color="auto"/>
              <w:right w:val="single" w:sz="4" w:space="0" w:color="auto"/>
            </w:tcBorders>
            <w:hideMark/>
          </w:tcPr>
          <w:p w:rsidR="00BB7C5A" w:rsidRPr="00443075" w:rsidRDefault="00565AC7" w:rsidP="00A655FB">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w:t>
            </w:r>
          </w:p>
        </w:tc>
        <w:tc>
          <w:tcPr>
            <w:tcW w:w="931" w:type="pct"/>
            <w:tcBorders>
              <w:top w:val="single" w:sz="4" w:space="0" w:color="auto"/>
              <w:left w:val="single" w:sz="4" w:space="0" w:color="auto"/>
              <w:bottom w:val="single" w:sz="4" w:space="0" w:color="auto"/>
              <w:right w:val="single" w:sz="4" w:space="0" w:color="auto"/>
            </w:tcBorders>
            <w:hideMark/>
          </w:tcPr>
          <w:p w:rsidR="00BB7C5A" w:rsidRPr="00443075" w:rsidRDefault="00565AC7" w:rsidP="00087B7E">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w:t>
            </w:r>
          </w:p>
        </w:tc>
      </w:tr>
      <w:tr w:rsidR="00BB7C5A" w:rsidRPr="00443075" w:rsidTr="00305310">
        <w:trPr>
          <w:cantSplit/>
        </w:trPr>
        <w:tc>
          <w:tcPr>
            <w:tcW w:w="3136" w:type="pct"/>
            <w:gridSpan w:val="3"/>
            <w:tcBorders>
              <w:top w:val="single" w:sz="4" w:space="0" w:color="auto"/>
              <w:left w:val="single" w:sz="4" w:space="0" w:color="auto"/>
              <w:bottom w:val="single" w:sz="4" w:space="0" w:color="auto"/>
              <w:right w:val="single" w:sz="4" w:space="0" w:color="auto"/>
            </w:tcBorders>
            <w:hideMark/>
          </w:tcPr>
          <w:p w:rsidR="00BB7C5A" w:rsidRPr="00443075" w:rsidRDefault="00BB7C5A" w:rsidP="00322E23">
            <w:pPr>
              <w:keepNext/>
              <w:keepLines/>
              <w:rPr>
                <w:rFonts w:ascii="Arial Narrow" w:hAnsi="Arial Narrow" w:cs="Arial"/>
                <w:iCs/>
                <w:sz w:val="19"/>
                <w:szCs w:val="19"/>
                <w:lang w:eastAsia="en-US"/>
              </w:rPr>
            </w:pPr>
            <w:r w:rsidRPr="00443075">
              <w:rPr>
                <w:rFonts w:ascii="Arial Narrow" w:hAnsi="Arial Narrow"/>
                <w:iCs/>
                <w:sz w:val="19"/>
                <w:szCs w:val="19"/>
              </w:rPr>
              <w:t>Chi-square (</w:t>
            </w:r>
            <w:r w:rsidRPr="00443075">
              <w:rPr>
                <w:rFonts w:ascii="Arial Narrow" w:hAnsi="Arial Narrow"/>
                <w:bCs/>
                <w:i/>
                <w:iCs/>
                <w:sz w:val="19"/>
                <w:szCs w:val="19"/>
              </w:rPr>
              <w:t>Q</w:t>
            </w:r>
            <w:r w:rsidRPr="00443075">
              <w:rPr>
                <w:rFonts w:ascii="Arial Narrow" w:hAnsi="Arial Narrow"/>
                <w:iCs/>
                <w:sz w:val="19"/>
                <w:szCs w:val="19"/>
              </w:rPr>
              <w:t xml:space="preserve">) for heterogeneity: </w:t>
            </w:r>
            <w:r w:rsidRPr="00443075">
              <w:rPr>
                <w:rFonts w:ascii="Arial Narrow" w:hAnsi="Arial Narrow"/>
                <w:bCs/>
                <w:i/>
                <w:iCs/>
                <w:sz w:val="19"/>
                <w:szCs w:val="19"/>
              </w:rPr>
              <w:t>P</w:t>
            </w:r>
            <w:r w:rsidRPr="00443075">
              <w:rPr>
                <w:rFonts w:ascii="Arial Narrow" w:hAnsi="Arial Narrow"/>
                <w:bCs/>
                <w:iCs/>
                <w:sz w:val="19"/>
                <w:szCs w:val="19"/>
              </w:rPr>
              <w:t> </w:t>
            </w:r>
            <w:r w:rsidRPr="00443075">
              <w:rPr>
                <w:rFonts w:ascii="Arial Narrow" w:hAnsi="Arial Narrow"/>
                <w:iCs/>
                <w:sz w:val="19"/>
                <w:szCs w:val="19"/>
              </w:rPr>
              <w:t>=</w:t>
            </w:r>
            <w:r w:rsidRPr="00443075">
              <w:rPr>
                <w:rFonts w:ascii="Arial Narrow" w:hAnsi="Arial Narrow"/>
                <w:iCs/>
                <w:sz w:val="19"/>
                <w:szCs w:val="19"/>
              </w:rPr>
              <w:br/>
            </w:r>
            <w:r w:rsidRPr="00443075">
              <w:rPr>
                <w:rFonts w:ascii="Arial Narrow" w:hAnsi="Arial Narrow"/>
                <w:bCs/>
                <w:i/>
                <w:iCs/>
                <w:sz w:val="19"/>
                <w:szCs w:val="19"/>
              </w:rPr>
              <w:t>I</w:t>
            </w:r>
            <w:r w:rsidRPr="00443075">
              <w:rPr>
                <w:rFonts w:ascii="Arial Narrow" w:hAnsi="Arial Narrow"/>
                <w:i/>
                <w:iCs/>
                <w:sz w:val="19"/>
                <w:szCs w:val="19"/>
                <w:vertAlign w:val="superscript"/>
              </w:rPr>
              <w:t>2</w:t>
            </w:r>
            <w:r w:rsidRPr="00443075">
              <w:rPr>
                <w:rFonts w:ascii="Arial Narrow" w:hAnsi="Arial Narrow"/>
                <w:i/>
                <w:iCs/>
                <w:sz w:val="19"/>
                <w:szCs w:val="19"/>
              </w:rPr>
              <w:t xml:space="preserve"> </w:t>
            </w:r>
            <w:r w:rsidRPr="00443075">
              <w:rPr>
                <w:rFonts w:ascii="Arial Narrow" w:hAnsi="Arial Narrow"/>
                <w:iCs/>
                <w:sz w:val="19"/>
                <w:szCs w:val="19"/>
              </w:rPr>
              <w:t>statistic with 95% uncertainty interval =</w:t>
            </w:r>
          </w:p>
          <w:p w:rsidR="00BB7C5A" w:rsidRPr="00443075" w:rsidRDefault="00BB7C5A" w:rsidP="00A655FB">
            <w:pPr>
              <w:keepNext/>
              <w:keepLines/>
              <w:snapToGrid w:val="0"/>
              <w:rPr>
                <w:rFonts w:ascii="Arial Narrow" w:hAnsi="Arial Narrow" w:cs="Arial"/>
                <w:sz w:val="19"/>
                <w:szCs w:val="19"/>
                <w:lang w:eastAsia="en-US"/>
              </w:rPr>
            </w:pPr>
            <w:r w:rsidRPr="00443075">
              <w:rPr>
                <w:rFonts w:ascii="Arial Narrow" w:hAnsi="Arial Narrow"/>
                <w:sz w:val="19"/>
                <w:szCs w:val="19"/>
              </w:rPr>
              <w:t xml:space="preserve">Test for overall effect: </w:t>
            </w:r>
            <w:r w:rsidRPr="00443075">
              <w:rPr>
                <w:rFonts w:ascii="Arial Narrow" w:hAnsi="Arial Narrow"/>
                <w:i/>
                <w:sz w:val="19"/>
                <w:szCs w:val="19"/>
              </w:rPr>
              <w:t>P</w:t>
            </w:r>
            <w:r w:rsidRPr="00443075">
              <w:rPr>
                <w:rFonts w:ascii="Arial Narrow" w:hAnsi="Arial Narrow"/>
                <w:sz w:val="19"/>
                <w:szCs w:val="19"/>
              </w:rPr>
              <w:t xml:space="preserve"> =</w:t>
            </w:r>
          </w:p>
        </w:tc>
        <w:tc>
          <w:tcPr>
            <w:tcW w:w="933" w:type="pct"/>
            <w:tcBorders>
              <w:top w:val="single" w:sz="4" w:space="0" w:color="auto"/>
              <w:left w:val="single" w:sz="4" w:space="0" w:color="auto"/>
              <w:bottom w:val="single" w:sz="4" w:space="0" w:color="auto"/>
              <w:right w:val="single" w:sz="4" w:space="0" w:color="auto"/>
            </w:tcBorders>
            <w:hideMark/>
          </w:tcPr>
          <w:p w:rsidR="00BB7C5A" w:rsidRPr="00565AC7" w:rsidRDefault="00565AC7" w:rsidP="00087B7E">
            <w:pPr>
              <w:keepNext/>
              <w:keepLines/>
              <w:jc w:val="both"/>
              <w:rPr>
                <w:rFonts w:ascii="Arial Narrow" w:hAnsi="Arial Narrow" w:cs="Arial"/>
                <w:sz w:val="19"/>
                <w:szCs w:val="19"/>
                <w:highlight w:val="black"/>
                <w:lang w:eastAsia="en-US"/>
              </w:rPr>
            </w:pPr>
            <w:r>
              <w:rPr>
                <w:rFonts w:ascii="Arial Narrow" w:hAnsi="Arial Narrow"/>
                <w:noProof/>
                <w:color w:val="000000"/>
                <w:sz w:val="19"/>
                <w:szCs w:val="19"/>
                <w:highlight w:val="black"/>
              </w:rPr>
              <w:t>'''''''''''</w:t>
            </w:r>
          </w:p>
          <w:p w:rsidR="00BB7C5A" w:rsidRPr="00176D08" w:rsidRDefault="00565AC7">
            <w:pPr>
              <w:keepNext/>
              <w:keepLines/>
              <w:jc w:val="both"/>
              <w:rPr>
                <w:rFonts w:ascii="Arial Narrow" w:hAnsi="Arial Narrow"/>
                <w:sz w:val="19"/>
                <w:szCs w:val="19"/>
              </w:rPr>
            </w:pPr>
            <w:r>
              <w:rPr>
                <w:rFonts w:ascii="Arial Narrow" w:hAnsi="Arial Narrow"/>
                <w:noProof/>
                <w:color w:val="000000"/>
                <w:sz w:val="19"/>
                <w:szCs w:val="19"/>
                <w:highlight w:val="black"/>
              </w:rPr>
              <w:t>'''''''</w:t>
            </w:r>
            <w:r w:rsidR="00BB7C5A" w:rsidRPr="00176D08">
              <w:rPr>
                <w:rFonts w:ascii="Arial Narrow" w:hAnsi="Arial Narrow"/>
                <w:sz w:val="19"/>
                <w:szCs w:val="19"/>
              </w:rPr>
              <w:t>%</w:t>
            </w:r>
          </w:p>
          <w:p w:rsidR="00BB7C5A" w:rsidRPr="00565AC7" w:rsidRDefault="00565AC7">
            <w:pPr>
              <w:keepNext/>
              <w:keepLines/>
              <w:snapToGrid w:val="0"/>
              <w:jc w:val="both"/>
              <w:rPr>
                <w:rFonts w:ascii="Arial Narrow" w:hAnsi="Arial Narrow" w:cs="Arial"/>
                <w:sz w:val="19"/>
                <w:szCs w:val="19"/>
                <w:highlight w:val="black"/>
                <w:lang w:eastAsia="en-US"/>
              </w:rPr>
            </w:pPr>
            <w:r>
              <w:rPr>
                <w:rFonts w:ascii="Arial Narrow" w:hAnsi="Arial Narrow"/>
                <w:noProof/>
                <w:color w:val="000000"/>
                <w:sz w:val="19"/>
                <w:szCs w:val="19"/>
                <w:highlight w:val="black"/>
              </w:rPr>
              <w:t>''''''''''''''''</w:t>
            </w:r>
          </w:p>
        </w:tc>
        <w:tc>
          <w:tcPr>
            <w:tcW w:w="931" w:type="pct"/>
            <w:tcBorders>
              <w:top w:val="single" w:sz="4" w:space="0" w:color="auto"/>
              <w:left w:val="single" w:sz="4" w:space="0" w:color="auto"/>
              <w:bottom w:val="single" w:sz="4" w:space="0" w:color="auto"/>
              <w:right w:val="single" w:sz="4" w:space="0" w:color="auto"/>
            </w:tcBorders>
            <w:hideMark/>
          </w:tcPr>
          <w:p w:rsidR="00BB7C5A" w:rsidRPr="00565AC7" w:rsidRDefault="00565AC7">
            <w:pPr>
              <w:keepNext/>
              <w:keepLines/>
              <w:jc w:val="both"/>
              <w:rPr>
                <w:rFonts w:ascii="Arial Narrow" w:hAnsi="Arial Narrow" w:cs="Arial"/>
                <w:sz w:val="19"/>
                <w:szCs w:val="19"/>
                <w:highlight w:val="black"/>
                <w:lang w:eastAsia="en-US"/>
              </w:rPr>
            </w:pPr>
            <w:r>
              <w:rPr>
                <w:rFonts w:ascii="Arial Narrow" w:hAnsi="Arial Narrow"/>
                <w:noProof/>
                <w:color w:val="000000"/>
                <w:sz w:val="19"/>
                <w:szCs w:val="19"/>
                <w:highlight w:val="black"/>
              </w:rPr>
              <w:t>'''''''''''</w:t>
            </w:r>
          </w:p>
          <w:p w:rsidR="00BB7C5A" w:rsidRPr="00176D08" w:rsidRDefault="00565AC7">
            <w:pPr>
              <w:keepNext/>
              <w:keepLines/>
              <w:jc w:val="both"/>
              <w:rPr>
                <w:rFonts w:ascii="Arial Narrow" w:hAnsi="Arial Narrow"/>
                <w:sz w:val="19"/>
                <w:szCs w:val="19"/>
              </w:rPr>
            </w:pPr>
            <w:r>
              <w:rPr>
                <w:rFonts w:ascii="Arial Narrow" w:hAnsi="Arial Narrow"/>
                <w:noProof/>
                <w:color w:val="000000"/>
                <w:sz w:val="19"/>
                <w:szCs w:val="19"/>
                <w:highlight w:val="black"/>
              </w:rPr>
              <w:t>'''''''</w:t>
            </w:r>
            <w:r w:rsidR="00BB7C5A" w:rsidRPr="00176D08">
              <w:rPr>
                <w:rFonts w:ascii="Arial Narrow" w:hAnsi="Arial Narrow"/>
                <w:sz w:val="19"/>
                <w:szCs w:val="19"/>
              </w:rPr>
              <w:t>%</w:t>
            </w:r>
          </w:p>
          <w:p w:rsidR="00BB7C5A" w:rsidRPr="00443075" w:rsidRDefault="00BB7C5A">
            <w:pPr>
              <w:keepNext/>
              <w:keepLines/>
              <w:snapToGrid w:val="0"/>
              <w:jc w:val="both"/>
              <w:rPr>
                <w:rFonts w:ascii="Arial Narrow" w:hAnsi="Arial Narrow" w:cs="Arial"/>
                <w:sz w:val="19"/>
                <w:szCs w:val="19"/>
                <w:lang w:eastAsia="en-US"/>
              </w:rPr>
            </w:pPr>
            <w:r w:rsidRPr="00176D08">
              <w:rPr>
                <w:rFonts w:ascii="Arial Narrow" w:hAnsi="Arial Narrow"/>
                <w:sz w:val="19"/>
                <w:szCs w:val="19"/>
              </w:rPr>
              <w:t>&lt;</w:t>
            </w:r>
            <w:r w:rsidR="00565AC7">
              <w:rPr>
                <w:rFonts w:ascii="Arial Narrow" w:hAnsi="Arial Narrow"/>
                <w:noProof/>
                <w:color w:val="000000"/>
                <w:sz w:val="19"/>
                <w:szCs w:val="19"/>
                <w:highlight w:val="black"/>
              </w:rPr>
              <w:t>'''''''''''''''''</w:t>
            </w:r>
          </w:p>
        </w:tc>
      </w:tr>
      <w:tr w:rsidR="00BB7C5A" w:rsidRPr="00443075" w:rsidTr="00305310">
        <w:trPr>
          <w:cantSplit/>
        </w:trPr>
        <w:tc>
          <w:tcPr>
            <w:tcW w:w="3136" w:type="pct"/>
            <w:gridSpan w:val="3"/>
            <w:tcBorders>
              <w:top w:val="single" w:sz="4" w:space="0" w:color="auto"/>
              <w:left w:val="single" w:sz="4" w:space="0" w:color="auto"/>
              <w:bottom w:val="single" w:sz="4" w:space="0" w:color="auto"/>
              <w:right w:val="single" w:sz="4" w:space="0" w:color="auto"/>
            </w:tcBorders>
            <w:hideMark/>
          </w:tcPr>
          <w:p w:rsidR="00BB7C5A" w:rsidRPr="00443075" w:rsidRDefault="00BB7C5A" w:rsidP="00322E23">
            <w:pPr>
              <w:keepNext/>
              <w:keepLines/>
              <w:snapToGrid w:val="0"/>
              <w:rPr>
                <w:rFonts w:ascii="Arial Narrow" w:hAnsi="Arial Narrow" w:cs="Arial"/>
                <w:sz w:val="19"/>
                <w:szCs w:val="19"/>
                <w:lang w:eastAsia="en-US"/>
              </w:rPr>
            </w:pPr>
            <w:r w:rsidRPr="00443075">
              <w:rPr>
                <w:rFonts w:ascii="Arial Narrow" w:hAnsi="Arial Narrow"/>
                <w:sz w:val="19"/>
                <w:szCs w:val="19"/>
              </w:rPr>
              <w:t>Pooled result from random effects model excluding study M10-467</w:t>
            </w:r>
          </w:p>
        </w:tc>
        <w:tc>
          <w:tcPr>
            <w:tcW w:w="933" w:type="pct"/>
            <w:tcBorders>
              <w:top w:val="single" w:sz="4" w:space="0" w:color="auto"/>
              <w:left w:val="single" w:sz="4" w:space="0" w:color="auto"/>
              <w:bottom w:val="single" w:sz="4" w:space="0" w:color="auto"/>
              <w:right w:val="single" w:sz="4" w:space="0" w:color="auto"/>
            </w:tcBorders>
            <w:hideMark/>
          </w:tcPr>
          <w:p w:rsidR="00BB7C5A" w:rsidRPr="00443075" w:rsidRDefault="00565AC7" w:rsidP="00A655FB">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w:t>
            </w:r>
          </w:p>
        </w:tc>
        <w:tc>
          <w:tcPr>
            <w:tcW w:w="931" w:type="pct"/>
            <w:tcBorders>
              <w:top w:val="single" w:sz="4" w:space="0" w:color="auto"/>
              <w:left w:val="single" w:sz="4" w:space="0" w:color="auto"/>
              <w:bottom w:val="single" w:sz="4" w:space="0" w:color="auto"/>
              <w:right w:val="single" w:sz="4" w:space="0" w:color="auto"/>
            </w:tcBorders>
            <w:hideMark/>
          </w:tcPr>
          <w:p w:rsidR="00BB7C5A" w:rsidRPr="00443075" w:rsidRDefault="00565AC7" w:rsidP="00087B7E">
            <w:pPr>
              <w:keepNext/>
              <w:keepLines/>
              <w:snapToGrid w:val="0"/>
              <w:jc w:val="both"/>
              <w:rPr>
                <w:rFonts w:ascii="Arial Narrow" w:hAnsi="Arial Narrow" w:cs="Arial"/>
                <w:sz w:val="19"/>
                <w:szCs w:val="19"/>
                <w:lang w:eastAsia="en-US"/>
              </w:rPr>
            </w:pP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 xml:space="preserve">, </w:t>
            </w:r>
            <w:r>
              <w:rPr>
                <w:rFonts w:ascii="Arial Narrow" w:hAnsi="Arial Narrow"/>
                <w:noProof/>
                <w:color w:val="000000"/>
                <w:sz w:val="19"/>
                <w:szCs w:val="19"/>
                <w:highlight w:val="black"/>
              </w:rPr>
              <w:t>''''''''''''</w:t>
            </w:r>
            <w:r w:rsidR="00BB7C5A" w:rsidRPr="00176D08">
              <w:rPr>
                <w:rFonts w:ascii="Arial Narrow" w:hAnsi="Arial Narrow"/>
                <w:sz w:val="19"/>
                <w:szCs w:val="19"/>
              </w:rPr>
              <w:t>]</w:t>
            </w:r>
          </w:p>
        </w:tc>
      </w:tr>
      <w:tr w:rsidR="00BB7C5A" w:rsidRPr="00443075" w:rsidTr="00305310">
        <w:trPr>
          <w:cantSplit/>
        </w:trPr>
        <w:tc>
          <w:tcPr>
            <w:tcW w:w="3136" w:type="pct"/>
            <w:gridSpan w:val="3"/>
            <w:tcBorders>
              <w:top w:val="single" w:sz="4" w:space="0" w:color="auto"/>
              <w:left w:val="single" w:sz="4" w:space="0" w:color="auto"/>
              <w:bottom w:val="single" w:sz="4" w:space="0" w:color="auto"/>
              <w:right w:val="single" w:sz="4" w:space="0" w:color="auto"/>
            </w:tcBorders>
            <w:hideMark/>
          </w:tcPr>
          <w:p w:rsidR="00BB7C5A" w:rsidRPr="00443075" w:rsidRDefault="00BB7C5A" w:rsidP="00322E23">
            <w:pPr>
              <w:keepNext/>
              <w:keepLines/>
              <w:rPr>
                <w:rFonts w:ascii="Arial Narrow" w:hAnsi="Arial Narrow" w:cs="Arial"/>
                <w:iCs/>
                <w:sz w:val="19"/>
                <w:szCs w:val="19"/>
                <w:lang w:eastAsia="en-US"/>
              </w:rPr>
            </w:pPr>
            <w:r w:rsidRPr="00443075">
              <w:rPr>
                <w:rFonts w:ascii="Arial Narrow" w:hAnsi="Arial Narrow"/>
                <w:iCs/>
                <w:sz w:val="19"/>
                <w:szCs w:val="19"/>
              </w:rPr>
              <w:t>Chi-square (</w:t>
            </w:r>
            <w:r w:rsidRPr="00443075">
              <w:rPr>
                <w:rFonts w:ascii="Arial Narrow" w:hAnsi="Arial Narrow"/>
                <w:bCs/>
                <w:i/>
                <w:iCs/>
                <w:sz w:val="19"/>
                <w:szCs w:val="19"/>
              </w:rPr>
              <w:t>Q</w:t>
            </w:r>
            <w:r w:rsidRPr="00443075">
              <w:rPr>
                <w:rFonts w:ascii="Arial Narrow" w:hAnsi="Arial Narrow"/>
                <w:iCs/>
                <w:sz w:val="19"/>
                <w:szCs w:val="19"/>
              </w:rPr>
              <w:t xml:space="preserve">) for heterogeneity: </w:t>
            </w:r>
            <w:r w:rsidRPr="00443075">
              <w:rPr>
                <w:rFonts w:ascii="Arial Narrow" w:hAnsi="Arial Narrow"/>
                <w:bCs/>
                <w:i/>
                <w:iCs/>
                <w:sz w:val="19"/>
                <w:szCs w:val="19"/>
              </w:rPr>
              <w:t>P</w:t>
            </w:r>
            <w:r w:rsidRPr="00443075">
              <w:rPr>
                <w:rFonts w:ascii="Arial Narrow" w:hAnsi="Arial Narrow"/>
                <w:bCs/>
                <w:iCs/>
                <w:sz w:val="19"/>
                <w:szCs w:val="19"/>
              </w:rPr>
              <w:t> </w:t>
            </w:r>
            <w:r w:rsidRPr="00443075">
              <w:rPr>
                <w:rFonts w:ascii="Arial Narrow" w:hAnsi="Arial Narrow"/>
                <w:iCs/>
                <w:sz w:val="19"/>
                <w:szCs w:val="19"/>
              </w:rPr>
              <w:t>=</w:t>
            </w:r>
            <w:r w:rsidRPr="00443075">
              <w:rPr>
                <w:rFonts w:ascii="Arial Narrow" w:hAnsi="Arial Narrow"/>
                <w:iCs/>
                <w:sz w:val="19"/>
                <w:szCs w:val="19"/>
              </w:rPr>
              <w:br/>
            </w:r>
            <w:r w:rsidRPr="00443075">
              <w:rPr>
                <w:rFonts w:ascii="Arial Narrow" w:hAnsi="Arial Narrow"/>
                <w:bCs/>
                <w:i/>
                <w:iCs/>
                <w:sz w:val="19"/>
                <w:szCs w:val="19"/>
              </w:rPr>
              <w:t>I</w:t>
            </w:r>
            <w:r w:rsidRPr="00443075">
              <w:rPr>
                <w:rFonts w:ascii="Arial Narrow" w:hAnsi="Arial Narrow"/>
                <w:i/>
                <w:iCs/>
                <w:sz w:val="19"/>
                <w:szCs w:val="19"/>
                <w:vertAlign w:val="superscript"/>
              </w:rPr>
              <w:t>2</w:t>
            </w:r>
            <w:r w:rsidRPr="00443075">
              <w:rPr>
                <w:rFonts w:ascii="Arial Narrow" w:hAnsi="Arial Narrow"/>
                <w:i/>
                <w:iCs/>
                <w:sz w:val="19"/>
                <w:szCs w:val="19"/>
              </w:rPr>
              <w:t xml:space="preserve"> </w:t>
            </w:r>
            <w:r w:rsidRPr="00443075">
              <w:rPr>
                <w:rFonts w:ascii="Arial Narrow" w:hAnsi="Arial Narrow"/>
                <w:iCs/>
                <w:sz w:val="19"/>
                <w:szCs w:val="19"/>
              </w:rPr>
              <w:t>statistic with 95% uncertainty interval =</w:t>
            </w:r>
          </w:p>
          <w:p w:rsidR="00BB7C5A" w:rsidRPr="00443075" w:rsidRDefault="00BB7C5A" w:rsidP="00A655FB">
            <w:pPr>
              <w:keepNext/>
              <w:keepLines/>
              <w:snapToGrid w:val="0"/>
              <w:rPr>
                <w:rFonts w:ascii="Arial Narrow" w:hAnsi="Arial Narrow" w:cs="Arial"/>
                <w:sz w:val="19"/>
                <w:szCs w:val="19"/>
                <w:lang w:eastAsia="en-US"/>
              </w:rPr>
            </w:pPr>
            <w:r w:rsidRPr="00443075">
              <w:rPr>
                <w:rFonts w:ascii="Arial Narrow" w:hAnsi="Arial Narrow"/>
                <w:sz w:val="19"/>
                <w:szCs w:val="19"/>
              </w:rPr>
              <w:t xml:space="preserve">Test for overall effect: </w:t>
            </w:r>
            <w:r w:rsidRPr="00443075">
              <w:rPr>
                <w:rFonts w:ascii="Arial Narrow" w:hAnsi="Arial Narrow"/>
                <w:i/>
                <w:sz w:val="19"/>
                <w:szCs w:val="19"/>
              </w:rPr>
              <w:t>P</w:t>
            </w:r>
            <w:r w:rsidRPr="00443075">
              <w:rPr>
                <w:rFonts w:ascii="Arial Narrow" w:hAnsi="Arial Narrow"/>
                <w:sz w:val="19"/>
                <w:szCs w:val="19"/>
              </w:rPr>
              <w:t xml:space="preserve"> =</w:t>
            </w:r>
          </w:p>
        </w:tc>
        <w:tc>
          <w:tcPr>
            <w:tcW w:w="933" w:type="pct"/>
            <w:tcBorders>
              <w:top w:val="single" w:sz="4" w:space="0" w:color="auto"/>
              <w:left w:val="single" w:sz="4" w:space="0" w:color="auto"/>
              <w:bottom w:val="single" w:sz="4" w:space="0" w:color="auto"/>
              <w:right w:val="single" w:sz="4" w:space="0" w:color="auto"/>
            </w:tcBorders>
            <w:hideMark/>
          </w:tcPr>
          <w:p w:rsidR="00BB7C5A" w:rsidRPr="00565AC7" w:rsidRDefault="00565AC7" w:rsidP="00087B7E">
            <w:pPr>
              <w:keepNext/>
              <w:keepLines/>
              <w:jc w:val="both"/>
              <w:rPr>
                <w:rFonts w:ascii="Arial Narrow" w:hAnsi="Arial Narrow" w:cs="Arial"/>
                <w:sz w:val="19"/>
                <w:szCs w:val="19"/>
                <w:highlight w:val="black"/>
                <w:lang w:eastAsia="en-US"/>
              </w:rPr>
            </w:pPr>
            <w:r>
              <w:rPr>
                <w:rFonts w:ascii="Arial Narrow" w:hAnsi="Arial Narrow"/>
                <w:noProof/>
                <w:color w:val="000000"/>
                <w:sz w:val="19"/>
                <w:szCs w:val="19"/>
                <w:highlight w:val="black"/>
              </w:rPr>
              <w:t>''''''''''''</w:t>
            </w:r>
          </w:p>
          <w:p w:rsidR="00BB7C5A" w:rsidRPr="00176D08" w:rsidRDefault="00565AC7">
            <w:pPr>
              <w:keepNext/>
              <w:keepLines/>
              <w:jc w:val="both"/>
              <w:rPr>
                <w:rFonts w:ascii="Arial Narrow" w:hAnsi="Arial Narrow"/>
                <w:sz w:val="19"/>
                <w:szCs w:val="19"/>
              </w:rPr>
            </w:pPr>
            <w:r>
              <w:rPr>
                <w:rFonts w:ascii="Arial Narrow" w:hAnsi="Arial Narrow"/>
                <w:noProof/>
                <w:color w:val="000000"/>
                <w:sz w:val="19"/>
                <w:szCs w:val="19"/>
                <w:highlight w:val="black"/>
              </w:rPr>
              <w:t>'''''''</w:t>
            </w:r>
            <w:r w:rsidR="00BB7C5A" w:rsidRPr="00176D08">
              <w:rPr>
                <w:rFonts w:ascii="Arial Narrow" w:hAnsi="Arial Narrow"/>
                <w:sz w:val="19"/>
                <w:szCs w:val="19"/>
              </w:rPr>
              <w:t>%</w:t>
            </w:r>
          </w:p>
          <w:p w:rsidR="00BB7C5A" w:rsidRPr="00565AC7" w:rsidRDefault="00565AC7">
            <w:pPr>
              <w:keepNext/>
              <w:keepLines/>
              <w:snapToGrid w:val="0"/>
              <w:jc w:val="both"/>
              <w:rPr>
                <w:rFonts w:ascii="Arial Narrow" w:hAnsi="Arial Narrow" w:cs="Arial"/>
                <w:sz w:val="19"/>
                <w:szCs w:val="19"/>
                <w:highlight w:val="black"/>
                <w:lang w:eastAsia="en-US"/>
              </w:rPr>
            </w:pPr>
            <w:r>
              <w:rPr>
                <w:rFonts w:ascii="Arial Narrow" w:hAnsi="Arial Narrow"/>
                <w:noProof/>
                <w:color w:val="000000"/>
                <w:sz w:val="19"/>
                <w:szCs w:val="19"/>
                <w:highlight w:val="black"/>
              </w:rPr>
              <w:t>''''''''''''</w:t>
            </w:r>
          </w:p>
        </w:tc>
        <w:tc>
          <w:tcPr>
            <w:tcW w:w="931" w:type="pct"/>
            <w:tcBorders>
              <w:top w:val="single" w:sz="4" w:space="0" w:color="auto"/>
              <w:left w:val="single" w:sz="4" w:space="0" w:color="auto"/>
              <w:bottom w:val="single" w:sz="4" w:space="0" w:color="auto"/>
              <w:right w:val="single" w:sz="4" w:space="0" w:color="auto"/>
            </w:tcBorders>
            <w:hideMark/>
          </w:tcPr>
          <w:p w:rsidR="00BB7C5A" w:rsidRPr="00565AC7" w:rsidRDefault="00565AC7">
            <w:pPr>
              <w:keepNext/>
              <w:keepLines/>
              <w:jc w:val="both"/>
              <w:rPr>
                <w:rFonts w:ascii="Arial Narrow" w:hAnsi="Arial Narrow" w:cs="Arial"/>
                <w:sz w:val="19"/>
                <w:szCs w:val="19"/>
                <w:highlight w:val="black"/>
                <w:lang w:eastAsia="en-US"/>
              </w:rPr>
            </w:pPr>
            <w:r>
              <w:rPr>
                <w:rFonts w:ascii="Arial Narrow" w:hAnsi="Arial Narrow"/>
                <w:noProof/>
                <w:color w:val="000000"/>
                <w:sz w:val="19"/>
                <w:szCs w:val="19"/>
                <w:highlight w:val="black"/>
              </w:rPr>
              <w:t>''''''''''</w:t>
            </w:r>
          </w:p>
          <w:p w:rsidR="00BB7C5A" w:rsidRPr="00176D08" w:rsidRDefault="00565AC7">
            <w:pPr>
              <w:keepNext/>
              <w:keepLines/>
              <w:jc w:val="both"/>
              <w:rPr>
                <w:rFonts w:ascii="Arial Narrow" w:hAnsi="Arial Narrow"/>
                <w:sz w:val="19"/>
                <w:szCs w:val="19"/>
              </w:rPr>
            </w:pPr>
            <w:r>
              <w:rPr>
                <w:rFonts w:ascii="Arial Narrow" w:hAnsi="Arial Narrow"/>
                <w:noProof/>
                <w:color w:val="000000"/>
                <w:sz w:val="19"/>
                <w:szCs w:val="19"/>
                <w:highlight w:val="black"/>
              </w:rPr>
              <w:t>''''''</w:t>
            </w:r>
            <w:r w:rsidR="00BB7C5A" w:rsidRPr="00176D08">
              <w:rPr>
                <w:rFonts w:ascii="Arial Narrow" w:hAnsi="Arial Narrow"/>
                <w:sz w:val="19"/>
                <w:szCs w:val="19"/>
              </w:rPr>
              <w:t>%</w:t>
            </w:r>
          </w:p>
          <w:p w:rsidR="00BB7C5A" w:rsidRPr="00443075" w:rsidRDefault="00BB7C5A">
            <w:pPr>
              <w:keepNext/>
              <w:keepLines/>
              <w:snapToGrid w:val="0"/>
              <w:jc w:val="both"/>
              <w:rPr>
                <w:rFonts w:ascii="Arial Narrow" w:hAnsi="Arial Narrow" w:cs="Arial"/>
                <w:sz w:val="19"/>
                <w:szCs w:val="19"/>
                <w:lang w:eastAsia="en-US"/>
              </w:rPr>
            </w:pPr>
            <w:r w:rsidRPr="00176D08">
              <w:rPr>
                <w:rFonts w:ascii="Arial Narrow" w:hAnsi="Arial Narrow"/>
                <w:sz w:val="19"/>
                <w:szCs w:val="19"/>
              </w:rPr>
              <w:t>&lt;</w:t>
            </w:r>
            <w:r w:rsidR="00565AC7">
              <w:rPr>
                <w:rFonts w:ascii="Arial Narrow" w:hAnsi="Arial Narrow"/>
                <w:noProof/>
                <w:color w:val="000000"/>
                <w:sz w:val="19"/>
                <w:szCs w:val="19"/>
                <w:highlight w:val="black"/>
              </w:rPr>
              <w:t>'''''''''''''''''</w:t>
            </w:r>
          </w:p>
        </w:tc>
      </w:tr>
    </w:tbl>
    <w:p w:rsidR="00BB7C5A" w:rsidRPr="00443075" w:rsidRDefault="00BB7C5A" w:rsidP="00322E23">
      <w:pPr>
        <w:pStyle w:val="TableFooter"/>
        <w:keepNext/>
        <w:keepLines/>
        <w:widowControl/>
        <w:ind w:left="709"/>
        <w:rPr>
          <w:rStyle w:val="CommentReference"/>
          <w:b/>
          <w:sz w:val="19"/>
          <w:szCs w:val="19"/>
        </w:rPr>
      </w:pPr>
      <w:r w:rsidRPr="00443075">
        <w:rPr>
          <w:rStyle w:val="CommentReference"/>
          <w:sz w:val="19"/>
          <w:szCs w:val="19"/>
        </w:rPr>
        <w:t xml:space="preserve">Abbreviations: CI, confidence interval; </w:t>
      </w:r>
      <w:proofErr w:type="spellStart"/>
      <w:r w:rsidRPr="00443075">
        <w:rPr>
          <w:rStyle w:val="CommentReference"/>
          <w:sz w:val="19"/>
          <w:szCs w:val="19"/>
        </w:rPr>
        <w:t>ew</w:t>
      </w:r>
      <w:proofErr w:type="spellEnd"/>
      <w:r w:rsidRPr="00443075">
        <w:rPr>
          <w:rStyle w:val="CommentReference"/>
          <w:sz w:val="19"/>
          <w:szCs w:val="19"/>
        </w:rPr>
        <w:t xml:space="preserve">, every week; </w:t>
      </w:r>
      <w:proofErr w:type="spellStart"/>
      <w:r w:rsidRPr="00443075">
        <w:rPr>
          <w:rStyle w:val="CommentReference"/>
          <w:sz w:val="19"/>
          <w:szCs w:val="19"/>
        </w:rPr>
        <w:t>HiSCR</w:t>
      </w:r>
      <w:proofErr w:type="spellEnd"/>
      <w:r w:rsidRPr="00443075">
        <w:rPr>
          <w:rStyle w:val="CommentReference"/>
          <w:sz w:val="19"/>
          <w:szCs w:val="19"/>
        </w:rPr>
        <w:t xml:space="preserve">, Hidradenitis </w:t>
      </w:r>
      <w:proofErr w:type="spellStart"/>
      <w:r w:rsidRPr="00443075">
        <w:rPr>
          <w:rStyle w:val="CommentReference"/>
          <w:sz w:val="19"/>
          <w:szCs w:val="19"/>
        </w:rPr>
        <w:t>Suppurativa</w:t>
      </w:r>
      <w:proofErr w:type="spellEnd"/>
      <w:r w:rsidRPr="00443075">
        <w:rPr>
          <w:rStyle w:val="CommentReference"/>
          <w:sz w:val="19"/>
          <w:szCs w:val="19"/>
        </w:rPr>
        <w:t xml:space="preserve"> Clinical Response; RD, risk difference; RR, relative risk</w:t>
      </w:r>
    </w:p>
    <w:p w:rsidR="00BB7C5A" w:rsidRPr="00443075" w:rsidRDefault="00BB7C5A" w:rsidP="00A655FB">
      <w:pPr>
        <w:pStyle w:val="TableFooter"/>
        <w:keepNext/>
        <w:keepLines/>
        <w:widowControl/>
        <w:ind w:left="709"/>
        <w:rPr>
          <w:rStyle w:val="CommentReference"/>
          <w:b/>
          <w:sz w:val="19"/>
          <w:szCs w:val="19"/>
        </w:rPr>
      </w:pPr>
      <w:proofErr w:type="spellStart"/>
      <w:proofErr w:type="gramStart"/>
      <w:r w:rsidRPr="00443075">
        <w:rPr>
          <w:rStyle w:val="CommentReference"/>
          <w:sz w:val="19"/>
          <w:szCs w:val="19"/>
          <w:vertAlign w:val="superscript"/>
        </w:rPr>
        <w:t>a</w:t>
      </w:r>
      <w:r w:rsidRPr="00443075">
        <w:rPr>
          <w:rStyle w:val="CommentReference"/>
          <w:sz w:val="19"/>
          <w:szCs w:val="19"/>
        </w:rPr>
        <w:t>MiTT</w:t>
      </w:r>
      <w:proofErr w:type="spellEnd"/>
      <w:proofErr w:type="gramEnd"/>
      <w:r w:rsidRPr="00443075">
        <w:rPr>
          <w:rStyle w:val="CommentReference"/>
          <w:sz w:val="19"/>
          <w:szCs w:val="19"/>
        </w:rPr>
        <w:t>: Modified intention to treat analysis</w:t>
      </w:r>
    </w:p>
    <w:p w:rsidR="007524FF" w:rsidRPr="00443075" w:rsidRDefault="00BB7C5A" w:rsidP="00087B7E">
      <w:pPr>
        <w:pStyle w:val="TableFooter"/>
        <w:keepNext/>
        <w:keepLines/>
        <w:widowControl/>
        <w:ind w:left="709"/>
        <w:rPr>
          <w:rStyle w:val="CommentReference"/>
          <w:sz w:val="19"/>
          <w:szCs w:val="19"/>
        </w:rPr>
      </w:pPr>
      <w:r w:rsidRPr="00443075">
        <w:rPr>
          <w:rStyle w:val="CommentReference"/>
          <w:sz w:val="19"/>
          <w:szCs w:val="19"/>
        </w:rPr>
        <w:t>Source: Table B.6.2, p.106 of the submission</w:t>
      </w:r>
    </w:p>
    <w:p w:rsidR="00DF26A7" w:rsidRPr="00443075" w:rsidRDefault="00DF26A7">
      <w:pPr>
        <w:jc w:val="both"/>
        <w:rPr>
          <w:rStyle w:val="CommentReference"/>
          <w:rFonts w:ascii="Arial Narrow" w:hAnsi="Arial Narrow" w:cs="Arial"/>
          <w:snapToGrid w:val="0"/>
          <w:sz w:val="22"/>
          <w:szCs w:val="22"/>
          <w:lang w:eastAsia="en-US"/>
        </w:rPr>
      </w:pPr>
    </w:p>
    <w:p w:rsidR="00E73ADD" w:rsidRPr="00443075" w:rsidRDefault="00E73ADD">
      <w:pPr>
        <w:pStyle w:val="ListParagraph"/>
        <w:numPr>
          <w:ilvl w:val="1"/>
          <w:numId w:val="1"/>
        </w:numPr>
        <w:jc w:val="both"/>
        <w:rPr>
          <w:rFonts w:ascii="Arial" w:hAnsi="Arial"/>
          <w:sz w:val="22"/>
          <w:szCs w:val="22"/>
        </w:rPr>
      </w:pPr>
      <w:r w:rsidRPr="00443075">
        <w:rPr>
          <w:rFonts w:ascii="Arial" w:hAnsi="Arial"/>
          <w:sz w:val="22"/>
          <w:szCs w:val="22"/>
        </w:rPr>
        <w:t xml:space="preserve">It was noted in the March 2016 </w:t>
      </w:r>
      <w:proofErr w:type="spellStart"/>
      <w:r w:rsidR="008C4E49" w:rsidRPr="00443075">
        <w:rPr>
          <w:rFonts w:ascii="Arial" w:hAnsi="Arial"/>
          <w:sz w:val="22"/>
          <w:szCs w:val="22"/>
        </w:rPr>
        <w:t>adalimumab</w:t>
      </w:r>
      <w:proofErr w:type="spellEnd"/>
      <w:r w:rsidR="008C4E49" w:rsidRPr="00443075">
        <w:rPr>
          <w:rFonts w:ascii="Arial" w:hAnsi="Arial"/>
          <w:sz w:val="22"/>
          <w:szCs w:val="22"/>
        </w:rPr>
        <w:t xml:space="preserve"> </w:t>
      </w:r>
      <w:r w:rsidR="00A05F6B" w:rsidRPr="00443075">
        <w:rPr>
          <w:rFonts w:ascii="Arial" w:hAnsi="Arial"/>
          <w:sz w:val="22"/>
          <w:szCs w:val="22"/>
        </w:rPr>
        <w:t xml:space="preserve">PSD </w:t>
      </w:r>
      <w:r w:rsidRPr="00443075">
        <w:rPr>
          <w:rFonts w:ascii="Arial" w:hAnsi="Arial"/>
          <w:sz w:val="22"/>
          <w:szCs w:val="22"/>
        </w:rPr>
        <w:t>that the claim of superior comparative effectiveness was adequately supported by the data for the first 12</w:t>
      </w:r>
      <w:r w:rsidR="0000289B" w:rsidRPr="00443075">
        <w:rPr>
          <w:rFonts w:ascii="Arial" w:hAnsi="Arial"/>
          <w:sz w:val="22"/>
          <w:szCs w:val="22"/>
        </w:rPr>
        <w:t xml:space="preserve"> </w:t>
      </w:r>
      <w:r w:rsidRPr="00443075">
        <w:rPr>
          <w:rFonts w:ascii="Arial" w:hAnsi="Arial"/>
          <w:sz w:val="22"/>
          <w:szCs w:val="22"/>
        </w:rPr>
        <w:t xml:space="preserve">weeks of treatment but not </w:t>
      </w:r>
      <w:r w:rsidR="006E2BC5" w:rsidRPr="00443075">
        <w:rPr>
          <w:rFonts w:ascii="Arial" w:hAnsi="Arial"/>
          <w:sz w:val="22"/>
          <w:szCs w:val="22"/>
        </w:rPr>
        <w:t xml:space="preserve">for the maintenance of efficacy </w:t>
      </w:r>
      <w:r w:rsidRPr="00443075">
        <w:rPr>
          <w:rFonts w:ascii="Arial" w:hAnsi="Arial"/>
          <w:sz w:val="22"/>
          <w:szCs w:val="22"/>
        </w:rPr>
        <w:t xml:space="preserve">beyond 12 weeks of therapy. </w:t>
      </w:r>
      <w:r w:rsidR="006E2BC5" w:rsidRPr="00443075">
        <w:rPr>
          <w:rFonts w:ascii="Arial" w:hAnsi="Arial"/>
          <w:sz w:val="22"/>
          <w:szCs w:val="22"/>
        </w:rPr>
        <w:t>The PBAC considered results from Period B of the PIONEER trials (weeks 12 to 36) were highly uncertain because of the exploratory nature of the analysis and small patient numbers.</w:t>
      </w:r>
    </w:p>
    <w:p w:rsidR="006E2BC5" w:rsidRPr="00443075" w:rsidRDefault="006E2BC5">
      <w:pPr>
        <w:jc w:val="both"/>
        <w:rPr>
          <w:rFonts w:ascii="Arial" w:hAnsi="Arial"/>
          <w:sz w:val="22"/>
          <w:szCs w:val="22"/>
        </w:rPr>
      </w:pPr>
    </w:p>
    <w:p w:rsidR="005A3173" w:rsidRPr="00443075" w:rsidRDefault="005A3173" w:rsidP="00565AC7">
      <w:pPr>
        <w:pStyle w:val="Heading2"/>
      </w:pPr>
      <w:r w:rsidRPr="00443075">
        <w:t>Comparative harms</w:t>
      </w:r>
    </w:p>
    <w:p w:rsidR="005A3173" w:rsidRPr="00443075" w:rsidRDefault="005A3173">
      <w:pPr>
        <w:ind w:left="720" w:hanging="720"/>
        <w:jc w:val="both"/>
        <w:rPr>
          <w:rFonts w:ascii="Arial" w:hAnsi="Arial"/>
          <w:sz w:val="22"/>
          <w:szCs w:val="22"/>
        </w:rPr>
      </w:pPr>
    </w:p>
    <w:p w:rsidR="005A278B" w:rsidRPr="00443075" w:rsidRDefault="005A278B">
      <w:pPr>
        <w:pStyle w:val="ListParagraph"/>
        <w:numPr>
          <w:ilvl w:val="1"/>
          <w:numId w:val="1"/>
        </w:numPr>
        <w:jc w:val="both"/>
        <w:rPr>
          <w:rFonts w:ascii="Arial" w:hAnsi="Arial"/>
          <w:sz w:val="22"/>
          <w:szCs w:val="22"/>
        </w:rPr>
      </w:pPr>
      <w:r w:rsidRPr="00443075">
        <w:rPr>
          <w:rFonts w:ascii="Arial" w:hAnsi="Arial"/>
          <w:sz w:val="22"/>
          <w:szCs w:val="22"/>
        </w:rPr>
        <w:t xml:space="preserve">The trial results remain unchanged from the previous major submission considered in March 2016. In the March 2016 </w:t>
      </w:r>
      <w:proofErr w:type="spellStart"/>
      <w:r w:rsidR="008C4E49" w:rsidRPr="00443075">
        <w:rPr>
          <w:rFonts w:ascii="Arial" w:hAnsi="Arial"/>
          <w:sz w:val="22"/>
          <w:szCs w:val="22"/>
        </w:rPr>
        <w:t>adalimumab</w:t>
      </w:r>
      <w:proofErr w:type="spellEnd"/>
      <w:r w:rsidR="008C4E49" w:rsidRPr="00443075">
        <w:rPr>
          <w:rFonts w:ascii="Arial" w:hAnsi="Arial"/>
          <w:sz w:val="22"/>
          <w:szCs w:val="22"/>
        </w:rPr>
        <w:t xml:space="preserve"> </w:t>
      </w:r>
      <w:r w:rsidR="00A05F6B" w:rsidRPr="00443075">
        <w:rPr>
          <w:rFonts w:ascii="Arial" w:hAnsi="Arial"/>
          <w:sz w:val="22"/>
          <w:szCs w:val="22"/>
        </w:rPr>
        <w:t>PSD</w:t>
      </w:r>
      <w:r w:rsidRPr="00443075">
        <w:rPr>
          <w:rFonts w:ascii="Arial" w:hAnsi="Arial"/>
          <w:sz w:val="22"/>
          <w:szCs w:val="22"/>
        </w:rPr>
        <w:t xml:space="preserve">, the PBAC noted that there were similar numbers of patients reported in both the </w:t>
      </w:r>
      <w:proofErr w:type="spellStart"/>
      <w:r w:rsidRPr="00443075">
        <w:rPr>
          <w:rFonts w:ascii="Arial" w:hAnsi="Arial"/>
          <w:sz w:val="22"/>
          <w:szCs w:val="22"/>
        </w:rPr>
        <w:t>adalimumab</w:t>
      </w:r>
      <w:proofErr w:type="spellEnd"/>
      <w:r w:rsidRPr="00443075">
        <w:rPr>
          <w:rFonts w:ascii="Arial" w:hAnsi="Arial"/>
          <w:sz w:val="22"/>
          <w:szCs w:val="22"/>
        </w:rPr>
        <w:t xml:space="preserve"> and BSC arms of the three trials experiencing any adverse events (AEs), treatment-emergent infections and AEs leading to discontinuations. </w:t>
      </w:r>
    </w:p>
    <w:p w:rsidR="005A278B" w:rsidRPr="00443075" w:rsidRDefault="005A278B">
      <w:pPr>
        <w:jc w:val="both"/>
        <w:rPr>
          <w:rFonts w:ascii="Arial" w:hAnsi="Arial"/>
          <w:sz w:val="22"/>
          <w:szCs w:val="22"/>
        </w:rPr>
      </w:pPr>
    </w:p>
    <w:p w:rsidR="005A3173" w:rsidRPr="00443075" w:rsidRDefault="005A3173" w:rsidP="00565AC7">
      <w:pPr>
        <w:pStyle w:val="Heading2"/>
      </w:pPr>
      <w:r w:rsidRPr="00443075">
        <w:t>Clinical claim</w:t>
      </w:r>
    </w:p>
    <w:p w:rsidR="005A3173" w:rsidRPr="00443075" w:rsidRDefault="005A3173">
      <w:pPr>
        <w:ind w:left="720" w:hanging="720"/>
        <w:jc w:val="both"/>
        <w:rPr>
          <w:rFonts w:ascii="Arial" w:hAnsi="Arial"/>
          <w:sz w:val="22"/>
          <w:szCs w:val="22"/>
        </w:rPr>
      </w:pPr>
    </w:p>
    <w:p w:rsidR="00EE5838" w:rsidRPr="00443075" w:rsidRDefault="005A278B" w:rsidP="0018614E">
      <w:pPr>
        <w:pStyle w:val="ListParagraph"/>
        <w:numPr>
          <w:ilvl w:val="1"/>
          <w:numId w:val="1"/>
        </w:numPr>
        <w:jc w:val="both"/>
        <w:rPr>
          <w:rFonts w:ascii="Arial" w:hAnsi="Arial"/>
          <w:sz w:val="22"/>
          <w:szCs w:val="22"/>
        </w:rPr>
      </w:pPr>
      <w:r w:rsidRPr="00443075">
        <w:rPr>
          <w:rFonts w:ascii="Arial" w:hAnsi="Arial"/>
          <w:sz w:val="22"/>
          <w:szCs w:val="22"/>
        </w:rPr>
        <w:t xml:space="preserve">The re-submission did not explicitly state a clinical claim. The clinical claim in the March 2016 submission was superior efficacy and inferior safety of </w:t>
      </w:r>
      <w:proofErr w:type="spellStart"/>
      <w:r w:rsidRPr="00443075">
        <w:rPr>
          <w:rFonts w:ascii="Arial" w:hAnsi="Arial"/>
          <w:sz w:val="22"/>
          <w:szCs w:val="22"/>
        </w:rPr>
        <w:t>adalimumab</w:t>
      </w:r>
      <w:proofErr w:type="spellEnd"/>
      <w:r w:rsidRPr="00443075">
        <w:rPr>
          <w:rFonts w:ascii="Arial" w:hAnsi="Arial"/>
          <w:sz w:val="22"/>
          <w:szCs w:val="22"/>
        </w:rPr>
        <w:t xml:space="preserve"> compared with BSC.</w:t>
      </w:r>
    </w:p>
    <w:p w:rsidR="00EE5838" w:rsidRPr="00443075" w:rsidRDefault="00EE5838" w:rsidP="00322E23">
      <w:pPr>
        <w:pStyle w:val="ListParagraph"/>
        <w:rPr>
          <w:rFonts w:ascii="Arial" w:hAnsi="Arial"/>
          <w:sz w:val="22"/>
          <w:szCs w:val="22"/>
        </w:rPr>
      </w:pPr>
    </w:p>
    <w:p w:rsidR="00E243F4" w:rsidRPr="00443075" w:rsidRDefault="00745389" w:rsidP="0018614E">
      <w:pPr>
        <w:pStyle w:val="ListParagraph"/>
        <w:numPr>
          <w:ilvl w:val="1"/>
          <w:numId w:val="1"/>
        </w:numPr>
        <w:jc w:val="both"/>
        <w:rPr>
          <w:rFonts w:ascii="Arial" w:hAnsi="Arial"/>
          <w:sz w:val="22"/>
          <w:szCs w:val="22"/>
        </w:rPr>
      </w:pPr>
      <w:r w:rsidRPr="00443075">
        <w:rPr>
          <w:rFonts w:ascii="Arial" w:hAnsi="Arial"/>
          <w:sz w:val="22"/>
          <w:szCs w:val="22"/>
        </w:rPr>
        <w:t>In March 2016, t</w:t>
      </w:r>
      <w:r w:rsidR="005A278B" w:rsidRPr="00443075">
        <w:rPr>
          <w:rFonts w:ascii="Arial" w:hAnsi="Arial"/>
          <w:sz w:val="22"/>
          <w:szCs w:val="22"/>
        </w:rPr>
        <w:t>he PBAC considered that the claim of superior comparative effectiveness was adequately supported by the data for the first 12 weeks of treatment.</w:t>
      </w:r>
      <w:r w:rsidR="00C5545E" w:rsidRPr="00443075">
        <w:rPr>
          <w:rFonts w:ascii="Arial" w:hAnsi="Arial"/>
          <w:sz w:val="22"/>
          <w:szCs w:val="22"/>
        </w:rPr>
        <w:t xml:space="preserve"> </w:t>
      </w:r>
      <w:r w:rsidR="00EE5838" w:rsidRPr="00443075">
        <w:rPr>
          <w:rFonts w:ascii="Arial" w:hAnsi="Arial"/>
          <w:sz w:val="22"/>
          <w:szCs w:val="22"/>
        </w:rPr>
        <w:t xml:space="preserve">However, the PBAC noted that there was limited comparative data and no clear evidence of clinically meaningful maintenance of efficacy beyond 12 weeks of therapy. </w:t>
      </w:r>
    </w:p>
    <w:p w:rsidR="00E243F4" w:rsidRPr="00443075" w:rsidRDefault="00E243F4" w:rsidP="0018614E">
      <w:pPr>
        <w:pStyle w:val="ListParagraph"/>
        <w:rPr>
          <w:rFonts w:ascii="Arial" w:hAnsi="Arial" w:cs="Arial"/>
          <w:bCs/>
          <w:sz w:val="22"/>
          <w:szCs w:val="22"/>
        </w:rPr>
      </w:pPr>
    </w:p>
    <w:p w:rsidR="005A278B" w:rsidRPr="00443075" w:rsidRDefault="00F41E58" w:rsidP="00E25A66">
      <w:pPr>
        <w:pStyle w:val="ListParagraph"/>
        <w:numPr>
          <w:ilvl w:val="1"/>
          <w:numId w:val="1"/>
        </w:numPr>
        <w:jc w:val="both"/>
        <w:rPr>
          <w:rFonts w:ascii="Arial" w:hAnsi="Arial" w:cs="Arial"/>
          <w:bCs/>
          <w:sz w:val="22"/>
        </w:rPr>
      </w:pPr>
      <w:r w:rsidRPr="00443075">
        <w:rPr>
          <w:rFonts w:ascii="Arial" w:hAnsi="Arial" w:cs="Arial"/>
          <w:bCs/>
          <w:sz w:val="22"/>
        </w:rPr>
        <w:t>With regards to the current submission, the</w:t>
      </w:r>
      <w:r w:rsidR="00E243F4" w:rsidRPr="00443075">
        <w:rPr>
          <w:rFonts w:ascii="Arial" w:hAnsi="Arial" w:cs="Arial"/>
          <w:bCs/>
          <w:sz w:val="22"/>
        </w:rPr>
        <w:t xml:space="preserve"> PBAC </w:t>
      </w:r>
      <w:r w:rsidR="008D5C5C" w:rsidRPr="00443075">
        <w:rPr>
          <w:rFonts w:ascii="Arial" w:hAnsi="Arial" w:cs="Arial"/>
          <w:bCs/>
          <w:sz w:val="22"/>
        </w:rPr>
        <w:t>reaffirmed</w:t>
      </w:r>
      <w:r w:rsidRPr="00443075">
        <w:rPr>
          <w:rFonts w:ascii="Arial" w:hAnsi="Arial" w:cs="Arial"/>
          <w:bCs/>
          <w:sz w:val="22"/>
        </w:rPr>
        <w:t xml:space="preserve"> that the claim of superior comparative effectiveness was adequately supported by the data for the first 12 weeks of treatment. The PBAC noted that the requested listing restricted continuing treatment to those patients who </w:t>
      </w:r>
      <w:r w:rsidR="00E0084F" w:rsidRPr="00443075">
        <w:rPr>
          <w:rFonts w:ascii="Arial" w:hAnsi="Arial" w:cs="Arial"/>
          <w:bCs/>
          <w:sz w:val="22"/>
        </w:rPr>
        <w:t>responded</w:t>
      </w:r>
      <w:r w:rsidRPr="00443075">
        <w:rPr>
          <w:rFonts w:ascii="Arial" w:hAnsi="Arial" w:cs="Arial"/>
          <w:bCs/>
          <w:sz w:val="22"/>
        </w:rPr>
        <w:t xml:space="preserve"> to </w:t>
      </w:r>
      <w:proofErr w:type="spellStart"/>
      <w:r w:rsidRPr="00443075">
        <w:rPr>
          <w:rFonts w:ascii="Arial" w:hAnsi="Arial" w:cs="Arial"/>
          <w:bCs/>
          <w:sz w:val="22"/>
        </w:rPr>
        <w:t>adalimumab</w:t>
      </w:r>
      <w:proofErr w:type="spellEnd"/>
      <w:r w:rsidRPr="00443075">
        <w:rPr>
          <w:rFonts w:ascii="Arial" w:hAnsi="Arial" w:cs="Arial"/>
          <w:bCs/>
          <w:sz w:val="22"/>
        </w:rPr>
        <w:t xml:space="preserve">. </w:t>
      </w:r>
      <w:r w:rsidR="00E25A66" w:rsidRPr="00443075">
        <w:rPr>
          <w:rFonts w:ascii="Arial" w:hAnsi="Arial" w:cs="Arial"/>
          <w:bCs/>
          <w:sz w:val="22"/>
        </w:rPr>
        <w:t xml:space="preserve">The pre-PBAC response presented the new data from the open label extension (OLE) study (which was not completed in time for the original submission or the minor re submission) for up to 108 weeks of treatment for patients treated continuously with </w:t>
      </w:r>
      <w:proofErr w:type="spellStart"/>
      <w:r w:rsidR="00E25A66" w:rsidRPr="00443075">
        <w:rPr>
          <w:rFonts w:ascii="Arial" w:hAnsi="Arial" w:cs="Arial"/>
          <w:bCs/>
          <w:sz w:val="22"/>
        </w:rPr>
        <w:t>adalimumab</w:t>
      </w:r>
      <w:proofErr w:type="spellEnd"/>
      <w:r w:rsidR="00E25A66" w:rsidRPr="00443075">
        <w:rPr>
          <w:rFonts w:ascii="Arial" w:hAnsi="Arial" w:cs="Arial"/>
          <w:bCs/>
          <w:sz w:val="22"/>
        </w:rPr>
        <w:t xml:space="preserve">. The pre-PBAC response stated that the data demonstrated the efficacy of continuous treatment with </w:t>
      </w:r>
      <w:proofErr w:type="spellStart"/>
      <w:r w:rsidR="00E25A66" w:rsidRPr="00443075">
        <w:rPr>
          <w:rFonts w:ascii="Arial" w:hAnsi="Arial" w:cs="Arial"/>
          <w:bCs/>
          <w:sz w:val="22"/>
        </w:rPr>
        <w:t>adalimumab</w:t>
      </w:r>
      <w:proofErr w:type="spellEnd"/>
      <w:r w:rsidR="00E25A66" w:rsidRPr="00443075">
        <w:rPr>
          <w:rFonts w:ascii="Arial" w:hAnsi="Arial" w:cs="Arial"/>
          <w:bCs/>
          <w:sz w:val="22"/>
        </w:rPr>
        <w:t xml:space="preserve"> where </w:t>
      </w:r>
      <w:proofErr w:type="spellStart"/>
      <w:r w:rsidR="00E25A66" w:rsidRPr="00443075">
        <w:rPr>
          <w:rFonts w:ascii="Arial" w:hAnsi="Arial" w:cs="Arial"/>
          <w:bCs/>
          <w:sz w:val="22"/>
        </w:rPr>
        <w:t>HiSCR</w:t>
      </w:r>
      <w:proofErr w:type="spellEnd"/>
      <w:r w:rsidR="00E25A66" w:rsidRPr="00443075">
        <w:rPr>
          <w:rFonts w:ascii="Arial" w:hAnsi="Arial" w:cs="Arial"/>
          <w:bCs/>
          <w:sz w:val="22"/>
        </w:rPr>
        <w:t xml:space="preserve"> was maintained for up to two years. </w:t>
      </w:r>
      <w:r w:rsidRPr="00443075">
        <w:rPr>
          <w:rFonts w:ascii="Arial" w:hAnsi="Arial" w:cs="Arial"/>
          <w:bCs/>
          <w:sz w:val="22"/>
        </w:rPr>
        <w:t xml:space="preserve">The PBAC considered that the new OLE study results may provide additional evidence of maintenance of effectiveness </w:t>
      </w:r>
      <w:r w:rsidR="003D34F8" w:rsidRPr="00443075">
        <w:rPr>
          <w:rFonts w:ascii="Arial" w:hAnsi="Arial" w:cs="Arial"/>
          <w:bCs/>
          <w:sz w:val="22"/>
        </w:rPr>
        <w:t xml:space="preserve">of </w:t>
      </w:r>
      <w:proofErr w:type="spellStart"/>
      <w:r w:rsidR="003D34F8" w:rsidRPr="00443075">
        <w:rPr>
          <w:rFonts w:ascii="Arial" w:hAnsi="Arial" w:cs="Arial"/>
          <w:bCs/>
          <w:sz w:val="22"/>
        </w:rPr>
        <w:t>adalimumab</w:t>
      </w:r>
      <w:proofErr w:type="spellEnd"/>
      <w:r w:rsidR="003D34F8" w:rsidRPr="00443075">
        <w:rPr>
          <w:rFonts w:ascii="Arial" w:hAnsi="Arial" w:cs="Arial"/>
          <w:bCs/>
          <w:sz w:val="22"/>
        </w:rPr>
        <w:t xml:space="preserve"> </w:t>
      </w:r>
      <w:r w:rsidR="007476EB" w:rsidRPr="00443075">
        <w:rPr>
          <w:rFonts w:ascii="Arial" w:hAnsi="Arial" w:cs="Arial"/>
          <w:bCs/>
          <w:sz w:val="22"/>
        </w:rPr>
        <w:t xml:space="preserve">treatment </w:t>
      </w:r>
      <w:r w:rsidRPr="00443075">
        <w:rPr>
          <w:rFonts w:ascii="Arial" w:hAnsi="Arial" w:cs="Arial"/>
          <w:bCs/>
          <w:sz w:val="22"/>
        </w:rPr>
        <w:t xml:space="preserve">beyond 12 </w:t>
      </w:r>
      <w:proofErr w:type="gramStart"/>
      <w:r w:rsidRPr="00443075">
        <w:rPr>
          <w:rFonts w:ascii="Arial" w:hAnsi="Arial" w:cs="Arial"/>
          <w:bCs/>
          <w:sz w:val="22"/>
        </w:rPr>
        <w:t>weeks,</w:t>
      </w:r>
      <w:proofErr w:type="gramEnd"/>
      <w:r w:rsidRPr="00443075">
        <w:rPr>
          <w:rFonts w:ascii="Arial" w:hAnsi="Arial" w:cs="Arial"/>
          <w:bCs/>
          <w:sz w:val="22"/>
        </w:rPr>
        <w:t xml:space="preserve"> however, the PBAC noted that this </w:t>
      </w:r>
      <w:r w:rsidR="007476EB" w:rsidRPr="00443075">
        <w:rPr>
          <w:rFonts w:ascii="Arial" w:hAnsi="Arial" w:cs="Arial"/>
          <w:bCs/>
          <w:sz w:val="22"/>
        </w:rPr>
        <w:t xml:space="preserve">study had not been </w:t>
      </w:r>
      <w:r w:rsidRPr="00443075">
        <w:rPr>
          <w:rFonts w:ascii="Arial" w:hAnsi="Arial" w:cs="Arial"/>
          <w:bCs/>
          <w:sz w:val="22"/>
        </w:rPr>
        <w:t xml:space="preserve">evaluated. While the PBAC considered that the claim of superior comparative effectiveness may be reasonable beyond 12 weeks, the PBAC did not accept the extrapolation of the treatment benefit </w:t>
      </w:r>
      <w:r w:rsidR="003D34F8" w:rsidRPr="00443075">
        <w:rPr>
          <w:rFonts w:ascii="Arial" w:hAnsi="Arial" w:cs="Arial"/>
          <w:bCs/>
          <w:sz w:val="22"/>
        </w:rPr>
        <w:t xml:space="preserve">beyond treatment discontinuation </w:t>
      </w:r>
      <w:r w:rsidRPr="00443075">
        <w:rPr>
          <w:rFonts w:ascii="Arial" w:hAnsi="Arial" w:cs="Arial"/>
          <w:bCs/>
          <w:sz w:val="22"/>
        </w:rPr>
        <w:t>modelled in the re-submission.</w:t>
      </w:r>
      <w:r w:rsidR="005A278B" w:rsidRPr="00443075">
        <w:rPr>
          <w:rFonts w:ascii="Arial" w:hAnsi="Arial" w:cs="Arial"/>
          <w:bCs/>
          <w:sz w:val="22"/>
        </w:rPr>
        <w:t xml:space="preserve"> The PBAC considered that the claim of inferior comparative safety was reasonable.</w:t>
      </w:r>
    </w:p>
    <w:p w:rsidR="00F57A6D" w:rsidRPr="00443075" w:rsidRDefault="00F57A6D">
      <w:pPr>
        <w:jc w:val="both"/>
        <w:rPr>
          <w:rFonts w:ascii="Arial" w:hAnsi="Arial"/>
          <w:sz w:val="22"/>
          <w:szCs w:val="22"/>
        </w:rPr>
      </w:pPr>
    </w:p>
    <w:p w:rsidR="005A3173" w:rsidRPr="00443075" w:rsidRDefault="005A3173" w:rsidP="00565AC7">
      <w:pPr>
        <w:pStyle w:val="Heading2"/>
      </w:pPr>
      <w:r w:rsidRPr="00443075">
        <w:t>Economic analysis</w:t>
      </w:r>
    </w:p>
    <w:p w:rsidR="005A3173" w:rsidRPr="00443075" w:rsidRDefault="005A3173">
      <w:pPr>
        <w:pStyle w:val="NoSpacing"/>
        <w:keepNext/>
      </w:pPr>
    </w:p>
    <w:p w:rsidR="009B0F67" w:rsidRPr="00443075" w:rsidRDefault="007D582F">
      <w:pPr>
        <w:pStyle w:val="ListParagraph"/>
        <w:numPr>
          <w:ilvl w:val="1"/>
          <w:numId w:val="1"/>
        </w:numPr>
        <w:jc w:val="both"/>
        <w:rPr>
          <w:rFonts w:ascii="Arial" w:hAnsi="Arial"/>
          <w:sz w:val="22"/>
          <w:szCs w:val="22"/>
        </w:rPr>
      </w:pPr>
      <w:r w:rsidRPr="00443075">
        <w:rPr>
          <w:rFonts w:ascii="Arial" w:hAnsi="Arial"/>
          <w:sz w:val="22"/>
          <w:szCs w:val="22"/>
        </w:rPr>
        <w:t xml:space="preserve">In the </w:t>
      </w:r>
      <w:r w:rsidR="009B0F67" w:rsidRPr="00443075">
        <w:rPr>
          <w:rFonts w:ascii="Arial" w:hAnsi="Arial"/>
          <w:sz w:val="22"/>
          <w:szCs w:val="22"/>
        </w:rPr>
        <w:t xml:space="preserve">major submission considered by </w:t>
      </w:r>
      <w:r w:rsidRPr="00443075">
        <w:rPr>
          <w:rFonts w:ascii="Arial" w:hAnsi="Arial"/>
          <w:sz w:val="22"/>
          <w:szCs w:val="22"/>
        </w:rPr>
        <w:t xml:space="preserve">the </w:t>
      </w:r>
      <w:r w:rsidR="009B0F67" w:rsidRPr="00443075">
        <w:rPr>
          <w:rFonts w:ascii="Arial" w:hAnsi="Arial"/>
          <w:sz w:val="22"/>
          <w:szCs w:val="22"/>
        </w:rPr>
        <w:t>PBAC in M</w:t>
      </w:r>
      <w:r w:rsidR="004A7CCE" w:rsidRPr="00443075">
        <w:rPr>
          <w:rFonts w:ascii="Arial" w:hAnsi="Arial"/>
          <w:sz w:val="22"/>
          <w:szCs w:val="22"/>
        </w:rPr>
        <w:t>arch</w:t>
      </w:r>
      <w:r w:rsidR="009B0F67" w:rsidRPr="00443075">
        <w:rPr>
          <w:rFonts w:ascii="Arial" w:hAnsi="Arial"/>
          <w:sz w:val="22"/>
          <w:szCs w:val="22"/>
        </w:rPr>
        <w:t xml:space="preserve"> 20</w:t>
      </w:r>
      <w:r w:rsidR="004A7CCE" w:rsidRPr="00443075">
        <w:rPr>
          <w:rFonts w:ascii="Arial" w:hAnsi="Arial"/>
          <w:sz w:val="22"/>
          <w:szCs w:val="22"/>
        </w:rPr>
        <w:t>16</w:t>
      </w:r>
      <w:r w:rsidR="009B0F67" w:rsidRPr="00443075">
        <w:rPr>
          <w:rFonts w:ascii="Arial" w:hAnsi="Arial"/>
          <w:sz w:val="22"/>
          <w:szCs w:val="22"/>
        </w:rPr>
        <w:t>, the s</w:t>
      </w:r>
      <w:r w:rsidRPr="00443075">
        <w:rPr>
          <w:rFonts w:ascii="Arial" w:hAnsi="Arial"/>
          <w:sz w:val="22"/>
          <w:szCs w:val="22"/>
        </w:rPr>
        <w:t>ponsor</w:t>
      </w:r>
      <w:r w:rsidR="009B0F67" w:rsidRPr="00443075">
        <w:rPr>
          <w:rFonts w:ascii="Arial" w:hAnsi="Arial"/>
          <w:sz w:val="22"/>
          <w:szCs w:val="22"/>
        </w:rPr>
        <w:t xml:space="preserve"> presented a cost-effectiveness analysis against </w:t>
      </w:r>
      <w:r w:rsidR="004A7CCE" w:rsidRPr="00443075">
        <w:rPr>
          <w:rFonts w:ascii="Arial" w:hAnsi="Arial"/>
          <w:sz w:val="22"/>
          <w:szCs w:val="22"/>
        </w:rPr>
        <w:t>BSC</w:t>
      </w:r>
      <w:r w:rsidR="009B0F67" w:rsidRPr="00443075">
        <w:rPr>
          <w:rFonts w:ascii="Arial" w:hAnsi="Arial"/>
          <w:sz w:val="22"/>
          <w:szCs w:val="22"/>
        </w:rPr>
        <w:t>.</w:t>
      </w:r>
      <w:r w:rsidR="004A7CCE" w:rsidRPr="00443075">
        <w:rPr>
          <w:rFonts w:ascii="Arial" w:hAnsi="Arial"/>
          <w:sz w:val="22"/>
          <w:szCs w:val="22"/>
        </w:rPr>
        <w:t xml:space="preserve"> </w:t>
      </w:r>
      <w:r w:rsidR="00B8066C" w:rsidRPr="00443075">
        <w:rPr>
          <w:rFonts w:ascii="Arial" w:hAnsi="Arial"/>
          <w:sz w:val="22"/>
          <w:szCs w:val="22"/>
        </w:rPr>
        <w:t xml:space="preserve">The minor re-submission </w:t>
      </w:r>
      <w:r w:rsidR="007524FF" w:rsidRPr="00443075">
        <w:rPr>
          <w:rFonts w:ascii="Arial" w:hAnsi="Arial"/>
          <w:sz w:val="22"/>
          <w:szCs w:val="22"/>
        </w:rPr>
        <w:t xml:space="preserve">sought </w:t>
      </w:r>
      <w:r w:rsidR="00C00DA7" w:rsidRPr="00443075">
        <w:rPr>
          <w:rFonts w:ascii="Arial" w:hAnsi="Arial"/>
          <w:sz w:val="22"/>
          <w:szCs w:val="22"/>
        </w:rPr>
        <w:t>to respecify the best estimate of the base case ICER by</w:t>
      </w:r>
      <w:r w:rsidR="00B8066C" w:rsidRPr="00443075">
        <w:rPr>
          <w:rFonts w:ascii="Arial" w:hAnsi="Arial"/>
          <w:sz w:val="22"/>
          <w:szCs w:val="22"/>
        </w:rPr>
        <w:t xml:space="preserve"> </w:t>
      </w:r>
      <w:r w:rsidR="00C00DA7" w:rsidRPr="00443075">
        <w:rPr>
          <w:rFonts w:ascii="Arial" w:hAnsi="Arial"/>
          <w:sz w:val="22"/>
          <w:szCs w:val="22"/>
        </w:rPr>
        <w:t>reducing the price</w:t>
      </w:r>
      <w:r w:rsidR="00B8066C" w:rsidRPr="00443075">
        <w:rPr>
          <w:rFonts w:ascii="Arial" w:hAnsi="Arial"/>
          <w:sz w:val="22"/>
          <w:szCs w:val="22"/>
        </w:rPr>
        <w:t xml:space="preserve">. Furthermore, compared </w:t>
      </w:r>
      <w:r w:rsidR="007524FF" w:rsidRPr="00443075">
        <w:rPr>
          <w:rFonts w:ascii="Arial" w:hAnsi="Arial"/>
          <w:sz w:val="22"/>
          <w:szCs w:val="22"/>
        </w:rPr>
        <w:t xml:space="preserve">with </w:t>
      </w:r>
      <w:r w:rsidR="00B8066C" w:rsidRPr="00443075">
        <w:rPr>
          <w:rFonts w:ascii="Arial" w:hAnsi="Arial"/>
          <w:sz w:val="22"/>
          <w:szCs w:val="22"/>
        </w:rPr>
        <w:t xml:space="preserve">the model in the March 2016 submission, changes were made </w:t>
      </w:r>
      <w:r w:rsidR="00DB4CAB" w:rsidRPr="00443075">
        <w:rPr>
          <w:rFonts w:ascii="Arial" w:hAnsi="Arial"/>
          <w:sz w:val="22"/>
          <w:szCs w:val="22"/>
        </w:rPr>
        <w:t xml:space="preserve">to </w:t>
      </w:r>
      <w:r w:rsidR="00B8066C" w:rsidRPr="00443075">
        <w:rPr>
          <w:rFonts w:ascii="Arial" w:hAnsi="Arial"/>
          <w:sz w:val="22"/>
          <w:szCs w:val="22"/>
        </w:rPr>
        <w:t>the</w:t>
      </w:r>
      <w:r w:rsidR="00694638" w:rsidRPr="00443075">
        <w:rPr>
          <w:rFonts w:ascii="Arial" w:hAnsi="Arial"/>
          <w:sz w:val="22"/>
          <w:szCs w:val="22"/>
        </w:rPr>
        <w:t xml:space="preserve"> continuation criteria, the assumed efficacy beyond 12 weeks, </w:t>
      </w:r>
      <w:r w:rsidR="00324DE7" w:rsidRPr="00443075">
        <w:rPr>
          <w:rFonts w:ascii="Arial" w:hAnsi="Arial"/>
          <w:sz w:val="22"/>
          <w:szCs w:val="22"/>
        </w:rPr>
        <w:t>re</w:t>
      </w:r>
      <w:r w:rsidR="00324DE7" w:rsidRPr="00443075">
        <w:rPr>
          <w:rFonts w:ascii="Arial" w:hAnsi="Arial"/>
          <w:sz w:val="22"/>
          <w:szCs w:val="22"/>
        </w:rPr>
        <w:noBreakHyphen/>
      </w:r>
      <w:r w:rsidR="00D97454" w:rsidRPr="00443075">
        <w:rPr>
          <w:rFonts w:ascii="Arial" w:hAnsi="Arial"/>
          <w:sz w:val="22"/>
          <w:szCs w:val="22"/>
        </w:rPr>
        <w:t>treat</w:t>
      </w:r>
      <w:r w:rsidR="001F4DD7" w:rsidRPr="00443075">
        <w:rPr>
          <w:rFonts w:ascii="Arial" w:hAnsi="Arial"/>
          <w:sz w:val="22"/>
          <w:szCs w:val="22"/>
        </w:rPr>
        <w:t xml:space="preserve">ment post failure, prevalence, diagnosis rate and uptake. </w:t>
      </w:r>
      <w:r w:rsidR="00BE2307" w:rsidRPr="00443075">
        <w:rPr>
          <w:rFonts w:ascii="Arial" w:hAnsi="Arial"/>
          <w:sz w:val="22"/>
          <w:szCs w:val="22"/>
        </w:rPr>
        <w:t xml:space="preserve">Further changes were </w:t>
      </w:r>
      <w:r w:rsidR="00662A03" w:rsidRPr="00443075">
        <w:rPr>
          <w:rFonts w:ascii="Arial" w:hAnsi="Arial"/>
          <w:sz w:val="22"/>
          <w:szCs w:val="22"/>
        </w:rPr>
        <w:t>made to the model</w:t>
      </w:r>
      <w:r w:rsidR="00BE2307" w:rsidRPr="00443075">
        <w:rPr>
          <w:rFonts w:ascii="Arial" w:hAnsi="Arial"/>
          <w:sz w:val="22"/>
          <w:szCs w:val="22"/>
        </w:rPr>
        <w:t xml:space="preserve"> in the pre-PBAC response including the removal of the </w:t>
      </w:r>
      <w:r w:rsidR="00D97454" w:rsidRPr="00443075">
        <w:rPr>
          <w:rFonts w:ascii="Arial" w:hAnsi="Arial"/>
          <w:sz w:val="22"/>
          <w:szCs w:val="22"/>
        </w:rPr>
        <w:t>re-treat</w:t>
      </w:r>
      <w:r w:rsidR="00BE2307" w:rsidRPr="00443075">
        <w:rPr>
          <w:rFonts w:ascii="Arial" w:hAnsi="Arial"/>
          <w:sz w:val="22"/>
          <w:szCs w:val="22"/>
        </w:rPr>
        <w:t xml:space="preserve">ment of </w:t>
      </w:r>
      <w:r w:rsidR="00DB4CAB" w:rsidRPr="00443075">
        <w:rPr>
          <w:rFonts w:ascii="Arial" w:hAnsi="Arial"/>
          <w:sz w:val="22"/>
          <w:szCs w:val="22"/>
        </w:rPr>
        <w:t>non-responding</w:t>
      </w:r>
      <w:r w:rsidR="00BE2307" w:rsidRPr="00443075">
        <w:rPr>
          <w:rFonts w:ascii="Arial" w:hAnsi="Arial"/>
          <w:sz w:val="22"/>
          <w:szCs w:val="22"/>
        </w:rPr>
        <w:t xml:space="preserve"> patients in the restriction and model as well as a </w:t>
      </w:r>
      <w:r w:rsidR="00DB4CAB" w:rsidRPr="00443075">
        <w:rPr>
          <w:rFonts w:ascii="Arial" w:hAnsi="Arial"/>
          <w:sz w:val="22"/>
          <w:szCs w:val="22"/>
        </w:rPr>
        <w:t>revised</w:t>
      </w:r>
      <w:r w:rsidR="00BE2307" w:rsidRPr="00443075">
        <w:rPr>
          <w:rFonts w:ascii="Arial" w:hAnsi="Arial"/>
          <w:sz w:val="22"/>
          <w:szCs w:val="22"/>
        </w:rPr>
        <w:t xml:space="preserve"> price.</w:t>
      </w:r>
      <w:r w:rsidR="00662A03" w:rsidRPr="00443075">
        <w:rPr>
          <w:rFonts w:ascii="Arial" w:hAnsi="Arial"/>
          <w:sz w:val="22"/>
          <w:szCs w:val="22"/>
        </w:rPr>
        <w:t xml:space="preserve"> </w:t>
      </w:r>
    </w:p>
    <w:p w:rsidR="001F4DD7" w:rsidRPr="00443075" w:rsidRDefault="001F4DD7">
      <w:pPr>
        <w:pStyle w:val="ListParagraph"/>
        <w:jc w:val="both"/>
        <w:rPr>
          <w:rFonts w:ascii="Arial" w:hAnsi="Arial"/>
          <w:sz w:val="22"/>
          <w:szCs w:val="22"/>
        </w:rPr>
      </w:pPr>
    </w:p>
    <w:p w:rsidR="001F4DD7" w:rsidRPr="00443075" w:rsidRDefault="007D582F">
      <w:pPr>
        <w:pStyle w:val="ListParagraph"/>
        <w:numPr>
          <w:ilvl w:val="1"/>
          <w:numId w:val="1"/>
        </w:numPr>
        <w:jc w:val="both"/>
        <w:rPr>
          <w:rFonts w:ascii="Arial" w:hAnsi="Arial"/>
          <w:sz w:val="22"/>
          <w:szCs w:val="22"/>
        </w:rPr>
      </w:pPr>
      <w:r w:rsidRPr="00443075">
        <w:rPr>
          <w:rFonts w:ascii="Arial" w:hAnsi="Arial"/>
          <w:sz w:val="22"/>
          <w:szCs w:val="22"/>
        </w:rPr>
        <w:t>T</w:t>
      </w:r>
      <w:r w:rsidR="001F4DD7" w:rsidRPr="00443075">
        <w:rPr>
          <w:rFonts w:ascii="Arial" w:hAnsi="Arial"/>
          <w:sz w:val="22"/>
          <w:szCs w:val="22"/>
        </w:rPr>
        <w:t xml:space="preserve">he </w:t>
      </w:r>
      <w:r w:rsidR="005D2FDA" w:rsidRPr="00443075">
        <w:rPr>
          <w:rFonts w:ascii="Arial" w:hAnsi="Arial"/>
          <w:sz w:val="22"/>
          <w:szCs w:val="22"/>
        </w:rPr>
        <w:t xml:space="preserve">minor </w:t>
      </w:r>
      <w:r w:rsidR="001F4DD7" w:rsidRPr="00443075">
        <w:rPr>
          <w:rFonts w:ascii="Arial" w:hAnsi="Arial"/>
          <w:sz w:val="22"/>
          <w:szCs w:val="22"/>
        </w:rPr>
        <w:t xml:space="preserve">re-submission </w:t>
      </w:r>
      <w:r w:rsidRPr="00443075">
        <w:rPr>
          <w:rFonts w:ascii="Arial" w:hAnsi="Arial"/>
          <w:sz w:val="22"/>
          <w:szCs w:val="22"/>
        </w:rPr>
        <w:t xml:space="preserve">assumed convergence in the benefit for the treatment group to approach those in the placebo group (in a linear fashion) from week 36 to 20 years. </w:t>
      </w:r>
      <w:r w:rsidR="005D2FDA" w:rsidRPr="00443075">
        <w:rPr>
          <w:rFonts w:ascii="Arial" w:hAnsi="Arial"/>
          <w:sz w:val="22"/>
          <w:szCs w:val="22"/>
        </w:rPr>
        <w:t xml:space="preserve">The Markov traces </w:t>
      </w:r>
      <w:r w:rsidRPr="00443075">
        <w:rPr>
          <w:rFonts w:ascii="Arial" w:hAnsi="Arial"/>
          <w:sz w:val="22"/>
          <w:szCs w:val="22"/>
        </w:rPr>
        <w:t>obtained during the evaluation (see</w:t>
      </w:r>
      <w:r w:rsidR="00E25A66" w:rsidRPr="00443075">
        <w:rPr>
          <w:rFonts w:ascii="Arial" w:hAnsi="Arial"/>
          <w:sz w:val="22"/>
          <w:szCs w:val="22"/>
        </w:rPr>
        <w:t xml:space="preserve"> figures</w:t>
      </w:r>
      <w:r w:rsidRPr="00443075">
        <w:rPr>
          <w:rFonts w:ascii="Arial" w:hAnsi="Arial"/>
          <w:sz w:val="22"/>
          <w:szCs w:val="22"/>
        </w:rPr>
        <w:t xml:space="preserve"> </w:t>
      </w:r>
      <w:r w:rsidR="005D2FDA" w:rsidRPr="00443075">
        <w:rPr>
          <w:rFonts w:ascii="Arial" w:hAnsi="Arial"/>
          <w:sz w:val="22"/>
          <w:szCs w:val="22"/>
        </w:rPr>
        <w:t>below</w:t>
      </w:r>
      <w:r w:rsidRPr="00443075">
        <w:rPr>
          <w:rFonts w:ascii="Arial" w:hAnsi="Arial"/>
          <w:sz w:val="22"/>
          <w:szCs w:val="22"/>
        </w:rPr>
        <w:t>)</w:t>
      </w:r>
      <w:r w:rsidR="005D2FDA" w:rsidRPr="00443075">
        <w:rPr>
          <w:rFonts w:ascii="Arial" w:hAnsi="Arial"/>
          <w:sz w:val="22"/>
          <w:szCs w:val="22"/>
        </w:rPr>
        <w:t xml:space="preserve"> show that the number of patients in the health state “no response” after 20 years is equal between the treatment arms. While this approach assume</w:t>
      </w:r>
      <w:r w:rsidR="00DB4CAB" w:rsidRPr="00443075">
        <w:rPr>
          <w:rFonts w:ascii="Arial" w:hAnsi="Arial"/>
          <w:sz w:val="22"/>
          <w:szCs w:val="22"/>
        </w:rPr>
        <w:t>d</w:t>
      </w:r>
      <w:r w:rsidR="005D2FDA" w:rsidRPr="00443075">
        <w:rPr>
          <w:rFonts w:ascii="Arial" w:hAnsi="Arial"/>
          <w:sz w:val="22"/>
          <w:szCs w:val="22"/>
        </w:rPr>
        <w:t xml:space="preserve"> a diminishing benefit of </w:t>
      </w:r>
      <w:proofErr w:type="spellStart"/>
      <w:r w:rsidR="005D2FDA" w:rsidRPr="00443075">
        <w:rPr>
          <w:rFonts w:ascii="Arial" w:hAnsi="Arial"/>
          <w:sz w:val="22"/>
          <w:szCs w:val="22"/>
        </w:rPr>
        <w:t>adalimumab</w:t>
      </w:r>
      <w:proofErr w:type="spellEnd"/>
      <w:r w:rsidR="005D2FDA" w:rsidRPr="00443075">
        <w:rPr>
          <w:rFonts w:ascii="Arial" w:hAnsi="Arial"/>
          <w:sz w:val="22"/>
          <w:szCs w:val="22"/>
        </w:rPr>
        <w:t xml:space="preserve"> compared </w:t>
      </w:r>
      <w:r w:rsidR="00DB4CAB" w:rsidRPr="00443075">
        <w:rPr>
          <w:rFonts w:ascii="Arial" w:hAnsi="Arial"/>
          <w:sz w:val="22"/>
          <w:szCs w:val="22"/>
        </w:rPr>
        <w:t xml:space="preserve">with </w:t>
      </w:r>
      <w:r w:rsidR="005D2FDA" w:rsidRPr="00443075">
        <w:rPr>
          <w:rFonts w:ascii="Arial" w:hAnsi="Arial"/>
          <w:sz w:val="22"/>
          <w:szCs w:val="22"/>
        </w:rPr>
        <w:t xml:space="preserve">placebo, it </w:t>
      </w:r>
      <w:r w:rsidR="00813340" w:rsidRPr="00443075">
        <w:rPr>
          <w:rFonts w:ascii="Arial" w:hAnsi="Arial"/>
          <w:sz w:val="22"/>
          <w:szCs w:val="22"/>
        </w:rPr>
        <w:t>still assum</w:t>
      </w:r>
      <w:r w:rsidR="004F62AF" w:rsidRPr="00443075">
        <w:rPr>
          <w:rFonts w:ascii="Arial" w:hAnsi="Arial"/>
          <w:sz w:val="22"/>
          <w:szCs w:val="22"/>
        </w:rPr>
        <w:t xml:space="preserve">es </w:t>
      </w:r>
      <w:r w:rsidR="00FF3C78" w:rsidRPr="00443075">
        <w:rPr>
          <w:rFonts w:ascii="Arial" w:hAnsi="Arial"/>
          <w:sz w:val="22"/>
          <w:szCs w:val="22"/>
        </w:rPr>
        <w:t>benefit after 36</w:t>
      </w:r>
      <w:r w:rsidR="00813340" w:rsidRPr="00443075">
        <w:rPr>
          <w:rFonts w:ascii="Arial" w:hAnsi="Arial"/>
          <w:sz w:val="22"/>
          <w:szCs w:val="22"/>
        </w:rPr>
        <w:t xml:space="preserve"> weeks of therapy for a (gradually diminishing) proportion of patients, up to 20 years</w:t>
      </w:r>
      <w:r w:rsidR="004F62AF" w:rsidRPr="00443075">
        <w:rPr>
          <w:rFonts w:ascii="Arial" w:hAnsi="Arial"/>
          <w:sz w:val="22"/>
          <w:szCs w:val="22"/>
        </w:rPr>
        <w:t xml:space="preserve"> (without incurring treatment costs)</w:t>
      </w:r>
      <w:r w:rsidR="00813340" w:rsidRPr="00443075">
        <w:rPr>
          <w:rFonts w:ascii="Arial" w:hAnsi="Arial"/>
          <w:sz w:val="22"/>
          <w:szCs w:val="22"/>
        </w:rPr>
        <w:t>.</w:t>
      </w:r>
      <w:r w:rsidR="00D070D7" w:rsidRPr="00443075">
        <w:rPr>
          <w:rFonts w:ascii="Arial" w:hAnsi="Arial"/>
          <w:sz w:val="22"/>
          <w:szCs w:val="22"/>
        </w:rPr>
        <w:t xml:space="preserve"> </w:t>
      </w:r>
      <w:r w:rsidRPr="00443075">
        <w:rPr>
          <w:rFonts w:ascii="Arial" w:hAnsi="Arial"/>
          <w:sz w:val="22"/>
          <w:szCs w:val="22"/>
        </w:rPr>
        <w:t xml:space="preserve">This may overestimate the benefit of </w:t>
      </w:r>
      <w:proofErr w:type="spellStart"/>
      <w:r w:rsidRPr="00443075">
        <w:rPr>
          <w:rFonts w:ascii="Arial" w:hAnsi="Arial"/>
          <w:sz w:val="22"/>
          <w:szCs w:val="22"/>
        </w:rPr>
        <w:t>adalimumab</w:t>
      </w:r>
      <w:proofErr w:type="spellEnd"/>
      <w:r w:rsidRPr="00443075">
        <w:rPr>
          <w:rFonts w:ascii="Arial" w:hAnsi="Arial"/>
          <w:sz w:val="22"/>
          <w:szCs w:val="22"/>
        </w:rPr>
        <w:t xml:space="preserve"> compared </w:t>
      </w:r>
      <w:r w:rsidR="0046372E" w:rsidRPr="00443075">
        <w:rPr>
          <w:rFonts w:ascii="Arial" w:hAnsi="Arial"/>
          <w:sz w:val="22"/>
          <w:szCs w:val="22"/>
        </w:rPr>
        <w:t xml:space="preserve">with </w:t>
      </w:r>
      <w:r w:rsidRPr="00443075">
        <w:rPr>
          <w:rFonts w:ascii="Arial" w:hAnsi="Arial"/>
          <w:sz w:val="22"/>
          <w:szCs w:val="22"/>
        </w:rPr>
        <w:t xml:space="preserve">placebo. </w:t>
      </w:r>
      <w:r w:rsidR="00E8327C" w:rsidRPr="00443075">
        <w:rPr>
          <w:rFonts w:ascii="Arial" w:hAnsi="Arial"/>
          <w:sz w:val="22"/>
          <w:szCs w:val="22"/>
        </w:rPr>
        <w:t>T</w:t>
      </w:r>
      <w:r w:rsidR="00D070D7" w:rsidRPr="00443075">
        <w:rPr>
          <w:rFonts w:ascii="Arial" w:hAnsi="Arial"/>
          <w:sz w:val="22"/>
          <w:szCs w:val="22"/>
        </w:rPr>
        <w:t xml:space="preserve">his </w:t>
      </w:r>
      <w:r w:rsidR="00E8327C" w:rsidRPr="00443075">
        <w:rPr>
          <w:rFonts w:ascii="Arial" w:hAnsi="Arial"/>
          <w:sz w:val="22"/>
          <w:szCs w:val="22"/>
        </w:rPr>
        <w:t>wa</w:t>
      </w:r>
      <w:r w:rsidR="00D070D7" w:rsidRPr="00443075">
        <w:rPr>
          <w:rFonts w:ascii="Arial" w:hAnsi="Arial"/>
          <w:sz w:val="22"/>
          <w:szCs w:val="22"/>
        </w:rPr>
        <w:t xml:space="preserve">s a more favourable assumption than in the </w:t>
      </w:r>
      <w:r w:rsidR="00B30FBA" w:rsidRPr="00443075">
        <w:rPr>
          <w:rFonts w:ascii="Arial" w:hAnsi="Arial"/>
          <w:sz w:val="22"/>
          <w:szCs w:val="22"/>
        </w:rPr>
        <w:t xml:space="preserve">March 2016 </w:t>
      </w:r>
      <w:r w:rsidR="00D070D7" w:rsidRPr="00443075">
        <w:rPr>
          <w:rFonts w:ascii="Arial" w:hAnsi="Arial"/>
          <w:sz w:val="22"/>
          <w:szCs w:val="22"/>
        </w:rPr>
        <w:t xml:space="preserve">pre-PBAC commentary response, where convergence </w:t>
      </w:r>
      <w:r w:rsidR="00976BDB" w:rsidRPr="00443075">
        <w:rPr>
          <w:rFonts w:ascii="Arial" w:hAnsi="Arial"/>
          <w:sz w:val="22"/>
          <w:szCs w:val="22"/>
        </w:rPr>
        <w:t xml:space="preserve">of benefit </w:t>
      </w:r>
      <w:r w:rsidR="00D070D7" w:rsidRPr="00443075">
        <w:rPr>
          <w:rFonts w:ascii="Arial" w:hAnsi="Arial"/>
          <w:sz w:val="22"/>
          <w:szCs w:val="22"/>
        </w:rPr>
        <w:t>was assumed over a period of 10 years instead of 20 years.</w:t>
      </w:r>
    </w:p>
    <w:p w:rsidR="00EC73A4" w:rsidRPr="00443075" w:rsidRDefault="00EC73A4">
      <w:pPr>
        <w:pStyle w:val="ListParagraph"/>
        <w:rPr>
          <w:rFonts w:ascii="Arial" w:hAnsi="Arial"/>
          <w:i/>
          <w:sz w:val="22"/>
          <w:szCs w:val="22"/>
        </w:rPr>
      </w:pPr>
    </w:p>
    <w:p w:rsidR="005F21BB" w:rsidRDefault="005F21BB">
      <w:pPr>
        <w:rPr>
          <w:rFonts w:ascii="Arial Narrow" w:hAnsi="Arial Narrow"/>
          <w:b/>
          <w:sz w:val="20"/>
          <w:szCs w:val="22"/>
        </w:rPr>
      </w:pPr>
      <w:r>
        <w:rPr>
          <w:rFonts w:ascii="Arial Narrow" w:hAnsi="Arial Narrow"/>
          <w:b/>
          <w:sz w:val="20"/>
        </w:rPr>
        <w:br w:type="page"/>
      </w:r>
    </w:p>
    <w:p w:rsidR="001F4DD7" w:rsidRPr="00443075" w:rsidRDefault="001F4DD7" w:rsidP="0018614E">
      <w:pPr>
        <w:pStyle w:val="NoSpacing"/>
        <w:keepNext/>
        <w:ind w:left="709"/>
        <w:rPr>
          <w:rFonts w:ascii="Arial Narrow" w:hAnsi="Arial Narrow"/>
          <w:b/>
          <w:sz w:val="20"/>
        </w:rPr>
      </w:pPr>
      <w:r w:rsidRPr="00443075">
        <w:rPr>
          <w:rFonts w:ascii="Arial Narrow" w:hAnsi="Arial Narrow"/>
          <w:b/>
          <w:sz w:val="20"/>
        </w:rPr>
        <w:t xml:space="preserve">Figure </w:t>
      </w:r>
      <w:r w:rsidR="00C8118D" w:rsidRPr="00443075">
        <w:rPr>
          <w:rFonts w:ascii="Arial Narrow" w:hAnsi="Arial Narrow"/>
          <w:b/>
          <w:sz w:val="20"/>
        </w:rPr>
        <w:t>1</w:t>
      </w:r>
      <w:r w:rsidR="00940B1C" w:rsidRPr="00443075">
        <w:rPr>
          <w:rFonts w:ascii="Arial Narrow" w:hAnsi="Arial Narrow"/>
          <w:b/>
          <w:sz w:val="20"/>
        </w:rPr>
        <w:t>:</w:t>
      </w:r>
      <w:r w:rsidR="00315EAA" w:rsidRPr="00443075">
        <w:rPr>
          <w:rFonts w:ascii="Arial Narrow" w:hAnsi="Arial Narrow"/>
          <w:b/>
          <w:sz w:val="20"/>
        </w:rPr>
        <w:t xml:space="preserve"> </w:t>
      </w:r>
      <w:r w:rsidRPr="00443075">
        <w:rPr>
          <w:rFonts w:ascii="Arial Narrow" w:hAnsi="Arial Narrow"/>
          <w:b/>
          <w:sz w:val="20"/>
        </w:rPr>
        <w:t xml:space="preserve">Markov trace </w:t>
      </w:r>
      <w:proofErr w:type="spellStart"/>
      <w:r w:rsidRPr="00443075">
        <w:rPr>
          <w:rFonts w:ascii="Arial Narrow" w:hAnsi="Arial Narrow"/>
          <w:b/>
          <w:sz w:val="20"/>
        </w:rPr>
        <w:t>adalimumab</w:t>
      </w:r>
      <w:proofErr w:type="spellEnd"/>
      <w:r w:rsidRPr="00443075">
        <w:rPr>
          <w:rFonts w:ascii="Arial Narrow" w:hAnsi="Arial Narrow"/>
          <w:b/>
          <w:sz w:val="20"/>
        </w:rPr>
        <w:t>, discontinued</w:t>
      </w:r>
      <w:r w:rsidR="005D2FDA" w:rsidRPr="00443075">
        <w:rPr>
          <w:rFonts w:ascii="Arial Narrow" w:hAnsi="Arial Narrow"/>
          <w:b/>
          <w:sz w:val="20"/>
        </w:rPr>
        <w:t xml:space="preserve"> (minor re-submission)</w:t>
      </w:r>
    </w:p>
    <w:p w:rsidR="001F4DD7" w:rsidRPr="00443075" w:rsidRDefault="00565AC7" w:rsidP="00322E23">
      <w:pPr>
        <w:pStyle w:val="NoSpacing"/>
        <w:jc w:val="right"/>
        <w:rPr>
          <w:rFonts w:ascii="Arial Narrow" w:hAnsi="Arial Narrow"/>
          <w:b/>
          <w:sz w:val="20"/>
        </w:rPr>
      </w:pPr>
      <w:r>
        <w:rPr>
          <w:rFonts w:ascii="Arial Narrow" w:hAnsi="Arial Narrow"/>
          <w:b/>
          <w:noProof/>
          <w:sz w:val="20"/>
        </w:rPr>
        <w:drawing>
          <wp:inline distT="0" distB="0" distL="0" distR="0" wp14:anchorId="1194CCC9" wp14:editId="1480E62E">
            <wp:extent cx="5218430" cy="2596515"/>
            <wp:effectExtent l="0" t="0" r="1270" b="0"/>
            <wp:docPr id="4" name="Picture 4" title="Figure 1: Markov trace adalimumab, discontinued (minor re-submiss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18430" cy="2596515"/>
                    </a:xfrm>
                    <a:prstGeom prst="rect">
                      <a:avLst/>
                    </a:prstGeom>
                  </pic:spPr>
                </pic:pic>
              </a:graphicData>
            </a:graphic>
          </wp:inline>
        </w:drawing>
      </w:r>
    </w:p>
    <w:p w:rsidR="001F4DD7" w:rsidRPr="00443075" w:rsidRDefault="001F4DD7" w:rsidP="00A655FB">
      <w:pPr>
        <w:pStyle w:val="NoSpacing"/>
        <w:ind w:left="709"/>
        <w:rPr>
          <w:rFonts w:ascii="Arial Narrow" w:hAnsi="Arial Narrow"/>
          <w:b/>
          <w:sz w:val="20"/>
        </w:rPr>
      </w:pPr>
    </w:p>
    <w:p w:rsidR="001F4DD7" w:rsidRPr="00443075" w:rsidRDefault="001F4DD7" w:rsidP="00087B7E">
      <w:pPr>
        <w:pStyle w:val="NoSpacing"/>
        <w:ind w:left="709"/>
        <w:rPr>
          <w:rFonts w:ascii="Arial Narrow" w:hAnsi="Arial Narrow"/>
          <w:b/>
          <w:sz w:val="20"/>
        </w:rPr>
      </w:pPr>
      <w:r w:rsidRPr="00443075">
        <w:rPr>
          <w:rFonts w:ascii="Arial Narrow" w:hAnsi="Arial Narrow"/>
          <w:b/>
          <w:sz w:val="20"/>
        </w:rPr>
        <w:t xml:space="preserve">Figure </w:t>
      </w:r>
      <w:r w:rsidR="00C8118D" w:rsidRPr="00443075">
        <w:rPr>
          <w:rFonts w:ascii="Arial Narrow" w:hAnsi="Arial Narrow"/>
          <w:b/>
          <w:sz w:val="20"/>
        </w:rPr>
        <w:t>2</w:t>
      </w:r>
      <w:r w:rsidR="00940B1C" w:rsidRPr="00443075">
        <w:rPr>
          <w:rFonts w:ascii="Arial Narrow" w:hAnsi="Arial Narrow"/>
          <w:b/>
          <w:sz w:val="20"/>
        </w:rPr>
        <w:t>:</w:t>
      </w:r>
      <w:r w:rsidRPr="00443075">
        <w:rPr>
          <w:rFonts w:ascii="Arial Narrow" w:hAnsi="Arial Narrow"/>
          <w:b/>
          <w:sz w:val="20"/>
        </w:rPr>
        <w:tab/>
      </w:r>
      <w:r w:rsidR="00315EAA" w:rsidRPr="00443075">
        <w:rPr>
          <w:rFonts w:ascii="Arial Narrow" w:hAnsi="Arial Narrow"/>
          <w:b/>
          <w:sz w:val="20"/>
        </w:rPr>
        <w:t xml:space="preserve"> </w:t>
      </w:r>
      <w:r w:rsidRPr="00443075">
        <w:rPr>
          <w:rFonts w:ascii="Arial Narrow" w:hAnsi="Arial Narrow"/>
          <w:b/>
          <w:sz w:val="20"/>
        </w:rPr>
        <w:t xml:space="preserve">Markov trace </w:t>
      </w:r>
      <w:r w:rsidR="00EC73A4" w:rsidRPr="00443075">
        <w:rPr>
          <w:rFonts w:ascii="Arial Narrow" w:hAnsi="Arial Narrow"/>
          <w:b/>
          <w:sz w:val="20"/>
        </w:rPr>
        <w:t>placebo</w:t>
      </w:r>
      <w:r w:rsidR="005D2FDA" w:rsidRPr="00443075">
        <w:rPr>
          <w:rFonts w:ascii="Arial Narrow" w:hAnsi="Arial Narrow"/>
          <w:b/>
          <w:sz w:val="20"/>
        </w:rPr>
        <w:t xml:space="preserve"> (minor re-submission)</w:t>
      </w:r>
    </w:p>
    <w:p w:rsidR="006B3AC9" w:rsidRPr="00443075" w:rsidRDefault="00565AC7" w:rsidP="00280959">
      <w:pPr>
        <w:jc w:val="right"/>
        <w:rPr>
          <w:rFonts w:ascii="Arial" w:hAnsi="Arial"/>
          <w:sz w:val="22"/>
          <w:szCs w:val="22"/>
        </w:rPr>
      </w:pPr>
      <w:bookmarkStart w:id="1" w:name="_GoBack"/>
      <w:r>
        <w:rPr>
          <w:rFonts w:ascii="Arial" w:hAnsi="Arial"/>
          <w:noProof/>
          <w:sz w:val="22"/>
          <w:szCs w:val="22"/>
        </w:rPr>
        <w:drawing>
          <wp:inline distT="0" distB="0" distL="0" distR="0" wp14:anchorId="300B3E2A" wp14:editId="3A5CA7BA">
            <wp:extent cx="5244465" cy="2587625"/>
            <wp:effectExtent l="0" t="0" r="0" b="3175"/>
            <wp:docPr id="3" name="Picture 3" title="Figure 2:  Markov trace placebo (minor re-submiss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44465" cy="2587625"/>
                    </a:xfrm>
                    <a:prstGeom prst="rect">
                      <a:avLst/>
                    </a:prstGeom>
                  </pic:spPr>
                </pic:pic>
              </a:graphicData>
            </a:graphic>
          </wp:inline>
        </w:drawing>
      </w:r>
      <w:bookmarkEnd w:id="1"/>
    </w:p>
    <w:p w:rsidR="006B3AC9" w:rsidRPr="00443075" w:rsidRDefault="006B3AC9">
      <w:pPr>
        <w:jc w:val="both"/>
        <w:rPr>
          <w:rFonts w:ascii="Arial" w:hAnsi="Arial"/>
          <w:sz w:val="22"/>
          <w:szCs w:val="22"/>
        </w:rPr>
      </w:pPr>
    </w:p>
    <w:p w:rsidR="00000E8E" w:rsidRPr="00443075" w:rsidRDefault="00173C15">
      <w:pPr>
        <w:pStyle w:val="ListParagraph"/>
        <w:numPr>
          <w:ilvl w:val="1"/>
          <w:numId w:val="1"/>
        </w:numPr>
        <w:jc w:val="both"/>
        <w:rPr>
          <w:rFonts w:ascii="Arial" w:hAnsi="Arial"/>
          <w:sz w:val="22"/>
          <w:szCs w:val="22"/>
        </w:rPr>
      </w:pPr>
      <w:r w:rsidRPr="00443075">
        <w:rPr>
          <w:rFonts w:ascii="Arial" w:hAnsi="Arial"/>
          <w:sz w:val="22"/>
          <w:szCs w:val="22"/>
        </w:rPr>
        <w:t>T</w:t>
      </w:r>
      <w:r w:rsidR="00000E8E" w:rsidRPr="00443075">
        <w:rPr>
          <w:rFonts w:ascii="Arial" w:hAnsi="Arial"/>
          <w:sz w:val="22"/>
          <w:szCs w:val="22"/>
        </w:rPr>
        <w:t xml:space="preserve">he March 2016 </w:t>
      </w:r>
      <w:r w:rsidRPr="00443075">
        <w:rPr>
          <w:rFonts w:ascii="Arial" w:hAnsi="Arial"/>
          <w:sz w:val="22"/>
          <w:szCs w:val="22"/>
        </w:rPr>
        <w:t xml:space="preserve">PSD noted </w:t>
      </w:r>
      <w:r w:rsidR="00000E8E" w:rsidRPr="00443075">
        <w:rPr>
          <w:rFonts w:ascii="Arial" w:hAnsi="Arial"/>
          <w:sz w:val="22"/>
          <w:szCs w:val="22"/>
        </w:rPr>
        <w:t>(</w:t>
      </w:r>
      <w:r w:rsidR="00EA479D" w:rsidRPr="00443075">
        <w:rPr>
          <w:rFonts w:ascii="Arial" w:hAnsi="Arial"/>
          <w:sz w:val="22"/>
          <w:szCs w:val="22"/>
        </w:rPr>
        <w:t xml:space="preserve">paragraph </w:t>
      </w:r>
      <w:r w:rsidR="00000E8E" w:rsidRPr="00443075">
        <w:rPr>
          <w:rFonts w:ascii="Arial" w:hAnsi="Arial"/>
          <w:sz w:val="22"/>
          <w:szCs w:val="22"/>
        </w:rPr>
        <w:t>7.10) that the economic model underestimated the cost of treatment as it assumed patients would not re</w:t>
      </w:r>
      <w:r w:rsidR="00146EA0" w:rsidRPr="00443075">
        <w:rPr>
          <w:rFonts w:ascii="Arial" w:hAnsi="Arial"/>
          <w:sz w:val="22"/>
          <w:szCs w:val="22"/>
        </w:rPr>
        <w:noBreakHyphen/>
      </w:r>
      <w:r w:rsidR="00000E8E" w:rsidRPr="00443075">
        <w:rPr>
          <w:rFonts w:ascii="Arial" w:hAnsi="Arial"/>
          <w:sz w:val="22"/>
          <w:szCs w:val="22"/>
        </w:rPr>
        <w:t xml:space="preserve">initiate treatment with </w:t>
      </w:r>
      <w:proofErr w:type="spellStart"/>
      <w:r w:rsidR="00000E8E" w:rsidRPr="00443075">
        <w:rPr>
          <w:rFonts w:ascii="Arial" w:hAnsi="Arial"/>
          <w:sz w:val="22"/>
          <w:szCs w:val="22"/>
        </w:rPr>
        <w:t>adalimumab</w:t>
      </w:r>
      <w:proofErr w:type="spellEnd"/>
      <w:r w:rsidR="00000E8E" w:rsidRPr="00443075">
        <w:rPr>
          <w:rFonts w:ascii="Arial" w:hAnsi="Arial"/>
          <w:sz w:val="22"/>
          <w:szCs w:val="22"/>
        </w:rPr>
        <w:t xml:space="preserve">. This was considered inconsistent with the restriction requested in the submission for recommencement of treatment with </w:t>
      </w:r>
      <w:proofErr w:type="spellStart"/>
      <w:r w:rsidR="00000E8E" w:rsidRPr="00443075">
        <w:rPr>
          <w:rFonts w:ascii="Arial" w:hAnsi="Arial"/>
          <w:sz w:val="22"/>
          <w:szCs w:val="22"/>
        </w:rPr>
        <w:t>adalimumab</w:t>
      </w:r>
      <w:proofErr w:type="spellEnd"/>
      <w:r w:rsidR="00000E8E" w:rsidRPr="00443075">
        <w:rPr>
          <w:rFonts w:ascii="Arial" w:hAnsi="Arial"/>
          <w:sz w:val="22"/>
          <w:szCs w:val="22"/>
        </w:rPr>
        <w:t>. The</w:t>
      </w:r>
      <w:r w:rsidR="00803DE0" w:rsidRPr="00443075">
        <w:rPr>
          <w:rFonts w:ascii="Arial" w:hAnsi="Arial"/>
          <w:sz w:val="22"/>
          <w:szCs w:val="22"/>
        </w:rPr>
        <w:t xml:space="preserve"> March 2016</w:t>
      </w:r>
      <w:r w:rsidR="00000E8E" w:rsidRPr="00443075">
        <w:rPr>
          <w:rFonts w:ascii="Arial" w:hAnsi="Arial"/>
          <w:sz w:val="22"/>
          <w:szCs w:val="22"/>
        </w:rPr>
        <w:t xml:space="preserve"> pre-PBAC response and the minor </w:t>
      </w:r>
      <w:r w:rsidR="00D7738D" w:rsidRPr="00443075">
        <w:rPr>
          <w:rFonts w:ascii="Arial" w:hAnsi="Arial"/>
          <w:sz w:val="22"/>
          <w:szCs w:val="22"/>
        </w:rPr>
        <w:t>re-submission</w:t>
      </w:r>
      <w:r w:rsidR="00000E8E" w:rsidRPr="00443075">
        <w:rPr>
          <w:rFonts w:ascii="Arial" w:hAnsi="Arial"/>
          <w:sz w:val="22"/>
          <w:szCs w:val="22"/>
        </w:rPr>
        <w:t xml:space="preserve"> addressed this issue by revising the economic model. In the revised model, </w:t>
      </w:r>
      <w:r w:rsidR="00565AC7">
        <w:rPr>
          <w:rFonts w:ascii="Arial" w:hAnsi="Arial"/>
          <w:noProof/>
          <w:color w:val="000000"/>
          <w:sz w:val="22"/>
          <w:szCs w:val="22"/>
          <w:highlight w:val="black"/>
        </w:rPr>
        <w:t>'''''''''''</w:t>
      </w:r>
      <w:r w:rsidR="00000E8E" w:rsidRPr="00443075">
        <w:rPr>
          <w:rFonts w:ascii="Arial" w:hAnsi="Arial"/>
          <w:sz w:val="22"/>
          <w:szCs w:val="22"/>
        </w:rPr>
        <w:t xml:space="preserve">% of the discontinued patients were assumed to recommence treatment at week 60 and again at week 108. Recommencing patients were assumed to have the same transition probabilities as patients who continued </w:t>
      </w:r>
      <w:proofErr w:type="spellStart"/>
      <w:r w:rsidR="00000E8E" w:rsidRPr="00443075">
        <w:rPr>
          <w:rFonts w:ascii="Arial" w:hAnsi="Arial"/>
          <w:sz w:val="22"/>
          <w:szCs w:val="22"/>
        </w:rPr>
        <w:t>adalimumab</w:t>
      </w:r>
      <w:proofErr w:type="spellEnd"/>
      <w:r w:rsidR="00000E8E" w:rsidRPr="00443075">
        <w:rPr>
          <w:rFonts w:ascii="Arial" w:hAnsi="Arial"/>
          <w:sz w:val="22"/>
          <w:szCs w:val="22"/>
        </w:rPr>
        <w:t xml:space="preserve"> treatment from the beginning (“continuing patients”).</w:t>
      </w:r>
    </w:p>
    <w:p w:rsidR="003475A0" w:rsidRPr="00443075" w:rsidRDefault="003475A0">
      <w:pPr>
        <w:jc w:val="both"/>
        <w:rPr>
          <w:rFonts w:ascii="Arial" w:hAnsi="Arial"/>
          <w:sz w:val="22"/>
          <w:szCs w:val="22"/>
        </w:rPr>
      </w:pPr>
    </w:p>
    <w:p w:rsidR="00000E8E" w:rsidRPr="00443075" w:rsidRDefault="00000E8E" w:rsidP="00957DF8">
      <w:pPr>
        <w:pStyle w:val="ListParagraph"/>
        <w:numPr>
          <w:ilvl w:val="1"/>
          <w:numId w:val="1"/>
        </w:numPr>
        <w:jc w:val="both"/>
        <w:rPr>
          <w:rFonts w:ascii="Arial" w:hAnsi="Arial"/>
          <w:sz w:val="22"/>
          <w:szCs w:val="22"/>
        </w:rPr>
      </w:pPr>
      <w:r w:rsidRPr="00443075">
        <w:rPr>
          <w:rFonts w:ascii="Arial" w:hAnsi="Arial"/>
          <w:sz w:val="22"/>
          <w:szCs w:val="22"/>
        </w:rPr>
        <w:t xml:space="preserve">The revised model </w:t>
      </w:r>
      <w:r w:rsidR="00803DE0" w:rsidRPr="00443075">
        <w:rPr>
          <w:rFonts w:ascii="Arial" w:hAnsi="Arial"/>
          <w:sz w:val="22"/>
          <w:szCs w:val="22"/>
        </w:rPr>
        <w:t xml:space="preserve">in the minor re-submission </w:t>
      </w:r>
      <w:r w:rsidRPr="00443075">
        <w:rPr>
          <w:rFonts w:ascii="Arial" w:hAnsi="Arial"/>
          <w:sz w:val="22"/>
          <w:szCs w:val="22"/>
        </w:rPr>
        <w:t>likely underestimated the costs of re-treatments. The proportion of patients recommencing treatment (</w:t>
      </w:r>
      <w:proofErr w:type="gramStart"/>
      <w:r w:rsidR="00565AC7">
        <w:rPr>
          <w:rFonts w:ascii="Arial" w:hAnsi="Arial"/>
          <w:noProof/>
          <w:color w:val="000000"/>
          <w:sz w:val="22"/>
          <w:szCs w:val="22"/>
          <w:highlight w:val="black"/>
        </w:rPr>
        <w:t>''''''''''</w:t>
      </w:r>
      <w:r w:rsidRPr="00443075">
        <w:rPr>
          <w:rFonts w:ascii="Arial" w:hAnsi="Arial"/>
          <w:sz w:val="22"/>
          <w:szCs w:val="22"/>
        </w:rPr>
        <w:t>%</w:t>
      </w:r>
      <w:proofErr w:type="gramEnd"/>
      <w:r w:rsidRPr="00443075">
        <w:rPr>
          <w:rFonts w:ascii="Arial" w:hAnsi="Arial"/>
          <w:sz w:val="22"/>
          <w:szCs w:val="22"/>
        </w:rPr>
        <w:t xml:space="preserve">) was based on the proportion of </w:t>
      </w:r>
      <w:proofErr w:type="spellStart"/>
      <w:r w:rsidRPr="00443075">
        <w:rPr>
          <w:rFonts w:ascii="Arial" w:hAnsi="Arial"/>
          <w:sz w:val="22"/>
          <w:szCs w:val="22"/>
        </w:rPr>
        <w:t>HiSCR</w:t>
      </w:r>
      <w:proofErr w:type="spellEnd"/>
      <w:r w:rsidRPr="00443075">
        <w:rPr>
          <w:rFonts w:ascii="Arial" w:hAnsi="Arial"/>
          <w:sz w:val="22"/>
          <w:szCs w:val="22"/>
        </w:rPr>
        <w:t xml:space="preserve"> responses after re</w:t>
      </w:r>
      <w:r w:rsidR="00957DF8" w:rsidRPr="00443075">
        <w:rPr>
          <w:rFonts w:ascii="Arial" w:hAnsi="Arial"/>
          <w:sz w:val="22"/>
          <w:szCs w:val="22"/>
        </w:rPr>
        <w:t>-</w:t>
      </w:r>
      <w:r w:rsidRPr="00443075">
        <w:rPr>
          <w:rFonts w:ascii="Arial" w:hAnsi="Arial"/>
          <w:sz w:val="22"/>
          <w:szCs w:val="22"/>
        </w:rPr>
        <w:t xml:space="preserve">treatment of non-responders in week 12 of the PIONEER studies. Thus a cost for </w:t>
      </w:r>
      <w:proofErr w:type="spellStart"/>
      <w:r w:rsidRPr="00443075">
        <w:rPr>
          <w:rFonts w:ascii="Arial" w:hAnsi="Arial"/>
          <w:sz w:val="22"/>
          <w:szCs w:val="22"/>
        </w:rPr>
        <w:t>adalimumab</w:t>
      </w:r>
      <w:proofErr w:type="spellEnd"/>
      <w:r w:rsidRPr="00443075">
        <w:rPr>
          <w:rFonts w:ascii="Arial" w:hAnsi="Arial"/>
          <w:sz w:val="22"/>
          <w:szCs w:val="22"/>
        </w:rPr>
        <w:t xml:space="preserve"> treatment was only applied to </w:t>
      </w:r>
      <w:r w:rsidR="00565AC7">
        <w:rPr>
          <w:rFonts w:ascii="Arial" w:hAnsi="Arial"/>
          <w:noProof/>
          <w:color w:val="000000"/>
          <w:sz w:val="22"/>
          <w:szCs w:val="22"/>
          <w:highlight w:val="black"/>
        </w:rPr>
        <w:t>'''''''''''</w:t>
      </w:r>
      <w:r w:rsidRPr="00443075">
        <w:rPr>
          <w:rFonts w:ascii="Arial" w:hAnsi="Arial"/>
          <w:sz w:val="22"/>
          <w:szCs w:val="22"/>
        </w:rPr>
        <w:t xml:space="preserve">% of patients. This </w:t>
      </w:r>
      <w:r w:rsidR="004A322D" w:rsidRPr="00443075">
        <w:rPr>
          <w:rFonts w:ascii="Arial" w:hAnsi="Arial"/>
          <w:sz w:val="22"/>
          <w:szCs w:val="22"/>
        </w:rPr>
        <w:t>wa</w:t>
      </w:r>
      <w:r w:rsidRPr="00443075">
        <w:rPr>
          <w:rFonts w:ascii="Arial" w:hAnsi="Arial"/>
          <w:sz w:val="22"/>
          <w:szCs w:val="22"/>
        </w:rPr>
        <w:t>s not consistent with</w:t>
      </w:r>
      <w:r w:rsidR="0074388C" w:rsidRPr="00443075">
        <w:rPr>
          <w:rFonts w:ascii="Arial" w:hAnsi="Arial"/>
          <w:sz w:val="22"/>
          <w:szCs w:val="22"/>
        </w:rPr>
        <w:t xml:space="preserve"> the financial projections which assumed all patients who failed treatment </w:t>
      </w:r>
      <w:r w:rsidR="00957DF8" w:rsidRPr="00443075">
        <w:rPr>
          <w:rFonts w:ascii="Arial" w:hAnsi="Arial"/>
          <w:sz w:val="22"/>
          <w:szCs w:val="22"/>
        </w:rPr>
        <w:t xml:space="preserve">would </w:t>
      </w:r>
      <w:r w:rsidR="0074388C" w:rsidRPr="00443075">
        <w:rPr>
          <w:rFonts w:ascii="Arial" w:hAnsi="Arial"/>
          <w:sz w:val="22"/>
          <w:szCs w:val="22"/>
        </w:rPr>
        <w:t>recommence. Th</w:t>
      </w:r>
      <w:r w:rsidRPr="00443075">
        <w:rPr>
          <w:rFonts w:ascii="Arial" w:hAnsi="Arial"/>
          <w:sz w:val="22"/>
          <w:szCs w:val="22"/>
        </w:rPr>
        <w:t>e proposed listing</w:t>
      </w:r>
      <w:r w:rsidR="0074388C" w:rsidRPr="00443075">
        <w:rPr>
          <w:rFonts w:ascii="Arial" w:hAnsi="Arial"/>
          <w:sz w:val="22"/>
          <w:szCs w:val="22"/>
        </w:rPr>
        <w:t xml:space="preserve"> al</w:t>
      </w:r>
      <w:r w:rsidRPr="00443075">
        <w:rPr>
          <w:rFonts w:ascii="Arial" w:hAnsi="Arial"/>
          <w:sz w:val="22"/>
          <w:szCs w:val="22"/>
        </w:rPr>
        <w:t xml:space="preserve">lows </w:t>
      </w:r>
      <w:r w:rsidRPr="00443075">
        <w:rPr>
          <w:rFonts w:ascii="Arial" w:hAnsi="Arial"/>
          <w:b/>
          <w:sz w:val="22"/>
          <w:szCs w:val="22"/>
        </w:rPr>
        <w:t>all</w:t>
      </w:r>
      <w:r w:rsidRPr="00443075">
        <w:rPr>
          <w:rFonts w:ascii="Arial" w:hAnsi="Arial"/>
          <w:sz w:val="22"/>
          <w:szCs w:val="22"/>
        </w:rPr>
        <w:t xml:space="preserve"> patients to recommence treatment after 12 months, with a minimum of 12</w:t>
      </w:r>
      <w:r w:rsidR="00146EA0" w:rsidRPr="00443075">
        <w:rPr>
          <w:rFonts w:ascii="Arial" w:hAnsi="Arial"/>
          <w:sz w:val="22"/>
          <w:szCs w:val="22"/>
        </w:rPr>
        <w:t> </w:t>
      </w:r>
      <w:r w:rsidRPr="00443075">
        <w:rPr>
          <w:rFonts w:ascii="Arial" w:hAnsi="Arial"/>
          <w:sz w:val="22"/>
          <w:szCs w:val="22"/>
        </w:rPr>
        <w:t>weeks of therapy before evaluation of response.</w:t>
      </w:r>
      <w:r w:rsidR="00803DE0" w:rsidRPr="00443075">
        <w:rPr>
          <w:rFonts w:ascii="Arial" w:hAnsi="Arial"/>
          <w:sz w:val="22"/>
          <w:szCs w:val="22"/>
        </w:rPr>
        <w:t xml:space="preserve"> Given this complexity, the pre</w:t>
      </w:r>
      <w:r w:rsidR="00146EA0" w:rsidRPr="00443075">
        <w:rPr>
          <w:rFonts w:ascii="Arial" w:hAnsi="Arial"/>
          <w:sz w:val="22"/>
          <w:szCs w:val="22"/>
        </w:rPr>
        <w:noBreakHyphen/>
      </w:r>
      <w:r w:rsidR="00803DE0" w:rsidRPr="00443075">
        <w:rPr>
          <w:rFonts w:ascii="Arial" w:hAnsi="Arial"/>
          <w:sz w:val="22"/>
          <w:szCs w:val="22"/>
        </w:rPr>
        <w:t>PBAC response proposed to remove the re</w:t>
      </w:r>
      <w:r w:rsidR="00957DF8" w:rsidRPr="00443075">
        <w:rPr>
          <w:rFonts w:ascii="Arial" w:hAnsi="Arial"/>
          <w:sz w:val="22"/>
          <w:szCs w:val="22"/>
        </w:rPr>
        <w:t>-</w:t>
      </w:r>
      <w:r w:rsidR="00803DE0" w:rsidRPr="00443075">
        <w:rPr>
          <w:rFonts w:ascii="Arial" w:hAnsi="Arial"/>
          <w:sz w:val="22"/>
          <w:szCs w:val="22"/>
        </w:rPr>
        <w:t>treatment of patients who failed to respond to treatment.</w:t>
      </w:r>
    </w:p>
    <w:p w:rsidR="00000E8E" w:rsidRPr="00443075" w:rsidRDefault="00000E8E">
      <w:pPr>
        <w:pStyle w:val="ListParagraph"/>
        <w:rPr>
          <w:rFonts w:ascii="Arial" w:hAnsi="Arial"/>
          <w:sz w:val="22"/>
          <w:szCs w:val="22"/>
        </w:rPr>
      </w:pPr>
    </w:p>
    <w:p w:rsidR="00000E8E" w:rsidRPr="00443075" w:rsidRDefault="00000E8E">
      <w:pPr>
        <w:pStyle w:val="ListParagraph"/>
        <w:numPr>
          <w:ilvl w:val="1"/>
          <w:numId w:val="1"/>
        </w:numPr>
        <w:jc w:val="both"/>
        <w:rPr>
          <w:rFonts w:ascii="Arial" w:hAnsi="Arial"/>
          <w:sz w:val="22"/>
          <w:szCs w:val="22"/>
        </w:rPr>
      </w:pPr>
      <w:r w:rsidRPr="00443075">
        <w:rPr>
          <w:rFonts w:ascii="Arial" w:hAnsi="Arial"/>
          <w:sz w:val="22"/>
          <w:szCs w:val="22"/>
        </w:rPr>
        <w:t>The proposed listing recommends evaluation of the response of recommencing patients following a minimum of 12 weeks of therapy. Since the revised model assumed that recommencing patients have the same transition probabilities as continuing patients, response evaluations for recommencing patients were assumed to take place at the same time points as response evaluations for continuing patients. Consequently, response evaluation of recommencing patients took place within one cycle (4 weeks) instead of after a minimum of 12 weeks. Therefore, most re-treated patients received only 4 weeks of treatment instead of a minimum of 12, resulting in underestimation of the costs.</w:t>
      </w:r>
    </w:p>
    <w:p w:rsidR="00000E8E" w:rsidRPr="00443075" w:rsidRDefault="00000E8E">
      <w:pPr>
        <w:jc w:val="both"/>
        <w:rPr>
          <w:rFonts w:ascii="Arial" w:hAnsi="Arial"/>
          <w:sz w:val="22"/>
          <w:szCs w:val="22"/>
        </w:rPr>
      </w:pPr>
    </w:p>
    <w:p w:rsidR="00000E8E" w:rsidRPr="00443075" w:rsidRDefault="00000E8E">
      <w:pPr>
        <w:pStyle w:val="ListParagraph"/>
        <w:numPr>
          <w:ilvl w:val="1"/>
          <w:numId w:val="1"/>
        </w:numPr>
        <w:jc w:val="both"/>
        <w:rPr>
          <w:rFonts w:ascii="Arial" w:hAnsi="Arial"/>
          <w:sz w:val="22"/>
          <w:szCs w:val="22"/>
        </w:rPr>
      </w:pPr>
      <w:r w:rsidRPr="00443075">
        <w:rPr>
          <w:rFonts w:ascii="Arial" w:hAnsi="Arial"/>
          <w:sz w:val="22"/>
          <w:szCs w:val="22"/>
        </w:rPr>
        <w:t>The revised model assumed that recommencing patients have the same transition probabilities as continuing patients. Therefore, the probability of developing a response for patients recommencing treatment in week 60 was equal to the probability of developing a response for patients who were already treated since the beginning. This may underestimate treatment benefit since the probabilities of developing a response are lower in later treatment cycles. It may also overestimate treatment benefit in case</w:t>
      </w:r>
      <w:r w:rsidR="001B3EB8" w:rsidRPr="00443075">
        <w:rPr>
          <w:rFonts w:ascii="Arial" w:hAnsi="Arial"/>
          <w:sz w:val="22"/>
          <w:szCs w:val="22"/>
        </w:rPr>
        <w:t>s where</w:t>
      </w:r>
      <w:r w:rsidRPr="00443075">
        <w:rPr>
          <w:rFonts w:ascii="Arial" w:hAnsi="Arial"/>
          <w:sz w:val="22"/>
          <w:szCs w:val="22"/>
        </w:rPr>
        <w:t xml:space="preserve"> patients who failed treatment in the past have a higher probability of failing treatment in the future. Given the model structure, the effect of alternative assumptions regarding the transition probabilities for recommencing patients could not be evaluated.</w:t>
      </w:r>
    </w:p>
    <w:p w:rsidR="00000E8E" w:rsidRPr="00443075" w:rsidRDefault="00000E8E">
      <w:pPr>
        <w:pStyle w:val="ListParagraph"/>
        <w:rPr>
          <w:rFonts w:ascii="Arial" w:hAnsi="Arial"/>
          <w:sz w:val="22"/>
          <w:szCs w:val="22"/>
        </w:rPr>
      </w:pPr>
    </w:p>
    <w:p w:rsidR="00000E8E" w:rsidRPr="00443075" w:rsidRDefault="00000E8E">
      <w:pPr>
        <w:pStyle w:val="ListParagraph"/>
        <w:numPr>
          <w:ilvl w:val="1"/>
          <w:numId w:val="1"/>
        </w:numPr>
        <w:jc w:val="both"/>
        <w:rPr>
          <w:rFonts w:ascii="Arial" w:hAnsi="Arial"/>
          <w:sz w:val="22"/>
          <w:szCs w:val="22"/>
        </w:rPr>
      </w:pPr>
      <w:r w:rsidRPr="00443075">
        <w:rPr>
          <w:rFonts w:ascii="Arial" w:hAnsi="Arial"/>
          <w:sz w:val="22"/>
          <w:szCs w:val="22"/>
        </w:rPr>
        <w:t>The probability of discontinuing treatment after recommencement (at 60</w:t>
      </w:r>
      <w:r w:rsidR="00791327" w:rsidRPr="00443075">
        <w:rPr>
          <w:rFonts w:ascii="Arial" w:hAnsi="Arial"/>
          <w:sz w:val="22"/>
          <w:szCs w:val="22"/>
        </w:rPr>
        <w:t> </w:t>
      </w:r>
      <w:r w:rsidRPr="00443075">
        <w:rPr>
          <w:rFonts w:ascii="Arial" w:hAnsi="Arial"/>
          <w:sz w:val="22"/>
          <w:szCs w:val="22"/>
        </w:rPr>
        <w:t xml:space="preserve">weeks and 108 weeks) was assumed to be the same as the probability of discontinuing treatment for patients receiving ongoing treatment from the start. This probability, </w:t>
      </w:r>
      <w:r w:rsidR="00565AC7">
        <w:rPr>
          <w:rFonts w:ascii="Arial" w:hAnsi="Arial"/>
          <w:noProof/>
          <w:color w:val="000000"/>
          <w:sz w:val="22"/>
          <w:szCs w:val="22"/>
          <w:highlight w:val="black"/>
        </w:rPr>
        <w:t>'''''''</w:t>
      </w:r>
      <w:r w:rsidRPr="00443075">
        <w:rPr>
          <w:rFonts w:ascii="Arial" w:hAnsi="Arial"/>
          <w:sz w:val="22"/>
          <w:szCs w:val="22"/>
        </w:rPr>
        <w:t xml:space="preserve">% per cycle, may be an underestimation for recommencing patients, since the probability of discontinuing treatment in the first 12 weeks was </w:t>
      </w:r>
      <w:r w:rsidR="00565AC7">
        <w:rPr>
          <w:rFonts w:ascii="Arial" w:hAnsi="Arial"/>
          <w:noProof/>
          <w:color w:val="000000"/>
          <w:sz w:val="22"/>
          <w:szCs w:val="22"/>
          <w:highlight w:val="black"/>
        </w:rPr>
        <w:t>''''''''''''</w:t>
      </w:r>
      <w:r w:rsidRPr="00443075">
        <w:rPr>
          <w:rFonts w:ascii="Arial" w:hAnsi="Arial"/>
          <w:sz w:val="22"/>
          <w:szCs w:val="22"/>
        </w:rPr>
        <w:t xml:space="preserve">% as opposed to </w:t>
      </w:r>
      <w:r w:rsidR="00565AC7">
        <w:rPr>
          <w:rFonts w:ascii="Arial" w:hAnsi="Arial"/>
          <w:noProof/>
          <w:color w:val="000000"/>
          <w:sz w:val="22"/>
          <w:szCs w:val="22"/>
          <w:highlight w:val="black"/>
        </w:rPr>
        <w:t>'''''''</w:t>
      </w:r>
      <w:r w:rsidRPr="00443075">
        <w:rPr>
          <w:rFonts w:ascii="Arial" w:hAnsi="Arial"/>
          <w:sz w:val="22"/>
          <w:szCs w:val="22"/>
        </w:rPr>
        <w:t>% per cycle.</w:t>
      </w:r>
      <w:r w:rsidR="000660FE" w:rsidRPr="00443075">
        <w:rPr>
          <w:rFonts w:ascii="Arial" w:hAnsi="Arial"/>
          <w:sz w:val="22"/>
          <w:szCs w:val="22"/>
        </w:rPr>
        <w:t xml:space="preserve"> This may result in an overestimation of both costs and effects.</w:t>
      </w:r>
    </w:p>
    <w:p w:rsidR="00000E8E" w:rsidRPr="00443075" w:rsidRDefault="00000E8E">
      <w:pPr>
        <w:rPr>
          <w:rFonts w:ascii="Arial" w:hAnsi="Arial"/>
          <w:sz w:val="22"/>
          <w:szCs w:val="22"/>
        </w:rPr>
      </w:pPr>
    </w:p>
    <w:p w:rsidR="00813340" w:rsidRPr="00443075" w:rsidRDefault="00813340">
      <w:pPr>
        <w:pStyle w:val="ListParagraph"/>
        <w:numPr>
          <w:ilvl w:val="1"/>
          <w:numId w:val="1"/>
        </w:numPr>
        <w:jc w:val="both"/>
        <w:rPr>
          <w:rFonts w:ascii="Arial" w:hAnsi="Arial"/>
          <w:sz w:val="22"/>
          <w:szCs w:val="22"/>
        </w:rPr>
      </w:pPr>
      <w:r w:rsidRPr="00443075">
        <w:rPr>
          <w:rFonts w:ascii="Arial" w:hAnsi="Arial"/>
          <w:sz w:val="22"/>
          <w:szCs w:val="22"/>
        </w:rPr>
        <w:t xml:space="preserve">Table </w:t>
      </w:r>
      <w:r w:rsidR="001847E8" w:rsidRPr="00443075">
        <w:rPr>
          <w:rFonts w:ascii="Arial" w:hAnsi="Arial"/>
          <w:sz w:val="22"/>
          <w:szCs w:val="22"/>
        </w:rPr>
        <w:t>2</w:t>
      </w:r>
      <w:r w:rsidRPr="00443075">
        <w:rPr>
          <w:rFonts w:ascii="Arial" w:hAnsi="Arial"/>
          <w:sz w:val="22"/>
          <w:szCs w:val="22"/>
        </w:rPr>
        <w:t xml:space="preserve"> provides the ICERs obtained from the various models over time, including the main differences between these models.</w:t>
      </w:r>
    </w:p>
    <w:p w:rsidR="00142EF1" w:rsidRPr="00443075" w:rsidRDefault="00142EF1">
      <w:pPr>
        <w:pStyle w:val="ListParagraph"/>
        <w:rPr>
          <w:rFonts w:ascii="Arial" w:hAnsi="Arial"/>
          <w:sz w:val="22"/>
          <w:szCs w:val="22"/>
        </w:rPr>
      </w:pPr>
    </w:p>
    <w:p w:rsidR="00142EF1" w:rsidRPr="00443075" w:rsidRDefault="00142EF1" w:rsidP="0040535C">
      <w:pPr>
        <w:pStyle w:val="NoSpacing"/>
        <w:keepNext/>
        <w:ind w:left="709"/>
        <w:rPr>
          <w:rFonts w:ascii="Arial Narrow" w:hAnsi="Arial Narrow"/>
          <w:b/>
          <w:sz w:val="20"/>
        </w:rPr>
      </w:pPr>
      <w:r w:rsidRPr="00443075">
        <w:rPr>
          <w:rFonts w:ascii="Arial Narrow" w:hAnsi="Arial Narrow"/>
          <w:b/>
          <w:sz w:val="20"/>
        </w:rPr>
        <w:t xml:space="preserve">Table </w:t>
      </w:r>
      <w:r w:rsidR="001847E8" w:rsidRPr="00443075">
        <w:rPr>
          <w:rFonts w:ascii="Arial Narrow" w:hAnsi="Arial Narrow"/>
          <w:b/>
          <w:sz w:val="20"/>
        </w:rPr>
        <w:t>2</w:t>
      </w:r>
      <w:r w:rsidR="00315EAA" w:rsidRPr="00443075">
        <w:rPr>
          <w:rFonts w:ascii="Arial Narrow" w:hAnsi="Arial Narrow"/>
          <w:b/>
          <w:sz w:val="20"/>
        </w:rPr>
        <w:t>:</w:t>
      </w:r>
      <w:r w:rsidRPr="00443075">
        <w:rPr>
          <w:rFonts w:ascii="Arial Narrow" w:hAnsi="Arial Narrow"/>
          <w:b/>
          <w:sz w:val="20"/>
        </w:rPr>
        <w:tab/>
        <w:t>ICERs produced by the models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04"/>
        <w:gridCol w:w="1559"/>
      </w:tblGrid>
      <w:tr w:rsidR="003D34F8" w:rsidRPr="00443075" w:rsidTr="0040535C">
        <w:trPr>
          <w:cantSplit/>
        </w:trPr>
        <w:tc>
          <w:tcPr>
            <w:tcW w:w="4068" w:type="pct"/>
            <w:tcBorders>
              <w:top w:val="single" w:sz="4" w:space="0" w:color="auto"/>
              <w:left w:val="single" w:sz="4" w:space="0" w:color="auto"/>
              <w:bottom w:val="single" w:sz="4" w:space="0" w:color="auto"/>
              <w:right w:val="single" w:sz="4" w:space="0" w:color="auto"/>
            </w:tcBorders>
          </w:tcPr>
          <w:p w:rsidR="003D34F8" w:rsidRPr="00443075" w:rsidRDefault="003D34F8" w:rsidP="00322E23">
            <w:pPr>
              <w:keepNext/>
              <w:snapToGrid w:val="0"/>
              <w:rPr>
                <w:rFonts w:ascii="Arial Narrow" w:hAnsi="Arial Narrow" w:cs="Arial"/>
                <w:b/>
                <w:sz w:val="19"/>
                <w:szCs w:val="19"/>
                <w:lang w:eastAsia="en-US"/>
              </w:rPr>
            </w:pPr>
            <w:r w:rsidRPr="00443075">
              <w:rPr>
                <w:rFonts w:ascii="Arial Narrow" w:hAnsi="Arial Narrow" w:cs="Arial"/>
                <w:b/>
                <w:sz w:val="19"/>
                <w:szCs w:val="19"/>
                <w:lang w:eastAsia="en-US"/>
              </w:rPr>
              <w:t>Scenarios</w:t>
            </w:r>
          </w:p>
        </w:tc>
        <w:tc>
          <w:tcPr>
            <w:tcW w:w="932" w:type="pct"/>
            <w:tcBorders>
              <w:top w:val="single" w:sz="4" w:space="0" w:color="auto"/>
              <w:left w:val="single" w:sz="4" w:space="0" w:color="auto"/>
              <w:bottom w:val="single" w:sz="4" w:space="0" w:color="auto"/>
              <w:right w:val="single" w:sz="4" w:space="0" w:color="auto"/>
            </w:tcBorders>
          </w:tcPr>
          <w:p w:rsidR="003D34F8" w:rsidRPr="00443075" w:rsidRDefault="003D34F8" w:rsidP="00A655FB">
            <w:pPr>
              <w:keepNext/>
              <w:snapToGrid w:val="0"/>
              <w:jc w:val="both"/>
              <w:rPr>
                <w:rFonts w:ascii="Arial Narrow" w:hAnsi="Arial Narrow" w:cs="Arial"/>
                <w:b/>
                <w:sz w:val="19"/>
                <w:szCs w:val="19"/>
                <w:lang w:eastAsia="en-US"/>
              </w:rPr>
            </w:pPr>
            <w:r w:rsidRPr="00443075">
              <w:rPr>
                <w:rFonts w:ascii="Arial Narrow" w:hAnsi="Arial Narrow" w:cs="Arial"/>
                <w:b/>
                <w:sz w:val="19"/>
                <w:szCs w:val="19"/>
                <w:lang w:eastAsia="en-US"/>
              </w:rPr>
              <w:t>Base case</w:t>
            </w:r>
          </w:p>
          <w:p w:rsidR="003D34F8" w:rsidRPr="00443075" w:rsidRDefault="003D34F8" w:rsidP="00087B7E">
            <w:pPr>
              <w:keepNext/>
              <w:snapToGrid w:val="0"/>
              <w:jc w:val="both"/>
              <w:rPr>
                <w:rFonts w:ascii="Arial Narrow" w:hAnsi="Arial Narrow" w:cs="Arial"/>
                <w:sz w:val="19"/>
                <w:szCs w:val="19"/>
                <w:lang w:eastAsia="en-US"/>
              </w:rPr>
            </w:pPr>
            <w:r w:rsidRPr="00443075">
              <w:rPr>
                <w:rFonts w:ascii="Arial Narrow" w:hAnsi="Arial Narrow" w:cs="Arial"/>
                <w:sz w:val="19"/>
                <w:szCs w:val="19"/>
                <w:lang w:eastAsia="en-US"/>
              </w:rPr>
              <w:t>$/QALY</w:t>
            </w:r>
          </w:p>
        </w:tc>
      </w:tr>
      <w:tr w:rsidR="003D34F8" w:rsidRPr="00443075" w:rsidTr="0040535C">
        <w:trPr>
          <w:cantSplit/>
        </w:trPr>
        <w:tc>
          <w:tcPr>
            <w:tcW w:w="4068" w:type="pct"/>
            <w:tcBorders>
              <w:top w:val="single" w:sz="4" w:space="0" w:color="auto"/>
              <w:left w:val="single" w:sz="4" w:space="0" w:color="auto"/>
              <w:bottom w:val="single" w:sz="4" w:space="0" w:color="auto"/>
              <w:right w:val="single" w:sz="4" w:space="0" w:color="auto"/>
            </w:tcBorders>
          </w:tcPr>
          <w:p w:rsidR="003D34F8" w:rsidRPr="00443075" w:rsidRDefault="003D34F8" w:rsidP="00322E23">
            <w:pPr>
              <w:keepNext/>
              <w:snapToGrid w:val="0"/>
              <w:rPr>
                <w:rFonts w:ascii="Arial Narrow" w:hAnsi="Arial Narrow" w:cs="Arial"/>
                <w:b/>
                <w:sz w:val="19"/>
                <w:szCs w:val="19"/>
                <w:lang w:eastAsia="en-US"/>
              </w:rPr>
            </w:pPr>
            <w:r w:rsidRPr="00443075">
              <w:rPr>
                <w:rFonts w:ascii="Arial Narrow" w:hAnsi="Arial Narrow" w:cs="Arial"/>
                <w:b/>
                <w:sz w:val="19"/>
                <w:szCs w:val="19"/>
                <w:lang w:eastAsia="en-US"/>
              </w:rPr>
              <w:t>March 2016 submission</w:t>
            </w:r>
          </w:p>
          <w:p w:rsidR="003D34F8" w:rsidRPr="00443075" w:rsidRDefault="003D34F8" w:rsidP="00A655FB">
            <w:pPr>
              <w:keepNext/>
              <w:snapToGrid w:val="0"/>
              <w:rPr>
                <w:rFonts w:ascii="Arial Narrow" w:hAnsi="Arial Narrow" w:cs="Arial"/>
                <w:sz w:val="19"/>
                <w:szCs w:val="19"/>
                <w:lang w:eastAsia="en-US"/>
              </w:rPr>
            </w:pPr>
            <w:r w:rsidRPr="00443075">
              <w:rPr>
                <w:rFonts w:ascii="Arial Narrow" w:hAnsi="Arial Narrow" w:cs="Arial"/>
                <w:sz w:val="19"/>
                <w:szCs w:val="19"/>
                <w:lang w:eastAsia="en-US"/>
              </w:rPr>
              <w:t xml:space="preserve">Partial response at week 12 and </w:t>
            </w:r>
            <w:proofErr w:type="spellStart"/>
            <w:r w:rsidRPr="00443075">
              <w:rPr>
                <w:rFonts w:ascii="Arial Narrow" w:hAnsi="Arial Narrow" w:cs="Arial"/>
                <w:sz w:val="19"/>
                <w:szCs w:val="19"/>
                <w:lang w:eastAsia="en-US"/>
              </w:rPr>
              <w:t>HiSCR</w:t>
            </w:r>
            <w:proofErr w:type="spellEnd"/>
            <w:r w:rsidRPr="00443075">
              <w:rPr>
                <w:rFonts w:ascii="Arial Narrow" w:hAnsi="Arial Narrow" w:cs="Arial"/>
                <w:sz w:val="19"/>
                <w:szCs w:val="19"/>
                <w:lang w:eastAsia="en-US"/>
              </w:rPr>
              <w:t xml:space="preserve"> response at week 36</w:t>
            </w:r>
          </w:p>
          <w:p w:rsidR="003D34F8" w:rsidRPr="00443075" w:rsidRDefault="003D34F8" w:rsidP="00087B7E">
            <w:pPr>
              <w:keepNext/>
              <w:snapToGrid w:val="0"/>
              <w:rPr>
                <w:rFonts w:ascii="Arial Narrow" w:hAnsi="Arial Narrow" w:cs="Arial"/>
                <w:sz w:val="19"/>
                <w:szCs w:val="19"/>
                <w:lang w:eastAsia="en-US"/>
              </w:rPr>
            </w:pPr>
            <w:r w:rsidRPr="00443075">
              <w:rPr>
                <w:rFonts w:ascii="Arial Narrow" w:hAnsi="Arial Narrow" w:cs="Arial"/>
                <w:sz w:val="19"/>
                <w:szCs w:val="19"/>
                <w:lang w:eastAsia="en-US"/>
              </w:rPr>
              <w:t>No price reduction</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20 year time horizon</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Constant transition probabilities to extrapolate beyond 36 weeks</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 xml:space="preserve">No </w:t>
            </w:r>
            <w:r w:rsidR="00D97454" w:rsidRPr="00443075">
              <w:rPr>
                <w:rFonts w:ascii="Arial Narrow" w:hAnsi="Arial Narrow" w:cs="Arial"/>
                <w:sz w:val="19"/>
                <w:szCs w:val="19"/>
                <w:lang w:eastAsia="en-US"/>
              </w:rPr>
              <w:t>re-treat</w:t>
            </w:r>
            <w:r w:rsidRPr="00443075">
              <w:rPr>
                <w:rFonts w:ascii="Arial Narrow" w:hAnsi="Arial Narrow" w:cs="Arial"/>
                <w:sz w:val="19"/>
                <w:szCs w:val="19"/>
                <w:lang w:eastAsia="en-US"/>
              </w:rPr>
              <w:t>ment post-failure</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 xml:space="preserve">No </w:t>
            </w:r>
            <w:r w:rsidR="00D97454" w:rsidRPr="00443075">
              <w:rPr>
                <w:rFonts w:ascii="Arial Narrow" w:hAnsi="Arial Narrow" w:cs="Arial"/>
                <w:sz w:val="19"/>
                <w:szCs w:val="19"/>
                <w:lang w:eastAsia="en-US"/>
              </w:rPr>
              <w:t>re-treat</w:t>
            </w:r>
            <w:r w:rsidRPr="00443075">
              <w:rPr>
                <w:rFonts w:ascii="Arial Narrow" w:hAnsi="Arial Narrow" w:cs="Arial"/>
                <w:sz w:val="19"/>
                <w:szCs w:val="19"/>
                <w:lang w:eastAsia="en-US"/>
              </w:rPr>
              <w:t>ment post-success</w:t>
            </w:r>
          </w:p>
        </w:tc>
        <w:tc>
          <w:tcPr>
            <w:tcW w:w="932" w:type="pct"/>
            <w:tcBorders>
              <w:top w:val="single" w:sz="4" w:space="0" w:color="auto"/>
              <w:left w:val="single" w:sz="4" w:space="0" w:color="auto"/>
              <w:bottom w:val="single" w:sz="4" w:space="0" w:color="auto"/>
              <w:right w:val="single" w:sz="4" w:space="0" w:color="auto"/>
            </w:tcBorders>
          </w:tcPr>
          <w:p w:rsidR="003D34F8" w:rsidRPr="00565AC7" w:rsidRDefault="00565AC7">
            <w:pPr>
              <w:keepNext/>
              <w:snapToGrid w:val="0"/>
              <w:jc w:val="both"/>
              <w:rPr>
                <w:rFonts w:ascii="Arial Narrow" w:hAnsi="Arial Narrow" w:cs="Arial"/>
                <w:sz w:val="19"/>
                <w:szCs w:val="19"/>
                <w:highlight w:val="black"/>
                <w:lang w:eastAsia="en-US"/>
              </w:rPr>
            </w:pPr>
            <w:r>
              <w:rPr>
                <w:rFonts w:ascii="Arial Narrow" w:hAnsi="Arial Narrow" w:cs="Arial"/>
                <w:noProof/>
                <w:color w:val="000000"/>
                <w:sz w:val="19"/>
                <w:szCs w:val="19"/>
                <w:highlight w:val="black"/>
                <w:lang w:eastAsia="en-US"/>
              </w:rPr>
              <w:t>'''''''''''''''</w:t>
            </w:r>
          </w:p>
        </w:tc>
      </w:tr>
      <w:tr w:rsidR="003D34F8" w:rsidRPr="00443075" w:rsidTr="0040535C">
        <w:trPr>
          <w:cantSplit/>
        </w:trPr>
        <w:tc>
          <w:tcPr>
            <w:tcW w:w="4068" w:type="pct"/>
            <w:tcBorders>
              <w:top w:val="single" w:sz="4" w:space="0" w:color="auto"/>
              <w:left w:val="single" w:sz="4" w:space="0" w:color="auto"/>
              <w:bottom w:val="single" w:sz="4" w:space="0" w:color="auto"/>
              <w:right w:val="single" w:sz="4" w:space="0" w:color="auto"/>
            </w:tcBorders>
          </w:tcPr>
          <w:p w:rsidR="003D34F8" w:rsidRPr="00443075" w:rsidRDefault="003D34F8" w:rsidP="00322E23">
            <w:pPr>
              <w:keepNext/>
              <w:snapToGrid w:val="0"/>
              <w:rPr>
                <w:rFonts w:ascii="Arial Narrow" w:hAnsi="Arial Narrow" w:cs="Arial"/>
                <w:b/>
                <w:sz w:val="19"/>
                <w:szCs w:val="19"/>
                <w:lang w:eastAsia="en-US"/>
              </w:rPr>
            </w:pPr>
            <w:r w:rsidRPr="00443075">
              <w:rPr>
                <w:rFonts w:ascii="Arial Narrow" w:hAnsi="Arial Narrow" w:cs="Arial"/>
                <w:b/>
                <w:sz w:val="19"/>
                <w:szCs w:val="19"/>
                <w:lang w:eastAsia="en-US"/>
              </w:rPr>
              <w:t>March 2016 pre-PBAC response, revised base case</w:t>
            </w:r>
          </w:p>
          <w:p w:rsidR="003D34F8" w:rsidRPr="00443075" w:rsidRDefault="003D34F8" w:rsidP="00A655FB">
            <w:pPr>
              <w:keepNext/>
              <w:snapToGrid w:val="0"/>
              <w:rPr>
                <w:rFonts w:ascii="Arial Narrow" w:hAnsi="Arial Narrow" w:cs="Arial"/>
                <w:sz w:val="19"/>
                <w:szCs w:val="19"/>
                <w:lang w:eastAsia="en-US"/>
              </w:rPr>
            </w:pPr>
            <w:proofErr w:type="spellStart"/>
            <w:r w:rsidRPr="00443075">
              <w:rPr>
                <w:rFonts w:ascii="Arial Narrow" w:hAnsi="Arial Narrow" w:cs="Arial"/>
                <w:sz w:val="19"/>
                <w:szCs w:val="19"/>
                <w:lang w:eastAsia="en-US"/>
              </w:rPr>
              <w:t>HiSCR</w:t>
            </w:r>
            <w:proofErr w:type="spellEnd"/>
            <w:r w:rsidRPr="00443075">
              <w:rPr>
                <w:rFonts w:ascii="Arial Narrow" w:hAnsi="Arial Narrow" w:cs="Arial"/>
                <w:sz w:val="19"/>
                <w:szCs w:val="19"/>
                <w:lang w:eastAsia="en-US"/>
              </w:rPr>
              <w:t xml:space="preserve"> response at week 12 (decreases ICER)</w:t>
            </w:r>
          </w:p>
          <w:p w:rsidR="003D34F8" w:rsidRPr="00443075" w:rsidRDefault="003D34F8" w:rsidP="00087B7E">
            <w:pPr>
              <w:keepNext/>
              <w:snapToGrid w:val="0"/>
              <w:rPr>
                <w:rFonts w:ascii="Arial Narrow" w:hAnsi="Arial Narrow" w:cs="Arial"/>
                <w:sz w:val="19"/>
                <w:szCs w:val="19"/>
                <w:lang w:eastAsia="en-US"/>
              </w:rPr>
            </w:pPr>
            <w:r w:rsidRPr="00443075">
              <w:rPr>
                <w:rFonts w:ascii="Arial Narrow" w:hAnsi="Arial Narrow" w:cs="Arial"/>
                <w:sz w:val="19"/>
                <w:szCs w:val="19"/>
                <w:lang w:eastAsia="en-US"/>
              </w:rPr>
              <w:t>No price reduction</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 xml:space="preserve">20 year time horizon </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Constant transition probabilities to extrapolate beyond 36 weeks</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 xml:space="preserve">No </w:t>
            </w:r>
            <w:r w:rsidR="00D97454" w:rsidRPr="00443075">
              <w:rPr>
                <w:rFonts w:ascii="Arial Narrow" w:hAnsi="Arial Narrow" w:cs="Arial"/>
                <w:sz w:val="19"/>
                <w:szCs w:val="19"/>
                <w:lang w:eastAsia="en-US"/>
              </w:rPr>
              <w:t>re-treat</w:t>
            </w:r>
            <w:r w:rsidRPr="00443075">
              <w:rPr>
                <w:rFonts w:ascii="Arial Narrow" w:hAnsi="Arial Narrow" w:cs="Arial"/>
                <w:sz w:val="19"/>
                <w:szCs w:val="19"/>
                <w:lang w:eastAsia="en-US"/>
              </w:rPr>
              <w:t>ment post-failure</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 xml:space="preserve">No </w:t>
            </w:r>
            <w:r w:rsidR="00D97454" w:rsidRPr="00443075">
              <w:rPr>
                <w:rFonts w:ascii="Arial Narrow" w:hAnsi="Arial Narrow" w:cs="Arial"/>
                <w:sz w:val="19"/>
                <w:szCs w:val="19"/>
                <w:lang w:eastAsia="en-US"/>
              </w:rPr>
              <w:t>re-treat</w:t>
            </w:r>
            <w:r w:rsidRPr="00443075">
              <w:rPr>
                <w:rFonts w:ascii="Arial Narrow" w:hAnsi="Arial Narrow" w:cs="Arial"/>
                <w:sz w:val="19"/>
                <w:szCs w:val="19"/>
                <w:lang w:eastAsia="en-US"/>
              </w:rPr>
              <w:t>ment post-success</w:t>
            </w:r>
          </w:p>
        </w:tc>
        <w:tc>
          <w:tcPr>
            <w:tcW w:w="932" w:type="pct"/>
            <w:tcBorders>
              <w:top w:val="single" w:sz="4" w:space="0" w:color="auto"/>
              <w:left w:val="single" w:sz="4" w:space="0" w:color="auto"/>
              <w:bottom w:val="single" w:sz="4" w:space="0" w:color="auto"/>
              <w:right w:val="single" w:sz="4" w:space="0" w:color="auto"/>
            </w:tcBorders>
          </w:tcPr>
          <w:p w:rsidR="003D34F8" w:rsidRPr="00565AC7" w:rsidRDefault="00565AC7">
            <w:pPr>
              <w:keepNext/>
              <w:snapToGrid w:val="0"/>
              <w:jc w:val="both"/>
              <w:rPr>
                <w:rFonts w:ascii="Arial Narrow" w:hAnsi="Arial Narrow" w:cs="Arial"/>
                <w:sz w:val="19"/>
                <w:szCs w:val="19"/>
                <w:highlight w:val="black"/>
                <w:lang w:eastAsia="en-US"/>
              </w:rPr>
            </w:pPr>
            <w:r>
              <w:rPr>
                <w:rFonts w:ascii="Arial Narrow" w:hAnsi="Arial Narrow" w:cs="Arial"/>
                <w:noProof/>
                <w:color w:val="000000"/>
                <w:sz w:val="19"/>
                <w:szCs w:val="19"/>
                <w:highlight w:val="black"/>
                <w:lang w:eastAsia="en-US"/>
              </w:rPr>
              <w:t>''''''''''''''''</w:t>
            </w:r>
          </w:p>
        </w:tc>
      </w:tr>
      <w:tr w:rsidR="003D34F8" w:rsidRPr="00443075" w:rsidTr="0040535C">
        <w:trPr>
          <w:cantSplit/>
        </w:trPr>
        <w:tc>
          <w:tcPr>
            <w:tcW w:w="4068" w:type="pct"/>
            <w:tcBorders>
              <w:top w:val="single" w:sz="4" w:space="0" w:color="auto"/>
              <w:left w:val="single" w:sz="4" w:space="0" w:color="auto"/>
              <w:bottom w:val="single" w:sz="4" w:space="0" w:color="auto"/>
              <w:right w:val="single" w:sz="4" w:space="0" w:color="auto"/>
            </w:tcBorders>
          </w:tcPr>
          <w:p w:rsidR="003D34F8" w:rsidRPr="00443075" w:rsidRDefault="003D34F8" w:rsidP="00322E23">
            <w:pPr>
              <w:keepNext/>
              <w:snapToGrid w:val="0"/>
              <w:rPr>
                <w:rFonts w:ascii="Arial Narrow" w:hAnsi="Arial Narrow" w:cs="Arial"/>
                <w:b/>
                <w:sz w:val="19"/>
                <w:szCs w:val="19"/>
                <w:lang w:eastAsia="en-US"/>
              </w:rPr>
            </w:pPr>
            <w:r w:rsidRPr="00443075">
              <w:rPr>
                <w:rFonts w:ascii="Arial Narrow" w:hAnsi="Arial Narrow" w:cs="Arial"/>
                <w:b/>
                <w:sz w:val="19"/>
                <w:szCs w:val="19"/>
                <w:lang w:eastAsia="en-US"/>
              </w:rPr>
              <w:t>March 2016 pre-PBAC commentary response, scenario</w:t>
            </w:r>
          </w:p>
          <w:p w:rsidR="003D34F8" w:rsidRPr="00443075" w:rsidRDefault="003D34F8" w:rsidP="00A655FB">
            <w:pPr>
              <w:keepNext/>
              <w:snapToGrid w:val="0"/>
              <w:rPr>
                <w:rFonts w:ascii="Arial Narrow" w:hAnsi="Arial Narrow" w:cs="Arial"/>
                <w:sz w:val="19"/>
                <w:szCs w:val="19"/>
                <w:lang w:eastAsia="en-US"/>
              </w:rPr>
            </w:pPr>
            <w:proofErr w:type="spellStart"/>
            <w:r w:rsidRPr="00443075">
              <w:rPr>
                <w:rFonts w:ascii="Arial Narrow" w:hAnsi="Arial Narrow" w:cs="Arial"/>
                <w:sz w:val="19"/>
                <w:szCs w:val="19"/>
                <w:lang w:eastAsia="en-US"/>
              </w:rPr>
              <w:t>HiSCR</w:t>
            </w:r>
            <w:proofErr w:type="spellEnd"/>
            <w:r w:rsidRPr="00443075">
              <w:rPr>
                <w:rFonts w:ascii="Arial Narrow" w:hAnsi="Arial Narrow" w:cs="Arial"/>
                <w:sz w:val="19"/>
                <w:szCs w:val="19"/>
                <w:lang w:eastAsia="en-US"/>
              </w:rPr>
              <w:t xml:space="preserve"> response at week 12 (decreases ICER)</w:t>
            </w:r>
          </w:p>
          <w:p w:rsidR="003D34F8" w:rsidRPr="00443075" w:rsidRDefault="003D34F8" w:rsidP="00087B7E">
            <w:pPr>
              <w:keepNext/>
              <w:snapToGrid w:val="0"/>
              <w:rPr>
                <w:rFonts w:ascii="Arial Narrow" w:hAnsi="Arial Narrow" w:cs="Arial"/>
                <w:sz w:val="19"/>
                <w:szCs w:val="19"/>
                <w:lang w:eastAsia="en-US"/>
              </w:rPr>
            </w:pPr>
            <w:r w:rsidRPr="00443075">
              <w:rPr>
                <w:rFonts w:ascii="Arial Narrow" w:hAnsi="Arial Narrow" w:cs="Arial"/>
                <w:sz w:val="19"/>
                <w:szCs w:val="19"/>
                <w:lang w:eastAsia="en-US"/>
              </w:rPr>
              <w:t>No price reduction</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10 year time horizon (increases ICER)</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Convergence of benefit over 10 years (increases ICER)</w:t>
            </w:r>
          </w:p>
          <w:p w:rsidR="003D34F8" w:rsidRPr="00443075" w:rsidRDefault="00D97454">
            <w:pPr>
              <w:keepNext/>
              <w:snapToGrid w:val="0"/>
              <w:rPr>
                <w:rFonts w:ascii="Arial Narrow" w:hAnsi="Arial Narrow" w:cs="Arial"/>
                <w:sz w:val="19"/>
                <w:szCs w:val="19"/>
                <w:lang w:eastAsia="en-US"/>
              </w:rPr>
            </w:pPr>
            <w:r w:rsidRPr="00443075">
              <w:rPr>
                <w:rFonts w:ascii="Arial Narrow" w:hAnsi="Arial Narrow" w:cs="Arial"/>
                <w:sz w:val="19"/>
                <w:szCs w:val="19"/>
                <w:lang w:eastAsia="en-US"/>
              </w:rPr>
              <w:t>Re-treat</w:t>
            </w:r>
            <w:r w:rsidR="003D34F8" w:rsidRPr="00443075">
              <w:rPr>
                <w:rFonts w:ascii="Arial Narrow" w:hAnsi="Arial Narrow" w:cs="Arial"/>
                <w:sz w:val="19"/>
                <w:szCs w:val="19"/>
                <w:lang w:eastAsia="en-US"/>
              </w:rPr>
              <w:t>ment post-failure, at years 1 and 2 (increases ICER)</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 xml:space="preserve">No </w:t>
            </w:r>
            <w:r w:rsidR="00D97454" w:rsidRPr="00443075">
              <w:rPr>
                <w:rFonts w:ascii="Arial Narrow" w:hAnsi="Arial Narrow" w:cs="Arial"/>
                <w:sz w:val="19"/>
                <w:szCs w:val="19"/>
                <w:lang w:eastAsia="en-US"/>
              </w:rPr>
              <w:t>re-treat</w:t>
            </w:r>
            <w:r w:rsidRPr="00443075">
              <w:rPr>
                <w:rFonts w:ascii="Arial Narrow" w:hAnsi="Arial Narrow" w:cs="Arial"/>
                <w:sz w:val="19"/>
                <w:szCs w:val="19"/>
                <w:lang w:eastAsia="en-US"/>
              </w:rPr>
              <w:t>ment post-success</w:t>
            </w:r>
          </w:p>
        </w:tc>
        <w:tc>
          <w:tcPr>
            <w:tcW w:w="932" w:type="pct"/>
            <w:tcBorders>
              <w:top w:val="single" w:sz="4" w:space="0" w:color="auto"/>
              <w:left w:val="single" w:sz="4" w:space="0" w:color="auto"/>
              <w:bottom w:val="single" w:sz="4" w:space="0" w:color="auto"/>
              <w:right w:val="single" w:sz="4" w:space="0" w:color="auto"/>
            </w:tcBorders>
          </w:tcPr>
          <w:p w:rsidR="003D34F8" w:rsidRPr="00565AC7" w:rsidRDefault="00565AC7">
            <w:pPr>
              <w:keepNext/>
              <w:snapToGrid w:val="0"/>
              <w:jc w:val="both"/>
              <w:rPr>
                <w:rFonts w:ascii="Arial Narrow" w:hAnsi="Arial Narrow" w:cs="Arial"/>
                <w:sz w:val="19"/>
                <w:szCs w:val="19"/>
                <w:highlight w:val="black"/>
                <w:lang w:eastAsia="en-US"/>
              </w:rPr>
            </w:pPr>
            <w:r>
              <w:rPr>
                <w:rFonts w:ascii="Arial Narrow" w:hAnsi="Arial Narrow" w:cs="Arial"/>
                <w:noProof/>
                <w:color w:val="000000"/>
                <w:sz w:val="19"/>
                <w:szCs w:val="19"/>
                <w:highlight w:val="black"/>
                <w:lang w:eastAsia="en-US"/>
              </w:rPr>
              <w:t>'''''''''''''''''''</w:t>
            </w:r>
          </w:p>
        </w:tc>
      </w:tr>
      <w:tr w:rsidR="003D34F8" w:rsidRPr="00443075" w:rsidTr="0040535C">
        <w:trPr>
          <w:cantSplit/>
        </w:trPr>
        <w:tc>
          <w:tcPr>
            <w:tcW w:w="4068" w:type="pct"/>
            <w:tcBorders>
              <w:top w:val="single" w:sz="4" w:space="0" w:color="auto"/>
              <w:left w:val="single" w:sz="4" w:space="0" w:color="auto"/>
              <w:bottom w:val="single" w:sz="4" w:space="0" w:color="auto"/>
              <w:right w:val="single" w:sz="4" w:space="0" w:color="auto"/>
            </w:tcBorders>
          </w:tcPr>
          <w:p w:rsidR="003D34F8" w:rsidRPr="00443075" w:rsidRDefault="003D34F8" w:rsidP="00322E23">
            <w:pPr>
              <w:keepNext/>
              <w:snapToGrid w:val="0"/>
              <w:rPr>
                <w:rFonts w:ascii="Arial Narrow" w:hAnsi="Arial Narrow" w:cs="Arial"/>
                <w:b/>
                <w:sz w:val="19"/>
                <w:szCs w:val="19"/>
                <w:lang w:eastAsia="en-US"/>
              </w:rPr>
            </w:pPr>
            <w:r w:rsidRPr="00443075">
              <w:rPr>
                <w:rFonts w:ascii="Arial Narrow" w:hAnsi="Arial Narrow" w:cs="Arial"/>
                <w:b/>
                <w:sz w:val="19"/>
                <w:szCs w:val="19"/>
                <w:lang w:eastAsia="en-US"/>
              </w:rPr>
              <w:t>July 2016 minor re-submission</w:t>
            </w:r>
          </w:p>
          <w:p w:rsidR="003D34F8" w:rsidRPr="00443075" w:rsidRDefault="003D34F8" w:rsidP="00A655FB">
            <w:pPr>
              <w:keepNext/>
              <w:snapToGrid w:val="0"/>
              <w:rPr>
                <w:rFonts w:ascii="Arial Narrow" w:hAnsi="Arial Narrow" w:cs="Arial"/>
                <w:sz w:val="19"/>
                <w:szCs w:val="19"/>
                <w:lang w:eastAsia="en-US"/>
              </w:rPr>
            </w:pPr>
            <w:proofErr w:type="spellStart"/>
            <w:r w:rsidRPr="00443075">
              <w:rPr>
                <w:rFonts w:ascii="Arial Narrow" w:hAnsi="Arial Narrow" w:cs="Arial"/>
                <w:sz w:val="19"/>
                <w:szCs w:val="19"/>
                <w:lang w:eastAsia="en-US"/>
              </w:rPr>
              <w:t>HiSCR</w:t>
            </w:r>
            <w:proofErr w:type="spellEnd"/>
            <w:r w:rsidRPr="00443075">
              <w:rPr>
                <w:rFonts w:ascii="Arial Narrow" w:hAnsi="Arial Narrow" w:cs="Arial"/>
                <w:sz w:val="19"/>
                <w:szCs w:val="19"/>
                <w:lang w:eastAsia="en-US"/>
              </w:rPr>
              <w:t xml:space="preserve"> response at week 12 (decreases ICER)</w:t>
            </w:r>
          </w:p>
          <w:p w:rsidR="003D34F8" w:rsidRPr="00443075" w:rsidRDefault="003D34F8" w:rsidP="00087B7E">
            <w:pPr>
              <w:keepNext/>
              <w:snapToGrid w:val="0"/>
              <w:rPr>
                <w:rFonts w:ascii="Arial Narrow" w:hAnsi="Arial Narrow" w:cs="Arial"/>
                <w:sz w:val="19"/>
                <w:szCs w:val="19"/>
                <w:lang w:eastAsia="en-US"/>
              </w:rPr>
            </w:pPr>
            <w:r w:rsidRPr="00443075">
              <w:rPr>
                <w:rFonts w:ascii="Arial Narrow" w:hAnsi="Arial Narrow" w:cs="Arial"/>
                <w:sz w:val="19"/>
                <w:szCs w:val="19"/>
                <w:lang w:eastAsia="en-US"/>
              </w:rPr>
              <w:t>Price reduction (decreases ICER)</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20 year time horizon</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Convergence of benefit over 20 years (increases ICER)</w:t>
            </w:r>
          </w:p>
          <w:p w:rsidR="003D34F8" w:rsidRPr="00443075" w:rsidRDefault="00D97454">
            <w:pPr>
              <w:keepNext/>
              <w:snapToGrid w:val="0"/>
              <w:rPr>
                <w:rFonts w:ascii="Arial Narrow" w:hAnsi="Arial Narrow" w:cs="Arial"/>
                <w:sz w:val="19"/>
                <w:szCs w:val="19"/>
                <w:lang w:eastAsia="en-US"/>
              </w:rPr>
            </w:pPr>
            <w:r w:rsidRPr="00443075">
              <w:rPr>
                <w:rFonts w:ascii="Arial Narrow" w:hAnsi="Arial Narrow" w:cs="Arial"/>
                <w:sz w:val="19"/>
                <w:szCs w:val="19"/>
                <w:lang w:eastAsia="en-US"/>
              </w:rPr>
              <w:t>Re-treat</w:t>
            </w:r>
            <w:r w:rsidR="003D34F8" w:rsidRPr="00443075">
              <w:rPr>
                <w:rFonts w:ascii="Arial Narrow" w:hAnsi="Arial Narrow" w:cs="Arial"/>
                <w:sz w:val="19"/>
                <w:szCs w:val="19"/>
                <w:lang w:eastAsia="en-US"/>
              </w:rPr>
              <w:t>ment post-failure, at years 1 and 2 (increases ICER)</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 xml:space="preserve">No </w:t>
            </w:r>
            <w:r w:rsidR="00D97454" w:rsidRPr="00443075">
              <w:rPr>
                <w:rFonts w:ascii="Arial Narrow" w:hAnsi="Arial Narrow" w:cs="Arial"/>
                <w:sz w:val="19"/>
                <w:szCs w:val="19"/>
                <w:lang w:eastAsia="en-US"/>
              </w:rPr>
              <w:t>re-treat</w:t>
            </w:r>
            <w:r w:rsidRPr="00443075">
              <w:rPr>
                <w:rFonts w:ascii="Arial Narrow" w:hAnsi="Arial Narrow" w:cs="Arial"/>
                <w:sz w:val="19"/>
                <w:szCs w:val="19"/>
                <w:lang w:eastAsia="en-US"/>
              </w:rPr>
              <w:t>ment post-success</w:t>
            </w:r>
          </w:p>
        </w:tc>
        <w:tc>
          <w:tcPr>
            <w:tcW w:w="932" w:type="pct"/>
            <w:tcBorders>
              <w:top w:val="single" w:sz="4" w:space="0" w:color="auto"/>
              <w:left w:val="single" w:sz="4" w:space="0" w:color="auto"/>
              <w:bottom w:val="single" w:sz="4" w:space="0" w:color="auto"/>
              <w:right w:val="single" w:sz="4" w:space="0" w:color="auto"/>
            </w:tcBorders>
          </w:tcPr>
          <w:p w:rsidR="003D34F8" w:rsidRPr="00443075" w:rsidRDefault="00565AC7">
            <w:pPr>
              <w:keepNext/>
              <w:snapToGrid w:val="0"/>
              <w:jc w:val="both"/>
              <w:rPr>
                <w:rFonts w:ascii="Arial Narrow" w:hAnsi="Arial Narrow" w:cs="Arial"/>
                <w:sz w:val="19"/>
                <w:szCs w:val="19"/>
                <w:vertAlign w:val="superscript"/>
                <w:lang w:eastAsia="en-US"/>
              </w:rPr>
            </w:pPr>
            <w:r>
              <w:rPr>
                <w:rFonts w:ascii="Arial Narrow" w:hAnsi="Arial Narrow" w:cs="Arial"/>
                <w:noProof/>
                <w:color w:val="000000"/>
                <w:sz w:val="19"/>
                <w:szCs w:val="19"/>
                <w:highlight w:val="black"/>
                <w:lang w:eastAsia="en-US"/>
              </w:rPr>
              <w:t>'''''''''''''''</w:t>
            </w:r>
            <w:r w:rsidR="003D34F8" w:rsidRPr="00443075">
              <w:rPr>
                <w:rFonts w:ascii="Arial Narrow" w:hAnsi="Arial Narrow" w:cs="Arial"/>
                <w:sz w:val="19"/>
                <w:szCs w:val="19"/>
                <w:vertAlign w:val="superscript"/>
                <w:lang w:eastAsia="en-US"/>
              </w:rPr>
              <w:t>a</w:t>
            </w:r>
          </w:p>
        </w:tc>
      </w:tr>
      <w:tr w:rsidR="003D34F8" w:rsidRPr="00443075" w:rsidTr="0040535C">
        <w:trPr>
          <w:cantSplit/>
        </w:trPr>
        <w:tc>
          <w:tcPr>
            <w:tcW w:w="4068" w:type="pct"/>
            <w:tcBorders>
              <w:top w:val="single" w:sz="4" w:space="0" w:color="auto"/>
              <w:left w:val="single" w:sz="4" w:space="0" w:color="auto"/>
              <w:bottom w:val="single" w:sz="4" w:space="0" w:color="auto"/>
              <w:right w:val="single" w:sz="4" w:space="0" w:color="auto"/>
            </w:tcBorders>
          </w:tcPr>
          <w:p w:rsidR="003D34F8" w:rsidRPr="00443075" w:rsidRDefault="003D34F8" w:rsidP="00322E23">
            <w:pPr>
              <w:keepNext/>
              <w:snapToGrid w:val="0"/>
              <w:rPr>
                <w:rFonts w:ascii="Arial Narrow" w:hAnsi="Arial Narrow" w:cs="Arial"/>
                <w:b/>
                <w:sz w:val="19"/>
                <w:szCs w:val="19"/>
                <w:lang w:eastAsia="en-US"/>
              </w:rPr>
            </w:pPr>
            <w:r w:rsidRPr="00443075">
              <w:rPr>
                <w:rFonts w:ascii="Arial Narrow" w:hAnsi="Arial Narrow" w:cs="Arial"/>
                <w:b/>
                <w:sz w:val="19"/>
                <w:szCs w:val="19"/>
                <w:lang w:eastAsia="en-US"/>
              </w:rPr>
              <w:t xml:space="preserve">July 2016 pre-PBAC response, revised base case </w:t>
            </w:r>
            <w:r w:rsidRPr="00443075">
              <w:rPr>
                <w:rFonts w:ascii="Arial Narrow" w:hAnsi="Arial Narrow" w:cs="Arial"/>
                <w:sz w:val="19"/>
                <w:szCs w:val="19"/>
                <w:lang w:eastAsia="en-US"/>
              </w:rPr>
              <w:t>(changes compared with July 2016 minor re-submission):</w:t>
            </w:r>
          </w:p>
          <w:p w:rsidR="003D34F8" w:rsidRPr="00443075" w:rsidRDefault="003D34F8" w:rsidP="00A655FB">
            <w:pPr>
              <w:keepNext/>
              <w:snapToGrid w:val="0"/>
              <w:rPr>
                <w:rFonts w:ascii="Arial Narrow" w:hAnsi="Arial Narrow" w:cs="Arial"/>
                <w:sz w:val="19"/>
                <w:szCs w:val="19"/>
                <w:lang w:eastAsia="en-US"/>
              </w:rPr>
            </w:pPr>
            <w:r w:rsidRPr="00443075">
              <w:rPr>
                <w:rFonts w:ascii="Arial Narrow" w:hAnsi="Arial Narrow" w:cs="Arial"/>
                <w:sz w:val="19"/>
                <w:szCs w:val="19"/>
                <w:lang w:eastAsia="en-US"/>
              </w:rPr>
              <w:t>Revised price offer</w:t>
            </w:r>
          </w:p>
          <w:p w:rsidR="003D34F8" w:rsidRPr="00443075" w:rsidRDefault="003D34F8" w:rsidP="00087B7E">
            <w:pPr>
              <w:keepNext/>
              <w:snapToGrid w:val="0"/>
              <w:rPr>
                <w:rFonts w:ascii="Arial Narrow" w:hAnsi="Arial Narrow" w:cs="Arial"/>
                <w:sz w:val="19"/>
                <w:szCs w:val="19"/>
                <w:lang w:eastAsia="en-US"/>
              </w:rPr>
            </w:pPr>
            <w:r w:rsidRPr="00443075">
              <w:rPr>
                <w:rFonts w:ascii="Arial Narrow" w:hAnsi="Arial Narrow" w:cs="Arial"/>
                <w:sz w:val="19"/>
                <w:szCs w:val="19"/>
                <w:lang w:eastAsia="en-US"/>
              </w:rPr>
              <w:t xml:space="preserve">No </w:t>
            </w:r>
            <w:r w:rsidR="00D97454" w:rsidRPr="00443075">
              <w:rPr>
                <w:rFonts w:ascii="Arial Narrow" w:hAnsi="Arial Narrow" w:cs="Arial"/>
                <w:sz w:val="19"/>
                <w:szCs w:val="19"/>
                <w:lang w:eastAsia="en-US"/>
              </w:rPr>
              <w:t>re-treat</w:t>
            </w:r>
            <w:r w:rsidRPr="00443075">
              <w:rPr>
                <w:rFonts w:ascii="Arial Narrow" w:hAnsi="Arial Narrow" w:cs="Arial"/>
                <w:sz w:val="19"/>
                <w:szCs w:val="19"/>
                <w:lang w:eastAsia="en-US"/>
              </w:rPr>
              <w:t>ment post-failure</w:t>
            </w:r>
          </w:p>
        </w:tc>
        <w:tc>
          <w:tcPr>
            <w:tcW w:w="932" w:type="pct"/>
            <w:tcBorders>
              <w:top w:val="single" w:sz="4" w:space="0" w:color="auto"/>
              <w:left w:val="single" w:sz="4" w:space="0" w:color="auto"/>
              <w:bottom w:val="single" w:sz="4" w:space="0" w:color="auto"/>
              <w:right w:val="single" w:sz="4" w:space="0" w:color="auto"/>
            </w:tcBorders>
          </w:tcPr>
          <w:p w:rsidR="003D34F8" w:rsidRPr="00565AC7" w:rsidRDefault="00565AC7" w:rsidP="00087B7E">
            <w:pPr>
              <w:keepNext/>
              <w:snapToGrid w:val="0"/>
              <w:jc w:val="both"/>
              <w:rPr>
                <w:rFonts w:ascii="Arial Narrow" w:hAnsi="Arial Narrow" w:cs="Arial"/>
                <w:sz w:val="19"/>
                <w:szCs w:val="19"/>
                <w:highlight w:val="black"/>
                <w:lang w:eastAsia="en-US"/>
              </w:rPr>
            </w:pPr>
            <w:r>
              <w:rPr>
                <w:rFonts w:ascii="Arial Narrow" w:hAnsi="Arial Narrow" w:cs="Arial"/>
                <w:noProof/>
                <w:color w:val="000000"/>
                <w:sz w:val="19"/>
                <w:szCs w:val="19"/>
                <w:highlight w:val="black"/>
                <w:lang w:eastAsia="en-US"/>
              </w:rPr>
              <w:t>''''''''''''''''</w:t>
            </w:r>
          </w:p>
        </w:tc>
      </w:tr>
      <w:tr w:rsidR="003D34F8" w:rsidRPr="00443075" w:rsidTr="0040535C">
        <w:trPr>
          <w:cantSplit/>
        </w:trPr>
        <w:tc>
          <w:tcPr>
            <w:tcW w:w="4068" w:type="pct"/>
            <w:tcBorders>
              <w:top w:val="single" w:sz="4" w:space="0" w:color="auto"/>
              <w:left w:val="single" w:sz="4" w:space="0" w:color="auto"/>
              <w:bottom w:val="single" w:sz="4" w:space="0" w:color="auto"/>
              <w:right w:val="single" w:sz="4" w:space="0" w:color="auto"/>
            </w:tcBorders>
          </w:tcPr>
          <w:p w:rsidR="003D34F8" w:rsidRPr="00443075" w:rsidRDefault="003D34F8" w:rsidP="00322E23">
            <w:pPr>
              <w:keepNext/>
              <w:snapToGrid w:val="0"/>
              <w:rPr>
                <w:rFonts w:ascii="Arial Narrow" w:hAnsi="Arial Narrow" w:cs="Arial"/>
                <w:b/>
                <w:sz w:val="19"/>
                <w:szCs w:val="19"/>
                <w:lang w:eastAsia="en-US"/>
              </w:rPr>
            </w:pPr>
            <w:r w:rsidRPr="00443075">
              <w:rPr>
                <w:rFonts w:ascii="Arial Narrow" w:hAnsi="Arial Narrow" w:cs="Arial"/>
                <w:b/>
                <w:sz w:val="19"/>
                <w:szCs w:val="19"/>
                <w:lang w:eastAsia="en-US"/>
              </w:rPr>
              <w:t xml:space="preserve">July 2016 pre-PBAC response, scenario </w:t>
            </w:r>
            <w:r w:rsidRPr="00443075">
              <w:rPr>
                <w:rFonts w:ascii="Arial Narrow" w:hAnsi="Arial Narrow" w:cs="Arial"/>
                <w:sz w:val="19"/>
                <w:szCs w:val="19"/>
                <w:lang w:eastAsia="en-US"/>
              </w:rPr>
              <w:t>(changes compared with July 2016 minor re-submission):</w:t>
            </w:r>
          </w:p>
          <w:p w:rsidR="003D34F8" w:rsidRPr="00443075" w:rsidRDefault="003D34F8" w:rsidP="00A655FB">
            <w:pPr>
              <w:keepNext/>
              <w:snapToGrid w:val="0"/>
              <w:rPr>
                <w:rFonts w:ascii="Arial Narrow" w:hAnsi="Arial Narrow" w:cs="Arial"/>
                <w:sz w:val="19"/>
                <w:szCs w:val="19"/>
                <w:lang w:eastAsia="en-US"/>
              </w:rPr>
            </w:pPr>
            <w:r w:rsidRPr="00443075">
              <w:rPr>
                <w:rFonts w:ascii="Arial Narrow" w:hAnsi="Arial Narrow" w:cs="Arial"/>
                <w:sz w:val="19"/>
                <w:szCs w:val="19"/>
                <w:lang w:eastAsia="en-US"/>
              </w:rPr>
              <w:t>Revised price offer</w:t>
            </w:r>
          </w:p>
          <w:p w:rsidR="003D34F8" w:rsidRPr="00443075" w:rsidRDefault="003D34F8" w:rsidP="00087B7E">
            <w:pPr>
              <w:keepNext/>
              <w:snapToGrid w:val="0"/>
              <w:rPr>
                <w:rFonts w:ascii="Arial Narrow" w:hAnsi="Arial Narrow" w:cs="Arial"/>
                <w:sz w:val="19"/>
                <w:szCs w:val="19"/>
                <w:lang w:eastAsia="en-US"/>
              </w:rPr>
            </w:pPr>
            <w:r w:rsidRPr="00443075">
              <w:rPr>
                <w:rFonts w:ascii="Arial Narrow" w:hAnsi="Arial Narrow" w:cs="Arial"/>
                <w:sz w:val="19"/>
                <w:szCs w:val="19"/>
                <w:lang w:eastAsia="en-US"/>
              </w:rPr>
              <w:t xml:space="preserve">No </w:t>
            </w:r>
            <w:r w:rsidR="00D97454" w:rsidRPr="00443075">
              <w:rPr>
                <w:rFonts w:ascii="Arial Narrow" w:hAnsi="Arial Narrow" w:cs="Arial"/>
                <w:sz w:val="19"/>
                <w:szCs w:val="19"/>
                <w:lang w:eastAsia="en-US"/>
              </w:rPr>
              <w:t>re-treat</w:t>
            </w:r>
            <w:r w:rsidRPr="00443075">
              <w:rPr>
                <w:rFonts w:ascii="Arial Narrow" w:hAnsi="Arial Narrow" w:cs="Arial"/>
                <w:sz w:val="19"/>
                <w:szCs w:val="19"/>
                <w:lang w:eastAsia="en-US"/>
              </w:rPr>
              <w:t>ment post-failure</w:t>
            </w:r>
          </w:p>
          <w:p w:rsidR="003D34F8" w:rsidRPr="00443075" w:rsidRDefault="003D34F8">
            <w:pPr>
              <w:keepNext/>
              <w:snapToGrid w:val="0"/>
              <w:rPr>
                <w:rFonts w:ascii="Arial Narrow" w:hAnsi="Arial Narrow" w:cs="Arial"/>
                <w:sz w:val="19"/>
                <w:szCs w:val="19"/>
                <w:lang w:eastAsia="en-US"/>
              </w:rPr>
            </w:pPr>
            <w:r w:rsidRPr="00443075">
              <w:rPr>
                <w:rFonts w:ascii="Arial Narrow" w:hAnsi="Arial Narrow" w:cs="Arial"/>
                <w:sz w:val="19"/>
                <w:szCs w:val="19"/>
                <w:lang w:eastAsia="en-US"/>
              </w:rPr>
              <w:t>10 year time horizon</w:t>
            </w:r>
          </w:p>
          <w:p w:rsidR="003D34F8" w:rsidRPr="00443075" w:rsidRDefault="003D34F8">
            <w:pPr>
              <w:keepNext/>
              <w:snapToGrid w:val="0"/>
              <w:rPr>
                <w:rFonts w:ascii="Arial Narrow" w:hAnsi="Arial Narrow" w:cs="Arial"/>
                <w:b/>
                <w:sz w:val="19"/>
                <w:szCs w:val="19"/>
                <w:lang w:eastAsia="en-US"/>
              </w:rPr>
            </w:pPr>
            <w:r w:rsidRPr="00443075">
              <w:rPr>
                <w:rFonts w:ascii="Arial Narrow" w:hAnsi="Arial Narrow" w:cs="Arial"/>
                <w:sz w:val="19"/>
                <w:szCs w:val="19"/>
                <w:lang w:eastAsia="en-US"/>
              </w:rPr>
              <w:t>Convergence of benefit over 10 years</w:t>
            </w:r>
          </w:p>
        </w:tc>
        <w:tc>
          <w:tcPr>
            <w:tcW w:w="932" w:type="pct"/>
            <w:tcBorders>
              <w:top w:val="single" w:sz="4" w:space="0" w:color="auto"/>
              <w:left w:val="single" w:sz="4" w:space="0" w:color="auto"/>
              <w:bottom w:val="single" w:sz="4" w:space="0" w:color="auto"/>
              <w:right w:val="single" w:sz="4" w:space="0" w:color="auto"/>
            </w:tcBorders>
          </w:tcPr>
          <w:p w:rsidR="003D34F8" w:rsidRPr="00565AC7" w:rsidRDefault="00565AC7">
            <w:pPr>
              <w:keepNext/>
              <w:snapToGrid w:val="0"/>
              <w:jc w:val="both"/>
              <w:rPr>
                <w:rFonts w:ascii="Arial Narrow" w:hAnsi="Arial Narrow" w:cs="Arial"/>
                <w:sz w:val="19"/>
                <w:szCs w:val="19"/>
                <w:highlight w:val="black"/>
                <w:lang w:eastAsia="en-US"/>
              </w:rPr>
            </w:pPr>
            <w:r>
              <w:rPr>
                <w:rFonts w:ascii="Arial Narrow" w:hAnsi="Arial Narrow" w:cs="Arial"/>
                <w:noProof/>
                <w:color w:val="000000"/>
                <w:sz w:val="19"/>
                <w:szCs w:val="19"/>
                <w:highlight w:val="black"/>
                <w:lang w:eastAsia="en-US"/>
              </w:rPr>
              <w:t>'''''''''''''''''</w:t>
            </w:r>
          </w:p>
        </w:tc>
      </w:tr>
    </w:tbl>
    <w:p w:rsidR="00142EF1" w:rsidRPr="00443075" w:rsidRDefault="00142EF1" w:rsidP="00322E23">
      <w:pPr>
        <w:pStyle w:val="TableFooter"/>
        <w:keepNext/>
        <w:widowControl/>
        <w:ind w:left="709"/>
        <w:rPr>
          <w:rStyle w:val="CommentReference"/>
          <w:b/>
          <w:sz w:val="19"/>
          <w:szCs w:val="19"/>
        </w:rPr>
      </w:pPr>
      <w:r w:rsidRPr="00443075">
        <w:rPr>
          <w:rStyle w:val="CommentReference"/>
          <w:sz w:val="19"/>
          <w:szCs w:val="19"/>
        </w:rPr>
        <w:t xml:space="preserve">Abbreviations: </w:t>
      </w:r>
      <w:proofErr w:type="spellStart"/>
      <w:r w:rsidRPr="00443075">
        <w:rPr>
          <w:rStyle w:val="CommentReference"/>
          <w:sz w:val="19"/>
          <w:szCs w:val="19"/>
        </w:rPr>
        <w:t>HiSCR</w:t>
      </w:r>
      <w:proofErr w:type="spellEnd"/>
      <w:r w:rsidRPr="00443075">
        <w:rPr>
          <w:rStyle w:val="CommentReference"/>
          <w:sz w:val="19"/>
          <w:szCs w:val="19"/>
        </w:rPr>
        <w:t xml:space="preserve">, Hidradenitis </w:t>
      </w:r>
      <w:proofErr w:type="spellStart"/>
      <w:r w:rsidRPr="00443075">
        <w:rPr>
          <w:rStyle w:val="CommentReference"/>
          <w:sz w:val="19"/>
          <w:szCs w:val="19"/>
        </w:rPr>
        <w:t>Suppurativa</w:t>
      </w:r>
      <w:proofErr w:type="spellEnd"/>
      <w:r w:rsidRPr="00443075">
        <w:rPr>
          <w:rStyle w:val="CommentReference"/>
          <w:sz w:val="19"/>
          <w:szCs w:val="19"/>
        </w:rPr>
        <w:t xml:space="preserve"> Clinical Response; QALY, quality adjusted life year.</w:t>
      </w:r>
    </w:p>
    <w:p w:rsidR="00142EF1" w:rsidRPr="00443075" w:rsidRDefault="00142EF1" w:rsidP="00A655FB">
      <w:pPr>
        <w:pStyle w:val="TableFooter"/>
        <w:widowControl/>
        <w:ind w:left="709"/>
        <w:rPr>
          <w:rStyle w:val="CommentReference"/>
          <w:sz w:val="19"/>
          <w:szCs w:val="19"/>
        </w:rPr>
      </w:pPr>
      <w:proofErr w:type="spellStart"/>
      <w:proofErr w:type="gramStart"/>
      <w:r w:rsidRPr="00443075">
        <w:rPr>
          <w:rStyle w:val="CommentReference"/>
          <w:sz w:val="19"/>
          <w:szCs w:val="19"/>
          <w:vertAlign w:val="superscript"/>
        </w:rPr>
        <w:t>a</w:t>
      </w:r>
      <w:r w:rsidRPr="00443075">
        <w:rPr>
          <w:rStyle w:val="CommentReference"/>
          <w:sz w:val="19"/>
          <w:szCs w:val="19"/>
        </w:rPr>
        <w:t>This</w:t>
      </w:r>
      <w:proofErr w:type="spellEnd"/>
      <w:proofErr w:type="gramEnd"/>
      <w:r w:rsidRPr="00443075">
        <w:rPr>
          <w:rStyle w:val="CommentReference"/>
          <w:sz w:val="19"/>
          <w:szCs w:val="19"/>
        </w:rPr>
        <w:t xml:space="preserve"> ICER is consistent with the DPMQs presented in Table 8 of the minor re-submission. It is inconsistent with the ICER presented in Table 7 of the minor re-submission (</w:t>
      </w:r>
      <w:r w:rsidR="00D34A19">
        <w:rPr>
          <w:rStyle w:val="CommentReference"/>
          <w:sz w:val="19"/>
          <w:szCs w:val="19"/>
        </w:rPr>
        <w:t>$45,000/QALY - $75,000</w:t>
      </w:r>
      <w:r w:rsidRPr="00443075">
        <w:rPr>
          <w:rStyle w:val="CommentReference"/>
          <w:sz w:val="19"/>
          <w:szCs w:val="19"/>
        </w:rPr>
        <w:t xml:space="preserve"> per QALY gained, consistent with a </w:t>
      </w:r>
      <w:r w:rsidR="00565AC7">
        <w:rPr>
          <w:rStyle w:val="CommentReference"/>
          <w:noProof/>
          <w:color w:val="000000"/>
          <w:sz w:val="19"/>
          <w:szCs w:val="19"/>
          <w:highlight w:val="black"/>
        </w:rPr>
        <w:t>''''''</w:t>
      </w:r>
      <w:r w:rsidRPr="00443075">
        <w:rPr>
          <w:rStyle w:val="CommentReference"/>
          <w:sz w:val="19"/>
          <w:szCs w:val="19"/>
        </w:rPr>
        <w:t>% price reduction).</w:t>
      </w:r>
    </w:p>
    <w:p w:rsidR="00142EF1" w:rsidRPr="00443075" w:rsidRDefault="00142EF1" w:rsidP="00087B7E">
      <w:pPr>
        <w:pStyle w:val="TableFooter"/>
        <w:widowControl/>
        <w:ind w:left="709"/>
        <w:rPr>
          <w:rStyle w:val="CommentReference"/>
          <w:sz w:val="19"/>
          <w:szCs w:val="19"/>
        </w:rPr>
      </w:pPr>
      <w:r w:rsidRPr="00443075">
        <w:rPr>
          <w:rStyle w:val="CommentReference"/>
          <w:sz w:val="19"/>
          <w:szCs w:val="19"/>
        </w:rPr>
        <w:t>Source: Tables 5 and 7 from the minor re-submission</w:t>
      </w:r>
      <w:r w:rsidR="00DC6657" w:rsidRPr="00443075">
        <w:rPr>
          <w:rStyle w:val="CommentReference"/>
          <w:sz w:val="19"/>
          <w:szCs w:val="19"/>
        </w:rPr>
        <w:t>, Table 2 from the pre-PBAC response</w:t>
      </w:r>
      <w:r w:rsidRPr="00443075">
        <w:rPr>
          <w:rStyle w:val="CommentReference"/>
          <w:sz w:val="19"/>
          <w:szCs w:val="19"/>
        </w:rPr>
        <w:t xml:space="preserve"> and further supplemented during the evaluation.</w:t>
      </w:r>
    </w:p>
    <w:p w:rsidR="003F668F" w:rsidRDefault="003F668F" w:rsidP="00322E23">
      <w:pPr>
        <w:pStyle w:val="ListParagraph"/>
        <w:jc w:val="both"/>
        <w:rPr>
          <w:rFonts w:ascii="Arial" w:hAnsi="Arial"/>
          <w:sz w:val="22"/>
          <w:szCs w:val="22"/>
        </w:rPr>
      </w:pPr>
    </w:p>
    <w:p w:rsidR="000660FE" w:rsidRPr="00D34A19" w:rsidRDefault="00D34A19" w:rsidP="00322E23">
      <w:pPr>
        <w:pStyle w:val="ListParagraph"/>
        <w:jc w:val="both"/>
        <w:rPr>
          <w:rFonts w:ascii="Arial" w:hAnsi="Arial"/>
          <w:sz w:val="22"/>
          <w:szCs w:val="22"/>
        </w:rPr>
      </w:pPr>
      <w:r>
        <w:rPr>
          <w:rFonts w:ascii="Arial" w:hAnsi="Arial"/>
          <w:sz w:val="22"/>
          <w:szCs w:val="22"/>
        </w:rPr>
        <w:t>The redacted table shows</w:t>
      </w:r>
      <w:r w:rsidR="003F668F">
        <w:rPr>
          <w:rFonts w:ascii="Arial" w:hAnsi="Arial"/>
          <w:sz w:val="22"/>
          <w:szCs w:val="22"/>
        </w:rPr>
        <w:t xml:space="preserve"> ICERs in the range of $15,000/QALY - $200,000/QALY.</w:t>
      </w:r>
    </w:p>
    <w:p w:rsidR="00D34A19" w:rsidRPr="00443075" w:rsidRDefault="00D34A19" w:rsidP="00322E23">
      <w:pPr>
        <w:pStyle w:val="ListParagraph"/>
        <w:jc w:val="both"/>
        <w:rPr>
          <w:rFonts w:ascii="Arial" w:hAnsi="Arial"/>
          <w:i/>
          <w:sz w:val="22"/>
          <w:szCs w:val="22"/>
        </w:rPr>
      </w:pPr>
    </w:p>
    <w:p w:rsidR="000660FE" w:rsidRPr="00443075" w:rsidRDefault="000660FE" w:rsidP="00A655FB">
      <w:pPr>
        <w:pStyle w:val="ListParagraph"/>
        <w:numPr>
          <w:ilvl w:val="1"/>
          <w:numId w:val="1"/>
        </w:numPr>
        <w:jc w:val="both"/>
        <w:rPr>
          <w:rFonts w:ascii="Arial" w:hAnsi="Arial"/>
          <w:sz w:val="22"/>
          <w:szCs w:val="22"/>
        </w:rPr>
      </w:pPr>
      <w:r w:rsidRPr="00443075">
        <w:rPr>
          <w:rFonts w:ascii="Arial" w:hAnsi="Arial"/>
          <w:sz w:val="22"/>
          <w:szCs w:val="22"/>
        </w:rPr>
        <w:t xml:space="preserve">In the minor re-submission, the transition probabilities for partial responders discontinuing after week 12 were taken from the </w:t>
      </w:r>
      <w:proofErr w:type="spellStart"/>
      <w:r w:rsidRPr="00443075">
        <w:rPr>
          <w:rFonts w:ascii="Arial" w:hAnsi="Arial"/>
          <w:sz w:val="22"/>
          <w:szCs w:val="22"/>
        </w:rPr>
        <w:t>adalimumab</w:t>
      </w:r>
      <w:proofErr w:type="spellEnd"/>
      <w:r w:rsidRPr="00443075">
        <w:rPr>
          <w:rFonts w:ascii="Arial" w:hAnsi="Arial"/>
          <w:sz w:val="22"/>
          <w:szCs w:val="22"/>
        </w:rPr>
        <w:t xml:space="preserve"> continuers, rather than the </w:t>
      </w:r>
      <w:proofErr w:type="spellStart"/>
      <w:r w:rsidRPr="00443075">
        <w:rPr>
          <w:rFonts w:ascii="Arial" w:hAnsi="Arial"/>
          <w:sz w:val="22"/>
          <w:szCs w:val="22"/>
        </w:rPr>
        <w:t>adalimumab</w:t>
      </w:r>
      <w:proofErr w:type="spellEnd"/>
      <w:r w:rsidRPr="00443075">
        <w:rPr>
          <w:rFonts w:ascii="Arial" w:hAnsi="Arial"/>
          <w:sz w:val="22"/>
          <w:szCs w:val="22"/>
        </w:rPr>
        <w:t xml:space="preserve"> discontinuers. Correcting this, the ICER increased from $</w:t>
      </w:r>
      <w:r w:rsidR="00E84677">
        <w:rPr>
          <w:rFonts w:ascii="Arial" w:hAnsi="Arial"/>
          <w:sz w:val="22"/>
          <w:szCs w:val="22"/>
        </w:rPr>
        <w:t>45,000 - $75,000</w:t>
      </w:r>
      <w:r w:rsidRPr="00443075">
        <w:rPr>
          <w:rFonts w:ascii="Arial" w:hAnsi="Arial"/>
          <w:sz w:val="22"/>
          <w:szCs w:val="22"/>
        </w:rPr>
        <w:t xml:space="preserve"> to $</w:t>
      </w:r>
      <w:r w:rsidR="00E84677">
        <w:rPr>
          <w:rFonts w:ascii="Arial" w:hAnsi="Arial"/>
          <w:sz w:val="22"/>
          <w:szCs w:val="22"/>
        </w:rPr>
        <w:t>45,000 - $75,000</w:t>
      </w:r>
      <w:r w:rsidRPr="00443075">
        <w:rPr>
          <w:rFonts w:ascii="Arial" w:hAnsi="Arial"/>
          <w:sz w:val="22"/>
          <w:szCs w:val="22"/>
        </w:rPr>
        <w:t xml:space="preserve"> per QALY gained.</w:t>
      </w:r>
    </w:p>
    <w:p w:rsidR="00CA5231" w:rsidRPr="00443075" w:rsidRDefault="00CA5231" w:rsidP="00087B7E">
      <w:pPr>
        <w:jc w:val="both"/>
        <w:rPr>
          <w:rFonts w:ascii="Arial" w:hAnsi="Arial"/>
          <w:sz w:val="22"/>
          <w:szCs w:val="22"/>
        </w:rPr>
      </w:pPr>
    </w:p>
    <w:p w:rsidR="00CA5231" w:rsidRPr="00443075" w:rsidRDefault="00CA5231">
      <w:pPr>
        <w:pStyle w:val="ListParagraph"/>
        <w:numPr>
          <w:ilvl w:val="1"/>
          <w:numId w:val="1"/>
        </w:numPr>
        <w:jc w:val="both"/>
        <w:rPr>
          <w:rFonts w:ascii="Arial" w:hAnsi="Arial"/>
          <w:sz w:val="22"/>
          <w:szCs w:val="22"/>
        </w:rPr>
      </w:pPr>
      <w:r w:rsidRPr="00443075">
        <w:rPr>
          <w:rFonts w:ascii="Arial" w:hAnsi="Arial"/>
          <w:sz w:val="22"/>
          <w:szCs w:val="22"/>
        </w:rPr>
        <w:t>The ICER presented in the minor re-submission ($</w:t>
      </w:r>
      <w:r w:rsidR="00E84677">
        <w:rPr>
          <w:rFonts w:ascii="Arial" w:hAnsi="Arial"/>
          <w:sz w:val="22"/>
          <w:szCs w:val="22"/>
        </w:rPr>
        <w:t>45,000 - $75,000</w:t>
      </w:r>
      <w:r w:rsidRPr="00443075">
        <w:rPr>
          <w:rFonts w:ascii="Arial" w:hAnsi="Arial"/>
          <w:sz w:val="22"/>
          <w:szCs w:val="22"/>
        </w:rPr>
        <w:t>) is not consistent with the DPMQs presented in Table 8 of the minor re-submission. The ICER of $</w:t>
      </w:r>
      <w:r w:rsidR="00E84677">
        <w:rPr>
          <w:rFonts w:ascii="Arial" w:hAnsi="Arial"/>
          <w:sz w:val="22"/>
          <w:szCs w:val="22"/>
        </w:rPr>
        <w:t xml:space="preserve">45,000 – </w:t>
      </w:r>
      <w:r w:rsidR="003F668F">
        <w:rPr>
          <w:rFonts w:ascii="Arial" w:hAnsi="Arial"/>
          <w:sz w:val="22"/>
          <w:szCs w:val="22"/>
        </w:rPr>
        <w:t>$</w:t>
      </w:r>
      <w:r w:rsidR="00E84677">
        <w:rPr>
          <w:rFonts w:ascii="Arial" w:hAnsi="Arial"/>
          <w:sz w:val="22"/>
          <w:szCs w:val="22"/>
        </w:rPr>
        <w:t>75,000</w:t>
      </w:r>
      <w:r w:rsidRPr="00443075">
        <w:rPr>
          <w:rFonts w:ascii="Arial" w:hAnsi="Arial"/>
          <w:sz w:val="22"/>
          <w:szCs w:val="22"/>
        </w:rPr>
        <w:t xml:space="preserve"> is consistent with a </w:t>
      </w:r>
      <w:r w:rsidR="00565AC7">
        <w:rPr>
          <w:rFonts w:ascii="Arial" w:hAnsi="Arial"/>
          <w:noProof/>
          <w:color w:val="000000"/>
          <w:sz w:val="22"/>
          <w:szCs w:val="22"/>
          <w:highlight w:val="black"/>
        </w:rPr>
        <w:t>''''''</w:t>
      </w:r>
      <w:r w:rsidRPr="00443075">
        <w:rPr>
          <w:rFonts w:ascii="Arial" w:hAnsi="Arial"/>
          <w:sz w:val="22"/>
          <w:szCs w:val="22"/>
        </w:rPr>
        <w:t xml:space="preserve">% reduction in the DPMQ of </w:t>
      </w:r>
      <w:proofErr w:type="spellStart"/>
      <w:r w:rsidRPr="00443075">
        <w:rPr>
          <w:rFonts w:ascii="Arial" w:hAnsi="Arial"/>
          <w:sz w:val="22"/>
          <w:szCs w:val="22"/>
        </w:rPr>
        <w:t>adalimumab</w:t>
      </w:r>
      <w:proofErr w:type="spellEnd"/>
      <w:r w:rsidRPr="00443075">
        <w:rPr>
          <w:rFonts w:ascii="Arial" w:hAnsi="Arial"/>
          <w:sz w:val="22"/>
          <w:szCs w:val="22"/>
        </w:rPr>
        <w:t>. Table 8 of the current re-submission provided effective DPMQs of $</w:t>
      </w:r>
      <w:r w:rsidR="00565AC7">
        <w:rPr>
          <w:rFonts w:ascii="Arial" w:hAnsi="Arial"/>
          <w:noProof/>
          <w:color w:val="000000"/>
          <w:sz w:val="22"/>
          <w:szCs w:val="22"/>
          <w:highlight w:val="black"/>
        </w:rPr>
        <w:t>'''''''''''''</w:t>
      </w:r>
      <w:r w:rsidRPr="00443075">
        <w:rPr>
          <w:rFonts w:ascii="Arial" w:hAnsi="Arial"/>
          <w:sz w:val="22"/>
          <w:szCs w:val="22"/>
        </w:rPr>
        <w:t xml:space="preserve"> (6*40mg pack) and $</w:t>
      </w:r>
      <w:r w:rsidR="00565AC7">
        <w:rPr>
          <w:rFonts w:ascii="Arial" w:hAnsi="Arial"/>
          <w:noProof/>
          <w:color w:val="000000"/>
          <w:sz w:val="22"/>
          <w:szCs w:val="22"/>
          <w:highlight w:val="black"/>
        </w:rPr>
        <w:t>''''''''''''''</w:t>
      </w:r>
      <w:r w:rsidRPr="00443075">
        <w:rPr>
          <w:rFonts w:ascii="Arial" w:hAnsi="Arial"/>
          <w:sz w:val="22"/>
          <w:szCs w:val="22"/>
        </w:rPr>
        <w:t xml:space="preserve"> (2*40mg pack). Using these DPMQs results in an ICER of $</w:t>
      </w:r>
      <w:r w:rsidR="00E84677">
        <w:rPr>
          <w:rFonts w:ascii="Arial" w:hAnsi="Arial"/>
          <w:sz w:val="22"/>
          <w:szCs w:val="22"/>
        </w:rPr>
        <w:t>45,000 - $75,000</w:t>
      </w:r>
      <w:r w:rsidRPr="00443075">
        <w:rPr>
          <w:rFonts w:ascii="Arial" w:hAnsi="Arial"/>
          <w:sz w:val="22"/>
          <w:szCs w:val="22"/>
        </w:rPr>
        <w:t xml:space="preserve"> instead of $</w:t>
      </w:r>
      <w:r w:rsidR="00E84677">
        <w:rPr>
          <w:rFonts w:ascii="Arial" w:hAnsi="Arial"/>
          <w:sz w:val="22"/>
          <w:szCs w:val="22"/>
        </w:rPr>
        <w:t>45,000 - $75,000</w:t>
      </w:r>
      <w:r w:rsidRPr="00443075">
        <w:rPr>
          <w:rFonts w:ascii="Arial" w:hAnsi="Arial"/>
          <w:sz w:val="22"/>
          <w:szCs w:val="22"/>
        </w:rPr>
        <w:t>.</w:t>
      </w:r>
    </w:p>
    <w:p w:rsidR="000660FE" w:rsidRPr="00443075" w:rsidRDefault="000660FE">
      <w:pPr>
        <w:pStyle w:val="ListParagraph"/>
        <w:rPr>
          <w:rFonts w:ascii="Arial" w:hAnsi="Arial"/>
          <w:sz w:val="22"/>
          <w:szCs w:val="22"/>
        </w:rPr>
      </w:pPr>
    </w:p>
    <w:p w:rsidR="00940B1C" w:rsidRPr="00443075" w:rsidRDefault="00940B1C">
      <w:pPr>
        <w:pStyle w:val="ListParagraph"/>
        <w:numPr>
          <w:ilvl w:val="1"/>
          <w:numId w:val="1"/>
        </w:numPr>
        <w:jc w:val="both"/>
        <w:rPr>
          <w:rFonts w:ascii="Arial" w:hAnsi="Arial"/>
          <w:sz w:val="22"/>
          <w:szCs w:val="22"/>
        </w:rPr>
      </w:pPr>
      <w:r w:rsidRPr="00443075">
        <w:rPr>
          <w:rFonts w:ascii="Arial" w:hAnsi="Arial"/>
          <w:sz w:val="22"/>
          <w:szCs w:val="22"/>
        </w:rPr>
        <w:t>As per the original submission, the proposed listing in the re-submission allows for the recommencement of treatment for previous responders and non</w:t>
      </w:r>
      <w:r w:rsidRPr="00443075">
        <w:rPr>
          <w:rFonts w:ascii="Arial" w:hAnsi="Arial"/>
          <w:sz w:val="22"/>
          <w:szCs w:val="22"/>
        </w:rPr>
        <w:noBreakHyphen/>
        <w:t>responders with a limit on the number of courses of treatment for non-responders but no limit for previous responders. While the economic evaluation and financial estimates in the minor re-submission did include recommencement of treatment for non</w:t>
      </w:r>
      <w:r w:rsidRPr="00443075">
        <w:rPr>
          <w:rFonts w:ascii="Arial" w:hAnsi="Arial"/>
          <w:sz w:val="22"/>
          <w:szCs w:val="22"/>
        </w:rPr>
        <w:noBreakHyphen/>
        <w:t>responders (after a 12 month break), they did not include stop and recommencement of treatment for responders (e.g. “intermittent treatment”, or re</w:t>
      </w:r>
      <w:r w:rsidR="00851F69" w:rsidRPr="00443075">
        <w:rPr>
          <w:rFonts w:ascii="Arial" w:hAnsi="Arial"/>
          <w:sz w:val="22"/>
          <w:szCs w:val="22"/>
        </w:rPr>
        <w:noBreakHyphen/>
      </w:r>
      <w:r w:rsidRPr="00443075">
        <w:rPr>
          <w:rFonts w:ascii="Arial" w:hAnsi="Arial"/>
          <w:sz w:val="22"/>
          <w:szCs w:val="22"/>
        </w:rPr>
        <w:t xml:space="preserve">treatment of flares). This was consistent with the PBAC </w:t>
      </w:r>
      <w:r w:rsidR="00173C15" w:rsidRPr="00443075">
        <w:rPr>
          <w:rFonts w:ascii="Arial" w:hAnsi="Arial"/>
          <w:sz w:val="22"/>
          <w:szCs w:val="22"/>
        </w:rPr>
        <w:t>PSD</w:t>
      </w:r>
      <w:r w:rsidRPr="00443075">
        <w:rPr>
          <w:rFonts w:ascii="Arial" w:hAnsi="Arial"/>
          <w:sz w:val="22"/>
          <w:szCs w:val="22"/>
        </w:rPr>
        <w:t xml:space="preserve">: </w:t>
      </w:r>
      <w:r w:rsidR="00B07ACE" w:rsidRPr="00443075">
        <w:rPr>
          <w:rFonts w:ascii="Arial" w:hAnsi="Arial"/>
          <w:sz w:val="22"/>
          <w:szCs w:val="22"/>
        </w:rPr>
        <w:t>“</w:t>
      </w:r>
      <w:r w:rsidRPr="00443075">
        <w:rPr>
          <w:rFonts w:ascii="Arial" w:hAnsi="Arial"/>
          <w:sz w:val="22"/>
          <w:szCs w:val="22"/>
        </w:rPr>
        <w:t>the PBAC was of the view that patients would be unlikely to cease treatment but would receive ongoing treatment because of the chronic nature of this condition” (</w:t>
      </w:r>
      <w:r w:rsidR="000559EC" w:rsidRPr="00443075">
        <w:rPr>
          <w:rFonts w:ascii="Arial" w:hAnsi="Arial"/>
          <w:sz w:val="22"/>
          <w:szCs w:val="22"/>
        </w:rPr>
        <w:t>paragraph</w:t>
      </w:r>
      <w:r w:rsidRPr="00443075">
        <w:rPr>
          <w:rFonts w:ascii="Arial" w:hAnsi="Arial"/>
          <w:sz w:val="22"/>
          <w:szCs w:val="22"/>
        </w:rPr>
        <w:t xml:space="preserve"> 7.3 of the</w:t>
      </w:r>
      <w:r w:rsidR="000559EC" w:rsidRPr="00443075">
        <w:rPr>
          <w:rFonts w:ascii="Arial" w:hAnsi="Arial"/>
          <w:sz w:val="22"/>
          <w:szCs w:val="22"/>
        </w:rPr>
        <w:t xml:space="preserve"> March 2016 </w:t>
      </w:r>
      <w:proofErr w:type="spellStart"/>
      <w:r w:rsidR="000559EC" w:rsidRPr="00443075">
        <w:rPr>
          <w:rFonts w:ascii="Arial" w:hAnsi="Arial"/>
          <w:sz w:val="22"/>
          <w:szCs w:val="22"/>
        </w:rPr>
        <w:t>adalimumab</w:t>
      </w:r>
      <w:proofErr w:type="spellEnd"/>
      <w:r w:rsidRPr="00443075">
        <w:rPr>
          <w:rFonts w:ascii="Arial" w:hAnsi="Arial"/>
          <w:sz w:val="22"/>
          <w:szCs w:val="22"/>
        </w:rPr>
        <w:t xml:space="preserve"> </w:t>
      </w:r>
      <w:r w:rsidR="00173C15" w:rsidRPr="00443075">
        <w:rPr>
          <w:rFonts w:ascii="Arial" w:hAnsi="Arial"/>
          <w:sz w:val="22"/>
          <w:szCs w:val="22"/>
        </w:rPr>
        <w:t>PSD</w:t>
      </w:r>
      <w:r w:rsidRPr="00443075">
        <w:rPr>
          <w:rFonts w:ascii="Arial" w:hAnsi="Arial"/>
          <w:sz w:val="22"/>
          <w:szCs w:val="22"/>
        </w:rPr>
        <w:t xml:space="preserve">). However, the original and revised models assumed that almost all patients would cease treatment by </w:t>
      </w:r>
      <w:r w:rsidR="00565AC7">
        <w:rPr>
          <w:rFonts w:ascii="Arial" w:hAnsi="Arial"/>
          <w:noProof/>
          <w:color w:val="000000"/>
          <w:sz w:val="22"/>
          <w:szCs w:val="22"/>
          <w:highlight w:val="black"/>
        </w:rPr>
        <w:t>''''''' '''''''''''''</w:t>
      </w:r>
      <w:r w:rsidRPr="00443075">
        <w:rPr>
          <w:rFonts w:ascii="Arial" w:hAnsi="Arial"/>
          <w:sz w:val="22"/>
          <w:szCs w:val="22"/>
        </w:rPr>
        <w:t xml:space="preserve"> but that the benefit of treatment would continue until 20 years (albeit now at a diminishing rate). The assumption that all patients cease treatment within </w:t>
      </w:r>
      <w:r w:rsidR="00565AC7">
        <w:rPr>
          <w:rFonts w:ascii="Arial" w:hAnsi="Arial"/>
          <w:noProof/>
          <w:color w:val="000000"/>
          <w:sz w:val="22"/>
          <w:szCs w:val="22"/>
          <w:highlight w:val="black"/>
        </w:rPr>
        <w:t>'''''''' ''''''''''''</w:t>
      </w:r>
      <w:r w:rsidRPr="00443075">
        <w:rPr>
          <w:rFonts w:ascii="Arial" w:hAnsi="Arial"/>
          <w:sz w:val="22"/>
          <w:szCs w:val="22"/>
        </w:rPr>
        <w:t xml:space="preserve"> is inconsistent with the PBAC view that treatment is likely to be ongoing in practice and the assumption of the continuing benefit to 20 years is optimistic. Together, these assumptions would have significantly underestimated the ICER per QALY.</w:t>
      </w:r>
    </w:p>
    <w:p w:rsidR="00940B1C" w:rsidRPr="00443075" w:rsidRDefault="00940B1C">
      <w:pPr>
        <w:pStyle w:val="ListParagraph"/>
        <w:rPr>
          <w:rFonts w:ascii="Arial" w:hAnsi="Arial" w:cs="Arial"/>
          <w:sz w:val="22"/>
          <w:szCs w:val="22"/>
        </w:rPr>
      </w:pPr>
    </w:p>
    <w:p w:rsidR="00F44244" w:rsidRPr="00443075" w:rsidRDefault="00940B1C">
      <w:pPr>
        <w:pStyle w:val="ListParagraph"/>
        <w:numPr>
          <w:ilvl w:val="1"/>
          <w:numId w:val="1"/>
        </w:numPr>
        <w:jc w:val="both"/>
        <w:rPr>
          <w:rFonts w:ascii="Arial" w:hAnsi="Arial"/>
          <w:sz w:val="22"/>
          <w:szCs w:val="22"/>
        </w:rPr>
      </w:pPr>
      <w:r w:rsidRPr="00443075">
        <w:rPr>
          <w:rFonts w:ascii="Arial" w:hAnsi="Arial"/>
          <w:sz w:val="22"/>
          <w:szCs w:val="22"/>
        </w:rPr>
        <w:t>If patients are subsequently re-treated for future flares following an initial course of treatment in practice, rather than receiving ongoing therapy</w:t>
      </w:r>
      <w:r w:rsidR="00E13833" w:rsidRPr="00443075">
        <w:rPr>
          <w:rFonts w:ascii="Arial" w:hAnsi="Arial"/>
          <w:sz w:val="22"/>
          <w:szCs w:val="22"/>
        </w:rPr>
        <w:t>,</w:t>
      </w:r>
      <w:r w:rsidRPr="00443075">
        <w:rPr>
          <w:rFonts w:ascii="Arial" w:hAnsi="Arial"/>
          <w:sz w:val="22"/>
          <w:szCs w:val="22"/>
        </w:rPr>
        <w:t xml:space="preserve"> then the time horizon is too long as the model does not capture the recurrent nature of the disease and recommencement of treatment. Previous models reviewed by the PBAC for biological treatments for other autoimmune conditions with fluctuating levels of disease activity (and recurrence) have had shorter time horizons. For example, a </w:t>
      </w:r>
      <w:r w:rsidR="00FF021D" w:rsidRPr="00443075">
        <w:rPr>
          <w:rFonts w:ascii="Arial" w:hAnsi="Arial"/>
          <w:sz w:val="22"/>
          <w:szCs w:val="22"/>
        </w:rPr>
        <w:t>five</w:t>
      </w:r>
      <w:r w:rsidRPr="00443075">
        <w:rPr>
          <w:rFonts w:ascii="Arial" w:hAnsi="Arial"/>
          <w:sz w:val="22"/>
          <w:szCs w:val="22"/>
        </w:rPr>
        <w:t xml:space="preserve"> year time horizon was used for </w:t>
      </w:r>
      <w:proofErr w:type="spellStart"/>
      <w:r w:rsidRPr="00443075">
        <w:rPr>
          <w:rFonts w:ascii="Arial" w:hAnsi="Arial"/>
          <w:sz w:val="22"/>
          <w:szCs w:val="22"/>
        </w:rPr>
        <w:t>ustekinumab</w:t>
      </w:r>
      <w:proofErr w:type="spellEnd"/>
      <w:r w:rsidRPr="00443075">
        <w:rPr>
          <w:rFonts w:ascii="Arial" w:hAnsi="Arial"/>
          <w:sz w:val="22"/>
          <w:szCs w:val="22"/>
        </w:rPr>
        <w:t xml:space="preserve"> for severe chronic plaque psoriasis (</w:t>
      </w:r>
      <w:proofErr w:type="spellStart"/>
      <w:r w:rsidRPr="00443075">
        <w:rPr>
          <w:rFonts w:ascii="Arial" w:hAnsi="Arial"/>
          <w:sz w:val="22"/>
          <w:szCs w:val="22"/>
        </w:rPr>
        <w:t>ustekinumab</w:t>
      </w:r>
      <w:proofErr w:type="spellEnd"/>
      <w:r w:rsidRPr="00443075">
        <w:rPr>
          <w:rFonts w:ascii="Arial" w:hAnsi="Arial"/>
          <w:sz w:val="22"/>
          <w:szCs w:val="22"/>
        </w:rPr>
        <w:t xml:space="preserve">, PSD, November 2009) and a </w:t>
      </w:r>
      <w:r w:rsidR="00FF021D" w:rsidRPr="00443075">
        <w:rPr>
          <w:rFonts w:ascii="Arial" w:hAnsi="Arial"/>
          <w:sz w:val="22"/>
          <w:szCs w:val="22"/>
        </w:rPr>
        <w:t>three</w:t>
      </w:r>
      <w:r w:rsidRPr="00443075">
        <w:rPr>
          <w:rFonts w:ascii="Arial" w:hAnsi="Arial"/>
          <w:sz w:val="22"/>
          <w:szCs w:val="22"/>
        </w:rPr>
        <w:t xml:space="preserve"> year time horizon was used for infliximab for acute severe ulcerative colitis (infliximab, ulcerative colitis PSD, March 2013).</w:t>
      </w:r>
      <w:r w:rsidR="00FF021D" w:rsidRPr="00443075">
        <w:rPr>
          <w:rFonts w:ascii="Arial" w:hAnsi="Arial"/>
          <w:sz w:val="22"/>
          <w:szCs w:val="22"/>
        </w:rPr>
        <w:t xml:space="preserve"> The pre-PBAC response argued that a comparison of HS with ulcerative colitis is not clinically appropriate considering that ulcerative colitis is an acute condition, requiring treatment with infliximab for only six weeks.</w:t>
      </w:r>
      <w:r w:rsidR="001C5C4F" w:rsidRPr="00443075">
        <w:rPr>
          <w:rFonts w:ascii="Arial" w:hAnsi="Arial"/>
          <w:sz w:val="22"/>
          <w:szCs w:val="22"/>
        </w:rPr>
        <w:t xml:space="preserve"> In this regard, a 10 year time horizon was used for infliximab for moderate to severe (chronic) ulcerative colitis</w:t>
      </w:r>
      <w:r w:rsidR="00672EC8" w:rsidRPr="00443075">
        <w:rPr>
          <w:rFonts w:ascii="Arial" w:hAnsi="Arial"/>
          <w:sz w:val="22"/>
          <w:szCs w:val="22"/>
        </w:rPr>
        <w:t xml:space="preserve"> (infliximab, PSD, March 2014)</w:t>
      </w:r>
      <w:r w:rsidR="001C5C4F" w:rsidRPr="00443075">
        <w:rPr>
          <w:rFonts w:ascii="Arial" w:hAnsi="Arial"/>
          <w:sz w:val="22"/>
          <w:szCs w:val="22"/>
        </w:rPr>
        <w:t>.</w:t>
      </w:r>
    </w:p>
    <w:p w:rsidR="00F44244" w:rsidRPr="00443075" w:rsidRDefault="00F44244">
      <w:pPr>
        <w:pStyle w:val="ListParagraph"/>
        <w:rPr>
          <w:rFonts w:ascii="Arial" w:hAnsi="Arial"/>
          <w:sz w:val="22"/>
          <w:szCs w:val="22"/>
        </w:rPr>
      </w:pPr>
    </w:p>
    <w:p w:rsidR="00940B1C" w:rsidRPr="00443075" w:rsidRDefault="00F44244">
      <w:pPr>
        <w:pStyle w:val="ListParagraph"/>
        <w:numPr>
          <w:ilvl w:val="1"/>
          <w:numId w:val="1"/>
        </w:numPr>
        <w:jc w:val="both"/>
        <w:rPr>
          <w:rFonts w:ascii="Arial" w:hAnsi="Arial"/>
          <w:sz w:val="22"/>
          <w:szCs w:val="22"/>
        </w:rPr>
      </w:pPr>
      <w:r w:rsidRPr="00443075">
        <w:rPr>
          <w:rFonts w:ascii="Arial" w:hAnsi="Arial"/>
          <w:sz w:val="22"/>
          <w:szCs w:val="22"/>
        </w:rPr>
        <w:t>I</w:t>
      </w:r>
      <w:r w:rsidR="00940B1C" w:rsidRPr="00443075">
        <w:rPr>
          <w:rFonts w:ascii="Arial" w:hAnsi="Arial"/>
          <w:sz w:val="22"/>
          <w:szCs w:val="22"/>
        </w:rPr>
        <w:t xml:space="preserve">f the time horizon and convergence of benefit period were reduced to 10 years, for example, the </w:t>
      </w:r>
      <w:r w:rsidR="00DB4CAB" w:rsidRPr="00443075">
        <w:rPr>
          <w:rFonts w:ascii="Arial" w:hAnsi="Arial"/>
          <w:sz w:val="22"/>
          <w:szCs w:val="22"/>
        </w:rPr>
        <w:t xml:space="preserve">minor re-submission </w:t>
      </w:r>
      <w:r w:rsidR="00940B1C" w:rsidRPr="00443075">
        <w:rPr>
          <w:rFonts w:ascii="Arial" w:hAnsi="Arial"/>
          <w:sz w:val="22"/>
          <w:szCs w:val="22"/>
        </w:rPr>
        <w:t>base case ICER increased to $</w:t>
      </w:r>
      <w:r w:rsidR="000A56E3">
        <w:rPr>
          <w:rFonts w:ascii="Arial" w:hAnsi="Arial"/>
          <w:sz w:val="22"/>
          <w:szCs w:val="22"/>
        </w:rPr>
        <w:t>75,000</w:t>
      </w:r>
      <w:r w:rsidR="00E84677">
        <w:rPr>
          <w:rFonts w:ascii="Arial" w:hAnsi="Arial"/>
          <w:sz w:val="22"/>
          <w:szCs w:val="22"/>
        </w:rPr>
        <w:t xml:space="preserve"> - $10</w:t>
      </w:r>
      <w:r w:rsidR="000A56E3">
        <w:rPr>
          <w:rFonts w:ascii="Arial" w:hAnsi="Arial"/>
          <w:sz w:val="22"/>
          <w:szCs w:val="22"/>
        </w:rPr>
        <w:t>5,000</w:t>
      </w:r>
      <w:r w:rsidR="00940B1C" w:rsidRPr="00443075">
        <w:rPr>
          <w:rFonts w:ascii="Arial" w:hAnsi="Arial"/>
          <w:sz w:val="22"/>
          <w:szCs w:val="22"/>
        </w:rPr>
        <w:t xml:space="preserve">. </w:t>
      </w:r>
      <w:r w:rsidR="00E13833" w:rsidRPr="00443075">
        <w:rPr>
          <w:rFonts w:ascii="Arial" w:hAnsi="Arial"/>
          <w:sz w:val="22"/>
          <w:szCs w:val="22"/>
        </w:rPr>
        <w:t>Given</w:t>
      </w:r>
      <w:r w:rsidR="00940B1C" w:rsidRPr="00443075">
        <w:rPr>
          <w:rFonts w:ascii="Arial" w:hAnsi="Arial"/>
          <w:sz w:val="22"/>
          <w:szCs w:val="22"/>
        </w:rPr>
        <w:t xml:space="preserve"> the method used to </w:t>
      </w:r>
      <w:proofErr w:type="gramStart"/>
      <w:r w:rsidR="00940B1C" w:rsidRPr="00443075">
        <w:rPr>
          <w:rFonts w:ascii="Arial" w:hAnsi="Arial"/>
          <w:sz w:val="22"/>
          <w:szCs w:val="22"/>
        </w:rPr>
        <w:t>converge</w:t>
      </w:r>
      <w:proofErr w:type="gramEnd"/>
      <w:r w:rsidR="00940B1C" w:rsidRPr="00443075">
        <w:rPr>
          <w:rFonts w:ascii="Arial" w:hAnsi="Arial"/>
          <w:sz w:val="22"/>
          <w:szCs w:val="22"/>
        </w:rPr>
        <w:t xml:space="preserve"> the benefit to 10 years in the pre-PBAC model, it was not possible to calculate a similar figure for a 5 year period</w:t>
      </w:r>
      <w:r w:rsidRPr="00443075">
        <w:rPr>
          <w:rFonts w:ascii="Arial" w:hAnsi="Arial"/>
          <w:sz w:val="22"/>
          <w:szCs w:val="22"/>
        </w:rPr>
        <w:t xml:space="preserve"> (however this would increase the ICER to beyond $</w:t>
      </w:r>
      <w:r w:rsidR="001947C0">
        <w:rPr>
          <w:rFonts w:ascii="Arial" w:hAnsi="Arial"/>
          <w:sz w:val="22"/>
          <w:szCs w:val="22"/>
        </w:rPr>
        <w:t>75,000 - $105,000</w:t>
      </w:r>
      <w:r w:rsidRPr="00443075">
        <w:rPr>
          <w:rFonts w:ascii="Arial" w:hAnsi="Arial"/>
          <w:sz w:val="22"/>
          <w:szCs w:val="22"/>
        </w:rPr>
        <w:t xml:space="preserve"> per QALY).</w:t>
      </w:r>
    </w:p>
    <w:p w:rsidR="00BB07B1" w:rsidRPr="00443075" w:rsidRDefault="00BB07B1" w:rsidP="0040535C">
      <w:pPr>
        <w:pStyle w:val="ListParagraph"/>
        <w:rPr>
          <w:rFonts w:ascii="Arial" w:hAnsi="Arial"/>
          <w:sz w:val="22"/>
          <w:szCs w:val="22"/>
        </w:rPr>
      </w:pPr>
    </w:p>
    <w:p w:rsidR="00BB07B1" w:rsidRPr="00443075" w:rsidRDefault="00BB07B1" w:rsidP="00BB07B1">
      <w:pPr>
        <w:pStyle w:val="ListParagraph"/>
        <w:numPr>
          <w:ilvl w:val="1"/>
          <w:numId w:val="1"/>
        </w:numPr>
        <w:jc w:val="both"/>
        <w:rPr>
          <w:rFonts w:ascii="Arial" w:hAnsi="Arial"/>
          <w:sz w:val="22"/>
          <w:szCs w:val="22"/>
        </w:rPr>
      </w:pPr>
      <w:r w:rsidRPr="00443075">
        <w:rPr>
          <w:rFonts w:ascii="Arial" w:hAnsi="Arial" w:cs="Arial"/>
          <w:bCs/>
          <w:snapToGrid w:val="0"/>
          <w:sz w:val="22"/>
          <w:szCs w:val="20"/>
        </w:rPr>
        <w:t xml:space="preserve">The PBAC considered that if the uncertainties with the model were addressed, a basis for a PBAC recommendation for PBS listing for HS would require a price that produces an acceptable ICER. In this regard, the PBAC considered that an ICER in the range of $40,000 to $45,000 per QALY would be acceptable to enable </w:t>
      </w:r>
      <w:proofErr w:type="spellStart"/>
      <w:r w:rsidRPr="00443075">
        <w:rPr>
          <w:rFonts w:ascii="Arial" w:hAnsi="Arial" w:cs="Arial"/>
          <w:bCs/>
          <w:snapToGrid w:val="0"/>
          <w:sz w:val="22"/>
          <w:szCs w:val="20"/>
        </w:rPr>
        <w:t>adalimumab</w:t>
      </w:r>
      <w:proofErr w:type="spellEnd"/>
      <w:r w:rsidRPr="00443075">
        <w:rPr>
          <w:rFonts w:ascii="Arial" w:hAnsi="Arial" w:cs="Arial"/>
          <w:bCs/>
          <w:snapToGrid w:val="0"/>
          <w:sz w:val="22"/>
          <w:szCs w:val="20"/>
        </w:rPr>
        <w:t xml:space="preserve"> to be considered cost-effective for use in HS. </w:t>
      </w:r>
    </w:p>
    <w:p w:rsidR="00EB45ED" w:rsidRPr="00443075" w:rsidRDefault="00EB45ED"/>
    <w:p w:rsidR="00A55FEE" w:rsidRPr="00443075" w:rsidRDefault="000660FE" w:rsidP="00565AC7">
      <w:pPr>
        <w:pStyle w:val="Heading2"/>
        <w:keepNext/>
      </w:pPr>
      <w:r w:rsidRPr="00443075">
        <w:t>Drug cost/patient/year</w:t>
      </w:r>
      <w:r w:rsidR="00A55FEE" w:rsidRPr="00443075">
        <w:t>: $</w:t>
      </w:r>
      <w:r w:rsidR="00565AC7">
        <w:rPr>
          <w:noProof/>
          <w:color w:val="000000"/>
          <w:highlight w:val="black"/>
        </w:rPr>
        <w:t>''''''''''''</w:t>
      </w:r>
    </w:p>
    <w:p w:rsidR="00A55FEE" w:rsidRPr="00443075" w:rsidRDefault="00A55FEE" w:rsidP="0040535C">
      <w:pPr>
        <w:keepNext/>
        <w:ind w:left="720" w:hanging="720"/>
        <w:jc w:val="both"/>
        <w:rPr>
          <w:rFonts w:ascii="Arial" w:hAnsi="Arial"/>
          <w:b/>
          <w:i/>
          <w:sz w:val="22"/>
          <w:szCs w:val="22"/>
        </w:rPr>
      </w:pPr>
    </w:p>
    <w:p w:rsidR="00A052C2" w:rsidRPr="00443075" w:rsidRDefault="001F02A9">
      <w:pPr>
        <w:pStyle w:val="ListParagraph"/>
        <w:numPr>
          <w:ilvl w:val="1"/>
          <w:numId w:val="1"/>
        </w:numPr>
        <w:jc w:val="both"/>
        <w:rPr>
          <w:rFonts w:ascii="Arial" w:hAnsi="Arial"/>
          <w:sz w:val="22"/>
          <w:szCs w:val="22"/>
        </w:rPr>
      </w:pPr>
      <w:r w:rsidRPr="00443075">
        <w:rPr>
          <w:rFonts w:ascii="Arial" w:hAnsi="Arial"/>
          <w:sz w:val="22"/>
          <w:szCs w:val="22"/>
        </w:rPr>
        <w:t>For 12 months of treatment</w:t>
      </w:r>
      <w:r w:rsidR="000660FE" w:rsidRPr="00443075">
        <w:rPr>
          <w:rFonts w:ascii="Arial" w:hAnsi="Arial"/>
          <w:sz w:val="22"/>
          <w:szCs w:val="22"/>
        </w:rPr>
        <w:t>:</w:t>
      </w:r>
      <w:r w:rsidR="00B70092" w:rsidRPr="00443075">
        <w:rPr>
          <w:rFonts w:ascii="Arial" w:hAnsi="Arial"/>
          <w:sz w:val="22"/>
          <w:szCs w:val="22"/>
        </w:rPr>
        <w:t xml:space="preserve"> </w:t>
      </w:r>
      <w:r w:rsidRPr="00443075">
        <w:rPr>
          <w:rFonts w:ascii="Arial" w:hAnsi="Arial"/>
          <w:sz w:val="22"/>
          <w:szCs w:val="22"/>
        </w:rPr>
        <w:t xml:space="preserve"> </w:t>
      </w:r>
      <w:r w:rsidR="000660FE" w:rsidRPr="00443075">
        <w:rPr>
          <w:rFonts w:ascii="Arial" w:hAnsi="Arial"/>
          <w:sz w:val="22"/>
          <w:szCs w:val="22"/>
        </w:rPr>
        <w:t>one</w:t>
      </w:r>
      <w:r w:rsidRPr="00443075">
        <w:rPr>
          <w:rFonts w:ascii="Arial" w:hAnsi="Arial"/>
          <w:sz w:val="22"/>
          <w:szCs w:val="22"/>
        </w:rPr>
        <w:t xml:space="preserve"> initial prescription (4 weeks) for the induction script with an effective DPMQ of $</w:t>
      </w:r>
      <w:r w:rsidR="00565AC7">
        <w:rPr>
          <w:rFonts w:ascii="Arial" w:hAnsi="Arial"/>
          <w:noProof/>
          <w:color w:val="000000"/>
          <w:sz w:val="22"/>
          <w:szCs w:val="22"/>
          <w:highlight w:val="black"/>
        </w:rPr>
        <w:t>'''''''''''''''''''''</w:t>
      </w:r>
      <w:r w:rsidRPr="00443075">
        <w:rPr>
          <w:rFonts w:ascii="Arial" w:hAnsi="Arial"/>
          <w:sz w:val="22"/>
          <w:szCs w:val="22"/>
        </w:rPr>
        <w:t xml:space="preserve"> (6*40 mg) per script and 12 prescriptions (remaining 48 weeks) for the continuation scripts with $</w:t>
      </w:r>
      <w:r w:rsidR="00565AC7">
        <w:rPr>
          <w:rFonts w:ascii="Arial" w:hAnsi="Arial"/>
          <w:noProof/>
          <w:color w:val="000000"/>
          <w:sz w:val="22"/>
          <w:szCs w:val="22"/>
          <w:highlight w:val="black"/>
        </w:rPr>
        <w:t>''''''''''''''''''''''</w:t>
      </w:r>
      <w:r w:rsidRPr="00443075">
        <w:rPr>
          <w:rFonts w:ascii="Arial" w:hAnsi="Arial"/>
          <w:sz w:val="22"/>
          <w:szCs w:val="22"/>
        </w:rPr>
        <w:t xml:space="preserve"> (2*40 mg) per script. For 16 weeks (up to continuation </w:t>
      </w:r>
      <w:r w:rsidR="00980390" w:rsidRPr="00443075">
        <w:rPr>
          <w:rFonts w:ascii="Arial" w:hAnsi="Arial"/>
          <w:sz w:val="22"/>
          <w:szCs w:val="22"/>
        </w:rPr>
        <w:t>one</w:t>
      </w:r>
      <w:r w:rsidRPr="00443075">
        <w:rPr>
          <w:rFonts w:ascii="Arial" w:hAnsi="Arial"/>
          <w:sz w:val="22"/>
          <w:szCs w:val="22"/>
        </w:rPr>
        <w:t xml:space="preserve"> assessment) supply the drug cost per patient is $</w:t>
      </w:r>
      <w:r w:rsidR="00565AC7">
        <w:rPr>
          <w:rFonts w:ascii="Arial" w:hAnsi="Arial"/>
          <w:noProof/>
          <w:color w:val="000000"/>
          <w:sz w:val="22"/>
          <w:szCs w:val="22"/>
          <w:highlight w:val="black"/>
        </w:rPr>
        <w:t>''''''''''''''''''''''</w:t>
      </w:r>
      <w:r w:rsidRPr="00443075">
        <w:rPr>
          <w:rFonts w:ascii="Arial" w:hAnsi="Arial"/>
          <w:sz w:val="22"/>
          <w:szCs w:val="22"/>
        </w:rPr>
        <w:t xml:space="preserve"> which is </w:t>
      </w:r>
      <w:r w:rsidR="00980390" w:rsidRPr="00443075">
        <w:rPr>
          <w:rFonts w:ascii="Arial" w:hAnsi="Arial"/>
          <w:sz w:val="22"/>
          <w:szCs w:val="22"/>
        </w:rPr>
        <w:t>one</w:t>
      </w:r>
      <w:r w:rsidRPr="00443075">
        <w:rPr>
          <w:rFonts w:ascii="Arial" w:hAnsi="Arial"/>
          <w:sz w:val="22"/>
          <w:szCs w:val="22"/>
        </w:rPr>
        <w:t xml:space="preserve"> initial prescription $</w:t>
      </w:r>
      <w:r w:rsidR="00565AC7">
        <w:rPr>
          <w:rFonts w:ascii="Arial" w:hAnsi="Arial"/>
          <w:noProof/>
          <w:color w:val="000000"/>
          <w:sz w:val="22"/>
          <w:szCs w:val="22"/>
          <w:highlight w:val="black"/>
        </w:rPr>
        <w:t>'''''''''''''''''''''</w:t>
      </w:r>
      <w:r w:rsidRPr="00443075">
        <w:rPr>
          <w:rFonts w:ascii="Arial" w:hAnsi="Arial"/>
          <w:sz w:val="22"/>
          <w:szCs w:val="22"/>
        </w:rPr>
        <w:t xml:space="preserve"> and </w:t>
      </w:r>
      <w:r w:rsidR="00980390" w:rsidRPr="00443075">
        <w:rPr>
          <w:rFonts w:ascii="Arial" w:hAnsi="Arial"/>
          <w:sz w:val="22"/>
          <w:szCs w:val="22"/>
        </w:rPr>
        <w:t>three</w:t>
      </w:r>
      <w:r w:rsidRPr="00443075">
        <w:rPr>
          <w:rFonts w:ascii="Arial" w:hAnsi="Arial"/>
          <w:sz w:val="22"/>
          <w:szCs w:val="22"/>
        </w:rPr>
        <w:t xml:space="preserve"> prescriptions at $</w:t>
      </w:r>
      <w:r w:rsidR="00565AC7">
        <w:rPr>
          <w:rFonts w:ascii="Arial" w:hAnsi="Arial"/>
          <w:noProof/>
          <w:color w:val="000000"/>
          <w:sz w:val="22"/>
          <w:szCs w:val="22"/>
          <w:highlight w:val="black"/>
        </w:rPr>
        <w:t>'''''''''''''''''''</w:t>
      </w:r>
      <w:r w:rsidRPr="00443075">
        <w:rPr>
          <w:rFonts w:ascii="Arial" w:hAnsi="Arial"/>
          <w:sz w:val="22"/>
          <w:szCs w:val="22"/>
        </w:rPr>
        <w:t xml:space="preserve"> each.</w:t>
      </w:r>
      <w:r w:rsidR="00980390" w:rsidRPr="00443075">
        <w:rPr>
          <w:rFonts w:ascii="Arial" w:hAnsi="Arial"/>
          <w:sz w:val="22"/>
          <w:szCs w:val="22"/>
        </w:rPr>
        <w:t xml:space="preserve"> </w:t>
      </w:r>
      <w:r w:rsidR="00733D34" w:rsidRPr="00443075">
        <w:rPr>
          <w:rFonts w:ascii="Arial" w:hAnsi="Arial"/>
          <w:sz w:val="22"/>
          <w:szCs w:val="22"/>
        </w:rPr>
        <w:t>These drug costs have not been updated to account for the revised price offer in the pre-</w:t>
      </w:r>
      <w:r w:rsidR="00DB4CAB" w:rsidRPr="00443075">
        <w:rPr>
          <w:rFonts w:ascii="Arial" w:hAnsi="Arial"/>
          <w:sz w:val="22"/>
          <w:szCs w:val="22"/>
        </w:rPr>
        <w:t>PBAC response (see paragraph 2.6</w:t>
      </w:r>
      <w:r w:rsidR="00733D34" w:rsidRPr="00443075">
        <w:rPr>
          <w:rFonts w:ascii="Arial" w:hAnsi="Arial"/>
          <w:sz w:val="22"/>
          <w:szCs w:val="22"/>
        </w:rPr>
        <w:t>).</w:t>
      </w:r>
    </w:p>
    <w:p w:rsidR="00A55FEE" w:rsidRPr="00443075" w:rsidRDefault="00A55FEE">
      <w:pPr>
        <w:ind w:left="720" w:hanging="720"/>
        <w:jc w:val="both"/>
        <w:rPr>
          <w:rFonts w:ascii="Arial" w:hAnsi="Arial"/>
          <w:b/>
          <w:i/>
          <w:sz w:val="22"/>
          <w:szCs w:val="22"/>
        </w:rPr>
      </w:pPr>
    </w:p>
    <w:p w:rsidR="005A3173" w:rsidRPr="00443075" w:rsidRDefault="005A3173" w:rsidP="00565AC7">
      <w:pPr>
        <w:pStyle w:val="Heading2"/>
      </w:pPr>
      <w:r w:rsidRPr="00443075">
        <w:t>Estimated PBS usage &amp; financial implications</w:t>
      </w:r>
    </w:p>
    <w:p w:rsidR="005A3173" w:rsidRPr="00443075" w:rsidRDefault="005A3173">
      <w:pPr>
        <w:ind w:left="720" w:hanging="720"/>
        <w:jc w:val="both"/>
        <w:rPr>
          <w:rFonts w:ascii="Arial" w:hAnsi="Arial"/>
          <w:b/>
          <w:i/>
          <w:sz w:val="22"/>
          <w:szCs w:val="22"/>
        </w:rPr>
      </w:pPr>
    </w:p>
    <w:p w:rsidR="00C00DA7" w:rsidRPr="00443075" w:rsidRDefault="00C00DA7">
      <w:pPr>
        <w:pStyle w:val="ListParagraph"/>
        <w:numPr>
          <w:ilvl w:val="1"/>
          <w:numId w:val="1"/>
        </w:numPr>
        <w:jc w:val="both"/>
        <w:rPr>
          <w:rFonts w:ascii="Arial" w:hAnsi="Arial"/>
          <w:color w:val="FF00FF"/>
          <w:sz w:val="22"/>
          <w:szCs w:val="22"/>
        </w:rPr>
      </w:pPr>
      <w:r w:rsidRPr="00443075">
        <w:rPr>
          <w:rFonts w:ascii="Arial" w:hAnsi="Arial"/>
          <w:sz w:val="22"/>
          <w:szCs w:val="22"/>
        </w:rPr>
        <w:t xml:space="preserve">The minor </w:t>
      </w:r>
      <w:r w:rsidR="000660FE" w:rsidRPr="00443075">
        <w:rPr>
          <w:rFonts w:ascii="Arial" w:hAnsi="Arial"/>
          <w:sz w:val="22"/>
          <w:szCs w:val="22"/>
        </w:rPr>
        <w:t>re-</w:t>
      </w:r>
      <w:r w:rsidRPr="00443075">
        <w:rPr>
          <w:rFonts w:ascii="Arial" w:hAnsi="Arial"/>
          <w:sz w:val="22"/>
          <w:szCs w:val="22"/>
        </w:rPr>
        <w:t>submission estimate</w:t>
      </w:r>
      <w:r w:rsidR="007B0C83" w:rsidRPr="00443075">
        <w:rPr>
          <w:rFonts w:ascii="Arial" w:hAnsi="Arial"/>
          <w:sz w:val="22"/>
          <w:szCs w:val="22"/>
        </w:rPr>
        <w:t>d</w:t>
      </w:r>
      <w:r w:rsidRPr="00443075">
        <w:rPr>
          <w:rFonts w:ascii="Arial" w:hAnsi="Arial"/>
          <w:sz w:val="22"/>
          <w:szCs w:val="22"/>
        </w:rPr>
        <w:t xml:space="preserve"> a net cost to the PBS of $</w:t>
      </w:r>
      <w:r w:rsidR="00994C1D">
        <w:rPr>
          <w:rFonts w:ascii="Arial" w:hAnsi="Arial"/>
          <w:sz w:val="22"/>
          <w:szCs w:val="22"/>
        </w:rPr>
        <w:t>10 - $20 million</w:t>
      </w:r>
      <w:r w:rsidRPr="00443075">
        <w:rPr>
          <w:rFonts w:ascii="Arial" w:hAnsi="Arial"/>
          <w:sz w:val="22"/>
          <w:szCs w:val="22"/>
        </w:rPr>
        <w:t xml:space="preserve"> in Year 5 of listing, with a total net cost to the PBS of $</w:t>
      </w:r>
      <w:r w:rsidR="00994C1D">
        <w:rPr>
          <w:rFonts w:ascii="Arial" w:hAnsi="Arial"/>
          <w:sz w:val="22"/>
          <w:szCs w:val="22"/>
        </w:rPr>
        <w:t>30 - $60 million</w:t>
      </w:r>
      <w:r w:rsidRPr="00443075">
        <w:rPr>
          <w:rFonts w:ascii="Arial" w:hAnsi="Arial"/>
          <w:sz w:val="22"/>
          <w:szCs w:val="22"/>
        </w:rPr>
        <w:t xml:space="preserve"> over the first 5 years of listing. This is summarised in the table below as well as the expected patient/prescription numbers.</w:t>
      </w:r>
    </w:p>
    <w:p w:rsidR="007B0C83" w:rsidRPr="00443075" w:rsidRDefault="007B0C83">
      <w:pPr>
        <w:pStyle w:val="ListParagraph"/>
        <w:jc w:val="both"/>
        <w:rPr>
          <w:rFonts w:ascii="Arial" w:hAnsi="Arial"/>
          <w:color w:val="FF00FF"/>
          <w:sz w:val="22"/>
          <w:szCs w:val="22"/>
        </w:rPr>
      </w:pPr>
    </w:p>
    <w:p w:rsidR="00556F1E" w:rsidRPr="00443075" w:rsidRDefault="00556F1E">
      <w:pPr>
        <w:pStyle w:val="NoSpacing"/>
        <w:keepNext/>
        <w:ind w:left="709"/>
        <w:rPr>
          <w:rStyle w:val="CommentReference"/>
          <w:rFonts w:ascii="Arial Narrow" w:hAnsi="Arial Narrow"/>
          <w:b/>
          <w:sz w:val="20"/>
          <w:szCs w:val="22"/>
        </w:rPr>
      </w:pPr>
      <w:r w:rsidRPr="00443075">
        <w:rPr>
          <w:rFonts w:ascii="Arial Narrow" w:hAnsi="Arial Narrow"/>
          <w:b/>
          <w:sz w:val="20"/>
        </w:rPr>
        <w:t xml:space="preserve">Table </w:t>
      </w:r>
      <w:r w:rsidR="003C79F8" w:rsidRPr="00443075">
        <w:rPr>
          <w:rFonts w:ascii="Arial Narrow" w:hAnsi="Arial Narrow"/>
          <w:b/>
          <w:sz w:val="20"/>
        </w:rPr>
        <w:t>3</w:t>
      </w:r>
      <w:r w:rsidR="00315EAA" w:rsidRPr="00443075">
        <w:rPr>
          <w:rFonts w:ascii="Arial Narrow" w:hAnsi="Arial Narrow"/>
          <w:b/>
          <w:sz w:val="20"/>
        </w:rPr>
        <w:t>:</w:t>
      </w:r>
      <w:r w:rsidRPr="00443075">
        <w:rPr>
          <w:rFonts w:ascii="Arial Narrow" w:hAnsi="Arial Narrow"/>
          <w:b/>
          <w:sz w:val="20"/>
        </w:rPr>
        <w:tab/>
        <w:t>Estimated use and financial implications using revised price offer</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6"/>
        <w:gridCol w:w="1221"/>
        <w:gridCol w:w="1221"/>
        <w:gridCol w:w="1221"/>
        <w:gridCol w:w="1221"/>
        <w:gridCol w:w="1223"/>
      </w:tblGrid>
      <w:tr w:rsidR="00BB0857" w:rsidRPr="00443075" w:rsidTr="00D83A84">
        <w:trPr>
          <w:tblHeader/>
        </w:trPr>
        <w:tc>
          <w:tcPr>
            <w:tcW w:w="1349" w:type="pct"/>
            <w:tcMar>
              <w:top w:w="0" w:type="dxa"/>
              <w:left w:w="28" w:type="dxa"/>
              <w:bottom w:w="0" w:type="dxa"/>
              <w:right w:w="28" w:type="dxa"/>
            </w:tcMar>
            <w:vAlign w:val="center"/>
          </w:tcPr>
          <w:p w:rsidR="00556F1E" w:rsidRPr="00443075" w:rsidRDefault="00556F1E">
            <w:pPr>
              <w:keepNext/>
              <w:snapToGrid w:val="0"/>
              <w:spacing w:line="276" w:lineRule="auto"/>
              <w:rPr>
                <w:rFonts w:ascii="Arial Narrow" w:hAnsi="Arial Narrow"/>
                <w:b/>
                <w:bCs/>
                <w:sz w:val="20"/>
                <w:szCs w:val="20"/>
                <w:lang w:eastAsia="en-US"/>
              </w:rPr>
            </w:pPr>
          </w:p>
        </w:tc>
        <w:tc>
          <w:tcPr>
            <w:tcW w:w="730" w:type="pct"/>
            <w:tcMar>
              <w:top w:w="0" w:type="dxa"/>
              <w:left w:w="28" w:type="dxa"/>
              <w:bottom w:w="0" w:type="dxa"/>
              <w:right w:w="28" w:type="dxa"/>
            </w:tcMar>
            <w:vAlign w:val="center"/>
            <w:hideMark/>
          </w:tcPr>
          <w:p w:rsidR="00556F1E" w:rsidRPr="00443075" w:rsidRDefault="00556F1E">
            <w:pPr>
              <w:keepNext/>
              <w:snapToGrid w:val="0"/>
              <w:spacing w:line="276" w:lineRule="auto"/>
              <w:jc w:val="both"/>
              <w:rPr>
                <w:rFonts w:ascii="Arial Narrow" w:hAnsi="Arial Narrow"/>
                <w:b/>
                <w:bCs/>
                <w:sz w:val="20"/>
                <w:szCs w:val="20"/>
                <w:lang w:eastAsia="en-US"/>
              </w:rPr>
            </w:pPr>
            <w:r w:rsidRPr="00443075">
              <w:rPr>
                <w:rFonts w:ascii="Arial Narrow" w:hAnsi="Arial Narrow"/>
                <w:b/>
                <w:bCs/>
                <w:sz w:val="20"/>
                <w:szCs w:val="20"/>
              </w:rPr>
              <w:t>Year 1</w:t>
            </w:r>
          </w:p>
        </w:tc>
        <w:tc>
          <w:tcPr>
            <w:tcW w:w="730" w:type="pct"/>
            <w:tcMar>
              <w:top w:w="0" w:type="dxa"/>
              <w:left w:w="28" w:type="dxa"/>
              <w:bottom w:w="0" w:type="dxa"/>
              <w:right w:w="28" w:type="dxa"/>
            </w:tcMar>
            <w:vAlign w:val="center"/>
            <w:hideMark/>
          </w:tcPr>
          <w:p w:rsidR="00556F1E" w:rsidRPr="00443075" w:rsidRDefault="00556F1E">
            <w:pPr>
              <w:keepNext/>
              <w:snapToGrid w:val="0"/>
              <w:spacing w:line="276" w:lineRule="auto"/>
              <w:jc w:val="both"/>
              <w:rPr>
                <w:rFonts w:ascii="Arial Narrow" w:hAnsi="Arial Narrow"/>
                <w:b/>
                <w:bCs/>
                <w:sz w:val="20"/>
                <w:szCs w:val="20"/>
                <w:lang w:eastAsia="en-US"/>
              </w:rPr>
            </w:pPr>
            <w:r w:rsidRPr="00443075">
              <w:rPr>
                <w:rFonts w:ascii="Arial Narrow" w:hAnsi="Arial Narrow"/>
                <w:b/>
                <w:bCs/>
                <w:sz w:val="20"/>
                <w:szCs w:val="20"/>
              </w:rPr>
              <w:t>Year 2</w:t>
            </w:r>
          </w:p>
        </w:tc>
        <w:tc>
          <w:tcPr>
            <w:tcW w:w="730" w:type="pct"/>
            <w:tcMar>
              <w:top w:w="0" w:type="dxa"/>
              <w:left w:w="28" w:type="dxa"/>
              <w:bottom w:w="0" w:type="dxa"/>
              <w:right w:w="28" w:type="dxa"/>
            </w:tcMar>
            <w:vAlign w:val="center"/>
            <w:hideMark/>
          </w:tcPr>
          <w:p w:rsidR="00556F1E" w:rsidRPr="00443075" w:rsidRDefault="00556F1E">
            <w:pPr>
              <w:keepNext/>
              <w:snapToGrid w:val="0"/>
              <w:spacing w:line="276" w:lineRule="auto"/>
              <w:jc w:val="both"/>
              <w:rPr>
                <w:rFonts w:ascii="Arial Narrow" w:hAnsi="Arial Narrow"/>
                <w:b/>
                <w:bCs/>
                <w:sz w:val="20"/>
                <w:szCs w:val="20"/>
                <w:lang w:eastAsia="en-US"/>
              </w:rPr>
            </w:pPr>
            <w:r w:rsidRPr="00443075">
              <w:rPr>
                <w:rFonts w:ascii="Arial Narrow" w:hAnsi="Arial Narrow"/>
                <w:b/>
                <w:bCs/>
                <w:sz w:val="20"/>
                <w:szCs w:val="20"/>
              </w:rPr>
              <w:t>Year 3</w:t>
            </w:r>
          </w:p>
        </w:tc>
        <w:tc>
          <w:tcPr>
            <w:tcW w:w="730" w:type="pct"/>
            <w:tcMar>
              <w:top w:w="0" w:type="dxa"/>
              <w:left w:w="28" w:type="dxa"/>
              <w:bottom w:w="0" w:type="dxa"/>
              <w:right w:w="28" w:type="dxa"/>
            </w:tcMar>
            <w:vAlign w:val="center"/>
            <w:hideMark/>
          </w:tcPr>
          <w:p w:rsidR="00556F1E" w:rsidRPr="00443075" w:rsidRDefault="00556F1E">
            <w:pPr>
              <w:keepNext/>
              <w:snapToGrid w:val="0"/>
              <w:spacing w:line="276" w:lineRule="auto"/>
              <w:jc w:val="both"/>
              <w:rPr>
                <w:rFonts w:ascii="Arial Narrow" w:hAnsi="Arial Narrow"/>
                <w:b/>
                <w:bCs/>
                <w:sz w:val="20"/>
                <w:szCs w:val="20"/>
                <w:lang w:eastAsia="en-US"/>
              </w:rPr>
            </w:pPr>
            <w:r w:rsidRPr="00443075">
              <w:rPr>
                <w:rFonts w:ascii="Arial Narrow" w:hAnsi="Arial Narrow"/>
                <w:b/>
                <w:bCs/>
                <w:sz w:val="20"/>
                <w:szCs w:val="20"/>
              </w:rPr>
              <w:t>Year 4</w:t>
            </w:r>
          </w:p>
        </w:tc>
        <w:tc>
          <w:tcPr>
            <w:tcW w:w="731" w:type="pct"/>
            <w:tcMar>
              <w:top w:w="0" w:type="dxa"/>
              <w:left w:w="28" w:type="dxa"/>
              <w:bottom w:w="0" w:type="dxa"/>
              <w:right w:w="28" w:type="dxa"/>
            </w:tcMar>
            <w:vAlign w:val="center"/>
            <w:hideMark/>
          </w:tcPr>
          <w:p w:rsidR="00556F1E" w:rsidRPr="00443075" w:rsidRDefault="00556F1E">
            <w:pPr>
              <w:keepNext/>
              <w:snapToGrid w:val="0"/>
              <w:spacing w:line="276" w:lineRule="auto"/>
              <w:jc w:val="both"/>
              <w:rPr>
                <w:rFonts w:ascii="Arial Narrow" w:hAnsi="Arial Narrow"/>
                <w:b/>
                <w:bCs/>
                <w:sz w:val="20"/>
                <w:szCs w:val="20"/>
                <w:lang w:eastAsia="en-US"/>
              </w:rPr>
            </w:pPr>
            <w:r w:rsidRPr="00443075">
              <w:rPr>
                <w:rFonts w:ascii="Arial Narrow" w:hAnsi="Arial Narrow"/>
                <w:b/>
                <w:bCs/>
                <w:sz w:val="20"/>
                <w:szCs w:val="20"/>
              </w:rPr>
              <w:t>Year 5</w:t>
            </w:r>
          </w:p>
        </w:tc>
      </w:tr>
      <w:tr w:rsidR="00556F1E" w:rsidRPr="00443075" w:rsidTr="00D83A84">
        <w:tc>
          <w:tcPr>
            <w:tcW w:w="5000" w:type="pct"/>
            <w:gridSpan w:val="6"/>
            <w:tcMar>
              <w:top w:w="0" w:type="dxa"/>
              <w:left w:w="28" w:type="dxa"/>
              <w:bottom w:w="0" w:type="dxa"/>
              <w:right w:w="28" w:type="dxa"/>
            </w:tcMar>
            <w:vAlign w:val="center"/>
            <w:hideMark/>
          </w:tcPr>
          <w:p w:rsidR="00556F1E" w:rsidRPr="00443075" w:rsidRDefault="00556F1E" w:rsidP="00322E23">
            <w:pPr>
              <w:keepNext/>
              <w:snapToGrid w:val="0"/>
              <w:spacing w:line="276" w:lineRule="auto"/>
              <w:rPr>
                <w:rFonts w:ascii="Arial Narrow" w:hAnsi="Arial Narrow"/>
                <w:b/>
                <w:bCs/>
                <w:color w:val="000000"/>
                <w:sz w:val="20"/>
                <w:szCs w:val="20"/>
                <w:lang w:eastAsia="en-US"/>
              </w:rPr>
            </w:pPr>
            <w:r w:rsidRPr="00443075">
              <w:rPr>
                <w:rFonts w:ascii="Arial Narrow" w:hAnsi="Arial Narrow"/>
                <w:b/>
                <w:bCs/>
                <w:color w:val="000000"/>
                <w:sz w:val="20"/>
                <w:szCs w:val="20"/>
              </w:rPr>
              <w:t>Estimated extent of use</w:t>
            </w:r>
          </w:p>
        </w:tc>
      </w:tr>
      <w:tr w:rsidR="00BB0857" w:rsidRPr="00443075" w:rsidTr="00D83A84">
        <w:tc>
          <w:tcPr>
            <w:tcW w:w="1349" w:type="pct"/>
            <w:tcMar>
              <w:top w:w="0" w:type="dxa"/>
              <w:left w:w="28" w:type="dxa"/>
              <w:bottom w:w="0" w:type="dxa"/>
              <w:right w:w="28" w:type="dxa"/>
            </w:tcMar>
            <w:vAlign w:val="center"/>
            <w:hideMark/>
          </w:tcPr>
          <w:p w:rsidR="00556F1E" w:rsidRPr="00443075" w:rsidRDefault="00556F1E" w:rsidP="00322E23">
            <w:pPr>
              <w:keepNext/>
              <w:snapToGrid w:val="0"/>
              <w:spacing w:line="276" w:lineRule="auto"/>
              <w:rPr>
                <w:rFonts w:ascii="Arial Narrow" w:hAnsi="Arial Narrow"/>
                <w:sz w:val="20"/>
                <w:szCs w:val="20"/>
                <w:lang w:eastAsia="en-US"/>
              </w:rPr>
            </w:pPr>
            <w:r w:rsidRPr="00443075">
              <w:rPr>
                <w:rFonts w:ascii="Arial Narrow" w:hAnsi="Arial Narrow"/>
                <w:sz w:val="20"/>
                <w:szCs w:val="20"/>
              </w:rPr>
              <w:t>Number eligible</w:t>
            </w:r>
          </w:p>
        </w:tc>
        <w:tc>
          <w:tcPr>
            <w:tcW w:w="730" w:type="pct"/>
            <w:tcMar>
              <w:top w:w="0" w:type="dxa"/>
              <w:left w:w="28" w:type="dxa"/>
              <w:bottom w:w="0" w:type="dxa"/>
              <w:right w:w="28" w:type="dxa"/>
            </w:tcMar>
            <w:vAlign w:val="bottom"/>
            <w:hideMark/>
          </w:tcPr>
          <w:p w:rsidR="00556F1E" w:rsidRPr="00565AC7" w:rsidRDefault="00565AC7" w:rsidP="00A655FB">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0" w:type="pct"/>
            <w:tcMar>
              <w:top w:w="0" w:type="dxa"/>
              <w:left w:w="28" w:type="dxa"/>
              <w:bottom w:w="0" w:type="dxa"/>
              <w:right w:w="28" w:type="dxa"/>
            </w:tcMar>
            <w:vAlign w:val="bottom"/>
            <w:hideMark/>
          </w:tcPr>
          <w:p w:rsidR="00556F1E" w:rsidRPr="00565AC7" w:rsidRDefault="00565AC7" w:rsidP="00087B7E">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0" w:type="pct"/>
            <w:tcMar>
              <w:top w:w="0" w:type="dxa"/>
              <w:left w:w="28" w:type="dxa"/>
              <w:bottom w:w="0" w:type="dxa"/>
              <w:right w:w="28" w:type="dxa"/>
            </w:tcMar>
            <w:vAlign w:val="bottom"/>
            <w:hideMark/>
          </w:tcPr>
          <w:p w:rsidR="00556F1E" w:rsidRPr="00565AC7" w:rsidRDefault="00565AC7" w:rsidP="005E34D0">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0" w:type="pct"/>
            <w:tcMar>
              <w:top w:w="0" w:type="dxa"/>
              <w:left w:w="28" w:type="dxa"/>
              <w:bottom w:w="0" w:type="dxa"/>
              <w:right w:w="28" w:type="dxa"/>
            </w:tcMar>
            <w:vAlign w:val="bottom"/>
            <w:hideMark/>
          </w:tcPr>
          <w:p w:rsidR="00556F1E" w:rsidRPr="00565AC7" w:rsidRDefault="00565AC7">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1" w:type="pct"/>
            <w:tcMar>
              <w:top w:w="0" w:type="dxa"/>
              <w:left w:w="28" w:type="dxa"/>
              <w:bottom w:w="0" w:type="dxa"/>
              <w:right w:w="28" w:type="dxa"/>
            </w:tcMar>
            <w:vAlign w:val="bottom"/>
            <w:hideMark/>
          </w:tcPr>
          <w:p w:rsidR="00556F1E" w:rsidRPr="00565AC7" w:rsidRDefault="00565AC7">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r>
      <w:tr w:rsidR="00BB0857" w:rsidRPr="00443075" w:rsidTr="00D83A84">
        <w:tc>
          <w:tcPr>
            <w:tcW w:w="1349" w:type="pct"/>
            <w:tcMar>
              <w:top w:w="0" w:type="dxa"/>
              <w:left w:w="28" w:type="dxa"/>
              <w:bottom w:w="0" w:type="dxa"/>
              <w:right w:w="28" w:type="dxa"/>
            </w:tcMar>
            <w:vAlign w:val="center"/>
            <w:hideMark/>
          </w:tcPr>
          <w:p w:rsidR="00556F1E" w:rsidRPr="00443075" w:rsidRDefault="00556F1E" w:rsidP="00322E23">
            <w:pPr>
              <w:keepNext/>
              <w:snapToGrid w:val="0"/>
              <w:spacing w:line="276" w:lineRule="auto"/>
              <w:rPr>
                <w:rFonts w:ascii="Arial Narrow" w:hAnsi="Arial Narrow"/>
                <w:sz w:val="20"/>
                <w:szCs w:val="20"/>
                <w:lang w:eastAsia="en-US"/>
              </w:rPr>
            </w:pPr>
            <w:r w:rsidRPr="00443075">
              <w:rPr>
                <w:rFonts w:ascii="Arial Narrow" w:hAnsi="Arial Narrow"/>
                <w:sz w:val="20"/>
                <w:szCs w:val="20"/>
              </w:rPr>
              <w:t>Uptake rate</w:t>
            </w:r>
          </w:p>
        </w:tc>
        <w:tc>
          <w:tcPr>
            <w:tcW w:w="730" w:type="pct"/>
            <w:tcMar>
              <w:top w:w="0" w:type="dxa"/>
              <w:left w:w="28" w:type="dxa"/>
              <w:bottom w:w="0" w:type="dxa"/>
              <w:right w:w="28" w:type="dxa"/>
            </w:tcMar>
            <w:vAlign w:val="bottom"/>
            <w:hideMark/>
          </w:tcPr>
          <w:p w:rsidR="00556F1E" w:rsidRPr="00443075" w:rsidRDefault="00565AC7" w:rsidP="00A655FB">
            <w:pPr>
              <w:keepNext/>
              <w:snapToGrid w:val="0"/>
              <w:spacing w:line="276" w:lineRule="auto"/>
              <w:jc w:val="both"/>
              <w:rPr>
                <w:rFonts w:ascii="Arial Narrow" w:hAnsi="Arial Narrow"/>
                <w:sz w:val="20"/>
                <w:szCs w:val="20"/>
                <w:lang w:eastAsia="en-US"/>
              </w:rPr>
            </w:pPr>
            <w:r>
              <w:rPr>
                <w:rFonts w:ascii="Arial Narrow" w:hAnsi="Arial Narrow"/>
                <w:noProof/>
                <w:color w:val="000000"/>
                <w:sz w:val="20"/>
                <w:szCs w:val="20"/>
                <w:highlight w:val="black"/>
              </w:rPr>
              <w:t>'''''''''''</w:t>
            </w:r>
            <w:r w:rsidR="00556F1E" w:rsidRPr="00443075">
              <w:rPr>
                <w:rFonts w:ascii="Arial Narrow" w:hAnsi="Arial Narrow"/>
                <w:sz w:val="20"/>
                <w:szCs w:val="20"/>
              </w:rPr>
              <w:t>%</w:t>
            </w:r>
          </w:p>
        </w:tc>
        <w:tc>
          <w:tcPr>
            <w:tcW w:w="730" w:type="pct"/>
            <w:tcMar>
              <w:top w:w="0" w:type="dxa"/>
              <w:left w:w="28" w:type="dxa"/>
              <w:bottom w:w="0" w:type="dxa"/>
              <w:right w:w="28" w:type="dxa"/>
            </w:tcMar>
            <w:vAlign w:val="bottom"/>
            <w:hideMark/>
          </w:tcPr>
          <w:p w:rsidR="00556F1E" w:rsidRPr="00443075" w:rsidRDefault="00565AC7" w:rsidP="00087B7E">
            <w:pPr>
              <w:keepNext/>
              <w:snapToGrid w:val="0"/>
              <w:spacing w:line="276" w:lineRule="auto"/>
              <w:jc w:val="both"/>
              <w:rPr>
                <w:rFonts w:ascii="Arial Narrow" w:hAnsi="Arial Narrow"/>
                <w:sz w:val="20"/>
                <w:szCs w:val="20"/>
                <w:lang w:eastAsia="en-US"/>
              </w:rPr>
            </w:pPr>
            <w:r>
              <w:rPr>
                <w:rFonts w:ascii="Arial Narrow" w:hAnsi="Arial Narrow"/>
                <w:noProof/>
                <w:color w:val="000000"/>
                <w:sz w:val="20"/>
                <w:szCs w:val="20"/>
                <w:highlight w:val="black"/>
              </w:rPr>
              <w:t>'''''''''''</w:t>
            </w:r>
            <w:r w:rsidR="00556F1E" w:rsidRPr="00443075">
              <w:rPr>
                <w:rFonts w:ascii="Arial Narrow" w:hAnsi="Arial Narrow"/>
                <w:sz w:val="20"/>
                <w:szCs w:val="20"/>
              </w:rPr>
              <w:t>%</w:t>
            </w:r>
          </w:p>
        </w:tc>
        <w:tc>
          <w:tcPr>
            <w:tcW w:w="730" w:type="pct"/>
            <w:tcMar>
              <w:top w:w="0" w:type="dxa"/>
              <w:left w:w="28" w:type="dxa"/>
              <w:bottom w:w="0" w:type="dxa"/>
              <w:right w:w="28" w:type="dxa"/>
            </w:tcMar>
            <w:vAlign w:val="bottom"/>
            <w:hideMark/>
          </w:tcPr>
          <w:p w:rsidR="00556F1E" w:rsidRPr="00443075" w:rsidRDefault="00565AC7" w:rsidP="005E34D0">
            <w:pPr>
              <w:keepNext/>
              <w:snapToGrid w:val="0"/>
              <w:spacing w:line="276" w:lineRule="auto"/>
              <w:jc w:val="both"/>
              <w:rPr>
                <w:rFonts w:ascii="Arial Narrow" w:hAnsi="Arial Narrow"/>
                <w:sz w:val="20"/>
                <w:szCs w:val="20"/>
                <w:lang w:eastAsia="en-US"/>
              </w:rPr>
            </w:pPr>
            <w:r>
              <w:rPr>
                <w:rFonts w:ascii="Arial Narrow" w:hAnsi="Arial Narrow"/>
                <w:noProof/>
                <w:color w:val="000000"/>
                <w:sz w:val="20"/>
                <w:szCs w:val="20"/>
                <w:highlight w:val="black"/>
              </w:rPr>
              <w:t>''''''''''</w:t>
            </w:r>
            <w:r w:rsidR="00556F1E" w:rsidRPr="00443075">
              <w:rPr>
                <w:rFonts w:ascii="Arial Narrow" w:hAnsi="Arial Narrow"/>
                <w:sz w:val="20"/>
                <w:szCs w:val="20"/>
              </w:rPr>
              <w:t>%</w:t>
            </w:r>
          </w:p>
        </w:tc>
        <w:tc>
          <w:tcPr>
            <w:tcW w:w="730" w:type="pct"/>
            <w:tcMar>
              <w:top w:w="0" w:type="dxa"/>
              <w:left w:w="28" w:type="dxa"/>
              <w:bottom w:w="0" w:type="dxa"/>
              <w:right w:w="28" w:type="dxa"/>
            </w:tcMar>
            <w:vAlign w:val="bottom"/>
            <w:hideMark/>
          </w:tcPr>
          <w:p w:rsidR="00556F1E" w:rsidRPr="00443075" w:rsidRDefault="00565AC7">
            <w:pPr>
              <w:keepNext/>
              <w:snapToGrid w:val="0"/>
              <w:spacing w:line="276" w:lineRule="auto"/>
              <w:jc w:val="both"/>
              <w:rPr>
                <w:rFonts w:ascii="Arial Narrow" w:hAnsi="Arial Narrow"/>
                <w:sz w:val="20"/>
                <w:szCs w:val="20"/>
                <w:lang w:eastAsia="en-US"/>
              </w:rPr>
            </w:pPr>
            <w:r>
              <w:rPr>
                <w:rFonts w:ascii="Arial Narrow" w:hAnsi="Arial Narrow"/>
                <w:noProof/>
                <w:color w:val="000000"/>
                <w:sz w:val="20"/>
                <w:szCs w:val="20"/>
                <w:highlight w:val="black"/>
              </w:rPr>
              <w:t>''''''''''</w:t>
            </w:r>
            <w:r w:rsidR="00556F1E" w:rsidRPr="00443075">
              <w:rPr>
                <w:rFonts w:ascii="Arial Narrow" w:hAnsi="Arial Narrow"/>
                <w:sz w:val="20"/>
                <w:szCs w:val="20"/>
              </w:rPr>
              <w:t>%</w:t>
            </w:r>
          </w:p>
        </w:tc>
        <w:tc>
          <w:tcPr>
            <w:tcW w:w="731" w:type="pct"/>
            <w:tcMar>
              <w:top w:w="0" w:type="dxa"/>
              <w:left w:w="28" w:type="dxa"/>
              <w:bottom w:w="0" w:type="dxa"/>
              <w:right w:w="28" w:type="dxa"/>
            </w:tcMar>
            <w:vAlign w:val="bottom"/>
            <w:hideMark/>
          </w:tcPr>
          <w:p w:rsidR="00556F1E" w:rsidRPr="00443075" w:rsidRDefault="00565AC7">
            <w:pPr>
              <w:keepNext/>
              <w:snapToGrid w:val="0"/>
              <w:spacing w:line="276" w:lineRule="auto"/>
              <w:jc w:val="both"/>
              <w:rPr>
                <w:rFonts w:ascii="Arial Narrow" w:hAnsi="Arial Narrow"/>
                <w:sz w:val="20"/>
                <w:szCs w:val="20"/>
                <w:lang w:eastAsia="en-US"/>
              </w:rPr>
            </w:pPr>
            <w:r>
              <w:rPr>
                <w:rFonts w:ascii="Arial Narrow" w:hAnsi="Arial Narrow"/>
                <w:noProof/>
                <w:color w:val="000000"/>
                <w:sz w:val="20"/>
                <w:szCs w:val="20"/>
                <w:highlight w:val="black"/>
              </w:rPr>
              <w:t>''''''''''</w:t>
            </w:r>
            <w:r w:rsidR="00556F1E" w:rsidRPr="00443075">
              <w:rPr>
                <w:rFonts w:ascii="Arial Narrow" w:hAnsi="Arial Narrow"/>
                <w:sz w:val="20"/>
                <w:szCs w:val="20"/>
              </w:rPr>
              <w:t>%</w:t>
            </w:r>
          </w:p>
        </w:tc>
      </w:tr>
      <w:tr w:rsidR="00BB0857" w:rsidRPr="00443075" w:rsidTr="00D83A84">
        <w:tc>
          <w:tcPr>
            <w:tcW w:w="1349" w:type="pct"/>
            <w:tcMar>
              <w:top w:w="0" w:type="dxa"/>
              <w:left w:w="28" w:type="dxa"/>
              <w:bottom w:w="0" w:type="dxa"/>
              <w:right w:w="28" w:type="dxa"/>
            </w:tcMar>
            <w:vAlign w:val="center"/>
            <w:hideMark/>
          </w:tcPr>
          <w:p w:rsidR="00556F1E" w:rsidRPr="00443075" w:rsidRDefault="00556F1E" w:rsidP="00322E23">
            <w:pPr>
              <w:keepNext/>
              <w:snapToGrid w:val="0"/>
              <w:spacing w:line="276" w:lineRule="auto"/>
              <w:rPr>
                <w:rFonts w:ascii="Arial Narrow" w:hAnsi="Arial Narrow"/>
                <w:sz w:val="20"/>
                <w:szCs w:val="20"/>
                <w:lang w:eastAsia="en-US"/>
              </w:rPr>
            </w:pPr>
            <w:r w:rsidRPr="00443075">
              <w:rPr>
                <w:rFonts w:ascii="Arial Narrow" w:hAnsi="Arial Narrow"/>
                <w:sz w:val="20"/>
                <w:szCs w:val="20"/>
              </w:rPr>
              <w:t>Number treated</w:t>
            </w:r>
          </w:p>
        </w:tc>
        <w:tc>
          <w:tcPr>
            <w:tcW w:w="730" w:type="pct"/>
            <w:tcMar>
              <w:top w:w="0" w:type="dxa"/>
              <w:left w:w="28" w:type="dxa"/>
              <w:bottom w:w="0" w:type="dxa"/>
              <w:right w:w="28" w:type="dxa"/>
            </w:tcMar>
            <w:vAlign w:val="bottom"/>
            <w:hideMark/>
          </w:tcPr>
          <w:p w:rsidR="00556F1E" w:rsidRPr="00565AC7" w:rsidRDefault="00565AC7" w:rsidP="00A655FB">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0" w:type="pct"/>
            <w:tcMar>
              <w:top w:w="0" w:type="dxa"/>
              <w:left w:w="28" w:type="dxa"/>
              <w:bottom w:w="0" w:type="dxa"/>
              <w:right w:w="28" w:type="dxa"/>
            </w:tcMar>
            <w:vAlign w:val="bottom"/>
            <w:hideMark/>
          </w:tcPr>
          <w:p w:rsidR="00556F1E" w:rsidRPr="00565AC7" w:rsidRDefault="00565AC7" w:rsidP="00087B7E">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0" w:type="pct"/>
            <w:tcMar>
              <w:top w:w="0" w:type="dxa"/>
              <w:left w:w="28" w:type="dxa"/>
              <w:bottom w:w="0" w:type="dxa"/>
              <w:right w:w="28" w:type="dxa"/>
            </w:tcMar>
            <w:vAlign w:val="bottom"/>
            <w:hideMark/>
          </w:tcPr>
          <w:p w:rsidR="00556F1E" w:rsidRPr="00565AC7" w:rsidRDefault="00565AC7" w:rsidP="005E34D0">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0" w:type="pct"/>
            <w:tcMar>
              <w:top w:w="0" w:type="dxa"/>
              <w:left w:w="28" w:type="dxa"/>
              <w:bottom w:w="0" w:type="dxa"/>
              <w:right w:w="28" w:type="dxa"/>
            </w:tcMar>
            <w:vAlign w:val="bottom"/>
            <w:hideMark/>
          </w:tcPr>
          <w:p w:rsidR="00556F1E" w:rsidRPr="00565AC7" w:rsidRDefault="00565AC7">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1" w:type="pct"/>
            <w:tcMar>
              <w:top w:w="0" w:type="dxa"/>
              <w:left w:w="28" w:type="dxa"/>
              <w:bottom w:w="0" w:type="dxa"/>
              <w:right w:w="28" w:type="dxa"/>
            </w:tcMar>
            <w:vAlign w:val="bottom"/>
            <w:hideMark/>
          </w:tcPr>
          <w:p w:rsidR="00556F1E" w:rsidRPr="00565AC7" w:rsidRDefault="00565AC7">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r>
      <w:tr w:rsidR="00BB0857" w:rsidRPr="00443075" w:rsidTr="00D83A84">
        <w:tc>
          <w:tcPr>
            <w:tcW w:w="1349" w:type="pct"/>
            <w:tcMar>
              <w:top w:w="0" w:type="dxa"/>
              <w:left w:w="28" w:type="dxa"/>
              <w:bottom w:w="0" w:type="dxa"/>
              <w:right w:w="28" w:type="dxa"/>
            </w:tcMar>
            <w:hideMark/>
          </w:tcPr>
          <w:p w:rsidR="00556F1E" w:rsidRPr="00443075" w:rsidRDefault="00556F1E" w:rsidP="00322E23">
            <w:pPr>
              <w:keepNext/>
              <w:snapToGrid w:val="0"/>
              <w:spacing w:line="276" w:lineRule="auto"/>
              <w:rPr>
                <w:rFonts w:ascii="Arial Narrow" w:hAnsi="Arial Narrow"/>
                <w:sz w:val="20"/>
                <w:szCs w:val="20"/>
                <w:lang w:eastAsia="en-US"/>
              </w:rPr>
            </w:pPr>
            <w:r w:rsidRPr="00443075">
              <w:rPr>
                <w:rFonts w:ascii="Arial Narrow" w:hAnsi="Arial Narrow"/>
                <w:sz w:val="20"/>
                <w:szCs w:val="20"/>
              </w:rPr>
              <w:t>6x40 mg pack (initial script)</w:t>
            </w:r>
            <w:r w:rsidRPr="00443075">
              <w:rPr>
                <w:rFonts w:ascii="Arial Narrow" w:hAnsi="Arial Narrow"/>
                <w:sz w:val="20"/>
                <w:szCs w:val="20"/>
                <w:vertAlign w:val="superscript"/>
              </w:rPr>
              <w:t>a</w:t>
            </w:r>
          </w:p>
        </w:tc>
        <w:tc>
          <w:tcPr>
            <w:tcW w:w="730" w:type="pct"/>
            <w:tcMar>
              <w:top w:w="0" w:type="dxa"/>
              <w:left w:w="28" w:type="dxa"/>
              <w:bottom w:w="0" w:type="dxa"/>
              <w:right w:w="28" w:type="dxa"/>
            </w:tcMar>
            <w:vAlign w:val="bottom"/>
            <w:hideMark/>
          </w:tcPr>
          <w:p w:rsidR="00556F1E" w:rsidRPr="00565AC7" w:rsidRDefault="00565AC7" w:rsidP="00A655FB">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0" w:type="pct"/>
            <w:tcMar>
              <w:top w:w="0" w:type="dxa"/>
              <w:left w:w="28" w:type="dxa"/>
              <w:bottom w:w="0" w:type="dxa"/>
              <w:right w:w="28" w:type="dxa"/>
            </w:tcMar>
            <w:vAlign w:val="bottom"/>
            <w:hideMark/>
          </w:tcPr>
          <w:p w:rsidR="00556F1E" w:rsidRPr="00565AC7" w:rsidRDefault="00565AC7" w:rsidP="00087B7E">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0" w:type="pct"/>
            <w:tcMar>
              <w:top w:w="0" w:type="dxa"/>
              <w:left w:w="28" w:type="dxa"/>
              <w:bottom w:w="0" w:type="dxa"/>
              <w:right w:w="28" w:type="dxa"/>
            </w:tcMar>
            <w:vAlign w:val="bottom"/>
            <w:hideMark/>
          </w:tcPr>
          <w:p w:rsidR="00556F1E" w:rsidRPr="00565AC7" w:rsidRDefault="00565AC7" w:rsidP="005E34D0">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0" w:type="pct"/>
            <w:tcMar>
              <w:top w:w="0" w:type="dxa"/>
              <w:left w:w="28" w:type="dxa"/>
              <w:bottom w:w="0" w:type="dxa"/>
              <w:right w:w="28" w:type="dxa"/>
            </w:tcMar>
            <w:vAlign w:val="bottom"/>
            <w:hideMark/>
          </w:tcPr>
          <w:p w:rsidR="00556F1E" w:rsidRPr="00565AC7" w:rsidRDefault="00565AC7">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1" w:type="pct"/>
            <w:tcMar>
              <w:top w:w="0" w:type="dxa"/>
              <w:left w:w="28" w:type="dxa"/>
              <w:bottom w:w="0" w:type="dxa"/>
              <w:right w:w="28" w:type="dxa"/>
            </w:tcMar>
            <w:vAlign w:val="bottom"/>
            <w:hideMark/>
          </w:tcPr>
          <w:p w:rsidR="00556F1E" w:rsidRPr="00565AC7" w:rsidRDefault="00565AC7">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r>
      <w:tr w:rsidR="00BB0857" w:rsidRPr="00443075" w:rsidTr="00D83A84">
        <w:tc>
          <w:tcPr>
            <w:tcW w:w="1349" w:type="pct"/>
            <w:tcMar>
              <w:top w:w="0" w:type="dxa"/>
              <w:left w:w="28" w:type="dxa"/>
              <w:bottom w:w="0" w:type="dxa"/>
              <w:right w:w="28" w:type="dxa"/>
            </w:tcMar>
            <w:hideMark/>
          </w:tcPr>
          <w:p w:rsidR="00556F1E" w:rsidRPr="00443075" w:rsidRDefault="00556F1E" w:rsidP="00322E23">
            <w:pPr>
              <w:keepNext/>
              <w:snapToGrid w:val="0"/>
              <w:spacing w:line="276" w:lineRule="auto"/>
              <w:rPr>
                <w:rFonts w:ascii="Arial Narrow" w:hAnsi="Arial Narrow"/>
                <w:sz w:val="20"/>
                <w:szCs w:val="20"/>
                <w:lang w:eastAsia="en-US"/>
              </w:rPr>
            </w:pPr>
            <w:r w:rsidRPr="00443075">
              <w:rPr>
                <w:rFonts w:ascii="Arial Narrow" w:hAnsi="Arial Narrow"/>
                <w:sz w:val="20"/>
                <w:szCs w:val="20"/>
              </w:rPr>
              <w:t>2 x (2x40 mg pack)</w:t>
            </w:r>
            <w:r w:rsidRPr="00443075">
              <w:rPr>
                <w:rFonts w:ascii="Arial Narrow" w:hAnsi="Arial Narrow"/>
                <w:sz w:val="20"/>
                <w:szCs w:val="20"/>
                <w:vertAlign w:val="superscript"/>
              </w:rPr>
              <w:t>a</w:t>
            </w:r>
          </w:p>
        </w:tc>
        <w:tc>
          <w:tcPr>
            <w:tcW w:w="730" w:type="pct"/>
            <w:tcMar>
              <w:top w:w="0" w:type="dxa"/>
              <w:left w:w="28" w:type="dxa"/>
              <w:bottom w:w="0" w:type="dxa"/>
              <w:right w:w="28" w:type="dxa"/>
            </w:tcMar>
            <w:vAlign w:val="bottom"/>
            <w:hideMark/>
          </w:tcPr>
          <w:p w:rsidR="00556F1E" w:rsidRPr="00565AC7" w:rsidRDefault="00565AC7" w:rsidP="00A655FB">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0" w:type="pct"/>
            <w:tcMar>
              <w:top w:w="0" w:type="dxa"/>
              <w:left w:w="28" w:type="dxa"/>
              <w:bottom w:w="0" w:type="dxa"/>
              <w:right w:w="28" w:type="dxa"/>
            </w:tcMar>
            <w:vAlign w:val="bottom"/>
            <w:hideMark/>
          </w:tcPr>
          <w:p w:rsidR="00556F1E" w:rsidRPr="00565AC7" w:rsidRDefault="00565AC7" w:rsidP="00087B7E">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0" w:type="pct"/>
            <w:tcMar>
              <w:top w:w="0" w:type="dxa"/>
              <w:left w:w="28" w:type="dxa"/>
              <w:bottom w:w="0" w:type="dxa"/>
              <w:right w:w="28" w:type="dxa"/>
            </w:tcMar>
            <w:vAlign w:val="bottom"/>
            <w:hideMark/>
          </w:tcPr>
          <w:p w:rsidR="00556F1E" w:rsidRPr="00565AC7" w:rsidRDefault="00565AC7" w:rsidP="005E34D0">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0" w:type="pct"/>
            <w:tcMar>
              <w:top w:w="0" w:type="dxa"/>
              <w:left w:w="28" w:type="dxa"/>
              <w:bottom w:w="0" w:type="dxa"/>
              <w:right w:w="28" w:type="dxa"/>
            </w:tcMar>
            <w:vAlign w:val="bottom"/>
            <w:hideMark/>
          </w:tcPr>
          <w:p w:rsidR="00556F1E" w:rsidRPr="00565AC7" w:rsidRDefault="00565AC7">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c>
          <w:tcPr>
            <w:tcW w:w="731" w:type="pct"/>
            <w:tcMar>
              <w:top w:w="0" w:type="dxa"/>
              <w:left w:w="28" w:type="dxa"/>
              <w:bottom w:w="0" w:type="dxa"/>
              <w:right w:w="28" w:type="dxa"/>
            </w:tcMar>
            <w:vAlign w:val="bottom"/>
            <w:hideMark/>
          </w:tcPr>
          <w:p w:rsidR="00556F1E" w:rsidRPr="00565AC7" w:rsidRDefault="00565AC7">
            <w:pPr>
              <w:keepNext/>
              <w:snapToGrid w:val="0"/>
              <w:spacing w:line="276" w:lineRule="auto"/>
              <w:jc w:val="both"/>
              <w:rPr>
                <w:rFonts w:ascii="Arial Narrow" w:hAnsi="Arial Narrow"/>
                <w:sz w:val="20"/>
                <w:szCs w:val="20"/>
                <w:highlight w:val="black"/>
                <w:lang w:eastAsia="en-US"/>
              </w:rPr>
            </w:pPr>
            <w:r>
              <w:rPr>
                <w:rFonts w:ascii="Arial Narrow" w:hAnsi="Arial Narrow"/>
                <w:noProof/>
                <w:color w:val="000000"/>
                <w:sz w:val="20"/>
                <w:szCs w:val="20"/>
                <w:highlight w:val="black"/>
              </w:rPr>
              <w:t>'''''''''''''</w:t>
            </w:r>
            <w:r w:rsidR="00556F1E" w:rsidRPr="00565AC7">
              <w:rPr>
                <w:rFonts w:ascii="Arial Narrow" w:hAnsi="Arial Narrow"/>
                <w:sz w:val="20"/>
                <w:szCs w:val="20"/>
                <w:highlight w:val="black"/>
              </w:rPr>
              <w:t xml:space="preserve"> </w:t>
            </w:r>
          </w:p>
        </w:tc>
      </w:tr>
      <w:tr w:rsidR="00556F1E" w:rsidRPr="00443075" w:rsidTr="00D83A84">
        <w:tc>
          <w:tcPr>
            <w:tcW w:w="5000" w:type="pct"/>
            <w:gridSpan w:val="6"/>
            <w:tcMar>
              <w:top w:w="0" w:type="dxa"/>
              <w:left w:w="28" w:type="dxa"/>
              <w:bottom w:w="0" w:type="dxa"/>
              <w:right w:w="28" w:type="dxa"/>
            </w:tcMar>
            <w:vAlign w:val="center"/>
            <w:hideMark/>
          </w:tcPr>
          <w:p w:rsidR="00556F1E" w:rsidRPr="00443075" w:rsidRDefault="00556F1E" w:rsidP="00322E23">
            <w:pPr>
              <w:keepNext/>
              <w:snapToGrid w:val="0"/>
              <w:spacing w:line="276" w:lineRule="auto"/>
              <w:rPr>
                <w:rFonts w:ascii="Arial Narrow" w:hAnsi="Arial Narrow"/>
                <w:b/>
                <w:bCs/>
                <w:color w:val="000000"/>
                <w:sz w:val="20"/>
                <w:szCs w:val="20"/>
                <w:lang w:eastAsia="en-US"/>
              </w:rPr>
            </w:pPr>
            <w:r w:rsidRPr="00443075">
              <w:rPr>
                <w:rFonts w:ascii="Arial Narrow" w:hAnsi="Arial Narrow"/>
                <w:b/>
                <w:bCs/>
                <w:color w:val="000000"/>
                <w:sz w:val="20"/>
                <w:szCs w:val="20"/>
              </w:rPr>
              <w:t>Estimated net cost to PBS/RPBS/MBS</w:t>
            </w:r>
          </w:p>
        </w:tc>
      </w:tr>
      <w:tr w:rsidR="00BB0857" w:rsidRPr="00443075" w:rsidTr="00D83A84">
        <w:tc>
          <w:tcPr>
            <w:tcW w:w="1349" w:type="pct"/>
            <w:tcMar>
              <w:top w:w="0" w:type="dxa"/>
              <w:left w:w="28" w:type="dxa"/>
              <w:bottom w:w="0" w:type="dxa"/>
              <w:right w:w="28" w:type="dxa"/>
            </w:tcMar>
            <w:vAlign w:val="center"/>
            <w:hideMark/>
          </w:tcPr>
          <w:p w:rsidR="00556F1E" w:rsidRPr="00443075" w:rsidRDefault="00556F1E" w:rsidP="00322E23">
            <w:pPr>
              <w:keepNext/>
              <w:snapToGrid w:val="0"/>
              <w:spacing w:line="276" w:lineRule="auto"/>
              <w:rPr>
                <w:rFonts w:ascii="Arial Narrow" w:hAnsi="Arial Narrow"/>
                <w:sz w:val="20"/>
                <w:szCs w:val="20"/>
                <w:lang w:eastAsia="en-US"/>
              </w:rPr>
            </w:pPr>
            <w:r w:rsidRPr="00443075">
              <w:rPr>
                <w:rFonts w:ascii="Arial Narrow" w:hAnsi="Arial Narrow"/>
                <w:sz w:val="20"/>
                <w:szCs w:val="20"/>
              </w:rPr>
              <w:t>Net cost to PBS/RPBS</w:t>
            </w:r>
          </w:p>
        </w:tc>
        <w:tc>
          <w:tcPr>
            <w:tcW w:w="730" w:type="pct"/>
            <w:tcMar>
              <w:top w:w="0" w:type="dxa"/>
              <w:left w:w="28" w:type="dxa"/>
              <w:bottom w:w="0" w:type="dxa"/>
              <w:right w:w="28" w:type="dxa"/>
            </w:tcMar>
            <w:vAlign w:val="bottom"/>
            <w:hideMark/>
          </w:tcPr>
          <w:p w:rsidR="00556F1E" w:rsidRPr="00443075" w:rsidRDefault="00556F1E" w:rsidP="00A655FB">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c>
          <w:tcPr>
            <w:tcW w:w="730" w:type="pct"/>
            <w:tcMar>
              <w:top w:w="0" w:type="dxa"/>
              <w:left w:w="28" w:type="dxa"/>
              <w:bottom w:w="0" w:type="dxa"/>
              <w:right w:w="28" w:type="dxa"/>
            </w:tcMar>
            <w:vAlign w:val="bottom"/>
            <w:hideMark/>
          </w:tcPr>
          <w:p w:rsidR="00556F1E" w:rsidRPr="00443075" w:rsidRDefault="00556F1E" w:rsidP="00087B7E">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c>
          <w:tcPr>
            <w:tcW w:w="730" w:type="pct"/>
            <w:tcMar>
              <w:top w:w="0" w:type="dxa"/>
              <w:left w:w="28" w:type="dxa"/>
              <w:bottom w:w="0" w:type="dxa"/>
              <w:right w:w="28" w:type="dxa"/>
            </w:tcMar>
            <w:vAlign w:val="bottom"/>
            <w:hideMark/>
          </w:tcPr>
          <w:p w:rsidR="00556F1E" w:rsidRPr="00443075" w:rsidRDefault="00556F1E" w:rsidP="005E34D0">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c>
          <w:tcPr>
            <w:tcW w:w="730" w:type="pct"/>
            <w:tcMar>
              <w:top w:w="0" w:type="dxa"/>
              <w:left w:w="28" w:type="dxa"/>
              <w:bottom w:w="0" w:type="dxa"/>
              <w:right w:w="28" w:type="dxa"/>
            </w:tcMar>
            <w:vAlign w:val="bottom"/>
            <w:hideMark/>
          </w:tcPr>
          <w:p w:rsidR="00556F1E" w:rsidRPr="00443075" w:rsidRDefault="00556F1E">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c>
          <w:tcPr>
            <w:tcW w:w="731" w:type="pct"/>
            <w:tcMar>
              <w:top w:w="0" w:type="dxa"/>
              <w:left w:w="28" w:type="dxa"/>
              <w:bottom w:w="0" w:type="dxa"/>
              <w:right w:w="28" w:type="dxa"/>
            </w:tcMar>
            <w:vAlign w:val="bottom"/>
            <w:hideMark/>
          </w:tcPr>
          <w:p w:rsidR="00556F1E" w:rsidRPr="00443075" w:rsidRDefault="00556F1E">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r>
      <w:tr w:rsidR="00BB0857" w:rsidRPr="00443075" w:rsidTr="00D83A84">
        <w:tc>
          <w:tcPr>
            <w:tcW w:w="1349" w:type="pct"/>
            <w:tcMar>
              <w:top w:w="0" w:type="dxa"/>
              <w:left w:w="28" w:type="dxa"/>
              <w:bottom w:w="0" w:type="dxa"/>
              <w:right w:w="28" w:type="dxa"/>
            </w:tcMar>
            <w:vAlign w:val="center"/>
            <w:hideMark/>
          </w:tcPr>
          <w:p w:rsidR="00556F1E" w:rsidRPr="00443075" w:rsidRDefault="00556F1E" w:rsidP="00322E23">
            <w:pPr>
              <w:keepNext/>
              <w:snapToGrid w:val="0"/>
              <w:spacing w:line="276" w:lineRule="auto"/>
              <w:rPr>
                <w:rFonts w:ascii="Arial Narrow" w:hAnsi="Arial Narrow"/>
                <w:sz w:val="20"/>
                <w:szCs w:val="20"/>
                <w:lang w:eastAsia="en-US"/>
              </w:rPr>
            </w:pPr>
            <w:r w:rsidRPr="00443075">
              <w:rPr>
                <w:rFonts w:ascii="Arial Narrow" w:hAnsi="Arial Narrow"/>
                <w:sz w:val="20"/>
                <w:szCs w:val="20"/>
              </w:rPr>
              <w:t>Net cost to MBS</w:t>
            </w:r>
          </w:p>
        </w:tc>
        <w:tc>
          <w:tcPr>
            <w:tcW w:w="730" w:type="pct"/>
            <w:tcMar>
              <w:top w:w="0" w:type="dxa"/>
              <w:left w:w="28" w:type="dxa"/>
              <w:bottom w:w="0" w:type="dxa"/>
              <w:right w:w="28" w:type="dxa"/>
            </w:tcMar>
            <w:vAlign w:val="center"/>
            <w:hideMark/>
          </w:tcPr>
          <w:p w:rsidR="00556F1E" w:rsidRPr="00443075" w:rsidRDefault="00556F1E" w:rsidP="00A655FB">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NA</w:t>
            </w:r>
          </w:p>
        </w:tc>
        <w:tc>
          <w:tcPr>
            <w:tcW w:w="730" w:type="pct"/>
            <w:tcMar>
              <w:top w:w="0" w:type="dxa"/>
              <w:left w:w="28" w:type="dxa"/>
              <w:bottom w:w="0" w:type="dxa"/>
              <w:right w:w="28" w:type="dxa"/>
            </w:tcMar>
            <w:vAlign w:val="center"/>
            <w:hideMark/>
          </w:tcPr>
          <w:p w:rsidR="00556F1E" w:rsidRPr="00443075" w:rsidRDefault="00556F1E" w:rsidP="00087B7E">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NA</w:t>
            </w:r>
          </w:p>
        </w:tc>
        <w:tc>
          <w:tcPr>
            <w:tcW w:w="730" w:type="pct"/>
            <w:tcMar>
              <w:top w:w="0" w:type="dxa"/>
              <w:left w:w="28" w:type="dxa"/>
              <w:bottom w:w="0" w:type="dxa"/>
              <w:right w:w="28" w:type="dxa"/>
            </w:tcMar>
            <w:vAlign w:val="center"/>
            <w:hideMark/>
          </w:tcPr>
          <w:p w:rsidR="00556F1E" w:rsidRPr="00443075" w:rsidRDefault="00556F1E" w:rsidP="005E34D0">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NA</w:t>
            </w:r>
          </w:p>
        </w:tc>
        <w:tc>
          <w:tcPr>
            <w:tcW w:w="730" w:type="pct"/>
            <w:tcMar>
              <w:top w:w="0" w:type="dxa"/>
              <w:left w:w="28" w:type="dxa"/>
              <w:bottom w:w="0" w:type="dxa"/>
              <w:right w:w="28" w:type="dxa"/>
            </w:tcMar>
            <w:vAlign w:val="center"/>
            <w:hideMark/>
          </w:tcPr>
          <w:p w:rsidR="00556F1E" w:rsidRPr="00443075" w:rsidRDefault="00556F1E">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NA</w:t>
            </w:r>
          </w:p>
        </w:tc>
        <w:tc>
          <w:tcPr>
            <w:tcW w:w="731" w:type="pct"/>
            <w:tcMar>
              <w:top w:w="0" w:type="dxa"/>
              <w:left w:w="28" w:type="dxa"/>
              <w:bottom w:w="0" w:type="dxa"/>
              <w:right w:w="28" w:type="dxa"/>
            </w:tcMar>
            <w:vAlign w:val="center"/>
            <w:hideMark/>
          </w:tcPr>
          <w:p w:rsidR="00556F1E" w:rsidRPr="00443075" w:rsidRDefault="00556F1E">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NA</w:t>
            </w:r>
          </w:p>
        </w:tc>
      </w:tr>
      <w:tr w:rsidR="00556F1E" w:rsidRPr="00443075" w:rsidTr="00D83A84">
        <w:tc>
          <w:tcPr>
            <w:tcW w:w="5000" w:type="pct"/>
            <w:gridSpan w:val="6"/>
            <w:tcMar>
              <w:top w:w="0" w:type="dxa"/>
              <w:left w:w="28" w:type="dxa"/>
              <w:bottom w:w="0" w:type="dxa"/>
              <w:right w:w="28" w:type="dxa"/>
            </w:tcMar>
            <w:vAlign w:val="center"/>
            <w:hideMark/>
          </w:tcPr>
          <w:p w:rsidR="00556F1E" w:rsidRPr="00443075" w:rsidRDefault="00556F1E" w:rsidP="00322E23">
            <w:pPr>
              <w:keepNext/>
              <w:snapToGrid w:val="0"/>
              <w:spacing w:line="276" w:lineRule="auto"/>
              <w:rPr>
                <w:rFonts w:ascii="Arial Narrow" w:hAnsi="Arial Narrow"/>
                <w:b/>
                <w:bCs/>
                <w:color w:val="000000"/>
                <w:sz w:val="20"/>
                <w:szCs w:val="20"/>
                <w:lang w:eastAsia="en-US"/>
              </w:rPr>
            </w:pPr>
            <w:r w:rsidRPr="00443075">
              <w:rPr>
                <w:rFonts w:ascii="Arial Narrow" w:hAnsi="Arial Narrow"/>
                <w:b/>
                <w:bCs/>
                <w:color w:val="000000"/>
                <w:sz w:val="20"/>
                <w:szCs w:val="20"/>
              </w:rPr>
              <w:t>Estimated total net cost</w:t>
            </w:r>
          </w:p>
        </w:tc>
      </w:tr>
      <w:tr w:rsidR="00BB0857" w:rsidRPr="00443075" w:rsidTr="00D83A84">
        <w:tc>
          <w:tcPr>
            <w:tcW w:w="1349" w:type="pct"/>
            <w:tcMar>
              <w:top w:w="0" w:type="dxa"/>
              <w:left w:w="28" w:type="dxa"/>
              <w:bottom w:w="0" w:type="dxa"/>
              <w:right w:w="28" w:type="dxa"/>
            </w:tcMar>
            <w:vAlign w:val="center"/>
            <w:hideMark/>
          </w:tcPr>
          <w:p w:rsidR="00556F1E" w:rsidRPr="00443075" w:rsidRDefault="00556F1E" w:rsidP="00322E23">
            <w:pPr>
              <w:keepNext/>
              <w:snapToGrid w:val="0"/>
              <w:spacing w:line="276" w:lineRule="auto"/>
              <w:rPr>
                <w:rFonts w:ascii="Arial Narrow" w:hAnsi="Arial Narrow"/>
                <w:b/>
                <w:bCs/>
                <w:sz w:val="20"/>
                <w:szCs w:val="20"/>
                <w:lang w:eastAsia="en-US"/>
              </w:rPr>
            </w:pPr>
            <w:r w:rsidRPr="00443075">
              <w:rPr>
                <w:rFonts w:ascii="Arial Narrow" w:hAnsi="Arial Narrow"/>
                <w:b/>
                <w:bCs/>
                <w:color w:val="000000"/>
                <w:sz w:val="20"/>
                <w:szCs w:val="20"/>
              </w:rPr>
              <w:t>Net cost to PBS/RPBS/MBS</w:t>
            </w:r>
          </w:p>
        </w:tc>
        <w:tc>
          <w:tcPr>
            <w:tcW w:w="730" w:type="pct"/>
            <w:tcMar>
              <w:top w:w="0" w:type="dxa"/>
              <w:left w:w="28" w:type="dxa"/>
              <w:bottom w:w="0" w:type="dxa"/>
              <w:right w:w="28" w:type="dxa"/>
            </w:tcMar>
            <w:vAlign w:val="bottom"/>
            <w:hideMark/>
          </w:tcPr>
          <w:p w:rsidR="00556F1E" w:rsidRPr="00443075" w:rsidRDefault="00556F1E" w:rsidP="00A655FB">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c>
          <w:tcPr>
            <w:tcW w:w="730" w:type="pct"/>
            <w:tcMar>
              <w:top w:w="0" w:type="dxa"/>
              <w:left w:w="28" w:type="dxa"/>
              <w:bottom w:w="0" w:type="dxa"/>
              <w:right w:w="28" w:type="dxa"/>
            </w:tcMar>
            <w:vAlign w:val="bottom"/>
            <w:hideMark/>
          </w:tcPr>
          <w:p w:rsidR="00556F1E" w:rsidRPr="00443075" w:rsidRDefault="00556F1E" w:rsidP="00087B7E">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c>
          <w:tcPr>
            <w:tcW w:w="730" w:type="pct"/>
            <w:tcMar>
              <w:top w:w="0" w:type="dxa"/>
              <w:left w:w="28" w:type="dxa"/>
              <w:bottom w:w="0" w:type="dxa"/>
              <w:right w:w="28" w:type="dxa"/>
            </w:tcMar>
            <w:vAlign w:val="bottom"/>
            <w:hideMark/>
          </w:tcPr>
          <w:p w:rsidR="00556F1E" w:rsidRPr="00443075" w:rsidRDefault="00556F1E" w:rsidP="005E34D0">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c>
          <w:tcPr>
            <w:tcW w:w="730" w:type="pct"/>
            <w:tcMar>
              <w:top w:w="0" w:type="dxa"/>
              <w:left w:w="28" w:type="dxa"/>
              <w:bottom w:w="0" w:type="dxa"/>
              <w:right w:w="28" w:type="dxa"/>
            </w:tcMar>
            <w:vAlign w:val="bottom"/>
            <w:hideMark/>
          </w:tcPr>
          <w:p w:rsidR="00556F1E" w:rsidRPr="00443075" w:rsidRDefault="00556F1E">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c>
          <w:tcPr>
            <w:tcW w:w="731" w:type="pct"/>
            <w:tcMar>
              <w:top w:w="0" w:type="dxa"/>
              <w:left w:w="28" w:type="dxa"/>
              <w:bottom w:w="0" w:type="dxa"/>
              <w:right w:w="28" w:type="dxa"/>
            </w:tcMar>
            <w:vAlign w:val="bottom"/>
            <w:hideMark/>
          </w:tcPr>
          <w:p w:rsidR="00556F1E" w:rsidRPr="00443075" w:rsidRDefault="00556F1E">
            <w:pPr>
              <w:keepNext/>
              <w:snapToGrid w:val="0"/>
              <w:spacing w:line="276" w:lineRule="auto"/>
              <w:jc w:val="both"/>
              <w:rPr>
                <w:rFonts w:ascii="Arial Narrow" w:hAnsi="Arial Narrow"/>
                <w:sz w:val="20"/>
                <w:szCs w:val="20"/>
                <w:lang w:eastAsia="en-US"/>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r>
      <w:tr w:rsidR="00BB0857" w:rsidRPr="00443075" w:rsidTr="00D83A84">
        <w:tc>
          <w:tcPr>
            <w:tcW w:w="1349" w:type="pct"/>
            <w:tcMar>
              <w:top w:w="0" w:type="dxa"/>
              <w:left w:w="28" w:type="dxa"/>
              <w:bottom w:w="0" w:type="dxa"/>
              <w:right w:w="28" w:type="dxa"/>
            </w:tcMar>
            <w:vAlign w:val="center"/>
          </w:tcPr>
          <w:p w:rsidR="00556F1E" w:rsidRPr="00443075" w:rsidRDefault="00556F1E" w:rsidP="00322E23">
            <w:pPr>
              <w:keepNext/>
              <w:snapToGrid w:val="0"/>
              <w:spacing w:line="276" w:lineRule="auto"/>
              <w:rPr>
                <w:rFonts w:ascii="Arial Narrow" w:hAnsi="Arial Narrow"/>
                <w:b/>
                <w:bCs/>
                <w:color w:val="000000"/>
                <w:sz w:val="20"/>
                <w:szCs w:val="20"/>
              </w:rPr>
            </w:pPr>
            <w:r w:rsidRPr="00443075">
              <w:rPr>
                <w:rFonts w:ascii="Arial Narrow" w:hAnsi="Arial Narrow"/>
                <w:b/>
                <w:bCs/>
                <w:color w:val="000000"/>
                <w:sz w:val="20"/>
                <w:szCs w:val="20"/>
              </w:rPr>
              <w:t>Net cost to PBS/RPBS/MBS when the diagnosis rate is assumed to be 11.1%</w:t>
            </w:r>
          </w:p>
        </w:tc>
        <w:tc>
          <w:tcPr>
            <w:tcW w:w="730" w:type="pct"/>
            <w:tcMar>
              <w:top w:w="0" w:type="dxa"/>
              <w:left w:w="28" w:type="dxa"/>
              <w:bottom w:w="0" w:type="dxa"/>
              <w:right w:w="28" w:type="dxa"/>
            </w:tcMar>
            <w:vAlign w:val="bottom"/>
          </w:tcPr>
          <w:p w:rsidR="00556F1E" w:rsidRPr="00443075" w:rsidRDefault="00556F1E" w:rsidP="00A655FB">
            <w:pPr>
              <w:keepNext/>
              <w:snapToGrid w:val="0"/>
              <w:spacing w:line="276" w:lineRule="auto"/>
              <w:jc w:val="both"/>
              <w:rPr>
                <w:rFonts w:ascii="Arial Narrow" w:hAnsi="Arial Narrow"/>
                <w:sz w:val="20"/>
                <w:szCs w:val="20"/>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c>
          <w:tcPr>
            <w:tcW w:w="730" w:type="pct"/>
            <w:tcMar>
              <w:top w:w="0" w:type="dxa"/>
              <w:left w:w="28" w:type="dxa"/>
              <w:bottom w:w="0" w:type="dxa"/>
              <w:right w:w="28" w:type="dxa"/>
            </w:tcMar>
            <w:vAlign w:val="bottom"/>
          </w:tcPr>
          <w:p w:rsidR="00556F1E" w:rsidRPr="00443075" w:rsidRDefault="00556F1E" w:rsidP="00087B7E">
            <w:pPr>
              <w:keepNext/>
              <w:snapToGrid w:val="0"/>
              <w:spacing w:line="276" w:lineRule="auto"/>
              <w:jc w:val="both"/>
              <w:rPr>
                <w:rFonts w:ascii="Arial Narrow" w:hAnsi="Arial Narrow"/>
                <w:sz w:val="20"/>
                <w:szCs w:val="20"/>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c>
          <w:tcPr>
            <w:tcW w:w="730" w:type="pct"/>
            <w:tcMar>
              <w:top w:w="0" w:type="dxa"/>
              <w:left w:w="28" w:type="dxa"/>
              <w:bottom w:w="0" w:type="dxa"/>
              <w:right w:w="28" w:type="dxa"/>
            </w:tcMar>
            <w:vAlign w:val="bottom"/>
          </w:tcPr>
          <w:p w:rsidR="00556F1E" w:rsidRPr="00443075" w:rsidRDefault="00556F1E" w:rsidP="005E34D0">
            <w:pPr>
              <w:keepNext/>
              <w:snapToGrid w:val="0"/>
              <w:spacing w:line="276" w:lineRule="auto"/>
              <w:jc w:val="both"/>
              <w:rPr>
                <w:rFonts w:ascii="Arial Narrow" w:hAnsi="Arial Narrow"/>
                <w:sz w:val="20"/>
                <w:szCs w:val="20"/>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c>
          <w:tcPr>
            <w:tcW w:w="730" w:type="pct"/>
            <w:tcMar>
              <w:top w:w="0" w:type="dxa"/>
              <w:left w:w="28" w:type="dxa"/>
              <w:bottom w:w="0" w:type="dxa"/>
              <w:right w:w="28" w:type="dxa"/>
            </w:tcMar>
            <w:vAlign w:val="bottom"/>
          </w:tcPr>
          <w:p w:rsidR="00556F1E" w:rsidRPr="00443075" w:rsidRDefault="00556F1E">
            <w:pPr>
              <w:keepNext/>
              <w:snapToGrid w:val="0"/>
              <w:spacing w:line="276" w:lineRule="auto"/>
              <w:jc w:val="both"/>
              <w:rPr>
                <w:rFonts w:ascii="Arial Narrow" w:hAnsi="Arial Narrow"/>
                <w:sz w:val="20"/>
                <w:szCs w:val="20"/>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c>
          <w:tcPr>
            <w:tcW w:w="731" w:type="pct"/>
            <w:tcMar>
              <w:top w:w="0" w:type="dxa"/>
              <w:left w:w="28" w:type="dxa"/>
              <w:bottom w:w="0" w:type="dxa"/>
              <w:right w:w="28" w:type="dxa"/>
            </w:tcMar>
            <w:vAlign w:val="bottom"/>
          </w:tcPr>
          <w:p w:rsidR="00556F1E" w:rsidRPr="00443075" w:rsidRDefault="00556F1E">
            <w:pPr>
              <w:keepNext/>
              <w:snapToGrid w:val="0"/>
              <w:spacing w:line="276" w:lineRule="auto"/>
              <w:jc w:val="both"/>
              <w:rPr>
                <w:rFonts w:ascii="Arial Narrow" w:hAnsi="Arial Narrow"/>
                <w:sz w:val="20"/>
                <w:szCs w:val="20"/>
              </w:rPr>
            </w:pPr>
            <w:r w:rsidRPr="00443075">
              <w:rPr>
                <w:rFonts w:ascii="Arial Narrow" w:hAnsi="Arial Narrow"/>
                <w:sz w:val="20"/>
                <w:szCs w:val="20"/>
              </w:rPr>
              <w:t>$</w:t>
            </w:r>
            <w:r w:rsidR="00565AC7">
              <w:rPr>
                <w:rFonts w:ascii="Arial Narrow" w:hAnsi="Arial Narrow"/>
                <w:noProof/>
                <w:color w:val="000000"/>
                <w:sz w:val="20"/>
                <w:szCs w:val="20"/>
                <w:highlight w:val="black"/>
              </w:rPr>
              <w:t>'''''''''''''''''''''''''''''</w:t>
            </w:r>
          </w:p>
        </w:tc>
      </w:tr>
    </w:tbl>
    <w:p w:rsidR="00556F1E" w:rsidRPr="00443075" w:rsidRDefault="00556F1E" w:rsidP="00322E23">
      <w:pPr>
        <w:pStyle w:val="TableFooter"/>
        <w:widowControl/>
        <w:ind w:firstLine="709"/>
        <w:rPr>
          <w:rStyle w:val="CommentReference"/>
          <w:rFonts w:ascii="Times New Roman" w:hAnsi="Times New Roman" w:cs="Times New Roman"/>
          <w:snapToGrid/>
          <w:sz w:val="19"/>
          <w:szCs w:val="19"/>
          <w:lang w:eastAsia="en-AU"/>
        </w:rPr>
      </w:pPr>
      <w:r w:rsidRPr="00443075">
        <w:rPr>
          <w:rStyle w:val="CommentReference"/>
          <w:sz w:val="19"/>
          <w:szCs w:val="19"/>
        </w:rPr>
        <w:t>Source: Table 9 from the minor re-submission and supplemented during the evaluation.</w:t>
      </w:r>
    </w:p>
    <w:p w:rsidR="00556F1E" w:rsidRDefault="00556F1E" w:rsidP="00A655FB">
      <w:pPr>
        <w:pStyle w:val="ListParagraph"/>
        <w:jc w:val="both"/>
        <w:rPr>
          <w:rFonts w:ascii="Arial" w:hAnsi="Arial"/>
          <w:color w:val="FF00FF"/>
          <w:sz w:val="22"/>
          <w:szCs w:val="22"/>
        </w:rPr>
      </w:pPr>
    </w:p>
    <w:p w:rsidR="003F668F" w:rsidRDefault="003F668F" w:rsidP="00A655FB">
      <w:pPr>
        <w:pStyle w:val="ListParagraph"/>
        <w:jc w:val="both"/>
        <w:rPr>
          <w:rFonts w:ascii="Arial" w:hAnsi="Arial"/>
          <w:color w:val="FF00FF"/>
          <w:sz w:val="22"/>
          <w:szCs w:val="22"/>
        </w:rPr>
      </w:pPr>
      <w:r>
        <w:rPr>
          <w:rFonts w:ascii="Arial" w:hAnsi="Arial" w:cs="Arial"/>
          <w:sz w:val="22"/>
        </w:rPr>
        <w:t>The redacted table shows that a</w:t>
      </w:r>
      <w:r w:rsidRPr="00DE39BD">
        <w:rPr>
          <w:rFonts w:ascii="Arial" w:hAnsi="Arial" w:cs="Arial"/>
          <w:sz w:val="22"/>
        </w:rPr>
        <w:t xml:space="preserve">t year 5, the estimated number of patients was </w:t>
      </w:r>
      <w:r>
        <w:rPr>
          <w:rFonts w:ascii="Arial" w:hAnsi="Arial" w:cs="Arial"/>
          <w:sz w:val="22"/>
        </w:rPr>
        <w:t xml:space="preserve">less than 10,000 </w:t>
      </w:r>
      <w:r w:rsidRPr="00DE39BD">
        <w:rPr>
          <w:rFonts w:ascii="Arial" w:hAnsi="Arial" w:cs="Arial"/>
          <w:sz w:val="22"/>
        </w:rPr>
        <w:t>and the net cost to the PBS would be</w:t>
      </w:r>
      <w:r>
        <w:rPr>
          <w:rFonts w:ascii="Arial" w:hAnsi="Arial" w:cs="Arial"/>
          <w:sz w:val="22"/>
        </w:rPr>
        <w:t xml:space="preserve"> less than $10 million per year.</w:t>
      </w:r>
    </w:p>
    <w:p w:rsidR="003F668F" w:rsidRPr="00443075" w:rsidRDefault="003F668F" w:rsidP="00A655FB">
      <w:pPr>
        <w:pStyle w:val="ListParagraph"/>
        <w:jc w:val="both"/>
        <w:rPr>
          <w:rFonts w:ascii="Arial" w:hAnsi="Arial"/>
          <w:color w:val="FF00FF"/>
          <w:sz w:val="22"/>
          <w:szCs w:val="22"/>
        </w:rPr>
      </w:pPr>
    </w:p>
    <w:p w:rsidR="007B0C83" w:rsidRPr="00443075" w:rsidRDefault="007B0C83" w:rsidP="00087B7E">
      <w:pPr>
        <w:pStyle w:val="ListParagraph"/>
        <w:numPr>
          <w:ilvl w:val="1"/>
          <w:numId w:val="1"/>
        </w:numPr>
        <w:jc w:val="both"/>
        <w:rPr>
          <w:rFonts w:ascii="Arial" w:hAnsi="Arial"/>
          <w:sz w:val="22"/>
          <w:szCs w:val="22"/>
        </w:rPr>
      </w:pPr>
      <w:r w:rsidRPr="00443075">
        <w:rPr>
          <w:rFonts w:ascii="Arial" w:hAnsi="Arial"/>
          <w:sz w:val="22"/>
          <w:szCs w:val="22"/>
        </w:rPr>
        <w:t xml:space="preserve">The </w:t>
      </w:r>
      <w:r w:rsidR="00287D65" w:rsidRPr="00443075">
        <w:rPr>
          <w:rFonts w:ascii="Arial" w:hAnsi="Arial"/>
          <w:sz w:val="22"/>
          <w:szCs w:val="22"/>
        </w:rPr>
        <w:t xml:space="preserve">estimates </w:t>
      </w:r>
      <w:r w:rsidRPr="00443075">
        <w:rPr>
          <w:rFonts w:ascii="Arial" w:hAnsi="Arial"/>
          <w:sz w:val="22"/>
          <w:szCs w:val="22"/>
        </w:rPr>
        <w:t xml:space="preserve">in Table </w:t>
      </w:r>
      <w:r w:rsidR="003C79F8" w:rsidRPr="00443075">
        <w:rPr>
          <w:rFonts w:ascii="Arial" w:hAnsi="Arial"/>
          <w:sz w:val="22"/>
          <w:szCs w:val="22"/>
        </w:rPr>
        <w:t>3</w:t>
      </w:r>
      <w:r w:rsidRPr="00443075">
        <w:rPr>
          <w:rFonts w:ascii="Arial" w:hAnsi="Arial"/>
          <w:sz w:val="22"/>
          <w:szCs w:val="22"/>
        </w:rPr>
        <w:t xml:space="preserve"> incorporate </w:t>
      </w:r>
      <w:r w:rsidR="006B2A7F" w:rsidRPr="00443075">
        <w:rPr>
          <w:rFonts w:ascii="Arial" w:hAnsi="Arial"/>
          <w:sz w:val="22"/>
          <w:szCs w:val="22"/>
        </w:rPr>
        <w:t xml:space="preserve">the adapted prevalence, diagnosis </w:t>
      </w:r>
      <w:r w:rsidR="00315EAA" w:rsidRPr="00443075">
        <w:rPr>
          <w:rFonts w:ascii="Arial" w:hAnsi="Arial"/>
          <w:sz w:val="22"/>
          <w:szCs w:val="22"/>
        </w:rPr>
        <w:t xml:space="preserve">rate </w:t>
      </w:r>
      <w:r w:rsidR="006B2A7F" w:rsidRPr="00443075">
        <w:rPr>
          <w:rFonts w:ascii="Arial" w:hAnsi="Arial"/>
          <w:sz w:val="22"/>
          <w:szCs w:val="22"/>
        </w:rPr>
        <w:t>and uptake</w:t>
      </w:r>
      <w:r w:rsidR="00315EAA" w:rsidRPr="00443075">
        <w:rPr>
          <w:rFonts w:ascii="Arial" w:hAnsi="Arial"/>
          <w:sz w:val="22"/>
          <w:szCs w:val="22"/>
        </w:rPr>
        <w:t xml:space="preserve"> rate</w:t>
      </w:r>
      <w:r w:rsidR="00DD49E6" w:rsidRPr="00443075">
        <w:rPr>
          <w:rFonts w:ascii="Arial" w:hAnsi="Arial"/>
          <w:sz w:val="22"/>
          <w:szCs w:val="22"/>
        </w:rPr>
        <w:t>. C</w:t>
      </w:r>
      <w:r w:rsidR="006B2A7F" w:rsidRPr="00443075">
        <w:rPr>
          <w:rFonts w:ascii="Arial" w:hAnsi="Arial"/>
          <w:sz w:val="22"/>
          <w:szCs w:val="22"/>
        </w:rPr>
        <w:t>onsistent with DUSC advice</w:t>
      </w:r>
      <w:r w:rsidR="005E52BF" w:rsidRPr="00443075">
        <w:rPr>
          <w:rFonts w:ascii="Arial" w:hAnsi="Arial"/>
          <w:sz w:val="22"/>
          <w:szCs w:val="22"/>
        </w:rPr>
        <w:t xml:space="preserve">, uptake was increased (from </w:t>
      </w:r>
      <w:r w:rsidR="00565AC7">
        <w:rPr>
          <w:rFonts w:ascii="Arial" w:hAnsi="Arial"/>
          <w:noProof/>
          <w:color w:val="000000"/>
          <w:sz w:val="22"/>
          <w:szCs w:val="22"/>
          <w:highlight w:val="black"/>
        </w:rPr>
        <w:t>''''''''''''''''</w:t>
      </w:r>
      <w:r w:rsidR="005E52BF" w:rsidRPr="00443075">
        <w:rPr>
          <w:rFonts w:ascii="Arial" w:hAnsi="Arial"/>
          <w:sz w:val="22"/>
          <w:szCs w:val="22"/>
        </w:rPr>
        <w:t xml:space="preserve">% to </w:t>
      </w:r>
      <w:proofErr w:type="gramStart"/>
      <w:r w:rsidR="00565AC7">
        <w:rPr>
          <w:rFonts w:ascii="Arial" w:hAnsi="Arial"/>
          <w:noProof/>
          <w:color w:val="000000"/>
          <w:sz w:val="22"/>
          <w:szCs w:val="22"/>
          <w:highlight w:val="black"/>
        </w:rPr>
        <w:t>''''''</w:t>
      </w:r>
      <w:r w:rsidR="005E52BF" w:rsidRPr="00443075">
        <w:rPr>
          <w:rFonts w:ascii="Arial" w:hAnsi="Arial"/>
          <w:sz w:val="22"/>
          <w:szCs w:val="22"/>
        </w:rPr>
        <w:t>%</w:t>
      </w:r>
      <w:proofErr w:type="gramEnd"/>
      <w:r w:rsidR="005E52BF" w:rsidRPr="00443075">
        <w:rPr>
          <w:rFonts w:ascii="Arial" w:hAnsi="Arial"/>
          <w:sz w:val="22"/>
          <w:szCs w:val="22"/>
        </w:rPr>
        <w:t>).</w:t>
      </w:r>
    </w:p>
    <w:p w:rsidR="005E52BF" w:rsidRPr="00443075" w:rsidRDefault="005E52BF" w:rsidP="005E34D0">
      <w:pPr>
        <w:pStyle w:val="ListParagraph"/>
        <w:rPr>
          <w:rFonts w:ascii="Arial" w:hAnsi="Arial"/>
          <w:sz w:val="22"/>
          <w:szCs w:val="22"/>
        </w:rPr>
      </w:pPr>
    </w:p>
    <w:p w:rsidR="005E52BF" w:rsidRPr="00443075" w:rsidRDefault="005E52BF">
      <w:pPr>
        <w:pStyle w:val="ListParagraph"/>
        <w:numPr>
          <w:ilvl w:val="1"/>
          <w:numId w:val="1"/>
        </w:numPr>
        <w:jc w:val="both"/>
        <w:rPr>
          <w:rFonts w:ascii="Arial" w:hAnsi="Arial"/>
          <w:sz w:val="22"/>
          <w:szCs w:val="22"/>
        </w:rPr>
      </w:pPr>
      <w:r w:rsidRPr="00443075">
        <w:rPr>
          <w:rFonts w:ascii="Arial" w:hAnsi="Arial"/>
          <w:sz w:val="22"/>
          <w:szCs w:val="22"/>
        </w:rPr>
        <w:t xml:space="preserve">The diagnosis rate was decreased from </w:t>
      </w:r>
      <w:r w:rsidR="00565AC7">
        <w:rPr>
          <w:rFonts w:ascii="Arial" w:hAnsi="Arial"/>
          <w:noProof/>
          <w:color w:val="000000"/>
          <w:sz w:val="22"/>
          <w:szCs w:val="22"/>
          <w:highlight w:val="black"/>
        </w:rPr>
        <w:t>'''''''''''</w:t>
      </w:r>
      <w:r w:rsidRPr="00443075">
        <w:rPr>
          <w:rFonts w:ascii="Arial" w:hAnsi="Arial"/>
          <w:sz w:val="22"/>
          <w:szCs w:val="22"/>
        </w:rPr>
        <w:t xml:space="preserve">% </w:t>
      </w:r>
      <w:r w:rsidR="007E3442" w:rsidRPr="00443075">
        <w:rPr>
          <w:rFonts w:ascii="Arial" w:hAnsi="Arial"/>
          <w:sz w:val="22"/>
          <w:szCs w:val="22"/>
        </w:rPr>
        <w:t xml:space="preserve">(all years) </w:t>
      </w:r>
      <w:r w:rsidRPr="00443075">
        <w:rPr>
          <w:rFonts w:ascii="Arial" w:hAnsi="Arial"/>
          <w:sz w:val="22"/>
          <w:szCs w:val="22"/>
        </w:rPr>
        <w:t xml:space="preserve">in the original submission to </w:t>
      </w:r>
      <w:r w:rsidR="00565AC7">
        <w:rPr>
          <w:rFonts w:ascii="Arial" w:hAnsi="Arial"/>
          <w:noProof/>
          <w:color w:val="000000"/>
          <w:sz w:val="22"/>
          <w:szCs w:val="22"/>
          <w:highlight w:val="black"/>
        </w:rPr>
        <w:t>'''''''</w:t>
      </w:r>
      <w:r w:rsidR="00D616A5" w:rsidRPr="00443075">
        <w:rPr>
          <w:rFonts w:ascii="Arial" w:hAnsi="Arial"/>
          <w:sz w:val="22"/>
          <w:szCs w:val="22"/>
        </w:rPr>
        <w:t xml:space="preserve">% </w:t>
      </w:r>
      <w:r w:rsidR="007E3442" w:rsidRPr="00443075">
        <w:rPr>
          <w:rFonts w:ascii="Arial" w:hAnsi="Arial"/>
          <w:sz w:val="22"/>
          <w:szCs w:val="22"/>
        </w:rPr>
        <w:t>(year 1)</w:t>
      </w:r>
      <w:r w:rsidR="00960613" w:rsidRPr="00443075">
        <w:rPr>
          <w:rFonts w:ascii="Arial" w:hAnsi="Arial"/>
          <w:sz w:val="22"/>
          <w:szCs w:val="22"/>
        </w:rPr>
        <w:t xml:space="preserve"> and</w:t>
      </w:r>
      <w:r w:rsidR="007E3442" w:rsidRPr="00443075">
        <w:rPr>
          <w:rFonts w:ascii="Arial" w:hAnsi="Arial"/>
          <w:sz w:val="22"/>
          <w:szCs w:val="22"/>
        </w:rPr>
        <w:t xml:space="preserve"> </w:t>
      </w:r>
      <w:r w:rsidR="00D616A5" w:rsidRPr="00443075">
        <w:rPr>
          <w:rFonts w:ascii="Arial" w:hAnsi="Arial"/>
          <w:sz w:val="22"/>
          <w:szCs w:val="22"/>
        </w:rPr>
        <w:t>increas</w:t>
      </w:r>
      <w:r w:rsidR="00CD7790" w:rsidRPr="00443075">
        <w:rPr>
          <w:rFonts w:ascii="Arial" w:hAnsi="Arial"/>
          <w:sz w:val="22"/>
          <w:szCs w:val="22"/>
        </w:rPr>
        <w:t>ed</w:t>
      </w:r>
      <w:r w:rsidR="00D616A5" w:rsidRPr="00443075">
        <w:rPr>
          <w:rFonts w:ascii="Arial" w:hAnsi="Arial"/>
          <w:sz w:val="22"/>
          <w:szCs w:val="22"/>
        </w:rPr>
        <w:t xml:space="preserve"> to </w:t>
      </w:r>
      <w:r w:rsidR="00565AC7">
        <w:rPr>
          <w:rFonts w:ascii="Arial" w:hAnsi="Arial"/>
          <w:noProof/>
          <w:color w:val="000000"/>
          <w:sz w:val="22"/>
          <w:szCs w:val="22"/>
          <w:highlight w:val="black"/>
        </w:rPr>
        <w:t>''''</w:t>
      </w:r>
      <w:r w:rsidR="00D616A5" w:rsidRPr="00443075">
        <w:rPr>
          <w:rFonts w:ascii="Arial" w:hAnsi="Arial"/>
          <w:sz w:val="22"/>
          <w:szCs w:val="22"/>
        </w:rPr>
        <w:t>%</w:t>
      </w:r>
      <w:r w:rsidRPr="00443075">
        <w:rPr>
          <w:rFonts w:ascii="Arial" w:hAnsi="Arial"/>
          <w:sz w:val="22"/>
          <w:szCs w:val="22"/>
        </w:rPr>
        <w:t xml:space="preserve"> </w:t>
      </w:r>
      <w:r w:rsidR="007E3442" w:rsidRPr="00443075">
        <w:rPr>
          <w:rFonts w:ascii="Arial" w:hAnsi="Arial"/>
          <w:sz w:val="22"/>
          <w:szCs w:val="22"/>
        </w:rPr>
        <w:t>(year 5)</w:t>
      </w:r>
      <w:r w:rsidR="000660FE" w:rsidRPr="00443075">
        <w:rPr>
          <w:rFonts w:ascii="Arial" w:hAnsi="Arial"/>
          <w:sz w:val="22"/>
          <w:szCs w:val="22"/>
        </w:rPr>
        <w:t xml:space="preserve"> in the pre-PBAC response and the minor re-submission</w:t>
      </w:r>
      <w:r w:rsidR="007E3442" w:rsidRPr="00443075">
        <w:rPr>
          <w:rFonts w:ascii="Arial" w:hAnsi="Arial"/>
          <w:sz w:val="22"/>
          <w:szCs w:val="22"/>
        </w:rPr>
        <w:t xml:space="preserve">. </w:t>
      </w:r>
      <w:r w:rsidRPr="00443075">
        <w:rPr>
          <w:rFonts w:ascii="Arial" w:hAnsi="Arial"/>
          <w:sz w:val="22"/>
          <w:szCs w:val="22"/>
        </w:rPr>
        <w:t>This change was not mentioned in the minor re-submission.</w:t>
      </w:r>
      <w:r w:rsidR="00D616A5" w:rsidRPr="00443075">
        <w:rPr>
          <w:rFonts w:ascii="Arial" w:hAnsi="Arial"/>
          <w:sz w:val="22"/>
          <w:szCs w:val="22"/>
        </w:rPr>
        <w:t xml:space="preserve"> </w:t>
      </w:r>
      <w:r w:rsidR="00AA6FFF" w:rsidRPr="00443075">
        <w:rPr>
          <w:rFonts w:ascii="Arial" w:hAnsi="Arial"/>
          <w:sz w:val="22"/>
          <w:szCs w:val="22"/>
        </w:rPr>
        <w:t>The</w:t>
      </w:r>
      <w:r w:rsidR="006A75B5" w:rsidRPr="00443075">
        <w:rPr>
          <w:rFonts w:ascii="Arial" w:hAnsi="Arial"/>
          <w:sz w:val="22"/>
          <w:szCs w:val="22"/>
        </w:rPr>
        <w:t xml:space="preserve">se numbers were </w:t>
      </w:r>
      <w:r w:rsidR="00AA6FFF" w:rsidRPr="00443075">
        <w:rPr>
          <w:rFonts w:ascii="Arial" w:hAnsi="Arial"/>
          <w:sz w:val="22"/>
          <w:szCs w:val="22"/>
        </w:rPr>
        <w:t>not verif</w:t>
      </w:r>
      <w:r w:rsidR="006A75B5" w:rsidRPr="00443075">
        <w:rPr>
          <w:rFonts w:ascii="Arial" w:hAnsi="Arial"/>
          <w:sz w:val="22"/>
          <w:szCs w:val="22"/>
        </w:rPr>
        <w:t>ied</w:t>
      </w:r>
      <w:r w:rsidR="00AA6FFF" w:rsidRPr="00443075">
        <w:rPr>
          <w:rFonts w:ascii="Arial" w:hAnsi="Arial"/>
          <w:sz w:val="22"/>
          <w:szCs w:val="22"/>
        </w:rPr>
        <w:t xml:space="preserve"> because the</w:t>
      </w:r>
      <w:r w:rsidR="007E3442" w:rsidRPr="00443075">
        <w:rPr>
          <w:rFonts w:ascii="Arial" w:hAnsi="Arial"/>
          <w:sz w:val="22"/>
          <w:szCs w:val="22"/>
        </w:rPr>
        <w:t xml:space="preserve"> source (“Final result, HS Epi study”) was not available during the </w:t>
      </w:r>
      <w:r w:rsidR="001738F8" w:rsidRPr="00443075">
        <w:rPr>
          <w:rFonts w:ascii="Arial" w:hAnsi="Arial"/>
          <w:sz w:val="22"/>
          <w:szCs w:val="22"/>
        </w:rPr>
        <w:t>consideration of the minor re-submission</w:t>
      </w:r>
      <w:r w:rsidR="007E3442" w:rsidRPr="00443075">
        <w:rPr>
          <w:rFonts w:ascii="Arial" w:hAnsi="Arial"/>
          <w:sz w:val="22"/>
          <w:szCs w:val="22"/>
        </w:rPr>
        <w:t xml:space="preserve">. It </w:t>
      </w:r>
      <w:r w:rsidR="00287D65" w:rsidRPr="00443075">
        <w:rPr>
          <w:rFonts w:ascii="Arial" w:hAnsi="Arial"/>
          <w:sz w:val="22"/>
          <w:szCs w:val="22"/>
        </w:rPr>
        <w:t>wa</w:t>
      </w:r>
      <w:r w:rsidR="007E3442" w:rsidRPr="00443075">
        <w:rPr>
          <w:rFonts w:ascii="Arial" w:hAnsi="Arial"/>
          <w:sz w:val="22"/>
          <w:szCs w:val="22"/>
        </w:rPr>
        <w:t>s not clear how the di</w:t>
      </w:r>
      <w:r w:rsidR="00BD02FD" w:rsidRPr="00443075">
        <w:rPr>
          <w:rFonts w:ascii="Arial" w:hAnsi="Arial"/>
          <w:sz w:val="22"/>
          <w:szCs w:val="22"/>
        </w:rPr>
        <w:t>agnosis rate was obtained</w:t>
      </w:r>
      <w:r w:rsidR="001E1FA4" w:rsidRPr="00443075">
        <w:rPr>
          <w:rFonts w:ascii="Arial" w:hAnsi="Arial"/>
          <w:sz w:val="22"/>
          <w:szCs w:val="22"/>
        </w:rPr>
        <w:t>,</w:t>
      </w:r>
      <w:r w:rsidR="00BD02FD" w:rsidRPr="00443075">
        <w:rPr>
          <w:rFonts w:ascii="Arial" w:hAnsi="Arial"/>
          <w:sz w:val="22"/>
          <w:szCs w:val="22"/>
        </w:rPr>
        <w:t xml:space="preserve"> to what extent</w:t>
      </w:r>
      <w:r w:rsidR="007E3442" w:rsidRPr="00443075">
        <w:rPr>
          <w:rFonts w:ascii="Arial" w:hAnsi="Arial"/>
          <w:sz w:val="22"/>
          <w:szCs w:val="22"/>
        </w:rPr>
        <w:t xml:space="preserve"> the </w:t>
      </w:r>
      <w:r w:rsidR="00BD02FD" w:rsidRPr="00443075">
        <w:rPr>
          <w:rFonts w:ascii="Arial" w:hAnsi="Arial"/>
          <w:sz w:val="22"/>
          <w:szCs w:val="22"/>
        </w:rPr>
        <w:t>size and gradual increase were</w:t>
      </w:r>
      <w:r w:rsidR="007E3442" w:rsidRPr="00443075">
        <w:rPr>
          <w:rFonts w:ascii="Arial" w:hAnsi="Arial"/>
          <w:sz w:val="22"/>
          <w:szCs w:val="22"/>
        </w:rPr>
        <w:t xml:space="preserve"> based on assumptions or measurement</w:t>
      </w:r>
      <w:r w:rsidR="001E1FA4" w:rsidRPr="00443075">
        <w:rPr>
          <w:rFonts w:ascii="Arial" w:hAnsi="Arial"/>
          <w:sz w:val="22"/>
          <w:szCs w:val="22"/>
        </w:rPr>
        <w:t xml:space="preserve"> and if the sample size was large enough to be confident about these numbers</w:t>
      </w:r>
      <w:r w:rsidR="007E3442" w:rsidRPr="00443075">
        <w:rPr>
          <w:rFonts w:ascii="Arial" w:hAnsi="Arial"/>
          <w:sz w:val="22"/>
          <w:szCs w:val="22"/>
        </w:rPr>
        <w:t xml:space="preserve">. For each of the years, the diagnosis rate in the minor re-submission is lower than the diagnosis rate in the original submission. This is </w:t>
      </w:r>
      <w:r w:rsidR="001738F8" w:rsidRPr="00443075">
        <w:rPr>
          <w:rFonts w:ascii="Arial" w:hAnsi="Arial"/>
          <w:sz w:val="22"/>
          <w:szCs w:val="22"/>
        </w:rPr>
        <w:t>in</w:t>
      </w:r>
      <w:r w:rsidR="007E3442" w:rsidRPr="00443075">
        <w:rPr>
          <w:rFonts w:ascii="Arial" w:hAnsi="Arial"/>
          <w:sz w:val="22"/>
          <w:szCs w:val="22"/>
        </w:rPr>
        <w:t xml:space="preserve">consistent with DUSC </w:t>
      </w:r>
      <w:r w:rsidR="00BD02FD" w:rsidRPr="00443075">
        <w:rPr>
          <w:rFonts w:ascii="Arial" w:hAnsi="Arial"/>
          <w:sz w:val="22"/>
          <w:szCs w:val="22"/>
        </w:rPr>
        <w:t>advice. The PBAC agreed with DUSC that the diagnosis rate was</w:t>
      </w:r>
      <w:r w:rsidR="001E1FA4" w:rsidRPr="00443075">
        <w:rPr>
          <w:rFonts w:ascii="Arial" w:hAnsi="Arial"/>
          <w:sz w:val="22"/>
          <w:szCs w:val="22"/>
        </w:rPr>
        <w:t xml:space="preserve"> likely to be underestimated in</w:t>
      </w:r>
      <w:r w:rsidR="00BD02FD" w:rsidRPr="00443075">
        <w:rPr>
          <w:rFonts w:ascii="Arial" w:hAnsi="Arial"/>
          <w:sz w:val="22"/>
          <w:szCs w:val="22"/>
        </w:rPr>
        <w:t xml:space="preserve"> the original submission, so potentially further underestimated in the minor re-submission.</w:t>
      </w:r>
      <w:r w:rsidR="00213EDE" w:rsidRPr="00443075">
        <w:rPr>
          <w:rFonts w:ascii="Arial" w:hAnsi="Arial"/>
          <w:sz w:val="22"/>
          <w:szCs w:val="22"/>
        </w:rPr>
        <w:t xml:space="preserve"> Applying the diagnosis rate from the original submission (</w:t>
      </w:r>
      <w:r w:rsidR="00565AC7">
        <w:rPr>
          <w:rFonts w:ascii="Arial" w:hAnsi="Arial"/>
          <w:noProof/>
          <w:color w:val="000000"/>
          <w:sz w:val="22"/>
          <w:szCs w:val="22"/>
          <w:highlight w:val="black"/>
        </w:rPr>
        <w:t>'''''''''''</w:t>
      </w:r>
      <w:r w:rsidR="00213EDE" w:rsidRPr="00443075">
        <w:rPr>
          <w:rFonts w:ascii="Arial" w:hAnsi="Arial"/>
          <w:sz w:val="22"/>
          <w:szCs w:val="22"/>
        </w:rPr>
        <w:t xml:space="preserve">%) results in substantially higher financial implications (see </w:t>
      </w:r>
      <w:r w:rsidR="0011217F" w:rsidRPr="00443075">
        <w:rPr>
          <w:rFonts w:ascii="Arial" w:hAnsi="Arial"/>
          <w:sz w:val="22"/>
          <w:szCs w:val="22"/>
        </w:rPr>
        <w:t xml:space="preserve">Table </w:t>
      </w:r>
      <w:r w:rsidR="003C79F8" w:rsidRPr="00443075">
        <w:rPr>
          <w:rFonts w:ascii="Arial" w:hAnsi="Arial"/>
          <w:sz w:val="22"/>
          <w:szCs w:val="22"/>
        </w:rPr>
        <w:t>3</w:t>
      </w:r>
      <w:r w:rsidR="0011217F" w:rsidRPr="00443075">
        <w:rPr>
          <w:rFonts w:ascii="Arial" w:hAnsi="Arial"/>
          <w:sz w:val="22"/>
          <w:szCs w:val="22"/>
        </w:rPr>
        <w:t xml:space="preserve"> above</w:t>
      </w:r>
      <w:r w:rsidR="00213EDE" w:rsidRPr="00443075">
        <w:rPr>
          <w:rFonts w:ascii="Arial" w:hAnsi="Arial"/>
          <w:sz w:val="22"/>
          <w:szCs w:val="22"/>
        </w:rPr>
        <w:t>).</w:t>
      </w:r>
    </w:p>
    <w:p w:rsidR="00E61CE9" w:rsidRPr="00443075" w:rsidRDefault="00E61CE9">
      <w:pPr>
        <w:pStyle w:val="ListParagraph"/>
        <w:rPr>
          <w:rFonts w:ascii="Arial" w:hAnsi="Arial"/>
          <w:sz w:val="22"/>
          <w:szCs w:val="22"/>
        </w:rPr>
      </w:pPr>
    </w:p>
    <w:p w:rsidR="00E61CE9" w:rsidRPr="00443075" w:rsidRDefault="00E61CE9" w:rsidP="00866863">
      <w:pPr>
        <w:pStyle w:val="ListParagraph"/>
        <w:numPr>
          <w:ilvl w:val="1"/>
          <w:numId w:val="1"/>
        </w:numPr>
        <w:jc w:val="both"/>
        <w:rPr>
          <w:rFonts w:ascii="Arial" w:hAnsi="Arial"/>
          <w:sz w:val="22"/>
          <w:szCs w:val="22"/>
        </w:rPr>
      </w:pPr>
      <w:r w:rsidRPr="00443075">
        <w:rPr>
          <w:rFonts w:ascii="Arial" w:hAnsi="Arial"/>
          <w:sz w:val="22"/>
          <w:szCs w:val="22"/>
        </w:rPr>
        <w:t>The financial projections included patients eligible to re-attempt treatmen</w:t>
      </w:r>
      <w:r w:rsidR="00995329" w:rsidRPr="00443075">
        <w:rPr>
          <w:rFonts w:ascii="Arial" w:hAnsi="Arial"/>
          <w:sz w:val="22"/>
          <w:szCs w:val="22"/>
        </w:rPr>
        <w:t xml:space="preserve">t post-failure after a </w:t>
      </w:r>
      <w:r w:rsidR="00443075" w:rsidRPr="00443075">
        <w:rPr>
          <w:rFonts w:ascii="Arial" w:hAnsi="Arial"/>
          <w:sz w:val="22"/>
          <w:szCs w:val="22"/>
        </w:rPr>
        <w:t>12-month</w:t>
      </w:r>
      <w:r w:rsidRPr="00443075">
        <w:rPr>
          <w:rFonts w:ascii="Arial" w:hAnsi="Arial"/>
          <w:sz w:val="22"/>
          <w:szCs w:val="22"/>
        </w:rPr>
        <w:t xml:space="preserve"> break. As opposed to </w:t>
      </w:r>
      <w:r w:rsidR="00565AC7">
        <w:rPr>
          <w:rFonts w:ascii="Arial" w:hAnsi="Arial"/>
          <w:noProof/>
          <w:color w:val="000000"/>
          <w:sz w:val="22"/>
          <w:szCs w:val="22"/>
          <w:highlight w:val="black"/>
        </w:rPr>
        <w:t>''''''''''''</w:t>
      </w:r>
      <w:r w:rsidR="00DD4BC4" w:rsidRPr="00443075">
        <w:rPr>
          <w:rFonts w:ascii="Arial" w:hAnsi="Arial"/>
          <w:sz w:val="22"/>
          <w:szCs w:val="22"/>
        </w:rPr>
        <w:t xml:space="preserve">% in </w:t>
      </w:r>
      <w:r w:rsidRPr="00443075">
        <w:rPr>
          <w:rFonts w:ascii="Arial" w:hAnsi="Arial"/>
          <w:sz w:val="22"/>
          <w:szCs w:val="22"/>
        </w:rPr>
        <w:t>the economic evaluation, it was assumed that 100% of the pa</w:t>
      </w:r>
      <w:r w:rsidR="00DD4BC4" w:rsidRPr="00443075">
        <w:rPr>
          <w:rFonts w:ascii="Arial" w:hAnsi="Arial"/>
          <w:sz w:val="22"/>
          <w:szCs w:val="22"/>
        </w:rPr>
        <w:t xml:space="preserve">tients would re-attempt treatment after a break. This may overestimate the number of </w:t>
      </w:r>
      <w:proofErr w:type="spellStart"/>
      <w:r w:rsidR="00DD4BC4" w:rsidRPr="00443075">
        <w:rPr>
          <w:rFonts w:ascii="Arial" w:hAnsi="Arial"/>
          <w:sz w:val="22"/>
          <w:szCs w:val="22"/>
        </w:rPr>
        <w:t>adalimumab</w:t>
      </w:r>
      <w:proofErr w:type="spellEnd"/>
      <w:r w:rsidR="00DD4BC4" w:rsidRPr="00443075">
        <w:rPr>
          <w:rFonts w:ascii="Arial" w:hAnsi="Arial"/>
          <w:sz w:val="22"/>
          <w:szCs w:val="22"/>
        </w:rPr>
        <w:t xml:space="preserve"> users since an unknown proportion of patients may not wish re</w:t>
      </w:r>
      <w:r w:rsidR="002B1B7B" w:rsidRPr="00443075">
        <w:rPr>
          <w:rFonts w:ascii="Arial" w:hAnsi="Arial"/>
          <w:sz w:val="22"/>
          <w:szCs w:val="22"/>
        </w:rPr>
        <w:t>-</w:t>
      </w:r>
      <w:r w:rsidR="00DD4BC4" w:rsidRPr="00443075">
        <w:rPr>
          <w:rFonts w:ascii="Arial" w:hAnsi="Arial"/>
          <w:sz w:val="22"/>
          <w:szCs w:val="22"/>
        </w:rPr>
        <w:t>treatment. On the other hand, the financial projections did not include a second re</w:t>
      </w:r>
      <w:r w:rsidR="002B1B7B" w:rsidRPr="00443075">
        <w:rPr>
          <w:rFonts w:ascii="Arial" w:hAnsi="Arial"/>
          <w:sz w:val="22"/>
          <w:szCs w:val="22"/>
        </w:rPr>
        <w:t>-</w:t>
      </w:r>
      <w:r w:rsidR="00DD4BC4" w:rsidRPr="00443075">
        <w:rPr>
          <w:rFonts w:ascii="Arial" w:hAnsi="Arial"/>
          <w:sz w:val="22"/>
          <w:szCs w:val="22"/>
        </w:rPr>
        <w:t xml:space="preserve">treatment </w:t>
      </w:r>
      <w:r w:rsidR="00443075">
        <w:rPr>
          <w:rFonts w:ascii="Arial" w:hAnsi="Arial"/>
          <w:sz w:val="22"/>
          <w:szCs w:val="22"/>
        </w:rPr>
        <w:t xml:space="preserve">despite </w:t>
      </w:r>
      <w:r w:rsidR="00DD4BC4" w:rsidRPr="00443075">
        <w:rPr>
          <w:rFonts w:ascii="Arial" w:hAnsi="Arial"/>
          <w:sz w:val="22"/>
          <w:szCs w:val="22"/>
        </w:rPr>
        <w:t xml:space="preserve">the patients failing treatment in year </w:t>
      </w:r>
      <w:r w:rsidR="002B1B7B" w:rsidRPr="00443075">
        <w:rPr>
          <w:rFonts w:ascii="Arial" w:hAnsi="Arial"/>
          <w:sz w:val="22"/>
          <w:szCs w:val="22"/>
        </w:rPr>
        <w:t>one</w:t>
      </w:r>
      <w:r w:rsidR="00DD4BC4" w:rsidRPr="00443075">
        <w:rPr>
          <w:rFonts w:ascii="Arial" w:hAnsi="Arial"/>
          <w:sz w:val="22"/>
          <w:szCs w:val="22"/>
        </w:rPr>
        <w:t xml:space="preserve"> and </w:t>
      </w:r>
      <w:r w:rsidR="002B1B7B" w:rsidRPr="00443075">
        <w:rPr>
          <w:rFonts w:ascii="Arial" w:hAnsi="Arial"/>
          <w:sz w:val="22"/>
          <w:szCs w:val="22"/>
        </w:rPr>
        <w:t>three</w:t>
      </w:r>
      <w:r w:rsidR="00DD4BC4" w:rsidRPr="00443075">
        <w:rPr>
          <w:rFonts w:ascii="Arial" w:hAnsi="Arial"/>
          <w:sz w:val="22"/>
          <w:szCs w:val="22"/>
        </w:rPr>
        <w:t xml:space="preserve"> be</w:t>
      </w:r>
      <w:r w:rsidR="00443075">
        <w:rPr>
          <w:rFonts w:ascii="Arial" w:hAnsi="Arial"/>
          <w:sz w:val="22"/>
          <w:szCs w:val="22"/>
        </w:rPr>
        <w:t>ing</w:t>
      </w:r>
      <w:r w:rsidR="00DD4BC4" w:rsidRPr="00443075">
        <w:rPr>
          <w:rFonts w:ascii="Arial" w:hAnsi="Arial"/>
          <w:sz w:val="22"/>
          <w:szCs w:val="22"/>
        </w:rPr>
        <w:t xml:space="preserve"> eligible to start treatment again in year </w:t>
      </w:r>
      <w:r w:rsidR="00995329" w:rsidRPr="00443075">
        <w:rPr>
          <w:rFonts w:ascii="Arial" w:hAnsi="Arial"/>
          <w:sz w:val="22"/>
          <w:szCs w:val="22"/>
        </w:rPr>
        <w:t>five</w:t>
      </w:r>
      <w:r w:rsidR="00DD4BC4" w:rsidRPr="00443075">
        <w:rPr>
          <w:rFonts w:ascii="Arial" w:hAnsi="Arial"/>
          <w:sz w:val="22"/>
          <w:szCs w:val="22"/>
        </w:rPr>
        <w:t>. This may result in an underestimation of the costs.</w:t>
      </w:r>
    </w:p>
    <w:p w:rsidR="00FC69B9" w:rsidRPr="00443075" w:rsidRDefault="00FC69B9" w:rsidP="00087B7E">
      <w:pPr>
        <w:rPr>
          <w:rFonts w:ascii="Arial" w:hAnsi="Arial"/>
          <w:color w:val="FF0000"/>
          <w:sz w:val="22"/>
          <w:szCs w:val="22"/>
        </w:rPr>
      </w:pPr>
    </w:p>
    <w:p w:rsidR="00CC57ED" w:rsidRPr="00443075" w:rsidRDefault="00FC69B9" w:rsidP="0040535C">
      <w:pPr>
        <w:ind w:firstLine="709"/>
        <w:rPr>
          <w:rFonts w:ascii="Arial" w:hAnsi="Arial"/>
          <w:color w:val="FF0000"/>
          <w:sz w:val="22"/>
          <w:szCs w:val="22"/>
        </w:rPr>
      </w:pPr>
      <w:r w:rsidRPr="00443075">
        <w:rPr>
          <w:rFonts w:ascii="Arial" w:hAnsi="Arial" w:cs="Arial"/>
          <w:bCs/>
          <w:i/>
          <w:snapToGrid w:val="0"/>
          <w:sz w:val="22"/>
          <w:szCs w:val="22"/>
        </w:rPr>
        <w:t>For more detail on PBAC’s view, see section 7 “PBAC outcome”</w:t>
      </w:r>
    </w:p>
    <w:p w:rsidR="00A40E54" w:rsidRPr="00443075" w:rsidRDefault="00A40E54" w:rsidP="00322E23">
      <w:pPr>
        <w:jc w:val="both"/>
        <w:rPr>
          <w:rFonts w:ascii="Arial" w:hAnsi="Arial"/>
          <w:sz w:val="22"/>
          <w:szCs w:val="22"/>
        </w:rPr>
      </w:pPr>
    </w:p>
    <w:p w:rsidR="00146EA0" w:rsidRPr="00443075" w:rsidRDefault="00146EA0" w:rsidP="00A655FB">
      <w:pPr>
        <w:jc w:val="both"/>
        <w:rPr>
          <w:rFonts w:ascii="Arial" w:hAnsi="Arial"/>
          <w:sz w:val="22"/>
          <w:szCs w:val="22"/>
        </w:rPr>
      </w:pPr>
    </w:p>
    <w:p w:rsidR="00D5212A" w:rsidRPr="00443075" w:rsidRDefault="00D5212A" w:rsidP="00565AC7">
      <w:pPr>
        <w:pStyle w:val="Heading1"/>
        <w:rPr>
          <w:snapToGrid w:val="0"/>
        </w:rPr>
      </w:pPr>
      <w:r w:rsidRPr="00443075">
        <w:rPr>
          <w:snapToGrid w:val="0"/>
        </w:rPr>
        <w:t>PBAC Outcome</w:t>
      </w:r>
    </w:p>
    <w:p w:rsidR="00D5212A" w:rsidRPr="00443075" w:rsidRDefault="00D5212A" w:rsidP="00280959">
      <w:pPr>
        <w:jc w:val="both"/>
        <w:rPr>
          <w:rFonts w:ascii="Arial" w:hAnsi="Arial" w:cs="Arial"/>
          <w:b/>
          <w:bCs/>
          <w:snapToGrid w:val="0"/>
          <w:sz w:val="22"/>
          <w:szCs w:val="20"/>
        </w:rPr>
      </w:pPr>
    </w:p>
    <w:p w:rsidR="00806A6E" w:rsidRPr="00443075" w:rsidRDefault="00D5212A" w:rsidP="00280959">
      <w:pPr>
        <w:numPr>
          <w:ilvl w:val="1"/>
          <w:numId w:val="1"/>
        </w:numPr>
        <w:jc w:val="both"/>
        <w:rPr>
          <w:rFonts w:ascii="Arial" w:hAnsi="Arial" w:cs="Arial"/>
          <w:bCs/>
          <w:snapToGrid w:val="0"/>
          <w:sz w:val="22"/>
          <w:szCs w:val="20"/>
        </w:rPr>
      </w:pPr>
      <w:r w:rsidRPr="00443075">
        <w:rPr>
          <w:rFonts w:ascii="Arial" w:hAnsi="Arial" w:cs="Arial"/>
          <w:bCs/>
          <w:snapToGrid w:val="0"/>
          <w:sz w:val="22"/>
          <w:szCs w:val="20"/>
        </w:rPr>
        <w:t xml:space="preserve">The PBAC </w:t>
      </w:r>
      <w:r w:rsidR="00806A6E" w:rsidRPr="00443075">
        <w:rPr>
          <w:rFonts w:ascii="Arial" w:hAnsi="Arial" w:cs="Arial"/>
          <w:bCs/>
          <w:snapToGrid w:val="0"/>
          <w:sz w:val="22"/>
          <w:szCs w:val="20"/>
        </w:rPr>
        <w:t xml:space="preserve">did not recommend </w:t>
      </w:r>
      <w:proofErr w:type="spellStart"/>
      <w:r w:rsidR="00806A6E" w:rsidRPr="00443075">
        <w:rPr>
          <w:rFonts w:ascii="Arial" w:hAnsi="Arial" w:cs="Arial"/>
          <w:bCs/>
          <w:snapToGrid w:val="0"/>
          <w:sz w:val="22"/>
          <w:szCs w:val="20"/>
        </w:rPr>
        <w:t>adalimumab</w:t>
      </w:r>
      <w:proofErr w:type="spellEnd"/>
      <w:r w:rsidR="00806A6E" w:rsidRPr="00443075">
        <w:rPr>
          <w:rFonts w:ascii="Arial" w:hAnsi="Arial" w:cs="Arial"/>
          <w:bCs/>
          <w:snapToGrid w:val="0"/>
          <w:sz w:val="22"/>
          <w:szCs w:val="20"/>
        </w:rPr>
        <w:t xml:space="preserve"> for PBS listing for moderate to severe hidradenitis </w:t>
      </w:r>
      <w:proofErr w:type="spellStart"/>
      <w:r w:rsidR="00806A6E" w:rsidRPr="00443075">
        <w:rPr>
          <w:rFonts w:ascii="Arial" w:hAnsi="Arial" w:cs="Arial"/>
          <w:bCs/>
          <w:snapToGrid w:val="0"/>
          <w:sz w:val="22"/>
          <w:szCs w:val="20"/>
        </w:rPr>
        <w:t>suppurativa</w:t>
      </w:r>
      <w:proofErr w:type="spellEnd"/>
      <w:r w:rsidR="00806A6E" w:rsidRPr="00443075">
        <w:rPr>
          <w:rFonts w:ascii="Arial" w:hAnsi="Arial" w:cs="Arial"/>
          <w:bCs/>
          <w:snapToGrid w:val="0"/>
          <w:sz w:val="22"/>
          <w:szCs w:val="20"/>
        </w:rPr>
        <w:t xml:space="preserve"> (HS) on the basis </w:t>
      </w:r>
      <w:r w:rsidR="00287D65" w:rsidRPr="00443075">
        <w:rPr>
          <w:rFonts w:ascii="Arial" w:hAnsi="Arial" w:cs="Arial"/>
          <w:bCs/>
          <w:snapToGrid w:val="0"/>
          <w:sz w:val="22"/>
          <w:szCs w:val="20"/>
        </w:rPr>
        <w:t xml:space="preserve">of </w:t>
      </w:r>
      <w:r w:rsidR="00E11E39" w:rsidRPr="00443075">
        <w:rPr>
          <w:rFonts w:ascii="Arial" w:hAnsi="Arial" w:cs="Arial"/>
          <w:bCs/>
          <w:snapToGrid w:val="0"/>
          <w:sz w:val="22"/>
          <w:szCs w:val="20"/>
        </w:rPr>
        <w:t xml:space="preserve">high and </w:t>
      </w:r>
      <w:r w:rsidR="00287D65" w:rsidRPr="00443075">
        <w:rPr>
          <w:rFonts w:ascii="Arial" w:hAnsi="Arial" w:cs="Arial"/>
          <w:bCs/>
          <w:snapToGrid w:val="0"/>
          <w:sz w:val="22"/>
          <w:szCs w:val="20"/>
        </w:rPr>
        <w:t>uncertain cost effectiveness</w:t>
      </w:r>
      <w:r w:rsidR="009A11DA" w:rsidRPr="00443075">
        <w:rPr>
          <w:rFonts w:ascii="Arial" w:hAnsi="Arial" w:cs="Arial"/>
          <w:bCs/>
          <w:snapToGrid w:val="0"/>
          <w:sz w:val="22"/>
          <w:szCs w:val="20"/>
        </w:rPr>
        <w:t>.</w:t>
      </w:r>
    </w:p>
    <w:p w:rsidR="00D5212A" w:rsidRPr="00443075" w:rsidRDefault="00D5212A" w:rsidP="00280959">
      <w:pPr>
        <w:jc w:val="both"/>
        <w:rPr>
          <w:rFonts w:ascii="Arial" w:hAnsi="Arial" w:cs="Arial"/>
          <w:bCs/>
          <w:snapToGrid w:val="0"/>
          <w:sz w:val="22"/>
          <w:szCs w:val="20"/>
        </w:rPr>
      </w:pPr>
    </w:p>
    <w:p w:rsidR="005824D2" w:rsidRPr="00443075" w:rsidRDefault="00181E7F" w:rsidP="00A052C2">
      <w:pPr>
        <w:numPr>
          <w:ilvl w:val="1"/>
          <w:numId w:val="1"/>
        </w:numPr>
        <w:jc w:val="both"/>
        <w:rPr>
          <w:rFonts w:ascii="Arial" w:hAnsi="Arial" w:cs="Arial"/>
          <w:bCs/>
          <w:snapToGrid w:val="0"/>
          <w:sz w:val="22"/>
          <w:szCs w:val="20"/>
        </w:rPr>
      </w:pPr>
      <w:r>
        <w:rPr>
          <w:rFonts w:ascii="Arial" w:hAnsi="Arial" w:cs="Arial"/>
          <w:bCs/>
          <w:snapToGrid w:val="0"/>
          <w:sz w:val="22"/>
          <w:szCs w:val="20"/>
        </w:rPr>
        <w:t xml:space="preserve">Following the decision to reject the </w:t>
      </w:r>
      <w:r w:rsidR="00D0697B">
        <w:rPr>
          <w:rFonts w:ascii="Arial" w:hAnsi="Arial" w:cs="Arial"/>
          <w:bCs/>
          <w:snapToGrid w:val="0"/>
          <w:sz w:val="22"/>
          <w:szCs w:val="20"/>
        </w:rPr>
        <w:t xml:space="preserve">submission </w:t>
      </w:r>
      <w:r>
        <w:rPr>
          <w:rFonts w:ascii="Arial" w:hAnsi="Arial" w:cs="Arial"/>
          <w:bCs/>
          <w:snapToGrid w:val="0"/>
          <w:sz w:val="22"/>
          <w:szCs w:val="20"/>
        </w:rPr>
        <w:t>in March 2016,</w:t>
      </w:r>
      <w:r w:rsidR="006E5455">
        <w:rPr>
          <w:rFonts w:ascii="Arial" w:hAnsi="Arial" w:cs="Arial"/>
          <w:bCs/>
          <w:snapToGrid w:val="0"/>
          <w:sz w:val="22"/>
          <w:szCs w:val="20"/>
        </w:rPr>
        <w:t xml:space="preserve"> </w:t>
      </w:r>
      <w:r>
        <w:rPr>
          <w:rFonts w:ascii="Arial" w:hAnsi="Arial" w:cs="Arial"/>
          <w:bCs/>
          <w:snapToGrid w:val="0"/>
          <w:sz w:val="22"/>
          <w:szCs w:val="20"/>
        </w:rPr>
        <w:t>t</w:t>
      </w:r>
      <w:r w:rsidR="00B33421" w:rsidRPr="00443075">
        <w:rPr>
          <w:rFonts w:ascii="Arial" w:hAnsi="Arial" w:cs="Arial"/>
          <w:bCs/>
          <w:snapToGrid w:val="0"/>
          <w:sz w:val="22"/>
          <w:szCs w:val="20"/>
        </w:rPr>
        <w:t>he PBAC considered that a major re</w:t>
      </w:r>
      <w:r w:rsidR="00CD16FE" w:rsidRPr="00443075">
        <w:rPr>
          <w:rFonts w:ascii="Arial" w:hAnsi="Arial" w:cs="Arial"/>
          <w:bCs/>
          <w:snapToGrid w:val="0"/>
          <w:sz w:val="22"/>
          <w:szCs w:val="20"/>
        </w:rPr>
        <w:t>-</w:t>
      </w:r>
      <w:r w:rsidR="00B33421" w:rsidRPr="00443075">
        <w:rPr>
          <w:rFonts w:ascii="Arial" w:hAnsi="Arial" w:cs="Arial"/>
          <w:bCs/>
          <w:snapToGrid w:val="0"/>
          <w:sz w:val="22"/>
          <w:szCs w:val="20"/>
        </w:rPr>
        <w:t xml:space="preserve">submission should include a revised model of ongoing therapy with </w:t>
      </w:r>
      <w:proofErr w:type="spellStart"/>
      <w:r w:rsidR="00B33421" w:rsidRPr="00443075">
        <w:rPr>
          <w:rFonts w:ascii="Arial" w:hAnsi="Arial" w:cs="Arial"/>
          <w:bCs/>
          <w:snapToGrid w:val="0"/>
          <w:sz w:val="22"/>
          <w:szCs w:val="20"/>
        </w:rPr>
        <w:t>adalimumab</w:t>
      </w:r>
      <w:proofErr w:type="spellEnd"/>
      <w:r w:rsidR="00B33421" w:rsidRPr="00443075">
        <w:rPr>
          <w:rFonts w:ascii="Arial" w:hAnsi="Arial" w:cs="Arial"/>
          <w:bCs/>
          <w:snapToGrid w:val="0"/>
          <w:sz w:val="22"/>
          <w:szCs w:val="20"/>
        </w:rPr>
        <w:t xml:space="preserve"> and more conservative assumptions regarding the maintenance of treatment benefit.</w:t>
      </w:r>
      <w:r w:rsidR="005824D2" w:rsidRPr="00443075">
        <w:rPr>
          <w:rFonts w:ascii="Arial" w:hAnsi="Arial" w:cs="Arial"/>
          <w:bCs/>
          <w:snapToGrid w:val="0"/>
          <w:sz w:val="22"/>
          <w:szCs w:val="20"/>
        </w:rPr>
        <w:t xml:space="preserve"> In its consideration of the current submission, the PBAC noted that the minor re-submission requested the same restriction and presented the same model as the March 2016 pre-PBAC response with a reduced price offer.</w:t>
      </w:r>
      <w:r w:rsidR="00A052C2" w:rsidRPr="00443075">
        <w:rPr>
          <w:rFonts w:ascii="Arial" w:hAnsi="Arial" w:cs="Arial"/>
          <w:bCs/>
          <w:snapToGrid w:val="0"/>
          <w:sz w:val="22"/>
          <w:szCs w:val="20"/>
        </w:rPr>
        <w:t xml:space="preserve"> </w:t>
      </w:r>
      <w:r w:rsidR="004A7CF9" w:rsidRPr="00443075">
        <w:rPr>
          <w:rFonts w:ascii="Arial" w:hAnsi="Arial" w:cs="Arial"/>
          <w:bCs/>
          <w:snapToGrid w:val="0"/>
          <w:sz w:val="22"/>
          <w:szCs w:val="20"/>
        </w:rPr>
        <w:t xml:space="preserve">The PBAC </w:t>
      </w:r>
      <w:r w:rsidR="00A052C2" w:rsidRPr="00443075">
        <w:rPr>
          <w:rFonts w:ascii="Arial" w:hAnsi="Arial" w:cs="Arial"/>
          <w:bCs/>
          <w:snapToGrid w:val="0"/>
          <w:sz w:val="22"/>
          <w:szCs w:val="20"/>
        </w:rPr>
        <w:t xml:space="preserve">further </w:t>
      </w:r>
      <w:r w:rsidR="00087B7E" w:rsidRPr="00443075">
        <w:rPr>
          <w:rFonts w:ascii="Arial" w:hAnsi="Arial" w:cs="Arial"/>
          <w:bCs/>
          <w:snapToGrid w:val="0"/>
          <w:sz w:val="22"/>
          <w:szCs w:val="20"/>
        </w:rPr>
        <w:t>noted that the pre-PBAC response</w:t>
      </w:r>
      <w:r w:rsidR="005824D2" w:rsidRPr="00443075">
        <w:rPr>
          <w:rFonts w:ascii="Arial" w:hAnsi="Arial" w:cs="Arial"/>
          <w:bCs/>
          <w:snapToGrid w:val="0"/>
          <w:sz w:val="22"/>
          <w:szCs w:val="20"/>
        </w:rPr>
        <w:t xml:space="preserve"> for the current submission</w:t>
      </w:r>
      <w:r w:rsidR="00087B7E" w:rsidRPr="00443075">
        <w:rPr>
          <w:rFonts w:ascii="Arial" w:hAnsi="Arial" w:cs="Arial"/>
          <w:bCs/>
          <w:snapToGrid w:val="0"/>
          <w:sz w:val="22"/>
          <w:szCs w:val="20"/>
        </w:rPr>
        <w:t xml:space="preserve"> removed the treatment of </w:t>
      </w:r>
      <w:r w:rsidR="00034F12" w:rsidRPr="00443075">
        <w:rPr>
          <w:rFonts w:ascii="Arial" w:hAnsi="Arial" w:cs="Arial"/>
          <w:bCs/>
          <w:snapToGrid w:val="0"/>
          <w:sz w:val="22"/>
          <w:szCs w:val="20"/>
        </w:rPr>
        <w:t>non</w:t>
      </w:r>
      <w:r w:rsidR="00EE0B96" w:rsidRPr="00443075">
        <w:rPr>
          <w:rFonts w:ascii="Arial" w:hAnsi="Arial" w:cs="Arial"/>
          <w:bCs/>
          <w:snapToGrid w:val="0"/>
          <w:sz w:val="22"/>
          <w:szCs w:val="20"/>
        </w:rPr>
        <w:t xml:space="preserve">-responders in the </w:t>
      </w:r>
      <w:r w:rsidR="00087B7E" w:rsidRPr="00443075">
        <w:rPr>
          <w:rFonts w:ascii="Arial" w:hAnsi="Arial" w:cs="Arial"/>
          <w:bCs/>
          <w:snapToGrid w:val="0"/>
          <w:sz w:val="22"/>
          <w:szCs w:val="20"/>
        </w:rPr>
        <w:t>requested restriction</w:t>
      </w:r>
      <w:r w:rsidR="00A052C2" w:rsidRPr="00443075">
        <w:rPr>
          <w:rFonts w:ascii="Arial" w:hAnsi="Arial" w:cs="Arial"/>
          <w:bCs/>
          <w:snapToGrid w:val="0"/>
          <w:sz w:val="22"/>
          <w:szCs w:val="20"/>
        </w:rPr>
        <w:t xml:space="preserve"> and </w:t>
      </w:r>
      <w:r w:rsidR="00D86803" w:rsidRPr="00443075">
        <w:rPr>
          <w:rFonts w:ascii="Arial" w:hAnsi="Arial" w:cs="Arial"/>
          <w:bCs/>
          <w:snapToGrid w:val="0"/>
          <w:sz w:val="22"/>
          <w:szCs w:val="20"/>
        </w:rPr>
        <w:t xml:space="preserve">presented </w:t>
      </w:r>
      <w:r w:rsidR="00A052C2" w:rsidRPr="00443075">
        <w:rPr>
          <w:rFonts w:ascii="Arial" w:hAnsi="Arial" w:cs="Arial"/>
          <w:bCs/>
          <w:snapToGrid w:val="0"/>
          <w:sz w:val="22"/>
          <w:szCs w:val="20"/>
        </w:rPr>
        <w:t>a revised price offer</w:t>
      </w:r>
      <w:r w:rsidR="00EB60BB" w:rsidRPr="00443075">
        <w:rPr>
          <w:rFonts w:ascii="Arial" w:hAnsi="Arial" w:cs="Arial"/>
          <w:bCs/>
          <w:snapToGrid w:val="0"/>
          <w:sz w:val="22"/>
          <w:szCs w:val="20"/>
        </w:rPr>
        <w:t>.</w:t>
      </w:r>
    </w:p>
    <w:p w:rsidR="005824D2" w:rsidRPr="00443075" w:rsidRDefault="005E34D0" w:rsidP="00D256FA">
      <w:pPr>
        <w:ind w:left="720"/>
        <w:jc w:val="both"/>
        <w:rPr>
          <w:rFonts w:ascii="Arial" w:hAnsi="Arial" w:cs="Arial"/>
          <w:bCs/>
          <w:snapToGrid w:val="0"/>
          <w:sz w:val="22"/>
          <w:szCs w:val="20"/>
        </w:rPr>
      </w:pPr>
      <w:r w:rsidRPr="00443075">
        <w:rPr>
          <w:rFonts w:ascii="Arial" w:hAnsi="Arial" w:cs="Arial"/>
          <w:bCs/>
          <w:snapToGrid w:val="0"/>
          <w:sz w:val="22"/>
          <w:szCs w:val="20"/>
        </w:rPr>
        <w:t xml:space="preserve"> </w:t>
      </w:r>
    </w:p>
    <w:p w:rsidR="007A5A70" w:rsidRPr="00443075" w:rsidRDefault="005E34D0" w:rsidP="00280959">
      <w:pPr>
        <w:numPr>
          <w:ilvl w:val="1"/>
          <w:numId w:val="1"/>
        </w:numPr>
        <w:jc w:val="both"/>
        <w:rPr>
          <w:rFonts w:ascii="Arial" w:hAnsi="Arial" w:cs="Arial"/>
          <w:bCs/>
          <w:snapToGrid w:val="0"/>
          <w:sz w:val="22"/>
          <w:szCs w:val="20"/>
        </w:rPr>
      </w:pPr>
      <w:r w:rsidRPr="00443075">
        <w:rPr>
          <w:rFonts w:ascii="Arial" w:hAnsi="Arial" w:cs="Arial"/>
          <w:bCs/>
          <w:snapToGrid w:val="0"/>
          <w:sz w:val="22"/>
          <w:szCs w:val="20"/>
        </w:rPr>
        <w:t xml:space="preserve">The PBAC noted that the </w:t>
      </w:r>
      <w:r w:rsidR="00A540E8" w:rsidRPr="00443075">
        <w:rPr>
          <w:rFonts w:ascii="Arial" w:hAnsi="Arial" w:cs="Arial"/>
          <w:bCs/>
          <w:snapToGrid w:val="0"/>
          <w:sz w:val="22"/>
          <w:szCs w:val="20"/>
        </w:rPr>
        <w:t>continuation</w:t>
      </w:r>
      <w:r w:rsidRPr="00443075">
        <w:rPr>
          <w:rFonts w:ascii="Arial" w:hAnsi="Arial" w:cs="Arial"/>
          <w:bCs/>
          <w:snapToGrid w:val="0"/>
          <w:sz w:val="22"/>
          <w:szCs w:val="20"/>
        </w:rPr>
        <w:t xml:space="preserve"> criteria require the patient to achieve at least a 50% </w:t>
      </w:r>
      <w:proofErr w:type="spellStart"/>
      <w:r w:rsidRPr="00443075">
        <w:rPr>
          <w:rFonts w:ascii="Arial" w:hAnsi="Arial" w:cs="Arial"/>
          <w:bCs/>
          <w:snapToGrid w:val="0"/>
          <w:sz w:val="22"/>
          <w:szCs w:val="20"/>
        </w:rPr>
        <w:t>HiSCR</w:t>
      </w:r>
      <w:proofErr w:type="spellEnd"/>
      <w:r w:rsidRPr="00443075">
        <w:rPr>
          <w:rFonts w:ascii="Arial" w:hAnsi="Arial" w:cs="Arial"/>
          <w:bCs/>
          <w:snapToGrid w:val="0"/>
          <w:sz w:val="22"/>
          <w:szCs w:val="20"/>
        </w:rPr>
        <w:t xml:space="preserve"> as per the ACPM recommendation. The PBAC considered that the continuing restriction should be Authority </w:t>
      </w:r>
      <w:proofErr w:type="gramStart"/>
      <w:r w:rsidRPr="00443075">
        <w:rPr>
          <w:rFonts w:ascii="Arial" w:hAnsi="Arial" w:cs="Arial"/>
          <w:bCs/>
          <w:snapToGrid w:val="0"/>
          <w:sz w:val="22"/>
          <w:szCs w:val="20"/>
        </w:rPr>
        <w:t>Required</w:t>
      </w:r>
      <w:proofErr w:type="gramEnd"/>
      <w:r w:rsidRPr="00443075">
        <w:rPr>
          <w:rFonts w:ascii="Arial" w:hAnsi="Arial" w:cs="Arial"/>
          <w:bCs/>
          <w:snapToGrid w:val="0"/>
          <w:sz w:val="22"/>
          <w:szCs w:val="20"/>
        </w:rPr>
        <w:t xml:space="preserve"> (in-writing) as per the requested initial restriction (as opposed to the requested STREAMLINED authority).</w:t>
      </w:r>
    </w:p>
    <w:p w:rsidR="00650956" w:rsidRPr="00443075" w:rsidRDefault="00650956" w:rsidP="00322E23">
      <w:pPr>
        <w:pStyle w:val="ListParagraph"/>
        <w:rPr>
          <w:rFonts w:ascii="Arial" w:hAnsi="Arial" w:cs="Arial"/>
          <w:bCs/>
          <w:snapToGrid w:val="0"/>
          <w:sz w:val="22"/>
          <w:szCs w:val="20"/>
        </w:rPr>
      </w:pPr>
    </w:p>
    <w:p w:rsidR="005824D2" w:rsidRPr="00443075" w:rsidRDefault="005824D2" w:rsidP="005824D2">
      <w:pPr>
        <w:numPr>
          <w:ilvl w:val="1"/>
          <w:numId w:val="1"/>
        </w:numPr>
        <w:jc w:val="both"/>
        <w:rPr>
          <w:rFonts w:ascii="Arial" w:hAnsi="Arial" w:cs="Arial"/>
          <w:bCs/>
          <w:snapToGrid w:val="0"/>
          <w:sz w:val="22"/>
          <w:szCs w:val="20"/>
        </w:rPr>
      </w:pPr>
      <w:r w:rsidRPr="00443075">
        <w:rPr>
          <w:rFonts w:ascii="Arial" w:hAnsi="Arial" w:cs="Arial"/>
          <w:bCs/>
          <w:snapToGrid w:val="0"/>
          <w:sz w:val="22"/>
          <w:szCs w:val="20"/>
        </w:rPr>
        <w:t>The PBAC reaffirmed that there is a high clinical need for an effective treatment for moderate to severe HS. The PBAC acknowledged the consumer comments received in relation to the submission, both from people living with the condition and on behalf of patients.</w:t>
      </w:r>
    </w:p>
    <w:p w:rsidR="00E03E7C" w:rsidRPr="00443075" w:rsidRDefault="00E03E7C" w:rsidP="00D256FA">
      <w:pPr>
        <w:rPr>
          <w:rFonts w:ascii="Arial" w:hAnsi="Arial" w:cs="Arial"/>
          <w:bCs/>
          <w:snapToGrid w:val="0"/>
          <w:sz w:val="22"/>
          <w:szCs w:val="20"/>
        </w:rPr>
      </w:pPr>
    </w:p>
    <w:p w:rsidR="00D5212A" w:rsidRPr="00443075" w:rsidRDefault="00A92AE8" w:rsidP="00280959">
      <w:pPr>
        <w:numPr>
          <w:ilvl w:val="1"/>
          <w:numId w:val="1"/>
        </w:numPr>
        <w:jc w:val="both"/>
        <w:rPr>
          <w:rFonts w:ascii="Arial" w:hAnsi="Arial" w:cs="Arial"/>
          <w:bCs/>
          <w:snapToGrid w:val="0"/>
          <w:sz w:val="22"/>
          <w:szCs w:val="20"/>
        </w:rPr>
      </w:pPr>
      <w:r w:rsidRPr="00443075">
        <w:rPr>
          <w:rFonts w:ascii="Arial" w:hAnsi="Arial" w:cs="Arial"/>
          <w:bCs/>
          <w:snapToGrid w:val="0"/>
          <w:sz w:val="22"/>
          <w:szCs w:val="20"/>
        </w:rPr>
        <w:t xml:space="preserve">The PBAC </w:t>
      </w:r>
      <w:r w:rsidR="0057093E" w:rsidRPr="00443075">
        <w:rPr>
          <w:rFonts w:ascii="Arial" w:hAnsi="Arial" w:cs="Arial"/>
          <w:bCs/>
          <w:snapToGrid w:val="0"/>
          <w:sz w:val="22"/>
          <w:szCs w:val="20"/>
        </w:rPr>
        <w:t>re</w:t>
      </w:r>
      <w:r w:rsidR="00322E23" w:rsidRPr="00443075">
        <w:rPr>
          <w:rFonts w:ascii="Arial" w:hAnsi="Arial" w:cs="Arial"/>
          <w:bCs/>
          <w:snapToGrid w:val="0"/>
          <w:sz w:val="22"/>
          <w:szCs w:val="20"/>
        </w:rPr>
        <w:t>called</w:t>
      </w:r>
      <w:r w:rsidR="00FF46C7" w:rsidRPr="00443075">
        <w:rPr>
          <w:rFonts w:ascii="Arial" w:hAnsi="Arial" w:cs="Arial"/>
          <w:bCs/>
          <w:snapToGrid w:val="0"/>
          <w:sz w:val="22"/>
          <w:szCs w:val="20"/>
        </w:rPr>
        <w:t xml:space="preserve"> </w:t>
      </w:r>
      <w:r w:rsidRPr="00443075">
        <w:rPr>
          <w:rFonts w:ascii="Arial" w:hAnsi="Arial" w:cs="Arial"/>
          <w:bCs/>
          <w:snapToGrid w:val="0"/>
          <w:sz w:val="22"/>
          <w:szCs w:val="20"/>
        </w:rPr>
        <w:t xml:space="preserve">that </w:t>
      </w:r>
      <w:r w:rsidR="00322E23" w:rsidRPr="00443075">
        <w:rPr>
          <w:rFonts w:ascii="Arial" w:hAnsi="Arial" w:cs="Arial"/>
          <w:bCs/>
          <w:snapToGrid w:val="0"/>
          <w:sz w:val="22"/>
          <w:szCs w:val="20"/>
        </w:rPr>
        <w:t xml:space="preserve">it previously accepted </w:t>
      </w:r>
      <w:r w:rsidRPr="00443075">
        <w:rPr>
          <w:rFonts w:ascii="Arial" w:hAnsi="Arial" w:cs="Arial"/>
          <w:bCs/>
          <w:snapToGrid w:val="0"/>
          <w:sz w:val="22"/>
          <w:szCs w:val="20"/>
        </w:rPr>
        <w:t xml:space="preserve">BSC as the appropriate comparator. </w:t>
      </w:r>
    </w:p>
    <w:p w:rsidR="00F83A51" w:rsidRPr="00443075" w:rsidRDefault="00F83A51" w:rsidP="00322E23">
      <w:pPr>
        <w:pStyle w:val="ListParagraph"/>
        <w:rPr>
          <w:rFonts w:ascii="Arial" w:hAnsi="Arial" w:cs="Arial"/>
          <w:bCs/>
          <w:snapToGrid w:val="0"/>
          <w:sz w:val="22"/>
          <w:szCs w:val="20"/>
        </w:rPr>
      </w:pPr>
    </w:p>
    <w:p w:rsidR="006A2F2E" w:rsidRPr="00443075" w:rsidRDefault="00322E23" w:rsidP="00280959">
      <w:pPr>
        <w:numPr>
          <w:ilvl w:val="1"/>
          <w:numId w:val="1"/>
        </w:numPr>
        <w:jc w:val="both"/>
        <w:rPr>
          <w:rFonts w:ascii="Arial" w:hAnsi="Arial" w:cs="Arial"/>
          <w:bCs/>
          <w:snapToGrid w:val="0"/>
          <w:sz w:val="22"/>
          <w:szCs w:val="20"/>
        </w:rPr>
      </w:pPr>
      <w:r w:rsidRPr="00443075">
        <w:rPr>
          <w:rFonts w:ascii="Arial" w:hAnsi="Arial" w:cs="Arial"/>
          <w:bCs/>
          <w:snapToGrid w:val="0"/>
          <w:sz w:val="22"/>
          <w:szCs w:val="20"/>
        </w:rPr>
        <w:t>The PBAC noted that n</w:t>
      </w:r>
      <w:r w:rsidR="00F83A51" w:rsidRPr="00443075">
        <w:rPr>
          <w:rFonts w:ascii="Arial" w:hAnsi="Arial" w:cs="Arial"/>
          <w:bCs/>
          <w:snapToGrid w:val="0"/>
          <w:sz w:val="22"/>
          <w:szCs w:val="20"/>
        </w:rPr>
        <w:t xml:space="preserve">o new clinical trial data </w:t>
      </w:r>
      <w:r w:rsidR="00D86803" w:rsidRPr="00443075">
        <w:rPr>
          <w:rFonts w:ascii="Arial" w:hAnsi="Arial" w:cs="Arial"/>
          <w:bCs/>
          <w:snapToGrid w:val="0"/>
          <w:sz w:val="22"/>
          <w:szCs w:val="20"/>
        </w:rPr>
        <w:t>were</w:t>
      </w:r>
      <w:r w:rsidR="00190EE6" w:rsidRPr="00443075">
        <w:rPr>
          <w:rFonts w:ascii="Arial" w:hAnsi="Arial" w:cs="Arial"/>
          <w:bCs/>
          <w:snapToGrid w:val="0"/>
          <w:sz w:val="22"/>
          <w:szCs w:val="20"/>
        </w:rPr>
        <w:t xml:space="preserve"> </w:t>
      </w:r>
      <w:r w:rsidR="00F83A51" w:rsidRPr="00443075">
        <w:rPr>
          <w:rFonts w:ascii="Arial" w:hAnsi="Arial" w:cs="Arial"/>
          <w:bCs/>
          <w:snapToGrid w:val="0"/>
          <w:sz w:val="22"/>
          <w:szCs w:val="20"/>
        </w:rPr>
        <w:t>presented in the minor re</w:t>
      </w:r>
      <w:r w:rsidRPr="00443075">
        <w:rPr>
          <w:rFonts w:ascii="Arial" w:hAnsi="Arial" w:cs="Arial"/>
          <w:bCs/>
          <w:snapToGrid w:val="0"/>
          <w:sz w:val="22"/>
          <w:szCs w:val="20"/>
        </w:rPr>
        <w:noBreakHyphen/>
      </w:r>
      <w:r w:rsidR="00F83A51" w:rsidRPr="00443075">
        <w:rPr>
          <w:rFonts w:ascii="Arial" w:hAnsi="Arial" w:cs="Arial"/>
          <w:bCs/>
          <w:snapToGrid w:val="0"/>
          <w:sz w:val="22"/>
          <w:szCs w:val="20"/>
        </w:rPr>
        <w:t>submission</w:t>
      </w:r>
      <w:r w:rsidRPr="00443075">
        <w:rPr>
          <w:rFonts w:ascii="Arial" w:hAnsi="Arial" w:cs="Arial"/>
          <w:bCs/>
          <w:snapToGrid w:val="0"/>
          <w:sz w:val="22"/>
          <w:szCs w:val="20"/>
        </w:rPr>
        <w:t xml:space="preserve"> but that </w:t>
      </w:r>
      <w:r w:rsidR="00E41B46" w:rsidRPr="00443075">
        <w:rPr>
          <w:rFonts w:ascii="Arial" w:hAnsi="Arial" w:cs="Arial"/>
          <w:bCs/>
          <w:snapToGrid w:val="0"/>
          <w:sz w:val="22"/>
          <w:szCs w:val="20"/>
        </w:rPr>
        <w:t xml:space="preserve">outcomes from the OLE study </w:t>
      </w:r>
      <w:r w:rsidRPr="00443075">
        <w:rPr>
          <w:rFonts w:ascii="Arial" w:hAnsi="Arial" w:cs="Arial"/>
          <w:bCs/>
          <w:snapToGrid w:val="0"/>
          <w:sz w:val="22"/>
          <w:szCs w:val="20"/>
        </w:rPr>
        <w:t>were provided in the pre-PBAC response. The pre-PBAC response stated that the</w:t>
      </w:r>
      <w:r w:rsidR="00190EE6" w:rsidRPr="00443075">
        <w:rPr>
          <w:rFonts w:ascii="Arial" w:hAnsi="Arial" w:cs="Arial"/>
          <w:bCs/>
          <w:snapToGrid w:val="0"/>
          <w:sz w:val="22"/>
          <w:szCs w:val="20"/>
        </w:rPr>
        <w:t xml:space="preserve"> OLE</w:t>
      </w:r>
      <w:r w:rsidRPr="00443075">
        <w:rPr>
          <w:rFonts w:ascii="Arial" w:hAnsi="Arial" w:cs="Arial"/>
          <w:bCs/>
          <w:snapToGrid w:val="0"/>
          <w:sz w:val="22"/>
          <w:szCs w:val="20"/>
        </w:rPr>
        <w:t xml:space="preserve"> results </w:t>
      </w:r>
      <w:r w:rsidR="00441899" w:rsidRPr="00443075">
        <w:rPr>
          <w:rFonts w:ascii="Arial" w:hAnsi="Arial" w:cs="Arial"/>
          <w:bCs/>
          <w:snapToGrid w:val="0"/>
          <w:sz w:val="22"/>
          <w:szCs w:val="20"/>
        </w:rPr>
        <w:t xml:space="preserve">demonstrated </w:t>
      </w:r>
      <w:r w:rsidR="00190EE6" w:rsidRPr="00443075">
        <w:rPr>
          <w:rFonts w:ascii="Arial" w:hAnsi="Arial" w:cs="Arial"/>
          <w:bCs/>
          <w:snapToGrid w:val="0"/>
          <w:sz w:val="22"/>
          <w:szCs w:val="20"/>
        </w:rPr>
        <w:t xml:space="preserve">“the efficacy </w:t>
      </w:r>
      <w:r w:rsidR="007C0DE4" w:rsidRPr="00443075">
        <w:rPr>
          <w:rFonts w:ascii="Arial" w:hAnsi="Arial" w:cs="Arial"/>
          <w:bCs/>
          <w:snapToGrid w:val="0"/>
          <w:sz w:val="22"/>
          <w:szCs w:val="20"/>
        </w:rPr>
        <w:t xml:space="preserve">of </w:t>
      </w:r>
      <w:proofErr w:type="spellStart"/>
      <w:r w:rsidR="007C0DE4" w:rsidRPr="00443075">
        <w:rPr>
          <w:rFonts w:ascii="Arial" w:hAnsi="Arial" w:cs="Arial"/>
          <w:bCs/>
          <w:snapToGrid w:val="0"/>
          <w:sz w:val="22"/>
          <w:szCs w:val="20"/>
        </w:rPr>
        <w:t>adalimumab</w:t>
      </w:r>
      <w:proofErr w:type="spellEnd"/>
      <w:r w:rsidR="007C0DE4" w:rsidRPr="00443075">
        <w:rPr>
          <w:rFonts w:ascii="Arial" w:hAnsi="Arial" w:cs="Arial"/>
          <w:bCs/>
          <w:snapToGrid w:val="0"/>
          <w:sz w:val="22"/>
          <w:szCs w:val="20"/>
        </w:rPr>
        <w:t xml:space="preserve"> </w:t>
      </w:r>
      <w:r w:rsidR="00190EE6" w:rsidRPr="00443075">
        <w:rPr>
          <w:rFonts w:ascii="Arial" w:hAnsi="Arial" w:cs="Arial"/>
          <w:bCs/>
          <w:snapToGrid w:val="0"/>
          <w:sz w:val="22"/>
          <w:szCs w:val="20"/>
        </w:rPr>
        <w:t xml:space="preserve">in terms of achievement of </w:t>
      </w:r>
      <w:proofErr w:type="spellStart"/>
      <w:r w:rsidR="00190EE6" w:rsidRPr="00443075">
        <w:rPr>
          <w:rFonts w:ascii="Arial" w:hAnsi="Arial" w:cs="Arial"/>
          <w:bCs/>
          <w:snapToGrid w:val="0"/>
          <w:sz w:val="22"/>
          <w:szCs w:val="20"/>
        </w:rPr>
        <w:t>HiSCR</w:t>
      </w:r>
      <w:proofErr w:type="spellEnd"/>
      <w:r w:rsidR="00A61402" w:rsidRPr="00443075">
        <w:rPr>
          <w:rFonts w:ascii="Arial" w:hAnsi="Arial" w:cs="Arial"/>
          <w:bCs/>
          <w:snapToGrid w:val="0"/>
          <w:sz w:val="22"/>
          <w:szCs w:val="20"/>
        </w:rPr>
        <w:t xml:space="preserve"> </w:t>
      </w:r>
      <w:r w:rsidR="00190EE6" w:rsidRPr="00443075">
        <w:rPr>
          <w:rFonts w:ascii="Arial" w:hAnsi="Arial" w:cs="Arial"/>
          <w:bCs/>
          <w:snapToGrid w:val="0"/>
          <w:sz w:val="22"/>
          <w:szCs w:val="20"/>
        </w:rPr>
        <w:t>for up to 2 years of treatment”</w:t>
      </w:r>
      <w:r w:rsidR="007C0DE4" w:rsidRPr="00D0697B">
        <w:rPr>
          <w:rFonts w:ascii="Arial" w:hAnsi="Arial" w:cs="Arial"/>
          <w:bCs/>
          <w:snapToGrid w:val="0"/>
          <w:sz w:val="22"/>
          <w:szCs w:val="20"/>
        </w:rPr>
        <w:t>.</w:t>
      </w:r>
      <w:r w:rsidRPr="00D0697B">
        <w:rPr>
          <w:rFonts w:ascii="Arial" w:hAnsi="Arial" w:cs="Arial"/>
          <w:bCs/>
          <w:snapToGrid w:val="0"/>
          <w:sz w:val="22"/>
          <w:szCs w:val="20"/>
        </w:rPr>
        <w:t xml:space="preserve"> </w:t>
      </w:r>
      <w:r w:rsidR="00181E7F" w:rsidRPr="00D0697B">
        <w:rPr>
          <w:rFonts w:ascii="Arial" w:hAnsi="Arial" w:cs="Arial"/>
          <w:bCs/>
          <w:snapToGrid w:val="0"/>
          <w:sz w:val="22"/>
          <w:szCs w:val="20"/>
        </w:rPr>
        <w:t xml:space="preserve">The </w:t>
      </w:r>
      <w:r w:rsidRPr="00D0697B">
        <w:rPr>
          <w:rFonts w:ascii="Arial" w:hAnsi="Arial" w:cs="Arial"/>
          <w:bCs/>
          <w:snapToGrid w:val="0"/>
          <w:sz w:val="22"/>
          <w:szCs w:val="20"/>
        </w:rPr>
        <w:t xml:space="preserve">PBAC noted that this was new evidence in the pre-PBAC response </w:t>
      </w:r>
      <w:r w:rsidR="00CC4AD5" w:rsidRPr="00D0697B">
        <w:rPr>
          <w:rFonts w:ascii="Arial" w:hAnsi="Arial" w:cs="Arial"/>
          <w:bCs/>
          <w:snapToGrid w:val="0"/>
          <w:sz w:val="22"/>
          <w:szCs w:val="20"/>
        </w:rPr>
        <w:t xml:space="preserve">and that </w:t>
      </w:r>
      <w:r w:rsidR="00721FAF" w:rsidRPr="00D0697B">
        <w:rPr>
          <w:rFonts w:ascii="Arial" w:hAnsi="Arial" w:cs="Arial"/>
          <w:bCs/>
          <w:snapToGrid w:val="0"/>
          <w:sz w:val="22"/>
          <w:szCs w:val="20"/>
        </w:rPr>
        <w:t xml:space="preserve">this had not been </w:t>
      </w:r>
      <w:r w:rsidR="006E5455" w:rsidRPr="00D0697B">
        <w:rPr>
          <w:rFonts w:ascii="Arial" w:hAnsi="Arial" w:cs="Arial"/>
          <w:bCs/>
          <w:snapToGrid w:val="0"/>
          <w:sz w:val="22"/>
          <w:szCs w:val="20"/>
        </w:rPr>
        <w:t>formally</w:t>
      </w:r>
      <w:r w:rsidR="00181E7F" w:rsidRPr="00D0697B">
        <w:rPr>
          <w:rFonts w:ascii="Arial" w:hAnsi="Arial" w:cs="Arial"/>
          <w:bCs/>
          <w:snapToGrid w:val="0"/>
          <w:sz w:val="22"/>
          <w:szCs w:val="20"/>
        </w:rPr>
        <w:t xml:space="preserve"> evaluated</w:t>
      </w:r>
      <w:r w:rsidR="006E5455" w:rsidRPr="00D0697B">
        <w:rPr>
          <w:rFonts w:ascii="Arial" w:hAnsi="Arial" w:cs="Arial"/>
          <w:bCs/>
          <w:snapToGrid w:val="0"/>
          <w:sz w:val="22"/>
          <w:szCs w:val="20"/>
        </w:rPr>
        <w:t>.</w:t>
      </w:r>
      <w:r w:rsidR="00181E7F">
        <w:rPr>
          <w:rFonts w:ascii="Arial" w:hAnsi="Arial" w:cs="Arial"/>
          <w:bCs/>
          <w:snapToGrid w:val="0"/>
          <w:sz w:val="22"/>
          <w:szCs w:val="20"/>
        </w:rPr>
        <w:t xml:space="preserve"> </w:t>
      </w:r>
    </w:p>
    <w:p w:rsidR="00D5212A" w:rsidRPr="00443075" w:rsidRDefault="00D5212A" w:rsidP="00280959">
      <w:pPr>
        <w:jc w:val="both"/>
        <w:rPr>
          <w:rFonts w:ascii="Arial" w:hAnsi="Arial" w:cs="Arial"/>
          <w:bCs/>
          <w:snapToGrid w:val="0"/>
          <w:sz w:val="22"/>
          <w:szCs w:val="20"/>
          <w:highlight w:val="yellow"/>
        </w:rPr>
      </w:pPr>
    </w:p>
    <w:p w:rsidR="00EC3D66" w:rsidRPr="00443075" w:rsidRDefault="00BC3EE2" w:rsidP="00D256FA">
      <w:pPr>
        <w:numPr>
          <w:ilvl w:val="1"/>
          <w:numId w:val="1"/>
        </w:numPr>
        <w:jc w:val="both"/>
        <w:rPr>
          <w:rFonts w:ascii="Arial" w:hAnsi="Arial" w:cs="Arial"/>
          <w:bCs/>
          <w:snapToGrid w:val="0"/>
          <w:sz w:val="22"/>
          <w:szCs w:val="20"/>
        </w:rPr>
      </w:pPr>
      <w:r w:rsidRPr="00443075">
        <w:rPr>
          <w:rFonts w:ascii="Arial" w:hAnsi="Arial" w:cs="Arial"/>
          <w:bCs/>
          <w:snapToGrid w:val="0"/>
          <w:sz w:val="22"/>
          <w:szCs w:val="20"/>
        </w:rPr>
        <w:t xml:space="preserve">The PBAC </w:t>
      </w:r>
      <w:r w:rsidR="00196852" w:rsidRPr="00443075">
        <w:rPr>
          <w:rFonts w:ascii="Arial" w:hAnsi="Arial" w:cs="Arial"/>
          <w:bCs/>
          <w:snapToGrid w:val="0"/>
          <w:sz w:val="22"/>
          <w:szCs w:val="20"/>
        </w:rPr>
        <w:t xml:space="preserve">recalled that the </w:t>
      </w:r>
      <w:r w:rsidR="0087569F" w:rsidRPr="00443075">
        <w:rPr>
          <w:rFonts w:ascii="Arial" w:hAnsi="Arial" w:cs="Arial"/>
          <w:bCs/>
          <w:snapToGrid w:val="0"/>
          <w:sz w:val="22"/>
          <w:szCs w:val="20"/>
        </w:rPr>
        <w:t xml:space="preserve">economic </w:t>
      </w:r>
      <w:r w:rsidRPr="00443075">
        <w:rPr>
          <w:rFonts w:ascii="Arial" w:hAnsi="Arial" w:cs="Arial"/>
          <w:bCs/>
          <w:snapToGrid w:val="0"/>
          <w:sz w:val="22"/>
          <w:szCs w:val="20"/>
        </w:rPr>
        <w:t xml:space="preserve">model </w:t>
      </w:r>
      <w:r w:rsidR="00196852" w:rsidRPr="00443075">
        <w:rPr>
          <w:rFonts w:ascii="Arial" w:hAnsi="Arial" w:cs="Arial"/>
          <w:bCs/>
          <w:snapToGrid w:val="0"/>
          <w:sz w:val="22"/>
          <w:szCs w:val="20"/>
        </w:rPr>
        <w:t>in the March 2016 submission</w:t>
      </w:r>
      <w:r w:rsidR="00F04C50" w:rsidRPr="00443075">
        <w:rPr>
          <w:rFonts w:ascii="Arial" w:hAnsi="Arial" w:cs="Arial"/>
          <w:bCs/>
          <w:snapToGrid w:val="0"/>
          <w:sz w:val="22"/>
          <w:szCs w:val="20"/>
        </w:rPr>
        <w:t xml:space="preserve"> </w:t>
      </w:r>
      <w:r w:rsidR="00196852" w:rsidRPr="00443075">
        <w:rPr>
          <w:rFonts w:ascii="Arial" w:hAnsi="Arial" w:cs="Arial"/>
          <w:bCs/>
          <w:snapToGrid w:val="0"/>
          <w:sz w:val="22"/>
          <w:szCs w:val="20"/>
        </w:rPr>
        <w:t xml:space="preserve">assumed an indefinite benefit with </w:t>
      </w:r>
      <w:proofErr w:type="spellStart"/>
      <w:r w:rsidR="00196852" w:rsidRPr="00443075">
        <w:rPr>
          <w:rFonts w:ascii="Arial" w:hAnsi="Arial" w:cs="Arial"/>
          <w:bCs/>
          <w:snapToGrid w:val="0"/>
          <w:sz w:val="22"/>
          <w:szCs w:val="20"/>
        </w:rPr>
        <w:t>adalimumab</w:t>
      </w:r>
      <w:proofErr w:type="spellEnd"/>
      <w:r w:rsidR="00196852" w:rsidRPr="00443075">
        <w:rPr>
          <w:rFonts w:ascii="Arial" w:hAnsi="Arial" w:cs="Arial"/>
          <w:bCs/>
          <w:snapToGrid w:val="0"/>
          <w:sz w:val="22"/>
          <w:szCs w:val="20"/>
        </w:rPr>
        <w:t xml:space="preserve"> (compared with BSC) following </w:t>
      </w:r>
      <w:r w:rsidR="00731ADE" w:rsidRPr="00443075">
        <w:rPr>
          <w:rFonts w:ascii="Arial" w:hAnsi="Arial" w:cs="Arial"/>
          <w:bCs/>
          <w:snapToGrid w:val="0"/>
          <w:sz w:val="22"/>
          <w:szCs w:val="20"/>
        </w:rPr>
        <w:t>treatment</w:t>
      </w:r>
      <w:r w:rsidR="00196852" w:rsidRPr="00443075">
        <w:rPr>
          <w:rFonts w:ascii="Arial" w:hAnsi="Arial" w:cs="Arial"/>
          <w:bCs/>
          <w:snapToGrid w:val="0"/>
          <w:sz w:val="22"/>
          <w:szCs w:val="20"/>
        </w:rPr>
        <w:t xml:space="preserve"> cessation</w:t>
      </w:r>
      <w:r w:rsidR="00F04C50" w:rsidRPr="00443075">
        <w:rPr>
          <w:rFonts w:ascii="Arial" w:hAnsi="Arial" w:cs="Arial"/>
          <w:bCs/>
          <w:snapToGrid w:val="0"/>
          <w:sz w:val="22"/>
          <w:szCs w:val="20"/>
        </w:rPr>
        <w:t xml:space="preserve"> out to a </w:t>
      </w:r>
      <w:r w:rsidR="00443075" w:rsidRPr="00443075">
        <w:rPr>
          <w:rFonts w:ascii="Arial" w:hAnsi="Arial" w:cs="Arial"/>
          <w:bCs/>
          <w:snapToGrid w:val="0"/>
          <w:sz w:val="22"/>
          <w:szCs w:val="20"/>
        </w:rPr>
        <w:t>20-year</w:t>
      </w:r>
      <w:r w:rsidR="00F04C50" w:rsidRPr="00443075">
        <w:rPr>
          <w:rFonts w:ascii="Arial" w:hAnsi="Arial" w:cs="Arial"/>
          <w:bCs/>
          <w:snapToGrid w:val="0"/>
          <w:sz w:val="22"/>
          <w:szCs w:val="20"/>
        </w:rPr>
        <w:t xml:space="preserve"> time horizon</w:t>
      </w:r>
      <w:r w:rsidR="00196852" w:rsidRPr="00443075">
        <w:rPr>
          <w:rFonts w:ascii="Arial" w:hAnsi="Arial" w:cs="Arial"/>
          <w:bCs/>
          <w:snapToGrid w:val="0"/>
          <w:sz w:val="22"/>
          <w:szCs w:val="20"/>
        </w:rPr>
        <w:t xml:space="preserve">, and </w:t>
      </w:r>
      <w:r w:rsidR="00731ADE" w:rsidRPr="00443075">
        <w:rPr>
          <w:rFonts w:ascii="Arial" w:hAnsi="Arial" w:cs="Arial"/>
          <w:bCs/>
          <w:snapToGrid w:val="0"/>
          <w:sz w:val="22"/>
          <w:szCs w:val="20"/>
        </w:rPr>
        <w:t xml:space="preserve">that </w:t>
      </w:r>
      <w:r w:rsidR="00196852" w:rsidRPr="00443075">
        <w:rPr>
          <w:rFonts w:ascii="Arial" w:hAnsi="Arial" w:cs="Arial"/>
          <w:bCs/>
          <w:snapToGrid w:val="0"/>
          <w:sz w:val="22"/>
          <w:szCs w:val="20"/>
        </w:rPr>
        <w:t xml:space="preserve">nearly all patients discontinue therapy </w:t>
      </w:r>
      <w:r w:rsidR="00731ADE" w:rsidRPr="00443075">
        <w:rPr>
          <w:rFonts w:ascii="Arial" w:hAnsi="Arial" w:cs="Arial"/>
          <w:bCs/>
          <w:snapToGrid w:val="0"/>
          <w:sz w:val="22"/>
          <w:szCs w:val="20"/>
        </w:rPr>
        <w:t>within</w:t>
      </w:r>
      <w:r w:rsidR="00196852" w:rsidRPr="00443075">
        <w:rPr>
          <w:rFonts w:ascii="Arial" w:hAnsi="Arial" w:cs="Arial"/>
          <w:bCs/>
          <w:snapToGrid w:val="0"/>
          <w:sz w:val="22"/>
          <w:szCs w:val="20"/>
        </w:rPr>
        <w:t xml:space="preserve"> </w:t>
      </w:r>
      <w:r w:rsidR="00565AC7">
        <w:rPr>
          <w:rFonts w:ascii="Arial" w:hAnsi="Arial" w:cs="Arial"/>
          <w:bCs/>
          <w:noProof/>
          <w:snapToGrid w:val="0"/>
          <w:color w:val="000000"/>
          <w:sz w:val="22"/>
          <w:szCs w:val="20"/>
          <w:highlight w:val="black"/>
        </w:rPr>
        <w:t>''''''' '''''''''''''</w:t>
      </w:r>
      <w:r w:rsidR="00196852" w:rsidRPr="00443075">
        <w:rPr>
          <w:rFonts w:ascii="Arial" w:hAnsi="Arial" w:cs="Arial"/>
          <w:bCs/>
          <w:snapToGrid w:val="0"/>
          <w:sz w:val="22"/>
          <w:szCs w:val="20"/>
        </w:rPr>
        <w:t>. The March 2016 pre-PBA</w:t>
      </w:r>
      <w:r w:rsidR="00D86803" w:rsidRPr="00443075">
        <w:rPr>
          <w:rFonts w:ascii="Arial" w:hAnsi="Arial" w:cs="Arial"/>
          <w:bCs/>
          <w:snapToGrid w:val="0"/>
          <w:sz w:val="22"/>
          <w:szCs w:val="20"/>
        </w:rPr>
        <w:t>C response and current minor re</w:t>
      </w:r>
      <w:r w:rsidR="00D86803" w:rsidRPr="00443075">
        <w:rPr>
          <w:rFonts w:ascii="Arial" w:hAnsi="Arial" w:cs="Arial"/>
          <w:bCs/>
          <w:snapToGrid w:val="0"/>
          <w:sz w:val="22"/>
          <w:szCs w:val="20"/>
        </w:rPr>
        <w:noBreakHyphen/>
      </w:r>
      <w:r w:rsidR="00196852" w:rsidRPr="00443075">
        <w:rPr>
          <w:rFonts w:ascii="Arial" w:hAnsi="Arial" w:cs="Arial"/>
          <w:bCs/>
          <w:snapToGrid w:val="0"/>
          <w:sz w:val="22"/>
          <w:szCs w:val="20"/>
        </w:rPr>
        <w:t>submission modelled a scenario with a gradual</w:t>
      </w:r>
      <w:r w:rsidR="00F04C50" w:rsidRPr="00443075">
        <w:rPr>
          <w:rFonts w:ascii="Arial" w:hAnsi="Arial" w:cs="Arial"/>
          <w:bCs/>
          <w:snapToGrid w:val="0"/>
          <w:sz w:val="22"/>
          <w:szCs w:val="20"/>
        </w:rPr>
        <w:t>ly</w:t>
      </w:r>
      <w:r w:rsidR="00196852" w:rsidRPr="00443075">
        <w:rPr>
          <w:rFonts w:ascii="Arial" w:hAnsi="Arial" w:cs="Arial"/>
          <w:bCs/>
          <w:snapToGrid w:val="0"/>
          <w:sz w:val="22"/>
          <w:szCs w:val="20"/>
        </w:rPr>
        <w:t xml:space="preserve"> diminishing </w:t>
      </w:r>
      <w:r w:rsidR="00F04C50" w:rsidRPr="00443075">
        <w:rPr>
          <w:rFonts w:ascii="Arial" w:hAnsi="Arial" w:cs="Arial"/>
          <w:bCs/>
          <w:snapToGrid w:val="0"/>
          <w:sz w:val="22"/>
          <w:szCs w:val="20"/>
        </w:rPr>
        <w:t xml:space="preserve">incremental </w:t>
      </w:r>
      <w:r w:rsidR="00196852" w:rsidRPr="00443075">
        <w:rPr>
          <w:rFonts w:ascii="Arial" w:hAnsi="Arial" w:cs="Arial"/>
          <w:bCs/>
          <w:snapToGrid w:val="0"/>
          <w:sz w:val="22"/>
          <w:szCs w:val="20"/>
        </w:rPr>
        <w:t xml:space="preserve">benefit </w:t>
      </w:r>
      <w:r w:rsidR="00F04C50" w:rsidRPr="00443075">
        <w:rPr>
          <w:rFonts w:ascii="Arial" w:hAnsi="Arial" w:cs="Arial"/>
          <w:bCs/>
          <w:snapToGrid w:val="0"/>
          <w:sz w:val="22"/>
          <w:szCs w:val="20"/>
        </w:rPr>
        <w:t xml:space="preserve">associated with </w:t>
      </w:r>
      <w:proofErr w:type="spellStart"/>
      <w:r w:rsidR="00196852" w:rsidRPr="00443075">
        <w:rPr>
          <w:rFonts w:ascii="Arial" w:hAnsi="Arial" w:cs="Arial"/>
          <w:bCs/>
          <w:snapToGrid w:val="0"/>
          <w:sz w:val="22"/>
          <w:szCs w:val="20"/>
        </w:rPr>
        <w:t>adalimumab</w:t>
      </w:r>
      <w:proofErr w:type="spellEnd"/>
      <w:r w:rsidR="00196852" w:rsidRPr="00443075">
        <w:rPr>
          <w:rFonts w:ascii="Arial" w:hAnsi="Arial" w:cs="Arial"/>
          <w:bCs/>
          <w:snapToGrid w:val="0"/>
          <w:sz w:val="22"/>
          <w:szCs w:val="20"/>
        </w:rPr>
        <w:t xml:space="preserve"> treatment such that at the end of </w:t>
      </w:r>
      <w:r w:rsidR="00FA5D96" w:rsidRPr="00443075">
        <w:rPr>
          <w:rFonts w:ascii="Arial" w:hAnsi="Arial" w:cs="Arial"/>
          <w:bCs/>
          <w:snapToGrid w:val="0"/>
          <w:sz w:val="22"/>
          <w:szCs w:val="20"/>
        </w:rPr>
        <w:t>the time horizon</w:t>
      </w:r>
      <w:r w:rsidR="00196852" w:rsidRPr="00443075">
        <w:rPr>
          <w:rFonts w:ascii="Arial" w:hAnsi="Arial" w:cs="Arial"/>
          <w:bCs/>
          <w:snapToGrid w:val="0"/>
          <w:sz w:val="22"/>
          <w:szCs w:val="20"/>
        </w:rPr>
        <w:t xml:space="preserve"> there was no additional benefit compared with placebo. </w:t>
      </w:r>
      <w:r w:rsidRPr="00443075">
        <w:rPr>
          <w:rFonts w:ascii="Arial" w:hAnsi="Arial" w:cs="Arial"/>
          <w:bCs/>
          <w:snapToGrid w:val="0"/>
          <w:sz w:val="22"/>
          <w:szCs w:val="20"/>
        </w:rPr>
        <w:t xml:space="preserve">The PBAC </w:t>
      </w:r>
      <w:r w:rsidR="00196852" w:rsidRPr="00443075">
        <w:rPr>
          <w:rFonts w:ascii="Arial" w:hAnsi="Arial" w:cs="Arial"/>
          <w:bCs/>
          <w:snapToGrid w:val="0"/>
          <w:sz w:val="22"/>
          <w:szCs w:val="20"/>
        </w:rPr>
        <w:t>considered that while the approach in the minor re-submission was m</w:t>
      </w:r>
      <w:r w:rsidR="00D86803" w:rsidRPr="00443075">
        <w:rPr>
          <w:rFonts w:ascii="Arial" w:hAnsi="Arial" w:cs="Arial"/>
          <w:bCs/>
          <w:snapToGrid w:val="0"/>
          <w:sz w:val="22"/>
          <w:szCs w:val="20"/>
        </w:rPr>
        <w:t>ore conservative than the March </w:t>
      </w:r>
      <w:r w:rsidR="00196852" w:rsidRPr="00443075">
        <w:rPr>
          <w:rFonts w:ascii="Arial" w:hAnsi="Arial" w:cs="Arial"/>
          <w:bCs/>
          <w:snapToGrid w:val="0"/>
          <w:sz w:val="22"/>
          <w:szCs w:val="20"/>
        </w:rPr>
        <w:t>2016 submission</w:t>
      </w:r>
      <w:r w:rsidRPr="00443075">
        <w:rPr>
          <w:rFonts w:ascii="Arial" w:hAnsi="Arial" w:cs="Arial"/>
          <w:bCs/>
          <w:snapToGrid w:val="0"/>
          <w:sz w:val="22"/>
          <w:szCs w:val="20"/>
        </w:rPr>
        <w:t xml:space="preserve">, it still assumed </w:t>
      </w:r>
      <w:r w:rsidR="00196852" w:rsidRPr="00443075">
        <w:rPr>
          <w:rFonts w:ascii="Arial" w:hAnsi="Arial" w:cs="Arial"/>
          <w:bCs/>
          <w:snapToGrid w:val="0"/>
          <w:sz w:val="22"/>
          <w:szCs w:val="20"/>
        </w:rPr>
        <w:t xml:space="preserve">a </w:t>
      </w:r>
      <w:r w:rsidRPr="00443075">
        <w:rPr>
          <w:rFonts w:ascii="Arial" w:hAnsi="Arial" w:cs="Arial"/>
          <w:bCs/>
          <w:snapToGrid w:val="0"/>
          <w:sz w:val="22"/>
          <w:szCs w:val="20"/>
        </w:rPr>
        <w:t xml:space="preserve">benefit </w:t>
      </w:r>
      <w:r w:rsidR="00196852" w:rsidRPr="00443075">
        <w:rPr>
          <w:rFonts w:ascii="Arial" w:hAnsi="Arial" w:cs="Arial"/>
          <w:bCs/>
          <w:snapToGrid w:val="0"/>
          <w:sz w:val="22"/>
          <w:szCs w:val="20"/>
        </w:rPr>
        <w:t xml:space="preserve">for patients </w:t>
      </w:r>
      <w:r w:rsidR="00CC3A91" w:rsidRPr="00443075">
        <w:rPr>
          <w:rFonts w:ascii="Arial" w:hAnsi="Arial" w:cs="Arial"/>
          <w:bCs/>
          <w:snapToGrid w:val="0"/>
          <w:sz w:val="22"/>
          <w:szCs w:val="20"/>
        </w:rPr>
        <w:t xml:space="preserve">for up to 20 years </w:t>
      </w:r>
      <w:r w:rsidR="00F04C50" w:rsidRPr="00443075">
        <w:rPr>
          <w:rFonts w:ascii="Arial" w:hAnsi="Arial" w:cs="Arial"/>
          <w:bCs/>
          <w:snapToGrid w:val="0"/>
          <w:sz w:val="22"/>
          <w:szCs w:val="20"/>
        </w:rPr>
        <w:t xml:space="preserve">while </w:t>
      </w:r>
      <w:r w:rsidR="00CC3A91" w:rsidRPr="00443075">
        <w:rPr>
          <w:rFonts w:ascii="Arial" w:hAnsi="Arial" w:cs="Arial"/>
          <w:bCs/>
          <w:snapToGrid w:val="0"/>
          <w:sz w:val="22"/>
          <w:szCs w:val="20"/>
        </w:rPr>
        <w:t xml:space="preserve">nearly all patients discontinue therapy within </w:t>
      </w:r>
      <w:r w:rsidR="00565AC7">
        <w:rPr>
          <w:rFonts w:ascii="Arial" w:hAnsi="Arial" w:cs="Arial"/>
          <w:bCs/>
          <w:noProof/>
          <w:snapToGrid w:val="0"/>
          <w:color w:val="000000"/>
          <w:sz w:val="22"/>
          <w:szCs w:val="20"/>
          <w:highlight w:val="black"/>
        </w:rPr>
        <w:t>''''''''' ''''''''''''''</w:t>
      </w:r>
      <w:r w:rsidR="00F04C50" w:rsidRPr="00443075">
        <w:rPr>
          <w:rFonts w:ascii="Arial" w:hAnsi="Arial" w:cs="Arial"/>
          <w:bCs/>
          <w:snapToGrid w:val="0"/>
          <w:sz w:val="22"/>
          <w:szCs w:val="20"/>
        </w:rPr>
        <w:t xml:space="preserve"> (and therefore do not incur treatment costs</w:t>
      </w:r>
      <w:r w:rsidR="00D86803" w:rsidRPr="00443075">
        <w:rPr>
          <w:rFonts w:ascii="Arial" w:hAnsi="Arial" w:cs="Arial"/>
          <w:bCs/>
          <w:snapToGrid w:val="0"/>
          <w:sz w:val="22"/>
          <w:szCs w:val="20"/>
        </w:rPr>
        <w:t xml:space="preserve"> while continuing to receive a benefit</w:t>
      </w:r>
      <w:r w:rsidR="00F04C50" w:rsidRPr="00443075">
        <w:rPr>
          <w:rFonts w:ascii="Arial" w:hAnsi="Arial" w:cs="Arial"/>
          <w:bCs/>
          <w:snapToGrid w:val="0"/>
          <w:sz w:val="22"/>
          <w:szCs w:val="20"/>
        </w:rPr>
        <w:t>)</w:t>
      </w:r>
      <w:r w:rsidRPr="00443075">
        <w:rPr>
          <w:rFonts w:ascii="Arial" w:hAnsi="Arial" w:cs="Arial"/>
          <w:bCs/>
          <w:snapToGrid w:val="0"/>
          <w:sz w:val="22"/>
          <w:szCs w:val="20"/>
        </w:rPr>
        <w:t xml:space="preserve">. Therefore, this </w:t>
      </w:r>
      <w:r w:rsidR="00196852" w:rsidRPr="00443075">
        <w:rPr>
          <w:rFonts w:ascii="Arial" w:hAnsi="Arial" w:cs="Arial"/>
          <w:bCs/>
          <w:snapToGrid w:val="0"/>
          <w:sz w:val="22"/>
          <w:szCs w:val="20"/>
        </w:rPr>
        <w:t xml:space="preserve">approach </w:t>
      </w:r>
      <w:r w:rsidRPr="00443075">
        <w:rPr>
          <w:rFonts w:ascii="Arial" w:hAnsi="Arial" w:cs="Arial"/>
          <w:bCs/>
          <w:snapToGrid w:val="0"/>
          <w:sz w:val="22"/>
          <w:szCs w:val="20"/>
        </w:rPr>
        <w:t xml:space="preserve">may overestimate the benefit of </w:t>
      </w:r>
      <w:proofErr w:type="spellStart"/>
      <w:r w:rsidRPr="00443075">
        <w:rPr>
          <w:rFonts w:ascii="Arial" w:hAnsi="Arial" w:cs="Arial"/>
          <w:bCs/>
          <w:snapToGrid w:val="0"/>
          <w:sz w:val="22"/>
          <w:szCs w:val="20"/>
        </w:rPr>
        <w:t>adalimumab</w:t>
      </w:r>
      <w:proofErr w:type="spellEnd"/>
      <w:r w:rsidRPr="00443075">
        <w:rPr>
          <w:rFonts w:ascii="Arial" w:hAnsi="Arial" w:cs="Arial"/>
          <w:bCs/>
          <w:snapToGrid w:val="0"/>
          <w:sz w:val="22"/>
          <w:szCs w:val="20"/>
        </w:rPr>
        <w:t xml:space="preserve"> compared with placebo.</w:t>
      </w:r>
      <w:r w:rsidR="004A72CF" w:rsidRPr="00443075">
        <w:rPr>
          <w:rFonts w:ascii="Arial" w:hAnsi="Arial" w:cs="Arial"/>
          <w:bCs/>
          <w:snapToGrid w:val="0"/>
          <w:sz w:val="22"/>
          <w:szCs w:val="20"/>
        </w:rPr>
        <w:t xml:space="preserve"> The PBAC considered that while </w:t>
      </w:r>
      <w:r w:rsidR="00F04C50" w:rsidRPr="00443075">
        <w:rPr>
          <w:rFonts w:ascii="Arial" w:hAnsi="Arial" w:cs="Arial"/>
          <w:bCs/>
          <w:snapToGrid w:val="0"/>
          <w:sz w:val="22"/>
          <w:szCs w:val="20"/>
        </w:rPr>
        <w:t xml:space="preserve">a </w:t>
      </w:r>
      <w:r w:rsidR="006E65FC" w:rsidRPr="00443075">
        <w:rPr>
          <w:rFonts w:ascii="Arial" w:hAnsi="Arial" w:cs="Arial"/>
          <w:bCs/>
          <w:snapToGrid w:val="0"/>
          <w:sz w:val="22"/>
          <w:szCs w:val="20"/>
        </w:rPr>
        <w:t>20-year</w:t>
      </w:r>
      <w:r w:rsidR="004A72CF" w:rsidRPr="00443075">
        <w:rPr>
          <w:rFonts w:ascii="Arial" w:hAnsi="Arial" w:cs="Arial"/>
          <w:bCs/>
          <w:snapToGrid w:val="0"/>
          <w:sz w:val="22"/>
          <w:szCs w:val="20"/>
        </w:rPr>
        <w:t xml:space="preserve"> time horizon may be appropriate</w:t>
      </w:r>
      <w:r w:rsidR="00F04C50" w:rsidRPr="00443075">
        <w:rPr>
          <w:rFonts w:ascii="Arial" w:hAnsi="Arial" w:cs="Arial"/>
          <w:bCs/>
          <w:snapToGrid w:val="0"/>
          <w:sz w:val="22"/>
          <w:szCs w:val="20"/>
        </w:rPr>
        <w:t xml:space="preserve"> in the context of a chronic condition like HS</w:t>
      </w:r>
      <w:r w:rsidR="004A72CF" w:rsidRPr="00443075">
        <w:rPr>
          <w:rFonts w:ascii="Arial" w:hAnsi="Arial" w:cs="Arial"/>
          <w:bCs/>
          <w:snapToGrid w:val="0"/>
          <w:sz w:val="22"/>
          <w:szCs w:val="20"/>
        </w:rPr>
        <w:t xml:space="preserve">, </w:t>
      </w:r>
      <w:r w:rsidR="00423966" w:rsidRPr="00443075">
        <w:rPr>
          <w:rFonts w:ascii="Arial" w:hAnsi="Arial" w:cs="Arial"/>
          <w:bCs/>
          <w:snapToGrid w:val="0"/>
          <w:sz w:val="22"/>
          <w:szCs w:val="20"/>
        </w:rPr>
        <w:t xml:space="preserve">it was inappropriate when assuming nearly all patients discontinue therapy within </w:t>
      </w:r>
      <w:r w:rsidR="00565AC7">
        <w:rPr>
          <w:rFonts w:ascii="Arial" w:hAnsi="Arial" w:cs="Arial"/>
          <w:bCs/>
          <w:noProof/>
          <w:snapToGrid w:val="0"/>
          <w:color w:val="000000"/>
          <w:sz w:val="22"/>
          <w:szCs w:val="20"/>
          <w:highlight w:val="black"/>
        </w:rPr>
        <w:t>'''''''' ''''''''''''</w:t>
      </w:r>
      <w:r w:rsidR="00423966" w:rsidRPr="00443075">
        <w:rPr>
          <w:rFonts w:ascii="Arial" w:hAnsi="Arial" w:cs="Arial"/>
          <w:bCs/>
          <w:snapToGrid w:val="0"/>
          <w:sz w:val="22"/>
          <w:szCs w:val="20"/>
        </w:rPr>
        <w:t xml:space="preserve">. The PBAC noted some patients </w:t>
      </w:r>
      <w:r w:rsidR="009850F0">
        <w:rPr>
          <w:rFonts w:ascii="Arial" w:hAnsi="Arial" w:cs="Arial"/>
          <w:bCs/>
          <w:snapToGrid w:val="0"/>
          <w:sz w:val="22"/>
          <w:szCs w:val="20"/>
        </w:rPr>
        <w:t xml:space="preserve">may </w:t>
      </w:r>
      <w:r w:rsidR="00423966" w:rsidRPr="00443075">
        <w:rPr>
          <w:rFonts w:ascii="Arial" w:hAnsi="Arial" w:cs="Arial"/>
          <w:bCs/>
          <w:snapToGrid w:val="0"/>
          <w:sz w:val="22"/>
          <w:szCs w:val="20"/>
        </w:rPr>
        <w:t xml:space="preserve">be treated </w:t>
      </w:r>
      <w:r w:rsidR="009850F0">
        <w:rPr>
          <w:rFonts w:ascii="Arial" w:hAnsi="Arial" w:cs="Arial"/>
          <w:bCs/>
          <w:snapToGrid w:val="0"/>
          <w:sz w:val="22"/>
          <w:szCs w:val="20"/>
        </w:rPr>
        <w:t xml:space="preserve">for long periods of time </w:t>
      </w:r>
      <w:r w:rsidR="00423966" w:rsidRPr="00443075">
        <w:rPr>
          <w:rFonts w:ascii="Arial" w:hAnsi="Arial" w:cs="Arial"/>
          <w:bCs/>
          <w:snapToGrid w:val="0"/>
          <w:sz w:val="22"/>
          <w:szCs w:val="20"/>
        </w:rPr>
        <w:t xml:space="preserve">and the model </w:t>
      </w:r>
      <w:r w:rsidR="000466AF" w:rsidRPr="00443075">
        <w:rPr>
          <w:rFonts w:ascii="Arial" w:hAnsi="Arial" w:cs="Arial"/>
          <w:bCs/>
          <w:snapToGrid w:val="0"/>
          <w:sz w:val="22"/>
          <w:szCs w:val="20"/>
        </w:rPr>
        <w:t>did</w:t>
      </w:r>
      <w:r w:rsidR="00423966" w:rsidRPr="00443075">
        <w:rPr>
          <w:rFonts w:ascii="Arial" w:hAnsi="Arial" w:cs="Arial"/>
          <w:bCs/>
          <w:snapToGrid w:val="0"/>
          <w:sz w:val="22"/>
          <w:szCs w:val="20"/>
        </w:rPr>
        <w:t xml:space="preserve"> not reflect </w:t>
      </w:r>
      <w:r w:rsidR="009850F0">
        <w:rPr>
          <w:rFonts w:ascii="Arial" w:hAnsi="Arial" w:cs="Arial"/>
          <w:bCs/>
          <w:snapToGrid w:val="0"/>
          <w:sz w:val="22"/>
          <w:szCs w:val="20"/>
        </w:rPr>
        <w:t xml:space="preserve">the reality of </w:t>
      </w:r>
      <w:r w:rsidR="00423966" w:rsidRPr="00443075">
        <w:rPr>
          <w:rFonts w:ascii="Arial" w:hAnsi="Arial" w:cs="Arial"/>
          <w:bCs/>
          <w:snapToGrid w:val="0"/>
          <w:sz w:val="22"/>
          <w:szCs w:val="20"/>
        </w:rPr>
        <w:t xml:space="preserve">clinical practice. </w:t>
      </w:r>
      <w:r w:rsidR="009850F0">
        <w:rPr>
          <w:rFonts w:ascii="Arial" w:hAnsi="Arial" w:cs="Arial"/>
          <w:bCs/>
          <w:snapToGrid w:val="0"/>
          <w:sz w:val="22"/>
          <w:szCs w:val="20"/>
        </w:rPr>
        <w:t xml:space="preserve">With further revision of the model </w:t>
      </w:r>
      <w:r w:rsidR="00E11E39" w:rsidRPr="00443075">
        <w:rPr>
          <w:rFonts w:ascii="Arial" w:hAnsi="Arial" w:cs="Arial"/>
          <w:bCs/>
          <w:snapToGrid w:val="0"/>
          <w:sz w:val="22"/>
          <w:szCs w:val="20"/>
        </w:rPr>
        <w:t xml:space="preserve">the PBAC did not consider the requested listing to be sufficiently cost effective with </w:t>
      </w:r>
      <w:r w:rsidR="00423966" w:rsidRPr="00443075">
        <w:rPr>
          <w:rFonts w:ascii="Arial" w:hAnsi="Arial" w:cs="Arial"/>
          <w:bCs/>
          <w:snapToGrid w:val="0"/>
          <w:sz w:val="22"/>
          <w:szCs w:val="20"/>
        </w:rPr>
        <w:t>the</w:t>
      </w:r>
      <w:r w:rsidR="00E11E39" w:rsidRPr="00443075">
        <w:rPr>
          <w:rFonts w:ascii="Arial" w:hAnsi="Arial" w:cs="Arial"/>
          <w:bCs/>
          <w:snapToGrid w:val="0"/>
          <w:sz w:val="22"/>
          <w:szCs w:val="20"/>
        </w:rPr>
        <w:t xml:space="preserve"> time horizon</w:t>
      </w:r>
      <w:r w:rsidR="00423966" w:rsidRPr="00443075">
        <w:rPr>
          <w:rFonts w:ascii="Arial" w:hAnsi="Arial" w:cs="Arial"/>
          <w:bCs/>
          <w:snapToGrid w:val="0"/>
          <w:sz w:val="22"/>
          <w:szCs w:val="20"/>
        </w:rPr>
        <w:t xml:space="preserve"> reduced to 10 years</w:t>
      </w:r>
      <w:r w:rsidR="00E11E39" w:rsidRPr="00443075">
        <w:rPr>
          <w:rFonts w:ascii="Arial" w:hAnsi="Arial" w:cs="Arial"/>
          <w:bCs/>
          <w:snapToGrid w:val="0"/>
          <w:sz w:val="22"/>
          <w:szCs w:val="20"/>
        </w:rPr>
        <w:t>.</w:t>
      </w:r>
      <w:r w:rsidR="00423966" w:rsidRPr="00443075">
        <w:rPr>
          <w:rFonts w:ascii="Arial" w:hAnsi="Arial" w:cs="Arial"/>
          <w:bCs/>
          <w:snapToGrid w:val="0"/>
          <w:sz w:val="22"/>
        </w:rPr>
        <w:t xml:space="preserve"> T</w:t>
      </w:r>
      <w:r w:rsidR="006C071B" w:rsidRPr="00443075">
        <w:rPr>
          <w:rFonts w:ascii="Arial" w:hAnsi="Arial" w:cs="Arial"/>
          <w:bCs/>
          <w:snapToGrid w:val="0"/>
          <w:sz w:val="22"/>
        </w:rPr>
        <w:t xml:space="preserve">he PBAC considered that given the chronic nature of the condition, it was likely that patients would receive longer-term treatment with </w:t>
      </w:r>
      <w:proofErr w:type="spellStart"/>
      <w:r w:rsidR="006C071B" w:rsidRPr="00443075">
        <w:rPr>
          <w:rFonts w:ascii="Arial" w:hAnsi="Arial" w:cs="Arial"/>
          <w:bCs/>
          <w:snapToGrid w:val="0"/>
          <w:sz w:val="22"/>
        </w:rPr>
        <w:t>adalimumab</w:t>
      </w:r>
      <w:proofErr w:type="spellEnd"/>
      <w:r w:rsidR="006C071B" w:rsidRPr="00443075">
        <w:rPr>
          <w:rFonts w:ascii="Arial" w:hAnsi="Arial" w:cs="Arial"/>
          <w:bCs/>
          <w:snapToGrid w:val="0"/>
          <w:sz w:val="22"/>
        </w:rPr>
        <w:t xml:space="preserve"> (as opposed to discontinuing treatment within </w:t>
      </w:r>
      <w:r w:rsidR="00565AC7">
        <w:rPr>
          <w:rFonts w:ascii="Arial" w:hAnsi="Arial" w:cs="Arial"/>
          <w:bCs/>
          <w:noProof/>
          <w:snapToGrid w:val="0"/>
          <w:color w:val="000000"/>
          <w:sz w:val="22"/>
          <w:highlight w:val="black"/>
        </w:rPr>
        <w:t>''''''' '''''''''''''</w:t>
      </w:r>
      <w:r w:rsidR="006C071B" w:rsidRPr="00443075">
        <w:rPr>
          <w:rFonts w:ascii="Arial" w:hAnsi="Arial" w:cs="Arial"/>
          <w:bCs/>
          <w:snapToGrid w:val="0"/>
          <w:sz w:val="22"/>
        </w:rPr>
        <w:t>) and expressed a preference for a model that modelled the cost effectiveness of this scenario. In this case, a longer time horizon could be considered more reasonable.</w:t>
      </w:r>
    </w:p>
    <w:p w:rsidR="00324DE7" w:rsidRPr="00443075" w:rsidRDefault="00324DE7" w:rsidP="00324DE7">
      <w:pPr>
        <w:ind w:left="720"/>
        <w:jc w:val="both"/>
        <w:rPr>
          <w:rFonts w:ascii="Arial" w:hAnsi="Arial" w:cs="Arial"/>
          <w:bCs/>
          <w:snapToGrid w:val="0"/>
          <w:sz w:val="22"/>
          <w:szCs w:val="20"/>
        </w:rPr>
      </w:pPr>
    </w:p>
    <w:p w:rsidR="00324DE7" w:rsidRPr="00443075" w:rsidRDefault="00324DE7" w:rsidP="00D256FA">
      <w:pPr>
        <w:numPr>
          <w:ilvl w:val="1"/>
          <w:numId w:val="1"/>
        </w:numPr>
        <w:jc w:val="both"/>
        <w:rPr>
          <w:rFonts w:ascii="Arial" w:hAnsi="Arial" w:cs="Arial"/>
          <w:bCs/>
          <w:snapToGrid w:val="0"/>
          <w:sz w:val="22"/>
          <w:szCs w:val="20"/>
        </w:rPr>
      </w:pPr>
      <w:r w:rsidRPr="00443075">
        <w:rPr>
          <w:rFonts w:ascii="Arial" w:hAnsi="Arial" w:cs="Arial"/>
          <w:bCs/>
          <w:snapToGrid w:val="0"/>
          <w:sz w:val="22"/>
          <w:szCs w:val="20"/>
        </w:rPr>
        <w:t xml:space="preserve">In addition, the PBAC noted the other issues with the economic model raised in paragraphs 6.15 to 6.24 remained concerns </w:t>
      </w:r>
      <w:r w:rsidR="006E65FC">
        <w:rPr>
          <w:rFonts w:ascii="Arial" w:hAnsi="Arial" w:cs="Arial"/>
          <w:bCs/>
          <w:snapToGrid w:val="0"/>
          <w:sz w:val="22"/>
          <w:szCs w:val="20"/>
        </w:rPr>
        <w:t xml:space="preserve">that </w:t>
      </w:r>
      <w:r w:rsidRPr="00443075">
        <w:rPr>
          <w:rFonts w:ascii="Arial" w:hAnsi="Arial" w:cs="Arial"/>
          <w:bCs/>
          <w:snapToGrid w:val="0"/>
          <w:sz w:val="22"/>
          <w:szCs w:val="20"/>
        </w:rPr>
        <w:t xml:space="preserve">should be addressed in any resubmission. </w:t>
      </w:r>
    </w:p>
    <w:p w:rsidR="00BC3EE2" w:rsidRPr="00443075" w:rsidRDefault="00BC3EE2" w:rsidP="00D256FA">
      <w:pPr>
        <w:pStyle w:val="ListParagraph"/>
        <w:jc w:val="both"/>
        <w:rPr>
          <w:rFonts w:ascii="Arial" w:hAnsi="Arial" w:cs="Arial"/>
          <w:bCs/>
          <w:snapToGrid w:val="0"/>
          <w:sz w:val="22"/>
          <w:szCs w:val="20"/>
        </w:rPr>
      </w:pPr>
    </w:p>
    <w:p w:rsidR="003B3B1E" w:rsidRPr="00443075" w:rsidRDefault="0091539D" w:rsidP="00280959">
      <w:pPr>
        <w:numPr>
          <w:ilvl w:val="1"/>
          <w:numId w:val="1"/>
        </w:numPr>
        <w:jc w:val="both"/>
        <w:rPr>
          <w:rFonts w:ascii="Arial" w:hAnsi="Arial" w:cs="Arial"/>
          <w:bCs/>
          <w:snapToGrid w:val="0"/>
          <w:sz w:val="22"/>
          <w:szCs w:val="20"/>
        </w:rPr>
      </w:pPr>
      <w:r w:rsidRPr="00443075">
        <w:rPr>
          <w:rFonts w:ascii="Arial" w:hAnsi="Arial" w:cs="Arial"/>
          <w:bCs/>
          <w:snapToGrid w:val="0"/>
          <w:sz w:val="22"/>
          <w:szCs w:val="20"/>
        </w:rPr>
        <w:t>The PBAC noted the change</w:t>
      </w:r>
      <w:r w:rsidR="00CF2848" w:rsidRPr="00443075">
        <w:rPr>
          <w:rFonts w:ascii="Arial" w:hAnsi="Arial" w:cs="Arial"/>
          <w:bCs/>
          <w:snapToGrid w:val="0"/>
          <w:sz w:val="22"/>
          <w:szCs w:val="20"/>
        </w:rPr>
        <w:t>s</w:t>
      </w:r>
      <w:r w:rsidR="001A532F" w:rsidRPr="00443075">
        <w:rPr>
          <w:rFonts w:ascii="Arial" w:hAnsi="Arial" w:cs="Arial"/>
          <w:bCs/>
          <w:snapToGrid w:val="0"/>
          <w:sz w:val="22"/>
          <w:szCs w:val="20"/>
        </w:rPr>
        <w:t xml:space="preserve"> to the prevalence and uptake rate</w:t>
      </w:r>
      <w:r w:rsidR="00CF2848" w:rsidRPr="00443075">
        <w:rPr>
          <w:rFonts w:ascii="Arial" w:hAnsi="Arial" w:cs="Arial"/>
          <w:bCs/>
          <w:snapToGrid w:val="0"/>
          <w:sz w:val="22"/>
          <w:szCs w:val="20"/>
        </w:rPr>
        <w:t xml:space="preserve"> made in the March 2016 pre-PBAC response (which were unchanged in the minor re-submission), as per </w:t>
      </w:r>
      <w:r w:rsidR="00E11E39" w:rsidRPr="00443075">
        <w:rPr>
          <w:rFonts w:ascii="Arial" w:hAnsi="Arial" w:cs="Arial"/>
          <w:bCs/>
          <w:snapToGrid w:val="0"/>
          <w:sz w:val="22"/>
          <w:szCs w:val="20"/>
        </w:rPr>
        <w:t xml:space="preserve">the March 2016 </w:t>
      </w:r>
      <w:r w:rsidR="00CF2848" w:rsidRPr="00443075">
        <w:rPr>
          <w:rFonts w:ascii="Arial" w:hAnsi="Arial" w:cs="Arial"/>
          <w:bCs/>
          <w:snapToGrid w:val="0"/>
          <w:sz w:val="22"/>
          <w:szCs w:val="20"/>
        </w:rPr>
        <w:t>DUSC advice</w:t>
      </w:r>
      <w:r w:rsidR="001A532F" w:rsidRPr="00443075">
        <w:rPr>
          <w:rFonts w:ascii="Arial" w:hAnsi="Arial" w:cs="Arial"/>
          <w:bCs/>
          <w:snapToGrid w:val="0"/>
          <w:sz w:val="22"/>
          <w:szCs w:val="20"/>
        </w:rPr>
        <w:t xml:space="preserve">. </w:t>
      </w:r>
      <w:r w:rsidR="00CF2848" w:rsidRPr="00443075">
        <w:rPr>
          <w:rFonts w:ascii="Arial" w:hAnsi="Arial" w:cs="Arial"/>
          <w:bCs/>
          <w:snapToGrid w:val="0"/>
          <w:sz w:val="22"/>
          <w:szCs w:val="20"/>
        </w:rPr>
        <w:t xml:space="preserve">The PBAC noted that the financial estimates would require updating </w:t>
      </w:r>
      <w:r w:rsidR="00CC5405" w:rsidRPr="00443075">
        <w:rPr>
          <w:rFonts w:ascii="Arial" w:hAnsi="Arial" w:cs="Arial"/>
          <w:bCs/>
          <w:snapToGrid w:val="0"/>
          <w:sz w:val="22"/>
          <w:szCs w:val="20"/>
        </w:rPr>
        <w:t>to incorporate the diagnosis rate in the original submission and the DUSC advice (</w:t>
      </w:r>
      <w:proofErr w:type="gramStart"/>
      <w:r w:rsidR="00565AC7">
        <w:rPr>
          <w:rFonts w:ascii="Arial" w:hAnsi="Arial" w:cs="Arial"/>
          <w:bCs/>
          <w:noProof/>
          <w:snapToGrid w:val="0"/>
          <w:color w:val="000000"/>
          <w:sz w:val="22"/>
          <w:szCs w:val="20"/>
          <w:highlight w:val="black"/>
        </w:rPr>
        <w:t>''''''''''''</w:t>
      </w:r>
      <w:r w:rsidR="00CC5405" w:rsidRPr="00443075">
        <w:rPr>
          <w:rFonts w:ascii="Arial" w:hAnsi="Arial" w:cs="Arial"/>
          <w:bCs/>
          <w:snapToGrid w:val="0"/>
          <w:sz w:val="22"/>
          <w:szCs w:val="20"/>
        </w:rPr>
        <w:t>%</w:t>
      </w:r>
      <w:proofErr w:type="gramEnd"/>
      <w:r w:rsidR="00CC5405" w:rsidRPr="00443075">
        <w:rPr>
          <w:rFonts w:ascii="Arial" w:hAnsi="Arial" w:cs="Arial"/>
          <w:bCs/>
          <w:snapToGrid w:val="0"/>
          <w:sz w:val="22"/>
          <w:szCs w:val="20"/>
        </w:rPr>
        <w:t>), revised price proposal</w:t>
      </w:r>
      <w:r w:rsidR="00DC6831" w:rsidRPr="00443075">
        <w:rPr>
          <w:rFonts w:ascii="Arial" w:hAnsi="Arial" w:cs="Arial"/>
          <w:bCs/>
          <w:snapToGrid w:val="0"/>
          <w:sz w:val="22"/>
          <w:szCs w:val="20"/>
        </w:rPr>
        <w:t xml:space="preserve"> and</w:t>
      </w:r>
      <w:r w:rsidR="00CC5405" w:rsidRPr="00443075">
        <w:rPr>
          <w:rFonts w:ascii="Arial" w:hAnsi="Arial" w:cs="Arial"/>
          <w:bCs/>
          <w:snapToGrid w:val="0"/>
          <w:sz w:val="22"/>
          <w:szCs w:val="20"/>
        </w:rPr>
        <w:t xml:space="preserve"> </w:t>
      </w:r>
      <w:r w:rsidR="00CF2848" w:rsidRPr="00443075">
        <w:rPr>
          <w:rFonts w:ascii="Arial" w:hAnsi="Arial" w:cs="Arial"/>
          <w:bCs/>
          <w:snapToGrid w:val="0"/>
          <w:sz w:val="22"/>
          <w:szCs w:val="20"/>
        </w:rPr>
        <w:t>the removal of re</w:t>
      </w:r>
      <w:r w:rsidR="00CF2848" w:rsidRPr="00443075">
        <w:rPr>
          <w:rFonts w:ascii="Arial" w:hAnsi="Arial" w:cs="Arial"/>
          <w:bCs/>
          <w:snapToGrid w:val="0"/>
          <w:sz w:val="22"/>
          <w:szCs w:val="20"/>
        </w:rPr>
        <w:noBreakHyphen/>
        <w:t xml:space="preserve">treatment of </w:t>
      </w:r>
      <w:r w:rsidR="00672EC8" w:rsidRPr="00443075">
        <w:rPr>
          <w:rFonts w:ascii="Arial" w:hAnsi="Arial" w:cs="Arial"/>
          <w:bCs/>
          <w:snapToGrid w:val="0"/>
          <w:sz w:val="22"/>
          <w:szCs w:val="20"/>
        </w:rPr>
        <w:t>non-</w:t>
      </w:r>
      <w:r w:rsidR="00CF2848" w:rsidRPr="00443075">
        <w:rPr>
          <w:rFonts w:ascii="Arial" w:hAnsi="Arial" w:cs="Arial"/>
          <w:bCs/>
          <w:snapToGrid w:val="0"/>
          <w:sz w:val="22"/>
          <w:szCs w:val="20"/>
        </w:rPr>
        <w:t>responders.</w:t>
      </w:r>
    </w:p>
    <w:p w:rsidR="00047015" w:rsidRPr="00443075" w:rsidRDefault="00047015" w:rsidP="00322E23">
      <w:pPr>
        <w:pStyle w:val="ListParagraph"/>
        <w:rPr>
          <w:rFonts w:ascii="Arial" w:hAnsi="Arial" w:cs="Arial"/>
          <w:bCs/>
          <w:snapToGrid w:val="0"/>
          <w:sz w:val="22"/>
          <w:szCs w:val="20"/>
        </w:rPr>
      </w:pPr>
    </w:p>
    <w:p w:rsidR="0061307C" w:rsidRPr="00443075" w:rsidRDefault="00A458D7" w:rsidP="00280959">
      <w:pPr>
        <w:numPr>
          <w:ilvl w:val="1"/>
          <w:numId w:val="1"/>
        </w:numPr>
        <w:jc w:val="both"/>
        <w:rPr>
          <w:rFonts w:ascii="Arial" w:hAnsi="Arial" w:cs="Arial"/>
          <w:bCs/>
          <w:snapToGrid w:val="0"/>
          <w:sz w:val="22"/>
          <w:szCs w:val="20"/>
        </w:rPr>
      </w:pPr>
      <w:r w:rsidRPr="00443075">
        <w:rPr>
          <w:rFonts w:ascii="Arial" w:hAnsi="Arial" w:cs="Arial"/>
          <w:bCs/>
          <w:snapToGrid w:val="0"/>
          <w:sz w:val="22"/>
          <w:szCs w:val="20"/>
        </w:rPr>
        <w:t xml:space="preserve">The PBAC considered that </w:t>
      </w:r>
      <w:r w:rsidR="00915730" w:rsidRPr="00443075">
        <w:rPr>
          <w:rFonts w:ascii="Arial" w:hAnsi="Arial" w:cs="Arial"/>
          <w:bCs/>
          <w:snapToGrid w:val="0"/>
          <w:sz w:val="22"/>
          <w:szCs w:val="20"/>
        </w:rPr>
        <w:t>a major re</w:t>
      </w:r>
      <w:r w:rsidR="00196852" w:rsidRPr="00443075">
        <w:rPr>
          <w:rFonts w:ascii="Arial" w:hAnsi="Arial" w:cs="Arial"/>
          <w:bCs/>
          <w:snapToGrid w:val="0"/>
          <w:sz w:val="22"/>
          <w:szCs w:val="20"/>
        </w:rPr>
        <w:t>-</w:t>
      </w:r>
      <w:r w:rsidR="00915730" w:rsidRPr="00443075">
        <w:rPr>
          <w:rFonts w:ascii="Arial" w:hAnsi="Arial" w:cs="Arial"/>
          <w:bCs/>
          <w:snapToGrid w:val="0"/>
          <w:sz w:val="22"/>
          <w:szCs w:val="20"/>
        </w:rPr>
        <w:t xml:space="preserve">submission </w:t>
      </w:r>
      <w:r w:rsidRPr="00443075">
        <w:rPr>
          <w:rFonts w:ascii="Arial" w:hAnsi="Arial" w:cs="Arial"/>
          <w:bCs/>
          <w:snapToGrid w:val="0"/>
          <w:sz w:val="22"/>
          <w:szCs w:val="20"/>
        </w:rPr>
        <w:t xml:space="preserve">should </w:t>
      </w:r>
      <w:r w:rsidR="00196852" w:rsidRPr="00443075">
        <w:rPr>
          <w:rFonts w:ascii="Arial" w:hAnsi="Arial" w:cs="Arial"/>
          <w:bCs/>
          <w:snapToGrid w:val="0"/>
          <w:sz w:val="22"/>
          <w:szCs w:val="20"/>
        </w:rPr>
        <w:t>include</w:t>
      </w:r>
      <w:r w:rsidR="00316DC7">
        <w:rPr>
          <w:rFonts w:ascii="Arial" w:hAnsi="Arial" w:cs="Arial"/>
          <w:bCs/>
          <w:snapToGrid w:val="0"/>
          <w:sz w:val="22"/>
          <w:szCs w:val="20"/>
        </w:rPr>
        <w:t xml:space="preserve"> </w:t>
      </w:r>
      <w:r w:rsidR="00D0697B">
        <w:rPr>
          <w:rFonts w:ascii="Arial" w:hAnsi="Arial" w:cs="Arial"/>
          <w:bCs/>
          <w:snapToGrid w:val="0"/>
          <w:sz w:val="22"/>
          <w:szCs w:val="20"/>
        </w:rPr>
        <w:t>(</w:t>
      </w:r>
      <w:r w:rsidR="00316DC7">
        <w:rPr>
          <w:rFonts w:ascii="Arial" w:hAnsi="Arial" w:cs="Arial"/>
          <w:bCs/>
          <w:snapToGrid w:val="0"/>
          <w:sz w:val="22"/>
          <w:szCs w:val="20"/>
        </w:rPr>
        <w:t>but not be limited to</w:t>
      </w:r>
      <w:r w:rsidR="00D0697B">
        <w:rPr>
          <w:rFonts w:ascii="Arial" w:hAnsi="Arial" w:cs="Arial"/>
          <w:bCs/>
          <w:snapToGrid w:val="0"/>
          <w:sz w:val="22"/>
          <w:szCs w:val="20"/>
        </w:rPr>
        <w:t>)</w:t>
      </w:r>
      <w:r w:rsidR="0061307C" w:rsidRPr="00443075">
        <w:rPr>
          <w:rFonts w:ascii="Arial" w:hAnsi="Arial" w:cs="Arial"/>
          <w:bCs/>
          <w:snapToGrid w:val="0"/>
          <w:sz w:val="22"/>
          <w:szCs w:val="20"/>
        </w:rPr>
        <w:t>:</w:t>
      </w:r>
    </w:p>
    <w:p w:rsidR="0061307C" w:rsidRPr="00443075" w:rsidRDefault="003B3B1E" w:rsidP="00D256FA">
      <w:pPr>
        <w:numPr>
          <w:ilvl w:val="2"/>
          <w:numId w:val="1"/>
        </w:numPr>
        <w:ind w:left="993" w:hanging="284"/>
        <w:jc w:val="both"/>
        <w:rPr>
          <w:rFonts w:ascii="Arial" w:hAnsi="Arial" w:cs="Arial"/>
          <w:bCs/>
          <w:snapToGrid w:val="0"/>
          <w:sz w:val="22"/>
          <w:szCs w:val="20"/>
        </w:rPr>
      </w:pPr>
      <w:r w:rsidRPr="00443075">
        <w:rPr>
          <w:rFonts w:ascii="Arial" w:hAnsi="Arial" w:cs="Arial"/>
          <w:bCs/>
          <w:snapToGrid w:val="0"/>
          <w:sz w:val="22"/>
          <w:szCs w:val="20"/>
        </w:rPr>
        <w:t xml:space="preserve">revised restriction criteria </w:t>
      </w:r>
      <w:r w:rsidR="00196852" w:rsidRPr="00443075">
        <w:rPr>
          <w:rFonts w:ascii="Arial" w:hAnsi="Arial" w:cs="Arial"/>
          <w:bCs/>
          <w:snapToGrid w:val="0"/>
          <w:sz w:val="22"/>
          <w:szCs w:val="20"/>
        </w:rPr>
        <w:t xml:space="preserve">which </w:t>
      </w:r>
      <w:r w:rsidRPr="00443075">
        <w:rPr>
          <w:rFonts w:ascii="Arial" w:hAnsi="Arial" w:cs="Arial"/>
          <w:bCs/>
          <w:snapToGrid w:val="0"/>
          <w:sz w:val="22"/>
          <w:szCs w:val="20"/>
        </w:rPr>
        <w:t>includ</w:t>
      </w:r>
      <w:r w:rsidR="00196852" w:rsidRPr="00443075">
        <w:rPr>
          <w:rFonts w:ascii="Arial" w:hAnsi="Arial" w:cs="Arial"/>
          <w:bCs/>
          <w:snapToGrid w:val="0"/>
          <w:sz w:val="22"/>
          <w:szCs w:val="20"/>
        </w:rPr>
        <w:t>e</w:t>
      </w:r>
      <w:r w:rsidRPr="00443075">
        <w:rPr>
          <w:rFonts w:ascii="Arial" w:hAnsi="Arial" w:cs="Arial"/>
          <w:bCs/>
          <w:snapToGrid w:val="0"/>
          <w:sz w:val="22"/>
          <w:szCs w:val="20"/>
        </w:rPr>
        <w:t xml:space="preserve"> </w:t>
      </w:r>
      <w:r w:rsidR="00A458D7" w:rsidRPr="00443075">
        <w:rPr>
          <w:rFonts w:ascii="Arial" w:hAnsi="Arial" w:cs="Arial"/>
          <w:bCs/>
          <w:snapToGrid w:val="0"/>
          <w:sz w:val="22"/>
          <w:szCs w:val="20"/>
        </w:rPr>
        <w:t>the removal of re</w:t>
      </w:r>
      <w:r w:rsidR="006E037E" w:rsidRPr="00443075">
        <w:rPr>
          <w:rFonts w:ascii="Arial" w:hAnsi="Arial" w:cs="Arial"/>
          <w:bCs/>
          <w:snapToGrid w:val="0"/>
          <w:sz w:val="22"/>
          <w:szCs w:val="20"/>
        </w:rPr>
        <w:t>-</w:t>
      </w:r>
      <w:r w:rsidR="00A458D7" w:rsidRPr="00443075">
        <w:rPr>
          <w:rFonts w:ascii="Arial" w:hAnsi="Arial" w:cs="Arial"/>
          <w:bCs/>
          <w:snapToGrid w:val="0"/>
          <w:sz w:val="22"/>
          <w:szCs w:val="20"/>
        </w:rPr>
        <w:t xml:space="preserve">treatment for </w:t>
      </w:r>
      <w:r w:rsidR="00324DE7" w:rsidRPr="00443075">
        <w:rPr>
          <w:rFonts w:ascii="Arial" w:hAnsi="Arial" w:cs="Arial"/>
          <w:bCs/>
          <w:snapToGrid w:val="0"/>
          <w:sz w:val="22"/>
          <w:szCs w:val="20"/>
        </w:rPr>
        <w:t>non</w:t>
      </w:r>
      <w:r w:rsidR="00324DE7" w:rsidRPr="00443075">
        <w:rPr>
          <w:rFonts w:ascii="Arial" w:hAnsi="Arial" w:cs="Arial"/>
          <w:bCs/>
          <w:snapToGrid w:val="0"/>
          <w:sz w:val="22"/>
          <w:szCs w:val="20"/>
        </w:rPr>
        <w:noBreakHyphen/>
      </w:r>
      <w:r w:rsidR="0061307C" w:rsidRPr="00443075">
        <w:rPr>
          <w:rFonts w:ascii="Arial" w:hAnsi="Arial" w:cs="Arial"/>
          <w:bCs/>
          <w:snapToGrid w:val="0"/>
          <w:sz w:val="22"/>
          <w:szCs w:val="20"/>
        </w:rPr>
        <w:t xml:space="preserve">responders </w:t>
      </w:r>
      <w:r w:rsidR="007F4554" w:rsidRPr="00443075">
        <w:rPr>
          <w:rFonts w:ascii="Arial" w:hAnsi="Arial" w:cs="Arial"/>
          <w:bCs/>
          <w:snapToGrid w:val="0"/>
          <w:sz w:val="22"/>
          <w:szCs w:val="20"/>
        </w:rPr>
        <w:t xml:space="preserve">as proposed in the pre-PBAC response, </w:t>
      </w:r>
      <w:r w:rsidRPr="00443075">
        <w:rPr>
          <w:rFonts w:ascii="Arial" w:hAnsi="Arial" w:cs="Arial"/>
          <w:bCs/>
          <w:snapToGrid w:val="0"/>
          <w:sz w:val="22"/>
          <w:szCs w:val="20"/>
        </w:rPr>
        <w:t xml:space="preserve">as well as wording </w:t>
      </w:r>
      <w:r w:rsidR="0061307C" w:rsidRPr="00443075">
        <w:rPr>
          <w:rFonts w:ascii="Arial" w:hAnsi="Arial" w:cs="Arial"/>
          <w:bCs/>
          <w:snapToGrid w:val="0"/>
          <w:sz w:val="22"/>
          <w:szCs w:val="20"/>
        </w:rPr>
        <w:t>clarifying the re</w:t>
      </w:r>
      <w:r w:rsidR="0061307C" w:rsidRPr="00443075">
        <w:rPr>
          <w:rFonts w:ascii="Arial" w:hAnsi="Arial" w:cs="Arial"/>
          <w:bCs/>
          <w:snapToGrid w:val="0"/>
          <w:sz w:val="22"/>
          <w:szCs w:val="20"/>
        </w:rPr>
        <w:noBreakHyphen/>
        <w:t xml:space="preserve">treatment of </w:t>
      </w:r>
      <w:r w:rsidRPr="00443075">
        <w:rPr>
          <w:rFonts w:ascii="Arial" w:hAnsi="Arial" w:cs="Arial"/>
          <w:bCs/>
          <w:snapToGrid w:val="0"/>
          <w:sz w:val="22"/>
          <w:szCs w:val="20"/>
        </w:rPr>
        <w:t>responders who re-initiate treatment after a treatment break</w:t>
      </w:r>
      <w:r w:rsidR="0061307C" w:rsidRPr="00443075">
        <w:rPr>
          <w:rFonts w:ascii="Arial" w:hAnsi="Arial" w:cs="Arial"/>
          <w:bCs/>
          <w:snapToGrid w:val="0"/>
          <w:sz w:val="22"/>
          <w:szCs w:val="20"/>
        </w:rPr>
        <w:t>;</w:t>
      </w:r>
    </w:p>
    <w:p w:rsidR="0061307C" w:rsidRPr="00443075" w:rsidRDefault="0061307C" w:rsidP="00D256FA">
      <w:pPr>
        <w:numPr>
          <w:ilvl w:val="2"/>
          <w:numId w:val="1"/>
        </w:numPr>
        <w:ind w:left="993" w:hanging="284"/>
        <w:jc w:val="both"/>
        <w:rPr>
          <w:rFonts w:ascii="Arial" w:hAnsi="Arial" w:cs="Arial"/>
          <w:bCs/>
          <w:snapToGrid w:val="0"/>
          <w:sz w:val="22"/>
          <w:szCs w:val="20"/>
        </w:rPr>
      </w:pPr>
      <w:r w:rsidRPr="00443075">
        <w:rPr>
          <w:rFonts w:ascii="Arial" w:hAnsi="Arial" w:cs="Arial"/>
          <w:bCs/>
          <w:snapToGrid w:val="0"/>
          <w:sz w:val="22"/>
          <w:szCs w:val="20"/>
        </w:rPr>
        <w:t>the OLE study results for evaluation;</w:t>
      </w:r>
    </w:p>
    <w:p w:rsidR="0061307C" w:rsidRPr="00443075" w:rsidRDefault="0061307C" w:rsidP="00D256FA">
      <w:pPr>
        <w:numPr>
          <w:ilvl w:val="2"/>
          <w:numId w:val="1"/>
        </w:numPr>
        <w:ind w:left="993" w:hanging="284"/>
        <w:jc w:val="both"/>
        <w:rPr>
          <w:rFonts w:ascii="Arial" w:hAnsi="Arial" w:cs="Arial"/>
          <w:bCs/>
          <w:snapToGrid w:val="0"/>
          <w:sz w:val="22"/>
          <w:szCs w:val="20"/>
        </w:rPr>
      </w:pPr>
      <w:r w:rsidRPr="00443075">
        <w:rPr>
          <w:rFonts w:ascii="Arial" w:hAnsi="Arial" w:cs="Arial"/>
          <w:bCs/>
          <w:snapToGrid w:val="0"/>
          <w:sz w:val="22"/>
          <w:szCs w:val="20"/>
        </w:rPr>
        <w:t xml:space="preserve">a revised </w:t>
      </w:r>
      <w:r w:rsidR="003B3B1E" w:rsidRPr="00443075">
        <w:rPr>
          <w:rFonts w:ascii="Arial" w:hAnsi="Arial" w:cs="Arial"/>
          <w:bCs/>
          <w:snapToGrid w:val="0"/>
          <w:sz w:val="22"/>
          <w:szCs w:val="20"/>
        </w:rPr>
        <w:t xml:space="preserve">economic model </w:t>
      </w:r>
      <w:r w:rsidRPr="00443075">
        <w:rPr>
          <w:rFonts w:ascii="Arial" w:hAnsi="Arial" w:cs="Arial"/>
          <w:bCs/>
          <w:snapToGrid w:val="0"/>
          <w:sz w:val="22"/>
          <w:szCs w:val="20"/>
        </w:rPr>
        <w:t xml:space="preserve">with more conservative assumptions regarding the incremental benefit of </w:t>
      </w:r>
      <w:proofErr w:type="spellStart"/>
      <w:r w:rsidRPr="00443075">
        <w:rPr>
          <w:rFonts w:ascii="Arial" w:hAnsi="Arial" w:cs="Arial"/>
          <w:bCs/>
          <w:snapToGrid w:val="0"/>
          <w:sz w:val="22"/>
          <w:szCs w:val="20"/>
        </w:rPr>
        <w:t>adalimumab</w:t>
      </w:r>
      <w:proofErr w:type="spellEnd"/>
      <w:r w:rsidRPr="00443075">
        <w:rPr>
          <w:rFonts w:ascii="Arial" w:hAnsi="Arial" w:cs="Arial"/>
          <w:bCs/>
          <w:snapToGrid w:val="0"/>
          <w:sz w:val="22"/>
          <w:szCs w:val="20"/>
        </w:rPr>
        <w:t xml:space="preserve"> following treatment cessation (or, alternatively, a shorter time horizon)</w:t>
      </w:r>
      <w:r w:rsidR="00324DE7" w:rsidRPr="00443075">
        <w:rPr>
          <w:rFonts w:ascii="Arial" w:hAnsi="Arial" w:cs="Arial"/>
          <w:bCs/>
          <w:snapToGrid w:val="0"/>
          <w:sz w:val="22"/>
          <w:szCs w:val="20"/>
        </w:rPr>
        <w:t xml:space="preserve"> and addressing the other issues </w:t>
      </w:r>
      <w:r w:rsidR="006E65FC" w:rsidRPr="00443075">
        <w:rPr>
          <w:rFonts w:ascii="Arial" w:hAnsi="Arial" w:cs="Arial"/>
          <w:bCs/>
          <w:snapToGrid w:val="0"/>
          <w:sz w:val="22"/>
          <w:szCs w:val="20"/>
        </w:rPr>
        <w:t>raised</w:t>
      </w:r>
      <w:r w:rsidR="00324DE7" w:rsidRPr="00443075">
        <w:rPr>
          <w:rFonts w:ascii="Arial" w:hAnsi="Arial" w:cs="Arial"/>
          <w:bCs/>
          <w:snapToGrid w:val="0"/>
          <w:sz w:val="22"/>
          <w:szCs w:val="20"/>
        </w:rPr>
        <w:t xml:space="preserve"> in paragraphs 6.15 to 6.24</w:t>
      </w:r>
      <w:r w:rsidRPr="00443075">
        <w:rPr>
          <w:rFonts w:ascii="Arial" w:hAnsi="Arial" w:cs="Arial"/>
          <w:bCs/>
          <w:snapToGrid w:val="0"/>
          <w:sz w:val="22"/>
          <w:szCs w:val="20"/>
        </w:rPr>
        <w:t>; and</w:t>
      </w:r>
    </w:p>
    <w:p w:rsidR="00047015" w:rsidRPr="00443075" w:rsidRDefault="00E11E39" w:rsidP="00D256FA">
      <w:pPr>
        <w:numPr>
          <w:ilvl w:val="2"/>
          <w:numId w:val="1"/>
        </w:numPr>
        <w:ind w:left="993" w:hanging="284"/>
        <w:jc w:val="both"/>
        <w:rPr>
          <w:rFonts w:ascii="Arial" w:hAnsi="Arial" w:cs="Arial"/>
          <w:bCs/>
          <w:snapToGrid w:val="0"/>
          <w:sz w:val="22"/>
          <w:szCs w:val="20"/>
        </w:rPr>
      </w:pPr>
      <w:proofErr w:type="gramStart"/>
      <w:r w:rsidRPr="00443075">
        <w:rPr>
          <w:rFonts w:ascii="Arial" w:hAnsi="Arial" w:cs="Arial"/>
          <w:bCs/>
          <w:snapToGrid w:val="0"/>
          <w:sz w:val="22"/>
          <w:szCs w:val="20"/>
        </w:rPr>
        <w:t>revised</w:t>
      </w:r>
      <w:proofErr w:type="gramEnd"/>
      <w:r w:rsidRPr="00443075">
        <w:rPr>
          <w:rFonts w:ascii="Arial" w:hAnsi="Arial" w:cs="Arial"/>
          <w:bCs/>
          <w:snapToGrid w:val="0"/>
          <w:sz w:val="22"/>
          <w:szCs w:val="20"/>
        </w:rPr>
        <w:t xml:space="preserve"> utilisation and financial estimates incorporating the </w:t>
      </w:r>
      <w:r w:rsidR="00565AC7">
        <w:rPr>
          <w:rFonts w:ascii="Arial" w:hAnsi="Arial" w:cs="Arial"/>
          <w:bCs/>
          <w:noProof/>
          <w:snapToGrid w:val="0"/>
          <w:color w:val="000000"/>
          <w:sz w:val="22"/>
          <w:szCs w:val="20"/>
          <w:highlight w:val="black"/>
        </w:rPr>
        <w:t>''''''''''</w:t>
      </w:r>
      <w:r w:rsidR="00CC5405" w:rsidRPr="00443075">
        <w:rPr>
          <w:rFonts w:ascii="Arial" w:hAnsi="Arial" w:cs="Arial"/>
          <w:bCs/>
          <w:snapToGrid w:val="0"/>
          <w:sz w:val="22"/>
          <w:szCs w:val="20"/>
        </w:rPr>
        <w:t xml:space="preserve">% diagnosis rate, </w:t>
      </w:r>
      <w:r w:rsidRPr="00443075">
        <w:rPr>
          <w:rFonts w:ascii="Arial" w:hAnsi="Arial" w:cs="Arial"/>
          <w:bCs/>
          <w:snapToGrid w:val="0"/>
          <w:sz w:val="22"/>
          <w:szCs w:val="20"/>
        </w:rPr>
        <w:t>changes to the requested restriction and price</w:t>
      </w:r>
      <w:r w:rsidR="00F4052A" w:rsidRPr="00443075">
        <w:rPr>
          <w:rFonts w:ascii="Arial" w:hAnsi="Arial" w:cs="Arial"/>
          <w:bCs/>
          <w:snapToGrid w:val="0"/>
          <w:sz w:val="22"/>
          <w:szCs w:val="20"/>
        </w:rPr>
        <w:t>.</w:t>
      </w:r>
    </w:p>
    <w:p w:rsidR="00047015" w:rsidRPr="00443075" w:rsidRDefault="00D5212A" w:rsidP="00280959">
      <w:pPr>
        <w:jc w:val="both"/>
        <w:rPr>
          <w:rFonts w:ascii="Arial" w:hAnsi="Arial" w:cs="Arial"/>
          <w:bCs/>
          <w:snapToGrid w:val="0"/>
          <w:sz w:val="22"/>
          <w:szCs w:val="20"/>
        </w:rPr>
      </w:pPr>
      <w:r w:rsidRPr="00443075">
        <w:rPr>
          <w:rFonts w:ascii="Arial" w:hAnsi="Arial" w:cs="Arial"/>
          <w:bCs/>
          <w:snapToGrid w:val="0"/>
          <w:sz w:val="22"/>
          <w:szCs w:val="20"/>
        </w:rPr>
        <w:t xml:space="preserve"> </w:t>
      </w:r>
    </w:p>
    <w:p w:rsidR="00D5212A" w:rsidRPr="00443075" w:rsidRDefault="00D5212A" w:rsidP="00280959">
      <w:pPr>
        <w:numPr>
          <w:ilvl w:val="1"/>
          <w:numId w:val="1"/>
        </w:numPr>
        <w:jc w:val="both"/>
        <w:rPr>
          <w:rFonts w:ascii="Arial" w:hAnsi="Arial" w:cs="Arial"/>
          <w:b/>
          <w:bCs/>
          <w:snapToGrid w:val="0"/>
          <w:sz w:val="22"/>
          <w:szCs w:val="20"/>
        </w:rPr>
      </w:pPr>
      <w:r w:rsidRPr="00443075">
        <w:rPr>
          <w:rFonts w:ascii="Arial" w:hAnsi="Arial" w:cs="Arial"/>
          <w:bCs/>
          <w:snapToGrid w:val="0"/>
          <w:sz w:val="22"/>
          <w:szCs w:val="20"/>
        </w:rPr>
        <w:t>The PBAC noted that this submission is eligible for an Independent Review.</w:t>
      </w:r>
    </w:p>
    <w:p w:rsidR="00D5212A" w:rsidRPr="00443075" w:rsidRDefault="00D5212A" w:rsidP="00280959">
      <w:pPr>
        <w:jc w:val="both"/>
        <w:rPr>
          <w:rFonts w:ascii="Arial" w:hAnsi="Arial" w:cs="Arial"/>
          <w:b/>
          <w:snapToGrid w:val="0"/>
          <w:sz w:val="22"/>
          <w:szCs w:val="20"/>
        </w:rPr>
      </w:pPr>
    </w:p>
    <w:p w:rsidR="00D5212A" w:rsidRPr="00443075" w:rsidRDefault="00D5212A" w:rsidP="00280959">
      <w:pPr>
        <w:jc w:val="both"/>
        <w:rPr>
          <w:rFonts w:ascii="Arial" w:hAnsi="Arial" w:cs="Arial"/>
          <w:b/>
          <w:bCs/>
          <w:snapToGrid w:val="0"/>
          <w:sz w:val="22"/>
          <w:szCs w:val="20"/>
        </w:rPr>
      </w:pPr>
    </w:p>
    <w:p w:rsidR="00D5212A" w:rsidRPr="00443075" w:rsidRDefault="00D5212A" w:rsidP="00280959">
      <w:pPr>
        <w:jc w:val="both"/>
        <w:rPr>
          <w:rFonts w:ascii="Arial" w:hAnsi="Arial" w:cs="Arial"/>
          <w:b/>
          <w:bCs/>
          <w:snapToGrid w:val="0"/>
          <w:sz w:val="22"/>
          <w:szCs w:val="20"/>
        </w:rPr>
      </w:pPr>
      <w:r w:rsidRPr="00443075">
        <w:rPr>
          <w:rFonts w:ascii="Arial" w:hAnsi="Arial" w:cs="Arial"/>
          <w:b/>
          <w:bCs/>
          <w:snapToGrid w:val="0"/>
          <w:sz w:val="22"/>
          <w:szCs w:val="20"/>
        </w:rPr>
        <w:t>Outcome:</w:t>
      </w:r>
    </w:p>
    <w:p w:rsidR="00D5212A" w:rsidRPr="00443075" w:rsidRDefault="00D5212A" w:rsidP="00280959">
      <w:pPr>
        <w:jc w:val="both"/>
        <w:rPr>
          <w:rFonts w:ascii="Arial" w:hAnsi="Arial" w:cs="Arial"/>
          <w:bCs/>
          <w:snapToGrid w:val="0"/>
          <w:sz w:val="22"/>
          <w:szCs w:val="20"/>
        </w:rPr>
      </w:pPr>
      <w:r w:rsidRPr="00443075">
        <w:rPr>
          <w:rFonts w:ascii="Arial" w:hAnsi="Arial" w:cs="Arial"/>
          <w:bCs/>
          <w:snapToGrid w:val="0"/>
          <w:sz w:val="22"/>
          <w:szCs w:val="20"/>
        </w:rPr>
        <w:t>Rejected</w:t>
      </w:r>
    </w:p>
    <w:p w:rsidR="00D5212A" w:rsidRPr="00443075" w:rsidRDefault="00D5212A" w:rsidP="00280959">
      <w:pPr>
        <w:jc w:val="both"/>
        <w:rPr>
          <w:rFonts w:ascii="Arial" w:hAnsi="Arial" w:cs="Arial"/>
          <w:bCs/>
          <w:snapToGrid w:val="0"/>
          <w:sz w:val="22"/>
          <w:szCs w:val="20"/>
        </w:rPr>
      </w:pPr>
    </w:p>
    <w:p w:rsidR="00994C1D" w:rsidRPr="00994C1D" w:rsidRDefault="00994C1D" w:rsidP="00565AC7">
      <w:pPr>
        <w:pStyle w:val="Heading1"/>
        <w:rPr>
          <w:snapToGrid w:val="0"/>
          <w:lang w:eastAsia="en-US"/>
        </w:rPr>
      </w:pPr>
      <w:r w:rsidRPr="00994C1D">
        <w:rPr>
          <w:snapToGrid w:val="0"/>
          <w:lang w:eastAsia="en-US"/>
        </w:rPr>
        <w:t>Context for Decision</w:t>
      </w:r>
    </w:p>
    <w:p w:rsidR="00994C1D" w:rsidRPr="00994C1D" w:rsidRDefault="00994C1D" w:rsidP="00994C1D">
      <w:pPr>
        <w:widowControl w:val="0"/>
        <w:ind w:left="720"/>
        <w:jc w:val="both"/>
        <w:rPr>
          <w:rFonts w:ascii="Arial" w:hAnsi="Arial" w:cs="Arial"/>
          <w:bCs/>
          <w:snapToGrid w:val="0"/>
          <w:sz w:val="22"/>
          <w:szCs w:val="20"/>
          <w:lang w:eastAsia="en-US"/>
        </w:rPr>
      </w:pPr>
    </w:p>
    <w:p w:rsidR="00994C1D" w:rsidRPr="00994C1D" w:rsidRDefault="00994C1D" w:rsidP="00994C1D">
      <w:pPr>
        <w:widowControl w:val="0"/>
        <w:ind w:left="720"/>
        <w:jc w:val="both"/>
        <w:rPr>
          <w:rFonts w:ascii="Arial" w:hAnsi="Arial" w:cs="Arial"/>
          <w:bCs/>
          <w:snapToGrid w:val="0"/>
          <w:sz w:val="22"/>
          <w:szCs w:val="20"/>
          <w:lang w:eastAsia="en-US"/>
        </w:rPr>
      </w:pPr>
      <w:r w:rsidRPr="00994C1D">
        <w:rPr>
          <w:rFonts w:ascii="Arial" w:hAnsi="Arial" w:cs="Arial"/>
          <w:bCs/>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94C1D" w:rsidRPr="00994C1D" w:rsidRDefault="00994C1D" w:rsidP="00994C1D">
      <w:pPr>
        <w:widowControl w:val="0"/>
        <w:ind w:left="720"/>
        <w:jc w:val="both"/>
        <w:rPr>
          <w:rFonts w:ascii="Arial" w:hAnsi="Arial" w:cs="Arial"/>
          <w:bCs/>
          <w:snapToGrid w:val="0"/>
          <w:sz w:val="22"/>
          <w:szCs w:val="20"/>
          <w:lang w:eastAsia="en-US"/>
        </w:rPr>
      </w:pPr>
    </w:p>
    <w:p w:rsidR="00994C1D" w:rsidRPr="00994C1D" w:rsidRDefault="00994C1D" w:rsidP="00565AC7">
      <w:pPr>
        <w:pStyle w:val="Heading1"/>
        <w:rPr>
          <w:snapToGrid w:val="0"/>
          <w:lang w:eastAsia="en-US"/>
        </w:rPr>
      </w:pPr>
      <w:r w:rsidRPr="00994C1D">
        <w:rPr>
          <w:snapToGrid w:val="0"/>
          <w:lang w:eastAsia="en-US"/>
        </w:rPr>
        <w:t>Sponsor’s Comment</w:t>
      </w:r>
      <w:r w:rsidRPr="00994C1D">
        <w:rPr>
          <w:snapToGrid w:val="0"/>
          <w:lang w:eastAsia="en-US"/>
        </w:rPr>
        <w:tab/>
      </w:r>
    </w:p>
    <w:p w:rsidR="0002476C" w:rsidRPr="0002476C" w:rsidRDefault="0002476C" w:rsidP="0002476C">
      <w:pPr>
        <w:pStyle w:val="ListParagraph"/>
        <w:jc w:val="both"/>
        <w:rPr>
          <w:rFonts w:ascii="Arial" w:hAnsi="Arial" w:cs="Arial"/>
          <w:snapToGrid w:val="0"/>
          <w:sz w:val="22"/>
          <w:szCs w:val="20"/>
        </w:rPr>
      </w:pPr>
      <w:r w:rsidRPr="0002476C">
        <w:rPr>
          <w:rFonts w:ascii="Arial" w:hAnsi="Arial" w:cs="Arial"/>
          <w:bCs/>
          <w:snapToGrid w:val="0"/>
          <w:sz w:val="22"/>
          <w:szCs w:val="20"/>
          <w:lang w:eastAsia="en-US"/>
        </w:rPr>
        <w:t xml:space="preserve">The Sponsor is disappointed with the PBAC’s decision. </w:t>
      </w:r>
      <w:proofErr w:type="spellStart"/>
      <w:r w:rsidRPr="0002476C">
        <w:rPr>
          <w:rFonts w:ascii="Arial" w:hAnsi="Arial" w:cs="Arial"/>
          <w:bCs/>
          <w:snapToGrid w:val="0"/>
          <w:sz w:val="22"/>
          <w:szCs w:val="20"/>
          <w:lang w:eastAsia="en-US"/>
        </w:rPr>
        <w:t>AbbVie</w:t>
      </w:r>
      <w:proofErr w:type="spellEnd"/>
      <w:r w:rsidRPr="0002476C">
        <w:rPr>
          <w:rFonts w:ascii="Arial" w:hAnsi="Arial" w:cs="Arial"/>
          <w:bCs/>
          <w:snapToGrid w:val="0"/>
          <w:sz w:val="22"/>
          <w:szCs w:val="20"/>
          <w:lang w:eastAsia="en-US"/>
        </w:rPr>
        <w:t xml:space="preserve"> will continue to </w:t>
      </w:r>
      <w:proofErr w:type="gramStart"/>
      <w:r w:rsidRPr="0002476C">
        <w:rPr>
          <w:rFonts w:ascii="Arial" w:hAnsi="Arial" w:cs="Arial"/>
          <w:bCs/>
          <w:snapToGrid w:val="0"/>
          <w:sz w:val="22"/>
          <w:szCs w:val="20"/>
          <w:lang w:eastAsia="en-US"/>
        </w:rPr>
        <w:t>work  towards</w:t>
      </w:r>
      <w:proofErr w:type="gramEnd"/>
      <w:r w:rsidRPr="0002476C">
        <w:rPr>
          <w:rFonts w:ascii="Arial" w:hAnsi="Arial" w:cs="Arial"/>
          <w:bCs/>
          <w:snapToGrid w:val="0"/>
          <w:sz w:val="22"/>
          <w:szCs w:val="20"/>
          <w:lang w:eastAsia="en-US"/>
        </w:rPr>
        <w:t xml:space="preserve"> ensuring </w:t>
      </w:r>
      <w:proofErr w:type="spellStart"/>
      <w:r w:rsidRPr="0002476C">
        <w:rPr>
          <w:rFonts w:ascii="Arial" w:hAnsi="Arial" w:cs="Arial"/>
          <w:bCs/>
          <w:snapToGrid w:val="0"/>
          <w:sz w:val="22"/>
          <w:szCs w:val="20"/>
          <w:lang w:eastAsia="en-US"/>
        </w:rPr>
        <w:t>adalimumab</w:t>
      </w:r>
      <w:proofErr w:type="spellEnd"/>
      <w:r w:rsidRPr="0002476C">
        <w:rPr>
          <w:rFonts w:ascii="Arial" w:hAnsi="Arial" w:cs="Arial"/>
          <w:bCs/>
          <w:snapToGrid w:val="0"/>
          <w:sz w:val="22"/>
          <w:szCs w:val="20"/>
          <w:lang w:eastAsia="en-US"/>
        </w:rPr>
        <w:t xml:space="preserve"> is made available as a reimbursed therapy for the treatment of this debilitating disease.</w:t>
      </w:r>
    </w:p>
    <w:p w:rsidR="00CC57ED" w:rsidRPr="00443075" w:rsidRDefault="00CC57ED" w:rsidP="00322E23">
      <w:pPr>
        <w:rPr>
          <w:rFonts w:ascii="Arial" w:hAnsi="Arial"/>
          <w:sz w:val="22"/>
          <w:szCs w:val="22"/>
        </w:rPr>
      </w:pPr>
    </w:p>
    <w:sectPr w:rsidR="00CC57ED" w:rsidRPr="00443075"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13E497" w15:done="0"/>
  <w15:commentEx w15:paraId="043549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C7" w:rsidRDefault="00565AC7">
      <w:r>
        <w:separator/>
      </w:r>
    </w:p>
    <w:p w:rsidR="00565AC7" w:rsidRDefault="00565AC7"/>
  </w:endnote>
  <w:endnote w:type="continuationSeparator" w:id="0">
    <w:p w:rsidR="00565AC7" w:rsidRDefault="00565AC7">
      <w:r>
        <w:continuationSeparator/>
      </w:r>
    </w:p>
    <w:p w:rsidR="00565AC7" w:rsidRDefault="00565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65AC7" w:rsidTr="005A3173">
      <w:trPr>
        <w:trHeight w:val="151"/>
      </w:trPr>
      <w:tc>
        <w:tcPr>
          <w:tcW w:w="2250" w:type="pct"/>
          <w:tcBorders>
            <w:top w:val="nil"/>
            <w:left w:val="nil"/>
            <w:bottom w:val="single" w:sz="4" w:space="0" w:color="4F81BD"/>
            <w:right w:val="nil"/>
          </w:tcBorders>
        </w:tcPr>
        <w:p w:rsidR="00565AC7" w:rsidRPr="005A3173" w:rsidRDefault="00565A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65AC7" w:rsidRPr="005A3173" w:rsidRDefault="00565A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65AC7" w:rsidRPr="005A3173" w:rsidRDefault="00565AC7" w:rsidP="005A3173">
          <w:pPr>
            <w:pStyle w:val="Header"/>
            <w:spacing w:line="276" w:lineRule="auto"/>
            <w:rPr>
              <w:rFonts w:ascii="Calibri" w:eastAsia="MS Gothic" w:hAnsi="Calibri"/>
              <w:b/>
              <w:bCs/>
              <w:color w:val="4F81BD"/>
            </w:rPr>
          </w:pPr>
        </w:p>
      </w:tc>
    </w:tr>
    <w:tr w:rsidR="00565AC7" w:rsidTr="005A3173">
      <w:trPr>
        <w:trHeight w:val="150"/>
      </w:trPr>
      <w:tc>
        <w:tcPr>
          <w:tcW w:w="2250" w:type="pct"/>
          <w:tcBorders>
            <w:top w:val="single" w:sz="4" w:space="0" w:color="4F81BD"/>
            <w:left w:val="nil"/>
            <w:bottom w:val="nil"/>
            <w:right w:val="nil"/>
          </w:tcBorders>
        </w:tcPr>
        <w:p w:rsidR="00565AC7" w:rsidRPr="005A3173" w:rsidRDefault="00565AC7" w:rsidP="005A3173">
          <w:pPr>
            <w:pStyle w:val="Header"/>
            <w:spacing w:line="276" w:lineRule="auto"/>
            <w:rPr>
              <w:rFonts w:ascii="Calibri" w:eastAsia="MS Gothic" w:hAnsi="Calibri"/>
              <w:b/>
              <w:bCs/>
              <w:color w:val="4F81BD"/>
            </w:rPr>
          </w:pPr>
        </w:p>
      </w:tc>
      <w:tc>
        <w:tcPr>
          <w:tcW w:w="0" w:type="auto"/>
          <w:vMerge/>
          <w:vAlign w:val="center"/>
          <w:hideMark/>
        </w:tcPr>
        <w:p w:rsidR="00565AC7" w:rsidRPr="005A3173" w:rsidRDefault="00565A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565AC7" w:rsidRPr="005A3173" w:rsidRDefault="00565AC7" w:rsidP="005A3173">
          <w:pPr>
            <w:pStyle w:val="Header"/>
            <w:spacing w:line="276" w:lineRule="auto"/>
            <w:rPr>
              <w:rFonts w:ascii="Calibri" w:eastAsia="MS Gothic" w:hAnsi="Calibri"/>
              <w:b/>
              <w:bCs/>
              <w:color w:val="4F81BD"/>
            </w:rPr>
          </w:pPr>
        </w:p>
      </w:tc>
    </w:tr>
  </w:tbl>
  <w:p w:rsidR="00565AC7" w:rsidRDefault="00565A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5AC7" w:rsidRDefault="00565AC7">
    <w:pPr>
      <w:pStyle w:val="Footer"/>
    </w:pPr>
  </w:p>
  <w:p w:rsidR="00565AC7" w:rsidRDefault="00565A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7" w:rsidRPr="00B0168D" w:rsidRDefault="00565AC7">
    <w:pPr>
      <w:pStyle w:val="Footer"/>
      <w:jc w:val="center"/>
      <w:rPr>
        <w:rFonts w:ascii="Arial" w:hAnsi="Arial" w:cs="Arial"/>
      </w:rPr>
    </w:pPr>
  </w:p>
  <w:p w:rsidR="00565AC7" w:rsidRPr="001A470E" w:rsidRDefault="00565AC7">
    <w:pPr>
      <w:pStyle w:val="Footer"/>
      <w:jc w:val="center"/>
      <w:rPr>
        <w:rFonts w:ascii="Arial" w:hAnsi="Arial" w:cs="Arial"/>
        <w:sz w:val="20"/>
        <w:szCs w:val="20"/>
      </w:rPr>
    </w:pPr>
    <w:sdt>
      <w:sdtPr>
        <w:rPr>
          <w:rFonts w:ascii="Arial" w:hAnsi="Arial" w:cs="Arial"/>
          <w:sz w:val="20"/>
          <w:szCs w:val="20"/>
        </w:rPr>
        <w:id w:val="1196508702"/>
        <w:docPartObj>
          <w:docPartGallery w:val="Page Numbers (Bottom of Page)"/>
          <w:docPartUnique/>
        </w:docPartObj>
      </w:sdtPr>
      <w:sdtEndPr>
        <w:rPr>
          <w:noProof/>
        </w:rPr>
      </w:sdtEndPr>
      <w:sdtContent>
        <w:r w:rsidRPr="001A470E">
          <w:rPr>
            <w:rFonts w:ascii="Arial" w:hAnsi="Arial" w:cs="Arial"/>
            <w:sz w:val="20"/>
            <w:szCs w:val="20"/>
          </w:rPr>
          <w:fldChar w:fldCharType="begin"/>
        </w:r>
        <w:r w:rsidRPr="001A470E">
          <w:rPr>
            <w:rFonts w:ascii="Arial" w:hAnsi="Arial" w:cs="Arial"/>
            <w:sz w:val="20"/>
            <w:szCs w:val="20"/>
          </w:rPr>
          <w:instrText xml:space="preserve"> PAGE   \* MERGEFORMAT </w:instrText>
        </w:r>
        <w:r w:rsidRPr="001A470E">
          <w:rPr>
            <w:rFonts w:ascii="Arial" w:hAnsi="Arial" w:cs="Arial"/>
            <w:sz w:val="20"/>
            <w:szCs w:val="20"/>
          </w:rPr>
          <w:fldChar w:fldCharType="separate"/>
        </w:r>
        <w:r w:rsidR="00FF5F4A">
          <w:rPr>
            <w:rFonts w:ascii="Arial" w:hAnsi="Arial" w:cs="Arial"/>
            <w:noProof/>
            <w:sz w:val="20"/>
            <w:szCs w:val="20"/>
          </w:rPr>
          <w:t>16</w:t>
        </w:r>
        <w:r w:rsidRPr="001A470E">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65AC7" w:rsidTr="005A3173">
      <w:trPr>
        <w:trHeight w:val="151"/>
      </w:trPr>
      <w:tc>
        <w:tcPr>
          <w:tcW w:w="2250" w:type="pct"/>
          <w:tcBorders>
            <w:top w:val="nil"/>
            <w:left w:val="nil"/>
            <w:bottom w:val="single" w:sz="4" w:space="0" w:color="4F81BD"/>
            <w:right w:val="nil"/>
          </w:tcBorders>
        </w:tcPr>
        <w:p w:rsidR="00565AC7" w:rsidRPr="005A3173" w:rsidRDefault="00565A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65AC7" w:rsidRPr="005A3173" w:rsidRDefault="00565A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65AC7" w:rsidRPr="005A3173" w:rsidRDefault="00565AC7" w:rsidP="005A3173">
          <w:pPr>
            <w:pStyle w:val="Header"/>
            <w:spacing w:line="276" w:lineRule="auto"/>
            <w:rPr>
              <w:rFonts w:ascii="Calibri" w:eastAsia="MS Gothic" w:hAnsi="Calibri"/>
              <w:b/>
              <w:bCs/>
              <w:color w:val="4F81BD"/>
            </w:rPr>
          </w:pPr>
        </w:p>
      </w:tc>
    </w:tr>
    <w:tr w:rsidR="00565AC7" w:rsidTr="005A3173">
      <w:trPr>
        <w:trHeight w:val="150"/>
      </w:trPr>
      <w:tc>
        <w:tcPr>
          <w:tcW w:w="2250" w:type="pct"/>
          <w:tcBorders>
            <w:top w:val="single" w:sz="4" w:space="0" w:color="4F81BD"/>
            <w:left w:val="nil"/>
            <w:bottom w:val="nil"/>
            <w:right w:val="nil"/>
          </w:tcBorders>
        </w:tcPr>
        <w:p w:rsidR="00565AC7" w:rsidRPr="005A3173" w:rsidRDefault="00565AC7" w:rsidP="005A3173">
          <w:pPr>
            <w:pStyle w:val="Header"/>
            <w:spacing w:line="276" w:lineRule="auto"/>
            <w:rPr>
              <w:rFonts w:ascii="Calibri" w:eastAsia="MS Gothic" w:hAnsi="Calibri"/>
              <w:b/>
              <w:bCs/>
              <w:color w:val="4F81BD"/>
            </w:rPr>
          </w:pPr>
        </w:p>
      </w:tc>
      <w:tc>
        <w:tcPr>
          <w:tcW w:w="0" w:type="auto"/>
          <w:vMerge/>
          <w:vAlign w:val="center"/>
          <w:hideMark/>
        </w:tcPr>
        <w:p w:rsidR="00565AC7" w:rsidRPr="005A3173" w:rsidRDefault="00565A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565AC7" w:rsidRPr="005A3173" w:rsidRDefault="00565A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65AC7" w:rsidTr="005A3173">
      <w:trPr>
        <w:trHeight w:val="151"/>
      </w:trPr>
      <w:tc>
        <w:tcPr>
          <w:tcW w:w="2250" w:type="pct"/>
          <w:tcBorders>
            <w:top w:val="nil"/>
            <w:left w:val="nil"/>
            <w:bottom w:val="single" w:sz="4" w:space="0" w:color="4F81BD"/>
            <w:right w:val="nil"/>
          </w:tcBorders>
        </w:tcPr>
        <w:p w:rsidR="00565AC7" w:rsidRPr="005A3173" w:rsidRDefault="00565A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65AC7" w:rsidRPr="005A3173" w:rsidRDefault="00565A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65AC7" w:rsidRPr="005A3173" w:rsidRDefault="00565AC7" w:rsidP="005A3173">
          <w:pPr>
            <w:pStyle w:val="Header"/>
            <w:spacing w:line="276" w:lineRule="auto"/>
            <w:rPr>
              <w:rFonts w:ascii="Calibri" w:eastAsia="MS Gothic" w:hAnsi="Calibri"/>
              <w:b/>
              <w:bCs/>
              <w:color w:val="4F81BD"/>
            </w:rPr>
          </w:pPr>
        </w:p>
      </w:tc>
    </w:tr>
    <w:tr w:rsidR="00565AC7" w:rsidTr="005A3173">
      <w:trPr>
        <w:trHeight w:val="150"/>
      </w:trPr>
      <w:tc>
        <w:tcPr>
          <w:tcW w:w="2250" w:type="pct"/>
          <w:tcBorders>
            <w:top w:val="single" w:sz="4" w:space="0" w:color="4F81BD"/>
            <w:left w:val="nil"/>
            <w:bottom w:val="nil"/>
            <w:right w:val="nil"/>
          </w:tcBorders>
        </w:tcPr>
        <w:p w:rsidR="00565AC7" w:rsidRPr="005A3173" w:rsidRDefault="00565AC7" w:rsidP="005A3173">
          <w:pPr>
            <w:pStyle w:val="Header"/>
            <w:spacing w:line="276" w:lineRule="auto"/>
            <w:rPr>
              <w:rFonts w:ascii="Calibri" w:eastAsia="MS Gothic" w:hAnsi="Calibri"/>
              <w:b/>
              <w:bCs/>
              <w:color w:val="4F81BD"/>
            </w:rPr>
          </w:pPr>
        </w:p>
      </w:tc>
      <w:tc>
        <w:tcPr>
          <w:tcW w:w="0" w:type="auto"/>
          <w:vMerge/>
          <w:vAlign w:val="center"/>
          <w:hideMark/>
        </w:tcPr>
        <w:p w:rsidR="00565AC7" w:rsidRPr="005A3173" w:rsidRDefault="00565A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565AC7" w:rsidRPr="005A3173" w:rsidRDefault="00565AC7" w:rsidP="005A3173">
          <w:pPr>
            <w:pStyle w:val="Header"/>
            <w:spacing w:line="276" w:lineRule="auto"/>
            <w:rPr>
              <w:rFonts w:ascii="Calibri" w:eastAsia="MS Gothic" w:hAnsi="Calibri"/>
              <w:b/>
              <w:bCs/>
              <w:color w:val="4F81BD"/>
            </w:rPr>
          </w:pPr>
        </w:p>
      </w:tc>
    </w:tr>
  </w:tbl>
  <w:p w:rsidR="00565AC7" w:rsidRPr="007C0F57" w:rsidRDefault="00565A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565AC7" w:rsidRPr="007C0F57" w:rsidRDefault="00565AC7" w:rsidP="007C0F57">
    <w:pPr>
      <w:pStyle w:val="Footer"/>
      <w:jc w:val="center"/>
      <w:rPr>
        <w:b/>
        <w:i/>
        <w:sz w:val="20"/>
        <w:szCs w:val="20"/>
      </w:rPr>
    </w:pPr>
    <w:r w:rsidRPr="007C0F57">
      <w:rPr>
        <w:b/>
        <w:i/>
        <w:sz w:val="20"/>
        <w:szCs w:val="20"/>
      </w:rPr>
      <w:t>Commercial-in-Confidence</w:t>
    </w:r>
  </w:p>
  <w:p w:rsidR="00565AC7" w:rsidRDefault="00565A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C7" w:rsidRDefault="00565AC7">
      <w:r>
        <w:separator/>
      </w:r>
    </w:p>
    <w:p w:rsidR="00565AC7" w:rsidRDefault="00565AC7"/>
  </w:footnote>
  <w:footnote w:type="continuationSeparator" w:id="0">
    <w:p w:rsidR="00565AC7" w:rsidRDefault="00565AC7">
      <w:r>
        <w:continuationSeparator/>
      </w:r>
    </w:p>
    <w:p w:rsidR="00565AC7" w:rsidRDefault="00565A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65AC7" w:rsidRPr="008E0D90" w:rsidTr="00A06225">
      <w:trPr>
        <w:trHeight w:val="151"/>
      </w:trPr>
      <w:tc>
        <w:tcPr>
          <w:tcW w:w="2389" w:type="pct"/>
          <w:tcBorders>
            <w:top w:val="nil"/>
            <w:left w:val="nil"/>
            <w:bottom w:val="single" w:sz="4" w:space="0" w:color="4F81BD"/>
            <w:right w:val="nil"/>
          </w:tcBorders>
        </w:tcPr>
        <w:p w:rsidR="00565AC7" w:rsidRPr="00A06225" w:rsidRDefault="00565AC7">
          <w:pPr>
            <w:pStyle w:val="Header"/>
            <w:spacing w:line="276" w:lineRule="auto"/>
            <w:rPr>
              <w:rFonts w:ascii="Cambria" w:eastAsia="MS Gothic" w:hAnsi="Cambria"/>
              <w:b/>
              <w:bCs/>
              <w:color w:val="4F81BD"/>
            </w:rPr>
          </w:pPr>
        </w:p>
      </w:tc>
      <w:tc>
        <w:tcPr>
          <w:tcW w:w="333" w:type="pct"/>
          <w:vMerge w:val="restart"/>
          <w:noWrap/>
          <w:vAlign w:val="center"/>
          <w:hideMark/>
        </w:tcPr>
        <w:p w:rsidR="00565AC7" w:rsidRPr="00A06225" w:rsidRDefault="00565A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65AC7" w:rsidRPr="00A06225" w:rsidRDefault="00565AC7">
          <w:pPr>
            <w:pStyle w:val="Header"/>
            <w:spacing w:line="276" w:lineRule="auto"/>
            <w:rPr>
              <w:rFonts w:ascii="Cambria" w:eastAsia="MS Gothic" w:hAnsi="Cambria"/>
              <w:b/>
              <w:bCs/>
              <w:color w:val="4F81BD"/>
            </w:rPr>
          </w:pPr>
        </w:p>
      </w:tc>
    </w:tr>
    <w:tr w:rsidR="00565AC7" w:rsidRPr="008E0D90" w:rsidTr="00A06225">
      <w:trPr>
        <w:trHeight w:val="150"/>
      </w:trPr>
      <w:tc>
        <w:tcPr>
          <w:tcW w:w="2389" w:type="pct"/>
          <w:tcBorders>
            <w:top w:val="single" w:sz="4" w:space="0" w:color="4F81BD"/>
            <w:left w:val="nil"/>
            <w:bottom w:val="nil"/>
            <w:right w:val="nil"/>
          </w:tcBorders>
        </w:tcPr>
        <w:p w:rsidR="00565AC7" w:rsidRPr="00A06225" w:rsidRDefault="00565AC7">
          <w:pPr>
            <w:pStyle w:val="Header"/>
            <w:spacing w:line="276" w:lineRule="auto"/>
            <w:rPr>
              <w:rFonts w:ascii="Cambria" w:eastAsia="MS Gothic" w:hAnsi="Cambria"/>
              <w:b/>
              <w:bCs/>
              <w:color w:val="4F81BD"/>
            </w:rPr>
          </w:pPr>
        </w:p>
      </w:tc>
      <w:tc>
        <w:tcPr>
          <w:tcW w:w="0" w:type="auto"/>
          <w:vMerge/>
          <w:vAlign w:val="center"/>
          <w:hideMark/>
        </w:tcPr>
        <w:p w:rsidR="00565AC7" w:rsidRPr="00A06225" w:rsidRDefault="00565AC7">
          <w:pPr>
            <w:rPr>
              <w:rFonts w:ascii="Cambria" w:hAnsi="Cambria"/>
              <w:color w:val="4F81BD"/>
              <w:sz w:val="22"/>
              <w:szCs w:val="22"/>
            </w:rPr>
          </w:pPr>
        </w:p>
      </w:tc>
      <w:tc>
        <w:tcPr>
          <w:tcW w:w="2278" w:type="pct"/>
          <w:tcBorders>
            <w:top w:val="single" w:sz="4" w:space="0" w:color="4F81BD"/>
            <w:left w:val="nil"/>
            <w:bottom w:val="nil"/>
            <w:right w:val="nil"/>
          </w:tcBorders>
        </w:tcPr>
        <w:p w:rsidR="00565AC7" w:rsidRPr="00A06225" w:rsidRDefault="00565AC7">
          <w:pPr>
            <w:pStyle w:val="Header"/>
            <w:spacing w:line="276" w:lineRule="auto"/>
            <w:rPr>
              <w:rFonts w:ascii="Cambria" w:eastAsia="MS Gothic" w:hAnsi="Cambria"/>
              <w:b/>
              <w:bCs/>
              <w:color w:val="4F81BD"/>
            </w:rPr>
          </w:pPr>
        </w:p>
      </w:tc>
    </w:tr>
  </w:tbl>
  <w:p w:rsidR="00565AC7" w:rsidRDefault="00565AC7">
    <w:pPr>
      <w:pStyle w:val="Header"/>
    </w:pPr>
  </w:p>
  <w:p w:rsidR="00565AC7" w:rsidRDefault="00565A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7" w:rsidRPr="00DF217D" w:rsidRDefault="00565AC7" w:rsidP="00B17D44">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565AC7" w:rsidRDefault="00565AC7"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7" w:rsidRDefault="00565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30E3BB7"/>
    <w:multiLevelType w:val="hybridMultilevel"/>
    <w:tmpl w:val="26D05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E11259"/>
    <w:multiLevelType w:val="hybridMultilevel"/>
    <w:tmpl w:val="C960E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C65C13"/>
    <w:multiLevelType w:val="hybridMultilevel"/>
    <w:tmpl w:val="2D8EF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5041AE"/>
    <w:multiLevelType w:val="hybridMultilevel"/>
    <w:tmpl w:val="DFC29D62"/>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8">
    <w:nsid w:val="2D641008"/>
    <w:multiLevelType w:val="hybridMultilevel"/>
    <w:tmpl w:val="4A2CD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D9200F"/>
    <w:multiLevelType w:val="hybridMultilevel"/>
    <w:tmpl w:val="36108E24"/>
    <w:lvl w:ilvl="0" w:tplc="B636C8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A05CEB"/>
    <w:multiLevelType w:val="singleLevel"/>
    <w:tmpl w:val="0C090011"/>
    <w:lvl w:ilvl="0">
      <w:start w:val="1"/>
      <w:numFmt w:val="decimal"/>
      <w:lvlText w:val="%1)"/>
      <w:lvlJc w:val="left"/>
      <w:pPr>
        <w:tabs>
          <w:tab w:val="num" w:pos="360"/>
        </w:tabs>
        <w:ind w:left="360" w:hanging="360"/>
      </w:pPr>
      <w:rPr>
        <w:rFonts w:hint="default"/>
      </w:rPr>
    </w:lvl>
  </w:abstractNum>
  <w:abstractNum w:abstractNumId="11">
    <w:nsid w:val="365F2454"/>
    <w:multiLevelType w:val="hybridMultilevel"/>
    <w:tmpl w:val="808C20F4"/>
    <w:lvl w:ilvl="0" w:tplc="936060E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7C34E2"/>
    <w:multiLevelType w:val="hybridMultilevel"/>
    <w:tmpl w:val="D07A65E6"/>
    <w:lvl w:ilvl="0" w:tplc="0C090001">
      <w:start w:val="1"/>
      <w:numFmt w:val="bullet"/>
      <w:lvlText w:val=""/>
      <w:lvlJc w:val="left"/>
      <w:pPr>
        <w:ind w:left="720" w:hanging="360"/>
      </w:pPr>
      <w:rPr>
        <w:rFonts w:ascii="Symbol" w:hAnsi="Symbol" w:hint="default"/>
      </w:rPr>
    </w:lvl>
    <w:lvl w:ilvl="1" w:tplc="DE8C65E4">
      <w:numFmt w:val="bullet"/>
      <w:lvlText w:val="•"/>
      <w:lvlJc w:val="left"/>
      <w:pPr>
        <w:ind w:left="1800" w:hanging="720"/>
      </w:pPr>
      <w:rPr>
        <w:rFonts w:ascii="Arial Narrow" w:eastAsia="Times New Roman" w:hAnsi="Arial Narro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2B62F7"/>
    <w:multiLevelType w:val="hybridMultilevel"/>
    <w:tmpl w:val="DBA0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6C357E"/>
    <w:multiLevelType w:val="hybridMultilevel"/>
    <w:tmpl w:val="C518A3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843D30"/>
    <w:multiLevelType w:val="hybridMultilevel"/>
    <w:tmpl w:val="4F0AC3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0BB068C"/>
    <w:multiLevelType w:val="hybridMultilevel"/>
    <w:tmpl w:val="C77C7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4D033C"/>
    <w:multiLevelType w:val="multilevel"/>
    <w:tmpl w:val="EBD6281C"/>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1"/>
  </w:num>
  <w:num w:numId="3">
    <w:abstractNumId w:val="3"/>
  </w:num>
  <w:num w:numId="4">
    <w:abstractNumId w:val="8"/>
  </w:num>
  <w:num w:numId="5">
    <w:abstractNumId w:val="7"/>
  </w:num>
  <w:num w:numId="6">
    <w:abstractNumId w:val="14"/>
  </w:num>
  <w:num w:numId="7">
    <w:abstractNumId w:val="4"/>
  </w:num>
  <w:num w:numId="8">
    <w:abstractNumId w:val="5"/>
  </w:num>
  <w:num w:numId="9">
    <w:abstractNumId w:val="17"/>
  </w:num>
  <w:num w:numId="10">
    <w:abstractNumId w:val="9"/>
  </w:num>
  <w:num w:numId="11">
    <w:abstractNumId w:val="12"/>
  </w:num>
  <w:num w:numId="12">
    <w:abstractNumId w:val="15"/>
  </w:num>
  <w:num w:numId="13">
    <w:abstractNumId w:val="1"/>
  </w:num>
  <w:num w:numId="14">
    <w:abstractNumId w:val="0"/>
  </w:num>
  <w:num w:numId="15">
    <w:abstractNumId w:val="6"/>
  </w:num>
  <w:num w:numId="16">
    <w:abstractNumId w:val="10"/>
  </w:num>
  <w:num w:numId="17">
    <w:abstractNumId w:val="16"/>
  </w:num>
  <w:num w:numId="18">
    <w:abstractNumId w:val="2"/>
  </w:num>
  <w:num w:numId="19">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MA Rashmi">
    <w15:presenceInfo w15:providerId="AD" w15:userId="S-1-12-1-164440413-1326570189-3782217144-2814986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E8E"/>
    <w:rsid w:val="0000174B"/>
    <w:rsid w:val="00002266"/>
    <w:rsid w:val="000025AD"/>
    <w:rsid w:val="0000289B"/>
    <w:rsid w:val="00007D2C"/>
    <w:rsid w:val="00021A25"/>
    <w:rsid w:val="0002464A"/>
    <w:rsid w:val="0002476C"/>
    <w:rsid w:val="00026856"/>
    <w:rsid w:val="0003106B"/>
    <w:rsid w:val="000315F4"/>
    <w:rsid w:val="0003356D"/>
    <w:rsid w:val="00033E2A"/>
    <w:rsid w:val="00034F12"/>
    <w:rsid w:val="000411CF"/>
    <w:rsid w:val="00041A5A"/>
    <w:rsid w:val="000421A1"/>
    <w:rsid w:val="0004240E"/>
    <w:rsid w:val="00043F7F"/>
    <w:rsid w:val="000456A4"/>
    <w:rsid w:val="000457AA"/>
    <w:rsid w:val="00045E26"/>
    <w:rsid w:val="00045EC6"/>
    <w:rsid w:val="000466AF"/>
    <w:rsid w:val="00047015"/>
    <w:rsid w:val="000514B5"/>
    <w:rsid w:val="00052826"/>
    <w:rsid w:val="000559EC"/>
    <w:rsid w:val="00060423"/>
    <w:rsid w:val="00060E64"/>
    <w:rsid w:val="000633DF"/>
    <w:rsid w:val="000660FE"/>
    <w:rsid w:val="00066755"/>
    <w:rsid w:val="00072872"/>
    <w:rsid w:val="000827AA"/>
    <w:rsid w:val="00087B7E"/>
    <w:rsid w:val="00095547"/>
    <w:rsid w:val="000969AD"/>
    <w:rsid w:val="000A51A7"/>
    <w:rsid w:val="000A56E3"/>
    <w:rsid w:val="000A795B"/>
    <w:rsid w:val="000B0D66"/>
    <w:rsid w:val="000B496A"/>
    <w:rsid w:val="000B4C92"/>
    <w:rsid w:val="000B558D"/>
    <w:rsid w:val="000B5B71"/>
    <w:rsid w:val="000B6212"/>
    <w:rsid w:val="000C43B6"/>
    <w:rsid w:val="000C6996"/>
    <w:rsid w:val="000D23BA"/>
    <w:rsid w:val="000E2058"/>
    <w:rsid w:val="000E681E"/>
    <w:rsid w:val="000E6BFE"/>
    <w:rsid w:val="000F437C"/>
    <w:rsid w:val="000F4E6A"/>
    <w:rsid w:val="000F55FB"/>
    <w:rsid w:val="0010059E"/>
    <w:rsid w:val="00107456"/>
    <w:rsid w:val="001107BF"/>
    <w:rsid w:val="0011217F"/>
    <w:rsid w:val="001134AF"/>
    <w:rsid w:val="00113667"/>
    <w:rsid w:val="0011483B"/>
    <w:rsid w:val="00115877"/>
    <w:rsid w:val="00115C10"/>
    <w:rsid w:val="00120117"/>
    <w:rsid w:val="0012417C"/>
    <w:rsid w:val="001255F6"/>
    <w:rsid w:val="001258BD"/>
    <w:rsid w:val="00126BFF"/>
    <w:rsid w:val="001313AB"/>
    <w:rsid w:val="00134122"/>
    <w:rsid w:val="00134CF0"/>
    <w:rsid w:val="00137015"/>
    <w:rsid w:val="00140255"/>
    <w:rsid w:val="00140A10"/>
    <w:rsid w:val="00142395"/>
    <w:rsid w:val="00142714"/>
    <w:rsid w:val="00142EF1"/>
    <w:rsid w:val="0014346F"/>
    <w:rsid w:val="001452ED"/>
    <w:rsid w:val="00146EA0"/>
    <w:rsid w:val="00147162"/>
    <w:rsid w:val="001542A0"/>
    <w:rsid w:val="00156C32"/>
    <w:rsid w:val="0015703B"/>
    <w:rsid w:val="00165F29"/>
    <w:rsid w:val="00167978"/>
    <w:rsid w:val="00171AB6"/>
    <w:rsid w:val="0017373B"/>
    <w:rsid w:val="001738F8"/>
    <w:rsid w:val="00173C15"/>
    <w:rsid w:val="00176D08"/>
    <w:rsid w:val="00181E7F"/>
    <w:rsid w:val="001830CE"/>
    <w:rsid w:val="00184633"/>
    <w:rsid w:val="001847E8"/>
    <w:rsid w:val="00185A7B"/>
    <w:rsid w:val="0018614E"/>
    <w:rsid w:val="00190EE6"/>
    <w:rsid w:val="00192F0C"/>
    <w:rsid w:val="00193372"/>
    <w:rsid w:val="001947C0"/>
    <w:rsid w:val="00195759"/>
    <w:rsid w:val="00196307"/>
    <w:rsid w:val="00196852"/>
    <w:rsid w:val="001A470E"/>
    <w:rsid w:val="001A532F"/>
    <w:rsid w:val="001B017F"/>
    <w:rsid w:val="001B165A"/>
    <w:rsid w:val="001B2EB1"/>
    <w:rsid w:val="001B3EB8"/>
    <w:rsid w:val="001B5129"/>
    <w:rsid w:val="001C1195"/>
    <w:rsid w:val="001C523B"/>
    <w:rsid w:val="001C5C4F"/>
    <w:rsid w:val="001C7F11"/>
    <w:rsid w:val="001D4F9C"/>
    <w:rsid w:val="001D5174"/>
    <w:rsid w:val="001E1FA4"/>
    <w:rsid w:val="001E5674"/>
    <w:rsid w:val="001F02A9"/>
    <w:rsid w:val="001F3AD7"/>
    <w:rsid w:val="001F43E0"/>
    <w:rsid w:val="001F4DD7"/>
    <w:rsid w:val="00202407"/>
    <w:rsid w:val="002026ED"/>
    <w:rsid w:val="002028DE"/>
    <w:rsid w:val="00204EFD"/>
    <w:rsid w:val="00212E3B"/>
    <w:rsid w:val="00213CFB"/>
    <w:rsid w:val="00213EDE"/>
    <w:rsid w:val="002155AF"/>
    <w:rsid w:val="002159FA"/>
    <w:rsid w:val="00223D78"/>
    <w:rsid w:val="00225458"/>
    <w:rsid w:val="00226025"/>
    <w:rsid w:val="00226EB7"/>
    <w:rsid w:val="0023133C"/>
    <w:rsid w:val="002327A3"/>
    <w:rsid w:val="0023363D"/>
    <w:rsid w:val="00233DFE"/>
    <w:rsid w:val="00233EC0"/>
    <w:rsid w:val="002408D9"/>
    <w:rsid w:val="00242099"/>
    <w:rsid w:val="002558A8"/>
    <w:rsid w:val="0025665C"/>
    <w:rsid w:val="0026408D"/>
    <w:rsid w:val="00267147"/>
    <w:rsid w:val="00267D0D"/>
    <w:rsid w:val="00270BA5"/>
    <w:rsid w:val="002712FE"/>
    <w:rsid w:val="00271BA1"/>
    <w:rsid w:val="00277501"/>
    <w:rsid w:val="00277505"/>
    <w:rsid w:val="00280959"/>
    <w:rsid w:val="00283D79"/>
    <w:rsid w:val="002857C7"/>
    <w:rsid w:val="00287D65"/>
    <w:rsid w:val="0029458F"/>
    <w:rsid w:val="002A104C"/>
    <w:rsid w:val="002A4960"/>
    <w:rsid w:val="002B1AE6"/>
    <w:rsid w:val="002B1B7B"/>
    <w:rsid w:val="002B30F8"/>
    <w:rsid w:val="002B54BA"/>
    <w:rsid w:val="002B75F3"/>
    <w:rsid w:val="002C212F"/>
    <w:rsid w:val="002C2351"/>
    <w:rsid w:val="002C3479"/>
    <w:rsid w:val="002C3B99"/>
    <w:rsid w:val="002C64EF"/>
    <w:rsid w:val="002E3153"/>
    <w:rsid w:val="002E5797"/>
    <w:rsid w:val="002E72CA"/>
    <w:rsid w:val="002F161E"/>
    <w:rsid w:val="003006FF"/>
    <w:rsid w:val="00305310"/>
    <w:rsid w:val="00307597"/>
    <w:rsid w:val="003100F8"/>
    <w:rsid w:val="00315EAA"/>
    <w:rsid w:val="00316DC7"/>
    <w:rsid w:val="003204D0"/>
    <w:rsid w:val="00322E23"/>
    <w:rsid w:val="00324DE7"/>
    <w:rsid w:val="00324E0B"/>
    <w:rsid w:val="003250EA"/>
    <w:rsid w:val="00325843"/>
    <w:rsid w:val="00326E79"/>
    <w:rsid w:val="00332BDE"/>
    <w:rsid w:val="003367EF"/>
    <w:rsid w:val="0034084D"/>
    <w:rsid w:val="00341AE4"/>
    <w:rsid w:val="0034215A"/>
    <w:rsid w:val="003424F0"/>
    <w:rsid w:val="003475A0"/>
    <w:rsid w:val="00350E2D"/>
    <w:rsid w:val="0035281D"/>
    <w:rsid w:val="00352F85"/>
    <w:rsid w:val="00357AA8"/>
    <w:rsid w:val="00363463"/>
    <w:rsid w:val="00363785"/>
    <w:rsid w:val="00364ADA"/>
    <w:rsid w:val="00365544"/>
    <w:rsid w:val="00374599"/>
    <w:rsid w:val="00380A0E"/>
    <w:rsid w:val="00380E71"/>
    <w:rsid w:val="00385436"/>
    <w:rsid w:val="003872CF"/>
    <w:rsid w:val="00393EF4"/>
    <w:rsid w:val="00394E18"/>
    <w:rsid w:val="00396A04"/>
    <w:rsid w:val="00396F35"/>
    <w:rsid w:val="0039782C"/>
    <w:rsid w:val="003A3A9E"/>
    <w:rsid w:val="003A5A97"/>
    <w:rsid w:val="003A5B4A"/>
    <w:rsid w:val="003B23C5"/>
    <w:rsid w:val="003B2A75"/>
    <w:rsid w:val="003B3B1E"/>
    <w:rsid w:val="003B41B0"/>
    <w:rsid w:val="003B4EA4"/>
    <w:rsid w:val="003B65F8"/>
    <w:rsid w:val="003C0EC1"/>
    <w:rsid w:val="003C3072"/>
    <w:rsid w:val="003C516F"/>
    <w:rsid w:val="003C79F8"/>
    <w:rsid w:val="003D34F8"/>
    <w:rsid w:val="003D3B21"/>
    <w:rsid w:val="003D3E7C"/>
    <w:rsid w:val="003D4AC4"/>
    <w:rsid w:val="003D63B7"/>
    <w:rsid w:val="003D697C"/>
    <w:rsid w:val="003E468B"/>
    <w:rsid w:val="003E4D75"/>
    <w:rsid w:val="003E74DE"/>
    <w:rsid w:val="003F04D1"/>
    <w:rsid w:val="003F157B"/>
    <w:rsid w:val="003F2FB2"/>
    <w:rsid w:val="003F5C8C"/>
    <w:rsid w:val="003F5E94"/>
    <w:rsid w:val="003F618C"/>
    <w:rsid w:val="003F668F"/>
    <w:rsid w:val="003F76BE"/>
    <w:rsid w:val="00401396"/>
    <w:rsid w:val="00401FC8"/>
    <w:rsid w:val="0040535C"/>
    <w:rsid w:val="004053FA"/>
    <w:rsid w:val="004057C2"/>
    <w:rsid w:val="00412069"/>
    <w:rsid w:val="004170FB"/>
    <w:rsid w:val="00417EEB"/>
    <w:rsid w:val="00417F24"/>
    <w:rsid w:val="00417F52"/>
    <w:rsid w:val="0042308B"/>
    <w:rsid w:val="00423966"/>
    <w:rsid w:val="00441899"/>
    <w:rsid w:val="00443075"/>
    <w:rsid w:val="00444537"/>
    <w:rsid w:val="004465BD"/>
    <w:rsid w:val="00452F20"/>
    <w:rsid w:val="00461E73"/>
    <w:rsid w:val="00462DCE"/>
    <w:rsid w:val="0046372E"/>
    <w:rsid w:val="00466634"/>
    <w:rsid w:val="00466ADA"/>
    <w:rsid w:val="00474C94"/>
    <w:rsid w:val="00476245"/>
    <w:rsid w:val="0048589E"/>
    <w:rsid w:val="00485940"/>
    <w:rsid w:val="004863C2"/>
    <w:rsid w:val="004A322D"/>
    <w:rsid w:val="004A3AEF"/>
    <w:rsid w:val="004A3B2A"/>
    <w:rsid w:val="004A5157"/>
    <w:rsid w:val="004A5A85"/>
    <w:rsid w:val="004A6890"/>
    <w:rsid w:val="004A72CF"/>
    <w:rsid w:val="004A7CCE"/>
    <w:rsid w:val="004A7CF9"/>
    <w:rsid w:val="004A7F3B"/>
    <w:rsid w:val="004B28FD"/>
    <w:rsid w:val="004B3BA7"/>
    <w:rsid w:val="004B3DE8"/>
    <w:rsid w:val="004B5640"/>
    <w:rsid w:val="004B6756"/>
    <w:rsid w:val="004B78DA"/>
    <w:rsid w:val="004B7C81"/>
    <w:rsid w:val="004C1BD7"/>
    <w:rsid w:val="004C3B25"/>
    <w:rsid w:val="004C5D27"/>
    <w:rsid w:val="004C5FC9"/>
    <w:rsid w:val="004C691D"/>
    <w:rsid w:val="004C7250"/>
    <w:rsid w:val="004C7D96"/>
    <w:rsid w:val="004D0797"/>
    <w:rsid w:val="004D3BF3"/>
    <w:rsid w:val="004E40A4"/>
    <w:rsid w:val="004E488E"/>
    <w:rsid w:val="004E659A"/>
    <w:rsid w:val="004E692D"/>
    <w:rsid w:val="004F62AF"/>
    <w:rsid w:val="00501094"/>
    <w:rsid w:val="00501554"/>
    <w:rsid w:val="00501E3E"/>
    <w:rsid w:val="00503222"/>
    <w:rsid w:val="00505466"/>
    <w:rsid w:val="0051487A"/>
    <w:rsid w:val="00514CD7"/>
    <w:rsid w:val="00525890"/>
    <w:rsid w:val="005268F4"/>
    <w:rsid w:val="00527415"/>
    <w:rsid w:val="005301AB"/>
    <w:rsid w:val="005314BA"/>
    <w:rsid w:val="005319B2"/>
    <w:rsid w:val="005321DA"/>
    <w:rsid w:val="0053291D"/>
    <w:rsid w:val="00532C74"/>
    <w:rsid w:val="00534B05"/>
    <w:rsid w:val="00534E2E"/>
    <w:rsid w:val="00537830"/>
    <w:rsid w:val="005404B9"/>
    <w:rsid w:val="00544552"/>
    <w:rsid w:val="00547B34"/>
    <w:rsid w:val="00556F1E"/>
    <w:rsid w:val="005601AD"/>
    <w:rsid w:val="005616FF"/>
    <w:rsid w:val="005624E5"/>
    <w:rsid w:val="00565AC7"/>
    <w:rsid w:val="0057093E"/>
    <w:rsid w:val="005711E5"/>
    <w:rsid w:val="0057266B"/>
    <w:rsid w:val="00575063"/>
    <w:rsid w:val="005761E8"/>
    <w:rsid w:val="00581932"/>
    <w:rsid w:val="0058233B"/>
    <w:rsid w:val="005824D2"/>
    <w:rsid w:val="00584F29"/>
    <w:rsid w:val="00585302"/>
    <w:rsid w:val="00586CE3"/>
    <w:rsid w:val="00590BFE"/>
    <w:rsid w:val="005949CB"/>
    <w:rsid w:val="0059506C"/>
    <w:rsid w:val="005963BB"/>
    <w:rsid w:val="005A044E"/>
    <w:rsid w:val="005A0C08"/>
    <w:rsid w:val="005A278B"/>
    <w:rsid w:val="005A3173"/>
    <w:rsid w:val="005A3223"/>
    <w:rsid w:val="005A3DA3"/>
    <w:rsid w:val="005A52C4"/>
    <w:rsid w:val="005A6953"/>
    <w:rsid w:val="005B046D"/>
    <w:rsid w:val="005B07EC"/>
    <w:rsid w:val="005B2333"/>
    <w:rsid w:val="005C0DA1"/>
    <w:rsid w:val="005C3CFF"/>
    <w:rsid w:val="005C7FCF"/>
    <w:rsid w:val="005D03AB"/>
    <w:rsid w:val="005D03B1"/>
    <w:rsid w:val="005D1FA7"/>
    <w:rsid w:val="005D2FDA"/>
    <w:rsid w:val="005D4B6E"/>
    <w:rsid w:val="005D4D6A"/>
    <w:rsid w:val="005D5017"/>
    <w:rsid w:val="005D6CA8"/>
    <w:rsid w:val="005E34D0"/>
    <w:rsid w:val="005E37C6"/>
    <w:rsid w:val="005E4A4B"/>
    <w:rsid w:val="005E52BF"/>
    <w:rsid w:val="005E5C07"/>
    <w:rsid w:val="005E65DB"/>
    <w:rsid w:val="005F21BB"/>
    <w:rsid w:val="005F3121"/>
    <w:rsid w:val="00601A91"/>
    <w:rsid w:val="00602BA3"/>
    <w:rsid w:val="00603590"/>
    <w:rsid w:val="00605D16"/>
    <w:rsid w:val="00607664"/>
    <w:rsid w:val="0061236D"/>
    <w:rsid w:val="0061307C"/>
    <w:rsid w:val="00614159"/>
    <w:rsid w:val="00617881"/>
    <w:rsid w:val="00617C00"/>
    <w:rsid w:val="00624EBD"/>
    <w:rsid w:val="00625DF1"/>
    <w:rsid w:val="006263BF"/>
    <w:rsid w:val="0062748A"/>
    <w:rsid w:val="00630A2C"/>
    <w:rsid w:val="006313F1"/>
    <w:rsid w:val="00635991"/>
    <w:rsid w:val="006468EF"/>
    <w:rsid w:val="00647754"/>
    <w:rsid w:val="0064795C"/>
    <w:rsid w:val="00650018"/>
    <w:rsid w:val="00650956"/>
    <w:rsid w:val="00651169"/>
    <w:rsid w:val="00653D69"/>
    <w:rsid w:val="00656919"/>
    <w:rsid w:val="00662A03"/>
    <w:rsid w:val="00663F48"/>
    <w:rsid w:val="006649C2"/>
    <w:rsid w:val="00666AFE"/>
    <w:rsid w:val="00667D09"/>
    <w:rsid w:val="00670A76"/>
    <w:rsid w:val="00670D0B"/>
    <w:rsid w:val="006711AA"/>
    <w:rsid w:val="00671870"/>
    <w:rsid w:val="00672B57"/>
    <w:rsid w:val="00672EC8"/>
    <w:rsid w:val="006735C5"/>
    <w:rsid w:val="00675622"/>
    <w:rsid w:val="00680F35"/>
    <w:rsid w:val="006813A4"/>
    <w:rsid w:val="00685C3F"/>
    <w:rsid w:val="006906DB"/>
    <w:rsid w:val="00690708"/>
    <w:rsid w:val="00690CC1"/>
    <w:rsid w:val="00692C29"/>
    <w:rsid w:val="0069389B"/>
    <w:rsid w:val="006938C4"/>
    <w:rsid w:val="00694638"/>
    <w:rsid w:val="00695845"/>
    <w:rsid w:val="006A12A5"/>
    <w:rsid w:val="006A2F2E"/>
    <w:rsid w:val="006A53D2"/>
    <w:rsid w:val="006A6768"/>
    <w:rsid w:val="006A6A90"/>
    <w:rsid w:val="006A75B5"/>
    <w:rsid w:val="006B0D94"/>
    <w:rsid w:val="006B105B"/>
    <w:rsid w:val="006B2A7F"/>
    <w:rsid w:val="006B3AC9"/>
    <w:rsid w:val="006B485D"/>
    <w:rsid w:val="006C071B"/>
    <w:rsid w:val="006C096A"/>
    <w:rsid w:val="006C708E"/>
    <w:rsid w:val="006D6EC7"/>
    <w:rsid w:val="006E037E"/>
    <w:rsid w:val="006E0A69"/>
    <w:rsid w:val="006E2BC5"/>
    <w:rsid w:val="006E5455"/>
    <w:rsid w:val="006E65FC"/>
    <w:rsid w:val="006E72C1"/>
    <w:rsid w:val="006F5125"/>
    <w:rsid w:val="006F59DD"/>
    <w:rsid w:val="007174B5"/>
    <w:rsid w:val="007174BB"/>
    <w:rsid w:val="00721FAF"/>
    <w:rsid w:val="007226D2"/>
    <w:rsid w:val="00726454"/>
    <w:rsid w:val="007268DA"/>
    <w:rsid w:val="00727A58"/>
    <w:rsid w:val="00727B66"/>
    <w:rsid w:val="00731679"/>
    <w:rsid w:val="00731ADE"/>
    <w:rsid w:val="00733D34"/>
    <w:rsid w:val="00737439"/>
    <w:rsid w:val="00737A4B"/>
    <w:rsid w:val="0074279F"/>
    <w:rsid w:val="0074388C"/>
    <w:rsid w:val="00745389"/>
    <w:rsid w:val="00745975"/>
    <w:rsid w:val="00745A50"/>
    <w:rsid w:val="007476EB"/>
    <w:rsid w:val="0075068C"/>
    <w:rsid w:val="007524FF"/>
    <w:rsid w:val="00753366"/>
    <w:rsid w:val="0076068C"/>
    <w:rsid w:val="0076420C"/>
    <w:rsid w:val="00772066"/>
    <w:rsid w:val="007753C2"/>
    <w:rsid w:val="0078328D"/>
    <w:rsid w:val="007838B8"/>
    <w:rsid w:val="00785117"/>
    <w:rsid w:val="00787237"/>
    <w:rsid w:val="00790212"/>
    <w:rsid w:val="00791327"/>
    <w:rsid w:val="007926ED"/>
    <w:rsid w:val="007977CF"/>
    <w:rsid w:val="007A03F6"/>
    <w:rsid w:val="007A5A70"/>
    <w:rsid w:val="007B0C83"/>
    <w:rsid w:val="007B2138"/>
    <w:rsid w:val="007B222B"/>
    <w:rsid w:val="007B410F"/>
    <w:rsid w:val="007C0DE4"/>
    <w:rsid w:val="007C0F57"/>
    <w:rsid w:val="007C40B6"/>
    <w:rsid w:val="007C6A11"/>
    <w:rsid w:val="007C729F"/>
    <w:rsid w:val="007D0D9A"/>
    <w:rsid w:val="007D21F5"/>
    <w:rsid w:val="007D34AC"/>
    <w:rsid w:val="007D582F"/>
    <w:rsid w:val="007D7D31"/>
    <w:rsid w:val="007E0599"/>
    <w:rsid w:val="007E1D28"/>
    <w:rsid w:val="007E3442"/>
    <w:rsid w:val="007E3B23"/>
    <w:rsid w:val="007E4C19"/>
    <w:rsid w:val="007E7813"/>
    <w:rsid w:val="007F2641"/>
    <w:rsid w:val="007F4554"/>
    <w:rsid w:val="007F6AD0"/>
    <w:rsid w:val="007F7C36"/>
    <w:rsid w:val="00803DE0"/>
    <w:rsid w:val="00804326"/>
    <w:rsid w:val="00805F0A"/>
    <w:rsid w:val="00806796"/>
    <w:rsid w:val="00806A6E"/>
    <w:rsid w:val="00813340"/>
    <w:rsid w:val="00815A7C"/>
    <w:rsid w:val="00820715"/>
    <w:rsid w:val="008240FF"/>
    <w:rsid w:val="008242CE"/>
    <w:rsid w:val="0082599C"/>
    <w:rsid w:val="00826F6D"/>
    <w:rsid w:val="00827CB5"/>
    <w:rsid w:val="008363CE"/>
    <w:rsid w:val="0084300A"/>
    <w:rsid w:val="0084396A"/>
    <w:rsid w:val="00843C9C"/>
    <w:rsid w:val="0084604A"/>
    <w:rsid w:val="0084719E"/>
    <w:rsid w:val="008502EC"/>
    <w:rsid w:val="00850A31"/>
    <w:rsid w:val="00851F69"/>
    <w:rsid w:val="00852F08"/>
    <w:rsid w:val="0085444F"/>
    <w:rsid w:val="00856DDD"/>
    <w:rsid w:val="00863E68"/>
    <w:rsid w:val="0086635A"/>
    <w:rsid w:val="00866863"/>
    <w:rsid w:val="00867F88"/>
    <w:rsid w:val="00871F0E"/>
    <w:rsid w:val="008753F2"/>
    <w:rsid w:val="0087569F"/>
    <w:rsid w:val="008768E3"/>
    <w:rsid w:val="00876B2D"/>
    <w:rsid w:val="00881050"/>
    <w:rsid w:val="00881715"/>
    <w:rsid w:val="00882085"/>
    <w:rsid w:val="00882927"/>
    <w:rsid w:val="00882D37"/>
    <w:rsid w:val="00883188"/>
    <w:rsid w:val="00883195"/>
    <w:rsid w:val="008837EA"/>
    <w:rsid w:val="00896288"/>
    <w:rsid w:val="00897D58"/>
    <w:rsid w:val="008A0610"/>
    <w:rsid w:val="008A1956"/>
    <w:rsid w:val="008A4937"/>
    <w:rsid w:val="008B220B"/>
    <w:rsid w:val="008C0BF2"/>
    <w:rsid w:val="008C0C33"/>
    <w:rsid w:val="008C31EE"/>
    <w:rsid w:val="008C4E49"/>
    <w:rsid w:val="008D0269"/>
    <w:rsid w:val="008D0AE2"/>
    <w:rsid w:val="008D33E5"/>
    <w:rsid w:val="008D3C82"/>
    <w:rsid w:val="008D447E"/>
    <w:rsid w:val="008D5755"/>
    <w:rsid w:val="008D5C5C"/>
    <w:rsid w:val="008D7A41"/>
    <w:rsid w:val="008E0038"/>
    <w:rsid w:val="008E3680"/>
    <w:rsid w:val="008E4735"/>
    <w:rsid w:val="008E4B55"/>
    <w:rsid w:val="008E5870"/>
    <w:rsid w:val="008F1434"/>
    <w:rsid w:val="008F4D1A"/>
    <w:rsid w:val="008F7355"/>
    <w:rsid w:val="00901F0C"/>
    <w:rsid w:val="00901FB2"/>
    <w:rsid w:val="00904D58"/>
    <w:rsid w:val="009067B7"/>
    <w:rsid w:val="00907A9C"/>
    <w:rsid w:val="00913A8C"/>
    <w:rsid w:val="0091539D"/>
    <w:rsid w:val="00915730"/>
    <w:rsid w:val="00917095"/>
    <w:rsid w:val="00917EA9"/>
    <w:rsid w:val="009205E3"/>
    <w:rsid w:val="0092144B"/>
    <w:rsid w:val="009267F0"/>
    <w:rsid w:val="00930937"/>
    <w:rsid w:val="00933E6C"/>
    <w:rsid w:val="009355F1"/>
    <w:rsid w:val="00940B1C"/>
    <w:rsid w:val="00942160"/>
    <w:rsid w:val="00951322"/>
    <w:rsid w:val="0095772D"/>
    <w:rsid w:val="00957DF8"/>
    <w:rsid w:val="009602C5"/>
    <w:rsid w:val="00960613"/>
    <w:rsid w:val="00961D8A"/>
    <w:rsid w:val="00974C21"/>
    <w:rsid w:val="00976BDB"/>
    <w:rsid w:val="00980390"/>
    <w:rsid w:val="00982F3A"/>
    <w:rsid w:val="009850F0"/>
    <w:rsid w:val="00987A2D"/>
    <w:rsid w:val="00990619"/>
    <w:rsid w:val="0099191E"/>
    <w:rsid w:val="00992EC5"/>
    <w:rsid w:val="00994C1D"/>
    <w:rsid w:val="00995329"/>
    <w:rsid w:val="00997073"/>
    <w:rsid w:val="009A11DA"/>
    <w:rsid w:val="009A1DB2"/>
    <w:rsid w:val="009A6EB3"/>
    <w:rsid w:val="009B0388"/>
    <w:rsid w:val="009B0F67"/>
    <w:rsid w:val="009B3582"/>
    <w:rsid w:val="009C368C"/>
    <w:rsid w:val="009C3AE4"/>
    <w:rsid w:val="009C703C"/>
    <w:rsid w:val="009D3CAA"/>
    <w:rsid w:val="009D4E30"/>
    <w:rsid w:val="009D632C"/>
    <w:rsid w:val="009E4C52"/>
    <w:rsid w:val="009E6D49"/>
    <w:rsid w:val="009F3BB3"/>
    <w:rsid w:val="009F4E46"/>
    <w:rsid w:val="009F5B65"/>
    <w:rsid w:val="009F5F2E"/>
    <w:rsid w:val="009F6A50"/>
    <w:rsid w:val="009F6B32"/>
    <w:rsid w:val="009F7F8B"/>
    <w:rsid w:val="00A00988"/>
    <w:rsid w:val="00A0128A"/>
    <w:rsid w:val="00A02D14"/>
    <w:rsid w:val="00A052C2"/>
    <w:rsid w:val="00A05F6B"/>
    <w:rsid w:val="00A06225"/>
    <w:rsid w:val="00A128E6"/>
    <w:rsid w:val="00A132E6"/>
    <w:rsid w:val="00A159BD"/>
    <w:rsid w:val="00A3193A"/>
    <w:rsid w:val="00A33EB5"/>
    <w:rsid w:val="00A35369"/>
    <w:rsid w:val="00A367D0"/>
    <w:rsid w:val="00A37410"/>
    <w:rsid w:val="00A37C8D"/>
    <w:rsid w:val="00A40E54"/>
    <w:rsid w:val="00A458D7"/>
    <w:rsid w:val="00A4621E"/>
    <w:rsid w:val="00A51265"/>
    <w:rsid w:val="00A5273B"/>
    <w:rsid w:val="00A53A9D"/>
    <w:rsid w:val="00A540E8"/>
    <w:rsid w:val="00A5457B"/>
    <w:rsid w:val="00A55FEE"/>
    <w:rsid w:val="00A57407"/>
    <w:rsid w:val="00A576B0"/>
    <w:rsid w:val="00A61402"/>
    <w:rsid w:val="00A62C1A"/>
    <w:rsid w:val="00A6426D"/>
    <w:rsid w:val="00A64DB4"/>
    <w:rsid w:val="00A655FB"/>
    <w:rsid w:val="00A66F11"/>
    <w:rsid w:val="00A70622"/>
    <w:rsid w:val="00A70977"/>
    <w:rsid w:val="00A7374A"/>
    <w:rsid w:val="00A81416"/>
    <w:rsid w:val="00A82FED"/>
    <w:rsid w:val="00A8390C"/>
    <w:rsid w:val="00A84E9E"/>
    <w:rsid w:val="00A8606F"/>
    <w:rsid w:val="00A878A7"/>
    <w:rsid w:val="00A928BD"/>
    <w:rsid w:val="00A92AE8"/>
    <w:rsid w:val="00A95588"/>
    <w:rsid w:val="00A967DB"/>
    <w:rsid w:val="00AA1F18"/>
    <w:rsid w:val="00AA3AA1"/>
    <w:rsid w:val="00AA457E"/>
    <w:rsid w:val="00AA4D1C"/>
    <w:rsid w:val="00AA5E81"/>
    <w:rsid w:val="00AA6BBA"/>
    <w:rsid w:val="00AA6FFF"/>
    <w:rsid w:val="00AB1BC2"/>
    <w:rsid w:val="00AB3DFD"/>
    <w:rsid w:val="00AC1BFD"/>
    <w:rsid w:val="00AC5206"/>
    <w:rsid w:val="00AC63CF"/>
    <w:rsid w:val="00AC7463"/>
    <w:rsid w:val="00AC7DAA"/>
    <w:rsid w:val="00AD0E2A"/>
    <w:rsid w:val="00AD1DFF"/>
    <w:rsid w:val="00AD3F1D"/>
    <w:rsid w:val="00AD5253"/>
    <w:rsid w:val="00AD63C0"/>
    <w:rsid w:val="00AD7347"/>
    <w:rsid w:val="00AE04B7"/>
    <w:rsid w:val="00AE11A5"/>
    <w:rsid w:val="00AE13E2"/>
    <w:rsid w:val="00AE5CBA"/>
    <w:rsid w:val="00AF19D8"/>
    <w:rsid w:val="00AF20DD"/>
    <w:rsid w:val="00AF68CC"/>
    <w:rsid w:val="00B0168D"/>
    <w:rsid w:val="00B01EA1"/>
    <w:rsid w:val="00B033B0"/>
    <w:rsid w:val="00B05F5A"/>
    <w:rsid w:val="00B07ACE"/>
    <w:rsid w:val="00B1762D"/>
    <w:rsid w:val="00B17D44"/>
    <w:rsid w:val="00B205AA"/>
    <w:rsid w:val="00B22E84"/>
    <w:rsid w:val="00B244C2"/>
    <w:rsid w:val="00B25F75"/>
    <w:rsid w:val="00B30320"/>
    <w:rsid w:val="00B30FBA"/>
    <w:rsid w:val="00B31668"/>
    <w:rsid w:val="00B3257D"/>
    <w:rsid w:val="00B33421"/>
    <w:rsid w:val="00B339FA"/>
    <w:rsid w:val="00B33AFC"/>
    <w:rsid w:val="00B36FBC"/>
    <w:rsid w:val="00B405B0"/>
    <w:rsid w:val="00B42483"/>
    <w:rsid w:val="00B43E90"/>
    <w:rsid w:val="00B448E9"/>
    <w:rsid w:val="00B479AB"/>
    <w:rsid w:val="00B50024"/>
    <w:rsid w:val="00B50FCE"/>
    <w:rsid w:val="00B52FF5"/>
    <w:rsid w:val="00B56118"/>
    <w:rsid w:val="00B6388B"/>
    <w:rsid w:val="00B65A81"/>
    <w:rsid w:val="00B6773F"/>
    <w:rsid w:val="00B70092"/>
    <w:rsid w:val="00B71B9E"/>
    <w:rsid w:val="00B71DD7"/>
    <w:rsid w:val="00B72644"/>
    <w:rsid w:val="00B75C75"/>
    <w:rsid w:val="00B75E62"/>
    <w:rsid w:val="00B801BA"/>
    <w:rsid w:val="00B8066C"/>
    <w:rsid w:val="00B817DF"/>
    <w:rsid w:val="00B831EC"/>
    <w:rsid w:val="00B965E5"/>
    <w:rsid w:val="00BA1ED0"/>
    <w:rsid w:val="00BA43F1"/>
    <w:rsid w:val="00BA4DC6"/>
    <w:rsid w:val="00BB07B1"/>
    <w:rsid w:val="00BB0857"/>
    <w:rsid w:val="00BB0DE2"/>
    <w:rsid w:val="00BB625F"/>
    <w:rsid w:val="00BB69F5"/>
    <w:rsid w:val="00BB72AB"/>
    <w:rsid w:val="00BB7C5A"/>
    <w:rsid w:val="00BB7EC3"/>
    <w:rsid w:val="00BC3EE2"/>
    <w:rsid w:val="00BC4B9A"/>
    <w:rsid w:val="00BC7A7A"/>
    <w:rsid w:val="00BD02FD"/>
    <w:rsid w:val="00BD22F1"/>
    <w:rsid w:val="00BD73A3"/>
    <w:rsid w:val="00BD784C"/>
    <w:rsid w:val="00BE2307"/>
    <w:rsid w:val="00BE3B19"/>
    <w:rsid w:val="00BE41E1"/>
    <w:rsid w:val="00BE6E73"/>
    <w:rsid w:val="00BF2280"/>
    <w:rsid w:val="00BF4CB6"/>
    <w:rsid w:val="00BF7094"/>
    <w:rsid w:val="00BF7BB4"/>
    <w:rsid w:val="00C00DA7"/>
    <w:rsid w:val="00C044D3"/>
    <w:rsid w:val="00C124DE"/>
    <w:rsid w:val="00C12768"/>
    <w:rsid w:val="00C16282"/>
    <w:rsid w:val="00C206B7"/>
    <w:rsid w:val="00C27B58"/>
    <w:rsid w:val="00C3257A"/>
    <w:rsid w:val="00C354EE"/>
    <w:rsid w:val="00C35996"/>
    <w:rsid w:val="00C43EA8"/>
    <w:rsid w:val="00C5342C"/>
    <w:rsid w:val="00C5545E"/>
    <w:rsid w:val="00C576B8"/>
    <w:rsid w:val="00C5789B"/>
    <w:rsid w:val="00C6256A"/>
    <w:rsid w:val="00C62FFB"/>
    <w:rsid w:val="00C64AA4"/>
    <w:rsid w:val="00C70682"/>
    <w:rsid w:val="00C711C8"/>
    <w:rsid w:val="00C75E85"/>
    <w:rsid w:val="00C8118D"/>
    <w:rsid w:val="00C863E2"/>
    <w:rsid w:val="00C86B69"/>
    <w:rsid w:val="00C87114"/>
    <w:rsid w:val="00C91449"/>
    <w:rsid w:val="00C92D10"/>
    <w:rsid w:val="00C93986"/>
    <w:rsid w:val="00CA1251"/>
    <w:rsid w:val="00CA5231"/>
    <w:rsid w:val="00CB0A66"/>
    <w:rsid w:val="00CB4D64"/>
    <w:rsid w:val="00CB5FFA"/>
    <w:rsid w:val="00CC03B3"/>
    <w:rsid w:val="00CC3A91"/>
    <w:rsid w:val="00CC3DE0"/>
    <w:rsid w:val="00CC4AD5"/>
    <w:rsid w:val="00CC5405"/>
    <w:rsid w:val="00CC57ED"/>
    <w:rsid w:val="00CC5EEB"/>
    <w:rsid w:val="00CD16FE"/>
    <w:rsid w:val="00CD5418"/>
    <w:rsid w:val="00CD7790"/>
    <w:rsid w:val="00CE10C4"/>
    <w:rsid w:val="00CE27B5"/>
    <w:rsid w:val="00CE6047"/>
    <w:rsid w:val="00CF2848"/>
    <w:rsid w:val="00CF2DC9"/>
    <w:rsid w:val="00CF31AC"/>
    <w:rsid w:val="00CF5775"/>
    <w:rsid w:val="00D00931"/>
    <w:rsid w:val="00D01F4E"/>
    <w:rsid w:val="00D0321E"/>
    <w:rsid w:val="00D03C2D"/>
    <w:rsid w:val="00D0697B"/>
    <w:rsid w:val="00D070D7"/>
    <w:rsid w:val="00D1036C"/>
    <w:rsid w:val="00D13EA2"/>
    <w:rsid w:val="00D1455A"/>
    <w:rsid w:val="00D147FA"/>
    <w:rsid w:val="00D15273"/>
    <w:rsid w:val="00D1534A"/>
    <w:rsid w:val="00D15C40"/>
    <w:rsid w:val="00D20027"/>
    <w:rsid w:val="00D256FA"/>
    <w:rsid w:val="00D26963"/>
    <w:rsid w:val="00D272B0"/>
    <w:rsid w:val="00D303CD"/>
    <w:rsid w:val="00D3280C"/>
    <w:rsid w:val="00D3406A"/>
    <w:rsid w:val="00D34A19"/>
    <w:rsid w:val="00D35D4F"/>
    <w:rsid w:val="00D3784C"/>
    <w:rsid w:val="00D469B2"/>
    <w:rsid w:val="00D5212A"/>
    <w:rsid w:val="00D548FA"/>
    <w:rsid w:val="00D616A5"/>
    <w:rsid w:val="00D64125"/>
    <w:rsid w:val="00D67242"/>
    <w:rsid w:val="00D73BC6"/>
    <w:rsid w:val="00D741EB"/>
    <w:rsid w:val="00D7738D"/>
    <w:rsid w:val="00D82CA2"/>
    <w:rsid w:val="00D82E0B"/>
    <w:rsid w:val="00D83A84"/>
    <w:rsid w:val="00D84934"/>
    <w:rsid w:val="00D86803"/>
    <w:rsid w:val="00D91271"/>
    <w:rsid w:val="00D97454"/>
    <w:rsid w:val="00D97F2E"/>
    <w:rsid w:val="00DA28EF"/>
    <w:rsid w:val="00DA2CB5"/>
    <w:rsid w:val="00DA4BAC"/>
    <w:rsid w:val="00DA5C13"/>
    <w:rsid w:val="00DA7F9D"/>
    <w:rsid w:val="00DB15DA"/>
    <w:rsid w:val="00DB2312"/>
    <w:rsid w:val="00DB4CAB"/>
    <w:rsid w:val="00DC18F7"/>
    <w:rsid w:val="00DC6657"/>
    <w:rsid w:val="00DC6831"/>
    <w:rsid w:val="00DD4988"/>
    <w:rsid w:val="00DD49E6"/>
    <w:rsid w:val="00DD4BC4"/>
    <w:rsid w:val="00DD5011"/>
    <w:rsid w:val="00DD6B76"/>
    <w:rsid w:val="00DD6F3E"/>
    <w:rsid w:val="00DE0560"/>
    <w:rsid w:val="00DE4A78"/>
    <w:rsid w:val="00DE6D27"/>
    <w:rsid w:val="00DF217D"/>
    <w:rsid w:val="00DF26A7"/>
    <w:rsid w:val="00DF7161"/>
    <w:rsid w:val="00E0084F"/>
    <w:rsid w:val="00E01CF7"/>
    <w:rsid w:val="00E0355A"/>
    <w:rsid w:val="00E03E7C"/>
    <w:rsid w:val="00E055B4"/>
    <w:rsid w:val="00E06CCC"/>
    <w:rsid w:val="00E10629"/>
    <w:rsid w:val="00E11E39"/>
    <w:rsid w:val="00E1235B"/>
    <w:rsid w:val="00E1303B"/>
    <w:rsid w:val="00E13833"/>
    <w:rsid w:val="00E152F6"/>
    <w:rsid w:val="00E164B3"/>
    <w:rsid w:val="00E16910"/>
    <w:rsid w:val="00E21A3C"/>
    <w:rsid w:val="00E23F89"/>
    <w:rsid w:val="00E243F4"/>
    <w:rsid w:val="00E25A66"/>
    <w:rsid w:val="00E36AF9"/>
    <w:rsid w:val="00E36F04"/>
    <w:rsid w:val="00E418FD"/>
    <w:rsid w:val="00E41B46"/>
    <w:rsid w:val="00E42F50"/>
    <w:rsid w:val="00E50EC0"/>
    <w:rsid w:val="00E61CE9"/>
    <w:rsid w:val="00E659A1"/>
    <w:rsid w:val="00E65E54"/>
    <w:rsid w:val="00E71A05"/>
    <w:rsid w:val="00E73ADD"/>
    <w:rsid w:val="00E80155"/>
    <w:rsid w:val="00E8072A"/>
    <w:rsid w:val="00E8254A"/>
    <w:rsid w:val="00E8327C"/>
    <w:rsid w:val="00E84677"/>
    <w:rsid w:val="00E848C0"/>
    <w:rsid w:val="00E84D79"/>
    <w:rsid w:val="00E8712D"/>
    <w:rsid w:val="00E91B96"/>
    <w:rsid w:val="00E9230A"/>
    <w:rsid w:val="00E941A1"/>
    <w:rsid w:val="00E953CB"/>
    <w:rsid w:val="00E95CE3"/>
    <w:rsid w:val="00EA0236"/>
    <w:rsid w:val="00EA2825"/>
    <w:rsid w:val="00EA479D"/>
    <w:rsid w:val="00EA5398"/>
    <w:rsid w:val="00EB0410"/>
    <w:rsid w:val="00EB1A41"/>
    <w:rsid w:val="00EB1C99"/>
    <w:rsid w:val="00EB45ED"/>
    <w:rsid w:val="00EB5088"/>
    <w:rsid w:val="00EB5DDF"/>
    <w:rsid w:val="00EB5EA5"/>
    <w:rsid w:val="00EB60BB"/>
    <w:rsid w:val="00EC063E"/>
    <w:rsid w:val="00EC0ED6"/>
    <w:rsid w:val="00EC3D66"/>
    <w:rsid w:val="00EC3E6C"/>
    <w:rsid w:val="00EC5149"/>
    <w:rsid w:val="00EC73A4"/>
    <w:rsid w:val="00ED01EE"/>
    <w:rsid w:val="00ED0BAB"/>
    <w:rsid w:val="00ED1644"/>
    <w:rsid w:val="00ED4F58"/>
    <w:rsid w:val="00ED626A"/>
    <w:rsid w:val="00ED66D1"/>
    <w:rsid w:val="00EE0B96"/>
    <w:rsid w:val="00EE11C0"/>
    <w:rsid w:val="00EE3775"/>
    <w:rsid w:val="00EE519C"/>
    <w:rsid w:val="00EE5838"/>
    <w:rsid w:val="00EE7598"/>
    <w:rsid w:val="00EF44A0"/>
    <w:rsid w:val="00EF73AC"/>
    <w:rsid w:val="00F04C50"/>
    <w:rsid w:val="00F04CBA"/>
    <w:rsid w:val="00F050BD"/>
    <w:rsid w:val="00F05657"/>
    <w:rsid w:val="00F130B3"/>
    <w:rsid w:val="00F21D0D"/>
    <w:rsid w:val="00F220C8"/>
    <w:rsid w:val="00F2496A"/>
    <w:rsid w:val="00F25578"/>
    <w:rsid w:val="00F258E5"/>
    <w:rsid w:val="00F27389"/>
    <w:rsid w:val="00F300BC"/>
    <w:rsid w:val="00F3334E"/>
    <w:rsid w:val="00F37E35"/>
    <w:rsid w:val="00F4052A"/>
    <w:rsid w:val="00F41E58"/>
    <w:rsid w:val="00F42942"/>
    <w:rsid w:val="00F439F3"/>
    <w:rsid w:val="00F44244"/>
    <w:rsid w:val="00F4768D"/>
    <w:rsid w:val="00F5015A"/>
    <w:rsid w:val="00F50EC4"/>
    <w:rsid w:val="00F54CFA"/>
    <w:rsid w:val="00F55FA2"/>
    <w:rsid w:val="00F57A6D"/>
    <w:rsid w:val="00F638CC"/>
    <w:rsid w:val="00F734BB"/>
    <w:rsid w:val="00F77840"/>
    <w:rsid w:val="00F8247A"/>
    <w:rsid w:val="00F83A51"/>
    <w:rsid w:val="00F9629A"/>
    <w:rsid w:val="00F972A2"/>
    <w:rsid w:val="00F97387"/>
    <w:rsid w:val="00FA3969"/>
    <w:rsid w:val="00FA5558"/>
    <w:rsid w:val="00FA5883"/>
    <w:rsid w:val="00FA5D96"/>
    <w:rsid w:val="00FA6055"/>
    <w:rsid w:val="00FA714F"/>
    <w:rsid w:val="00FB1616"/>
    <w:rsid w:val="00FB2B6E"/>
    <w:rsid w:val="00FB322F"/>
    <w:rsid w:val="00FB442F"/>
    <w:rsid w:val="00FB55CF"/>
    <w:rsid w:val="00FB649B"/>
    <w:rsid w:val="00FC1929"/>
    <w:rsid w:val="00FC2FFA"/>
    <w:rsid w:val="00FC5A07"/>
    <w:rsid w:val="00FC5B46"/>
    <w:rsid w:val="00FC69B9"/>
    <w:rsid w:val="00FF00BD"/>
    <w:rsid w:val="00FF021D"/>
    <w:rsid w:val="00FF16C3"/>
    <w:rsid w:val="00FF1ED4"/>
    <w:rsid w:val="00FF3C78"/>
    <w:rsid w:val="00FF3E6C"/>
    <w:rsid w:val="00FF46C7"/>
    <w:rsid w:val="00FF5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25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565AC7"/>
    <w:pPr>
      <w:numPr>
        <w:numId w:val="1"/>
      </w:numPr>
      <w:jc w:val="both"/>
      <w:outlineLvl w:val="0"/>
    </w:pPr>
    <w:rPr>
      <w:rFonts w:ascii="Arial" w:hAnsi="Arial"/>
      <w:b/>
      <w:sz w:val="22"/>
      <w:szCs w:val="22"/>
    </w:rPr>
  </w:style>
  <w:style w:type="paragraph" w:styleId="Heading2">
    <w:name w:val="heading 2"/>
    <w:basedOn w:val="Normal"/>
    <w:next w:val="Normal"/>
    <w:qFormat/>
    <w:rsid w:val="00565AC7"/>
    <w:pPr>
      <w:outlineLvl w:val="1"/>
    </w:pPr>
    <w:rPr>
      <w:rFonts w:ascii="Arial" w:hAnsi="Arial" w:cs="Arial"/>
      <w:b/>
      <w:bCs/>
      <w:i/>
      <w:snapToGrid w:val="0"/>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B71DD7"/>
    <w:pPr>
      <w:ind w:left="720" w:hanging="720"/>
    </w:pPr>
    <w:rPr>
      <w:rFonts w:ascii="Arial" w:hAnsi="Arial" w:cs="Arial"/>
      <w:b/>
      <w:snapToGrid w:val="0"/>
      <w:sz w:val="22"/>
      <w:szCs w:val="22"/>
      <w:lang w:eastAsia="en-US"/>
    </w:rPr>
  </w:style>
  <w:style w:type="paragraph" w:customStyle="1" w:styleId="Body">
    <w:name w:val="Body"/>
    <w:basedOn w:val="Normal"/>
    <w:link w:val="BodyChar"/>
    <w:qFormat/>
    <w:rsid w:val="00267147"/>
    <w:pPr>
      <w:spacing w:before="120" w:after="200" w:line="276" w:lineRule="auto"/>
      <w:jc w:val="both"/>
    </w:pPr>
    <w:rPr>
      <w:rFonts w:ascii="Calibri" w:eastAsia="Calibri" w:hAnsi="Calibri" w:cs="Calibri"/>
      <w:szCs w:val="20"/>
      <w:lang w:eastAsia="en-US"/>
    </w:rPr>
  </w:style>
  <w:style w:type="character" w:customStyle="1" w:styleId="BodyChar">
    <w:name w:val="Body Char"/>
    <w:link w:val="Body"/>
    <w:rsid w:val="00267147"/>
    <w:rPr>
      <w:rFonts w:ascii="Calibri" w:eastAsia="Calibri" w:hAnsi="Calibri" w:cs="Calibri"/>
      <w:sz w:val="24"/>
      <w:lang w:eastAsia="en-US"/>
    </w:rPr>
  </w:style>
  <w:style w:type="paragraph" w:customStyle="1" w:styleId="TableFooter">
    <w:name w:val="Table Footer"/>
    <w:basedOn w:val="Normal"/>
    <w:qFormat/>
    <w:rsid w:val="00267147"/>
    <w:pPr>
      <w:widowControl w:val="0"/>
      <w:jc w:val="both"/>
    </w:pPr>
    <w:rPr>
      <w:rFonts w:ascii="Arial Narrow" w:hAnsi="Arial Narrow" w:cs="Arial"/>
      <w:snapToGrid w:val="0"/>
      <w:sz w:val="18"/>
      <w:szCs w:val="20"/>
      <w:lang w:eastAsia="en-US"/>
    </w:rPr>
  </w:style>
  <w:style w:type="character" w:styleId="Hyperlink">
    <w:name w:val="Hyperlink"/>
    <w:basedOn w:val="DefaultParagraphFont"/>
    <w:uiPriority w:val="99"/>
    <w:unhideWhenUsed/>
    <w:rsid w:val="00267147"/>
    <w:rPr>
      <w:color w:val="0000FF" w:themeColor="hyperlink"/>
      <w:u w:val="single"/>
    </w:rPr>
  </w:style>
  <w:style w:type="paragraph" w:styleId="TOC3">
    <w:name w:val="toc 3"/>
    <w:basedOn w:val="Normal"/>
    <w:next w:val="Normal"/>
    <w:autoRedefine/>
    <w:uiPriority w:val="39"/>
    <w:unhideWhenUsed/>
    <w:rsid w:val="00267147"/>
    <w:pPr>
      <w:widowControl w:val="0"/>
      <w:ind w:left="440"/>
    </w:pPr>
    <w:rPr>
      <w:rFonts w:asciiTheme="minorHAnsi" w:hAnsiTheme="minorHAnsi" w:cs="Arial"/>
      <w:snapToGrid w:val="0"/>
      <w:sz w:val="20"/>
      <w:szCs w:val="20"/>
      <w:lang w:eastAsia="en-US"/>
    </w:rPr>
  </w:style>
  <w:style w:type="character" w:customStyle="1" w:styleId="ListParagraphChar">
    <w:name w:val="List Paragraph Char"/>
    <w:aliases w:val="BulletPoints Char"/>
    <w:link w:val="ListParagraph"/>
    <w:uiPriority w:val="34"/>
    <w:rsid w:val="00B50024"/>
    <w:rPr>
      <w:sz w:val="24"/>
      <w:szCs w:val="24"/>
    </w:rPr>
  </w:style>
  <w:style w:type="paragraph" w:styleId="Revision">
    <w:name w:val="Revision"/>
    <w:hidden/>
    <w:uiPriority w:val="71"/>
    <w:rsid w:val="00E01CF7"/>
    <w:rPr>
      <w:sz w:val="24"/>
      <w:szCs w:val="24"/>
    </w:rPr>
  </w:style>
  <w:style w:type="paragraph" w:styleId="BodyText">
    <w:name w:val="Body Text"/>
    <w:basedOn w:val="Normal"/>
    <w:link w:val="BodyTextChar"/>
    <w:rsid w:val="00A159BD"/>
    <w:pPr>
      <w:spacing w:after="120"/>
    </w:pPr>
  </w:style>
  <w:style w:type="character" w:customStyle="1" w:styleId="BodyTextChar">
    <w:name w:val="Body Text Char"/>
    <w:basedOn w:val="DefaultParagraphFont"/>
    <w:link w:val="BodyText"/>
    <w:rsid w:val="00A159BD"/>
    <w:rPr>
      <w:sz w:val="24"/>
      <w:szCs w:val="24"/>
    </w:rPr>
  </w:style>
  <w:style w:type="character" w:styleId="IntenseReference">
    <w:name w:val="Intense Reference"/>
    <w:basedOn w:val="DefaultParagraphFont"/>
    <w:uiPriority w:val="32"/>
    <w:rsid w:val="00D5212A"/>
    <w:rPr>
      <w:b/>
      <w:bCs/>
      <w:smallCaps/>
      <w:color w:val="C0504D" w:themeColor="accent2"/>
      <w:spacing w:val="5"/>
      <w:u w:val="single"/>
    </w:rPr>
  </w:style>
  <w:style w:type="paragraph" w:styleId="ListBullet">
    <w:name w:val="List Bullet"/>
    <w:basedOn w:val="Normal"/>
    <w:autoRedefine/>
    <w:rsid w:val="00225458"/>
    <w:rPr>
      <w:rFonts w:ascii="Arial" w:hAnsi="Arial" w:cs="Arial"/>
      <w:snapToGrid w:val="0"/>
      <w:sz w:val="20"/>
      <w:szCs w:val="20"/>
      <w:lang w:eastAsia="en-US"/>
    </w:rPr>
  </w:style>
  <w:style w:type="paragraph" w:styleId="Title">
    <w:name w:val="Title"/>
    <w:basedOn w:val="Normal"/>
    <w:next w:val="Normal"/>
    <w:link w:val="TitleChar"/>
    <w:qFormat/>
    <w:rsid w:val="00565AC7"/>
    <w:pPr>
      <w:ind w:left="720" w:hanging="720"/>
      <w:outlineLvl w:val="0"/>
    </w:pPr>
    <w:rPr>
      <w:rFonts w:ascii="Arial" w:hAnsi="Arial"/>
      <w:b/>
      <w:sz w:val="28"/>
      <w:szCs w:val="28"/>
    </w:rPr>
  </w:style>
  <w:style w:type="character" w:customStyle="1" w:styleId="TitleChar">
    <w:name w:val="Title Char"/>
    <w:basedOn w:val="DefaultParagraphFont"/>
    <w:link w:val="Title"/>
    <w:rsid w:val="00565AC7"/>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565AC7"/>
    <w:pPr>
      <w:numPr>
        <w:numId w:val="1"/>
      </w:numPr>
      <w:jc w:val="both"/>
      <w:outlineLvl w:val="0"/>
    </w:pPr>
    <w:rPr>
      <w:rFonts w:ascii="Arial" w:hAnsi="Arial"/>
      <w:b/>
      <w:sz w:val="22"/>
      <w:szCs w:val="22"/>
    </w:rPr>
  </w:style>
  <w:style w:type="paragraph" w:styleId="Heading2">
    <w:name w:val="heading 2"/>
    <w:basedOn w:val="Normal"/>
    <w:next w:val="Normal"/>
    <w:qFormat/>
    <w:rsid w:val="00565AC7"/>
    <w:pPr>
      <w:outlineLvl w:val="1"/>
    </w:pPr>
    <w:rPr>
      <w:rFonts w:ascii="Arial" w:hAnsi="Arial" w:cs="Arial"/>
      <w:b/>
      <w:bCs/>
      <w:i/>
      <w:snapToGrid w:val="0"/>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B71DD7"/>
    <w:pPr>
      <w:ind w:left="720" w:hanging="720"/>
    </w:pPr>
    <w:rPr>
      <w:rFonts w:ascii="Arial" w:hAnsi="Arial" w:cs="Arial"/>
      <w:b/>
      <w:snapToGrid w:val="0"/>
      <w:sz w:val="22"/>
      <w:szCs w:val="22"/>
      <w:lang w:eastAsia="en-US"/>
    </w:rPr>
  </w:style>
  <w:style w:type="paragraph" w:customStyle="1" w:styleId="Body">
    <w:name w:val="Body"/>
    <w:basedOn w:val="Normal"/>
    <w:link w:val="BodyChar"/>
    <w:qFormat/>
    <w:rsid w:val="00267147"/>
    <w:pPr>
      <w:spacing w:before="120" w:after="200" w:line="276" w:lineRule="auto"/>
      <w:jc w:val="both"/>
    </w:pPr>
    <w:rPr>
      <w:rFonts w:ascii="Calibri" w:eastAsia="Calibri" w:hAnsi="Calibri" w:cs="Calibri"/>
      <w:szCs w:val="20"/>
      <w:lang w:eastAsia="en-US"/>
    </w:rPr>
  </w:style>
  <w:style w:type="character" w:customStyle="1" w:styleId="BodyChar">
    <w:name w:val="Body Char"/>
    <w:link w:val="Body"/>
    <w:rsid w:val="00267147"/>
    <w:rPr>
      <w:rFonts w:ascii="Calibri" w:eastAsia="Calibri" w:hAnsi="Calibri" w:cs="Calibri"/>
      <w:sz w:val="24"/>
      <w:lang w:eastAsia="en-US"/>
    </w:rPr>
  </w:style>
  <w:style w:type="paragraph" w:customStyle="1" w:styleId="TableFooter">
    <w:name w:val="Table Footer"/>
    <w:basedOn w:val="Normal"/>
    <w:qFormat/>
    <w:rsid w:val="00267147"/>
    <w:pPr>
      <w:widowControl w:val="0"/>
      <w:jc w:val="both"/>
    </w:pPr>
    <w:rPr>
      <w:rFonts w:ascii="Arial Narrow" w:hAnsi="Arial Narrow" w:cs="Arial"/>
      <w:snapToGrid w:val="0"/>
      <w:sz w:val="18"/>
      <w:szCs w:val="20"/>
      <w:lang w:eastAsia="en-US"/>
    </w:rPr>
  </w:style>
  <w:style w:type="character" w:styleId="Hyperlink">
    <w:name w:val="Hyperlink"/>
    <w:basedOn w:val="DefaultParagraphFont"/>
    <w:uiPriority w:val="99"/>
    <w:unhideWhenUsed/>
    <w:rsid w:val="00267147"/>
    <w:rPr>
      <w:color w:val="0000FF" w:themeColor="hyperlink"/>
      <w:u w:val="single"/>
    </w:rPr>
  </w:style>
  <w:style w:type="paragraph" w:styleId="TOC3">
    <w:name w:val="toc 3"/>
    <w:basedOn w:val="Normal"/>
    <w:next w:val="Normal"/>
    <w:autoRedefine/>
    <w:uiPriority w:val="39"/>
    <w:unhideWhenUsed/>
    <w:rsid w:val="00267147"/>
    <w:pPr>
      <w:widowControl w:val="0"/>
      <w:ind w:left="440"/>
    </w:pPr>
    <w:rPr>
      <w:rFonts w:asciiTheme="minorHAnsi" w:hAnsiTheme="minorHAnsi" w:cs="Arial"/>
      <w:snapToGrid w:val="0"/>
      <w:sz w:val="20"/>
      <w:szCs w:val="20"/>
      <w:lang w:eastAsia="en-US"/>
    </w:rPr>
  </w:style>
  <w:style w:type="character" w:customStyle="1" w:styleId="ListParagraphChar">
    <w:name w:val="List Paragraph Char"/>
    <w:aliases w:val="BulletPoints Char"/>
    <w:link w:val="ListParagraph"/>
    <w:uiPriority w:val="34"/>
    <w:rsid w:val="00B50024"/>
    <w:rPr>
      <w:sz w:val="24"/>
      <w:szCs w:val="24"/>
    </w:rPr>
  </w:style>
  <w:style w:type="paragraph" w:styleId="Revision">
    <w:name w:val="Revision"/>
    <w:hidden/>
    <w:uiPriority w:val="71"/>
    <w:rsid w:val="00E01CF7"/>
    <w:rPr>
      <w:sz w:val="24"/>
      <w:szCs w:val="24"/>
    </w:rPr>
  </w:style>
  <w:style w:type="paragraph" w:styleId="BodyText">
    <w:name w:val="Body Text"/>
    <w:basedOn w:val="Normal"/>
    <w:link w:val="BodyTextChar"/>
    <w:rsid w:val="00A159BD"/>
    <w:pPr>
      <w:spacing w:after="120"/>
    </w:pPr>
  </w:style>
  <w:style w:type="character" w:customStyle="1" w:styleId="BodyTextChar">
    <w:name w:val="Body Text Char"/>
    <w:basedOn w:val="DefaultParagraphFont"/>
    <w:link w:val="BodyText"/>
    <w:rsid w:val="00A159BD"/>
    <w:rPr>
      <w:sz w:val="24"/>
      <w:szCs w:val="24"/>
    </w:rPr>
  </w:style>
  <w:style w:type="character" w:styleId="IntenseReference">
    <w:name w:val="Intense Reference"/>
    <w:basedOn w:val="DefaultParagraphFont"/>
    <w:uiPriority w:val="32"/>
    <w:rsid w:val="00D5212A"/>
    <w:rPr>
      <w:b/>
      <w:bCs/>
      <w:smallCaps/>
      <w:color w:val="C0504D" w:themeColor="accent2"/>
      <w:spacing w:val="5"/>
      <w:u w:val="single"/>
    </w:rPr>
  </w:style>
  <w:style w:type="paragraph" w:styleId="ListBullet">
    <w:name w:val="List Bullet"/>
    <w:basedOn w:val="Normal"/>
    <w:autoRedefine/>
    <w:rsid w:val="00225458"/>
    <w:rPr>
      <w:rFonts w:ascii="Arial" w:hAnsi="Arial" w:cs="Arial"/>
      <w:snapToGrid w:val="0"/>
      <w:sz w:val="20"/>
      <w:szCs w:val="20"/>
      <w:lang w:eastAsia="en-US"/>
    </w:rPr>
  </w:style>
  <w:style w:type="paragraph" w:styleId="Title">
    <w:name w:val="Title"/>
    <w:basedOn w:val="Normal"/>
    <w:next w:val="Normal"/>
    <w:link w:val="TitleChar"/>
    <w:qFormat/>
    <w:rsid w:val="00565AC7"/>
    <w:pPr>
      <w:ind w:left="720" w:hanging="720"/>
      <w:outlineLvl w:val="0"/>
    </w:pPr>
    <w:rPr>
      <w:rFonts w:ascii="Arial" w:hAnsi="Arial"/>
      <w:b/>
      <w:sz w:val="28"/>
      <w:szCs w:val="28"/>
    </w:rPr>
  </w:style>
  <w:style w:type="character" w:customStyle="1" w:styleId="TitleChar">
    <w:name w:val="Title Char"/>
    <w:basedOn w:val="DefaultParagraphFont"/>
    <w:link w:val="Title"/>
    <w:rsid w:val="00565AC7"/>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37640475">
      <w:bodyDiv w:val="1"/>
      <w:marLeft w:val="0"/>
      <w:marRight w:val="0"/>
      <w:marTop w:val="0"/>
      <w:marBottom w:val="0"/>
      <w:divBdr>
        <w:top w:val="none" w:sz="0" w:space="0" w:color="auto"/>
        <w:left w:val="none" w:sz="0" w:space="0" w:color="auto"/>
        <w:bottom w:val="none" w:sz="0" w:space="0" w:color="auto"/>
        <w:right w:val="none" w:sz="0" w:space="0" w:color="auto"/>
      </w:divBdr>
      <w:divsChild>
        <w:div w:id="515775714">
          <w:marLeft w:val="1080"/>
          <w:marRight w:val="0"/>
          <w:marTop w:val="100"/>
          <w:marBottom w:val="0"/>
          <w:divBdr>
            <w:top w:val="none" w:sz="0" w:space="0" w:color="auto"/>
            <w:left w:val="none" w:sz="0" w:space="0" w:color="auto"/>
            <w:bottom w:val="none" w:sz="0" w:space="0" w:color="auto"/>
            <w:right w:val="none" w:sz="0" w:space="0" w:color="auto"/>
          </w:divBdr>
        </w:div>
      </w:divsChild>
    </w:div>
    <w:div w:id="63217766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07050645">
      <w:bodyDiv w:val="1"/>
      <w:marLeft w:val="0"/>
      <w:marRight w:val="0"/>
      <w:marTop w:val="0"/>
      <w:marBottom w:val="0"/>
      <w:divBdr>
        <w:top w:val="none" w:sz="0" w:space="0" w:color="auto"/>
        <w:left w:val="none" w:sz="0" w:space="0" w:color="auto"/>
        <w:bottom w:val="none" w:sz="0" w:space="0" w:color="auto"/>
        <w:right w:val="none" w:sz="0" w:space="0" w:color="auto"/>
      </w:divBdr>
    </w:div>
    <w:div w:id="1327202107">
      <w:bodyDiv w:val="1"/>
      <w:marLeft w:val="0"/>
      <w:marRight w:val="0"/>
      <w:marTop w:val="0"/>
      <w:marBottom w:val="0"/>
      <w:divBdr>
        <w:top w:val="none" w:sz="0" w:space="0" w:color="auto"/>
        <w:left w:val="none" w:sz="0" w:space="0" w:color="auto"/>
        <w:bottom w:val="none" w:sz="0" w:space="0" w:color="auto"/>
        <w:right w:val="none" w:sz="0" w:space="0" w:color="auto"/>
      </w:divBdr>
    </w:div>
    <w:div w:id="1335960425">
      <w:bodyDiv w:val="1"/>
      <w:marLeft w:val="0"/>
      <w:marRight w:val="0"/>
      <w:marTop w:val="0"/>
      <w:marBottom w:val="0"/>
      <w:divBdr>
        <w:top w:val="none" w:sz="0" w:space="0" w:color="auto"/>
        <w:left w:val="none" w:sz="0" w:space="0" w:color="auto"/>
        <w:bottom w:val="none" w:sz="0" w:space="0" w:color="auto"/>
        <w:right w:val="none" w:sz="0" w:space="0" w:color="auto"/>
      </w:divBdr>
    </w:div>
    <w:div w:id="1566715908">
      <w:bodyDiv w:val="1"/>
      <w:marLeft w:val="0"/>
      <w:marRight w:val="0"/>
      <w:marTop w:val="0"/>
      <w:marBottom w:val="0"/>
      <w:divBdr>
        <w:top w:val="none" w:sz="0" w:space="0" w:color="auto"/>
        <w:left w:val="none" w:sz="0" w:space="0" w:color="auto"/>
        <w:bottom w:val="none" w:sz="0" w:space="0" w:color="auto"/>
        <w:right w:val="none" w:sz="0" w:space="0" w:color="auto"/>
      </w:divBdr>
      <w:divsChild>
        <w:div w:id="888347983">
          <w:marLeft w:val="1080"/>
          <w:marRight w:val="0"/>
          <w:marTop w:val="10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803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402F-30DC-46C1-9DE7-FCD58B41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6273</Words>
  <Characters>36466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2016-10-06T02:36:00Z</dcterms:created>
  <dcterms:modified xsi:type="dcterms:W3CDTF">2016-10-06T02:47:00Z</dcterms:modified>
</cp:coreProperties>
</file>