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4E" w:rsidRPr="00684DD8" w:rsidRDefault="0083456D" w:rsidP="00B37EA1">
      <w:pPr>
        <w:pStyle w:val="Heading1"/>
        <w:jc w:val="left"/>
        <w:rPr>
          <w:sz w:val="28"/>
        </w:rPr>
      </w:pPr>
      <w:bookmarkStart w:id="0" w:name="_Toc450655470"/>
      <w:bookmarkStart w:id="1" w:name="_Toc450820734"/>
      <w:r w:rsidRPr="00684DD8">
        <w:rPr>
          <w:sz w:val="28"/>
        </w:rPr>
        <w:t>7.01</w:t>
      </w:r>
      <w:r w:rsidR="00B60939" w:rsidRPr="00684DD8">
        <w:rPr>
          <w:sz w:val="28"/>
        </w:rPr>
        <w:tab/>
      </w:r>
      <w:r w:rsidR="006642EA" w:rsidRPr="00684DD8">
        <w:rPr>
          <w:sz w:val="28"/>
        </w:rPr>
        <w:t>BLINATUMOMAB</w:t>
      </w:r>
      <w:r w:rsidR="001B3D5D" w:rsidRPr="00684DD8">
        <w:rPr>
          <w:sz w:val="28"/>
        </w:rPr>
        <w:t>,</w:t>
      </w:r>
    </w:p>
    <w:p w:rsidR="005C544E" w:rsidRPr="00684DD8" w:rsidRDefault="001B59F5" w:rsidP="005C544E">
      <w:pPr>
        <w:pStyle w:val="Heading1"/>
        <w:ind w:firstLine="0"/>
        <w:jc w:val="left"/>
        <w:rPr>
          <w:caps w:val="0"/>
          <w:sz w:val="28"/>
        </w:rPr>
      </w:pPr>
      <w:r w:rsidRPr="00684DD8">
        <w:rPr>
          <w:caps w:val="0"/>
          <w:sz w:val="28"/>
        </w:rPr>
        <w:t>I</w:t>
      </w:r>
      <w:r w:rsidR="0083456D" w:rsidRPr="00684DD8">
        <w:rPr>
          <w:caps w:val="0"/>
          <w:sz w:val="28"/>
        </w:rPr>
        <w:t>njection 38.5</w:t>
      </w:r>
      <w:r w:rsidR="00C70DC6" w:rsidRPr="00684DD8">
        <w:rPr>
          <w:caps w:val="0"/>
          <w:sz w:val="28"/>
        </w:rPr>
        <w:t> </w:t>
      </w:r>
      <w:r w:rsidR="0083456D" w:rsidRPr="00684DD8">
        <w:rPr>
          <w:caps w:val="0"/>
          <w:sz w:val="28"/>
        </w:rPr>
        <w:t>microgram [1 vial] a</w:t>
      </w:r>
      <w:r w:rsidR="00C70DC6" w:rsidRPr="00684DD8">
        <w:rPr>
          <w:caps w:val="0"/>
          <w:sz w:val="28"/>
        </w:rPr>
        <w:t>nd inert substance solution [10 </w:t>
      </w:r>
      <w:r w:rsidR="0083456D" w:rsidRPr="00684DD8">
        <w:rPr>
          <w:caps w:val="0"/>
          <w:sz w:val="28"/>
        </w:rPr>
        <w:t>mL vial], 1 pack</w:t>
      </w:r>
      <w:r w:rsidR="00B37EA1" w:rsidRPr="00684DD8">
        <w:rPr>
          <w:caps w:val="0"/>
          <w:sz w:val="28"/>
        </w:rPr>
        <w:t xml:space="preserve">, </w:t>
      </w:r>
    </w:p>
    <w:p w:rsidR="00B60939" w:rsidRPr="00684DD8" w:rsidRDefault="006642EA" w:rsidP="005C544E">
      <w:pPr>
        <w:pStyle w:val="Heading1"/>
        <w:ind w:firstLine="0"/>
        <w:jc w:val="left"/>
        <w:rPr>
          <w:caps w:val="0"/>
          <w:sz w:val="28"/>
        </w:rPr>
      </w:pPr>
      <w:proofErr w:type="spellStart"/>
      <w:r w:rsidRPr="00684DD8">
        <w:rPr>
          <w:caps w:val="0"/>
          <w:sz w:val="28"/>
        </w:rPr>
        <w:t>Blincyto</w:t>
      </w:r>
      <w:proofErr w:type="spellEnd"/>
      <w:r w:rsidRPr="00684DD8">
        <w:rPr>
          <w:caps w:val="0"/>
          <w:sz w:val="28"/>
          <w:vertAlign w:val="superscript"/>
        </w:rPr>
        <w:t>®</w:t>
      </w:r>
      <w:r w:rsidR="005C544E" w:rsidRPr="00684DD8">
        <w:rPr>
          <w:sz w:val="28"/>
        </w:rPr>
        <w:t xml:space="preserve">, </w:t>
      </w:r>
      <w:r w:rsidRPr="00684DD8">
        <w:rPr>
          <w:caps w:val="0"/>
          <w:sz w:val="28"/>
        </w:rPr>
        <w:t>Amgen</w:t>
      </w:r>
      <w:r w:rsidR="0083456D" w:rsidRPr="00684DD8">
        <w:rPr>
          <w:caps w:val="0"/>
          <w:sz w:val="28"/>
        </w:rPr>
        <w:t xml:space="preserve"> Australia Pty Ltd</w:t>
      </w:r>
      <w:bookmarkEnd w:id="0"/>
      <w:bookmarkEnd w:id="1"/>
    </w:p>
    <w:p w:rsidR="00B37EA1" w:rsidRPr="00684DD8" w:rsidRDefault="00B37EA1" w:rsidP="00B37EA1"/>
    <w:p w:rsidR="00F3265A" w:rsidRPr="00684DD8" w:rsidRDefault="00F3265A" w:rsidP="00B37EA1"/>
    <w:p w:rsidR="00F338FF" w:rsidRPr="00D34A67" w:rsidRDefault="00F338FF" w:rsidP="00D34A67">
      <w:pPr>
        <w:pStyle w:val="Heading2"/>
      </w:pPr>
      <w:bookmarkStart w:id="2" w:name="_Toc450655472"/>
      <w:bookmarkStart w:id="3" w:name="_Toc450820736"/>
      <w:r w:rsidRPr="00D34A67">
        <w:t>Purpose of Application</w:t>
      </w:r>
      <w:bookmarkEnd w:id="2"/>
      <w:bookmarkEnd w:id="3"/>
    </w:p>
    <w:p w:rsidR="00B60939" w:rsidRPr="00684DD8" w:rsidRDefault="00B60939" w:rsidP="00B60939">
      <w:pPr>
        <w:rPr>
          <w:szCs w:val="22"/>
        </w:rPr>
      </w:pPr>
    </w:p>
    <w:p w:rsidR="00B60939" w:rsidRDefault="0083456D" w:rsidP="00B87442">
      <w:pPr>
        <w:pStyle w:val="ListParagraph"/>
        <w:widowControl/>
        <w:numPr>
          <w:ilvl w:val="1"/>
          <w:numId w:val="1"/>
        </w:numPr>
      </w:pPr>
      <w:r w:rsidRPr="00684DD8">
        <w:t>The r</w:t>
      </w:r>
      <w:r w:rsidR="00060191" w:rsidRPr="00684DD8">
        <w:t>esubmission</w:t>
      </w:r>
      <w:r w:rsidR="006642EA" w:rsidRPr="00684DD8">
        <w:t xml:space="preserve"> </w:t>
      </w:r>
      <w:r w:rsidRPr="00684DD8">
        <w:t>requested a</w:t>
      </w:r>
      <w:r w:rsidR="006642EA" w:rsidRPr="00684DD8">
        <w:t xml:space="preserve"> </w:t>
      </w:r>
      <w:r w:rsidRPr="00684DD8">
        <w:t>Section 100</w:t>
      </w:r>
      <w:r w:rsidR="001E238E" w:rsidRPr="00684DD8">
        <w:t xml:space="preserve"> </w:t>
      </w:r>
      <w:r w:rsidRPr="00684DD8">
        <w:t>(</w:t>
      </w:r>
      <w:r w:rsidR="006642EA" w:rsidRPr="00684DD8">
        <w:t>Highly Specialised Drug</w:t>
      </w:r>
      <w:r w:rsidRPr="00684DD8">
        <w:t xml:space="preserve"> Program)</w:t>
      </w:r>
      <w:r w:rsidR="006642EA" w:rsidRPr="00684DD8">
        <w:t xml:space="preserve"> listing </w:t>
      </w:r>
      <w:r w:rsidR="00D3779D" w:rsidRPr="00684DD8">
        <w:t>of</w:t>
      </w:r>
      <w:r w:rsidR="006642EA" w:rsidRPr="00684DD8">
        <w:t xml:space="preserve"> </w:t>
      </w:r>
      <w:proofErr w:type="spellStart"/>
      <w:r w:rsidR="006642EA" w:rsidRPr="00684DD8">
        <w:t>blinatumomab</w:t>
      </w:r>
      <w:proofErr w:type="spellEnd"/>
      <w:r w:rsidR="001E238E" w:rsidRPr="00684DD8">
        <w:t xml:space="preserve"> for </w:t>
      </w:r>
      <w:r w:rsidR="006642EA" w:rsidRPr="00684DD8">
        <w:t xml:space="preserve">the </w:t>
      </w:r>
      <w:r w:rsidR="001E238E" w:rsidRPr="00684DD8">
        <w:t xml:space="preserve">treatment of </w:t>
      </w:r>
      <w:r w:rsidR="006642EA" w:rsidRPr="00684DD8">
        <w:t xml:space="preserve">relapsed or refractory Philadelphia </w:t>
      </w:r>
      <w:r w:rsidR="00510B95" w:rsidRPr="00684DD8">
        <w:t xml:space="preserve">chromosome </w:t>
      </w:r>
      <w:r w:rsidR="006642EA" w:rsidRPr="00684DD8">
        <w:t xml:space="preserve">negative (Ph-) B-precursor acute lymphoblastic leukaemia (ALL). </w:t>
      </w:r>
      <w:r w:rsidR="00DD2072" w:rsidRPr="00684DD8">
        <w:t>The first submission was</w:t>
      </w:r>
      <w:r w:rsidR="00FF7FA3" w:rsidRPr="00684DD8">
        <w:t xml:space="preserve"> </w:t>
      </w:r>
      <w:r w:rsidR="00C70DC6" w:rsidRPr="00684DD8">
        <w:t xml:space="preserve">considered </w:t>
      </w:r>
      <w:r w:rsidR="00FF7FA3" w:rsidRPr="00684DD8">
        <w:t>in</w:t>
      </w:r>
      <w:r w:rsidR="00DD2072" w:rsidRPr="00684DD8">
        <w:t xml:space="preserve"> </w:t>
      </w:r>
      <w:r w:rsidR="006642EA" w:rsidRPr="00684DD8">
        <w:t>November 2015</w:t>
      </w:r>
      <w:r w:rsidR="00DD2072" w:rsidRPr="00684DD8">
        <w:t>.</w:t>
      </w:r>
    </w:p>
    <w:p w:rsidR="00B6317C" w:rsidRPr="00684DD8" w:rsidRDefault="00B6317C" w:rsidP="00B6317C">
      <w:pPr>
        <w:pStyle w:val="ListParagraph"/>
        <w:widowControl/>
      </w:pPr>
    </w:p>
    <w:p w:rsidR="0083456D" w:rsidRPr="00684DD8" w:rsidRDefault="00B6317C" w:rsidP="003C215E">
      <w:pPr>
        <w:pStyle w:val="Heading2"/>
      </w:pPr>
      <w:r w:rsidRPr="00B6317C">
        <w:t>Requested listing</w:t>
      </w:r>
    </w:p>
    <w:p w:rsidR="00B234FC" w:rsidRPr="00684DD8" w:rsidRDefault="00B234FC" w:rsidP="001B59F5"/>
    <w:p w:rsidR="00617E12" w:rsidRPr="00684DD8" w:rsidRDefault="00D06D2F" w:rsidP="00B87442">
      <w:pPr>
        <w:pStyle w:val="ListParagraph"/>
        <w:numPr>
          <w:ilvl w:val="1"/>
          <w:numId w:val="1"/>
        </w:numPr>
        <w:rPr>
          <w:szCs w:val="22"/>
        </w:rPr>
      </w:pPr>
      <w:r w:rsidRPr="00684DD8">
        <w:t>The resubmission proposed a three-part listing: initiation (one cycle), first continuation (one cycle) and second continuation (up to three cycles). The second continuation listing is for patients who would be ineligible or awaiting allogeneic haematopoietic stem cell transplant (HSCT).</w:t>
      </w:r>
      <w:r w:rsidR="005727F0" w:rsidRPr="00684DD8">
        <w:t xml:space="preserve"> </w:t>
      </w:r>
      <w:r w:rsidR="005727F0" w:rsidRPr="00684DD8">
        <w:rPr>
          <w:szCs w:val="22"/>
        </w:rPr>
        <w:t xml:space="preserve">An abridged requested PBS listing is presented below. </w:t>
      </w:r>
      <w:r w:rsidR="005727F0" w:rsidRPr="00684DD8">
        <w:rPr>
          <w:rFonts w:eastAsia="SimSun"/>
          <w:iCs/>
          <w:color w:val="000000"/>
          <w:szCs w:val="22"/>
        </w:rPr>
        <w:t>Suggestions and additions proposed by the Secretariat to the requested listing are added in italics and suggested deletions are crossed out with strikethrough.</w:t>
      </w:r>
    </w:p>
    <w:p w:rsidR="00BD28C1" w:rsidRPr="00684DD8" w:rsidRDefault="00BD28C1" w:rsidP="00C70DC6"/>
    <w:p w:rsidR="005727F0" w:rsidRPr="00684DD8" w:rsidRDefault="005727F0" w:rsidP="005727F0">
      <w:pPr>
        <w:ind w:left="720"/>
        <w:rPr>
          <w:b/>
          <w:i/>
          <w:u w:val="single"/>
        </w:rPr>
      </w:pPr>
      <w:r w:rsidRPr="00684DD8">
        <w:rPr>
          <w:b/>
          <w:i/>
          <w:u w:val="single"/>
        </w:rPr>
        <w:t>Initiation</w:t>
      </w:r>
    </w:p>
    <w:p w:rsidR="00C70DC6" w:rsidRPr="00684DD8" w:rsidRDefault="00C70DC6" w:rsidP="00C70DC6"/>
    <w:tbl>
      <w:tblPr>
        <w:tblW w:w="4609" w:type="pct"/>
        <w:tblInd w:w="737" w:type="dxa"/>
        <w:tblLayout w:type="fixed"/>
        <w:tblCellMar>
          <w:left w:w="28" w:type="dxa"/>
          <w:right w:w="28" w:type="dxa"/>
        </w:tblCellMar>
        <w:tblLook w:val="04A0" w:firstRow="1" w:lastRow="0" w:firstColumn="1" w:lastColumn="0" w:noHBand="0" w:noVBand="1"/>
      </w:tblPr>
      <w:tblGrid>
        <w:gridCol w:w="2410"/>
        <w:gridCol w:w="424"/>
        <w:gridCol w:w="851"/>
        <w:gridCol w:w="710"/>
        <w:gridCol w:w="2128"/>
        <w:gridCol w:w="1850"/>
      </w:tblGrid>
      <w:tr w:rsidR="00EE1D20" w:rsidRPr="00684DD8" w:rsidTr="0032763B">
        <w:trPr>
          <w:cantSplit/>
          <w:trHeight w:val="463"/>
        </w:trPr>
        <w:tc>
          <w:tcPr>
            <w:tcW w:w="1692" w:type="pct"/>
            <w:gridSpan w:val="2"/>
            <w:tcBorders>
              <w:bottom w:val="single" w:sz="4" w:space="0" w:color="auto"/>
            </w:tcBorders>
            <w:vAlign w:val="center"/>
          </w:tcPr>
          <w:p w:rsidR="005727F0" w:rsidRPr="00684DD8" w:rsidRDefault="005727F0" w:rsidP="005727F0">
            <w:pPr>
              <w:rPr>
                <w:rFonts w:ascii="Arial Narrow" w:hAnsi="Arial Narrow"/>
                <w:sz w:val="20"/>
              </w:rPr>
            </w:pPr>
            <w:r w:rsidRPr="00684DD8">
              <w:rPr>
                <w:rFonts w:ascii="Arial Narrow" w:hAnsi="Arial Narrow"/>
                <w:sz w:val="20"/>
              </w:rPr>
              <w:t>Name, Restriction,</w:t>
            </w:r>
          </w:p>
          <w:p w:rsidR="005727F0" w:rsidRPr="00684DD8" w:rsidRDefault="005727F0" w:rsidP="005727F0">
            <w:pPr>
              <w:rPr>
                <w:rFonts w:ascii="Arial Narrow" w:hAnsi="Arial Narrow"/>
                <w:sz w:val="20"/>
              </w:rPr>
            </w:pPr>
            <w:r w:rsidRPr="00684DD8">
              <w:rPr>
                <w:rFonts w:ascii="Arial Narrow" w:hAnsi="Arial Narrow"/>
                <w:sz w:val="20"/>
              </w:rPr>
              <w:t>Manner of administration and form</w:t>
            </w:r>
          </w:p>
        </w:tc>
        <w:tc>
          <w:tcPr>
            <w:tcW w:w="508" w:type="pct"/>
            <w:tcBorders>
              <w:bottom w:val="single" w:sz="4" w:space="0" w:color="auto"/>
            </w:tcBorders>
            <w:vAlign w:val="center"/>
          </w:tcPr>
          <w:p w:rsidR="005727F0" w:rsidRPr="00684DD8" w:rsidRDefault="005727F0" w:rsidP="005727F0">
            <w:pPr>
              <w:rPr>
                <w:rFonts w:ascii="Arial Narrow" w:hAnsi="Arial Narrow"/>
                <w:sz w:val="20"/>
              </w:rPr>
            </w:pPr>
            <w:r w:rsidRPr="00684DD8">
              <w:rPr>
                <w:rFonts w:ascii="Arial Narrow" w:hAnsi="Arial Narrow"/>
                <w:sz w:val="20"/>
              </w:rPr>
              <w:t>Max.</w:t>
            </w:r>
          </w:p>
          <w:p w:rsidR="005727F0" w:rsidRPr="00684DD8" w:rsidRDefault="005727F0" w:rsidP="005727F0">
            <w:pPr>
              <w:rPr>
                <w:rFonts w:ascii="Arial Narrow" w:hAnsi="Arial Narrow"/>
                <w:sz w:val="20"/>
              </w:rPr>
            </w:pPr>
            <w:proofErr w:type="spellStart"/>
            <w:r w:rsidRPr="00684DD8">
              <w:rPr>
                <w:rFonts w:ascii="Arial Narrow" w:hAnsi="Arial Narrow"/>
                <w:sz w:val="20"/>
              </w:rPr>
              <w:t>Qty</w:t>
            </w:r>
            <w:proofErr w:type="spellEnd"/>
          </w:p>
        </w:tc>
        <w:tc>
          <w:tcPr>
            <w:tcW w:w="424" w:type="pct"/>
            <w:tcBorders>
              <w:bottom w:val="single" w:sz="4" w:space="0" w:color="auto"/>
            </w:tcBorders>
            <w:vAlign w:val="center"/>
          </w:tcPr>
          <w:p w:rsidR="005727F0" w:rsidRPr="00684DD8" w:rsidRDefault="005727F0" w:rsidP="005727F0">
            <w:pPr>
              <w:rPr>
                <w:rFonts w:ascii="Arial Narrow" w:hAnsi="Arial Narrow" w:cs="Times New Roman"/>
                <w:sz w:val="20"/>
              </w:rPr>
            </w:pPr>
            <w:r w:rsidRPr="00684DD8">
              <w:rPr>
                <w:rFonts w:ascii="Arial Narrow" w:hAnsi="Arial Narrow" w:cs="Times New Roman"/>
                <w:sz w:val="20"/>
              </w:rPr>
              <w:t>№.of</w:t>
            </w:r>
          </w:p>
          <w:p w:rsidR="005727F0" w:rsidRPr="00684DD8" w:rsidRDefault="005727F0" w:rsidP="005727F0">
            <w:pPr>
              <w:rPr>
                <w:rFonts w:ascii="Arial Narrow" w:hAnsi="Arial Narrow" w:cs="Times New Roman"/>
                <w:sz w:val="20"/>
              </w:rPr>
            </w:pPr>
            <w:proofErr w:type="spellStart"/>
            <w:r w:rsidRPr="00684DD8">
              <w:rPr>
                <w:rFonts w:ascii="Arial Narrow" w:hAnsi="Arial Narrow" w:cs="Times New Roman"/>
                <w:sz w:val="20"/>
              </w:rPr>
              <w:t>Rpts</w:t>
            </w:r>
            <w:proofErr w:type="spellEnd"/>
          </w:p>
        </w:tc>
        <w:tc>
          <w:tcPr>
            <w:tcW w:w="1271" w:type="pct"/>
            <w:tcBorders>
              <w:bottom w:val="single" w:sz="4" w:space="0" w:color="auto"/>
            </w:tcBorders>
            <w:vAlign w:val="center"/>
          </w:tcPr>
          <w:p w:rsidR="005727F0" w:rsidRPr="00684DD8" w:rsidRDefault="005727F0" w:rsidP="0032763B">
            <w:pPr>
              <w:jc w:val="left"/>
              <w:rPr>
                <w:rFonts w:ascii="Arial Narrow" w:hAnsi="Arial Narrow"/>
                <w:sz w:val="20"/>
              </w:rPr>
            </w:pPr>
            <w:r w:rsidRPr="00684DD8">
              <w:rPr>
                <w:rFonts w:ascii="Arial Narrow" w:hAnsi="Arial Narrow"/>
                <w:sz w:val="20"/>
              </w:rPr>
              <w:t xml:space="preserve">Dispensed Price for Max. </w:t>
            </w:r>
            <w:proofErr w:type="spellStart"/>
            <w:r w:rsidRPr="00684DD8">
              <w:rPr>
                <w:rFonts w:ascii="Arial Narrow" w:hAnsi="Arial Narrow"/>
                <w:sz w:val="20"/>
              </w:rPr>
              <w:t>Qty</w:t>
            </w:r>
            <w:proofErr w:type="spellEnd"/>
          </w:p>
        </w:tc>
        <w:tc>
          <w:tcPr>
            <w:tcW w:w="1105" w:type="pct"/>
            <w:tcBorders>
              <w:bottom w:val="single" w:sz="4" w:space="0" w:color="auto"/>
            </w:tcBorders>
            <w:vAlign w:val="center"/>
          </w:tcPr>
          <w:p w:rsidR="005727F0" w:rsidRPr="00684DD8" w:rsidRDefault="005727F0" w:rsidP="005727F0">
            <w:pPr>
              <w:jc w:val="left"/>
              <w:rPr>
                <w:rFonts w:ascii="Arial Narrow" w:hAnsi="Arial Narrow"/>
                <w:sz w:val="20"/>
              </w:rPr>
            </w:pPr>
            <w:r w:rsidRPr="00684DD8">
              <w:rPr>
                <w:rFonts w:ascii="Arial Narrow" w:hAnsi="Arial Narrow"/>
                <w:sz w:val="20"/>
              </w:rPr>
              <w:t>Proprietary Name and Manufacturer</w:t>
            </w:r>
          </w:p>
        </w:tc>
      </w:tr>
      <w:tr w:rsidR="00EE1D20" w:rsidRPr="00684DD8" w:rsidTr="0032763B">
        <w:tblPrEx>
          <w:tblCellMar>
            <w:left w:w="108" w:type="dxa"/>
            <w:right w:w="108" w:type="dxa"/>
          </w:tblCellMar>
          <w:tblLook w:val="0000" w:firstRow="0" w:lastRow="0" w:firstColumn="0" w:lastColumn="0" w:noHBand="0" w:noVBand="0"/>
        </w:tblPrEx>
        <w:trPr>
          <w:cantSplit/>
          <w:trHeight w:val="577"/>
        </w:trPr>
        <w:tc>
          <w:tcPr>
            <w:tcW w:w="1692" w:type="pct"/>
            <w:gridSpan w:val="2"/>
            <w:tcBorders>
              <w:top w:val="single" w:sz="4" w:space="0" w:color="auto"/>
            </w:tcBorders>
          </w:tcPr>
          <w:p w:rsidR="005727F0" w:rsidRPr="00684DD8" w:rsidRDefault="005727F0" w:rsidP="005727F0">
            <w:pPr>
              <w:keepNext/>
              <w:ind w:left="-108"/>
              <w:rPr>
                <w:rFonts w:ascii="Arial Narrow" w:hAnsi="Arial Narrow"/>
                <w:sz w:val="20"/>
              </w:rPr>
            </w:pPr>
            <w:r w:rsidRPr="00684DD8">
              <w:rPr>
                <w:rFonts w:ascii="Arial Narrow" w:hAnsi="Arial Narrow"/>
                <w:smallCaps/>
                <w:sz w:val="20"/>
              </w:rPr>
              <w:t>BLINATUMOMAB</w:t>
            </w:r>
          </w:p>
          <w:p w:rsidR="005727F0" w:rsidRPr="00684DD8" w:rsidRDefault="005727F0" w:rsidP="005727F0">
            <w:pPr>
              <w:keepNext/>
              <w:ind w:left="-108"/>
              <w:rPr>
                <w:rFonts w:ascii="Arial Narrow" w:hAnsi="Arial Narrow"/>
                <w:sz w:val="20"/>
              </w:rPr>
            </w:pPr>
            <w:r w:rsidRPr="00684DD8">
              <w:rPr>
                <w:rFonts w:ascii="Arial Narrow" w:hAnsi="Arial Narrow"/>
                <w:sz w:val="20"/>
              </w:rPr>
              <w:t>Powder for injection 38.5 microgram with intravenous solution stabiliser</w:t>
            </w:r>
          </w:p>
        </w:tc>
        <w:tc>
          <w:tcPr>
            <w:tcW w:w="508" w:type="pct"/>
            <w:tcBorders>
              <w:top w:val="single" w:sz="4" w:space="0" w:color="auto"/>
            </w:tcBorders>
          </w:tcPr>
          <w:p w:rsidR="005727F0" w:rsidRPr="00684DD8" w:rsidRDefault="005727F0" w:rsidP="005727F0">
            <w:pPr>
              <w:keepNext/>
              <w:ind w:left="-108"/>
              <w:rPr>
                <w:rFonts w:ascii="Arial Narrow" w:hAnsi="Arial Narrow"/>
                <w:sz w:val="20"/>
              </w:rPr>
            </w:pPr>
          </w:p>
          <w:p w:rsidR="005727F0" w:rsidRPr="00684DD8" w:rsidRDefault="005727F0" w:rsidP="005727F0">
            <w:pPr>
              <w:keepNext/>
              <w:ind w:left="-108"/>
              <w:rPr>
                <w:rFonts w:ascii="Arial Narrow" w:hAnsi="Arial Narrow"/>
                <w:strike/>
                <w:sz w:val="20"/>
              </w:rPr>
            </w:pPr>
            <w:r w:rsidRPr="00684DD8">
              <w:rPr>
                <w:rFonts w:ascii="Arial Narrow" w:hAnsi="Arial Narrow"/>
                <w:strike/>
                <w:sz w:val="20"/>
              </w:rPr>
              <w:t>Up to 28</w:t>
            </w:r>
          </w:p>
          <w:p w:rsidR="005727F0" w:rsidRPr="00684DD8" w:rsidRDefault="005727F0" w:rsidP="005727F0">
            <w:pPr>
              <w:keepNext/>
              <w:ind w:left="-108"/>
              <w:rPr>
                <w:rFonts w:ascii="Arial Narrow" w:hAnsi="Arial Narrow"/>
                <w:sz w:val="20"/>
              </w:rPr>
            </w:pPr>
            <w:r w:rsidRPr="00684DD8">
              <w:rPr>
                <w:rFonts w:ascii="Arial Narrow" w:hAnsi="Arial Narrow"/>
                <w:sz w:val="20"/>
              </w:rPr>
              <w:t>1</w:t>
            </w:r>
          </w:p>
        </w:tc>
        <w:tc>
          <w:tcPr>
            <w:tcW w:w="424" w:type="pct"/>
            <w:tcBorders>
              <w:top w:val="single" w:sz="4" w:space="0" w:color="auto"/>
            </w:tcBorders>
          </w:tcPr>
          <w:p w:rsidR="005727F0" w:rsidRPr="00684DD8" w:rsidRDefault="005727F0" w:rsidP="005727F0">
            <w:pPr>
              <w:keepNext/>
              <w:ind w:left="-108"/>
              <w:rPr>
                <w:rFonts w:ascii="Arial Narrow" w:hAnsi="Arial Narrow"/>
                <w:sz w:val="20"/>
              </w:rPr>
            </w:pPr>
          </w:p>
          <w:p w:rsidR="005727F0" w:rsidRPr="00684DD8" w:rsidRDefault="005727F0" w:rsidP="005727F0">
            <w:pPr>
              <w:keepNext/>
              <w:ind w:left="-108"/>
              <w:rPr>
                <w:rFonts w:ascii="Arial Narrow" w:hAnsi="Arial Narrow"/>
                <w:strike/>
                <w:sz w:val="20"/>
              </w:rPr>
            </w:pPr>
            <w:r w:rsidRPr="00684DD8">
              <w:rPr>
                <w:rFonts w:ascii="Arial Narrow" w:hAnsi="Arial Narrow"/>
                <w:strike/>
                <w:sz w:val="20"/>
              </w:rPr>
              <w:t>0</w:t>
            </w:r>
          </w:p>
          <w:p w:rsidR="005727F0" w:rsidRPr="00684DD8" w:rsidRDefault="005727F0" w:rsidP="005727F0">
            <w:pPr>
              <w:keepNext/>
              <w:ind w:left="-108"/>
              <w:rPr>
                <w:rFonts w:ascii="Arial Narrow" w:hAnsi="Arial Narrow"/>
                <w:sz w:val="20"/>
              </w:rPr>
            </w:pPr>
            <w:r w:rsidRPr="00684DD8">
              <w:rPr>
                <w:rFonts w:ascii="Arial Narrow" w:hAnsi="Arial Narrow"/>
                <w:sz w:val="20"/>
              </w:rPr>
              <w:t>22</w:t>
            </w:r>
          </w:p>
        </w:tc>
        <w:tc>
          <w:tcPr>
            <w:tcW w:w="1271" w:type="pct"/>
            <w:tcBorders>
              <w:top w:val="single" w:sz="4" w:space="0" w:color="auto"/>
            </w:tcBorders>
          </w:tcPr>
          <w:p w:rsidR="005727F0" w:rsidRPr="00684DD8" w:rsidRDefault="005727F0" w:rsidP="005727F0">
            <w:pPr>
              <w:keepNext/>
              <w:ind w:left="-108"/>
              <w:rPr>
                <w:rFonts w:ascii="Arial Narrow" w:hAnsi="Arial Narrow"/>
                <w:sz w:val="20"/>
              </w:rPr>
            </w:pPr>
          </w:p>
          <w:p w:rsidR="005727F0" w:rsidRPr="00684DD8" w:rsidRDefault="005727F0" w:rsidP="005727F0">
            <w:pPr>
              <w:keepNext/>
              <w:ind w:left="-108"/>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r w:rsidRPr="00684DD8">
              <w:rPr>
                <w:rFonts w:ascii="Arial Narrow" w:hAnsi="Arial Narrow"/>
                <w:sz w:val="20"/>
              </w:rPr>
              <w:t xml:space="preserve"> (published)</w:t>
            </w:r>
          </w:p>
          <w:p w:rsidR="005727F0" w:rsidRPr="00684DD8" w:rsidRDefault="005727F0" w:rsidP="005727F0">
            <w:pPr>
              <w:keepNext/>
              <w:ind w:left="-108"/>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r w:rsidRPr="00684DD8">
              <w:rPr>
                <w:rFonts w:ascii="Arial Narrow" w:hAnsi="Arial Narrow"/>
                <w:sz w:val="20"/>
              </w:rPr>
              <w:t xml:space="preserve"> (effective)</w:t>
            </w:r>
          </w:p>
        </w:tc>
        <w:tc>
          <w:tcPr>
            <w:tcW w:w="1105" w:type="pct"/>
            <w:tcBorders>
              <w:top w:val="single" w:sz="4" w:space="0" w:color="auto"/>
            </w:tcBorders>
          </w:tcPr>
          <w:p w:rsidR="005727F0" w:rsidRPr="00684DD8" w:rsidRDefault="005727F0" w:rsidP="005727F0">
            <w:pPr>
              <w:keepNext/>
              <w:rPr>
                <w:rFonts w:ascii="Arial Narrow" w:hAnsi="Arial Narrow"/>
                <w:sz w:val="20"/>
              </w:rPr>
            </w:pPr>
            <w:proofErr w:type="spellStart"/>
            <w:r w:rsidRPr="00684DD8">
              <w:rPr>
                <w:rFonts w:ascii="Arial Narrow" w:hAnsi="Arial Narrow"/>
                <w:sz w:val="20"/>
              </w:rPr>
              <w:t>Blincyto</w:t>
            </w:r>
            <w:proofErr w:type="spellEnd"/>
            <w:r w:rsidRPr="00684DD8">
              <w:rPr>
                <w:rFonts w:ascii="Arial Narrow" w:hAnsi="Arial Narrow"/>
                <w:sz w:val="20"/>
              </w:rPr>
              <w:t xml:space="preserve">          Amgen</w:t>
            </w:r>
          </w:p>
        </w:tc>
      </w:tr>
      <w:tr w:rsidR="00EE1D20" w:rsidRPr="00684DD8" w:rsidTr="005727F0">
        <w:tblPrEx>
          <w:tblCellMar>
            <w:left w:w="108" w:type="dxa"/>
            <w:right w:w="108" w:type="dxa"/>
          </w:tblCellMar>
          <w:tblLook w:val="0000" w:firstRow="0" w:lastRow="0" w:firstColumn="0" w:lastColumn="0" w:noHBand="0" w:noVBand="0"/>
        </w:tblPrEx>
        <w:trPr>
          <w:cantSplit/>
          <w:trHeight w:val="360"/>
        </w:trPr>
        <w:tc>
          <w:tcPr>
            <w:tcW w:w="5000" w:type="pct"/>
            <w:gridSpan w:val="6"/>
            <w:tcBorders>
              <w:bottom w:val="single" w:sz="4" w:space="0" w:color="auto"/>
            </w:tcBorders>
          </w:tcPr>
          <w:p w:rsidR="005727F0" w:rsidRPr="00684DD8" w:rsidRDefault="005727F0" w:rsidP="005727F0">
            <w:pPr>
              <w:rPr>
                <w:rFonts w:ascii="Arial Narrow" w:hAnsi="Arial Narrow"/>
                <w:sz w:val="20"/>
              </w:rPr>
            </w:pPr>
          </w:p>
        </w:tc>
      </w:tr>
      <w:tr w:rsidR="00EE1D20" w:rsidRPr="00684DD8" w:rsidTr="00C70DC6">
        <w:tblPrEx>
          <w:tblCellMar>
            <w:left w:w="108" w:type="dxa"/>
            <w:right w:w="108" w:type="dxa"/>
          </w:tblCellMar>
          <w:tblLook w:val="0000" w:firstRow="0" w:lastRow="0" w:firstColumn="0" w:lastColumn="0" w:noHBand="0" w:noVBand="0"/>
        </w:tblPrEx>
        <w:trPr>
          <w:cantSplit/>
          <w:trHeight w:val="360"/>
        </w:trPr>
        <w:tc>
          <w:tcPr>
            <w:tcW w:w="1439" w:type="pct"/>
            <w:tcBorders>
              <w:top w:val="single" w:sz="4" w:space="0" w:color="auto"/>
              <w:left w:val="single" w:sz="4" w:space="0" w:color="auto"/>
              <w:bottom w:val="single" w:sz="4" w:space="0" w:color="auto"/>
              <w:right w:val="single" w:sz="4" w:space="0" w:color="auto"/>
            </w:tcBorders>
          </w:tcPr>
          <w:p w:rsidR="005727F0" w:rsidRPr="00684DD8" w:rsidRDefault="005727F0" w:rsidP="00C70DC6">
            <w:pPr>
              <w:rPr>
                <w:rFonts w:ascii="Arial Narrow" w:hAnsi="Arial Narrow"/>
                <w:b/>
                <w:sz w:val="20"/>
              </w:rPr>
            </w:pPr>
            <w:r w:rsidRPr="00684DD8">
              <w:rPr>
                <w:rFonts w:ascii="Arial Narrow" w:hAnsi="Arial Narrow"/>
                <w:b/>
                <w:sz w:val="20"/>
              </w:rPr>
              <w:t>Category / Program</w:t>
            </w:r>
          </w:p>
        </w:tc>
        <w:tc>
          <w:tcPr>
            <w:tcW w:w="3561" w:type="pct"/>
            <w:gridSpan w:val="5"/>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t>Section 100 – Highly Specialised Drugs Program</w:t>
            </w:r>
          </w:p>
        </w:tc>
      </w:tr>
      <w:tr w:rsidR="00625125" w:rsidRPr="00684DD8" w:rsidTr="00C70DC6">
        <w:tblPrEx>
          <w:tblCellMar>
            <w:left w:w="108" w:type="dxa"/>
            <w:right w:w="108" w:type="dxa"/>
          </w:tblCellMar>
          <w:tblLook w:val="0000" w:firstRow="0" w:lastRow="0" w:firstColumn="0" w:lastColumn="0" w:noHBand="0" w:noVBand="0"/>
        </w:tblPrEx>
        <w:trPr>
          <w:cantSplit/>
          <w:trHeight w:val="360"/>
        </w:trPr>
        <w:tc>
          <w:tcPr>
            <w:tcW w:w="1439" w:type="pct"/>
            <w:tcBorders>
              <w:top w:val="single" w:sz="4" w:space="0" w:color="auto"/>
              <w:left w:val="single" w:sz="4" w:space="0" w:color="auto"/>
              <w:bottom w:val="single" w:sz="4" w:space="0" w:color="auto"/>
              <w:right w:val="single" w:sz="4" w:space="0" w:color="auto"/>
            </w:tcBorders>
          </w:tcPr>
          <w:p w:rsidR="00625125" w:rsidRPr="00684DD8" w:rsidRDefault="00625125" w:rsidP="00625125">
            <w:pPr>
              <w:rPr>
                <w:rFonts w:ascii="Arial Narrow" w:hAnsi="Arial Narrow"/>
                <w:b/>
                <w:sz w:val="20"/>
              </w:rPr>
            </w:pPr>
            <w:r w:rsidRPr="00684DD8">
              <w:rPr>
                <w:rFonts w:ascii="Arial Narrow" w:hAnsi="Arial Narrow"/>
                <w:b/>
                <w:sz w:val="20"/>
              </w:rPr>
              <w:t>Prescriber type:</w:t>
            </w:r>
          </w:p>
        </w:tc>
        <w:tc>
          <w:tcPr>
            <w:tcW w:w="3561" w:type="pct"/>
            <w:gridSpan w:val="5"/>
            <w:tcBorders>
              <w:top w:val="single" w:sz="4" w:space="0" w:color="auto"/>
              <w:left w:val="single" w:sz="4" w:space="0" w:color="auto"/>
              <w:bottom w:val="single" w:sz="4" w:space="0" w:color="auto"/>
              <w:right w:val="single" w:sz="4" w:space="0" w:color="auto"/>
            </w:tcBorders>
          </w:tcPr>
          <w:p w:rsidR="00625125" w:rsidRPr="00684DD8" w:rsidRDefault="00625125" w:rsidP="00625125">
            <w:pPr>
              <w:rPr>
                <w:rFonts w:ascii="Arial Narrow" w:hAnsi="Arial Narrow"/>
                <w:sz w:val="20"/>
              </w:rPr>
            </w:pPr>
            <w:r w:rsidRPr="00684DD8">
              <w:rPr>
                <w:rFonts w:ascii="Arial Narrow" w:hAnsi="Arial Narrow"/>
                <w:sz w:val="20"/>
              </w:rPr>
              <w:fldChar w:fldCharType="begin">
                <w:ffData>
                  <w:name w:val="Check1"/>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Dental  </w:t>
            </w:r>
            <w:r w:rsidRPr="00684DD8">
              <w:rPr>
                <w:rFonts w:ascii="Arial Narrow" w:hAnsi="Arial Narrow"/>
                <w:sz w:val="20"/>
              </w:rPr>
              <w:fldChar w:fldCharType="begin">
                <w:ffData>
                  <w:name w:val=""/>
                  <w:enabled/>
                  <w:calcOnExit w:val="0"/>
                  <w:checkBox>
                    <w:sizeAuto/>
                    <w:default w:val="1"/>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Medical Practitioners  </w:t>
            </w:r>
            <w:r w:rsidRPr="00684DD8">
              <w:rPr>
                <w:rFonts w:ascii="Arial Narrow" w:hAnsi="Arial Narrow"/>
                <w:sz w:val="20"/>
              </w:rPr>
              <w:fldChar w:fldCharType="begin">
                <w:ffData>
                  <w:name w:val="Check3"/>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Nurse practitioners  </w:t>
            </w:r>
            <w:r w:rsidRPr="00684DD8">
              <w:rPr>
                <w:rFonts w:ascii="Arial Narrow" w:hAnsi="Arial Narrow"/>
                <w:sz w:val="20"/>
              </w:rPr>
              <w:fldChar w:fldCharType="begin">
                <w:ffData>
                  <w:name w:val=""/>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Optometrists</w:t>
            </w:r>
          </w:p>
          <w:p w:rsidR="00625125" w:rsidRPr="00684DD8" w:rsidRDefault="00625125" w:rsidP="00625125">
            <w:pPr>
              <w:rPr>
                <w:rFonts w:ascii="Arial Narrow" w:hAnsi="Arial Narrow"/>
                <w:sz w:val="20"/>
              </w:rPr>
            </w:pPr>
            <w:r w:rsidRPr="00684DD8">
              <w:rPr>
                <w:rFonts w:ascii="Arial Narrow" w:hAnsi="Arial Narrow"/>
                <w:sz w:val="20"/>
              </w:rPr>
              <w:fldChar w:fldCharType="begin">
                <w:ffData>
                  <w:name w:val="Check5"/>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Midwives</w:t>
            </w:r>
          </w:p>
        </w:tc>
      </w:tr>
      <w:tr w:rsidR="00625125" w:rsidRPr="00684DD8" w:rsidTr="00C70DC6">
        <w:tblPrEx>
          <w:tblCellMar>
            <w:left w:w="108" w:type="dxa"/>
            <w:right w:w="108" w:type="dxa"/>
          </w:tblCellMar>
          <w:tblLook w:val="0000" w:firstRow="0" w:lastRow="0" w:firstColumn="0" w:lastColumn="0" w:noHBand="0" w:noVBand="0"/>
        </w:tblPrEx>
        <w:trPr>
          <w:cantSplit/>
          <w:trHeight w:val="360"/>
        </w:trPr>
        <w:tc>
          <w:tcPr>
            <w:tcW w:w="1439" w:type="pct"/>
            <w:tcBorders>
              <w:top w:val="single" w:sz="4" w:space="0" w:color="auto"/>
              <w:left w:val="single" w:sz="4" w:space="0" w:color="auto"/>
              <w:bottom w:val="single" w:sz="4" w:space="0" w:color="auto"/>
              <w:right w:val="single" w:sz="4" w:space="0" w:color="auto"/>
            </w:tcBorders>
          </w:tcPr>
          <w:p w:rsidR="00625125" w:rsidRPr="00684DD8" w:rsidRDefault="00625125" w:rsidP="005727F0">
            <w:pPr>
              <w:rPr>
                <w:rFonts w:ascii="Arial Narrow" w:hAnsi="Arial Narrow"/>
                <w:b/>
                <w:sz w:val="20"/>
              </w:rPr>
            </w:pPr>
            <w:r w:rsidRPr="00684DD8">
              <w:rPr>
                <w:rFonts w:ascii="Arial Narrow" w:hAnsi="Arial Narrow"/>
                <w:b/>
                <w:sz w:val="20"/>
              </w:rPr>
              <w:t>PBS Indication:</w:t>
            </w:r>
          </w:p>
        </w:tc>
        <w:tc>
          <w:tcPr>
            <w:tcW w:w="3561" w:type="pct"/>
            <w:gridSpan w:val="5"/>
            <w:tcBorders>
              <w:top w:val="single" w:sz="4" w:space="0" w:color="auto"/>
              <w:left w:val="single" w:sz="4" w:space="0" w:color="auto"/>
              <w:bottom w:val="single" w:sz="4" w:space="0" w:color="auto"/>
              <w:right w:val="single" w:sz="4" w:space="0" w:color="auto"/>
            </w:tcBorders>
          </w:tcPr>
          <w:p w:rsidR="00625125" w:rsidRPr="00684DD8" w:rsidRDefault="00625125" w:rsidP="005727F0">
            <w:pPr>
              <w:rPr>
                <w:rFonts w:ascii="Arial Narrow" w:hAnsi="Arial Narrow"/>
                <w:sz w:val="20"/>
              </w:rPr>
            </w:pPr>
            <w:r w:rsidRPr="00684DD8">
              <w:rPr>
                <w:rFonts w:ascii="Arial Narrow" w:hAnsi="Arial Narrow"/>
                <w:sz w:val="20"/>
              </w:rPr>
              <w:t>Acute lymphoblastic leukaemia (ALL)</w:t>
            </w:r>
          </w:p>
        </w:tc>
      </w:tr>
      <w:tr w:rsidR="00625125" w:rsidRPr="00684DD8" w:rsidTr="00C70DC6">
        <w:tblPrEx>
          <w:tblCellMar>
            <w:left w:w="108" w:type="dxa"/>
            <w:right w:w="108" w:type="dxa"/>
          </w:tblCellMar>
          <w:tblLook w:val="0000" w:firstRow="0" w:lastRow="0" w:firstColumn="0" w:lastColumn="0" w:noHBand="0" w:noVBand="0"/>
        </w:tblPrEx>
        <w:trPr>
          <w:cantSplit/>
          <w:trHeight w:val="360"/>
        </w:trPr>
        <w:tc>
          <w:tcPr>
            <w:tcW w:w="1439" w:type="pct"/>
            <w:tcBorders>
              <w:top w:val="single" w:sz="4" w:space="0" w:color="auto"/>
              <w:left w:val="single" w:sz="4" w:space="0" w:color="auto"/>
              <w:bottom w:val="single" w:sz="4" w:space="0" w:color="auto"/>
              <w:right w:val="single" w:sz="4" w:space="0" w:color="auto"/>
            </w:tcBorders>
          </w:tcPr>
          <w:p w:rsidR="00625125" w:rsidRPr="00684DD8" w:rsidRDefault="00625125" w:rsidP="005727F0">
            <w:pPr>
              <w:rPr>
                <w:rFonts w:ascii="Arial Narrow" w:hAnsi="Arial Narrow"/>
                <w:b/>
                <w:sz w:val="20"/>
              </w:rPr>
            </w:pPr>
            <w:r w:rsidRPr="00684DD8">
              <w:rPr>
                <w:rFonts w:ascii="Arial Narrow" w:hAnsi="Arial Narrow"/>
                <w:b/>
                <w:sz w:val="20"/>
              </w:rPr>
              <w:t>Treatment phase:</w:t>
            </w:r>
          </w:p>
        </w:tc>
        <w:tc>
          <w:tcPr>
            <w:tcW w:w="3561" w:type="pct"/>
            <w:gridSpan w:val="5"/>
            <w:tcBorders>
              <w:top w:val="single" w:sz="4" w:space="0" w:color="auto"/>
              <w:left w:val="single" w:sz="4" w:space="0" w:color="auto"/>
              <w:bottom w:val="single" w:sz="4" w:space="0" w:color="auto"/>
              <w:right w:val="single" w:sz="4" w:space="0" w:color="auto"/>
            </w:tcBorders>
          </w:tcPr>
          <w:p w:rsidR="00625125" w:rsidRPr="00684DD8" w:rsidRDefault="00625125" w:rsidP="005727F0">
            <w:pPr>
              <w:rPr>
                <w:rFonts w:ascii="Arial Narrow" w:hAnsi="Arial Narrow"/>
                <w:sz w:val="20"/>
              </w:rPr>
            </w:pPr>
            <w:r w:rsidRPr="00684DD8">
              <w:rPr>
                <w:rFonts w:ascii="Arial Narrow" w:hAnsi="Arial Narrow"/>
                <w:sz w:val="20"/>
              </w:rPr>
              <w:t xml:space="preserve">Initial treatment </w:t>
            </w:r>
          </w:p>
        </w:tc>
      </w:tr>
      <w:tr w:rsidR="00625125" w:rsidRPr="00684DD8" w:rsidTr="00C70DC6">
        <w:tblPrEx>
          <w:tblCellMar>
            <w:left w:w="108" w:type="dxa"/>
            <w:right w:w="108" w:type="dxa"/>
          </w:tblCellMar>
          <w:tblLook w:val="0000" w:firstRow="0" w:lastRow="0" w:firstColumn="0" w:lastColumn="0" w:noHBand="0" w:noVBand="0"/>
        </w:tblPrEx>
        <w:trPr>
          <w:trHeight w:val="360"/>
        </w:trPr>
        <w:tc>
          <w:tcPr>
            <w:tcW w:w="1439" w:type="pct"/>
            <w:tcBorders>
              <w:top w:val="single" w:sz="4" w:space="0" w:color="auto"/>
              <w:left w:val="single" w:sz="4" w:space="0" w:color="auto"/>
              <w:bottom w:val="single" w:sz="4" w:space="0" w:color="auto"/>
              <w:right w:val="single" w:sz="4" w:space="0" w:color="auto"/>
            </w:tcBorders>
          </w:tcPr>
          <w:p w:rsidR="00625125" w:rsidRPr="00684DD8" w:rsidRDefault="00625125" w:rsidP="005727F0">
            <w:pPr>
              <w:rPr>
                <w:rFonts w:ascii="Arial Narrow" w:hAnsi="Arial Narrow"/>
                <w:b/>
                <w:sz w:val="20"/>
              </w:rPr>
            </w:pPr>
            <w:r w:rsidRPr="00684DD8">
              <w:rPr>
                <w:rFonts w:ascii="Arial Narrow" w:hAnsi="Arial Narrow"/>
                <w:b/>
                <w:sz w:val="20"/>
              </w:rPr>
              <w:t>Restriction Level / Method:</w:t>
            </w:r>
          </w:p>
        </w:tc>
        <w:tc>
          <w:tcPr>
            <w:tcW w:w="3561" w:type="pct"/>
            <w:gridSpan w:val="5"/>
            <w:tcBorders>
              <w:top w:val="single" w:sz="4" w:space="0" w:color="auto"/>
              <w:left w:val="single" w:sz="4" w:space="0" w:color="auto"/>
              <w:bottom w:val="single" w:sz="4" w:space="0" w:color="auto"/>
              <w:right w:val="single" w:sz="4" w:space="0" w:color="auto"/>
            </w:tcBorders>
          </w:tcPr>
          <w:p w:rsidR="00625125" w:rsidRPr="00684DD8" w:rsidRDefault="00625125" w:rsidP="00C70DC6">
            <w:pPr>
              <w:rPr>
                <w:rFonts w:ascii="Arial Narrow" w:hAnsi="Arial Narrow"/>
                <w:sz w:val="20"/>
              </w:rPr>
            </w:pPr>
            <w:r w:rsidRPr="00684DD8">
              <w:rPr>
                <w:rFonts w:ascii="Arial Narrow" w:hAnsi="Arial Narrow"/>
                <w:sz w:val="20"/>
              </w:rPr>
              <w:fldChar w:fldCharType="begin">
                <w:ffData>
                  <w:name w:val=""/>
                  <w:enabled/>
                  <w:calcOnExit w:val="0"/>
                  <w:checkBox>
                    <w:sizeAuto/>
                    <w:default w:val="1"/>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Authority Required - In Writing</w:t>
            </w:r>
          </w:p>
        </w:tc>
      </w:tr>
      <w:tr w:rsidR="00625125" w:rsidRPr="00684DD8" w:rsidTr="00C70DC6">
        <w:tblPrEx>
          <w:tblCellMar>
            <w:left w:w="108" w:type="dxa"/>
            <w:right w:w="108" w:type="dxa"/>
          </w:tblCellMar>
          <w:tblLook w:val="0000" w:firstRow="0" w:lastRow="0" w:firstColumn="0" w:lastColumn="0" w:noHBand="0" w:noVBand="0"/>
        </w:tblPrEx>
        <w:trPr>
          <w:cantSplit/>
          <w:trHeight w:val="360"/>
        </w:trPr>
        <w:tc>
          <w:tcPr>
            <w:tcW w:w="1439" w:type="pct"/>
            <w:tcBorders>
              <w:top w:val="single" w:sz="4" w:space="0" w:color="auto"/>
              <w:left w:val="single" w:sz="4" w:space="0" w:color="auto"/>
              <w:bottom w:val="single" w:sz="4" w:space="0" w:color="auto"/>
              <w:right w:val="single" w:sz="4" w:space="0" w:color="auto"/>
            </w:tcBorders>
          </w:tcPr>
          <w:p w:rsidR="00625125" w:rsidRPr="00684DD8" w:rsidRDefault="00625125" w:rsidP="005727F0">
            <w:pPr>
              <w:rPr>
                <w:rFonts w:ascii="Arial Narrow" w:hAnsi="Arial Narrow"/>
                <w:b/>
                <w:sz w:val="20"/>
              </w:rPr>
            </w:pPr>
            <w:r w:rsidRPr="00684DD8">
              <w:rPr>
                <w:rFonts w:ascii="Arial Narrow" w:hAnsi="Arial Narrow"/>
                <w:b/>
                <w:sz w:val="20"/>
              </w:rPr>
              <w:lastRenderedPageBreak/>
              <w:t>Clinical criteria:</w:t>
            </w:r>
          </w:p>
        </w:tc>
        <w:tc>
          <w:tcPr>
            <w:tcW w:w="3561" w:type="pct"/>
            <w:gridSpan w:val="5"/>
            <w:tcBorders>
              <w:top w:val="single" w:sz="4" w:space="0" w:color="auto"/>
              <w:left w:val="single" w:sz="4" w:space="0" w:color="auto"/>
              <w:bottom w:val="single" w:sz="4" w:space="0" w:color="auto"/>
              <w:right w:val="single" w:sz="4" w:space="0" w:color="auto"/>
            </w:tcBorders>
          </w:tcPr>
          <w:p w:rsidR="00625125" w:rsidRPr="00684DD8" w:rsidRDefault="00625125" w:rsidP="005727F0">
            <w:pPr>
              <w:rPr>
                <w:rFonts w:ascii="Arial Narrow" w:hAnsi="Arial Narrow"/>
                <w:sz w:val="20"/>
              </w:rPr>
            </w:pPr>
            <w:r w:rsidRPr="00684DD8">
              <w:rPr>
                <w:rFonts w:ascii="Arial Narrow" w:hAnsi="Arial Narrow"/>
                <w:sz w:val="20"/>
              </w:rPr>
              <w:t xml:space="preserve">Patient must have relapsed or refractory B-precursor ALL; </w:t>
            </w:r>
          </w:p>
          <w:p w:rsidR="00625125" w:rsidRPr="00684DD8" w:rsidRDefault="00625125" w:rsidP="005727F0">
            <w:pPr>
              <w:rPr>
                <w:rFonts w:ascii="Arial Narrow" w:hAnsi="Arial Narrow"/>
                <w:sz w:val="20"/>
              </w:rPr>
            </w:pPr>
          </w:p>
          <w:p w:rsidR="00625125" w:rsidRPr="00684DD8" w:rsidRDefault="00625125" w:rsidP="005727F0">
            <w:pPr>
              <w:rPr>
                <w:rFonts w:ascii="Arial Narrow" w:hAnsi="Arial Narrow"/>
                <w:sz w:val="20"/>
              </w:rPr>
            </w:pPr>
            <w:r w:rsidRPr="00684DD8">
              <w:rPr>
                <w:rFonts w:ascii="Arial Narrow" w:hAnsi="Arial Narrow"/>
                <w:sz w:val="20"/>
              </w:rPr>
              <w:t>AND</w:t>
            </w:r>
          </w:p>
          <w:p w:rsidR="00625125" w:rsidRPr="00684DD8" w:rsidRDefault="00625125" w:rsidP="005727F0">
            <w:pPr>
              <w:rPr>
                <w:rFonts w:ascii="Arial Narrow" w:hAnsi="Arial Narrow"/>
                <w:sz w:val="20"/>
              </w:rPr>
            </w:pPr>
          </w:p>
          <w:p w:rsidR="00625125" w:rsidRPr="00684DD8" w:rsidRDefault="00625125" w:rsidP="005727F0">
            <w:pPr>
              <w:rPr>
                <w:rFonts w:ascii="Arial Narrow" w:hAnsi="Arial Narrow"/>
                <w:strike/>
                <w:sz w:val="20"/>
              </w:rPr>
            </w:pPr>
            <w:r w:rsidRPr="00684DD8">
              <w:rPr>
                <w:rFonts w:ascii="Arial Narrow" w:hAnsi="Arial Narrow"/>
                <w:strike/>
                <w:sz w:val="20"/>
              </w:rPr>
              <w:t>Patient must be an adult;</w:t>
            </w:r>
          </w:p>
          <w:p w:rsidR="00625125" w:rsidRPr="00684DD8" w:rsidRDefault="00625125" w:rsidP="005727F0">
            <w:pPr>
              <w:rPr>
                <w:rFonts w:ascii="Arial Narrow" w:hAnsi="Arial Narrow"/>
                <w:strike/>
                <w:sz w:val="20"/>
              </w:rPr>
            </w:pPr>
          </w:p>
          <w:p w:rsidR="00625125" w:rsidRPr="00684DD8" w:rsidRDefault="00625125" w:rsidP="005727F0">
            <w:pPr>
              <w:rPr>
                <w:rFonts w:ascii="Arial Narrow" w:hAnsi="Arial Narrow"/>
                <w:sz w:val="20"/>
              </w:rPr>
            </w:pPr>
            <w:r w:rsidRPr="00684DD8">
              <w:rPr>
                <w:rFonts w:ascii="Arial Narrow" w:hAnsi="Arial Narrow"/>
                <w:sz w:val="20"/>
              </w:rPr>
              <w:t>AND</w:t>
            </w:r>
          </w:p>
          <w:p w:rsidR="00625125" w:rsidRPr="00684DD8" w:rsidRDefault="00625125" w:rsidP="005727F0">
            <w:pPr>
              <w:rPr>
                <w:rFonts w:ascii="Arial Narrow" w:hAnsi="Arial Narrow"/>
                <w:sz w:val="20"/>
              </w:rPr>
            </w:pPr>
          </w:p>
          <w:p w:rsidR="00625125" w:rsidRPr="00684DD8" w:rsidRDefault="00625125" w:rsidP="005727F0">
            <w:pPr>
              <w:rPr>
                <w:rFonts w:ascii="Arial Narrow" w:hAnsi="Arial Narrow"/>
                <w:i/>
                <w:sz w:val="20"/>
              </w:rPr>
            </w:pPr>
            <w:r w:rsidRPr="00684DD8">
              <w:rPr>
                <w:rFonts w:ascii="Arial Narrow" w:hAnsi="Arial Narrow"/>
                <w:strike/>
                <w:sz w:val="20"/>
              </w:rPr>
              <w:t xml:space="preserve">Patient must be </w:t>
            </w:r>
            <w:r w:rsidRPr="00684DD8">
              <w:rPr>
                <w:rFonts w:ascii="Arial Narrow" w:hAnsi="Arial Narrow"/>
                <w:i/>
                <w:sz w:val="20"/>
              </w:rPr>
              <w:t xml:space="preserve">The condition must be Philadelphia </w:t>
            </w:r>
            <w:r w:rsidR="003E2033">
              <w:rPr>
                <w:rFonts w:ascii="Arial Narrow" w:hAnsi="Arial Narrow"/>
                <w:i/>
                <w:sz w:val="20"/>
              </w:rPr>
              <w:t xml:space="preserve">chromosome </w:t>
            </w:r>
            <w:r w:rsidRPr="00684DD8">
              <w:rPr>
                <w:rFonts w:ascii="Arial Narrow" w:hAnsi="Arial Narrow"/>
                <w:i/>
                <w:sz w:val="20"/>
              </w:rPr>
              <w:t xml:space="preserve">negative; </w:t>
            </w:r>
          </w:p>
          <w:p w:rsidR="00625125" w:rsidRPr="00684DD8" w:rsidRDefault="00625125" w:rsidP="005727F0">
            <w:pPr>
              <w:rPr>
                <w:rFonts w:ascii="Arial Narrow" w:hAnsi="Arial Narrow"/>
                <w:i/>
                <w:sz w:val="20"/>
              </w:rPr>
            </w:pPr>
          </w:p>
          <w:p w:rsidR="00625125" w:rsidRPr="00684DD8" w:rsidRDefault="00625125" w:rsidP="005727F0">
            <w:pPr>
              <w:rPr>
                <w:rFonts w:ascii="Arial Narrow" w:hAnsi="Arial Narrow"/>
                <w:sz w:val="20"/>
              </w:rPr>
            </w:pPr>
            <w:r w:rsidRPr="00684DD8">
              <w:rPr>
                <w:rFonts w:ascii="Arial Narrow" w:hAnsi="Arial Narrow"/>
                <w:sz w:val="20"/>
              </w:rPr>
              <w:t xml:space="preserve">AND </w:t>
            </w:r>
          </w:p>
          <w:p w:rsidR="00625125" w:rsidRPr="00684DD8" w:rsidRDefault="00625125" w:rsidP="005727F0">
            <w:pPr>
              <w:rPr>
                <w:rFonts w:ascii="Arial Narrow" w:hAnsi="Arial Narrow"/>
                <w:sz w:val="20"/>
              </w:rPr>
            </w:pPr>
          </w:p>
          <w:p w:rsidR="00625125" w:rsidRPr="00684DD8" w:rsidRDefault="00625125" w:rsidP="005727F0">
            <w:pPr>
              <w:rPr>
                <w:rFonts w:ascii="Arial Narrow" w:hAnsi="Arial Narrow"/>
                <w:sz w:val="20"/>
              </w:rPr>
            </w:pPr>
            <w:r w:rsidRPr="00684DD8">
              <w:rPr>
                <w:rFonts w:ascii="Arial Narrow" w:hAnsi="Arial Narrow"/>
                <w:sz w:val="20"/>
              </w:rPr>
              <w:t xml:space="preserve">Patient </w:t>
            </w:r>
            <w:r w:rsidRPr="00684DD8">
              <w:rPr>
                <w:rFonts w:ascii="Arial Narrow" w:hAnsi="Arial Narrow"/>
                <w:strike/>
                <w:sz w:val="20"/>
              </w:rPr>
              <w:t>has</w:t>
            </w:r>
            <w:r w:rsidRPr="00684DD8">
              <w:rPr>
                <w:rFonts w:ascii="Arial Narrow" w:hAnsi="Arial Narrow"/>
                <w:sz w:val="20"/>
              </w:rPr>
              <w:t xml:space="preserve"> </w:t>
            </w:r>
            <w:r w:rsidRPr="00684DD8">
              <w:rPr>
                <w:rFonts w:ascii="Arial Narrow" w:hAnsi="Arial Narrow"/>
                <w:i/>
                <w:sz w:val="20"/>
              </w:rPr>
              <w:t xml:space="preserve">must have an </w:t>
            </w:r>
            <w:r w:rsidRPr="00684DD8">
              <w:rPr>
                <w:rFonts w:ascii="Arial Narrow" w:hAnsi="Arial Narrow"/>
                <w:sz w:val="20"/>
              </w:rPr>
              <w:t xml:space="preserve">Eastern Cooperative Oncology Group (ECOG) performance status of ≤ 2; </w:t>
            </w:r>
          </w:p>
          <w:p w:rsidR="00625125" w:rsidRPr="00684DD8" w:rsidRDefault="00625125" w:rsidP="005727F0">
            <w:pPr>
              <w:rPr>
                <w:rFonts w:ascii="Arial Narrow" w:hAnsi="Arial Narrow"/>
                <w:sz w:val="20"/>
              </w:rPr>
            </w:pPr>
          </w:p>
          <w:p w:rsidR="00625125" w:rsidRPr="00684DD8" w:rsidRDefault="00625125" w:rsidP="005727F0">
            <w:pPr>
              <w:rPr>
                <w:rFonts w:ascii="Arial Narrow" w:hAnsi="Arial Narrow"/>
                <w:sz w:val="20"/>
              </w:rPr>
            </w:pPr>
            <w:r w:rsidRPr="00684DD8">
              <w:rPr>
                <w:rFonts w:ascii="Arial Narrow" w:hAnsi="Arial Narrow"/>
                <w:sz w:val="20"/>
              </w:rPr>
              <w:t xml:space="preserve">AND </w:t>
            </w:r>
          </w:p>
          <w:p w:rsidR="00625125" w:rsidRPr="00684DD8" w:rsidRDefault="00625125" w:rsidP="005727F0">
            <w:pPr>
              <w:rPr>
                <w:rFonts w:ascii="Arial Narrow" w:hAnsi="Arial Narrow"/>
                <w:sz w:val="20"/>
              </w:rPr>
            </w:pPr>
          </w:p>
          <w:p w:rsidR="00625125" w:rsidRPr="00684DD8" w:rsidRDefault="00625125" w:rsidP="005727F0">
            <w:pPr>
              <w:rPr>
                <w:rFonts w:ascii="Arial Narrow" w:hAnsi="Arial Narrow"/>
                <w:i/>
                <w:sz w:val="20"/>
              </w:rPr>
            </w:pPr>
            <w:r w:rsidRPr="00684DD8">
              <w:rPr>
                <w:rFonts w:ascii="Arial Narrow" w:hAnsi="Arial Narrow"/>
                <w:i/>
                <w:sz w:val="20"/>
              </w:rPr>
              <w:t xml:space="preserve">Patient must have received an initial nine days of therapy in this treatment cycle as a hospital inpatient; </w:t>
            </w:r>
          </w:p>
          <w:p w:rsidR="00625125" w:rsidRPr="00684DD8" w:rsidRDefault="00625125" w:rsidP="005727F0">
            <w:pPr>
              <w:rPr>
                <w:rFonts w:ascii="Arial Narrow" w:hAnsi="Arial Narrow"/>
                <w:i/>
                <w:sz w:val="20"/>
              </w:rPr>
            </w:pPr>
          </w:p>
          <w:p w:rsidR="00625125" w:rsidRPr="00684DD8" w:rsidRDefault="00625125" w:rsidP="005727F0">
            <w:pPr>
              <w:rPr>
                <w:rFonts w:ascii="Arial Narrow" w:hAnsi="Arial Narrow"/>
                <w:i/>
                <w:sz w:val="20"/>
              </w:rPr>
            </w:pPr>
            <w:r w:rsidRPr="00684DD8">
              <w:rPr>
                <w:rFonts w:ascii="Arial Narrow" w:hAnsi="Arial Narrow"/>
                <w:i/>
                <w:sz w:val="20"/>
              </w:rPr>
              <w:t xml:space="preserve">AND </w:t>
            </w:r>
          </w:p>
          <w:p w:rsidR="00625125" w:rsidRPr="00684DD8" w:rsidRDefault="00625125" w:rsidP="005727F0">
            <w:pPr>
              <w:rPr>
                <w:rFonts w:ascii="Arial Narrow" w:hAnsi="Arial Narrow"/>
                <w:sz w:val="20"/>
              </w:rPr>
            </w:pPr>
          </w:p>
          <w:p w:rsidR="00625125" w:rsidRPr="00684DD8" w:rsidRDefault="00625125" w:rsidP="005727F0">
            <w:pPr>
              <w:rPr>
                <w:rFonts w:ascii="Arial Narrow" w:hAnsi="Arial Narrow"/>
                <w:sz w:val="20"/>
              </w:rPr>
            </w:pPr>
            <w:r w:rsidRPr="00684DD8">
              <w:rPr>
                <w:rFonts w:ascii="Arial Narrow" w:hAnsi="Arial Narrow"/>
                <w:i/>
                <w:sz w:val="20"/>
              </w:rPr>
              <w:t xml:space="preserve">Patient must have </w:t>
            </w:r>
            <w:r w:rsidRPr="00684DD8">
              <w:rPr>
                <w:rFonts w:ascii="Arial Narrow" w:hAnsi="Arial Narrow"/>
                <w:sz w:val="20"/>
              </w:rPr>
              <w:t xml:space="preserve">received intensive combination chemotherapy for the treatment of ALL for initial treatment or subsequent salvage therapy; </w:t>
            </w:r>
          </w:p>
          <w:p w:rsidR="00625125" w:rsidRPr="00684DD8" w:rsidRDefault="00625125" w:rsidP="005727F0">
            <w:pPr>
              <w:rPr>
                <w:rFonts w:ascii="Arial Narrow" w:hAnsi="Arial Narrow"/>
                <w:sz w:val="20"/>
              </w:rPr>
            </w:pPr>
          </w:p>
          <w:p w:rsidR="00625125" w:rsidRPr="00684DD8" w:rsidRDefault="00625125" w:rsidP="005727F0">
            <w:pPr>
              <w:rPr>
                <w:rFonts w:ascii="Arial Narrow" w:hAnsi="Arial Narrow"/>
                <w:sz w:val="20"/>
              </w:rPr>
            </w:pPr>
            <w:r w:rsidRPr="00684DD8">
              <w:rPr>
                <w:rFonts w:ascii="Arial Narrow" w:hAnsi="Arial Narrow"/>
                <w:sz w:val="20"/>
              </w:rPr>
              <w:t xml:space="preserve">AND </w:t>
            </w:r>
          </w:p>
          <w:p w:rsidR="00625125" w:rsidRPr="00684DD8" w:rsidRDefault="00625125" w:rsidP="005727F0">
            <w:pPr>
              <w:rPr>
                <w:rFonts w:ascii="Arial Narrow" w:hAnsi="Arial Narrow"/>
                <w:sz w:val="20"/>
              </w:rPr>
            </w:pPr>
          </w:p>
          <w:p w:rsidR="00625125" w:rsidRPr="00684DD8" w:rsidRDefault="00625125" w:rsidP="005727F0">
            <w:pPr>
              <w:rPr>
                <w:rFonts w:ascii="Arial Narrow" w:hAnsi="Arial Narrow"/>
                <w:sz w:val="20"/>
              </w:rPr>
            </w:pPr>
            <w:r w:rsidRPr="00684DD8">
              <w:rPr>
                <w:rFonts w:ascii="Arial Narrow" w:hAnsi="Arial Narrow"/>
                <w:sz w:val="20"/>
              </w:rPr>
              <w:t xml:space="preserve">Patient </w:t>
            </w:r>
            <w:r w:rsidRPr="00684DD8">
              <w:rPr>
                <w:rFonts w:ascii="Arial Narrow" w:hAnsi="Arial Narrow"/>
                <w:strike/>
                <w:sz w:val="20"/>
              </w:rPr>
              <w:t>does</w:t>
            </w:r>
            <w:r w:rsidRPr="00684DD8">
              <w:rPr>
                <w:rFonts w:ascii="Arial Narrow" w:hAnsi="Arial Narrow"/>
                <w:sz w:val="20"/>
              </w:rPr>
              <w:t xml:space="preserve"> </w:t>
            </w:r>
            <w:r w:rsidRPr="00684DD8">
              <w:rPr>
                <w:rFonts w:ascii="Arial Narrow" w:hAnsi="Arial Narrow"/>
                <w:i/>
                <w:sz w:val="20"/>
              </w:rPr>
              <w:t xml:space="preserve">must </w:t>
            </w:r>
            <w:r w:rsidRPr="00684DD8">
              <w:rPr>
                <w:rFonts w:ascii="Arial Narrow" w:hAnsi="Arial Narrow"/>
                <w:sz w:val="20"/>
              </w:rPr>
              <w:t xml:space="preserve">not have presence of active disease in the CNS or testis. </w:t>
            </w:r>
          </w:p>
        </w:tc>
      </w:tr>
    </w:tbl>
    <w:p w:rsidR="005727F0" w:rsidRPr="00684DD8" w:rsidRDefault="005727F0" w:rsidP="00180B6D">
      <w:pPr>
        <w:rPr>
          <w:szCs w:val="22"/>
        </w:rPr>
      </w:pPr>
    </w:p>
    <w:p w:rsidR="005727F0" w:rsidRPr="00684DD8" w:rsidRDefault="005727F0" w:rsidP="005727F0">
      <w:pPr>
        <w:ind w:firstLine="720"/>
        <w:rPr>
          <w:b/>
          <w:i/>
          <w:u w:val="single"/>
        </w:rPr>
      </w:pPr>
      <w:r w:rsidRPr="00684DD8">
        <w:rPr>
          <w:b/>
          <w:i/>
          <w:u w:val="single"/>
        </w:rPr>
        <w:t>First continuation</w:t>
      </w:r>
    </w:p>
    <w:p w:rsidR="00EE1D20" w:rsidRPr="00684DD8" w:rsidRDefault="00EE1D20" w:rsidP="00C70DC6"/>
    <w:tbl>
      <w:tblPr>
        <w:tblW w:w="8505" w:type="dxa"/>
        <w:tblInd w:w="817" w:type="dxa"/>
        <w:tblLayout w:type="fixed"/>
        <w:tblLook w:val="0000" w:firstRow="0" w:lastRow="0" w:firstColumn="0" w:lastColumn="0" w:noHBand="0" w:noVBand="0"/>
      </w:tblPr>
      <w:tblGrid>
        <w:gridCol w:w="2410"/>
        <w:gridCol w:w="425"/>
        <w:gridCol w:w="851"/>
        <w:gridCol w:w="567"/>
        <w:gridCol w:w="1842"/>
        <w:gridCol w:w="1134"/>
        <w:gridCol w:w="1276"/>
      </w:tblGrid>
      <w:tr w:rsidR="005727F0" w:rsidRPr="00684DD8" w:rsidTr="00180B6D">
        <w:trPr>
          <w:cantSplit/>
          <w:trHeight w:val="471"/>
        </w:trPr>
        <w:tc>
          <w:tcPr>
            <w:tcW w:w="2835" w:type="dxa"/>
            <w:gridSpan w:val="2"/>
            <w:tcBorders>
              <w:bottom w:val="single" w:sz="4" w:space="0" w:color="auto"/>
            </w:tcBorders>
          </w:tcPr>
          <w:p w:rsidR="005727F0" w:rsidRPr="00684DD8" w:rsidRDefault="005727F0" w:rsidP="005727F0">
            <w:pPr>
              <w:keepNext/>
              <w:ind w:left="-108"/>
              <w:rPr>
                <w:rFonts w:ascii="Arial Narrow" w:hAnsi="Arial Narrow"/>
                <w:sz w:val="20"/>
              </w:rPr>
            </w:pPr>
            <w:r w:rsidRPr="00684DD8">
              <w:rPr>
                <w:rFonts w:ascii="Arial Narrow" w:hAnsi="Arial Narrow"/>
                <w:sz w:val="20"/>
              </w:rPr>
              <w:t>Name, Restriction,</w:t>
            </w:r>
          </w:p>
          <w:p w:rsidR="005727F0" w:rsidRPr="00684DD8" w:rsidRDefault="005727F0" w:rsidP="005727F0">
            <w:pPr>
              <w:keepNext/>
              <w:ind w:left="-108"/>
              <w:rPr>
                <w:rFonts w:ascii="Arial Narrow" w:hAnsi="Arial Narrow"/>
                <w:sz w:val="20"/>
              </w:rPr>
            </w:pPr>
            <w:r w:rsidRPr="00684DD8">
              <w:rPr>
                <w:rFonts w:ascii="Arial Narrow" w:hAnsi="Arial Narrow"/>
                <w:sz w:val="20"/>
              </w:rPr>
              <w:t>Manner of administration and form</w:t>
            </w:r>
          </w:p>
        </w:tc>
        <w:tc>
          <w:tcPr>
            <w:tcW w:w="851" w:type="dxa"/>
            <w:tcBorders>
              <w:bottom w:val="single" w:sz="4" w:space="0" w:color="auto"/>
            </w:tcBorders>
          </w:tcPr>
          <w:p w:rsidR="005727F0" w:rsidRPr="00684DD8" w:rsidRDefault="005727F0" w:rsidP="005727F0">
            <w:pPr>
              <w:keepNext/>
              <w:ind w:left="-108"/>
              <w:rPr>
                <w:rFonts w:ascii="Arial Narrow" w:hAnsi="Arial Narrow"/>
                <w:sz w:val="20"/>
              </w:rPr>
            </w:pPr>
            <w:r w:rsidRPr="00684DD8">
              <w:rPr>
                <w:rFonts w:ascii="Arial Narrow" w:hAnsi="Arial Narrow"/>
                <w:sz w:val="20"/>
              </w:rPr>
              <w:t>Max.</w:t>
            </w:r>
          </w:p>
          <w:p w:rsidR="005727F0" w:rsidRPr="00684DD8" w:rsidRDefault="005727F0" w:rsidP="005727F0">
            <w:pPr>
              <w:keepNext/>
              <w:ind w:left="-108"/>
              <w:rPr>
                <w:rFonts w:ascii="Arial Narrow" w:hAnsi="Arial Narrow"/>
                <w:sz w:val="20"/>
              </w:rPr>
            </w:pPr>
            <w:proofErr w:type="spellStart"/>
            <w:r w:rsidRPr="00684DD8">
              <w:rPr>
                <w:rFonts w:ascii="Arial Narrow" w:hAnsi="Arial Narrow"/>
                <w:sz w:val="20"/>
              </w:rPr>
              <w:t>Qty</w:t>
            </w:r>
            <w:proofErr w:type="spellEnd"/>
          </w:p>
        </w:tc>
        <w:tc>
          <w:tcPr>
            <w:tcW w:w="567" w:type="dxa"/>
            <w:tcBorders>
              <w:bottom w:val="single" w:sz="4" w:space="0" w:color="auto"/>
            </w:tcBorders>
          </w:tcPr>
          <w:p w:rsidR="005727F0" w:rsidRPr="00684DD8" w:rsidRDefault="005727F0" w:rsidP="005727F0">
            <w:pPr>
              <w:keepNext/>
              <w:ind w:left="-108"/>
              <w:rPr>
                <w:rFonts w:ascii="Arial Narrow" w:hAnsi="Arial Narrow"/>
                <w:sz w:val="20"/>
              </w:rPr>
            </w:pPr>
            <w:r w:rsidRPr="00684DD8">
              <w:rPr>
                <w:rFonts w:ascii="Arial Narrow" w:hAnsi="Arial Narrow"/>
                <w:sz w:val="20"/>
              </w:rPr>
              <w:t>№.of</w:t>
            </w:r>
          </w:p>
          <w:p w:rsidR="005727F0" w:rsidRPr="00684DD8" w:rsidRDefault="005727F0" w:rsidP="005727F0">
            <w:pPr>
              <w:keepNext/>
              <w:ind w:left="-108"/>
              <w:rPr>
                <w:rFonts w:ascii="Arial Narrow" w:hAnsi="Arial Narrow"/>
                <w:sz w:val="20"/>
              </w:rPr>
            </w:pPr>
            <w:proofErr w:type="spellStart"/>
            <w:r w:rsidRPr="00684DD8">
              <w:rPr>
                <w:rFonts w:ascii="Arial Narrow" w:hAnsi="Arial Narrow"/>
                <w:sz w:val="20"/>
              </w:rPr>
              <w:t>Rpts</w:t>
            </w:r>
            <w:proofErr w:type="spellEnd"/>
          </w:p>
        </w:tc>
        <w:tc>
          <w:tcPr>
            <w:tcW w:w="1842" w:type="dxa"/>
            <w:tcBorders>
              <w:bottom w:val="single" w:sz="4" w:space="0" w:color="auto"/>
            </w:tcBorders>
          </w:tcPr>
          <w:p w:rsidR="005727F0" w:rsidRPr="00684DD8" w:rsidRDefault="005727F0" w:rsidP="00180B6D">
            <w:pPr>
              <w:keepNext/>
              <w:ind w:left="-108"/>
              <w:jc w:val="left"/>
              <w:rPr>
                <w:rFonts w:ascii="Arial Narrow" w:hAnsi="Arial Narrow"/>
                <w:sz w:val="20"/>
              </w:rPr>
            </w:pPr>
            <w:r w:rsidRPr="00684DD8">
              <w:rPr>
                <w:rFonts w:ascii="Arial Narrow" w:hAnsi="Arial Narrow"/>
                <w:sz w:val="20"/>
              </w:rPr>
              <w:t xml:space="preserve">Dispensed Price for Max. </w:t>
            </w:r>
            <w:proofErr w:type="spellStart"/>
            <w:r w:rsidRPr="00684DD8">
              <w:rPr>
                <w:rFonts w:ascii="Arial Narrow" w:hAnsi="Arial Narrow"/>
                <w:sz w:val="20"/>
              </w:rPr>
              <w:t>Qty</w:t>
            </w:r>
            <w:proofErr w:type="spellEnd"/>
          </w:p>
        </w:tc>
        <w:tc>
          <w:tcPr>
            <w:tcW w:w="2410" w:type="dxa"/>
            <w:gridSpan w:val="2"/>
            <w:tcBorders>
              <w:bottom w:val="single" w:sz="4" w:space="0" w:color="auto"/>
            </w:tcBorders>
          </w:tcPr>
          <w:p w:rsidR="005727F0" w:rsidRPr="00684DD8" w:rsidRDefault="005727F0" w:rsidP="00180B6D">
            <w:pPr>
              <w:keepNext/>
              <w:jc w:val="left"/>
              <w:rPr>
                <w:rFonts w:ascii="Arial Narrow" w:hAnsi="Arial Narrow"/>
                <w:sz w:val="20"/>
              </w:rPr>
            </w:pPr>
            <w:r w:rsidRPr="00684DD8">
              <w:rPr>
                <w:rFonts w:ascii="Arial Narrow" w:hAnsi="Arial Narrow"/>
                <w:sz w:val="20"/>
              </w:rPr>
              <w:t>Proprietary Name and Manufacturer</w:t>
            </w:r>
          </w:p>
        </w:tc>
      </w:tr>
      <w:tr w:rsidR="005727F0" w:rsidRPr="00684DD8" w:rsidTr="00180B6D">
        <w:trPr>
          <w:cantSplit/>
          <w:trHeight w:val="577"/>
        </w:trPr>
        <w:tc>
          <w:tcPr>
            <w:tcW w:w="2835" w:type="dxa"/>
            <w:gridSpan w:val="2"/>
          </w:tcPr>
          <w:p w:rsidR="005727F0" w:rsidRPr="00684DD8" w:rsidRDefault="005727F0" w:rsidP="005727F0">
            <w:pPr>
              <w:keepNext/>
              <w:ind w:left="-108"/>
              <w:rPr>
                <w:rFonts w:ascii="Arial Narrow" w:hAnsi="Arial Narrow"/>
                <w:sz w:val="20"/>
              </w:rPr>
            </w:pPr>
            <w:r w:rsidRPr="00684DD8">
              <w:rPr>
                <w:rFonts w:ascii="Arial Narrow" w:hAnsi="Arial Narrow"/>
                <w:smallCaps/>
                <w:sz w:val="20"/>
              </w:rPr>
              <w:t>BLINATUMOMAB</w:t>
            </w:r>
          </w:p>
          <w:p w:rsidR="005727F0" w:rsidRPr="00684DD8" w:rsidRDefault="005727F0" w:rsidP="005727F0">
            <w:pPr>
              <w:keepNext/>
              <w:ind w:left="-108"/>
              <w:rPr>
                <w:rFonts w:ascii="Arial Narrow" w:hAnsi="Arial Narrow"/>
                <w:sz w:val="20"/>
              </w:rPr>
            </w:pPr>
            <w:r w:rsidRPr="00684DD8">
              <w:rPr>
                <w:rFonts w:ascii="Arial Narrow" w:hAnsi="Arial Narrow"/>
                <w:sz w:val="20"/>
              </w:rPr>
              <w:t>Powder for injection 38.5 microgram with intravenous solution stabiliser</w:t>
            </w:r>
          </w:p>
        </w:tc>
        <w:tc>
          <w:tcPr>
            <w:tcW w:w="851" w:type="dxa"/>
          </w:tcPr>
          <w:p w:rsidR="005727F0" w:rsidRPr="00684DD8" w:rsidRDefault="005727F0" w:rsidP="005727F0">
            <w:pPr>
              <w:keepNext/>
              <w:ind w:left="-108"/>
              <w:rPr>
                <w:rFonts w:ascii="Arial Narrow" w:hAnsi="Arial Narrow"/>
                <w:sz w:val="20"/>
              </w:rPr>
            </w:pPr>
          </w:p>
          <w:p w:rsidR="005727F0" w:rsidRPr="00684DD8" w:rsidRDefault="005727F0" w:rsidP="005727F0">
            <w:pPr>
              <w:keepNext/>
              <w:ind w:left="-108"/>
              <w:rPr>
                <w:rFonts w:ascii="Arial Narrow" w:hAnsi="Arial Narrow"/>
                <w:strike/>
                <w:sz w:val="20"/>
              </w:rPr>
            </w:pPr>
            <w:r w:rsidRPr="00684DD8">
              <w:rPr>
                <w:rFonts w:ascii="Arial Narrow" w:hAnsi="Arial Narrow"/>
                <w:strike/>
                <w:sz w:val="20"/>
              </w:rPr>
              <w:t>Up to 28</w:t>
            </w:r>
          </w:p>
          <w:p w:rsidR="005727F0" w:rsidRPr="00684DD8" w:rsidRDefault="005727F0" w:rsidP="005727F0">
            <w:pPr>
              <w:keepNext/>
              <w:ind w:left="-108"/>
              <w:rPr>
                <w:rFonts w:ascii="Arial Narrow" w:hAnsi="Arial Narrow"/>
                <w:sz w:val="20"/>
              </w:rPr>
            </w:pPr>
            <w:r w:rsidRPr="00684DD8">
              <w:rPr>
                <w:rFonts w:ascii="Arial Narrow" w:hAnsi="Arial Narrow"/>
                <w:sz w:val="20"/>
              </w:rPr>
              <w:t>1</w:t>
            </w:r>
          </w:p>
        </w:tc>
        <w:tc>
          <w:tcPr>
            <w:tcW w:w="567" w:type="dxa"/>
          </w:tcPr>
          <w:p w:rsidR="005727F0" w:rsidRPr="00684DD8" w:rsidRDefault="005727F0" w:rsidP="005727F0">
            <w:pPr>
              <w:keepNext/>
              <w:ind w:left="-108"/>
              <w:rPr>
                <w:rFonts w:ascii="Arial Narrow" w:hAnsi="Arial Narrow"/>
                <w:sz w:val="20"/>
              </w:rPr>
            </w:pPr>
          </w:p>
          <w:p w:rsidR="005727F0" w:rsidRPr="00684DD8" w:rsidRDefault="005727F0" w:rsidP="005727F0">
            <w:pPr>
              <w:keepNext/>
              <w:ind w:left="-108"/>
              <w:rPr>
                <w:rFonts w:ascii="Arial Narrow" w:hAnsi="Arial Narrow"/>
                <w:strike/>
                <w:sz w:val="20"/>
              </w:rPr>
            </w:pPr>
            <w:r w:rsidRPr="00684DD8">
              <w:rPr>
                <w:rFonts w:ascii="Arial Narrow" w:hAnsi="Arial Narrow"/>
                <w:strike/>
                <w:sz w:val="20"/>
              </w:rPr>
              <w:t>0</w:t>
            </w:r>
          </w:p>
          <w:p w:rsidR="005727F0" w:rsidRPr="00684DD8" w:rsidRDefault="005727F0" w:rsidP="005727F0">
            <w:pPr>
              <w:keepNext/>
              <w:ind w:left="-108"/>
              <w:rPr>
                <w:rFonts w:ascii="Arial Narrow" w:hAnsi="Arial Narrow"/>
                <w:sz w:val="20"/>
              </w:rPr>
            </w:pPr>
            <w:r w:rsidRPr="00684DD8">
              <w:rPr>
                <w:rFonts w:ascii="Arial Narrow" w:hAnsi="Arial Narrow"/>
                <w:sz w:val="20"/>
              </w:rPr>
              <w:t>26</w:t>
            </w:r>
          </w:p>
        </w:tc>
        <w:tc>
          <w:tcPr>
            <w:tcW w:w="1842" w:type="dxa"/>
          </w:tcPr>
          <w:p w:rsidR="005727F0" w:rsidRPr="00684DD8" w:rsidRDefault="005727F0" w:rsidP="005727F0">
            <w:pPr>
              <w:keepNext/>
              <w:ind w:left="-108"/>
              <w:rPr>
                <w:rFonts w:ascii="Arial Narrow" w:hAnsi="Arial Narrow"/>
                <w:sz w:val="20"/>
              </w:rPr>
            </w:pPr>
          </w:p>
          <w:p w:rsidR="005727F0" w:rsidRPr="00684DD8" w:rsidRDefault="005727F0" w:rsidP="005727F0">
            <w:pPr>
              <w:keepNext/>
              <w:ind w:left="-108"/>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r w:rsidRPr="00684DD8">
              <w:rPr>
                <w:rFonts w:ascii="Arial Narrow" w:hAnsi="Arial Narrow"/>
                <w:sz w:val="20"/>
              </w:rPr>
              <w:t xml:space="preserve"> (published)</w:t>
            </w:r>
          </w:p>
          <w:p w:rsidR="005727F0" w:rsidRPr="00684DD8" w:rsidRDefault="005727F0" w:rsidP="005727F0">
            <w:pPr>
              <w:keepNext/>
              <w:ind w:left="-108"/>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r w:rsidRPr="00684DD8">
              <w:rPr>
                <w:rFonts w:ascii="Arial Narrow" w:hAnsi="Arial Narrow"/>
                <w:sz w:val="20"/>
              </w:rPr>
              <w:t xml:space="preserve"> (effective)</w:t>
            </w:r>
          </w:p>
        </w:tc>
        <w:tc>
          <w:tcPr>
            <w:tcW w:w="1134" w:type="dxa"/>
          </w:tcPr>
          <w:p w:rsidR="005727F0" w:rsidRPr="00684DD8" w:rsidRDefault="005727F0" w:rsidP="005727F0">
            <w:pPr>
              <w:keepNext/>
              <w:rPr>
                <w:rFonts w:ascii="Arial Narrow" w:hAnsi="Arial Narrow"/>
                <w:sz w:val="20"/>
              </w:rPr>
            </w:pPr>
            <w:proofErr w:type="spellStart"/>
            <w:r w:rsidRPr="00684DD8">
              <w:rPr>
                <w:rFonts w:ascii="Arial Narrow" w:hAnsi="Arial Narrow"/>
                <w:sz w:val="20"/>
              </w:rPr>
              <w:t>Blincyto</w:t>
            </w:r>
            <w:proofErr w:type="spellEnd"/>
          </w:p>
        </w:tc>
        <w:tc>
          <w:tcPr>
            <w:tcW w:w="1276" w:type="dxa"/>
          </w:tcPr>
          <w:p w:rsidR="005727F0" w:rsidRPr="00684DD8" w:rsidRDefault="005727F0" w:rsidP="005727F0">
            <w:pPr>
              <w:keepNext/>
              <w:rPr>
                <w:rFonts w:ascii="Arial Narrow" w:hAnsi="Arial Narrow"/>
                <w:sz w:val="20"/>
              </w:rPr>
            </w:pPr>
            <w:r w:rsidRPr="00684DD8">
              <w:rPr>
                <w:rFonts w:ascii="Arial Narrow" w:hAnsi="Arial Narrow"/>
                <w:sz w:val="20"/>
              </w:rPr>
              <w:t>Amgen</w:t>
            </w:r>
          </w:p>
        </w:tc>
      </w:tr>
      <w:tr w:rsidR="005727F0" w:rsidRPr="00684DD8" w:rsidTr="005727F0">
        <w:trPr>
          <w:cantSplit/>
          <w:trHeight w:val="360"/>
        </w:trPr>
        <w:tc>
          <w:tcPr>
            <w:tcW w:w="8505" w:type="dxa"/>
            <w:gridSpan w:val="7"/>
            <w:tcBorders>
              <w:bottom w:val="single" w:sz="4" w:space="0" w:color="auto"/>
            </w:tcBorders>
          </w:tcPr>
          <w:p w:rsidR="005727F0" w:rsidRPr="00684DD8" w:rsidRDefault="005727F0" w:rsidP="005727F0">
            <w:pPr>
              <w:rPr>
                <w:rFonts w:ascii="Arial Narrow" w:hAnsi="Arial Narrow"/>
                <w:sz w:val="20"/>
              </w:rPr>
            </w:pPr>
          </w:p>
        </w:tc>
      </w:tr>
      <w:tr w:rsidR="005727F0" w:rsidRPr="00684DD8" w:rsidTr="00C70DC6">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C70DC6">
            <w:pPr>
              <w:rPr>
                <w:rFonts w:ascii="Arial Narrow" w:hAnsi="Arial Narrow"/>
                <w:b/>
                <w:sz w:val="20"/>
              </w:rPr>
            </w:pPr>
            <w:r w:rsidRPr="00684DD8">
              <w:rPr>
                <w:rFonts w:ascii="Arial Narrow" w:hAnsi="Arial Narrow"/>
                <w:b/>
                <w:sz w:val="20"/>
              </w:rPr>
              <w:t>Category / Program</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C70DC6">
            <w:pPr>
              <w:rPr>
                <w:rFonts w:ascii="Arial Narrow" w:hAnsi="Arial Narrow"/>
                <w:i/>
                <w:sz w:val="20"/>
              </w:rPr>
            </w:pPr>
            <w:r w:rsidRPr="00684DD8">
              <w:rPr>
                <w:rFonts w:ascii="Arial Narrow" w:hAnsi="Arial Narrow"/>
                <w:sz w:val="20"/>
              </w:rPr>
              <w:t>Section 100 – Highly Specialised Drugs Program</w:t>
            </w:r>
          </w:p>
        </w:tc>
      </w:tr>
      <w:tr w:rsidR="005727F0" w:rsidRPr="00684DD8" w:rsidTr="00C70DC6">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Prescriber type:</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Check1"/>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Dental  </w:t>
            </w:r>
            <w:r w:rsidRPr="00684DD8">
              <w:rPr>
                <w:rFonts w:ascii="Arial Narrow" w:hAnsi="Arial Narrow"/>
                <w:sz w:val="20"/>
              </w:rPr>
              <w:fldChar w:fldCharType="begin">
                <w:ffData>
                  <w:name w:val=""/>
                  <w:enabled/>
                  <w:calcOnExit w:val="0"/>
                  <w:checkBox>
                    <w:sizeAuto/>
                    <w:default w:val="1"/>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Medical Practitioners  </w:t>
            </w:r>
            <w:r w:rsidRPr="00684DD8">
              <w:rPr>
                <w:rFonts w:ascii="Arial Narrow" w:hAnsi="Arial Narrow"/>
                <w:sz w:val="20"/>
              </w:rPr>
              <w:fldChar w:fldCharType="begin">
                <w:ffData>
                  <w:name w:val="Check3"/>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Nurse practitioners  </w:t>
            </w:r>
            <w:r w:rsidRPr="00684DD8">
              <w:rPr>
                <w:rFonts w:ascii="Arial Narrow" w:hAnsi="Arial Narrow"/>
                <w:sz w:val="20"/>
              </w:rPr>
              <w:fldChar w:fldCharType="begin">
                <w:ffData>
                  <w:name w:val=""/>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Optometrists</w:t>
            </w:r>
          </w:p>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Check5"/>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Midwives</w:t>
            </w:r>
          </w:p>
        </w:tc>
      </w:tr>
      <w:tr w:rsidR="005727F0" w:rsidRPr="00684DD8" w:rsidTr="00C70DC6">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PBS Indication:</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t>Acute lymphoblastic leukaemia (ALL)</w:t>
            </w:r>
          </w:p>
        </w:tc>
      </w:tr>
      <w:tr w:rsidR="005727F0" w:rsidRPr="00684DD8" w:rsidTr="00C70DC6">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Treatment phase:</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t xml:space="preserve">First continuing treatment </w:t>
            </w:r>
          </w:p>
        </w:tc>
      </w:tr>
      <w:tr w:rsidR="005727F0" w:rsidRPr="00684DD8" w:rsidTr="00C70DC6">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Restriction Level / Method:</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Check3"/>
                  <w:enabled/>
                  <w:calcOnExit w:val="0"/>
                  <w:checkBox>
                    <w:sizeAuto/>
                    <w:default w:val="1"/>
                  </w:checkBox>
                </w:ffData>
              </w:fldChar>
            </w:r>
            <w:bookmarkStart w:id="4" w:name="Check3"/>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bookmarkEnd w:id="4"/>
            <w:r w:rsidRPr="00684DD8">
              <w:rPr>
                <w:rFonts w:ascii="Arial Narrow" w:hAnsi="Arial Narrow"/>
                <w:sz w:val="20"/>
              </w:rPr>
              <w:t>Authority Required - Telephone</w:t>
            </w:r>
          </w:p>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
                  <w:enabled/>
                  <w:calcOnExit w:val="0"/>
                  <w:checkBox>
                    <w:sizeAuto/>
                    <w:default w:val="1"/>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Authority Required - Emergency</w:t>
            </w:r>
          </w:p>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Check5"/>
                  <w:enabled/>
                  <w:calcOnExit w:val="0"/>
                  <w:checkBox>
                    <w:sizeAuto/>
                    <w:default w:val="1"/>
                  </w:checkBox>
                </w:ffData>
              </w:fldChar>
            </w:r>
            <w:bookmarkStart w:id="5" w:name="Check5"/>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bookmarkEnd w:id="5"/>
            <w:r w:rsidRPr="00684DD8">
              <w:rPr>
                <w:rFonts w:ascii="Arial Narrow" w:hAnsi="Arial Narrow"/>
                <w:sz w:val="20"/>
              </w:rPr>
              <w:t xml:space="preserve">Authority Required </w:t>
            </w:r>
            <w:r w:rsidR="005B5FD7" w:rsidRPr="00684DD8">
              <w:rPr>
                <w:rFonts w:ascii="Arial Narrow" w:hAnsi="Arial Narrow"/>
                <w:sz w:val="20"/>
              </w:rPr>
              <w:t>–</w:t>
            </w:r>
            <w:r w:rsidRPr="00684DD8">
              <w:rPr>
                <w:rFonts w:ascii="Arial Narrow" w:hAnsi="Arial Narrow"/>
                <w:sz w:val="20"/>
              </w:rPr>
              <w:t xml:space="preserve"> Electronic</w:t>
            </w:r>
          </w:p>
        </w:tc>
      </w:tr>
      <w:tr w:rsidR="005727F0" w:rsidRPr="00684DD8" w:rsidTr="00C70DC6">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lastRenderedPageBreak/>
              <w:t>Clinical criteria:</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t xml:space="preserve">Patient must have </w:t>
            </w:r>
            <w:r w:rsidRPr="00684DD8">
              <w:rPr>
                <w:rFonts w:ascii="Arial Narrow" w:hAnsi="Arial Narrow"/>
                <w:strike/>
                <w:sz w:val="20"/>
              </w:rPr>
              <w:t xml:space="preserve">received an initial prescription for </w:t>
            </w:r>
            <w:proofErr w:type="spellStart"/>
            <w:r w:rsidRPr="00684DD8">
              <w:rPr>
                <w:rFonts w:ascii="Arial Narrow" w:hAnsi="Arial Narrow"/>
                <w:strike/>
                <w:sz w:val="20"/>
              </w:rPr>
              <w:t>blinatumomab</w:t>
            </w:r>
            <w:proofErr w:type="spellEnd"/>
            <w:r w:rsidRPr="00684DD8">
              <w:rPr>
                <w:rFonts w:ascii="Arial Narrow" w:hAnsi="Arial Narrow"/>
                <w:strike/>
                <w:sz w:val="20"/>
              </w:rPr>
              <w:t xml:space="preserve"> for treatment of relapsed or refractory Philadelphia negative B-cell Acute lymphoblastic leukaemia</w:t>
            </w:r>
            <w:r w:rsidRPr="00684DD8">
              <w:rPr>
                <w:rFonts w:ascii="Arial Narrow" w:hAnsi="Arial Narrow"/>
                <w:sz w:val="20"/>
              </w:rPr>
              <w:t xml:space="preserve"> </w:t>
            </w:r>
            <w:r w:rsidRPr="00684DD8">
              <w:rPr>
                <w:rFonts w:ascii="Arial Narrow" w:hAnsi="Arial Narrow"/>
                <w:i/>
                <w:sz w:val="20"/>
              </w:rPr>
              <w:t>previously received PBS-subsidised initial treatment with this drug for this condition;</w:t>
            </w:r>
          </w:p>
          <w:p w:rsidR="005727F0" w:rsidRPr="00684DD8" w:rsidRDefault="005727F0" w:rsidP="005727F0">
            <w:pPr>
              <w:rPr>
                <w:rFonts w:ascii="Arial Narrow" w:hAnsi="Arial Narrow"/>
                <w:sz w:val="20"/>
              </w:rPr>
            </w:pPr>
          </w:p>
          <w:p w:rsidR="005727F0" w:rsidRPr="00684DD8" w:rsidRDefault="005727F0" w:rsidP="005727F0">
            <w:pPr>
              <w:rPr>
                <w:rFonts w:ascii="Arial Narrow" w:hAnsi="Arial Narrow"/>
                <w:sz w:val="20"/>
              </w:rPr>
            </w:pPr>
            <w:r w:rsidRPr="00684DD8">
              <w:rPr>
                <w:rFonts w:ascii="Arial Narrow" w:hAnsi="Arial Narrow"/>
                <w:sz w:val="20"/>
              </w:rPr>
              <w:t xml:space="preserve">AND </w:t>
            </w:r>
          </w:p>
          <w:p w:rsidR="005727F0" w:rsidRPr="00684DD8" w:rsidRDefault="005727F0" w:rsidP="005727F0">
            <w:pPr>
              <w:rPr>
                <w:rFonts w:ascii="Arial Narrow" w:hAnsi="Arial Narrow"/>
                <w:sz w:val="20"/>
              </w:rPr>
            </w:pPr>
          </w:p>
          <w:p w:rsidR="005727F0" w:rsidRPr="00684DD8" w:rsidRDefault="005727F0" w:rsidP="005727F0">
            <w:pPr>
              <w:rPr>
                <w:rFonts w:ascii="Arial Narrow" w:hAnsi="Arial Narrow"/>
                <w:strike/>
                <w:sz w:val="20"/>
              </w:rPr>
            </w:pPr>
            <w:r w:rsidRPr="00684DD8">
              <w:rPr>
                <w:rFonts w:ascii="Arial Narrow" w:hAnsi="Arial Narrow"/>
                <w:sz w:val="20"/>
              </w:rPr>
              <w:t xml:space="preserve">Patient must not have progressive disease </w:t>
            </w:r>
            <w:r w:rsidRPr="00684DD8">
              <w:rPr>
                <w:rFonts w:ascii="Arial Narrow" w:hAnsi="Arial Narrow"/>
                <w:strike/>
                <w:sz w:val="20"/>
              </w:rPr>
              <w:t xml:space="preserve">after the first cycle of </w:t>
            </w:r>
            <w:proofErr w:type="spellStart"/>
            <w:r w:rsidRPr="00684DD8">
              <w:rPr>
                <w:rFonts w:ascii="Arial Narrow" w:hAnsi="Arial Narrow"/>
                <w:strike/>
                <w:sz w:val="20"/>
              </w:rPr>
              <w:t>blinatumomab</w:t>
            </w:r>
            <w:proofErr w:type="spellEnd"/>
            <w:r w:rsidRPr="00684DD8">
              <w:rPr>
                <w:rFonts w:ascii="Arial Narrow" w:hAnsi="Arial Narrow"/>
                <w:strike/>
                <w:sz w:val="20"/>
              </w:rPr>
              <w:t xml:space="preserve"> therapy; </w:t>
            </w:r>
          </w:p>
          <w:p w:rsidR="005727F0" w:rsidRPr="00684DD8" w:rsidRDefault="005727F0" w:rsidP="005727F0">
            <w:pPr>
              <w:rPr>
                <w:rFonts w:ascii="Arial Narrow" w:hAnsi="Arial Narrow"/>
                <w:strike/>
                <w:sz w:val="20"/>
              </w:rPr>
            </w:pPr>
          </w:p>
          <w:p w:rsidR="005727F0" w:rsidRPr="00684DD8" w:rsidRDefault="005727F0" w:rsidP="005727F0">
            <w:pPr>
              <w:rPr>
                <w:rFonts w:ascii="Arial Narrow" w:hAnsi="Arial Narrow"/>
                <w:sz w:val="20"/>
              </w:rPr>
            </w:pPr>
            <w:r w:rsidRPr="00684DD8">
              <w:rPr>
                <w:rFonts w:ascii="Arial Narrow" w:hAnsi="Arial Narrow"/>
                <w:sz w:val="20"/>
              </w:rPr>
              <w:t>AND</w:t>
            </w:r>
          </w:p>
          <w:p w:rsidR="005727F0" w:rsidRPr="00684DD8" w:rsidRDefault="005727F0" w:rsidP="005727F0">
            <w:pPr>
              <w:rPr>
                <w:rFonts w:ascii="Arial Narrow" w:hAnsi="Arial Narrow"/>
                <w:sz w:val="20"/>
              </w:rPr>
            </w:pPr>
          </w:p>
          <w:p w:rsidR="005727F0" w:rsidRPr="00684DD8" w:rsidRDefault="005727F0" w:rsidP="005727F0">
            <w:pPr>
              <w:rPr>
                <w:rFonts w:ascii="Arial Narrow" w:hAnsi="Arial Narrow"/>
                <w:i/>
                <w:sz w:val="20"/>
              </w:rPr>
            </w:pPr>
            <w:r w:rsidRPr="00684DD8">
              <w:rPr>
                <w:rFonts w:ascii="Arial Narrow" w:hAnsi="Arial Narrow"/>
                <w:i/>
                <w:sz w:val="20"/>
              </w:rPr>
              <w:t xml:space="preserve">Patient must have received two days of therapy in this treatment cycle as a hospital inpatient. </w:t>
            </w:r>
          </w:p>
        </w:tc>
      </w:tr>
    </w:tbl>
    <w:p w:rsidR="005727F0" w:rsidRPr="00684DD8" w:rsidRDefault="005727F0" w:rsidP="005727F0"/>
    <w:p w:rsidR="005727F0" w:rsidRPr="00684DD8" w:rsidRDefault="005727F0" w:rsidP="005727F0">
      <w:pPr>
        <w:rPr>
          <w:b/>
          <w:i/>
          <w:u w:val="single"/>
        </w:rPr>
      </w:pPr>
      <w:r w:rsidRPr="00684DD8">
        <w:tab/>
      </w:r>
      <w:r w:rsidRPr="00684DD8">
        <w:rPr>
          <w:b/>
          <w:i/>
          <w:u w:val="single"/>
        </w:rPr>
        <w:t>Second continuation</w:t>
      </w:r>
    </w:p>
    <w:p w:rsidR="005727F0" w:rsidRPr="00684DD8" w:rsidRDefault="005727F0" w:rsidP="005727F0"/>
    <w:tbl>
      <w:tblPr>
        <w:tblW w:w="8505" w:type="dxa"/>
        <w:tblInd w:w="817" w:type="dxa"/>
        <w:tblLayout w:type="fixed"/>
        <w:tblLook w:val="0000" w:firstRow="0" w:lastRow="0" w:firstColumn="0" w:lastColumn="0" w:noHBand="0" w:noVBand="0"/>
      </w:tblPr>
      <w:tblGrid>
        <w:gridCol w:w="2410"/>
        <w:gridCol w:w="425"/>
        <w:gridCol w:w="851"/>
        <w:gridCol w:w="567"/>
        <w:gridCol w:w="1842"/>
        <w:gridCol w:w="1134"/>
        <w:gridCol w:w="1276"/>
      </w:tblGrid>
      <w:tr w:rsidR="005727F0" w:rsidRPr="00684DD8" w:rsidTr="00180B6D">
        <w:trPr>
          <w:cantSplit/>
          <w:trHeight w:val="471"/>
        </w:trPr>
        <w:tc>
          <w:tcPr>
            <w:tcW w:w="2835" w:type="dxa"/>
            <w:gridSpan w:val="2"/>
            <w:tcBorders>
              <w:bottom w:val="single" w:sz="4" w:space="0" w:color="auto"/>
            </w:tcBorders>
          </w:tcPr>
          <w:p w:rsidR="005727F0" w:rsidRPr="00684DD8" w:rsidRDefault="005727F0" w:rsidP="005727F0">
            <w:pPr>
              <w:keepNext/>
              <w:ind w:left="-108"/>
              <w:rPr>
                <w:rFonts w:ascii="Arial Narrow" w:hAnsi="Arial Narrow"/>
                <w:sz w:val="20"/>
              </w:rPr>
            </w:pPr>
            <w:r w:rsidRPr="00684DD8">
              <w:rPr>
                <w:rFonts w:ascii="Arial Narrow" w:hAnsi="Arial Narrow"/>
                <w:sz w:val="20"/>
              </w:rPr>
              <w:t>Name, Restriction,</w:t>
            </w:r>
          </w:p>
          <w:p w:rsidR="005727F0" w:rsidRPr="00684DD8" w:rsidRDefault="005727F0" w:rsidP="005727F0">
            <w:pPr>
              <w:keepNext/>
              <w:ind w:left="-108"/>
              <w:rPr>
                <w:rFonts w:ascii="Arial Narrow" w:hAnsi="Arial Narrow"/>
                <w:sz w:val="20"/>
              </w:rPr>
            </w:pPr>
            <w:r w:rsidRPr="00684DD8">
              <w:rPr>
                <w:rFonts w:ascii="Arial Narrow" w:hAnsi="Arial Narrow"/>
                <w:sz w:val="20"/>
              </w:rPr>
              <w:t>Manner of administration and form</w:t>
            </w:r>
          </w:p>
        </w:tc>
        <w:tc>
          <w:tcPr>
            <w:tcW w:w="851" w:type="dxa"/>
            <w:tcBorders>
              <w:bottom w:val="single" w:sz="4" w:space="0" w:color="auto"/>
            </w:tcBorders>
          </w:tcPr>
          <w:p w:rsidR="005727F0" w:rsidRPr="00684DD8" w:rsidRDefault="005727F0" w:rsidP="005727F0">
            <w:pPr>
              <w:keepNext/>
              <w:ind w:left="-108"/>
              <w:rPr>
                <w:rFonts w:ascii="Arial Narrow" w:hAnsi="Arial Narrow"/>
                <w:sz w:val="20"/>
              </w:rPr>
            </w:pPr>
            <w:r w:rsidRPr="00684DD8">
              <w:rPr>
                <w:rFonts w:ascii="Arial Narrow" w:hAnsi="Arial Narrow"/>
                <w:sz w:val="20"/>
              </w:rPr>
              <w:t>Max.</w:t>
            </w:r>
          </w:p>
          <w:p w:rsidR="005727F0" w:rsidRPr="00684DD8" w:rsidRDefault="005727F0" w:rsidP="005727F0">
            <w:pPr>
              <w:keepNext/>
              <w:ind w:left="-108"/>
              <w:rPr>
                <w:rFonts w:ascii="Arial Narrow" w:hAnsi="Arial Narrow"/>
                <w:sz w:val="20"/>
              </w:rPr>
            </w:pPr>
            <w:proofErr w:type="spellStart"/>
            <w:r w:rsidRPr="00684DD8">
              <w:rPr>
                <w:rFonts w:ascii="Arial Narrow" w:hAnsi="Arial Narrow"/>
                <w:sz w:val="20"/>
              </w:rPr>
              <w:t>Qty</w:t>
            </w:r>
            <w:proofErr w:type="spellEnd"/>
          </w:p>
        </w:tc>
        <w:tc>
          <w:tcPr>
            <w:tcW w:w="567" w:type="dxa"/>
            <w:tcBorders>
              <w:bottom w:val="single" w:sz="4" w:space="0" w:color="auto"/>
            </w:tcBorders>
          </w:tcPr>
          <w:p w:rsidR="005727F0" w:rsidRPr="00684DD8" w:rsidRDefault="005727F0" w:rsidP="005727F0">
            <w:pPr>
              <w:keepNext/>
              <w:ind w:left="-108"/>
              <w:rPr>
                <w:rFonts w:ascii="Arial Narrow" w:hAnsi="Arial Narrow"/>
                <w:sz w:val="20"/>
              </w:rPr>
            </w:pPr>
            <w:r w:rsidRPr="00684DD8">
              <w:rPr>
                <w:rFonts w:ascii="Arial Narrow" w:hAnsi="Arial Narrow"/>
                <w:sz w:val="20"/>
              </w:rPr>
              <w:t>№.of</w:t>
            </w:r>
          </w:p>
          <w:p w:rsidR="005727F0" w:rsidRPr="00684DD8" w:rsidRDefault="005727F0" w:rsidP="005727F0">
            <w:pPr>
              <w:keepNext/>
              <w:ind w:left="-108"/>
              <w:rPr>
                <w:rFonts w:ascii="Arial Narrow" w:hAnsi="Arial Narrow"/>
                <w:sz w:val="20"/>
              </w:rPr>
            </w:pPr>
            <w:proofErr w:type="spellStart"/>
            <w:r w:rsidRPr="00684DD8">
              <w:rPr>
                <w:rFonts w:ascii="Arial Narrow" w:hAnsi="Arial Narrow"/>
                <w:sz w:val="20"/>
              </w:rPr>
              <w:t>Rpts</w:t>
            </w:r>
            <w:proofErr w:type="spellEnd"/>
          </w:p>
        </w:tc>
        <w:tc>
          <w:tcPr>
            <w:tcW w:w="1842" w:type="dxa"/>
            <w:tcBorders>
              <w:bottom w:val="single" w:sz="4" w:space="0" w:color="auto"/>
            </w:tcBorders>
          </w:tcPr>
          <w:p w:rsidR="005727F0" w:rsidRPr="00684DD8" w:rsidRDefault="005727F0" w:rsidP="00180B6D">
            <w:pPr>
              <w:keepNext/>
              <w:ind w:left="-108"/>
              <w:jc w:val="left"/>
              <w:rPr>
                <w:rFonts w:ascii="Arial Narrow" w:hAnsi="Arial Narrow"/>
                <w:sz w:val="20"/>
              </w:rPr>
            </w:pPr>
            <w:r w:rsidRPr="00684DD8">
              <w:rPr>
                <w:rFonts w:ascii="Arial Narrow" w:hAnsi="Arial Narrow"/>
                <w:sz w:val="20"/>
              </w:rPr>
              <w:t xml:space="preserve">Dispensed Price for Max. </w:t>
            </w:r>
            <w:proofErr w:type="spellStart"/>
            <w:r w:rsidRPr="00684DD8">
              <w:rPr>
                <w:rFonts w:ascii="Arial Narrow" w:hAnsi="Arial Narrow"/>
                <w:sz w:val="20"/>
              </w:rPr>
              <w:t>Qty</w:t>
            </w:r>
            <w:proofErr w:type="spellEnd"/>
          </w:p>
        </w:tc>
        <w:tc>
          <w:tcPr>
            <w:tcW w:w="2410" w:type="dxa"/>
            <w:gridSpan w:val="2"/>
            <w:tcBorders>
              <w:bottom w:val="single" w:sz="4" w:space="0" w:color="auto"/>
            </w:tcBorders>
          </w:tcPr>
          <w:p w:rsidR="005727F0" w:rsidRPr="00684DD8" w:rsidRDefault="005727F0" w:rsidP="00180B6D">
            <w:pPr>
              <w:keepNext/>
              <w:jc w:val="left"/>
              <w:rPr>
                <w:rFonts w:ascii="Arial Narrow" w:hAnsi="Arial Narrow"/>
                <w:sz w:val="20"/>
              </w:rPr>
            </w:pPr>
            <w:r w:rsidRPr="00684DD8">
              <w:rPr>
                <w:rFonts w:ascii="Arial Narrow" w:hAnsi="Arial Narrow"/>
                <w:sz w:val="20"/>
              </w:rPr>
              <w:t>Proprietary Name and Manufacturer</w:t>
            </w:r>
          </w:p>
        </w:tc>
      </w:tr>
      <w:tr w:rsidR="005727F0" w:rsidRPr="00684DD8" w:rsidTr="00180B6D">
        <w:trPr>
          <w:cantSplit/>
          <w:trHeight w:val="577"/>
        </w:trPr>
        <w:tc>
          <w:tcPr>
            <w:tcW w:w="2835" w:type="dxa"/>
            <w:gridSpan w:val="2"/>
          </w:tcPr>
          <w:p w:rsidR="005727F0" w:rsidRPr="00684DD8" w:rsidRDefault="005727F0" w:rsidP="005727F0">
            <w:pPr>
              <w:keepNext/>
              <w:ind w:left="-108"/>
              <w:rPr>
                <w:rFonts w:ascii="Arial Narrow" w:hAnsi="Arial Narrow"/>
                <w:sz w:val="20"/>
              </w:rPr>
            </w:pPr>
            <w:r w:rsidRPr="00684DD8">
              <w:rPr>
                <w:rFonts w:ascii="Arial Narrow" w:hAnsi="Arial Narrow"/>
                <w:smallCaps/>
                <w:sz w:val="20"/>
              </w:rPr>
              <w:t>BLINATUMOMAB</w:t>
            </w:r>
          </w:p>
          <w:p w:rsidR="005727F0" w:rsidRPr="00684DD8" w:rsidRDefault="005727F0" w:rsidP="005727F0">
            <w:pPr>
              <w:keepNext/>
              <w:ind w:left="-108"/>
              <w:rPr>
                <w:rFonts w:ascii="Arial Narrow" w:hAnsi="Arial Narrow"/>
                <w:sz w:val="20"/>
              </w:rPr>
            </w:pPr>
            <w:r w:rsidRPr="00684DD8">
              <w:rPr>
                <w:rFonts w:ascii="Arial Narrow" w:hAnsi="Arial Narrow"/>
                <w:sz w:val="20"/>
              </w:rPr>
              <w:t>Powder for injection 38.5 microgram with intravenous solution stabiliser</w:t>
            </w:r>
          </w:p>
        </w:tc>
        <w:tc>
          <w:tcPr>
            <w:tcW w:w="851" w:type="dxa"/>
          </w:tcPr>
          <w:p w:rsidR="005727F0" w:rsidRPr="00684DD8" w:rsidRDefault="005727F0" w:rsidP="005727F0">
            <w:pPr>
              <w:keepNext/>
              <w:ind w:left="-108"/>
              <w:rPr>
                <w:rFonts w:ascii="Arial Narrow" w:hAnsi="Arial Narrow"/>
                <w:sz w:val="20"/>
              </w:rPr>
            </w:pPr>
          </w:p>
          <w:p w:rsidR="005727F0" w:rsidRPr="00684DD8" w:rsidRDefault="005727F0" w:rsidP="005727F0">
            <w:pPr>
              <w:keepNext/>
              <w:ind w:left="-108"/>
              <w:rPr>
                <w:rFonts w:ascii="Arial Narrow" w:hAnsi="Arial Narrow"/>
                <w:strike/>
                <w:sz w:val="20"/>
              </w:rPr>
            </w:pPr>
            <w:r w:rsidRPr="00684DD8">
              <w:rPr>
                <w:rFonts w:ascii="Arial Narrow" w:hAnsi="Arial Narrow"/>
                <w:strike/>
                <w:sz w:val="20"/>
              </w:rPr>
              <w:t>Up to 28</w:t>
            </w:r>
          </w:p>
          <w:p w:rsidR="005727F0" w:rsidRPr="00684DD8" w:rsidRDefault="005727F0" w:rsidP="005727F0">
            <w:pPr>
              <w:keepNext/>
              <w:ind w:left="-108"/>
              <w:rPr>
                <w:rFonts w:ascii="Arial Narrow" w:hAnsi="Arial Narrow"/>
                <w:sz w:val="20"/>
              </w:rPr>
            </w:pPr>
            <w:r w:rsidRPr="00684DD8">
              <w:rPr>
                <w:rFonts w:ascii="Arial Narrow" w:hAnsi="Arial Narrow"/>
                <w:sz w:val="20"/>
              </w:rPr>
              <w:t>1</w:t>
            </w:r>
          </w:p>
        </w:tc>
        <w:tc>
          <w:tcPr>
            <w:tcW w:w="567" w:type="dxa"/>
          </w:tcPr>
          <w:p w:rsidR="005727F0" w:rsidRPr="00684DD8" w:rsidRDefault="005727F0" w:rsidP="005727F0">
            <w:pPr>
              <w:keepNext/>
              <w:ind w:left="-108"/>
              <w:rPr>
                <w:rFonts w:ascii="Arial Narrow" w:hAnsi="Arial Narrow"/>
                <w:sz w:val="20"/>
              </w:rPr>
            </w:pPr>
          </w:p>
          <w:p w:rsidR="005727F0" w:rsidRPr="00684DD8" w:rsidRDefault="005727F0" w:rsidP="005727F0">
            <w:pPr>
              <w:keepNext/>
              <w:ind w:left="-108"/>
              <w:rPr>
                <w:rFonts w:ascii="Arial Narrow" w:hAnsi="Arial Narrow"/>
                <w:strike/>
                <w:sz w:val="20"/>
              </w:rPr>
            </w:pPr>
            <w:r w:rsidRPr="00684DD8">
              <w:rPr>
                <w:rFonts w:ascii="Arial Narrow" w:hAnsi="Arial Narrow"/>
                <w:strike/>
                <w:sz w:val="20"/>
              </w:rPr>
              <w:t>0</w:t>
            </w:r>
          </w:p>
          <w:p w:rsidR="005727F0" w:rsidRPr="00684DD8" w:rsidRDefault="005727F0" w:rsidP="005727F0">
            <w:pPr>
              <w:keepNext/>
              <w:ind w:left="-108"/>
              <w:rPr>
                <w:rFonts w:ascii="Arial Narrow" w:hAnsi="Arial Narrow"/>
                <w:sz w:val="20"/>
              </w:rPr>
            </w:pPr>
            <w:r w:rsidRPr="00684DD8">
              <w:rPr>
                <w:rFonts w:ascii="Arial Narrow" w:hAnsi="Arial Narrow"/>
                <w:sz w:val="20"/>
              </w:rPr>
              <w:t>27</w:t>
            </w:r>
          </w:p>
        </w:tc>
        <w:tc>
          <w:tcPr>
            <w:tcW w:w="1842" w:type="dxa"/>
          </w:tcPr>
          <w:p w:rsidR="005727F0" w:rsidRPr="00684DD8" w:rsidRDefault="005727F0" w:rsidP="005727F0">
            <w:pPr>
              <w:keepNext/>
              <w:ind w:left="-108"/>
              <w:rPr>
                <w:rFonts w:ascii="Arial Narrow" w:hAnsi="Arial Narrow"/>
                <w:sz w:val="20"/>
              </w:rPr>
            </w:pPr>
          </w:p>
          <w:p w:rsidR="005727F0" w:rsidRPr="00684DD8" w:rsidRDefault="005727F0" w:rsidP="005727F0">
            <w:pPr>
              <w:keepNext/>
              <w:ind w:left="-108"/>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r w:rsidRPr="00684DD8">
              <w:rPr>
                <w:rFonts w:ascii="Arial Narrow" w:hAnsi="Arial Narrow"/>
                <w:sz w:val="20"/>
              </w:rPr>
              <w:t xml:space="preserve"> (published)</w:t>
            </w:r>
          </w:p>
          <w:p w:rsidR="005727F0" w:rsidRPr="00684DD8" w:rsidRDefault="005727F0" w:rsidP="005727F0">
            <w:pPr>
              <w:keepNext/>
              <w:ind w:left="-108"/>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r w:rsidRPr="00684DD8">
              <w:rPr>
                <w:rFonts w:ascii="Arial Narrow" w:hAnsi="Arial Narrow"/>
                <w:sz w:val="20"/>
              </w:rPr>
              <w:t xml:space="preserve"> (effective) </w:t>
            </w:r>
          </w:p>
        </w:tc>
        <w:tc>
          <w:tcPr>
            <w:tcW w:w="1134" w:type="dxa"/>
          </w:tcPr>
          <w:p w:rsidR="005727F0" w:rsidRPr="00684DD8" w:rsidRDefault="005727F0" w:rsidP="005727F0">
            <w:pPr>
              <w:keepNext/>
              <w:rPr>
                <w:rFonts w:ascii="Arial Narrow" w:hAnsi="Arial Narrow"/>
                <w:sz w:val="20"/>
              </w:rPr>
            </w:pPr>
            <w:proofErr w:type="spellStart"/>
            <w:r w:rsidRPr="00684DD8">
              <w:rPr>
                <w:rFonts w:ascii="Arial Narrow" w:hAnsi="Arial Narrow"/>
                <w:sz w:val="20"/>
              </w:rPr>
              <w:t>Blincyto</w:t>
            </w:r>
            <w:proofErr w:type="spellEnd"/>
          </w:p>
        </w:tc>
        <w:tc>
          <w:tcPr>
            <w:tcW w:w="1276" w:type="dxa"/>
          </w:tcPr>
          <w:p w:rsidR="005727F0" w:rsidRPr="00684DD8" w:rsidRDefault="005727F0" w:rsidP="005727F0">
            <w:pPr>
              <w:keepNext/>
              <w:rPr>
                <w:rFonts w:ascii="Arial Narrow" w:hAnsi="Arial Narrow"/>
                <w:sz w:val="20"/>
              </w:rPr>
            </w:pPr>
            <w:r w:rsidRPr="00684DD8">
              <w:rPr>
                <w:rFonts w:ascii="Arial Narrow" w:hAnsi="Arial Narrow"/>
                <w:sz w:val="20"/>
              </w:rPr>
              <w:t>Amgen</w:t>
            </w:r>
          </w:p>
        </w:tc>
      </w:tr>
      <w:tr w:rsidR="005727F0" w:rsidRPr="00684DD8" w:rsidTr="005727F0">
        <w:trPr>
          <w:cantSplit/>
          <w:trHeight w:val="360"/>
        </w:trPr>
        <w:tc>
          <w:tcPr>
            <w:tcW w:w="8505" w:type="dxa"/>
            <w:gridSpan w:val="7"/>
            <w:tcBorders>
              <w:bottom w:val="single" w:sz="4" w:space="0" w:color="auto"/>
            </w:tcBorders>
          </w:tcPr>
          <w:p w:rsidR="005727F0" w:rsidRPr="00684DD8" w:rsidRDefault="005727F0" w:rsidP="005727F0">
            <w:pPr>
              <w:rPr>
                <w:rFonts w:ascii="Arial Narrow" w:hAnsi="Arial Narrow"/>
                <w:sz w:val="20"/>
              </w:rPr>
            </w:pPr>
          </w:p>
        </w:tc>
      </w:tr>
      <w:tr w:rsidR="005727F0" w:rsidRPr="00684DD8" w:rsidTr="00180B6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 xml:space="preserve">Category / </w:t>
            </w:r>
          </w:p>
          <w:p w:rsidR="005727F0" w:rsidRPr="00684DD8" w:rsidRDefault="005727F0" w:rsidP="005727F0">
            <w:pPr>
              <w:rPr>
                <w:rFonts w:ascii="Arial Narrow" w:hAnsi="Arial Narrow"/>
                <w:b/>
                <w:sz w:val="20"/>
              </w:rPr>
            </w:pPr>
            <w:r w:rsidRPr="00684DD8">
              <w:rPr>
                <w:rFonts w:ascii="Arial Narrow" w:hAnsi="Arial Narrow"/>
                <w:b/>
                <w:sz w:val="20"/>
              </w:rPr>
              <w:t>Program</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t>Section 100 – Highly Specialised Drugs Program</w:t>
            </w:r>
          </w:p>
          <w:p w:rsidR="005727F0" w:rsidRPr="00684DD8" w:rsidRDefault="005727F0" w:rsidP="005727F0">
            <w:pPr>
              <w:rPr>
                <w:rFonts w:ascii="Arial Narrow" w:hAnsi="Arial Narrow"/>
                <w:i/>
                <w:sz w:val="20"/>
              </w:rPr>
            </w:pPr>
          </w:p>
        </w:tc>
      </w:tr>
      <w:tr w:rsidR="005727F0" w:rsidRPr="00684DD8" w:rsidTr="00180B6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Prescriber type:</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Check1"/>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Dental  </w:t>
            </w:r>
            <w:r w:rsidRPr="00684DD8">
              <w:rPr>
                <w:rFonts w:ascii="Arial Narrow" w:hAnsi="Arial Narrow"/>
                <w:sz w:val="20"/>
              </w:rPr>
              <w:fldChar w:fldCharType="begin">
                <w:ffData>
                  <w:name w:val=""/>
                  <w:enabled/>
                  <w:calcOnExit w:val="0"/>
                  <w:checkBox>
                    <w:sizeAuto/>
                    <w:default w:val="1"/>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Medical Practitioners  </w:t>
            </w:r>
            <w:r w:rsidRPr="00684DD8">
              <w:rPr>
                <w:rFonts w:ascii="Arial Narrow" w:hAnsi="Arial Narrow"/>
                <w:sz w:val="20"/>
              </w:rPr>
              <w:fldChar w:fldCharType="begin">
                <w:ffData>
                  <w:name w:val="Check3"/>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Nurse practitioners  </w:t>
            </w:r>
            <w:r w:rsidRPr="00684DD8">
              <w:rPr>
                <w:rFonts w:ascii="Arial Narrow" w:hAnsi="Arial Narrow"/>
                <w:sz w:val="20"/>
              </w:rPr>
              <w:fldChar w:fldCharType="begin">
                <w:ffData>
                  <w:name w:val=""/>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Optometrists</w:t>
            </w:r>
          </w:p>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Check5"/>
                  <w:enabled/>
                  <w:calcOnExit w:val="0"/>
                  <w:checkBox>
                    <w:sizeAuto/>
                    <w:default w:val="0"/>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Midwives</w:t>
            </w:r>
          </w:p>
        </w:tc>
      </w:tr>
      <w:tr w:rsidR="005727F0" w:rsidRPr="00684DD8" w:rsidTr="00180B6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PBS Indication:</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t>Acute lymphoblastic leukaemia (ALL)</w:t>
            </w:r>
          </w:p>
        </w:tc>
      </w:tr>
      <w:tr w:rsidR="005727F0" w:rsidRPr="00684DD8" w:rsidTr="00180B6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Treatment phase:</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t xml:space="preserve">Second continuing treatment </w:t>
            </w:r>
          </w:p>
        </w:tc>
      </w:tr>
      <w:tr w:rsidR="005727F0" w:rsidRPr="00684DD8" w:rsidTr="00180B6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Restriction Level / Method:</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Check3"/>
                  <w:enabled/>
                  <w:calcOnExit w:val="0"/>
                  <w:checkBox>
                    <w:sizeAuto/>
                    <w:default w:val="1"/>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Authority Required - Telephone</w:t>
            </w:r>
          </w:p>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
                  <w:enabled/>
                  <w:calcOnExit w:val="0"/>
                  <w:checkBox>
                    <w:sizeAuto/>
                    <w:default w:val="1"/>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Authority Required - Emergency</w:t>
            </w:r>
          </w:p>
          <w:p w:rsidR="005727F0" w:rsidRPr="00684DD8" w:rsidRDefault="005727F0" w:rsidP="005727F0">
            <w:pPr>
              <w:rPr>
                <w:rFonts w:ascii="Arial Narrow" w:hAnsi="Arial Narrow"/>
                <w:sz w:val="20"/>
              </w:rPr>
            </w:pPr>
            <w:r w:rsidRPr="00684DD8">
              <w:rPr>
                <w:rFonts w:ascii="Arial Narrow" w:hAnsi="Arial Narrow"/>
                <w:sz w:val="20"/>
              </w:rPr>
              <w:fldChar w:fldCharType="begin">
                <w:ffData>
                  <w:name w:val="Check5"/>
                  <w:enabled/>
                  <w:calcOnExit w:val="0"/>
                  <w:checkBox>
                    <w:sizeAuto/>
                    <w:default w:val="1"/>
                  </w:checkBox>
                </w:ffData>
              </w:fldChar>
            </w:r>
            <w:r w:rsidRPr="00684DD8">
              <w:rPr>
                <w:rFonts w:ascii="Arial Narrow" w:hAnsi="Arial Narrow"/>
                <w:sz w:val="20"/>
              </w:rPr>
              <w:instrText xml:space="preserve"> FORMCHECKBOX </w:instrText>
            </w:r>
            <w:r w:rsidR="00F7206D">
              <w:rPr>
                <w:rFonts w:ascii="Arial Narrow" w:hAnsi="Arial Narrow"/>
                <w:sz w:val="20"/>
              </w:rPr>
            </w:r>
            <w:r w:rsidR="00F7206D">
              <w:rPr>
                <w:rFonts w:ascii="Arial Narrow" w:hAnsi="Arial Narrow"/>
                <w:sz w:val="20"/>
              </w:rPr>
              <w:fldChar w:fldCharType="separate"/>
            </w:r>
            <w:r w:rsidRPr="00684DD8">
              <w:rPr>
                <w:rFonts w:ascii="Arial Narrow" w:hAnsi="Arial Narrow"/>
                <w:sz w:val="20"/>
              </w:rPr>
              <w:fldChar w:fldCharType="end"/>
            </w:r>
            <w:r w:rsidRPr="00684DD8">
              <w:rPr>
                <w:rFonts w:ascii="Arial Narrow" w:hAnsi="Arial Narrow"/>
                <w:sz w:val="20"/>
              </w:rPr>
              <w:t xml:space="preserve">Authority Required </w:t>
            </w:r>
            <w:r w:rsidR="005B5FD7" w:rsidRPr="00684DD8">
              <w:rPr>
                <w:rFonts w:ascii="Arial Narrow" w:hAnsi="Arial Narrow"/>
                <w:sz w:val="20"/>
              </w:rPr>
              <w:t>–</w:t>
            </w:r>
            <w:r w:rsidRPr="00684DD8">
              <w:rPr>
                <w:rFonts w:ascii="Arial Narrow" w:hAnsi="Arial Narrow"/>
                <w:sz w:val="20"/>
              </w:rPr>
              <w:t xml:space="preserve"> Electronic</w:t>
            </w:r>
          </w:p>
        </w:tc>
      </w:tr>
      <w:tr w:rsidR="005727F0" w:rsidRPr="00684DD8" w:rsidTr="00180B6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Clinical criteria:</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sz w:val="20"/>
              </w:rPr>
            </w:pPr>
            <w:r w:rsidRPr="00684DD8">
              <w:rPr>
                <w:rFonts w:ascii="Arial Narrow" w:hAnsi="Arial Narrow"/>
                <w:sz w:val="20"/>
              </w:rPr>
              <w:t xml:space="preserve">Patient must have </w:t>
            </w:r>
            <w:r w:rsidRPr="00684DD8">
              <w:rPr>
                <w:rFonts w:ascii="Arial Narrow" w:hAnsi="Arial Narrow"/>
                <w:strike/>
                <w:sz w:val="20"/>
              </w:rPr>
              <w:t xml:space="preserve">received an initial and continuing prescription for </w:t>
            </w:r>
            <w:proofErr w:type="spellStart"/>
            <w:r w:rsidRPr="00684DD8">
              <w:rPr>
                <w:rFonts w:ascii="Arial Narrow" w:hAnsi="Arial Narrow"/>
                <w:strike/>
                <w:sz w:val="20"/>
              </w:rPr>
              <w:t>blinatumomab</w:t>
            </w:r>
            <w:proofErr w:type="spellEnd"/>
            <w:r w:rsidRPr="00684DD8">
              <w:rPr>
                <w:rFonts w:ascii="Arial Narrow" w:hAnsi="Arial Narrow"/>
                <w:strike/>
                <w:sz w:val="20"/>
              </w:rPr>
              <w:t xml:space="preserve"> for treatment of relapsed or refractory Philadelphia negative B-cell Acute lymphoblastic leukaemia</w:t>
            </w:r>
            <w:r w:rsidRPr="00684DD8">
              <w:rPr>
                <w:rFonts w:ascii="Arial Narrow" w:hAnsi="Arial Narrow"/>
                <w:sz w:val="20"/>
              </w:rPr>
              <w:t xml:space="preserve"> </w:t>
            </w:r>
            <w:r w:rsidRPr="00684DD8">
              <w:rPr>
                <w:rFonts w:ascii="Arial Narrow" w:hAnsi="Arial Narrow"/>
                <w:i/>
                <w:sz w:val="20"/>
              </w:rPr>
              <w:t>previously received initial and continuing treatment with this drug for this condition;</w:t>
            </w:r>
          </w:p>
          <w:p w:rsidR="005727F0" w:rsidRPr="00684DD8" w:rsidRDefault="005727F0" w:rsidP="005727F0">
            <w:pPr>
              <w:rPr>
                <w:rFonts w:ascii="Arial Narrow" w:hAnsi="Arial Narrow"/>
                <w:sz w:val="20"/>
              </w:rPr>
            </w:pPr>
          </w:p>
          <w:p w:rsidR="005727F0" w:rsidRPr="00684DD8" w:rsidRDefault="005727F0" w:rsidP="005727F0">
            <w:pPr>
              <w:rPr>
                <w:rFonts w:ascii="Arial Narrow" w:hAnsi="Arial Narrow"/>
                <w:sz w:val="20"/>
              </w:rPr>
            </w:pPr>
            <w:r w:rsidRPr="00684DD8">
              <w:rPr>
                <w:rFonts w:ascii="Arial Narrow" w:hAnsi="Arial Narrow"/>
                <w:sz w:val="20"/>
              </w:rPr>
              <w:t xml:space="preserve">AND </w:t>
            </w:r>
          </w:p>
          <w:p w:rsidR="005727F0" w:rsidRPr="00684DD8" w:rsidRDefault="005727F0" w:rsidP="005727F0">
            <w:pPr>
              <w:rPr>
                <w:rFonts w:ascii="Arial Narrow" w:hAnsi="Arial Narrow"/>
                <w:sz w:val="20"/>
              </w:rPr>
            </w:pPr>
          </w:p>
          <w:p w:rsidR="005727F0" w:rsidRPr="00684DD8" w:rsidRDefault="005727F0" w:rsidP="005727F0">
            <w:pPr>
              <w:rPr>
                <w:rFonts w:ascii="Arial Narrow" w:hAnsi="Arial Narrow"/>
                <w:color w:val="000000"/>
                <w:sz w:val="20"/>
              </w:rPr>
            </w:pPr>
            <w:r w:rsidRPr="00684DD8">
              <w:rPr>
                <w:rFonts w:ascii="Arial Narrow" w:hAnsi="Arial Narrow"/>
                <w:color w:val="000000"/>
                <w:sz w:val="20"/>
              </w:rPr>
              <w:t xml:space="preserve">Patient must have demonstrated </w:t>
            </w:r>
            <w:r w:rsidRPr="00684DD8">
              <w:rPr>
                <w:rFonts w:ascii="Arial Narrow" w:hAnsi="Arial Narrow"/>
                <w:strike/>
                <w:color w:val="000000"/>
                <w:sz w:val="20"/>
              </w:rPr>
              <w:t>at least a CR</w:t>
            </w:r>
            <w:r w:rsidRPr="00684DD8">
              <w:rPr>
                <w:rFonts w:ascii="Arial Narrow" w:hAnsi="Arial Narrow"/>
                <w:color w:val="000000"/>
                <w:sz w:val="20"/>
              </w:rPr>
              <w:t xml:space="preserve"> </w:t>
            </w:r>
            <w:r w:rsidRPr="00684DD8">
              <w:rPr>
                <w:rFonts w:ascii="Arial Narrow" w:hAnsi="Arial Narrow"/>
                <w:i/>
                <w:color w:val="000000"/>
                <w:sz w:val="20"/>
              </w:rPr>
              <w:t>complete remission</w:t>
            </w:r>
            <w:r w:rsidRPr="00684DD8">
              <w:rPr>
                <w:rFonts w:ascii="Arial Narrow" w:hAnsi="Arial Narrow"/>
                <w:color w:val="000000"/>
                <w:sz w:val="20"/>
              </w:rPr>
              <w:t xml:space="preserve"> or </w:t>
            </w:r>
            <w:proofErr w:type="spellStart"/>
            <w:r w:rsidRPr="00684DD8">
              <w:rPr>
                <w:rFonts w:ascii="Arial Narrow" w:hAnsi="Arial Narrow"/>
                <w:strike/>
                <w:color w:val="000000"/>
                <w:sz w:val="20"/>
              </w:rPr>
              <w:t>CRh</w:t>
            </w:r>
            <w:proofErr w:type="spellEnd"/>
            <w:r w:rsidRPr="00684DD8">
              <w:rPr>
                <w:rFonts w:ascii="Arial Narrow" w:hAnsi="Arial Narrow"/>
                <w:i/>
                <w:strike/>
                <w:color w:val="000000"/>
                <w:sz w:val="20"/>
              </w:rPr>
              <w:t>*</w:t>
            </w:r>
            <w:r w:rsidRPr="00684DD8">
              <w:rPr>
                <w:rFonts w:ascii="Arial Narrow" w:hAnsi="Arial Narrow"/>
                <w:i/>
                <w:color w:val="000000"/>
                <w:sz w:val="20"/>
              </w:rPr>
              <w:t xml:space="preserve"> complete remission with partial haematological recovery</w:t>
            </w:r>
            <w:r w:rsidRPr="00684DD8">
              <w:rPr>
                <w:rFonts w:ascii="Arial Narrow" w:hAnsi="Arial Narrow"/>
                <w:color w:val="000000"/>
                <w:sz w:val="20"/>
              </w:rPr>
              <w:t xml:space="preserve"> after the first 2 cycles of </w:t>
            </w:r>
            <w:proofErr w:type="spellStart"/>
            <w:r w:rsidRPr="00684DD8">
              <w:rPr>
                <w:rFonts w:ascii="Arial Narrow" w:hAnsi="Arial Narrow"/>
                <w:color w:val="000000"/>
                <w:sz w:val="20"/>
              </w:rPr>
              <w:t>blinatumomab</w:t>
            </w:r>
            <w:proofErr w:type="spellEnd"/>
            <w:r w:rsidRPr="00684DD8">
              <w:rPr>
                <w:rFonts w:ascii="Arial Narrow" w:hAnsi="Arial Narrow"/>
                <w:color w:val="000000"/>
                <w:sz w:val="20"/>
              </w:rPr>
              <w:t xml:space="preserve"> therapy</w:t>
            </w:r>
          </w:p>
          <w:p w:rsidR="005727F0" w:rsidRPr="00684DD8" w:rsidRDefault="005727F0" w:rsidP="005727F0">
            <w:pPr>
              <w:rPr>
                <w:rFonts w:ascii="Arial Narrow" w:hAnsi="Arial Narrow"/>
                <w:color w:val="000000"/>
                <w:sz w:val="20"/>
              </w:rPr>
            </w:pPr>
          </w:p>
          <w:p w:rsidR="005727F0" w:rsidRPr="00684DD8" w:rsidRDefault="005727F0" w:rsidP="005727F0">
            <w:pPr>
              <w:rPr>
                <w:rFonts w:ascii="Arial Narrow" w:hAnsi="Arial Narrow"/>
                <w:color w:val="000000"/>
                <w:sz w:val="20"/>
              </w:rPr>
            </w:pPr>
            <w:r w:rsidRPr="00684DD8">
              <w:rPr>
                <w:rFonts w:ascii="Arial Narrow" w:hAnsi="Arial Narrow"/>
                <w:color w:val="000000"/>
                <w:sz w:val="20"/>
              </w:rPr>
              <w:t>AND</w:t>
            </w:r>
          </w:p>
          <w:p w:rsidR="005727F0" w:rsidRPr="00684DD8" w:rsidRDefault="005727F0" w:rsidP="005727F0">
            <w:pPr>
              <w:rPr>
                <w:rFonts w:ascii="Arial Narrow" w:hAnsi="Arial Narrow"/>
                <w:color w:val="000000"/>
                <w:sz w:val="20"/>
              </w:rPr>
            </w:pPr>
          </w:p>
          <w:p w:rsidR="005727F0" w:rsidRPr="00684DD8" w:rsidRDefault="005727F0" w:rsidP="005727F0">
            <w:pPr>
              <w:rPr>
                <w:rFonts w:ascii="Arial Narrow" w:hAnsi="Arial Narrow"/>
                <w:color w:val="000000"/>
                <w:sz w:val="20"/>
              </w:rPr>
            </w:pPr>
            <w:r w:rsidRPr="00684DD8">
              <w:rPr>
                <w:rFonts w:ascii="Arial Narrow" w:hAnsi="Arial Narrow"/>
                <w:color w:val="000000"/>
                <w:sz w:val="20"/>
              </w:rPr>
              <w:t xml:space="preserve">Patient </w:t>
            </w:r>
            <w:r w:rsidRPr="00684DD8">
              <w:rPr>
                <w:rFonts w:ascii="Arial Narrow" w:hAnsi="Arial Narrow"/>
                <w:strike/>
                <w:color w:val="000000"/>
                <w:sz w:val="20"/>
              </w:rPr>
              <w:t>is</w:t>
            </w:r>
            <w:r w:rsidRPr="00684DD8">
              <w:rPr>
                <w:rFonts w:ascii="Arial Narrow" w:hAnsi="Arial Narrow"/>
                <w:color w:val="000000"/>
                <w:sz w:val="20"/>
              </w:rPr>
              <w:t xml:space="preserve"> </w:t>
            </w:r>
            <w:r w:rsidRPr="00684DD8">
              <w:rPr>
                <w:rFonts w:ascii="Arial Narrow" w:hAnsi="Arial Narrow"/>
                <w:i/>
                <w:color w:val="000000"/>
                <w:sz w:val="20"/>
              </w:rPr>
              <w:t>must be</w:t>
            </w:r>
            <w:r w:rsidRPr="00684DD8">
              <w:rPr>
                <w:rFonts w:ascii="Arial Narrow" w:hAnsi="Arial Narrow"/>
                <w:color w:val="000000"/>
                <w:sz w:val="20"/>
              </w:rPr>
              <w:t xml:space="preserve"> ineligible for stem cell transplant;</w:t>
            </w:r>
          </w:p>
          <w:p w:rsidR="005727F0" w:rsidRPr="00684DD8" w:rsidRDefault="005727F0" w:rsidP="005727F0">
            <w:pPr>
              <w:rPr>
                <w:rFonts w:ascii="Arial Narrow" w:hAnsi="Arial Narrow"/>
                <w:color w:val="000000"/>
                <w:sz w:val="20"/>
              </w:rPr>
            </w:pPr>
          </w:p>
          <w:p w:rsidR="005727F0" w:rsidRPr="00684DD8" w:rsidRDefault="005727F0" w:rsidP="005727F0">
            <w:pPr>
              <w:rPr>
                <w:rFonts w:ascii="Arial Narrow" w:hAnsi="Arial Narrow"/>
                <w:i/>
                <w:color w:val="000000"/>
                <w:sz w:val="20"/>
              </w:rPr>
            </w:pPr>
            <w:r w:rsidRPr="00684DD8">
              <w:rPr>
                <w:rFonts w:ascii="Arial Narrow" w:hAnsi="Arial Narrow"/>
                <w:i/>
                <w:color w:val="000000"/>
                <w:sz w:val="20"/>
              </w:rPr>
              <w:t>OR</w:t>
            </w:r>
          </w:p>
          <w:p w:rsidR="005727F0" w:rsidRPr="00684DD8" w:rsidRDefault="005727F0" w:rsidP="005727F0">
            <w:pPr>
              <w:rPr>
                <w:rFonts w:ascii="Arial Narrow" w:hAnsi="Arial Narrow"/>
                <w:i/>
                <w:color w:val="000000"/>
                <w:sz w:val="20"/>
              </w:rPr>
            </w:pPr>
          </w:p>
          <w:p w:rsidR="005727F0" w:rsidRPr="00684DD8" w:rsidRDefault="005727F0" w:rsidP="005727F0">
            <w:pPr>
              <w:rPr>
                <w:rFonts w:ascii="Arial Narrow" w:hAnsi="Arial Narrow"/>
                <w:color w:val="000000"/>
                <w:sz w:val="20"/>
              </w:rPr>
            </w:pPr>
            <w:r w:rsidRPr="00684DD8">
              <w:rPr>
                <w:rFonts w:ascii="Arial Narrow" w:hAnsi="Arial Narrow"/>
                <w:i/>
                <w:color w:val="000000"/>
                <w:sz w:val="20"/>
              </w:rPr>
              <w:t xml:space="preserve">Patient must be </w:t>
            </w:r>
            <w:r w:rsidRPr="00684DD8">
              <w:rPr>
                <w:rFonts w:ascii="Arial Narrow" w:hAnsi="Arial Narrow"/>
                <w:color w:val="000000"/>
                <w:sz w:val="20"/>
              </w:rPr>
              <w:t>awaiting stem cell transplant.</w:t>
            </w:r>
          </w:p>
        </w:tc>
      </w:tr>
      <w:tr w:rsidR="005727F0" w:rsidRPr="00684DD8" w:rsidTr="00180B6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b/>
                <w:sz w:val="20"/>
              </w:rPr>
            </w:pPr>
            <w:r w:rsidRPr="00684DD8">
              <w:rPr>
                <w:rFonts w:ascii="Arial Narrow" w:hAnsi="Arial Narrow"/>
                <w:b/>
                <w:sz w:val="20"/>
              </w:rPr>
              <w:t>Prescriber Instructions</w:t>
            </w:r>
          </w:p>
        </w:tc>
        <w:tc>
          <w:tcPr>
            <w:tcW w:w="6095" w:type="dxa"/>
            <w:gridSpan w:val="6"/>
            <w:tcBorders>
              <w:top w:val="single" w:sz="4" w:space="0" w:color="auto"/>
              <w:left w:val="single" w:sz="4" w:space="0" w:color="auto"/>
              <w:bottom w:val="single" w:sz="4" w:space="0" w:color="auto"/>
              <w:right w:val="single" w:sz="4" w:space="0" w:color="auto"/>
            </w:tcBorders>
          </w:tcPr>
          <w:p w:rsidR="005727F0" w:rsidRPr="00684DD8" w:rsidRDefault="005727F0" w:rsidP="005727F0">
            <w:pPr>
              <w:rPr>
                <w:rFonts w:ascii="Arial Narrow" w:hAnsi="Arial Narrow"/>
                <w:i/>
                <w:sz w:val="20"/>
              </w:rPr>
            </w:pPr>
            <w:r w:rsidRPr="00684DD8">
              <w:rPr>
                <w:rFonts w:ascii="Arial Narrow" w:hAnsi="Arial Narrow"/>
                <w:i/>
                <w:sz w:val="20"/>
              </w:rPr>
              <w:t xml:space="preserve">No more than 3 cycles will be authorised. </w:t>
            </w:r>
          </w:p>
        </w:tc>
      </w:tr>
    </w:tbl>
    <w:p w:rsidR="00A82A55" w:rsidRPr="00684DD8" w:rsidRDefault="00A82A55" w:rsidP="005727F0"/>
    <w:p w:rsidR="00E400A8" w:rsidRPr="00684DD8" w:rsidRDefault="00E400A8" w:rsidP="00B87442">
      <w:pPr>
        <w:pStyle w:val="ListParagraph"/>
        <w:widowControl/>
        <w:numPr>
          <w:ilvl w:val="1"/>
          <w:numId w:val="2"/>
        </w:numPr>
        <w:rPr>
          <w:szCs w:val="22"/>
        </w:rPr>
      </w:pPr>
      <w:r w:rsidRPr="00684DD8">
        <w:rPr>
          <w:szCs w:val="22"/>
        </w:rPr>
        <w:t>The proposed PBS restriction was the same as in the original submission, except for:</w:t>
      </w:r>
    </w:p>
    <w:p w:rsidR="00E400A8" w:rsidRPr="00684DD8" w:rsidRDefault="00E400A8" w:rsidP="00B87442">
      <w:pPr>
        <w:pStyle w:val="ListParagraph"/>
        <w:widowControl/>
        <w:numPr>
          <w:ilvl w:val="0"/>
          <w:numId w:val="5"/>
        </w:numPr>
        <w:rPr>
          <w:szCs w:val="22"/>
        </w:rPr>
      </w:pPr>
      <w:r w:rsidRPr="00684DD8">
        <w:rPr>
          <w:szCs w:val="22"/>
        </w:rPr>
        <w:lastRenderedPageBreak/>
        <w:t>the explicit exclusion of patients with central nervou</w:t>
      </w:r>
      <w:r w:rsidR="001B3D5D" w:rsidRPr="00684DD8">
        <w:rPr>
          <w:szCs w:val="22"/>
        </w:rPr>
        <w:t>s system or testis disease; and</w:t>
      </w:r>
    </w:p>
    <w:p w:rsidR="00E400A8" w:rsidRPr="00684DD8" w:rsidRDefault="00E400A8" w:rsidP="00B87442">
      <w:pPr>
        <w:pStyle w:val="ListParagraph"/>
        <w:widowControl/>
        <w:numPr>
          <w:ilvl w:val="0"/>
          <w:numId w:val="5"/>
        </w:numPr>
        <w:rPr>
          <w:szCs w:val="22"/>
        </w:rPr>
      </w:pPr>
      <w:proofErr w:type="gramStart"/>
      <w:r w:rsidRPr="00684DD8">
        <w:rPr>
          <w:szCs w:val="22"/>
        </w:rPr>
        <w:t>a</w:t>
      </w:r>
      <w:proofErr w:type="gramEnd"/>
      <w:r w:rsidRPr="00684DD8">
        <w:rPr>
          <w:szCs w:val="22"/>
        </w:rPr>
        <w:t xml:space="preserve"> </w:t>
      </w:r>
      <w:r w:rsidR="00D34A67">
        <w:rPr>
          <w:noProof/>
          <w:color w:val="000000"/>
          <w:szCs w:val="22"/>
          <w:highlight w:val="black"/>
        </w:rPr>
        <w:t>''''''</w:t>
      </w:r>
      <w:r w:rsidR="00324F91" w:rsidRPr="00684DD8">
        <w:rPr>
          <w:szCs w:val="22"/>
        </w:rPr>
        <w:t xml:space="preserve">% </w:t>
      </w:r>
      <w:r w:rsidR="00D06D2F" w:rsidRPr="00684DD8">
        <w:rPr>
          <w:szCs w:val="22"/>
        </w:rPr>
        <w:t xml:space="preserve">reduction in </w:t>
      </w:r>
      <w:r w:rsidR="00324F91" w:rsidRPr="00684DD8">
        <w:rPr>
          <w:szCs w:val="22"/>
        </w:rPr>
        <w:t xml:space="preserve">the </w:t>
      </w:r>
      <w:r w:rsidR="00D06D2F" w:rsidRPr="00684DD8">
        <w:rPr>
          <w:szCs w:val="22"/>
        </w:rPr>
        <w:t xml:space="preserve">effective ex-manufacturer </w:t>
      </w:r>
      <w:r w:rsidRPr="00684DD8">
        <w:rPr>
          <w:szCs w:val="22"/>
        </w:rPr>
        <w:t xml:space="preserve">price </w:t>
      </w:r>
      <w:r w:rsidR="00D06D2F" w:rsidRPr="00684DD8">
        <w:rPr>
          <w:szCs w:val="22"/>
        </w:rPr>
        <w:t>to</w:t>
      </w:r>
      <w:r w:rsidRPr="00684DD8">
        <w:rPr>
          <w:szCs w:val="22"/>
        </w:rPr>
        <w:t xml:space="preserve"> $</w:t>
      </w:r>
      <w:r w:rsidR="00D34A67">
        <w:rPr>
          <w:noProof/>
          <w:color w:val="000000"/>
          <w:szCs w:val="22"/>
          <w:highlight w:val="black"/>
        </w:rPr>
        <w:t>'''''''''''''''''''</w:t>
      </w:r>
      <w:r w:rsidR="00D06D2F" w:rsidRPr="00684DD8">
        <w:rPr>
          <w:szCs w:val="22"/>
        </w:rPr>
        <w:t xml:space="preserve"> per vial</w:t>
      </w:r>
      <w:r w:rsidRPr="00684DD8">
        <w:rPr>
          <w:szCs w:val="22"/>
        </w:rPr>
        <w:t>.</w:t>
      </w:r>
    </w:p>
    <w:p w:rsidR="00E400A8" w:rsidRPr="00684DD8" w:rsidRDefault="00E400A8" w:rsidP="00C70DC6">
      <w:pPr>
        <w:widowControl/>
        <w:rPr>
          <w:szCs w:val="22"/>
        </w:rPr>
      </w:pPr>
    </w:p>
    <w:p w:rsidR="00364A65" w:rsidRPr="00684DD8" w:rsidRDefault="00321A8A" w:rsidP="00B87442">
      <w:pPr>
        <w:pStyle w:val="ListParagraph"/>
        <w:widowControl/>
        <w:numPr>
          <w:ilvl w:val="1"/>
          <w:numId w:val="2"/>
        </w:numPr>
        <w:rPr>
          <w:szCs w:val="22"/>
        </w:rPr>
      </w:pPr>
      <w:proofErr w:type="spellStart"/>
      <w:r w:rsidRPr="00684DD8">
        <w:rPr>
          <w:szCs w:val="22"/>
        </w:rPr>
        <w:t>B</w:t>
      </w:r>
      <w:r w:rsidR="00364A65" w:rsidRPr="00684DD8">
        <w:rPr>
          <w:szCs w:val="22"/>
        </w:rPr>
        <w:t>linatumomab</w:t>
      </w:r>
      <w:proofErr w:type="spellEnd"/>
      <w:r w:rsidR="00364A65" w:rsidRPr="00684DD8">
        <w:rPr>
          <w:szCs w:val="22"/>
        </w:rPr>
        <w:t xml:space="preserve"> would be provided as an inpatient for the first nine days of Cycle 1 and the first two days of Cycle 2.</w:t>
      </w:r>
      <w:r w:rsidR="0083456D" w:rsidRPr="00684DD8">
        <w:rPr>
          <w:szCs w:val="22"/>
        </w:rPr>
        <w:t xml:space="preserve"> The re</w:t>
      </w:r>
      <w:r w:rsidRPr="00684DD8">
        <w:rPr>
          <w:szCs w:val="22"/>
        </w:rPr>
        <w:t xml:space="preserve">submission again requested PBS reimbursement for inpatient supply. </w:t>
      </w:r>
      <w:r w:rsidR="00217705" w:rsidRPr="00684DD8">
        <w:rPr>
          <w:szCs w:val="22"/>
        </w:rPr>
        <w:t>In November 2015</w:t>
      </w:r>
      <w:r w:rsidR="00C70DC6" w:rsidRPr="00684DD8">
        <w:rPr>
          <w:szCs w:val="22"/>
        </w:rPr>
        <w:t>,</w:t>
      </w:r>
      <w:r w:rsidR="00217705" w:rsidRPr="00684DD8">
        <w:rPr>
          <w:szCs w:val="22"/>
        </w:rPr>
        <w:t xml:space="preserve"> t</w:t>
      </w:r>
      <w:r w:rsidR="00364A65" w:rsidRPr="00684DD8">
        <w:rPr>
          <w:szCs w:val="22"/>
        </w:rPr>
        <w:t xml:space="preserve">he PBAC indicated that </w:t>
      </w:r>
      <w:proofErr w:type="spellStart"/>
      <w:r w:rsidR="00364A65" w:rsidRPr="00684DD8">
        <w:rPr>
          <w:szCs w:val="22"/>
        </w:rPr>
        <w:t>blinatumomab</w:t>
      </w:r>
      <w:proofErr w:type="spellEnd"/>
      <w:r w:rsidR="00364A65" w:rsidRPr="00684DD8">
        <w:rPr>
          <w:szCs w:val="22"/>
        </w:rPr>
        <w:t xml:space="preserve"> was more analogous to infliximab for the treatment of ulcerative colitis, which is not PBS reimbursed for inpatient use. The </w:t>
      </w:r>
      <w:r w:rsidR="00481C66" w:rsidRPr="00684DD8">
        <w:rPr>
          <w:szCs w:val="22"/>
        </w:rPr>
        <w:t>resubmission</w:t>
      </w:r>
      <w:r w:rsidR="00364A65" w:rsidRPr="00684DD8">
        <w:rPr>
          <w:szCs w:val="22"/>
        </w:rPr>
        <w:t xml:space="preserve"> claimed that </w:t>
      </w:r>
      <w:proofErr w:type="spellStart"/>
      <w:r w:rsidR="00364A65" w:rsidRPr="00684DD8">
        <w:rPr>
          <w:szCs w:val="22"/>
        </w:rPr>
        <w:t>blinatumomab</w:t>
      </w:r>
      <w:proofErr w:type="spellEnd"/>
      <w:r w:rsidR="00364A65" w:rsidRPr="00684DD8">
        <w:rPr>
          <w:szCs w:val="22"/>
        </w:rPr>
        <w:t xml:space="preserve"> was more analogous to </w:t>
      </w:r>
      <w:proofErr w:type="spellStart"/>
      <w:r w:rsidR="00364A65" w:rsidRPr="00684DD8">
        <w:rPr>
          <w:szCs w:val="22"/>
        </w:rPr>
        <w:t>eculizumab</w:t>
      </w:r>
      <w:proofErr w:type="spellEnd"/>
      <w:r w:rsidR="00364A65" w:rsidRPr="00684DD8">
        <w:rPr>
          <w:szCs w:val="22"/>
        </w:rPr>
        <w:t xml:space="preserve"> for the treatment of atypical ha</w:t>
      </w:r>
      <w:r w:rsidR="00D3779D" w:rsidRPr="00684DD8">
        <w:rPr>
          <w:szCs w:val="22"/>
        </w:rPr>
        <w:t>emolytic uraemic syndrome</w:t>
      </w:r>
      <w:r w:rsidR="00217705" w:rsidRPr="00684DD8">
        <w:rPr>
          <w:szCs w:val="22"/>
        </w:rPr>
        <w:t>, which is reimbursed in the inpatient setting.</w:t>
      </w:r>
    </w:p>
    <w:p w:rsidR="00433081" w:rsidRPr="00684DD8" w:rsidRDefault="00433081" w:rsidP="00433081">
      <w:pPr>
        <w:widowControl/>
        <w:rPr>
          <w:szCs w:val="22"/>
        </w:rPr>
      </w:pPr>
    </w:p>
    <w:p w:rsidR="00433081" w:rsidRPr="00684DD8" w:rsidRDefault="00433081" w:rsidP="00B87442">
      <w:pPr>
        <w:pStyle w:val="ListParagraph"/>
        <w:widowControl/>
        <w:numPr>
          <w:ilvl w:val="1"/>
          <w:numId w:val="2"/>
        </w:numPr>
        <w:rPr>
          <w:szCs w:val="22"/>
        </w:rPr>
      </w:pPr>
      <w:r w:rsidRPr="00684DD8">
        <w:rPr>
          <w:szCs w:val="22"/>
        </w:rPr>
        <w:t xml:space="preserve">To reflect the advice of the PBAC in November 2015 that PBS subsidised </w:t>
      </w:r>
      <w:proofErr w:type="spellStart"/>
      <w:r w:rsidRPr="00684DD8">
        <w:rPr>
          <w:szCs w:val="22"/>
        </w:rPr>
        <w:t>blinatumomab</w:t>
      </w:r>
      <w:proofErr w:type="spellEnd"/>
      <w:r w:rsidRPr="00684DD8">
        <w:rPr>
          <w:szCs w:val="22"/>
        </w:rPr>
        <w:t xml:space="preserve"> should not be provided to inpatients, a maximum quantity of 1 vial with 22 repeats for cycle 1, and 27 repeats for cycle 2, </w:t>
      </w:r>
      <w:r w:rsidR="00C70DC6" w:rsidRPr="00684DD8">
        <w:rPr>
          <w:szCs w:val="22"/>
        </w:rPr>
        <w:t>w</w:t>
      </w:r>
      <w:r w:rsidRPr="00684DD8">
        <w:rPr>
          <w:szCs w:val="22"/>
        </w:rPr>
        <w:t xml:space="preserve">as </w:t>
      </w:r>
      <w:r w:rsidR="00C70DC6" w:rsidRPr="00684DD8">
        <w:rPr>
          <w:szCs w:val="22"/>
        </w:rPr>
        <w:t>proposed by the Secretariat.</w:t>
      </w:r>
    </w:p>
    <w:p w:rsidR="00364A65" w:rsidRPr="00684DD8" w:rsidRDefault="00364A65" w:rsidP="00583EB2">
      <w:pPr>
        <w:widowControl/>
        <w:rPr>
          <w:szCs w:val="22"/>
        </w:rPr>
      </w:pPr>
    </w:p>
    <w:p w:rsidR="00B60939" w:rsidRPr="00684DD8" w:rsidRDefault="00E400A8" w:rsidP="00B87442">
      <w:pPr>
        <w:pStyle w:val="ListParagraph"/>
        <w:widowControl/>
        <w:numPr>
          <w:ilvl w:val="1"/>
          <w:numId w:val="2"/>
        </w:numPr>
        <w:rPr>
          <w:szCs w:val="22"/>
        </w:rPr>
      </w:pPr>
      <w:r w:rsidRPr="00684DD8">
        <w:rPr>
          <w:szCs w:val="22"/>
        </w:rPr>
        <w:t xml:space="preserve">The </w:t>
      </w:r>
      <w:r w:rsidR="00481C66" w:rsidRPr="00684DD8">
        <w:rPr>
          <w:szCs w:val="22"/>
        </w:rPr>
        <w:t>resubmission</w:t>
      </w:r>
      <w:r w:rsidRPr="00684DD8">
        <w:rPr>
          <w:szCs w:val="22"/>
        </w:rPr>
        <w:t xml:space="preserve"> presented a cost-utility analysis compar</w:t>
      </w:r>
      <w:r w:rsidR="00401639" w:rsidRPr="00684DD8">
        <w:rPr>
          <w:szCs w:val="22"/>
        </w:rPr>
        <w:t xml:space="preserve">ing </w:t>
      </w:r>
      <w:proofErr w:type="spellStart"/>
      <w:r w:rsidR="00401639" w:rsidRPr="00684DD8">
        <w:rPr>
          <w:szCs w:val="22"/>
        </w:rPr>
        <w:t>blinatumomab</w:t>
      </w:r>
      <w:proofErr w:type="spellEnd"/>
      <w:r w:rsidR="00401639" w:rsidRPr="00684DD8">
        <w:rPr>
          <w:szCs w:val="22"/>
        </w:rPr>
        <w:t xml:space="preserve"> with</w:t>
      </w:r>
      <w:r w:rsidRPr="00684DD8">
        <w:rPr>
          <w:szCs w:val="22"/>
        </w:rPr>
        <w:t xml:space="preserve"> </w:t>
      </w:r>
      <w:r w:rsidR="00C926FC" w:rsidRPr="00684DD8">
        <w:rPr>
          <w:szCs w:val="22"/>
        </w:rPr>
        <w:t>standard care</w:t>
      </w:r>
      <w:r w:rsidRPr="00684DD8">
        <w:rPr>
          <w:szCs w:val="22"/>
        </w:rPr>
        <w:t xml:space="preserve"> chemotherapy (represented in the economic model and financial estimates by </w:t>
      </w:r>
      <w:proofErr w:type="spellStart"/>
      <w:r w:rsidRPr="00684DD8">
        <w:rPr>
          <w:szCs w:val="22"/>
        </w:rPr>
        <w:t>fludarabine</w:t>
      </w:r>
      <w:proofErr w:type="spellEnd"/>
      <w:r w:rsidRPr="00684DD8">
        <w:rPr>
          <w:szCs w:val="22"/>
        </w:rPr>
        <w:t xml:space="preserve">, </w:t>
      </w:r>
      <w:proofErr w:type="spellStart"/>
      <w:r w:rsidRPr="00684DD8">
        <w:rPr>
          <w:szCs w:val="22"/>
        </w:rPr>
        <w:t>cytarabine</w:t>
      </w:r>
      <w:proofErr w:type="spellEnd"/>
      <w:r w:rsidRPr="00684DD8">
        <w:rPr>
          <w:szCs w:val="22"/>
        </w:rPr>
        <w:t>, granulocyte-colony stimulating factor</w:t>
      </w:r>
      <w:r w:rsidR="00324F91" w:rsidRPr="00684DD8">
        <w:rPr>
          <w:szCs w:val="22"/>
        </w:rPr>
        <w:t xml:space="preserve"> (FLAG) plus</w:t>
      </w:r>
      <w:r w:rsidRPr="00684DD8">
        <w:rPr>
          <w:szCs w:val="22"/>
        </w:rPr>
        <w:t xml:space="preserve"> </w:t>
      </w:r>
      <w:proofErr w:type="spellStart"/>
      <w:r w:rsidRPr="00684DD8">
        <w:rPr>
          <w:szCs w:val="22"/>
        </w:rPr>
        <w:t>idarubicin</w:t>
      </w:r>
      <w:proofErr w:type="spellEnd"/>
      <w:r w:rsidRPr="00684DD8">
        <w:rPr>
          <w:szCs w:val="22"/>
        </w:rPr>
        <w:t>).</w:t>
      </w:r>
    </w:p>
    <w:p w:rsidR="001B6188" w:rsidRPr="00684DD8" w:rsidRDefault="001B6188" w:rsidP="00497F10"/>
    <w:p w:rsidR="00DD2FC3" w:rsidRPr="005F78B6" w:rsidRDefault="00DD2FC3" w:rsidP="005F78B6">
      <w:pPr>
        <w:ind w:firstLine="720"/>
        <w:rPr>
          <w:bCs/>
          <w:i/>
          <w:szCs w:val="22"/>
        </w:rPr>
      </w:pPr>
      <w:r w:rsidRPr="00684DD8">
        <w:rPr>
          <w:bCs/>
          <w:i/>
          <w:szCs w:val="22"/>
        </w:rPr>
        <w:t>For more detail on PBAC’s view, see section 7 “PBAC outcome”</w:t>
      </w:r>
      <w:r w:rsidR="001B3D5D" w:rsidRPr="00684DD8">
        <w:rPr>
          <w:bCs/>
          <w:i/>
          <w:szCs w:val="22"/>
        </w:rPr>
        <w:t>.</w:t>
      </w:r>
    </w:p>
    <w:p w:rsidR="009C6ED9" w:rsidRPr="00684DD8" w:rsidRDefault="009C6ED9" w:rsidP="00497F10"/>
    <w:p w:rsidR="00B60939" w:rsidRPr="009C6ED9" w:rsidRDefault="00B60939" w:rsidP="00D34A67"/>
    <w:p w:rsidR="009C6ED9" w:rsidRDefault="00C70DC6" w:rsidP="003C215E">
      <w:pPr>
        <w:pStyle w:val="Heading2"/>
      </w:pPr>
      <w:r w:rsidRPr="009C6ED9">
        <w:t>Background</w:t>
      </w:r>
    </w:p>
    <w:p w:rsidR="005F78B6" w:rsidRPr="009C6ED9" w:rsidRDefault="005F78B6" w:rsidP="003C215E"/>
    <w:p w:rsidR="00B60939" w:rsidRPr="00684DD8" w:rsidRDefault="00B60939" w:rsidP="00CF39C5">
      <w:pPr>
        <w:pStyle w:val="ListParagraph"/>
        <w:numPr>
          <w:ilvl w:val="1"/>
          <w:numId w:val="30"/>
        </w:numPr>
      </w:pPr>
      <w:r w:rsidRPr="00684DD8">
        <w:t xml:space="preserve">TGA status: </w:t>
      </w:r>
      <w:proofErr w:type="spellStart"/>
      <w:r w:rsidR="00A82A55" w:rsidRPr="00684DD8">
        <w:t>Blinatumomab</w:t>
      </w:r>
      <w:proofErr w:type="spellEnd"/>
      <w:r w:rsidR="00A82A55" w:rsidRPr="00684DD8">
        <w:t xml:space="preserve"> </w:t>
      </w:r>
      <w:r w:rsidRPr="00684DD8">
        <w:t xml:space="preserve">was TGA registered on </w:t>
      </w:r>
      <w:r w:rsidR="00A82A55" w:rsidRPr="00684DD8">
        <w:t>9 November 2015</w:t>
      </w:r>
      <w:r w:rsidRPr="00684DD8">
        <w:t xml:space="preserve"> for</w:t>
      </w:r>
      <w:r w:rsidR="00A82A55" w:rsidRPr="00684DD8">
        <w:t xml:space="preserve"> the treatment of adults with Philadelphia chromosome</w:t>
      </w:r>
      <w:r w:rsidR="00324F91" w:rsidRPr="00684DD8">
        <w:t xml:space="preserve"> </w:t>
      </w:r>
      <w:r w:rsidR="00A82A55" w:rsidRPr="00684DD8">
        <w:t>negative relapsed or refractory B-precursor acute lymphoblastic leukaemia.</w:t>
      </w:r>
    </w:p>
    <w:p w:rsidR="00A82A55" w:rsidRPr="00684DD8" w:rsidRDefault="00A82A55" w:rsidP="00C70DC6">
      <w:pPr>
        <w:widowControl/>
      </w:pPr>
    </w:p>
    <w:p w:rsidR="00B60939" w:rsidRPr="00684DD8" w:rsidRDefault="00A82A55" w:rsidP="00CF39C5">
      <w:pPr>
        <w:pStyle w:val="ListParagraph"/>
        <w:widowControl/>
        <w:numPr>
          <w:ilvl w:val="1"/>
          <w:numId w:val="30"/>
        </w:numPr>
        <w:rPr>
          <w:szCs w:val="22"/>
        </w:rPr>
      </w:pPr>
      <w:proofErr w:type="spellStart"/>
      <w:r w:rsidRPr="00684DD8">
        <w:rPr>
          <w:szCs w:val="22"/>
        </w:rPr>
        <w:t>Blinatumomab</w:t>
      </w:r>
      <w:proofErr w:type="spellEnd"/>
      <w:r w:rsidRPr="00684DD8">
        <w:rPr>
          <w:szCs w:val="22"/>
        </w:rPr>
        <w:t xml:space="preserve"> was considered by </w:t>
      </w:r>
      <w:r w:rsidR="00C70DC6" w:rsidRPr="00684DD8">
        <w:rPr>
          <w:szCs w:val="22"/>
        </w:rPr>
        <w:t xml:space="preserve">the </w:t>
      </w:r>
      <w:r w:rsidRPr="00684DD8">
        <w:rPr>
          <w:szCs w:val="22"/>
        </w:rPr>
        <w:t>PBAC once previously, in November 2015.</w:t>
      </w:r>
    </w:p>
    <w:p w:rsidR="00B60939" w:rsidRPr="00684DD8" w:rsidRDefault="00B60939" w:rsidP="00577717"/>
    <w:p w:rsidR="001D112E" w:rsidRPr="00684DD8" w:rsidRDefault="0029560C" w:rsidP="00CF39C5">
      <w:pPr>
        <w:pStyle w:val="ListParagraph"/>
        <w:widowControl/>
        <w:numPr>
          <w:ilvl w:val="1"/>
          <w:numId w:val="30"/>
        </w:numPr>
      </w:pPr>
      <w:r w:rsidRPr="00684DD8">
        <w:t>The table below presents a summary of the November 2015 submission</w:t>
      </w:r>
      <w:r w:rsidR="00583EB2" w:rsidRPr="00684DD8">
        <w:t>,</w:t>
      </w:r>
      <w:r w:rsidRPr="00684DD8">
        <w:t xml:space="preserve"> PBAC comments and the July 2016 </w:t>
      </w:r>
      <w:r w:rsidR="00481C66" w:rsidRPr="00684DD8">
        <w:t>resubmission</w:t>
      </w:r>
      <w:r w:rsidR="00C70DC6" w:rsidRPr="00684DD8">
        <w:t>.</w:t>
      </w:r>
    </w:p>
    <w:p w:rsidR="0029560C" w:rsidRPr="00684DD8" w:rsidRDefault="0029560C" w:rsidP="0029560C">
      <w:pPr>
        <w:widowControl/>
      </w:pPr>
    </w:p>
    <w:p w:rsidR="001D112E" w:rsidRPr="00684DD8" w:rsidRDefault="00583EB2" w:rsidP="00583EB2">
      <w:pPr>
        <w:keepNext/>
        <w:ind w:firstLine="720"/>
        <w:rPr>
          <w:rStyle w:val="CommentReference"/>
        </w:rPr>
      </w:pPr>
      <w:r w:rsidRPr="00684DD8">
        <w:rPr>
          <w:rStyle w:val="CommentReference"/>
        </w:rPr>
        <w:lastRenderedPageBreak/>
        <w:t xml:space="preserve">Table </w:t>
      </w:r>
      <w:r w:rsidR="009A5189" w:rsidRPr="00684DD8">
        <w:rPr>
          <w:rStyle w:val="CommentReference"/>
        </w:rPr>
        <w:t>1</w:t>
      </w:r>
      <w:r w:rsidRPr="00684DD8">
        <w:rPr>
          <w:rStyle w:val="CommentReference"/>
        </w:rPr>
        <w:t xml:space="preserve">: </w:t>
      </w:r>
      <w:r w:rsidR="001D112E" w:rsidRPr="00684DD8">
        <w:rPr>
          <w:rStyle w:val="CommentReference"/>
        </w:rPr>
        <w:t xml:space="preserve">Summary of the </w:t>
      </w:r>
      <w:r w:rsidR="003754F1" w:rsidRPr="00684DD8">
        <w:rPr>
          <w:rStyle w:val="CommentReference"/>
        </w:rPr>
        <w:t>original</w:t>
      </w:r>
      <w:r w:rsidR="001D112E" w:rsidRPr="00684DD8">
        <w:rPr>
          <w:rStyle w:val="CommentReference"/>
        </w:rPr>
        <w:t xml:space="preserve"> submission and current </w:t>
      </w:r>
      <w:r w:rsidR="00481C66" w:rsidRPr="00684DD8">
        <w:rPr>
          <w:rStyle w:val="CommentReference"/>
        </w:rPr>
        <w:t>resubmission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3543"/>
        <w:gridCol w:w="3402"/>
      </w:tblGrid>
      <w:tr w:rsidR="00780826" w:rsidRPr="00684DD8" w:rsidTr="003F08B9">
        <w:trPr>
          <w:trHeight w:val="220"/>
          <w:tblHeader/>
        </w:trPr>
        <w:tc>
          <w:tcPr>
            <w:tcW w:w="1418" w:type="dxa"/>
          </w:tcPr>
          <w:p w:rsidR="001D112E" w:rsidRPr="00684DD8" w:rsidRDefault="001D112E" w:rsidP="00583EB2">
            <w:pPr>
              <w:keepNext/>
              <w:jc w:val="left"/>
              <w:rPr>
                <w:rFonts w:ascii="Arial Narrow" w:hAnsi="Arial Narrow"/>
                <w:sz w:val="20"/>
              </w:rPr>
            </w:pPr>
          </w:p>
        </w:tc>
        <w:tc>
          <w:tcPr>
            <w:tcW w:w="3543" w:type="dxa"/>
            <w:vAlign w:val="center"/>
          </w:tcPr>
          <w:p w:rsidR="001D112E" w:rsidRPr="00684DD8" w:rsidRDefault="00D82F16" w:rsidP="00583EB2">
            <w:pPr>
              <w:keepNext/>
              <w:jc w:val="center"/>
              <w:rPr>
                <w:rFonts w:ascii="Arial Narrow" w:hAnsi="Arial Narrow"/>
                <w:b/>
                <w:sz w:val="20"/>
              </w:rPr>
            </w:pPr>
            <w:r w:rsidRPr="00684DD8">
              <w:rPr>
                <w:rFonts w:ascii="Arial Narrow" w:hAnsi="Arial Narrow"/>
                <w:b/>
                <w:sz w:val="20"/>
              </w:rPr>
              <w:t>November 2015</w:t>
            </w:r>
            <w:r w:rsidR="00B47E37" w:rsidRPr="00684DD8">
              <w:rPr>
                <w:rFonts w:ascii="Arial Narrow" w:hAnsi="Arial Narrow"/>
                <w:b/>
                <w:sz w:val="20"/>
              </w:rPr>
              <w:t xml:space="preserve"> submission</w:t>
            </w:r>
          </w:p>
        </w:tc>
        <w:tc>
          <w:tcPr>
            <w:tcW w:w="3402" w:type="dxa"/>
            <w:vAlign w:val="center"/>
          </w:tcPr>
          <w:p w:rsidR="001D112E" w:rsidRPr="00684DD8" w:rsidRDefault="00B47E37" w:rsidP="00583EB2">
            <w:pPr>
              <w:keepNext/>
              <w:jc w:val="center"/>
              <w:rPr>
                <w:rFonts w:ascii="Arial Narrow" w:hAnsi="Arial Narrow"/>
                <w:b/>
                <w:sz w:val="20"/>
              </w:rPr>
            </w:pPr>
            <w:r w:rsidRPr="00684DD8">
              <w:rPr>
                <w:rFonts w:ascii="Arial Narrow" w:hAnsi="Arial Narrow"/>
                <w:b/>
                <w:sz w:val="20"/>
              </w:rPr>
              <w:t xml:space="preserve">July 2016 </w:t>
            </w:r>
            <w:r w:rsidR="00481C66" w:rsidRPr="00684DD8">
              <w:rPr>
                <w:rFonts w:ascii="Arial Narrow" w:hAnsi="Arial Narrow"/>
                <w:b/>
                <w:sz w:val="20"/>
              </w:rPr>
              <w:t>resubmission</w:t>
            </w:r>
          </w:p>
        </w:tc>
      </w:tr>
      <w:tr w:rsidR="00780826" w:rsidRPr="00684DD8" w:rsidTr="003F08B9">
        <w:trPr>
          <w:trHeight w:val="794"/>
          <w:tblHeader/>
        </w:trPr>
        <w:tc>
          <w:tcPr>
            <w:tcW w:w="1418" w:type="dxa"/>
          </w:tcPr>
          <w:p w:rsidR="001D112E" w:rsidRPr="00684DD8" w:rsidRDefault="001D112E" w:rsidP="00583EB2">
            <w:pPr>
              <w:keepNext/>
              <w:jc w:val="left"/>
              <w:rPr>
                <w:rFonts w:ascii="Arial Narrow" w:hAnsi="Arial Narrow"/>
                <w:sz w:val="20"/>
              </w:rPr>
            </w:pPr>
            <w:r w:rsidRPr="00684DD8">
              <w:rPr>
                <w:rFonts w:ascii="Arial Narrow" w:hAnsi="Arial Narrow"/>
                <w:sz w:val="20"/>
              </w:rPr>
              <w:t>Requested PBS listing</w:t>
            </w:r>
          </w:p>
        </w:tc>
        <w:tc>
          <w:tcPr>
            <w:tcW w:w="3543" w:type="dxa"/>
          </w:tcPr>
          <w:p w:rsidR="001D112E" w:rsidRPr="00684DD8" w:rsidRDefault="00A67C2A" w:rsidP="00583EB2">
            <w:pPr>
              <w:keepNext/>
              <w:jc w:val="left"/>
              <w:rPr>
                <w:rFonts w:ascii="Arial Narrow" w:hAnsi="Arial Narrow"/>
                <w:sz w:val="20"/>
              </w:rPr>
            </w:pPr>
            <w:r w:rsidRPr="00684DD8">
              <w:rPr>
                <w:rFonts w:ascii="Arial Narrow" w:hAnsi="Arial Narrow"/>
                <w:sz w:val="20"/>
              </w:rPr>
              <w:t>•</w:t>
            </w:r>
            <w:r w:rsidR="00B60E2F" w:rsidRPr="00684DD8">
              <w:rPr>
                <w:rFonts w:ascii="Arial Narrow" w:hAnsi="Arial Narrow"/>
                <w:sz w:val="20"/>
              </w:rPr>
              <w:t xml:space="preserve"> </w:t>
            </w:r>
            <w:r w:rsidRPr="00684DD8">
              <w:rPr>
                <w:rFonts w:ascii="Arial Narrow" w:hAnsi="Arial Narrow"/>
                <w:sz w:val="20"/>
              </w:rPr>
              <w:t>Section 100, Highly Specialised Drug listing for the treatment of relapsed or refractory Ph- B-precursor ALL</w:t>
            </w:r>
          </w:p>
          <w:p w:rsidR="001D112E" w:rsidRPr="00684DD8" w:rsidRDefault="001D112E" w:rsidP="00583EB2">
            <w:pPr>
              <w:keepNext/>
              <w:jc w:val="left"/>
              <w:rPr>
                <w:rFonts w:ascii="Arial Narrow" w:hAnsi="Arial Narrow"/>
                <w:b/>
                <w:sz w:val="12"/>
                <w:szCs w:val="12"/>
              </w:rPr>
            </w:pPr>
            <w:r w:rsidRPr="00684DD8">
              <w:rPr>
                <w:rFonts w:ascii="Arial Narrow" w:hAnsi="Arial Narrow"/>
                <w:b/>
                <w:sz w:val="20"/>
              </w:rPr>
              <w:t xml:space="preserve"> </w:t>
            </w:r>
          </w:p>
          <w:p w:rsidR="004B07EE" w:rsidRPr="00684DD8" w:rsidRDefault="001D112E" w:rsidP="00583EB2">
            <w:pPr>
              <w:keepNext/>
              <w:jc w:val="left"/>
              <w:rPr>
                <w:rFonts w:ascii="Arial Narrow" w:hAnsi="Arial Narrow"/>
                <w:b/>
                <w:sz w:val="20"/>
              </w:rPr>
            </w:pPr>
            <w:r w:rsidRPr="00684DD8">
              <w:rPr>
                <w:rFonts w:ascii="Arial Narrow" w:hAnsi="Arial Narrow"/>
                <w:b/>
                <w:sz w:val="20"/>
              </w:rPr>
              <w:t>PBAC Comment:</w:t>
            </w:r>
          </w:p>
          <w:p w:rsidR="004B07EE" w:rsidRPr="00684DD8" w:rsidRDefault="004B07EE" w:rsidP="00583EB2">
            <w:pPr>
              <w:keepNext/>
              <w:jc w:val="left"/>
              <w:rPr>
                <w:rFonts w:ascii="Arial Narrow" w:hAnsi="Arial Narrow"/>
                <w:sz w:val="20"/>
              </w:rPr>
            </w:pPr>
            <w:r w:rsidRPr="00684DD8">
              <w:rPr>
                <w:rFonts w:ascii="Arial Narrow" w:hAnsi="Arial Narrow"/>
                <w:sz w:val="20"/>
              </w:rPr>
              <w:t>Initial written authority was appropriate, with telephone authority for first and second continuation.</w:t>
            </w:r>
          </w:p>
          <w:p w:rsidR="00B60E2F" w:rsidRPr="00684DD8" w:rsidRDefault="001D112E" w:rsidP="00583EB2">
            <w:pPr>
              <w:keepNext/>
              <w:jc w:val="left"/>
              <w:rPr>
                <w:rFonts w:ascii="Arial Narrow" w:hAnsi="Arial Narrow"/>
                <w:b/>
                <w:sz w:val="12"/>
                <w:szCs w:val="12"/>
              </w:rPr>
            </w:pPr>
            <w:r w:rsidRPr="00684DD8">
              <w:rPr>
                <w:rFonts w:ascii="Arial Narrow" w:hAnsi="Arial Narrow"/>
                <w:b/>
                <w:sz w:val="20"/>
              </w:rPr>
              <w:t xml:space="preserve"> </w:t>
            </w:r>
          </w:p>
          <w:p w:rsidR="001D112E" w:rsidRPr="00684DD8" w:rsidRDefault="00D82F16" w:rsidP="00583EB2">
            <w:pPr>
              <w:keepNext/>
              <w:jc w:val="left"/>
              <w:rPr>
                <w:rFonts w:ascii="Arial Narrow" w:hAnsi="Arial Narrow"/>
                <w:sz w:val="20"/>
              </w:rPr>
            </w:pPr>
            <w:r w:rsidRPr="00684DD8">
              <w:rPr>
                <w:rFonts w:ascii="Arial Narrow" w:hAnsi="Arial Narrow"/>
                <w:sz w:val="20"/>
              </w:rPr>
              <w:t>The restriction should explicitly exclude patients with CNS disease</w:t>
            </w:r>
            <w:r w:rsidR="007A4B28" w:rsidRPr="00684DD8">
              <w:rPr>
                <w:rFonts w:ascii="Arial Narrow" w:hAnsi="Arial Narrow"/>
                <w:sz w:val="20"/>
              </w:rPr>
              <w:t>.</w:t>
            </w:r>
          </w:p>
          <w:p w:rsidR="00B60E2F" w:rsidRPr="00684DD8" w:rsidRDefault="00B60E2F" w:rsidP="00583EB2">
            <w:pPr>
              <w:keepNext/>
              <w:jc w:val="left"/>
              <w:rPr>
                <w:rFonts w:ascii="Arial Narrow" w:hAnsi="Arial Narrow"/>
                <w:sz w:val="12"/>
                <w:szCs w:val="12"/>
              </w:rPr>
            </w:pPr>
          </w:p>
          <w:p w:rsidR="003870F7" w:rsidRPr="00684DD8" w:rsidRDefault="007A4B28" w:rsidP="00217705">
            <w:pPr>
              <w:keepNext/>
              <w:jc w:val="left"/>
              <w:rPr>
                <w:rFonts w:ascii="Arial Narrow" w:hAnsi="Arial Narrow"/>
                <w:sz w:val="20"/>
              </w:rPr>
            </w:pPr>
            <w:r w:rsidRPr="00684DD8">
              <w:rPr>
                <w:rFonts w:ascii="Arial Narrow" w:hAnsi="Arial Narrow"/>
                <w:sz w:val="20"/>
              </w:rPr>
              <w:t xml:space="preserve">PBS subsidised </w:t>
            </w:r>
            <w:proofErr w:type="spellStart"/>
            <w:r w:rsidRPr="00684DD8">
              <w:rPr>
                <w:rFonts w:ascii="Arial Narrow" w:hAnsi="Arial Narrow"/>
                <w:sz w:val="20"/>
              </w:rPr>
              <w:t>blinatumomab</w:t>
            </w:r>
            <w:proofErr w:type="spellEnd"/>
            <w:r w:rsidRPr="00684DD8">
              <w:rPr>
                <w:rFonts w:ascii="Arial Narrow" w:hAnsi="Arial Narrow"/>
                <w:sz w:val="20"/>
              </w:rPr>
              <w:t xml:space="preserve"> should not be provided to </w:t>
            </w:r>
            <w:r w:rsidR="00B60E2F" w:rsidRPr="00684DD8">
              <w:rPr>
                <w:rFonts w:ascii="Arial Narrow" w:hAnsi="Arial Narrow"/>
                <w:sz w:val="20"/>
              </w:rPr>
              <w:t>in</w:t>
            </w:r>
            <w:r w:rsidRPr="00684DD8">
              <w:rPr>
                <w:rFonts w:ascii="Arial Narrow" w:hAnsi="Arial Narrow"/>
                <w:sz w:val="20"/>
              </w:rPr>
              <w:t>patients.</w:t>
            </w:r>
          </w:p>
        </w:tc>
        <w:tc>
          <w:tcPr>
            <w:tcW w:w="3402" w:type="dxa"/>
          </w:tcPr>
          <w:p w:rsidR="00B60E2F" w:rsidRPr="00684DD8" w:rsidRDefault="000D49DB" w:rsidP="00583EB2">
            <w:pPr>
              <w:keepNext/>
              <w:jc w:val="left"/>
              <w:rPr>
                <w:rFonts w:ascii="Arial Narrow" w:hAnsi="Arial Narrow"/>
                <w:sz w:val="20"/>
              </w:rPr>
            </w:pPr>
            <w:r w:rsidRPr="00684DD8">
              <w:rPr>
                <w:rFonts w:ascii="Arial Narrow" w:hAnsi="Arial Narrow"/>
                <w:sz w:val="20"/>
              </w:rPr>
              <w:t>• Minor changes.</w:t>
            </w:r>
          </w:p>
          <w:p w:rsidR="00B60E2F" w:rsidRPr="00684DD8" w:rsidRDefault="00B60E2F" w:rsidP="00583EB2">
            <w:pPr>
              <w:keepNext/>
              <w:jc w:val="left"/>
              <w:rPr>
                <w:rFonts w:ascii="Arial Narrow" w:hAnsi="Arial Narrow"/>
                <w:sz w:val="20"/>
              </w:rPr>
            </w:pPr>
          </w:p>
          <w:p w:rsidR="00B60E2F" w:rsidRPr="00684DD8" w:rsidRDefault="00B60E2F" w:rsidP="00583EB2">
            <w:pPr>
              <w:keepNext/>
              <w:jc w:val="left"/>
              <w:rPr>
                <w:rFonts w:ascii="Arial Narrow" w:hAnsi="Arial Narrow"/>
                <w:sz w:val="20"/>
              </w:rPr>
            </w:pPr>
          </w:p>
          <w:p w:rsidR="00B60E2F" w:rsidRPr="00684DD8" w:rsidRDefault="00B60E2F" w:rsidP="00583EB2">
            <w:pPr>
              <w:keepNext/>
              <w:jc w:val="left"/>
              <w:rPr>
                <w:rFonts w:ascii="Arial Narrow" w:hAnsi="Arial Narrow"/>
                <w:sz w:val="12"/>
                <w:szCs w:val="12"/>
              </w:rPr>
            </w:pPr>
          </w:p>
          <w:p w:rsidR="00ED0D8C" w:rsidRPr="00684DD8" w:rsidRDefault="00ED0D8C" w:rsidP="00583EB2">
            <w:pPr>
              <w:keepNext/>
              <w:jc w:val="left"/>
              <w:rPr>
                <w:rFonts w:ascii="Arial Narrow" w:hAnsi="Arial Narrow"/>
                <w:sz w:val="20"/>
              </w:rPr>
            </w:pPr>
          </w:p>
          <w:p w:rsidR="004B07EE" w:rsidRPr="00684DD8" w:rsidRDefault="00481C66" w:rsidP="00583EB2">
            <w:pPr>
              <w:keepNext/>
              <w:jc w:val="left"/>
              <w:rPr>
                <w:rFonts w:ascii="Arial Narrow" w:hAnsi="Arial Narrow"/>
                <w:sz w:val="20"/>
              </w:rPr>
            </w:pPr>
            <w:r w:rsidRPr="00684DD8">
              <w:rPr>
                <w:rFonts w:ascii="Arial Narrow" w:hAnsi="Arial Narrow"/>
                <w:sz w:val="20"/>
              </w:rPr>
              <w:t>Resubmission</w:t>
            </w:r>
            <w:r w:rsidR="004B07EE" w:rsidRPr="00684DD8">
              <w:rPr>
                <w:rFonts w:ascii="Arial Narrow" w:hAnsi="Arial Narrow"/>
                <w:sz w:val="20"/>
              </w:rPr>
              <w:t xml:space="preserve"> agreed</w:t>
            </w:r>
            <w:r w:rsidR="000D49DB" w:rsidRPr="00684DD8">
              <w:rPr>
                <w:rFonts w:ascii="Arial Narrow" w:hAnsi="Arial Narrow"/>
                <w:sz w:val="20"/>
              </w:rPr>
              <w:t>.</w:t>
            </w:r>
          </w:p>
          <w:p w:rsidR="004B07EE" w:rsidRPr="00684DD8" w:rsidRDefault="004B07EE" w:rsidP="00583EB2">
            <w:pPr>
              <w:keepNext/>
              <w:jc w:val="left"/>
              <w:rPr>
                <w:rFonts w:ascii="Arial Narrow" w:hAnsi="Arial Narrow"/>
                <w:sz w:val="20"/>
              </w:rPr>
            </w:pPr>
          </w:p>
          <w:p w:rsidR="004B07EE" w:rsidRPr="00684DD8" w:rsidRDefault="004B07EE" w:rsidP="00583EB2">
            <w:pPr>
              <w:keepNext/>
              <w:jc w:val="left"/>
              <w:rPr>
                <w:rFonts w:ascii="Arial Narrow" w:hAnsi="Arial Narrow"/>
                <w:sz w:val="20"/>
              </w:rPr>
            </w:pPr>
          </w:p>
          <w:p w:rsidR="004B07EE" w:rsidRPr="00684DD8" w:rsidRDefault="004B07EE" w:rsidP="00583EB2">
            <w:pPr>
              <w:keepNext/>
              <w:jc w:val="left"/>
              <w:rPr>
                <w:rFonts w:ascii="Arial Narrow" w:hAnsi="Arial Narrow"/>
                <w:sz w:val="12"/>
                <w:szCs w:val="12"/>
              </w:rPr>
            </w:pPr>
          </w:p>
          <w:p w:rsidR="001D112E" w:rsidRPr="00684DD8" w:rsidRDefault="00D82F16" w:rsidP="00583EB2">
            <w:pPr>
              <w:keepNext/>
              <w:jc w:val="left"/>
              <w:rPr>
                <w:rFonts w:ascii="Arial Narrow" w:hAnsi="Arial Narrow"/>
                <w:sz w:val="20"/>
              </w:rPr>
            </w:pPr>
            <w:r w:rsidRPr="00684DD8">
              <w:rPr>
                <w:rFonts w:ascii="Arial Narrow" w:hAnsi="Arial Narrow"/>
                <w:sz w:val="20"/>
              </w:rPr>
              <w:t>Proposed</w:t>
            </w:r>
            <w:r w:rsidR="008424A8" w:rsidRPr="00684DD8">
              <w:rPr>
                <w:rFonts w:ascii="Arial Narrow" w:hAnsi="Arial Narrow"/>
                <w:sz w:val="20"/>
              </w:rPr>
              <w:t xml:space="preserve"> restriction explicitly excluded</w:t>
            </w:r>
            <w:r w:rsidRPr="00684DD8">
              <w:rPr>
                <w:rFonts w:ascii="Arial Narrow" w:hAnsi="Arial Narrow"/>
                <w:sz w:val="20"/>
              </w:rPr>
              <w:t xml:space="preserve"> patients with CNS </w:t>
            </w:r>
            <w:r w:rsidR="00324F91" w:rsidRPr="00684DD8">
              <w:rPr>
                <w:rFonts w:ascii="Arial Narrow" w:hAnsi="Arial Narrow"/>
                <w:sz w:val="20"/>
              </w:rPr>
              <w:t xml:space="preserve">and testis </w:t>
            </w:r>
            <w:r w:rsidRPr="00684DD8">
              <w:rPr>
                <w:rFonts w:ascii="Arial Narrow" w:hAnsi="Arial Narrow"/>
                <w:sz w:val="20"/>
              </w:rPr>
              <w:t>disease.</w:t>
            </w:r>
          </w:p>
          <w:p w:rsidR="00B60E2F" w:rsidRPr="00684DD8" w:rsidRDefault="00B60E2F" w:rsidP="00583EB2">
            <w:pPr>
              <w:keepNext/>
              <w:jc w:val="left"/>
              <w:rPr>
                <w:rFonts w:ascii="Arial Narrow" w:hAnsi="Arial Narrow"/>
                <w:sz w:val="12"/>
                <w:szCs w:val="12"/>
              </w:rPr>
            </w:pPr>
          </w:p>
          <w:p w:rsidR="001D112E" w:rsidRPr="00684DD8" w:rsidRDefault="00217705" w:rsidP="00217705">
            <w:pPr>
              <w:keepNext/>
              <w:jc w:val="left"/>
              <w:rPr>
                <w:rFonts w:ascii="Arial Narrow" w:hAnsi="Arial Narrow"/>
                <w:sz w:val="20"/>
              </w:rPr>
            </w:pPr>
            <w:r w:rsidRPr="00684DD8">
              <w:rPr>
                <w:rFonts w:ascii="Arial Narrow" w:hAnsi="Arial Narrow"/>
                <w:sz w:val="20"/>
              </w:rPr>
              <w:t xml:space="preserve">The </w:t>
            </w:r>
            <w:r w:rsidR="00481C66" w:rsidRPr="00684DD8">
              <w:rPr>
                <w:rFonts w:ascii="Arial Narrow" w:hAnsi="Arial Narrow"/>
                <w:sz w:val="20"/>
              </w:rPr>
              <w:t>resubmission</w:t>
            </w:r>
            <w:r w:rsidRPr="00684DD8">
              <w:rPr>
                <w:rFonts w:ascii="Arial Narrow" w:hAnsi="Arial Narrow"/>
                <w:sz w:val="20"/>
              </w:rPr>
              <w:t xml:space="preserve"> reite</w:t>
            </w:r>
            <w:r w:rsidR="00324F91" w:rsidRPr="00684DD8">
              <w:rPr>
                <w:rFonts w:ascii="Arial Narrow" w:hAnsi="Arial Narrow"/>
                <w:sz w:val="20"/>
              </w:rPr>
              <w:t>rated the arguments in favour of</w:t>
            </w:r>
            <w:r w:rsidRPr="00684DD8">
              <w:rPr>
                <w:rFonts w:ascii="Arial Narrow" w:hAnsi="Arial Narrow"/>
                <w:sz w:val="20"/>
              </w:rPr>
              <w:t xml:space="preserve"> PBS funding for inpatients.</w:t>
            </w:r>
          </w:p>
        </w:tc>
      </w:tr>
      <w:tr w:rsidR="00780826" w:rsidRPr="00684DD8" w:rsidTr="003F08B9">
        <w:trPr>
          <w:trHeight w:val="422"/>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t>Requested price</w:t>
            </w:r>
          </w:p>
        </w:tc>
        <w:tc>
          <w:tcPr>
            <w:tcW w:w="3543" w:type="dxa"/>
          </w:tcPr>
          <w:p w:rsidR="00A67C2A" w:rsidRPr="00684DD8" w:rsidRDefault="00B60E2F" w:rsidP="00B60E2F">
            <w:pPr>
              <w:jc w:val="left"/>
              <w:rPr>
                <w:rFonts w:ascii="Arial Narrow" w:hAnsi="Arial Narrow"/>
                <w:sz w:val="20"/>
              </w:rPr>
            </w:pPr>
            <w:r w:rsidRPr="00684DD8">
              <w:rPr>
                <w:rFonts w:ascii="Arial Narrow" w:hAnsi="Arial Narrow"/>
                <w:sz w:val="20"/>
              </w:rPr>
              <w:t xml:space="preserve">• </w:t>
            </w:r>
            <w:r w:rsidR="00A67C2A" w:rsidRPr="00684DD8">
              <w:rPr>
                <w:rFonts w:ascii="Arial Narrow" w:hAnsi="Arial Narrow"/>
                <w:sz w:val="20"/>
              </w:rPr>
              <w:t>Cost per vial</w:t>
            </w:r>
            <w:r w:rsidR="00A42EA4" w:rsidRPr="00684DD8">
              <w:rPr>
                <w:rFonts w:ascii="Arial Narrow" w:hAnsi="Arial Narrow"/>
                <w:sz w:val="20"/>
              </w:rPr>
              <w:t xml:space="preserve">:  </w:t>
            </w:r>
            <w:r w:rsidR="00A67C2A" w:rsidRPr="00684DD8">
              <w:rPr>
                <w:rFonts w:ascii="Arial Narrow" w:hAnsi="Arial Narrow"/>
                <w:sz w:val="20"/>
              </w:rPr>
              <w:t>$</w:t>
            </w:r>
            <w:r w:rsidR="00D34A67">
              <w:rPr>
                <w:rFonts w:ascii="Arial Narrow" w:hAnsi="Arial Narrow"/>
                <w:noProof/>
                <w:color w:val="000000"/>
                <w:sz w:val="20"/>
                <w:highlight w:val="black"/>
              </w:rPr>
              <w:t>''''''''''''''''''''</w:t>
            </w:r>
          </w:p>
          <w:p w:rsidR="00C80CF8" w:rsidRPr="00684DD8" w:rsidRDefault="00C80CF8" w:rsidP="00B60E2F">
            <w:pPr>
              <w:jc w:val="left"/>
              <w:rPr>
                <w:rFonts w:ascii="Arial Narrow" w:hAnsi="Arial Narrow"/>
                <w:sz w:val="20"/>
              </w:rPr>
            </w:pPr>
          </w:p>
          <w:p w:rsidR="000D49DB" w:rsidRPr="00684DD8" w:rsidRDefault="000D49DB" w:rsidP="00A42EA4">
            <w:pPr>
              <w:jc w:val="left"/>
              <w:rPr>
                <w:rFonts w:ascii="Arial Narrow" w:hAnsi="Arial Narrow"/>
                <w:sz w:val="12"/>
                <w:szCs w:val="12"/>
              </w:rPr>
            </w:pPr>
          </w:p>
          <w:p w:rsidR="001D112E" w:rsidRPr="00684DD8" w:rsidRDefault="00B60E2F" w:rsidP="00A42EA4">
            <w:pPr>
              <w:jc w:val="left"/>
              <w:rPr>
                <w:rFonts w:ascii="Arial Narrow" w:hAnsi="Arial Narrow"/>
                <w:sz w:val="20"/>
              </w:rPr>
            </w:pPr>
            <w:r w:rsidRPr="00684DD8">
              <w:rPr>
                <w:rFonts w:ascii="Arial Narrow" w:hAnsi="Arial Narrow"/>
                <w:sz w:val="20"/>
              </w:rPr>
              <w:t xml:space="preserve">• </w:t>
            </w:r>
            <w:r w:rsidR="00D82F16" w:rsidRPr="00684DD8">
              <w:rPr>
                <w:rFonts w:ascii="Arial Narrow" w:hAnsi="Arial Narrow"/>
                <w:sz w:val="20"/>
              </w:rPr>
              <w:t xml:space="preserve">Average cost </w:t>
            </w:r>
            <w:r w:rsidR="00A42EA4" w:rsidRPr="00684DD8">
              <w:rPr>
                <w:rFonts w:ascii="Arial Narrow" w:hAnsi="Arial Narrow"/>
                <w:sz w:val="20"/>
              </w:rPr>
              <w:t>per</w:t>
            </w:r>
            <w:r w:rsidR="00D82F16" w:rsidRPr="00684DD8">
              <w:rPr>
                <w:rFonts w:ascii="Arial Narrow" w:hAnsi="Arial Narrow"/>
                <w:sz w:val="20"/>
              </w:rPr>
              <w:t xml:space="preserve"> </w:t>
            </w:r>
            <w:r w:rsidR="00A42EA4" w:rsidRPr="00684DD8">
              <w:rPr>
                <w:rFonts w:ascii="Arial Narrow" w:hAnsi="Arial Narrow"/>
                <w:sz w:val="20"/>
              </w:rPr>
              <w:t xml:space="preserve">course of treatment: </w:t>
            </w:r>
            <w:r w:rsidR="00D82F16" w:rsidRPr="00684DD8">
              <w:rPr>
                <w:rFonts w:ascii="Arial Narrow" w:hAnsi="Arial Narrow"/>
                <w:sz w:val="20"/>
              </w:rPr>
              <w:t>$</w:t>
            </w:r>
            <w:r w:rsidR="00D34A67">
              <w:rPr>
                <w:rFonts w:ascii="Arial Narrow" w:hAnsi="Arial Narrow"/>
                <w:noProof/>
                <w:color w:val="000000"/>
                <w:sz w:val="20"/>
                <w:highlight w:val="black"/>
              </w:rPr>
              <w:t>'''''''''''''''''''''</w:t>
            </w:r>
            <w:r w:rsidR="00ED0D8C" w:rsidRPr="00684DD8">
              <w:rPr>
                <w:rFonts w:ascii="Arial Narrow" w:hAnsi="Arial Narrow"/>
                <w:sz w:val="20"/>
              </w:rPr>
              <w:t xml:space="preserve"> (use of 1 vial per day i.e. </w:t>
            </w:r>
            <w:r w:rsidR="00D34A67">
              <w:rPr>
                <w:rFonts w:ascii="Arial Narrow" w:hAnsi="Arial Narrow"/>
                <w:noProof/>
                <w:color w:val="000000"/>
                <w:sz w:val="20"/>
                <w:highlight w:val="black"/>
              </w:rPr>
              <w:t>'''''''</w:t>
            </w:r>
            <w:r w:rsidR="00ED0D8C" w:rsidRPr="00684DD8">
              <w:rPr>
                <w:rFonts w:ascii="Arial Narrow" w:hAnsi="Arial Narrow"/>
                <w:sz w:val="20"/>
              </w:rPr>
              <w:t xml:space="preserve"> vials for the average dose of </w:t>
            </w:r>
            <w:r w:rsidR="00D34A67">
              <w:rPr>
                <w:rFonts w:ascii="Arial Narrow" w:hAnsi="Arial Narrow"/>
                <w:noProof/>
                <w:color w:val="000000"/>
                <w:sz w:val="20"/>
                <w:highlight w:val="black"/>
              </w:rPr>
              <w:t>''''''''''''</w:t>
            </w:r>
            <w:r w:rsidR="00ED0D8C" w:rsidRPr="00684DD8">
              <w:rPr>
                <w:rFonts w:ascii="Arial Narrow" w:hAnsi="Arial Narrow"/>
                <w:sz w:val="20"/>
              </w:rPr>
              <w:t xml:space="preserve"> µg)</w:t>
            </w:r>
            <w:r w:rsidR="00592369" w:rsidRPr="00684DD8">
              <w:rPr>
                <w:rFonts w:ascii="Arial Narrow" w:hAnsi="Arial Narrow"/>
                <w:sz w:val="20"/>
              </w:rPr>
              <w:t>.</w:t>
            </w:r>
          </w:p>
        </w:tc>
        <w:tc>
          <w:tcPr>
            <w:tcW w:w="3402" w:type="dxa"/>
          </w:tcPr>
          <w:p w:rsidR="003153CD" w:rsidRPr="00684DD8" w:rsidRDefault="00A42EA4" w:rsidP="003153CD">
            <w:pPr>
              <w:jc w:val="left"/>
              <w:rPr>
                <w:rFonts w:ascii="Arial Narrow" w:hAnsi="Arial Narrow"/>
                <w:sz w:val="20"/>
              </w:rPr>
            </w:pPr>
            <w:r w:rsidRPr="00684DD8">
              <w:rPr>
                <w:rFonts w:ascii="Arial Narrow" w:hAnsi="Arial Narrow"/>
                <w:sz w:val="20"/>
              </w:rPr>
              <w:t xml:space="preserve">• </w:t>
            </w:r>
            <w:r w:rsidR="00A67C2A" w:rsidRPr="00684DD8">
              <w:rPr>
                <w:rFonts w:ascii="Arial Narrow" w:hAnsi="Arial Narrow"/>
                <w:sz w:val="20"/>
              </w:rPr>
              <w:t xml:space="preserve">Cost per vial: </w:t>
            </w:r>
            <w:r w:rsidR="00B60E2F" w:rsidRPr="00684DD8">
              <w:rPr>
                <w:rFonts w:ascii="Arial Narrow" w:hAnsi="Arial Narrow"/>
                <w:sz w:val="20"/>
              </w:rPr>
              <w:t>$</w:t>
            </w:r>
            <w:r w:rsidR="00D34A67">
              <w:rPr>
                <w:rFonts w:ascii="Arial Narrow" w:hAnsi="Arial Narrow"/>
                <w:noProof/>
                <w:color w:val="000000"/>
                <w:sz w:val="20"/>
                <w:highlight w:val="black"/>
              </w:rPr>
              <w:t>'''''''''''''''''''</w:t>
            </w:r>
            <w:r w:rsidR="00C80CF8" w:rsidRPr="00684DD8">
              <w:rPr>
                <w:rFonts w:ascii="Arial Narrow" w:hAnsi="Arial Narrow"/>
                <w:sz w:val="20"/>
              </w:rPr>
              <w:t xml:space="preserve"> </w:t>
            </w:r>
          </w:p>
          <w:p w:rsidR="00A67C2A" w:rsidRPr="00684DD8" w:rsidRDefault="003153CD" w:rsidP="003153CD">
            <w:pPr>
              <w:jc w:val="left"/>
              <w:rPr>
                <w:rFonts w:ascii="Arial Narrow" w:hAnsi="Arial Narrow"/>
                <w:sz w:val="20"/>
              </w:rPr>
            </w:pPr>
            <w:r w:rsidRPr="00684DD8">
              <w:rPr>
                <w:rFonts w:ascii="Arial Narrow" w:hAnsi="Arial Narrow"/>
                <w:sz w:val="20"/>
              </w:rPr>
              <w:t xml:space="preserve">• </w:t>
            </w:r>
            <w:r w:rsidR="00D704B7" w:rsidRPr="00684DD8">
              <w:rPr>
                <w:rFonts w:ascii="Arial Narrow" w:hAnsi="Arial Narrow"/>
                <w:sz w:val="20"/>
              </w:rPr>
              <w:t>Confidential effective</w:t>
            </w:r>
            <w:r w:rsidR="00C80CF8" w:rsidRPr="00684DD8">
              <w:rPr>
                <w:rFonts w:ascii="Arial Narrow" w:hAnsi="Arial Narrow"/>
                <w:sz w:val="20"/>
              </w:rPr>
              <w:t xml:space="preserve"> price of $</w:t>
            </w:r>
            <w:r w:rsidR="00D34A67">
              <w:rPr>
                <w:rFonts w:ascii="Arial Narrow" w:hAnsi="Arial Narrow"/>
                <w:noProof/>
                <w:color w:val="000000"/>
                <w:sz w:val="20"/>
                <w:highlight w:val="black"/>
              </w:rPr>
              <w:t>''''''''''''''''''''''</w:t>
            </w:r>
          </w:p>
          <w:p w:rsidR="000D49DB" w:rsidRPr="00684DD8" w:rsidRDefault="000D49DB" w:rsidP="00A42EA4">
            <w:pPr>
              <w:jc w:val="left"/>
              <w:rPr>
                <w:rFonts w:ascii="Arial Narrow" w:hAnsi="Arial Narrow"/>
                <w:sz w:val="12"/>
                <w:szCs w:val="12"/>
              </w:rPr>
            </w:pPr>
          </w:p>
          <w:p w:rsidR="001D112E" w:rsidRPr="00684DD8" w:rsidRDefault="00A42EA4" w:rsidP="008424A8">
            <w:pPr>
              <w:jc w:val="left"/>
              <w:rPr>
                <w:rFonts w:ascii="Arial Narrow" w:hAnsi="Arial Narrow"/>
                <w:sz w:val="20"/>
              </w:rPr>
            </w:pPr>
            <w:r w:rsidRPr="00684DD8">
              <w:rPr>
                <w:rFonts w:ascii="Arial Narrow" w:hAnsi="Arial Narrow"/>
                <w:sz w:val="20"/>
              </w:rPr>
              <w:t>• A</w:t>
            </w:r>
            <w:r w:rsidR="00D82F16" w:rsidRPr="00684DD8">
              <w:rPr>
                <w:rFonts w:ascii="Arial Narrow" w:hAnsi="Arial Narrow"/>
                <w:sz w:val="20"/>
              </w:rPr>
              <w:t xml:space="preserve">verage cost </w:t>
            </w:r>
            <w:r w:rsidRPr="00684DD8">
              <w:rPr>
                <w:rFonts w:ascii="Arial Narrow" w:hAnsi="Arial Narrow"/>
                <w:sz w:val="20"/>
              </w:rPr>
              <w:t xml:space="preserve">per course of </w:t>
            </w:r>
            <w:r w:rsidR="00D82F16" w:rsidRPr="00684DD8">
              <w:rPr>
                <w:rFonts w:ascii="Arial Narrow" w:hAnsi="Arial Narrow"/>
                <w:sz w:val="20"/>
              </w:rPr>
              <w:t>treatment</w:t>
            </w:r>
            <w:r w:rsidRPr="00684DD8">
              <w:rPr>
                <w:rFonts w:ascii="Arial Narrow" w:hAnsi="Arial Narrow"/>
                <w:sz w:val="20"/>
              </w:rPr>
              <w:t>:</w:t>
            </w:r>
            <w:r w:rsidR="00D82F16" w:rsidRPr="00684DD8">
              <w:rPr>
                <w:rFonts w:ascii="Arial Narrow" w:hAnsi="Arial Narrow"/>
                <w:sz w:val="20"/>
              </w:rPr>
              <w:t xml:space="preserve"> $</w:t>
            </w:r>
            <w:r w:rsidR="00D34A67">
              <w:rPr>
                <w:rFonts w:ascii="Arial Narrow" w:hAnsi="Arial Narrow"/>
                <w:noProof/>
                <w:color w:val="000000"/>
                <w:sz w:val="20"/>
                <w:highlight w:val="black"/>
              </w:rPr>
              <w:t>'''''''''''''''''''</w:t>
            </w:r>
            <w:r w:rsidR="00ED0D8C" w:rsidRPr="00684DD8">
              <w:rPr>
                <w:rFonts w:ascii="Arial Narrow" w:hAnsi="Arial Narrow"/>
                <w:sz w:val="20"/>
              </w:rPr>
              <w:t xml:space="preserve"> (efficient use of vials i.e. </w:t>
            </w:r>
            <w:r w:rsidR="00D34A67">
              <w:rPr>
                <w:rFonts w:ascii="Arial Narrow" w:hAnsi="Arial Narrow"/>
                <w:noProof/>
                <w:color w:val="000000"/>
                <w:sz w:val="20"/>
                <w:highlight w:val="black"/>
              </w:rPr>
              <w:t>''''''</w:t>
            </w:r>
            <w:r w:rsidR="00ED0D8C" w:rsidRPr="00684DD8">
              <w:rPr>
                <w:rFonts w:ascii="Arial Narrow" w:hAnsi="Arial Narrow"/>
                <w:sz w:val="20"/>
              </w:rPr>
              <w:t xml:space="preserve"> vials for the average dose of </w:t>
            </w:r>
            <w:r w:rsidR="00D34A67">
              <w:rPr>
                <w:rFonts w:ascii="Arial Narrow" w:hAnsi="Arial Narrow"/>
                <w:noProof/>
                <w:color w:val="000000"/>
                <w:sz w:val="20"/>
                <w:highlight w:val="black"/>
              </w:rPr>
              <w:t>''''''''''''''</w:t>
            </w:r>
            <w:r w:rsidR="00ED0D8C" w:rsidRPr="00684DD8">
              <w:rPr>
                <w:rFonts w:ascii="Arial Narrow" w:hAnsi="Arial Narrow"/>
                <w:sz w:val="20"/>
              </w:rPr>
              <w:t xml:space="preserve"> µg)</w:t>
            </w:r>
            <w:r w:rsidR="00592369" w:rsidRPr="00684DD8">
              <w:rPr>
                <w:rFonts w:ascii="Arial Narrow" w:hAnsi="Arial Narrow"/>
                <w:sz w:val="20"/>
              </w:rPr>
              <w:t>.</w:t>
            </w:r>
          </w:p>
        </w:tc>
      </w:tr>
      <w:tr w:rsidR="00780826" w:rsidRPr="00684DD8" w:rsidTr="003F08B9">
        <w:trPr>
          <w:trHeight w:val="642"/>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t>Main comparator</w:t>
            </w:r>
          </w:p>
        </w:tc>
        <w:tc>
          <w:tcPr>
            <w:tcW w:w="3543" w:type="dxa"/>
          </w:tcPr>
          <w:p w:rsidR="001D112E" w:rsidRPr="00684DD8" w:rsidRDefault="00A67C2A" w:rsidP="00AA0A07">
            <w:pPr>
              <w:jc w:val="left"/>
              <w:rPr>
                <w:rFonts w:ascii="Arial Narrow" w:hAnsi="Arial Narrow"/>
                <w:sz w:val="20"/>
              </w:rPr>
            </w:pPr>
            <w:r w:rsidRPr="00684DD8">
              <w:rPr>
                <w:rFonts w:ascii="Arial Narrow" w:hAnsi="Arial Narrow"/>
                <w:sz w:val="20"/>
              </w:rPr>
              <w:t xml:space="preserve">• </w:t>
            </w:r>
            <w:r w:rsidR="00C926FC" w:rsidRPr="00684DD8">
              <w:rPr>
                <w:rFonts w:ascii="Arial Narrow" w:hAnsi="Arial Narrow"/>
                <w:sz w:val="20"/>
              </w:rPr>
              <w:t>SC</w:t>
            </w:r>
          </w:p>
          <w:p w:rsidR="001D112E" w:rsidRPr="00684DD8" w:rsidRDefault="001D112E" w:rsidP="00AA0A07">
            <w:pPr>
              <w:jc w:val="left"/>
              <w:rPr>
                <w:rFonts w:ascii="Arial Narrow" w:hAnsi="Arial Narrow"/>
                <w:sz w:val="12"/>
                <w:szCs w:val="12"/>
              </w:rPr>
            </w:pPr>
          </w:p>
          <w:p w:rsidR="001608D4" w:rsidRPr="00684DD8" w:rsidRDefault="001D112E" w:rsidP="00A67C2A">
            <w:pPr>
              <w:jc w:val="left"/>
              <w:rPr>
                <w:rFonts w:ascii="Arial Narrow" w:hAnsi="Arial Narrow"/>
                <w:sz w:val="20"/>
              </w:rPr>
            </w:pPr>
            <w:r w:rsidRPr="00684DD8">
              <w:rPr>
                <w:rFonts w:ascii="Arial Narrow" w:hAnsi="Arial Narrow"/>
                <w:b/>
                <w:sz w:val="20"/>
              </w:rPr>
              <w:t>PBAC Comment:</w:t>
            </w:r>
            <w:r w:rsidRPr="00684DD8">
              <w:rPr>
                <w:rFonts w:ascii="Arial Narrow" w:hAnsi="Arial Narrow"/>
                <w:sz w:val="20"/>
              </w:rPr>
              <w:t xml:space="preserve"> </w:t>
            </w:r>
          </w:p>
          <w:p w:rsidR="001D112E" w:rsidRPr="00684DD8" w:rsidRDefault="00A67C2A" w:rsidP="00A67C2A">
            <w:pPr>
              <w:jc w:val="left"/>
              <w:rPr>
                <w:rFonts w:ascii="Arial Narrow" w:hAnsi="Arial Narrow"/>
                <w:sz w:val="20"/>
              </w:rPr>
            </w:pPr>
            <w:r w:rsidRPr="00684DD8">
              <w:rPr>
                <w:rFonts w:ascii="Arial Narrow" w:hAnsi="Arial Narrow"/>
                <w:sz w:val="20"/>
              </w:rPr>
              <w:t>Comparator was appropriate</w:t>
            </w:r>
            <w:r w:rsidR="001608D4" w:rsidRPr="00684DD8">
              <w:rPr>
                <w:rFonts w:ascii="Arial Narrow" w:hAnsi="Arial Narrow"/>
                <w:sz w:val="20"/>
              </w:rPr>
              <w:t>.</w:t>
            </w:r>
          </w:p>
        </w:tc>
        <w:tc>
          <w:tcPr>
            <w:tcW w:w="3402" w:type="dxa"/>
          </w:tcPr>
          <w:p w:rsidR="001D112E" w:rsidRPr="00684DD8" w:rsidRDefault="001D112E" w:rsidP="00ED0D8C">
            <w:pPr>
              <w:jc w:val="left"/>
              <w:rPr>
                <w:rFonts w:ascii="Arial Narrow" w:hAnsi="Arial Narrow"/>
                <w:sz w:val="20"/>
              </w:rPr>
            </w:pPr>
            <w:r w:rsidRPr="00684DD8">
              <w:rPr>
                <w:rFonts w:ascii="Arial Narrow" w:hAnsi="Arial Narrow"/>
                <w:sz w:val="20"/>
              </w:rPr>
              <w:t>•</w:t>
            </w:r>
            <w:r w:rsidR="00A67C2A" w:rsidRPr="00684DD8">
              <w:rPr>
                <w:rFonts w:ascii="Arial Narrow" w:hAnsi="Arial Narrow"/>
                <w:sz w:val="20"/>
              </w:rPr>
              <w:t xml:space="preserve"> </w:t>
            </w:r>
            <w:r w:rsidR="00ED0D8C" w:rsidRPr="00684DD8">
              <w:rPr>
                <w:rFonts w:ascii="Arial Narrow" w:hAnsi="Arial Narrow"/>
                <w:sz w:val="20"/>
              </w:rPr>
              <w:t>No change</w:t>
            </w:r>
            <w:r w:rsidR="00592369" w:rsidRPr="00684DD8">
              <w:rPr>
                <w:rFonts w:ascii="Arial Narrow" w:hAnsi="Arial Narrow"/>
                <w:sz w:val="20"/>
              </w:rPr>
              <w:t>.</w:t>
            </w:r>
          </w:p>
        </w:tc>
      </w:tr>
      <w:tr w:rsidR="00780826" w:rsidRPr="00684DD8" w:rsidTr="003F08B9">
        <w:trPr>
          <w:trHeight w:val="860"/>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t>Clinical evidence</w:t>
            </w:r>
          </w:p>
        </w:tc>
        <w:tc>
          <w:tcPr>
            <w:tcW w:w="3543" w:type="dxa"/>
          </w:tcPr>
          <w:p w:rsidR="00A67C2A" w:rsidRPr="00684DD8" w:rsidRDefault="00A67C2A" w:rsidP="00AA0A07">
            <w:pPr>
              <w:jc w:val="left"/>
              <w:rPr>
                <w:rFonts w:ascii="Arial Narrow" w:hAnsi="Arial Narrow"/>
                <w:sz w:val="20"/>
              </w:rPr>
            </w:pPr>
            <w:r w:rsidRPr="00684DD8">
              <w:rPr>
                <w:rFonts w:ascii="Arial Narrow" w:hAnsi="Arial Narrow"/>
                <w:sz w:val="20"/>
              </w:rPr>
              <w:t>•</w:t>
            </w:r>
            <w:r w:rsidR="00A42EA4" w:rsidRPr="00684DD8">
              <w:rPr>
                <w:rFonts w:ascii="Arial Narrow" w:hAnsi="Arial Narrow"/>
                <w:sz w:val="20"/>
              </w:rPr>
              <w:t xml:space="preserve"> </w:t>
            </w:r>
            <w:r w:rsidRPr="00684DD8">
              <w:rPr>
                <w:rFonts w:ascii="Arial Narrow" w:hAnsi="Arial Narrow"/>
                <w:sz w:val="20"/>
              </w:rPr>
              <w:t>Two single-arm Phase II studies:</w:t>
            </w:r>
          </w:p>
          <w:p w:rsidR="00A67C2A" w:rsidRPr="00684DD8" w:rsidRDefault="00A67C2A" w:rsidP="00AA0A07">
            <w:pPr>
              <w:jc w:val="left"/>
              <w:rPr>
                <w:rFonts w:ascii="Arial Narrow" w:hAnsi="Arial Narrow"/>
                <w:sz w:val="20"/>
              </w:rPr>
            </w:pPr>
            <w:r w:rsidRPr="00684DD8">
              <w:rPr>
                <w:rFonts w:ascii="Arial Narrow" w:hAnsi="Arial Narrow"/>
                <w:sz w:val="20"/>
              </w:rPr>
              <w:t>MT103-</w:t>
            </w:r>
            <w:r w:rsidR="00432FEE" w:rsidRPr="00684DD8">
              <w:rPr>
                <w:rFonts w:ascii="Arial Narrow" w:hAnsi="Arial Narrow"/>
                <w:sz w:val="20"/>
              </w:rPr>
              <w:t>211</w:t>
            </w:r>
            <w:r w:rsidRPr="00684DD8">
              <w:rPr>
                <w:rFonts w:ascii="Arial Narrow" w:hAnsi="Arial Narrow"/>
                <w:sz w:val="20"/>
              </w:rPr>
              <w:t>: pivotal study (n=225)</w:t>
            </w:r>
          </w:p>
          <w:p w:rsidR="001D112E" w:rsidRPr="00684DD8" w:rsidRDefault="00432FEE" w:rsidP="00AA0A07">
            <w:pPr>
              <w:jc w:val="left"/>
              <w:rPr>
                <w:rFonts w:ascii="Arial Narrow" w:hAnsi="Arial Narrow"/>
                <w:sz w:val="20"/>
              </w:rPr>
            </w:pPr>
            <w:r w:rsidRPr="00684DD8">
              <w:rPr>
                <w:rFonts w:ascii="Arial Narrow" w:hAnsi="Arial Narrow"/>
                <w:sz w:val="20"/>
              </w:rPr>
              <w:t>MT103-206</w:t>
            </w:r>
            <w:r w:rsidR="00A67C2A" w:rsidRPr="00684DD8">
              <w:rPr>
                <w:rFonts w:ascii="Arial Narrow" w:hAnsi="Arial Narrow"/>
                <w:sz w:val="20"/>
              </w:rPr>
              <w:t>: dose-finding study (n=36)</w:t>
            </w:r>
          </w:p>
          <w:p w:rsidR="00A67C2A" w:rsidRPr="00684DD8" w:rsidRDefault="00A42EA4" w:rsidP="00AA0A07">
            <w:pPr>
              <w:jc w:val="left"/>
              <w:rPr>
                <w:rFonts w:ascii="Arial Narrow" w:hAnsi="Arial Narrow"/>
                <w:sz w:val="20"/>
              </w:rPr>
            </w:pPr>
            <w:r w:rsidRPr="00684DD8">
              <w:rPr>
                <w:rFonts w:ascii="Arial Narrow" w:hAnsi="Arial Narrow"/>
                <w:sz w:val="20"/>
              </w:rPr>
              <w:t xml:space="preserve">• </w:t>
            </w:r>
            <w:r w:rsidR="00A67C2A" w:rsidRPr="00684DD8">
              <w:rPr>
                <w:rFonts w:ascii="Arial Narrow" w:hAnsi="Arial Narrow"/>
                <w:sz w:val="20"/>
              </w:rPr>
              <w:t xml:space="preserve">A retrospective historical control study (20120310) using </w:t>
            </w:r>
            <w:r w:rsidR="00C926FC" w:rsidRPr="00684DD8">
              <w:rPr>
                <w:rFonts w:ascii="Arial Narrow" w:hAnsi="Arial Narrow"/>
                <w:sz w:val="20"/>
              </w:rPr>
              <w:t>SC</w:t>
            </w:r>
            <w:r w:rsidR="00A67C2A" w:rsidRPr="00684DD8">
              <w:rPr>
                <w:rFonts w:ascii="Arial Narrow" w:hAnsi="Arial Narrow"/>
                <w:sz w:val="20"/>
              </w:rPr>
              <w:t xml:space="preserve"> (n=1,139)</w:t>
            </w:r>
          </w:p>
          <w:p w:rsidR="001D112E" w:rsidRPr="00684DD8" w:rsidRDefault="001D112E" w:rsidP="00AA0A07">
            <w:pPr>
              <w:jc w:val="left"/>
              <w:rPr>
                <w:rFonts w:ascii="Arial Narrow" w:hAnsi="Arial Narrow"/>
                <w:sz w:val="12"/>
                <w:szCs w:val="12"/>
              </w:rPr>
            </w:pPr>
          </w:p>
          <w:p w:rsidR="001D112E" w:rsidRPr="00684DD8" w:rsidRDefault="001D112E" w:rsidP="00AA0A07">
            <w:pPr>
              <w:jc w:val="left"/>
              <w:rPr>
                <w:rFonts w:ascii="Arial Narrow" w:hAnsi="Arial Narrow"/>
                <w:sz w:val="20"/>
              </w:rPr>
            </w:pPr>
            <w:r w:rsidRPr="00684DD8">
              <w:rPr>
                <w:rFonts w:ascii="Arial Narrow" w:hAnsi="Arial Narrow"/>
                <w:b/>
                <w:sz w:val="20"/>
              </w:rPr>
              <w:t>PBAC Comment:</w:t>
            </w:r>
            <w:r w:rsidRPr="00684DD8">
              <w:rPr>
                <w:rFonts w:ascii="Arial Narrow" w:hAnsi="Arial Narrow"/>
                <w:sz w:val="20"/>
              </w:rPr>
              <w:t xml:space="preserve"> </w:t>
            </w:r>
          </w:p>
          <w:p w:rsidR="001608D4" w:rsidRPr="00684DD8" w:rsidRDefault="00F40688" w:rsidP="00AA0A07">
            <w:pPr>
              <w:jc w:val="left"/>
              <w:rPr>
                <w:rFonts w:ascii="Arial Narrow" w:hAnsi="Arial Narrow"/>
                <w:sz w:val="20"/>
              </w:rPr>
            </w:pPr>
            <w:r w:rsidRPr="00684DD8">
              <w:rPr>
                <w:rFonts w:ascii="Arial Narrow" w:hAnsi="Arial Narrow"/>
                <w:sz w:val="20"/>
              </w:rPr>
              <w:t>No comment.</w:t>
            </w:r>
          </w:p>
        </w:tc>
        <w:tc>
          <w:tcPr>
            <w:tcW w:w="3402" w:type="dxa"/>
          </w:tcPr>
          <w:p w:rsidR="001D112E" w:rsidRPr="00684DD8" w:rsidRDefault="001D112E" w:rsidP="00592369">
            <w:pPr>
              <w:jc w:val="left"/>
              <w:rPr>
                <w:rFonts w:ascii="Arial Narrow" w:hAnsi="Arial Narrow"/>
                <w:sz w:val="20"/>
              </w:rPr>
            </w:pPr>
            <w:r w:rsidRPr="00684DD8">
              <w:rPr>
                <w:rFonts w:ascii="Arial Narrow" w:hAnsi="Arial Narrow"/>
                <w:sz w:val="20"/>
              </w:rPr>
              <w:t>•</w:t>
            </w:r>
            <w:r w:rsidR="00A42EA4" w:rsidRPr="00684DD8">
              <w:rPr>
                <w:rFonts w:ascii="Arial Narrow" w:hAnsi="Arial Narrow"/>
                <w:sz w:val="20"/>
              </w:rPr>
              <w:t xml:space="preserve"> </w:t>
            </w:r>
            <w:r w:rsidR="00592369" w:rsidRPr="00684DD8">
              <w:rPr>
                <w:rFonts w:ascii="Arial Narrow" w:hAnsi="Arial Narrow"/>
                <w:sz w:val="20"/>
              </w:rPr>
              <w:t>No change.</w:t>
            </w:r>
          </w:p>
        </w:tc>
      </w:tr>
      <w:tr w:rsidR="00780826" w:rsidRPr="00684DD8" w:rsidTr="003F08B9">
        <w:trPr>
          <w:trHeight w:val="1064"/>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t>Key effectiveness data</w:t>
            </w:r>
          </w:p>
        </w:tc>
        <w:tc>
          <w:tcPr>
            <w:tcW w:w="3543" w:type="dxa"/>
          </w:tcPr>
          <w:p w:rsidR="00432FEE" w:rsidRPr="00684DD8" w:rsidRDefault="001D112E" w:rsidP="00AA0A07">
            <w:pPr>
              <w:jc w:val="left"/>
              <w:rPr>
                <w:rFonts w:ascii="Arial Narrow" w:hAnsi="Arial Narrow"/>
                <w:sz w:val="20"/>
              </w:rPr>
            </w:pPr>
            <w:r w:rsidRPr="00684DD8">
              <w:rPr>
                <w:rFonts w:ascii="Arial Narrow" w:hAnsi="Arial Narrow"/>
                <w:sz w:val="20"/>
              </w:rPr>
              <w:t>•</w:t>
            </w:r>
            <w:r w:rsidR="00A42EA4" w:rsidRPr="00684DD8">
              <w:rPr>
                <w:rFonts w:ascii="Arial Narrow" w:hAnsi="Arial Narrow"/>
                <w:sz w:val="20"/>
              </w:rPr>
              <w:t xml:space="preserve"> </w:t>
            </w:r>
            <w:r w:rsidR="00432FEE" w:rsidRPr="00684DD8">
              <w:rPr>
                <w:rFonts w:ascii="Arial Narrow" w:hAnsi="Arial Narrow"/>
                <w:sz w:val="20"/>
              </w:rPr>
              <w:t xml:space="preserve">MT103-211: CR + </w:t>
            </w:r>
            <w:proofErr w:type="spellStart"/>
            <w:r w:rsidR="00432FEE" w:rsidRPr="00684DD8">
              <w:rPr>
                <w:rFonts w:ascii="Arial Narrow" w:hAnsi="Arial Narrow"/>
                <w:sz w:val="20"/>
              </w:rPr>
              <w:t>CRh</w:t>
            </w:r>
            <w:proofErr w:type="spellEnd"/>
            <w:r w:rsidR="00432FEE" w:rsidRPr="00684DD8">
              <w:rPr>
                <w:rFonts w:ascii="Arial Narrow" w:hAnsi="Arial Narrow"/>
                <w:sz w:val="20"/>
              </w:rPr>
              <w:t>* = 43.9% (0.37, 0.51); OS = 6.4 months</w:t>
            </w:r>
          </w:p>
          <w:p w:rsidR="00432FEE" w:rsidRPr="00684DD8" w:rsidRDefault="00A42EA4" w:rsidP="00AA0A07">
            <w:pPr>
              <w:jc w:val="left"/>
              <w:rPr>
                <w:rFonts w:ascii="Arial Narrow" w:hAnsi="Arial Narrow"/>
                <w:sz w:val="20"/>
              </w:rPr>
            </w:pPr>
            <w:r w:rsidRPr="00684DD8">
              <w:rPr>
                <w:rFonts w:ascii="Arial Narrow" w:hAnsi="Arial Narrow"/>
                <w:sz w:val="20"/>
              </w:rPr>
              <w:t xml:space="preserve">• </w:t>
            </w:r>
            <w:r w:rsidR="00432FEE" w:rsidRPr="00684DD8">
              <w:rPr>
                <w:rFonts w:ascii="Arial Narrow" w:hAnsi="Arial Narrow"/>
                <w:sz w:val="20"/>
              </w:rPr>
              <w:t xml:space="preserve">MT103-206: CR + </w:t>
            </w:r>
            <w:proofErr w:type="spellStart"/>
            <w:r w:rsidR="00432FEE" w:rsidRPr="00684DD8">
              <w:rPr>
                <w:rFonts w:ascii="Arial Narrow" w:hAnsi="Arial Narrow"/>
                <w:sz w:val="20"/>
              </w:rPr>
              <w:t>CRh</w:t>
            </w:r>
            <w:proofErr w:type="spellEnd"/>
            <w:r w:rsidR="00432FEE" w:rsidRPr="00684DD8">
              <w:rPr>
                <w:rFonts w:ascii="Arial Narrow" w:hAnsi="Arial Narrow"/>
                <w:sz w:val="20"/>
              </w:rPr>
              <w:t>* = 69.4% (0.52, 0.84), OS = 9.8 months</w:t>
            </w:r>
          </w:p>
          <w:p w:rsidR="00432FEE" w:rsidRPr="00684DD8" w:rsidRDefault="00A42EA4" w:rsidP="00AA0A07">
            <w:pPr>
              <w:jc w:val="left"/>
              <w:rPr>
                <w:rFonts w:ascii="Arial Narrow" w:hAnsi="Arial Narrow"/>
                <w:sz w:val="20"/>
              </w:rPr>
            </w:pPr>
            <w:r w:rsidRPr="00684DD8">
              <w:rPr>
                <w:rFonts w:ascii="Arial Narrow" w:hAnsi="Arial Narrow"/>
                <w:sz w:val="20"/>
              </w:rPr>
              <w:t xml:space="preserve">• </w:t>
            </w:r>
            <w:r w:rsidR="00432FEE" w:rsidRPr="00684DD8">
              <w:rPr>
                <w:rFonts w:ascii="Arial Narrow" w:hAnsi="Arial Narrow"/>
                <w:sz w:val="20"/>
              </w:rPr>
              <w:t xml:space="preserve">20120310: </w:t>
            </w:r>
            <w:proofErr w:type="spellStart"/>
            <w:r w:rsidR="00432FEE" w:rsidRPr="00684DD8">
              <w:rPr>
                <w:rFonts w:ascii="Arial Narrow" w:hAnsi="Arial Narrow"/>
                <w:sz w:val="20"/>
              </w:rPr>
              <w:t>CRsg</w:t>
            </w:r>
            <w:proofErr w:type="spellEnd"/>
            <w:r w:rsidR="00432FEE" w:rsidRPr="00684DD8">
              <w:rPr>
                <w:rFonts w:ascii="Arial Narrow" w:hAnsi="Arial Narrow"/>
                <w:sz w:val="20"/>
              </w:rPr>
              <w:t xml:space="preserve"> = 24.0% (0.20, 0.27); OS = 3.3 months</w:t>
            </w:r>
          </w:p>
          <w:p w:rsidR="001D112E" w:rsidRPr="00684DD8" w:rsidRDefault="001D112E" w:rsidP="00AA0A07">
            <w:pPr>
              <w:jc w:val="left"/>
              <w:rPr>
                <w:rFonts w:ascii="Arial Narrow" w:hAnsi="Arial Narrow"/>
                <w:sz w:val="12"/>
                <w:szCs w:val="12"/>
              </w:rPr>
            </w:pPr>
          </w:p>
          <w:p w:rsidR="003870F7" w:rsidRPr="00684DD8" w:rsidRDefault="001D112E" w:rsidP="003870F7">
            <w:pPr>
              <w:jc w:val="left"/>
              <w:rPr>
                <w:rFonts w:ascii="Arial Narrow" w:hAnsi="Arial Narrow"/>
                <w:sz w:val="20"/>
              </w:rPr>
            </w:pPr>
            <w:r w:rsidRPr="00684DD8">
              <w:rPr>
                <w:rFonts w:ascii="Arial Narrow" w:hAnsi="Arial Narrow"/>
                <w:b/>
                <w:sz w:val="20"/>
              </w:rPr>
              <w:t>PBAC Comment:</w:t>
            </w:r>
            <w:r w:rsidRPr="00684DD8">
              <w:rPr>
                <w:rFonts w:ascii="Arial Narrow" w:hAnsi="Arial Narrow"/>
                <w:sz w:val="20"/>
              </w:rPr>
              <w:t xml:space="preserve"> </w:t>
            </w:r>
          </w:p>
          <w:p w:rsidR="00DE28D2" w:rsidRPr="00684DD8" w:rsidRDefault="008424A8" w:rsidP="003870F7">
            <w:pPr>
              <w:jc w:val="left"/>
              <w:rPr>
                <w:rFonts w:ascii="Arial Narrow" w:hAnsi="Arial Narrow"/>
                <w:sz w:val="20"/>
              </w:rPr>
            </w:pPr>
            <w:r w:rsidRPr="00684DD8">
              <w:rPr>
                <w:rFonts w:ascii="Arial Narrow" w:hAnsi="Arial Narrow"/>
                <w:sz w:val="20"/>
              </w:rPr>
              <w:t>T</w:t>
            </w:r>
            <w:r w:rsidR="00DE28D2" w:rsidRPr="00684DD8">
              <w:rPr>
                <w:rFonts w:ascii="Arial Narrow" w:hAnsi="Arial Narrow"/>
                <w:sz w:val="20"/>
              </w:rPr>
              <w:t>he most informative analysis would be against the weighted post-2000 control data.</w:t>
            </w:r>
          </w:p>
          <w:p w:rsidR="00DE28D2" w:rsidRPr="00684DD8" w:rsidRDefault="00DE28D2" w:rsidP="003870F7">
            <w:pPr>
              <w:jc w:val="left"/>
              <w:rPr>
                <w:rFonts w:ascii="Arial Narrow" w:hAnsi="Arial Narrow"/>
                <w:sz w:val="20"/>
              </w:rPr>
            </w:pPr>
          </w:p>
          <w:p w:rsidR="00F2665A" w:rsidRPr="00684DD8" w:rsidRDefault="00F2665A" w:rsidP="00DA2F73">
            <w:pPr>
              <w:jc w:val="left"/>
              <w:rPr>
                <w:rFonts w:ascii="Arial Narrow" w:hAnsi="Arial Narrow"/>
                <w:sz w:val="12"/>
                <w:szCs w:val="12"/>
              </w:rPr>
            </w:pPr>
          </w:p>
          <w:p w:rsidR="003870F7" w:rsidRPr="00684DD8" w:rsidRDefault="00DE28D2" w:rsidP="00DA2F73">
            <w:pPr>
              <w:jc w:val="left"/>
              <w:rPr>
                <w:rFonts w:ascii="Arial Narrow" w:hAnsi="Arial Narrow"/>
                <w:sz w:val="20"/>
              </w:rPr>
            </w:pPr>
            <w:r w:rsidRPr="00684DD8">
              <w:rPr>
                <w:rFonts w:ascii="Arial Narrow" w:hAnsi="Arial Narrow"/>
                <w:sz w:val="20"/>
              </w:rPr>
              <w:t>Bone marrow blasts and platelet levels should be matched in the weighted comparison.</w:t>
            </w:r>
          </w:p>
        </w:tc>
        <w:tc>
          <w:tcPr>
            <w:tcW w:w="3402" w:type="dxa"/>
          </w:tcPr>
          <w:p w:rsidR="00432FEE" w:rsidRPr="00684DD8" w:rsidRDefault="00A42EA4" w:rsidP="00432FEE">
            <w:pPr>
              <w:jc w:val="left"/>
              <w:rPr>
                <w:rFonts w:ascii="Arial Narrow" w:hAnsi="Arial Narrow"/>
                <w:sz w:val="20"/>
              </w:rPr>
            </w:pPr>
            <w:r w:rsidRPr="00684DD8">
              <w:rPr>
                <w:rFonts w:ascii="Arial Narrow" w:hAnsi="Arial Narrow"/>
                <w:sz w:val="20"/>
              </w:rPr>
              <w:t xml:space="preserve">• </w:t>
            </w:r>
            <w:r w:rsidR="00432FEE" w:rsidRPr="00684DD8">
              <w:rPr>
                <w:rFonts w:ascii="Arial Narrow" w:hAnsi="Arial Narrow"/>
                <w:sz w:val="20"/>
              </w:rPr>
              <w:t>No change</w:t>
            </w:r>
            <w:r w:rsidR="00592369" w:rsidRPr="00684DD8">
              <w:rPr>
                <w:rFonts w:ascii="Arial Narrow" w:hAnsi="Arial Narrow"/>
                <w:sz w:val="20"/>
              </w:rPr>
              <w:t>.</w:t>
            </w:r>
          </w:p>
          <w:p w:rsidR="00432FEE" w:rsidRPr="00684DD8" w:rsidRDefault="00432FEE" w:rsidP="00AA0A07">
            <w:pPr>
              <w:jc w:val="left"/>
              <w:rPr>
                <w:rFonts w:ascii="Arial Narrow" w:hAnsi="Arial Narrow"/>
                <w:sz w:val="20"/>
              </w:rPr>
            </w:pPr>
          </w:p>
          <w:p w:rsidR="00A42EA4" w:rsidRPr="00684DD8" w:rsidRDefault="00A42EA4" w:rsidP="00A42EA4">
            <w:pPr>
              <w:jc w:val="left"/>
              <w:rPr>
                <w:rFonts w:ascii="Arial Narrow" w:hAnsi="Arial Narrow"/>
                <w:sz w:val="20"/>
              </w:rPr>
            </w:pPr>
          </w:p>
          <w:p w:rsidR="00A42EA4" w:rsidRPr="00684DD8" w:rsidRDefault="00A42EA4" w:rsidP="00A42EA4">
            <w:pPr>
              <w:jc w:val="left"/>
              <w:rPr>
                <w:rFonts w:ascii="Arial Narrow" w:hAnsi="Arial Narrow"/>
                <w:sz w:val="20"/>
              </w:rPr>
            </w:pPr>
          </w:p>
          <w:p w:rsidR="00A42EA4" w:rsidRPr="00684DD8" w:rsidRDefault="00A42EA4" w:rsidP="00A42EA4">
            <w:pPr>
              <w:jc w:val="left"/>
              <w:rPr>
                <w:rFonts w:ascii="Arial Narrow" w:hAnsi="Arial Narrow"/>
                <w:sz w:val="20"/>
              </w:rPr>
            </w:pPr>
          </w:p>
          <w:p w:rsidR="00A42EA4" w:rsidRPr="00684DD8" w:rsidRDefault="00A42EA4" w:rsidP="00A42EA4">
            <w:pPr>
              <w:jc w:val="left"/>
              <w:rPr>
                <w:rFonts w:ascii="Arial Narrow" w:hAnsi="Arial Narrow"/>
                <w:sz w:val="12"/>
                <w:szCs w:val="12"/>
              </w:rPr>
            </w:pPr>
          </w:p>
          <w:p w:rsidR="00A42EA4" w:rsidRPr="00684DD8" w:rsidRDefault="00A42EA4" w:rsidP="00A42EA4">
            <w:pPr>
              <w:jc w:val="left"/>
              <w:rPr>
                <w:rFonts w:ascii="Arial Narrow" w:hAnsi="Arial Narrow"/>
                <w:sz w:val="20"/>
              </w:rPr>
            </w:pPr>
          </w:p>
          <w:p w:rsidR="00A42EA4" w:rsidRPr="00684DD8" w:rsidRDefault="00A42EA4" w:rsidP="00A42EA4">
            <w:pPr>
              <w:jc w:val="left"/>
              <w:rPr>
                <w:rFonts w:ascii="Arial Narrow" w:hAnsi="Arial Narrow"/>
                <w:sz w:val="20"/>
              </w:rPr>
            </w:pPr>
          </w:p>
          <w:p w:rsidR="00F2665A" w:rsidRPr="00684DD8" w:rsidRDefault="00F2665A" w:rsidP="00F2665A">
            <w:pPr>
              <w:jc w:val="left"/>
              <w:rPr>
                <w:rFonts w:ascii="Arial Narrow" w:hAnsi="Arial Narrow"/>
                <w:sz w:val="20"/>
              </w:rPr>
            </w:pPr>
            <w:r w:rsidRPr="00684DD8">
              <w:rPr>
                <w:rFonts w:ascii="Arial Narrow" w:hAnsi="Arial Narrow"/>
                <w:sz w:val="20"/>
              </w:rPr>
              <w:t xml:space="preserve">The </w:t>
            </w:r>
            <w:r w:rsidR="00481C66" w:rsidRPr="00684DD8">
              <w:rPr>
                <w:rFonts w:ascii="Arial Narrow" w:hAnsi="Arial Narrow"/>
                <w:sz w:val="20"/>
              </w:rPr>
              <w:t>resubmission</w:t>
            </w:r>
            <w:r w:rsidR="00217705" w:rsidRPr="00684DD8">
              <w:rPr>
                <w:rFonts w:ascii="Arial Narrow" w:hAnsi="Arial Narrow"/>
                <w:sz w:val="20"/>
              </w:rPr>
              <w:t xml:space="preserve"> provided this data as a secondary analysis</w:t>
            </w:r>
            <w:r w:rsidR="00324F91" w:rsidRPr="00684DD8">
              <w:rPr>
                <w:rFonts w:ascii="Arial Narrow" w:hAnsi="Arial Narrow"/>
                <w:sz w:val="20"/>
              </w:rPr>
              <w:t>, using</w:t>
            </w:r>
            <w:r w:rsidR="00217705" w:rsidRPr="00684DD8">
              <w:rPr>
                <w:rFonts w:ascii="Arial Narrow" w:hAnsi="Arial Narrow"/>
                <w:sz w:val="20"/>
              </w:rPr>
              <w:t xml:space="preserve"> data from 1990-2013 as the key analysis for </w:t>
            </w:r>
            <w:r w:rsidR="00C926FC" w:rsidRPr="00684DD8">
              <w:rPr>
                <w:rFonts w:ascii="Arial Narrow" w:hAnsi="Arial Narrow"/>
                <w:sz w:val="20"/>
              </w:rPr>
              <w:t>SC</w:t>
            </w:r>
            <w:r w:rsidR="00217705" w:rsidRPr="00684DD8">
              <w:rPr>
                <w:rFonts w:ascii="Arial Narrow" w:hAnsi="Arial Narrow"/>
                <w:sz w:val="20"/>
              </w:rPr>
              <w:t>.</w:t>
            </w:r>
          </w:p>
          <w:p w:rsidR="003153CD" w:rsidRPr="00684DD8" w:rsidRDefault="003153CD" w:rsidP="00A42EA4">
            <w:pPr>
              <w:jc w:val="left"/>
              <w:rPr>
                <w:rFonts w:ascii="Arial Narrow" w:hAnsi="Arial Narrow"/>
                <w:sz w:val="12"/>
                <w:szCs w:val="12"/>
              </w:rPr>
            </w:pPr>
          </w:p>
          <w:p w:rsidR="0093332D" w:rsidRPr="00684DD8" w:rsidRDefault="001608D4" w:rsidP="00ED0D8C">
            <w:pPr>
              <w:jc w:val="left"/>
              <w:rPr>
                <w:rFonts w:ascii="Arial Narrow" w:hAnsi="Arial Narrow"/>
                <w:sz w:val="20"/>
              </w:rPr>
            </w:pPr>
            <w:r w:rsidRPr="00684DD8">
              <w:rPr>
                <w:rFonts w:ascii="Arial Narrow" w:hAnsi="Arial Narrow"/>
                <w:sz w:val="20"/>
              </w:rPr>
              <w:t>Data was not available.</w:t>
            </w:r>
          </w:p>
        </w:tc>
      </w:tr>
      <w:tr w:rsidR="00780826" w:rsidRPr="00684DD8" w:rsidTr="003F08B9">
        <w:trPr>
          <w:trHeight w:val="860"/>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t>Key safety data</w:t>
            </w:r>
          </w:p>
        </w:tc>
        <w:tc>
          <w:tcPr>
            <w:tcW w:w="3543" w:type="dxa"/>
          </w:tcPr>
          <w:p w:rsidR="001D112E" w:rsidRPr="00684DD8" w:rsidRDefault="001D112E" w:rsidP="00AA0A07">
            <w:pPr>
              <w:jc w:val="left"/>
              <w:rPr>
                <w:rFonts w:ascii="Arial Narrow" w:hAnsi="Arial Narrow"/>
                <w:sz w:val="20"/>
              </w:rPr>
            </w:pPr>
            <w:r w:rsidRPr="00684DD8">
              <w:rPr>
                <w:rFonts w:ascii="Arial Narrow" w:hAnsi="Arial Narrow"/>
                <w:sz w:val="20"/>
              </w:rPr>
              <w:t>•</w:t>
            </w:r>
            <w:r w:rsidR="00432FEE" w:rsidRPr="00684DD8">
              <w:rPr>
                <w:rFonts w:ascii="Arial Narrow" w:hAnsi="Arial Narrow"/>
                <w:sz w:val="20"/>
              </w:rPr>
              <w:t xml:space="preserve"> No comparative safety analysis was provided</w:t>
            </w:r>
          </w:p>
          <w:p w:rsidR="001D112E" w:rsidRPr="00684DD8" w:rsidRDefault="001D112E" w:rsidP="00AA0A07">
            <w:pPr>
              <w:jc w:val="left"/>
              <w:rPr>
                <w:rFonts w:ascii="Arial Narrow" w:hAnsi="Arial Narrow"/>
                <w:sz w:val="12"/>
                <w:szCs w:val="12"/>
              </w:rPr>
            </w:pPr>
          </w:p>
          <w:p w:rsidR="003014A3" w:rsidRPr="00684DD8" w:rsidRDefault="001D112E" w:rsidP="00AA0A07">
            <w:pPr>
              <w:jc w:val="left"/>
              <w:rPr>
                <w:rFonts w:ascii="Arial Narrow" w:hAnsi="Arial Narrow"/>
                <w:sz w:val="20"/>
              </w:rPr>
            </w:pPr>
            <w:r w:rsidRPr="00684DD8">
              <w:rPr>
                <w:rFonts w:ascii="Arial Narrow" w:hAnsi="Arial Narrow"/>
                <w:b/>
                <w:sz w:val="20"/>
              </w:rPr>
              <w:t>PBAC Comment:</w:t>
            </w:r>
            <w:r w:rsidRPr="00684DD8">
              <w:rPr>
                <w:rFonts w:ascii="Arial Narrow" w:hAnsi="Arial Narrow"/>
                <w:sz w:val="20"/>
              </w:rPr>
              <w:t xml:space="preserve"> </w:t>
            </w:r>
          </w:p>
          <w:p w:rsidR="00063BE2" w:rsidRPr="00684DD8" w:rsidRDefault="00063BE2" w:rsidP="00AA0A07">
            <w:pPr>
              <w:jc w:val="left"/>
              <w:rPr>
                <w:rFonts w:ascii="Arial Narrow" w:hAnsi="Arial Narrow"/>
                <w:sz w:val="20"/>
              </w:rPr>
            </w:pPr>
            <w:r w:rsidRPr="00684DD8">
              <w:rPr>
                <w:rFonts w:ascii="Arial Narrow" w:hAnsi="Arial Narrow"/>
                <w:sz w:val="20"/>
              </w:rPr>
              <w:t>Comparative adverse event data f</w:t>
            </w:r>
            <w:r w:rsidR="000D49DB" w:rsidRPr="00684DD8">
              <w:rPr>
                <w:rFonts w:ascii="Arial Narrow" w:hAnsi="Arial Narrow"/>
                <w:sz w:val="20"/>
              </w:rPr>
              <w:t xml:space="preserve">rom the </w:t>
            </w:r>
            <w:r w:rsidRPr="00684DD8">
              <w:rPr>
                <w:rFonts w:ascii="Arial Narrow" w:hAnsi="Arial Narrow"/>
                <w:sz w:val="20"/>
              </w:rPr>
              <w:t xml:space="preserve">TOWER </w:t>
            </w:r>
            <w:r w:rsidR="00B01940" w:rsidRPr="00684DD8">
              <w:rPr>
                <w:rFonts w:ascii="Arial Narrow" w:hAnsi="Arial Narrow"/>
                <w:sz w:val="20"/>
              </w:rPr>
              <w:t>t</w:t>
            </w:r>
            <w:r w:rsidR="00D20D29" w:rsidRPr="00684DD8">
              <w:rPr>
                <w:rFonts w:ascii="Arial Narrow" w:hAnsi="Arial Narrow"/>
                <w:sz w:val="20"/>
              </w:rPr>
              <w:t>rial</w:t>
            </w:r>
            <w:r w:rsidR="000D49DB" w:rsidRPr="00684DD8">
              <w:rPr>
                <w:rFonts w:ascii="Arial Narrow" w:hAnsi="Arial Narrow"/>
                <w:sz w:val="20"/>
              </w:rPr>
              <w:t xml:space="preserve"> </w:t>
            </w:r>
            <w:r w:rsidRPr="00684DD8">
              <w:rPr>
                <w:rFonts w:ascii="Arial Narrow" w:hAnsi="Arial Narrow"/>
                <w:sz w:val="20"/>
              </w:rPr>
              <w:t>would be informative for a robust assessment of comparative harms.</w:t>
            </w:r>
          </w:p>
          <w:p w:rsidR="00063BE2" w:rsidRPr="00684DD8" w:rsidRDefault="00063BE2" w:rsidP="00AA0A07">
            <w:pPr>
              <w:jc w:val="left"/>
              <w:rPr>
                <w:rFonts w:ascii="Arial Narrow" w:hAnsi="Arial Narrow"/>
                <w:sz w:val="12"/>
                <w:szCs w:val="12"/>
              </w:rPr>
            </w:pPr>
          </w:p>
          <w:p w:rsidR="001D112E" w:rsidRPr="00684DD8" w:rsidRDefault="008424A8" w:rsidP="00AA0A07">
            <w:pPr>
              <w:jc w:val="left"/>
              <w:rPr>
                <w:rFonts w:ascii="Arial Narrow" w:hAnsi="Arial Narrow"/>
                <w:sz w:val="20"/>
              </w:rPr>
            </w:pPr>
            <w:proofErr w:type="spellStart"/>
            <w:r w:rsidRPr="00684DD8">
              <w:rPr>
                <w:rFonts w:ascii="Arial Narrow" w:hAnsi="Arial Narrow"/>
                <w:sz w:val="20"/>
              </w:rPr>
              <w:t>Blinatumomab</w:t>
            </w:r>
            <w:proofErr w:type="spellEnd"/>
            <w:r w:rsidRPr="00684DD8">
              <w:rPr>
                <w:rFonts w:ascii="Arial Narrow" w:hAnsi="Arial Narrow"/>
                <w:sz w:val="20"/>
              </w:rPr>
              <w:t xml:space="preserve"> wa</w:t>
            </w:r>
            <w:r w:rsidR="0058412E" w:rsidRPr="00684DD8">
              <w:rPr>
                <w:rFonts w:ascii="Arial Narrow" w:hAnsi="Arial Narrow"/>
                <w:sz w:val="20"/>
              </w:rPr>
              <w:t>s associated with cytoki</w:t>
            </w:r>
            <w:r w:rsidR="00324F91" w:rsidRPr="00684DD8">
              <w:rPr>
                <w:rFonts w:ascii="Arial Narrow" w:hAnsi="Arial Narrow"/>
                <w:sz w:val="20"/>
              </w:rPr>
              <w:t>ne release syndrome which</w:t>
            </w:r>
            <w:r w:rsidRPr="00684DD8">
              <w:rPr>
                <w:rFonts w:ascii="Arial Narrow" w:hAnsi="Arial Narrow"/>
                <w:sz w:val="20"/>
              </w:rPr>
              <w:t xml:space="preserve"> required</w:t>
            </w:r>
            <w:r w:rsidR="0058412E" w:rsidRPr="00684DD8">
              <w:rPr>
                <w:rFonts w:ascii="Arial Narrow" w:hAnsi="Arial Narrow"/>
                <w:sz w:val="20"/>
              </w:rPr>
              <w:t xml:space="preserve"> access to non-conventional therapy and inpatient support.</w:t>
            </w:r>
          </w:p>
          <w:p w:rsidR="003870F7" w:rsidRPr="00684DD8" w:rsidRDefault="003870F7" w:rsidP="00AA0A07">
            <w:pPr>
              <w:jc w:val="left"/>
              <w:rPr>
                <w:rFonts w:ascii="Arial Narrow" w:hAnsi="Arial Narrow"/>
                <w:sz w:val="20"/>
              </w:rPr>
            </w:pPr>
          </w:p>
        </w:tc>
        <w:tc>
          <w:tcPr>
            <w:tcW w:w="3402" w:type="dxa"/>
          </w:tcPr>
          <w:p w:rsidR="00432FEE" w:rsidRPr="00684DD8" w:rsidRDefault="003014A3" w:rsidP="0058412E">
            <w:pPr>
              <w:jc w:val="left"/>
              <w:rPr>
                <w:rFonts w:ascii="Arial Narrow" w:hAnsi="Arial Narrow"/>
                <w:sz w:val="20"/>
              </w:rPr>
            </w:pPr>
            <w:r w:rsidRPr="00684DD8">
              <w:rPr>
                <w:rFonts w:ascii="Arial Narrow" w:hAnsi="Arial Narrow"/>
                <w:sz w:val="20"/>
              </w:rPr>
              <w:t xml:space="preserve">• </w:t>
            </w:r>
            <w:r w:rsidR="00432FEE" w:rsidRPr="00684DD8">
              <w:rPr>
                <w:rFonts w:ascii="Arial Narrow" w:hAnsi="Arial Narrow"/>
                <w:sz w:val="20"/>
              </w:rPr>
              <w:t xml:space="preserve">No </w:t>
            </w:r>
            <w:r w:rsidRPr="00684DD8">
              <w:rPr>
                <w:rFonts w:ascii="Arial Narrow" w:hAnsi="Arial Narrow"/>
                <w:sz w:val="20"/>
              </w:rPr>
              <w:t>change</w:t>
            </w:r>
            <w:r w:rsidR="00592369" w:rsidRPr="00684DD8">
              <w:rPr>
                <w:rFonts w:ascii="Arial Narrow" w:hAnsi="Arial Narrow"/>
                <w:sz w:val="20"/>
              </w:rPr>
              <w:t>.</w:t>
            </w:r>
          </w:p>
          <w:p w:rsidR="00432FEE" w:rsidRPr="00684DD8" w:rsidRDefault="00432FEE" w:rsidP="0058412E">
            <w:pPr>
              <w:jc w:val="left"/>
              <w:rPr>
                <w:rFonts w:ascii="Arial Narrow" w:hAnsi="Arial Narrow"/>
                <w:sz w:val="12"/>
                <w:szCs w:val="12"/>
              </w:rPr>
            </w:pPr>
          </w:p>
          <w:p w:rsidR="003014A3" w:rsidRPr="00684DD8" w:rsidRDefault="003014A3" w:rsidP="0058412E">
            <w:pPr>
              <w:jc w:val="left"/>
              <w:rPr>
                <w:rFonts w:ascii="Arial Narrow" w:hAnsi="Arial Narrow"/>
                <w:sz w:val="20"/>
              </w:rPr>
            </w:pPr>
          </w:p>
          <w:p w:rsidR="00063BE2" w:rsidRPr="00684DD8" w:rsidRDefault="00063BE2" w:rsidP="0058412E">
            <w:pPr>
              <w:jc w:val="left"/>
              <w:rPr>
                <w:rFonts w:ascii="Arial Narrow" w:hAnsi="Arial Narrow"/>
                <w:sz w:val="20"/>
              </w:rPr>
            </w:pPr>
            <w:r w:rsidRPr="00684DD8">
              <w:rPr>
                <w:rFonts w:ascii="Arial Narrow" w:hAnsi="Arial Narrow"/>
                <w:sz w:val="20"/>
              </w:rPr>
              <w:t>T</w:t>
            </w:r>
            <w:r w:rsidR="008424A8" w:rsidRPr="00684DD8">
              <w:rPr>
                <w:rFonts w:ascii="Arial Narrow" w:hAnsi="Arial Narrow"/>
                <w:sz w:val="20"/>
              </w:rPr>
              <w:t xml:space="preserve">OWER </w:t>
            </w:r>
            <w:r w:rsidR="00B01940" w:rsidRPr="00684DD8">
              <w:rPr>
                <w:rFonts w:ascii="Arial Narrow" w:hAnsi="Arial Narrow"/>
                <w:sz w:val="20"/>
              </w:rPr>
              <w:t>t</w:t>
            </w:r>
            <w:r w:rsidR="00D17489" w:rsidRPr="00684DD8">
              <w:rPr>
                <w:rFonts w:ascii="Arial Narrow" w:hAnsi="Arial Narrow"/>
                <w:sz w:val="20"/>
              </w:rPr>
              <w:t xml:space="preserve">rial </w:t>
            </w:r>
            <w:r w:rsidR="008424A8" w:rsidRPr="00684DD8">
              <w:rPr>
                <w:rFonts w:ascii="Arial Narrow" w:hAnsi="Arial Narrow"/>
                <w:sz w:val="20"/>
              </w:rPr>
              <w:t>data wa</w:t>
            </w:r>
            <w:r w:rsidRPr="00684DD8">
              <w:rPr>
                <w:rFonts w:ascii="Arial Narrow" w:hAnsi="Arial Narrow"/>
                <w:sz w:val="20"/>
              </w:rPr>
              <w:t>s not yet available.</w:t>
            </w:r>
            <w:r w:rsidR="00217705" w:rsidRPr="00684DD8">
              <w:rPr>
                <w:rFonts w:ascii="Arial Narrow" w:hAnsi="Arial Narrow"/>
                <w:sz w:val="20"/>
              </w:rPr>
              <w:t xml:space="preserve"> CSR is expected late 2016, with early results presented mid-2016.</w:t>
            </w:r>
          </w:p>
          <w:p w:rsidR="00063BE2" w:rsidRPr="00684DD8" w:rsidRDefault="00063BE2" w:rsidP="0058412E">
            <w:pPr>
              <w:jc w:val="left"/>
              <w:rPr>
                <w:rFonts w:ascii="Arial Narrow" w:hAnsi="Arial Narrow"/>
                <w:sz w:val="12"/>
                <w:szCs w:val="12"/>
              </w:rPr>
            </w:pPr>
          </w:p>
          <w:p w:rsidR="003870F7" w:rsidRPr="00684DD8" w:rsidRDefault="0058412E" w:rsidP="00EF7AFA">
            <w:pPr>
              <w:jc w:val="left"/>
              <w:rPr>
                <w:rFonts w:ascii="Arial Narrow" w:hAnsi="Arial Narrow"/>
                <w:sz w:val="20"/>
              </w:rPr>
            </w:pPr>
            <w:r w:rsidRPr="00684DD8">
              <w:rPr>
                <w:rFonts w:ascii="Arial Narrow" w:hAnsi="Arial Narrow"/>
                <w:sz w:val="20"/>
              </w:rPr>
              <w:t xml:space="preserve">Only 1/189 patients in MT103-211 received the investigational drug </w:t>
            </w:r>
            <w:proofErr w:type="spellStart"/>
            <w:r w:rsidRPr="00684DD8">
              <w:rPr>
                <w:rFonts w:ascii="Arial Narrow" w:hAnsi="Arial Narrow"/>
                <w:sz w:val="20"/>
              </w:rPr>
              <w:t>tocilizumab</w:t>
            </w:r>
            <w:proofErr w:type="spellEnd"/>
            <w:r w:rsidRPr="00684DD8">
              <w:rPr>
                <w:rFonts w:ascii="Arial Narrow" w:hAnsi="Arial Narrow"/>
                <w:sz w:val="20"/>
              </w:rPr>
              <w:t>.</w:t>
            </w:r>
          </w:p>
        </w:tc>
      </w:tr>
      <w:tr w:rsidR="00780826" w:rsidRPr="00684DD8" w:rsidTr="003F08B9">
        <w:trPr>
          <w:trHeight w:val="860"/>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lastRenderedPageBreak/>
              <w:t>Clinical claim</w:t>
            </w:r>
          </w:p>
        </w:tc>
        <w:tc>
          <w:tcPr>
            <w:tcW w:w="3543" w:type="dxa"/>
          </w:tcPr>
          <w:p w:rsidR="001D112E" w:rsidRPr="00684DD8" w:rsidRDefault="00A67C2A" w:rsidP="00AA0A07">
            <w:pPr>
              <w:jc w:val="left"/>
              <w:rPr>
                <w:rFonts w:ascii="Arial Narrow" w:hAnsi="Arial Narrow"/>
                <w:sz w:val="20"/>
              </w:rPr>
            </w:pPr>
            <w:r w:rsidRPr="00684DD8">
              <w:rPr>
                <w:rFonts w:ascii="Arial Narrow" w:hAnsi="Arial Narrow"/>
                <w:sz w:val="20"/>
              </w:rPr>
              <w:t>•</w:t>
            </w:r>
            <w:r w:rsidR="003014A3" w:rsidRPr="00684DD8">
              <w:rPr>
                <w:rFonts w:ascii="Arial Narrow" w:hAnsi="Arial Narrow"/>
                <w:sz w:val="20"/>
              </w:rPr>
              <w:t xml:space="preserve"> </w:t>
            </w:r>
            <w:proofErr w:type="spellStart"/>
            <w:r w:rsidR="008424A8" w:rsidRPr="00684DD8">
              <w:rPr>
                <w:rFonts w:ascii="Arial Narrow" w:hAnsi="Arial Narrow"/>
                <w:sz w:val="20"/>
              </w:rPr>
              <w:t>Blinatumomab</w:t>
            </w:r>
            <w:proofErr w:type="spellEnd"/>
            <w:r w:rsidR="008424A8" w:rsidRPr="00684DD8">
              <w:rPr>
                <w:rFonts w:ascii="Arial Narrow" w:hAnsi="Arial Narrow"/>
                <w:sz w:val="20"/>
              </w:rPr>
              <w:t xml:space="preserve"> wa</w:t>
            </w:r>
            <w:r w:rsidRPr="00684DD8">
              <w:rPr>
                <w:rFonts w:ascii="Arial Narrow" w:hAnsi="Arial Narrow"/>
                <w:sz w:val="20"/>
              </w:rPr>
              <w:t>s superior in terms of both co</w:t>
            </w:r>
            <w:r w:rsidR="00B60E2F" w:rsidRPr="00684DD8">
              <w:rPr>
                <w:rFonts w:ascii="Arial Narrow" w:hAnsi="Arial Narrow"/>
                <w:sz w:val="20"/>
              </w:rPr>
              <w:t xml:space="preserve">mparative effectiveness and safety over </w:t>
            </w:r>
            <w:r w:rsidR="00C926FC" w:rsidRPr="00684DD8">
              <w:rPr>
                <w:rFonts w:ascii="Arial Narrow" w:hAnsi="Arial Narrow"/>
                <w:sz w:val="20"/>
              </w:rPr>
              <w:t>SC</w:t>
            </w:r>
            <w:r w:rsidR="00B60E2F" w:rsidRPr="00684DD8">
              <w:rPr>
                <w:rFonts w:ascii="Arial Narrow" w:hAnsi="Arial Narrow"/>
                <w:sz w:val="20"/>
              </w:rPr>
              <w:t xml:space="preserve"> combination chemotherapies.</w:t>
            </w:r>
          </w:p>
          <w:p w:rsidR="001D112E" w:rsidRPr="00684DD8" w:rsidRDefault="001D112E" w:rsidP="00AA0A07">
            <w:pPr>
              <w:jc w:val="left"/>
              <w:rPr>
                <w:rFonts w:ascii="Arial Narrow" w:hAnsi="Arial Narrow"/>
                <w:b/>
                <w:sz w:val="12"/>
                <w:szCs w:val="12"/>
              </w:rPr>
            </w:pPr>
          </w:p>
          <w:p w:rsidR="001D112E" w:rsidRPr="00684DD8" w:rsidRDefault="001D112E" w:rsidP="001608D4">
            <w:pPr>
              <w:jc w:val="left"/>
              <w:rPr>
                <w:rFonts w:ascii="Arial Narrow" w:hAnsi="Arial Narrow"/>
                <w:sz w:val="20"/>
              </w:rPr>
            </w:pPr>
            <w:r w:rsidRPr="00684DD8">
              <w:rPr>
                <w:rFonts w:ascii="Arial Narrow" w:hAnsi="Arial Narrow"/>
                <w:b/>
                <w:sz w:val="20"/>
              </w:rPr>
              <w:t>PBAC Comment:</w:t>
            </w:r>
            <w:r w:rsidRPr="00684DD8">
              <w:rPr>
                <w:rFonts w:ascii="Arial Narrow" w:hAnsi="Arial Narrow"/>
                <w:sz w:val="20"/>
              </w:rPr>
              <w:t xml:space="preserve"> </w:t>
            </w:r>
          </w:p>
          <w:p w:rsidR="001608D4" w:rsidRPr="00684DD8" w:rsidRDefault="001608D4" w:rsidP="001608D4">
            <w:pPr>
              <w:jc w:val="left"/>
              <w:rPr>
                <w:rFonts w:ascii="Arial Narrow" w:hAnsi="Arial Narrow"/>
                <w:sz w:val="20"/>
              </w:rPr>
            </w:pPr>
            <w:r w:rsidRPr="00684DD8">
              <w:rPr>
                <w:rFonts w:ascii="Arial Narrow" w:hAnsi="Arial Narrow"/>
                <w:sz w:val="20"/>
              </w:rPr>
              <w:t xml:space="preserve">Clinical claim of superior efficacy was difficult to </w:t>
            </w:r>
            <w:r w:rsidR="00592369" w:rsidRPr="00684DD8">
              <w:rPr>
                <w:rFonts w:ascii="Arial Narrow" w:hAnsi="Arial Narrow"/>
                <w:sz w:val="20"/>
              </w:rPr>
              <w:t xml:space="preserve">assess. </w:t>
            </w:r>
            <w:proofErr w:type="spellStart"/>
            <w:r w:rsidR="00592369" w:rsidRPr="00684DD8">
              <w:rPr>
                <w:rFonts w:ascii="Arial Narrow" w:hAnsi="Arial Narrow"/>
                <w:sz w:val="20"/>
              </w:rPr>
              <w:t>Blinatumomab</w:t>
            </w:r>
            <w:proofErr w:type="spellEnd"/>
            <w:r w:rsidR="00592369" w:rsidRPr="00684DD8">
              <w:rPr>
                <w:rFonts w:ascii="Arial Narrow" w:hAnsi="Arial Narrow"/>
                <w:sz w:val="20"/>
              </w:rPr>
              <w:t xml:space="preserve"> had</w:t>
            </w:r>
            <w:r w:rsidRPr="00684DD8">
              <w:rPr>
                <w:rFonts w:ascii="Arial Narrow" w:hAnsi="Arial Narrow"/>
                <w:sz w:val="20"/>
              </w:rPr>
              <w:t xml:space="preserve"> clear efficacy in a minority of patients and app</w:t>
            </w:r>
            <w:r w:rsidR="00592369" w:rsidRPr="00684DD8">
              <w:rPr>
                <w:rFonts w:ascii="Arial Narrow" w:hAnsi="Arial Narrow"/>
                <w:sz w:val="20"/>
              </w:rPr>
              <w:t>eared</w:t>
            </w:r>
            <w:r w:rsidRPr="00684DD8">
              <w:rPr>
                <w:rFonts w:ascii="Arial Narrow" w:hAnsi="Arial Narrow"/>
                <w:sz w:val="20"/>
              </w:rPr>
              <w:t xml:space="preserve"> superior to current salvage therapy; however</w:t>
            </w:r>
            <w:r w:rsidR="008424A8" w:rsidRPr="00684DD8">
              <w:rPr>
                <w:rFonts w:ascii="Arial Narrow" w:hAnsi="Arial Narrow"/>
                <w:sz w:val="20"/>
              </w:rPr>
              <w:t>,</w:t>
            </w:r>
            <w:r w:rsidRPr="00684DD8">
              <w:rPr>
                <w:rFonts w:ascii="Arial Narrow" w:hAnsi="Arial Narrow"/>
                <w:sz w:val="20"/>
              </w:rPr>
              <w:t xml:space="preserve"> the magnitude of improvement in long-term outcomes </w:t>
            </w:r>
            <w:r w:rsidR="00592369" w:rsidRPr="00684DD8">
              <w:rPr>
                <w:rFonts w:ascii="Arial Narrow" w:hAnsi="Arial Narrow"/>
                <w:sz w:val="20"/>
              </w:rPr>
              <w:t>could not</w:t>
            </w:r>
            <w:r w:rsidRPr="00684DD8">
              <w:rPr>
                <w:rFonts w:ascii="Arial Narrow" w:hAnsi="Arial Narrow"/>
                <w:sz w:val="20"/>
              </w:rPr>
              <w:t xml:space="preserve"> be readily determined.</w:t>
            </w:r>
          </w:p>
          <w:p w:rsidR="001608D4" w:rsidRPr="00684DD8" w:rsidRDefault="001608D4" w:rsidP="001608D4">
            <w:pPr>
              <w:jc w:val="left"/>
              <w:rPr>
                <w:rFonts w:ascii="Arial Narrow" w:hAnsi="Arial Narrow"/>
                <w:sz w:val="12"/>
                <w:szCs w:val="12"/>
              </w:rPr>
            </w:pPr>
          </w:p>
          <w:p w:rsidR="001608D4" w:rsidRPr="00684DD8" w:rsidRDefault="00F40688" w:rsidP="00B01940">
            <w:pPr>
              <w:jc w:val="left"/>
              <w:rPr>
                <w:rFonts w:ascii="Arial Narrow" w:hAnsi="Arial Narrow"/>
                <w:sz w:val="20"/>
              </w:rPr>
            </w:pPr>
            <w:r w:rsidRPr="00684DD8">
              <w:rPr>
                <w:rFonts w:ascii="Arial Narrow" w:hAnsi="Arial Narrow"/>
                <w:sz w:val="20"/>
              </w:rPr>
              <w:t xml:space="preserve">The claim of superior safety was difficult to assess. Toxicity would vary depending on the clinical state of a patient when treatment </w:t>
            </w:r>
            <w:r w:rsidR="00592369" w:rsidRPr="00684DD8">
              <w:rPr>
                <w:rFonts w:ascii="Arial Narrow" w:hAnsi="Arial Narrow"/>
                <w:sz w:val="20"/>
              </w:rPr>
              <w:t>wa</w:t>
            </w:r>
            <w:r w:rsidRPr="00684DD8">
              <w:rPr>
                <w:rFonts w:ascii="Arial Narrow" w:hAnsi="Arial Narrow"/>
                <w:sz w:val="20"/>
              </w:rPr>
              <w:t xml:space="preserve">s commenced. </w:t>
            </w:r>
            <w:r w:rsidR="001608D4" w:rsidRPr="00684DD8">
              <w:rPr>
                <w:rFonts w:ascii="Arial Narrow" w:hAnsi="Arial Narrow"/>
                <w:sz w:val="20"/>
              </w:rPr>
              <w:t xml:space="preserve">No comparative safety outcomes were provided. The comparative adverse event data from the TOWER </w:t>
            </w:r>
            <w:r w:rsidR="00B01940" w:rsidRPr="00684DD8">
              <w:rPr>
                <w:rFonts w:ascii="Arial Narrow" w:hAnsi="Arial Narrow"/>
                <w:sz w:val="20"/>
              </w:rPr>
              <w:t>t</w:t>
            </w:r>
            <w:r w:rsidR="00D20D29" w:rsidRPr="00684DD8">
              <w:rPr>
                <w:rFonts w:ascii="Arial Narrow" w:hAnsi="Arial Narrow"/>
                <w:sz w:val="20"/>
              </w:rPr>
              <w:t>rial</w:t>
            </w:r>
            <w:r w:rsidR="001608D4" w:rsidRPr="00684DD8">
              <w:rPr>
                <w:rFonts w:ascii="Arial Narrow" w:hAnsi="Arial Narrow"/>
                <w:sz w:val="20"/>
              </w:rPr>
              <w:t xml:space="preserve"> will be informative.</w:t>
            </w:r>
          </w:p>
        </w:tc>
        <w:tc>
          <w:tcPr>
            <w:tcW w:w="3402" w:type="dxa"/>
          </w:tcPr>
          <w:p w:rsidR="001608D4" w:rsidRPr="00684DD8" w:rsidRDefault="003014A3" w:rsidP="00B01940">
            <w:pPr>
              <w:jc w:val="left"/>
              <w:rPr>
                <w:rFonts w:ascii="Arial Narrow" w:hAnsi="Arial Narrow"/>
                <w:sz w:val="20"/>
              </w:rPr>
            </w:pPr>
            <w:r w:rsidRPr="00684DD8">
              <w:rPr>
                <w:rFonts w:ascii="Arial Narrow" w:hAnsi="Arial Narrow"/>
                <w:sz w:val="20"/>
              </w:rPr>
              <w:t>• No change</w:t>
            </w:r>
            <w:r w:rsidR="00592369" w:rsidRPr="00684DD8">
              <w:rPr>
                <w:rFonts w:ascii="Arial Narrow" w:hAnsi="Arial Narrow"/>
                <w:sz w:val="20"/>
              </w:rPr>
              <w:t>.</w:t>
            </w:r>
            <w:r w:rsidR="00217705" w:rsidRPr="00684DD8">
              <w:rPr>
                <w:rFonts w:ascii="Arial Narrow" w:hAnsi="Arial Narrow"/>
                <w:sz w:val="20"/>
              </w:rPr>
              <w:t xml:space="preserve"> Data from the TOWER </w:t>
            </w:r>
            <w:r w:rsidR="00B01940" w:rsidRPr="00684DD8">
              <w:rPr>
                <w:rFonts w:ascii="Arial Narrow" w:hAnsi="Arial Narrow"/>
                <w:sz w:val="20"/>
              </w:rPr>
              <w:t>t</w:t>
            </w:r>
            <w:r w:rsidR="00217705" w:rsidRPr="00684DD8">
              <w:rPr>
                <w:rFonts w:ascii="Arial Narrow" w:hAnsi="Arial Narrow"/>
                <w:sz w:val="20"/>
              </w:rPr>
              <w:t xml:space="preserve">rial are not yet available but </w:t>
            </w:r>
            <w:r w:rsidR="00324F91" w:rsidRPr="00684DD8">
              <w:rPr>
                <w:rFonts w:ascii="Arial Narrow" w:hAnsi="Arial Narrow"/>
                <w:sz w:val="20"/>
              </w:rPr>
              <w:t xml:space="preserve">are </w:t>
            </w:r>
            <w:r w:rsidR="00217705" w:rsidRPr="00684DD8">
              <w:rPr>
                <w:rFonts w:ascii="Arial Narrow" w:hAnsi="Arial Narrow"/>
                <w:sz w:val="20"/>
              </w:rPr>
              <w:t>to be considered for a managed entry scheme.</w:t>
            </w:r>
            <w:r w:rsidR="003F08B9" w:rsidRPr="00684DD8">
              <w:rPr>
                <w:rFonts w:ascii="Arial Narrow" w:hAnsi="Arial Narrow"/>
                <w:sz w:val="20"/>
              </w:rPr>
              <w:t xml:space="preserve"> Preliminary data from TOWER tria</w:t>
            </w:r>
            <w:r w:rsidR="00B01940" w:rsidRPr="00684DD8">
              <w:rPr>
                <w:rFonts w:ascii="Arial Narrow" w:hAnsi="Arial Narrow"/>
                <w:sz w:val="20"/>
              </w:rPr>
              <w:t>l were presented with the PSCR.</w:t>
            </w:r>
          </w:p>
        </w:tc>
      </w:tr>
      <w:tr w:rsidR="00780826" w:rsidRPr="00684DD8" w:rsidTr="003F08B9">
        <w:trPr>
          <w:trHeight w:val="100"/>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t>Economic evaluation</w:t>
            </w:r>
          </w:p>
        </w:tc>
        <w:tc>
          <w:tcPr>
            <w:tcW w:w="3543" w:type="dxa"/>
          </w:tcPr>
          <w:p w:rsidR="001D112E" w:rsidRPr="00684DD8" w:rsidRDefault="001D112E" w:rsidP="00AA0A07">
            <w:pPr>
              <w:jc w:val="left"/>
              <w:rPr>
                <w:rFonts w:ascii="Arial Narrow" w:hAnsi="Arial Narrow"/>
                <w:b/>
                <w:sz w:val="20"/>
              </w:rPr>
            </w:pPr>
            <w:r w:rsidRPr="00684DD8">
              <w:rPr>
                <w:rFonts w:ascii="Arial Narrow" w:hAnsi="Arial Narrow"/>
                <w:sz w:val="20"/>
              </w:rPr>
              <w:t>•</w:t>
            </w:r>
            <w:r w:rsidR="003014A3" w:rsidRPr="00684DD8">
              <w:rPr>
                <w:rFonts w:ascii="Arial Narrow" w:hAnsi="Arial Narrow"/>
                <w:sz w:val="20"/>
              </w:rPr>
              <w:t xml:space="preserve"> </w:t>
            </w:r>
            <w:r w:rsidRPr="00684DD8">
              <w:rPr>
                <w:rFonts w:ascii="Arial Narrow" w:hAnsi="Arial Narrow"/>
                <w:sz w:val="20"/>
              </w:rPr>
              <w:t xml:space="preserve">Cost-utility model with </w:t>
            </w:r>
            <w:r w:rsidR="003870F7" w:rsidRPr="00684DD8">
              <w:rPr>
                <w:rFonts w:ascii="Arial Narrow" w:hAnsi="Arial Narrow"/>
                <w:sz w:val="20"/>
              </w:rPr>
              <w:t xml:space="preserve">a </w:t>
            </w:r>
            <w:r w:rsidRPr="00684DD8">
              <w:rPr>
                <w:rFonts w:ascii="Arial Narrow" w:hAnsi="Arial Narrow"/>
                <w:sz w:val="20"/>
              </w:rPr>
              <w:t xml:space="preserve">cost/QALY </w:t>
            </w:r>
            <w:r w:rsidR="003870F7" w:rsidRPr="00684DD8">
              <w:rPr>
                <w:rFonts w:ascii="Arial Narrow" w:hAnsi="Arial Narrow"/>
                <w:sz w:val="20"/>
              </w:rPr>
              <w:t xml:space="preserve">of </w:t>
            </w:r>
            <w:r w:rsidRPr="00684DD8">
              <w:rPr>
                <w:rFonts w:ascii="Arial Narrow" w:hAnsi="Arial Narrow"/>
                <w:sz w:val="20"/>
              </w:rPr>
              <w:t>$</w:t>
            </w:r>
            <w:r w:rsidR="000E14EC">
              <w:rPr>
                <w:rFonts w:ascii="Arial Narrow" w:hAnsi="Arial Narrow"/>
                <w:sz w:val="20"/>
              </w:rPr>
              <w:t>75,000 – 105,000</w:t>
            </w:r>
            <w:r w:rsidR="003870F7" w:rsidRPr="00684DD8">
              <w:rPr>
                <w:rFonts w:ascii="Arial Narrow" w:hAnsi="Arial Narrow"/>
                <w:sz w:val="20"/>
              </w:rPr>
              <w:t>/QALY</w:t>
            </w:r>
            <w:r w:rsidRPr="00684DD8">
              <w:rPr>
                <w:rFonts w:ascii="Arial Narrow" w:hAnsi="Arial Narrow"/>
                <w:sz w:val="20"/>
              </w:rPr>
              <w:t>.</w:t>
            </w:r>
            <w:r w:rsidRPr="00684DD8">
              <w:rPr>
                <w:rFonts w:ascii="Arial Narrow" w:hAnsi="Arial Narrow"/>
                <w:b/>
                <w:sz w:val="20"/>
              </w:rPr>
              <w:t xml:space="preserve"> </w:t>
            </w:r>
          </w:p>
          <w:p w:rsidR="001D112E" w:rsidRPr="00684DD8" w:rsidRDefault="001D112E" w:rsidP="00AA0A07">
            <w:pPr>
              <w:jc w:val="left"/>
              <w:rPr>
                <w:rFonts w:ascii="Arial Narrow" w:hAnsi="Arial Narrow"/>
                <w:b/>
                <w:sz w:val="12"/>
                <w:szCs w:val="12"/>
              </w:rPr>
            </w:pPr>
          </w:p>
          <w:p w:rsidR="001D112E" w:rsidRPr="00684DD8" w:rsidRDefault="001D112E" w:rsidP="0058412E">
            <w:pPr>
              <w:jc w:val="left"/>
              <w:rPr>
                <w:rFonts w:ascii="Arial Narrow" w:hAnsi="Arial Narrow"/>
                <w:sz w:val="20"/>
              </w:rPr>
            </w:pPr>
            <w:r w:rsidRPr="00684DD8">
              <w:rPr>
                <w:rFonts w:ascii="Arial Narrow" w:hAnsi="Arial Narrow"/>
                <w:b/>
                <w:sz w:val="20"/>
              </w:rPr>
              <w:t>PBAC Comment:</w:t>
            </w:r>
            <w:r w:rsidRPr="00684DD8">
              <w:rPr>
                <w:rFonts w:ascii="Arial Narrow" w:hAnsi="Arial Narrow"/>
                <w:sz w:val="20"/>
              </w:rPr>
              <w:t xml:space="preserve"> </w:t>
            </w:r>
          </w:p>
          <w:p w:rsidR="00063BE2" w:rsidRPr="00684DD8" w:rsidRDefault="008424A8" w:rsidP="00DE28D2">
            <w:pPr>
              <w:jc w:val="left"/>
              <w:rPr>
                <w:rFonts w:ascii="Arial Narrow" w:hAnsi="Arial Narrow"/>
                <w:sz w:val="20"/>
              </w:rPr>
            </w:pPr>
            <w:r w:rsidRPr="00684DD8">
              <w:rPr>
                <w:rFonts w:ascii="Arial Narrow" w:hAnsi="Arial Narrow"/>
                <w:sz w:val="20"/>
              </w:rPr>
              <w:t>PBAC wa</w:t>
            </w:r>
            <w:r w:rsidR="00DA2F73" w:rsidRPr="00684DD8">
              <w:rPr>
                <w:rFonts w:ascii="Arial Narrow" w:hAnsi="Arial Narrow"/>
                <w:sz w:val="20"/>
              </w:rPr>
              <w:t xml:space="preserve">s supportive of expediting the listing of </w:t>
            </w:r>
            <w:proofErr w:type="spellStart"/>
            <w:r w:rsidR="00DA2F73" w:rsidRPr="00684DD8">
              <w:rPr>
                <w:rFonts w:ascii="Arial Narrow" w:hAnsi="Arial Narrow"/>
                <w:sz w:val="20"/>
              </w:rPr>
              <w:t>blinatumomab</w:t>
            </w:r>
            <w:proofErr w:type="spellEnd"/>
            <w:r w:rsidR="00DA2F73" w:rsidRPr="00684DD8">
              <w:rPr>
                <w:rFonts w:ascii="Arial Narrow" w:hAnsi="Arial Narrow"/>
                <w:sz w:val="20"/>
              </w:rPr>
              <w:t xml:space="preserve"> if the wei</w:t>
            </w:r>
            <w:r w:rsidRPr="00684DD8">
              <w:rPr>
                <w:rFonts w:ascii="Arial Narrow" w:hAnsi="Arial Narrow"/>
                <w:sz w:val="20"/>
              </w:rPr>
              <w:t>ghted post-2000 control data could</w:t>
            </w:r>
            <w:r w:rsidR="00DA2F73" w:rsidRPr="00684DD8">
              <w:rPr>
                <w:rFonts w:ascii="Arial Narrow" w:hAnsi="Arial Narrow"/>
                <w:sz w:val="20"/>
              </w:rPr>
              <w:t xml:space="preserve"> be used to inform a revised economic evaluation.</w:t>
            </w:r>
            <w:r w:rsidR="00DE28D2" w:rsidRPr="00684DD8">
              <w:rPr>
                <w:rFonts w:ascii="Arial Narrow" w:hAnsi="Arial Narrow"/>
                <w:sz w:val="20"/>
              </w:rPr>
              <w:t xml:space="preserve"> </w:t>
            </w:r>
          </w:p>
          <w:p w:rsidR="000D49DB" w:rsidRPr="00684DD8" w:rsidRDefault="000D49DB" w:rsidP="00DE28D2">
            <w:pPr>
              <w:jc w:val="left"/>
              <w:rPr>
                <w:rFonts w:ascii="Arial Narrow" w:hAnsi="Arial Narrow"/>
                <w:sz w:val="12"/>
                <w:szCs w:val="12"/>
              </w:rPr>
            </w:pPr>
          </w:p>
          <w:p w:rsidR="00DA2F73" w:rsidRPr="00684DD8" w:rsidRDefault="00DA2F73" w:rsidP="00DA2F73">
            <w:pPr>
              <w:jc w:val="left"/>
              <w:rPr>
                <w:rFonts w:ascii="Arial Narrow" w:hAnsi="Arial Narrow"/>
                <w:sz w:val="20"/>
              </w:rPr>
            </w:pPr>
            <w:r w:rsidRPr="00684DD8">
              <w:rPr>
                <w:rFonts w:ascii="Arial Narrow" w:hAnsi="Arial Narrow"/>
                <w:sz w:val="20"/>
              </w:rPr>
              <w:t>Without access to the comp</w:t>
            </w:r>
            <w:r w:rsidR="00F2665A" w:rsidRPr="00684DD8">
              <w:rPr>
                <w:rFonts w:ascii="Arial Narrow" w:hAnsi="Arial Narrow"/>
                <w:sz w:val="20"/>
              </w:rPr>
              <w:t xml:space="preserve">arative results from the TOWER </w:t>
            </w:r>
            <w:r w:rsidR="00B01940" w:rsidRPr="00684DD8">
              <w:rPr>
                <w:rFonts w:ascii="Arial Narrow" w:hAnsi="Arial Narrow"/>
                <w:sz w:val="20"/>
              </w:rPr>
              <w:t>t</w:t>
            </w:r>
            <w:r w:rsidR="00D20D29" w:rsidRPr="00684DD8">
              <w:rPr>
                <w:rFonts w:ascii="Arial Narrow" w:hAnsi="Arial Narrow"/>
                <w:sz w:val="20"/>
              </w:rPr>
              <w:t>rial</w:t>
            </w:r>
            <w:r w:rsidRPr="00684DD8">
              <w:rPr>
                <w:rFonts w:ascii="Arial Narrow" w:hAnsi="Arial Narrow"/>
                <w:sz w:val="20"/>
              </w:rPr>
              <w:t>, residual uncertainty in a revised model could be dealt with by adjusting the price to mitigate risk to the Commonwealth.</w:t>
            </w:r>
          </w:p>
          <w:p w:rsidR="0058412E" w:rsidRPr="00684DD8" w:rsidRDefault="0058412E" w:rsidP="0058412E">
            <w:pPr>
              <w:jc w:val="left"/>
              <w:rPr>
                <w:rFonts w:ascii="Arial Narrow" w:hAnsi="Arial Narrow"/>
                <w:sz w:val="12"/>
                <w:szCs w:val="12"/>
              </w:rPr>
            </w:pPr>
          </w:p>
          <w:p w:rsidR="0093332D" w:rsidRPr="00684DD8" w:rsidRDefault="0093332D" w:rsidP="0093332D">
            <w:pPr>
              <w:jc w:val="left"/>
              <w:rPr>
                <w:rFonts w:ascii="Arial Narrow" w:hAnsi="Arial Narrow"/>
                <w:sz w:val="20"/>
              </w:rPr>
            </w:pPr>
            <w:r w:rsidRPr="00684DD8">
              <w:rPr>
                <w:rFonts w:ascii="Arial Narrow" w:hAnsi="Arial Narrow"/>
                <w:sz w:val="20"/>
              </w:rPr>
              <w:t>More detailed input data on the costs of allogeneic HSCT, and evidence based es</w:t>
            </w:r>
            <w:r w:rsidR="0048168D" w:rsidRPr="00684DD8">
              <w:rPr>
                <w:rFonts w:ascii="Arial Narrow" w:hAnsi="Arial Narrow"/>
                <w:sz w:val="20"/>
              </w:rPr>
              <w:t>timates of life expectancy post-</w:t>
            </w:r>
            <w:r w:rsidRPr="00684DD8">
              <w:rPr>
                <w:rFonts w:ascii="Arial Narrow" w:hAnsi="Arial Narrow"/>
                <w:sz w:val="20"/>
              </w:rPr>
              <w:t>allogeneic HSCT would improve reliability of the model.</w:t>
            </w:r>
          </w:p>
          <w:p w:rsidR="00ED0D8C" w:rsidRPr="00684DD8" w:rsidRDefault="00ED0D8C" w:rsidP="0093332D">
            <w:pPr>
              <w:jc w:val="left"/>
              <w:rPr>
                <w:rFonts w:ascii="Arial Narrow" w:hAnsi="Arial Narrow"/>
                <w:sz w:val="12"/>
                <w:szCs w:val="12"/>
              </w:rPr>
            </w:pPr>
          </w:p>
          <w:p w:rsidR="0093332D" w:rsidRPr="00684DD8" w:rsidRDefault="00F27C18" w:rsidP="0093332D">
            <w:pPr>
              <w:jc w:val="left"/>
              <w:rPr>
                <w:rFonts w:ascii="Arial Narrow" w:hAnsi="Arial Narrow"/>
                <w:sz w:val="20"/>
              </w:rPr>
            </w:pPr>
            <w:r w:rsidRPr="00684DD8">
              <w:rPr>
                <w:rFonts w:ascii="Arial Narrow" w:hAnsi="Arial Narrow"/>
                <w:sz w:val="20"/>
              </w:rPr>
              <w:t>The economic model sh</w:t>
            </w:r>
            <w:r w:rsidR="0093332D" w:rsidRPr="00684DD8">
              <w:rPr>
                <w:rFonts w:ascii="Arial Narrow" w:hAnsi="Arial Narrow"/>
                <w:sz w:val="20"/>
              </w:rPr>
              <w:t>ould consider cost differences and utility consequences in patients who received further salvage therapies after not responding to or relapsing after treatment.</w:t>
            </w:r>
          </w:p>
          <w:p w:rsidR="0093332D" w:rsidRPr="00684DD8" w:rsidRDefault="0093332D" w:rsidP="0093332D">
            <w:pPr>
              <w:jc w:val="left"/>
              <w:rPr>
                <w:rFonts w:ascii="Arial Narrow" w:hAnsi="Arial Narrow"/>
                <w:sz w:val="12"/>
                <w:szCs w:val="12"/>
              </w:rPr>
            </w:pPr>
          </w:p>
          <w:p w:rsidR="003870F7" w:rsidRPr="00684DD8" w:rsidRDefault="0093332D" w:rsidP="0058412E">
            <w:pPr>
              <w:jc w:val="left"/>
              <w:rPr>
                <w:rFonts w:ascii="Arial Narrow" w:hAnsi="Arial Narrow"/>
                <w:sz w:val="20"/>
              </w:rPr>
            </w:pPr>
            <w:r w:rsidRPr="00684DD8">
              <w:rPr>
                <w:rFonts w:ascii="Arial Narrow" w:hAnsi="Arial Narrow"/>
                <w:sz w:val="20"/>
              </w:rPr>
              <w:t>The model assumed that patients who respond</w:t>
            </w:r>
            <w:r w:rsidR="008424A8" w:rsidRPr="00684DD8">
              <w:rPr>
                <w:rFonts w:ascii="Arial Narrow" w:hAnsi="Arial Narrow"/>
                <w:sz w:val="20"/>
              </w:rPr>
              <w:t>ed</w:t>
            </w:r>
            <w:r w:rsidRPr="00684DD8">
              <w:rPr>
                <w:rFonts w:ascii="Arial Narrow" w:hAnsi="Arial Narrow"/>
                <w:sz w:val="20"/>
              </w:rPr>
              <w:t xml:space="preserve"> would do so immediately, which </w:t>
            </w:r>
            <w:r w:rsidR="008424A8" w:rsidRPr="00684DD8">
              <w:rPr>
                <w:rFonts w:ascii="Arial Narrow" w:hAnsi="Arial Narrow"/>
                <w:sz w:val="20"/>
              </w:rPr>
              <w:t>might</w:t>
            </w:r>
            <w:r w:rsidRPr="00684DD8">
              <w:rPr>
                <w:rFonts w:ascii="Arial Narrow" w:hAnsi="Arial Narrow"/>
                <w:sz w:val="20"/>
              </w:rPr>
              <w:t xml:space="preserve"> not be appropriate.</w:t>
            </w:r>
          </w:p>
          <w:p w:rsidR="003870F7" w:rsidRPr="00684DD8" w:rsidRDefault="003870F7" w:rsidP="0058412E">
            <w:pPr>
              <w:jc w:val="left"/>
              <w:rPr>
                <w:rFonts w:ascii="Arial Narrow" w:hAnsi="Arial Narrow"/>
                <w:sz w:val="12"/>
                <w:szCs w:val="12"/>
              </w:rPr>
            </w:pPr>
          </w:p>
          <w:p w:rsidR="003870F7" w:rsidRPr="00684DD8" w:rsidRDefault="00217705" w:rsidP="00324F91">
            <w:pPr>
              <w:jc w:val="left"/>
              <w:rPr>
                <w:rFonts w:ascii="Arial Narrow" w:hAnsi="Arial Narrow"/>
                <w:sz w:val="20"/>
              </w:rPr>
            </w:pPr>
            <w:r w:rsidRPr="00684DD8">
              <w:rPr>
                <w:rFonts w:ascii="Arial Narrow" w:hAnsi="Arial Narrow"/>
                <w:sz w:val="20"/>
              </w:rPr>
              <w:t xml:space="preserve">The cost of </w:t>
            </w:r>
            <w:proofErr w:type="spellStart"/>
            <w:r w:rsidRPr="00684DD8">
              <w:rPr>
                <w:rFonts w:ascii="Arial Narrow" w:hAnsi="Arial Narrow"/>
                <w:sz w:val="20"/>
              </w:rPr>
              <w:t>blinatumomab</w:t>
            </w:r>
            <w:proofErr w:type="spellEnd"/>
            <w:r w:rsidRPr="00684DD8">
              <w:rPr>
                <w:rFonts w:ascii="Arial Narrow" w:hAnsi="Arial Narrow"/>
                <w:sz w:val="20"/>
              </w:rPr>
              <w:t xml:space="preserve"> administration was likely to be underestimated, particularly with regards to the managing </w:t>
            </w:r>
            <w:r w:rsidR="00324F91" w:rsidRPr="00684DD8">
              <w:rPr>
                <w:rFonts w:ascii="Arial Narrow" w:hAnsi="Arial Narrow"/>
                <w:sz w:val="20"/>
              </w:rPr>
              <w:t xml:space="preserve">of </w:t>
            </w:r>
            <w:r w:rsidRPr="00684DD8">
              <w:rPr>
                <w:rFonts w:ascii="Arial Narrow" w:hAnsi="Arial Narrow"/>
                <w:sz w:val="20"/>
              </w:rPr>
              <w:t>adverse events.</w:t>
            </w:r>
          </w:p>
        </w:tc>
        <w:tc>
          <w:tcPr>
            <w:tcW w:w="3402" w:type="dxa"/>
          </w:tcPr>
          <w:p w:rsidR="001D112E" w:rsidRPr="00684DD8" w:rsidRDefault="001D112E" w:rsidP="00AA0A07">
            <w:pPr>
              <w:jc w:val="left"/>
              <w:rPr>
                <w:rFonts w:ascii="Arial Narrow" w:hAnsi="Arial Narrow"/>
                <w:b/>
                <w:sz w:val="20"/>
              </w:rPr>
            </w:pPr>
            <w:r w:rsidRPr="00684DD8">
              <w:rPr>
                <w:rFonts w:ascii="Arial Narrow" w:hAnsi="Arial Narrow"/>
                <w:sz w:val="20"/>
              </w:rPr>
              <w:t>•</w:t>
            </w:r>
            <w:r w:rsidR="003014A3" w:rsidRPr="00684DD8">
              <w:rPr>
                <w:rFonts w:ascii="Arial Narrow" w:hAnsi="Arial Narrow"/>
                <w:sz w:val="20"/>
              </w:rPr>
              <w:t xml:space="preserve"> </w:t>
            </w:r>
            <w:r w:rsidRPr="00684DD8">
              <w:rPr>
                <w:rFonts w:ascii="Arial Narrow" w:hAnsi="Arial Narrow"/>
                <w:sz w:val="20"/>
              </w:rPr>
              <w:t>Cost-util</w:t>
            </w:r>
            <w:r w:rsidR="003870F7" w:rsidRPr="00684DD8">
              <w:rPr>
                <w:rFonts w:ascii="Arial Narrow" w:hAnsi="Arial Narrow"/>
                <w:sz w:val="20"/>
              </w:rPr>
              <w:t>ity model with a cost/QALY of $</w:t>
            </w:r>
            <w:r w:rsidR="000E14EC">
              <w:rPr>
                <w:rFonts w:ascii="Arial Narrow" w:hAnsi="Arial Narrow"/>
                <w:sz w:val="20"/>
              </w:rPr>
              <w:t>45,000 – 75,000</w:t>
            </w:r>
            <w:r w:rsidR="003870F7" w:rsidRPr="00684DD8">
              <w:rPr>
                <w:rFonts w:ascii="Arial Narrow" w:hAnsi="Arial Narrow"/>
                <w:sz w:val="20"/>
              </w:rPr>
              <w:t>/QALY</w:t>
            </w:r>
            <w:r w:rsidRPr="00684DD8">
              <w:rPr>
                <w:rFonts w:ascii="Arial Narrow" w:hAnsi="Arial Narrow"/>
                <w:sz w:val="20"/>
              </w:rPr>
              <w:t>.</w:t>
            </w:r>
            <w:r w:rsidRPr="00684DD8">
              <w:rPr>
                <w:rFonts w:ascii="Arial Narrow" w:hAnsi="Arial Narrow"/>
                <w:b/>
                <w:sz w:val="20"/>
              </w:rPr>
              <w:t xml:space="preserve"> </w:t>
            </w:r>
          </w:p>
          <w:p w:rsidR="003870F7" w:rsidRPr="00684DD8" w:rsidRDefault="003870F7" w:rsidP="00AA0A07">
            <w:pPr>
              <w:jc w:val="left"/>
              <w:rPr>
                <w:rFonts w:ascii="Arial Narrow" w:hAnsi="Arial Narrow"/>
                <w:sz w:val="12"/>
                <w:szCs w:val="12"/>
              </w:rPr>
            </w:pPr>
          </w:p>
          <w:p w:rsidR="00ED0D8C" w:rsidRPr="00684DD8" w:rsidRDefault="00ED0D8C" w:rsidP="00DA2F73">
            <w:pPr>
              <w:jc w:val="left"/>
              <w:rPr>
                <w:rFonts w:ascii="Arial Narrow" w:hAnsi="Arial Narrow"/>
                <w:sz w:val="20"/>
              </w:rPr>
            </w:pPr>
          </w:p>
          <w:p w:rsidR="000D49DB" w:rsidRPr="00684DD8" w:rsidRDefault="00DE28D2" w:rsidP="00DA2F73">
            <w:pPr>
              <w:jc w:val="left"/>
              <w:rPr>
                <w:rFonts w:ascii="Arial Narrow" w:hAnsi="Arial Narrow"/>
                <w:sz w:val="20"/>
              </w:rPr>
            </w:pPr>
            <w:r w:rsidRPr="00684DD8">
              <w:rPr>
                <w:rFonts w:ascii="Arial Narrow" w:hAnsi="Arial Narrow"/>
                <w:sz w:val="20"/>
              </w:rPr>
              <w:t xml:space="preserve">This </w:t>
            </w:r>
            <w:r w:rsidR="008424A8" w:rsidRPr="00684DD8">
              <w:rPr>
                <w:rFonts w:ascii="Arial Narrow" w:hAnsi="Arial Narrow"/>
                <w:sz w:val="20"/>
              </w:rPr>
              <w:t>was</w:t>
            </w:r>
            <w:r w:rsidRPr="00684DD8">
              <w:rPr>
                <w:rFonts w:ascii="Arial Narrow" w:hAnsi="Arial Narrow"/>
                <w:sz w:val="20"/>
              </w:rPr>
              <w:t xml:space="preserve"> provided as a sensitivity analysis. </w:t>
            </w:r>
          </w:p>
          <w:p w:rsidR="000D49DB" w:rsidRPr="00684DD8" w:rsidRDefault="000D49DB" w:rsidP="00DA2F73">
            <w:pPr>
              <w:jc w:val="left"/>
              <w:rPr>
                <w:rFonts w:ascii="Arial Narrow" w:hAnsi="Arial Narrow"/>
                <w:sz w:val="20"/>
              </w:rPr>
            </w:pPr>
          </w:p>
          <w:p w:rsidR="000D49DB" w:rsidRPr="00684DD8" w:rsidRDefault="000D49DB" w:rsidP="00DA2F73">
            <w:pPr>
              <w:jc w:val="left"/>
              <w:rPr>
                <w:rFonts w:ascii="Arial Narrow" w:hAnsi="Arial Narrow"/>
                <w:sz w:val="20"/>
              </w:rPr>
            </w:pPr>
          </w:p>
          <w:p w:rsidR="000D49DB" w:rsidRPr="00684DD8" w:rsidRDefault="000D49DB" w:rsidP="00DA2F73">
            <w:pPr>
              <w:jc w:val="left"/>
              <w:rPr>
                <w:rFonts w:ascii="Arial Narrow" w:hAnsi="Arial Narrow"/>
                <w:sz w:val="20"/>
              </w:rPr>
            </w:pPr>
          </w:p>
          <w:p w:rsidR="008424A8" w:rsidRPr="00684DD8" w:rsidRDefault="008424A8" w:rsidP="00DA2F73">
            <w:pPr>
              <w:jc w:val="left"/>
              <w:rPr>
                <w:rFonts w:ascii="Arial Narrow" w:hAnsi="Arial Narrow"/>
                <w:sz w:val="12"/>
                <w:szCs w:val="12"/>
              </w:rPr>
            </w:pPr>
          </w:p>
          <w:p w:rsidR="003870F7" w:rsidRPr="00684DD8" w:rsidRDefault="00DA2F73" w:rsidP="00DA2F73">
            <w:pPr>
              <w:jc w:val="left"/>
              <w:rPr>
                <w:rFonts w:ascii="Arial Narrow" w:hAnsi="Arial Narrow"/>
                <w:sz w:val="20"/>
              </w:rPr>
            </w:pPr>
            <w:r w:rsidRPr="00684DD8">
              <w:rPr>
                <w:rFonts w:ascii="Arial Narrow" w:hAnsi="Arial Narrow"/>
                <w:sz w:val="20"/>
              </w:rPr>
              <w:t xml:space="preserve">A </w:t>
            </w:r>
            <w:r w:rsidR="00D34A67">
              <w:rPr>
                <w:rFonts w:ascii="Arial Narrow" w:hAnsi="Arial Narrow"/>
                <w:noProof/>
                <w:color w:val="000000"/>
                <w:sz w:val="20"/>
                <w:highlight w:val="black"/>
              </w:rPr>
              <w:t>''''''</w:t>
            </w:r>
            <w:r w:rsidR="000D49DB" w:rsidRPr="00684DD8">
              <w:rPr>
                <w:rFonts w:ascii="Arial Narrow" w:hAnsi="Arial Narrow"/>
                <w:sz w:val="20"/>
              </w:rPr>
              <w:t>% price reduction per vial</w:t>
            </w:r>
            <w:r w:rsidRPr="00684DD8">
              <w:rPr>
                <w:rFonts w:ascii="Arial Narrow" w:hAnsi="Arial Narrow"/>
                <w:sz w:val="20"/>
              </w:rPr>
              <w:t xml:space="preserve"> </w:t>
            </w:r>
            <w:r w:rsidR="008424A8" w:rsidRPr="00684DD8">
              <w:rPr>
                <w:rFonts w:ascii="Arial Narrow" w:hAnsi="Arial Narrow"/>
                <w:sz w:val="20"/>
              </w:rPr>
              <w:t>was presented.</w:t>
            </w:r>
          </w:p>
          <w:p w:rsidR="0093332D" w:rsidRPr="00684DD8" w:rsidRDefault="0093332D" w:rsidP="00DA2F73">
            <w:pPr>
              <w:jc w:val="left"/>
              <w:rPr>
                <w:rFonts w:ascii="Arial Narrow" w:hAnsi="Arial Narrow"/>
                <w:sz w:val="20"/>
              </w:rPr>
            </w:pPr>
          </w:p>
          <w:p w:rsidR="00ED0D8C" w:rsidRPr="00684DD8" w:rsidRDefault="00ED0D8C" w:rsidP="0093332D">
            <w:pPr>
              <w:jc w:val="left"/>
              <w:rPr>
                <w:rFonts w:ascii="Arial Narrow" w:hAnsi="Arial Narrow"/>
                <w:sz w:val="20"/>
              </w:rPr>
            </w:pPr>
          </w:p>
          <w:p w:rsidR="008424A8" w:rsidRPr="00684DD8" w:rsidRDefault="008424A8" w:rsidP="0093332D">
            <w:pPr>
              <w:jc w:val="left"/>
              <w:rPr>
                <w:rFonts w:ascii="Arial Narrow" w:hAnsi="Arial Narrow"/>
                <w:sz w:val="20"/>
              </w:rPr>
            </w:pPr>
          </w:p>
          <w:p w:rsidR="00ED0D8C" w:rsidRPr="00684DD8" w:rsidRDefault="00ED0D8C" w:rsidP="0093332D">
            <w:pPr>
              <w:jc w:val="left"/>
              <w:rPr>
                <w:rFonts w:ascii="Arial Narrow" w:hAnsi="Arial Narrow"/>
                <w:sz w:val="12"/>
                <w:szCs w:val="12"/>
              </w:rPr>
            </w:pPr>
          </w:p>
          <w:p w:rsidR="0093332D" w:rsidRPr="00684DD8" w:rsidRDefault="007E6ABB" w:rsidP="0093332D">
            <w:pPr>
              <w:jc w:val="left"/>
              <w:rPr>
                <w:rFonts w:ascii="Arial Narrow" w:hAnsi="Arial Narrow"/>
                <w:sz w:val="20"/>
              </w:rPr>
            </w:pPr>
            <w:r w:rsidRPr="00684DD8">
              <w:rPr>
                <w:rFonts w:ascii="Arial Narrow" w:hAnsi="Arial Narrow"/>
                <w:sz w:val="20"/>
              </w:rPr>
              <w:t xml:space="preserve">No further detail </w:t>
            </w:r>
            <w:r w:rsidR="00217705" w:rsidRPr="00684DD8">
              <w:rPr>
                <w:rFonts w:ascii="Arial Narrow" w:hAnsi="Arial Narrow"/>
                <w:sz w:val="20"/>
              </w:rPr>
              <w:t>was provided</w:t>
            </w:r>
            <w:r w:rsidR="00F2665A" w:rsidRPr="00684DD8">
              <w:rPr>
                <w:rFonts w:ascii="Arial Narrow" w:hAnsi="Arial Narrow"/>
                <w:sz w:val="20"/>
              </w:rPr>
              <w:t xml:space="preserve">. </w:t>
            </w:r>
          </w:p>
          <w:p w:rsidR="008424A8" w:rsidRPr="00684DD8" w:rsidRDefault="008424A8" w:rsidP="0093332D">
            <w:pPr>
              <w:jc w:val="left"/>
              <w:rPr>
                <w:rFonts w:ascii="Arial Narrow" w:hAnsi="Arial Narrow"/>
                <w:sz w:val="20"/>
              </w:rPr>
            </w:pPr>
          </w:p>
          <w:p w:rsidR="00217705" w:rsidRPr="00684DD8" w:rsidRDefault="00217705" w:rsidP="0093332D">
            <w:pPr>
              <w:jc w:val="left"/>
              <w:rPr>
                <w:rFonts w:ascii="Arial Narrow" w:hAnsi="Arial Narrow"/>
                <w:sz w:val="20"/>
              </w:rPr>
            </w:pPr>
          </w:p>
          <w:p w:rsidR="00217705" w:rsidRPr="00684DD8" w:rsidRDefault="00217705" w:rsidP="0093332D">
            <w:pPr>
              <w:jc w:val="left"/>
              <w:rPr>
                <w:rFonts w:ascii="Arial Narrow" w:hAnsi="Arial Narrow"/>
                <w:sz w:val="20"/>
              </w:rPr>
            </w:pPr>
          </w:p>
          <w:p w:rsidR="008424A8" w:rsidRPr="00684DD8" w:rsidRDefault="008424A8" w:rsidP="0093332D">
            <w:pPr>
              <w:jc w:val="left"/>
              <w:rPr>
                <w:rFonts w:ascii="Arial Narrow" w:hAnsi="Arial Narrow"/>
                <w:sz w:val="12"/>
                <w:szCs w:val="12"/>
              </w:rPr>
            </w:pPr>
          </w:p>
          <w:p w:rsidR="0093332D" w:rsidRPr="00684DD8" w:rsidRDefault="0093332D" w:rsidP="0093332D">
            <w:pPr>
              <w:jc w:val="left"/>
              <w:rPr>
                <w:rFonts w:ascii="Arial Narrow" w:hAnsi="Arial Narrow"/>
                <w:sz w:val="20"/>
              </w:rPr>
            </w:pPr>
            <w:r w:rsidRPr="00684DD8">
              <w:rPr>
                <w:rFonts w:ascii="Arial Narrow" w:hAnsi="Arial Narrow"/>
                <w:sz w:val="20"/>
              </w:rPr>
              <w:t xml:space="preserve">Sensitivity analyses </w:t>
            </w:r>
            <w:r w:rsidR="008424A8" w:rsidRPr="00684DD8">
              <w:rPr>
                <w:rFonts w:ascii="Arial Narrow" w:hAnsi="Arial Narrow"/>
                <w:sz w:val="20"/>
              </w:rPr>
              <w:t>were</w:t>
            </w:r>
            <w:r w:rsidRPr="00684DD8">
              <w:rPr>
                <w:rFonts w:ascii="Arial Narrow" w:hAnsi="Arial Narrow"/>
                <w:sz w:val="20"/>
              </w:rPr>
              <w:t xml:space="preserve"> performed,</w:t>
            </w:r>
            <w:r w:rsidR="00217705" w:rsidRPr="00684DD8">
              <w:rPr>
                <w:rFonts w:ascii="Arial Narrow" w:hAnsi="Arial Narrow"/>
                <w:sz w:val="20"/>
              </w:rPr>
              <w:t xml:space="preserve"> with </w:t>
            </w:r>
            <w:r w:rsidRPr="00684DD8">
              <w:rPr>
                <w:rFonts w:ascii="Arial Narrow" w:hAnsi="Arial Narrow"/>
                <w:sz w:val="20"/>
              </w:rPr>
              <w:t>increased cost of subsequent salvage therapy and associated disutility.</w:t>
            </w:r>
          </w:p>
          <w:p w:rsidR="0093332D" w:rsidRPr="00684DD8" w:rsidRDefault="0093332D" w:rsidP="0093332D">
            <w:pPr>
              <w:jc w:val="left"/>
              <w:rPr>
                <w:rFonts w:ascii="Arial Narrow" w:hAnsi="Arial Narrow"/>
                <w:sz w:val="12"/>
                <w:szCs w:val="12"/>
              </w:rPr>
            </w:pPr>
          </w:p>
          <w:p w:rsidR="00217705" w:rsidRPr="00684DD8" w:rsidRDefault="00217705" w:rsidP="003014A3">
            <w:pPr>
              <w:jc w:val="left"/>
              <w:rPr>
                <w:rFonts w:ascii="Arial Narrow" w:hAnsi="Arial Narrow"/>
                <w:sz w:val="20"/>
              </w:rPr>
            </w:pPr>
          </w:p>
          <w:p w:rsidR="00217705" w:rsidRPr="00684DD8" w:rsidRDefault="00217705" w:rsidP="003014A3">
            <w:pPr>
              <w:jc w:val="left"/>
              <w:rPr>
                <w:rFonts w:ascii="Arial Narrow" w:hAnsi="Arial Narrow"/>
                <w:sz w:val="20"/>
              </w:rPr>
            </w:pPr>
            <w:r w:rsidRPr="00684DD8">
              <w:rPr>
                <w:rFonts w:ascii="Arial Narrow" w:hAnsi="Arial Narrow"/>
                <w:sz w:val="20"/>
              </w:rPr>
              <w:t xml:space="preserve">Arguments provided in the </w:t>
            </w:r>
            <w:r w:rsidR="00481C66" w:rsidRPr="00684DD8">
              <w:rPr>
                <w:rFonts w:ascii="Arial Narrow" w:hAnsi="Arial Narrow"/>
                <w:sz w:val="20"/>
              </w:rPr>
              <w:t>resubmission</w:t>
            </w:r>
            <w:r w:rsidRPr="00684DD8">
              <w:rPr>
                <w:rFonts w:ascii="Arial Narrow" w:hAnsi="Arial Narrow"/>
                <w:sz w:val="20"/>
              </w:rPr>
              <w:t xml:space="preserve"> suggest this might be a reasonable assumption.</w:t>
            </w:r>
          </w:p>
          <w:p w:rsidR="00217705" w:rsidRPr="00684DD8" w:rsidRDefault="00217705" w:rsidP="003014A3">
            <w:pPr>
              <w:jc w:val="left"/>
              <w:rPr>
                <w:rFonts w:ascii="Arial Narrow" w:hAnsi="Arial Narrow"/>
                <w:sz w:val="12"/>
                <w:szCs w:val="12"/>
              </w:rPr>
            </w:pPr>
          </w:p>
          <w:p w:rsidR="0093332D" w:rsidRPr="00684DD8" w:rsidRDefault="00217705" w:rsidP="003014A3">
            <w:pPr>
              <w:jc w:val="left"/>
              <w:rPr>
                <w:rFonts w:ascii="Arial Narrow" w:hAnsi="Arial Narrow"/>
                <w:sz w:val="20"/>
              </w:rPr>
            </w:pPr>
            <w:r w:rsidRPr="00684DD8">
              <w:rPr>
                <w:rFonts w:ascii="Arial Narrow" w:hAnsi="Arial Narrow"/>
                <w:sz w:val="20"/>
              </w:rPr>
              <w:t xml:space="preserve">The 1.3% of patients who experienced severe cytokine release syndrome events in MT103-211 </w:t>
            </w:r>
            <w:proofErr w:type="gramStart"/>
            <w:r w:rsidRPr="00684DD8">
              <w:rPr>
                <w:rFonts w:ascii="Arial Narrow" w:hAnsi="Arial Narrow"/>
                <w:sz w:val="20"/>
              </w:rPr>
              <w:t>were</w:t>
            </w:r>
            <w:proofErr w:type="gramEnd"/>
            <w:r w:rsidRPr="00684DD8">
              <w:rPr>
                <w:rFonts w:ascii="Arial Narrow" w:hAnsi="Arial Narrow"/>
                <w:sz w:val="20"/>
              </w:rPr>
              <w:t xml:space="preserve"> reclassified to spend one month in hospital for treatment. </w:t>
            </w:r>
          </w:p>
        </w:tc>
      </w:tr>
      <w:tr w:rsidR="00780826" w:rsidRPr="00684DD8" w:rsidTr="003F08B9">
        <w:trPr>
          <w:trHeight w:val="100"/>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t>Number of patients</w:t>
            </w:r>
          </w:p>
        </w:tc>
        <w:tc>
          <w:tcPr>
            <w:tcW w:w="3543" w:type="dxa"/>
          </w:tcPr>
          <w:p w:rsidR="001D112E" w:rsidRPr="00684DD8" w:rsidRDefault="00B60E2F" w:rsidP="00AA0A07">
            <w:pPr>
              <w:jc w:val="left"/>
              <w:rPr>
                <w:rFonts w:ascii="Arial Narrow" w:hAnsi="Arial Narrow"/>
                <w:sz w:val="20"/>
              </w:rPr>
            </w:pPr>
            <w:r w:rsidRPr="00684DD8">
              <w:rPr>
                <w:rFonts w:ascii="Arial Narrow" w:hAnsi="Arial Narrow"/>
                <w:sz w:val="20"/>
              </w:rPr>
              <w:t>•</w:t>
            </w:r>
            <w:r w:rsidR="00ED0D8C" w:rsidRPr="00684DD8">
              <w:rPr>
                <w:rFonts w:ascii="Arial Narrow" w:hAnsi="Arial Narrow"/>
                <w:sz w:val="20"/>
              </w:rPr>
              <w:t xml:space="preserve"> </w:t>
            </w:r>
            <w:r w:rsidRPr="00684DD8">
              <w:rPr>
                <w:rFonts w:ascii="Arial Narrow" w:hAnsi="Arial Narrow"/>
                <w:sz w:val="20"/>
              </w:rPr>
              <w:t xml:space="preserve">Year 1: </w:t>
            </w:r>
            <w:r w:rsidR="00D34A67">
              <w:rPr>
                <w:rFonts w:ascii="Arial Narrow" w:hAnsi="Arial Narrow"/>
                <w:noProof/>
                <w:color w:val="000000"/>
                <w:sz w:val="20"/>
                <w:highlight w:val="black"/>
              </w:rPr>
              <w:t>''''''</w:t>
            </w:r>
            <w:r w:rsidRPr="00684DD8">
              <w:rPr>
                <w:rFonts w:ascii="Arial Narrow" w:hAnsi="Arial Narrow"/>
                <w:sz w:val="20"/>
              </w:rPr>
              <w:t xml:space="preserve"> patients; Year 5: </w:t>
            </w:r>
            <w:r w:rsidR="00D34A67">
              <w:rPr>
                <w:rFonts w:ascii="Arial Narrow" w:hAnsi="Arial Narrow"/>
                <w:noProof/>
                <w:color w:val="000000"/>
                <w:sz w:val="20"/>
                <w:highlight w:val="black"/>
              </w:rPr>
              <w:t>''''''</w:t>
            </w:r>
            <w:r w:rsidRPr="00684DD8">
              <w:rPr>
                <w:rFonts w:ascii="Arial Narrow" w:hAnsi="Arial Narrow"/>
                <w:sz w:val="20"/>
              </w:rPr>
              <w:t xml:space="preserve"> patients</w:t>
            </w:r>
          </w:p>
          <w:p w:rsidR="001D112E" w:rsidRPr="00684DD8" w:rsidRDefault="001D112E" w:rsidP="00AA0A07">
            <w:pPr>
              <w:jc w:val="left"/>
              <w:rPr>
                <w:rFonts w:ascii="Arial Narrow" w:hAnsi="Arial Narrow"/>
                <w:b/>
                <w:sz w:val="12"/>
                <w:szCs w:val="12"/>
              </w:rPr>
            </w:pPr>
          </w:p>
          <w:p w:rsidR="001D112E" w:rsidRPr="00684DD8" w:rsidRDefault="001D112E" w:rsidP="001608D4">
            <w:pPr>
              <w:jc w:val="left"/>
              <w:rPr>
                <w:rFonts w:ascii="Arial Narrow" w:hAnsi="Arial Narrow"/>
                <w:sz w:val="20"/>
              </w:rPr>
            </w:pPr>
            <w:r w:rsidRPr="00684DD8">
              <w:rPr>
                <w:rFonts w:ascii="Arial Narrow" w:hAnsi="Arial Narrow"/>
                <w:b/>
                <w:sz w:val="20"/>
              </w:rPr>
              <w:t>PBAC Comment:</w:t>
            </w:r>
            <w:r w:rsidRPr="00684DD8">
              <w:rPr>
                <w:rFonts w:ascii="Arial Narrow" w:hAnsi="Arial Narrow"/>
                <w:sz w:val="20"/>
              </w:rPr>
              <w:t xml:space="preserve"> </w:t>
            </w:r>
          </w:p>
          <w:p w:rsidR="001608D4" w:rsidRPr="00684DD8" w:rsidRDefault="008424A8" w:rsidP="001608D4">
            <w:pPr>
              <w:jc w:val="left"/>
              <w:rPr>
                <w:rFonts w:ascii="Arial Narrow" w:hAnsi="Arial Narrow"/>
                <w:sz w:val="20"/>
              </w:rPr>
            </w:pPr>
            <w:r w:rsidRPr="00684DD8">
              <w:rPr>
                <w:rFonts w:ascii="Arial Narrow" w:hAnsi="Arial Narrow"/>
                <w:sz w:val="20"/>
              </w:rPr>
              <w:t>Estimates of use were</w:t>
            </w:r>
            <w:r w:rsidR="001608D4" w:rsidRPr="00684DD8">
              <w:rPr>
                <w:rFonts w:ascii="Arial Narrow" w:hAnsi="Arial Narrow"/>
                <w:sz w:val="20"/>
              </w:rPr>
              <w:t xml:space="preserve"> highly uncertain, but total </w:t>
            </w:r>
            <w:r w:rsidRPr="00684DD8">
              <w:rPr>
                <w:rFonts w:ascii="Arial Narrow" w:hAnsi="Arial Narrow"/>
                <w:sz w:val="20"/>
              </w:rPr>
              <w:t>numbers were</w:t>
            </w:r>
            <w:r w:rsidR="001608D4" w:rsidRPr="00684DD8">
              <w:rPr>
                <w:rFonts w:ascii="Arial Narrow" w:hAnsi="Arial Narrow"/>
                <w:sz w:val="20"/>
              </w:rPr>
              <w:t xml:space="preserve"> likely to be small.</w:t>
            </w:r>
          </w:p>
        </w:tc>
        <w:tc>
          <w:tcPr>
            <w:tcW w:w="3402" w:type="dxa"/>
          </w:tcPr>
          <w:p w:rsidR="001D112E" w:rsidRPr="00684DD8" w:rsidRDefault="00B60E2F" w:rsidP="00B60E2F">
            <w:pPr>
              <w:jc w:val="left"/>
              <w:rPr>
                <w:rFonts w:ascii="Arial Narrow" w:hAnsi="Arial Narrow"/>
                <w:sz w:val="20"/>
              </w:rPr>
            </w:pPr>
            <w:r w:rsidRPr="00684DD8">
              <w:rPr>
                <w:rFonts w:ascii="Arial Narrow" w:hAnsi="Arial Narrow"/>
                <w:sz w:val="20"/>
              </w:rPr>
              <w:t>•</w:t>
            </w:r>
            <w:r w:rsidR="00ED0D8C" w:rsidRPr="00684DD8">
              <w:rPr>
                <w:rFonts w:ascii="Arial Narrow" w:hAnsi="Arial Narrow"/>
                <w:sz w:val="20"/>
              </w:rPr>
              <w:t xml:space="preserve"> </w:t>
            </w:r>
            <w:r w:rsidRPr="00684DD8">
              <w:rPr>
                <w:rFonts w:ascii="Arial Narrow" w:hAnsi="Arial Narrow"/>
                <w:sz w:val="20"/>
              </w:rPr>
              <w:t xml:space="preserve">Year 1: </w:t>
            </w:r>
            <w:r w:rsidR="00D34A67">
              <w:rPr>
                <w:rFonts w:ascii="Arial Narrow" w:hAnsi="Arial Narrow"/>
                <w:noProof/>
                <w:color w:val="000000"/>
                <w:sz w:val="20"/>
                <w:highlight w:val="black"/>
              </w:rPr>
              <w:t>''''''</w:t>
            </w:r>
            <w:r w:rsidR="00ED0D8C" w:rsidRPr="00684DD8">
              <w:rPr>
                <w:rFonts w:ascii="Arial Narrow" w:hAnsi="Arial Narrow"/>
                <w:sz w:val="20"/>
              </w:rPr>
              <w:t xml:space="preserve"> patients</w:t>
            </w:r>
            <w:r w:rsidRPr="00684DD8">
              <w:rPr>
                <w:rFonts w:ascii="Arial Narrow" w:hAnsi="Arial Narrow"/>
                <w:sz w:val="20"/>
              </w:rPr>
              <w:t xml:space="preserve">; Year 5: </w:t>
            </w:r>
            <w:r w:rsidR="00D34A67">
              <w:rPr>
                <w:rFonts w:ascii="Arial Narrow" w:hAnsi="Arial Narrow"/>
                <w:noProof/>
                <w:color w:val="000000"/>
                <w:sz w:val="20"/>
                <w:highlight w:val="black"/>
              </w:rPr>
              <w:t>''''''</w:t>
            </w:r>
            <w:r w:rsidR="00ED0D8C" w:rsidRPr="00684DD8">
              <w:rPr>
                <w:rFonts w:ascii="Arial Narrow" w:hAnsi="Arial Narrow"/>
                <w:sz w:val="20"/>
              </w:rPr>
              <w:t xml:space="preserve"> patients</w:t>
            </w:r>
          </w:p>
        </w:tc>
      </w:tr>
      <w:tr w:rsidR="00780826" w:rsidRPr="00684DD8" w:rsidTr="003F08B9">
        <w:trPr>
          <w:trHeight w:val="1080"/>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lastRenderedPageBreak/>
              <w:t>Estimated cost to PBS</w:t>
            </w:r>
            <w:r w:rsidR="00324F91" w:rsidRPr="00684DD8">
              <w:rPr>
                <w:rFonts w:ascii="Arial Narrow" w:hAnsi="Arial Narrow"/>
                <w:sz w:val="20"/>
              </w:rPr>
              <w:t>/RPBS</w:t>
            </w:r>
          </w:p>
        </w:tc>
        <w:tc>
          <w:tcPr>
            <w:tcW w:w="3543" w:type="dxa"/>
          </w:tcPr>
          <w:p w:rsidR="00217705" w:rsidRPr="00684DD8" w:rsidRDefault="001D112E" w:rsidP="00AA0A07">
            <w:pPr>
              <w:jc w:val="left"/>
              <w:rPr>
                <w:rFonts w:ascii="Arial Narrow" w:hAnsi="Arial Narrow"/>
                <w:sz w:val="20"/>
              </w:rPr>
            </w:pPr>
            <w:r w:rsidRPr="00684DD8">
              <w:rPr>
                <w:rFonts w:ascii="Arial Narrow" w:hAnsi="Arial Narrow"/>
                <w:sz w:val="20"/>
              </w:rPr>
              <w:t>•</w:t>
            </w:r>
            <w:r w:rsidR="00ED0D8C" w:rsidRPr="00684DD8">
              <w:rPr>
                <w:rFonts w:ascii="Arial Narrow" w:hAnsi="Arial Narrow"/>
                <w:sz w:val="20"/>
              </w:rPr>
              <w:t xml:space="preserve"> $</w:t>
            </w:r>
            <w:r w:rsidR="00D34A67">
              <w:rPr>
                <w:rFonts w:ascii="Arial Narrow" w:hAnsi="Arial Narrow"/>
                <w:noProof/>
                <w:color w:val="000000"/>
                <w:sz w:val="20"/>
                <w:highlight w:val="black"/>
              </w:rPr>
              <w:t>'''''''''''''''''''''''</w:t>
            </w:r>
            <w:r w:rsidRPr="00684DD8">
              <w:rPr>
                <w:rFonts w:ascii="Arial Narrow" w:hAnsi="Arial Narrow"/>
                <w:sz w:val="20"/>
              </w:rPr>
              <w:t xml:space="preserve"> in Year 5 </w:t>
            </w:r>
          </w:p>
          <w:p w:rsidR="001D112E" w:rsidRPr="00684DD8" w:rsidRDefault="00217705" w:rsidP="00AA0A07">
            <w:pPr>
              <w:jc w:val="left"/>
              <w:rPr>
                <w:rFonts w:ascii="Arial Narrow" w:hAnsi="Arial Narrow"/>
                <w:sz w:val="20"/>
              </w:rPr>
            </w:pPr>
            <w:r w:rsidRPr="00684DD8">
              <w:rPr>
                <w:rFonts w:ascii="Arial Narrow" w:hAnsi="Arial Narrow"/>
                <w:sz w:val="20"/>
              </w:rPr>
              <w:t xml:space="preserve">• </w:t>
            </w:r>
            <w:r w:rsidR="001D112E" w:rsidRPr="00684DD8">
              <w:rPr>
                <w:rFonts w:ascii="Arial Narrow" w:hAnsi="Arial Narrow"/>
                <w:sz w:val="20"/>
              </w:rPr>
              <w:t>$</w:t>
            </w:r>
            <w:r w:rsidR="00D34A67">
              <w:rPr>
                <w:rFonts w:ascii="Arial Narrow" w:hAnsi="Arial Narrow"/>
                <w:noProof/>
                <w:color w:val="000000"/>
                <w:sz w:val="20"/>
                <w:highlight w:val="black"/>
              </w:rPr>
              <w:t>'''''''''''''''''''''''</w:t>
            </w:r>
            <w:r w:rsidR="00324F91" w:rsidRPr="00684DD8">
              <w:rPr>
                <w:rFonts w:ascii="Arial Narrow" w:hAnsi="Arial Narrow"/>
                <w:sz w:val="20"/>
              </w:rPr>
              <w:t xml:space="preserve"> </w:t>
            </w:r>
            <w:r w:rsidR="001D112E" w:rsidRPr="00684DD8">
              <w:rPr>
                <w:rFonts w:ascii="Arial Narrow" w:hAnsi="Arial Narrow"/>
                <w:sz w:val="20"/>
              </w:rPr>
              <w:t>over the first 5 years</w:t>
            </w:r>
            <w:r w:rsidR="00D777E3" w:rsidRPr="00684DD8">
              <w:rPr>
                <w:rFonts w:ascii="Arial Narrow" w:hAnsi="Arial Narrow"/>
                <w:sz w:val="20"/>
              </w:rPr>
              <w:t xml:space="preserve"> of listing</w:t>
            </w:r>
          </w:p>
          <w:p w:rsidR="003A6FB1" w:rsidRPr="00684DD8" w:rsidRDefault="003A6FB1" w:rsidP="00AA0A07">
            <w:pPr>
              <w:jc w:val="left"/>
              <w:rPr>
                <w:rFonts w:ascii="Arial Narrow" w:hAnsi="Arial Narrow"/>
                <w:sz w:val="12"/>
                <w:szCs w:val="12"/>
              </w:rPr>
            </w:pPr>
          </w:p>
          <w:p w:rsidR="003A6FB1" w:rsidRPr="00684DD8" w:rsidRDefault="001D112E" w:rsidP="003A6FB1">
            <w:pPr>
              <w:jc w:val="left"/>
              <w:rPr>
                <w:rFonts w:ascii="Arial Narrow" w:hAnsi="Arial Narrow"/>
                <w:sz w:val="20"/>
              </w:rPr>
            </w:pPr>
            <w:r w:rsidRPr="00684DD8">
              <w:rPr>
                <w:rFonts w:ascii="Arial Narrow" w:hAnsi="Arial Narrow"/>
                <w:b/>
                <w:sz w:val="20"/>
              </w:rPr>
              <w:t>PBAC Comment:</w:t>
            </w:r>
            <w:r w:rsidRPr="00684DD8">
              <w:rPr>
                <w:rFonts w:ascii="Arial Narrow" w:hAnsi="Arial Narrow"/>
                <w:sz w:val="20"/>
              </w:rPr>
              <w:t xml:space="preserve"> </w:t>
            </w:r>
          </w:p>
          <w:p w:rsidR="001608D4" w:rsidRPr="00684DD8" w:rsidRDefault="001608D4" w:rsidP="003A6FB1">
            <w:pPr>
              <w:jc w:val="left"/>
              <w:rPr>
                <w:rFonts w:ascii="Arial Narrow" w:hAnsi="Arial Narrow"/>
                <w:sz w:val="20"/>
              </w:rPr>
            </w:pPr>
            <w:r w:rsidRPr="00684DD8">
              <w:rPr>
                <w:rFonts w:ascii="Arial Narrow" w:hAnsi="Arial Narrow"/>
                <w:sz w:val="20"/>
              </w:rPr>
              <w:t>Estimat</w:t>
            </w:r>
            <w:r w:rsidR="008424A8" w:rsidRPr="00684DD8">
              <w:rPr>
                <w:rFonts w:ascii="Arial Narrow" w:hAnsi="Arial Narrow"/>
                <w:sz w:val="20"/>
              </w:rPr>
              <w:t>es of financial implications were</w:t>
            </w:r>
            <w:r w:rsidRPr="00684DD8">
              <w:rPr>
                <w:rFonts w:ascii="Arial Narrow" w:hAnsi="Arial Narrow"/>
                <w:sz w:val="20"/>
              </w:rPr>
              <w:t xml:space="preserve"> highly uncertain.</w:t>
            </w:r>
          </w:p>
          <w:p w:rsidR="001608D4" w:rsidRPr="00684DD8" w:rsidRDefault="001608D4" w:rsidP="003A6FB1">
            <w:pPr>
              <w:jc w:val="left"/>
              <w:rPr>
                <w:rFonts w:ascii="Arial Narrow" w:hAnsi="Arial Narrow"/>
                <w:sz w:val="12"/>
                <w:szCs w:val="12"/>
              </w:rPr>
            </w:pPr>
          </w:p>
          <w:p w:rsidR="003A6FB1" w:rsidRPr="00684DD8" w:rsidRDefault="003A6FB1" w:rsidP="003A6FB1">
            <w:pPr>
              <w:jc w:val="left"/>
              <w:rPr>
                <w:rFonts w:ascii="Arial Narrow" w:hAnsi="Arial Narrow"/>
                <w:sz w:val="20"/>
              </w:rPr>
            </w:pPr>
            <w:r w:rsidRPr="00684DD8">
              <w:rPr>
                <w:rFonts w:ascii="Arial Narrow" w:hAnsi="Arial Narrow"/>
                <w:sz w:val="20"/>
              </w:rPr>
              <w:t xml:space="preserve">Inclusion of </w:t>
            </w:r>
            <w:r w:rsidR="000D49DB" w:rsidRPr="00684DD8">
              <w:rPr>
                <w:rFonts w:ascii="Arial Narrow" w:hAnsi="Arial Narrow"/>
                <w:sz w:val="20"/>
              </w:rPr>
              <w:t xml:space="preserve">allogeneic </w:t>
            </w:r>
            <w:r w:rsidR="00ED0D8C" w:rsidRPr="00684DD8">
              <w:rPr>
                <w:rFonts w:ascii="Arial Narrow" w:hAnsi="Arial Narrow"/>
                <w:sz w:val="20"/>
              </w:rPr>
              <w:t xml:space="preserve">HSCT </w:t>
            </w:r>
            <w:r w:rsidRPr="00684DD8">
              <w:rPr>
                <w:rFonts w:ascii="Arial Narrow" w:hAnsi="Arial Narrow"/>
                <w:sz w:val="20"/>
              </w:rPr>
              <w:t>cost</w:t>
            </w:r>
            <w:r w:rsidR="00ED0D8C" w:rsidRPr="00684DD8">
              <w:rPr>
                <w:rFonts w:ascii="Arial Narrow" w:hAnsi="Arial Narrow"/>
                <w:sz w:val="20"/>
              </w:rPr>
              <w:t>s</w:t>
            </w:r>
            <w:r w:rsidRPr="00684DD8">
              <w:rPr>
                <w:rFonts w:ascii="Arial Narrow" w:hAnsi="Arial Narrow"/>
                <w:sz w:val="20"/>
              </w:rPr>
              <w:t xml:space="preserve"> to MBS and PBS</w:t>
            </w:r>
            <w:r w:rsidR="001608D4" w:rsidRPr="00684DD8">
              <w:rPr>
                <w:rFonts w:ascii="Arial Narrow" w:hAnsi="Arial Narrow"/>
                <w:sz w:val="20"/>
              </w:rPr>
              <w:t>.</w:t>
            </w:r>
          </w:p>
        </w:tc>
        <w:tc>
          <w:tcPr>
            <w:tcW w:w="3402" w:type="dxa"/>
          </w:tcPr>
          <w:p w:rsidR="00D777E3" w:rsidRPr="00684DD8" w:rsidRDefault="001D112E" w:rsidP="00AA0A07">
            <w:pPr>
              <w:jc w:val="left"/>
              <w:rPr>
                <w:rFonts w:ascii="Arial Narrow" w:hAnsi="Arial Narrow"/>
                <w:sz w:val="20"/>
              </w:rPr>
            </w:pPr>
            <w:r w:rsidRPr="00684DD8">
              <w:rPr>
                <w:rFonts w:ascii="Arial Narrow" w:hAnsi="Arial Narrow"/>
                <w:sz w:val="20"/>
              </w:rPr>
              <w:t>•</w:t>
            </w:r>
            <w:r w:rsidR="00ED0D8C" w:rsidRPr="00684DD8">
              <w:rPr>
                <w:rFonts w:ascii="Arial Narrow" w:hAnsi="Arial Narrow"/>
                <w:sz w:val="20"/>
              </w:rPr>
              <w:t xml:space="preserve"> </w:t>
            </w:r>
            <w:r w:rsidRPr="00684DD8">
              <w:rPr>
                <w:rFonts w:ascii="Arial Narrow" w:hAnsi="Arial Narrow"/>
                <w:sz w:val="20"/>
              </w:rPr>
              <w:t>$</w:t>
            </w:r>
            <w:r w:rsidR="00D34A67">
              <w:rPr>
                <w:rFonts w:ascii="Arial Narrow" w:hAnsi="Arial Narrow"/>
                <w:noProof/>
                <w:color w:val="000000"/>
                <w:sz w:val="20"/>
                <w:highlight w:val="black"/>
              </w:rPr>
              <w:t>''''''''''''''''''''''''</w:t>
            </w:r>
            <w:r w:rsidRPr="00684DD8">
              <w:rPr>
                <w:rFonts w:ascii="Arial Narrow" w:hAnsi="Arial Narrow"/>
                <w:sz w:val="20"/>
              </w:rPr>
              <w:t xml:space="preserve"> in Year 5 </w:t>
            </w:r>
          </w:p>
          <w:p w:rsidR="001D112E" w:rsidRPr="00684DD8" w:rsidRDefault="00D777E3" w:rsidP="00AA0A07">
            <w:pPr>
              <w:jc w:val="left"/>
              <w:rPr>
                <w:rFonts w:ascii="Arial Narrow" w:hAnsi="Arial Narrow"/>
                <w:sz w:val="20"/>
              </w:rPr>
            </w:pPr>
            <w:r w:rsidRPr="00684DD8">
              <w:rPr>
                <w:rFonts w:ascii="Arial Narrow" w:hAnsi="Arial Narrow"/>
                <w:sz w:val="20"/>
              </w:rPr>
              <w:t xml:space="preserve">• </w:t>
            </w:r>
            <w:r w:rsidR="001D112E" w:rsidRPr="00684DD8">
              <w:rPr>
                <w:rFonts w:ascii="Arial Narrow" w:hAnsi="Arial Narrow"/>
                <w:sz w:val="20"/>
              </w:rPr>
              <w:t>$</w:t>
            </w:r>
            <w:r w:rsidR="00D34A67">
              <w:rPr>
                <w:rFonts w:ascii="Arial Narrow" w:hAnsi="Arial Narrow"/>
                <w:noProof/>
                <w:color w:val="000000"/>
                <w:sz w:val="20"/>
                <w:highlight w:val="black"/>
              </w:rPr>
              <w:t>'''''''''''''''''''''''''</w:t>
            </w:r>
            <w:r w:rsidR="001D112E" w:rsidRPr="00684DD8">
              <w:rPr>
                <w:rFonts w:ascii="Arial Narrow" w:hAnsi="Arial Narrow"/>
                <w:sz w:val="20"/>
              </w:rPr>
              <w:t xml:space="preserve"> over the first 5 years of listing</w:t>
            </w:r>
          </w:p>
          <w:p w:rsidR="003A6FB1" w:rsidRPr="00684DD8" w:rsidRDefault="003A6FB1" w:rsidP="00AA0A07">
            <w:pPr>
              <w:jc w:val="left"/>
              <w:rPr>
                <w:rFonts w:ascii="Arial Narrow" w:hAnsi="Arial Narrow"/>
                <w:sz w:val="12"/>
                <w:szCs w:val="12"/>
              </w:rPr>
            </w:pPr>
          </w:p>
          <w:p w:rsidR="00ED0D8C" w:rsidRPr="00684DD8" w:rsidRDefault="00ED0D8C" w:rsidP="00AA0A07">
            <w:pPr>
              <w:jc w:val="left"/>
              <w:rPr>
                <w:rFonts w:ascii="Arial Narrow" w:hAnsi="Arial Narrow"/>
                <w:sz w:val="20"/>
              </w:rPr>
            </w:pPr>
          </w:p>
          <w:p w:rsidR="001608D4" w:rsidRPr="00684DD8" w:rsidRDefault="00D777E3" w:rsidP="00AA0A07">
            <w:pPr>
              <w:jc w:val="left"/>
              <w:rPr>
                <w:rFonts w:ascii="Arial Narrow" w:hAnsi="Arial Narrow"/>
                <w:sz w:val="20"/>
              </w:rPr>
            </w:pPr>
            <w:r w:rsidRPr="00684DD8">
              <w:rPr>
                <w:rFonts w:ascii="Arial Narrow" w:hAnsi="Arial Narrow"/>
                <w:sz w:val="20"/>
              </w:rPr>
              <w:t>A</w:t>
            </w:r>
            <w:r w:rsidR="001608D4" w:rsidRPr="00684DD8">
              <w:rPr>
                <w:rFonts w:ascii="Arial Narrow" w:hAnsi="Arial Narrow"/>
                <w:sz w:val="20"/>
              </w:rPr>
              <w:t xml:space="preserve"> risk shar</w:t>
            </w:r>
            <w:r w:rsidRPr="00684DD8">
              <w:rPr>
                <w:rFonts w:ascii="Arial Narrow" w:hAnsi="Arial Narrow"/>
                <w:sz w:val="20"/>
              </w:rPr>
              <w:t>ing</w:t>
            </w:r>
            <w:r w:rsidR="001608D4" w:rsidRPr="00684DD8">
              <w:rPr>
                <w:rFonts w:ascii="Arial Narrow" w:hAnsi="Arial Narrow"/>
                <w:sz w:val="20"/>
              </w:rPr>
              <w:t xml:space="preserve"> arrangement </w:t>
            </w:r>
            <w:r w:rsidRPr="00684DD8">
              <w:rPr>
                <w:rFonts w:ascii="Arial Narrow" w:hAnsi="Arial Narrow"/>
                <w:sz w:val="20"/>
              </w:rPr>
              <w:t>was proposed</w:t>
            </w:r>
            <w:r w:rsidR="001608D4" w:rsidRPr="00684DD8">
              <w:rPr>
                <w:rFonts w:ascii="Arial Narrow" w:hAnsi="Arial Narrow"/>
                <w:sz w:val="20"/>
              </w:rPr>
              <w:t>.</w:t>
            </w:r>
          </w:p>
          <w:p w:rsidR="001608D4" w:rsidRPr="00684DD8" w:rsidRDefault="001608D4" w:rsidP="00AA0A07">
            <w:pPr>
              <w:jc w:val="left"/>
              <w:rPr>
                <w:rFonts w:ascii="Arial Narrow" w:hAnsi="Arial Narrow"/>
                <w:sz w:val="12"/>
                <w:szCs w:val="12"/>
              </w:rPr>
            </w:pPr>
          </w:p>
          <w:p w:rsidR="00D777E3" w:rsidRPr="00684DD8" w:rsidRDefault="00D777E3" w:rsidP="00607DC5">
            <w:pPr>
              <w:jc w:val="left"/>
              <w:rPr>
                <w:rFonts w:ascii="Arial Narrow" w:hAnsi="Arial Narrow"/>
                <w:sz w:val="20"/>
              </w:rPr>
            </w:pPr>
          </w:p>
          <w:p w:rsidR="003A6FB1" w:rsidRPr="00684DD8" w:rsidRDefault="003A6FB1" w:rsidP="00D777E3">
            <w:pPr>
              <w:jc w:val="left"/>
              <w:rPr>
                <w:rFonts w:ascii="Arial Narrow" w:hAnsi="Arial Narrow"/>
                <w:sz w:val="20"/>
              </w:rPr>
            </w:pPr>
            <w:r w:rsidRPr="00684DD8">
              <w:rPr>
                <w:rFonts w:ascii="Arial Narrow" w:hAnsi="Arial Narrow"/>
                <w:sz w:val="20"/>
              </w:rPr>
              <w:t>Th</w:t>
            </w:r>
            <w:r w:rsidR="00ED0D8C" w:rsidRPr="00684DD8">
              <w:rPr>
                <w:rFonts w:ascii="Arial Narrow" w:hAnsi="Arial Narrow"/>
                <w:sz w:val="20"/>
              </w:rPr>
              <w:t xml:space="preserve">is </w:t>
            </w:r>
            <w:r w:rsidR="00607DC5" w:rsidRPr="00684DD8">
              <w:rPr>
                <w:rFonts w:ascii="Arial Narrow" w:hAnsi="Arial Narrow"/>
                <w:sz w:val="20"/>
              </w:rPr>
              <w:t>was</w:t>
            </w:r>
            <w:r w:rsidR="00ED0D8C" w:rsidRPr="00684DD8">
              <w:rPr>
                <w:rFonts w:ascii="Arial Narrow" w:hAnsi="Arial Narrow"/>
                <w:sz w:val="20"/>
              </w:rPr>
              <w:t xml:space="preserve"> </w:t>
            </w:r>
            <w:r w:rsidR="00D777E3" w:rsidRPr="00684DD8">
              <w:rPr>
                <w:rFonts w:ascii="Arial Narrow" w:hAnsi="Arial Narrow"/>
                <w:sz w:val="20"/>
              </w:rPr>
              <w:t>included</w:t>
            </w:r>
            <w:r w:rsidRPr="00684DD8">
              <w:rPr>
                <w:rFonts w:ascii="Arial Narrow" w:hAnsi="Arial Narrow"/>
                <w:sz w:val="20"/>
              </w:rPr>
              <w:t>.</w:t>
            </w:r>
          </w:p>
        </w:tc>
      </w:tr>
      <w:tr w:rsidR="00780826" w:rsidRPr="00684DD8" w:rsidTr="003F08B9">
        <w:trPr>
          <w:trHeight w:val="438"/>
          <w:tblHeader/>
        </w:trPr>
        <w:tc>
          <w:tcPr>
            <w:tcW w:w="1418" w:type="dxa"/>
          </w:tcPr>
          <w:p w:rsidR="003A6FB1" w:rsidRPr="00684DD8" w:rsidRDefault="003A6FB1" w:rsidP="00AA0A07">
            <w:pPr>
              <w:jc w:val="left"/>
              <w:rPr>
                <w:rFonts w:ascii="Arial Narrow" w:hAnsi="Arial Narrow"/>
                <w:sz w:val="20"/>
              </w:rPr>
            </w:pPr>
            <w:r w:rsidRPr="00684DD8">
              <w:rPr>
                <w:rFonts w:ascii="Arial Narrow" w:hAnsi="Arial Narrow"/>
                <w:sz w:val="20"/>
              </w:rPr>
              <w:t>Managed entry scheme</w:t>
            </w:r>
          </w:p>
        </w:tc>
        <w:tc>
          <w:tcPr>
            <w:tcW w:w="3543" w:type="dxa"/>
          </w:tcPr>
          <w:p w:rsidR="00ED0D8C" w:rsidRPr="00684DD8" w:rsidRDefault="003A6FB1" w:rsidP="00AA0A07">
            <w:pPr>
              <w:jc w:val="left"/>
              <w:rPr>
                <w:rFonts w:ascii="Arial Narrow" w:hAnsi="Arial Narrow"/>
                <w:b/>
                <w:sz w:val="20"/>
              </w:rPr>
            </w:pPr>
            <w:r w:rsidRPr="00684DD8">
              <w:rPr>
                <w:rFonts w:ascii="Arial Narrow" w:hAnsi="Arial Narrow"/>
                <w:b/>
                <w:sz w:val="20"/>
              </w:rPr>
              <w:t xml:space="preserve">PBAC comment: </w:t>
            </w:r>
          </w:p>
          <w:p w:rsidR="003A6FB1" w:rsidRPr="00684DD8" w:rsidRDefault="008424A8" w:rsidP="00AA0A07">
            <w:pPr>
              <w:jc w:val="left"/>
              <w:rPr>
                <w:rFonts w:ascii="Arial Narrow" w:hAnsi="Arial Narrow"/>
                <w:sz w:val="20"/>
              </w:rPr>
            </w:pPr>
            <w:r w:rsidRPr="00684DD8">
              <w:rPr>
                <w:rFonts w:ascii="Arial Narrow" w:hAnsi="Arial Narrow"/>
                <w:sz w:val="20"/>
              </w:rPr>
              <w:t>PBAC wa</w:t>
            </w:r>
            <w:r w:rsidR="003A6FB1" w:rsidRPr="00684DD8">
              <w:rPr>
                <w:rFonts w:ascii="Arial Narrow" w:hAnsi="Arial Narrow"/>
                <w:sz w:val="20"/>
              </w:rPr>
              <w:t xml:space="preserve">s supportive of expediting the listing of </w:t>
            </w:r>
            <w:proofErr w:type="spellStart"/>
            <w:r w:rsidR="003A6FB1" w:rsidRPr="00684DD8">
              <w:rPr>
                <w:rFonts w:ascii="Arial Narrow" w:hAnsi="Arial Narrow"/>
                <w:sz w:val="20"/>
              </w:rPr>
              <w:t>blinatumomab</w:t>
            </w:r>
            <w:proofErr w:type="spellEnd"/>
            <w:r w:rsidR="003A6FB1" w:rsidRPr="00684DD8">
              <w:rPr>
                <w:rFonts w:ascii="Arial Narrow" w:hAnsi="Arial Narrow"/>
                <w:sz w:val="20"/>
              </w:rPr>
              <w:t xml:space="preserve"> with a managed access program or similar arrangement.</w:t>
            </w:r>
          </w:p>
          <w:p w:rsidR="003A6FB1" w:rsidRPr="00684DD8" w:rsidRDefault="003A6FB1" w:rsidP="00AA0A07">
            <w:pPr>
              <w:jc w:val="left"/>
              <w:rPr>
                <w:rFonts w:ascii="Arial Narrow" w:hAnsi="Arial Narrow"/>
                <w:sz w:val="12"/>
                <w:szCs w:val="12"/>
              </w:rPr>
            </w:pPr>
          </w:p>
          <w:p w:rsidR="003A6FB1" w:rsidRPr="00684DD8" w:rsidRDefault="003A6FB1" w:rsidP="00B01940">
            <w:pPr>
              <w:jc w:val="left"/>
              <w:rPr>
                <w:rFonts w:ascii="Arial Narrow" w:hAnsi="Arial Narrow"/>
                <w:sz w:val="20"/>
              </w:rPr>
            </w:pPr>
            <w:r w:rsidRPr="00684DD8">
              <w:rPr>
                <w:rFonts w:ascii="Arial Narrow" w:hAnsi="Arial Narrow"/>
                <w:sz w:val="20"/>
              </w:rPr>
              <w:t>The request to consider the rule of rescue was premature without more definitive evidence of rescue. Even then the rule of rescue would be difficult to justify unless a major difference</w:t>
            </w:r>
            <w:r w:rsidR="00ED0D8C" w:rsidRPr="00684DD8">
              <w:rPr>
                <w:rFonts w:ascii="Arial Narrow" w:hAnsi="Arial Narrow"/>
                <w:sz w:val="20"/>
              </w:rPr>
              <w:t xml:space="preserve"> in the rate of allogenic HSCT wa</w:t>
            </w:r>
            <w:r w:rsidRPr="00684DD8">
              <w:rPr>
                <w:rFonts w:ascii="Arial Narrow" w:hAnsi="Arial Narrow"/>
                <w:sz w:val="20"/>
              </w:rPr>
              <w:t xml:space="preserve">s demonstrated. More definitive evidence may become available when </w:t>
            </w:r>
            <w:r w:rsidR="008424A8" w:rsidRPr="00684DD8">
              <w:rPr>
                <w:rFonts w:ascii="Arial Narrow" w:hAnsi="Arial Narrow"/>
                <w:sz w:val="20"/>
              </w:rPr>
              <w:t xml:space="preserve">the </w:t>
            </w:r>
            <w:r w:rsidRPr="00684DD8">
              <w:rPr>
                <w:rFonts w:ascii="Arial Narrow" w:hAnsi="Arial Narrow"/>
                <w:sz w:val="20"/>
              </w:rPr>
              <w:t>TOWER</w:t>
            </w:r>
            <w:r w:rsidR="008424A8" w:rsidRPr="00684DD8">
              <w:rPr>
                <w:rFonts w:ascii="Arial Narrow" w:hAnsi="Arial Narrow"/>
                <w:sz w:val="20"/>
              </w:rPr>
              <w:t xml:space="preserve"> </w:t>
            </w:r>
            <w:r w:rsidR="00B01940" w:rsidRPr="00684DD8">
              <w:rPr>
                <w:rFonts w:ascii="Arial Narrow" w:hAnsi="Arial Narrow"/>
                <w:sz w:val="20"/>
              </w:rPr>
              <w:t>t</w:t>
            </w:r>
            <w:r w:rsidR="00D20D29" w:rsidRPr="00684DD8">
              <w:rPr>
                <w:rFonts w:ascii="Arial Narrow" w:hAnsi="Arial Narrow"/>
                <w:sz w:val="20"/>
              </w:rPr>
              <w:t>rial</w:t>
            </w:r>
            <w:r w:rsidRPr="00684DD8">
              <w:rPr>
                <w:rFonts w:ascii="Arial Narrow" w:hAnsi="Arial Narrow"/>
                <w:sz w:val="20"/>
              </w:rPr>
              <w:t xml:space="preserve"> is complete.</w:t>
            </w:r>
          </w:p>
        </w:tc>
        <w:tc>
          <w:tcPr>
            <w:tcW w:w="3402" w:type="dxa"/>
          </w:tcPr>
          <w:p w:rsidR="00ED0D8C" w:rsidRPr="00684DD8" w:rsidRDefault="00ED0D8C" w:rsidP="00ED0D8C">
            <w:pPr>
              <w:widowControl/>
              <w:jc w:val="left"/>
              <w:rPr>
                <w:rFonts w:ascii="Arial Narrow" w:hAnsi="Arial Narrow"/>
                <w:sz w:val="20"/>
              </w:rPr>
            </w:pPr>
          </w:p>
          <w:p w:rsidR="003A6FB1" w:rsidRPr="00684DD8" w:rsidRDefault="003A6FB1" w:rsidP="00ED0D8C">
            <w:pPr>
              <w:widowControl/>
              <w:jc w:val="left"/>
              <w:rPr>
                <w:rFonts w:ascii="Arial Narrow" w:hAnsi="Arial Narrow"/>
                <w:sz w:val="20"/>
              </w:rPr>
            </w:pPr>
            <w:r w:rsidRPr="00684DD8">
              <w:rPr>
                <w:rFonts w:ascii="Arial Narrow" w:hAnsi="Arial Narrow"/>
                <w:sz w:val="20"/>
              </w:rPr>
              <w:t xml:space="preserve">A </w:t>
            </w:r>
            <w:r w:rsidR="00ED0D8C" w:rsidRPr="00684DD8">
              <w:rPr>
                <w:rFonts w:ascii="Arial Narrow" w:hAnsi="Arial Narrow"/>
                <w:sz w:val="20"/>
              </w:rPr>
              <w:t>m</w:t>
            </w:r>
            <w:r w:rsidRPr="00684DD8">
              <w:rPr>
                <w:rFonts w:ascii="Arial Narrow" w:hAnsi="Arial Narrow"/>
                <w:sz w:val="20"/>
              </w:rPr>
              <w:t xml:space="preserve">anaged </w:t>
            </w:r>
            <w:r w:rsidR="00ED0D8C" w:rsidRPr="00684DD8">
              <w:rPr>
                <w:rFonts w:ascii="Arial Narrow" w:hAnsi="Arial Narrow"/>
                <w:sz w:val="20"/>
              </w:rPr>
              <w:t>e</w:t>
            </w:r>
            <w:r w:rsidRPr="00684DD8">
              <w:rPr>
                <w:rFonts w:ascii="Arial Narrow" w:hAnsi="Arial Narrow"/>
                <w:sz w:val="20"/>
              </w:rPr>
              <w:t xml:space="preserve">ntry </w:t>
            </w:r>
            <w:r w:rsidR="00ED0D8C" w:rsidRPr="00684DD8">
              <w:rPr>
                <w:rFonts w:ascii="Arial Narrow" w:hAnsi="Arial Narrow"/>
                <w:sz w:val="20"/>
              </w:rPr>
              <w:t>s</w:t>
            </w:r>
            <w:r w:rsidRPr="00684DD8">
              <w:rPr>
                <w:rFonts w:ascii="Arial Narrow" w:hAnsi="Arial Narrow"/>
                <w:sz w:val="20"/>
              </w:rPr>
              <w:t xml:space="preserve">cheme proposal using the </w:t>
            </w:r>
            <w:r w:rsidR="00ED0D8C" w:rsidRPr="00684DD8">
              <w:rPr>
                <w:rFonts w:ascii="Arial Narrow" w:hAnsi="Arial Narrow"/>
                <w:sz w:val="20"/>
              </w:rPr>
              <w:t>Phase III</w:t>
            </w:r>
            <w:r w:rsidR="001608D4" w:rsidRPr="00684DD8">
              <w:rPr>
                <w:rFonts w:ascii="Arial Narrow" w:hAnsi="Arial Narrow"/>
                <w:sz w:val="20"/>
              </w:rPr>
              <w:t xml:space="preserve"> TOWER </w:t>
            </w:r>
            <w:r w:rsidR="00B01940" w:rsidRPr="00684DD8">
              <w:rPr>
                <w:rFonts w:ascii="Arial Narrow" w:hAnsi="Arial Narrow"/>
                <w:sz w:val="20"/>
              </w:rPr>
              <w:t>t</w:t>
            </w:r>
            <w:r w:rsidR="00D20D29" w:rsidRPr="00684DD8">
              <w:rPr>
                <w:rFonts w:ascii="Arial Narrow" w:hAnsi="Arial Narrow"/>
                <w:sz w:val="20"/>
              </w:rPr>
              <w:t>rial</w:t>
            </w:r>
            <w:r w:rsidR="008424A8" w:rsidRPr="00684DD8">
              <w:rPr>
                <w:rFonts w:ascii="Arial Narrow" w:hAnsi="Arial Narrow"/>
                <w:sz w:val="20"/>
              </w:rPr>
              <w:t xml:space="preserve"> wa</w:t>
            </w:r>
            <w:r w:rsidRPr="00684DD8">
              <w:rPr>
                <w:rFonts w:ascii="Arial Narrow" w:hAnsi="Arial Narrow"/>
                <w:sz w:val="20"/>
              </w:rPr>
              <w:t>s presented.</w:t>
            </w:r>
          </w:p>
          <w:p w:rsidR="003A6FB1" w:rsidRPr="00684DD8" w:rsidRDefault="003A6FB1" w:rsidP="003A6FB1">
            <w:pPr>
              <w:jc w:val="left"/>
              <w:rPr>
                <w:rFonts w:ascii="Arial Narrow" w:hAnsi="Arial Narrow"/>
                <w:sz w:val="20"/>
              </w:rPr>
            </w:pPr>
          </w:p>
          <w:p w:rsidR="00ED0D8C" w:rsidRPr="00684DD8" w:rsidRDefault="00ED0D8C" w:rsidP="003A6FB1">
            <w:pPr>
              <w:jc w:val="left"/>
              <w:rPr>
                <w:rFonts w:ascii="Arial Narrow" w:hAnsi="Arial Narrow"/>
                <w:sz w:val="12"/>
                <w:szCs w:val="12"/>
              </w:rPr>
            </w:pPr>
          </w:p>
          <w:p w:rsidR="003A6FB1" w:rsidRPr="00684DD8" w:rsidRDefault="00D777E3" w:rsidP="00B01940">
            <w:pPr>
              <w:jc w:val="left"/>
              <w:rPr>
                <w:rFonts w:ascii="Arial Narrow" w:hAnsi="Arial Narrow"/>
                <w:sz w:val="20"/>
              </w:rPr>
            </w:pPr>
            <w:r w:rsidRPr="00684DD8">
              <w:rPr>
                <w:rFonts w:ascii="Arial Narrow" w:hAnsi="Arial Narrow"/>
                <w:sz w:val="20"/>
              </w:rPr>
              <w:t>If doubling in</w:t>
            </w:r>
            <w:r w:rsidR="003A6FB1" w:rsidRPr="00684DD8">
              <w:rPr>
                <w:rFonts w:ascii="Arial Narrow" w:hAnsi="Arial Narrow"/>
                <w:sz w:val="20"/>
              </w:rPr>
              <w:t xml:space="preserve"> </w:t>
            </w:r>
            <w:r w:rsidR="000D49DB" w:rsidRPr="00684DD8">
              <w:rPr>
                <w:rFonts w:ascii="Arial Narrow" w:hAnsi="Arial Narrow"/>
                <w:sz w:val="20"/>
              </w:rPr>
              <w:t xml:space="preserve">allogeneic </w:t>
            </w:r>
            <w:r w:rsidR="003A6FB1" w:rsidRPr="00684DD8">
              <w:rPr>
                <w:rFonts w:ascii="Arial Narrow" w:hAnsi="Arial Narrow"/>
                <w:sz w:val="20"/>
              </w:rPr>
              <w:t xml:space="preserve">HSCT rate </w:t>
            </w:r>
            <w:r w:rsidRPr="00684DD8">
              <w:rPr>
                <w:rFonts w:ascii="Arial Narrow" w:hAnsi="Arial Narrow"/>
                <w:sz w:val="20"/>
              </w:rPr>
              <w:t>was</w:t>
            </w:r>
            <w:r w:rsidR="003A6FB1" w:rsidRPr="00684DD8">
              <w:rPr>
                <w:rFonts w:ascii="Arial Narrow" w:hAnsi="Arial Narrow"/>
                <w:sz w:val="20"/>
              </w:rPr>
              <w:t xml:space="preserve"> demonstrated by TOWER</w:t>
            </w:r>
            <w:r w:rsidR="008424A8" w:rsidRPr="00684DD8">
              <w:rPr>
                <w:rFonts w:ascii="Arial Narrow" w:hAnsi="Arial Narrow"/>
                <w:sz w:val="20"/>
              </w:rPr>
              <w:t xml:space="preserve"> </w:t>
            </w:r>
            <w:r w:rsidR="00B01940" w:rsidRPr="00684DD8">
              <w:rPr>
                <w:rFonts w:ascii="Arial Narrow" w:hAnsi="Arial Narrow"/>
                <w:sz w:val="20"/>
              </w:rPr>
              <w:t>t</w:t>
            </w:r>
            <w:r w:rsidR="00D20D29" w:rsidRPr="00684DD8">
              <w:rPr>
                <w:rFonts w:ascii="Arial Narrow" w:hAnsi="Arial Narrow"/>
                <w:sz w:val="20"/>
              </w:rPr>
              <w:t>rial</w:t>
            </w:r>
            <w:r w:rsidR="003A6FB1" w:rsidRPr="00684DD8">
              <w:rPr>
                <w:rFonts w:ascii="Arial Narrow" w:hAnsi="Arial Narrow"/>
                <w:sz w:val="20"/>
              </w:rPr>
              <w:t xml:space="preserve">, </w:t>
            </w:r>
            <w:r w:rsidR="00257840" w:rsidRPr="00684DD8">
              <w:rPr>
                <w:rFonts w:ascii="Arial Narrow" w:hAnsi="Arial Narrow"/>
                <w:sz w:val="20"/>
              </w:rPr>
              <w:t>rule of rescue</w:t>
            </w:r>
            <w:r w:rsidR="003A6FB1" w:rsidRPr="00684DD8">
              <w:rPr>
                <w:rFonts w:ascii="Arial Narrow" w:hAnsi="Arial Narrow"/>
                <w:sz w:val="20"/>
              </w:rPr>
              <w:t xml:space="preserve"> could be enacted and a price revision would occur.</w:t>
            </w:r>
          </w:p>
        </w:tc>
      </w:tr>
      <w:tr w:rsidR="00780826" w:rsidRPr="00684DD8" w:rsidTr="003F08B9">
        <w:trPr>
          <w:trHeight w:val="438"/>
          <w:tblHeader/>
        </w:trPr>
        <w:tc>
          <w:tcPr>
            <w:tcW w:w="1418" w:type="dxa"/>
          </w:tcPr>
          <w:p w:rsidR="001D112E" w:rsidRPr="00684DD8" w:rsidRDefault="001D112E" w:rsidP="00AA0A07">
            <w:pPr>
              <w:jc w:val="left"/>
              <w:rPr>
                <w:rFonts w:ascii="Arial Narrow" w:hAnsi="Arial Narrow"/>
                <w:sz w:val="20"/>
              </w:rPr>
            </w:pPr>
            <w:r w:rsidRPr="00684DD8">
              <w:rPr>
                <w:rFonts w:ascii="Arial Narrow" w:hAnsi="Arial Narrow"/>
                <w:sz w:val="20"/>
              </w:rPr>
              <w:br w:type="page"/>
              <w:t>PBAC decision</w:t>
            </w:r>
          </w:p>
        </w:tc>
        <w:tc>
          <w:tcPr>
            <w:tcW w:w="3543" w:type="dxa"/>
          </w:tcPr>
          <w:p w:rsidR="00B60E2F" w:rsidRPr="00684DD8" w:rsidRDefault="001D112E" w:rsidP="00B60E2F">
            <w:pPr>
              <w:jc w:val="left"/>
              <w:rPr>
                <w:rFonts w:ascii="Arial Narrow" w:hAnsi="Arial Narrow"/>
                <w:sz w:val="20"/>
              </w:rPr>
            </w:pPr>
            <w:r w:rsidRPr="00684DD8">
              <w:rPr>
                <w:rFonts w:ascii="Arial Narrow" w:hAnsi="Arial Narrow"/>
                <w:sz w:val="20"/>
              </w:rPr>
              <w:t>•</w:t>
            </w:r>
            <w:r w:rsidR="00F40688" w:rsidRPr="00684DD8">
              <w:rPr>
                <w:rFonts w:ascii="Arial Narrow" w:hAnsi="Arial Narrow"/>
                <w:sz w:val="20"/>
              </w:rPr>
              <w:t xml:space="preserve"> </w:t>
            </w:r>
            <w:r w:rsidRPr="00684DD8">
              <w:rPr>
                <w:rFonts w:ascii="Arial Narrow" w:hAnsi="Arial Narrow"/>
                <w:sz w:val="20"/>
              </w:rPr>
              <w:t xml:space="preserve">Reject. </w:t>
            </w:r>
          </w:p>
          <w:p w:rsidR="00F40688" w:rsidRPr="00684DD8" w:rsidRDefault="00F40688" w:rsidP="00B60E2F">
            <w:pPr>
              <w:jc w:val="left"/>
              <w:rPr>
                <w:rFonts w:ascii="Arial Narrow" w:hAnsi="Arial Narrow"/>
                <w:sz w:val="12"/>
                <w:szCs w:val="12"/>
              </w:rPr>
            </w:pPr>
          </w:p>
          <w:p w:rsidR="00F40688" w:rsidRPr="00684DD8" w:rsidRDefault="00F40688" w:rsidP="00B60E2F">
            <w:pPr>
              <w:jc w:val="left"/>
              <w:rPr>
                <w:rFonts w:ascii="Arial Narrow" w:hAnsi="Arial Narrow"/>
                <w:b/>
                <w:sz w:val="20"/>
              </w:rPr>
            </w:pPr>
            <w:r w:rsidRPr="00684DD8">
              <w:rPr>
                <w:rFonts w:ascii="Arial Narrow" w:hAnsi="Arial Narrow"/>
                <w:b/>
                <w:sz w:val="20"/>
              </w:rPr>
              <w:t>PBAC comment:</w:t>
            </w:r>
          </w:p>
          <w:p w:rsidR="001D112E" w:rsidRPr="00684DD8" w:rsidRDefault="00F40688" w:rsidP="002D1822">
            <w:pPr>
              <w:jc w:val="left"/>
              <w:rPr>
                <w:rFonts w:ascii="Arial Narrow" w:hAnsi="Arial Narrow"/>
                <w:sz w:val="20"/>
              </w:rPr>
            </w:pPr>
            <w:r w:rsidRPr="00684DD8">
              <w:rPr>
                <w:rFonts w:ascii="Arial Narrow" w:hAnsi="Arial Narrow"/>
                <w:sz w:val="20"/>
              </w:rPr>
              <w:t xml:space="preserve">Rejected due to uncertainties in comparative clinical evidence and a high and uncertain ICER </w:t>
            </w:r>
          </w:p>
        </w:tc>
        <w:tc>
          <w:tcPr>
            <w:tcW w:w="3402" w:type="dxa"/>
          </w:tcPr>
          <w:p w:rsidR="001D112E" w:rsidRPr="00684DD8" w:rsidRDefault="001D112E" w:rsidP="00AA0A07">
            <w:pPr>
              <w:jc w:val="left"/>
              <w:rPr>
                <w:rFonts w:ascii="Arial Narrow" w:hAnsi="Arial Narrow"/>
                <w:sz w:val="20"/>
              </w:rPr>
            </w:pPr>
            <w:r w:rsidRPr="00684DD8">
              <w:rPr>
                <w:rFonts w:ascii="Arial Narrow" w:hAnsi="Arial Narrow"/>
                <w:sz w:val="20"/>
              </w:rPr>
              <w:t>-</w:t>
            </w:r>
          </w:p>
        </w:tc>
      </w:tr>
    </w:tbl>
    <w:p w:rsidR="00B60939" w:rsidRPr="00684DD8" w:rsidRDefault="001D112E" w:rsidP="00F338FF">
      <w:pPr>
        <w:pStyle w:val="TableFooter"/>
        <w:ind w:firstLine="720"/>
      </w:pPr>
      <w:r w:rsidRPr="00684DD8">
        <w:t>Source: Compiled during the evaluation</w:t>
      </w:r>
    </w:p>
    <w:p w:rsidR="00257840" w:rsidRPr="00684DD8" w:rsidRDefault="00257840" w:rsidP="00257840">
      <w:pPr>
        <w:pStyle w:val="TableFooter"/>
        <w:ind w:left="720"/>
      </w:pPr>
      <w:r w:rsidRPr="00684DD8">
        <w:t xml:space="preserve">ALL = acute lymphoblastic leukaemia; CAR = chimeric antigen receptor; CNS = central nervous system; CR = complete remission; </w:t>
      </w:r>
      <w:proofErr w:type="spellStart"/>
      <w:r w:rsidRPr="00684DD8">
        <w:t>CRh</w:t>
      </w:r>
      <w:proofErr w:type="spellEnd"/>
      <w:r w:rsidRPr="00684DD8">
        <w:t xml:space="preserve">* = complete remission with partial haematological recovery; </w:t>
      </w:r>
      <w:proofErr w:type="spellStart"/>
      <w:r w:rsidRPr="00684DD8">
        <w:t>CRsg</w:t>
      </w:r>
      <w:proofErr w:type="spellEnd"/>
      <w:r w:rsidRPr="00684DD8">
        <w:t xml:space="preserve"> = complete remission as per study definition; HSCT = haematopoietic stem cell transplant; ICER = incremental cost-effectiveness ratio; MBS = Medicare Benefits Schedule; OS = overall survival; PBAC = Pharmaceutical Benefits Advisory Committee; PBS = Pharmaceutical Benefits Scheme; Ph- = Philadelphia</w:t>
      </w:r>
      <w:r w:rsidR="000D49DB" w:rsidRPr="00684DD8">
        <w:t xml:space="preserve"> chromosome </w:t>
      </w:r>
      <w:r w:rsidRPr="00684DD8">
        <w:t>negative; QALY = quality</w:t>
      </w:r>
      <w:r w:rsidR="003516F0" w:rsidRPr="00684DD8">
        <w:t>-</w:t>
      </w:r>
      <w:r w:rsidRPr="00684DD8">
        <w:t xml:space="preserve">adjusted life year; </w:t>
      </w:r>
      <w:r w:rsidR="00C926FC" w:rsidRPr="00684DD8">
        <w:t>SC</w:t>
      </w:r>
      <w:r w:rsidRPr="00684DD8">
        <w:t xml:space="preserve"> = </w:t>
      </w:r>
      <w:r w:rsidR="00C926FC" w:rsidRPr="00684DD8">
        <w:t>standard care</w:t>
      </w:r>
    </w:p>
    <w:p w:rsidR="00A112EE" w:rsidRDefault="00A112EE" w:rsidP="00A112EE">
      <w:pPr>
        <w:ind w:left="360"/>
        <w:rPr>
          <w:szCs w:val="24"/>
        </w:rPr>
      </w:pPr>
    </w:p>
    <w:p w:rsidR="001B6188" w:rsidRPr="00A112EE" w:rsidRDefault="00A112EE" w:rsidP="00A112EE">
      <w:pPr>
        <w:ind w:left="720"/>
        <w:rPr>
          <w:szCs w:val="24"/>
        </w:rPr>
      </w:pPr>
      <w:r>
        <w:rPr>
          <w:szCs w:val="24"/>
        </w:rPr>
        <w:t>The redacted table shows that a</w:t>
      </w:r>
      <w:r w:rsidRPr="00DE39BD">
        <w:rPr>
          <w:szCs w:val="24"/>
        </w:rPr>
        <w:t xml:space="preserve">t year 5, the estimated </w:t>
      </w:r>
      <w:r>
        <w:rPr>
          <w:szCs w:val="24"/>
        </w:rPr>
        <w:t>net cost to the PBS would be less than $10 million per year.</w:t>
      </w:r>
    </w:p>
    <w:p w:rsidR="00B60939" w:rsidRPr="00684DD8" w:rsidRDefault="00B60939" w:rsidP="00B60939">
      <w:pPr>
        <w:rPr>
          <w:szCs w:val="22"/>
        </w:rPr>
      </w:pPr>
    </w:p>
    <w:p w:rsidR="00B6317C" w:rsidRDefault="00C70DC6" w:rsidP="003C215E">
      <w:pPr>
        <w:pStyle w:val="Heading2"/>
      </w:pPr>
      <w:r w:rsidRPr="009C6ED9">
        <w:t>Clinical place for the proposed therapy</w:t>
      </w:r>
    </w:p>
    <w:p w:rsidR="00A112EE" w:rsidRPr="009C6ED9" w:rsidRDefault="00A112EE" w:rsidP="00A112EE">
      <w:pPr>
        <w:pStyle w:val="PBACHeading10"/>
        <w:ind w:left="720"/>
      </w:pPr>
    </w:p>
    <w:p w:rsidR="00433081" w:rsidRPr="00684DD8" w:rsidRDefault="00F4523A" w:rsidP="00CF39C5">
      <w:pPr>
        <w:pStyle w:val="ListParagraph"/>
        <w:numPr>
          <w:ilvl w:val="1"/>
          <w:numId w:val="32"/>
        </w:numPr>
      </w:pPr>
      <w:r w:rsidRPr="00684DD8">
        <w:t xml:space="preserve">The </w:t>
      </w:r>
      <w:r w:rsidR="00481C66" w:rsidRPr="00684DD8">
        <w:t>resubmission</w:t>
      </w:r>
      <w:r w:rsidRPr="00684DD8">
        <w:t xml:space="preserve"> proposed that </w:t>
      </w:r>
      <w:proofErr w:type="spellStart"/>
      <w:r w:rsidRPr="00684DD8">
        <w:t>blinatumomab</w:t>
      </w:r>
      <w:proofErr w:type="spellEnd"/>
      <w:r w:rsidRPr="00684DD8">
        <w:t xml:space="preserve"> be used in the treatment of relapsed or refractory Ph- B-precursor ALL patients. It was not </w:t>
      </w:r>
      <w:r w:rsidR="00D777E3" w:rsidRPr="00684DD8">
        <w:t>requested for use as</w:t>
      </w:r>
      <w:r w:rsidRPr="00684DD8">
        <w:t xml:space="preserve"> first-line treatment. This was appropriate.</w:t>
      </w:r>
      <w:r w:rsidR="00433081" w:rsidRPr="00684DD8">
        <w:t xml:space="preserve"> The ESC reiterated that the primary</w:t>
      </w:r>
      <w:r w:rsidR="003F08B9" w:rsidRPr="00684DD8">
        <w:t xml:space="preserve"> </w:t>
      </w:r>
      <w:r w:rsidR="00433081" w:rsidRPr="00684DD8">
        <w:t xml:space="preserve">aim of relapsed ALL treatment is to induce and maintain remission and allow for an allogeneic HSCT, as HSCT is considered the only potential cure for relapsed ALL. </w:t>
      </w:r>
      <w:r w:rsidR="00C70DC6" w:rsidRPr="00684DD8">
        <w:t xml:space="preserve">The ESC considered that </w:t>
      </w:r>
      <w:proofErr w:type="spellStart"/>
      <w:r w:rsidR="00C70DC6" w:rsidRPr="00684DD8">
        <w:t>b</w:t>
      </w:r>
      <w:r w:rsidR="00433081" w:rsidRPr="00684DD8">
        <w:t>linatumomab</w:t>
      </w:r>
      <w:proofErr w:type="spellEnd"/>
      <w:r w:rsidR="00433081" w:rsidRPr="00684DD8">
        <w:t xml:space="preserve"> provides a “bridge” to enable some patients to undergo HSCT</w:t>
      </w:r>
      <w:r w:rsidR="004F5091" w:rsidRPr="00684DD8">
        <w:t>, with achieving complete remission (CR) being a crucial step before</w:t>
      </w:r>
      <w:r w:rsidR="00EF12F9" w:rsidRPr="00684DD8">
        <w:t xml:space="preserve"> HSCT</w:t>
      </w:r>
      <w:r w:rsidR="00C70DC6" w:rsidRPr="00684DD8">
        <w:t>.</w:t>
      </w:r>
    </w:p>
    <w:p w:rsidR="00433081" w:rsidRPr="00684DD8" w:rsidRDefault="00433081" w:rsidP="00433081"/>
    <w:p w:rsidR="00F4523A" w:rsidRPr="00684DD8" w:rsidRDefault="00433081" w:rsidP="003C215E">
      <w:pPr>
        <w:pStyle w:val="ListParagraph"/>
        <w:numPr>
          <w:ilvl w:val="1"/>
          <w:numId w:val="32"/>
        </w:numPr>
      </w:pPr>
      <w:r w:rsidRPr="00684DD8">
        <w:t>The ESC noted the previous recommendation by the PBAC from November 2015 which highlighted the clinical need for an effective treatm</w:t>
      </w:r>
      <w:r w:rsidR="001B3D5D" w:rsidRPr="00684DD8">
        <w:t>ent in this patient population.</w:t>
      </w:r>
    </w:p>
    <w:p w:rsidR="00780826" w:rsidRPr="00684DD8" w:rsidRDefault="00780826" w:rsidP="00E469F4">
      <w:pPr>
        <w:pStyle w:val="ListParagraph"/>
        <w:ind w:left="0"/>
        <w:rPr>
          <w:szCs w:val="22"/>
        </w:rPr>
      </w:pPr>
    </w:p>
    <w:p w:rsidR="00DD2FC3" w:rsidRPr="00684DD8" w:rsidRDefault="00DD2FC3" w:rsidP="009F4307">
      <w:pPr>
        <w:pStyle w:val="ListParagraph"/>
        <w:ind w:left="0" w:firstLine="720"/>
        <w:rPr>
          <w:szCs w:val="22"/>
        </w:rPr>
      </w:pPr>
      <w:r w:rsidRPr="00684DD8">
        <w:rPr>
          <w:bCs/>
          <w:i/>
          <w:szCs w:val="22"/>
        </w:rPr>
        <w:t>For more detail on PBAC’s view, see section 7 “PBAC outcome”</w:t>
      </w:r>
      <w:r w:rsidR="001B3D5D" w:rsidRPr="00684DD8">
        <w:rPr>
          <w:bCs/>
          <w:i/>
          <w:szCs w:val="22"/>
        </w:rPr>
        <w:t>.</w:t>
      </w:r>
    </w:p>
    <w:p w:rsidR="00EE1D20" w:rsidRPr="00684DD8" w:rsidRDefault="00EE1D20" w:rsidP="00E469F4">
      <w:pPr>
        <w:pStyle w:val="ListParagraph"/>
        <w:ind w:left="0"/>
        <w:rPr>
          <w:szCs w:val="22"/>
        </w:rPr>
      </w:pPr>
    </w:p>
    <w:p w:rsidR="00DD2FC3" w:rsidRPr="00684DD8" w:rsidRDefault="00DD2FC3" w:rsidP="00E469F4">
      <w:pPr>
        <w:pStyle w:val="ListParagraph"/>
        <w:ind w:left="0"/>
        <w:rPr>
          <w:szCs w:val="22"/>
        </w:rPr>
      </w:pPr>
    </w:p>
    <w:p w:rsidR="00F338FF" w:rsidRPr="003C215E" w:rsidRDefault="00F338FF" w:rsidP="008B4389">
      <w:pPr>
        <w:pStyle w:val="Heading2"/>
      </w:pPr>
      <w:bookmarkStart w:id="6" w:name="_Toc450655476"/>
      <w:bookmarkStart w:id="7" w:name="_Toc450820740"/>
      <w:r w:rsidRPr="003C215E">
        <w:t>Comparator</w:t>
      </w:r>
      <w:bookmarkEnd w:id="6"/>
      <w:bookmarkEnd w:id="7"/>
    </w:p>
    <w:p w:rsidR="004E61FC" w:rsidRPr="00684DD8" w:rsidRDefault="004E61FC" w:rsidP="004F4B53">
      <w:pPr>
        <w:keepNext/>
        <w:widowControl/>
        <w:jc w:val="left"/>
      </w:pPr>
    </w:p>
    <w:p w:rsidR="00F4523A" w:rsidRPr="003C215E" w:rsidRDefault="00321A8A" w:rsidP="008B4389">
      <w:pPr>
        <w:pStyle w:val="ListParagraph"/>
        <w:numPr>
          <w:ilvl w:val="1"/>
          <w:numId w:val="1"/>
        </w:numPr>
      </w:pPr>
      <w:r w:rsidRPr="00684DD8">
        <w:t xml:space="preserve">The comparator, </w:t>
      </w:r>
      <w:r w:rsidR="00C926FC" w:rsidRPr="00684DD8">
        <w:t>standard care</w:t>
      </w:r>
      <w:r w:rsidRPr="00684DD8">
        <w:t xml:space="preserve"> chemotherapy,</w:t>
      </w:r>
      <w:r w:rsidR="00433081" w:rsidRPr="00684DD8">
        <w:t xml:space="preserve"> including FLAG with or without </w:t>
      </w:r>
      <w:proofErr w:type="spellStart"/>
      <w:r w:rsidR="00433081" w:rsidRPr="00684DD8">
        <w:t>anthracycline</w:t>
      </w:r>
      <w:proofErr w:type="spellEnd"/>
      <w:r w:rsidR="00433081" w:rsidRPr="00684DD8">
        <w:t xml:space="preserve">, high dose methotrexate in combination with </w:t>
      </w:r>
      <w:proofErr w:type="spellStart"/>
      <w:r w:rsidR="00433081" w:rsidRPr="00684DD8">
        <w:t>pegylated-asparginase</w:t>
      </w:r>
      <w:proofErr w:type="spellEnd"/>
      <w:r w:rsidR="00433081" w:rsidRPr="00684DD8">
        <w:t xml:space="preserve">, </w:t>
      </w:r>
      <w:proofErr w:type="spellStart"/>
      <w:r w:rsidR="00433081" w:rsidRPr="00684DD8">
        <w:t>vinca</w:t>
      </w:r>
      <w:proofErr w:type="spellEnd"/>
      <w:r w:rsidR="00433081" w:rsidRPr="00684DD8">
        <w:t xml:space="preserve"> alkaloids, steroids, </w:t>
      </w:r>
      <w:proofErr w:type="spellStart"/>
      <w:r w:rsidR="00433081" w:rsidRPr="00684DD8">
        <w:t>etoposide</w:t>
      </w:r>
      <w:proofErr w:type="spellEnd"/>
      <w:r w:rsidR="00433081" w:rsidRPr="00684DD8">
        <w:t xml:space="preserve"> or alkylating agents, and high-dose </w:t>
      </w:r>
      <w:proofErr w:type="spellStart"/>
      <w:r w:rsidR="00433081" w:rsidRPr="00684DD8">
        <w:t>cytarabine</w:t>
      </w:r>
      <w:proofErr w:type="spellEnd"/>
      <w:r w:rsidR="00433081" w:rsidRPr="00684DD8">
        <w:t xml:space="preserve"> (</w:t>
      </w:r>
      <w:proofErr w:type="spellStart"/>
      <w:r w:rsidR="00433081" w:rsidRPr="00684DD8">
        <w:t>HiDAC</w:t>
      </w:r>
      <w:proofErr w:type="spellEnd"/>
      <w:r w:rsidR="00433081" w:rsidRPr="00684DD8">
        <w:t>) base chemotherapy</w:t>
      </w:r>
      <w:r w:rsidR="003F08B9" w:rsidRPr="00684DD8">
        <w:t>,</w:t>
      </w:r>
      <w:r w:rsidR="00433081" w:rsidRPr="00684DD8">
        <w:t xml:space="preserve"> </w:t>
      </w:r>
      <w:r w:rsidRPr="00684DD8">
        <w:t>was the same as in the original submission and was accep</w:t>
      </w:r>
      <w:r w:rsidR="001B3D5D" w:rsidRPr="00684DD8">
        <w:t>ted as appropriate by the PBAC.</w:t>
      </w:r>
    </w:p>
    <w:p w:rsidR="001B6188" w:rsidRPr="00684DD8" w:rsidRDefault="001B6188" w:rsidP="00497F10"/>
    <w:p w:rsidR="00DD2FC3" w:rsidRPr="00684DD8" w:rsidRDefault="00DD2FC3" w:rsidP="009F4307">
      <w:pPr>
        <w:ind w:firstLine="720"/>
      </w:pPr>
      <w:r w:rsidRPr="00684DD8">
        <w:rPr>
          <w:bCs/>
          <w:i/>
          <w:szCs w:val="22"/>
        </w:rPr>
        <w:t>For more detail on PBAC’s view, see section 7 “PBAC outcome”</w:t>
      </w:r>
      <w:r w:rsidR="001B3D5D" w:rsidRPr="00684DD8">
        <w:rPr>
          <w:bCs/>
          <w:i/>
          <w:szCs w:val="22"/>
        </w:rPr>
        <w:t>.</w:t>
      </w:r>
    </w:p>
    <w:p w:rsidR="00780826" w:rsidRPr="00684DD8" w:rsidRDefault="00780826" w:rsidP="00497F10"/>
    <w:p w:rsidR="00DD2FC3" w:rsidRPr="00684DD8" w:rsidRDefault="00DD2FC3" w:rsidP="00497F10"/>
    <w:p w:rsidR="00D06FD4" w:rsidRPr="00684DD8" w:rsidRDefault="00472359" w:rsidP="008B4389">
      <w:pPr>
        <w:pStyle w:val="Heading2"/>
      </w:pPr>
      <w:bookmarkStart w:id="8" w:name="_Toc450655477"/>
      <w:bookmarkStart w:id="9" w:name="_Toc450820741"/>
      <w:r w:rsidRPr="00684DD8">
        <w:t>C</w:t>
      </w:r>
      <w:r w:rsidR="00D06FD4" w:rsidRPr="00684DD8">
        <w:t>onsideration of the evidence</w:t>
      </w:r>
      <w:bookmarkEnd w:id="8"/>
      <w:bookmarkEnd w:id="9"/>
    </w:p>
    <w:p w:rsidR="00B60939" w:rsidRPr="00684DD8" w:rsidRDefault="00B60939" w:rsidP="00996B1A">
      <w:pPr>
        <w:widowControl/>
        <w:rPr>
          <w:szCs w:val="22"/>
        </w:rPr>
      </w:pPr>
    </w:p>
    <w:p w:rsidR="00D53B7B" w:rsidRPr="003C215E" w:rsidRDefault="00D53B7B" w:rsidP="003C215E">
      <w:pPr>
        <w:pStyle w:val="Heading4"/>
      </w:pPr>
      <w:bookmarkStart w:id="10" w:name="_Toc450655478"/>
      <w:bookmarkStart w:id="11" w:name="_Toc450820742"/>
      <w:r w:rsidRPr="003C215E">
        <w:t>Sponsor hearing</w:t>
      </w:r>
    </w:p>
    <w:p w:rsidR="00D53B7B" w:rsidRPr="00684DD8" w:rsidRDefault="00D53B7B" w:rsidP="00D53B7B">
      <w:pPr>
        <w:rPr>
          <w:bCs/>
          <w:szCs w:val="22"/>
        </w:rPr>
      </w:pPr>
    </w:p>
    <w:p w:rsidR="00D53B7B" w:rsidRPr="003C215E" w:rsidRDefault="00D53B7B" w:rsidP="008B4389">
      <w:pPr>
        <w:pStyle w:val="ListParagraph"/>
        <w:numPr>
          <w:ilvl w:val="1"/>
          <w:numId w:val="1"/>
        </w:numPr>
      </w:pPr>
      <w:r w:rsidRPr="003C215E">
        <w:t>There was no hearing for this item.</w:t>
      </w:r>
    </w:p>
    <w:p w:rsidR="00D53B7B" w:rsidRPr="00684DD8" w:rsidRDefault="00D53B7B" w:rsidP="00D53B7B">
      <w:pPr>
        <w:rPr>
          <w:bCs/>
          <w:szCs w:val="22"/>
        </w:rPr>
      </w:pPr>
    </w:p>
    <w:p w:rsidR="00D53B7B" w:rsidRPr="00684DD8" w:rsidRDefault="00D53B7B" w:rsidP="003C215E">
      <w:pPr>
        <w:pStyle w:val="Heading4"/>
      </w:pPr>
      <w:r w:rsidRPr="00684DD8">
        <w:t>Consumer comments</w:t>
      </w:r>
    </w:p>
    <w:p w:rsidR="00D53B7B" w:rsidRPr="00684DD8" w:rsidRDefault="00D53B7B" w:rsidP="00D53B7B">
      <w:pPr>
        <w:rPr>
          <w:bCs/>
          <w:szCs w:val="22"/>
        </w:rPr>
      </w:pPr>
    </w:p>
    <w:p w:rsidR="00D53B7B" w:rsidRDefault="00D53B7B" w:rsidP="008B4389">
      <w:pPr>
        <w:pStyle w:val="ListParagraph"/>
        <w:numPr>
          <w:ilvl w:val="1"/>
          <w:numId w:val="1"/>
        </w:numPr>
      </w:pPr>
      <w:r w:rsidRPr="003C215E">
        <w:t xml:space="preserve">The PBAC noted and welcomed the input from individuals (6) and organisations (2) via the Consumer Comments facility on the PBS website. The comments described a range of benefits of treatment with </w:t>
      </w:r>
      <w:proofErr w:type="spellStart"/>
      <w:r w:rsidRPr="003C215E">
        <w:t>blinatumomab</w:t>
      </w:r>
      <w:proofErr w:type="spellEnd"/>
      <w:r w:rsidRPr="003C215E">
        <w:t xml:space="preserve"> compared to chemotherapy including achieving remission quickly, being able to undergo successful stem cell transplant, spending fewer days in hospital during treatment, manageable adverse effects and improved quality of life.</w:t>
      </w:r>
    </w:p>
    <w:p w:rsidR="003C215E" w:rsidRPr="00684DD8" w:rsidRDefault="003C215E" w:rsidP="003C215E">
      <w:pPr>
        <w:pStyle w:val="ListParagraph"/>
      </w:pPr>
    </w:p>
    <w:p w:rsidR="00B60939" w:rsidRPr="00684DD8" w:rsidRDefault="00B60939" w:rsidP="003C215E">
      <w:pPr>
        <w:pStyle w:val="Heading4"/>
      </w:pPr>
      <w:r w:rsidRPr="00684DD8">
        <w:t>Clinical trials</w:t>
      </w:r>
      <w:bookmarkEnd w:id="10"/>
      <w:bookmarkEnd w:id="11"/>
    </w:p>
    <w:p w:rsidR="00B60939" w:rsidRPr="00684DD8" w:rsidRDefault="00B60939" w:rsidP="00B60939">
      <w:pPr>
        <w:rPr>
          <w:szCs w:val="22"/>
        </w:rPr>
      </w:pPr>
    </w:p>
    <w:p w:rsidR="0032488C" w:rsidRPr="00684DD8" w:rsidRDefault="001B6188" w:rsidP="008B4389">
      <w:pPr>
        <w:pStyle w:val="ListParagraph"/>
        <w:numPr>
          <w:ilvl w:val="1"/>
          <w:numId w:val="1"/>
        </w:numPr>
      </w:pPr>
      <w:r w:rsidRPr="00684DD8">
        <w:t xml:space="preserve">The </w:t>
      </w:r>
      <w:r w:rsidR="00481C66" w:rsidRPr="00684DD8">
        <w:t>resubmission</w:t>
      </w:r>
      <w:r w:rsidR="00D777E3" w:rsidRPr="00684DD8">
        <w:t xml:space="preserve"> wa</w:t>
      </w:r>
      <w:r w:rsidRPr="00684DD8">
        <w:t xml:space="preserve">s based on </w:t>
      </w:r>
      <w:r w:rsidR="0032488C" w:rsidRPr="00684DD8">
        <w:t>the same studies as the original submission – two single</w:t>
      </w:r>
      <w:r w:rsidR="00D04AF2" w:rsidRPr="00684DD8">
        <w:t>-</w:t>
      </w:r>
      <w:r w:rsidR="0032488C" w:rsidRPr="00684DD8">
        <w:t xml:space="preserve">arm Phase II studies  assessing the efficacy of </w:t>
      </w:r>
      <w:proofErr w:type="spellStart"/>
      <w:r w:rsidR="0032488C" w:rsidRPr="00684DD8">
        <w:t>blinatumomab</w:t>
      </w:r>
      <w:proofErr w:type="spellEnd"/>
      <w:r w:rsidR="001F3BE3" w:rsidRPr="00684DD8">
        <w:t>,</w:t>
      </w:r>
      <w:r w:rsidR="0032488C" w:rsidRPr="00684DD8">
        <w:t xml:space="preserve"> and a retrospective historical control study:</w:t>
      </w:r>
    </w:p>
    <w:p w:rsidR="007F1017" w:rsidRPr="00684DD8" w:rsidRDefault="0032488C" w:rsidP="00B87442">
      <w:pPr>
        <w:pStyle w:val="ListParagraph"/>
        <w:widowControl/>
        <w:numPr>
          <w:ilvl w:val="0"/>
          <w:numId w:val="4"/>
        </w:numPr>
        <w:rPr>
          <w:szCs w:val="22"/>
        </w:rPr>
      </w:pPr>
      <w:r w:rsidRPr="00684DD8">
        <w:rPr>
          <w:szCs w:val="22"/>
        </w:rPr>
        <w:t>MT103-211: pivotal study,</w:t>
      </w:r>
      <w:r w:rsidR="00D777E3" w:rsidRPr="00684DD8">
        <w:rPr>
          <w:szCs w:val="22"/>
        </w:rPr>
        <w:t xml:space="preserve"> single-arm </w:t>
      </w:r>
      <w:proofErr w:type="spellStart"/>
      <w:r w:rsidR="00D777E3" w:rsidRPr="00684DD8">
        <w:rPr>
          <w:szCs w:val="22"/>
        </w:rPr>
        <w:t>blinatumomab</w:t>
      </w:r>
      <w:proofErr w:type="spellEnd"/>
      <w:r w:rsidR="00D777E3" w:rsidRPr="00684DD8">
        <w:rPr>
          <w:szCs w:val="22"/>
        </w:rPr>
        <w:t>,</w:t>
      </w:r>
      <w:r w:rsidRPr="00684DD8">
        <w:rPr>
          <w:szCs w:val="22"/>
        </w:rPr>
        <w:t xml:space="preserve"> N = 225;</w:t>
      </w:r>
    </w:p>
    <w:p w:rsidR="0032488C" w:rsidRPr="00684DD8" w:rsidRDefault="0032488C" w:rsidP="00B87442">
      <w:pPr>
        <w:pStyle w:val="ListParagraph"/>
        <w:widowControl/>
        <w:numPr>
          <w:ilvl w:val="0"/>
          <w:numId w:val="4"/>
        </w:numPr>
        <w:rPr>
          <w:szCs w:val="22"/>
        </w:rPr>
      </w:pPr>
      <w:r w:rsidRPr="00684DD8">
        <w:rPr>
          <w:szCs w:val="22"/>
        </w:rPr>
        <w:t xml:space="preserve">MT103-206: dose-finding study, </w:t>
      </w:r>
      <w:r w:rsidR="00D777E3" w:rsidRPr="00684DD8">
        <w:rPr>
          <w:szCs w:val="22"/>
        </w:rPr>
        <w:t xml:space="preserve">single-arm </w:t>
      </w:r>
      <w:proofErr w:type="spellStart"/>
      <w:r w:rsidR="00D777E3" w:rsidRPr="00684DD8">
        <w:rPr>
          <w:szCs w:val="22"/>
        </w:rPr>
        <w:t>blinatumomab</w:t>
      </w:r>
      <w:proofErr w:type="spellEnd"/>
      <w:r w:rsidR="00D777E3" w:rsidRPr="00684DD8">
        <w:rPr>
          <w:szCs w:val="22"/>
        </w:rPr>
        <w:t xml:space="preserve">, </w:t>
      </w:r>
      <w:r w:rsidRPr="00684DD8">
        <w:rPr>
          <w:szCs w:val="22"/>
        </w:rPr>
        <w:t xml:space="preserve">N = 36; and </w:t>
      </w:r>
    </w:p>
    <w:p w:rsidR="0032488C" w:rsidRPr="00684DD8" w:rsidRDefault="0032488C" w:rsidP="00B87442">
      <w:pPr>
        <w:pStyle w:val="ListParagraph"/>
        <w:widowControl/>
        <w:numPr>
          <w:ilvl w:val="0"/>
          <w:numId w:val="4"/>
        </w:numPr>
        <w:rPr>
          <w:szCs w:val="22"/>
        </w:rPr>
      </w:pPr>
      <w:r w:rsidRPr="00684DD8">
        <w:rPr>
          <w:szCs w:val="22"/>
        </w:rPr>
        <w:t>20120310: retrospective historical control study, N = 1,139.</w:t>
      </w:r>
    </w:p>
    <w:p w:rsidR="001B6188" w:rsidRPr="00684DD8" w:rsidRDefault="001B6188" w:rsidP="001B6188">
      <w:pPr>
        <w:widowControl/>
        <w:rPr>
          <w:szCs w:val="22"/>
        </w:rPr>
      </w:pPr>
    </w:p>
    <w:p w:rsidR="0054692E" w:rsidRPr="008A3185" w:rsidRDefault="0054692E" w:rsidP="008B4389">
      <w:pPr>
        <w:pStyle w:val="ListParagraph"/>
        <w:numPr>
          <w:ilvl w:val="1"/>
          <w:numId w:val="1"/>
        </w:numPr>
      </w:pPr>
      <w:r w:rsidRPr="008A3185">
        <w:t xml:space="preserve">To enable a comparison of the population analysed in the historical control against the patients in the </w:t>
      </w:r>
      <w:proofErr w:type="spellStart"/>
      <w:r w:rsidRPr="008A3185">
        <w:t>blinatumomab</w:t>
      </w:r>
      <w:proofErr w:type="spellEnd"/>
      <w:r w:rsidRPr="008A3185">
        <w:t xml:space="preserve"> studies, outcomes of the historical control were weighted to match key prognostic characteristics including age, prior HSCT, and prior lines of treatment. </w:t>
      </w:r>
    </w:p>
    <w:p w:rsidR="0054692E" w:rsidRPr="00684DD8" w:rsidRDefault="0054692E" w:rsidP="0054692E">
      <w:pPr>
        <w:pStyle w:val="ListParagraph"/>
        <w:rPr>
          <w:szCs w:val="22"/>
        </w:rPr>
      </w:pPr>
    </w:p>
    <w:p w:rsidR="00904022" w:rsidRPr="008A3185" w:rsidRDefault="0032488C" w:rsidP="008B4389">
      <w:pPr>
        <w:pStyle w:val="ListParagraph"/>
        <w:numPr>
          <w:ilvl w:val="1"/>
          <w:numId w:val="1"/>
        </w:numPr>
      </w:pPr>
      <w:r w:rsidRPr="008A3185">
        <w:t>A randomised controlled</w:t>
      </w:r>
      <w:r w:rsidR="001F3BE3" w:rsidRPr="008A3185">
        <w:t>, Phase III</w:t>
      </w:r>
      <w:r w:rsidRPr="008A3185">
        <w:t xml:space="preserve"> trial, the TOWER </w:t>
      </w:r>
      <w:r w:rsidR="00AD49B2" w:rsidRPr="008A3185">
        <w:t>t</w:t>
      </w:r>
      <w:r w:rsidR="00D20D29" w:rsidRPr="008A3185">
        <w:t>rial</w:t>
      </w:r>
      <w:r w:rsidRPr="008A3185">
        <w:t xml:space="preserve">, comparing </w:t>
      </w:r>
      <w:proofErr w:type="spellStart"/>
      <w:r w:rsidRPr="008A3185">
        <w:t>blinatumomab</w:t>
      </w:r>
      <w:proofErr w:type="spellEnd"/>
      <w:r w:rsidRPr="008A3185">
        <w:t xml:space="preserve"> with </w:t>
      </w:r>
      <w:r w:rsidR="00C926FC" w:rsidRPr="008A3185">
        <w:t>standard care</w:t>
      </w:r>
      <w:r w:rsidRPr="008A3185">
        <w:t xml:space="preserve"> chemotherapy, was </w:t>
      </w:r>
      <w:r w:rsidR="00980846" w:rsidRPr="008A3185">
        <w:t>stopped</w:t>
      </w:r>
      <w:r w:rsidR="00D20D29" w:rsidRPr="008A3185">
        <w:t xml:space="preserve"> early</w:t>
      </w:r>
      <w:r w:rsidR="00980846" w:rsidRPr="008A3185">
        <w:t xml:space="preserve"> in January 2016 (the expected completion date was August 2016)</w:t>
      </w:r>
      <w:r w:rsidR="00D20D29" w:rsidRPr="008A3185">
        <w:t xml:space="preserve"> a</w:t>
      </w:r>
      <w:r w:rsidR="00D777E3" w:rsidRPr="008A3185">
        <w:t>s pre-defined stopping criteria had been met</w:t>
      </w:r>
      <w:r w:rsidR="00D20D29" w:rsidRPr="008A3185">
        <w:t xml:space="preserve">. </w:t>
      </w:r>
      <w:r w:rsidR="00CE65D8" w:rsidRPr="008A3185">
        <w:t>The only available information at the time of evaluation was the trial protocol and the statistical analysis plan.</w:t>
      </w:r>
    </w:p>
    <w:p w:rsidR="00904022" w:rsidRPr="00684DD8" w:rsidRDefault="00904022" w:rsidP="001B3D5D">
      <w:pPr>
        <w:rPr>
          <w:szCs w:val="22"/>
        </w:rPr>
      </w:pPr>
    </w:p>
    <w:p w:rsidR="00904022" w:rsidRPr="00684DD8" w:rsidRDefault="00904022" w:rsidP="00904022">
      <w:pPr>
        <w:keepNext/>
        <w:ind w:firstLine="720"/>
        <w:rPr>
          <w:rStyle w:val="CommentReference"/>
        </w:rPr>
      </w:pPr>
      <w:r w:rsidRPr="00684DD8">
        <w:rPr>
          <w:rStyle w:val="CommentReference"/>
        </w:rPr>
        <w:lastRenderedPageBreak/>
        <w:t xml:space="preserve">Table 2: Key features of the TOWER </w:t>
      </w:r>
      <w:r w:rsidR="00B01940" w:rsidRPr="00684DD8">
        <w:rPr>
          <w:rStyle w:val="CommentReference"/>
        </w:rPr>
        <w:t>t</w:t>
      </w:r>
      <w:r w:rsidRPr="00684DD8">
        <w:rPr>
          <w:rStyle w:val="CommentReference"/>
        </w:rPr>
        <w:t>rial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0"/>
        <w:gridCol w:w="709"/>
        <w:gridCol w:w="850"/>
        <w:gridCol w:w="851"/>
        <w:gridCol w:w="3261"/>
        <w:gridCol w:w="1118"/>
        <w:gridCol w:w="706"/>
      </w:tblGrid>
      <w:tr w:rsidR="00904022" w:rsidRPr="00684DD8" w:rsidTr="005727F0">
        <w:trPr>
          <w:cantSplit/>
          <w:tblHeader/>
        </w:trPr>
        <w:tc>
          <w:tcPr>
            <w:tcW w:w="509" w:type="pct"/>
            <w:tcBorders>
              <w:top w:val="single" w:sz="4" w:space="0" w:color="auto"/>
              <w:left w:val="single" w:sz="4" w:space="0" w:color="auto"/>
              <w:bottom w:val="single" w:sz="4" w:space="0" w:color="auto"/>
              <w:right w:val="single" w:sz="4" w:space="0" w:color="auto"/>
            </w:tcBorders>
            <w:vAlign w:val="center"/>
            <w:hideMark/>
          </w:tcPr>
          <w:p w:rsidR="00904022" w:rsidRPr="00684DD8" w:rsidRDefault="00904022" w:rsidP="005727F0">
            <w:pPr>
              <w:keepNext/>
              <w:snapToGrid w:val="0"/>
              <w:jc w:val="left"/>
              <w:rPr>
                <w:rFonts w:ascii="Arial Narrow" w:hAnsi="Arial Narrow"/>
                <w:b/>
                <w:sz w:val="20"/>
              </w:rPr>
            </w:pPr>
            <w:r w:rsidRPr="00684DD8">
              <w:rPr>
                <w:rFonts w:ascii="Arial Narrow" w:hAnsi="Arial Narrow"/>
                <w:b/>
                <w:sz w:val="20"/>
              </w:rPr>
              <w:t>Study</w:t>
            </w:r>
          </w:p>
        </w:tc>
        <w:tc>
          <w:tcPr>
            <w:tcW w:w="425" w:type="pct"/>
            <w:tcBorders>
              <w:top w:val="single" w:sz="4" w:space="0" w:color="auto"/>
              <w:left w:val="single" w:sz="4" w:space="0" w:color="auto"/>
              <w:bottom w:val="single" w:sz="4" w:space="0" w:color="auto"/>
              <w:right w:val="single" w:sz="4" w:space="0" w:color="auto"/>
            </w:tcBorders>
            <w:vAlign w:val="center"/>
            <w:hideMark/>
          </w:tcPr>
          <w:p w:rsidR="00904022" w:rsidRPr="00684DD8" w:rsidRDefault="00904022" w:rsidP="005727F0">
            <w:pPr>
              <w:keepNext/>
              <w:snapToGrid w:val="0"/>
              <w:jc w:val="center"/>
              <w:rPr>
                <w:rFonts w:ascii="Arial Narrow" w:hAnsi="Arial Narrow"/>
                <w:b/>
                <w:sz w:val="20"/>
              </w:rPr>
            </w:pPr>
            <w:r w:rsidRPr="00684DD8">
              <w:rPr>
                <w:rFonts w:ascii="Arial Narrow" w:hAnsi="Arial Narrow"/>
                <w:b/>
                <w:sz w:val="20"/>
              </w:rPr>
              <w:t>N</w:t>
            </w:r>
          </w:p>
        </w:tc>
        <w:tc>
          <w:tcPr>
            <w:tcW w:w="509" w:type="pct"/>
            <w:tcBorders>
              <w:top w:val="single" w:sz="4" w:space="0" w:color="auto"/>
              <w:left w:val="single" w:sz="4" w:space="0" w:color="auto"/>
              <w:bottom w:val="single" w:sz="4" w:space="0" w:color="auto"/>
              <w:right w:val="single" w:sz="4" w:space="0" w:color="auto"/>
            </w:tcBorders>
            <w:vAlign w:val="center"/>
            <w:hideMark/>
          </w:tcPr>
          <w:p w:rsidR="00904022" w:rsidRPr="00684DD8" w:rsidRDefault="00904022" w:rsidP="005727F0">
            <w:pPr>
              <w:keepNext/>
              <w:snapToGrid w:val="0"/>
              <w:jc w:val="center"/>
              <w:rPr>
                <w:rFonts w:ascii="Arial Narrow" w:hAnsi="Arial Narrow"/>
                <w:b/>
                <w:sz w:val="20"/>
              </w:rPr>
            </w:pPr>
            <w:r w:rsidRPr="00684DD8">
              <w:rPr>
                <w:rFonts w:ascii="Arial Narrow" w:hAnsi="Arial Narrow"/>
                <w:b/>
                <w:sz w:val="20"/>
              </w:rPr>
              <w:t>Design/</w:t>
            </w:r>
          </w:p>
          <w:p w:rsidR="00904022" w:rsidRPr="00684DD8" w:rsidRDefault="00904022" w:rsidP="005727F0">
            <w:pPr>
              <w:keepNext/>
              <w:snapToGrid w:val="0"/>
              <w:jc w:val="center"/>
              <w:rPr>
                <w:rFonts w:ascii="Arial Narrow" w:hAnsi="Arial Narrow"/>
                <w:b/>
                <w:sz w:val="20"/>
              </w:rPr>
            </w:pPr>
            <w:r w:rsidRPr="00684DD8">
              <w:rPr>
                <w:rFonts w:ascii="Arial Narrow" w:hAnsi="Arial Narrow"/>
                <w:b/>
                <w:sz w:val="20"/>
              </w:rPr>
              <w:t>duration</w:t>
            </w:r>
          </w:p>
        </w:tc>
        <w:tc>
          <w:tcPr>
            <w:tcW w:w="510" w:type="pct"/>
            <w:tcBorders>
              <w:top w:val="single" w:sz="4" w:space="0" w:color="auto"/>
              <w:left w:val="single" w:sz="4" w:space="0" w:color="auto"/>
              <w:bottom w:val="single" w:sz="4" w:space="0" w:color="auto"/>
              <w:right w:val="single" w:sz="4" w:space="0" w:color="auto"/>
            </w:tcBorders>
            <w:vAlign w:val="center"/>
            <w:hideMark/>
          </w:tcPr>
          <w:p w:rsidR="00904022" w:rsidRPr="00684DD8" w:rsidRDefault="00904022" w:rsidP="005727F0">
            <w:pPr>
              <w:keepNext/>
              <w:snapToGrid w:val="0"/>
              <w:jc w:val="center"/>
              <w:rPr>
                <w:rFonts w:ascii="Arial Narrow" w:hAnsi="Arial Narrow"/>
                <w:b/>
                <w:sz w:val="20"/>
              </w:rPr>
            </w:pPr>
            <w:r w:rsidRPr="00684DD8">
              <w:rPr>
                <w:rFonts w:ascii="Arial Narrow" w:hAnsi="Arial Narrow"/>
                <w:b/>
                <w:sz w:val="20"/>
              </w:rPr>
              <w:t>Risk of bias</w:t>
            </w:r>
          </w:p>
        </w:tc>
        <w:tc>
          <w:tcPr>
            <w:tcW w:w="1954" w:type="pct"/>
            <w:tcBorders>
              <w:top w:val="single" w:sz="4" w:space="0" w:color="auto"/>
              <w:left w:val="single" w:sz="4" w:space="0" w:color="auto"/>
              <w:bottom w:val="single" w:sz="4" w:space="0" w:color="auto"/>
              <w:right w:val="single" w:sz="4" w:space="0" w:color="auto"/>
            </w:tcBorders>
            <w:vAlign w:val="center"/>
            <w:hideMark/>
          </w:tcPr>
          <w:p w:rsidR="00904022" w:rsidRPr="00684DD8" w:rsidRDefault="00904022" w:rsidP="005727F0">
            <w:pPr>
              <w:keepNext/>
              <w:snapToGrid w:val="0"/>
              <w:jc w:val="center"/>
              <w:rPr>
                <w:rFonts w:ascii="Arial Narrow" w:hAnsi="Arial Narrow"/>
                <w:b/>
                <w:sz w:val="20"/>
              </w:rPr>
            </w:pPr>
            <w:r w:rsidRPr="00684DD8">
              <w:rPr>
                <w:rFonts w:ascii="Arial Narrow" w:hAnsi="Arial Narrow"/>
                <w:b/>
                <w:sz w:val="20"/>
              </w:rPr>
              <w:t>Patient population</w:t>
            </w:r>
          </w:p>
        </w:tc>
        <w:tc>
          <w:tcPr>
            <w:tcW w:w="670" w:type="pct"/>
            <w:tcBorders>
              <w:top w:val="single" w:sz="4" w:space="0" w:color="auto"/>
              <w:left w:val="single" w:sz="4" w:space="0" w:color="auto"/>
              <w:bottom w:val="single" w:sz="4" w:space="0" w:color="auto"/>
              <w:right w:val="single" w:sz="4" w:space="0" w:color="auto"/>
            </w:tcBorders>
            <w:vAlign w:val="center"/>
            <w:hideMark/>
          </w:tcPr>
          <w:p w:rsidR="00904022" w:rsidRPr="00684DD8" w:rsidRDefault="00904022" w:rsidP="005727F0">
            <w:pPr>
              <w:keepNext/>
              <w:snapToGrid w:val="0"/>
              <w:jc w:val="center"/>
              <w:rPr>
                <w:rFonts w:ascii="Arial Narrow" w:hAnsi="Arial Narrow"/>
                <w:b/>
                <w:sz w:val="20"/>
              </w:rPr>
            </w:pPr>
            <w:r w:rsidRPr="00684DD8">
              <w:rPr>
                <w:rFonts w:ascii="Arial Narrow" w:hAnsi="Arial Narrow"/>
                <w:b/>
                <w:sz w:val="20"/>
              </w:rPr>
              <w:t>Outcomes</w:t>
            </w:r>
          </w:p>
        </w:tc>
        <w:tc>
          <w:tcPr>
            <w:tcW w:w="423" w:type="pct"/>
            <w:tcBorders>
              <w:top w:val="single" w:sz="4" w:space="0" w:color="auto"/>
              <w:left w:val="single" w:sz="4" w:space="0" w:color="auto"/>
              <w:bottom w:val="single" w:sz="4" w:space="0" w:color="auto"/>
              <w:right w:val="single" w:sz="4" w:space="0" w:color="auto"/>
            </w:tcBorders>
            <w:vAlign w:val="center"/>
            <w:hideMark/>
          </w:tcPr>
          <w:p w:rsidR="00904022" w:rsidRPr="00684DD8" w:rsidRDefault="00904022" w:rsidP="005727F0">
            <w:pPr>
              <w:keepNext/>
              <w:snapToGrid w:val="0"/>
              <w:jc w:val="center"/>
              <w:rPr>
                <w:rFonts w:ascii="Arial Narrow" w:hAnsi="Arial Narrow"/>
                <w:b/>
                <w:sz w:val="20"/>
              </w:rPr>
            </w:pPr>
            <w:r w:rsidRPr="00684DD8">
              <w:rPr>
                <w:rFonts w:ascii="Arial Narrow" w:hAnsi="Arial Narrow"/>
                <w:b/>
                <w:sz w:val="20"/>
              </w:rPr>
              <w:t>Used in MES?</w:t>
            </w:r>
          </w:p>
        </w:tc>
      </w:tr>
      <w:tr w:rsidR="00904022" w:rsidRPr="00684DD8" w:rsidTr="005727F0">
        <w:trPr>
          <w:cantSplit/>
        </w:trPr>
        <w:tc>
          <w:tcPr>
            <w:tcW w:w="509" w:type="pct"/>
            <w:tcBorders>
              <w:top w:val="single" w:sz="4" w:space="0" w:color="auto"/>
              <w:left w:val="single" w:sz="4" w:space="0" w:color="auto"/>
              <w:bottom w:val="single" w:sz="4" w:space="0" w:color="auto"/>
              <w:right w:val="single" w:sz="4" w:space="0" w:color="auto"/>
            </w:tcBorders>
            <w:hideMark/>
          </w:tcPr>
          <w:p w:rsidR="00904022" w:rsidRPr="00684DD8" w:rsidRDefault="00904022" w:rsidP="005727F0">
            <w:pPr>
              <w:keepNext/>
              <w:snapToGrid w:val="0"/>
              <w:jc w:val="left"/>
              <w:rPr>
                <w:rFonts w:ascii="Arial Narrow" w:hAnsi="Arial Narrow"/>
                <w:sz w:val="20"/>
              </w:rPr>
            </w:pPr>
            <w:r w:rsidRPr="00684DD8">
              <w:rPr>
                <w:rFonts w:ascii="Arial Narrow" w:hAnsi="Arial Narrow"/>
                <w:sz w:val="20"/>
              </w:rPr>
              <w:t>TOWER</w:t>
            </w:r>
          </w:p>
        </w:tc>
        <w:tc>
          <w:tcPr>
            <w:tcW w:w="425" w:type="pct"/>
            <w:tcBorders>
              <w:top w:val="single" w:sz="4" w:space="0" w:color="auto"/>
              <w:left w:val="single" w:sz="4" w:space="0" w:color="auto"/>
              <w:bottom w:val="single" w:sz="4" w:space="0" w:color="auto"/>
              <w:right w:val="single" w:sz="4" w:space="0" w:color="auto"/>
            </w:tcBorders>
            <w:hideMark/>
          </w:tcPr>
          <w:p w:rsidR="00904022" w:rsidRPr="00684DD8" w:rsidRDefault="00904022" w:rsidP="005727F0">
            <w:pPr>
              <w:keepNext/>
              <w:snapToGrid w:val="0"/>
              <w:jc w:val="center"/>
              <w:rPr>
                <w:rFonts w:ascii="Arial Narrow" w:hAnsi="Arial Narrow"/>
                <w:sz w:val="20"/>
              </w:rPr>
            </w:pPr>
            <w:r w:rsidRPr="00684DD8">
              <w:rPr>
                <w:rFonts w:ascii="Arial Narrow" w:hAnsi="Arial Narrow"/>
                <w:sz w:val="20"/>
              </w:rPr>
              <w:t>383</w:t>
            </w:r>
          </w:p>
        </w:tc>
        <w:tc>
          <w:tcPr>
            <w:tcW w:w="509" w:type="pct"/>
            <w:tcBorders>
              <w:top w:val="single" w:sz="4" w:space="0" w:color="auto"/>
              <w:left w:val="single" w:sz="4" w:space="0" w:color="auto"/>
              <w:bottom w:val="single" w:sz="4" w:space="0" w:color="auto"/>
              <w:right w:val="single" w:sz="4" w:space="0" w:color="auto"/>
            </w:tcBorders>
            <w:hideMark/>
          </w:tcPr>
          <w:p w:rsidR="00904022" w:rsidRPr="00684DD8" w:rsidRDefault="00904022" w:rsidP="005727F0">
            <w:pPr>
              <w:keepNext/>
              <w:jc w:val="center"/>
              <w:rPr>
                <w:rFonts w:ascii="Arial Narrow" w:hAnsi="Arial Narrow"/>
                <w:sz w:val="20"/>
              </w:rPr>
            </w:pPr>
            <w:r w:rsidRPr="00684DD8">
              <w:rPr>
                <w:rFonts w:ascii="Arial Narrow" w:hAnsi="Arial Narrow"/>
                <w:sz w:val="20"/>
              </w:rPr>
              <w:t>Phase III, R, OL</w:t>
            </w:r>
          </w:p>
          <w:p w:rsidR="00904022" w:rsidRPr="00684DD8" w:rsidRDefault="00904022" w:rsidP="005727F0">
            <w:pPr>
              <w:keepNext/>
              <w:snapToGrid w:val="0"/>
              <w:jc w:val="center"/>
              <w:rPr>
                <w:rFonts w:ascii="Arial Narrow" w:hAnsi="Arial Narrow"/>
                <w:sz w:val="20"/>
              </w:rPr>
            </w:pPr>
            <w:r w:rsidRPr="00684DD8">
              <w:rPr>
                <w:rFonts w:ascii="Arial Narrow" w:hAnsi="Arial Narrow"/>
                <w:sz w:val="20"/>
              </w:rPr>
              <w:t>Up to 19 months</w:t>
            </w:r>
          </w:p>
        </w:tc>
        <w:tc>
          <w:tcPr>
            <w:tcW w:w="510" w:type="pct"/>
            <w:tcBorders>
              <w:top w:val="single" w:sz="4" w:space="0" w:color="auto"/>
              <w:left w:val="single" w:sz="4" w:space="0" w:color="auto"/>
              <w:bottom w:val="single" w:sz="4" w:space="0" w:color="auto"/>
              <w:right w:val="single" w:sz="4" w:space="0" w:color="auto"/>
            </w:tcBorders>
            <w:hideMark/>
          </w:tcPr>
          <w:p w:rsidR="00904022" w:rsidRPr="00684DD8" w:rsidRDefault="00904022" w:rsidP="005727F0">
            <w:pPr>
              <w:keepNext/>
              <w:snapToGrid w:val="0"/>
              <w:jc w:val="center"/>
              <w:rPr>
                <w:rFonts w:ascii="Arial Narrow" w:hAnsi="Arial Narrow"/>
                <w:sz w:val="20"/>
                <w:highlight w:val="yellow"/>
              </w:rPr>
            </w:pPr>
            <w:r w:rsidRPr="00684DD8">
              <w:rPr>
                <w:rFonts w:ascii="Arial Narrow" w:hAnsi="Arial Narrow"/>
                <w:sz w:val="20"/>
              </w:rPr>
              <w:t>Unknown</w:t>
            </w:r>
          </w:p>
        </w:tc>
        <w:tc>
          <w:tcPr>
            <w:tcW w:w="1954" w:type="pct"/>
            <w:tcBorders>
              <w:top w:val="single" w:sz="4" w:space="0" w:color="auto"/>
              <w:left w:val="single" w:sz="4" w:space="0" w:color="auto"/>
              <w:bottom w:val="single" w:sz="4" w:space="0" w:color="auto"/>
              <w:right w:val="single" w:sz="4" w:space="0" w:color="auto"/>
            </w:tcBorders>
            <w:hideMark/>
          </w:tcPr>
          <w:p w:rsidR="00904022" w:rsidRPr="00684DD8" w:rsidRDefault="00904022" w:rsidP="005727F0">
            <w:pPr>
              <w:keepNext/>
              <w:snapToGrid w:val="0"/>
              <w:jc w:val="left"/>
              <w:rPr>
                <w:rFonts w:ascii="Arial Narrow" w:hAnsi="Arial Narrow"/>
                <w:sz w:val="20"/>
              </w:rPr>
            </w:pPr>
            <w:r w:rsidRPr="00684DD8">
              <w:rPr>
                <w:rFonts w:ascii="Arial Narrow" w:hAnsi="Arial Narrow"/>
                <w:sz w:val="20"/>
              </w:rPr>
              <w:t xml:space="preserve">- Adult; </w:t>
            </w:r>
          </w:p>
          <w:p w:rsidR="00904022" w:rsidRPr="00684DD8" w:rsidRDefault="00904022" w:rsidP="005727F0">
            <w:pPr>
              <w:keepNext/>
              <w:snapToGrid w:val="0"/>
              <w:jc w:val="left"/>
              <w:rPr>
                <w:rFonts w:ascii="Arial Narrow" w:hAnsi="Arial Narrow"/>
                <w:sz w:val="20"/>
              </w:rPr>
            </w:pPr>
            <w:r w:rsidRPr="00684DD8">
              <w:rPr>
                <w:rFonts w:ascii="Arial Narrow" w:hAnsi="Arial Narrow"/>
                <w:sz w:val="20"/>
              </w:rPr>
              <w:t>- &gt; 5% blasts in bone marrow;</w:t>
            </w:r>
          </w:p>
          <w:p w:rsidR="00904022" w:rsidRPr="00684DD8" w:rsidRDefault="00904022" w:rsidP="005727F0">
            <w:pPr>
              <w:keepNext/>
              <w:snapToGrid w:val="0"/>
              <w:jc w:val="left"/>
              <w:rPr>
                <w:rFonts w:ascii="Arial Narrow" w:hAnsi="Arial Narrow"/>
                <w:sz w:val="20"/>
              </w:rPr>
            </w:pPr>
            <w:r w:rsidRPr="00684DD8">
              <w:rPr>
                <w:rFonts w:ascii="Arial Narrow" w:hAnsi="Arial Narrow"/>
                <w:sz w:val="20"/>
              </w:rPr>
              <w:t>- Refractory disease;</w:t>
            </w:r>
          </w:p>
          <w:p w:rsidR="00904022" w:rsidRPr="00684DD8" w:rsidRDefault="00904022" w:rsidP="005727F0">
            <w:pPr>
              <w:keepNext/>
              <w:snapToGrid w:val="0"/>
              <w:jc w:val="left"/>
              <w:rPr>
                <w:rFonts w:ascii="Arial Narrow" w:hAnsi="Arial Narrow"/>
                <w:sz w:val="20"/>
              </w:rPr>
            </w:pPr>
            <w:r w:rsidRPr="00684DD8">
              <w:rPr>
                <w:rFonts w:ascii="Arial Narrow" w:hAnsi="Arial Narrow"/>
                <w:sz w:val="20"/>
              </w:rPr>
              <w:t>- Relapsed disease (1</w:t>
            </w:r>
            <w:r w:rsidRPr="00684DD8">
              <w:rPr>
                <w:rFonts w:ascii="Arial Narrow" w:hAnsi="Arial Narrow"/>
                <w:sz w:val="20"/>
                <w:vertAlign w:val="superscript"/>
              </w:rPr>
              <w:t>st</w:t>
            </w:r>
            <w:r w:rsidRPr="00684DD8">
              <w:rPr>
                <w:rFonts w:ascii="Arial Narrow" w:hAnsi="Arial Narrow"/>
                <w:sz w:val="20"/>
              </w:rPr>
              <w:t xml:space="preserve"> remission &lt; 12 months; after 1</w:t>
            </w:r>
            <w:r w:rsidRPr="00684DD8">
              <w:rPr>
                <w:rFonts w:ascii="Arial Narrow" w:hAnsi="Arial Narrow"/>
                <w:sz w:val="20"/>
                <w:vertAlign w:val="superscript"/>
              </w:rPr>
              <w:t>st</w:t>
            </w:r>
            <w:r w:rsidRPr="00684DD8">
              <w:rPr>
                <w:rFonts w:ascii="Arial Narrow" w:hAnsi="Arial Narrow"/>
                <w:sz w:val="20"/>
              </w:rPr>
              <w:t xml:space="preserve"> salvage therapy; or at any time after allogeneic HSCT)</w:t>
            </w:r>
          </w:p>
          <w:p w:rsidR="00904022" w:rsidRPr="00684DD8" w:rsidRDefault="00904022" w:rsidP="005727F0">
            <w:pPr>
              <w:keepNext/>
              <w:snapToGrid w:val="0"/>
              <w:jc w:val="left"/>
              <w:rPr>
                <w:rFonts w:ascii="Arial Narrow" w:hAnsi="Arial Narrow"/>
                <w:sz w:val="20"/>
              </w:rPr>
            </w:pPr>
            <w:r w:rsidRPr="00684DD8">
              <w:rPr>
                <w:rFonts w:ascii="Arial Narrow" w:hAnsi="Arial Narrow"/>
                <w:sz w:val="20"/>
              </w:rPr>
              <w:t>- Received intensive combination chemotherapy</w:t>
            </w:r>
          </w:p>
          <w:p w:rsidR="00904022" w:rsidRPr="00684DD8" w:rsidRDefault="00904022" w:rsidP="005727F0">
            <w:pPr>
              <w:keepNext/>
              <w:snapToGrid w:val="0"/>
              <w:jc w:val="left"/>
              <w:rPr>
                <w:rFonts w:ascii="Arial Narrow" w:hAnsi="Arial Narrow"/>
                <w:sz w:val="20"/>
              </w:rPr>
            </w:pPr>
            <w:r w:rsidRPr="00684DD8">
              <w:rPr>
                <w:rFonts w:ascii="Arial Narrow" w:hAnsi="Arial Narrow"/>
                <w:sz w:val="20"/>
              </w:rPr>
              <w:t>- ECOG performance status ≤ 2</w:t>
            </w:r>
          </w:p>
        </w:tc>
        <w:tc>
          <w:tcPr>
            <w:tcW w:w="670" w:type="pct"/>
            <w:tcBorders>
              <w:top w:val="single" w:sz="4" w:space="0" w:color="auto"/>
              <w:left w:val="single" w:sz="4" w:space="0" w:color="auto"/>
              <w:bottom w:val="single" w:sz="4" w:space="0" w:color="auto"/>
              <w:right w:val="single" w:sz="4" w:space="0" w:color="auto"/>
            </w:tcBorders>
            <w:hideMark/>
          </w:tcPr>
          <w:p w:rsidR="00904022" w:rsidRPr="00684DD8" w:rsidRDefault="00904022" w:rsidP="005727F0">
            <w:pPr>
              <w:keepNext/>
              <w:snapToGrid w:val="0"/>
              <w:jc w:val="center"/>
              <w:rPr>
                <w:rFonts w:ascii="Arial Narrow" w:hAnsi="Arial Narrow"/>
                <w:sz w:val="20"/>
              </w:rPr>
            </w:pPr>
            <w:r w:rsidRPr="00684DD8">
              <w:rPr>
                <w:rFonts w:ascii="Arial Narrow" w:hAnsi="Arial Narrow"/>
                <w:sz w:val="20"/>
              </w:rPr>
              <w:t>OS;</w:t>
            </w:r>
          </w:p>
          <w:p w:rsidR="00904022" w:rsidRPr="00684DD8" w:rsidRDefault="00904022" w:rsidP="005727F0">
            <w:pPr>
              <w:keepNext/>
              <w:snapToGrid w:val="0"/>
              <w:jc w:val="center"/>
              <w:rPr>
                <w:rFonts w:ascii="Arial Narrow" w:hAnsi="Arial Narrow"/>
                <w:sz w:val="20"/>
              </w:rPr>
            </w:pPr>
            <w:r w:rsidRPr="00684DD8">
              <w:rPr>
                <w:rFonts w:ascii="Arial Narrow" w:hAnsi="Arial Narrow"/>
                <w:sz w:val="20"/>
              </w:rPr>
              <w:t>CR/</w:t>
            </w:r>
            <w:proofErr w:type="spellStart"/>
            <w:r w:rsidRPr="00684DD8">
              <w:rPr>
                <w:rFonts w:ascii="Arial Narrow" w:hAnsi="Arial Narrow"/>
                <w:sz w:val="20"/>
              </w:rPr>
              <w:t>CRh</w:t>
            </w:r>
            <w:proofErr w:type="spellEnd"/>
            <w:r w:rsidRPr="00684DD8">
              <w:rPr>
                <w:rFonts w:ascii="Arial Narrow" w:hAnsi="Arial Narrow"/>
                <w:sz w:val="20"/>
              </w:rPr>
              <w:t>*/</w:t>
            </w:r>
            <w:proofErr w:type="spellStart"/>
            <w:r w:rsidRPr="00684DD8">
              <w:rPr>
                <w:rFonts w:ascii="Arial Narrow" w:hAnsi="Arial Narrow"/>
                <w:sz w:val="20"/>
              </w:rPr>
              <w:t>CRi</w:t>
            </w:r>
            <w:proofErr w:type="spellEnd"/>
            <w:r w:rsidRPr="00684DD8">
              <w:rPr>
                <w:rFonts w:ascii="Arial Narrow" w:hAnsi="Arial Narrow"/>
                <w:sz w:val="20"/>
              </w:rPr>
              <w:t>; allogeneic HSCT rate; 100 day mortality following HSCT</w:t>
            </w:r>
          </w:p>
        </w:tc>
        <w:tc>
          <w:tcPr>
            <w:tcW w:w="423" w:type="pct"/>
            <w:tcBorders>
              <w:top w:val="single" w:sz="4" w:space="0" w:color="auto"/>
              <w:left w:val="single" w:sz="4" w:space="0" w:color="auto"/>
              <w:bottom w:val="single" w:sz="4" w:space="0" w:color="auto"/>
              <w:right w:val="single" w:sz="4" w:space="0" w:color="auto"/>
            </w:tcBorders>
            <w:hideMark/>
          </w:tcPr>
          <w:p w:rsidR="00904022" w:rsidRPr="00684DD8" w:rsidRDefault="00904022" w:rsidP="005727F0">
            <w:pPr>
              <w:keepNext/>
              <w:snapToGrid w:val="0"/>
              <w:jc w:val="center"/>
              <w:rPr>
                <w:rFonts w:ascii="Arial Narrow" w:hAnsi="Arial Narrow"/>
                <w:sz w:val="20"/>
              </w:rPr>
            </w:pPr>
            <w:r w:rsidRPr="00684DD8">
              <w:rPr>
                <w:rFonts w:ascii="Arial Narrow" w:hAnsi="Arial Narrow"/>
                <w:sz w:val="20"/>
              </w:rPr>
              <w:t>Yes</w:t>
            </w:r>
          </w:p>
        </w:tc>
      </w:tr>
    </w:tbl>
    <w:p w:rsidR="00904022" w:rsidRPr="00684DD8" w:rsidRDefault="00904022" w:rsidP="00904022">
      <w:pPr>
        <w:ind w:firstLine="720"/>
        <w:rPr>
          <w:rFonts w:ascii="Arial Narrow" w:hAnsi="Arial Narrow"/>
          <w:sz w:val="18"/>
          <w:szCs w:val="18"/>
        </w:rPr>
      </w:pPr>
      <w:r w:rsidRPr="00684DD8">
        <w:rPr>
          <w:rFonts w:ascii="Arial Narrow" w:hAnsi="Arial Narrow"/>
          <w:sz w:val="18"/>
          <w:szCs w:val="18"/>
        </w:rPr>
        <w:t>Source: Sections F.2.2.2-F.2.2.3, pp275-280 of the resubmission</w:t>
      </w:r>
    </w:p>
    <w:p w:rsidR="00904022" w:rsidRPr="00684DD8" w:rsidRDefault="00904022" w:rsidP="00904022">
      <w:pPr>
        <w:widowControl/>
        <w:ind w:left="720"/>
        <w:rPr>
          <w:rFonts w:ascii="Arial Narrow" w:hAnsi="Arial Narrow"/>
          <w:sz w:val="18"/>
          <w:szCs w:val="18"/>
        </w:rPr>
      </w:pPr>
      <w:r w:rsidRPr="00684DD8">
        <w:rPr>
          <w:rFonts w:ascii="Arial Narrow" w:hAnsi="Arial Narrow"/>
          <w:sz w:val="18"/>
          <w:szCs w:val="18"/>
        </w:rPr>
        <w:t xml:space="preserve">CR = complete remission; </w:t>
      </w:r>
      <w:proofErr w:type="spellStart"/>
      <w:r w:rsidRPr="00684DD8">
        <w:rPr>
          <w:rFonts w:ascii="Arial Narrow" w:hAnsi="Arial Narrow"/>
          <w:sz w:val="18"/>
          <w:szCs w:val="18"/>
        </w:rPr>
        <w:t>CRh</w:t>
      </w:r>
      <w:proofErr w:type="spellEnd"/>
      <w:r w:rsidRPr="00684DD8">
        <w:rPr>
          <w:rFonts w:ascii="Arial Narrow" w:hAnsi="Arial Narrow"/>
          <w:sz w:val="18"/>
          <w:szCs w:val="18"/>
        </w:rPr>
        <w:t xml:space="preserve">* = complete remission with partial haematological recovery; </w:t>
      </w:r>
      <w:proofErr w:type="spellStart"/>
      <w:r w:rsidRPr="00684DD8">
        <w:rPr>
          <w:rFonts w:ascii="Arial Narrow" w:hAnsi="Arial Narrow"/>
          <w:sz w:val="18"/>
          <w:szCs w:val="18"/>
        </w:rPr>
        <w:t>CRi</w:t>
      </w:r>
      <w:proofErr w:type="spellEnd"/>
      <w:r w:rsidRPr="00684DD8">
        <w:rPr>
          <w:rFonts w:ascii="Arial Narrow" w:hAnsi="Arial Narrow"/>
          <w:sz w:val="18"/>
          <w:szCs w:val="18"/>
        </w:rPr>
        <w:t xml:space="preserve"> = complete remission with incomplete haematological recovery; ECOG = Eastern Cooperative Oncology Group; HSCT = haematopoietic stem cell transplant; MES = managed entry scheme; OL = open-label; OS = overall survival; R = randomised</w:t>
      </w:r>
    </w:p>
    <w:p w:rsidR="00CE65D8" w:rsidRPr="00684DD8" w:rsidRDefault="00CE65D8" w:rsidP="001B3D5D">
      <w:pPr>
        <w:widowControl/>
        <w:rPr>
          <w:szCs w:val="22"/>
        </w:rPr>
      </w:pPr>
    </w:p>
    <w:p w:rsidR="00FE09A9" w:rsidRPr="00684DD8" w:rsidRDefault="00FE09A9" w:rsidP="003C215E">
      <w:pPr>
        <w:pStyle w:val="Heading4"/>
      </w:pPr>
      <w:bookmarkStart w:id="12" w:name="_Toc450655479"/>
      <w:bookmarkStart w:id="13" w:name="_Toc450820743"/>
      <w:r w:rsidRPr="00684DD8">
        <w:t>Comparative effectiveness</w:t>
      </w:r>
      <w:bookmarkEnd w:id="12"/>
      <w:bookmarkEnd w:id="13"/>
    </w:p>
    <w:p w:rsidR="00FE09A9" w:rsidRPr="00684DD8" w:rsidRDefault="00FE09A9" w:rsidP="00B60939">
      <w:pPr>
        <w:rPr>
          <w:szCs w:val="22"/>
        </w:rPr>
      </w:pPr>
    </w:p>
    <w:p w:rsidR="00FE09A9" w:rsidRPr="008A3185" w:rsidRDefault="00FE09A9" w:rsidP="008B4389">
      <w:pPr>
        <w:pStyle w:val="ListParagraph"/>
        <w:numPr>
          <w:ilvl w:val="1"/>
          <w:numId w:val="1"/>
        </w:numPr>
      </w:pPr>
      <w:r w:rsidRPr="008A3185">
        <w:t xml:space="preserve">The key outcomes from the </w:t>
      </w:r>
      <w:proofErr w:type="spellStart"/>
      <w:r w:rsidR="00D777E3" w:rsidRPr="008A3185">
        <w:t>blinatumomab</w:t>
      </w:r>
      <w:proofErr w:type="spellEnd"/>
      <w:r w:rsidRPr="008A3185">
        <w:t xml:space="preserve"> studies</w:t>
      </w:r>
      <w:r w:rsidR="00382DBC" w:rsidRPr="008A3185">
        <w:t xml:space="preserve"> </w:t>
      </w:r>
      <w:r w:rsidRPr="008A3185">
        <w:t xml:space="preserve">are </w:t>
      </w:r>
      <w:r w:rsidR="00382DBC" w:rsidRPr="008A3185">
        <w:t>summarised below</w:t>
      </w:r>
      <w:r w:rsidR="00D777E3" w:rsidRPr="008A3185">
        <w:t xml:space="preserve">. The </w:t>
      </w:r>
      <w:r w:rsidR="00481C66" w:rsidRPr="008A3185">
        <w:t>resubmission</w:t>
      </w:r>
      <w:r w:rsidR="00D777E3" w:rsidRPr="008A3185">
        <w:t xml:space="preserve"> </w:t>
      </w:r>
      <w:r w:rsidR="00657D15" w:rsidRPr="008A3185">
        <w:t xml:space="preserve">also </w:t>
      </w:r>
      <w:r w:rsidR="00D777E3" w:rsidRPr="008A3185">
        <w:t xml:space="preserve">included </w:t>
      </w:r>
      <w:r w:rsidR="00382DBC" w:rsidRPr="008A3185">
        <w:t xml:space="preserve">a </w:t>
      </w:r>
      <w:r w:rsidR="00D777E3" w:rsidRPr="008A3185">
        <w:t xml:space="preserve">weighted comparison for </w:t>
      </w:r>
      <w:r w:rsidR="00657D15" w:rsidRPr="008A3185">
        <w:t xml:space="preserve">the subgroup of </w:t>
      </w:r>
      <w:proofErr w:type="gramStart"/>
      <w:r w:rsidR="001B3D5D" w:rsidRPr="008A3185">
        <w:t>patient</w:t>
      </w:r>
      <w:r w:rsidR="001F3BE3" w:rsidRPr="008A3185">
        <w:t>s</w:t>
      </w:r>
      <w:proofErr w:type="gramEnd"/>
      <w:r w:rsidRPr="008A3185">
        <w:t xml:space="preserve"> diagnosed post-2000 fro</w:t>
      </w:r>
      <w:r w:rsidR="00D777E3" w:rsidRPr="008A3185">
        <w:t>m the historical control, Study 20120310</w:t>
      </w:r>
      <w:r w:rsidR="001F3BE3" w:rsidRPr="008A3185">
        <w:t xml:space="preserve">. </w:t>
      </w:r>
      <w:r w:rsidR="00657D15" w:rsidRPr="008A3185">
        <w:t>These subgroup results were not provided in such a way that they could be verified or evaluated.</w:t>
      </w:r>
    </w:p>
    <w:p w:rsidR="00B60939" w:rsidRPr="00684DD8" w:rsidRDefault="00B60939" w:rsidP="00B60939">
      <w:pPr>
        <w:rPr>
          <w:szCs w:val="22"/>
        </w:rPr>
      </w:pPr>
    </w:p>
    <w:p w:rsidR="004C29EF" w:rsidRPr="00684DD8" w:rsidRDefault="004C29EF">
      <w:pPr>
        <w:widowControl/>
        <w:jc w:val="left"/>
        <w:rPr>
          <w:rFonts w:ascii="Arial Narrow" w:hAnsi="Arial Narrow"/>
          <w:b/>
          <w:sz w:val="20"/>
          <w:highlight w:val="yellow"/>
        </w:rPr>
      </w:pPr>
      <w:r w:rsidRPr="00684DD8">
        <w:rPr>
          <w:rFonts w:ascii="Arial Narrow" w:hAnsi="Arial Narrow"/>
          <w:b/>
          <w:sz w:val="20"/>
          <w:highlight w:val="yellow"/>
        </w:rPr>
        <w:br w:type="page"/>
      </w:r>
    </w:p>
    <w:p w:rsidR="00FE09A9" w:rsidRPr="00684DD8" w:rsidRDefault="00FE09A9" w:rsidP="00F0265F">
      <w:pPr>
        <w:widowControl/>
        <w:ind w:left="720"/>
        <w:jc w:val="left"/>
        <w:rPr>
          <w:rFonts w:ascii="Arial Narrow" w:hAnsi="Arial Narrow"/>
          <w:b/>
          <w:sz w:val="20"/>
        </w:rPr>
      </w:pPr>
      <w:r w:rsidRPr="00684DD8">
        <w:rPr>
          <w:rFonts w:ascii="Arial Narrow" w:hAnsi="Arial Narrow"/>
          <w:b/>
          <w:sz w:val="20"/>
        </w:rPr>
        <w:lastRenderedPageBreak/>
        <w:t xml:space="preserve">Table </w:t>
      </w:r>
      <w:r w:rsidR="00C23581" w:rsidRPr="00684DD8">
        <w:rPr>
          <w:rFonts w:ascii="Arial Narrow" w:hAnsi="Arial Narrow"/>
          <w:b/>
          <w:sz w:val="20"/>
        </w:rPr>
        <w:t>3</w:t>
      </w:r>
      <w:r w:rsidRPr="00684DD8">
        <w:rPr>
          <w:rFonts w:ascii="Arial Narrow" w:hAnsi="Arial Narrow"/>
          <w:b/>
          <w:sz w:val="20"/>
        </w:rPr>
        <w:t xml:space="preserve">: </w:t>
      </w:r>
      <w:r w:rsidR="0030715F" w:rsidRPr="00684DD8">
        <w:rPr>
          <w:rFonts w:ascii="Arial Narrow" w:hAnsi="Arial Narrow"/>
          <w:b/>
          <w:sz w:val="20"/>
        </w:rPr>
        <w:t>Key r</w:t>
      </w:r>
      <w:r w:rsidRPr="00684DD8">
        <w:rPr>
          <w:rFonts w:ascii="Arial Narrow" w:hAnsi="Arial Narrow"/>
          <w:b/>
          <w:sz w:val="20"/>
        </w:rPr>
        <w:t>esults from</w:t>
      </w:r>
      <w:r w:rsidR="0030715F" w:rsidRPr="00684DD8">
        <w:rPr>
          <w:rFonts w:ascii="Arial Narrow" w:hAnsi="Arial Narrow"/>
          <w:b/>
          <w:sz w:val="20"/>
        </w:rPr>
        <w:t xml:space="preserve"> the non-randomised studies</w:t>
      </w:r>
    </w:p>
    <w:tbl>
      <w:tblPr>
        <w:tblStyle w:val="Summarybox1"/>
        <w:tblW w:w="4604" w:type="pct"/>
        <w:tblInd w:w="737" w:type="dxa"/>
        <w:tblLayout w:type="fixed"/>
        <w:tblCellMar>
          <w:left w:w="28" w:type="dxa"/>
          <w:right w:w="28" w:type="dxa"/>
        </w:tblCellMar>
        <w:tblLook w:val="04A0" w:firstRow="1" w:lastRow="0" w:firstColumn="1" w:lastColumn="0" w:noHBand="0" w:noVBand="1"/>
      </w:tblPr>
      <w:tblGrid>
        <w:gridCol w:w="980"/>
        <w:gridCol w:w="2847"/>
        <w:gridCol w:w="569"/>
        <w:gridCol w:w="1703"/>
        <w:gridCol w:w="565"/>
        <w:gridCol w:w="1700"/>
      </w:tblGrid>
      <w:tr w:rsidR="00780826" w:rsidRPr="00684DD8" w:rsidTr="00A72A8A">
        <w:trPr>
          <w:cantSplit/>
          <w:tblHeader/>
        </w:trPr>
        <w:tc>
          <w:tcPr>
            <w:tcW w:w="586" w:type="pct"/>
            <w:tcMar>
              <w:left w:w="28" w:type="dxa"/>
              <w:right w:w="28" w:type="dxa"/>
            </w:tcMar>
            <w:vAlign w:val="center"/>
          </w:tcPr>
          <w:p w:rsidR="00D777E3" w:rsidRPr="00684DD8" w:rsidRDefault="00D777E3" w:rsidP="00CB1324">
            <w:pPr>
              <w:keepNext/>
              <w:widowControl/>
              <w:jc w:val="left"/>
              <w:rPr>
                <w:rFonts w:ascii="Arial Narrow" w:hAnsi="Arial Narrow"/>
                <w:b/>
                <w:snapToGrid/>
                <w:sz w:val="20"/>
                <w:lang w:eastAsia="en-AU"/>
              </w:rPr>
            </w:pPr>
          </w:p>
        </w:tc>
        <w:tc>
          <w:tcPr>
            <w:tcW w:w="1702" w:type="pct"/>
            <w:tcMar>
              <w:left w:w="28" w:type="dxa"/>
              <w:right w:w="28" w:type="dxa"/>
            </w:tcMar>
            <w:vAlign w:val="center"/>
          </w:tcPr>
          <w:p w:rsidR="00D777E3" w:rsidRPr="00684DD8" w:rsidRDefault="00D777E3" w:rsidP="00CB1324">
            <w:pPr>
              <w:keepNext/>
              <w:widowControl/>
              <w:jc w:val="center"/>
              <w:rPr>
                <w:rFonts w:ascii="Arial Narrow" w:hAnsi="Arial Narrow"/>
                <w:b/>
                <w:snapToGrid/>
                <w:sz w:val="20"/>
                <w:lang w:eastAsia="en-AU"/>
              </w:rPr>
            </w:pPr>
            <w:r w:rsidRPr="00684DD8">
              <w:rPr>
                <w:rFonts w:ascii="Arial Narrow" w:hAnsi="Arial Narrow"/>
                <w:b/>
                <w:snapToGrid/>
                <w:sz w:val="20"/>
                <w:lang w:eastAsia="en-AU"/>
              </w:rPr>
              <w:t>Population</w:t>
            </w:r>
          </w:p>
        </w:tc>
        <w:tc>
          <w:tcPr>
            <w:tcW w:w="1358" w:type="pct"/>
            <w:gridSpan w:val="2"/>
            <w:tcMar>
              <w:left w:w="28" w:type="dxa"/>
              <w:right w:w="28" w:type="dxa"/>
            </w:tcMar>
            <w:vAlign w:val="center"/>
          </w:tcPr>
          <w:p w:rsidR="00D777E3" w:rsidRPr="00684DD8" w:rsidRDefault="00D777E3" w:rsidP="00CB1324">
            <w:pPr>
              <w:keepNext/>
              <w:widowControl/>
              <w:jc w:val="center"/>
              <w:rPr>
                <w:rFonts w:ascii="Arial Narrow" w:hAnsi="Arial Narrow"/>
                <w:b/>
                <w:snapToGrid/>
                <w:sz w:val="20"/>
                <w:lang w:eastAsia="en-AU"/>
              </w:rPr>
            </w:pPr>
            <w:proofErr w:type="spellStart"/>
            <w:r w:rsidRPr="00684DD8">
              <w:rPr>
                <w:rFonts w:ascii="Arial Narrow" w:hAnsi="Arial Narrow"/>
                <w:b/>
                <w:snapToGrid/>
                <w:sz w:val="20"/>
                <w:lang w:eastAsia="en-AU"/>
              </w:rPr>
              <w:t>Blinatumomab</w:t>
            </w:r>
            <w:proofErr w:type="spellEnd"/>
          </w:p>
        </w:tc>
        <w:tc>
          <w:tcPr>
            <w:tcW w:w="1354" w:type="pct"/>
            <w:gridSpan w:val="2"/>
            <w:vAlign w:val="center"/>
          </w:tcPr>
          <w:p w:rsidR="00D777E3" w:rsidRPr="00684DD8" w:rsidRDefault="00C926FC" w:rsidP="00CB1324">
            <w:pPr>
              <w:keepNext/>
              <w:widowControl/>
              <w:jc w:val="center"/>
              <w:rPr>
                <w:rFonts w:ascii="Arial Narrow" w:hAnsi="Arial Narrow"/>
                <w:b/>
                <w:snapToGrid/>
                <w:sz w:val="20"/>
                <w:lang w:eastAsia="en-AU"/>
              </w:rPr>
            </w:pPr>
            <w:r w:rsidRPr="00684DD8">
              <w:rPr>
                <w:rFonts w:ascii="Arial Narrow" w:hAnsi="Arial Narrow"/>
                <w:b/>
                <w:snapToGrid/>
                <w:sz w:val="20"/>
                <w:lang w:eastAsia="en-AU"/>
              </w:rPr>
              <w:t>SC</w:t>
            </w:r>
          </w:p>
        </w:tc>
      </w:tr>
      <w:tr w:rsidR="00780826" w:rsidRPr="00684DD8" w:rsidTr="00A72A8A">
        <w:trPr>
          <w:cantSplit/>
        </w:trPr>
        <w:tc>
          <w:tcPr>
            <w:tcW w:w="2288" w:type="pct"/>
            <w:gridSpan w:val="2"/>
            <w:tcMar>
              <w:left w:w="28" w:type="dxa"/>
              <w:right w:w="28" w:type="dxa"/>
            </w:tcMar>
            <w:vAlign w:val="center"/>
          </w:tcPr>
          <w:p w:rsidR="0078500E" w:rsidRPr="00684DD8" w:rsidRDefault="0078500E" w:rsidP="0078500E">
            <w:pPr>
              <w:keepNext/>
              <w:widowControl/>
              <w:jc w:val="left"/>
              <w:rPr>
                <w:rFonts w:ascii="Arial Narrow" w:hAnsi="Arial Narrow"/>
                <w:snapToGrid/>
                <w:sz w:val="20"/>
                <w:lang w:eastAsia="en-AU"/>
              </w:rPr>
            </w:pPr>
            <w:r w:rsidRPr="00684DD8">
              <w:rPr>
                <w:rFonts w:ascii="Arial Narrow" w:hAnsi="Arial Narrow"/>
                <w:b/>
                <w:snapToGrid/>
                <w:sz w:val="20"/>
                <w:lang w:eastAsia="en-AU"/>
              </w:rPr>
              <w:t xml:space="preserve">CR + </w:t>
            </w:r>
            <w:proofErr w:type="spellStart"/>
            <w:r w:rsidRPr="00684DD8">
              <w:rPr>
                <w:rFonts w:ascii="Arial Narrow" w:hAnsi="Arial Narrow"/>
                <w:b/>
                <w:snapToGrid/>
                <w:sz w:val="20"/>
                <w:lang w:eastAsia="en-AU"/>
              </w:rPr>
              <w:t>CRh</w:t>
            </w:r>
            <w:proofErr w:type="spellEnd"/>
            <w:r w:rsidRPr="00684DD8">
              <w:rPr>
                <w:rFonts w:ascii="Arial Narrow" w:hAnsi="Arial Narrow"/>
                <w:b/>
                <w:snapToGrid/>
                <w:sz w:val="20"/>
                <w:lang w:eastAsia="en-AU"/>
              </w:rPr>
              <w:t xml:space="preserve">* or </w:t>
            </w:r>
            <w:proofErr w:type="spellStart"/>
            <w:r w:rsidRPr="00684DD8">
              <w:rPr>
                <w:rFonts w:ascii="Arial Narrow" w:hAnsi="Arial Narrow"/>
                <w:b/>
                <w:snapToGrid/>
                <w:sz w:val="20"/>
                <w:lang w:eastAsia="en-AU"/>
              </w:rPr>
              <w:t>CRsg</w:t>
            </w:r>
            <w:proofErr w:type="spellEnd"/>
          </w:p>
        </w:tc>
        <w:tc>
          <w:tcPr>
            <w:tcW w:w="340" w:type="pct"/>
            <w:tcMar>
              <w:left w:w="28" w:type="dxa"/>
              <w:right w:w="28" w:type="dxa"/>
            </w:tcMar>
          </w:tcPr>
          <w:p w:rsidR="0078500E" w:rsidRPr="00684DD8" w:rsidRDefault="0078500E" w:rsidP="00CB1324">
            <w:pPr>
              <w:keepNext/>
              <w:widowControl/>
              <w:jc w:val="center"/>
              <w:rPr>
                <w:rFonts w:ascii="Arial Narrow" w:hAnsi="Arial Narrow"/>
                <w:snapToGrid/>
                <w:sz w:val="20"/>
                <w:lang w:eastAsia="en-AU"/>
              </w:rPr>
            </w:pPr>
            <w:r w:rsidRPr="00684DD8">
              <w:rPr>
                <w:rFonts w:ascii="Arial Narrow" w:hAnsi="Arial Narrow"/>
                <w:b/>
                <w:snapToGrid/>
                <w:sz w:val="20"/>
                <w:lang w:eastAsia="en-AU"/>
              </w:rPr>
              <w:t>N</w:t>
            </w:r>
          </w:p>
        </w:tc>
        <w:tc>
          <w:tcPr>
            <w:tcW w:w="1018" w:type="pct"/>
          </w:tcPr>
          <w:p w:rsidR="0078500E" w:rsidRPr="00684DD8" w:rsidRDefault="0078500E" w:rsidP="00CB1324">
            <w:pPr>
              <w:keepNext/>
              <w:widowControl/>
              <w:jc w:val="center"/>
              <w:rPr>
                <w:rFonts w:ascii="Arial Narrow" w:hAnsi="Arial Narrow"/>
                <w:b/>
                <w:snapToGrid/>
                <w:sz w:val="20"/>
                <w:lang w:eastAsia="en-AU"/>
              </w:rPr>
            </w:pPr>
            <w:r w:rsidRPr="00684DD8">
              <w:rPr>
                <w:rFonts w:ascii="Arial Narrow" w:hAnsi="Arial Narrow"/>
                <w:b/>
                <w:snapToGrid/>
                <w:sz w:val="20"/>
                <w:lang w:eastAsia="en-AU"/>
              </w:rPr>
              <w:t>% (95% CI)</w:t>
            </w:r>
          </w:p>
        </w:tc>
        <w:tc>
          <w:tcPr>
            <w:tcW w:w="338" w:type="pct"/>
          </w:tcPr>
          <w:p w:rsidR="0078500E" w:rsidRPr="00684DD8" w:rsidRDefault="0078500E" w:rsidP="00CB1324">
            <w:pPr>
              <w:keepNext/>
              <w:widowControl/>
              <w:jc w:val="center"/>
              <w:rPr>
                <w:rFonts w:ascii="Arial Narrow" w:hAnsi="Arial Narrow"/>
                <w:b/>
                <w:snapToGrid/>
                <w:sz w:val="20"/>
                <w:lang w:eastAsia="en-AU"/>
              </w:rPr>
            </w:pPr>
            <w:r w:rsidRPr="00684DD8">
              <w:rPr>
                <w:rFonts w:ascii="Arial Narrow" w:hAnsi="Arial Narrow"/>
                <w:b/>
                <w:snapToGrid/>
                <w:sz w:val="20"/>
                <w:lang w:eastAsia="en-AU"/>
              </w:rPr>
              <w:t>N</w:t>
            </w:r>
          </w:p>
        </w:tc>
        <w:tc>
          <w:tcPr>
            <w:tcW w:w="1016" w:type="pct"/>
          </w:tcPr>
          <w:p w:rsidR="0078500E" w:rsidRPr="00684DD8" w:rsidRDefault="0078500E" w:rsidP="00CB1324">
            <w:pPr>
              <w:keepNext/>
              <w:widowControl/>
              <w:jc w:val="center"/>
              <w:rPr>
                <w:rFonts w:ascii="Arial Narrow" w:hAnsi="Arial Narrow"/>
                <w:b/>
                <w:snapToGrid/>
                <w:sz w:val="20"/>
                <w:lang w:eastAsia="en-AU"/>
              </w:rPr>
            </w:pPr>
            <w:r w:rsidRPr="00684DD8">
              <w:rPr>
                <w:rFonts w:ascii="Arial Narrow" w:hAnsi="Arial Narrow"/>
                <w:b/>
                <w:snapToGrid/>
                <w:sz w:val="20"/>
                <w:lang w:eastAsia="en-AU"/>
              </w:rPr>
              <w:t>% (95% CI)</w:t>
            </w:r>
          </w:p>
        </w:tc>
      </w:tr>
      <w:tr w:rsidR="00780826" w:rsidRPr="00684DD8" w:rsidTr="00A72A8A">
        <w:trPr>
          <w:cantSplit/>
        </w:trPr>
        <w:tc>
          <w:tcPr>
            <w:tcW w:w="586" w:type="pct"/>
            <w:vMerge w:val="restart"/>
            <w:tcMar>
              <w:left w:w="28" w:type="dxa"/>
              <w:right w:w="28" w:type="dxa"/>
            </w:tcMar>
            <w:vAlign w:val="center"/>
          </w:tcPr>
          <w:p w:rsidR="00D777E3" w:rsidRPr="00684DD8" w:rsidRDefault="00D777E3" w:rsidP="00CB1324">
            <w:pPr>
              <w:keepNext/>
              <w:widowControl/>
              <w:jc w:val="left"/>
              <w:rPr>
                <w:rFonts w:ascii="Arial Narrow" w:hAnsi="Arial Narrow"/>
                <w:snapToGrid/>
                <w:sz w:val="20"/>
                <w:lang w:eastAsia="en-AU"/>
              </w:rPr>
            </w:pPr>
            <w:r w:rsidRPr="00684DD8">
              <w:rPr>
                <w:rFonts w:ascii="Arial Narrow" w:hAnsi="Arial Narrow"/>
                <w:snapToGrid/>
                <w:sz w:val="20"/>
                <w:lang w:eastAsia="en-AU"/>
              </w:rPr>
              <w:t>MT103-211</w:t>
            </w:r>
          </w:p>
        </w:tc>
        <w:tc>
          <w:tcPr>
            <w:tcW w:w="1702" w:type="pct"/>
            <w:tcMar>
              <w:left w:w="28" w:type="dxa"/>
              <w:right w:w="28" w:type="dxa"/>
            </w:tcMar>
            <w:vAlign w:val="center"/>
          </w:tcPr>
          <w:p w:rsidR="00D777E3" w:rsidRPr="00684DD8" w:rsidRDefault="00D777E3"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PAS</w:t>
            </w:r>
          </w:p>
        </w:tc>
        <w:tc>
          <w:tcPr>
            <w:tcW w:w="340" w:type="pct"/>
            <w:tcMar>
              <w:left w:w="28" w:type="dxa"/>
              <w:right w:w="28" w:type="dxa"/>
            </w:tcMar>
          </w:tcPr>
          <w:p w:rsidR="00D777E3" w:rsidRPr="00684DD8" w:rsidRDefault="00D777E3"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189</w:t>
            </w:r>
          </w:p>
        </w:tc>
        <w:tc>
          <w:tcPr>
            <w:tcW w:w="1018" w:type="pct"/>
          </w:tcPr>
          <w:p w:rsidR="00D777E3" w:rsidRPr="00684DD8" w:rsidRDefault="00D777E3" w:rsidP="0058179F">
            <w:pPr>
              <w:keepNext/>
              <w:widowControl/>
              <w:jc w:val="center"/>
              <w:rPr>
                <w:rFonts w:ascii="Arial Narrow" w:hAnsi="Arial Narrow"/>
                <w:snapToGrid/>
                <w:sz w:val="20"/>
                <w:lang w:eastAsia="en-AU"/>
              </w:rPr>
            </w:pPr>
            <w:r w:rsidRPr="00684DD8">
              <w:rPr>
                <w:rFonts w:ascii="Arial Narrow" w:hAnsi="Arial Narrow"/>
                <w:snapToGrid/>
                <w:sz w:val="20"/>
                <w:lang w:eastAsia="en-AU"/>
              </w:rPr>
              <w:t>43.9% (</w:t>
            </w:r>
            <w:r w:rsidR="0058179F" w:rsidRPr="00684DD8">
              <w:rPr>
                <w:rFonts w:ascii="Arial Narrow" w:hAnsi="Arial Narrow"/>
                <w:snapToGrid/>
                <w:sz w:val="20"/>
                <w:lang w:eastAsia="en-AU"/>
              </w:rPr>
              <w:t>3</w:t>
            </w:r>
            <w:r w:rsidRPr="00684DD8">
              <w:rPr>
                <w:rFonts w:ascii="Arial Narrow" w:hAnsi="Arial Narrow"/>
                <w:snapToGrid/>
                <w:sz w:val="20"/>
                <w:lang w:eastAsia="en-AU"/>
              </w:rPr>
              <w:t>7</w:t>
            </w:r>
            <w:r w:rsidR="0058179F" w:rsidRPr="00684DD8">
              <w:rPr>
                <w:rFonts w:ascii="Arial Narrow" w:hAnsi="Arial Narrow"/>
                <w:snapToGrid/>
                <w:sz w:val="20"/>
                <w:lang w:eastAsia="en-AU"/>
              </w:rPr>
              <w:t>%</w:t>
            </w:r>
            <w:r w:rsidRPr="00684DD8">
              <w:rPr>
                <w:rFonts w:ascii="Arial Narrow" w:hAnsi="Arial Narrow"/>
                <w:snapToGrid/>
                <w:sz w:val="20"/>
                <w:lang w:eastAsia="en-AU"/>
              </w:rPr>
              <w:t>, 51</w:t>
            </w:r>
            <w:r w:rsidR="0058179F" w:rsidRPr="00684DD8">
              <w:rPr>
                <w:rFonts w:ascii="Arial Narrow" w:hAnsi="Arial Narrow"/>
                <w:snapToGrid/>
                <w:sz w:val="20"/>
                <w:lang w:eastAsia="en-AU"/>
              </w:rPr>
              <w:t>%</w:t>
            </w:r>
            <w:r w:rsidRPr="00684DD8">
              <w:rPr>
                <w:rFonts w:ascii="Arial Narrow" w:hAnsi="Arial Narrow"/>
                <w:snapToGrid/>
                <w:sz w:val="20"/>
                <w:lang w:eastAsia="en-AU"/>
              </w:rPr>
              <w:t>)</w:t>
            </w:r>
          </w:p>
        </w:tc>
        <w:tc>
          <w:tcPr>
            <w:tcW w:w="338" w:type="pct"/>
          </w:tcPr>
          <w:p w:rsidR="00D777E3" w:rsidRPr="00684DD8" w:rsidRDefault="0078500E"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D777E3" w:rsidRPr="00684DD8" w:rsidRDefault="0078500E"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r>
      <w:tr w:rsidR="00780826" w:rsidRPr="00684DD8" w:rsidTr="00A72A8A">
        <w:trPr>
          <w:cantSplit/>
        </w:trPr>
        <w:tc>
          <w:tcPr>
            <w:tcW w:w="586" w:type="pct"/>
            <w:vMerge/>
            <w:tcMar>
              <w:left w:w="28" w:type="dxa"/>
              <w:right w:w="28" w:type="dxa"/>
            </w:tcMar>
            <w:vAlign w:val="center"/>
          </w:tcPr>
          <w:p w:rsidR="00D777E3" w:rsidRPr="00684DD8" w:rsidRDefault="00D777E3" w:rsidP="00CB1324">
            <w:pPr>
              <w:keepNext/>
              <w:widowControl/>
              <w:jc w:val="left"/>
              <w:rPr>
                <w:rFonts w:ascii="Arial Narrow" w:hAnsi="Arial Narrow"/>
                <w:snapToGrid/>
                <w:sz w:val="20"/>
                <w:lang w:eastAsia="en-AU"/>
              </w:rPr>
            </w:pPr>
          </w:p>
        </w:tc>
        <w:tc>
          <w:tcPr>
            <w:tcW w:w="1702" w:type="pct"/>
            <w:tcMar>
              <w:left w:w="28" w:type="dxa"/>
              <w:right w:w="28" w:type="dxa"/>
            </w:tcMar>
            <w:vAlign w:val="center"/>
          </w:tcPr>
          <w:p w:rsidR="00D777E3" w:rsidRPr="00684DD8" w:rsidRDefault="00D777E3"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FAS</w:t>
            </w:r>
          </w:p>
        </w:tc>
        <w:tc>
          <w:tcPr>
            <w:tcW w:w="340" w:type="pct"/>
            <w:tcMar>
              <w:left w:w="28" w:type="dxa"/>
              <w:right w:w="28" w:type="dxa"/>
            </w:tcMar>
          </w:tcPr>
          <w:p w:rsidR="00D777E3" w:rsidRPr="00684DD8" w:rsidRDefault="00D777E3"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225</w:t>
            </w:r>
          </w:p>
        </w:tc>
        <w:tc>
          <w:tcPr>
            <w:tcW w:w="1018" w:type="pct"/>
          </w:tcPr>
          <w:p w:rsidR="00D777E3" w:rsidRPr="00684DD8" w:rsidRDefault="00D777E3" w:rsidP="0058179F">
            <w:pPr>
              <w:keepNext/>
              <w:widowControl/>
              <w:jc w:val="center"/>
              <w:rPr>
                <w:rFonts w:ascii="Arial Narrow" w:hAnsi="Arial Narrow"/>
                <w:snapToGrid/>
                <w:sz w:val="20"/>
                <w:lang w:eastAsia="en-AU"/>
              </w:rPr>
            </w:pPr>
            <w:r w:rsidRPr="00684DD8">
              <w:rPr>
                <w:rFonts w:ascii="Arial Narrow" w:hAnsi="Arial Narrow"/>
                <w:snapToGrid/>
                <w:sz w:val="20"/>
                <w:lang w:eastAsia="en-AU"/>
              </w:rPr>
              <w:t>44.0% (37</w:t>
            </w:r>
            <w:r w:rsidR="0058179F" w:rsidRPr="00684DD8">
              <w:rPr>
                <w:rFonts w:ascii="Arial Narrow" w:hAnsi="Arial Narrow"/>
                <w:snapToGrid/>
                <w:sz w:val="20"/>
                <w:lang w:eastAsia="en-AU"/>
              </w:rPr>
              <w:t>%</w:t>
            </w:r>
            <w:r w:rsidRPr="00684DD8">
              <w:rPr>
                <w:rFonts w:ascii="Arial Narrow" w:hAnsi="Arial Narrow"/>
                <w:snapToGrid/>
                <w:sz w:val="20"/>
                <w:lang w:eastAsia="en-AU"/>
              </w:rPr>
              <w:t>, 51</w:t>
            </w:r>
            <w:r w:rsidR="0058179F" w:rsidRPr="00684DD8">
              <w:rPr>
                <w:rFonts w:ascii="Arial Narrow" w:hAnsi="Arial Narrow"/>
                <w:snapToGrid/>
                <w:sz w:val="20"/>
                <w:lang w:eastAsia="en-AU"/>
              </w:rPr>
              <w:t>%</w:t>
            </w:r>
            <w:r w:rsidRPr="00684DD8">
              <w:rPr>
                <w:rFonts w:ascii="Arial Narrow" w:hAnsi="Arial Narrow"/>
                <w:snapToGrid/>
                <w:sz w:val="20"/>
                <w:lang w:eastAsia="en-AU"/>
              </w:rPr>
              <w:t>)</w:t>
            </w:r>
          </w:p>
        </w:tc>
        <w:tc>
          <w:tcPr>
            <w:tcW w:w="338" w:type="pct"/>
          </w:tcPr>
          <w:p w:rsidR="00D777E3" w:rsidRPr="00684DD8" w:rsidRDefault="0078500E"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D777E3" w:rsidRPr="00684DD8" w:rsidRDefault="0078500E"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r>
      <w:tr w:rsidR="00780826" w:rsidRPr="00684DD8" w:rsidTr="00A72A8A">
        <w:trPr>
          <w:cantSplit/>
          <w:trHeight w:val="141"/>
        </w:trPr>
        <w:tc>
          <w:tcPr>
            <w:tcW w:w="586" w:type="pct"/>
            <w:tcMar>
              <w:left w:w="28" w:type="dxa"/>
              <w:right w:w="28" w:type="dxa"/>
            </w:tcMar>
            <w:vAlign w:val="center"/>
          </w:tcPr>
          <w:p w:rsidR="00D777E3" w:rsidRPr="00684DD8" w:rsidRDefault="00D777E3" w:rsidP="00CB1324">
            <w:pPr>
              <w:keepNext/>
              <w:widowControl/>
              <w:jc w:val="left"/>
              <w:rPr>
                <w:rFonts w:ascii="Arial Narrow" w:hAnsi="Arial Narrow"/>
                <w:snapToGrid/>
                <w:sz w:val="20"/>
                <w:lang w:eastAsia="en-AU"/>
              </w:rPr>
            </w:pPr>
            <w:r w:rsidRPr="00684DD8">
              <w:rPr>
                <w:rFonts w:ascii="Arial Narrow" w:hAnsi="Arial Narrow"/>
                <w:snapToGrid/>
                <w:sz w:val="20"/>
                <w:lang w:eastAsia="en-AU"/>
              </w:rPr>
              <w:t>MT103-206</w:t>
            </w:r>
          </w:p>
        </w:tc>
        <w:tc>
          <w:tcPr>
            <w:tcW w:w="1702" w:type="pct"/>
            <w:tcMar>
              <w:left w:w="28" w:type="dxa"/>
              <w:right w:w="28" w:type="dxa"/>
            </w:tcMar>
            <w:vAlign w:val="center"/>
          </w:tcPr>
          <w:p w:rsidR="00D777E3" w:rsidRPr="00684DD8" w:rsidRDefault="00D777E3"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FAS</w:t>
            </w:r>
          </w:p>
        </w:tc>
        <w:tc>
          <w:tcPr>
            <w:tcW w:w="340" w:type="pct"/>
            <w:tcMar>
              <w:left w:w="28" w:type="dxa"/>
              <w:right w:w="28" w:type="dxa"/>
            </w:tcMar>
          </w:tcPr>
          <w:p w:rsidR="00D777E3" w:rsidRPr="00684DD8" w:rsidRDefault="00D777E3"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36</w:t>
            </w:r>
          </w:p>
        </w:tc>
        <w:tc>
          <w:tcPr>
            <w:tcW w:w="1018" w:type="pct"/>
          </w:tcPr>
          <w:p w:rsidR="00D777E3" w:rsidRPr="00684DD8" w:rsidRDefault="00D777E3" w:rsidP="0058179F">
            <w:pPr>
              <w:keepNext/>
              <w:widowControl/>
              <w:jc w:val="center"/>
              <w:rPr>
                <w:rFonts w:ascii="Arial Narrow" w:hAnsi="Arial Narrow"/>
                <w:snapToGrid/>
                <w:sz w:val="20"/>
                <w:lang w:eastAsia="en-AU"/>
              </w:rPr>
            </w:pPr>
            <w:r w:rsidRPr="00684DD8">
              <w:rPr>
                <w:rFonts w:ascii="Arial Narrow" w:hAnsi="Arial Narrow"/>
                <w:snapToGrid/>
                <w:sz w:val="20"/>
                <w:lang w:eastAsia="en-AU"/>
              </w:rPr>
              <w:t>69.4% (52</w:t>
            </w:r>
            <w:r w:rsidR="0058179F" w:rsidRPr="00684DD8">
              <w:rPr>
                <w:rFonts w:ascii="Arial Narrow" w:hAnsi="Arial Narrow"/>
                <w:snapToGrid/>
                <w:sz w:val="20"/>
                <w:lang w:eastAsia="en-AU"/>
              </w:rPr>
              <w:t>%</w:t>
            </w:r>
            <w:r w:rsidRPr="00684DD8">
              <w:rPr>
                <w:rFonts w:ascii="Arial Narrow" w:hAnsi="Arial Narrow"/>
                <w:snapToGrid/>
                <w:sz w:val="20"/>
                <w:lang w:eastAsia="en-AU"/>
              </w:rPr>
              <w:t>, 84</w:t>
            </w:r>
            <w:r w:rsidR="0058179F" w:rsidRPr="00684DD8">
              <w:rPr>
                <w:rFonts w:ascii="Arial Narrow" w:hAnsi="Arial Narrow"/>
                <w:snapToGrid/>
                <w:sz w:val="20"/>
                <w:lang w:eastAsia="en-AU"/>
              </w:rPr>
              <w:t>%</w:t>
            </w:r>
            <w:r w:rsidRPr="00684DD8">
              <w:rPr>
                <w:rFonts w:ascii="Arial Narrow" w:hAnsi="Arial Narrow"/>
                <w:snapToGrid/>
                <w:sz w:val="20"/>
                <w:lang w:eastAsia="en-AU"/>
              </w:rPr>
              <w:t>)</w:t>
            </w:r>
          </w:p>
        </w:tc>
        <w:tc>
          <w:tcPr>
            <w:tcW w:w="338" w:type="pct"/>
          </w:tcPr>
          <w:p w:rsidR="00D777E3" w:rsidRPr="00684DD8" w:rsidRDefault="0078500E"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D777E3" w:rsidRPr="00684DD8" w:rsidRDefault="0078500E"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r>
      <w:tr w:rsidR="00A72A8A" w:rsidRPr="00684DD8" w:rsidTr="00A72A8A">
        <w:trPr>
          <w:cantSplit/>
        </w:trPr>
        <w:tc>
          <w:tcPr>
            <w:tcW w:w="586" w:type="pct"/>
            <w:vMerge w:val="restart"/>
            <w:tcMar>
              <w:left w:w="28" w:type="dxa"/>
              <w:right w:w="28" w:type="dxa"/>
            </w:tcMar>
            <w:vAlign w:val="center"/>
          </w:tcPr>
          <w:p w:rsidR="00A72A8A" w:rsidRPr="00684DD8" w:rsidRDefault="00A72A8A" w:rsidP="00CB1324">
            <w:pPr>
              <w:keepNext/>
              <w:widowControl/>
              <w:jc w:val="left"/>
              <w:rPr>
                <w:rFonts w:ascii="Arial Narrow" w:hAnsi="Arial Narrow"/>
                <w:snapToGrid/>
                <w:sz w:val="20"/>
                <w:lang w:eastAsia="en-AU"/>
              </w:rPr>
            </w:pPr>
            <w:r w:rsidRPr="00684DD8">
              <w:rPr>
                <w:rFonts w:ascii="Arial Narrow" w:hAnsi="Arial Narrow"/>
                <w:snapToGrid/>
                <w:sz w:val="20"/>
                <w:lang w:eastAsia="en-AU"/>
              </w:rPr>
              <w:t>20120310</w:t>
            </w:r>
          </w:p>
          <w:p w:rsidR="00A72A8A" w:rsidRPr="00684DD8" w:rsidRDefault="00A72A8A" w:rsidP="00CB1324">
            <w:pPr>
              <w:keepNext/>
              <w:widowControl/>
              <w:jc w:val="left"/>
              <w:rPr>
                <w:rFonts w:ascii="Arial Narrow" w:hAnsi="Arial Narrow"/>
                <w:snapToGrid/>
                <w:sz w:val="20"/>
                <w:lang w:eastAsia="en-AU"/>
              </w:rPr>
            </w:pPr>
            <w:r w:rsidRPr="00684DD8">
              <w:rPr>
                <w:rFonts w:ascii="Arial Narrow" w:hAnsi="Arial Narrow"/>
                <w:snapToGrid/>
                <w:sz w:val="20"/>
                <w:lang w:eastAsia="en-AU"/>
              </w:rPr>
              <w:t>(weighted)</w:t>
            </w:r>
          </w:p>
        </w:tc>
        <w:tc>
          <w:tcPr>
            <w:tcW w:w="1702" w:type="pct"/>
            <w:tcMar>
              <w:left w:w="28" w:type="dxa"/>
              <w:right w:w="28" w:type="dxa"/>
            </w:tcMar>
            <w:vAlign w:val="center"/>
          </w:tcPr>
          <w:p w:rsidR="00A72A8A" w:rsidRPr="00684DD8" w:rsidRDefault="00A72A8A"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1990-2013</w:t>
            </w:r>
          </w:p>
        </w:tc>
        <w:tc>
          <w:tcPr>
            <w:tcW w:w="340" w:type="pct"/>
            <w:tcMar>
              <w:left w:w="28" w:type="dxa"/>
              <w:right w:w="28" w:type="dxa"/>
            </w:tcMar>
          </w:tcPr>
          <w:p w:rsidR="00A72A8A" w:rsidRPr="00684DD8" w:rsidRDefault="00A72A8A"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8" w:type="pct"/>
          </w:tcPr>
          <w:p w:rsidR="00A72A8A" w:rsidRPr="00684DD8" w:rsidRDefault="00A72A8A"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338" w:type="pct"/>
          </w:tcPr>
          <w:p w:rsidR="00A72A8A" w:rsidRPr="00684DD8" w:rsidRDefault="00A72A8A"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186</w:t>
            </w:r>
          </w:p>
        </w:tc>
        <w:tc>
          <w:tcPr>
            <w:tcW w:w="1016" w:type="pct"/>
          </w:tcPr>
          <w:p w:rsidR="00A72A8A" w:rsidRPr="00684DD8" w:rsidRDefault="00A72A8A" w:rsidP="0058179F">
            <w:pPr>
              <w:keepNext/>
              <w:widowControl/>
              <w:jc w:val="center"/>
              <w:rPr>
                <w:rFonts w:ascii="Arial Narrow" w:hAnsi="Arial Narrow"/>
                <w:snapToGrid/>
                <w:sz w:val="20"/>
                <w:lang w:eastAsia="en-AU"/>
              </w:rPr>
            </w:pPr>
            <w:r w:rsidRPr="00684DD8">
              <w:rPr>
                <w:rFonts w:ascii="Arial Narrow" w:hAnsi="Arial Narrow"/>
                <w:snapToGrid/>
                <w:sz w:val="20"/>
                <w:lang w:eastAsia="en-AU"/>
              </w:rPr>
              <w:t>24% (20%, 27%)</w:t>
            </w:r>
          </w:p>
        </w:tc>
      </w:tr>
      <w:tr w:rsidR="00A72A8A" w:rsidRPr="00684DD8" w:rsidTr="00A72A8A">
        <w:trPr>
          <w:cantSplit/>
        </w:trPr>
        <w:tc>
          <w:tcPr>
            <w:tcW w:w="586" w:type="pct"/>
            <w:vMerge/>
            <w:tcMar>
              <w:left w:w="28" w:type="dxa"/>
              <w:right w:w="28" w:type="dxa"/>
            </w:tcMar>
            <w:vAlign w:val="center"/>
          </w:tcPr>
          <w:p w:rsidR="00A72A8A" w:rsidRPr="00684DD8" w:rsidRDefault="00A72A8A" w:rsidP="00CB1324">
            <w:pPr>
              <w:keepNext/>
              <w:widowControl/>
              <w:jc w:val="left"/>
              <w:rPr>
                <w:rFonts w:ascii="Arial Narrow" w:hAnsi="Arial Narrow"/>
                <w:snapToGrid/>
                <w:sz w:val="20"/>
                <w:lang w:eastAsia="en-AU"/>
              </w:rPr>
            </w:pPr>
          </w:p>
        </w:tc>
        <w:tc>
          <w:tcPr>
            <w:tcW w:w="1702" w:type="pct"/>
            <w:tcMar>
              <w:left w:w="28" w:type="dxa"/>
              <w:right w:w="28" w:type="dxa"/>
            </w:tcMar>
            <w:vAlign w:val="center"/>
          </w:tcPr>
          <w:p w:rsidR="00A72A8A" w:rsidRPr="00684DD8" w:rsidRDefault="00A72A8A" w:rsidP="00A72A8A">
            <w:pPr>
              <w:keepNext/>
              <w:widowControl/>
              <w:jc w:val="center"/>
              <w:rPr>
                <w:rFonts w:ascii="Arial Narrow" w:hAnsi="Arial Narrow"/>
                <w:snapToGrid/>
                <w:sz w:val="20"/>
                <w:lang w:eastAsia="en-AU"/>
              </w:rPr>
            </w:pPr>
            <w:r w:rsidRPr="00684DD8">
              <w:rPr>
                <w:rFonts w:ascii="Arial Narrow" w:hAnsi="Arial Narrow"/>
                <w:snapToGrid/>
                <w:sz w:val="20"/>
                <w:lang w:eastAsia="en-AU"/>
              </w:rPr>
              <w:t>Subgroup of patients from any site with data post-2000</w:t>
            </w:r>
          </w:p>
        </w:tc>
        <w:tc>
          <w:tcPr>
            <w:tcW w:w="340" w:type="pct"/>
            <w:tcMar>
              <w:left w:w="28" w:type="dxa"/>
              <w:right w:w="28" w:type="dxa"/>
            </w:tcMar>
          </w:tcPr>
          <w:p w:rsidR="00A72A8A" w:rsidRPr="00684DD8" w:rsidRDefault="00A72A8A"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8" w:type="pct"/>
          </w:tcPr>
          <w:p w:rsidR="00A72A8A" w:rsidRPr="00684DD8" w:rsidRDefault="00A72A8A"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338" w:type="pct"/>
          </w:tcPr>
          <w:p w:rsidR="00A72A8A" w:rsidRPr="00684DD8" w:rsidRDefault="00A72A8A" w:rsidP="00CB1324">
            <w:pPr>
              <w:keepNext/>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A72A8A" w:rsidRPr="00684DD8" w:rsidRDefault="00D34A67" w:rsidP="0058179F">
            <w:pPr>
              <w:keepNext/>
              <w:widowControl/>
              <w:jc w:val="center"/>
              <w:rPr>
                <w:rFonts w:ascii="Arial Narrow" w:hAnsi="Arial Narrow"/>
                <w:snapToGrid/>
                <w:sz w:val="20"/>
                <w:lang w:eastAsia="en-AU"/>
              </w:rPr>
            </w:pPr>
            <w:r>
              <w:rPr>
                <w:rFonts w:ascii="Arial Narrow" w:hAnsi="Arial Narrow"/>
                <w:noProof/>
                <w:snapToGrid/>
                <w:color w:val="000000"/>
                <w:sz w:val="20"/>
                <w:highlight w:val="black"/>
                <w:lang w:eastAsia="en-AU"/>
              </w:rPr>
              <w:t>''''''</w:t>
            </w:r>
            <w:r w:rsidR="00A72A8A" w:rsidRPr="00684DD8">
              <w:rPr>
                <w:rFonts w:ascii="Arial Narrow" w:hAnsi="Arial Narrow"/>
                <w:snapToGrid/>
                <w:sz w:val="20"/>
                <w:lang w:eastAsia="en-AU"/>
              </w:rPr>
              <w:t>% (</w:t>
            </w:r>
            <w:r>
              <w:rPr>
                <w:rFonts w:ascii="Arial Narrow" w:hAnsi="Arial Narrow"/>
                <w:noProof/>
                <w:snapToGrid/>
                <w:color w:val="000000"/>
                <w:sz w:val="20"/>
                <w:highlight w:val="black"/>
                <w:lang w:eastAsia="en-AU"/>
              </w:rPr>
              <w:t>''''''</w:t>
            </w:r>
            <w:r w:rsidR="00A72A8A" w:rsidRPr="00684DD8">
              <w:rPr>
                <w:rFonts w:ascii="Arial Narrow" w:hAnsi="Arial Narrow"/>
                <w:snapToGrid/>
                <w:sz w:val="20"/>
                <w:lang w:eastAsia="en-AU"/>
              </w:rPr>
              <w:t xml:space="preserve">%, </w:t>
            </w:r>
            <w:r>
              <w:rPr>
                <w:rFonts w:ascii="Arial Narrow" w:hAnsi="Arial Narrow"/>
                <w:noProof/>
                <w:snapToGrid/>
                <w:color w:val="000000"/>
                <w:sz w:val="20"/>
                <w:highlight w:val="black"/>
                <w:lang w:eastAsia="en-AU"/>
              </w:rPr>
              <w:t>'''''''</w:t>
            </w:r>
            <w:r w:rsidR="00A72A8A" w:rsidRPr="00684DD8">
              <w:rPr>
                <w:rFonts w:ascii="Arial Narrow" w:hAnsi="Arial Narrow"/>
                <w:snapToGrid/>
                <w:sz w:val="20"/>
                <w:lang w:eastAsia="en-AU"/>
              </w:rPr>
              <w:t xml:space="preserve">%) </w:t>
            </w:r>
            <w:r w:rsidR="00A72A8A" w:rsidRPr="00684DD8">
              <w:rPr>
                <w:rFonts w:ascii="Arial Narrow" w:hAnsi="Arial Narrow"/>
                <w:snapToGrid/>
                <w:sz w:val="20"/>
                <w:vertAlign w:val="superscript"/>
                <w:lang w:eastAsia="en-AU"/>
              </w:rPr>
              <w:t>a</w:t>
            </w:r>
          </w:p>
        </w:tc>
      </w:tr>
      <w:tr w:rsidR="00780826" w:rsidRPr="00684DD8" w:rsidTr="0078500E">
        <w:trPr>
          <w:cantSplit/>
        </w:trPr>
        <w:tc>
          <w:tcPr>
            <w:tcW w:w="2288" w:type="pct"/>
            <w:gridSpan w:val="2"/>
            <w:tcMar>
              <w:left w:w="28" w:type="dxa"/>
              <w:right w:w="28" w:type="dxa"/>
            </w:tcMar>
            <w:vAlign w:val="center"/>
          </w:tcPr>
          <w:p w:rsidR="0078500E" w:rsidRPr="00684DD8" w:rsidRDefault="0078500E" w:rsidP="0078500E">
            <w:pPr>
              <w:widowControl/>
              <w:jc w:val="left"/>
              <w:rPr>
                <w:rFonts w:ascii="Arial Narrow" w:hAnsi="Arial Narrow"/>
                <w:snapToGrid/>
                <w:sz w:val="20"/>
                <w:lang w:eastAsia="en-AU"/>
              </w:rPr>
            </w:pPr>
            <w:r w:rsidRPr="00684DD8">
              <w:rPr>
                <w:rFonts w:ascii="Arial Narrow" w:hAnsi="Arial Narrow"/>
                <w:b/>
                <w:snapToGrid/>
                <w:sz w:val="20"/>
                <w:lang w:eastAsia="en-AU"/>
              </w:rPr>
              <w:t>Overall survival</w:t>
            </w:r>
          </w:p>
        </w:tc>
        <w:tc>
          <w:tcPr>
            <w:tcW w:w="340" w:type="pct"/>
            <w:tcMar>
              <w:left w:w="28" w:type="dxa"/>
              <w:right w:w="28" w:type="dxa"/>
            </w:tcMar>
          </w:tcPr>
          <w:p w:rsidR="0078500E" w:rsidRPr="00684DD8" w:rsidRDefault="0078500E" w:rsidP="00CB1324">
            <w:pPr>
              <w:widowControl/>
              <w:jc w:val="center"/>
              <w:rPr>
                <w:rFonts w:ascii="Arial Narrow" w:hAnsi="Arial Narrow"/>
                <w:b/>
                <w:snapToGrid/>
                <w:sz w:val="20"/>
                <w:lang w:eastAsia="en-AU"/>
              </w:rPr>
            </w:pPr>
            <w:r w:rsidRPr="00684DD8">
              <w:rPr>
                <w:rFonts w:ascii="Arial Narrow" w:hAnsi="Arial Narrow"/>
                <w:b/>
                <w:snapToGrid/>
                <w:sz w:val="20"/>
                <w:lang w:eastAsia="en-AU"/>
              </w:rPr>
              <w:t>N</w:t>
            </w:r>
          </w:p>
        </w:tc>
        <w:tc>
          <w:tcPr>
            <w:tcW w:w="1018" w:type="pct"/>
          </w:tcPr>
          <w:p w:rsidR="0078500E" w:rsidRPr="00684DD8" w:rsidRDefault="0078500E" w:rsidP="00CB1324">
            <w:pPr>
              <w:widowControl/>
              <w:jc w:val="center"/>
              <w:rPr>
                <w:rFonts w:ascii="Arial Narrow" w:hAnsi="Arial Narrow"/>
                <w:b/>
                <w:snapToGrid/>
                <w:sz w:val="20"/>
                <w:lang w:eastAsia="en-AU"/>
              </w:rPr>
            </w:pPr>
            <w:r w:rsidRPr="00684DD8">
              <w:rPr>
                <w:rFonts w:ascii="Arial Narrow" w:hAnsi="Arial Narrow"/>
                <w:b/>
                <w:snapToGrid/>
                <w:sz w:val="20"/>
                <w:lang w:eastAsia="en-AU"/>
              </w:rPr>
              <w:t>Months (95% CI)</w:t>
            </w:r>
          </w:p>
        </w:tc>
        <w:tc>
          <w:tcPr>
            <w:tcW w:w="338" w:type="pct"/>
          </w:tcPr>
          <w:p w:rsidR="0078500E" w:rsidRPr="00684DD8" w:rsidRDefault="0078500E" w:rsidP="00CB1324">
            <w:pPr>
              <w:widowControl/>
              <w:jc w:val="center"/>
              <w:rPr>
                <w:rFonts w:ascii="Arial Narrow" w:hAnsi="Arial Narrow"/>
                <w:b/>
                <w:snapToGrid/>
                <w:sz w:val="20"/>
                <w:lang w:eastAsia="en-AU"/>
              </w:rPr>
            </w:pPr>
            <w:r w:rsidRPr="00684DD8">
              <w:rPr>
                <w:rFonts w:ascii="Arial Narrow" w:hAnsi="Arial Narrow"/>
                <w:b/>
                <w:snapToGrid/>
                <w:sz w:val="20"/>
                <w:lang w:eastAsia="en-AU"/>
              </w:rPr>
              <w:t>N</w:t>
            </w:r>
          </w:p>
        </w:tc>
        <w:tc>
          <w:tcPr>
            <w:tcW w:w="1016" w:type="pct"/>
          </w:tcPr>
          <w:p w:rsidR="0078500E" w:rsidRPr="00684DD8" w:rsidRDefault="0078500E" w:rsidP="00CB1324">
            <w:pPr>
              <w:widowControl/>
              <w:jc w:val="center"/>
              <w:rPr>
                <w:rFonts w:ascii="Arial Narrow" w:hAnsi="Arial Narrow"/>
                <w:b/>
                <w:snapToGrid/>
                <w:sz w:val="20"/>
                <w:lang w:eastAsia="en-AU"/>
              </w:rPr>
            </w:pPr>
            <w:r w:rsidRPr="00684DD8">
              <w:rPr>
                <w:rFonts w:ascii="Arial Narrow" w:hAnsi="Arial Narrow"/>
                <w:b/>
                <w:snapToGrid/>
                <w:sz w:val="20"/>
                <w:lang w:eastAsia="en-AU"/>
              </w:rPr>
              <w:t>Months (95% CI)</w:t>
            </w:r>
          </w:p>
        </w:tc>
      </w:tr>
      <w:tr w:rsidR="00780826" w:rsidRPr="00684DD8" w:rsidTr="00A72A8A">
        <w:trPr>
          <w:cantSplit/>
        </w:trPr>
        <w:tc>
          <w:tcPr>
            <w:tcW w:w="586" w:type="pct"/>
            <w:vMerge w:val="restart"/>
            <w:tcMar>
              <w:left w:w="28" w:type="dxa"/>
              <w:right w:w="28" w:type="dxa"/>
            </w:tcMar>
            <w:vAlign w:val="center"/>
          </w:tcPr>
          <w:p w:rsidR="00D777E3" w:rsidRPr="00684DD8" w:rsidRDefault="00D777E3" w:rsidP="00CB1324">
            <w:pPr>
              <w:widowControl/>
              <w:jc w:val="left"/>
              <w:rPr>
                <w:rFonts w:ascii="Arial Narrow" w:hAnsi="Arial Narrow"/>
                <w:snapToGrid/>
                <w:sz w:val="20"/>
                <w:lang w:eastAsia="en-AU"/>
              </w:rPr>
            </w:pPr>
            <w:r w:rsidRPr="00684DD8">
              <w:rPr>
                <w:rFonts w:ascii="Arial Narrow" w:hAnsi="Arial Narrow"/>
                <w:snapToGrid/>
                <w:sz w:val="20"/>
                <w:lang w:eastAsia="en-AU"/>
              </w:rPr>
              <w:t>MT103-211</w:t>
            </w:r>
          </w:p>
        </w:tc>
        <w:tc>
          <w:tcPr>
            <w:tcW w:w="1702"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PAS</w:t>
            </w:r>
          </w:p>
        </w:tc>
        <w:tc>
          <w:tcPr>
            <w:tcW w:w="340"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189</w:t>
            </w:r>
          </w:p>
        </w:tc>
        <w:tc>
          <w:tcPr>
            <w:tcW w:w="1018" w:type="pct"/>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6.4 (4.3, 7.7)</w:t>
            </w:r>
          </w:p>
        </w:tc>
        <w:tc>
          <w:tcPr>
            <w:tcW w:w="338"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r>
      <w:tr w:rsidR="00780826" w:rsidRPr="00684DD8" w:rsidTr="00A72A8A">
        <w:trPr>
          <w:cantSplit/>
        </w:trPr>
        <w:tc>
          <w:tcPr>
            <w:tcW w:w="586" w:type="pct"/>
            <w:vMerge/>
            <w:tcMar>
              <w:left w:w="28" w:type="dxa"/>
              <w:right w:w="28" w:type="dxa"/>
            </w:tcMar>
            <w:vAlign w:val="center"/>
          </w:tcPr>
          <w:p w:rsidR="00D777E3" w:rsidRPr="00684DD8" w:rsidRDefault="00D777E3" w:rsidP="00CB1324">
            <w:pPr>
              <w:widowControl/>
              <w:jc w:val="left"/>
              <w:rPr>
                <w:rFonts w:ascii="Arial Narrow" w:hAnsi="Arial Narrow"/>
                <w:snapToGrid/>
                <w:sz w:val="20"/>
                <w:lang w:eastAsia="en-AU"/>
              </w:rPr>
            </w:pPr>
          </w:p>
        </w:tc>
        <w:tc>
          <w:tcPr>
            <w:tcW w:w="1702"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FAS</w:t>
            </w:r>
          </w:p>
        </w:tc>
        <w:tc>
          <w:tcPr>
            <w:tcW w:w="340"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225</w:t>
            </w:r>
          </w:p>
        </w:tc>
        <w:tc>
          <w:tcPr>
            <w:tcW w:w="1018" w:type="pct"/>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6.5 (4.7, 7.7)</w:t>
            </w:r>
          </w:p>
        </w:tc>
        <w:tc>
          <w:tcPr>
            <w:tcW w:w="338"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r>
      <w:tr w:rsidR="00780826" w:rsidRPr="00684DD8" w:rsidTr="00A72A8A">
        <w:trPr>
          <w:cantSplit/>
          <w:trHeight w:val="53"/>
        </w:trPr>
        <w:tc>
          <w:tcPr>
            <w:tcW w:w="586" w:type="pct"/>
            <w:tcMar>
              <w:left w:w="28" w:type="dxa"/>
              <w:right w:w="28" w:type="dxa"/>
            </w:tcMar>
            <w:vAlign w:val="center"/>
          </w:tcPr>
          <w:p w:rsidR="00D777E3" w:rsidRPr="00684DD8" w:rsidRDefault="00D777E3" w:rsidP="00CB1324">
            <w:pPr>
              <w:widowControl/>
              <w:jc w:val="left"/>
              <w:rPr>
                <w:rFonts w:ascii="Arial Narrow" w:hAnsi="Arial Narrow"/>
                <w:snapToGrid/>
                <w:sz w:val="20"/>
                <w:lang w:eastAsia="en-AU"/>
              </w:rPr>
            </w:pPr>
            <w:r w:rsidRPr="00684DD8">
              <w:rPr>
                <w:rFonts w:ascii="Arial Narrow" w:hAnsi="Arial Narrow"/>
                <w:snapToGrid/>
                <w:sz w:val="20"/>
                <w:lang w:eastAsia="en-AU"/>
              </w:rPr>
              <w:t>MT103-206</w:t>
            </w:r>
          </w:p>
        </w:tc>
        <w:tc>
          <w:tcPr>
            <w:tcW w:w="1702"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FAS</w:t>
            </w:r>
          </w:p>
        </w:tc>
        <w:tc>
          <w:tcPr>
            <w:tcW w:w="340"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36</w:t>
            </w:r>
          </w:p>
        </w:tc>
        <w:tc>
          <w:tcPr>
            <w:tcW w:w="1018" w:type="pct"/>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9.8 (8.5, 14.9)</w:t>
            </w:r>
          </w:p>
        </w:tc>
        <w:tc>
          <w:tcPr>
            <w:tcW w:w="338"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r>
      <w:tr w:rsidR="00A72A8A" w:rsidRPr="00684DD8" w:rsidTr="00A72A8A">
        <w:trPr>
          <w:cantSplit/>
          <w:trHeight w:val="75"/>
        </w:trPr>
        <w:tc>
          <w:tcPr>
            <w:tcW w:w="586" w:type="pct"/>
            <w:vMerge w:val="restart"/>
            <w:tcMar>
              <w:left w:w="28" w:type="dxa"/>
              <w:right w:w="28" w:type="dxa"/>
            </w:tcMar>
            <w:vAlign w:val="center"/>
          </w:tcPr>
          <w:p w:rsidR="00A72A8A" w:rsidRPr="00684DD8" w:rsidRDefault="00A72A8A" w:rsidP="00CB1324">
            <w:pPr>
              <w:widowControl/>
              <w:jc w:val="left"/>
              <w:rPr>
                <w:rFonts w:ascii="Arial Narrow" w:hAnsi="Arial Narrow"/>
                <w:snapToGrid/>
                <w:sz w:val="20"/>
                <w:lang w:eastAsia="en-AU"/>
              </w:rPr>
            </w:pPr>
            <w:r w:rsidRPr="00684DD8">
              <w:rPr>
                <w:rFonts w:ascii="Arial Narrow" w:hAnsi="Arial Narrow"/>
                <w:snapToGrid/>
                <w:sz w:val="20"/>
                <w:lang w:eastAsia="en-AU"/>
              </w:rPr>
              <w:t>20120310</w:t>
            </w:r>
          </w:p>
          <w:p w:rsidR="00A72A8A" w:rsidRPr="00684DD8" w:rsidRDefault="00A72A8A" w:rsidP="00CB1324">
            <w:pPr>
              <w:widowControl/>
              <w:jc w:val="left"/>
              <w:rPr>
                <w:rFonts w:ascii="Arial Narrow" w:hAnsi="Arial Narrow"/>
                <w:snapToGrid/>
                <w:sz w:val="20"/>
                <w:lang w:eastAsia="en-AU"/>
              </w:rPr>
            </w:pPr>
            <w:r w:rsidRPr="00684DD8">
              <w:rPr>
                <w:rFonts w:ascii="Arial Narrow" w:hAnsi="Arial Narrow"/>
                <w:snapToGrid/>
                <w:sz w:val="20"/>
                <w:lang w:eastAsia="en-AU"/>
              </w:rPr>
              <w:t>(weighted)</w:t>
            </w:r>
          </w:p>
        </w:tc>
        <w:tc>
          <w:tcPr>
            <w:tcW w:w="1702" w:type="pct"/>
            <w:tcMar>
              <w:left w:w="28" w:type="dxa"/>
              <w:right w:w="28" w:type="dxa"/>
            </w:tcMar>
          </w:tcPr>
          <w:p w:rsidR="00A72A8A" w:rsidRPr="00684DD8" w:rsidRDefault="00A72A8A" w:rsidP="00CB1324">
            <w:pPr>
              <w:widowControl/>
              <w:jc w:val="center"/>
              <w:rPr>
                <w:rFonts w:ascii="Arial Narrow" w:hAnsi="Arial Narrow"/>
                <w:snapToGrid/>
                <w:sz w:val="20"/>
                <w:lang w:eastAsia="en-AU"/>
              </w:rPr>
            </w:pPr>
            <w:r w:rsidRPr="00684DD8">
              <w:rPr>
                <w:rFonts w:ascii="Arial Narrow" w:hAnsi="Arial Narrow"/>
                <w:snapToGrid/>
                <w:sz w:val="20"/>
                <w:lang w:eastAsia="en-AU"/>
              </w:rPr>
              <w:t>1990-2013</w:t>
            </w:r>
          </w:p>
        </w:tc>
        <w:tc>
          <w:tcPr>
            <w:tcW w:w="340" w:type="pct"/>
            <w:tcMar>
              <w:left w:w="28" w:type="dxa"/>
              <w:right w:w="28" w:type="dxa"/>
            </w:tcMar>
          </w:tcPr>
          <w:p w:rsidR="00A72A8A" w:rsidRPr="00684DD8" w:rsidRDefault="00A72A8A"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8" w:type="pct"/>
          </w:tcPr>
          <w:p w:rsidR="00A72A8A" w:rsidRPr="00684DD8" w:rsidRDefault="00A72A8A"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338" w:type="pct"/>
          </w:tcPr>
          <w:p w:rsidR="00A72A8A" w:rsidRPr="00684DD8" w:rsidRDefault="00A72A8A" w:rsidP="00CB1324">
            <w:pPr>
              <w:widowControl/>
              <w:jc w:val="center"/>
              <w:rPr>
                <w:rFonts w:ascii="Arial Narrow" w:hAnsi="Arial Narrow"/>
                <w:snapToGrid/>
                <w:sz w:val="20"/>
                <w:lang w:eastAsia="en-AU"/>
              </w:rPr>
            </w:pPr>
            <w:r w:rsidRPr="00684DD8">
              <w:rPr>
                <w:rFonts w:ascii="Arial Narrow" w:hAnsi="Arial Narrow"/>
                <w:snapToGrid/>
                <w:sz w:val="20"/>
                <w:lang w:eastAsia="en-AU"/>
              </w:rPr>
              <w:t>1,112</w:t>
            </w:r>
          </w:p>
        </w:tc>
        <w:tc>
          <w:tcPr>
            <w:tcW w:w="1016" w:type="pct"/>
          </w:tcPr>
          <w:p w:rsidR="00A72A8A" w:rsidRPr="00684DD8" w:rsidRDefault="00A72A8A" w:rsidP="00CB1324">
            <w:pPr>
              <w:widowControl/>
              <w:jc w:val="center"/>
              <w:rPr>
                <w:rFonts w:ascii="Arial Narrow" w:hAnsi="Arial Narrow"/>
                <w:snapToGrid/>
                <w:sz w:val="20"/>
                <w:lang w:eastAsia="en-AU"/>
              </w:rPr>
            </w:pPr>
            <w:r w:rsidRPr="00684DD8">
              <w:rPr>
                <w:rFonts w:ascii="Arial Narrow" w:hAnsi="Arial Narrow"/>
                <w:snapToGrid/>
                <w:sz w:val="20"/>
                <w:lang w:eastAsia="en-AU"/>
              </w:rPr>
              <w:t>3.3 (2.8, 3.6)</w:t>
            </w:r>
          </w:p>
        </w:tc>
      </w:tr>
      <w:tr w:rsidR="00A72A8A" w:rsidRPr="00684DD8" w:rsidTr="00A72A8A">
        <w:trPr>
          <w:cantSplit/>
          <w:trHeight w:val="51"/>
        </w:trPr>
        <w:tc>
          <w:tcPr>
            <w:tcW w:w="586" w:type="pct"/>
            <w:vMerge/>
            <w:tcMar>
              <w:left w:w="28" w:type="dxa"/>
              <w:right w:w="28" w:type="dxa"/>
            </w:tcMar>
            <w:vAlign w:val="center"/>
          </w:tcPr>
          <w:p w:rsidR="00A72A8A" w:rsidRPr="00684DD8" w:rsidRDefault="00A72A8A" w:rsidP="00CB1324">
            <w:pPr>
              <w:widowControl/>
              <w:jc w:val="left"/>
              <w:rPr>
                <w:rFonts w:ascii="Arial Narrow" w:hAnsi="Arial Narrow"/>
                <w:snapToGrid/>
                <w:sz w:val="20"/>
                <w:lang w:eastAsia="en-AU"/>
              </w:rPr>
            </w:pPr>
          </w:p>
        </w:tc>
        <w:tc>
          <w:tcPr>
            <w:tcW w:w="1702" w:type="pct"/>
            <w:tcMar>
              <w:left w:w="28" w:type="dxa"/>
              <w:right w:w="28" w:type="dxa"/>
            </w:tcMar>
          </w:tcPr>
          <w:p w:rsidR="00A72A8A" w:rsidRPr="00684DD8" w:rsidRDefault="00A72A8A" w:rsidP="00657D15">
            <w:pPr>
              <w:widowControl/>
              <w:jc w:val="center"/>
              <w:rPr>
                <w:rFonts w:ascii="Arial Narrow" w:hAnsi="Arial Narrow"/>
                <w:snapToGrid/>
                <w:sz w:val="20"/>
                <w:lang w:eastAsia="en-AU"/>
              </w:rPr>
            </w:pPr>
            <w:r w:rsidRPr="00684DD8">
              <w:rPr>
                <w:rFonts w:ascii="Arial Narrow" w:hAnsi="Arial Narrow"/>
                <w:snapToGrid/>
                <w:sz w:val="20"/>
                <w:lang w:eastAsia="en-AU"/>
              </w:rPr>
              <w:t>Subgroup of patients from any site with data post-2000</w:t>
            </w:r>
          </w:p>
        </w:tc>
        <w:tc>
          <w:tcPr>
            <w:tcW w:w="340" w:type="pct"/>
            <w:tcMar>
              <w:left w:w="28" w:type="dxa"/>
              <w:right w:w="28" w:type="dxa"/>
            </w:tcMar>
          </w:tcPr>
          <w:p w:rsidR="00A72A8A" w:rsidRPr="00684DD8" w:rsidRDefault="00A72A8A"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8" w:type="pct"/>
          </w:tcPr>
          <w:p w:rsidR="00A72A8A" w:rsidRPr="00684DD8" w:rsidRDefault="00A72A8A"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338" w:type="pct"/>
          </w:tcPr>
          <w:p w:rsidR="00A72A8A" w:rsidRPr="00684DD8" w:rsidRDefault="00A72A8A"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A72A8A" w:rsidRPr="00684DD8" w:rsidRDefault="00D34A67" w:rsidP="00CB1324">
            <w:pPr>
              <w:widowControl/>
              <w:jc w:val="center"/>
              <w:rPr>
                <w:rFonts w:ascii="Arial Narrow" w:hAnsi="Arial Narrow"/>
                <w:b/>
                <w:snapToGrid/>
                <w:sz w:val="20"/>
                <w:lang w:eastAsia="en-AU"/>
              </w:rPr>
            </w:pPr>
            <w:r>
              <w:rPr>
                <w:rFonts w:ascii="Arial Narrow" w:hAnsi="Arial Narrow"/>
                <w:noProof/>
                <w:snapToGrid/>
                <w:color w:val="000000"/>
                <w:sz w:val="20"/>
                <w:highlight w:val="black"/>
                <w:lang w:eastAsia="en-AU"/>
              </w:rPr>
              <w:t>'''''''</w:t>
            </w:r>
            <w:r w:rsidR="00A72A8A" w:rsidRPr="00684DD8">
              <w:rPr>
                <w:rFonts w:ascii="Arial Narrow" w:hAnsi="Arial Narrow"/>
                <w:snapToGrid/>
                <w:sz w:val="20"/>
                <w:lang w:eastAsia="en-AU"/>
              </w:rPr>
              <w:t xml:space="preserve"> (</w:t>
            </w:r>
            <w:r>
              <w:rPr>
                <w:rFonts w:ascii="Arial Narrow" w:hAnsi="Arial Narrow"/>
                <w:noProof/>
                <w:snapToGrid/>
                <w:color w:val="000000"/>
                <w:sz w:val="20"/>
                <w:highlight w:val="black"/>
                <w:lang w:eastAsia="en-AU"/>
              </w:rPr>
              <w:t>'''''''''</w:t>
            </w:r>
            <w:r w:rsidR="00A72A8A" w:rsidRPr="00684DD8">
              <w:rPr>
                <w:rFonts w:ascii="Arial Narrow" w:hAnsi="Arial Narrow"/>
                <w:snapToGrid/>
                <w:sz w:val="20"/>
                <w:lang w:eastAsia="en-AU"/>
              </w:rPr>
              <w:t xml:space="preserve">, </w:t>
            </w:r>
            <w:r>
              <w:rPr>
                <w:rFonts w:ascii="Arial Narrow" w:hAnsi="Arial Narrow"/>
                <w:noProof/>
                <w:snapToGrid/>
                <w:color w:val="000000"/>
                <w:sz w:val="20"/>
                <w:highlight w:val="black"/>
                <w:lang w:eastAsia="en-AU"/>
              </w:rPr>
              <w:t>''''''''</w:t>
            </w:r>
            <w:r w:rsidR="00A72A8A" w:rsidRPr="00684DD8">
              <w:rPr>
                <w:rFonts w:ascii="Arial Narrow" w:hAnsi="Arial Narrow"/>
                <w:snapToGrid/>
                <w:sz w:val="20"/>
                <w:lang w:eastAsia="en-AU"/>
              </w:rPr>
              <w:t xml:space="preserve">) </w:t>
            </w:r>
            <w:r w:rsidR="00A72A8A" w:rsidRPr="00684DD8">
              <w:rPr>
                <w:rFonts w:ascii="Arial Narrow" w:hAnsi="Arial Narrow"/>
                <w:snapToGrid/>
                <w:sz w:val="20"/>
                <w:vertAlign w:val="superscript"/>
                <w:lang w:eastAsia="en-AU"/>
              </w:rPr>
              <w:t>a</w:t>
            </w:r>
          </w:p>
        </w:tc>
      </w:tr>
      <w:tr w:rsidR="00780826" w:rsidRPr="00684DD8" w:rsidTr="0078500E">
        <w:trPr>
          <w:cantSplit/>
          <w:trHeight w:val="194"/>
        </w:trPr>
        <w:tc>
          <w:tcPr>
            <w:tcW w:w="2288" w:type="pct"/>
            <w:gridSpan w:val="2"/>
            <w:tcMar>
              <w:left w:w="28" w:type="dxa"/>
              <w:right w:w="28" w:type="dxa"/>
            </w:tcMar>
            <w:vAlign w:val="center"/>
          </w:tcPr>
          <w:p w:rsidR="0078500E" w:rsidRPr="00684DD8" w:rsidRDefault="0078500E" w:rsidP="0078500E">
            <w:pPr>
              <w:widowControl/>
              <w:jc w:val="left"/>
              <w:rPr>
                <w:rFonts w:ascii="Arial Narrow" w:hAnsi="Arial Narrow"/>
                <w:snapToGrid/>
                <w:sz w:val="20"/>
                <w:lang w:eastAsia="en-AU"/>
              </w:rPr>
            </w:pPr>
            <w:r w:rsidRPr="00684DD8">
              <w:rPr>
                <w:rFonts w:ascii="Arial Narrow" w:hAnsi="Arial Narrow"/>
                <w:b/>
                <w:snapToGrid/>
                <w:sz w:val="20"/>
                <w:lang w:eastAsia="en-AU"/>
              </w:rPr>
              <w:t>Allogeneic HSCT</w:t>
            </w:r>
          </w:p>
        </w:tc>
        <w:tc>
          <w:tcPr>
            <w:tcW w:w="340" w:type="pct"/>
            <w:tcMar>
              <w:left w:w="28" w:type="dxa"/>
              <w:right w:w="28" w:type="dxa"/>
            </w:tcMar>
          </w:tcPr>
          <w:p w:rsidR="0078500E" w:rsidRPr="00684DD8" w:rsidRDefault="0078500E" w:rsidP="00CB1324">
            <w:pPr>
              <w:keepNext/>
              <w:widowControl/>
              <w:jc w:val="center"/>
              <w:rPr>
                <w:rFonts w:ascii="Arial Narrow" w:hAnsi="Arial Narrow"/>
                <w:snapToGrid/>
                <w:sz w:val="20"/>
                <w:lang w:eastAsia="en-AU"/>
              </w:rPr>
            </w:pPr>
            <w:r w:rsidRPr="00684DD8">
              <w:rPr>
                <w:rFonts w:ascii="Arial Narrow" w:hAnsi="Arial Narrow"/>
                <w:b/>
                <w:snapToGrid/>
                <w:sz w:val="20"/>
                <w:lang w:eastAsia="en-AU"/>
              </w:rPr>
              <w:t>N</w:t>
            </w:r>
          </w:p>
        </w:tc>
        <w:tc>
          <w:tcPr>
            <w:tcW w:w="1018" w:type="pct"/>
          </w:tcPr>
          <w:p w:rsidR="0078500E" w:rsidRPr="00684DD8" w:rsidRDefault="0078500E" w:rsidP="00CB1324">
            <w:pPr>
              <w:keepNext/>
              <w:widowControl/>
              <w:jc w:val="center"/>
              <w:rPr>
                <w:rFonts w:ascii="Arial Narrow" w:hAnsi="Arial Narrow"/>
                <w:b/>
                <w:snapToGrid/>
                <w:sz w:val="20"/>
                <w:lang w:eastAsia="en-AU"/>
              </w:rPr>
            </w:pPr>
            <w:r w:rsidRPr="00684DD8">
              <w:rPr>
                <w:rFonts w:ascii="Arial Narrow" w:hAnsi="Arial Narrow"/>
                <w:b/>
                <w:snapToGrid/>
                <w:sz w:val="20"/>
                <w:lang w:eastAsia="en-AU"/>
              </w:rPr>
              <w:t>% (95% CI)</w:t>
            </w:r>
          </w:p>
        </w:tc>
        <w:tc>
          <w:tcPr>
            <w:tcW w:w="338" w:type="pct"/>
          </w:tcPr>
          <w:p w:rsidR="0078500E" w:rsidRPr="00684DD8" w:rsidRDefault="0078500E" w:rsidP="00CB1324">
            <w:pPr>
              <w:keepNext/>
              <w:widowControl/>
              <w:jc w:val="center"/>
              <w:rPr>
                <w:rFonts w:ascii="Arial Narrow" w:hAnsi="Arial Narrow"/>
                <w:b/>
                <w:snapToGrid/>
                <w:sz w:val="20"/>
                <w:lang w:eastAsia="en-AU"/>
              </w:rPr>
            </w:pPr>
            <w:r w:rsidRPr="00684DD8">
              <w:rPr>
                <w:rFonts w:ascii="Arial Narrow" w:hAnsi="Arial Narrow"/>
                <w:b/>
                <w:snapToGrid/>
                <w:sz w:val="20"/>
                <w:lang w:eastAsia="en-AU"/>
              </w:rPr>
              <w:t>N</w:t>
            </w:r>
          </w:p>
        </w:tc>
        <w:tc>
          <w:tcPr>
            <w:tcW w:w="1016" w:type="pct"/>
          </w:tcPr>
          <w:p w:rsidR="0078500E" w:rsidRPr="00684DD8" w:rsidRDefault="0078500E" w:rsidP="00CB1324">
            <w:pPr>
              <w:keepNext/>
              <w:widowControl/>
              <w:jc w:val="center"/>
              <w:rPr>
                <w:rFonts w:ascii="Arial Narrow" w:hAnsi="Arial Narrow"/>
                <w:b/>
                <w:snapToGrid/>
                <w:sz w:val="20"/>
                <w:lang w:eastAsia="en-AU"/>
              </w:rPr>
            </w:pPr>
            <w:r w:rsidRPr="00684DD8">
              <w:rPr>
                <w:rFonts w:ascii="Arial Narrow" w:hAnsi="Arial Narrow"/>
                <w:b/>
                <w:snapToGrid/>
                <w:sz w:val="20"/>
                <w:lang w:eastAsia="en-AU"/>
              </w:rPr>
              <w:t>% (95% CI)</w:t>
            </w:r>
          </w:p>
        </w:tc>
      </w:tr>
      <w:tr w:rsidR="00780826" w:rsidRPr="00684DD8" w:rsidTr="00A72A8A">
        <w:trPr>
          <w:cantSplit/>
          <w:trHeight w:val="194"/>
        </w:trPr>
        <w:tc>
          <w:tcPr>
            <w:tcW w:w="586" w:type="pct"/>
            <w:vMerge w:val="restart"/>
            <w:tcMar>
              <w:left w:w="28" w:type="dxa"/>
              <w:right w:w="28" w:type="dxa"/>
            </w:tcMar>
            <w:vAlign w:val="center"/>
          </w:tcPr>
          <w:p w:rsidR="00D777E3" w:rsidRPr="00684DD8" w:rsidRDefault="00D777E3" w:rsidP="00CB1324">
            <w:pPr>
              <w:widowControl/>
              <w:jc w:val="left"/>
              <w:rPr>
                <w:rFonts w:ascii="Arial Narrow" w:hAnsi="Arial Narrow"/>
                <w:snapToGrid/>
                <w:sz w:val="20"/>
                <w:lang w:eastAsia="en-AU"/>
              </w:rPr>
            </w:pPr>
            <w:r w:rsidRPr="00684DD8">
              <w:rPr>
                <w:rFonts w:ascii="Arial Narrow" w:hAnsi="Arial Narrow"/>
                <w:snapToGrid/>
                <w:sz w:val="20"/>
                <w:lang w:eastAsia="en-AU"/>
              </w:rPr>
              <w:t>MT103-211</w:t>
            </w:r>
          </w:p>
        </w:tc>
        <w:tc>
          <w:tcPr>
            <w:tcW w:w="1702"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PAS</w:t>
            </w:r>
          </w:p>
        </w:tc>
        <w:tc>
          <w:tcPr>
            <w:tcW w:w="340"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189</w:t>
            </w:r>
          </w:p>
        </w:tc>
        <w:tc>
          <w:tcPr>
            <w:tcW w:w="1018" w:type="pct"/>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27.5%</w:t>
            </w:r>
          </w:p>
        </w:tc>
        <w:tc>
          <w:tcPr>
            <w:tcW w:w="338"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r>
      <w:tr w:rsidR="00780826" w:rsidRPr="00684DD8" w:rsidTr="00A72A8A">
        <w:trPr>
          <w:cantSplit/>
          <w:trHeight w:val="194"/>
        </w:trPr>
        <w:tc>
          <w:tcPr>
            <w:tcW w:w="586" w:type="pct"/>
            <w:vMerge/>
            <w:tcMar>
              <w:left w:w="28" w:type="dxa"/>
              <w:right w:w="28" w:type="dxa"/>
            </w:tcMar>
          </w:tcPr>
          <w:p w:rsidR="00D777E3" w:rsidRPr="00684DD8" w:rsidRDefault="00D777E3" w:rsidP="00CB1324">
            <w:pPr>
              <w:widowControl/>
              <w:jc w:val="left"/>
              <w:rPr>
                <w:rFonts w:ascii="Arial Narrow" w:hAnsi="Arial Narrow"/>
                <w:snapToGrid/>
                <w:sz w:val="20"/>
                <w:lang w:eastAsia="en-AU"/>
              </w:rPr>
            </w:pPr>
          </w:p>
        </w:tc>
        <w:tc>
          <w:tcPr>
            <w:tcW w:w="1702"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FAS</w:t>
            </w:r>
          </w:p>
        </w:tc>
        <w:tc>
          <w:tcPr>
            <w:tcW w:w="340"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225</w:t>
            </w:r>
          </w:p>
        </w:tc>
        <w:tc>
          <w:tcPr>
            <w:tcW w:w="1018" w:type="pct"/>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26.7%</w:t>
            </w:r>
          </w:p>
        </w:tc>
        <w:tc>
          <w:tcPr>
            <w:tcW w:w="338"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r>
      <w:tr w:rsidR="00780826" w:rsidRPr="00684DD8" w:rsidTr="00A72A8A">
        <w:trPr>
          <w:cantSplit/>
          <w:trHeight w:val="194"/>
        </w:trPr>
        <w:tc>
          <w:tcPr>
            <w:tcW w:w="586" w:type="pct"/>
            <w:tcMar>
              <w:left w:w="28" w:type="dxa"/>
              <w:right w:w="28" w:type="dxa"/>
            </w:tcMar>
          </w:tcPr>
          <w:p w:rsidR="00D777E3" w:rsidRPr="00684DD8" w:rsidRDefault="00D777E3" w:rsidP="00CB1324">
            <w:pPr>
              <w:widowControl/>
              <w:jc w:val="left"/>
              <w:rPr>
                <w:rFonts w:ascii="Arial Narrow" w:hAnsi="Arial Narrow"/>
                <w:snapToGrid/>
                <w:sz w:val="20"/>
                <w:lang w:eastAsia="en-AU"/>
              </w:rPr>
            </w:pPr>
            <w:r w:rsidRPr="00684DD8">
              <w:rPr>
                <w:rFonts w:ascii="Arial Narrow" w:hAnsi="Arial Narrow"/>
                <w:snapToGrid/>
                <w:sz w:val="20"/>
                <w:lang w:eastAsia="en-AU"/>
              </w:rPr>
              <w:t>MT103-206</w:t>
            </w:r>
          </w:p>
        </w:tc>
        <w:tc>
          <w:tcPr>
            <w:tcW w:w="1702"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FAS</w:t>
            </w:r>
          </w:p>
        </w:tc>
        <w:tc>
          <w:tcPr>
            <w:tcW w:w="340"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36</w:t>
            </w:r>
          </w:p>
        </w:tc>
        <w:tc>
          <w:tcPr>
            <w:tcW w:w="1018" w:type="pct"/>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50.0%</w:t>
            </w:r>
          </w:p>
        </w:tc>
        <w:tc>
          <w:tcPr>
            <w:tcW w:w="338"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6"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r>
      <w:tr w:rsidR="00780826" w:rsidRPr="00684DD8" w:rsidTr="00A72A8A">
        <w:trPr>
          <w:cantSplit/>
          <w:trHeight w:val="194"/>
        </w:trPr>
        <w:tc>
          <w:tcPr>
            <w:tcW w:w="586" w:type="pct"/>
            <w:tcMar>
              <w:left w:w="28" w:type="dxa"/>
              <w:right w:w="28" w:type="dxa"/>
            </w:tcMar>
          </w:tcPr>
          <w:p w:rsidR="00D777E3" w:rsidRPr="00684DD8" w:rsidRDefault="00D777E3" w:rsidP="00CB1324">
            <w:pPr>
              <w:widowControl/>
              <w:jc w:val="left"/>
              <w:rPr>
                <w:rFonts w:ascii="Arial Narrow" w:hAnsi="Arial Narrow"/>
                <w:snapToGrid/>
                <w:sz w:val="20"/>
                <w:lang w:eastAsia="en-AU"/>
              </w:rPr>
            </w:pPr>
            <w:r w:rsidRPr="00684DD8">
              <w:rPr>
                <w:rFonts w:ascii="Arial Narrow" w:hAnsi="Arial Narrow"/>
                <w:snapToGrid/>
                <w:sz w:val="20"/>
                <w:lang w:eastAsia="en-AU"/>
              </w:rPr>
              <w:t>20120310</w:t>
            </w:r>
          </w:p>
        </w:tc>
        <w:tc>
          <w:tcPr>
            <w:tcW w:w="1702" w:type="pct"/>
            <w:tcMar>
              <w:left w:w="28" w:type="dxa"/>
              <w:right w:w="28" w:type="dxa"/>
            </w:tcMar>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1990-2013</w:t>
            </w:r>
          </w:p>
        </w:tc>
        <w:tc>
          <w:tcPr>
            <w:tcW w:w="340" w:type="pct"/>
            <w:tcMar>
              <w:left w:w="28" w:type="dxa"/>
              <w:right w:w="28" w:type="dxa"/>
            </w:tcMar>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1018" w:type="pct"/>
          </w:tcPr>
          <w:p w:rsidR="00D777E3" w:rsidRPr="00684DD8" w:rsidRDefault="0078500E" w:rsidP="00CB1324">
            <w:pPr>
              <w:widowControl/>
              <w:jc w:val="center"/>
              <w:rPr>
                <w:rFonts w:ascii="Arial Narrow" w:hAnsi="Arial Narrow"/>
                <w:snapToGrid/>
                <w:sz w:val="20"/>
                <w:lang w:eastAsia="en-AU"/>
              </w:rPr>
            </w:pPr>
            <w:r w:rsidRPr="00684DD8">
              <w:rPr>
                <w:rFonts w:ascii="Arial Narrow" w:hAnsi="Arial Narrow"/>
                <w:snapToGrid/>
                <w:sz w:val="20"/>
                <w:lang w:eastAsia="en-AU"/>
              </w:rPr>
              <w:t>-</w:t>
            </w:r>
          </w:p>
        </w:tc>
        <w:tc>
          <w:tcPr>
            <w:tcW w:w="338" w:type="pct"/>
          </w:tcPr>
          <w:p w:rsidR="00D777E3" w:rsidRPr="00684DD8" w:rsidRDefault="00D777E3" w:rsidP="00CB1324">
            <w:pPr>
              <w:widowControl/>
              <w:jc w:val="center"/>
              <w:rPr>
                <w:rFonts w:ascii="Arial Narrow" w:hAnsi="Arial Narrow"/>
                <w:snapToGrid/>
                <w:sz w:val="20"/>
                <w:lang w:eastAsia="en-AU"/>
              </w:rPr>
            </w:pPr>
            <w:r w:rsidRPr="00684DD8">
              <w:rPr>
                <w:rFonts w:ascii="Arial Narrow" w:hAnsi="Arial Narrow"/>
                <w:snapToGrid/>
                <w:sz w:val="20"/>
                <w:lang w:eastAsia="en-AU"/>
              </w:rPr>
              <w:t>808</w:t>
            </w:r>
          </w:p>
        </w:tc>
        <w:tc>
          <w:tcPr>
            <w:tcW w:w="1016" w:type="pct"/>
          </w:tcPr>
          <w:p w:rsidR="00D777E3" w:rsidRPr="00684DD8" w:rsidRDefault="00D777E3" w:rsidP="0058179F">
            <w:pPr>
              <w:widowControl/>
              <w:jc w:val="center"/>
              <w:rPr>
                <w:rFonts w:ascii="Arial Narrow" w:hAnsi="Arial Narrow"/>
                <w:snapToGrid/>
                <w:sz w:val="20"/>
                <w:lang w:eastAsia="en-AU"/>
              </w:rPr>
            </w:pPr>
            <w:r w:rsidRPr="00684DD8">
              <w:rPr>
                <w:rFonts w:ascii="Arial Narrow" w:hAnsi="Arial Narrow"/>
                <w:snapToGrid/>
                <w:sz w:val="20"/>
                <w:lang w:eastAsia="en-AU"/>
              </w:rPr>
              <w:t>18% (15</w:t>
            </w:r>
            <w:r w:rsidR="0058179F" w:rsidRPr="00684DD8">
              <w:rPr>
                <w:rFonts w:ascii="Arial Narrow" w:hAnsi="Arial Narrow"/>
                <w:snapToGrid/>
                <w:sz w:val="20"/>
                <w:lang w:eastAsia="en-AU"/>
              </w:rPr>
              <w:t>%</w:t>
            </w:r>
            <w:r w:rsidRPr="00684DD8">
              <w:rPr>
                <w:rFonts w:ascii="Arial Narrow" w:hAnsi="Arial Narrow"/>
                <w:snapToGrid/>
                <w:sz w:val="20"/>
                <w:lang w:eastAsia="en-AU"/>
              </w:rPr>
              <w:t>, 21</w:t>
            </w:r>
            <w:r w:rsidR="0058179F" w:rsidRPr="00684DD8">
              <w:rPr>
                <w:rFonts w:ascii="Arial Narrow" w:hAnsi="Arial Narrow"/>
                <w:snapToGrid/>
                <w:sz w:val="20"/>
                <w:lang w:eastAsia="en-AU"/>
              </w:rPr>
              <w:t>%</w:t>
            </w:r>
            <w:r w:rsidRPr="00684DD8">
              <w:rPr>
                <w:rFonts w:ascii="Arial Narrow" w:hAnsi="Arial Narrow"/>
                <w:snapToGrid/>
                <w:sz w:val="20"/>
                <w:lang w:eastAsia="en-AU"/>
              </w:rPr>
              <w:t>)</w:t>
            </w:r>
          </w:p>
        </w:tc>
      </w:tr>
    </w:tbl>
    <w:p w:rsidR="0078500E" w:rsidRPr="00684DD8" w:rsidRDefault="00FE09A9" w:rsidP="0030715F">
      <w:pPr>
        <w:pStyle w:val="Subtitle"/>
        <w:ind w:left="720"/>
        <w:rPr>
          <w:rFonts w:ascii="Arial Narrow" w:hAnsi="Arial Narrow" w:cs="Arial"/>
          <w:b w:val="0"/>
          <w:sz w:val="18"/>
          <w:szCs w:val="18"/>
        </w:rPr>
      </w:pPr>
      <w:r w:rsidRPr="00684DD8">
        <w:rPr>
          <w:rFonts w:ascii="Arial Narrow" w:hAnsi="Arial Narrow" w:cs="Arial"/>
          <w:b w:val="0"/>
          <w:sz w:val="18"/>
          <w:szCs w:val="18"/>
        </w:rPr>
        <w:t xml:space="preserve">Source: Table </w:t>
      </w:r>
      <w:r w:rsidR="0078500E" w:rsidRPr="00684DD8">
        <w:rPr>
          <w:rFonts w:ascii="Arial Narrow" w:hAnsi="Arial Narrow" w:cs="Arial"/>
          <w:b w:val="0"/>
          <w:sz w:val="18"/>
          <w:szCs w:val="18"/>
        </w:rPr>
        <w:t xml:space="preserve">3 of the November 2015 </w:t>
      </w:r>
      <w:proofErr w:type="spellStart"/>
      <w:r w:rsidR="0078500E" w:rsidRPr="00684DD8">
        <w:rPr>
          <w:rFonts w:ascii="Arial Narrow" w:hAnsi="Arial Narrow" w:cs="Arial"/>
          <w:b w:val="0"/>
          <w:sz w:val="18"/>
          <w:szCs w:val="18"/>
        </w:rPr>
        <w:t>blinatumomab</w:t>
      </w:r>
      <w:proofErr w:type="spellEnd"/>
      <w:r w:rsidR="0078500E" w:rsidRPr="00684DD8">
        <w:rPr>
          <w:rFonts w:ascii="Arial Narrow" w:hAnsi="Arial Narrow" w:cs="Arial"/>
          <w:b w:val="0"/>
          <w:sz w:val="18"/>
          <w:szCs w:val="18"/>
        </w:rPr>
        <w:t xml:space="preserve"> PBAC </w:t>
      </w:r>
      <w:r w:rsidR="00743098">
        <w:rPr>
          <w:rFonts w:ascii="Arial Narrow" w:hAnsi="Arial Narrow" w:cs="Arial"/>
          <w:b w:val="0"/>
          <w:sz w:val="18"/>
          <w:szCs w:val="18"/>
        </w:rPr>
        <w:t>public summary document</w:t>
      </w:r>
      <w:r w:rsidR="0078500E" w:rsidRPr="00684DD8">
        <w:rPr>
          <w:rFonts w:ascii="Arial Narrow" w:hAnsi="Arial Narrow" w:cs="Arial"/>
          <w:b w:val="0"/>
          <w:sz w:val="18"/>
          <w:szCs w:val="18"/>
        </w:rPr>
        <w:t xml:space="preserve">; </w:t>
      </w:r>
      <w:r w:rsidR="003230CB" w:rsidRPr="00684DD8">
        <w:rPr>
          <w:rFonts w:ascii="Arial Narrow" w:hAnsi="Arial Narrow" w:cs="Arial"/>
          <w:b w:val="0"/>
          <w:sz w:val="18"/>
          <w:szCs w:val="18"/>
        </w:rPr>
        <w:t xml:space="preserve">and </w:t>
      </w:r>
      <w:r w:rsidR="0078500E" w:rsidRPr="00684DD8">
        <w:rPr>
          <w:rFonts w:ascii="Arial Narrow" w:hAnsi="Arial Narrow" w:cs="Arial"/>
          <w:b w:val="0"/>
          <w:sz w:val="18"/>
          <w:szCs w:val="18"/>
        </w:rPr>
        <w:t>Section B.6.1, p94</w:t>
      </w:r>
      <w:r w:rsidR="003230CB" w:rsidRPr="00684DD8">
        <w:rPr>
          <w:rFonts w:ascii="Arial Narrow" w:hAnsi="Arial Narrow" w:cs="Arial"/>
          <w:b w:val="0"/>
          <w:sz w:val="18"/>
          <w:szCs w:val="18"/>
        </w:rPr>
        <w:t xml:space="preserve">, and </w:t>
      </w:r>
      <w:r w:rsidR="00E8197F" w:rsidRPr="00684DD8">
        <w:rPr>
          <w:rFonts w:ascii="Arial Narrow" w:hAnsi="Arial Narrow" w:cs="Arial"/>
          <w:b w:val="0"/>
          <w:sz w:val="18"/>
          <w:szCs w:val="18"/>
        </w:rPr>
        <w:t xml:space="preserve">Section C.5.3, pp181 and 183 of the </w:t>
      </w:r>
      <w:r w:rsidR="00481C66" w:rsidRPr="00684DD8">
        <w:rPr>
          <w:rFonts w:ascii="Arial Narrow" w:hAnsi="Arial Narrow" w:cs="Arial"/>
          <w:b w:val="0"/>
          <w:sz w:val="18"/>
          <w:szCs w:val="18"/>
        </w:rPr>
        <w:t>resubmission</w:t>
      </w:r>
    </w:p>
    <w:p w:rsidR="00FE09A9" w:rsidRPr="00684DD8" w:rsidRDefault="00FE09A9" w:rsidP="0030715F">
      <w:pPr>
        <w:pStyle w:val="Subtitle"/>
        <w:ind w:left="720"/>
        <w:rPr>
          <w:rFonts w:ascii="Arial Narrow" w:hAnsi="Arial Narrow" w:cs="Arial"/>
          <w:b w:val="0"/>
          <w:sz w:val="18"/>
          <w:szCs w:val="18"/>
        </w:rPr>
      </w:pPr>
      <w:r w:rsidRPr="00684DD8">
        <w:rPr>
          <w:rFonts w:ascii="Arial Narrow" w:hAnsi="Arial Narrow" w:cs="Arial"/>
          <w:b w:val="0"/>
          <w:sz w:val="18"/>
          <w:szCs w:val="18"/>
        </w:rPr>
        <w:t xml:space="preserve">CI = confidence interval; CR = complete remission; </w:t>
      </w:r>
      <w:proofErr w:type="spellStart"/>
      <w:r w:rsidRPr="00684DD8">
        <w:rPr>
          <w:rFonts w:ascii="Arial Narrow" w:hAnsi="Arial Narrow" w:cs="Arial"/>
          <w:b w:val="0"/>
          <w:sz w:val="18"/>
          <w:szCs w:val="18"/>
        </w:rPr>
        <w:t>CRh</w:t>
      </w:r>
      <w:proofErr w:type="spellEnd"/>
      <w:r w:rsidRPr="00684DD8">
        <w:rPr>
          <w:rFonts w:ascii="Arial Narrow" w:hAnsi="Arial Narrow" w:cs="Arial"/>
          <w:b w:val="0"/>
          <w:sz w:val="18"/>
          <w:szCs w:val="18"/>
        </w:rPr>
        <w:t xml:space="preserve">* = complete remission with partial haematological recovery; </w:t>
      </w:r>
      <w:proofErr w:type="spellStart"/>
      <w:r w:rsidRPr="00684DD8">
        <w:rPr>
          <w:rFonts w:ascii="Arial Narrow" w:hAnsi="Arial Narrow" w:cs="Arial"/>
          <w:b w:val="0"/>
          <w:sz w:val="18"/>
          <w:szCs w:val="18"/>
        </w:rPr>
        <w:t>CRsg</w:t>
      </w:r>
      <w:proofErr w:type="spellEnd"/>
      <w:r w:rsidRPr="00684DD8">
        <w:rPr>
          <w:rFonts w:ascii="Arial Narrow" w:hAnsi="Arial Narrow" w:cs="Arial"/>
          <w:b w:val="0"/>
          <w:sz w:val="18"/>
          <w:szCs w:val="18"/>
        </w:rPr>
        <w:t xml:space="preserve"> = complete remission per study group definition; FAS = full analysis set;</w:t>
      </w:r>
      <w:r w:rsidR="00D17489" w:rsidRPr="00684DD8">
        <w:rPr>
          <w:rFonts w:ascii="Arial Narrow" w:hAnsi="Arial Narrow" w:cs="Arial"/>
          <w:b w:val="0"/>
          <w:sz w:val="18"/>
          <w:szCs w:val="18"/>
        </w:rPr>
        <w:t xml:space="preserve"> HSCT = haematopoietic stem cell transplant; </w:t>
      </w:r>
      <w:r w:rsidRPr="00684DD8">
        <w:rPr>
          <w:rFonts w:ascii="Arial Narrow" w:hAnsi="Arial Narrow" w:cs="Arial"/>
          <w:b w:val="0"/>
          <w:sz w:val="18"/>
          <w:szCs w:val="18"/>
        </w:rPr>
        <w:t>PAS = primary analysis set</w:t>
      </w:r>
      <w:r w:rsidR="0078500E" w:rsidRPr="00684DD8">
        <w:rPr>
          <w:rFonts w:ascii="Arial Narrow" w:hAnsi="Arial Narrow" w:cs="Arial"/>
          <w:b w:val="0"/>
          <w:sz w:val="18"/>
          <w:szCs w:val="18"/>
        </w:rPr>
        <w:t xml:space="preserve">; PBAC = Pharmaceutical Benefits Advisory Committee; PSCR = Pre-Sub-Committee Response; </w:t>
      </w:r>
      <w:r w:rsidR="00C926FC" w:rsidRPr="00684DD8">
        <w:rPr>
          <w:rFonts w:ascii="Arial Narrow" w:hAnsi="Arial Narrow" w:cs="Arial"/>
          <w:b w:val="0"/>
          <w:sz w:val="18"/>
          <w:szCs w:val="18"/>
        </w:rPr>
        <w:t>SC</w:t>
      </w:r>
      <w:r w:rsidR="001F3BE3" w:rsidRPr="00684DD8">
        <w:rPr>
          <w:rFonts w:ascii="Arial Narrow" w:hAnsi="Arial Narrow" w:cs="Arial"/>
          <w:b w:val="0"/>
          <w:sz w:val="18"/>
          <w:szCs w:val="18"/>
        </w:rPr>
        <w:t xml:space="preserve"> = </w:t>
      </w:r>
      <w:r w:rsidR="00C926FC" w:rsidRPr="00684DD8">
        <w:rPr>
          <w:rFonts w:ascii="Arial Narrow" w:hAnsi="Arial Narrow" w:cs="Arial"/>
          <w:b w:val="0"/>
          <w:sz w:val="18"/>
          <w:szCs w:val="18"/>
        </w:rPr>
        <w:t>standard care</w:t>
      </w:r>
    </w:p>
    <w:p w:rsidR="00E8197F" w:rsidRPr="00684DD8" w:rsidRDefault="00E8197F" w:rsidP="0030715F">
      <w:pPr>
        <w:pStyle w:val="Subtitle"/>
        <w:ind w:left="720"/>
        <w:rPr>
          <w:rFonts w:ascii="Arial Narrow" w:hAnsi="Arial Narrow" w:cs="Arial"/>
          <w:b w:val="0"/>
          <w:sz w:val="18"/>
          <w:szCs w:val="18"/>
        </w:rPr>
      </w:pPr>
      <w:proofErr w:type="gramStart"/>
      <w:r w:rsidRPr="00684DD8">
        <w:rPr>
          <w:rFonts w:ascii="Arial Narrow" w:hAnsi="Arial Narrow" w:cs="Arial"/>
          <w:b w:val="0"/>
          <w:sz w:val="18"/>
          <w:szCs w:val="18"/>
          <w:vertAlign w:val="superscript"/>
        </w:rPr>
        <w:t>a</w:t>
      </w:r>
      <w:proofErr w:type="gramEnd"/>
      <w:r w:rsidRPr="00684DD8">
        <w:rPr>
          <w:rFonts w:ascii="Arial Narrow" w:hAnsi="Arial Narrow" w:cs="Arial"/>
          <w:b w:val="0"/>
          <w:sz w:val="18"/>
          <w:szCs w:val="18"/>
        </w:rPr>
        <w:t xml:space="preserve"> Data could not be verified</w:t>
      </w:r>
    </w:p>
    <w:p w:rsidR="00D06FD4" w:rsidRPr="00684DD8" w:rsidRDefault="00D06FD4" w:rsidP="00D06FD4">
      <w:pPr>
        <w:rPr>
          <w:szCs w:val="22"/>
        </w:rPr>
      </w:pPr>
    </w:p>
    <w:p w:rsidR="00583EB2" w:rsidRPr="008A3185" w:rsidRDefault="00583EB2" w:rsidP="008B4389">
      <w:pPr>
        <w:pStyle w:val="ListParagraph"/>
        <w:numPr>
          <w:ilvl w:val="1"/>
          <w:numId w:val="1"/>
        </w:numPr>
      </w:pPr>
      <w:r w:rsidRPr="008A3185">
        <w:t xml:space="preserve">For the treatment of relapsed or refractory Ph- B-precursor ALL, it appeared that </w:t>
      </w:r>
      <w:proofErr w:type="spellStart"/>
      <w:r w:rsidRPr="008A3185">
        <w:t>blinatumomab</w:t>
      </w:r>
      <w:proofErr w:type="spellEnd"/>
      <w:r w:rsidRPr="008A3185">
        <w:t xml:space="preserve"> was more effective than </w:t>
      </w:r>
      <w:r w:rsidR="00C926FC" w:rsidRPr="008A3185">
        <w:t>standard care</w:t>
      </w:r>
      <w:r w:rsidRPr="008A3185">
        <w:t xml:space="preserve"> chemotherapy in terms of remission rates, allogeneic HSCT rates and overall survival. </w:t>
      </w:r>
      <w:r w:rsidR="00382DBC" w:rsidRPr="008A3185">
        <w:t xml:space="preserve">The </w:t>
      </w:r>
      <w:r w:rsidRPr="008A3185">
        <w:t xml:space="preserve">historical control comparator was somewhat sensitive to </w:t>
      </w:r>
      <w:r w:rsidR="000A3A4E" w:rsidRPr="008A3185">
        <w:t xml:space="preserve">weighted </w:t>
      </w:r>
      <w:r w:rsidRPr="008A3185">
        <w:t>subgroup analyses</w:t>
      </w:r>
      <w:r w:rsidR="002D1822" w:rsidRPr="008A3185">
        <w:t>.</w:t>
      </w:r>
    </w:p>
    <w:p w:rsidR="00CE65D8" w:rsidRPr="00684DD8" w:rsidRDefault="00CE65D8" w:rsidP="00CE65D8">
      <w:pPr>
        <w:widowControl/>
        <w:snapToGrid w:val="0"/>
        <w:rPr>
          <w:rStyle w:val="CommentReference"/>
          <w:rFonts w:ascii="Arial" w:hAnsi="Arial"/>
          <w:b w:val="0"/>
          <w:sz w:val="22"/>
          <w:szCs w:val="22"/>
        </w:rPr>
      </w:pPr>
    </w:p>
    <w:p w:rsidR="00CE65D8" w:rsidRPr="008A3185" w:rsidRDefault="00CE65D8" w:rsidP="008B4389">
      <w:pPr>
        <w:pStyle w:val="ListParagraph"/>
        <w:numPr>
          <w:ilvl w:val="1"/>
          <w:numId w:val="1"/>
        </w:numPr>
      </w:pPr>
      <w:r w:rsidRPr="008A3185">
        <w:t>The PSCR</w:t>
      </w:r>
      <w:r w:rsidR="00F0265F" w:rsidRPr="008A3185">
        <w:t xml:space="preserve"> </w:t>
      </w:r>
      <w:r w:rsidR="00122E2B" w:rsidRPr="008A3185">
        <w:t xml:space="preserve">and pre-PBAC response </w:t>
      </w:r>
      <w:r w:rsidRPr="008A3185">
        <w:t xml:space="preserve">provided </w:t>
      </w:r>
      <w:r w:rsidR="00F0265F" w:rsidRPr="008A3185">
        <w:t>preliminary efficacy results of the</w:t>
      </w:r>
      <w:r w:rsidRPr="008A3185">
        <w:t xml:space="preserve"> median overall survival for each arm in the TOWER </w:t>
      </w:r>
      <w:r w:rsidR="00BA2F88" w:rsidRPr="008A3185">
        <w:t>trial</w:t>
      </w:r>
      <w:r w:rsidRPr="008A3185">
        <w:t>.</w:t>
      </w:r>
    </w:p>
    <w:p w:rsidR="00CE65D8" w:rsidRPr="00684DD8" w:rsidRDefault="00CE65D8" w:rsidP="00CE65D8">
      <w:pPr>
        <w:widowControl/>
        <w:rPr>
          <w:szCs w:val="22"/>
        </w:rPr>
      </w:pPr>
    </w:p>
    <w:p w:rsidR="00CE65D8" w:rsidRPr="00684DD8" w:rsidRDefault="00CE65D8" w:rsidP="00CE65D8">
      <w:pPr>
        <w:pStyle w:val="ListParagraph"/>
        <w:widowControl/>
        <w:rPr>
          <w:rFonts w:ascii="Arial Narrow" w:hAnsi="Arial Narrow"/>
          <w:b/>
          <w:sz w:val="20"/>
          <w:szCs w:val="22"/>
        </w:rPr>
      </w:pPr>
      <w:r w:rsidRPr="00684DD8">
        <w:rPr>
          <w:rFonts w:ascii="Arial Narrow" w:hAnsi="Arial Narrow"/>
          <w:b/>
          <w:sz w:val="20"/>
          <w:szCs w:val="22"/>
        </w:rPr>
        <w:t xml:space="preserve">Table 4: Overall survival results from the TOWER </w:t>
      </w:r>
      <w:r w:rsidR="00BA2F88" w:rsidRPr="00684DD8">
        <w:rPr>
          <w:rFonts w:ascii="Arial Narrow" w:hAnsi="Arial Narrow"/>
          <w:b/>
          <w:sz w:val="20"/>
          <w:szCs w:val="22"/>
        </w:rPr>
        <w:t>trial</w:t>
      </w:r>
      <w:r w:rsidRPr="00684DD8">
        <w:rPr>
          <w:rFonts w:ascii="Arial Narrow" w:hAnsi="Arial Narrow"/>
          <w:b/>
          <w:sz w:val="20"/>
          <w:szCs w:val="22"/>
        </w:rPr>
        <w:t xml:space="preserve"> compared with base case</w:t>
      </w:r>
    </w:p>
    <w:tbl>
      <w:tblPr>
        <w:tblStyle w:val="TableGrid"/>
        <w:tblW w:w="4558" w:type="pct"/>
        <w:tblInd w:w="817" w:type="dxa"/>
        <w:tblLook w:val="04A0" w:firstRow="1" w:lastRow="0" w:firstColumn="1" w:lastColumn="0" w:noHBand="0" w:noVBand="1"/>
      </w:tblPr>
      <w:tblGrid>
        <w:gridCol w:w="2410"/>
        <w:gridCol w:w="1844"/>
        <w:gridCol w:w="2268"/>
        <w:gridCol w:w="1904"/>
      </w:tblGrid>
      <w:tr w:rsidR="00CE65D8" w:rsidRPr="00684DD8" w:rsidTr="00726821">
        <w:tc>
          <w:tcPr>
            <w:tcW w:w="1430" w:type="pct"/>
          </w:tcPr>
          <w:p w:rsidR="00CE65D8" w:rsidRPr="00684DD8" w:rsidRDefault="00CE65D8" w:rsidP="005727F0">
            <w:pPr>
              <w:pStyle w:val="ListParagraph"/>
              <w:widowControl/>
              <w:ind w:left="0"/>
              <w:rPr>
                <w:rFonts w:ascii="Arial Narrow" w:hAnsi="Arial Narrow"/>
                <w:b/>
                <w:sz w:val="20"/>
                <w:szCs w:val="18"/>
              </w:rPr>
            </w:pPr>
            <w:r w:rsidRPr="00684DD8">
              <w:rPr>
                <w:rFonts w:ascii="Arial Narrow" w:hAnsi="Arial Narrow"/>
                <w:b/>
                <w:sz w:val="20"/>
                <w:szCs w:val="18"/>
              </w:rPr>
              <w:t>Arm</w:t>
            </w:r>
          </w:p>
        </w:tc>
        <w:tc>
          <w:tcPr>
            <w:tcW w:w="1094" w:type="pct"/>
          </w:tcPr>
          <w:p w:rsidR="00CE65D8" w:rsidRPr="00684DD8" w:rsidRDefault="00CE65D8" w:rsidP="00726821">
            <w:pPr>
              <w:pStyle w:val="ListParagraph"/>
              <w:widowControl/>
              <w:ind w:left="0"/>
              <w:jc w:val="center"/>
              <w:rPr>
                <w:rFonts w:ascii="Arial Narrow" w:hAnsi="Arial Narrow"/>
                <w:b/>
                <w:sz w:val="20"/>
                <w:szCs w:val="18"/>
              </w:rPr>
            </w:pPr>
            <w:r w:rsidRPr="00684DD8">
              <w:rPr>
                <w:rFonts w:ascii="Arial Narrow" w:hAnsi="Arial Narrow"/>
                <w:b/>
                <w:sz w:val="20"/>
                <w:szCs w:val="18"/>
              </w:rPr>
              <w:t>TOWER (95% CI)</w:t>
            </w:r>
          </w:p>
        </w:tc>
        <w:tc>
          <w:tcPr>
            <w:tcW w:w="1346" w:type="pct"/>
          </w:tcPr>
          <w:p w:rsidR="00CE65D8" w:rsidRPr="00684DD8" w:rsidRDefault="00CE65D8" w:rsidP="00726821">
            <w:pPr>
              <w:pStyle w:val="ListParagraph"/>
              <w:widowControl/>
              <w:ind w:left="0"/>
              <w:jc w:val="center"/>
              <w:rPr>
                <w:rFonts w:ascii="Arial Narrow" w:hAnsi="Arial Narrow"/>
                <w:b/>
                <w:sz w:val="20"/>
                <w:szCs w:val="18"/>
              </w:rPr>
            </w:pPr>
            <w:r w:rsidRPr="00684DD8">
              <w:rPr>
                <w:rFonts w:ascii="Arial Narrow" w:hAnsi="Arial Narrow"/>
                <w:b/>
                <w:sz w:val="20"/>
                <w:szCs w:val="18"/>
              </w:rPr>
              <w:t>Base case in submission (95% CI)</w:t>
            </w:r>
          </w:p>
        </w:tc>
        <w:tc>
          <w:tcPr>
            <w:tcW w:w="1130" w:type="pct"/>
          </w:tcPr>
          <w:p w:rsidR="00CE65D8" w:rsidRPr="00684DD8" w:rsidRDefault="00CE65D8" w:rsidP="00726821">
            <w:pPr>
              <w:pStyle w:val="ListParagraph"/>
              <w:widowControl/>
              <w:ind w:left="0"/>
              <w:jc w:val="center"/>
              <w:rPr>
                <w:rFonts w:ascii="Arial Narrow" w:hAnsi="Arial Narrow"/>
                <w:b/>
                <w:sz w:val="20"/>
                <w:szCs w:val="18"/>
              </w:rPr>
            </w:pPr>
            <w:r w:rsidRPr="00684DD8">
              <w:rPr>
                <w:rFonts w:ascii="Arial Narrow" w:hAnsi="Arial Narrow"/>
                <w:b/>
                <w:sz w:val="20"/>
                <w:szCs w:val="18"/>
              </w:rPr>
              <w:t>Post-2000 sensitivity analysis</w:t>
            </w:r>
            <w:r w:rsidR="003848A2" w:rsidRPr="00684DD8">
              <w:rPr>
                <w:rFonts w:ascii="Arial Narrow" w:hAnsi="Arial Narrow"/>
                <w:b/>
                <w:sz w:val="20"/>
                <w:szCs w:val="18"/>
              </w:rPr>
              <w:t xml:space="preserve"> (95% CI)</w:t>
            </w:r>
          </w:p>
        </w:tc>
      </w:tr>
      <w:tr w:rsidR="00CE65D8" w:rsidRPr="00684DD8" w:rsidTr="00726821">
        <w:tc>
          <w:tcPr>
            <w:tcW w:w="1430" w:type="pct"/>
          </w:tcPr>
          <w:p w:rsidR="00CE65D8" w:rsidRPr="00684DD8" w:rsidRDefault="00CE65D8" w:rsidP="005727F0">
            <w:pPr>
              <w:pStyle w:val="ListParagraph"/>
              <w:widowControl/>
              <w:ind w:left="0"/>
              <w:rPr>
                <w:rFonts w:ascii="Arial Narrow" w:hAnsi="Arial Narrow"/>
                <w:sz w:val="20"/>
                <w:szCs w:val="18"/>
              </w:rPr>
            </w:pPr>
            <w:r w:rsidRPr="00684DD8">
              <w:rPr>
                <w:rFonts w:ascii="Arial Narrow" w:hAnsi="Arial Narrow"/>
                <w:sz w:val="20"/>
                <w:szCs w:val="18"/>
              </w:rPr>
              <w:t xml:space="preserve">Median OS </w:t>
            </w:r>
            <w:proofErr w:type="spellStart"/>
            <w:r w:rsidRPr="00684DD8">
              <w:rPr>
                <w:rFonts w:ascii="Arial Narrow" w:hAnsi="Arial Narrow"/>
                <w:sz w:val="20"/>
                <w:szCs w:val="18"/>
              </w:rPr>
              <w:t>blinatumomab</w:t>
            </w:r>
            <w:proofErr w:type="spellEnd"/>
          </w:p>
        </w:tc>
        <w:tc>
          <w:tcPr>
            <w:tcW w:w="1094" w:type="pct"/>
          </w:tcPr>
          <w:p w:rsidR="00CE65D8" w:rsidRPr="00684DD8" w:rsidRDefault="00CE65D8" w:rsidP="00726821">
            <w:pPr>
              <w:pStyle w:val="ListParagraph"/>
              <w:widowControl/>
              <w:ind w:left="0"/>
              <w:jc w:val="center"/>
              <w:rPr>
                <w:rFonts w:ascii="Arial Narrow" w:hAnsi="Arial Narrow"/>
                <w:sz w:val="20"/>
                <w:szCs w:val="18"/>
              </w:rPr>
            </w:pPr>
            <w:r w:rsidRPr="0077257B">
              <w:rPr>
                <w:rFonts w:ascii="Arial Narrow" w:hAnsi="Arial Narrow"/>
                <w:sz w:val="20"/>
                <w:szCs w:val="18"/>
              </w:rPr>
              <w:t>7.7</w:t>
            </w:r>
            <w:r w:rsidRPr="00684DD8">
              <w:rPr>
                <w:rFonts w:ascii="Arial Narrow" w:hAnsi="Arial Narrow"/>
                <w:sz w:val="20"/>
                <w:szCs w:val="18"/>
              </w:rPr>
              <w:t xml:space="preserve"> months (</w:t>
            </w:r>
            <w:r w:rsidRPr="0077257B">
              <w:rPr>
                <w:rFonts w:ascii="Arial Narrow" w:hAnsi="Arial Narrow"/>
                <w:sz w:val="20"/>
                <w:szCs w:val="18"/>
              </w:rPr>
              <w:t>5.6</w:t>
            </w:r>
            <w:r w:rsidRPr="00684DD8">
              <w:rPr>
                <w:rFonts w:ascii="Arial Narrow" w:hAnsi="Arial Narrow"/>
                <w:sz w:val="20"/>
                <w:szCs w:val="18"/>
              </w:rPr>
              <w:t>,</w:t>
            </w:r>
            <w:r w:rsidR="00726821" w:rsidRPr="00684DD8">
              <w:rPr>
                <w:rFonts w:ascii="Arial Narrow" w:hAnsi="Arial Narrow"/>
                <w:sz w:val="20"/>
                <w:szCs w:val="18"/>
              </w:rPr>
              <w:t xml:space="preserve"> </w:t>
            </w:r>
            <w:r w:rsidRPr="0077257B">
              <w:rPr>
                <w:rFonts w:ascii="Arial Narrow" w:hAnsi="Arial Narrow"/>
                <w:sz w:val="20"/>
                <w:szCs w:val="18"/>
              </w:rPr>
              <w:t>9.6</w:t>
            </w:r>
            <w:r w:rsidRPr="00684DD8">
              <w:rPr>
                <w:rFonts w:ascii="Arial Narrow" w:hAnsi="Arial Narrow"/>
                <w:sz w:val="20"/>
                <w:szCs w:val="18"/>
              </w:rPr>
              <w:t>)</w:t>
            </w:r>
          </w:p>
        </w:tc>
        <w:tc>
          <w:tcPr>
            <w:tcW w:w="1346" w:type="pct"/>
          </w:tcPr>
          <w:p w:rsidR="00CE65D8" w:rsidRPr="00684DD8" w:rsidRDefault="00CE65D8" w:rsidP="00726821">
            <w:pPr>
              <w:pStyle w:val="ListParagraph"/>
              <w:widowControl/>
              <w:ind w:left="0"/>
              <w:jc w:val="center"/>
              <w:rPr>
                <w:rFonts w:ascii="Arial Narrow" w:hAnsi="Arial Narrow"/>
                <w:sz w:val="20"/>
                <w:szCs w:val="18"/>
              </w:rPr>
            </w:pPr>
            <w:r w:rsidRPr="00684DD8">
              <w:rPr>
                <w:rFonts w:ascii="Arial Narrow" w:hAnsi="Arial Narrow"/>
                <w:sz w:val="20"/>
                <w:szCs w:val="18"/>
              </w:rPr>
              <w:t>6.4 months (4.3, 7.7)</w:t>
            </w:r>
          </w:p>
        </w:tc>
        <w:tc>
          <w:tcPr>
            <w:tcW w:w="1130" w:type="pct"/>
          </w:tcPr>
          <w:p w:rsidR="00CE65D8" w:rsidRPr="00684DD8" w:rsidRDefault="00D34A67" w:rsidP="00726821">
            <w:pPr>
              <w:pStyle w:val="ListParagraph"/>
              <w:widowControl/>
              <w:ind w:left="0"/>
              <w:jc w:val="center"/>
              <w:rPr>
                <w:rFonts w:ascii="Arial Narrow" w:hAnsi="Arial Narrow"/>
                <w:sz w:val="20"/>
                <w:szCs w:val="18"/>
              </w:rPr>
            </w:pPr>
            <w:r>
              <w:rPr>
                <w:rFonts w:ascii="Arial Narrow" w:hAnsi="Arial Narrow"/>
                <w:noProof/>
                <w:color w:val="000000"/>
                <w:sz w:val="20"/>
                <w:szCs w:val="18"/>
                <w:highlight w:val="black"/>
              </w:rPr>
              <w:t>'''''''''</w:t>
            </w:r>
            <w:r w:rsidR="00CE65D8" w:rsidRPr="00684DD8">
              <w:rPr>
                <w:rFonts w:ascii="Arial Narrow" w:hAnsi="Arial Narrow"/>
                <w:sz w:val="20"/>
                <w:szCs w:val="18"/>
              </w:rPr>
              <w:t xml:space="preserve"> months (</w:t>
            </w:r>
            <w:r>
              <w:rPr>
                <w:rFonts w:ascii="Arial Narrow" w:hAnsi="Arial Narrow"/>
                <w:noProof/>
                <w:color w:val="000000"/>
                <w:sz w:val="20"/>
                <w:szCs w:val="18"/>
                <w:highlight w:val="black"/>
              </w:rPr>
              <w:t>''''''''</w:t>
            </w:r>
            <w:r w:rsidR="00CE65D8" w:rsidRPr="00684DD8">
              <w:rPr>
                <w:rFonts w:ascii="Arial Narrow" w:hAnsi="Arial Narrow"/>
                <w:sz w:val="20"/>
                <w:szCs w:val="18"/>
              </w:rPr>
              <w:t xml:space="preserve">, </w:t>
            </w:r>
            <w:r>
              <w:rPr>
                <w:rFonts w:ascii="Arial Narrow" w:hAnsi="Arial Narrow"/>
                <w:noProof/>
                <w:color w:val="000000"/>
                <w:sz w:val="20"/>
                <w:szCs w:val="18"/>
                <w:highlight w:val="black"/>
              </w:rPr>
              <w:t>''''''''</w:t>
            </w:r>
            <w:r w:rsidR="00CE65D8" w:rsidRPr="00684DD8">
              <w:rPr>
                <w:rFonts w:ascii="Arial Narrow" w:hAnsi="Arial Narrow"/>
                <w:sz w:val="20"/>
                <w:szCs w:val="18"/>
              </w:rPr>
              <w:t>)</w:t>
            </w:r>
          </w:p>
        </w:tc>
      </w:tr>
      <w:tr w:rsidR="00CE65D8" w:rsidRPr="00684DD8" w:rsidTr="00726821">
        <w:tc>
          <w:tcPr>
            <w:tcW w:w="1430" w:type="pct"/>
          </w:tcPr>
          <w:p w:rsidR="00CE65D8" w:rsidRPr="00684DD8" w:rsidRDefault="00CE65D8" w:rsidP="005727F0">
            <w:pPr>
              <w:pStyle w:val="ListParagraph"/>
              <w:widowControl/>
              <w:ind w:left="0"/>
              <w:rPr>
                <w:rFonts w:ascii="Arial Narrow" w:hAnsi="Arial Narrow"/>
                <w:sz w:val="20"/>
                <w:szCs w:val="18"/>
              </w:rPr>
            </w:pPr>
            <w:r w:rsidRPr="00684DD8">
              <w:rPr>
                <w:rFonts w:ascii="Arial Narrow" w:hAnsi="Arial Narrow"/>
                <w:sz w:val="20"/>
                <w:szCs w:val="18"/>
              </w:rPr>
              <w:t xml:space="preserve">Median OS </w:t>
            </w:r>
            <w:r w:rsidR="00C926FC" w:rsidRPr="00684DD8">
              <w:rPr>
                <w:rFonts w:ascii="Arial Narrow" w:hAnsi="Arial Narrow"/>
                <w:sz w:val="20"/>
                <w:szCs w:val="18"/>
              </w:rPr>
              <w:t>SC</w:t>
            </w:r>
            <w:r w:rsidRPr="00684DD8">
              <w:rPr>
                <w:rFonts w:ascii="Arial Narrow" w:hAnsi="Arial Narrow"/>
                <w:sz w:val="20"/>
                <w:szCs w:val="18"/>
              </w:rPr>
              <w:t xml:space="preserve"> chemotherapy</w:t>
            </w:r>
          </w:p>
        </w:tc>
        <w:tc>
          <w:tcPr>
            <w:tcW w:w="1094" w:type="pct"/>
          </w:tcPr>
          <w:p w:rsidR="00CE65D8" w:rsidRPr="00684DD8" w:rsidRDefault="00CE65D8" w:rsidP="00726821">
            <w:pPr>
              <w:pStyle w:val="ListParagraph"/>
              <w:widowControl/>
              <w:ind w:left="0"/>
              <w:jc w:val="center"/>
              <w:rPr>
                <w:rFonts w:ascii="Arial Narrow" w:hAnsi="Arial Narrow"/>
                <w:sz w:val="20"/>
                <w:szCs w:val="18"/>
              </w:rPr>
            </w:pPr>
            <w:r w:rsidRPr="0077257B">
              <w:rPr>
                <w:rFonts w:ascii="Arial Narrow" w:hAnsi="Arial Narrow"/>
                <w:sz w:val="20"/>
                <w:szCs w:val="18"/>
              </w:rPr>
              <w:t>4.0</w:t>
            </w:r>
            <w:r w:rsidRPr="00684DD8">
              <w:rPr>
                <w:rFonts w:ascii="Arial Narrow" w:hAnsi="Arial Narrow"/>
                <w:sz w:val="20"/>
                <w:szCs w:val="18"/>
              </w:rPr>
              <w:t xml:space="preserve"> months (</w:t>
            </w:r>
            <w:r w:rsidRPr="0077257B">
              <w:rPr>
                <w:rFonts w:ascii="Arial Narrow" w:hAnsi="Arial Narrow"/>
                <w:sz w:val="20"/>
                <w:szCs w:val="18"/>
              </w:rPr>
              <w:t>3.3</w:t>
            </w:r>
            <w:r w:rsidRPr="00684DD8">
              <w:rPr>
                <w:rFonts w:ascii="Arial Narrow" w:hAnsi="Arial Narrow"/>
                <w:sz w:val="20"/>
                <w:szCs w:val="18"/>
              </w:rPr>
              <w:t xml:space="preserve">, </w:t>
            </w:r>
            <w:r w:rsidRPr="0077257B">
              <w:rPr>
                <w:rFonts w:ascii="Arial Narrow" w:hAnsi="Arial Narrow"/>
                <w:sz w:val="20"/>
                <w:szCs w:val="18"/>
              </w:rPr>
              <w:t>4.3</w:t>
            </w:r>
            <w:r w:rsidRPr="00684DD8">
              <w:rPr>
                <w:rFonts w:ascii="Arial Narrow" w:hAnsi="Arial Narrow"/>
                <w:sz w:val="20"/>
                <w:szCs w:val="18"/>
              </w:rPr>
              <w:t>)</w:t>
            </w:r>
          </w:p>
        </w:tc>
        <w:tc>
          <w:tcPr>
            <w:tcW w:w="1346" w:type="pct"/>
          </w:tcPr>
          <w:p w:rsidR="00CE65D8" w:rsidRPr="00684DD8" w:rsidRDefault="00CE65D8" w:rsidP="00726821">
            <w:pPr>
              <w:pStyle w:val="ListParagraph"/>
              <w:widowControl/>
              <w:ind w:left="0"/>
              <w:jc w:val="center"/>
              <w:rPr>
                <w:rFonts w:ascii="Arial Narrow" w:hAnsi="Arial Narrow"/>
                <w:sz w:val="20"/>
                <w:szCs w:val="18"/>
              </w:rPr>
            </w:pPr>
            <w:r w:rsidRPr="00684DD8">
              <w:rPr>
                <w:rFonts w:ascii="Arial Narrow" w:hAnsi="Arial Narrow"/>
                <w:sz w:val="20"/>
                <w:szCs w:val="18"/>
              </w:rPr>
              <w:t>3.3 months (2.8, 3.6)</w:t>
            </w:r>
          </w:p>
        </w:tc>
        <w:tc>
          <w:tcPr>
            <w:tcW w:w="1130" w:type="pct"/>
          </w:tcPr>
          <w:p w:rsidR="00CE65D8" w:rsidRPr="00684DD8" w:rsidRDefault="00D34A67" w:rsidP="00726821">
            <w:pPr>
              <w:pStyle w:val="ListParagraph"/>
              <w:widowControl/>
              <w:ind w:left="0"/>
              <w:jc w:val="center"/>
              <w:rPr>
                <w:rFonts w:ascii="Arial Narrow" w:hAnsi="Arial Narrow"/>
                <w:sz w:val="20"/>
                <w:szCs w:val="18"/>
              </w:rPr>
            </w:pPr>
            <w:r>
              <w:rPr>
                <w:rFonts w:ascii="Arial Narrow" w:hAnsi="Arial Narrow"/>
                <w:noProof/>
                <w:color w:val="000000"/>
                <w:sz w:val="20"/>
                <w:szCs w:val="18"/>
                <w:highlight w:val="black"/>
              </w:rPr>
              <w:t>'''''''''</w:t>
            </w:r>
            <w:r w:rsidR="00CE65D8" w:rsidRPr="00684DD8">
              <w:rPr>
                <w:rFonts w:ascii="Arial Narrow" w:hAnsi="Arial Narrow"/>
                <w:sz w:val="20"/>
                <w:szCs w:val="18"/>
              </w:rPr>
              <w:t xml:space="preserve"> months (</w:t>
            </w:r>
            <w:r>
              <w:rPr>
                <w:rFonts w:ascii="Arial Narrow" w:hAnsi="Arial Narrow"/>
                <w:noProof/>
                <w:color w:val="000000"/>
                <w:sz w:val="20"/>
                <w:szCs w:val="18"/>
                <w:highlight w:val="black"/>
              </w:rPr>
              <w:t>'''''''</w:t>
            </w:r>
            <w:r w:rsidR="00CE65D8" w:rsidRPr="00684DD8">
              <w:rPr>
                <w:rFonts w:ascii="Arial Narrow" w:hAnsi="Arial Narrow"/>
                <w:sz w:val="20"/>
                <w:szCs w:val="18"/>
              </w:rPr>
              <w:t xml:space="preserve">, </w:t>
            </w:r>
            <w:r>
              <w:rPr>
                <w:rFonts w:ascii="Arial Narrow" w:hAnsi="Arial Narrow"/>
                <w:noProof/>
                <w:color w:val="000000"/>
                <w:sz w:val="20"/>
                <w:szCs w:val="18"/>
                <w:highlight w:val="black"/>
              </w:rPr>
              <w:t>'''''''''</w:t>
            </w:r>
            <w:r w:rsidR="00CE65D8" w:rsidRPr="00684DD8">
              <w:rPr>
                <w:rFonts w:ascii="Arial Narrow" w:hAnsi="Arial Narrow"/>
                <w:sz w:val="20"/>
                <w:szCs w:val="18"/>
              </w:rPr>
              <w:t>)*</w:t>
            </w:r>
          </w:p>
        </w:tc>
      </w:tr>
      <w:tr w:rsidR="00CE65D8" w:rsidRPr="00684DD8" w:rsidTr="00726821">
        <w:tc>
          <w:tcPr>
            <w:tcW w:w="1430" w:type="pct"/>
          </w:tcPr>
          <w:p w:rsidR="00CE65D8" w:rsidRPr="00684DD8" w:rsidRDefault="00CE65D8" w:rsidP="003848A2">
            <w:pPr>
              <w:pStyle w:val="ListParagraph"/>
              <w:widowControl/>
              <w:ind w:left="0"/>
              <w:rPr>
                <w:rFonts w:ascii="Arial Narrow" w:hAnsi="Arial Narrow"/>
                <w:sz w:val="20"/>
                <w:szCs w:val="18"/>
              </w:rPr>
            </w:pPr>
            <w:r w:rsidRPr="00684DD8">
              <w:rPr>
                <w:rFonts w:ascii="Arial Narrow" w:hAnsi="Arial Narrow"/>
                <w:sz w:val="20"/>
                <w:szCs w:val="18"/>
              </w:rPr>
              <w:t xml:space="preserve">Incremental </w:t>
            </w:r>
            <w:r w:rsidR="003848A2" w:rsidRPr="00684DD8">
              <w:rPr>
                <w:rFonts w:ascii="Arial Narrow" w:hAnsi="Arial Narrow"/>
                <w:sz w:val="20"/>
                <w:szCs w:val="18"/>
              </w:rPr>
              <w:t>median OS</w:t>
            </w:r>
          </w:p>
        </w:tc>
        <w:tc>
          <w:tcPr>
            <w:tcW w:w="1094" w:type="pct"/>
          </w:tcPr>
          <w:p w:rsidR="00CE65D8" w:rsidRPr="00684DD8" w:rsidRDefault="00CE65D8" w:rsidP="00726821">
            <w:pPr>
              <w:pStyle w:val="ListParagraph"/>
              <w:widowControl/>
              <w:ind w:left="0"/>
              <w:jc w:val="center"/>
              <w:rPr>
                <w:rFonts w:ascii="Arial Narrow" w:hAnsi="Arial Narrow"/>
                <w:sz w:val="20"/>
                <w:szCs w:val="18"/>
              </w:rPr>
            </w:pPr>
            <w:r w:rsidRPr="0077257B">
              <w:rPr>
                <w:rFonts w:ascii="Arial Narrow" w:hAnsi="Arial Narrow"/>
                <w:sz w:val="20"/>
                <w:szCs w:val="18"/>
              </w:rPr>
              <w:t>3.7</w:t>
            </w:r>
            <w:r w:rsidRPr="00684DD8">
              <w:rPr>
                <w:rFonts w:ascii="Arial Narrow" w:hAnsi="Arial Narrow"/>
                <w:sz w:val="20"/>
                <w:szCs w:val="18"/>
              </w:rPr>
              <w:t xml:space="preserve"> months</w:t>
            </w:r>
          </w:p>
        </w:tc>
        <w:tc>
          <w:tcPr>
            <w:tcW w:w="1346" w:type="pct"/>
          </w:tcPr>
          <w:p w:rsidR="00CE65D8" w:rsidRPr="00684DD8" w:rsidRDefault="00CE65D8" w:rsidP="00726821">
            <w:pPr>
              <w:pStyle w:val="ListParagraph"/>
              <w:widowControl/>
              <w:ind w:left="0"/>
              <w:jc w:val="center"/>
              <w:rPr>
                <w:rFonts w:ascii="Arial Narrow" w:hAnsi="Arial Narrow"/>
                <w:sz w:val="20"/>
                <w:szCs w:val="18"/>
              </w:rPr>
            </w:pPr>
            <w:r w:rsidRPr="00684DD8">
              <w:rPr>
                <w:rFonts w:ascii="Arial Narrow" w:hAnsi="Arial Narrow"/>
                <w:sz w:val="20"/>
                <w:szCs w:val="18"/>
              </w:rPr>
              <w:t>3.1 months</w:t>
            </w:r>
          </w:p>
        </w:tc>
        <w:tc>
          <w:tcPr>
            <w:tcW w:w="1130" w:type="pct"/>
          </w:tcPr>
          <w:p w:rsidR="00CE65D8" w:rsidRPr="00684DD8" w:rsidRDefault="00D34A67" w:rsidP="00726821">
            <w:pPr>
              <w:pStyle w:val="ListParagraph"/>
              <w:widowControl/>
              <w:ind w:left="0"/>
              <w:jc w:val="center"/>
              <w:rPr>
                <w:rFonts w:ascii="Arial Narrow" w:hAnsi="Arial Narrow"/>
                <w:sz w:val="20"/>
                <w:szCs w:val="18"/>
              </w:rPr>
            </w:pPr>
            <w:r>
              <w:rPr>
                <w:rFonts w:ascii="Arial Narrow" w:hAnsi="Arial Narrow"/>
                <w:noProof/>
                <w:color w:val="000000"/>
                <w:sz w:val="20"/>
                <w:szCs w:val="18"/>
                <w:highlight w:val="black"/>
              </w:rPr>
              <w:t>''''''''</w:t>
            </w:r>
            <w:r w:rsidR="00CE65D8" w:rsidRPr="00684DD8">
              <w:rPr>
                <w:rFonts w:ascii="Arial Narrow" w:hAnsi="Arial Narrow"/>
                <w:sz w:val="20"/>
                <w:szCs w:val="18"/>
              </w:rPr>
              <w:t xml:space="preserve"> months</w:t>
            </w:r>
          </w:p>
        </w:tc>
      </w:tr>
      <w:tr w:rsidR="00122E2B" w:rsidRPr="00684DD8" w:rsidTr="00726821">
        <w:tc>
          <w:tcPr>
            <w:tcW w:w="1430" w:type="pct"/>
          </w:tcPr>
          <w:p w:rsidR="00122E2B" w:rsidRPr="00684DD8" w:rsidRDefault="00122E2B" w:rsidP="003848A2">
            <w:pPr>
              <w:pStyle w:val="ListParagraph"/>
              <w:widowControl/>
              <w:ind w:left="0"/>
              <w:rPr>
                <w:rFonts w:ascii="Arial Narrow" w:hAnsi="Arial Narrow"/>
                <w:sz w:val="20"/>
                <w:szCs w:val="18"/>
              </w:rPr>
            </w:pPr>
            <w:r w:rsidRPr="00684DD8">
              <w:rPr>
                <w:rFonts w:ascii="Arial Narrow" w:hAnsi="Arial Narrow"/>
                <w:sz w:val="20"/>
                <w:szCs w:val="18"/>
              </w:rPr>
              <w:t>Stratified log-rank</w:t>
            </w:r>
          </w:p>
        </w:tc>
        <w:tc>
          <w:tcPr>
            <w:tcW w:w="1094" w:type="pct"/>
          </w:tcPr>
          <w:p w:rsidR="00122E2B" w:rsidRPr="00684DD8" w:rsidRDefault="00122E2B" w:rsidP="00726821">
            <w:pPr>
              <w:pStyle w:val="ListParagraph"/>
              <w:widowControl/>
              <w:ind w:left="0"/>
              <w:jc w:val="center"/>
              <w:rPr>
                <w:rFonts w:ascii="Arial Narrow" w:hAnsi="Arial Narrow"/>
                <w:sz w:val="20"/>
                <w:szCs w:val="18"/>
              </w:rPr>
            </w:pPr>
            <w:r w:rsidRPr="00684DD8">
              <w:rPr>
                <w:rFonts w:ascii="Arial Narrow" w:hAnsi="Arial Narrow"/>
                <w:sz w:val="20"/>
                <w:szCs w:val="18"/>
              </w:rPr>
              <w:t xml:space="preserve">p = </w:t>
            </w:r>
            <w:r w:rsidRPr="0077257B">
              <w:rPr>
                <w:rFonts w:ascii="Arial Narrow" w:hAnsi="Arial Narrow"/>
                <w:sz w:val="20"/>
                <w:szCs w:val="18"/>
              </w:rPr>
              <w:t>0.012</w:t>
            </w:r>
          </w:p>
        </w:tc>
        <w:tc>
          <w:tcPr>
            <w:tcW w:w="1346" w:type="pct"/>
          </w:tcPr>
          <w:p w:rsidR="00122E2B" w:rsidRPr="00684DD8" w:rsidRDefault="00122E2B" w:rsidP="00726821">
            <w:pPr>
              <w:pStyle w:val="ListParagraph"/>
              <w:widowControl/>
              <w:ind w:left="0"/>
              <w:jc w:val="center"/>
              <w:rPr>
                <w:rFonts w:ascii="Arial Narrow" w:hAnsi="Arial Narrow"/>
                <w:sz w:val="20"/>
                <w:szCs w:val="18"/>
              </w:rPr>
            </w:pPr>
            <w:r w:rsidRPr="00684DD8">
              <w:rPr>
                <w:rFonts w:ascii="Arial Narrow" w:hAnsi="Arial Narrow"/>
                <w:sz w:val="20"/>
                <w:szCs w:val="18"/>
              </w:rPr>
              <w:t>-</w:t>
            </w:r>
          </w:p>
        </w:tc>
        <w:tc>
          <w:tcPr>
            <w:tcW w:w="1130" w:type="pct"/>
          </w:tcPr>
          <w:p w:rsidR="00122E2B" w:rsidRPr="00684DD8" w:rsidRDefault="00122E2B" w:rsidP="00726821">
            <w:pPr>
              <w:pStyle w:val="ListParagraph"/>
              <w:widowControl/>
              <w:ind w:left="0"/>
              <w:jc w:val="center"/>
              <w:rPr>
                <w:rFonts w:ascii="Arial Narrow" w:hAnsi="Arial Narrow"/>
                <w:sz w:val="20"/>
                <w:szCs w:val="18"/>
              </w:rPr>
            </w:pPr>
            <w:r w:rsidRPr="00684DD8">
              <w:rPr>
                <w:rFonts w:ascii="Arial Narrow" w:hAnsi="Arial Narrow"/>
                <w:sz w:val="20"/>
                <w:szCs w:val="18"/>
              </w:rPr>
              <w:t>-</w:t>
            </w:r>
          </w:p>
        </w:tc>
      </w:tr>
      <w:tr w:rsidR="00122E2B" w:rsidRPr="00684DD8" w:rsidTr="00726821">
        <w:tc>
          <w:tcPr>
            <w:tcW w:w="1430" w:type="pct"/>
          </w:tcPr>
          <w:p w:rsidR="00122E2B" w:rsidRPr="00684DD8" w:rsidRDefault="00122E2B" w:rsidP="003848A2">
            <w:pPr>
              <w:pStyle w:val="ListParagraph"/>
              <w:widowControl/>
              <w:ind w:left="0"/>
              <w:rPr>
                <w:rFonts w:ascii="Arial Narrow" w:hAnsi="Arial Narrow"/>
                <w:sz w:val="20"/>
                <w:szCs w:val="18"/>
              </w:rPr>
            </w:pPr>
            <w:r w:rsidRPr="00684DD8">
              <w:rPr>
                <w:rFonts w:ascii="Arial Narrow" w:hAnsi="Arial Narrow"/>
                <w:sz w:val="20"/>
                <w:szCs w:val="18"/>
              </w:rPr>
              <w:t>Hazard ratio</w:t>
            </w:r>
          </w:p>
        </w:tc>
        <w:tc>
          <w:tcPr>
            <w:tcW w:w="1094" w:type="pct"/>
          </w:tcPr>
          <w:p w:rsidR="00122E2B" w:rsidRPr="00684DD8" w:rsidRDefault="00122E2B" w:rsidP="00726821">
            <w:pPr>
              <w:pStyle w:val="ListParagraph"/>
              <w:widowControl/>
              <w:ind w:left="0"/>
              <w:jc w:val="center"/>
              <w:rPr>
                <w:rFonts w:ascii="Arial Narrow" w:hAnsi="Arial Narrow"/>
                <w:sz w:val="20"/>
                <w:szCs w:val="18"/>
              </w:rPr>
            </w:pPr>
            <w:r w:rsidRPr="0077257B">
              <w:rPr>
                <w:rFonts w:ascii="Arial Narrow" w:hAnsi="Arial Narrow"/>
                <w:sz w:val="20"/>
                <w:szCs w:val="18"/>
              </w:rPr>
              <w:t>0.71</w:t>
            </w:r>
            <w:r w:rsidRPr="00684DD8">
              <w:rPr>
                <w:rFonts w:ascii="Arial Narrow" w:hAnsi="Arial Narrow"/>
                <w:sz w:val="20"/>
                <w:szCs w:val="18"/>
              </w:rPr>
              <w:t xml:space="preserve"> (</w:t>
            </w:r>
            <w:r w:rsidRPr="0077257B">
              <w:rPr>
                <w:rFonts w:ascii="Arial Narrow" w:hAnsi="Arial Narrow"/>
                <w:sz w:val="20"/>
                <w:szCs w:val="18"/>
              </w:rPr>
              <w:t>0.55</w:t>
            </w:r>
            <w:r w:rsidRPr="00684DD8">
              <w:rPr>
                <w:rFonts w:ascii="Arial Narrow" w:hAnsi="Arial Narrow"/>
                <w:sz w:val="20"/>
                <w:szCs w:val="18"/>
              </w:rPr>
              <w:t xml:space="preserve">, </w:t>
            </w:r>
            <w:r w:rsidRPr="0077257B">
              <w:rPr>
                <w:rFonts w:ascii="Arial Narrow" w:hAnsi="Arial Narrow"/>
                <w:sz w:val="20"/>
                <w:szCs w:val="18"/>
              </w:rPr>
              <w:t>0.93</w:t>
            </w:r>
            <w:r w:rsidRPr="00684DD8">
              <w:rPr>
                <w:rFonts w:ascii="Arial Narrow" w:hAnsi="Arial Narrow"/>
                <w:sz w:val="20"/>
                <w:szCs w:val="18"/>
              </w:rPr>
              <w:t>)</w:t>
            </w:r>
          </w:p>
        </w:tc>
        <w:tc>
          <w:tcPr>
            <w:tcW w:w="1346" w:type="pct"/>
          </w:tcPr>
          <w:p w:rsidR="00122E2B" w:rsidRPr="00684DD8" w:rsidRDefault="00122E2B" w:rsidP="00726821">
            <w:pPr>
              <w:pStyle w:val="ListParagraph"/>
              <w:widowControl/>
              <w:ind w:left="0"/>
              <w:jc w:val="center"/>
              <w:rPr>
                <w:rFonts w:ascii="Arial Narrow" w:hAnsi="Arial Narrow"/>
                <w:sz w:val="20"/>
                <w:szCs w:val="18"/>
              </w:rPr>
            </w:pPr>
            <w:r w:rsidRPr="00684DD8">
              <w:rPr>
                <w:rFonts w:ascii="Arial Narrow" w:hAnsi="Arial Narrow"/>
                <w:sz w:val="20"/>
                <w:szCs w:val="18"/>
              </w:rPr>
              <w:t>-</w:t>
            </w:r>
          </w:p>
        </w:tc>
        <w:tc>
          <w:tcPr>
            <w:tcW w:w="1130" w:type="pct"/>
          </w:tcPr>
          <w:p w:rsidR="00122E2B" w:rsidRPr="00684DD8" w:rsidRDefault="00122E2B" w:rsidP="00726821">
            <w:pPr>
              <w:pStyle w:val="ListParagraph"/>
              <w:widowControl/>
              <w:ind w:left="0"/>
              <w:jc w:val="center"/>
              <w:rPr>
                <w:rFonts w:ascii="Arial Narrow" w:hAnsi="Arial Narrow"/>
                <w:sz w:val="20"/>
                <w:szCs w:val="18"/>
              </w:rPr>
            </w:pPr>
            <w:r w:rsidRPr="00684DD8">
              <w:rPr>
                <w:rFonts w:ascii="Arial Narrow" w:hAnsi="Arial Narrow"/>
                <w:sz w:val="20"/>
                <w:szCs w:val="18"/>
              </w:rPr>
              <w:t>-</w:t>
            </w:r>
          </w:p>
        </w:tc>
      </w:tr>
    </w:tbl>
    <w:p w:rsidR="00CE65D8" w:rsidRPr="00684DD8" w:rsidRDefault="00CE65D8" w:rsidP="003848A2">
      <w:pPr>
        <w:pStyle w:val="TableFooter"/>
        <w:ind w:left="709"/>
      </w:pPr>
      <w:r w:rsidRPr="00684DD8">
        <w:t>Source: PSCR (p1) Table 1</w:t>
      </w:r>
      <w:r w:rsidR="00122E2B" w:rsidRPr="00684DD8">
        <w:t>, and pre-PBAC response (p1) Table 1.</w:t>
      </w:r>
    </w:p>
    <w:p w:rsidR="003848A2" w:rsidRPr="00684DD8" w:rsidRDefault="003848A2" w:rsidP="003848A2">
      <w:pPr>
        <w:pStyle w:val="TableFooter"/>
        <w:ind w:left="709"/>
        <w:rPr>
          <w:rStyle w:val="CommentReference"/>
          <w:b w:val="0"/>
          <w:sz w:val="18"/>
          <w:szCs w:val="18"/>
        </w:rPr>
      </w:pPr>
      <w:r w:rsidRPr="00684DD8">
        <w:t>CI = confidence interval; OS = overall survival; SC = standard care</w:t>
      </w:r>
    </w:p>
    <w:p w:rsidR="000A3A4E" w:rsidRPr="00684DD8" w:rsidRDefault="000A3A4E" w:rsidP="000A3A4E">
      <w:pPr>
        <w:widowControl/>
        <w:snapToGrid w:val="0"/>
        <w:rPr>
          <w:szCs w:val="22"/>
        </w:rPr>
      </w:pPr>
    </w:p>
    <w:p w:rsidR="00512D59" w:rsidRPr="008A3185" w:rsidRDefault="00EE214E" w:rsidP="008B4389">
      <w:pPr>
        <w:pStyle w:val="ListParagraph"/>
        <w:numPr>
          <w:ilvl w:val="1"/>
          <w:numId w:val="1"/>
        </w:numPr>
      </w:pPr>
      <w:r w:rsidRPr="008A3185">
        <w:t>The ESC considered that</w:t>
      </w:r>
      <w:r w:rsidR="003848A2" w:rsidRPr="008A3185">
        <w:t>,</w:t>
      </w:r>
      <w:r w:rsidRPr="008A3185">
        <w:t xml:space="preserve"> </w:t>
      </w:r>
      <w:r w:rsidR="000D0608" w:rsidRPr="008A3185">
        <w:t xml:space="preserve">while </w:t>
      </w:r>
      <w:r w:rsidR="00C926FC" w:rsidRPr="008A3185">
        <w:t>these</w:t>
      </w:r>
      <w:r w:rsidRPr="008A3185">
        <w:t xml:space="preserve"> preliminary data </w:t>
      </w:r>
      <w:r w:rsidR="000D0608" w:rsidRPr="008A3185">
        <w:t xml:space="preserve">indicate that </w:t>
      </w:r>
      <w:proofErr w:type="spellStart"/>
      <w:r w:rsidR="000D0608" w:rsidRPr="008A3185">
        <w:t>blinatumomab</w:t>
      </w:r>
      <w:proofErr w:type="spellEnd"/>
      <w:r w:rsidR="000D0608" w:rsidRPr="008A3185">
        <w:t xml:space="preserve"> is likely to be superior to chemotherapy</w:t>
      </w:r>
      <w:r w:rsidRPr="008A3185">
        <w:t xml:space="preserve">, </w:t>
      </w:r>
      <w:r w:rsidR="000D0608" w:rsidRPr="008A3185">
        <w:t>the most clinically rele</w:t>
      </w:r>
      <w:r w:rsidR="006E7BD6" w:rsidRPr="008A3185">
        <w:t>vant outcome is transplant rate</w:t>
      </w:r>
      <w:r w:rsidR="000D0608" w:rsidRPr="008A3185">
        <w:t xml:space="preserve"> and post-transplant survival</w:t>
      </w:r>
      <w:r w:rsidR="00F0265F" w:rsidRPr="008A3185">
        <w:t xml:space="preserve">, noting from Table 2 above that these are both outcome measures in </w:t>
      </w:r>
      <w:r w:rsidR="00AD49B2" w:rsidRPr="008A3185">
        <w:t xml:space="preserve">the </w:t>
      </w:r>
      <w:r w:rsidR="00F0265F" w:rsidRPr="008A3185">
        <w:t>TOWER</w:t>
      </w:r>
      <w:r w:rsidR="00AD49B2" w:rsidRPr="008A3185">
        <w:t xml:space="preserve"> trial</w:t>
      </w:r>
      <w:r w:rsidR="00F0265F" w:rsidRPr="008A3185">
        <w:t>.</w:t>
      </w:r>
      <w:r w:rsidR="000D0608" w:rsidRPr="008A3185">
        <w:t xml:space="preserve"> </w:t>
      </w:r>
      <w:r w:rsidR="00AD49B2" w:rsidRPr="00684DD8">
        <w:t xml:space="preserve">The ESC noted the estimates of median overall survival with </w:t>
      </w:r>
      <w:proofErr w:type="spellStart"/>
      <w:r w:rsidR="00AD49B2" w:rsidRPr="00684DD8">
        <w:t>blinatumomab</w:t>
      </w:r>
      <w:proofErr w:type="spellEnd"/>
      <w:r w:rsidR="00AD49B2" w:rsidRPr="00684DD8">
        <w:t xml:space="preserve"> were relatively short (7.7 months in TOWER and 6.4 months in MT103-211) and this is inconsistent with the substantial survival </w:t>
      </w:r>
      <w:r w:rsidR="00AD49B2" w:rsidRPr="00684DD8">
        <w:lastRenderedPageBreak/>
        <w:t>advantage</w:t>
      </w:r>
      <w:r w:rsidR="00EA350B" w:rsidRPr="00684DD8">
        <w:t xml:space="preserve"> anticipated</w:t>
      </w:r>
      <w:r w:rsidR="00AD49B2" w:rsidRPr="00684DD8">
        <w:t xml:space="preserve"> in patients undergoing a successful allogeneic HSCT.</w:t>
      </w:r>
    </w:p>
    <w:p w:rsidR="00512D59" w:rsidRPr="00684DD8" w:rsidRDefault="00512D59" w:rsidP="00512D59">
      <w:pPr>
        <w:widowControl/>
        <w:rPr>
          <w:szCs w:val="22"/>
        </w:rPr>
      </w:pPr>
    </w:p>
    <w:p w:rsidR="00C67A39" w:rsidRPr="00684DD8" w:rsidRDefault="000D0608" w:rsidP="008B4389">
      <w:pPr>
        <w:pStyle w:val="ListParagraph"/>
        <w:numPr>
          <w:ilvl w:val="1"/>
          <w:numId w:val="1"/>
        </w:numPr>
      </w:pPr>
      <w:r w:rsidRPr="00684DD8">
        <w:t xml:space="preserve">The </w:t>
      </w:r>
      <w:r w:rsidR="00841DDF" w:rsidRPr="00684DD8">
        <w:t>ESC noted that post-transplant survival is highly dependent on a patient being appropriate for transplant</w:t>
      </w:r>
      <w:r w:rsidRPr="00684DD8">
        <w:t xml:space="preserve">, </w:t>
      </w:r>
      <w:r w:rsidR="00512D59" w:rsidRPr="00684DD8">
        <w:t>often defined in practice as patients wi</w:t>
      </w:r>
      <w:r w:rsidR="003848A2" w:rsidRPr="00684DD8">
        <w:t>th no minimal residual disease.</w:t>
      </w:r>
    </w:p>
    <w:p w:rsidR="00512D59" w:rsidRPr="00684DD8" w:rsidRDefault="00512D59" w:rsidP="00512D59">
      <w:pPr>
        <w:widowControl/>
      </w:pPr>
    </w:p>
    <w:p w:rsidR="00C67A39" w:rsidRPr="008A3185" w:rsidRDefault="00C67A39" w:rsidP="008B4389">
      <w:pPr>
        <w:pStyle w:val="ListParagraph"/>
        <w:numPr>
          <w:ilvl w:val="1"/>
          <w:numId w:val="1"/>
        </w:numPr>
      </w:pPr>
      <w:r w:rsidRPr="008A3185">
        <w:t>The ESC further considered that the results in the</w:t>
      </w:r>
      <w:r w:rsidR="00F0265F" w:rsidRPr="008A3185">
        <w:t xml:space="preserve"> </w:t>
      </w:r>
      <w:r w:rsidR="00C926FC" w:rsidRPr="008A3185">
        <w:t>SC</w:t>
      </w:r>
      <w:r w:rsidRPr="008A3185">
        <w:t xml:space="preserve"> chemotherapy arm</w:t>
      </w:r>
      <w:r w:rsidR="00AD49B2" w:rsidRPr="008A3185">
        <w:t xml:space="preserve"> of the TOWER trial were most closely aligned to</w:t>
      </w:r>
      <w:r w:rsidRPr="008A3185">
        <w:t xml:space="preserve"> the post-2000 data </w:t>
      </w:r>
      <w:r w:rsidR="00AD49B2" w:rsidRPr="008A3185">
        <w:t xml:space="preserve">and considered that the post-2000 data </w:t>
      </w:r>
      <w:r w:rsidRPr="008A3185">
        <w:t xml:space="preserve">were </w:t>
      </w:r>
      <w:r w:rsidR="00AD49B2" w:rsidRPr="008A3185">
        <w:t xml:space="preserve">therefore </w:t>
      </w:r>
      <w:r w:rsidRPr="008A3185">
        <w:t>the most appropriate basis of a comparison in the absence of data from TOWER</w:t>
      </w:r>
      <w:r w:rsidR="003848A2" w:rsidRPr="008A3185">
        <w:t>.</w:t>
      </w:r>
    </w:p>
    <w:p w:rsidR="00EE214E" w:rsidRPr="00684DD8" w:rsidRDefault="00EE214E" w:rsidP="000A3A4E">
      <w:pPr>
        <w:widowControl/>
        <w:snapToGrid w:val="0"/>
        <w:rPr>
          <w:szCs w:val="22"/>
        </w:rPr>
      </w:pPr>
    </w:p>
    <w:p w:rsidR="00583EB2" w:rsidRPr="00684DD8" w:rsidRDefault="00583EB2" w:rsidP="003C215E">
      <w:pPr>
        <w:pStyle w:val="Heading4"/>
      </w:pPr>
      <w:bookmarkStart w:id="14" w:name="_Toc450655480"/>
      <w:bookmarkStart w:id="15" w:name="_Toc450820744"/>
      <w:r w:rsidRPr="00684DD8">
        <w:t>Comparative harms</w:t>
      </w:r>
      <w:bookmarkEnd w:id="14"/>
      <w:bookmarkEnd w:id="15"/>
    </w:p>
    <w:p w:rsidR="00583EB2" w:rsidRPr="00684DD8" w:rsidRDefault="00583EB2" w:rsidP="00583EB2">
      <w:pPr>
        <w:widowControl/>
        <w:rPr>
          <w:szCs w:val="22"/>
        </w:rPr>
      </w:pPr>
    </w:p>
    <w:p w:rsidR="00B60939" w:rsidRPr="008A3185" w:rsidRDefault="00B00903" w:rsidP="008B4389">
      <w:pPr>
        <w:pStyle w:val="ListParagraph"/>
        <w:numPr>
          <w:ilvl w:val="1"/>
          <w:numId w:val="1"/>
        </w:numPr>
      </w:pPr>
      <w:r w:rsidRPr="00684DD8">
        <w:t xml:space="preserve">The </w:t>
      </w:r>
      <w:r w:rsidR="00481C66" w:rsidRPr="00684DD8">
        <w:t>resubmission</w:t>
      </w:r>
      <w:r w:rsidRPr="00684DD8">
        <w:t xml:space="preserve"> provide</w:t>
      </w:r>
      <w:r w:rsidR="00454DD8" w:rsidRPr="00684DD8">
        <w:t>d</w:t>
      </w:r>
      <w:r w:rsidRPr="00684DD8">
        <w:t xml:space="preserve"> </w:t>
      </w:r>
      <w:r w:rsidR="00454DD8" w:rsidRPr="00684DD8">
        <w:t>no</w:t>
      </w:r>
      <w:r w:rsidRPr="00684DD8">
        <w:t xml:space="preserve"> </w:t>
      </w:r>
      <w:r w:rsidR="00451389" w:rsidRPr="00684DD8">
        <w:t>(</w:t>
      </w:r>
      <w:r w:rsidRPr="00684DD8">
        <w:t>new</w:t>
      </w:r>
      <w:r w:rsidR="00451389" w:rsidRPr="00684DD8">
        <w:t>)</w:t>
      </w:r>
      <w:r w:rsidRPr="00684DD8">
        <w:t xml:space="preserve"> comparative safety data. </w:t>
      </w:r>
      <w:r w:rsidR="00433349" w:rsidRPr="00684DD8">
        <w:t xml:space="preserve">In November 2015, the PBAC noted that </w:t>
      </w:r>
      <w:proofErr w:type="spellStart"/>
      <w:r w:rsidR="00433349" w:rsidRPr="00684DD8">
        <w:t>blinatumomab</w:t>
      </w:r>
      <w:proofErr w:type="spellEnd"/>
      <w:r w:rsidR="00433349" w:rsidRPr="00684DD8">
        <w:t xml:space="preserve"> is associated with the important major toxicity of cytokine release syndrome and this required access to non-conventional therapy and inpatient support.</w:t>
      </w:r>
    </w:p>
    <w:p w:rsidR="00CE65D8" w:rsidRPr="00684DD8" w:rsidRDefault="00CE65D8" w:rsidP="00CE65D8">
      <w:pPr>
        <w:widowControl/>
        <w:rPr>
          <w:szCs w:val="22"/>
        </w:rPr>
      </w:pPr>
    </w:p>
    <w:p w:rsidR="00CE65D8" w:rsidRPr="008A3185" w:rsidRDefault="00CE65D8" w:rsidP="008B4389">
      <w:pPr>
        <w:pStyle w:val="ListParagraph"/>
        <w:numPr>
          <w:ilvl w:val="1"/>
          <w:numId w:val="1"/>
        </w:numPr>
      </w:pPr>
      <w:r w:rsidRPr="008A3185">
        <w:t xml:space="preserve">The PSCR </w:t>
      </w:r>
      <w:r w:rsidR="00EE214E" w:rsidRPr="008A3185">
        <w:t>provided</w:t>
      </w:r>
      <w:r w:rsidR="00F0265F" w:rsidRPr="008A3185">
        <w:t xml:space="preserve"> preliminary</w:t>
      </w:r>
      <w:r w:rsidRPr="008A3185">
        <w:t xml:space="preserve"> safety results for each arm in the TOWER </w:t>
      </w:r>
      <w:r w:rsidR="00AD49B2" w:rsidRPr="008A3185">
        <w:t>trial</w:t>
      </w:r>
      <w:r w:rsidRPr="008A3185">
        <w:t>.</w:t>
      </w:r>
    </w:p>
    <w:p w:rsidR="00B60939" w:rsidRPr="00684DD8" w:rsidRDefault="00B60939" w:rsidP="007F1017">
      <w:pPr>
        <w:pStyle w:val="ListParagraph"/>
        <w:ind w:left="0"/>
        <w:rPr>
          <w:szCs w:val="22"/>
        </w:rPr>
      </w:pPr>
    </w:p>
    <w:p w:rsidR="00CE65D8" w:rsidRPr="00684DD8" w:rsidRDefault="00CE65D8" w:rsidP="00CE65D8">
      <w:pPr>
        <w:pStyle w:val="ListParagraph"/>
        <w:widowControl/>
        <w:rPr>
          <w:rFonts w:ascii="Arial Narrow" w:hAnsi="Arial Narrow"/>
          <w:b/>
          <w:sz w:val="20"/>
          <w:szCs w:val="22"/>
        </w:rPr>
      </w:pPr>
      <w:r w:rsidRPr="00684DD8">
        <w:rPr>
          <w:rFonts w:ascii="Arial Narrow" w:hAnsi="Arial Narrow"/>
          <w:b/>
          <w:sz w:val="20"/>
          <w:szCs w:val="22"/>
        </w:rPr>
        <w:t xml:space="preserve">Table 5: Safety results from TOWER </w:t>
      </w:r>
      <w:r w:rsidR="00BA2F88" w:rsidRPr="00684DD8">
        <w:rPr>
          <w:rFonts w:ascii="Arial Narrow" w:hAnsi="Arial Narrow"/>
          <w:b/>
          <w:sz w:val="20"/>
          <w:szCs w:val="22"/>
        </w:rPr>
        <w:t>trial</w:t>
      </w:r>
    </w:p>
    <w:tbl>
      <w:tblPr>
        <w:tblStyle w:val="TableGrid"/>
        <w:tblW w:w="0" w:type="auto"/>
        <w:tblInd w:w="817" w:type="dxa"/>
        <w:tblLook w:val="04A0" w:firstRow="1" w:lastRow="0" w:firstColumn="1" w:lastColumn="0" w:noHBand="0" w:noVBand="1"/>
      </w:tblPr>
      <w:tblGrid>
        <w:gridCol w:w="3686"/>
        <w:gridCol w:w="2268"/>
        <w:gridCol w:w="2472"/>
      </w:tblGrid>
      <w:tr w:rsidR="00CE65D8" w:rsidRPr="00684DD8" w:rsidTr="003848A2">
        <w:tc>
          <w:tcPr>
            <w:tcW w:w="3686" w:type="dxa"/>
          </w:tcPr>
          <w:p w:rsidR="00CE65D8" w:rsidRPr="00684DD8" w:rsidRDefault="00CE65D8" w:rsidP="005727F0">
            <w:pPr>
              <w:pStyle w:val="ListParagraph"/>
              <w:widowControl/>
              <w:ind w:left="0"/>
              <w:rPr>
                <w:rFonts w:ascii="Arial Narrow" w:hAnsi="Arial Narrow"/>
                <w:b/>
                <w:sz w:val="20"/>
                <w:szCs w:val="22"/>
              </w:rPr>
            </w:pPr>
          </w:p>
        </w:tc>
        <w:tc>
          <w:tcPr>
            <w:tcW w:w="2268" w:type="dxa"/>
          </w:tcPr>
          <w:p w:rsidR="003848A2" w:rsidRPr="00684DD8" w:rsidRDefault="003848A2" w:rsidP="003848A2">
            <w:pPr>
              <w:pStyle w:val="ListParagraph"/>
              <w:widowControl/>
              <w:ind w:left="0"/>
              <w:jc w:val="center"/>
              <w:rPr>
                <w:rFonts w:ascii="Arial Narrow" w:hAnsi="Arial Narrow"/>
                <w:b/>
                <w:sz w:val="20"/>
                <w:szCs w:val="22"/>
              </w:rPr>
            </w:pPr>
            <w:proofErr w:type="spellStart"/>
            <w:r w:rsidRPr="00684DD8">
              <w:rPr>
                <w:rFonts w:ascii="Arial Narrow" w:hAnsi="Arial Narrow"/>
                <w:b/>
                <w:sz w:val="20"/>
                <w:szCs w:val="22"/>
              </w:rPr>
              <w:t>Blinatumomab</w:t>
            </w:r>
            <w:proofErr w:type="spellEnd"/>
            <w:r w:rsidRPr="00684DD8">
              <w:rPr>
                <w:rFonts w:ascii="Arial Narrow" w:hAnsi="Arial Narrow"/>
                <w:b/>
                <w:sz w:val="20"/>
                <w:szCs w:val="22"/>
              </w:rPr>
              <w:t xml:space="preserve"> (</w:t>
            </w:r>
            <w:r w:rsidR="00CE65D8" w:rsidRPr="00684DD8">
              <w:rPr>
                <w:rFonts w:ascii="Arial Narrow" w:hAnsi="Arial Narrow"/>
                <w:b/>
                <w:sz w:val="20"/>
                <w:szCs w:val="22"/>
              </w:rPr>
              <w:t>N = 267</w:t>
            </w:r>
            <w:r w:rsidRPr="00684DD8">
              <w:rPr>
                <w:rFonts w:ascii="Arial Narrow" w:hAnsi="Arial Narrow"/>
                <w:b/>
                <w:sz w:val="20"/>
                <w:szCs w:val="22"/>
              </w:rPr>
              <w:t>)</w:t>
            </w:r>
          </w:p>
          <w:p w:rsidR="00CE65D8" w:rsidRPr="00684DD8" w:rsidRDefault="003848A2" w:rsidP="003848A2">
            <w:pPr>
              <w:pStyle w:val="ListParagraph"/>
              <w:widowControl/>
              <w:ind w:left="0"/>
              <w:jc w:val="center"/>
              <w:rPr>
                <w:rFonts w:ascii="Arial Narrow" w:hAnsi="Arial Narrow"/>
                <w:b/>
                <w:sz w:val="20"/>
                <w:szCs w:val="22"/>
              </w:rPr>
            </w:pPr>
            <w:proofErr w:type="gramStart"/>
            <w:r w:rsidRPr="00684DD8">
              <w:rPr>
                <w:rFonts w:ascii="Arial Narrow" w:hAnsi="Arial Narrow"/>
                <w:b/>
                <w:sz w:val="20"/>
                <w:szCs w:val="22"/>
              </w:rPr>
              <w:t>n</w:t>
            </w:r>
            <w:proofErr w:type="gramEnd"/>
            <w:r w:rsidR="00CE65D8" w:rsidRPr="00684DD8">
              <w:rPr>
                <w:rFonts w:ascii="Arial Narrow" w:hAnsi="Arial Narrow"/>
                <w:b/>
                <w:sz w:val="20"/>
                <w:szCs w:val="22"/>
              </w:rPr>
              <w:t xml:space="preserve"> (%)</w:t>
            </w:r>
          </w:p>
        </w:tc>
        <w:tc>
          <w:tcPr>
            <w:tcW w:w="2472" w:type="dxa"/>
          </w:tcPr>
          <w:p w:rsidR="00CE65D8" w:rsidRPr="00684DD8" w:rsidRDefault="00C926FC" w:rsidP="003848A2">
            <w:pPr>
              <w:pStyle w:val="ListParagraph"/>
              <w:widowControl/>
              <w:ind w:left="0"/>
              <w:jc w:val="center"/>
              <w:rPr>
                <w:rFonts w:ascii="Arial Narrow" w:hAnsi="Arial Narrow"/>
                <w:b/>
                <w:sz w:val="20"/>
                <w:szCs w:val="22"/>
              </w:rPr>
            </w:pPr>
            <w:r w:rsidRPr="00684DD8">
              <w:rPr>
                <w:rFonts w:ascii="Arial Narrow" w:hAnsi="Arial Narrow"/>
                <w:b/>
                <w:sz w:val="20"/>
                <w:szCs w:val="22"/>
              </w:rPr>
              <w:t>SC</w:t>
            </w:r>
            <w:r w:rsidR="00CE65D8" w:rsidRPr="00684DD8">
              <w:rPr>
                <w:rFonts w:ascii="Arial Narrow" w:hAnsi="Arial Narrow"/>
                <w:b/>
                <w:sz w:val="20"/>
                <w:szCs w:val="22"/>
              </w:rPr>
              <w:t xml:space="preserve"> chemotherapy</w:t>
            </w:r>
            <w:r w:rsidR="003848A2" w:rsidRPr="00684DD8">
              <w:rPr>
                <w:rFonts w:ascii="Arial Narrow" w:hAnsi="Arial Narrow"/>
                <w:b/>
                <w:sz w:val="20"/>
                <w:szCs w:val="22"/>
              </w:rPr>
              <w:t xml:space="preserve"> (</w:t>
            </w:r>
            <w:r w:rsidR="00CE65D8" w:rsidRPr="00684DD8">
              <w:rPr>
                <w:rFonts w:ascii="Arial Narrow" w:hAnsi="Arial Narrow"/>
                <w:b/>
                <w:sz w:val="20"/>
                <w:szCs w:val="22"/>
              </w:rPr>
              <w:t>N = 109</w:t>
            </w:r>
            <w:r w:rsidR="003848A2" w:rsidRPr="00684DD8">
              <w:rPr>
                <w:rFonts w:ascii="Arial Narrow" w:hAnsi="Arial Narrow"/>
                <w:b/>
                <w:sz w:val="20"/>
                <w:szCs w:val="22"/>
              </w:rPr>
              <w:t>)</w:t>
            </w:r>
            <w:r w:rsidR="00CE65D8" w:rsidRPr="00684DD8">
              <w:rPr>
                <w:rFonts w:ascii="Arial Narrow" w:hAnsi="Arial Narrow"/>
                <w:b/>
                <w:sz w:val="20"/>
                <w:szCs w:val="22"/>
              </w:rPr>
              <w:t xml:space="preserve"> </w:t>
            </w:r>
            <w:r w:rsidR="003848A2" w:rsidRPr="00684DD8">
              <w:rPr>
                <w:rFonts w:ascii="Arial Narrow" w:hAnsi="Arial Narrow"/>
                <w:b/>
                <w:sz w:val="20"/>
                <w:szCs w:val="22"/>
              </w:rPr>
              <w:t xml:space="preserve">n </w:t>
            </w:r>
            <w:r w:rsidR="00CE65D8" w:rsidRPr="00684DD8">
              <w:rPr>
                <w:rFonts w:ascii="Arial Narrow" w:hAnsi="Arial Narrow"/>
                <w:b/>
                <w:sz w:val="20"/>
                <w:szCs w:val="22"/>
              </w:rPr>
              <w:t>(%)</w:t>
            </w:r>
          </w:p>
        </w:tc>
      </w:tr>
      <w:tr w:rsidR="00CE65D8" w:rsidRPr="00684DD8" w:rsidTr="003848A2">
        <w:tc>
          <w:tcPr>
            <w:tcW w:w="3686" w:type="dxa"/>
          </w:tcPr>
          <w:p w:rsidR="00CE65D8" w:rsidRPr="00684DD8" w:rsidRDefault="00CE65D8" w:rsidP="003848A2">
            <w:pPr>
              <w:pStyle w:val="ListParagraph"/>
              <w:widowControl/>
              <w:ind w:left="0"/>
              <w:rPr>
                <w:rFonts w:ascii="Arial Narrow" w:hAnsi="Arial Narrow"/>
                <w:sz w:val="20"/>
                <w:szCs w:val="22"/>
              </w:rPr>
            </w:pPr>
            <w:r w:rsidRPr="00684DD8">
              <w:rPr>
                <w:rFonts w:ascii="Arial Narrow" w:hAnsi="Arial Narrow"/>
                <w:sz w:val="20"/>
                <w:szCs w:val="22"/>
              </w:rPr>
              <w:t xml:space="preserve">All treatment related emergent </w:t>
            </w:r>
            <w:r w:rsidR="003848A2" w:rsidRPr="00684DD8">
              <w:rPr>
                <w:rFonts w:ascii="Arial Narrow" w:hAnsi="Arial Narrow"/>
                <w:sz w:val="20"/>
                <w:szCs w:val="22"/>
              </w:rPr>
              <w:t>adverse event</w:t>
            </w:r>
            <w:r w:rsidRPr="00684DD8">
              <w:rPr>
                <w:rFonts w:ascii="Arial Narrow" w:hAnsi="Arial Narrow"/>
                <w:sz w:val="20"/>
                <w:szCs w:val="22"/>
              </w:rPr>
              <w:t>s</w:t>
            </w:r>
          </w:p>
        </w:tc>
        <w:tc>
          <w:tcPr>
            <w:tcW w:w="2268" w:type="dxa"/>
          </w:tcPr>
          <w:p w:rsidR="00CE65D8" w:rsidRPr="00684DD8" w:rsidRDefault="00D34A67" w:rsidP="003848A2">
            <w:pPr>
              <w:pStyle w:val="ListParagraph"/>
              <w:widowControl/>
              <w:ind w:left="0"/>
              <w:jc w:val="center"/>
              <w:rPr>
                <w:rFonts w:ascii="Arial Narrow" w:hAnsi="Arial Narrow"/>
                <w:sz w:val="20"/>
                <w:szCs w:val="22"/>
              </w:rPr>
            </w:pPr>
            <w:r>
              <w:rPr>
                <w:rFonts w:ascii="Arial Narrow" w:hAnsi="Arial Narrow"/>
                <w:noProof/>
                <w:color w:val="000000"/>
                <w:sz w:val="20"/>
                <w:szCs w:val="22"/>
                <w:highlight w:val="black"/>
              </w:rPr>
              <w:t>''''''''''</w:t>
            </w:r>
            <w:r w:rsidR="00CE65D8" w:rsidRPr="00684DD8">
              <w:rPr>
                <w:rFonts w:ascii="Arial Narrow" w:hAnsi="Arial Narrow"/>
                <w:sz w:val="20"/>
                <w:szCs w:val="22"/>
              </w:rPr>
              <w:t xml:space="preserve"> (</w:t>
            </w:r>
            <w:r>
              <w:rPr>
                <w:rFonts w:ascii="Arial Narrow" w:hAnsi="Arial Narrow"/>
                <w:noProof/>
                <w:color w:val="000000"/>
                <w:sz w:val="20"/>
                <w:szCs w:val="22"/>
                <w:highlight w:val="black"/>
              </w:rPr>
              <w:t>'''''''''''</w:t>
            </w:r>
            <w:r w:rsidR="00CE65D8" w:rsidRPr="00684DD8">
              <w:rPr>
                <w:rFonts w:ascii="Arial Narrow" w:hAnsi="Arial Narrow"/>
                <w:sz w:val="20"/>
                <w:szCs w:val="22"/>
              </w:rPr>
              <w:t>)</w:t>
            </w:r>
          </w:p>
        </w:tc>
        <w:tc>
          <w:tcPr>
            <w:tcW w:w="2472" w:type="dxa"/>
          </w:tcPr>
          <w:p w:rsidR="00CE65D8" w:rsidRPr="00684DD8" w:rsidRDefault="00D34A67" w:rsidP="003848A2">
            <w:pPr>
              <w:pStyle w:val="ListParagraph"/>
              <w:widowControl/>
              <w:ind w:left="0"/>
              <w:jc w:val="center"/>
              <w:rPr>
                <w:rFonts w:ascii="Arial Narrow" w:hAnsi="Arial Narrow"/>
                <w:sz w:val="20"/>
                <w:szCs w:val="22"/>
              </w:rPr>
            </w:pPr>
            <w:r>
              <w:rPr>
                <w:rFonts w:ascii="Arial Narrow" w:hAnsi="Arial Narrow"/>
                <w:noProof/>
                <w:color w:val="000000"/>
                <w:sz w:val="20"/>
                <w:szCs w:val="22"/>
                <w:highlight w:val="black"/>
              </w:rPr>
              <w:t>''''''</w:t>
            </w:r>
            <w:r w:rsidR="00CE65D8" w:rsidRPr="00684DD8">
              <w:rPr>
                <w:rFonts w:ascii="Arial Narrow" w:hAnsi="Arial Narrow"/>
                <w:sz w:val="20"/>
                <w:szCs w:val="22"/>
              </w:rPr>
              <w:t xml:space="preserve"> (</w:t>
            </w:r>
            <w:r>
              <w:rPr>
                <w:rFonts w:ascii="Arial Narrow" w:hAnsi="Arial Narrow"/>
                <w:noProof/>
                <w:color w:val="000000"/>
                <w:sz w:val="20"/>
                <w:szCs w:val="22"/>
                <w:highlight w:val="black"/>
              </w:rPr>
              <w:t>''''''''''</w:t>
            </w:r>
            <w:r w:rsidR="00CE65D8" w:rsidRPr="00684DD8">
              <w:rPr>
                <w:rFonts w:ascii="Arial Narrow" w:hAnsi="Arial Narrow"/>
                <w:sz w:val="20"/>
                <w:szCs w:val="22"/>
              </w:rPr>
              <w:t>)</w:t>
            </w:r>
          </w:p>
        </w:tc>
      </w:tr>
      <w:tr w:rsidR="00CE65D8" w:rsidRPr="00684DD8" w:rsidTr="003848A2">
        <w:tc>
          <w:tcPr>
            <w:tcW w:w="3686" w:type="dxa"/>
          </w:tcPr>
          <w:p w:rsidR="00CE65D8" w:rsidRPr="00684DD8" w:rsidRDefault="00CE65D8" w:rsidP="005727F0">
            <w:pPr>
              <w:pStyle w:val="ListParagraph"/>
              <w:widowControl/>
              <w:ind w:left="0"/>
              <w:rPr>
                <w:rFonts w:ascii="Arial Narrow" w:hAnsi="Arial Narrow"/>
                <w:sz w:val="20"/>
                <w:szCs w:val="22"/>
              </w:rPr>
            </w:pPr>
            <w:r w:rsidRPr="00684DD8">
              <w:rPr>
                <w:rFonts w:ascii="Arial Narrow" w:hAnsi="Arial Narrow"/>
                <w:sz w:val="20"/>
                <w:szCs w:val="22"/>
              </w:rPr>
              <w:t>≥ Grade 2</w:t>
            </w:r>
          </w:p>
        </w:tc>
        <w:tc>
          <w:tcPr>
            <w:tcW w:w="2268" w:type="dxa"/>
          </w:tcPr>
          <w:p w:rsidR="00CE65D8" w:rsidRPr="00684DD8" w:rsidRDefault="00D34A67" w:rsidP="003848A2">
            <w:pPr>
              <w:pStyle w:val="ListParagraph"/>
              <w:widowControl/>
              <w:ind w:left="0"/>
              <w:jc w:val="center"/>
              <w:rPr>
                <w:rFonts w:ascii="Arial Narrow" w:hAnsi="Arial Narrow"/>
                <w:sz w:val="20"/>
                <w:szCs w:val="22"/>
              </w:rPr>
            </w:pPr>
            <w:r>
              <w:rPr>
                <w:rFonts w:ascii="Arial Narrow" w:hAnsi="Arial Narrow"/>
                <w:noProof/>
                <w:color w:val="000000"/>
                <w:sz w:val="20"/>
                <w:szCs w:val="22"/>
                <w:highlight w:val="black"/>
              </w:rPr>
              <w:t>'''''''''</w:t>
            </w:r>
            <w:r w:rsidR="00CE65D8" w:rsidRPr="00684DD8">
              <w:rPr>
                <w:rFonts w:ascii="Arial Narrow" w:hAnsi="Arial Narrow"/>
                <w:sz w:val="20"/>
                <w:szCs w:val="22"/>
              </w:rPr>
              <w:t xml:space="preserve"> (</w:t>
            </w:r>
            <w:r>
              <w:rPr>
                <w:rFonts w:ascii="Arial Narrow" w:hAnsi="Arial Narrow"/>
                <w:noProof/>
                <w:color w:val="000000"/>
                <w:sz w:val="20"/>
                <w:szCs w:val="22"/>
                <w:highlight w:val="black"/>
              </w:rPr>
              <w:t>''''''''''</w:t>
            </w:r>
            <w:r w:rsidR="00CE65D8" w:rsidRPr="00684DD8">
              <w:rPr>
                <w:rFonts w:ascii="Arial Narrow" w:hAnsi="Arial Narrow"/>
                <w:sz w:val="20"/>
                <w:szCs w:val="22"/>
              </w:rPr>
              <w:t>)</w:t>
            </w:r>
          </w:p>
        </w:tc>
        <w:tc>
          <w:tcPr>
            <w:tcW w:w="2472" w:type="dxa"/>
          </w:tcPr>
          <w:p w:rsidR="00CE65D8" w:rsidRPr="00684DD8" w:rsidRDefault="00D34A67" w:rsidP="003848A2">
            <w:pPr>
              <w:pStyle w:val="ListParagraph"/>
              <w:widowControl/>
              <w:ind w:left="0"/>
              <w:jc w:val="center"/>
              <w:rPr>
                <w:rFonts w:ascii="Arial Narrow" w:hAnsi="Arial Narrow"/>
                <w:sz w:val="20"/>
                <w:szCs w:val="22"/>
              </w:rPr>
            </w:pPr>
            <w:r>
              <w:rPr>
                <w:rFonts w:ascii="Arial Narrow" w:hAnsi="Arial Narrow"/>
                <w:noProof/>
                <w:color w:val="000000"/>
                <w:sz w:val="20"/>
                <w:szCs w:val="22"/>
                <w:highlight w:val="black"/>
              </w:rPr>
              <w:t>''''''</w:t>
            </w:r>
            <w:r w:rsidR="00CE65D8" w:rsidRPr="00684DD8">
              <w:rPr>
                <w:rFonts w:ascii="Arial Narrow" w:hAnsi="Arial Narrow"/>
                <w:sz w:val="20"/>
                <w:szCs w:val="22"/>
              </w:rPr>
              <w:t xml:space="preserve"> (</w:t>
            </w:r>
            <w:r>
              <w:rPr>
                <w:rFonts w:ascii="Arial Narrow" w:hAnsi="Arial Narrow"/>
                <w:noProof/>
                <w:color w:val="000000"/>
                <w:sz w:val="20"/>
                <w:szCs w:val="22"/>
                <w:highlight w:val="black"/>
              </w:rPr>
              <w:t>''''''''''</w:t>
            </w:r>
            <w:r w:rsidR="00CE65D8" w:rsidRPr="00684DD8">
              <w:rPr>
                <w:rFonts w:ascii="Arial Narrow" w:hAnsi="Arial Narrow"/>
                <w:sz w:val="20"/>
                <w:szCs w:val="22"/>
              </w:rPr>
              <w:t>)</w:t>
            </w:r>
          </w:p>
        </w:tc>
      </w:tr>
      <w:tr w:rsidR="00CE65D8" w:rsidRPr="00684DD8" w:rsidTr="003848A2">
        <w:tc>
          <w:tcPr>
            <w:tcW w:w="3686" w:type="dxa"/>
          </w:tcPr>
          <w:p w:rsidR="00CE65D8" w:rsidRPr="00684DD8" w:rsidRDefault="00CE65D8" w:rsidP="005727F0">
            <w:pPr>
              <w:pStyle w:val="ListParagraph"/>
              <w:widowControl/>
              <w:ind w:left="0"/>
              <w:rPr>
                <w:rFonts w:ascii="Arial Narrow" w:hAnsi="Arial Narrow"/>
                <w:sz w:val="20"/>
                <w:szCs w:val="22"/>
              </w:rPr>
            </w:pPr>
            <w:r w:rsidRPr="00684DD8">
              <w:rPr>
                <w:rFonts w:ascii="Arial Narrow" w:hAnsi="Arial Narrow"/>
                <w:sz w:val="20"/>
                <w:szCs w:val="22"/>
              </w:rPr>
              <w:t>≥ Grade 3</w:t>
            </w:r>
          </w:p>
        </w:tc>
        <w:tc>
          <w:tcPr>
            <w:tcW w:w="2268" w:type="dxa"/>
          </w:tcPr>
          <w:p w:rsidR="00CE65D8" w:rsidRPr="00684DD8" w:rsidRDefault="00D34A67" w:rsidP="003848A2">
            <w:pPr>
              <w:pStyle w:val="ListParagraph"/>
              <w:widowControl/>
              <w:ind w:left="0"/>
              <w:jc w:val="center"/>
              <w:rPr>
                <w:rFonts w:ascii="Arial Narrow" w:hAnsi="Arial Narrow"/>
                <w:sz w:val="20"/>
                <w:szCs w:val="22"/>
              </w:rPr>
            </w:pPr>
            <w:r>
              <w:rPr>
                <w:rFonts w:ascii="Arial Narrow" w:hAnsi="Arial Narrow"/>
                <w:noProof/>
                <w:color w:val="000000"/>
                <w:sz w:val="20"/>
                <w:szCs w:val="22"/>
                <w:highlight w:val="black"/>
              </w:rPr>
              <w:t>'''''''''</w:t>
            </w:r>
            <w:r w:rsidR="00CE65D8" w:rsidRPr="00684DD8">
              <w:rPr>
                <w:rFonts w:ascii="Arial Narrow" w:hAnsi="Arial Narrow"/>
                <w:sz w:val="20"/>
                <w:szCs w:val="22"/>
              </w:rPr>
              <w:t xml:space="preserve"> (</w:t>
            </w:r>
            <w:r>
              <w:rPr>
                <w:rFonts w:ascii="Arial Narrow" w:hAnsi="Arial Narrow"/>
                <w:noProof/>
                <w:color w:val="000000"/>
                <w:sz w:val="20"/>
                <w:szCs w:val="22"/>
                <w:highlight w:val="black"/>
              </w:rPr>
              <w:t>''''''''''''</w:t>
            </w:r>
            <w:r w:rsidR="00CE65D8" w:rsidRPr="00684DD8">
              <w:rPr>
                <w:rFonts w:ascii="Arial Narrow" w:hAnsi="Arial Narrow"/>
                <w:sz w:val="20"/>
                <w:szCs w:val="22"/>
              </w:rPr>
              <w:t>)</w:t>
            </w:r>
          </w:p>
        </w:tc>
        <w:tc>
          <w:tcPr>
            <w:tcW w:w="2472" w:type="dxa"/>
          </w:tcPr>
          <w:p w:rsidR="00CE65D8" w:rsidRPr="00684DD8" w:rsidRDefault="00D34A67" w:rsidP="003848A2">
            <w:pPr>
              <w:pStyle w:val="ListParagraph"/>
              <w:widowControl/>
              <w:ind w:left="0"/>
              <w:jc w:val="center"/>
              <w:rPr>
                <w:rFonts w:ascii="Arial Narrow" w:hAnsi="Arial Narrow"/>
                <w:sz w:val="20"/>
                <w:szCs w:val="22"/>
              </w:rPr>
            </w:pPr>
            <w:r>
              <w:rPr>
                <w:rFonts w:ascii="Arial Narrow" w:hAnsi="Arial Narrow"/>
                <w:noProof/>
                <w:color w:val="000000"/>
                <w:sz w:val="20"/>
                <w:szCs w:val="22"/>
                <w:highlight w:val="black"/>
              </w:rPr>
              <w:t>'''''</w:t>
            </w:r>
            <w:r w:rsidR="00CE65D8" w:rsidRPr="00684DD8">
              <w:rPr>
                <w:rFonts w:ascii="Arial Narrow" w:hAnsi="Arial Narrow"/>
                <w:sz w:val="20"/>
                <w:szCs w:val="22"/>
              </w:rPr>
              <w:t xml:space="preserve"> (</w:t>
            </w:r>
            <w:r>
              <w:rPr>
                <w:rFonts w:ascii="Arial Narrow" w:hAnsi="Arial Narrow"/>
                <w:noProof/>
                <w:color w:val="000000"/>
                <w:sz w:val="20"/>
                <w:szCs w:val="22"/>
                <w:highlight w:val="black"/>
              </w:rPr>
              <w:t>''''''''''</w:t>
            </w:r>
            <w:r w:rsidR="00CE65D8" w:rsidRPr="00684DD8">
              <w:rPr>
                <w:rFonts w:ascii="Arial Narrow" w:hAnsi="Arial Narrow"/>
                <w:sz w:val="20"/>
                <w:szCs w:val="22"/>
              </w:rPr>
              <w:t>)</w:t>
            </w:r>
          </w:p>
        </w:tc>
      </w:tr>
      <w:tr w:rsidR="00CE65D8" w:rsidRPr="00684DD8" w:rsidTr="003848A2">
        <w:tc>
          <w:tcPr>
            <w:tcW w:w="3686" w:type="dxa"/>
          </w:tcPr>
          <w:p w:rsidR="00CE65D8" w:rsidRPr="00684DD8" w:rsidRDefault="00CE65D8" w:rsidP="005727F0">
            <w:pPr>
              <w:pStyle w:val="ListParagraph"/>
              <w:widowControl/>
              <w:ind w:left="0"/>
              <w:rPr>
                <w:rFonts w:ascii="Arial Narrow" w:hAnsi="Arial Narrow"/>
                <w:sz w:val="20"/>
                <w:szCs w:val="22"/>
              </w:rPr>
            </w:pPr>
            <w:r w:rsidRPr="00684DD8">
              <w:rPr>
                <w:rFonts w:ascii="Arial Narrow" w:hAnsi="Arial Narrow"/>
                <w:sz w:val="20"/>
                <w:szCs w:val="22"/>
              </w:rPr>
              <w:t>≥ Grade 4</w:t>
            </w:r>
          </w:p>
        </w:tc>
        <w:tc>
          <w:tcPr>
            <w:tcW w:w="2268" w:type="dxa"/>
          </w:tcPr>
          <w:p w:rsidR="00CE65D8" w:rsidRPr="00684DD8" w:rsidRDefault="00D34A67" w:rsidP="003848A2">
            <w:pPr>
              <w:pStyle w:val="ListParagraph"/>
              <w:widowControl/>
              <w:ind w:left="0"/>
              <w:jc w:val="center"/>
              <w:rPr>
                <w:rFonts w:ascii="Arial Narrow" w:hAnsi="Arial Narrow"/>
                <w:sz w:val="20"/>
                <w:szCs w:val="22"/>
              </w:rPr>
            </w:pPr>
            <w:r>
              <w:rPr>
                <w:rFonts w:ascii="Arial Narrow" w:hAnsi="Arial Narrow"/>
                <w:noProof/>
                <w:color w:val="000000"/>
                <w:sz w:val="20"/>
                <w:szCs w:val="22"/>
                <w:highlight w:val="black"/>
              </w:rPr>
              <w:t>'''''</w:t>
            </w:r>
            <w:r w:rsidR="00CE65D8" w:rsidRPr="00684DD8">
              <w:rPr>
                <w:rFonts w:ascii="Arial Narrow" w:hAnsi="Arial Narrow"/>
                <w:sz w:val="20"/>
                <w:szCs w:val="22"/>
              </w:rPr>
              <w:t xml:space="preserve"> (</w:t>
            </w:r>
            <w:r>
              <w:rPr>
                <w:rFonts w:ascii="Arial Narrow" w:hAnsi="Arial Narrow"/>
                <w:noProof/>
                <w:color w:val="000000"/>
                <w:sz w:val="20"/>
                <w:szCs w:val="22"/>
                <w:highlight w:val="black"/>
              </w:rPr>
              <w:t>''''''''''</w:t>
            </w:r>
            <w:r w:rsidR="00CE65D8" w:rsidRPr="00684DD8">
              <w:rPr>
                <w:rFonts w:ascii="Arial Narrow" w:hAnsi="Arial Narrow"/>
                <w:sz w:val="20"/>
                <w:szCs w:val="22"/>
              </w:rPr>
              <w:t>)</w:t>
            </w:r>
          </w:p>
        </w:tc>
        <w:tc>
          <w:tcPr>
            <w:tcW w:w="2472" w:type="dxa"/>
          </w:tcPr>
          <w:p w:rsidR="00CE65D8" w:rsidRPr="00684DD8" w:rsidRDefault="00D34A67" w:rsidP="003848A2">
            <w:pPr>
              <w:pStyle w:val="ListParagraph"/>
              <w:widowControl/>
              <w:ind w:left="0"/>
              <w:jc w:val="center"/>
              <w:rPr>
                <w:rFonts w:ascii="Arial Narrow" w:hAnsi="Arial Narrow"/>
                <w:sz w:val="20"/>
                <w:szCs w:val="22"/>
              </w:rPr>
            </w:pPr>
            <w:r>
              <w:rPr>
                <w:rFonts w:ascii="Arial Narrow" w:hAnsi="Arial Narrow"/>
                <w:noProof/>
                <w:color w:val="000000"/>
                <w:sz w:val="20"/>
                <w:szCs w:val="22"/>
                <w:highlight w:val="black"/>
              </w:rPr>
              <w:t>''''''</w:t>
            </w:r>
            <w:r w:rsidR="00CE65D8" w:rsidRPr="00684DD8">
              <w:rPr>
                <w:rFonts w:ascii="Arial Narrow" w:hAnsi="Arial Narrow"/>
                <w:sz w:val="20"/>
                <w:szCs w:val="22"/>
              </w:rPr>
              <w:t xml:space="preserve"> (</w:t>
            </w:r>
            <w:r>
              <w:rPr>
                <w:rFonts w:ascii="Arial Narrow" w:hAnsi="Arial Narrow"/>
                <w:noProof/>
                <w:color w:val="000000"/>
                <w:sz w:val="20"/>
                <w:szCs w:val="22"/>
                <w:highlight w:val="black"/>
              </w:rPr>
              <w:t>''''''''''</w:t>
            </w:r>
            <w:r w:rsidR="00CE65D8" w:rsidRPr="00684DD8">
              <w:rPr>
                <w:rFonts w:ascii="Arial Narrow" w:hAnsi="Arial Narrow"/>
                <w:sz w:val="20"/>
                <w:szCs w:val="22"/>
              </w:rPr>
              <w:t>)</w:t>
            </w:r>
          </w:p>
        </w:tc>
      </w:tr>
    </w:tbl>
    <w:p w:rsidR="00CE65D8" w:rsidRPr="00684DD8" w:rsidRDefault="003848A2" w:rsidP="003848A2">
      <w:pPr>
        <w:pStyle w:val="TableFooter"/>
        <w:ind w:left="709"/>
      </w:pPr>
      <w:r w:rsidRPr="00684DD8">
        <w:t>Source: PSCR (p2) Table 2</w:t>
      </w:r>
    </w:p>
    <w:p w:rsidR="003848A2" w:rsidRPr="00684DD8" w:rsidRDefault="003848A2" w:rsidP="003848A2">
      <w:pPr>
        <w:pStyle w:val="TableFooter"/>
        <w:ind w:left="709"/>
      </w:pPr>
      <w:r w:rsidRPr="00684DD8">
        <w:t>SC = standard care</w:t>
      </w:r>
    </w:p>
    <w:p w:rsidR="00CE65D8" w:rsidRPr="00684DD8" w:rsidRDefault="00CE65D8" w:rsidP="007F1017">
      <w:pPr>
        <w:pStyle w:val="ListParagraph"/>
        <w:ind w:left="0"/>
        <w:rPr>
          <w:szCs w:val="22"/>
        </w:rPr>
      </w:pPr>
    </w:p>
    <w:p w:rsidR="00C67A39" w:rsidRPr="008A3185" w:rsidRDefault="00C67A39" w:rsidP="008B4389">
      <w:pPr>
        <w:pStyle w:val="ListParagraph"/>
        <w:numPr>
          <w:ilvl w:val="1"/>
          <w:numId w:val="1"/>
        </w:numPr>
      </w:pPr>
      <w:r w:rsidRPr="008A3185">
        <w:t>The ESC noted that pre-treatment with dexamethasone</w:t>
      </w:r>
      <w:r w:rsidR="00EA350B" w:rsidRPr="008A3185">
        <w:t xml:space="preserve"> appeared</w:t>
      </w:r>
      <w:r w:rsidR="00841DDF" w:rsidRPr="008A3185">
        <w:t xml:space="preserve"> to</w:t>
      </w:r>
      <w:r w:rsidRPr="008A3185">
        <w:t xml:space="preserve"> </w:t>
      </w:r>
      <w:r w:rsidR="00841DDF" w:rsidRPr="008A3185">
        <w:t>reduce the risk of cytokine release syndrome</w:t>
      </w:r>
      <w:r w:rsidR="00512D59" w:rsidRPr="008A3185">
        <w:t xml:space="preserve"> by reducing cytokine concentration</w:t>
      </w:r>
      <w:r w:rsidR="00841DDF" w:rsidRPr="008A3185">
        <w:t xml:space="preserve"> without adversely impacting</w:t>
      </w:r>
      <w:r w:rsidR="00512D59" w:rsidRPr="008A3185">
        <w:t xml:space="preserve"> T-cell activation or the cytotoxic potential </w:t>
      </w:r>
      <w:r w:rsidR="00841DDF" w:rsidRPr="008A3185">
        <w:t xml:space="preserve">of </w:t>
      </w:r>
      <w:proofErr w:type="spellStart"/>
      <w:r w:rsidR="00512D59" w:rsidRPr="008A3185">
        <w:t>blinatumomab</w:t>
      </w:r>
      <w:proofErr w:type="spellEnd"/>
      <w:r w:rsidR="00512D59" w:rsidRPr="008A3185">
        <w:t>, while some patients with severe reactions</w:t>
      </w:r>
      <w:r w:rsidR="00F0265F" w:rsidRPr="008A3185">
        <w:t xml:space="preserve"> may</w:t>
      </w:r>
      <w:r w:rsidR="00512D59" w:rsidRPr="008A3185">
        <w:t xml:space="preserve"> require treatment with </w:t>
      </w:r>
      <w:proofErr w:type="spellStart"/>
      <w:r w:rsidR="00512D59" w:rsidRPr="008A3185">
        <w:t>tocilizumab</w:t>
      </w:r>
      <w:proofErr w:type="spellEnd"/>
      <w:r w:rsidR="00512D59" w:rsidRPr="008A3185">
        <w:t xml:space="preserve">. </w:t>
      </w:r>
    </w:p>
    <w:p w:rsidR="00841DDF" w:rsidRPr="00684DD8" w:rsidRDefault="00841DDF" w:rsidP="007F1017">
      <w:pPr>
        <w:pStyle w:val="ListParagraph"/>
        <w:ind w:left="0"/>
        <w:rPr>
          <w:i/>
          <w:szCs w:val="22"/>
        </w:rPr>
      </w:pPr>
    </w:p>
    <w:p w:rsidR="007F1017" w:rsidRPr="00684DD8" w:rsidRDefault="007F1017" w:rsidP="003C215E">
      <w:pPr>
        <w:pStyle w:val="Heading4"/>
      </w:pPr>
      <w:bookmarkStart w:id="16" w:name="_Toc450655481"/>
      <w:bookmarkStart w:id="17" w:name="_Toc450820745"/>
      <w:r w:rsidRPr="00684DD8">
        <w:t>Benefits/harms</w:t>
      </w:r>
      <w:bookmarkEnd w:id="16"/>
      <w:bookmarkEnd w:id="17"/>
    </w:p>
    <w:p w:rsidR="007F1017" w:rsidRPr="00684DD8" w:rsidRDefault="007F1017" w:rsidP="007F1017">
      <w:pPr>
        <w:pStyle w:val="ListParagraph"/>
        <w:ind w:left="0"/>
        <w:rPr>
          <w:szCs w:val="22"/>
        </w:rPr>
      </w:pPr>
    </w:p>
    <w:p w:rsidR="000A3A4E" w:rsidRPr="008A3185" w:rsidRDefault="000A3A4E" w:rsidP="008B4389">
      <w:pPr>
        <w:pStyle w:val="ListParagraph"/>
        <w:numPr>
          <w:ilvl w:val="1"/>
          <w:numId w:val="1"/>
        </w:numPr>
      </w:pPr>
      <w:r w:rsidRPr="00684DD8">
        <w:t xml:space="preserve">A summary of the comparative benefits of </w:t>
      </w:r>
      <w:proofErr w:type="spellStart"/>
      <w:r w:rsidRPr="00684DD8">
        <w:t>blinatumomab</w:t>
      </w:r>
      <w:proofErr w:type="spellEnd"/>
      <w:r w:rsidRPr="00684DD8">
        <w:t xml:space="preserve"> versus </w:t>
      </w:r>
      <w:r w:rsidR="00C926FC" w:rsidRPr="00684DD8">
        <w:t>standard care</w:t>
      </w:r>
      <w:r w:rsidRPr="00684DD8">
        <w:t xml:space="preserve"> chemotherapy is presented below. </w:t>
      </w:r>
      <w:r w:rsidR="00451389" w:rsidRPr="00684DD8">
        <w:t>Similar to the original submission, t</w:t>
      </w:r>
      <w:r w:rsidRPr="00684DD8">
        <w:t xml:space="preserve">here were no comparative harms presented in the </w:t>
      </w:r>
      <w:r w:rsidR="00481C66" w:rsidRPr="00684DD8">
        <w:t>resubmission</w:t>
      </w:r>
      <w:r w:rsidRPr="00684DD8">
        <w:t>.</w:t>
      </w:r>
    </w:p>
    <w:p w:rsidR="00B00903" w:rsidRPr="00684DD8" w:rsidRDefault="00B00903" w:rsidP="00D06FD4">
      <w:pPr>
        <w:rPr>
          <w:rStyle w:val="CommentReference"/>
          <w:rFonts w:ascii="Arial" w:hAnsi="Arial"/>
          <w:b w:val="0"/>
          <w:sz w:val="22"/>
          <w:szCs w:val="22"/>
        </w:rPr>
      </w:pPr>
    </w:p>
    <w:p w:rsidR="00465750" w:rsidRPr="00684DD8" w:rsidRDefault="00465750">
      <w:pPr>
        <w:widowControl/>
        <w:jc w:val="left"/>
        <w:rPr>
          <w:rStyle w:val="CommentReference"/>
          <w:rFonts w:ascii="Arial" w:hAnsi="Arial"/>
          <w:b w:val="0"/>
          <w:sz w:val="22"/>
          <w:szCs w:val="22"/>
          <w:highlight w:val="yellow"/>
        </w:rPr>
      </w:pPr>
      <w:r w:rsidRPr="00684DD8">
        <w:rPr>
          <w:rStyle w:val="CommentReference"/>
          <w:rFonts w:ascii="Arial" w:hAnsi="Arial"/>
          <w:b w:val="0"/>
          <w:sz w:val="22"/>
          <w:szCs w:val="22"/>
          <w:highlight w:val="yellow"/>
        </w:rPr>
        <w:br w:type="page"/>
      </w:r>
    </w:p>
    <w:p w:rsidR="00B00903" w:rsidRPr="00684DD8" w:rsidRDefault="00B00903" w:rsidP="00F0265F">
      <w:pPr>
        <w:widowControl/>
        <w:ind w:firstLine="720"/>
        <w:jc w:val="left"/>
        <w:rPr>
          <w:rStyle w:val="CommentReference"/>
        </w:rPr>
      </w:pPr>
      <w:r w:rsidRPr="00684DD8">
        <w:rPr>
          <w:rStyle w:val="CommentReference"/>
        </w:rPr>
        <w:lastRenderedPageBreak/>
        <w:t xml:space="preserve">Table </w:t>
      </w:r>
      <w:r w:rsidR="00CE65D8" w:rsidRPr="00684DD8">
        <w:rPr>
          <w:rStyle w:val="CommentReference"/>
        </w:rPr>
        <w:t>6</w:t>
      </w:r>
      <w:r w:rsidRPr="00684DD8">
        <w:rPr>
          <w:rStyle w:val="CommentReference"/>
        </w:rPr>
        <w:t xml:space="preserve">: Summary of comparative benefits for </w:t>
      </w:r>
      <w:proofErr w:type="spellStart"/>
      <w:r w:rsidRPr="00684DD8">
        <w:rPr>
          <w:rStyle w:val="CommentReference"/>
        </w:rPr>
        <w:t>blinatumomab</w:t>
      </w:r>
      <w:proofErr w:type="spellEnd"/>
      <w:r w:rsidRPr="00684DD8">
        <w:rPr>
          <w:rStyle w:val="CommentReference"/>
        </w:rPr>
        <w:t xml:space="preserve"> and </w:t>
      </w:r>
      <w:r w:rsidR="00C926FC" w:rsidRPr="00684DD8">
        <w:rPr>
          <w:rStyle w:val="CommentReference"/>
        </w:rPr>
        <w:t>standard care</w:t>
      </w:r>
      <w:r w:rsidRPr="00684DD8">
        <w:rPr>
          <w:rStyle w:val="CommentReference"/>
        </w:rPr>
        <w:t xml:space="preserve"> chemotherapy</w:t>
      </w:r>
    </w:p>
    <w:tbl>
      <w:tblPr>
        <w:tblStyle w:val="TableGrid"/>
        <w:tblW w:w="4625" w:type="pct"/>
        <w:tblInd w:w="698" w:type="dxa"/>
        <w:tblLayout w:type="fixed"/>
        <w:tblCellMar>
          <w:left w:w="28" w:type="dxa"/>
          <w:right w:w="28" w:type="dxa"/>
        </w:tblCellMar>
        <w:tblLook w:val="04A0" w:firstRow="1" w:lastRow="0" w:firstColumn="1" w:lastColumn="0" w:noHBand="0" w:noVBand="1"/>
      </w:tblPr>
      <w:tblGrid>
        <w:gridCol w:w="2863"/>
        <w:gridCol w:w="1195"/>
        <w:gridCol w:w="234"/>
        <w:gridCol w:w="556"/>
        <w:gridCol w:w="719"/>
        <w:gridCol w:w="1275"/>
        <w:gridCol w:w="420"/>
        <w:gridCol w:w="434"/>
        <w:gridCol w:w="706"/>
      </w:tblGrid>
      <w:tr w:rsidR="00780826" w:rsidRPr="00684DD8" w:rsidTr="003E4610">
        <w:trPr>
          <w:trHeight w:val="150"/>
          <w:tblHeader/>
        </w:trPr>
        <w:tc>
          <w:tcPr>
            <w:tcW w:w="1704" w:type="pct"/>
            <w:vMerge w:val="restar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b/>
                <w:sz w:val="20"/>
                <w:szCs w:val="18"/>
              </w:rPr>
            </w:pP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b/>
                <w:sz w:val="20"/>
                <w:szCs w:val="18"/>
              </w:rPr>
            </w:pPr>
            <w:proofErr w:type="spellStart"/>
            <w:r w:rsidRPr="00684DD8">
              <w:rPr>
                <w:rFonts w:ascii="Arial Narrow" w:hAnsi="Arial Narrow"/>
                <w:b/>
                <w:sz w:val="20"/>
                <w:szCs w:val="18"/>
              </w:rPr>
              <w:t>Blinatumomab</w:t>
            </w:r>
            <w:proofErr w:type="spellEnd"/>
          </w:p>
        </w:tc>
        <w:tc>
          <w:tcPr>
            <w:tcW w:w="47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00903" w:rsidRPr="00684DD8" w:rsidRDefault="00C926FC">
            <w:pPr>
              <w:keepNext/>
              <w:snapToGrid w:val="0"/>
              <w:jc w:val="center"/>
              <w:rPr>
                <w:rFonts w:ascii="Arial Narrow" w:hAnsi="Arial Narrow"/>
                <w:b/>
                <w:sz w:val="20"/>
                <w:szCs w:val="18"/>
              </w:rPr>
            </w:pPr>
            <w:r w:rsidRPr="00684DD8">
              <w:rPr>
                <w:rFonts w:ascii="Arial Narrow" w:hAnsi="Arial Narrow"/>
                <w:b/>
                <w:sz w:val="20"/>
                <w:szCs w:val="18"/>
              </w:rPr>
              <w:t>SC</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jc w:val="center"/>
              <w:rPr>
                <w:rFonts w:ascii="Arial Narrow" w:hAnsi="Arial Narrow"/>
                <w:b/>
                <w:sz w:val="20"/>
                <w:szCs w:val="18"/>
              </w:rPr>
            </w:pPr>
            <w:r w:rsidRPr="00684DD8">
              <w:rPr>
                <w:rFonts w:ascii="Arial Narrow" w:hAnsi="Arial Narrow"/>
                <w:b/>
                <w:sz w:val="20"/>
                <w:szCs w:val="18"/>
              </w:rPr>
              <w:t>RR</w:t>
            </w:r>
          </w:p>
          <w:p w:rsidR="00B00903" w:rsidRPr="00684DD8" w:rsidRDefault="00B00903">
            <w:pPr>
              <w:keepNext/>
              <w:snapToGrid w:val="0"/>
              <w:jc w:val="center"/>
              <w:rPr>
                <w:rFonts w:ascii="Arial Narrow" w:hAnsi="Arial Narrow"/>
                <w:b/>
                <w:sz w:val="20"/>
                <w:szCs w:val="18"/>
              </w:rPr>
            </w:pPr>
            <w:r w:rsidRPr="00684DD8">
              <w:rPr>
                <w:rFonts w:ascii="Arial Narrow" w:hAnsi="Arial Narrow"/>
                <w:b/>
                <w:sz w:val="20"/>
                <w:szCs w:val="18"/>
              </w:rPr>
              <w:t>(95% CI)</w:t>
            </w:r>
          </w:p>
        </w:tc>
        <w:tc>
          <w:tcPr>
            <w:tcW w:w="1267" w:type="pct"/>
            <w:gridSpan w:val="3"/>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b/>
                <w:sz w:val="20"/>
                <w:szCs w:val="18"/>
              </w:rPr>
            </w:pPr>
            <w:r w:rsidRPr="00684DD8">
              <w:rPr>
                <w:rFonts w:ascii="Arial Narrow" w:hAnsi="Arial Narrow"/>
                <w:b/>
                <w:sz w:val="20"/>
                <w:szCs w:val="18"/>
              </w:rPr>
              <w:t xml:space="preserve">Event rate/100 patients </w:t>
            </w:r>
            <w:r w:rsidRPr="00684DD8">
              <w:rPr>
                <w:rFonts w:ascii="Arial Narrow" w:hAnsi="Arial Narrow"/>
                <w:b/>
                <w:sz w:val="20"/>
                <w:szCs w:val="18"/>
                <w:vertAlign w:val="superscript"/>
              </w:rPr>
              <w:t>a</w:t>
            </w:r>
            <w:r w:rsidRPr="00684DD8">
              <w:rPr>
                <w:rFonts w:ascii="Arial Narrow" w:hAnsi="Arial Narrow"/>
                <w:b/>
                <w:sz w:val="20"/>
                <w:szCs w:val="18"/>
              </w:rPr>
              <w:t xml:space="preserve"> </w:t>
            </w:r>
          </w:p>
        </w:tc>
        <w:tc>
          <w:tcPr>
            <w:tcW w:w="420" w:type="pct"/>
            <w:vMerge w:val="restar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jc w:val="center"/>
              <w:rPr>
                <w:rFonts w:ascii="Arial Narrow" w:hAnsi="Arial Narrow"/>
                <w:b/>
                <w:sz w:val="20"/>
                <w:szCs w:val="18"/>
              </w:rPr>
            </w:pPr>
            <w:r w:rsidRPr="00684DD8">
              <w:rPr>
                <w:rFonts w:ascii="Arial Narrow" w:hAnsi="Arial Narrow"/>
                <w:b/>
                <w:sz w:val="20"/>
                <w:szCs w:val="18"/>
              </w:rPr>
              <w:t>RD</w:t>
            </w:r>
          </w:p>
          <w:p w:rsidR="00B00903" w:rsidRPr="00684DD8" w:rsidRDefault="00B00903">
            <w:pPr>
              <w:keepNext/>
              <w:snapToGrid w:val="0"/>
              <w:jc w:val="center"/>
              <w:rPr>
                <w:rFonts w:ascii="Arial Narrow" w:hAnsi="Arial Narrow"/>
                <w:b/>
                <w:sz w:val="20"/>
                <w:szCs w:val="18"/>
              </w:rPr>
            </w:pPr>
            <w:r w:rsidRPr="00684DD8">
              <w:rPr>
                <w:rFonts w:ascii="Arial Narrow" w:hAnsi="Arial Narrow"/>
                <w:b/>
                <w:sz w:val="20"/>
                <w:szCs w:val="18"/>
              </w:rPr>
              <w:t>(95% CI)</w:t>
            </w:r>
          </w:p>
        </w:tc>
      </w:tr>
      <w:tr w:rsidR="00780826" w:rsidRPr="00684DD8" w:rsidTr="001F3BE3">
        <w:trPr>
          <w:trHeight w:val="110"/>
          <w:tblHeader/>
        </w:trPr>
        <w:tc>
          <w:tcPr>
            <w:tcW w:w="1704" w:type="pct"/>
            <w:vMerge/>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widowControl/>
              <w:jc w:val="left"/>
              <w:rPr>
                <w:rFonts w:ascii="Arial Narrow" w:hAnsi="Arial Narrow"/>
                <w:b/>
                <w:sz w:val="20"/>
                <w:szCs w:val="18"/>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widowControl/>
              <w:jc w:val="left"/>
              <w:rPr>
                <w:rFonts w:ascii="Arial Narrow" w:hAnsi="Arial Narrow"/>
                <w:b/>
                <w:sz w:val="20"/>
                <w:szCs w:val="18"/>
              </w:rPr>
            </w:pPr>
          </w:p>
        </w:tc>
        <w:tc>
          <w:tcPr>
            <w:tcW w:w="470" w:type="pct"/>
            <w:gridSpan w:val="2"/>
            <w:vMerge/>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widowControl/>
              <w:jc w:val="left"/>
              <w:rPr>
                <w:rFonts w:ascii="Arial Narrow" w:hAnsi="Arial Narrow"/>
                <w:b/>
                <w:sz w:val="20"/>
                <w:szCs w:val="18"/>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widowControl/>
              <w:jc w:val="left"/>
              <w:rPr>
                <w:rFonts w:ascii="Arial Narrow" w:hAnsi="Arial Narrow"/>
                <w:b/>
                <w:sz w:val="20"/>
                <w:szCs w:val="18"/>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b/>
                <w:sz w:val="20"/>
                <w:szCs w:val="18"/>
              </w:rPr>
            </w:pPr>
            <w:proofErr w:type="spellStart"/>
            <w:r w:rsidRPr="00684DD8">
              <w:rPr>
                <w:rFonts w:ascii="Arial Narrow" w:hAnsi="Arial Narrow"/>
                <w:b/>
                <w:sz w:val="20"/>
                <w:szCs w:val="18"/>
              </w:rPr>
              <w:t>Blinatumomab</w:t>
            </w:r>
            <w:proofErr w:type="spellEnd"/>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C926FC">
            <w:pPr>
              <w:keepNext/>
              <w:snapToGrid w:val="0"/>
              <w:jc w:val="center"/>
              <w:rPr>
                <w:rFonts w:ascii="Arial Narrow" w:hAnsi="Arial Narrow"/>
                <w:b/>
                <w:sz w:val="20"/>
                <w:szCs w:val="18"/>
              </w:rPr>
            </w:pPr>
            <w:r w:rsidRPr="00684DD8">
              <w:rPr>
                <w:rFonts w:ascii="Arial Narrow" w:hAnsi="Arial Narrow"/>
                <w:b/>
                <w:sz w:val="20"/>
                <w:szCs w:val="18"/>
              </w:rPr>
              <w:t>SC</w:t>
            </w: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widowControl/>
              <w:jc w:val="left"/>
              <w:rPr>
                <w:rFonts w:ascii="Arial Narrow" w:hAnsi="Arial Narrow"/>
                <w:b/>
                <w:sz w:val="20"/>
                <w:szCs w:val="18"/>
              </w:rPr>
            </w:pPr>
          </w:p>
        </w:tc>
      </w:tr>
      <w:tr w:rsidR="00780826" w:rsidRPr="00684DD8" w:rsidTr="005C3E73">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b/>
                <w:sz w:val="20"/>
                <w:szCs w:val="18"/>
              </w:rPr>
            </w:pPr>
            <w:r w:rsidRPr="00684DD8">
              <w:rPr>
                <w:rFonts w:ascii="Arial Narrow" w:hAnsi="Arial Narrow"/>
                <w:b/>
                <w:sz w:val="20"/>
                <w:szCs w:val="18"/>
              </w:rPr>
              <w:t xml:space="preserve">CR + </w:t>
            </w:r>
            <w:proofErr w:type="spellStart"/>
            <w:r w:rsidRPr="00684DD8">
              <w:rPr>
                <w:rFonts w:ascii="Arial Narrow" w:hAnsi="Arial Narrow"/>
                <w:b/>
                <w:sz w:val="20"/>
                <w:szCs w:val="18"/>
              </w:rPr>
              <w:t>CRh</w:t>
            </w:r>
            <w:proofErr w:type="spellEnd"/>
            <w:r w:rsidRPr="00684DD8">
              <w:rPr>
                <w:rFonts w:ascii="Arial Narrow" w:hAnsi="Arial Narrow"/>
                <w:b/>
                <w:sz w:val="20"/>
                <w:szCs w:val="18"/>
              </w:rPr>
              <w:t xml:space="preserve">* (or </w:t>
            </w:r>
            <w:proofErr w:type="spellStart"/>
            <w:r w:rsidRPr="00684DD8">
              <w:rPr>
                <w:rFonts w:ascii="Arial Narrow" w:hAnsi="Arial Narrow"/>
                <w:b/>
                <w:sz w:val="20"/>
                <w:szCs w:val="18"/>
              </w:rPr>
              <w:t>CRsg</w:t>
            </w:r>
            <w:proofErr w:type="spellEnd"/>
            <w:r w:rsidRPr="00684DD8">
              <w:rPr>
                <w:rFonts w:ascii="Arial Narrow" w:hAnsi="Arial Narrow"/>
                <w:b/>
                <w:sz w:val="20"/>
                <w:szCs w:val="18"/>
              </w:rPr>
              <w:t>), n</w:t>
            </w:r>
          </w:p>
        </w:tc>
      </w:tr>
      <w:tr w:rsidR="00780826" w:rsidRPr="00684DD8" w:rsidTr="001F3BE3">
        <w:tc>
          <w:tcPr>
            <w:tcW w:w="1704"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MT103-211 (FAS)</w:t>
            </w:r>
          </w:p>
        </w:tc>
        <w:tc>
          <w:tcPr>
            <w:tcW w:w="711"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99/225</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44</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420"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1F3BE3">
        <w:tc>
          <w:tcPr>
            <w:tcW w:w="1704"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MT103-206</w:t>
            </w:r>
          </w:p>
        </w:tc>
        <w:tc>
          <w:tcPr>
            <w:tcW w:w="711"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25/36</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69</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420"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1F3BE3">
        <w:tc>
          <w:tcPr>
            <w:tcW w:w="1704"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20120310</w:t>
            </w:r>
            <w:r w:rsidR="000A3A4E" w:rsidRPr="00684DD8">
              <w:rPr>
                <w:rFonts w:ascii="Arial Narrow" w:hAnsi="Arial Narrow"/>
                <w:sz w:val="20"/>
                <w:szCs w:val="18"/>
              </w:rPr>
              <w:t xml:space="preserve"> (1990-2012)</w:t>
            </w:r>
          </w:p>
        </w:tc>
        <w:tc>
          <w:tcPr>
            <w:tcW w:w="711"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 xml:space="preserve">NR </w:t>
            </w:r>
            <w:r w:rsidRPr="00684DD8">
              <w:rPr>
                <w:rFonts w:ascii="Arial Narrow" w:hAnsi="Arial Narrow"/>
                <w:sz w:val="20"/>
                <w:szCs w:val="18"/>
                <w:vertAlign w:val="superscript"/>
              </w:rPr>
              <w:t>b</w:t>
            </w:r>
          </w:p>
        </w:tc>
        <w:tc>
          <w:tcPr>
            <w:tcW w:w="428"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24</w:t>
            </w:r>
          </w:p>
        </w:tc>
        <w:tc>
          <w:tcPr>
            <w:tcW w:w="420"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1F3BE3">
        <w:tc>
          <w:tcPr>
            <w:tcW w:w="1704" w:type="pct"/>
            <w:tcBorders>
              <w:top w:val="single" w:sz="4" w:space="0" w:color="auto"/>
              <w:left w:val="single" w:sz="4" w:space="0" w:color="auto"/>
              <w:bottom w:val="single" w:sz="4" w:space="0" w:color="auto"/>
              <w:right w:val="single" w:sz="4" w:space="0" w:color="auto"/>
            </w:tcBorders>
            <w:vAlign w:val="center"/>
          </w:tcPr>
          <w:p w:rsidR="00B00903" w:rsidRPr="00684DD8" w:rsidRDefault="00B00903" w:rsidP="00265781">
            <w:pPr>
              <w:keepNext/>
              <w:snapToGrid w:val="0"/>
              <w:rPr>
                <w:rFonts w:ascii="Arial Narrow" w:hAnsi="Arial Narrow"/>
                <w:sz w:val="20"/>
                <w:szCs w:val="18"/>
              </w:rPr>
            </w:pPr>
            <w:r w:rsidRPr="00684DD8">
              <w:rPr>
                <w:rFonts w:ascii="Arial Narrow" w:hAnsi="Arial Narrow"/>
                <w:sz w:val="20"/>
                <w:szCs w:val="18"/>
              </w:rPr>
              <w:t>20120310 (</w:t>
            </w:r>
            <w:r w:rsidR="00265781" w:rsidRPr="00684DD8">
              <w:rPr>
                <w:rFonts w:ascii="Arial Narrow" w:hAnsi="Arial Narrow"/>
                <w:sz w:val="20"/>
                <w:szCs w:val="18"/>
              </w:rPr>
              <w:t xml:space="preserve">Sites with </w:t>
            </w:r>
            <w:r w:rsidRPr="00684DD8">
              <w:rPr>
                <w:rFonts w:ascii="Arial Narrow" w:hAnsi="Arial Narrow"/>
                <w:sz w:val="20"/>
                <w:szCs w:val="18"/>
              </w:rPr>
              <w:t>2000+</w:t>
            </w:r>
            <w:r w:rsidR="00265781" w:rsidRPr="00684DD8">
              <w:rPr>
                <w:rFonts w:ascii="Arial Narrow" w:hAnsi="Arial Narrow"/>
                <w:sz w:val="20"/>
                <w:szCs w:val="18"/>
              </w:rPr>
              <w:t xml:space="preserve"> data</w:t>
            </w:r>
            <w:r w:rsidRPr="00684DD8">
              <w:rPr>
                <w:rFonts w:ascii="Arial Narrow" w:hAnsi="Arial Narrow"/>
                <w:sz w:val="20"/>
                <w:szCs w:val="18"/>
              </w:rPr>
              <w:t>)</w:t>
            </w:r>
          </w:p>
        </w:tc>
        <w:tc>
          <w:tcPr>
            <w:tcW w:w="711" w:type="pct"/>
            <w:tcBorders>
              <w:top w:val="single" w:sz="4" w:space="0" w:color="auto"/>
              <w:left w:val="single" w:sz="4" w:space="0" w:color="auto"/>
              <w:bottom w:val="single" w:sz="4" w:space="0" w:color="auto"/>
              <w:right w:val="single" w:sz="4" w:space="0" w:color="auto"/>
            </w:tcBorders>
            <w:vAlign w:val="center"/>
          </w:tcPr>
          <w:p w:rsidR="00B00903" w:rsidRPr="00684DD8" w:rsidRDefault="00265781">
            <w:pPr>
              <w:keepNext/>
              <w:snapToGrid w:val="0"/>
              <w:jc w:val="center"/>
              <w:rPr>
                <w:rFonts w:ascii="Arial Narrow" w:hAnsi="Arial Narrow"/>
                <w:sz w:val="20"/>
                <w:szCs w:val="18"/>
              </w:rPr>
            </w:pPr>
            <w:r w:rsidRPr="00684DD8">
              <w:rPr>
                <w:rFonts w:ascii="Arial Narrow" w:hAnsi="Arial Narrow"/>
                <w:sz w:val="20"/>
                <w:szCs w:val="18"/>
              </w:rPr>
              <w:t>-</w:t>
            </w:r>
          </w:p>
        </w:tc>
        <w:tc>
          <w:tcPr>
            <w:tcW w:w="470" w:type="pct"/>
            <w:gridSpan w:val="2"/>
            <w:tcBorders>
              <w:top w:val="single" w:sz="4" w:space="0" w:color="auto"/>
              <w:left w:val="single" w:sz="4" w:space="0" w:color="auto"/>
              <w:bottom w:val="single" w:sz="4" w:space="0" w:color="auto"/>
              <w:right w:val="single" w:sz="4" w:space="0" w:color="auto"/>
            </w:tcBorders>
            <w:vAlign w:val="center"/>
          </w:tcPr>
          <w:p w:rsidR="00B00903" w:rsidRPr="00684DD8" w:rsidRDefault="00265781">
            <w:pPr>
              <w:keepNext/>
              <w:snapToGrid w:val="0"/>
              <w:jc w:val="center"/>
              <w:rPr>
                <w:rFonts w:ascii="Arial Narrow" w:hAnsi="Arial Narrow"/>
                <w:sz w:val="20"/>
                <w:szCs w:val="18"/>
              </w:rPr>
            </w:pPr>
            <w:r w:rsidRPr="00684DD8">
              <w:rPr>
                <w:rFonts w:ascii="Arial Narrow" w:hAnsi="Arial Narrow"/>
                <w:sz w:val="20"/>
                <w:szCs w:val="18"/>
              </w:rPr>
              <w:t>-</w:t>
            </w:r>
          </w:p>
        </w:tc>
        <w:tc>
          <w:tcPr>
            <w:tcW w:w="428" w:type="pct"/>
            <w:tcBorders>
              <w:top w:val="single" w:sz="4" w:space="0" w:color="auto"/>
              <w:left w:val="single" w:sz="4" w:space="0" w:color="auto"/>
              <w:bottom w:val="single" w:sz="4" w:space="0" w:color="auto"/>
              <w:right w:val="single" w:sz="4" w:space="0" w:color="auto"/>
            </w:tcBorders>
            <w:vAlign w:val="center"/>
          </w:tcPr>
          <w:p w:rsidR="00B00903" w:rsidRPr="00684DD8" w:rsidRDefault="00265781">
            <w:pPr>
              <w:keepNext/>
              <w:snapToGrid w:val="0"/>
              <w:jc w:val="center"/>
              <w:rPr>
                <w:rFonts w:ascii="Arial Narrow" w:hAnsi="Arial Narrow"/>
                <w:sz w:val="20"/>
                <w:szCs w:val="18"/>
              </w:rPr>
            </w:pPr>
            <w:r w:rsidRPr="00684DD8">
              <w:rPr>
                <w:rFonts w:ascii="Arial Narrow" w:hAnsi="Arial Narrow"/>
                <w:sz w:val="20"/>
                <w:szCs w:val="18"/>
              </w:rPr>
              <w:t>-</w:t>
            </w:r>
          </w:p>
        </w:tc>
        <w:tc>
          <w:tcPr>
            <w:tcW w:w="759" w:type="pct"/>
            <w:tcBorders>
              <w:top w:val="single" w:sz="4" w:space="0" w:color="auto"/>
              <w:left w:val="single" w:sz="4" w:space="0" w:color="auto"/>
              <w:bottom w:val="single" w:sz="4" w:space="0" w:color="auto"/>
              <w:right w:val="single" w:sz="4" w:space="0" w:color="auto"/>
            </w:tcBorders>
            <w:vAlign w:val="center"/>
          </w:tcPr>
          <w:p w:rsidR="00B00903" w:rsidRPr="00684DD8" w:rsidRDefault="00265781">
            <w:pPr>
              <w:keepNext/>
              <w:snapToGrid w:val="0"/>
              <w:jc w:val="center"/>
              <w:rPr>
                <w:rFonts w:ascii="Arial Narrow" w:hAnsi="Arial Narrow"/>
                <w:sz w:val="20"/>
                <w:szCs w:val="18"/>
              </w:rPr>
            </w:pPr>
            <w:r w:rsidRPr="00684DD8">
              <w:rPr>
                <w:rFonts w:ascii="Arial Narrow" w:hAnsi="Arial Narrow"/>
                <w:sz w:val="20"/>
                <w:szCs w:val="18"/>
              </w:rPr>
              <w:t>-</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B00903" w:rsidRPr="00D34A67" w:rsidRDefault="00D34A67">
            <w:pPr>
              <w:keepNext/>
              <w:snapToGrid w:val="0"/>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420" w:type="pct"/>
            <w:tcBorders>
              <w:top w:val="single" w:sz="4" w:space="0" w:color="auto"/>
              <w:left w:val="single" w:sz="4" w:space="0" w:color="auto"/>
              <w:bottom w:val="single" w:sz="4" w:space="0" w:color="auto"/>
              <w:right w:val="single" w:sz="4" w:space="0" w:color="auto"/>
            </w:tcBorders>
            <w:vAlign w:val="center"/>
          </w:tcPr>
          <w:p w:rsidR="00B00903" w:rsidRPr="00684DD8" w:rsidRDefault="00265781">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5C3E73">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left"/>
              <w:rPr>
                <w:rFonts w:ascii="Arial Narrow" w:hAnsi="Arial Narrow"/>
                <w:b/>
                <w:sz w:val="20"/>
                <w:szCs w:val="18"/>
              </w:rPr>
            </w:pPr>
            <w:r w:rsidRPr="00684DD8">
              <w:rPr>
                <w:rFonts w:ascii="Arial Narrow" w:hAnsi="Arial Narrow"/>
                <w:b/>
                <w:sz w:val="20"/>
                <w:szCs w:val="18"/>
              </w:rPr>
              <w:t>Total allogeneic HSCT rate, n</w:t>
            </w:r>
          </w:p>
        </w:tc>
      </w:tr>
      <w:tr w:rsidR="00780826" w:rsidRPr="00684DD8" w:rsidTr="001F3BE3">
        <w:tc>
          <w:tcPr>
            <w:tcW w:w="1704"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MT103-211 (FAS)</w:t>
            </w:r>
          </w:p>
        </w:tc>
        <w:tc>
          <w:tcPr>
            <w:tcW w:w="711"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60/225</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27</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B00903" w:rsidRPr="00684DD8" w:rsidRDefault="00265781">
            <w:pPr>
              <w:keepNext/>
              <w:snapToGrid w:val="0"/>
              <w:jc w:val="center"/>
              <w:rPr>
                <w:rFonts w:ascii="Arial Narrow" w:hAnsi="Arial Narrow"/>
                <w:sz w:val="20"/>
                <w:szCs w:val="18"/>
              </w:rPr>
            </w:pPr>
            <w:r w:rsidRPr="00684DD8">
              <w:rPr>
                <w:rFonts w:ascii="Arial Narrow" w:hAnsi="Arial Narrow"/>
                <w:sz w:val="20"/>
                <w:szCs w:val="18"/>
              </w:rPr>
              <w:t>-</w:t>
            </w:r>
          </w:p>
        </w:tc>
        <w:tc>
          <w:tcPr>
            <w:tcW w:w="420"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1F3BE3">
        <w:tc>
          <w:tcPr>
            <w:tcW w:w="1704"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MT103-206</w:t>
            </w:r>
          </w:p>
        </w:tc>
        <w:tc>
          <w:tcPr>
            <w:tcW w:w="711"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18/36</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50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B00903" w:rsidRPr="00684DD8" w:rsidRDefault="00265781">
            <w:pPr>
              <w:keepNext/>
              <w:snapToGrid w:val="0"/>
              <w:jc w:val="center"/>
              <w:rPr>
                <w:rFonts w:ascii="Arial Narrow" w:hAnsi="Arial Narrow"/>
                <w:sz w:val="20"/>
                <w:szCs w:val="18"/>
              </w:rPr>
            </w:pPr>
            <w:r w:rsidRPr="00684DD8">
              <w:rPr>
                <w:rFonts w:ascii="Arial Narrow" w:hAnsi="Arial Narrow"/>
                <w:sz w:val="20"/>
                <w:szCs w:val="18"/>
              </w:rPr>
              <w:t>-</w:t>
            </w:r>
          </w:p>
        </w:tc>
        <w:tc>
          <w:tcPr>
            <w:tcW w:w="420"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1F3BE3">
        <w:tc>
          <w:tcPr>
            <w:tcW w:w="1704"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20120310</w:t>
            </w:r>
          </w:p>
        </w:tc>
        <w:tc>
          <w:tcPr>
            <w:tcW w:w="711"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 xml:space="preserve">NR </w:t>
            </w:r>
            <w:r w:rsidRPr="00684DD8">
              <w:rPr>
                <w:rFonts w:ascii="Arial Narrow" w:hAnsi="Arial Narrow"/>
                <w:sz w:val="20"/>
                <w:szCs w:val="18"/>
                <w:vertAlign w:val="superscript"/>
              </w:rPr>
              <w:t>b</w:t>
            </w:r>
          </w:p>
        </w:tc>
        <w:tc>
          <w:tcPr>
            <w:tcW w:w="428"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18</w:t>
            </w:r>
          </w:p>
        </w:tc>
        <w:tc>
          <w:tcPr>
            <w:tcW w:w="420"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3E4610">
        <w:tc>
          <w:tcPr>
            <w:tcW w:w="1704" w:type="pct"/>
            <w:tcBorders>
              <w:top w:val="single" w:sz="4" w:space="0" w:color="auto"/>
              <w:left w:val="single" w:sz="4" w:space="0" w:color="auto"/>
              <w:bottom w:val="single" w:sz="4" w:space="0" w:color="auto"/>
              <w:right w:val="single" w:sz="4" w:space="0" w:color="auto"/>
            </w:tcBorders>
            <w:vAlign w:val="center"/>
          </w:tcPr>
          <w:p w:rsidR="00B00903" w:rsidRPr="00684DD8" w:rsidRDefault="006B09BD" w:rsidP="006B09BD">
            <w:pPr>
              <w:keepNext/>
              <w:snapToGrid w:val="0"/>
              <w:jc w:val="left"/>
              <w:rPr>
                <w:rFonts w:ascii="Arial Narrow" w:hAnsi="Arial Narrow"/>
                <w:sz w:val="20"/>
                <w:szCs w:val="18"/>
              </w:rPr>
            </w:pPr>
            <w:r w:rsidRPr="00684DD8">
              <w:rPr>
                <w:rFonts w:ascii="Arial Narrow" w:hAnsi="Arial Narrow"/>
                <w:b/>
                <w:sz w:val="20"/>
                <w:szCs w:val="18"/>
              </w:rPr>
              <w:t xml:space="preserve">Overall </w:t>
            </w:r>
            <w:r w:rsidR="00B01940" w:rsidRPr="00684DD8">
              <w:rPr>
                <w:rFonts w:ascii="Arial Narrow" w:hAnsi="Arial Narrow"/>
                <w:b/>
                <w:sz w:val="20"/>
                <w:szCs w:val="18"/>
              </w:rPr>
              <w:t>s</w:t>
            </w:r>
            <w:r w:rsidRPr="00684DD8">
              <w:rPr>
                <w:rFonts w:ascii="Arial Narrow" w:hAnsi="Arial Narrow"/>
                <w:b/>
                <w:sz w:val="20"/>
                <w:szCs w:val="18"/>
              </w:rPr>
              <w:t>urvival, median (months)</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b/>
                <w:sz w:val="20"/>
                <w:szCs w:val="18"/>
              </w:rPr>
            </w:pPr>
            <w:proofErr w:type="spellStart"/>
            <w:r w:rsidRPr="00684DD8">
              <w:rPr>
                <w:rFonts w:ascii="Arial Narrow" w:hAnsi="Arial Narrow"/>
                <w:b/>
                <w:sz w:val="20"/>
                <w:szCs w:val="18"/>
              </w:rPr>
              <w:t>Blinatumomab</w:t>
            </w:r>
            <w:proofErr w:type="spellEnd"/>
          </w:p>
        </w:tc>
        <w:tc>
          <w:tcPr>
            <w:tcW w:w="759"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C926FC">
            <w:pPr>
              <w:keepNext/>
              <w:snapToGrid w:val="0"/>
              <w:jc w:val="center"/>
              <w:rPr>
                <w:rFonts w:ascii="Arial Narrow" w:hAnsi="Arial Narrow"/>
                <w:b/>
                <w:sz w:val="20"/>
                <w:szCs w:val="18"/>
              </w:rPr>
            </w:pPr>
            <w:r w:rsidRPr="00684DD8">
              <w:rPr>
                <w:rFonts w:ascii="Arial Narrow" w:hAnsi="Arial Narrow"/>
                <w:b/>
                <w:sz w:val="20"/>
                <w:szCs w:val="18"/>
              </w:rPr>
              <w:t>SC</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b/>
                <w:sz w:val="20"/>
                <w:szCs w:val="18"/>
              </w:rPr>
            </w:pPr>
            <w:r w:rsidRPr="00684DD8">
              <w:rPr>
                <w:rFonts w:ascii="Arial Narrow" w:hAnsi="Arial Narrow"/>
                <w:b/>
                <w:sz w:val="20"/>
                <w:szCs w:val="18"/>
              </w:rPr>
              <w:t xml:space="preserve">Absolute </w:t>
            </w:r>
            <w:r w:rsidR="00B01940" w:rsidRPr="00684DD8">
              <w:rPr>
                <w:rFonts w:ascii="Arial Narrow" w:hAnsi="Arial Narrow"/>
                <w:b/>
                <w:sz w:val="20"/>
                <w:szCs w:val="18"/>
              </w:rPr>
              <w:t>d</w:t>
            </w:r>
            <w:r w:rsidRPr="00684DD8">
              <w:rPr>
                <w:rFonts w:ascii="Arial Narrow" w:hAnsi="Arial Narrow"/>
                <w:b/>
                <w:sz w:val="20"/>
                <w:szCs w:val="18"/>
              </w:rPr>
              <w:t>ifference</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b/>
                <w:sz w:val="20"/>
                <w:szCs w:val="18"/>
              </w:rPr>
            </w:pPr>
            <w:r w:rsidRPr="00684DD8">
              <w:rPr>
                <w:rFonts w:ascii="Arial Narrow" w:hAnsi="Arial Narrow"/>
                <w:b/>
                <w:sz w:val="20"/>
                <w:szCs w:val="18"/>
              </w:rPr>
              <w:t>HR (95% CI)</w:t>
            </w:r>
          </w:p>
        </w:tc>
      </w:tr>
      <w:tr w:rsidR="00780826" w:rsidRPr="00684DD8" w:rsidTr="003E4610">
        <w:tc>
          <w:tcPr>
            <w:tcW w:w="1704"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MT103-211 (FAS)</w:t>
            </w:r>
          </w:p>
        </w:tc>
        <w:tc>
          <w:tcPr>
            <w:tcW w:w="850" w:type="pct"/>
            <w:gridSpan w:val="2"/>
            <w:tcBorders>
              <w:top w:val="single" w:sz="4" w:space="0" w:color="auto"/>
              <w:left w:val="single" w:sz="4" w:space="0" w:color="auto"/>
              <w:bottom w:val="single" w:sz="4" w:space="0" w:color="auto"/>
              <w:right w:val="single" w:sz="4" w:space="0" w:color="auto"/>
            </w:tcBorders>
            <w:hideMark/>
          </w:tcPr>
          <w:p w:rsidR="00B00903" w:rsidRPr="00684DD8" w:rsidRDefault="00B00903">
            <w:pPr>
              <w:keepNext/>
              <w:snapToGrid w:val="0"/>
              <w:jc w:val="center"/>
              <w:rPr>
                <w:rFonts w:ascii="Arial Narrow" w:hAnsi="Arial Narrow"/>
                <w:sz w:val="20"/>
              </w:rPr>
            </w:pPr>
            <w:r w:rsidRPr="00684DD8">
              <w:rPr>
                <w:rFonts w:ascii="Arial Narrow" w:hAnsi="Arial Narrow"/>
                <w:sz w:val="20"/>
              </w:rPr>
              <w:t>6.5 (4.7, 7.7)</w:t>
            </w:r>
          </w:p>
        </w:tc>
        <w:tc>
          <w:tcPr>
            <w:tcW w:w="759" w:type="pct"/>
            <w:gridSpan w:val="2"/>
            <w:tcBorders>
              <w:top w:val="single" w:sz="4" w:space="0" w:color="auto"/>
              <w:left w:val="single" w:sz="4" w:space="0" w:color="auto"/>
              <w:bottom w:val="single" w:sz="4" w:space="0" w:color="auto"/>
              <w:right w:val="single" w:sz="4" w:space="0" w:color="auto"/>
            </w:tcBorders>
            <w:hideMark/>
          </w:tcPr>
          <w:p w:rsidR="00B00903" w:rsidRPr="00684DD8" w:rsidRDefault="00B00903">
            <w:pPr>
              <w:keepNext/>
              <w:snapToGrid w:val="0"/>
              <w:jc w:val="center"/>
              <w:rPr>
                <w:rFonts w:ascii="Arial Narrow" w:hAnsi="Arial Narrow"/>
                <w:sz w:val="20"/>
              </w:rPr>
            </w:pPr>
            <w:r w:rsidRPr="00684DD8">
              <w:rPr>
                <w:rFonts w:ascii="Arial Narrow" w:hAnsi="Arial Narrow"/>
                <w:sz w:val="20"/>
              </w:rPr>
              <w:t>-</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3E4610">
        <w:tc>
          <w:tcPr>
            <w:tcW w:w="1704"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MT103-206</w:t>
            </w:r>
          </w:p>
        </w:tc>
        <w:tc>
          <w:tcPr>
            <w:tcW w:w="850" w:type="pct"/>
            <w:gridSpan w:val="2"/>
            <w:tcBorders>
              <w:top w:val="single" w:sz="4" w:space="0" w:color="auto"/>
              <w:left w:val="single" w:sz="4" w:space="0" w:color="auto"/>
              <w:bottom w:val="single" w:sz="4" w:space="0" w:color="auto"/>
              <w:right w:val="single" w:sz="4" w:space="0" w:color="auto"/>
            </w:tcBorders>
            <w:hideMark/>
          </w:tcPr>
          <w:p w:rsidR="00B00903" w:rsidRPr="00684DD8" w:rsidRDefault="00B00903">
            <w:pPr>
              <w:keepNext/>
              <w:snapToGrid w:val="0"/>
              <w:jc w:val="center"/>
              <w:rPr>
                <w:rFonts w:ascii="Arial Narrow" w:hAnsi="Arial Narrow"/>
                <w:sz w:val="20"/>
              </w:rPr>
            </w:pPr>
            <w:r w:rsidRPr="00684DD8">
              <w:rPr>
                <w:rFonts w:ascii="Arial Narrow" w:hAnsi="Arial Narrow"/>
                <w:sz w:val="20"/>
              </w:rPr>
              <w:t>9.8 (8.5, 14.9)</w:t>
            </w:r>
          </w:p>
        </w:tc>
        <w:tc>
          <w:tcPr>
            <w:tcW w:w="759" w:type="pct"/>
            <w:gridSpan w:val="2"/>
            <w:tcBorders>
              <w:top w:val="single" w:sz="4" w:space="0" w:color="auto"/>
              <w:left w:val="single" w:sz="4" w:space="0" w:color="auto"/>
              <w:bottom w:val="single" w:sz="4" w:space="0" w:color="auto"/>
              <w:right w:val="single" w:sz="4" w:space="0" w:color="auto"/>
            </w:tcBorders>
            <w:hideMark/>
          </w:tcPr>
          <w:p w:rsidR="00B00903" w:rsidRPr="00684DD8" w:rsidRDefault="00B00903">
            <w:pPr>
              <w:keepNext/>
              <w:snapToGrid w:val="0"/>
              <w:jc w:val="center"/>
              <w:rPr>
                <w:rFonts w:ascii="Arial Narrow" w:hAnsi="Arial Narrow"/>
                <w:sz w:val="20"/>
              </w:rPr>
            </w:pPr>
            <w:r w:rsidRPr="00684DD8">
              <w:rPr>
                <w:rFonts w:ascii="Arial Narrow" w:hAnsi="Arial Narrow"/>
                <w:sz w:val="20"/>
              </w:rPr>
              <w:t>-</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3E4610">
        <w:tc>
          <w:tcPr>
            <w:tcW w:w="1704" w:type="pct"/>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20120310</w:t>
            </w:r>
            <w:r w:rsidR="000A3A4E" w:rsidRPr="00684DD8">
              <w:rPr>
                <w:rFonts w:ascii="Arial Narrow" w:hAnsi="Arial Narrow"/>
                <w:sz w:val="20"/>
                <w:szCs w:val="18"/>
              </w:rPr>
              <w:t xml:space="preserve"> (1990-2012)</w:t>
            </w:r>
          </w:p>
        </w:tc>
        <w:tc>
          <w:tcPr>
            <w:tcW w:w="850" w:type="pct"/>
            <w:gridSpan w:val="2"/>
            <w:tcBorders>
              <w:top w:val="single" w:sz="4" w:space="0" w:color="auto"/>
              <w:left w:val="single" w:sz="4" w:space="0" w:color="auto"/>
              <w:bottom w:val="single" w:sz="4" w:space="0" w:color="auto"/>
              <w:right w:val="single" w:sz="4" w:space="0" w:color="auto"/>
            </w:tcBorders>
            <w:hideMark/>
          </w:tcPr>
          <w:p w:rsidR="00B00903" w:rsidRPr="00684DD8" w:rsidRDefault="00B00903">
            <w:pPr>
              <w:keepNext/>
              <w:snapToGrid w:val="0"/>
              <w:jc w:val="center"/>
              <w:rPr>
                <w:rFonts w:ascii="Arial Narrow" w:hAnsi="Arial Narrow"/>
                <w:sz w:val="20"/>
              </w:rPr>
            </w:pPr>
            <w:r w:rsidRPr="00684DD8">
              <w:rPr>
                <w:rFonts w:ascii="Arial Narrow" w:hAnsi="Arial Narrow"/>
                <w:sz w:val="20"/>
              </w:rPr>
              <w:t>-</w:t>
            </w:r>
          </w:p>
        </w:tc>
        <w:tc>
          <w:tcPr>
            <w:tcW w:w="759" w:type="pct"/>
            <w:gridSpan w:val="2"/>
            <w:tcBorders>
              <w:top w:val="single" w:sz="4" w:space="0" w:color="auto"/>
              <w:left w:val="single" w:sz="4" w:space="0" w:color="auto"/>
              <w:bottom w:val="single" w:sz="4" w:space="0" w:color="auto"/>
              <w:right w:val="single" w:sz="4" w:space="0" w:color="auto"/>
            </w:tcBorders>
            <w:hideMark/>
          </w:tcPr>
          <w:p w:rsidR="00B00903" w:rsidRPr="00684DD8" w:rsidRDefault="00B00903">
            <w:pPr>
              <w:keepNext/>
              <w:snapToGrid w:val="0"/>
              <w:jc w:val="center"/>
              <w:rPr>
                <w:rFonts w:ascii="Arial Narrow" w:hAnsi="Arial Narrow"/>
                <w:sz w:val="20"/>
              </w:rPr>
            </w:pPr>
            <w:r w:rsidRPr="00684DD8">
              <w:rPr>
                <w:rFonts w:ascii="Arial Narrow" w:hAnsi="Arial Narrow"/>
                <w:sz w:val="20"/>
              </w:rPr>
              <w:t>3.3 (2.8, 3.6)</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B00903" w:rsidRPr="00684DD8" w:rsidRDefault="00B00903">
            <w:pPr>
              <w:keepNext/>
              <w:snapToGrid w:val="0"/>
              <w:jc w:val="center"/>
              <w:rPr>
                <w:rFonts w:ascii="Arial Narrow" w:hAnsi="Arial Narrow"/>
                <w:sz w:val="20"/>
                <w:szCs w:val="18"/>
              </w:rPr>
            </w:pPr>
            <w:r w:rsidRPr="00684DD8">
              <w:rPr>
                <w:rFonts w:ascii="Arial Narrow" w:hAnsi="Arial Narrow"/>
                <w:sz w:val="20"/>
                <w:szCs w:val="18"/>
              </w:rPr>
              <w:t>-</w:t>
            </w:r>
          </w:p>
        </w:tc>
      </w:tr>
      <w:tr w:rsidR="00780826" w:rsidRPr="00684DD8" w:rsidTr="003E4610">
        <w:tc>
          <w:tcPr>
            <w:tcW w:w="1704" w:type="pct"/>
            <w:tcBorders>
              <w:top w:val="single" w:sz="4" w:space="0" w:color="auto"/>
              <w:left w:val="single" w:sz="4" w:space="0" w:color="auto"/>
              <w:bottom w:val="single" w:sz="4" w:space="0" w:color="auto"/>
              <w:right w:val="single" w:sz="4" w:space="0" w:color="auto"/>
            </w:tcBorders>
            <w:vAlign w:val="center"/>
          </w:tcPr>
          <w:p w:rsidR="00B00903" w:rsidRPr="00684DD8" w:rsidRDefault="00B00903">
            <w:pPr>
              <w:keepNext/>
              <w:snapToGrid w:val="0"/>
              <w:rPr>
                <w:rFonts w:ascii="Arial Narrow" w:hAnsi="Arial Narrow"/>
                <w:sz w:val="20"/>
                <w:szCs w:val="18"/>
              </w:rPr>
            </w:pPr>
            <w:r w:rsidRPr="00684DD8">
              <w:rPr>
                <w:rFonts w:ascii="Arial Narrow" w:hAnsi="Arial Narrow"/>
                <w:sz w:val="20"/>
                <w:szCs w:val="18"/>
              </w:rPr>
              <w:t>20120310 (</w:t>
            </w:r>
            <w:r w:rsidR="00265781" w:rsidRPr="00684DD8">
              <w:rPr>
                <w:rFonts w:ascii="Arial Narrow" w:hAnsi="Arial Narrow"/>
                <w:sz w:val="20"/>
                <w:szCs w:val="18"/>
              </w:rPr>
              <w:t xml:space="preserve">Sites with </w:t>
            </w:r>
            <w:r w:rsidRPr="00684DD8">
              <w:rPr>
                <w:rFonts w:ascii="Arial Narrow" w:hAnsi="Arial Narrow"/>
                <w:sz w:val="20"/>
                <w:szCs w:val="18"/>
              </w:rPr>
              <w:t>2000+</w:t>
            </w:r>
            <w:r w:rsidR="00265781" w:rsidRPr="00684DD8">
              <w:rPr>
                <w:rFonts w:ascii="Arial Narrow" w:hAnsi="Arial Narrow"/>
                <w:sz w:val="20"/>
                <w:szCs w:val="18"/>
              </w:rPr>
              <w:t xml:space="preserve"> data</w:t>
            </w:r>
            <w:r w:rsidRPr="00684DD8">
              <w:rPr>
                <w:rFonts w:ascii="Arial Narrow" w:hAnsi="Arial Narrow"/>
                <w:sz w:val="20"/>
                <w:szCs w:val="18"/>
              </w:rPr>
              <w:t>)</w:t>
            </w:r>
          </w:p>
        </w:tc>
        <w:tc>
          <w:tcPr>
            <w:tcW w:w="850" w:type="pct"/>
            <w:gridSpan w:val="2"/>
            <w:tcBorders>
              <w:top w:val="single" w:sz="4" w:space="0" w:color="auto"/>
              <w:left w:val="single" w:sz="4" w:space="0" w:color="auto"/>
              <w:bottom w:val="single" w:sz="4" w:space="0" w:color="auto"/>
              <w:right w:val="single" w:sz="4" w:space="0" w:color="auto"/>
            </w:tcBorders>
          </w:tcPr>
          <w:p w:rsidR="00B00903" w:rsidRPr="00684DD8" w:rsidRDefault="00265781">
            <w:pPr>
              <w:keepNext/>
              <w:snapToGrid w:val="0"/>
              <w:jc w:val="center"/>
              <w:rPr>
                <w:rFonts w:ascii="Arial Narrow" w:hAnsi="Arial Narrow"/>
                <w:sz w:val="20"/>
              </w:rPr>
            </w:pPr>
            <w:r w:rsidRPr="00684DD8">
              <w:rPr>
                <w:rFonts w:ascii="Arial Narrow" w:hAnsi="Arial Narrow"/>
                <w:sz w:val="20"/>
              </w:rPr>
              <w:t>-</w:t>
            </w:r>
          </w:p>
        </w:tc>
        <w:tc>
          <w:tcPr>
            <w:tcW w:w="759" w:type="pct"/>
            <w:gridSpan w:val="2"/>
            <w:tcBorders>
              <w:top w:val="single" w:sz="4" w:space="0" w:color="auto"/>
              <w:left w:val="single" w:sz="4" w:space="0" w:color="auto"/>
              <w:bottom w:val="single" w:sz="4" w:space="0" w:color="auto"/>
              <w:right w:val="single" w:sz="4" w:space="0" w:color="auto"/>
            </w:tcBorders>
          </w:tcPr>
          <w:p w:rsidR="00B00903" w:rsidRPr="00684DD8" w:rsidRDefault="00D34A67">
            <w:pPr>
              <w:keepNext/>
              <w:snapToGrid w:val="0"/>
              <w:jc w:val="center"/>
              <w:rPr>
                <w:rFonts w:ascii="Arial Narrow" w:hAnsi="Arial Narrow"/>
                <w:sz w:val="20"/>
              </w:rPr>
            </w:pPr>
            <w:r>
              <w:rPr>
                <w:rFonts w:ascii="Arial Narrow" w:hAnsi="Arial Narrow"/>
                <w:noProof/>
                <w:color w:val="000000"/>
                <w:sz w:val="20"/>
                <w:highlight w:val="black"/>
              </w:rPr>
              <w:t>'''''''</w:t>
            </w:r>
            <w:r w:rsidR="00265781" w:rsidRPr="00684DD8">
              <w:rPr>
                <w:rFonts w:ascii="Arial Narrow" w:hAnsi="Arial Narrow"/>
                <w:sz w:val="20"/>
              </w:rPr>
              <w:t xml:space="preserve"> (</w:t>
            </w:r>
            <w:r>
              <w:rPr>
                <w:rFonts w:ascii="Arial Narrow" w:hAnsi="Arial Narrow"/>
                <w:noProof/>
                <w:color w:val="000000"/>
                <w:sz w:val="20"/>
                <w:highlight w:val="black"/>
              </w:rPr>
              <w:t>'''''''</w:t>
            </w:r>
            <w:r w:rsidR="00265781" w:rsidRPr="00684DD8">
              <w:rPr>
                <w:rFonts w:ascii="Arial Narrow" w:hAnsi="Arial Narrow"/>
                <w:sz w:val="20"/>
              </w:rPr>
              <w:t xml:space="preserve">, </w:t>
            </w:r>
            <w:r>
              <w:rPr>
                <w:rFonts w:ascii="Arial Narrow" w:hAnsi="Arial Narrow"/>
                <w:noProof/>
                <w:color w:val="000000"/>
                <w:sz w:val="20"/>
                <w:highlight w:val="black"/>
              </w:rPr>
              <w:t>''''''''</w:t>
            </w:r>
            <w:r w:rsidR="00265781" w:rsidRPr="00684DD8">
              <w:rPr>
                <w:rFonts w:ascii="Arial Narrow" w:hAnsi="Arial Narrow"/>
                <w:sz w:val="20"/>
              </w:rPr>
              <w:t>)</w:t>
            </w:r>
          </w:p>
        </w:tc>
        <w:tc>
          <w:tcPr>
            <w:tcW w:w="1009" w:type="pct"/>
            <w:gridSpan w:val="2"/>
            <w:tcBorders>
              <w:top w:val="single" w:sz="4" w:space="0" w:color="auto"/>
              <w:left w:val="single" w:sz="4" w:space="0" w:color="auto"/>
              <w:bottom w:val="single" w:sz="4" w:space="0" w:color="auto"/>
              <w:right w:val="single" w:sz="4" w:space="0" w:color="auto"/>
            </w:tcBorders>
            <w:vAlign w:val="center"/>
          </w:tcPr>
          <w:p w:rsidR="00B00903" w:rsidRPr="00684DD8" w:rsidRDefault="00265781">
            <w:pPr>
              <w:keepNext/>
              <w:snapToGrid w:val="0"/>
              <w:jc w:val="center"/>
              <w:rPr>
                <w:rFonts w:ascii="Arial Narrow" w:hAnsi="Arial Narrow"/>
                <w:sz w:val="20"/>
                <w:szCs w:val="18"/>
              </w:rPr>
            </w:pPr>
            <w:r w:rsidRPr="00684DD8">
              <w:rPr>
                <w:rFonts w:ascii="Arial Narrow" w:hAnsi="Arial Narrow"/>
                <w:sz w:val="20"/>
                <w:szCs w:val="18"/>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B00903" w:rsidRPr="00684DD8" w:rsidRDefault="00265781">
            <w:pPr>
              <w:keepNext/>
              <w:snapToGrid w:val="0"/>
              <w:jc w:val="center"/>
              <w:rPr>
                <w:rFonts w:ascii="Arial Narrow" w:hAnsi="Arial Narrow"/>
                <w:sz w:val="20"/>
                <w:szCs w:val="18"/>
              </w:rPr>
            </w:pPr>
            <w:r w:rsidRPr="00684DD8">
              <w:rPr>
                <w:rFonts w:ascii="Arial Narrow" w:hAnsi="Arial Narrow"/>
                <w:sz w:val="20"/>
                <w:szCs w:val="18"/>
              </w:rPr>
              <w:t>-</w:t>
            </w:r>
          </w:p>
        </w:tc>
      </w:tr>
    </w:tbl>
    <w:p w:rsidR="002D47BF" w:rsidRPr="00684DD8" w:rsidRDefault="00B00903" w:rsidP="002D47BF">
      <w:pPr>
        <w:pStyle w:val="Subtitle"/>
        <w:ind w:left="720"/>
        <w:rPr>
          <w:rFonts w:ascii="Arial Narrow" w:hAnsi="Arial Narrow" w:cs="Arial"/>
          <w:b w:val="0"/>
          <w:sz w:val="18"/>
          <w:szCs w:val="18"/>
        </w:rPr>
      </w:pPr>
      <w:r w:rsidRPr="00684DD8">
        <w:rPr>
          <w:rFonts w:ascii="Arial Narrow" w:hAnsi="Arial Narrow"/>
          <w:b w:val="0"/>
          <w:sz w:val="18"/>
          <w:szCs w:val="18"/>
        </w:rPr>
        <w:t xml:space="preserve">Source: </w:t>
      </w:r>
      <w:r w:rsidR="002D47BF" w:rsidRPr="00684DD8">
        <w:rPr>
          <w:rFonts w:ascii="Arial Narrow" w:hAnsi="Arial Narrow"/>
          <w:b w:val="0"/>
          <w:sz w:val="18"/>
          <w:szCs w:val="18"/>
        </w:rPr>
        <w:t>Table 5, p</w:t>
      </w:r>
      <w:r w:rsidR="00743098">
        <w:rPr>
          <w:rFonts w:ascii="Arial Narrow" w:hAnsi="Arial Narrow"/>
          <w:b w:val="0"/>
          <w:sz w:val="18"/>
          <w:szCs w:val="18"/>
        </w:rPr>
        <w:t>9</w:t>
      </w:r>
      <w:r w:rsidR="002D47BF" w:rsidRPr="00684DD8">
        <w:rPr>
          <w:rFonts w:ascii="Arial Narrow" w:hAnsi="Arial Narrow"/>
          <w:b w:val="0"/>
          <w:sz w:val="18"/>
          <w:szCs w:val="18"/>
        </w:rPr>
        <w:t xml:space="preserve"> of the November 2015 </w:t>
      </w:r>
      <w:proofErr w:type="spellStart"/>
      <w:r w:rsidR="002D47BF" w:rsidRPr="00684DD8">
        <w:rPr>
          <w:rFonts w:ascii="Arial Narrow" w:hAnsi="Arial Narrow"/>
          <w:b w:val="0"/>
          <w:sz w:val="18"/>
          <w:szCs w:val="18"/>
        </w:rPr>
        <w:t>blinatumomab</w:t>
      </w:r>
      <w:proofErr w:type="spellEnd"/>
      <w:r w:rsidR="002D47BF" w:rsidRPr="00684DD8">
        <w:rPr>
          <w:rFonts w:ascii="Arial Narrow" w:hAnsi="Arial Narrow"/>
          <w:b w:val="0"/>
          <w:sz w:val="18"/>
          <w:szCs w:val="18"/>
        </w:rPr>
        <w:t xml:space="preserve"> PBAC </w:t>
      </w:r>
      <w:r w:rsidR="00743098">
        <w:rPr>
          <w:rFonts w:ascii="Arial Narrow" w:hAnsi="Arial Narrow"/>
          <w:b w:val="0"/>
          <w:sz w:val="18"/>
          <w:szCs w:val="18"/>
        </w:rPr>
        <w:t>public summary document</w:t>
      </w:r>
      <w:r w:rsidR="002D47BF" w:rsidRPr="00684DD8">
        <w:rPr>
          <w:rFonts w:ascii="Arial Narrow" w:hAnsi="Arial Narrow"/>
          <w:b w:val="0"/>
          <w:sz w:val="18"/>
          <w:szCs w:val="18"/>
        </w:rPr>
        <w:t>; and</w:t>
      </w:r>
      <w:r w:rsidR="002D47BF" w:rsidRPr="00684DD8">
        <w:t xml:space="preserve"> </w:t>
      </w:r>
      <w:r w:rsidR="002D47BF" w:rsidRPr="00684DD8">
        <w:rPr>
          <w:rFonts w:ascii="Arial Narrow" w:hAnsi="Arial Narrow" w:cs="Arial"/>
          <w:b w:val="0"/>
          <w:sz w:val="18"/>
          <w:szCs w:val="18"/>
        </w:rPr>
        <w:t xml:space="preserve">Section B.6.1, p94, and Section C.5.3, pp181 and 183 of the </w:t>
      </w:r>
      <w:r w:rsidR="00481C66" w:rsidRPr="00684DD8">
        <w:rPr>
          <w:rFonts w:ascii="Arial Narrow" w:hAnsi="Arial Narrow" w:cs="Arial"/>
          <w:b w:val="0"/>
          <w:sz w:val="18"/>
          <w:szCs w:val="18"/>
        </w:rPr>
        <w:t>resubmission</w:t>
      </w:r>
    </w:p>
    <w:p w:rsidR="00B00903" w:rsidRPr="00684DD8" w:rsidRDefault="00B00903" w:rsidP="00B00903">
      <w:pPr>
        <w:pStyle w:val="TableFooter"/>
        <w:ind w:left="720"/>
      </w:pPr>
      <w:r w:rsidRPr="00684DD8">
        <w:t xml:space="preserve">CI = confidence interval; CR = complete remission; </w:t>
      </w:r>
      <w:proofErr w:type="spellStart"/>
      <w:r w:rsidRPr="00684DD8">
        <w:t>CRh</w:t>
      </w:r>
      <w:proofErr w:type="spellEnd"/>
      <w:r w:rsidRPr="00684DD8">
        <w:t xml:space="preserve">* = complete remission with partial haematological recovery; </w:t>
      </w:r>
      <w:proofErr w:type="spellStart"/>
      <w:r w:rsidR="002D1822" w:rsidRPr="00684DD8">
        <w:t>C</w:t>
      </w:r>
      <w:r w:rsidRPr="00684DD8">
        <w:t>Rsg</w:t>
      </w:r>
      <w:proofErr w:type="spellEnd"/>
      <w:r w:rsidRPr="00684DD8">
        <w:t xml:space="preserve"> = complete remission per study group definition; FAS = full analysis set; HR = hazard ratio; HSCT = haematopoietic stem cell transplant; NR = not reported; </w:t>
      </w:r>
      <w:r w:rsidR="002D47BF" w:rsidRPr="00684DD8">
        <w:t xml:space="preserve">PBAC = Pharmaceutical Benefits Advisory Committee; </w:t>
      </w:r>
      <w:r w:rsidRPr="00684DD8">
        <w:t xml:space="preserve">RD = risk difference; RR = relative risk; </w:t>
      </w:r>
      <w:r w:rsidR="00C926FC" w:rsidRPr="00684DD8">
        <w:t>SC</w:t>
      </w:r>
      <w:r w:rsidRPr="00684DD8">
        <w:t xml:space="preserve"> = </w:t>
      </w:r>
      <w:r w:rsidR="00C926FC" w:rsidRPr="00684DD8">
        <w:t>standard care</w:t>
      </w:r>
    </w:p>
    <w:p w:rsidR="00B00903" w:rsidRPr="00684DD8" w:rsidRDefault="00B00903" w:rsidP="00B00903">
      <w:pPr>
        <w:pStyle w:val="TableFooter"/>
        <w:ind w:left="720"/>
      </w:pPr>
      <w:proofErr w:type="gramStart"/>
      <w:r w:rsidRPr="00684DD8">
        <w:rPr>
          <w:vertAlign w:val="superscript"/>
        </w:rPr>
        <w:t>a</w:t>
      </w:r>
      <w:proofErr w:type="gramEnd"/>
      <w:r w:rsidRPr="00684DD8">
        <w:t xml:space="preserve"> Median duration of follow-up: MT103-211 = 6.5 months; MT103-206 = 8.5 months</w:t>
      </w:r>
    </w:p>
    <w:p w:rsidR="00B00903" w:rsidRPr="00684DD8" w:rsidRDefault="00B00903" w:rsidP="00B00903">
      <w:pPr>
        <w:pStyle w:val="TableFooter"/>
        <w:ind w:left="720"/>
      </w:pPr>
      <w:proofErr w:type="gramStart"/>
      <w:r w:rsidRPr="00684DD8">
        <w:rPr>
          <w:vertAlign w:val="superscript"/>
        </w:rPr>
        <w:t>b</w:t>
      </w:r>
      <w:proofErr w:type="gramEnd"/>
      <w:r w:rsidRPr="00684DD8">
        <w:t xml:space="preserve"> Results weighted to </w:t>
      </w:r>
      <w:r w:rsidR="006912CC" w:rsidRPr="00684DD8">
        <w:t>S</w:t>
      </w:r>
      <w:r w:rsidRPr="00684DD8">
        <w:t>tudy MT103-211 population; only patients with available endpoint data were included</w:t>
      </w:r>
      <w:r w:rsidR="00CD3DCE" w:rsidRPr="00684DD8">
        <w:t>.</w:t>
      </w:r>
    </w:p>
    <w:p w:rsidR="00B60939" w:rsidRPr="00684DD8" w:rsidRDefault="00B60939" w:rsidP="0004231D">
      <w:pPr>
        <w:rPr>
          <w:szCs w:val="22"/>
        </w:rPr>
      </w:pPr>
    </w:p>
    <w:p w:rsidR="00451389" w:rsidRPr="008A3185" w:rsidRDefault="00451389" w:rsidP="008B4389">
      <w:pPr>
        <w:pStyle w:val="ListParagraph"/>
        <w:numPr>
          <w:ilvl w:val="1"/>
          <w:numId w:val="1"/>
        </w:numPr>
      </w:pPr>
      <w:r w:rsidRPr="008A3185">
        <w:t xml:space="preserve">Based on a naïve indirect comparison with no common </w:t>
      </w:r>
      <w:r w:rsidR="003848A2" w:rsidRPr="008A3185">
        <w:t>reference</w:t>
      </w:r>
      <w:r w:rsidRPr="008A3185">
        <w:t xml:space="preserve">, the comparison of </w:t>
      </w:r>
      <w:proofErr w:type="spellStart"/>
      <w:r w:rsidRPr="008A3185">
        <w:t>blinatumomab</w:t>
      </w:r>
      <w:proofErr w:type="spellEnd"/>
      <w:r w:rsidRPr="008A3185">
        <w:t xml:space="preserve"> with </w:t>
      </w:r>
      <w:r w:rsidR="00C926FC" w:rsidRPr="008A3185">
        <w:t>standard care</w:t>
      </w:r>
      <w:r w:rsidRPr="008A3185">
        <w:t xml:space="preserve"> chemotherapy appeared to result in improved complete response, complete response with partial haematological recovery, allogeneic HSCT rates and overall survival.</w:t>
      </w:r>
      <w:r w:rsidR="00C104FA" w:rsidRPr="008A3185">
        <w:t xml:space="preserve"> The magnitude of long-term efficacy could not be determined.</w:t>
      </w:r>
    </w:p>
    <w:p w:rsidR="00F0265F" w:rsidRPr="00684DD8" w:rsidRDefault="00F0265F" w:rsidP="00451389">
      <w:pPr>
        <w:widowControl/>
        <w:rPr>
          <w:szCs w:val="22"/>
        </w:rPr>
      </w:pPr>
    </w:p>
    <w:p w:rsidR="00451389" w:rsidRPr="00684DD8" w:rsidRDefault="00451389" w:rsidP="003C215E">
      <w:pPr>
        <w:pStyle w:val="Heading4"/>
      </w:pPr>
      <w:bookmarkStart w:id="18" w:name="_Toc450655482"/>
      <w:bookmarkStart w:id="19" w:name="_Toc450820746"/>
      <w:r w:rsidRPr="00684DD8">
        <w:t>Clinical claim</w:t>
      </w:r>
      <w:bookmarkEnd w:id="18"/>
      <w:bookmarkEnd w:id="19"/>
    </w:p>
    <w:p w:rsidR="00451389" w:rsidRPr="00684DD8" w:rsidRDefault="00451389" w:rsidP="00451389">
      <w:pPr>
        <w:widowControl/>
        <w:rPr>
          <w:szCs w:val="22"/>
        </w:rPr>
      </w:pPr>
    </w:p>
    <w:p w:rsidR="00B60939" w:rsidRPr="008A3185" w:rsidRDefault="00653655" w:rsidP="008B4389">
      <w:pPr>
        <w:pStyle w:val="ListParagraph"/>
        <w:numPr>
          <w:ilvl w:val="1"/>
          <w:numId w:val="1"/>
        </w:numPr>
      </w:pPr>
      <w:r w:rsidRPr="00684DD8">
        <w:t xml:space="preserve">The </w:t>
      </w:r>
      <w:r w:rsidR="00481C66" w:rsidRPr="00684DD8">
        <w:t>resubmission</w:t>
      </w:r>
      <w:r w:rsidRPr="00684DD8">
        <w:t xml:space="preserve"> reiterated its previous claim</w:t>
      </w:r>
      <w:r w:rsidR="001F3BE3" w:rsidRPr="00684DD8">
        <w:t>,</w:t>
      </w:r>
      <w:r w:rsidRPr="00684DD8">
        <w:t xml:space="preserve"> describ</w:t>
      </w:r>
      <w:r w:rsidR="00563080" w:rsidRPr="00684DD8">
        <w:t>ing</w:t>
      </w:r>
      <w:r w:rsidRPr="00684DD8">
        <w:t xml:space="preserve"> </w:t>
      </w:r>
      <w:proofErr w:type="spellStart"/>
      <w:r w:rsidRPr="00684DD8">
        <w:t>blinatumomab</w:t>
      </w:r>
      <w:proofErr w:type="spellEnd"/>
      <w:r w:rsidRPr="00684DD8">
        <w:t xml:space="preserve"> as superior in terms of comparative effectiveness and superior in terms of comparative safety over </w:t>
      </w:r>
      <w:r w:rsidR="00C926FC" w:rsidRPr="00684DD8">
        <w:t>standard care</w:t>
      </w:r>
      <w:r w:rsidRPr="00684DD8">
        <w:t xml:space="preserve"> chemotherapies.</w:t>
      </w:r>
    </w:p>
    <w:p w:rsidR="000A3A4E" w:rsidRPr="00684DD8" w:rsidRDefault="000A3A4E" w:rsidP="00C85223">
      <w:pPr>
        <w:widowControl/>
        <w:tabs>
          <w:tab w:val="left" w:pos="990"/>
        </w:tabs>
        <w:rPr>
          <w:szCs w:val="22"/>
        </w:rPr>
      </w:pPr>
    </w:p>
    <w:p w:rsidR="000A3A4E" w:rsidRPr="008A3185" w:rsidRDefault="000A3A4E" w:rsidP="008B4389">
      <w:pPr>
        <w:pStyle w:val="ListParagraph"/>
        <w:numPr>
          <w:ilvl w:val="1"/>
          <w:numId w:val="1"/>
        </w:numPr>
      </w:pPr>
      <w:r w:rsidRPr="008A3185">
        <w:t>As no new clinical evidence was provided</w:t>
      </w:r>
      <w:r w:rsidR="002B4C08" w:rsidRPr="008A3185">
        <w:t xml:space="preserve"> </w:t>
      </w:r>
      <w:r w:rsidR="00726B93" w:rsidRPr="008A3185">
        <w:t xml:space="preserve">for evaluation </w:t>
      </w:r>
      <w:r w:rsidR="002B4C08" w:rsidRPr="008A3185">
        <w:t xml:space="preserve">with the </w:t>
      </w:r>
      <w:r w:rsidR="009302D6" w:rsidRPr="008A3185">
        <w:t>re</w:t>
      </w:r>
      <w:r w:rsidR="002B4C08" w:rsidRPr="008A3185">
        <w:t>submission</w:t>
      </w:r>
      <w:r w:rsidRPr="008A3185">
        <w:t xml:space="preserve">, the claim for superior </w:t>
      </w:r>
      <w:r w:rsidR="002C7A20" w:rsidRPr="008A3185">
        <w:t>efficacy</w:t>
      </w:r>
      <w:r w:rsidRPr="008A3185">
        <w:t xml:space="preserve"> in the </w:t>
      </w:r>
      <w:r w:rsidR="00AA3FFF" w:rsidRPr="008A3185">
        <w:t xml:space="preserve">current </w:t>
      </w:r>
      <w:r w:rsidR="00B23C1B" w:rsidRPr="008A3185">
        <w:t>re</w:t>
      </w:r>
      <w:r w:rsidR="00AA3FFF" w:rsidRPr="008A3185">
        <w:t xml:space="preserve">submission </w:t>
      </w:r>
      <w:r w:rsidR="00843D54" w:rsidRPr="008A3185">
        <w:t>remained difficult to assess</w:t>
      </w:r>
      <w:r w:rsidRPr="008A3185">
        <w:t xml:space="preserve">. </w:t>
      </w:r>
      <w:r w:rsidRPr="00684DD8">
        <w:t xml:space="preserve">The </w:t>
      </w:r>
      <w:r w:rsidR="00AA3FFF">
        <w:t xml:space="preserve">current </w:t>
      </w:r>
      <w:r w:rsidR="00B23C1B">
        <w:t>re</w:t>
      </w:r>
      <w:r w:rsidR="00AA3FFF">
        <w:t>submission</w:t>
      </w:r>
      <w:r w:rsidR="00AA3FFF" w:rsidRPr="00684DD8">
        <w:t xml:space="preserve"> </w:t>
      </w:r>
      <w:r w:rsidRPr="00684DD8">
        <w:t xml:space="preserve">stated that the </w:t>
      </w:r>
      <w:r w:rsidR="00BE59A0">
        <w:t xml:space="preserve">early cessation of the </w:t>
      </w:r>
      <w:r w:rsidRPr="00684DD8">
        <w:t xml:space="preserve">TOWER </w:t>
      </w:r>
      <w:r w:rsidR="00B01940" w:rsidRPr="00684DD8">
        <w:t>t</w:t>
      </w:r>
      <w:r w:rsidRPr="00684DD8">
        <w:t>rial</w:t>
      </w:r>
      <w:r w:rsidR="00AA3FFF">
        <w:t>, which was</w:t>
      </w:r>
      <w:r w:rsidRPr="00684DD8">
        <w:t xml:space="preserve"> </w:t>
      </w:r>
      <w:r w:rsidR="00BE59A0">
        <w:t xml:space="preserve">triggered by the finding of </w:t>
      </w:r>
      <w:r w:rsidRPr="00684DD8">
        <w:t>an overall survival benefit</w:t>
      </w:r>
      <w:r w:rsidR="00AA3FFF">
        <w:t xml:space="preserve">, </w:t>
      </w:r>
      <w:r w:rsidR="00BE59A0">
        <w:t xml:space="preserve">gave substance to the claims </w:t>
      </w:r>
      <w:r w:rsidR="00AA3FFF">
        <w:t>of benefit</w:t>
      </w:r>
      <w:r w:rsidR="00BE59A0">
        <w:t xml:space="preserve"> </w:t>
      </w:r>
      <w:r w:rsidR="00AA3FFF">
        <w:t xml:space="preserve">made </w:t>
      </w:r>
      <w:r w:rsidR="00BE59A0">
        <w:t xml:space="preserve">in the </w:t>
      </w:r>
      <w:r w:rsidRPr="00684DD8">
        <w:t xml:space="preserve">original submission. </w:t>
      </w:r>
      <w:r w:rsidR="00902131">
        <w:t xml:space="preserve">The PBAC accepted that this </w:t>
      </w:r>
      <w:r w:rsidR="00BE59A0">
        <w:t xml:space="preserve">observation </w:t>
      </w:r>
      <w:r w:rsidR="00902131">
        <w:t>was supportive, but not definitive. Evaluation of the mature results of the TOWER trial is needed to reach a final conclusion</w:t>
      </w:r>
      <w:r w:rsidRPr="008A3185">
        <w:t xml:space="preserve">. In </w:t>
      </w:r>
      <w:r w:rsidR="00902131" w:rsidRPr="008A3185">
        <w:t>particular</w:t>
      </w:r>
      <w:r w:rsidRPr="008A3185">
        <w:t xml:space="preserve">, </w:t>
      </w:r>
      <w:r w:rsidR="00902131" w:rsidRPr="008A3185">
        <w:t xml:space="preserve">the submission did not </w:t>
      </w:r>
      <w:r w:rsidRPr="008A3185">
        <w:t>attempt to resolve the PBAC concerns regarding uncertainty in long-term outc</w:t>
      </w:r>
      <w:r w:rsidR="001109E2" w:rsidRPr="008A3185">
        <w:t>o</w:t>
      </w:r>
      <w:r w:rsidR="00BA2F88" w:rsidRPr="008A3185">
        <w:t>mes.</w:t>
      </w:r>
    </w:p>
    <w:p w:rsidR="00527D3A" w:rsidRPr="00684DD8" w:rsidRDefault="00527D3A" w:rsidP="00527D3A">
      <w:pPr>
        <w:rPr>
          <w:szCs w:val="22"/>
        </w:rPr>
      </w:pPr>
    </w:p>
    <w:p w:rsidR="00B60939" w:rsidRPr="008A3185" w:rsidRDefault="00527D3A" w:rsidP="008B4389">
      <w:pPr>
        <w:pStyle w:val="ListParagraph"/>
        <w:numPr>
          <w:ilvl w:val="1"/>
          <w:numId w:val="1"/>
        </w:numPr>
      </w:pPr>
      <w:r w:rsidRPr="008A3185">
        <w:t xml:space="preserve">As the </w:t>
      </w:r>
      <w:r w:rsidR="00481C66" w:rsidRPr="008A3185">
        <w:t>resubmission</w:t>
      </w:r>
      <w:r w:rsidRPr="008A3185">
        <w:t xml:space="preserve"> provided no comparative safety evidence, the claim for superior safety </w:t>
      </w:r>
      <w:r w:rsidR="00902131" w:rsidRPr="008A3185">
        <w:t>also remained difficult to assess</w:t>
      </w:r>
      <w:r w:rsidRPr="008A3185">
        <w:t xml:space="preserve">. </w:t>
      </w:r>
      <w:r w:rsidR="00902131">
        <w:t>T</w:t>
      </w:r>
      <w:r w:rsidR="00433349" w:rsidRPr="00684DD8">
        <w:t>oxicity might vary depending on the clinical state of a patient when treatment was commenced</w:t>
      </w:r>
      <w:r w:rsidR="00471EBB" w:rsidRPr="00684DD8">
        <w:t>.</w:t>
      </w:r>
      <w:r w:rsidR="00C85223" w:rsidRPr="00684DD8">
        <w:t xml:space="preserve"> </w:t>
      </w:r>
      <w:r w:rsidR="00471EBB" w:rsidRPr="00684DD8">
        <w:t xml:space="preserve">Limited </w:t>
      </w:r>
      <w:r w:rsidR="005B60B6" w:rsidRPr="008A3185">
        <w:t>p</w:t>
      </w:r>
      <w:r w:rsidR="00C85223" w:rsidRPr="008A3185">
        <w:t xml:space="preserve">reliminary safety results from the TOWER trial </w:t>
      </w:r>
      <w:r w:rsidR="005B60B6" w:rsidRPr="008A3185">
        <w:t xml:space="preserve">were </w:t>
      </w:r>
      <w:r w:rsidR="00C85223" w:rsidRPr="008A3185">
        <w:t>presented in the PSCR</w:t>
      </w:r>
      <w:r w:rsidR="00040E77" w:rsidRPr="008A3185">
        <w:t xml:space="preserve">, and did suggest </w:t>
      </w:r>
      <w:r w:rsidR="006973A6" w:rsidRPr="008A3185">
        <w:t xml:space="preserve">that while the overall adverse event rate was high, </w:t>
      </w:r>
      <w:r w:rsidR="00DE588F" w:rsidRPr="008A3185">
        <w:t xml:space="preserve">the </w:t>
      </w:r>
      <w:r w:rsidR="006973A6" w:rsidRPr="008A3185">
        <w:t xml:space="preserve">proportion of patients experiencing grade 4 </w:t>
      </w:r>
      <w:r w:rsidR="006973A6" w:rsidRPr="008A3185">
        <w:lastRenderedPageBreak/>
        <w:t xml:space="preserve">or higher toxicity was less with </w:t>
      </w:r>
      <w:proofErr w:type="spellStart"/>
      <w:r w:rsidR="006973A6" w:rsidRPr="008A3185">
        <w:t>blin</w:t>
      </w:r>
      <w:r w:rsidR="00B23C1B" w:rsidRPr="008A3185">
        <w:t>atumo</w:t>
      </w:r>
      <w:r w:rsidR="006973A6" w:rsidRPr="008A3185">
        <w:t>mab</w:t>
      </w:r>
      <w:proofErr w:type="spellEnd"/>
      <w:r w:rsidR="006973A6" w:rsidRPr="008A3185">
        <w:t xml:space="preserve"> than for standard chemotherapy</w:t>
      </w:r>
      <w:r w:rsidR="00C85223" w:rsidRPr="008A3185">
        <w:t xml:space="preserve">. </w:t>
      </w:r>
    </w:p>
    <w:p w:rsidR="00451389" w:rsidRPr="00684DD8" w:rsidRDefault="00451389" w:rsidP="00451389">
      <w:pPr>
        <w:widowControl/>
        <w:rPr>
          <w:szCs w:val="22"/>
        </w:rPr>
      </w:pPr>
    </w:p>
    <w:p w:rsidR="00FB71EA" w:rsidRPr="008A3185" w:rsidRDefault="00FB71EA" w:rsidP="008B4389">
      <w:pPr>
        <w:pStyle w:val="ListParagraph"/>
        <w:numPr>
          <w:ilvl w:val="1"/>
          <w:numId w:val="1"/>
        </w:numPr>
      </w:pPr>
      <w:r w:rsidRPr="008A3185">
        <w:t>The PBAC considered that the claim of superior comparative effectiveness was reasonable</w:t>
      </w:r>
      <w:r w:rsidR="00465750" w:rsidRPr="008A3185">
        <w:t xml:space="preserve"> in light of the preliminary results provided</w:t>
      </w:r>
      <w:r w:rsidR="00BA2F88" w:rsidRPr="008A3185">
        <w:t xml:space="preserve"> from the TOWER trial.</w:t>
      </w:r>
    </w:p>
    <w:p w:rsidR="00FB71EA" w:rsidRPr="00684DD8" w:rsidRDefault="00FB71EA" w:rsidP="00FB71EA">
      <w:pPr>
        <w:rPr>
          <w:bCs/>
          <w:szCs w:val="22"/>
        </w:rPr>
      </w:pPr>
    </w:p>
    <w:p w:rsidR="00FB71EA" w:rsidRPr="008A3185" w:rsidRDefault="00FB71EA" w:rsidP="008B4389">
      <w:pPr>
        <w:pStyle w:val="ListParagraph"/>
        <w:numPr>
          <w:ilvl w:val="1"/>
          <w:numId w:val="1"/>
        </w:numPr>
      </w:pPr>
      <w:r w:rsidRPr="008A3185">
        <w:t>The PBAC considered that the claim of superior comparative safety was reasonable</w:t>
      </w:r>
      <w:r w:rsidR="00465750" w:rsidRPr="008A3185">
        <w:t>.</w:t>
      </w:r>
    </w:p>
    <w:p w:rsidR="00FB71EA" w:rsidRPr="00684DD8" w:rsidRDefault="00FB71EA" w:rsidP="00451389">
      <w:pPr>
        <w:widowControl/>
        <w:rPr>
          <w:szCs w:val="22"/>
        </w:rPr>
      </w:pPr>
    </w:p>
    <w:p w:rsidR="00B60939" w:rsidRPr="00684DD8" w:rsidRDefault="00B60939" w:rsidP="003C215E">
      <w:pPr>
        <w:pStyle w:val="Heading4"/>
      </w:pPr>
      <w:bookmarkStart w:id="20" w:name="_Toc450655483"/>
      <w:bookmarkStart w:id="21" w:name="_Toc450820747"/>
      <w:r w:rsidRPr="00684DD8">
        <w:t>Economic analysis</w:t>
      </w:r>
      <w:bookmarkEnd w:id="20"/>
      <w:bookmarkEnd w:id="21"/>
    </w:p>
    <w:p w:rsidR="00B60939" w:rsidRPr="00684DD8" w:rsidRDefault="00B60939" w:rsidP="00B60939">
      <w:pPr>
        <w:ind w:left="720" w:hanging="720"/>
        <w:rPr>
          <w:szCs w:val="22"/>
        </w:rPr>
      </w:pPr>
    </w:p>
    <w:p w:rsidR="00B60939" w:rsidRPr="008A3185" w:rsidRDefault="009302D6" w:rsidP="008B4389">
      <w:pPr>
        <w:pStyle w:val="ListParagraph"/>
        <w:numPr>
          <w:ilvl w:val="1"/>
          <w:numId w:val="1"/>
        </w:numPr>
      </w:pPr>
      <w:r w:rsidRPr="00684DD8">
        <w:t>Consistent with the November 2015 submission, t</w:t>
      </w:r>
      <w:r w:rsidR="00527D3A" w:rsidRPr="00684DD8">
        <w:t xml:space="preserve">he </w:t>
      </w:r>
      <w:r w:rsidR="00481C66" w:rsidRPr="00684DD8">
        <w:t>resubmission</w:t>
      </w:r>
      <w:r w:rsidR="00527D3A" w:rsidRPr="00684DD8">
        <w:t xml:space="preserve"> presented a decision analytic model that used area under the curve methods to estimate overall survival. The stepped economic evaluation was a cost-utility analysis that compared </w:t>
      </w:r>
      <w:proofErr w:type="spellStart"/>
      <w:r w:rsidR="00527D3A" w:rsidRPr="00684DD8">
        <w:t>blinatumomab</w:t>
      </w:r>
      <w:proofErr w:type="spellEnd"/>
      <w:r w:rsidR="00527D3A" w:rsidRPr="00684DD8">
        <w:t xml:space="preserve"> </w:t>
      </w:r>
      <w:r w:rsidR="006F3064" w:rsidRPr="00684DD8">
        <w:t>with</w:t>
      </w:r>
      <w:r w:rsidR="00527D3A" w:rsidRPr="00684DD8">
        <w:t xml:space="preserve"> </w:t>
      </w:r>
      <w:r w:rsidR="00C926FC" w:rsidRPr="00684DD8">
        <w:t>standard care</w:t>
      </w:r>
      <w:r w:rsidR="00527D3A" w:rsidRPr="00684DD8">
        <w:t xml:space="preserve"> chemotherapy. A summary is presented below.</w:t>
      </w:r>
    </w:p>
    <w:p w:rsidR="005C544E" w:rsidRPr="00684DD8" w:rsidRDefault="005C544E" w:rsidP="00BA2F88">
      <w:pPr>
        <w:rPr>
          <w:rStyle w:val="CommentReference"/>
          <w:rFonts w:ascii="Arial" w:hAnsi="Arial"/>
          <w:b w:val="0"/>
          <w:sz w:val="22"/>
          <w:szCs w:val="22"/>
        </w:rPr>
      </w:pPr>
    </w:p>
    <w:p w:rsidR="005E41A2" w:rsidRPr="00684DD8" w:rsidRDefault="00BA2F88" w:rsidP="005E41A2">
      <w:pPr>
        <w:ind w:firstLine="720"/>
        <w:rPr>
          <w:rStyle w:val="CommentReference"/>
        </w:rPr>
      </w:pPr>
      <w:r w:rsidRPr="00684DD8">
        <w:rPr>
          <w:rStyle w:val="CommentReference"/>
        </w:rPr>
        <w:t xml:space="preserve">Table </w:t>
      </w:r>
      <w:r w:rsidR="00CE65D8" w:rsidRPr="00684DD8">
        <w:rPr>
          <w:rStyle w:val="CommentReference"/>
        </w:rPr>
        <w:t>7</w:t>
      </w:r>
      <w:r w:rsidR="005E41A2" w:rsidRPr="00684DD8">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780826" w:rsidRPr="00684DD8" w:rsidTr="0083456D">
        <w:trPr>
          <w:tblHeader/>
        </w:trPr>
        <w:tc>
          <w:tcPr>
            <w:tcW w:w="1529" w:type="pct"/>
            <w:shd w:val="clear" w:color="auto" w:fill="auto"/>
            <w:vAlign w:val="center"/>
          </w:tcPr>
          <w:p w:rsidR="005E41A2" w:rsidRPr="00684DD8" w:rsidRDefault="005E41A2" w:rsidP="0083456D">
            <w:pPr>
              <w:jc w:val="left"/>
              <w:rPr>
                <w:rFonts w:ascii="Arial Narrow" w:hAnsi="Arial Narrow"/>
                <w:b/>
                <w:sz w:val="20"/>
              </w:rPr>
            </w:pPr>
            <w:r w:rsidRPr="00684DD8">
              <w:rPr>
                <w:rFonts w:ascii="Arial Narrow" w:hAnsi="Arial Narrow"/>
                <w:b/>
                <w:sz w:val="20"/>
              </w:rPr>
              <w:t>Component</w:t>
            </w:r>
          </w:p>
        </w:tc>
        <w:tc>
          <w:tcPr>
            <w:tcW w:w="3471" w:type="pct"/>
            <w:shd w:val="clear" w:color="auto" w:fill="auto"/>
            <w:vAlign w:val="center"/>
          </w:tcPr>
          <w:p w:rsidR="005E41A2" w:rsidRPr="00684DD8" w:rsidRDefault="005E41A2" w:rsidP="0083456D">
            <w:pPr>
              <w:jc w:val="center"/>
              <w:rPr>
                <w:rFonts w:ascii="Arial Narrow" w:hAnsi="Arial Narrow"/>
                <w:b/>
                <w:sz w:val="20"/>
              </w:rPr>
            </w:pPr>
            <w:r w:rsidRPr="00684DD8">
              <w:rPr>
                <w:rFonts w:ascii="Arial Narrow" w:hAnsi="Arial Narrow"/>
                <w:b/>
                <w:sz w:val="20"/>
              </w:rPr>
              <w:t>Summary</w:t>
            </w:r>
          </w:p>
        </w:tc>
      </w:tr>
      <w:tr w:rsidR="00780826" w:rsidRPr="00684DD8" w:rsidTr="0083456D">
        <w:tc>
          <w:tcPr>
            <w:tcW w:w="1529" w:type="pct"/>
            <w:shd w:val="clear" w:color="auto" w:fill="auto"/>
            <w:vAlign w:val="center"/>
          </w:tcPr>
          <w:p w:rsidR="005E41A2" w:rsidRPr="00684DD8" w:rsidRDefault="005E41A2" w:rsidP="0083456D">
            <w:pPr>
              <w:jc w:val="left"/>
              <w:rPr>
                <w:rFonts w:ascii="Arial Narrow" w:hAnsi="Arial Narrow"/>
                <w:sz w:val="20"/>
              </w:rPr>
            </w:pPr>
            <w:r w:rsidRPr="00684DD8">
              <w:rPr>
                <w:rFonts w:ascii="Arial Narrow" w:hAnsi="Arial Narrow"/>
                <w:sz w:val="20"/>
              </w:rPr>
              <w:t>Time horizon</w:t>
            </w:r>
          </w:p>
        </w:tc>
        <w:tc>
          <w:tcPr>
            <w:tcW w:w="3471" w:type="pct"/>
            <w:shd w:val="clear" w:color="auto" w:fill="auto"/>
            <w:vAlign w:val="center"/>
          </w:tcPr>
          <w:p w:rsidR="005E41A2" w:rsidRPr="00684DD8" w:rsidRDefault="005E41A2" w:rsidP="0083456D">
            <w:pPr>
              <w:jc w:val="left"/>
              <w:rPr>
                <w:rFonts w:ascii="Arial Narrow" w:hAnsi="Arial Narrow"/>
                <w:sz w:val="20"/>
              </w:rPr>
            </w:pPr>
            <w:r w:rsidRPr="00684DD8">
              <w:rPr>
                <w:rFonts w:ascii="Arial Narrow" w:hAnsi="Arial Narrow"/>
                <w:sz w:val="20"/>
              </w:rPr>
              <w:t>20 years in the model versus 25 months in Study MT103-211 and 60 months in Study 20120310</w:t>
            </w:r>
          </w:p>
        </w:tc>
      </w:tr>
      <w:tr w:rsidR="00780826" w:rsidRPr="00684DD8" w:rsidTr="0083456D">
        <w:tc>
          <w:tcPr>
            <w:tcW w:w="1529" w:type="pct"/>
            <w:shd w:val="clear" w:color="auto" w:fill="auto"/>
            <w:vAlign w:val="center"/>
          </w:tcPr>
          <w:p w:rsidR="005E41A2" w:rsidRPr="00684DD8" w:rsidRDefault="005E41A2" w:rsidP="0083456D">
            <w:pPr>
              <w:jc w:val="left"/>
              <w:rPr>
                <w:rFonts w:ascii="Arial Narrow" w:hAnsi="Arial Narrow"/>
                <w:sz w:val="20"/>
              </w:rPr>
            </w:pPr>
            <w:r w:rsidRPr="00684DD8">
              <w:rPr>
                <w:rFonts w:ascii="Arial Narrow" w:hAnsi="Arial Narrow"/>
                <w:sz w:val="20"/>
              </w:rPr>
              <w:t>Outcomes</w:t>
            </w:r>
          </w:p>
        </w:tc>
        <w:tc>
          <w:tcPr>
            <w:tcW w:w="3471" w:type="pct"/>
            <w:shd w:val="clear" w:color="auto" w:fill="auto"/>
          </w:tcPr>
          <w:p w:rsidR="005E41A2" w:rsidRPr="00684DD8" w:rsidRDefault="005E41A2" w:rsidP="0083456D">
            <w:pPr>
              <w:keepNext/>
              <w:rPr>
                <w:rFonts w:ascii="Arial Narrow" w:hAnsi="Arial Narrow"/>
                <w:sz w:val="20"/>
              </w:rPr>
            </w:pPr>
            <w:r w:rsidRPr="00684DD8">
              <w:rPr>
                <w:rFonts w:ascii="Arial Narrow" w:hAnsi="Arial Narrow"/>
                <w:sz w:val="20"/>
              </w:rPr>
              <w:t>Life years gained and QALYs</w:t>
            </w:r>
          </w:p>
        </w:tc>
      </w:tr>
      <w:tr w:rsidR="00780826" w:rsidRPr="00684DD8" w:rsidTr="0083456D">
        <w:tc>
          <w:tcPr>
            <w:tcW w:w="1529" w:type="pct"/>
            <w:shd w:val="clear" w:color="auto" w:fill="auto"/>
            <w:vAlign w:val="center"/>
          </w:tcPr>
          <w:p w:rsidR="005E41A2" w:rsidRPr="00684DD8" w:rsidRDefault="005E41A2" w:rsidP="0083456D">
            <w:pPr>
              <w:jc w:val="left"/>
              <w:rPr>
                <w:rFonts w:ascii="Arial Narrow" w:hAnsi="Arial Narrow"/>
                <w:sz w:val="20"/>
              </w:rPr>
            </w:pPr>
            <w:r w:rsidRPr="00684DD8">
              <w:rPr>
                <w:rFonts w:ascii="Arial Narrow" w:hAnsi="Arial Narrow"/>
                <w:sz w:val="20"/>
              </w:rPr>
              <w:t>Methods used to generate results</w:t>
            </w:r>
          </w:p>
        </w:tc>
        <w:tc>
          <w:tcPr>
            <w:tcW w:w="3471" w:type="pct"/>
            <w:shd w:val="clear" w:color="auto" w:fill="auto"/>
          </w:tcPr>
          <w:p w:rsidR="005E41A2" w:rsidRPr="00684DD8" w:rsidRDefault="005E41A2" w:rsidP="0083456D">
            <w:pPr>
              <w:keepNext/>
              <w:rPr>
                <w:rFonts w:ascii="Arial Narrow" w:hAnsi="Arial Narrow"/>
                <w:sz w:val="20"/>
              </w:rPr>
            </w:pPr>
            <w:r w:rsidRPr="00684DD8">
              <w:rPr>
                <w:rFonts w:ascii="Arial Narrow" w:hAnsi="Arial Narrow"/>
                <w:sz w:val="20"/>
              </w:rPr>
              <w:t>Decision analytic model that used area under the curve methods (trapezoidal method) to estimate overall survival.</w:t>
            </w:r>
          </w:p>
        </w:tc>
      </w:tr>
      <w:tr w:rsidR="00780826" w:rsidRPr="00684DD8" w:rsidTr="0083456D">
        <w:tc>
          <w:tcPr>
            <w:tcW w:w="1529" w:type="pct"/>
            <w:shd w:val="clear" w:color="auto" w:fill="auto"/>
            <w:vAlign w:val="center"/>
          </w:tcPr>
          <w:p w:rsidR="005E41A2" w:rsidRPr="00684DD8" w:rsidRDefault="005E41A2" w:rsidP="0083456D">
            <w:pPr>
              <w:jc w:val="left"/>
              <w:rPr>
                <w:rFonts w:ascii="Arial Narrow" w:hAnsi="Arial Narrow"/>
                <w:sz w:val="20"/>
              </w:rPr>
            </w:pPr>
            <w:r w:rsidRPr="00684DD8">
              <w:rPr>
                <w:rFonts w:ascii="Arial Narrow" w:hAnsi="Arial Narrow"/>
                <w:sz w:val="20"/>
              </w:rPr>
              <w:t>Cycle length</w:t>
            </w:r>
          </w:p>
        </w:tc>
        <w:tc>
          <w:tcPr>
            <w:tcW w:w="3471" w:type="pct"/>
            <w:shd w:val="clear" w:color="auto" w:fill="auto"/>
          </w:tcPr>
          <w:p w:rsidR="005E41A2" w:rsidRPr="00684DD8" w:rsidRDefault="005E41A2" w:rsidP="0083456D">
            <w:pPr>
              <w:keepNext/>
              <w:rPr>
                <w:rFonts w:ascii="Arial Narrow" w:hAnsi="Arial Narrow"/>
                <w:sz w:val="20"/>
              </w:rPr>
            </w:pPr>
            <w:r w:rsidRPr="00684DD8">
              <w:rPr>
                <w:rFonts w:ascii="Arial Narrow" w:hAnsi="Arial Narrow"/>
                <w:sz w:val="20"/>
              </w:rPr>
              <w:t>Monthly for the first 5 years and then yearly until 20 years, with half-cycle correction</w:t>
            </w:r>
          </w:p>
        </w:tc>
      </w:tr>
      <w:tr w:rsidR="00780826" w:rsidRPr="00684DD8" w:rsidTr="0083456D">
        <w:tc>
          <w:tcPr>
            <w:tcW w:w="1529" w:type="pct"/>
            <w:shd w:val="clear" w:color="auto" w:fill="auto"/>
            <w:vAlign w:val="center"/>
          </w:tcPr>
          <w:p w:rsidR="005E41A2" w:rsidRPr="00684DD8" w:rsidRDefault="005E41A2" w:rsidP="0083456D">
            <w:pPr>
              <w:jc w:val="left"/>
              <w:rPr>
                <w:rFonts w:ascii="Arial Narrow" w:hAnsi="Arial Narrow"/>
                <w:sz w:val="20"/>
              </w:rPr>
            </w:pPr>
            <w:r w:rsidRPr="00684DD8">
              <w:rPr>
                <w:rFonts w:ascii="Arial Narrow" w:hAnsi="Arial Narrow"/>
                <w:sz w:val="20"/>
              </w:rPr>
              <w:t>Discount rate</w:t>
            </w:r>
          </w:p>
        </w:tc>
        <w:tc>
          <w:tcPr>
            <w:tcW w:w="3471" w:type="pct"/>
            <w:shd w:val="clear" w:color="auto" w:fill="auto"/>
          </w:tcPr>
          <w:p w:rsidR="005E41A2" w:rsidRPr="00684DD8" w:rsidRDefault="00D34A67" w:rsidP="0083456D">
            <w:pPr>
              <w:keepNext/>
              <w:rPr>
                <w:rFonts w:ascii="Arial Narrow" w:hAnsi="Arial Narrow"/>
                <w:sz w:val="20"/>
              </w:rPr>
            </w:pPr>
            <w:r>
              <w:rPr>
                <w:rFonts w:ascii="Arial Narrow" w:hAnsi="Arial Narrow"/>
                <w:noProof/>
                <w:color w:val="000000"/>
                <w:sz w:val="20"/>
                <w:highlight w:val="black"/>
              </w:rPr>
              <w:t>'''</w:t>
            </w:r>
            <w:r w:rsidR="005E41A2" w:rsidRPr="00684DD8">
              <w:rPr>
                <w:rFonts w:ascii="Arial Narrow" w:hAnsi="Arial Narrow"/>
                <w:sz w:val="20"/>
              </w:rPr>
              <w:t>% for benefits and costs</w:t>
            </w:r>
          </w:p>
        </w:tc>
      </w:tr>
      <w:tr w:rsidR="00780826" w:rsidRPr="00684DD8" w:rsidTr="0083456D">
        <w:tc>
          <w:tcPr>
            <w:tcW w:w="1529" w:type="pct"/>
            <w:shd w:val="clear" w:color="auto" w:fill="auto"/>
            <w:vAlign w:val="center"/>
          </w:tcPr>
          <w:p w:rsidR="005E41A2" w:rsidRPr="00684DD8" w:rsidRDefault="005E41A2" w:rsidP="0083456D">
            <w:pPr>
              <w:jc w:val="left"/>
              <w:rPr>
                <w:rFonts w:ascii="Arial Narrow" w:hAnsi="Arial Narrow"/>
                <w:sz w:val="20"/>
              </w:rPr>
            </w:pPr>
            <w:r w:rsidRPr="00684DD8">
              <w:rPr>
                <w:rFonts w:ascii="Arial Narrow" w:hAnsi="Arial Narrow"/>
                <w:sz w:val="20"/>
              </w:rPr>
              <w:t>Software package</w:t>
            </w:r>
          </w:p>
        </w:tc>
        <w:tc>
          <w:tcPr>
            <w:tcW w:w="3471" w:type="pct"/>
            <w:shd w:val="clear" w:color="auto" w:fill="auto"/>
          </w:tcPr>
          <w:p w:rsidR="005E41A2" w:rsidRPr="00684DD8" w:rsidRDefault="005E41A2" w:rsidP="0083456D">
            <w:pPr>
              <w:keepNext/>
              <w:rPr>
                <w:rFonts w:ascii="Arial Narrow" w:hAnsi="Arial Narrow"/>
                <w:sz w:val="20"/>
              </w:rPr>
            </w:pPr>
            <w:r w:rsidRPr="00684DD8">
              <w:rPr>
                <w:rFonts w:ascii="Arial Narrow" w:hAnsi="Arial Narrow"/>
                <w:sz w:val="20"/>
              </w:rPr>
              <w:t>Excel 2010 (v14)</w:t>
            </w:r>
          </w:p>
        </w:tc>
      </w:tr>
    </w:tbl>
    <w:p w:rsidR="005E41A2" w:rsidRPr="00684DD8" w:rsidRDefault="005E41A2" w:rsidP="005E41A2">
      <w:pPr>
        <w:pStyle w:val="TableFooter"/>
        <w:ind w:firstLine="720"/>
      </w:pPr>
      <w:r w:rsidRPr="00684DD8">
        <w:t>Source: Compiled during the evaluation</w:t>
      </w:r>
    </w:p>
    <w:p w:rsidR="005E41A2" w:rsidRPr="00684DD8" w:rsidRDefault="005E41A2" w:rsidP="005E41A2">
      <w:pPr>
        <w:pStyle w:val="TableFooter"/>
        <w:ind w:firstLine="720"/>
      </w:pPr>
      <w:r w:rsidRPr="00684DD8">
        <w:t>QALY = quality-adjusted life year</w:t>
      </w:r>
    </w:p>
    <w:p w:rsidR="005E41A2" w:rsidRPr="00684DD8" w:rsidRDefault="005E41A2" w:rsidP="00275C5A">
      <w:pPr>
        <w:widowControl/>
        <w:rPr>
          <w:szCs w:val="22"/>
        </w:rPr>
      </w:pPr>
    </w:p>
    <w:p w:rsidR="00EF7AFA" w:rsidRPr="008A3185" w:rsidRDefault="00EF7AFA" w:rsidP="008B4389">
      <w:pPr>
        <w:pStyle w:val="ListParagraph"/>
        <w:numPr>
          <w:ilvl w:val="1"/>
          <w:numId w:val="1"/>
        </w:numPr>
      </w:pPr>
      <w:r w:rsidRPr="008A3185">
        <w:t>The PBAC pr</w:t>
      </w:r>
      <w:r w:rsidR="00BA2F88" w:rsidRPr="008A3185">
        <w:t>eviously considered that the 20-</w:t>
      </w:r>
      <w:r w:rsidRPr="008A3185">
        <w:t>year time horizon in the economic model was appropriate; however the ESC noted that</w:t>
      </w:r>
      <w:r w:rsidR="00BA2F88" w:rsidRPr="008A3185">
        <w:t xml:space="preserve"> 20-</w:t>
      </w:r>
      <w:r w:rsidR="00AB2030" w:rsidRPr="008A3185">
        <w:t>year survival is</w:t>
      </w:r>
      <w:r w:rsidRPr="008A3185">
        <w:t xml:space="preserve"> only </w:t>
      </w:r>
      <w:r w:rsidR="00AB2030" w:rsidRPr="008A3185">
        <w:t>plausible</w:t>
      </w:r>
      <w:r w:rsidRPr="008A3185">
        <w:t xml:space="preserve"> </w:t>
      </w:r>
      <w:r w:rsidR="00AB2030" w:rsidRPr="008A3185">
        <w:t>in</w:t>
      </w:r>
      <w:r w:rsidRPr="008A3185">
        <w:t xml:space="preserve"> patients who have a successful allogeneic HSCT, and therefore it is difficult to extrapolate the current data to 20 years without knowing </w:t>
      </w:r>
      <w:r w:rsidR="00EE214E" w:rsidRPr="008A3185">
        <w:t>the rate of successful transplant</w:t>
      </w:r>
      <w:r w:rsidRPr="008A3185">
        <w:t>.</w:t>
      </w:r>
      <w:r w:rsidR="000E57E7" w:rsidRPr="008A3185">
        <w:t xml:space="preserve"> Further</w:t>
      </w:r>
      <w:r w:rsidR="00EA350B" w:rsidRPr="008A3185">
        <w:t>,</w:t>
      </w:r>
      <w:r w:rsidR="000E57E7" w:rsidRPr="008A3185">
        <w:t xml:space="preserve"> in the model</w:t>
      </w:r>
      <w:r w:rsidR="00BA2F88" w:rsidRPr="008A3185">
        <w:t>,</w:t>
      </w:r>
      <w:r w:rsidR="000E57E7" w:rsidRPr="008A3185">
        <w:t xml:space="preserve"> long-term survival is not linked to a successful allogeneic HSCT.</w:t>
      </w:r>
    </w:p>
    <w:p w:rsidR="00EF7AFA" w:rsidRPr="00684DD8" w:rsidRDefault="00EF7AFA" w:rsidP="00EF7AFA">
      <w:pPr>
        <w:widowControl/>
        <w:rPr>
          <w:szCs w:val="22"/>
        </w:rPr>
      </w:pPr>
    </w:p>
    <w:p w:rsidR="00255D7D" w:rsidRPr="008A3185" w:rsidRDefault="00255D7D" w:rsidP="008B4389">
      <w:pPr>
        <w:pStyle w:val="ListParagraph"/>
        <w:numPr>
          <w:ilvl w:val="1"/>
          <w:numId w:val="1"/>
        </w:numPr>
      </w:pPr>
      <w:r w:rsidRPr="008A3185">
        <w:t>A number of variables used in the economic evaluation differed from the original submission. These are presented below.</w:t>
      </w:r>
    </w:p>
    <w:p w:rsidR="00255D7D" w:rsidRPr="00684DD8" w:rsidRDefault="00255D7D" w:rsidP="00255D7D">
      <w:pPr>
        <w:widowControl/>
        <w:rPr>
          <w:szCs w:val="22"/>
        </w:rPr>
      </w:pPr>
    </w:p>
    <w:p w:rsidR="00255D7D" w:rsidRPr="00684DD8" w:rsidRDefault="00255D7D" w:rsidP="00255D7D">
      <w:pPr>
        <w:keepNext/>
        <w:ind w:firstLine="720"/>
        <w:rPr>
          <w:rFonts w:ascii="Arial Narrow" w:hAnsi="Arial Narrow"/>
          <w:b/>
          <w:sz w:val="20"/>
        </w:rPr>
      </w:pPr>
      <w:r w:rsidRPr="00684DD8">
        <w:rPr>
          <w:rFonts w:ascii="Arial Narrow" w:hAnsi="Arial Narrow"/>
          <w:b/>
          <w:sz w:val="20"/>
        </w:rPr>
        <w:t xml:space="preserve">Table </w:t>
      </w:r>
      <w:r w:rsidR="00CE65D8" w:rsidRPr="00684DD8">
        <w:rPr>
          <w:rFonts w:ascii="Arial Narrow" w:hAnsi="Arial Narrow"/>
          <w:b/>
          <w:sz w:val="20"/>
        </w:rPr>
        <w:t>8</w:t>
      </w:r>
      <w:r w:rsidRPr="00684DD8">
        <w:rPr>
          <w:rFonts w:ascii="Arial Narrow" w:hAnsi="Arial Narrow"/>
          <w:b/>
          <w:sz w:val="20"/>
        </w:rPr>
        <w:t>: Changed variables in the economic evaluation</w:t>
      </w:r>
    </w:p>
    <w:tbl>
      <w:tblPr>
        <w:tblStyle w:val="TableGrid"/>
        <w:tblW w:w="8364" w:type="dxa"/>
        <w:tblInd w:w="737" w:type="dxa"/>
        <w:tblLook w:val="04A0" w:firstRow="1" w:lastRow="0" w:firstColumn="1" w:lastColumn="0" w:noHBand="0" w:noVBand="1"/>
      </w:tblPr>
      <w:tblGrid>
        <w:gridCol w:w="3827"/>
        <w:gridCol w:w="2268"/>
        <w:gridCol w:w="2269"/>
      </w:tblGrid>
      <w:tr w:rsidR="00780826" w:rsidRPr="00684DD8" w:rsidTr="0083456D">
        <w:tc>
          <w:tcPr>
            <w:tcW w:w="3827" w:type="dxa"/>
            <w:tcMar>
              <w:left w:w="28" w:type="dxa"/>
              <w:right w:w="28" w:type="dxa"/>
            </w:tcMar>
          </w:tcPr>
          <w:p w:rsidR="00255D7D" w:rsidRPr="00684DD8" w:rsidRDefault="00255D7D" w:rsidP="0083456D">
            <w:pPr>
              <w:keepNext/>
              <w:jc w:val="left"/>
              <w:rPr>
                <w:rFonts w:ascii="Arial Narrow" w:hAnsi="Arial Narrow"/>
                <w:b/>
                <w:sz w:val="20"/>
              </w:rPr>
            </w:pPr>
            <w:r w:rsidRPr="00684DD8">
              <w:rPr>
                <w:rFonts w:ascii="Arial Narrow" w:hAnsi="Arial Narrow"/>
                <w:b/>
                <w:sz w:val="20"/>
              </w:rPr>
              <w:t>Variable</w:t>
            </w:r>
          </w:p>
        </w:tc>
        <w:tc>
          <w:tcPr>
            <w:tcW w:w="2268" w:type="dxa"/>
          </w:tcPr>
          <w:p w:rsidR="00255D7D" w:rsidRPr="00684DD8" w:rsidRDefault="00255D7D" w:rsidP="0083456D">
            <w:pPr>
              <w:keepNext/>
              <w:jc w:val="center"/>
              <w:rPr>
                <w:rFonts w:ascii="Arial Narrow" w:hAnsi="Arial Narrow"/>
                <w:b/>
                <w:sz w:val="20"/>
              </w:rPr>
            </w:pPr>
            <w:r w:rsidRPr="00684DD8">
              <w:rPr>
                <w:rFonts w:ascii="Arial Narrow" w:hAnsi="Arial Narrow"/>
                <w:b/>
                <w:sz w:val="20"/>
              </w:rPr>
              <w:t xml:space="preserve">July 2016 </w:t>
            </w:r>
            <w:r w:rsidR="00481C66" w:rsidRPr="00684DD8">
              <w:rPr>
                <w:rFonts w:ascii="Arial Narrow" w:hAnsi="Arial Narrow"/>
                <w:b/>
                <w:sz w:val="20"/>
              </w:rPr>
              <w:t>resubmission</w:t>
            </w:r>
          </w:p>
        </w:tc>
        <w:tc>
          <w:tcPr>
            <w:tcW w:w="2269" w:type="dxa"/>
            <w:tcMar>
              <w:left w:w="28" w:type="dxa"/>
              <w:right w:w="28" w:type="dxa"/>
            </w:tcMar>
          </w:tcPr>
          <w:p w:rsidR="00255D7D" w:rsidRPr="00684DD8" w:rsidRDefault="00255D7D" w:rsidP="0083456D">
            <w:pPr>
              <w:keepNext/>
              <w:jc w:val="center"/>
              <w:rPr>
                <w:rFonts w:ascii="Arial Narrow" w:hAnsi="Arial Narrow"/>
                <w:b/>
                <w:sz w:val="20"/>
              </w:rPr>
            </w:pPr>
            <w:r w:rsidRPr="00684DD8">
              <w:rPr>
                <w:rFonts w:ascii="Arial Narrow" w:hAnsi="Arial Narrow"/>
                <w:b/>
                <w:sz w:val="20"/>
              </w:rPr>
              <w:t>November 2015 submission</w:t>
            </w:r>
          </w:p>
        </w:tc>
      </w:tr>
      <w:tr w:rsidR="00780826" w:rsidRPr="00684DD8" w:rsidTr="0083456D">
        <w:tc>
          <w:tcPr>
            <w:tcW w:w="3827" w:type="dxa"/>
            <w:tcMar>
              <w:left w:w="28" w:type="dxa"/>
              <w:right w:w="28" w:type="dxa"/>
            </w:tcMar>
          </w:tcPr>
          <w:p w:rsidR="00255D7D" w:rsidRPr="00684DD8" w:rsidRDefault="00255D7D" w:rsidP="0083456D">
            <w:pPr>
              <w:keepNext/>
              <w:jc w:val="left"/>
              <w:rPr>
                <w:rFonts w:ascii="Arial Narrow" w:hAnsi="Arial Narrow"/>
                <w:sz w:val="20"/>
              </w:rPr>
            </w:pPr>
            <w:r w:rsidRPr="00684DD8">
              <w:rPr>
                <w:rFonts w:ascii="Arial Narrow" w:hAnsi="Arial Narrow"/>
                <w:sz w:val="20"/>
              </w:rPr>
              <w:t xml:space="preserve">Number of </w:t>
            </w:r>
            <w:proofErr w:type="spellStart"/>
            <w:r w:rsidRPr="00684DD8">
              <w:rPr>
                <w:rFonts w:ascii="Arial Narrow" w:hAnsi="Arial Narrow"/>
                <w:sz w:val="20"/>
              </w:rPr>
              <w:t>blinatumomab</w:t>
            </w:r>
            <w:proofErr w:type="spellEnd"/>
            <w:r w:rsidRPr="00684DD8">
              <w:rPr>
                <w:rFonts w:ascii="Arial Narrow" w:hAnsi="Arial Narrow"/>
                <w:sz w:val="20"/>
              </w:rPr>
              <w:t xml:space="preserve"> vials used</w:t>
            </w:r>
          </w:p>
        </w:tc>
        <w:tc>
          <w:tcPr>
            <w:tcW w:w="2268" w:type="dxa"/>
          </w:tcPr>
          <w:p w:rsidR="00255D7D" w:rsidRPr="00D34A67" w:rsidRDefault="00D34A67" w:rsidP="0083456D">
            <w:pPr>
              <w:keepNext/>
              <w:jc w:val="center"/>
              <w:rPr>
                <w:rFonts w:ascii="Arial Narrow" w:hAnsi="Arial Narrow"/>
                <w:sz w:val="20"/>
                <w:highlight w:val="black"/>
              </w:rPr>
            </w:pPr>
            <w:r>
              <w:rPr>
                <w:rFonts w:ascii="Arial Narrow" w:hAnsi="Arial Narrow"/>
                <w:noProof/>
                <w:color w:val="000000"/>
                <w:sz w:val="20"/>
                <w:highlight w:val="black"/>
              </w:rPr>
              <w:t>'''''</w:t>
            </w:r>
          </w:p>
        </w:tc>
        <w:tc>
          <w:tcPr>
            <w:tcW w:w="2269" w:type="dxa"/>
            <w:tcMar>
              <w:left w:w="28" w:type="dxa"/>
              <w:right w:w="28" w:type="dxa"/>
            </w:tcMar>
          </w:tcPr>
          <w:p w:rsidR="00255D7D" w:rsidRPr="00D34A67" w:rsidRDefault="00D34A67" w:rsidP="0083456D">
            <w:pPr>
              <w:keepNext/>
              <w:jc w:val="center"/>
              <w:rPr>
                <w:rFonts w:ascii="Arial Narrow" w:hAnsi="Arial Narrow"/>
                <w:sz w:val="20"/>
                <w:highlight w:val="black"/>
              </w:rPr>
            </w:pPr>
            <w:r>
              <w:rPr>
                <w:rFonts w:ascii="Arial Narrow" w:hAnsi="Arial Narrow"/>
                <w:noProof/>
                <w:color w:val="000000"/>
                <w:sz w:val="20"/>
                <w:highlight w:val="black"/>
              </w:rPr>
              <w:t>'''''''</w:t>
            </w:r>
          </w:p>
        </w:tc>
      </w:tr>
      <w:tr w:rsidR="00780826" w:rsidRPr="00684DD8" w:rsidTr="0083456D">
        <w:tc>
          <w:tcPr>
            <w:tcW w:w="3827" w:type="dxa"/>
            <w:tcMar>
              <w:left w:w="28" w:type="dxa"/>
              <w:right w:w="28" w:type="dxa"/>
            </w:tcMar>
          </w:tcPr>
          <w:p w:rsidR="00255D7D" w:rsidRPr="00684DD8" w:rsidRDefault="00255D7D" w:rsidP="0083456D">
            <w:pPr>
              <w:keepNext/>
              <w:jc w:val="left"/>
              <w:rPr>
                <w:rFonts w:ascii="Arial Narrow" w:hAnsi="Arial Narrow"/>
                <w:sz w:val="20"/>
              </w:rPr>
            </w:pPr>
            <w:r w:rsidRPr="00684DD8">
              <w:rPr>
                <w:rFonts w:ascii="Arial Narrow" w:hAnsi="Arial Narrow"/>
                <w:sz w:val="20"/>
              </w:rPr>
              <w:t xml:space="preserve">Cost of </w:t>
            </w:r>
            <w:proofErr w:type="spellStart"/>
            <w:r w:rsidRPr="00684DD8">
              <w:rPr>
                <w:rFonts w:ascii="Arial Narrow" w:hAnsi="Arial Narrow"/>
                <w:sz w:val="20"/>
              </w:rPr>
              <w:t>blinatumomab</w:t>
            </w:r>
            <w:proofErr w:type="spellEnd"/>
          </w:p>
        </w:tc>
        <w:tc>
          <w:tcPr>
            <w:tcW w:w="2268" w:type="dxa"/>
          </w:tcPr>
          <w:p w:rsidR="00255D7D" w:rsidRPr="00684DD8" w:rsidRDefault="00255D7D" w:rsidP="0083456D">
            <w:pPr>
              <w:keepNext/>
              <w:jc w:val="center"/>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2269" w:type="dxa"/>
            <w:tcMar>
              <w:left w:w="28" w:type="dxa"/>
              <w:right w:w="28" w:type="dxa"/>
            </w:tcMar>
          </w:tcPr>
          <w:p w:rsidR="00255D7D" w:rsidRPr="00684DD8" w:rsidRDefault="00255D7D" w:rsidP="0083456D">
            <w:pPr>
              <w:keepNext/>
              <w:jc w:val="center"/>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r>
      <w:tr w:rsidR="00780826" w:rsidRPr="00684DD8" w:rsidTr="0083456D">
        <w:tc>
          <w:tcPr>
            <w:tcW w:w="3827" w:type="dxa"/>
            <w:tcMar>
              <w:left w:w="28" w:type="dxa"/>
              <w:right w:w="28" w:type="dxa"/>
            </w:tcMar>
          </w:tcPr>
          <w:p w:rsidR="00255D7D" w:rsidRPr="00684DD8" w:rsidRDefault="00255D7D" w:rsidP="0083456D">
            <w:pPr>
              <w:keepNext/>
              <w:jc w:val="left"/>
              <w:rPr>
                <w:rFonts w:ascii="Arial Narrow" w:hAnsi="Arial Narrow"/>
                <w:sz w:val="20"/>
              </w:rPr>
            </w:pPr>
            <w:proofErr w:type="spellStart"/>
            <w:r w:rsidRPr="00684DD8">
              <w:rPr>
                <w:rFonts w:ascii="Arial Narrow" w:hAnsi="Arial Narrow"/>
                <w:sz w:val="20"/>
              </w:rPr>
              <w:t>Blinatumomab</w:t>
            </w:r>
            <w:proofErr w:type="spellEnd"/>
            <w:r w:rsidRPr="00684DD8">
              <w:rPr>
                <w:rFonts w:ascii="Arial Narrow" w:hAnsi="Arial Narrow"/>
                <w:sz w:val="20"/>
              </w:rPr>
              <w:t xml:space="preserve"> cost per treatment</w:t>
            </w:r>
          </w:p>
        </w:tc>
        <w:tc>
          <w:tcPr>
            <w:tcW w:w="2268" w:type="dxa"/>
          </w:tcPr>
          <w:p w:rsidR="00255D7D" w:rsidRPr="00684DD8" w:rsidRDefault="00255D7D" w:rsidP="0083456D">
            <w:pPr>
              <w:keepNext/>
              <w:jc w:val="center"/>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2269" w:type="dxa"/>
            <w:tcMar>
              <w:left w:w="28" w:type="dxa"/>
              <w:right w:w="28" w:type="dxa"/>
            </w:tcMar>
          </w:tcPr>
          <w:p w:rsidR="00255D7D" w:rsidRPr="00684DD8" w:rsidRDefault="00255D7D" w:rsidP="0083456D">
            <w:pPr>
              <w:keepNext/>
              <w:jc w:val="center"/>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r>
      <w:tr w:rsidR="00780826" w:rsidRPr="00684DD8" w:rsidTr="0083456D">
        <w:tc>
          <w:tcPr>
            <w:tcW w:w="3827" w:type="dxa"/>
            <w:tcMar>
              <w:left w:w="28" w:type="dxa"/>
              <w:right w:w="28" w:type="dxa"/>
            </w:tcMar>
          </w:tcPr>
          <w:p w:rsidR="00255D7D" w:rsidRPr="00684DD8" w:rsidRDefault="00255D7D" w:rsidP="0083456D">
            <w:pPr>
              <w:keepNext/>
              <w:jc w:val="left"/>
              <w:rPr>
                <w:rFonts w:ascii="Arial Narrow" w:hAnsi="Arial Narrow"/>
                <w:sz w:val="20"/>
              </w:rPr>
            </w:pPr>
            <w:r w:rsidRPr="00684DD8">
              <w:rPr>
                <w:rFonts w:ascii="Arial Narrow" w:hAnsi="Arial Narrow"/>
                <w:sz w:val="20"/>
              </w:rPr>
              <w:t xml:space="preserve">Inpatient use of R60A for </w:t>
            </w:r>
            <w:proofErr w:type="spellStart"/>
            <w:r w:rsidRPr="00684DD8">
              <w:rPr>
                <w:rFonts w:ascii="Arial Narrow" w:hAnsi="Arial Narrow"/>
                <w:sz w:val="20"/>
              </w:rPr>
              <w:t>blinatumomab</w:t>
            </w:r>
            <w:proofErr w:type="spellEnd"/>
            <w:r w:rsidRPr="00684DD8">
              <w:rPr>
                <w:rFonts w:ascii="Arial Narrow" w:hAnsi="Arial Narrow"/>
                <w:sz w:val="20"/>
              </w:rPr>
              <w:t xml:space="preserve"> patients</w:t>
            </w:r>
          </w:p>
        </w:tc>
        <w:tc>
          <w:tcPr>
            <w:tcW w:w="2268" w:type="dxa"/>
          </w:tcPr>
          <w:p w:rsidR="00255D7D" w:rsidRPr="00D34A67" w:rsidRDefault="00D34A67" w:rsidP="0083456D">
            <w:pPr>
              <w:keepNext/>
              <w:jc w:val="center"/>
              <w:rPr>
                <w:rFonts w:ascii="Arial Narrow" w:hAnsi="Arial Narrow"/>
                <w:sz w:val="20"/>
                <w:highlight w:val="black"/>
              </w:rPr>
            </w:pPr>
            <w:r>
              <w:rPr>
                <w:rFonts w:ascii="Arial Narrow" w:hAnsi="Arial Narrow"/>
                <w:noProof/>
                <w:color w:val="000000"/>
                <w:sz w:val="20"/>
                <w:highlight w:val="black"/>
              </w:rPr>
              <w:t>'''''''''''''</w:t>
            </w:r>
          </w:p>
        </w:tc>
        <w:tc>
          <w:tcPr>
            <w:tcW w:w="2269" w:type="dxa"/>
            <w:tcMar>
              <w:left w:w="28" w:type="dxa"/>
              <w:right w:w="28" w:type="dxa"/>
            </w:tcMar>
          </w:tcPr>
          <w:p w:rsidR="00255D7D" w:rsidRPr="00D34A67" w:rsidRDefault="00D34A67" w:rsidP="0083456D">
            <w:pPr>
              <w:keepNext/>
              <w:jc w:val="center"/>
              <w:rPr>
                <w:rFonts w:ascii="Arial Narrow" w:hAnsi="Arial Narrow"/>
                <w:sz w:val="20"/>
                <w:highlight w:val="black"/>
              </w:rPr>
            </w:pPr>
            <w:r>
              <w:rPr>
                <w:rFonts w:ascii="Arial Narrow" w:hAnsi="Arial Narrow"/>
                <w:noProof/>
                <w:color w:val="000000"/>
                <w:sz w:val="20"/>
                <w:highlight w:val="black"/>
              </w:rPr>
              <w:t>'''</w:t>
            </w:r>
          </w:p>
        </w:tc>
      </w:tr>
      <w:tr w:rsidR="00780826" w:rsidRPr="00684DD8" w:rsidTr="0083456D">
        <w:tc>
          <w:tcPr>
            <w:tcW w:w="3827" w:type="dxa"/>
            <w:tcMar>
              <w:left w:w="28" w:type="dxa"/>
              <w:right w:w="28" w:type="dxa"/>
            </w:tcMar>
          </w:tcPr>
          <w:p w:rsidR="00255D7D" w:rsidRPr="00684DD8" w:rsidRDefault="00255D7D" w:rsidP="0083456D">
            <w:pPr>
              <w:keepNext/>
              <w:jc w:val="left"/>
              <w:rPr>
                <w:rFonts w:ascii="Arial Narrow" w:hAnsi="Arial Narrow"/>
                <w:sz w:val="20"/>
              </w:rPr>
            </w:pPr>
            <w:r w:rsidRPr="00684DD8">
              <w:rPr>
                <w:rFonts w:ascii="Arial Narrow" w:hAnsi="Arial Narrow"/>
                <w:sz w:val="20"/>
              </w:rPr>
              <w:t xml:space="preserve">Inpatient use of R60B for </w:t>
            </w:r>
            <w:proofErr w:type="spellStart"/>
            <w:r w:rsidRPr="00684DD8">
              <w:rPr>
                <w:rFonts w:ascii="Arial Narrow" w:hAnsi="Arial Narrow"/>
                <w:sz w:val="20"/>
              </w:rPr>
              <w:t>blinatumomab</w:t>
            </w:r>
            <w:proofErr w:type="spellEnd"/>
            <w:r w:rsidRPr="00684DD8">
              <w:rPr>
                <w:rFonts w:ascii="Arial Narrow" w:hAnsi="Arial Narrow"/>
                <w:sz w:val="20"/>
              </w:rPr>
              <w:t xml:space="preserve"> patients</w:t>
            </w:r>
          </w:p>
        </w:tc>
        <w:tc>
          <w:tcPr>
            <w:tcW w:w="2268" w:type="dxa"/>
          </w:tcPr>
          <w:p w:rsidR="00255D7D" w:rsidRPr="00D34A67" w:rsidRDefault="00D34A67" w:rsidP="0083456D">
            <w:pPr>
              <w:keepNext/>
              <w:jc w:val="center"/>
              <w:rPr>
                <w:rFonts w:ascii="Arial Narrow" w:hAnsi="Arial Narrow"/>
                <w:sz w:val="20"/>
                <w:highlight w:val="black"/>
              </w:rPr>
            </w:pPr>
            <w:r>
              <w:rPr>
                <w:rFonts w:ascii="Arial Narrow" w:hAnsi="Arial Narrow"/>
                <w:noProof/>
                <w:color w:val="000000"/>
                <w:sz w:val="20"/>
                <w:highlight w:val="black"/>
              </w:rPr>
              <w:t>''''''''''''''</w:t>
            </w:r>
          </w:p>
        </w:tc>
        <w:tc>
          <w:tcPr>
            <w:tcW w:w="2269" w:type="dxa"/>
            <w:tcMar>
              <w:left w:w="28" w:type="dxa"/>
              <w:right w:w="28" w:type="dxa"/>
            </w:tcMar>
          </w:tcPr>
          <w:p w:rsidR="00255D7D" w:rsidRPr="00D34A67" w:rsidRDefault="00D34A67" w:rsidP="0083456D">
            <w:pPr>
              <w:keepNext/>
              <w:jc w:val="center"/>
              <w:rPr>
                <w:rFonts w:ascii="Arial Narrow" w:hAnsi="Arial Narrow"/>
                <w:sz w:val="20"/>
                <w:highlight w:val="black"/>
              </w:rPr>
            </w:pPr>
            <w:r>
              <w:rPr>
                <w:rFonts w:ascii="Arial Narrow" w:hAnsi="Arial Narrow"/>
                <w:noProof/>
                <w:color w:val="000000"/>
                <w:sz w:val="20"/>
                <w:highlight w:val="black"/>
              </w:rPr>
              <w:t>''''</w:t>
            </w:r>
          </w:p>
        </w:tc>
      </w:tr>
      <w:tr w:rsidR="00780826" w:rsidRPr="00684DD8" w:rsidTr="0083456D">
        <w:tc>
          <w:tcPr>
            <w:tcW w:w="3827" w:type="dxa"/>
            <w:tcMar>
              <w:left w:w="28" w:type="dxa"/>
              <w:right w:w="28" w:type="dxa"/>
            </w:tcMar>
          </w:tcPr>
          <w:p w:rsidR="00255D7D" w:rsidRPr="00684DD8" w:rsidRDefault="00255D7D" w:rsidP="0083456D">
            <w:pPr>
              <w:keepNext/>
              <w:jc w:val="left"/>
              <w:rPr>
                <w:rFonts w:ascii="Arial Narrow" w:hAnsi="Arial Narrow"/>
                <w:sz w:val="20"/>
              </w:rPr>
            </w:pPr>
            <w:r w:rsidRPr="00684DD8">
              <w:rPr>
                <w:rFonts w:ascii="Arial Narrow" w:hAnsi="Arial Narrow"/>
                <w:sz w:val="20"/>
              </w:rPr>
              <w:t xml:space="preserve">Cost of </w:t>
            </w:r>
            <w:proofErr w:type="spellStart"/>
            <w:r w:rsidRPr="00684DD8">
              <w:rPr>
                <w:rFonts w:ascii="Arial Narrow" w:hAnsi="Arial Narrow"/>
                <w:sz w:val="20"/>
              </w:rPr>
              <w:t>blinatumomab</w:t>
            </w:r>
            <w:proofErr w:type="spellEnd"/>
            <w:r w:rsidRPr="00684DD8">
              <w:rPr>
                <w:rFonts w:ascii="Arial Narrow" w:hAnsi="Arial Narrow"/>
                <w:sz w:val="20"/>
              </w:rPr>
              <w:t xml:space="preserve"> hospitalisation</w:t>
            </w:r>
          </w:p>
        </w:tc>
        <w:tc>
          <w:tcPr>
            <w:tcW w:w="2268" w:type="dxa"/>
          </w:tcPr>
          <w:p w:rsidR="00255D7D" w:rsidRPr="00684DD8" w:rsidRDefault="00255D7D" w:rsidP="0083456D">
            <w:pPr>
              <w:keepNext/>
              <w:jc w:val="center"/>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2269" w:type="dxa"/>
            <w:tcMar>
              <w:left w:w="28" w:type="dxa"/>
              <w:right w:w="28" w:type="dxa"/>
            </w:tcMar>
          </w:tcPr>
          <w:p w:rsidR="00255D7D" w:rsidRPr="00684DD8" w:rsidRDefault="00255D7D" w:rsidP="0083456D">
            <w:pPr>
              <w:keepNext/>
              <w:jc w:val="center"/>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r>
    </w:tbl>
    <w:p w:rsidR="00255D7D" w:rsidRPr="00684DD8" w:rsidRDefault="00255D7D" w:rsidP="00255D7D">
      <w:pPr>
        <w:ind w:firstLine="720"/>
        <w:rPr>
          <w:rFonts w:ascii="Arial Narrow" w:hAnsi="Arial Narrow"/>
          <w:sz w:val="18"/>
          <w:szCs w:val="18"/>
        </w:rPr>
      </w:pPr>
      <w:r w:rsidRPr="00684DD8">
        <w:rPr>
          <w:rFonts w:ascii="Arial Narrow" w:hAnsi="Arial Narrow"/>
          <w:sz w:val="18"/>
          <w:szCs w:val="18"/>
        </w:rPr>
        <w:t>Source: Compiled during the evaluation</w:t>
      </w:r>
    </w:p>
    <w:p w:rsidR="00255D7D" w:rsidRPr="00684DD8" w:rsidRDefault="00255D7D" w:rsidP="00BA2F88">
      <w:pPr>
        <w:widowControl/>
        <w:rPr>
          <w:szCs w:val="22"/>
        </w:rPr>
      </w:pPr>
    </w:p>
    <w:p w:rsidR="00D704B7" w:rsidRPr="008A3185" w:rsidRDefault="00D704B7" w:rsidP="008B4389">
      <w:pPr>
        <w:pStyle w:val="ListParagraph"/>
        <w:widowControl/>
        <w:numPr>
          <w:ilvl w:val="1"/>
          <w:numId w:val="1"/>
        </w:numPr>
        <w:rPr>
          <w:szCs w:val="22"/>
        </w:rPr>
      </w:pPr>
      <w:r w:rsidRPr="008A3185">
        <w:rPr>
          <w:szCs w:val="22"/>
        </w:rPr>
        <w:t xml:space="preserve">The reduction in </w:t>
      </w:r>
      <w:proofErr w:type="spellStart"/>
      <w:r w:rsidRPr="008A3185">
        <w:rPr>
          <w:szCs w:val="22"/>
        </w:rPr>
        <w:t>blinatumomab</w:t>
      </w:r>
      <w:proofErr w:type="spellEnd"/>
      <w:r w:rsidRPr="008A3185">
        <w:rPr>
          <w:szCs w:val="22"/>
        </w:rPr>
        <w:t xml:space="preserve"> vials used from </w:t>
      </w:r>
      <w:r w:rsidR="00D34A67" w:rsidRPr="008A3185">
        <w:rPr>
          <w:noProof/>
          <w:color w:val="000000"/>
          <w:szCs w:val="22"/>
          <w:highlight w:val="black"/>
        </w:rPr>
        <w:t>''''''</w:t>
      </w:r>
      <w:r w:rsidRPr="008A3185">
        <w:rPr>
          <w:szCs w:val="22"/>
        </w:rPr>
        <w:t xml:space="preserve"> in the previous submission to </w:t>
      </w:r>
      <w:r w:rsidR="00D34A67" w:rsidRPr="008A3185">
        <w:rPr>
          <w:noProof/>
          <w:color w:val="000000"/>
          <w:szCs w:val="22"/>
          <w:highlight w:val="black"/>
        </w:rPr>
        <w:t>'''''</w:t>
      </w:r>
      <w:r w:rsidRPr="008A3185">
        <w:rPr>
          <w:szCs w:val="22"/>
        </w:rPr>
        <w:t xml:space="preserve"> in the </w:t>
      </w:r>
      <w:r w:rsidRPr="008A3185">
        <w:t xml:space="preserve">resubmission was appropriate as it reflected efficient use of vials in the first cycle. In November 2015, the PBAC considered that the number of </w:t>
      </w:r>
      <w:proofErr w:type="spellStart"/>
      <w:r w:rsidRPr="008A3185">
        <w:t>blinatumomab</w:t>
      </w:r>
      <w:proofErr w:type="spellEnd"/>
      <w:r w:rsidRPr="008A3185">
        <w:t xml:space="preserve"> vials might be overestimated as the efficient use of vials in the first cycle was not </w:t>
      </w:r>
      <w:r w:rsidRPr="008A3185">
        <w:lastRenderedPageBreak/>
        <w:t>considered (paragraph 6.3</w:t>
      </w:r>
      <w:r w:rsidR="00BE4964" w:rsidRPr="008A3185">
        <w:t>8</w:t>
      </w:r>
      <w:r w:rsidRPr="008A3185">
        <w:t xml:space="preserve">, November 2015 </w:t>
      </w:r>
      <w:r w:rsidR="00BE4964" w:rsidRPr="008A3185">
        <w:t>Public Summary Document</w:t>
      </w:r>
      <w:r w:rsidRPr="008A3185">
        <w:t>). This was not a ke</w:t>
      </w:r>
      <w:r w:rsidR="00BA2F88" w:rsidRPr="008A3185">
        <w:t>y driver of the economic model.</w:t>
      </w:r>
    </w:p>
    <w:p w:rsidR="00D704B7" w:rsidRPr="00684DD8" w:rsidRDefault="00D704B7" w:rsidP="00D704B7">
      <w:pPr>
        <w:widowControl/>
        <w:rPr>
          <w:szCs w:val="22"/>
        </w:rPr>
      </w:pPr>
    </w:p>
    <w:p w:rsidR="00275C5A" w:rsidRPr="00684DD8" w:rsidRDefault="00E85488" w:rsidP="008B4389">
      <w:pPr>
        <w:pStyle w:val="ListParagraph"/>
        <w:widowControl/>
        <w:numPr>
          <w:ilvl w:val="1"/>
          <w:numId w:val="1"/>
        </w:numPr>
        <w:rPr>
          <w:szCs w:val="22"/>
        </w:rPr>
      </w:pPr>
      <w:r w:rsidRPr="00684DD8">
        <w:t>The key</w:t>
      </w:r>
      <w:r w:rsidR="006F3064" w:rsidRPr="00684DD8">
        <w:t xml:space="preserve"> drivers of the </w:t>
      </w:r>
      <w:r w:rsidR="00382DBC" w:rsidRPr="00684DD8">
        <w:t xml:space="preserve">revised </w:t>
      </w:r>
      <w:r w:rsidR="006F3064" w:rsidRPr="00684DD8">
        <w:t xml:space="preserve">economic model </w:t>
      </w:r>
      <w:r w:rsidR="00255D7D" w:rsidRPr="00684DD8">
        <w:t>again were</w:t>
      </w:r>
      <w:r w:rsidR="005E41A2" w:rsidRPr="00684DD8">
        <w:t xml:space="preserve"> </w:t>
      </w:r>
      <w:r w:rsidR="00255D7D" w:rsidRPr="00684DD8">
        <w:t>time horizon, utility values and inpatient costs.</w:t>
      </w:r>
      <w:r w:rsidRPr="00684DD8">
        <w:t xml:space="preserve"> </w:t>
      </w:r>
      <w:r w:rsidR="005E41A2" w:rsidRPr="00684DD8">
        <w:t>Although utility values and inpatient costs were updated</w:t>
      </w:r>
      <w:r w:rsidR="00255D7D" w:rsidRPr="00684DD8">
        <w:t xml:space="preserve"> in the resubmission</w:t>
      </w:r>
      <w:r w:rsidR="005E41A2" w:rsidRPr="00684DD8">
        <w:t>, they remained uncertain.</w:t>
      </w:r>
    </w:p>
    <w:p w:rsidR="00275C5A" w:rsidRPr="00684DD8" w:rsidRDefault="00275C5A" w:rsidP="00275C5A">
      <w:pPr>
        <w:widowControl/>
        <w:rPr>
          <w:szCs w:val="22"/>
        </w:rPr>
      </w:pPr>
    </w:p>
    <w:p w:rsidR="00E85488" w:rsidRPr="00D34A67" w:rsidRDefault="00E85488" w:rsidP="00E85488">
      <w:pPr>
        <w:keepNext/>
        <w:ind w:firstLine="720"/>
        <w:rPr>
          <w:rStyle w:val="CommentReference"/>
        </w:rPr>
      </w:pPr>
      <w:r w:rsidRPr="00684DD8">
        <w:rPr>
          <w:rStyle w:val="CommentReference"/>
        </w:rPr>
        <w:t xml:space="preserve">Table </w:t>
      </w:r>
      <w:r w:rsidR="00CE65D8" w:rsidRPr="00684DD8">
        <w:rPr>
          <w:rStyle w:val="CommentReference"/>
        </w:rPr>
        <w:t>9</w:t>
      </w:r>
      <w:r w:rsidRPr="00684DD8">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4678"/>
        <w:gridCol w:w="2390"/>
      </w:tblGrid>
      <w:tr w:rsidR="00780826" w:rsidRPr="00684DD8" w:rsidTr="0085322C">
        <w:trPr>
          <w:tblHeader/>
        </w:trPr>
        <w:tc>
          <w:tcPr>
            <w:tcW w:w="765" w:type="pct"/>
            <w:shd w:val="clear" w:color="auto" w:fill="auto"/>
            <w:vAlign w:val="center"/>
          </w:tcPr>
          <w:p w:rsidR="00E85488" w:rsidRPr="00684DD8" w:rsidRDefault="00E85488" w:rsidP="00B95F7B">
            <w:pPr>
              <w:keepNext/>
              <w:jc w:val="left"/>
              <w:rPr>
                <w:rFonts w:ascii="Arial Narrow" w:hAnsi="Arial Narrow"/>
                <w:b/>
                <w:sz w:val="20"/>
              </w:rPr>
            </w:pPr>
            <w:r w:rsidRPr="00684DD8">
              <w:rPr>
                <w:rFonts w:ascii="Arial Narrow" w:hAnsi="Arial Narrow"/>
                <w:b/>
                <w:sz w:val="20"/>
              </w:rPr>
              <w:t>Description</w:t>
            </w:r>
          </w:p>
        </w:tc>
        <w:tc>
          <w:tcPr>
            <w:tcW w:w="2803" w:type="pct"/>
            <w:shd w:val="clear" w:color="auto" w:fill="auto"/>
            <w:vAlign w:val="center"/>
          </w:tcPr>
          <w:p w:rsidR="00E85488" w:rsidRPr="00684DD8" w:rsidRDefault="00E85488" w:rsidP="00B95F7B">
            <w:pPr>
              <w:keepNext/>
              <w:jc w:val="left"/>
              <w:rPr>
                <w:rFonts w:ascii="Arial Narrow" w:hAnsi="Arial Narrow"/>
                <w:b/>
                <w:sz w:val="20"/>
              </w:rPr>
            </w:pPr>
            <w:r w:rsidRPr="00684DD8">
              <w:rPr>
                <w:rFonts w:ascii="Arial Narrow" w:hAnsi="Arial Narrow"/>
                <w:b/>
                <w:sz w:val="20"/>
              </w:rPr>
              <w:t>Method/Value</w:t>
            </w:r>
          </w:p>
        </w:tc>
        <w:tc>
          <w:tcPr>
            <w:tcW w:w="1432" w:type="pct"/>
            <w:shd w:val="clear" w:color="auto" w:fill="auto"/>
            <w:vAlign w:val="center"/>
          </w:tcPr>
          <w:p w:rsidR="00E85488" w:rsidRPr="00684DD8" w:rsidRDefault="00E85488" w:rsidP="00B95F7B">
            <w:pPr>
              <w:keepNext/>
              <w:jc w:val="left"/>
              <w:rPr>
                <w:rFonts w:ascii="Arial Narrow" w:hAnsi="Arial Narrow"/>
                <w:b/>
                <w:sz w:val="20"/>
              </w:rPr>
            </w:pPr>
            <w:r w:rsidRPr="00684DD8">
              <w:rPr>
                <w:rFonts w:ascii="Arial Narrow" w:hAnsi="Arial Narrow"/>
                <w:b/>
                <w:sz w:val="20"/>
              </w:rPr>
              <w:t>Impact</w:t>
            </w:r>
          </w:p>
        </w:tc>
      </w:tr>
      <w:tr w:rsidR="00780826" w:rsidRPr="00684DD8" w:rsidTr="0085322C">
        <w:tc>
          <w:tcPr>
            <w:tcW w:w="765" w:type="pct"/>
            <w:shd w:val="clear" w:color="auto" w:fill="auto"/>
          </w:tcPr>
          <w:p w:rsidR="00E85488" w:rsidRPr="00684DD8" w:rsidRDefault="00E85488" w:rsidP="00B95F7B">
            <w:pPr>
              <w:keepNext/>
              <w:jc w:val="left"/>
              <w:rPr>
                <w:rFonts w:ascii="Arial Narrow" w:hAnsi="Arial Narrow"/>
                <w:sz w:val="20"/>
              </w:rPr>
            </w:pPr>
            <w:r w:rsidRPr="00684DD8">
              <w:rPr>
                <w:rFonts w:ascii="Arial Narrow" w:hAnsi="Arial Narrow"/>
                <w:sz w:val="20"/>
              </w:rPr>
              <w:t>Time horizon</w:t>
            </w:r>
          </w:p>
        </w:tc>
        <w:tc>
          <w:tcPr>
            <w:tcW w:w="2803" w:type="pct"/>
            <w:shd w:val="clear" w:color="auto" w:fill="auto"/>
            <w:vAlign w:val="center"/>
          </w:tcPr>
          <w:p w:rsidR="00E85488" w:rsidRPr="00684DD8" w:rsidRDefault="00E85488" w:rsidP="00B95F7B">
            <w:pPr>
              <w:keepNext/>
              <w:jc w:val="left"/>
              <w:rPr>
                <w:rFonts w:ascii="Arial Narrow" w:hAnsi="Arial Narrow"/>
                <w:sz w:val="20"/>
              </w:rPr>
            </w:pPr>
            <w:r w:rsidRPr="00684DD8">
              <w:rPr>
                <w:rFonts w:ascii="Arial Narrow" w:hAnsi="Arial Narrow"/>
                <w:sz w:val="20"/>
              </w:rPr>
              <w:t>20 years; assumed from 2 year and 5 year study durations</w:t>
            </w:r>
          </w:p>
        </w:tc>
        <w:tc>
          <w:tcPr>
            <w:tcW w:w="1432" w:type="pct"/>
            <w:shd w:val="clear" w:color="auto" w:fill="auto"/>
          </w:tcPr>
          <w:p w:rsidR="00E85488" w:rsidRPr="00684DD8" w:rsidRDefault="00E85488" w:rsidP="00B95F7B">
            <w:pPr>
              <w:keepNext/>
              <w:jc w:val="left"/>
              <w:rPr>
                <w:rFonts w:ascii="Arial Narrow" w:hAnsi="Arial Narrow"/>
                <w:sz w:val="20"/>
              </w:rPr>
            </w:pPr>
            <w:r w:rsidRPr="00684DD8">
              <w:rPr>
                <w:rFonts w:ascii="Arial Narrow" w:hAnsi="Arial Narrow"/>
                <w:sz w:val="20"/>
              </w:rPr>
              <w:t xml:space="preserve">High; favours </w:t>
            </w:r>
            <w:proofErr w:type="spellStart"/>
            <w:r w:rsidRPr="00684DD8">
              <w:rPr>
                <w:rFonts w:ascii="Arial Narrow" w:hAnsi="Arial Narrow"/>
                <w:sz w:val="20"/>
              </w:rPr>
              <w:t>blinatumomab</w:t>
            </w:r>
            <w:proofErr w:type="spellEnd"/>
          </w:p>
        </w:tc>
      </w:tr>
      <w:tr w:rsidR="00780826" w:rsidRPr="00684DD8" w:rsidTr="0085322C">
        <w:tc>
          <w:tcPr>
            <w:tcW w:w="765" w:type="pct"/>
            <w:shd w:val="clear" w:color="auto" w:fill="auto"/>
          </w:tcPr>
          <w:p w:rsidR="00E85488" w:rsidRPr="00684DD8" w:rsidRDefault="00E85488" w:rsidP="00B95F7B">
            <w:pPr>
              <w:keepNext/>
              <w:jc w:val="left"/>
              <w:rPr>
                <w:rFonts w:ascii="Arial Narrow" w:hAnsi="Arial Narrow"/>
                <w:sz w:val="20"/>
              </w:rPr>
            </w:pPr>
            <w:r w:rsidRPr="00684DD8">
              <w:rPr>
                <w:rFonts w:ascii="Arial Narrow" w:hAnsi="Arial Narrow"/>
                <w:sz w:val="20"/>
              </w:rPr>
              <w:t>Utility values</w:t>
            </w:r>
          </w:p>
        </w:tc>
        <w:tc>
          <w:tcPr>
            <w:tcW w:w="2803" w:type="pct"/>
            <w:shd w:val="clear" w:color="auto" w:fill="auto"/>
            <w:vAlign w:val="center"/>
          </w:tcPr>
          <w:p w:rsidR="00E85488" w:rsidRPr="00684DD8" w:rsidRDefault="00E85488" w:rsidP="0085322C">
            <w:pPr>
              <w:keepNext/>
              <w:jc w:val="left"/>
              <w:rPr>
                <w:rFonts w:ascii="Arial Narrow" w:hAnsi="Arial Narrow"/>
                <w:sz w:val="20"/>
              </w:rPr>
            </w:pPr>
            <w:r w:rsidRPr="00684DD8">
              <w:rPr>
                <w:rFonts w:ascii="Arial Narrow" w:hAnsi="Arial Narrow"/>
                <w:sz w:val="20"/>
              </w:rPr>
              <w:t>The model did not consider the utility of patients undergoing allogeneic HSCT</w:t>
            </w:r>
            <w:r w:rsidR="0085322C" w:rsidRPr="00684DD8">
              <w:rPr>
                <w:rFonts w:ascii="Arial Narrow" w:hAnsi="Arial Narrow"/>
                <w:sz w:val="20"/>
              </w:rPr>
              <w:t>, adverse events or the probability of relapse.</w:t>
            </w:r>
          </w:p>
        </w:tc>
        <w:tc>
          <w:tcPr>
            <w:tcW w:w="1432" w:type="pct"/>
            <w:shd w:val="clear" w:color="auto" w:fill="auto"/>
          </w:tcPr>
          <w:p w:rsidR="00E85488" w:rsidRPr="00684DD8" w:rsidRDefault="00E85488" w:rsidP="00E85488">
            <w:pPr>
              <w:keepNext/>
              <w:jc w:val="left"/>
              <w:rPr>
                <w:rFonts w:ascii="Arial Narrow" w:hAnsi="Arial Narrow"/>
                <w:sz w:val="20"/>
              </w:rPr>
            </w:pPr>
            <w:r w:rsidRPr="00684DD8">
              <w:rPr>
                <w:rFonts w:ascii="Arial Narrow" w:hAnsi="Arial Narrow"/>
                <w:sz w:val="20"/>
              </w:rPr>
              <w:t xml:space="preserve">Low; favours </w:t>
            </w:r>
            <w:proofErr w:type="spellStart"/>
            <w:r w:rsidRPr="00684DD8">
              <w:rPr>
                <w:rFonts w:ascii="Arial Narrow" w:hAnsi="Arial Narrow"/>
                <w:sz w:val="20"/>
              </w:rPr>
              <w:t>blinatumomab</w:t>
            </w:r>
            <w:proofErr w:type="spellEnd"/>
          </w:p>
        </w:tc>
      </w:tr>
      <w:tr w:rsidR="00780826" w:rsidRPr="00684DD8" w:rsidTr="0085322C">
        <w:tc>
          <w:tcPr>
            <w:tcW w:w="765" w:type="pct"/>
            <w:shd w:val="clear" w:color="auto" w:fill="auto"/>
          </w:tcPr>
          <w:p w:rsidR="00E85488" w:rsidRPr="00684DD8" w:rsidRDefault="00E85488" w:rsidP="00B95F7B">
            <w:pPr>
              <w:keepNext/>
              <w:jc w:val="left"/>
              <w:rPr>
                <w:rFonts w:ascii="Arial Narrow" w:hAnsi="Arial Narrow"/>
                <w:sz w:val="20"/>
              </w:rPr>
            </w:pPr>
            <w:r w:rsidRPr="00684DD8">
              <w:rPr>
                <w:rFonts w:ascii="Arial Narrow" w:hAnsi="Arial Narrow"/>
                <w:sz w:val="20"/>
              </w:rPr>
              <w:t>Inpatient costs</w:t>
            </w:r>
          </w:p>
        </w:tc>
        <w:tc>
          <w:tcPr>
            <w:tcW w:w="2803" w:type="pct"/>
            <w:shd w:val="clear" w:color="auto" w:fill="auto"/>
            <w:vAlign w:val="center"/>
          </w:tcPr>
          <w:p w:rsidR="00E85488" w:rsidRPr="00684DD8" w:rsidRDefault="00E85488" w:rsidP="00AB2030">
            <w:pPr>
              <w:keepNext/>
              <w:jc w:val="left"/>
              <w:rPr>
                <w:rFonts w:ascii="Arial Narrow" w:hAnsi="Arial Narrow"/>
                <w:sz w:val="20"/>
              </w:rPr>
            </w:pPr>
            <w:proofErr w:type="spellStart"/>
            <w:r w:rsidRPr="00684DD8">
              <w:rPr>
                <w:rFonts w:ascii="Arial Narrow" w:hAnsi="Arial Narrow"/>
                <w:sz w:val="20"/>
              </w:rPr>
              <w:t>Blinatumomab</w:t>
            </w:r>
            <w:proofErr w:type="spellEnd"/>
            <w:r w:rsidRPr="00684DD8">
              <w:rPr>
                <w:rFonts w:ascii="Arial Narrow" w:hAnsi="Arial Narrow"/>
                <w:sz w:val="20"/>
              </w:rPr>
              <w:t xml:space="preserve"> = $</w:t>
            </w:r>
            <w:r w:rsidR="00D34A67">
              <w:rPr>
                <w:rFonts w:ascii="Arial Narrow" w:hAnsi="Arial Narrow"/>
                <w:noProof/>
                <w:color w:val="000000"/>
                <w:sz w:val="20"/>
                <w:highlight w:val="black"/>
              </w:rPr>
              <w:t>'''''''''''''''</w:t>
            </w:r>
            <w:r w:rsidRPr="00684DD8">
              <w:rPr>
                <w:rFonts w:ascii="Arial Narrow" w:hAnsi="Arial Narrow"/>
                <w:sz w:val="20"/>
              </w:rPr>
              <w:t xml:space="preserve"> (included costs associated with cytokine release syndrome, but did not include costs associated with neurologic events, therefore likely to be an underestimate); </w:t>
            </w:r>
            <w:r w:rsidR="00C926FC" w:rsidRPr="00684DD8">
              <w:rPr>
                <w:rFonts w:ascii="Arial Narrow" w:hAnsi="Arial Narrow"/>
                <w:sz w:val="20"/>
              </w:rPr>
              <w:t>SC</w:t>
            </w:r>
            <w:r w:rsidRPr="00684DD8">
              <w:rPr>
                <w:rFonts w:ascii="Arial Narrow" w:hAnsi="Arial Narrow"/>
                <w:sz w:val="20"/>
              </w:rPr>
              <w:t xml:space="preserve"> = $</w:t>
            </w:r>
            <w:r w:rsidR="00D34A67">
              <w:rPr>
                <w:rFonts w:ascii="Arial Narrow" w:hAnsi="Arial Narrow"/>
                <w:noProof/>
                <w:color w:val="000000"/>
                <w:sz w:val="20"/>
                <w:highlight w:val="black"/>
              </w:rPr>
              <w:t>''''''''''''''''''</w:t>
            </w:r>
            <w:r w:rsidR="00AB2030" w:rsidRPr="00684DD8">
              <w:rPr>
                <w:rFonts w:ascii="Arial Narrow" w:hAnsi="Arial Narrow"/>
                <w:sz w:val="20"/>
              </w:rPr>
              <w:t>.</w:t>
            </w:r>
          </w:p>
        </w:tc>
        <w:tc>
          <w:tcPr>
            <w:tcW w:w="1432" w:type="pct"/>
            <w:shd w:val="clear" w:color="auto" w:fill="auto"/>
          </w:tcPr>
          <w:p w:rsidR="00E85488" w:rsidRPr="00684DD8" w:rsidRDefault="00E85488" w:rsidP="00B95F7B">
            <w:pPr>
              <w:keepNext/>
              <w:jc w:val="left"/>
              <w:rPr>
                <w:rFonts w:ascii="Arial Narrow" w:hAnsi="Arial Narrow"/>
                <w:sz w:val="20"/>
              </w:rPr>
            </w:pPr>
            <w:r w:rsidRPr="00684DD8">
              <w:rPr>
                <w:rFonts w:ascii="Arial Narrow" w:hAnsi="Arial Narrow"/>
                <w:sz w:val="20"/>
              </w:rPr>
              <w:t xml:space="preserve">High; favours </w:t>
            </w:r>
            <w:proofErr w:type="spellStart"/>
            <w:r w:rsidRPr="00684DD8">
              <w:rPr>
                <w:rFonts w:ascii="Arial Narrow" w:hAnsi="Arial Narrow"/>
                <w:sz w:val="20"/>
              </w:rPr>
              <w:t>blinatumomab</w:t>
            </w:r>
            <w:proofErr w:type="spellEnd"/>
          </w:p>
        </w:tc>
      </w:tr>
    </w:tbl>
    <w:p w:rsidR="00E85488" w:rsidRPr="00684DD8" w:rsidRDefault="00E85488" w:rsidP="00E85488">
      <w:pPr>
        <w:pStyle w:val="TableFooter"/>
        <w:ind w:firstLine="720"/>
      </w:pPr>
      <w:r w:rsidRPr="00684DD8">
        <w:t xml:space="preserve">Source: </w:t>
      </w:r>
      <w:r w:rsidR="00CD3DCE" w:rsidRPr="00684DD8">
        <w:t>C</w:t>
      </w:r>
      <w:r w:rsidRPr="00684DD8">
        <w:t>ompiled during the evaluation</w:t>
      </w:r>
    </w:p>
    <w:p w:rsidR="00E85488" w:rsidRPr="00684DD8" w:rsidRDefault="00E85488" w:rsidP="00E85488">
      <w:pPr>
        <w:pStyle w:val="TableFooter"/>
        <w:ind w:firstLine="720"/>
      </w:pPr>
      <w:r w:rsidRPr="00684DD8">
        <w:t xml:space="preserve">HSCT = haematopoietic stem cell transplant; </w:t>
      </w:r>
      <w:r w:rsidR="00C926FC" w:rsidRPr="00684DD8">
        <w:t>SC</w:t>
      </w:r>
      <w:r w:rsidRPr="00684DD8">
        <w:t xml:space="preserve"> = </w:t>
      </w:r>
      <w:r w:rsidR="00C926FC" w:rsidRPr="00684DD8">
        <w:t>standard care</w:t>
      </w:r>
    </w:p>
    <w:p w:rsidR="004F5091" w:rsidRPr="00684DD8" w:rsidRDefault="004F5091" w:rsidP="00EF7AFA">
      <w:pPr>
        <w:widowControl/>
        <w:rPr>
          <w:szCs w:val="22"/>
        </w:rPr>
      </w:pPr>
    </w:p>
    <w:p w:rsidR="00275C5A" w:rsidRPr="00684DD8" w:rsidRDefault="0085322C" w:rsidP="008B4389">
      <w:pPr>
        <w:pStyle w:val="ListParagraph"/>
        <w:widowControl/>
        <w:numPr>
          <w:ilvl w:val="1"/>
          <w:numId w:val="1"/>
        </w:numPr>
        <w:rPr>
          <w:szCs w:val="22"/>
        </w:rPr>
      </w:pPr>
      <w:r w:rsidRPr="00684DD8">
        <w:t>The results of the stepped economic evaluation ar</w:t>
      </w:r>
      <w:r w:rsidR="00BA2F88" w:rsidRPr="00684DD8">
        <w:t>e presented in the table below.</w:t>
      </w:r>
    </w:p>
    <w:p w:rsidR="00D110BD" w:rsidRPr="00684DD8" w:rsidRDefault="00D110BD" w:rsidP="00D110BD">
      <w:pPr>
        <w:widowControl/>
        <w:rPr>
          <w:szCs w:val="22"/>
        </w:rPr>
      </w:pPr>
    </w:p>
    <w:p w:rsidR="00563080" w:rsidRPr="00684DD8" w:rsidRDefault="00563080" w:rsidP="001B59F5">
      <w:pPr>
        <w:keepNext/>
        <w:ind w:left="720"/>
        <w:rPr>
          <w:rStyle w:val="CommentReference"/>
        </w:rPr>
      </w:pPr>
      <w:r w:rsidRPr="00684DD8">
        <w:rPr>
          <w:rStyle w:val="CommentReference"/>
        </w:rPr>
        <w:t xml:space="preserve">Table </w:t>
      </w:r>
      <w:r w:rsidR="00CE65D8" w:rsidRPr="00684DD8">
        <w:rPr>
          <w:rStyle w:val="CommentReference"/>
        </w:rPr>
        <w:t>10</w:t>
      </w:r>
      <w:r w:rsidRPr="00684DD8">
        <w:rPr>
          <w:rStyle w:val="CommentReference"/>
        </w:rPr>
        <w:t xml:space="preserve">: Results of </w:t>
      </w:r>
      <w:r w:rsidR="00BA2F88" w:rsidRPr="00684DD8">
        <w:rPr>
          <w:rStyle w:val="CommentReference"/>
        </w:rPr>
        <w:t>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10"/>
        <w:gridCol w:w="1983"/>
        <w:gridCol w:w="1844"/>
        <w:gridCol w:w="2108"/>
      </w:tblGrid>
      <w:tr w:rsidR="00780826" w:rsidRPr="00684DD8" w:rsidTr="00527D3A">
        <w:trPr>
          <w:cantSplit/>
          <w:tblHeader/>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b/>
                <w:sz w:val="20"/>
              </w:rPr>
            </w:pPr>
            <w:r w:rsidRPr="00684DD8">
              <w:rPr>
                <w:rFonts w:ascii="Arial Narrow" w:hAnsi="Arial Narrow" w:cs="Times New Roman"/>
                <w:b/>
                <w:sz w:val="20"/>
              </w:rPr>
              <w:t>Step and component</w:t>
            </w:r>
          </w:p>
        </w:tc>
        <w:tc>
          <w:tcPr>
            <w:tcW w:w="1188" w:type="pct"/>
            <w:tcBorders>
              <w:top w:val="single" w:sz="4" w:space="0" w:color="auto"/>
              <w:left w:val="single" w:sz="4" w:space="0" w:color="auto"/>
              <w:bottom w:val="single" w:sz="4" w:space="0" w:color="auto"/>
              <w:right w:val="single" w:sz="4" w:space="0" w:color="auto"/>
            </w:tcBorders>
            <w:hideMark/>
          </w:tcPr>
          <w:p w:rsidR="00527D3A" w:rsidRPr="00684DD8" w:rsidRDefault="00527D3A" w:rsidP="009C4AE5">
            <w:pPr>
              <w:keepNext/>
              <w:snapToGrid w:val="0"/>
              <w:jc w:val="center"/>
              <w:rPr>
                <w:rFonts w:ascii="Arial Narrow" w:hAnsi="Arial Narrow" w:cs="Times New Roman"/>
                <w:b/>
                <w:sz w:val="20"/>
              </w:rPr>
            </w:pPr>
            <w:proofErr w:type="spellStart"/>
            <w:r w:rsidRPr="00684DD8">
              <w:rPr>
                <w:rFonts w:ascii="Arial Narrow" w:hAnsi="Arial Narrow" w:cs="Times New Roman"/>
                <w:b/>
                <w:sz w:val="20"/>
              </w:rPr>
              <w:t>Blinatumomab</w:t>
            </w:r>
            <w:proofErr w:type="spellEnd"/>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C926FC" w:rsidP="009C4AE5">
            <w:pPr>
              <w:keepNext/>
              <w:snapToGrid w:val="0"/>
              <w:jc w:val="center"/>
              <w:rPr>
                <w:rFonts w:ascii="Arial Narrow" w:hAnsi="Arial Narrow" w:cs="Times New Roman"/>
                <w:b/>
                <w:sz w:val="20"/>
              </w:rPr>
            </w:pPr>
            <w:r w:rsidRPr="00684DD8">
              <w:rPr>
                <w:rFonts w:ascii="Arial Narrow" w:hAnsi="Arial Narrow" w:cs="Times New Roman"/>
                <w:b/>
                <w:sz w:val="20"/>
              </w:rPr>
              <w:t>Standard care</w:t>
            </w:r>
          </w:p>
        </w:tc>
        <w:tc>
          <w:tcPr>
            <w:tcW w:w="1263" w:type="pct"/>
            <w:tcBorders>
              <w:top w:val="single" w:sz="4" w:space="0" w:color="auto"/>
              <w:left w:val="single" w:sz="4" w:space="0" w:color="auto"/>
              <w:bottom w:val="single" w:sz="4" w:space="0" w:color="auto"/>
              <w:right w:val="single" w:sz="4" w:space="0" w:color="auto"/>
            </w:tcBorders>
            <w:hideMark/>
          </w:tcPr>
          <w:p w:rsidR="00527D3A" w:rsidRPr="00684DD8" w:rsidRDefault="00527D3A" w:rsidP="009C4AE5">
            <w:pPr>
              <w:keepNext/>
              <w:snapToGrid w:val="0"/>
              <w:jc w:val="center"/>
              <w:rPr>
                <w:rFonts w:ascii="Arial Narrow" w:hAnsi="Arial Narrow" w:cs="Times New Roman"/>
                <w:b/>
                <w:sz w:val="20"/>
              </w:rPr>
            </w:pPr>
            <w:r w:rsidRPr="00684DD8">
              <w:rPr>
                <w:rFonts w:ascii="Arial Narrow" w:hAnsi="Arial Narrow" w:cs="Times New Roman"/>
                <w:b/>
                <w:sz w:val="20"/>
              </w:rPr>
              <w:t>Increment</w:t>
            </w:r>
          </w:p>
        </w:tc>
      </w:tr>
      <w:tr w:rsidR="00780826" w:rsidRPr="00684DD8" w:rsidTr="00563080">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63080" w:rsidRPr="00684DD8" w:rsidRDefault="00563080" w:rsidP="009C4AE5">
            <w:pPr>
              <w:keepNext/>
              <w:snapToGrid w:val="0"/>
              <w:jc w:val="left"/>
              <w:rPr>
                <w:rFonts w:ascii="Arial Narrow" w:hAnsi="Arial Narrow" w:cs="Arial Narrow"/>
                <w:b/>
                <w:bCs/>
                <w:sz w:val="20"/>
              </w:rPr>
            </w:pPr>
            <w:r w:rsidRPr="00684DD8">
              <w:rPr>
                <w:rFonts w:ascii="Arial Narrow" w:hAnsi="Arial Narrow" w:cs="Arial Narrow"/>
                <w:b/>
                <w:bCs/>
                <w:sz w:val="20"/>
              </w:rPr>
              <w:t>Step 1: Study-based costs and outcomes (2 year time horizon)</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Costs</w:t>
            </w:r>
          </w:p>
        </w:tc>
        <w:tc>
          <w:tcPr>
            <w:tcW w:w="1188" w:type="pct"/>
            <w:tcBorders>
              <w:top w:val="single" w:sz="4" w:space="0" w:color="auto"/>
              <w:left w:val="single" w:sz="4" w:space="0" w:color="auto"/>
              <w:bottom w:val="single" w:sz="4" w:space="0" w:color="auto"/>
              <w:right w:val="single" w:sz="4" w:space="0" w:color="auto"/>
            </w:tcBorders>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$75,781</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Life years gained</w:t>
            </w:r>
          </w:p>
        </w:tc>
        <w:tc>
          <w:tcPr>
            <w:tcW w:w="1188" w:type="pct"/>
            <w:tcBorders>
              <w:top w:val="single" w:sz="4" w:space="0" w:color="auto"/>
              <w:left w:val="single" w:sz="4" w:space="0" w:color="auto"/>
              <w:bottom w:val="single" w:sz="4" w:space="0" w:color="auto"/>
              <w:right w:val="single" w:sz="4" w:space="0" w:color="auto"/>
            </w:tcBorders>
            <w:hideMark/>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0.50</w:t>
            </w:r>
          </w:p>
        </w:tc>
        <w:tc>
          <w:tcPr>
            <w:tcW w:w="1263" w:type="pct"/>
            <w:tcBorders>
              <w:top w:val="single" w:sz="4" w:space="0" w:color="auto"/>
              <w:left w:val="single" w:sz="4" w:space="0" w:color="auto"/>
              <w:bottom w:val="single" w:sz="4" w:space="0" w:color="auto"/>
              <w:right w:val="single" w:sz="4" w:space="0" w:color="auto"/>
            </w:tcBorders>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80826" w:rsidRPr="00684DD8" w:rsidTr="00527D3A">
        <w:trPr>
          <w:cantSplit/>
        </w:trPr>
        <w:tc>
          <w:tcPr>
            <w:tcW w:w="3737" w:type="pct"/>
            <w:gridSpan w:val="3"/>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b/>
                <w:sz w:val="20"/>
              </w:rPr>
              <w:t>Incremental cost/extra life year gained</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b/>
                <w:sz w:val="20"/>
              </w:rPr>
            </w:pPr>
            <w:r w:rsidRPr="00684DD8">
              <w:rPr>
                <w:rFonts w:ascii="Arial Narrow" w:hAnsi="Arial Narrow" w:cs="Times New Roman"/>
                <w:b/>
                <w:sz w:val="20"/>
              </w:rPr>
              <w:t>$</w:t>
            </w:r>
            <w:r w:rsidR="00D34A67">
              <w:rPr>
                <w:rFonts w:ascii="Arial Narrow" w:hAnsi="Arial Narrow" w:cs="Times New Roman"/>
                <w:b/>
                <w:noProof/>
                <w:color w:val="000000"/>
                <w:sz w:val="20"/>
                <w:highlight w:val="black"/>
              </w:rPr>
              <w:t>''''''''''''''</w:t>
            </w:r>
          </w:p>
        </w:tc>
      </w:tr>
      <w:tr w:rsidR="00780826" w:rsidRPr="00684DD8" w:rsidTr="00563080">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63080" w:rsidRPr="00684DD8" w:rsidRDefault="00563080" w:rsidP="009C4AE5">
            <w:pPr>
              <w:keepNext/>
              <w:snapToGrid w:val="0"/>
              <w:jc w:val="left"/>
              <w:rPr>
                <w:rFonts w:ascii="Arial Narrow" w:hAnsi="Arial Narrow" w:cs="Arial Narrow"/>
                <w:b/>
                <w:bCs/>
                <w:sz w:val="20"/>
              </w:rPr>
            </w:pPr>
            <w:r w:rsidRPr="00684DD8">
              <w:rPr>
                <w:rFonts w:ascii="Arial Narrow" w:hAnsi="Arial Narrow" w:cs="Arial Narrow"/>
                <w:b/>
                <w:bCs/>
                <w:sz w:val="20"/>
              </w:rPr>
              <w:t>Step 2: Modelled evaluation (time horizon increased to 20 years)</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Costs</w:t>
            </w:r>
          </w:p>
        </w:tc>
        <w:tc>
          <w:tcPr>
            <w:tcW w:w="1188" w:type="pct"/>
            <w:tcBorders>
              <w:top w:val="single" w:sz="4" w:space="0" w:color="auto"/>
              <w:left w:val="single" w:sz="4" w:space="0" w:color="auto"/>
              <w:bottom w:val="single" w:sz="4" w:space="0" w:color="auto"/>
              <w:right w:val="single" w:sz="4" w:space="0" w:color="auto"/>
            </w:tcBorders>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w:t>
            </w:r>
            <w:r w:rsidRPr="008743C4">
              <w:rPr>
                <w:rFonts w:ascii="Arial Narrow" w:hAnsi="Arial Narrow" w:cs="Times New Roman"/>
                <w:sz w:val="20"/>
              </w:rPr>
              <w:t>75,781</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Life years gained</w:t>
            </w:r>
          </w:p>
        </w:tc>
        <w:tc>
          <w:tcPr>
            <w:tcW w:w="1188" w:type="pct"/>
            <w:tcBorders>
              <w:top w:val="single" w:sz="4" w:space="0" w:color="auto"/>
              <w:left w:val="single" w:sz="4" w:space="0" w:color="auto"/>
              <w:bottom w:val="single" w:sz="4" w:space="0" w:color="auto"/>
              <w:right w:val="single" w:sz="4" w:space="0" w:color="auto"/>
            </w:tcBorders>
            <w:hideMark/>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1.49</w:t>
            </w:r>
          </w:p>
        </w:tc>
        <w:tc>
          <w:tcPr>
            <w:tcW w:w="1263" w:type="pct"/>
            <w:tcBorders>
              <w:top w:val="single" w:sz="4" w:space="0" w:color="auto"/>
              <w:left w:val="single" w:sz="4" w:space="0" w:color="auto"/>
              <w:bottom w:val="single" w:sz="4" w:space="0" w:color="auto"/>
              <w:right w:val="single" w:sz="4" w:space="0" w:color="auto"/>
            </w:tcBorders>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80826" w:rsidRPr="00684DD8" w:rsidTr="00527D3A">
        <w:trPr>
          <w:cantSplit/>
          <w:trHeight w:val="70"/>
        </w:trPr>
        <w:tc>
          <w:tcPr>
            <w:tcW w:w="3737" w:type="pct"/>
            <w:gridSpan w:val="3"/>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b/>
                <w:sz w:val="20"/>
              </w:rPr>
              <w:t>Incremental cost/extra life year gained</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b/>
                <w:sz w:val="20"/>
              </w:rPr>
            </w:pPr>
            <w:r w:rsidRPr="00684DD8">
              <w:rPr>
                <w:rFonts w:ascii="Arial Narrow" w:hAnsi="Arial Narrow" w:cs="Times New Roman"/>
                <w:b/>
                <w:sz w:val="20"/>
              </w:rPr>
              <w:t>$</w:t>
            </w:r>
            <w:r w:rsidR="00D34A67">
              <w:rPr>
                <w:rFonts w:ascii="Arial Narrow" w:hAnsi="Arial Narrow" w:cs="Times New Roman"/>
                <w:b/>
                <w:noProof/>
                <w:color w:val="000000"/>
                <w:sz w:val="20"/>
                <w:highlight w:val="black"/>
              </w:rPr>
              <w:t>'''''''''''''</w:t>
            </w:r>
          </w:p>
        </w:tc>
      </w:tr>
      <w:tr w:rsidR="00780826" w:rsidRPr="00684DD8" w:rsidTr="00563080">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63080" w:rsidRPr="00684DD8" w:rsidRDefault="00563080" w:rsidP="009C4AE5">
            <w:pPr>
              <w:keepNext/>
              <w:snapToGrid w:val="0"/>
              <w:jc w:val="left"/>
              <w:rPr>
                <w:rFonts w:ascii="Arial Narrow" w:hAnsi="Arial Narrow" w:cs="Arial Narrow"/>
                <w:b/>
                <w:bCs/>
                <w:sz w:val="20"/>
              </w:rPr>
            </w:pPr>
            <w:r w:rsidRPr="00684DD8">
              <w:rPr>
                <w:rFonts w:ascii="Arial Narrow" w:hAnsi="Arial Narrow" w:cs="Arial Narrow"/>
                <w:b/>
                <w:bCs/>
                <w:sz w:val="20"/>
              </w:rPr>
              <w:t>Step 3: Modelled evaluation (discount rate of 5% applied)</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Costs</w:t>
            </w:r>
          </w:p>
        </w:tc>
        <w:tc>
          <w:tcPr>
            <w:tcW w:w="1188" w:type="pct"/>
            <w:tcBorders>
              <w:top w:val="single" w:sz="4" w:space="0" w:color="auto"/>
              <w:left w:val="single" w:sz="4" w:space="0" w:color="auto"/>
              <w:bottom w:val="single" w:sz="4" w:space="0" w:color="auto"/>
              <w:right w:val="single" w:sz="4" w:space="0" w:color="auto"/>
            </w:tcBorders>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$75,781</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Life years gained</w:t>
            </w:r>
          </w:p>
        </w:tc>
        <w:tc>
          <w:tcPr>
            <w:tcW w:w="1188" w:type="pct"/>
            <w:tcBorders>
              <w:top w:val="single" w:sz="4" w:space="0" w:color="auto"/>
              <w:left w:val="single" w:sz="4" w:space="0" w:color="auto"/>
              <w:bottom w:val="single" w:sz="4" w:space="0" w:color="auto"/>
              <w:right w:val="single" w:sz="4" w:space="0" w:color="auto"/>
            </w:tcBorders>
            <w:hideMark/>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1.11</w:t>
            </w:r>
          </w:p>
        </w:tc>
        <w:tc>
          <w:tcPr>
            <w:tcW w:w="1263" w:type="pct"/>
            <w:tcBorders>
              <w:top w:val="single" w:sz="4" w:space="0" w:color="auto"/>
              <w:left w:val="single" w:sz="4" w:space="0" w:color="auto"/>
              <w:bottom w:val="single" w:sz="4" w:space="0" w:color="auto"/>
              <w:right w:val="single" w:sz="4" w:space="0" w:color="auto"/>
            </w:tcBorders>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80826" w:rsidRPr="00684DD8" w:rsidTr="00527D3A">
        <w:trPr>
          <w:cantSplit/>
        </w:trPr>
        <w:tc>
          <w:tcPr>
            <w:tcW w:w="3737" w:type="pct"/>
            <w:gridSpan w:val="3"/>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b/>
                <w:sz w:val="20"/>
              </w:rPr>
            </w:pPr>
            <w:r w:rsidRPr="00684DD8">
              <w:rPr>
                <w:rFonts w:ascii="Arial Narrow" w:hAnsi="Arial Narrow" w:cs="Times New Roman"/>
                <w:b/>
                <w:sz w:val="20"/>
              </w:rPr>
              <w:t>Incremental cost/extra life year gained</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b/>
                <w:sz w:val="20"/>
              </w:rPr>
            </w:pPr>
            <w:r w:rsidRPr="00684DD8">
              <w:rPr>
                <w:rFonts w:ascii="Arial Narrow" w:hAnsi="Arial Narrow" w:cs="Times New Roman"/>
                <w:b/>
                <w:sz w:val="20"/>
              </w:rPr>
              <w:t>$</w:t>
            </w:r>
            <w:r w:rsidR="00D34A67">
              <w:rPr>
                <w:rFonts w:ascii="Arial Narrow" w:hAnsi="Arial Narrow" w:cs="Times New Roman"/>
                <w:b/>
                <w:noProof/>
                <w:color w:val="000000"/>
                <w:sz w:val="20"/>
                <w:highlight w:val="black"/>
              </w:rPr>
              <w:t>'''''''''''''''</w:t>
            </w:r>
          </w:p>
        </w:tc>
      </w:tr>
      <w:tr w:rsidR="00780826" w:rsidRPr="00684DD8" w:rsidTr="00563080">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63080" w:rsidRPr="00684DD8" w:rsidRDefault="00563080" w:rsidP="009C4AE5">
            <w:pPr>
              <w:keepNext/>
              <w:snapToGrid w:val="0"/>
              <w:jc w:val="left"/>
              <w:rPr>
                <w:rFonts w:ascii="Arial Narrow" w:hAnsi="Arial Narrow" w:cs="Arial Narrow"/>
                <w:b/>
                <w:bCs/>
                <w:sz w:val="20"/>
              </w:rPr>
            </w:pPr>
            <w:r w:rsidRPr="00684DD8">
              <w:rPr>
                <w:rFonts w:ascii="Arial Narrow" w:hAnsi="Arial Narrow" w:cs="Arial Narrow"/>
                <w:b/>
                <w:bCs/>
                <w:sz w:val="20"/>
              </w:rPr>
              <w:t>Step 4: Modelled evaluation (additional costs included: HSCT, CR follow-up, palliative care)</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Costs</w:t>
            </w:r>
          </w:p>
        </w:tc>
        <w:tc>
          <w:tcPr>
            <w:tcW w:w="1188" w:type="pct"/>
            <w:tcBorders>
              <w:top w:val="single" w:sz="4" w:space="0" w:color="auto"/>
              <w:left w:val="single" w:sz="4" w:space="0" w:color="auto"/>
              <w:bottom w:val="single" w:sz="4" w:space="0" w:color="auto"/>
              <w:right w:val="single" w:sz="4" w:space="0" w:color="auto"/>
            </w:tcBorders>
            <w:hideMark/>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$123,456</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Life years gained</w:t>
            </w:r>
          </w:p>
        </w:tc>
        <w:tc>
          <w:tcPr>
            <w:tcW w:w="1188" w:type="pct"/>
            <w:tcBorders>
              <w:top w:val="single" w:sz="4" w:space="0" w:color="auto"/>
              <w:left w:val="single" w:sz="4" w:space="0" w:color="auto"/>
              <w:bottom w:val="single" w:sz="4" w:space="0" w:color="auto"/>
              <w:right w:val="single" w:sz="4" w:space="0" w:color="auto"/>
            </w:tcBorders>
            <w:hideMark/>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1.11</w:t>
            </w:r>
          </w:p>
        </w:tc>
        <w:tc>
          <w:tcPr>
            <w:tcW w:w="1263" w:type="pct"/>
            <w:tcBorders>
              <w:top w:val="single" w:sz="4" w:space="0" w:color="auto"/>
              <w:left w:val="single" w:sz="4" w:space="0" w:color="auto"/>
              <w:bottom w:val="single" w:sz="4" w:space="0" w:color="auto"/>
              <w:right w:val="single" w:sz="4" w:space="0" w:color="auto"/>
            </w:tcBorders>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80826" w:rsidRPr="00684DD8" w:rsidTr="00527D3A">
        <w:trPr>
          <w:cantSplit/>
        </w:trPr>
        <w:tc>
          <w:tcPr>
            <w:tcW w:w="3737" w:type="pct"/>
            <w:gridSpan w:val="3"/>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b/>
                <w:sz w:val="20"/>
              </w:rPr>
            </w:pPr>
            <w:r w:rsidRPr="00684DD8">
              <w:rPr>
                <w:rFonts w:ascii="Arial Narrow" w:hAnsi="Arial Narrow" w:cs="Times New Roman"/>
                <w:b/>
                <w:sz w:val="20"/>
              </w:rPr>
              <w:t>Incremental cost/extra life year gained</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b/>
                <w:sz w:val="20"/>
              </w:rPr>
            </w:pPr>
            <w:r w:rsidRPr="00684DD8">
              <w:rPr>
                <w:rFonts w:ascii="Arial Narrow" w:hAnsi="Arial Narrow" w:cs="Times New Roman"/>
                <w:b/>
                <w:sz w:val="20"/>
              </w:rPr>
              <w:t>$</w:t>
            </w:r>
            <w:r w:rsidR="00D34A67">
              <w:rPr>
                <w:rFonts w:ascii="Arial Narrow" w:hAnsi="Arial Narrow" w:cs="Times New Roman"/>
                <w:b/>
                <w:noProof/>
                <w:color w:val="000000"/>
                <w:sz w:val="20"/>
                <w:highlight w:val="black"/>
              </w:rPr>
              <w:t>''''''''''''</w:t>
            </w:r>
          </w:p>
        </w:tc>
      </w:tr>
      <w:tr w:rsidR="00780826" w:rsidRPr="00684DD8" w:rsidTr="00563080">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63080" w:rsidRPr="00684DD8" w:rsidRDefault="00563080" w:rsidP="00563080">
            <w:pPr>
              <w:keepNext/>
              <w:snapToGrid w:val="0"/>
              <w:jc w:val="left"/>
              <w:rPr>
                <w:rFonts w:ascii="Arial Narrow" w:hAnsi="Arial Narrow" w:cs="Arial Narrow"/>
                <w:b/>
                <w:bCs/>
                <w:sz w:val="20"/>
              </w:rPr>
            </w:pPr>
            <w:r w:rsidRPr="00684DD8">
              <w:rPr>
                <w:rFonts w:ascii="Arial Narrow" w:hAnsi="Arial Narrow" w:cs="Arial Narrow"/>
                <w:b/>
                <w:bCs/>
                <w:sz w:val="20"/>
              </w:rPr>
              <w:t>Step 5: Modelled evaluation (average utility of 0.728 applied to ‘before relapse’ and ‘after relapse’ states)</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Costs</w:t>
            </w:r>
          </w:p>
        </w:tc>
        <w:tc>
          <w:tcPr>
            <w:tcW w:w="1188" w:type="pct"/>
            <w:tcBorders>
              <w:top w:val="single" w:sz="4" w:space="0" w:color="auto"/>
              <w:left w:val="single" w:sz="4" w:space="0" w:color="auto"/>
              <w:bottom w:val="single" w:sz="4" w:space="0" w:color="auto"/>
              <w:right w:val="single" w:sz="4" w:space="0" w:color="auto"/>
            </w:tcBorders>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$123,456</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QALYs</w:t>
            </w:r>
          </w:p>
        </w:tc>
        <w:tc>
          <w:tcPr>
            <w:tcW w:w="1188" w:type="pct"/>
            <w:tcBorders>
              <w:top w:val="single" w:sz="4" w:space="0" w:color="auto"/>
              <w:left w:val="single" w:sz="4" w:space="0" w:color="auto"/>
              <w:bottom w:val="single" w:sz="4" w:space="0" w:color="auto"/>
              <w:right w:val="single" w:sz="4" w:space="0" w:color="auto"/>
            </w:tcBorders>
            <w:hideMark/>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0.81</w:t>
            </w:r>
          </w:p>
        </w:tc>
        <w:tc>
          <w:tcPr>
            <w:tcW w:w="1263" w:type="pct"/>
            <w:tcBorders>
              <w:top w:val="single" w:sz="4" w:space="0" w:color="auto"/>
              <w:left w:val="single" w:sz="4" w:space="0" w:color="auto"/>
              <w:bottom w:val="single" w:sz="4" w:space="0" w:color="auto"/>
              <w:right w:val="single" w:sz="4" w:space="0" w:color="auto"/>
            </w:tcBorders>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80826" w:rsidRPr="00684DD8" w:rsidTr="00527D3A">
        <w:trPr>
          <w:cantSplit/>
        </w:trPr>
        <w:tc>
          <w:tcPr>
            <w:tcW w:w="3737" w:type="pct"/>
            <w:gridSpan w:val="3"/>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b/>
                <w:sz w:val="20"/>
              </w:rPr>
            </w:pPr>
            <w:r w:rsidRPr="00684DD8">
              <w:rPr>
                <w:rFonts w:ascii="Arial Narrow" w:hAnsi="Arial Narrow" w:cs="Times New Roman"/>
                <w:b/>
                <w:sz w:val="20"/>
              </w:rPr>
              <w:t>Incremental cost/extra QALY gained</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b/>
                <w:sz w:val="20"/>
              </w:rPr>
            </w:pPr>
            <w:r w:rsidRPr="00684DD8">
              <w:rPr>
                <w:rFonts w:ascii="Arial Narrow" w:hAnsi="Arial Narrow" w:cs="Times New Roman"/>
                <w:b/>
                <w:sz w:val="20"/>
              </w:rPr>
              <w:t>$</w:t>
            </w:r>
            <w:r w:rsidR="00D34A67">
              <w:rPr>
                <w:rFonts w:ascii="Arial Narrow" w:hAnsi="Arial Narrow" w:cs="Times New Roman"/>
                <w:b/>
                <w:noProof/>
                <w:color w:val="000000"/>
                <w:sz w:val="20"/>
                <w:highlight w:val="black"/>
              </w:rPr>
              <w:t>''''''''''''''</w:t>
            </w:r>
          </w:p>
        </w:tc>
      </w:tr>
      <w:tr w:rsidR="00780826" w:rsidRPr="00684DD8" w:rsidTr="00563080">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63080" w:rsidRPr="00684DD8" w:rsidRDefault="00563080" w:rsidP="009C4AE5">
            <w:pPr>
              <w:keepNext/>
              <w:snapToGrid w:val="0"/>
              <w:jc w:val="left"/>
              <w:rPr>
                <w:rFonts w:ascii="Arial Narrow" w:hAnsi="Arial Narrow" w:cs="Arial Narrow"/>
                <w:b/>
                <w:bCs/>
                <w:sz w:val="20"/>
              </w:rPr>
            </w:pPr>
            <w:r w:rsidRPr="00684DD8">
              <w:rPr>
                <w:rFonts w:ascii="Arial Narrow" w:hAnsi="Arial Narrow" w:cs="Arial Narrow"/>
                <w:b/>
                <w:bCs/>
                <w:sz w:val="20"/>
              </w:rPr>
              <w:t>Step 6: Modelled evaluation (utility of 0.84 for ‘before relapse’ and 0.35 for ‘after relapse’ applied)</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Costs</w:t>
            </w:r>
          </w:p>
        </w:tc>
        <w:tc>
          <w:tcPr>
            <w:tcW w:w="1188" w:type="pct"/>
            <w:tcBorders>
              <w:top w:val="single" w:sz="4" w:space="0" w:color="auto"/>
              <w:left w:val="single" w:sz="4" w:space="0" w:color="auto"/>
              <w:bottom w:val="single" w:sz="4" w:space="0" w:color="auto"/>
              <w:right w:val="single" w:sz="4" w:space="0" w:color="auto"/>
            </w:tcBorders>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highlight w:val="yellow"/>
              </w:rPr>
            </w:pPr>
            <w:r w:rsidRPr="00684DD8">
              <w:rPr>
                <w:rFonts w:ascii="Arial Narrow" w:hAnsi="Arial Narrow" w:cs="Times New Roman"/>
                <w:sz w:val="20"/>
              </w:rPr>
              <w:t>$</w:t>
            </w:r>
            <w:r w:rsidRPr="00177DF1">
              <w:rPr>
                <w:rFonts w:ascii="Arial Narrow" w:hAnsi="Arial Narrow" w:cs="Times New Roman"/>
                <w:sz w:val="20"/>
              </w:rPr>
              <w:t>123,456</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r>
      <w:tr w:rsidR="00780826" w:rsidRPr="00684DD8" w:rsidTr="00527D3A">
        <w:trPr>
          <w:cantSplit/>
        </w:trPr>
        <w:tc>
          <w:tcPr>
            <w:tcW w:w="1444"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QALYs</w:t>
            </w:r>
          </w:p>
        </w:tc>
        <w:tc>
          <w:tcPr>
            <w:tcW w:w="1188" w:type="pct"/>
            <w:tcBorders>
              <w:top w:val="single" w:sz="4" w:space="0" w:color="auto"/>
              <w:left w:val="single" w:sz="4" w:space="0" w:color="auto"/>
              <w:bottom w:val="single" w:sz="4" w:space="0" w:color="auto"/>
              <w:right w:val="single" w:sz="4" w:space="0" w:color="auto"/>
            </w:tcBorders>
            <w:hideMark/>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05" w:type="pct"/>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center"/>
              <w:rPr>
                <w:rFonts w:ascii="Arial Narrow" w:hAnsi="Arial Narrow" w:cs="Times New Roman"/>
                <w:sz w:val="20"/>
              </w:rPr>
            </w:pPr>
            <w:r w:rsidRPr="00177DF1">
              <w:rPr>
                <w:rFonts w:ascii="Arial Narrow" w:hAnsi="Arial Narrow" w:cs="Times New Roman"/>
                <w:sz w:val="20"/>
              </w:rPr>
              <w:t>0.75</w:t>
            </w:r>
          </w:p>
        </w:tc>
        <w:tc>
          <w:tcPr>
            <w:tcW w:w="1263" w:type="pct"/>
            <w:tcBorders>
              <w:top w:val="single" w:sz="4" w:space="0" w:color="auto"/>
              <w:left w:val="single" w:sz="4" w:space="0" w:color="auto"/>
              <w:bottom w:val="single" w:sz="4" w:space="0" w:color="auto"/>
              <w:right w:val="single" w:sz="4" w:space="0" w:color="auto"/>
            </w:tcBorders>
          </w:tcPr>
          <w:p w:rsidR="00527D3A" w:rsidRPr="00D34A67" w:rsidRDefault="00D34A67" w:rsidP="009C4AE5">
            <w:pPr>
              <w:keepNext/>
              <w:snapToGrid w:val="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80826" w:rsidRPr="00684DD8" w:rsidTr="00527D3A">
        <w:trPr>
          <w:cantSplit/>
        </w:trPr>
        <w:tc>
          <w:tcPr>
            <w:tcW w:w="3737" w:type="pct"/>
            <w:gridSpan w:val="3"/>
            <w:tcBorders>
              <w:top w:val="single" w:sz="4" w:space="0" w:color="auto"/>
              <w:left w:val="single" w:sz="4" w:space="0" w:color="auto"/>
              <w:bottom w:val="single" w:sz="4" w:space="0" w:color="auto"/>
              <w:right w:val="single" w:sz="4" w:space="0" w:color="auto"/>
            </w:tcBorders>
            <w:vAlign w:val="center"/>
            <w:hideMark/>
          </w:tcPr>
          <w:p w:rsidR="00527D3A" w:rsidRPr="00684DD8" w:rsidRDefault="00527D3A" w:rsidP="009C4AE5">
            <w:pPr>
              <w:keepNext/>
              <w:snapToGrid w:val="0"/>
              <w:jc w:val="left"/>
              <w:rPr>
                <w:rFonts w:ascii="Arial Narrow" w:hAnsi="Arial Narrow" w:cs="Times New Roman"/>
                <w:b/>
                <w:sz w:val="20"/>
              </w:rPr>
            </w:pPr>
            <w:r w:rsidRPr="00684DD8">
              <w:rPr>
                <w:rFonts w:ascii="Arial Narrow" w:hAnsi="Arial Narrow" w:cs="Times New Roman"/>
                <w:b/>
                <w:sz w:val="20"/>
              </w:rPr>
              <w:t>Incremental cost/extra QALY gained</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b/>
                <w:sz w:val="20"/>
              </w:rPr>
            </w:pPr>
            <w:r w:rsidRPr="00684DD8">
              <w:rPr>
                <w:rFonts w:ascii="Arial Narrow" w:hAnsi="Arial Narrow" w:cs="Times New Roman"/>
                <w:b/>
                <w:sz w:val="20"/>
              </w:rPr>
              <w:t>$</w:t>
            </w:r>
            <w:r w:rsidR="00D34A67">
              <w:rPr>
                <w:rFonts w:ascii="Arial Narrow" w:hAnsi="Arial Narrow" w:cs="Times New Roman"/>
                <w:b/>
                <w:noProof/>
                <w:color w:val="000000"/>
                <w:sz w:val="20"/>
                <w:highlight w:val="black"/>
              </w:rPr>
              <w:t>'''''''''''''</w:t>
            </w:r>
          </w:p>
        </w:tc>
      </w:tr>
      <w:tr w:rsidR="00780826" w:rsidRPr="00684DD8" w:rsidTr="00527D3A">
        <w:trPr>
          <w:cantSplit/>
        </w:trPr>
        <w:tc>
          <w:tcPr>
            <w:tcW w:w="3737" w:type="pct"/>
            <w:gridSpan w:val="3"/>
            <w:tcBorders>
              <w:top w:val="single" w:sz="4" w:space="0" w:color="auto"/>
              <w:left w:val="single" w:sz="4" w:space="0" w:color="auto"/>
              <w:bottom w:val="single" w:sz="4" w:space="0" w:color="auto"/>
              <w:right w:val="single" w:sz="4" w:space="0" w:color="auto"/>
            </w:tcBorders>
            <w:vAlign w:val="center"/>
          </w:tcPr>
          <w:p w:rsidR="00527D3A" w:rsidRPr="00684DD8" w:rsidRDefault="00527D3A" w:rsidP="009C4AE5">
            <w:pPr>
              <w:keepNext/>
              <w:snapToGrid w:val="0"/>
              <w:jc w:val="left"/>
              <w:rPr>
                <w:rFonts w:ascii="Arial Narrow" w:hAnsi="Arial Narrow" w:cs="Times New Roman"/>
                <w:sz w:val="20"/>
              </w:rPr>
            </w:pPr>
            <w:r w:rsidRPr="00684DD8">
              <w:rPr>
                <w:rFonts w:ascii="Arial Narrow" w:hAnsi="Arial Narrow" w:cs="Times New Roman"/>
                <w:sz w:val="20"/>
              </w:rPr>
              <w:t>Incremental cost/extra QALY gained – November 2015</w:t>
            </w:r>
          </w:p>
        </w:tc>
        <w:tc>
          <w:tcPr>
            <w:tcW w:w="1263" w:type="pct"/>
            <w:tcBorders>
              <w:top w:val="single" w:sz="4" w:space="0" w:color="auto"/>
              <w:left w:val="single" w:sz="4" w:space="0" w:color="auto"/>
              <w:bottom w:val="single" w:sz="4" w:space="0" w:color="auto"/>
              <w:right w:val="single" w:sz="4" w:space="0" w:color="auto"/>
            </w:tcBorders>
          </w:tcPr>
          <w:p w:rsidR="00527D3A" w:rsidRPr="00684DD8" w:rsidRDefault="00527D3A" w:rsidP="009C4AE5">
            <w:pPr>
              <w:keepNext/>
              <w:snapToGrid w:val="0"/>
              <w:jc w:val="center"/>
              <w:rPr>
                <w:rFonts w:ascii="Arial Narrow" w:hAnsi="Arial Narrow" w:cs="Times New Roman"/>
                <w:sz w:val="20"/>
              </w:rPr>
            </w:pPr>
            <w:r w:rsidRPr="00684DD8">
              <w:rPr>
                <w:rFonts w:ascii="Arial Narrow" w:hAnsi="Arial Narrow" w:cs="Times New Roman"/>
                <w:sz w:val="20"/>
              </w:rPr>
              <w:t>$</w:t>
            </w:r>
            <w:r w:rsidR="00D34A67">
              <w:rPr>
                <w:rFonts w:ascii="Arial Narrow" w:hAnsi="Arial Narrow" w:cs="Times New Roman"/>
                <w:noProof/>
                <w:color w:val="000000"/>
                <w:sz w:val="20"/>
                <w:highlight w:val="black"/>
              </w:rPr>
              <w:t>'''''''''''''''</w:t>
            </w:r>
          </w:p>
        </w:tc>
      </w:tr>
    </w:tbl>
    <w:p w:rsidR="00563080" w:rsidRPr="00684DD8" w:rsidRDefault="00563080" w:rsidP="00563080">
      <w:pPr>
        <w:pStyle w:val="TableFooter"/>
        <w:ind w:firstLine="720"/>
      </w:pPr>
      <w:r w:rsidRPr="00684DD8">
        <w:t xml:space="preserve">Source: Table D.5-2, p239 of the </w:t>
      </w:r>
      <w:r w:rsidR="00481C66" w:rsidRPr="00684DD8">
        <w:t>resubmission</w:t>
      </w:r>
      <w:r w:rsidRPr="00684DD8">
        <w:t>; and Blin_v_2_01.xlsm Excel workbook</w:t>
      </w:r>
    </w:p>
    <w:p w:rsidR="00563080" w:rsidRPr="00684DD8" w:rsidRDefault="00563080" w:rsidP="00563080">
      <w:pPr>
        <w:pStyle w:val="TableFooter"/>
        <w:ind w:firstLine="720"/>
      </w:pPr>
      <w:r w:rsidRPr="00684DD8">
        <w:t>CR = complete remission; HSCT = haematopoietic stem cell transplant; QALY = quality-adjusted life year</w:t>
      </w:r>
    </w:p>
    <w:p w:rsidR="00CC045E" w:rsidRPr="00684DD8" w:rsidRDefault="00CC045E" w:rsidP="00BA2F88">
      <w:pPr>
        <w:widowControl/>
        <w:rPr>
          <w:szCs w:val="22"/>
        </w:rPr>
      </w:pPr>
    </w:p>
    <w:p w:rsidR="00CC16DF" w:rsidRPr="00CC16DF" w:rsidRDefault="00CC16DF" w:rsidP="00CC16DF">
      <w:pPr>
        <w:widowControl/>
        <w:rPr>
          <w:szCs w:val="22"/>
        </w:rPr>
      </w:pPr>
    </w:p>
    <w:p w:rsidR="0085322C" w:rsidRPr="00684DD8" w:rsidRDefault="0085322C" w:rsidP="008B4389">
      <w:pPr>
        <w:pStyle w:val="ListParagraph"/>
        <w:widowControl/>
        <w:numPr>
          <w:ilvl w:val="1"/>
          <w:numId w:val="1"/>
        </w:numPr>
        <w:rPr>
          <w:szCs w:val="22"/>
        </w:rPr>
      </w:pPr>
      <w:r w:rsidRPr="00684DD8">
        <w:rPr>
          <w:szCs w:val="22"/>
        </w:rPr>
        <w:lastRenderedPageBreak/>
        <w:t xml:space="preserve">The </w:t>
      </w:r>
      <w:r w:rsidR="00481C66" w:rsidRPr="00684DD8">
        <w:rPr>
          <w:szCs w:val="22"/>
        </w:rPr>
        <w:t>resubmission</w:t>
      </w:r>
      <w:r w:rsidR="006F3064" w:rsidRPr="00684DD8">
        <w:rPr>
          <w:szCs w:val="22"/>
        </w:rPr>
        <w:t xml:space="preserve"> estimated </w:t>
      </w:r>
      <w:r w:rsidR="0037373E" w:rsidRPr="00684DD8">
        <w:rPr>
          <w:szCs w:val="22"/>
        </w:rPr>
        <w:t>incremental cost effectiveness ratio</w:t>
      </w:r>
      <w:r w:rsidR="00843D54" w:rsidRPr="00684DD8">
        <w:rPr>
          <w:szCs w:val="22"/>
        </w:rPr>
        <w:t>s</w:t>
      </w:r>
      <w:r w:rsidR="0037373E" w:rsidRPr="00684DD8">
        <w:rPr>
          <w:szCs w:val="22"/>
        </w:rPr>
        <w:t xml:space="preserve"> (ICER) of $</w:t>
      </w:r>
      <w:r w:rsidR="00985E1A">
        <w:rPr>
          <w:szCs w:val="22"/>
        </w:rPr>
        <w:t>45,000 - $75,000</w:t>
      </w:r>
      <w:r w:rsidR="0037373E" w:rsidRPr="00684DD8">
        <w:rPr>
          <w:szCs w:val="22"/>
        </w:rPr>
        <w:t xml:space="preserve"> per life year gained and of </w:t>
      </w:r>
      <w:r w:rsidR="00985E1A">
        <w:rPr>
          <w:szCs w:val="22"/>
        </w:rPr>
        <w:t>$45,000 - $75,000</w:t>
      </w:r>
      <w:r w:rsidR="0037373E" w:rsidRPr="00684DD8">
        <w:rPr>
          <w:szCs w:val="22"/>
        </w:rPr>
        <w:t xml:space="preserve"> per quality-adjusted life year (QALY) gained. </w:t>
      </w:r>
      <w:r w:rsidR="00BE3314" w:rsidRPr="00684DD8">
        <w:rPr>
          <w:szCs w:val="22"/>
        </w:rPr>
        <w:t>In November 2015, t</w:t>
      </w:r>
      <w:r w:rsidR="00451389" w:rsidRPr="00684DD8">
        <w:rPr>
          <w:szCs w:val="22"/>
        </w:rPr>
        <w:t xml:space="preserve">he PBAC considered the original economic model unreliable for decision making. </w:t>
      </w:r>
      <w:r w:rsidR="0037373E" w:rsidRPr="00684DD8">
        <w:rPr>
          <w:szCs w:val="22"/>
        </w:rPr>
        <w:t xml:space="preserve">The results </w:t>
      </w:r>
      <w:r w:rsidR="00BE3314" w:rsidRPr="00684DD8">
        <w:rPr>
          <w:szCs w:val="22"/>
        </w:rPr>
        <w:t xml:space="preserve">of the economic evaluation presented in the resubmission </w:t>
      </w:r>
      <w:r w:rsidR="00451389" w:rsidRPr="00684DD8">
        <w:rPr>
          <w:szCs w:val="22"/>
        </w:rPr>
        <w:t>remained</w:t>
      </w:r>
      <w:r w:rsidR="0037373E" w:rsidRPr="00684DD8">
        <w:rPr>
          <w:szCs w:val="22"/>
        </w:rPr>
        <w:t xml:space="preserve"> unreliable as a number of concerns raised by the PBAC were not ad</w:t>
      </w:r>
      <w:r w:rsidR="00BE52AC" w:rsidRPr="00684DD8">
        <w:rPr>
          <w:szCs w:val="22"/>
        </w:rPr>
        <w:t>dressed</w:t>
      </w:r>
      <w:r w:rsidR="001F3BE3" w:rsidRPr="00684DD8">
        <w:rPr>
          <w:szCs w:val="22"/>
        </w:rPr>
        <w:t>,</w:t>
      </w:r>
      <w:r w:rsidR="00BE52AC" w:rsidRPr="00684DD8">
        <w:rPr>
          <w:szCs w:val="22"/>
        </w:rPr>
        <w:t xml:space="preserve"> including:</w:t>
      </w:r>
    </w:p>
    <w:p w:rsidR="00BE52AC" w:rsidRPr="00684DD8" w:rsidRDefault="00BE52AC" w:rsidP="00B87442">
      <w:pPr>
        <w:pStyle w:val="PBACheading1"/>
        <w:numPr>
          <w:ilvl w:val="0"/>
          <w:numId w:val="6"/>
        </w:numPr>
        <w:rPr>
          <w:b w:val="0"/>
        </w:rPr>
      </w:pPr>
      <w:bookmarkStart w:id="22" w:name="_Toc447807576"/>
      <w:bookmarkStart w:id="23" w:name="_Toc448733876"/>
      <w:bookmarkStart w:id="24" w:name="_Toc450291326"/>
      <w:bookmarkStart w:id="25" w:name="_Toc450655484"/>
      <w:r w:rsidRPr="00684DD8">
        <w:rPr>
          <w:b w:val="0"/>
        </w:rPr>
        <w:t xml:space="preserve">the weighted analysis for patients diagnosed post-2000 from the historical control, Study 20120310, was not used to populate the </w:t>
      </w:r>
      <w:r w:rsidR="00C926FC" w:rsidRPr="00684DD8">
        <w:rPr>
          <w:b w:val="0"/>
        </w:rPr>
        <w:t>standard care</w:t>
      </w:r>
      <w:r w:rsidRPr="00684DD8">
        <w:rPr>
          <w:b w:val="0"/>
        </w:rPr>
        <w:t xml:space="preserve"> arm;</w:t>
      </w:r>
      <w:bookmarkEnd w:id="22"/>
      <w:bookmarkEnd w:id="23"/>
      <w:bookmarkEnd w:id="24"/>
      <w:bookmarkEnd w:id="25"/>
    </w:p>
    <w:p w:rsidR="00BE52AC" w:rsidRPr="00684DD8" w:rsidRDefault="00BE52AC" w:rsidP="00B87442">
      <w:pPr>
        <w:pStyle w:val="PBACheading1"/>
        <w:numPr>
          <w:ilvl w:val="0"/>
          <w:numId w:val="6"/>
        </w:numPr>
        <w:rPr>
          <w:b w:val="0"/>
        </w:rPr>
      </w:pPr>
      <w:bookmarkStart w:id="26" w:name="_Toc447807577"/>
      <w:bookmarkStart w:id="27" w:name="_Toc448733877"/>
      <w:bookmarkStart w:id="28" w:name="_Toc450291327"/>
      <w:bookmarkStart w:id="29" w:name="_Toc450655485"/>
      <w:r w:rsidRPr="00684DD8">
        <w:rPr>
          <w:b w:val="0"/>
        </w:rPr>
        <w:t>not all costs of toxicity due to treatment were included;</w:t>
      </w:r>
      <w:bookmarkEnd w:id="26"/>
      <w:bookmarkEnd w:id="27"/>
      <w:bookmarkEnd w:id="28"/>
      <w:bookmarkEnd w:id="29"/>
    </w:p>
    <w:p w:rsidR="00BE52AC" w:rsidRPr="00684DD8" w:rsidRDefault="00BE52AC" w:rsidP="00B87442">
      <w:pPr>
        <w:pStyle w:val="PBACheading1"/>
        <w:numPr>
          <w:ilvl w:val="0"/>
          <w:numId w:val="6"/>
        </w:numPr>
        <w:rPr>
          <w:b w:val="0"/>
        </w:rPr>
      </w:pPr>
      <w:bookmarkStart w:id="30" w:name="_Toc447807578"/>
      <w:bookmarkStart w:id="31" w:name="_Toc448733878"/>
      <w:bookmarkStart w:id="32" w:name="_Toc450291328"/>
      <w:bookmarkStart w:id="33" w:name="_Toc450655486"/>
      <w:r w:rsidRPr="00684DD8">
        <w:rPr>
          <w:b w:val="0"/>
        </w:rPr>
        <w:t xml:space="preserve">the cost and utility consequences </w:t>
      </w:r>
      <w:r w:rsidR="00382DBC" w:rsidRPr="00684DD8">
        <w:rPr>
          <w:b w:val="0"/>
        </w:rPr>
        <w:t>for</w:t>
      </w:r>
      <w:r w:rsidRPr="00684DD8">
        <w:rPr>
          <w:b w:val="0"/>
        </w:rPr>
        <w:t xml:space="preserve"> patients who received further salvage therapies were not considered;</w:t>
      </w:r>
      <w:bookmarkEnd w:id="30"/>
      <w:bookmarkEnd w:id="31"/>
      <w:bookmarkEnd w:id="32"/>
      <w:bookmarkEnd w:id="33"/>
    </w:p>
    <w:p w:rsidR="00BE52AC" w:rsidRPr="00684DD8" w:rsidRDefault="00BE52AC" w:rsidP="00B87442">
      <w:pPr>
        <w:pStyle w:val="PBACheading1"/>
        <w:numPr>
          <w:ilvl w:val="0"/>
          <w:numId w:val="6"/>
        </w:numPr>
        <w:rPr>
          <w:b w:val="0"/>
        </w:rPr>
      </w:pPr>
      <w:bookmarkStart w:id="34" w:name="_Toc447807579"/>
      <w:bookmarkStart w:id="35" w:name="_Toc448733879"/>
      <w:bookmarkStart w:id="36" w:name="_Toc450291329"/>
      <w:bookmarkStart w:id="37" w:name="_Toc450655487"/>
      <w:r w:rsidRPr="00684DD8">
        <w:rPr>
          <w:b w:val="0"/>
        </w:rPr>
        <w:t>more detailed input data on the costs of allogeneic HSCT were not provided; and</w:t>
      </w:r>
      <w:bookmarkEnd w:id="34"/>
      <w:bookmarkEnd w:id="35"/>
      <w:bookmarkEnd w:id="36"/>
      <w:bookmarkEnd w:id="37"/>
      <w:r w:rsidRPr="00684DD8">
        <w:rPr>
          <w:b w:val="0"/>
        </w:rPr>
        <w:t xml:space="preserve"> </w:t>
      </w:r>
    </w:p>
    <w:p w:rsidR="00BE52AC" w:rsidRPr="00684DD8" w:rsidRDefault="00BE52AC" w:rsidP="00B87442">
      <w:pPr>
        <w:pStyle w:val="PBACheading1"/>
        <w:numPr>
          <w:ilvl w:val="0"/>
          <w:numId w:val="6"/>
        </w:numPr>
        <w:rPr>
          <w:b w:val="0"/>
        </w:rPr>
      </w:pPr>
      <w:bookmarkStart w:id="38" w:name="_Toc447807580"/>
      <w:bookmarkStart w:id="39" w:name="_Toc448733880"/>
      <w:bookmarkStart w:id="40" w:name="_Toc450291330"/>
      <w:bookmarkStart w:id="41" w:name="_Toc450655488"/>
      <w:proofErr w:type="gramStart"/>
      <w:r w:rsidRPr="00684DD8">
        <w:rPr>
          <w:b w:val="0"/>
        </w:rPr>
        <w:t>evidence</w:t>
      </w:r>
      <w:proofErr w:type="gramEnd"/>
      <w:r w:rsidRPr="00684DD8">
        <w:rPr>
          <w:b w:val="0"/>
        </w:rPr>
        <w:t xml:space="preserve"> based estimates of life expectancy post</w:t>
      </w:r>
      <w:r w:rsidR="0048168D" w:rsidRPr="00684DD8">
        <w:rPr>
          <w:b w:val="0"/>
        </w:rPr>
        <w:t>-</w:t>
      </w:r>
      <w:r w:rsidRPr="00684DD8">
        <w:rPr>
          <w:b w:val="0"/>
        </w:rPr>
        <w:t>allogeneic HSCT were not considered.</w:t>
      </w:r>
      <w:bookmarkEnd w:id="38"/>
      <w:bookmarkEnd w:id="39"/>
      <w:bookmarkEnd w:id="40"/>
      <w:bookmarkEnd w:id="41"/>
    </w:p>
    <w:p w:rsidR="0037373E" w:rsidRPr="00684DD8" w:rsidRDefault="0037373E" w:rsidP="00BA2F88">
      <w:pPr>
        <w:widowControl/>
        <w:rPr>
          <w:szCs w:val="22"/>
        </w:rPr>
      </w:pPr>
    </w:p>
    <w:p w:rsidR="006E7BD6" w:rsidRPr="00684DD8" w:rsidRDefault="006E7BD6" w:rsidP="008B4389">
      <w:pPr>
        <w:pStyle w:val="ListParagraph"/>
        <w:widowControl/>
        <w:numPr>
          <w:ilvl w:val="1"/>
          <w:numId w:val="1"/>
        </w:numPr>
        <w:rPr>
          <w:szCs w:val="22"/>
        </w:rPr>
      </w:pPr>
      <w:r w:rsidRPr="00684DD8">
        <w:t xml:space="preserve">In the economic model, 40% of patients achieving CR are assumed to undergo an allogeneic HSCT. This resulted in 17.1% of patients treated with </w:t>
      </w:r>
      <w:proofErr w:type="spellStart"/>
      <w:r w:rsidRPr="00684DD8">
        <w:t>blinatumomab</w:t>
      </w:r>
      <w:proofErr w:type="spellEnd"/>
      <w:r w:rsidRPr="00684DD8">
        <w:t xml:space="preserve"> undergoing HSCT compared with 9.6% in the </w:t>
      </w:r>
      <w:r w:rsidR="00C926FC" w:rsidRPr="00684DD8">
        <w:t>SC</w:t>
      </w:r>
      <w:r w:rsidRPr="00684DD8">
        <w:t xml:space="preserve"> chemotherapy arm.</w:t>
      </w:r>
    </w:p>
    <w:p w:rsidR="006E7BD6" w:rsidRPr="00684DD8" w:rsidRDefault="006E7BD6" w:rsidP="006E7BD6">
      <w:pPr>
        <w:widowControl/>
        <w:rPr>
          <w:szCs w:val="22"/>
        </w:rPr>
      </w:pPr>
    </w:p>
    <w:p w:rsidR="00DE3974" w:rsidRPr="00684DD8" w:rsidRDefault="0085322C" w:rsidP="008B4389">
      <w:pPr>
        <w:pStyle w:val="ListParagraph"/>
        <w:widowControl/>
        <w:numPr>
          <w:ilvl w:val="1"/>
          <w:numId w:val="1"/>
        </w:numPr>
        <w:rPr>
          <w:szCs w:val="22"/>
        </w:rPr>
      </w:pPr>
      <w:r w:rsidRPr="00684DD8">
        <w:t xml:space="preserve">There were no changes to the </w:t>
      </w:r>
      <w:r w:rsidR="00B81357" w:rsidRPr="00684DD8">
        <w:t xml:space="preserve">number of </w:t>
      </w:r>
      <w:r w:rsidRPr="00684DD8">
        <w:t xml:space="preserve">life years or QALYs gained in the </w:t>
      </w:r>
      <w:r w:rsidR="00481C66" w:rsidRPr="00684DD8">
        <w:t>resubmission</w:t>
      </w:r>
      <w:r w:rsidRPr="00684DD8">
        <w:t xml:space="preserve">. The change in ICER was primarily due to the reduced cost of </w:t>
      </w:r>
      <w:proofErr w:type="spellStart"/>
      <w:r w:rsidRPr="00684DD8">
        <w:t>blinatumomab</w:t>
      </w:r>
      <w:proofErr w:type="spellEnd"/>
      <w:r w:rsidRPr="00684DD8">
        <w:t xml:space="preserve"> </w:t>
      </w:r>
      <w:r w:rsidR="00A214D3" w:rsidRPr="00684DD8">
        <w:t>and the efficient use of vials.</w:t>
      </w:r>
    </w:p>
    <w:p w:rsidR="00DE3974" w:rsidRPr="00684DD8" w:rsidRDefault="00DE3974" w:rsidP="00DE3974">
      <w:pPr>
        <w:widowControl/>
        <w:rPr>
          <w:szCs w:val="22"/>
        </w:rPr>
      </w:pPr>
    </w:p>
    <w:p w:rsidR="00D110BD" w:rsidRPr="00684DD8" w:rsidRDefault="00DE3974" w:rsidP="008B4389">
      <w:pPr>
        <w:pStyle w:val="ListParagraph"/>
        <w:widowControl/>
        <w:numPr>
          <w:ilvl w:val="1"/>
          <w:numId w:val="1"/>
        </w:numPr>
        <w:rPr>
          <w:szCs w:val="22"/>
        </w:rPr>
      </w:pPr>
      <w:r w:rsidRPr="00684DD8">
        <w:t xml:space="preserve">The results of the economic evaluation using weighted historical control data from </w:t>
      </w:r>
      <w:proofErr w:type="gramStart"/>
      <w:r w:rsidRPr="00684DD8">
        <w:t>patients</w:t>
      </w:r>
      <w:proofErr w:type="gramEnd"/>
      <w:r w:rsidRPr="00684DD8">
        <w:t xml:space="preserve"> diagnosed post-2000 w</w:t>
      </w:r>
      <w:r w:rsidR="00D3779D" w:rsidRPr="00684DD8">
        <w:t>ere</w:t>
      </w:r>
      <w:r w:rsidRPr="00684DD8">
        <w:t xml:space="preserve"> prese</w:t>
      </w:r>
      <w:r w:rsidR="007C45E9" w:rsidRPr="00684DD8">
        <w:t>nted as</w:t>
      </w:r>
      <w:r w:rsidRPr="00684DD8">
        <w:t xml:space="preserve"> a sensitivity analysis.</w:t>
      </w:r>
    </w:p>
    <w:p w:rsidR="00A86E8B" w:rsidRPr="00684DD8" w:rsidRDefault="00A86E8B" w:rsidP="00A86E8B">
      <w:pPr>
        <w:widowControl/>
        <w:rPr>
          <w:szCs w:val="22"/>
        </w:rPr>
      </w:pPr>
    </w:p>
    <w:p w:rsidR="00DE3974" w:rsidRPr="00684DD8" w:rsidRDefault="00DE3974" w:rsidP="009A5189">
      <w:pPr>
        <w:keepNext/>
        <w:ind w:left="720"/>
        <w:rPr>
          <w:rFonts w:ascii="Arial Narrow" w:hAnsi="Arial Narrow"/>
          <w:b/>
          <w:sz w:val="20"/>
          <w:szCs w:val="16"/>
        </w:rPr>
      </w:pPr>
      <w:r w:rsidRPr="00684DD8">
        <w:rPr>
          <w:rFonts w:ascii="Arial Narrow" w:hAnsi="Arial Narrow"/>
          <w:b/>
          <w:sz w:val="20"/>
          <w:szCs w:val="16"/>
        </w:rPr>
        <w:t xml:space="preserve">Table </w:t>
      </w:r>
      <w:r w:rsidR="00CE65D8" w:rsidRPr="00684DD8">
        <w:rPr>
          <w:rFonts w:ascii="Arial Narrow" w:hAnsi="Arial Narrow"/>
          <w:b/>
          <w:sz w:val="20"/>
          <w:szCs w:val="16"/>
        </w:rPr>
        <w:t>11</w:t>
      </w:r>
      <w:r w:rsidRPr="00684DD8">
        <w:rPr>
          <w:rFonts w:ascii="Arial Narrow" w:hAnsi="Arial Narrow"/>
          <w:b/>
          <w:sz w:val="20"/>
          <w:szCs w:val="16"/>
        </w:rPr>
        <w:t>: Results of the economic evaluation using weighted historical control data fr</w:t>
      </w:r>
      <w:r w:rsidR="006B09BD" w:rsidRPr="00684DD8">
        <w:rPr>
          <w:rFonts w:ascii="Arial Narrow" w:hAnsi="Arial Narrow"/>
          <w:b/>
          <w:sz w:val="20"/>
          <w:szCs w:val="16"/>
        </w:rPr>
        <w:t>om patients diagnosed post-2000 in Study 20120310</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397"/>
        <w:gridCol w:w="1272"/>
        <w:gridCol w:w="1561"/>
        <w:gridCol w:w="1115"/>
      </w:tblGrid>
      <w:tr w:rsidR="00780826" w:rsidRPr="00684DD8" w:rsidTr="00DE3974">
        <w:trPr>
          <w:cantSplit/>
          <w:tblHeader/>
        </w:trPr>
        <w:tc>
          <w:tcPr>
            <w:tcW w:w="26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rPr>
                <w:rFonts w:ascii="Arial Narrow" w:hAnsi="Arial Narrow"/>
                <w:sz w:val="20"/>
              </w:rPr>
            </w:pPr>
          </w:p>
        </w:tc>
        <w:tc>
          <w:tcPr>
            <w:tcW w:w="7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2D1822" w:rsidP="002D1822">
            <w:pPr>
              <w:keepNext/>
              <w:jc w:val="center"/>
              <w:rPr>
                <w:rFonts w:ascii="Arial Narrow" w:hAnsi="Arial Narrow"/>
                <w:sz w:val="20"/>
              </w:rPr>
            </w:pPr>
            <w:r w:rsidRPr="00684DD8">
              <w:rPr>
                <w:rFonts w:ascii="Arial Narrow" w:hAnsi="Arial Narrow"/>
                <w:b/>
                <w:sz w:val="20"/>
              </w:rPr>
              <w:t xml:space="preserve">∆ </w:t>
            </w:r>
            <w:r w:rsidR="00DE3974" w:rsidRPr="00684DD8">
              <w:rPr>
                <w:rFonts w:ascii="Arial Narrow" w:hAnsi="Arial Narrow"/>
                <w:b/>
                <w:sz w:val="20"/>
              </w:rPr>
              <w:t>cost</w:t>
            </w:r>
          </w:p>
        </w:tc>
        <w:tc>
          <w:tcPr>
            <w:tcW w:w="9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2D1822" w:rsidP="004325FB">
            <w:pPr>
              <w:keepNext/>
              <w:jc w:val="center"/>
              <w:rPr>
                <w:rFonts w:ascii="Arial Narrow" w:hAnsi="Arial Narrow"/>
                <w:sz w:val="20"/>
              </w:rPr>
            </w:pPr>
            <w:r w:rsidRPr="00684DD8">
              <w:rPr>
                <w:rFonts w:ascii="Arial Narrow" w:hAnsi="Arial Narrow"/>
                <w:b/>
                <w:sz w:val="20"/>
              </w:rPr>
              <w:t xml:space="preserve">∆ </w:t>
            </w:r>
            <w:r w:rsidR="004325FB" w:rsidRPr="00684DD8">
              <w:rPr>
                <w:rFonts w:ascii="Arial Narrow" w:hAnsi="Arial Narrow"/>
                <w:b/>
                <w:sz w:val="20"/>
              </w:rPr>
              <w:t>QALYs</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2D1822">
            <w:pPr>
              <w:keepNext/>
              <w:jc w:val="center"/>
              <w:rPr>
                <w:rFonts w:ascii="Arial Narrow" w:hAnsi="Arial Narrow"/>
                <w:sz w:val="20"/>
              </w:rPr>
            </w:pPr>
            <w:r w:rsidRPr="00684DD8">
              <w:rPr>
                <w:rFonts w:ascii="Arial Narrow" w:hAnsi="Arial Narrow"/>
                <w:b/>
                <w:sz w:val="20"/>
              </w:rPr>
              <w:t>ICER</w:t>
            </w:r>
          </w:p>
        </w:tc>
      </w:tr>
      <w:tr w:rsidR="00780826" w:rsidRPr="00684DD8" w:rsidTr="00DE3974">
        <w:trPr>
          <w:cantSplit/>
        </w:trPr>
        <w:tc>
          <w:tcPr>
            <w:tcW w:w="26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rPr>
                <w:rFonts w:ascii="Arial Narrow" w:hAnsi="Arial Narrow"/>
                <w:b/>
                <w:sz w:val="20"/>
              </w:rPr>
            </w:pPr>
            <w:r w:rsidRPr="00684DD8">
              <w:rPr>
                <w:rFonts w:ascii="Arial Narrow" w:hAnsi="Arial Narrow"/>
                <w:b/>
                <w:sz w:val="20"/>
              </w:rPr>
              <w:t xml:space="preserve">Base case – July 2016 </w:t>
            </w:r>
            <w:r w:rsidR="00481C66" w:rsidRPr="00684DD8">
              <w:rPr>
                <w:rFonts w:ascii="Arial Narrow" w:hAnsi="Arial Narrow"/>
                <w:b/>
                <w:sz w:val="20"/>
              </w:rPr>
              <w:t>resubmission</w:t>
            </w:r>
          </w:p>
        </w:tc>
        <w:tc>
          <w:tcPr>
            <w:tcW w:w="7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9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jc w:val="center"/>
              <w:rPr>
                <w:rFonts w:ascii="Arial Narrow" w:hAnsi="Arial Narrow"/>
                <w:b/>
                <w:sz w:val="20"/>
              </w:rPr>
            </w:pPr>
            <w:r w:rsidRPr="00684DD8">
              <w:rPr>
                <w:rFonts w:ascii="Arial Narrow" w:hAnsi="Arial Narrow"/>
                <w:b/>
                <w:sz w:val="20"/>
              </w:rPr>
              <w:t>0.93</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r>
      <w:tr w:rsidR="00780826" w:rsidRPr="00684DD8" w:rsidTr="00DE3974">
        <w:trPr>
          <w:cantSplit/>
        </w:trPr>
        <w:tc>
          <w:tcPr>
            <w:tcW w:w="26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rPr>
                <w:rFonts w:ascii="Arial Narrow" w:hAnsi="Arial Narrow"/>
                <w:sz w:val="20"/>
              </w:rPr>
            </w:pPr>
            <w:r w:rsidRPr="00684DD8">
              <w:rPr>
                <w:rFonts w:ascii="Arial Narrow" w:hAnsi="Arial Narrow"/>
                <w:sz w:val="20"/>
              </w:rPr>
              <w:t>Base case – November 2015 submission</w:t>
            </w:r>
          </w:p>
        </w:tc>
        <w:tc>
          <w:tcPr>
            <w:tcW w:w="7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9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jc w:val="center"/>
              <w:rPr>
                <w:rFonts w:ascii="Arial Narrow" w:hAnsi="Arial Narrow"/>
                <w:sz w:val="20"/>
              </w:rPr>
            </w:pPr>
            <w:r w:rsidRPr="00684DD8">
              <w:rPr>
                <w:rFonts w:ascii="Arial Narrow" w:hAnsi="Arial Narrow"/>
                <w:sz w:val="20"/>
              </w:rPr>
              <w:t>0.93</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r>
      <w:tr w:rsidR="00780826" w:rsidRPr="00684DD8" w:rsidTr="00DE3974">
        <w:trPr>
          <w:cantSplit/>
        </w:trPr>
        <w:tc>
          <w:tcPr>
            <w:tcW w:w="26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rPr>
                <w:rFonts w:ascii="Arial Narrow" w:hAnsi="Arial Narrow"/>
                <w:b/>
                <w:sz w:val="20"/>
              </w:rPr>
            </w:pPr>
            <w:r w:rsidRPr="00684DD8">
              <w:rPr>
                <w:rFonts w:ascii="Arial Narrow" w:hAnsi="Arial Narrow"/>
                <w:b/>
                <w:sz w:val="20"/>
              </w:rPr>
              <w:t xml:space="preserve">Using post-2000 patient data from Study 20120310 </w:t>
            </w:r>
          </w:p>
        </w:tc>
        <w:tc>
          <w:tcPr>
            <w:tcW w:w="7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9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jc w:val="center"/>
              <w:rPr>
                <w:rFonts w:ascii="Arial Narrow" w:hAnsi="Arial Narrow"/>
                <w:b/>
                <w:sz w:val="20"/>
              </w:rPr>
            </w:pPr>
            <w:r w:rsidRPr="00684DD8">
              <w:rPr>
                <w:rFonts w:ascii="Arial Narrow" w:hAnsi="Arial Narrow"/>
                <w:b/>
                <w:sz w:val="20"/>
              </w:rPr>
              <w:t>0.73</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3974" w:rsidRPr="00684DD8" w:rsidRDefault="00DE3974" w:rsidP="00B73D6A">
            <w:pPr>
              <w:keepNext/>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r>
    </w:tbl>
    <w:p w:rsidR="00DE3974" w:rsidRPr="00684DD8" w:rsidRDefault="00DE3974" w:rsidP="00DE3974">
      <w:pPr>
        <w:ind w:firstLine="720"/>
        <w:rPr>
          <w:rFonts w:ascii="Arial Narrow" w:hAnsi="Arial Narrow"/>
          <w:sz w:val="18"/>
          <w:szCs w:val="18"/>
        </w:rPr>
      </w:pPr>
      <w:r w:rsidRPr="00684DD8">
        <w:rPr>
          <w:rFonts w:ascii="Arial Narrow" w:hAnsi="Arial Narrow"/>
          <w:sz w:val="18"/>
          <w:szCs w:val="18"/>
        </w:rPr>
        <w:t>Source: Blin_v_2_01.xlsm Excel workbook</w:t>
      </w:r>
    </w:p>
    <w:p w:rsidR="00DE3974" w:rsidRPr="00684DD8" w:rsidRDefault="00DE3974" w:rsidP="00DE3974">
      <w:pPr>
        <w:ind w:firstLine="720"/>
      </w:pPr>
      <w:r w:rsidRPr="00684DD8">
        <w:rPr>
          <w:rFonts w:ascii="Arial Narrow" w:hAnsi="Arial Narrow"/>
          <w:sz w:val="18"/>
        </w:rPr>
        <w:t>ICER = incremental cost-effectiveness ratio</w:t>
      </w:r>
    </w:p>
    <w:p w:rsidR="00DE3974" w:rsidRPr="00684DD8" w:rsidRDefault="00DE3974" w:rsidP="00A86E8B">
      <w:pPr>
        <w:widowControl/>
        <w:rPr>
          <w:szCs w:val="22"/>
        </w:rPr>
      </w:pPr>
    </w:p>
    <w:p w:rsidR="00CE65D8" w:rsidRPr="00684DD8" w:rsidRDefault="00DA000D" w:rsidP="008B4389">
      <w:pPr>
        <w:pStyle w:val="ListParagraph"/>
        <w:widowControl/>
        <w:numPr>
          <w:ilvl w:val="1"/>
          <w:numId w:val="1"/>
        </w:numPr>
        <w:rPr>
          <w:szCs w:val="22"/>
        </w:rPr>
      </w:pPr>
      <w:r w:rsidRPr="00684DD8">
        <w:rPr>
          <w:szCs w:val="22"/>
        </w:rPr>
        <w:t>The use of p</w:t>
      </w:r>
      <w:r w:rsidR="00DE3974" w:rsidRPr="00684DD8">
        <w:rPr>
          <w:szCs w:val="22"/>
        </w:rPr>
        <w:t>ost-200</w:t>
      </w:r>
      <w:r w:rsidR="00D3779D" w:rsidRPr="00684DD8">
        <w:rPr>
          <w:szCs w:val="22"/>
        </w:rPr>
        <w:t>0</w:t>
      </w:r>
      <w:r w:rsidR="00DE3974" w:rsidRPr="00684DD8">
        <w:rPr>
          <w:szCs w:val="22"/>
        </w:rPr>
        <w:t xml:space="preserve"> patient data from Study 20120310 increased the ICER from </w:t>
      </w:r>
      <w:r w:rsidR="00767FF2">
        <w:rPr>
          <w:szCs w:val="22"/>
        </w:rPr>
        <w:t>$45,000 - $75,000/QALY</w:t>
      </w:r>
      <w:r w:rsidR="00DE3974" w:rsidRPr="00684DD8">
        <w:rPr>
          <w:szCs w:val="22"/>
        </w:rPr>
        <w:t xml:space="preserve"> </w:t>
      </w:r>
      <w:r w:rsidR="00767FF2">
        <w:rPr>
          <w:szCs w:val="22"/>
        </w:rPr>
        <w:t>to $75,000 - $105,000/QALY</w:t>
      </w:r>
      <w:r w:rsidR="00DE3974" w:rsidRPr="00684DD8">
        <w:rPr>
          <w:szCs w:val="22"/>
        </w:rPr>
        <w:t xml:space="preserve">. </w:t>
      </w:r>
      <w:r w:rsidR="00843D54" w:rsidRPr="00684DD8">
        <w:rPr>
          <w:szCs w:val="22"/>
        </w:rPr>
        <w:t xml:space="preserve">Although post-2000 data was used to populate the </w:t>
      </w:r>
      <w:r w:rsidR="00C926FC" w:rsidRPr="00684DD8">
        <w:rPr>
          <w:szCs w:val="22"/>
        </w:rPr>
        <w:t>standard care</w:t>
      </w:r>
      <w:r w:rsidR="00843D54" w:rsidRPr="00684DD8">
        <w:rPr>
          <w:szCs w:val="22"/>
        </w:rPr>
        <w:t xml:space="preserve"> arm of the model, t</w:t>
      </w:r>
      <w:r w:rsidR="00451389" w:rsidRPr="00684DD8">
        <w:rPr>
          <w:szCs w:val="22"/>
        </w:rPr>
        <w:t>he ICER of $</w:t>
      </w:r>
      <w:r w:rsidR="00767FF2">
        <w:rPr>
          <w:szCs w:val="22"/>
        </w:rPr>
        <w:t>75,000 - $105,000/QALY</w:t>
      </w:r>
      <w:r w:rsidR="00451389" w:rsidRPr="00684DD8">
        <w:rPr>
          <w:szCs w:val="22"/>
        </w:rPr>
        <w:t xml:space="preserve"> </w:t>
      </w:r>
      <w:r w:rsidR="00843D54" w:rsidRPr="00684DD8">
        <w:rPr>
          <w:szCs w:val="22"/>
        </w:rPr>
        <w:t xml:space="preserve">remained </w:t>
      </w:r>
      <w:r w:rsidR="00451389" w:rsidRPr="00684DD8">
        <w:rPr>
          <w:szCs w:val="22"/>
        </w:rPr>
        <w:t xml:space="preserve">unreliable and </w:t>
      </w:r>
      <w:proofErr w:type="gramStart"/>
      <w:r w:rsidR="00843D54" w:rsidRPr="00684DD8">
        <w:rPr>
          <w:szCs w:val="22"/>
        </w:rPr>
        <w:t>was</w:t>
      </w:r>
      <w:proofErr w:type="gramEnd"/>
      <w:r w:rsidR="00843D54" w:rsidRPr="00684DD8">
        <w:rPr>
          <w:szCs w:val="22"/>
        </w:rPr>
        <w:t xml:space="preserve"> </w:t>
      </w:r>
      <w:r w:rsidR="00451389" w:rsidRPr="00684DD8">
        <w:rPr>
          <w:szCs w:val="22"/>
        </w:rPr>
        <w:t xml:space="preserve">likely to be optimistic as the issues </w:t>
      </w:r>
      <w:r w:rsidR="00843D54" w:rsidRPr="00684DD8">
        <w:rPr>
          <w:szCs w:val="22"/>
        </w:rPr>
        <w:t>surrounding costs of toxicity, costs of allogeneic HSCT and life expectancy post allogeneic HSCT were not addressed</w:t>
      </w:r>
      <w:r w:rsidR="00451389" w:rsidRPr="00684DD8">
        <w:rPr>
          <w:szCs w:val="22"/>
        </w:rPr>
        <w:t>.</w:t>
      </w:r>
    </w:p>
    <w:p w:rsidR="00CE65D8" w:rsidRPr="00684DD8" w:rsidRDefault="00CE65D8" w:rsidP="00CE65D8">
      <w:pPr>
        <w:widowControl/>
        <w:rPr>
          <w:szCs w:val="22"/>
        </w:rPr>
      </w:pPr>
    </w:p>
    <w:p w:rsidR="00962CCD" w:rsidRPr="00684DD8" w:rsidRDefault="00962CCD" w:rsidP="003C215E">
      <w:pPr>
        <w:pStyle w:val="Heading3"/>
      </w:pPr>
      <w:bookmarkStart w:id="42" w:name="_Toc450655489"/>
      <w:bookmarkStart w:id="43" w:name="_Toc450820748"/>
      <w:proofErr w:type="gramStart"/>
      <w:r w:rsidRPr="003C215E">
        <w:t>Drug cost/patient/treatment:</w:t>
      </w:r>
      <w:r w:rsidRPr="00684DD8">
        <w:t xml:space="preserve"> $</w:t>
      </w:r>
      <w:r w:rsidR="00D34A67">
        <w:rPr>
          <w:noProof/>
          <w:color w:val="000000"/>
          <w:highlight w:val="black"/>
        </w:rPr>
        <w:t>'''''''''''''''''</w:t>
      </w:r>
      <w:r w:rsidRPr="00684DD8">
        <w:t>.</w:t>
      </w:r>
      <w:bookmarkEnd w:id="42"/>
      <w:bookmarkEnd w:id="43"/>
      <w:proofErr w:type="gramEnd"/>
    </w:p>
    <w:p w:rsidR="00962CCD" w:rsidRPr="00684DD8" w:rsidRDefault="00962CCD" w:rsidP="00962CCD">
      <w:pPr>
        <w:widowControl/>
        <w:rPr>
          <w:szCs w:val="22"/>
        </w:rPr>
      </w:pPr>
    </w:p>
    <w:p w:rsidR="00962CCD" w:rsidRPr="00684DD8" w:rsidRDefault="003A692A" w:rsidP="008B4389">
      <w:pPr>
        <w:pStyle w:val="ListParagraph"/>
        <w:widowControl/>
        <w:numPr>
          <w:ilvl w:val="1"/>
          <w:numId w:val="1"/>
        </w:numPr>
        <w:rPr>
          <w:szCs w:val="22"/>
        </w:rPr>
      </w:pPr>
      <w:r w:rsidRPr="00684DD8">
        <w:rPr>
          <w:szCs w:val="22"/>
        </w:rPr>
        <w:t xml:space="preserve">The </w:t>
      </w:r>
      <w:r w:rsidR="00481C66" w:rsidRPr="00684DD8">
        <w:rPr>
          <w:szCs w:val="22"/>
        </w:rPr>
        <w:t>resubmission</w:t>
      </w:r>
      <w:r w:rsidRPr="00684DD8">
        <w:rPr>
          <w:szCs w:val="22"/>
        </w:rPr>
        <w:t xml:space="preserve"> estimated that </w:t>
      </w:r>
      <w:r w:rsidR="006F3064" w:rsidRPr="00684DD8">
        <w:rPr>
          <w:szCs w:val="22"/>
        </w:rPr>
        <w:t xml:space="preserve">the </w:t>
      </w:r>
      <w:r w:rsidRPr="00684DD8">
        <w:rPr>
          <w:szCs w:val="22"/>
        </w:rPr>
        <w:t xml:space="preserve">cost per </w:t>
      </w:r>
      <w:proofErr w:type="spellStart"/>
      <w:r w:rsidRPr="00684DD8">
        <w:rPr>
          <w:szCs w:val="22"/>
        </w:rPr>
        <w:t>blinatumomab</w:t>
      </w:r>
      <w:proofErr w:type="spellEnd"/>
      <w:r w:rsidRPr="00684DD8">
        <w:rPr>
          <w:szCs w:val="22"/>
        </w:rPr>
        <w:t xml:space="preserve"> treatment would be $</w:t>
      </w:r>
      <w:r w:rsidR="00D34A67">
        <w:rPr>
          <w:noProof/>
          <w:color w:val="000000"/>
          <w:szCs w:val="22"/>
          <w:highlight w:val="black"/>
        </w:rPr>
        <w:t>'''''''''''''''''</w:t>
      </w:r>
      <w:r w:rsidRPr="00684DD8">
        <w:rPr>
          <w:szCs w:val="22"/>
        </w:rPr>
        <w:t xml:space="preserve">, assuming an average total dose of </w:t>
      </w:r>
      <w:r w:rsidR="00D34A67">
        <w:rPr>
          <w:noProof/>
          <w:color w:val="000000"/>
          <w:szCs w:val="22"/>
          <w:highlight w:val="black"/>
        </w:rPr>
        <w:t>'''''''''''''''</w:t>
      </w:r>
      <w:r w:rsidR="0079023D" w:rsidRPr="00684DD8">
        <w:rPr>
          <w:szCs w:val="22"/>
        </w:rPr>
        <w:t> </w:t>
      </w:r>
      <w:r w:rsidRPr="00684DD8">
        <w:rPr>
          <w:szCs w:val="22"/>
        </w:rPr>
        <w:t xml:space="preserve">µg </w:t>
      </w:r>
      <w:r w:rsidR="007C45E9" w:rsidRPr="00684DD8">
        <w:rPr>
          <w:szCs w:val="22"/>
        </w:rPr>
        <w:t>(</w:t>
      </w:r>
      <w:r w:rsidR="00D34A67">
        <w:rPr>
          <w:noProof/>
          <w:color w:val="000000"/>
          <w:szCs w:val="22"/>
          <w:highlight w:val="black"/>
        </w:rPr>
        <w:t>''''''''''</w:t>
      </w:r>
      <w:r w:rsidRPr="00684DD8">
        <w:rPr>
          <w:szCs w:val="22"/>
        </w:rPr>
        <w:t xml:space="preserve"> cycles</w:t>
      </w:r>
      <w:r w:rsidR="007C45E9" w:rsidRPr="00684DD8">
        <w:rPr>
          <w:szCs w:val="22"/>
        </w:rPr>
        <w:t xml:space="preserve"> and </w:t>
      </w:r>
      <w:r w:rsidR="00D34A67">
        <w:rPr>
          <w:noProof/>
          <w:color w:val="000000"/>
          <w:szCs w:val="22"/>
          <w:highlight w:val="black"/>
        </w:rPr>
        <w:t>''''''</w:t>
      </w:r>
      <w:r w:rsidRPr="00684DD8">
        <w:rPr>
          <w:szCs w:val="22"/>
        </w:rPr>
        <w:t xml:space="preserve"> vials</w:t>
      </w:r>
      <w:r w:rsidR="007C45E9" w:rsidRPr="00684DD8">
        <w:rPr>
          <w:szCs w:val="22"/>
        </w:rPr>
        <w:t>)</w:t>
      </w:r>
      <w:r w:rsidRPr="00684DD8">
        <w:rPr>
          <w:szCs w:val="22"/>
        </w:rPr>
        <w:t>. The original submission estimated an average cost of treatment of $</w:t>
      </w:r>
      <w:r w:rsidR="00D34A67">
        <w:rPr>
          <w:noProof/>
          <w:color w:val="000000"/>
          <w:szCs w:val="22"/>
          <w:highlight w:val="black"/>
        </w:rPr>
        <w:t>'''''''''''''''''''''</w:t>
      </w:r>
      <w:r w:rsidRPr="00684DD8">
        <w:rPr>
          <w:szCs w:val="22"/>
        </w:rPr>
        <w:t>.</w:t>
      </w:r>
    </w:p>
    <w:p w:rsidR="003A692A" w:rsidRPr="00684DD8" w:rsidRDefault="003A692A" w:rsidP="003A692A">
      <w:pPr>
        <w:widowControl/>
        <w:rPr>
          <w:szCs w:val="22"/>
        </w:rPr>
      </w:pPr>
    </w:p>
    <w:p w:rsidR="00962CCD" w:rsidRPr="00684DD8" w:rsidRDefault="00F27C18" w:rsidP="008B4389">
      <w:pPr>
        <w:pStyle w:val="ListParagraph"/>
        <w:widowControl/>
        <w:numPr>
          <w:ilvl w:val="1"/>
          <w:numId w:val="1"/>
        </w:numPr>
        <w:rPr>
          <w:szCs w:val="22"/>
        </w:rPr>
      </w:pPr>
      <w:r w:rsidRPr="00684DD8">
        <w:rPr>
          <w:szCs w:val="22"/>
        </w:rPr>
        <w:t>It may be appropriate to limit use to</w:t>
      </w:r>
      <w:r w:rsidR="003A692A" w:rsidRPr="00684DD8">
        <w:rPr>
          <w:szCs w:val="22"/>
        </w:rPr>
        <w:t xml:space="preserve"> once per lifetime, as retreatment is not </w:t>
      </w:r>
      <w:r w:rsidR="00902131">
        <w:rPr>
          <w:szCs w:val="22"/>
        </w:rPr>
        <w:t xml:space="preserve">proven to be effective and not </w:t>
      </w:r>
      <w:r w:rsidR="003A692A" w:rsidRPr="00684DD8">
        <w:rPr>
          <w:szCs w:val="22"/>
        </w:rPr>
        <w:t xml:space="preserve">recommended in the National Comprehensive Cancer Network </w:t>
      </w:r>
      <w:r w:rsidR="003A692A" w:rsidRPr="00684DD8">
        <w:rPr>
          <w:szCs w:val="22"/>
        </w:rPr>
        <w:lastRenderedPageBreak/>
        <w:t>guidelines.</w:t>
      </w:r>
      <w:r w:rsidR="00451389" w:rsidRPr="00684DD8">
        <w:rPr>
          <w:szCs w:val="22"/>
        </w:rPr>
        <w:t xml:space="preserve"> In the TOWER </w:t>
      </w:r>
      <w:r w:rsidR="00BA2F88" w:rsidRPr="00684DD8">
        <w:rPr>
          <w:szCs w:val="22"/>
        </w:rPr>
        <w:t>t</w:t>
      </w:r>
      <w:r w:rsidR="00451389" w:rsidRPr="00684DD8">
        <w:rPr>
          <w:szCs w:val="22"/>
        </w:rPr>
        <w:t xml:space="preserve">rial, patients could have more than five cycles of </w:t>
      </w:r>
      <w:proofErr w:type="spellStart"/>
      <w:r w:rsidR="00451389" w:rsidRPr="00684DD8">
        <w:rPr>
          <w:szCs w:val="22"/>
        </w:rPr>
        <w:t>blinatumomab</w:t>
      </w:r>
      <w:proofErr w:type="spellEnd"/>
      <w:r w:rsidR="00902131">
        <w:rPr>
          <w:szCs w:val="22"/>
        </w:rPr>
        <w:t xml:space="preserve">, but the </w:t>
      </w:r>
      <w:r w:rsidR="003F0B16">
        <w:rPr>
          <w:szCs w:val="22"/>
        </w:rPr>
        <w:t>proposed listing indicates</w:t>
      </w:r>
      <w:r w:rsidR="00902131">
        <w:rPr>
          <w:szCs w:val="22"/>
        </w:rPr>
        <w:t xml:space="preserve"> a maximum of 5 cycles of therapy</w:t>
      </w:r>
      <w:r w:rsidR="001721A4">
        <w:rPr>
          <w:szCs w:val="22"/>
        </w:rPr>
        <w:t xml:space="preserve"> for PBS-subsidy</w:t>
      </w:r>
      <w:r w:rsidR="00451389" w:rsidRPr="00684DD8">
        <w:rPr>
          <w:szCs w:val="22"/>
        </w:rPr>
        <w:t>.</w:t>
      </w:r>
    </w:p>
    <w:p w:rsidR="00FE0C36" w:rsidRPr="00684DD8" w:rsidRDefault="00FE0C36" w:rsidP="00FE0C36">
      <w:pPr>
        <w:rPr>
          <w:szCs w:val="22"/>
        </w:rPr>
      </w:pPr>
    </w:p>
    <w:p w:rsidR="00FE0C36" w:rsidRPr="00684DD8" w:rsidRDefault="00FE0C36" w:rsidP="008B4389">
      <w:pPr>
        <w:pStyle w:val="ListParagraph"/>
        <w:widowControl/>
        <w:numPr>
          <w:ilvl w:val="1"/>
          <w:numId w:val="1"/>
        </w:numPr>
        <w:rPr>
          <w:szCs w:val="22"/>
        </w:rPr>
      </w:pPr>
      <w:r w:rsidRPr="00684DD8">
        <w:rPr>
          <w:szCs w:val="22"/>
        </w:rPr>
        <w:t xml:space="preserve">The ESC considered it likely in practice that patients who are unable to receive a transplant may remain on </w:t>
      </w:r>
      <w:proofErr w:type="spellStart"/>
      <w:r w:rsidRPr="00684DD8">
        <w:rPr>
          <w:szCs w:val="22"/>
        </w:rPr>
        <w:t>blinatumomab</w:t>
      </w:r>
      <w:proofErr w:type="spellEnd"/>
      <w:r w:rsidRPr="00684DD8">
        <w:rPr>
          <w:szCs w:val="22"/>
        </w:rPr>
        <w:t xml:space="preserve"> maintenance therapy for longer than five cycles</w:t>
      </w:r>
      <w:r w:rsidR="00560ABB" w:rsidRPr="00684DD8">
        <w:rPr>
          <w:szCs w:val="22"/>
        </w:rPr>
        <w:t xml:space="preserve"> (the maximum number of cycles specified in the Product Information)</w:t>
      </w:r>
      <w:r w:rsidRPr="00684DD8">
        <w:rPr>
          <w:szCs w:val="22"/>
        </w:rPr>
        <w:t>, increa</w:t>
      </w:r>
      <w:r w:rsidR="0079023D" w:rsidRPr="00684DD8">
        <w:rPr>
          <w:szCs w:val="22"/>
        </w:rPr>
        <w:t>sing the drug cost per patient.</w:t>
      </w:r>
    </w:p>
    <w:p w:rsidR="00962CCD" w:rsidRPr="00684DD8" w:rsidRDefault="00962CCD" w:rsidP="00962CCD">
      <w:pPr>
        <w:widowControl/>
        <w:rPr>
          <w:szCs w:val="22"/>
        </w:rPr>
      </w:pPr>
    </w:p>
    <w:p w:rsidR="003A692A" w:rsidRPr="00684DD8" w:rsidRDefault="003A692A" w:rsidP="003C215E">
      <w:pPr>
        <w:pStyle w:val="Heading4"/>
      </w:pPr>
      <w:bookmarkStart w:id="44" w:name="_Toc450655490"/>
      <w:bookmarkStart w:id="45" w:name="_Toc450820749"/>
      <w:r w:rsidRPr="00684DD8">
        <w:t>Estimated PBS usage &amp; financial implications</w:t>
      </w:r>
      <w:bookmarkEnd w:id="44"/>
      <w:bookmarkEnd w:id="45"/>
    </w:p>
    <w:p w:rsidR="003A692A" w:rsidRPr="00684DD8" w:rsidRDefault="003A692A" w:rsidP="0079023D">
      <w:pPr>
        <w:widowControl/>
        <w:rPr>
          <w:szCs w:val="22"/>
        </w:rPr>
      </w:pPr>
    </w:p>
    <w:p w:rsidR="008039E6" w:rsidRPr="00684DD8" w:rsidRDefault="003A692A" w:rsidP="008B4389">
      <w:pPr>
        <w:pStyle w:val="ListParagraph"/>
        <w:widowControl/>
        <w:numPr>
          <w:ilvl w:val="1"/>
          <w:numId w:val="1"/>
        </w:numPr>
        <w:rPr>
          <w:szCs w:val="22"/>
        </w:rPr>
      </w:pPr>
      <w:r w:rsidRPr="00684DD8">
        <w:rPr>
          <w:szCs w:val="22"/>
        </w:rPr>
        <w:t xml:space="preserve">This </w:t>
      </w:r>
      <w:r w:rsidR="00481C66" w:rsidRPr="00684DD8">
        <w:rPr>
          <w:szCs w:val="22"/>
        </w:rPr>
        <w:t>resubmission</w:t>
      </w:r>
      <w:r w:rsidRPr="00684DD8">
        <w:rPr>
          <w:szCs w:val="22"/>
        </w:rPr>
        <w:t xml:space="preserve"> </w:t>
      </w:r>
      <w:r w:rsidR="00875F60" w:rsidRPr="00684DD8">
        <w:rPr>
          <w:szCs w:val="22"/>
        </w:rPr>
        <w:t>was not</w:t>
      </w:r>
      <w:r w:rsidRPr="00684DD8">
        <w:rPr>
          <w:szCs w:val="22"/>
        </w:rPr>
        <w:t xml:space="preserve"> considered by DUSC. The </w:t>
      </w:r>
      <w:r w:rsidR="00481C66" w:rsidRPr="00684DD8">
        <w:rPr>
          <w:szCs w:val="22"/>
        </w:rPr>
        <w:t>resubmission</w:t>
      </w:r>
      <w:r w:rsidRPr="00684DD8">
        <w:rPr>
          <w:szCs w:val="22"/>
        </w:rPr>
        <w:t xml:space="preserve"> used the same epidemiological approach to estimate the extent of use of </w:t>
      </w:r>
      <w:proofErr w:type="spellStart"/>
      <w:r w:rsidRPr="00684DD8">
        <w:rPr>
          <w:szCs w:val="22"/>
        </w:rPr>
        <w:t>blinatumomab</w:t>
      </w:r>
      <w:proofErr w:type="spellEnd"/>
      <w:r w:rsidRPr="00684DD8">
        <w:rPr>
          <w:szCs w:val="22"/>
        </w:rPr>
        <w:t xml:space="preserve"> and the financial implications to the PBS/RPBS and </w:t>
      </w:r>
      <w:r w:rsidR="0079023D" w:rsidRPr="00684DD8">
        <w:rPr>
          <w:szCs w:val="22"/>
        </w:rPr>
        <w:t>MBS as the original submission.</w:t>
      </w:r>
    </w:p>
    <w:p w:rsidR="003A692A" w:rsidRPr="00684DD8" w:rsidRDefault="003A692A" w:rsidP="003A692A">
      <w:pPr>
        <w:widowControl/>
        <w:rPr>
          <w:szCs w:val="22"/>
        </w:rPr>
      </w:pPr>
    </w:p>
    <w:p w:rsidR="00962CCD" w:rsidRPr="00684DD8" w:rsidRDefault="003A692A" w:rsidP="008B4389">
      <w:pPr>
        <w:pStyle w:val="ListParagraph"/>
        <w:widowControl/>
        <w:numPr>
          <w:ilvl w:val="1"/>
          <w:numId w:val="1"/>
        </w:numPr>
        <w:rPr>
          <w:szCs w:val="22"/>
        </w:rPr>
      </w:pPr>
      <w:r w:rsidRPr="00684DD8">
        <w:rPr>
          <w:szCs w:val="22"/>
        </w:rPr>
        <w:t xml:space="preserve">The estimates were updated to account for </w:t>
      </w:r>
      <w:r w:rsidR="003C27B9" w:rsidRPr="00684DD8">
        <w:rPr>
          <w:szCs w:val="22"/>
        </w:rPr>
        <w:t>a 2.5% increase in the ALL incident population</w:t>
      </w:r>
      <w:r w:rsidRPr="00684DD8">
        <w:rPr>
          <w:szCs w:val="22"/>
        </w:rPr>
        <w:t>, the revised cost</w:t>
      </w:r>
      <w:r w:rsidR="00D862BA" w:rsidRPr="00684DD8">
        <w:rPr>
          <w:szCs w:val="22"/>
        </w:rPr>
        <w:t xml:space="preserve"> and</w:t>
      </w:r>
      <w:r w:rsidRPr="00684DD8">
        <w:rPr>
          <w:szCs w:val="22"/>
        </w:rPr>
        <w:t xml:space="preserve"> the efficient use of vials</w:t>
      </w:r>
      <w:r w:rsidR="00D862BA" w:rsidRPr="00684DD8">
        <w:rPr>
          <w:szCs w:val="22"/>
        </w:rPr>
        <w:t xml:space="preserve">. The </w:t>
      </w:r>
      <w:r w:rsidR="00481C66" w:rsidRPr="00684DD8">
        <w:rPr>
          <w:szCs w:val="22"/>
        </w:rPr>
        <w:t>resubmission</w:t>
      </w:r>
      <w:r w:rsidRPr="00684DD8">
        <w:rPr>
          <w:szCs w:val="22"/>
        </w:rPr>
        <w:t xml:space="preserve"> </w:t>
      </w:r>
      <w:r w:rsidR="00D862BA" w:rsidRPr="00684DD8">
        <w:rPr>
          <w:szCs w:val="22"/>
        </w:rPr>
        <w:t>included</w:t>
      </w:r>
      <w:r w:rsidRPr="00684DD8">
        <w:rPr>
          <w:szCs w:val="22"/>
        </w:rPr>
        <w:t xml:space="preserve"> costs associated with allogeneic HSCT.</w:t>
      </w:r>
    </w:p>
    <w:p w:rsidR="0079023D" w:rsidRPr="00684DD8" w:rsidRDefault="0079023D">
      <w:pPr>
        <w:widowControl/>
        <w:jc w:val="left"/>
        <w:rPr>
          <w:rStyle w:val="CommentReference"/>
          <w:rFonts w:ascii="Arial" w:hAnsi="Arial"/>
          <w:b w:val="0"/>
          <w:sz w:val="22"/>
          <w:szCs w:val="22"/>
        </w:rPr>
      </w:pPr>
      <w:bookmarkStart w:id="46" w:name="_Toc447807583"/>
      <w:bookmarkStart w:id="47" w:name="_Toc448733883"/>
      <w:bookmarkStart w:id="48" w:name="_Toc450291333"/>
      <w:bookmarkStart w:id="49" w:name="_Toc450655491"/>
    </w:p>
    <w:p w:rsidR="00734844" w:rsidRPr="00684DD8" w:rsidRDefault="00C85223" w:rsidP="00C85223">
      <w:pPr>
        <w:widowControl/>
        <w:jc w:val="left"/>
        <w:rPr>
          <w:rStyle w:val="CommentReference"/>
        </w:rPr>
      </w:pPr>
      <w:r w:rsidRPr="00684DD8">
        <w:rPr>
          <w:rStyle w:val="CommentReference"/>
        </w:rPr>
        <w:tab/>
      </w:r>
      <w:r w:rsidR="00734844" w:rsidRPr="00684DD8">
        <w:rPr>
          <w:rStyle w:val="CommentReference"/>
        </w:rPr>
        <w:t xml:space="preserve">Table </w:t>
      </w:r>
      <w:r w:rsidR="005E41A2" w:rsidRPr="00684DD8">
        <w:rPr>
          <w:rStyle w:val="CommentReference"/>
        </w:rPr>
        <w:t>1</w:t>
      </w:r>
      <w:r w:rsidR="00B408F1" w:rsidRPr="00684DD8">
        <w:rPr>
          <w:rStyle w:val="CommentReference"/>
        </w:rPr>
        <w:t>2</w:t>
      </w:r>
      <w:r w:rsidR="00734844" w:rsidRPr="00684DD8">
        <w:rPr>
          <w:rStyle w:val="CommentReference"/>
        </w:rPr>
        <w:t>: Estimated use and financial implications</w:t>
      </w:r>
      <w:bookmarkEnd w:id="46"/>
      <w:r w:rsidR="001B219C" w:rsidRPr="00684DD8">
        <w:rPr>
          <w:rStyle w:val="CommentReference"/>
        </w:rPr>
        <w:t xml:space="preserve"> of listing </w:t>
      </w:r>
      <w:proofErr w:type="spellStart"/>
      <w:r w:rsidR="001B219C" w:rsidRPr="00684DD8">
        <w:rPr>
          <w:rStyle w:val="CommentReference"/>
        </w:rPr>
        <w:t>blinatumomab</w:t>
      </w:r>
      <w:proofErr w:type="spellEnd"/>
      <w:r w:rsidR="001B219C" w:rsidRPr="00684DD8">
        <w:rPr>
          <w:rStyle w:val="CommentReference"/>
        </w:rPr>
        <w:t xml:space="preserve"> on the PBS/RPBS</w:t>
      </w:r>
      <w:bookmarkEnd w:id="47"/>
      <w:bookmarkEnd w:id="48"/>
      <w:bookmarkEnd w:id="49"/>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2"/>
        <w:gridCol w:w="1131"/>
        <w:gridCol w:w="1134"/>
        <w:gridCol w:w="1132"/>
        <w:gridCol w:w="1134"/>
        <w:gridCol w:w="1124"/>
      </w:tblGrid>
      <w:tr w:rsidR="00780826" w:rsidRPr="00684DD8" w:rsidTr="000C125E">
        <w:trPr>
          <w:cantSplit/>
          <w:tblHeader/>
        </w:trPr>
        <w:tc>
          <w:tcPr>
            <w:tcW w:w="1613" w:type="pct"/>
            <w:shd w:val="clear" w:color="auto" w:fill="auto"/>
            <w:vAlign w:val="center"/>
          </w:tcPr>
          <w:p w:rsidR="00734844" w:rsidRPr="00684DD8" w:rsidRDefault="00734844" w:rsidP="00C23581">
            <w:pPr>
              <w:keepNext/>
              <w:tabs>
                <w:tab w:val="left" w:pos="142"/>
              </w:tabs>
              <w:jc w:val="left"/>
              <w:rPr>
                <w:rFonts w:ascii="Arial Narrow" w:hAnsi="Arial Narrow"/>
                <w:b/>
                <w:sz w:val="20"/>
              </w:rPr>
            </w:pPr>
          </w:p>
        </w:tc>
        <w:tc>
          <w:tcPr>
            <w:tcW w:w="678" w:type="pct"/>
            <w:shd w:val="clear" w:color="auto" w:fill="auto"/>
            <w:vAlign w:val="center"/>
          </w:tcPr>
          <w:p w:rsidR="00734844" w:rsidRPr="00684DD8" w:rsidRDefault="00734844" w:rsidP="00C23581">
            <w:pPr>
              <w:keepNext/>
              <w:jc w:val="center"/>
              <w:rPr>
                <w:rFonts w:ascii="Arial Narrow" w:hAnsi="Arial Narrow"/>
                <w:b/>
                <w:sz w:val="20"/>
              </w:rPr>
            </w:pPr>
            <w:r w:rsidRPr="00684DD8">
              <w:rPr>
                <w:rFonts w:ascii="Arial Narrow" w:hAnsi="Arial Narrow"/>
                <w:b/>
                <w:sz w:val="20"/>
              </w:rPr>
              <w:t>Year 1</w:t>
            </w:r>
          </w:p>
        </w:tc>
        <w:tc>
          <w:tcPr>
            <w:tcW w:w="679" w:type="pct"/>
            <w:shd w:val="clear" w:color="auto" w:fill="auto"/>
            <w:vAlign w:val="center"/>
          </w:tcPr>
          <w:p w:rsidR="00734844" w:rsidRPr="00684DD8" w:rsidRDefault="00734844" w:rsidP="00C23581">
            <w:pPr>
              <w:keepNext/>
              <w:jc w:val="center"/>
              <w:rPr>
                <w:rFonts w:ascii="Arial Narrow" w:hAnsi="Arial Narrow"/>
                <w:b/>
                <w:sz w:val="20"/>
              </w:rPr>
            </w:pPr>
            <w:r w:rsidRPr="00684DD8">
              <w:rPr>
                <w:rFonts w:ascii="Arial Narrow" w:hAnsi="Arial Narrow"/>
                <w:b/>
                <w:sz w:val="20"/>
              </w:rPr>
              <w:t>Year 2</w:t>
            </w:r>
          </w:p>
        </w:tc>
        <w:tc>
          <w:tcPr>
            <w:tcW w:w="678" w:type="pct"/>
            <w:shd w:val="clear" w:color="auto" w:fill="auto"/>
            <w:vAlign w:val="center"/>
          </w:tcPr>
          <w:p w:rsidR="00734844" w:rsidRPr="00684DD8" w:rsidRDefault="00734844" w:rsidP="00C23581">
            <w:pPr>
              <w:keepNext/>
              <w:jc w:val="center"/>
              <w:rPr>
                <w:rFonts w:ascii="Arial Narrow" w:hAnsi="Arial Narrow"/>
                <w:b/>
                <w:sz w:val="20"/>
              </w:rPr>
            </w:pPr>
            <w:r w:rsidRPr="00684DD8">
              <w:rPr>
                <w:rFonts w:ascii="Arial Narrow" w:hAnsi="Arial Narrow"/>
                <w:b/>
                <w:sz w:val="20"/>
              </w:rPr>
              <w:t>Year 3</w:t>
            </w:r>
          </w:p>
        </w:tc>
        <w:tc>
          <w:tcPr>
            <w:tcW w:w="679" w:type="pct"/>
            <w:shd w:val="clear" w:color="auto" w:fill="auto"/>
            <w:vAlign w:val="center"/>
          </w:tcPr>
          <w:p w:rsidR="00734844" w:rsidRPr="00684DD8" w:rsidRDefault="00734844" w:rsidP="00C23581">
            <w:pPr>
              <w:keepNext/>
              <w:jc w:val="center"/>
              <w:rPr>
                <w:rFonts w:ascii="Arial Narrow" w:hAnsi="Arial Narrow"/>
                <w:b/>
                <w:sz w:val="20"/>
              </w:rPr>
            </w:pPr>
            <w:r w:rsidRPr="00684DD8">
              <w:rPr>
                <w:rFonts w:ascii="Arial Narrow" w:hAnsi="Arial Narrow"/>
                <w:b/>
                <w:sz w:val="20"/>
              </w:rPr>
              <w:t>Year 4</w:t>
            </w:r>
          </w:p>
        </w:tc>
        <w:tc>
          <w:tcPr>
            <w:tcW w:w="672" w:type="pct"/>
            <w:shd w:val="clear" w:color="auto" w:fill="auto"/>
            <w:vAlign w:val="center"/>
          </w:tcPr>
          <w:p w:rsidR="00734844" w:rsidRPr="00684DD8" w:rsidRDefault="00734844" w:rsidP="00C23581">
            <w:pPr>
              <w:keepNext/>
              <w:jc w:val="center"/>
              <w:rPr>
                <w:rFonts w:ascii="Arial Narrow" w:hAnsi="Arial Narrow"/>
                <w:b/>
                <w:sz w:val="20"/>
              </w:rPr>
            </w:pPr>
            <w:r w:rsidRPr="00684DD8">
              <w:rPr>
                <w:rFonts w:ascii="Arial Narrow" w:hAnsi="Arial Narrow"/>
                <w:b/>
                <w:sz w:val="20"/>
              </w:rPr>
              <w:t>Year 5</w:t>
            </w:r>
          </w:p>
        </w:tc>
      </w:tr>
      <w:tr w:rsidR="00780826" w:rsidRPr="00684DD8" w:rsidTr="00B73D6A">
        <w:trPr>
          <w:cantSplit/>
        </w:trPr>
        <w:tc>
          <w:tcPr>
            <w:tcW w:w="5000" w:type="pct"/>
            <w:gridSpan w:val="6"/>
            <w:shd w:val="clear" w:color="auto" w:fill="auto"/>
            <w:vAlign w:val="center"/>
          </w:tcPr>
          <w:p w:rsidR="00734844" w:rsidRPr="00684DD8" w:rsidRDefault="00734844" w:rsidP="00C23581">
            <w:pPr>
              <w:keepNext/>
              <w:jc w:val="left"/>
              <w:rPr>
                <w:rFonts w:ascii="Arial Narrow" w:hAnsi="Arial Narrow"/>
                <w:b/>
                <w:bCs/>
                <w:sz w:val="20"/>
              </w:rPr>
            </w:pPr>
            <w:r w:rsidRPr="00684DD8">
              <w:rPr>
                <w:rFonts w:ascii="Arial Narrow" w:hAnsi="Arial Narrow"/>
                <w:b/>
                <w:bCs/>
                <w:sz w:val="20"/>
              </w:rPr>
              <w:t>Estimated extent of use</w:t>
            </w:r>
          </w:p>
        </w:tc>
      </w:tr>
      <w:tr w:rsidR="00780826" w:rsidRPr="00684DD8" w:rsidTr="000C125E">
        <w:trPr>
          <w:cantSplit/>
        </w:trPr>
        <w:tc>
          <w:tcPr>
            <w:tcW w:w="1613" w:type="pct"/>
            <w:shd w:val="clear" w:color="auto" w:fill="auto"/>
            <w:vAlign w:val="center"/>
          </w:tcPr>
          <w:p w:rsidR="00734844" w:rsidRPr="00684DD8" w:rsidRDefault="00734844" w:rsidP="00C23581">
            <w:pPr>
              <w:keepNext/>
              <w:tabs>
                <w:tab w:val="left" w:pos="142"/>
              </w:tabs>
              <w:jc w:val="left"/>
              <w:rPr>
                <w:rFonts w:ascii="Arial Narrow" w:hAnsi="Arial Narrow"/>
                <w:sz w:val="20"/>
              </w:rPr>
            </w:pPr>
            <w:r w:rsidRPr="00684DD8">
              <w:rPr>
                <w:rFonts w:ascii="Arial Narrow" w:hAnsi="Arial Narrow"/>
                <w:sz w:val="20"/>
              </w:rPr>
              <w:t>Number treated</w:t>
            </w:r>
          </w:p>
        </w:tc>
        <w:tc>
          <w:tcPr>
            <w:tcW w:w="678"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780826" w:rsidRPr="00684DD8" w:rsidTr="000C125E">
        <w:trPr>
          <w:cantSplit/>
        </w:trPr>
        <w:tc>
          <w:tcPr>
            <w:tcW w:w="1613" w:type="pct"/>
            <w:shd w:val="clear" w:color="auto" w:fill="auto"/>
            <w:vAlign w:val="center"/>
          </w:tcPr>
          <w:p w:rsidR="00734844" w:rsidRPr="00684DD8" w:rsidRDefault="00734844" w:rsidP="00C23581">
            <w:pPr>
              <w:keepNext/>
              <w:tabs>
                <w:tab w:val="left" w:pos="142"/>
              </w:tabs>
              <w:jc w:val="left"/>
              <w:rPr>
                <w:rFonts w:ascii="Arial Narrow" w:hAnsi="Arial Narrow"/>
                <w:sz w:val="20"/>
              </w:rPr>
            </w:pPr>
            <w:r w:rsidRPr="00684DD8">
              <w:rPr>
                <w:rFonts w:ascii="Arial Narrow" w:hAnsi="Arial Narrow"/>
                <w:sz w:val="20"/>
              </w:rPr>
              <w:t xml:space="preserve">Vials </w:t>
            </w:r>
            <w:r w:rsidRPr="00684DD8">
              <w:rPr>
                <w:rFonts w:ascii="Arial Narrow" w:hAnsi="Arial Narrow"/>
                <w:sz w:val="20"/>
                <w:vertAlign w:val="superscript"/>
              </w:rPr>
              <w:t>a</w:t>
            </w:r>
          </w:p>
        </w:tc>
        <w:tc>
          <w:tcPr>
            <w:tcW w:w="678"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734844" w:rsidRPr="00D34A67" w:rsidRDefault="00D34A67" w:rsidP="00C23581">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780826" w:rsidRPr="00684DD8" w:rsidTr="00B73D6A">
        <w:trPr>
          <w:cantSplit/>
        </w:trPr>
        <w:tc>
          <w:tcPr>
            <w:tcW w:w="5000" w:type="pct"/>
            <w:gridSpan w:val="6"/>
            <w:shd w:val="clear" w:color="auto" w:fill="auto"/>
            <w:vAlign w:val="center"/>
          </w:tcPr>
          <w:p w:rsidR="00734844" w:rsidRPr="00684DD8" w:rsidRDefault="00734844" w:rsidP="00B73D6A">
            <w:pPr>
              <w:jc w:val="left"/>
              <w:rPr>
                <w:rFonts w:ascii="Arial Narrow" w:hAnsi="Arial Narrow"/>
                <w:b/>
                <w:bCs/>
                <w:sz w:val="20"/>
              </w:rPr>
            </w:pPr>
            <w:r w:rsidRPr="00684DD8">
              <w:rPr>
                <w:rFonts w:ascii="Arial Narrow" w:hAnsi="Arial Narrow"/>
                <w:b/>
                <w:bCs/>
                <w:sz w:val="20"/>
              </w:rPr>
              <w:t>Estimated net cost to PBS/RPBS/MBS</w:t>
            </w:r>
          </w:p>
        </w:tc>
      </w:tr>
      <w:tr w:rsidR="00780826" w:rsidRPr="00684DD8" w:rsidTr="000C125E">
        <w:trPr>
          <w:cantSplit/>
        </w:trPr>
        <w:tc>
          <w:tcPr>
            <w:tcW w:w="1613" w:type="pct"/>
            <w:shd w:val="clear" w:color="auto" w:fill="auto"/>
            <w:vAlign w:val="center"/>
          </w:tcPr>
          <w:p w:rsidR="00734844" w:rsidRPr="00684DD8" w:rsidRDefault="00734844" w:rsidP="00B73D6A">
            <w:pPr>
              <w:tabs>
                <w:tab w:val="left" w:pos="142"/>
              </w:tabs>
              <w:jc w:val="left"/>
              <w:rPr>
                <w:rFonts w:ascii="Arial Narrow" w:hAnsi="Arial Narrow"/>
                <w:sz w:val="20"/>
              </w:rPr>
            </w:pPr>
            <w:r w:rsidRPr="00684DD8">
              <w:rPr>
                <w:rFonts w:ascii="Arial Narrow" w:hAnsi="Arial Narrow"/>
                <w:sz w:val="19"/>
                <w:szCs w:val="19"/>
              </w:rPr>
              <w:t>Net cost to PBS/RPBS</w:t>
            </w:r>
          </w:p>
        </w:tc>
        <w:tc>
          <w:tcPr>
            <w:tcW w:w="678"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679"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678"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679"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672"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r>
      <w:tr w:rsidR="00780826" w:rsidRPr="00684DD8" w:rsidTr="000C125E">
        <w:trPr>
          <w:cantSplit/>
        </w:trPr>
        <w:tc>
          <w:tcPr>
            <w:tcW w:w="1613" w:type="pct"/>
            <w:shd w:val="clear" w:color="auto" w:fill="auto"/>
            <w:vAlign w:val="center"/>
          </w:tcPr>
          <w:p w:rsidR="00734844" w:rsidRPr="00684DD8" w:rsidRDefault="00734844" w:rsidP="00B73D6A">
            <w:pPr>
              <w:tabs>
                <w:tab w:val="left" w:pos="142"/>
              </w:tabs>
              <w:jc w:val="left"/>
              <w:rPr>
                <w:rFonts w:ascii="Arial Narrow" w:hAnsi="Arial Narrow"/>
                <w:sz w:val="20"/>
              </w:rPr>
            </w:pPr>
            <w:r w:rsidRPr="00684DD8">
              <w:rPr>
                <w:rFonts w:ascii="Arial Narrow" w:hAnsi="Arial Narrow"/>
                <w:sz w:val="19"/>
                <w:szCs w:val="19"/>
              </w:rPr>
              <w:t>Net cost to MBS</w:t>
            </w:r>
          </w:p>
        </w:tc>
        <w:tc>
          <w:tcPr>
            <w:tcW w:w="678" w:type="pct"/>
            <w:shd w:val="clear" w:color="auto" w:fill="auto"/>
            <w:vAlign w:val="bottom"/>
          </w:tcPr>
          <w:p w:rsidR="00734844" w:rsidRPr="00684DD8" w:rsidRDefault="0073484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679" w:type="pct"/>
            <w:shd w:val="clear" w:color="auto" w:fill="auto"/>
            <w:vAlign w:val="bottom"/>
          </w:tcPr>
          <w:p w:rsidR="00734844" w:rsidRPr="00684DD8" w:rsidRDefault="0073484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678" w:type="pct"/>
            <w:shd w:val="clear" w:color="auto" w:fill="auto"/>
            <w:vAlign w:val="bottom"/>
          </w:tcPr>
          <w:p w:rsidR="00734844" w:rsidRPr="00684DD8" w:rsidRDefault="0073484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679" w:type="pct"/>
            <w:shd w:val="clear" w:color="auto" w:fill="auto"/>
            <w:vAlign w:val="bottom"/>
          </w:tcPr>
          <w:p w:rsidR="00734844" w:rsidRPr="00684DD8" w:rsidRDefault="0073484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672" w:type="pct"/>
            <w:shd w:val="clear" w:color="auto" w:fill="auto"/>
            <w:vAlign w:val="bottom"/>
          </w:tcPr>
          <w:p w:rsidR="00734844" w:rsidRPr="00684DD8" w:rsidRDefault="0073484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r>
      <w:tr w:rsidR="00780826" w:rsidRPr="00684DD8" w:rsidTr="00B73D6A">
        <w:trPr>
          <w:cantSplit/>
        </w:trPr>
        <w:tc>
          <w:tcPr>
            <w:tcW w:w="5000" w:type="pct"/>
            <w:gridSpan w:val="6"/>
            <w:shd w:val="clear" w:color="auto" w:fill="auto"/>
            <w:vAlign w:val="center"/>
          </w:tcPr>
          <w:p w:rsidR="00734844" w:rsidRPr="00684DD8" w:rsidRDefault="00734844" w:rsidP="00B73D6A">
            <w:pPr>
              <w:jc w:val="left"/>
              <w:rPr>
                <w:rFonts w:ascii="Arial Narrow" w:hAnsi="Arial Narrow"/>
                <w:b/>
                <w:sz w:val="20"/>
              </w:rPr>
            </w:pPr>
            <w:r w:rsidRPr="00684DD8">
              <w:rPr>
                <w:rFonts w:ascii="Arial Narrow" w:hAnsi="Arial Narrow"/>
                <w:b/>
                <w:sz w:val="20"/>
              </w:rPr>
              <w:t>Estimated total net cost</w:t>
            </w:r>
          </w:p>
        </w:tc>
      </w:tr>
      <w:tr w:rsidR="00780826" w:rsidRPr="00684DD8" w:rsidTr="000C125E">
        <w:trPr>
          <w:cantSplit/>
        </w:trPr>
        <w:tc>
          <w:tcPr>
            <w:tcW w:w="1613" w:type="pct"/>
            <w:shd w:val="clear" w:color="auto" w:fill="auto"/>
            <w:vAlign w:val="center"/>
          </w:tcPr>
          <w:p w:rsidR="00734844" w:rsidRPr="00684DD8" w:rsidRDefault="00734844" w:rsidP="00B73D6A">
            <w:pPr>
              <w:tabs>
                <w:tab w:val="left" w:pos="142"/>
              </w:tabs>
              <w:jc w:val="left"/>
              <w:rPr>
                <w:rFonts w:ascii="Arial Narrow" w:hAnsi="Arial Narrow"/>
                <w:b/>
                <w:sz w:val="20"/>
              </w:rPr>
            </w:pPr>
            <w:r w:rsidRPr="00684DD8">
              <w:rPr>
                <w:rFonts w:ascii="Arial Narrow" w:hAnsi="Arial Narrow"/>
                <w:b/>
                <w:bCs/>
                <w:sz w:val="20"/>
              </w:rPr>
              <w:t>Net cost to PBS/RPBS/MBS</w:t>
            </w:r>
          </w:p>
        </w:tc>
        <w:tc>
          <w:tcPr>
            <w:tcW w:w="678"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679"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678"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679"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672" w:type="pct"/>
            <w:shd w:val="clear" w:color="auto" w:fill="auto"/>
            <w:vAlign w:val="center"/>
          </w:tcPr>
          <w:p w:rsidR="00734844" w:rsidRPr="00684DD8" w:rsidRDefault="00734844" w:rsidP="00B73D6A">
            <w:pPr>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r>
      <w:tr w:rsidR="00780826" w:rsidRPr="00684DD8" w:rsidTr="000C125E">
        <w:trPr>
          <w:cantSplit/>
        </w:trPr>
        <w:tc>
          <w:tcPr>
            <w:tcW w:w="1613" w:type="pct"/>
            <w:shd w:val="clear" w:color="auto" w:fill="auto"/>
            <w:vAlign w:val="center"/>
          </w:tcPr>
          <w:p w:rsidR="00175434" w:rsidRPr="00684DD8" w:rsidRDefault="00175434" w:rsidP="00B73D6A">
            <w:pPr>
              <w:tabs>
                <w:tab w:val="left" w:pos="142"/>
              </w:tabs>
              <w:jc w:val="left"/>
              <w:rPr>
                <w:rFonts w:ascii="Arial Narrow" w:hAnsi="Arial Narrow"/>
                <w:bCs/>
                <w:sz w:val="20"/>
              </w:rPr>
            </w:pPr>
            <w:r w:rsidRPr="00684DD8">
              <w:rPr>
                <w:rFonts w:ascii="Arial Narrow" w:hAnsi="Arial Narrow"/>
                <w:bCs/>
                <w:sz w:val="20"/>
              </w:rPr>
              <w:t>November 2015 submission</w:t>
            </w:r>
          </w:p>
        </w:tc>
        <w:tc>
          <w:tcPr>
            <w:tcW w:w="678" w:type="pct"/>
            <w:shd w:val="clear" w:color="auto" w:fill="auto"/>
            <w:vAlign w:val="center"/>
          </w:tcPr>
          <w:p w:rsidR="00175434" w:rsidRPr="00684DD8" w:rsidRDefault="0017543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679" w:type="pct"/>
            <w:shd w:val="clear" w:color="auto" w:fill="auto"/>
            <w:vAlign w:val="center"/>
          </w:tcPr>
          <w:p w:rsidR="00175434" w:rsidRPr="00684DD8" w:rsidRDefault="0017543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678" w:type="pct"/>
            <w:shd w:val="clear" w:color="auto" w:fill="auto"/>
            <w:vAlign w:val="center"/>
          </w:tcPr>
          <w:p w:rsidR="00175434" w:rsidRPr="00684DD8" w:rsidRDefault="0017543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679" w:type="pct"/>
            <w:shd w:val="clear" w:color="auto" w:fill="auto"/>
            <w:vAlign w:val="center"/>
          </w:tcPr>
          <w:p w:rsidR="00175434" w:rsidRPr="00684DD8" w:rsidRDefault="0017543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672" w:type="pct"/>
            <w:shd w:val="clear" w:color="auto" w:fill="auto"/>
            <w:vAlign w:val="center"/>
          </w:tcPr>
          <w:p w:rsidR="00175434" w:rsidRPr="00684DD8" w:rsidRDefault="00175434" w:rsidP="00B73D6A">
            <w:pPr>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r>
    </w:tbl>
    <w:p w:rsidR="00734844" w:rsidRPr="00684DD8" w:rsidRDefault="00734844" w:rsidP="004E61FC">
      <w:pPr>
        <w:pStyle w:val="PBACheading1"/>
        <w:ind w:left="720"/>
        <w:rPr>
          <w:rFonts w:ascii="Arial Narrow" w:hAnsi="Arial Narrow"/>
          <w:b w:val="0"/>
          <w:sz w:val="20"/>
          <w:szCs w:val="20"/>
        </w:rPr>
      </w:pPr>
      <w:bookmarkStart w:id="50" w:name="_Toc447807584"/>
      <w:bookmarkStart w:id="51" w:name="_Toc448733884"/>
      <w:bookmarkStart w:id="52" w:name="_Toc450291334"/>
      <w:bookmarkStart w:id="53" w:name="_Toc450655492"/>
      <w:r w:rsidRPr="00684DD8">
        <w:rPr>
          <w:rFonts w:ascii="Arial Narrow" w:hAnsi="Arial Narrow"/>
          <w:b w:val="0"/>
          <w:sz w:val="20"/>
          <w:szCs w:val="20"/>
        </w:rPr>
        <w:t>Source: Table E.2-4, p262; Table E.4-1, p263 of the submission</w:t>
      </w:r>
      <w:bookmarkEnd w:id="50"/>
      <w:bookmarkEnd w:id="51"/>
      <w:bookmarkEnd w:id="52"/>
      <w:bookmarkEnd w:id="53"/>
    </w:p>
    <w:p w:rsidR="00734844" w:rsidRPr="00684DD8" w:rsidDel="00A7566E" w:rsidRDefault="00734844" w:rsidP="004E61FC">
      <w:pPr>
        <w:pStyle w:val="PBACheading1"/>
        <w:ind w:left="720"/>
        <w:rPr>
          <w:rFonts w:ascii="Arial Narrow" w:hAnsi="Arial Narrow"/>
          <w:b w:val="0"/>
          <w:sz w:val="20"/>
          <w:szCs w:val="20"/>
        </w:rPr>
      </w:pPr>
      <w:bookmarkStart w:id="54" w:name="_Toc447807585"/>
      <w:bookmarkStart w:id="55" w:name="_Toc448733885"/>
      <w:bookmarkStart w:id="56" w:name="_Toc450291335"/>
      <w:bookmarkStart w:id="57" w:name="_Toc450655493"/>
      <w:r w:rsidRPr="00684DD8">
        <w:rPr>
          <w:rFonts w:ascii="Arial Narrow" w:hAnsi="Arial Narrow"/>
          <w:b w:val="0"/>
          <w:sz w:val="20"/>
          <w:szCs w:val="20"/>
        </w:rPr>
        <w:t>MBS = Medicare Benefits Schedule; PBS = Pharmaceutical Benefits Scheme; RPBS = Repatriation Pharmaceutical Benefits Scheme</w:t>
      </w:r>
      <w:bookmarkEnd w:id="54"/>
      <w:bookmarkEnd w:id="55"/>
      <w:bookmarkEnd w:id="56"/>
      <w:bookmarkEnd w:id="57"/>
    </w:p>
    <w:p w:rsidR="00734844" w:rsidRDefault="00734844" w:rsidP="004E61FC">
      <w:pPr>
        <w:pStyle w:val="PBACheading1"/>
        <w:ind w:left="720"/>
        <w:rPr>
          <w:rFonts w:ascii="Arial Narrow" w:hAnsi="Arial Narrow"/>
          <w:b w:val="0"/>
          <w:sz w:val="20"/>
          <w:szCs w:val="20"/>
        </w:rPr>
      </w:pPr>
      <w:bookmarkStart w:id="58" w:name="_Toc447807586"/>
      <w:bookmarkStart w:id="59" w:name="_Toc448733886"/>
      <w:bookmarkStart w:id="60" w:name="_Toc450291336"/>
      <w:bookmarkStart w:id="61" w:name="_Toc450655494"/>
      <w:proofErr w:type="spellStart"/>
      <w:proofErr w:type="gramStart"/>
      <w:r w:rsidRPr="00684DD8">
        <w:rPr>
          <w:rFonts w:ascii="Arial Narrow" w:hAnsi="Arial Narrow"/>
          <w:b w:val="0"/>
          <w:sz w:val="20"/>
          <w:szCs w:val="20"/>
          <w:vertAlign w:val="superscript"/>
        </w:rPr>
        <w:t>a</w:t>
      </w:r>
      <w:proofErr w:type="spellEnd"/>
      <w:proofErr w:type="gramEnd"/>
      <w:r w:rsidRPr="00684DD8">
        <w:rPr>
          <w:rFonts w:ascii="Arial Narrow" w:hAnsi="Arial Narrow"/>
          <w:b w:val="0"/>
          <w:sz w:val="20"/>
          <w:szCs w:val="20"/>
          <w:vertAlign w:val="superscript"/>
        </w:rPr>
        <w:t xml:space="preserve"> </w:t>
      </w:r>
      <w:r w:rsidRPr="00684DD8">
        <w:rPr>
          <w:rFonts w:ascii="Arial Narrow" w:hAnsi="Arial Narrow"/>
          <w:b w:val="0"/>
          <w:sz w:val="20"/>
          <w:szCs w:val="20"/>
        </w:rPr>
        <w:t xml:space="preserve">Assuming </w:t>
      </w:r>
      <w:r w:rsidR="00D34A67">
        <w:rPr>
          <w:rFonts w:ascii="Arial Narrow" w:hAnsi="Arial Narrow"/>
          <w:b w:val="0"/>
          <w:noProof/>
          <w:color w:val="000000"/>
          <w:sz w:val="20"/>
          <w:szCs w:val="20"/>
          <w:highlight w:val="black"/>
        </w:rPr>
        <w:t>'''''''</w:t>
      </w:r>
      <w:r w:rsidRPr="00684DD8">
        <w:rPr>
          <w:rFonts w:ascii="Arial Narrow" w:hAnsi="Arial Narrow"/>
          <w:b w:val="0"/>
          <w:sz w:val="20"/>
          <w:szCs w:val="20"/>
        </w:rPr>
        <w:t xml:space="preserve"> vials per treatment course</w:t>
      </w:r>
      <w:bookmarkEnd w:id="58"/>
      <w:bookmarkEnd w:id="59"/>
      <w:bookmarkEnd w:id="60"/>
      <w:bookmarkEnd w:id="61"/>
    </w:p>
    <w:p w:rsidR="004D69D2" w:rsidRDefault="004D69D2" w:rsidP="004E61FC">
      <w:pPr>
        <w:pStyle w:val="PBACheading1"/>
        <w:ind w:left="720"/>
        <w:rPr>
          <w:rFonts w:ascii="Arial Narrow" w:hAnsi="Arial Narrow"/>
          <w:b w:val="0"/>
          <w:sz w:val="20"/>
          <w:szCs w:val="20"/>
        </w:rPr>
      </w:pPr>
    </w:p>
    <w:p w:rsidR="004D69D2" w:rsidRPr="004D69D2" w:rsidRDefault="004D69D2" w:rsidP="004E61FC">
      <w:pPr>
        <w:pStyle w:val="PBACheading1"/>
        <w:ind w:left="720"/>
        <w:rPr>
          <w:b w:val="0"/>
        </w:rPr>
      </w:pPr>
      <w:r>
        <w:rPr>
          <w:b w:val="0"/>
        </w:rPr>
        <w:t>The redacted table shows that at year 5, the estimated number of patients would be less than 10,000 per year, and the net cost to the PBS would be less than $10 million per year.</w:t>
      </w:r>
    </w:p>
    <w:p w:rsidR="00433349" w:rsidRPr="00684DD8" w:rsidRDefault="00433349" w:rsidP="00433349">
      <w:pPr>
        <w:widowControl/>
        <w:rPr>
          <w:szCs w:val="22"/>
        </w:rPr>
      </w:pPr>
    </w:p>
    <w:p w:rsidR="00193267" w:rsidRPr="00684DD8" w:rsidRDefault="00193267" w:rsidP="008B4389">
      <w:pPr>
        <w:pStyle w:val="ListParagraph"/>
        <w:widowControl/>
        <w:numPr>
          <w:ilvl w:val="1"/>
          <w:numId w:val="1"/>
        </w:numPr>
        <w:rPr>
          <w:szCs w:val="22"/>
        </w:rPr>
      </w:pPr>
      <w:r w:rsidRPr="00684DD8">
        <w:t xml:space="preserve">As per the original submission, the resubmission </w:t>
      </w:r>
      <w:r w:rsidR="00236564" w:rsidRPr="00684DD8">
        <w:t>estimated</w:t>
      </w:r>
      <w:r w:rsidRPr="00684DD8">
        <w:t xml:space="preserve"> the proportion of patients cured after first-line treatment (39%) and the proportion that had an initial response followed by relapse (50%) from </w:t>
      </w:r>
      <w:proofErr w:type="spellStart"/>
      <w:r w:rsidRPr="00684DD8">
        <w:t>Oriol</w:t>
      </w:r>
      <w:proofErr w:type="spellEnd"/>
      <w:r w:rsidRPr="00684DD8">
        <w:t xml:space="preserve"> (2010). These were not correctly estimated; using corrected calculations, the proportion of patients cured after first-line treatment was 44% and the proportion who had an initial response followed by relapse was 45%. These values were considered in a sensitivity analysis</w:t>
      </w:r>
      <w:r w:rsidR="00FA222B" w:rsidRPr="00684DD8">
        <w:t xml:space="preserve"> in the evaluation</w:t>
      </w:r>
      <w:r w:rsidRPr="00684DD8">
        <w:t>.</w:t>
      </w:r>
    </w:p>
    <w:p w:rsidR="00433349" w:rsidRPr="00684DD8" w:rsidRDefault="00433349" w:rsidP="00433349">
      <w:pPr>
        <w:widowControl/>
        <w:rPr>
          <w:szCs w:val="22"/>
        </w:rPr>
      </w:pPr>
    </w:p>
    <w:p w:rsidR="00433349" w:rsidRPr="00684DD8" w:rsidRDefault="00433349" w:rsidP="008B4389">
      <w:pPr>
        <w:pStyle w:val="ListParagraph"/>
        <w:widowControl/>
        <w:numPr>
          <w:ilvl w:val="1"/>
          <w:numId w:val="1"/>
        </w:numPr>
        <w:rPr>
          <w:szCs w:val="22"/>
        </w:rPr>
      </w:pPr>
      <w:r w:rsidRPr="00684DD8">
        <w:t xml:space="preserve">The ESC considered that financial estimates might be underestimated due to patients unfit for transplant remaining on prolonged </w:t>
      </w:r>
      <w:proofErr w:type="spellStart"/>
      <w:r w:rsidRPr="00684DD8">
        <w:t>blinatumomab</w:t>
      </w:r>
      <w:proofErr w:type="spellEnd"/>
      <w:r w:rsidRPr="00684DD8">
        <w:t xml:space="preserve"> maintenance therapy and receiving more than </w:t>
      </w:r>
      <w:r w:rsidR="00D34A67">
        <w:rPr>
          <w:noProof/>
          <w:color w:val="000000"/>
          <w:highlight w:val="black"/>
        </w:rPr>
        <w:t>'''''''</w:t>
      </w:r>
      <w:r w:rsidRPr="00684DD8">
        <w:t xml:space="preserve"> vials. Furthermore, the ESC noted the possibility of </w:t>
      </w:r>
      <w:r w:rsidR="001721A4">
        <w:t>use</w:t>
      </w:r>
      <w:r w:rsidR="001721A4" w:rsidRPr="00684DD8">
        <w:t xml:space="preserve"> </w:t>
      </w:r>
      <w:r w:rsidRPr="00684DD8">
        <w:t xml:space="preserve">beyond estimated numbers of patients into older teenagers treated outside of paediatric centres. </w:t>
      </w:r>
    </w:p>
    <w:p w:rsidR="00433349" w:rsidRPr="00684DD8" w:rsidRDefault="00433349" w:rsidP="00433349">
      <w:pPr>
        <w:widowControl/>
        <w:rPr>
          <w:szCs w:val="22"/>
        </w:rPr>
      </w:pPr>
    </w:p>
    <w:p w:rsidR="00433349" w:rsidRPr="00684DD8" w:rsidRDefault="00433349" w:rsidP="008B4389">
      <w:pPr>
        <w:pStyle w:val="ListParagraph"/>
        <w:widowControl/>
        <w:numPr>
          <w:ilvl w:val="1"/>
          <w:numId w:val="1"/>
        </w:numPr>
      </w:pPr>
      <w:r w:rsidRPr="00684DD8">
        <w:lastRenderedPageBreak/>
        <w:t>Despite the addition of some allogen</w:t>
      </w:r>
      <w:r w:rsidR="00236564" w:rsidRPr="00684DD8">
        <w:t>e</w:t>
      </w:r>
      <w:r w:rsidRPr="00684DD8">
        <w:t>ic HSCT costs, the usage and financial implication estimates remained uncertain, due to:</w:t>
      </w:r>
    </w:p>
    <w:p w:rsidR="00433349" w:rsidRPr="00684DD8" w:rsidRDefault="00433349" w:rsidP="00433349">
      <w:pPr>
        <w:pStyle w:val="ListParagraph"/>
        <w:numPr>
          <w:ilvl w:val="0"/>
          <w:numId w:val="16"/>
        </w:numPr>
      </w:pPr>
      <w:r w:rsidRPr="00684DD8">
        <w:t xml:space="preserve">Potential differences between the estimated number of patients with relapsed or refractory </w:t>
      </w:r>
      <w:r w:rsidR="00684DD8">
        <w:t>Ph-</w:t>
      </w:r>
      <w:r w:rsidRPr="00684DD8">
        <w:t xml:space="preserve"> B-precursor </w:t>
      </w:r>
      <w:r w:rsidR="00684DD8">
        <w:t>ALL</w:t>
      </w:r>
      <w:r w:rsidRPr="00684DD8">
        <w:t xml:space="preserve"> and the actual number of patients in the Australian population, particularly in the older adolescent and young adult age group; and</w:t>
      </w:r>
    </w:p>
    <w:p w:rsidR="00433349" w:rsidRPr="00684DD8" w:rsidRDefault="00433349" w:rsidP="00433349">
      <w:pPr>
        <w:pStyle w:val="ListParagraph"/>
        <w:widowControl/>
        <w:numPr>
          <w:ilvl w:val="0"/>
          <w:numId w:val="16"/>
        </w:numPr>
        <w:rPr>
          <w:szCs w:val="22"/>
        </w:rPr>
      </w:pPr>
      <w:r w:rsidRPr="00684DD8">
        <w:t xml:space="preserve">The assumption in the submission that </w:t>
      </w:r>
      <w:r w:rsidR="00684DD8" w:rsidRPr="00684DD8">
        <w:t xml:space="preserve">the PBS would fund all inpatient </w:t>
      </w:r>
      <w:proofErr w:type="spellStart"/>
      <w:r w:rsidR="00684DD8" w:rsidRPr="00684DD8">
        <w:t>blinatumomab</w:t>
      </w:r>
      <w:proofErr w:type="spellEnd"/>
      <w:r w:rsidR="0079023D" w:rsidRPr="00684DD8">
        <w:t>.</w:t>
      </w:r>
    </w:p>
    <w:p w:rsidR="00193267" w:rsidRPr="00684DD8" w:rsidRDefault="00193267" w:rsidP="00433349"/>
    <w:p w:rsidR="00193267" w:rsidRPr="00684DD8" w:rsidRDefault="00193267" w:rsidP="008B4389">
      <w:pPr>
        <w:pStyle w:val="ListParagraph"/>
        <w:widowControl/>
        <w:numPr>
          <w:ilvl w:val="1"/>
          <w:numId w:val="1"/>
        </w:numPr>
        <w:rPr>
          <w:szCs w:val="22"/>
        </w:rPr>
      </w:pPr>
      <w:r w:rsidRPr="00684DD8">
        <w:t>The costs of allogeneic HSCT and its follow-up were not consistent between Section</w:t>
      </w:r>
      <w:r w:rsidR="0079023D" w:rsidRPr="00684DD8">
        <w:t>s D and E of the resubmission.</w:t>
      </w:r>
    </w:p>
    <w:p w:rsidR="00193267" w:rsidRPr="00684DD8" w:rsidRDefault="00193267" w:rsidP="0079023D">
      <w:pPr>
        <w:pStyle w:val="PBACheading1"/>
        <w:rPr>
          <w:b w:val="0"/>
        </w:rPr>
      </w:pPr>
    </w:p>
    <w:p w:rsidR="00193267" w:rsidRPr="00684DD8" w:rsidRDefault="00193267" w:rsidP="00193267">
      <w:pPr>
        <w:pStyle w:val="PBACheading1"/>
        <w:ind w:left="720"/>
        <w:rPr>
          <w:rFonts w:ascii="Arial Narrow" w:hAnsi="Arial Narrow"/>
          <w:sz w:val="20"/>
          <w:szCs w:val="20"/>
        </w:rPr>
      </w:pPr>
      <w:r w:rsidRPr="00684DD8">
        <w:rPr>
          <w:rFonts w:ascii="Arial Narrow" w:hAnsi="Arial Narrow"/>
          <w:sz w:val="20"/>
          <w:szCs w:val="20"/>
        </w:rPr>
        <w:t>Table 13: Cost of allogeneic HSCT and follow-up treatment used in the resubmission</w:t>
      </w:r>
    </w:p>
    <w:tbl>
      <w:tblPr>
        <w:tblStyle w:val="TableGrid"/>
        <w:tblW w:w="0" w:type="auto"/>
        <w:tblInd w:w="737" w:type="dxa"/>
        <w:tblLook w:val="04A0" w:firstRow="1" w:lastRow="0" w:firstColumn="1" w:lastColumn="0" w:noHBand="0" w:noVBand="1"/>
      </w:tblPr>
      <w:tblGrid>
        <w:gridCol w:w="2219"/>
        <w:gridCol w:w="3168"/>
        <w:gridCol w:w="2959"/>
      </w:tblGrid>
      <w:tr w:rsidR="00193267" w:rsidRPr="00684DD8" w:rsidTr="00707E69">
        <w:tc>
          <w:tcPr>
            <w:tcW w:w="2219" w:type="dxa"/>
            <w:tcMar>
              <w:left w:w="28" w:type="dxa"/>
              <w:right w:w="28" w:type="dxa"/>
            </w:tcMar>
          </w:tcPr>
          <w:p w:rsidR="00193267" w:rsidRPr="00684DD8" w:rsidRDefault="00193267" w:rsidP="00707E69">
            <w:pPr>
              <w:rPr>
                <w:rFonts w:ascii="Arial Narrow" w:hAnsi="Arial Narrow"/>
                <w:sz w:val="20"/>
              </w:rPr>
            </w:pPr>
          </w:p>
        </w:tc>
        <w:tc>
          <w:tcPr>
            <w:tcW w:w="3168" w:type="dxa"/>
            <w:tcMar>
              <w:left w:w="28" w:type="dxa"/>
              <w:right w:w="28" w:type="dxa"/>
            </w:tcMar>
          </w:tcPr>
          <w:p w:rsidR="00193267" w:rsidRPr="00684DD8" w:rsidRDefault="00193267" w:rsidP="00707E69">
            <w:pPr>
              <w:jc w:val="center"/>
              <w:rPr>
                <w:rFonts w:ascii="Arial Narrow" w:hAnsi="Arial Narrow"/>
                <w:b/>
                <w:sz w:val="20"/>
              </w:rPr>
            </w:pPr>
            <w:r w:rsidRPr="00684DD8">
              <w:rPr>
                <w:rFonts w:ascii="Arial Narrow" w:hAnsi="Arial Narrow"/>
                <w:b/>
                <w:sz w:val="20"/>
              </w:rPr>
              <w:t>Section D</w:t>
            </w:r>
          </w:p>
        </w:tc>
        <w:tc>
          <w:tcPr>
            <w:tcW w:w="2959" w:type="dxa"/>
            <w:tcMar>
              <w:left w:w="28" w:type="dxa"/>
              <w:right w:w="28" w:type="dxa"/>
            </w:tcMar>
          </w:tcPr>
          <w:p w:rsidR="00193267" w:rsidRPr="00684DD8" w:rsidRDefault="00193267" w:rsidP="00707E69">
            <w:pPr>
              <w:jc w:val="center"/>
              <w:rPr>
                <w:rFonts w:ascii="Arial Narrow" w:hAnsi="Arial Narrow"/>
                <w:b/>
                <w:sz w:val="20"/>
              </w:rPr>
            </w:pPr>
            <w:r w:rsidRPr="00684DD8">
              <w:rPr>
                <w:rFonts w:ascii="Arial Narrow" w:hAnsi="Arial Narrow"/>
                <w:b/>
                <w:sz w:val="20"/>
              </w:rPr>
              <w:t>Section E</w:t>
            </w:r>
          </w:p>
        </w:tc>
      </w:tr>
      <w:tr w:rsidR="00193267" w:rsidRPr="00684DD8" w:rsidTr="00707E69">
        <w:tc>
          <w:tcPr>
            <w:tcW w:w="2219" w:type="dxa"/>
            <w:tcMar>
              <w:left w:w="28" w:type="dxa"/>
              <w:right w:w="28" w:type="dxa"/>
            </w:tcMar>
          </w:tcPr>
          <w:p w:rsidR="00193267" w:rsidRPr="00684DD8" w:rsidRDefault="00193267" w:rsidP="00707E69">
            <w:pPr>
              <w:rPr>
                <w:rFonts w:ascii="Arial Narrow" w:hAnsi="Arial Narrow"/>
                <w:sz w:val="20"/>
              </w:rPr>
            </w:pPr>
            <w:r w:rsidRPr="00684DD8">
              <w:rPr>
                <w:rFonts w:ascii="Arial Narrow" w:hAnsi="Arial Narrow"/>
                <w:sz w:val="20"/>
              </w:rPr>
              <w:t>Cost of allogeneic HSCT</w:t>
            </w:r>
          </w:p>
        </w:tc>
        <w:tc>
          <w:tcPr>
            <w:tcW w:w="3168" w:type="dxa"/>
            <w:tcMar>
              <w:left w:w="28" w:type="dxa"/>
              <w:right w:w="28" w:type="dxa"/>
            </w:tcMar>
          </w:tcPr>
          <w:p w:rsidR="00193267" w:rsidRPr="00684DD8" w:rsidRDefault="00193267" w:rsidP="00707E69">
            <w:pPr>
              <w:jc w:val="center"/>
              <w:rPr>
                <w:rFonts w:ascii="Arial Narrow" w:hAnsi="Arial Narrow"/>
                <w:sz w:val="20"/>
              </w:rPr>
            </w:pPr>
            <w:r w:rsidRPr="00684DD8">
              <w:rPr>
                <w:rFonts w:ascii="Arial Narrow" w:hAnsi="Arial Narrow"/>
                <w:sz w:val="20"/>
              </w:rPr>
              <w:t>$96,336</w:t>
            </w:r>
          </w:p>
        </w:tc>
        <w:tc>
          <w:tcPr>
            <w:tcW w:w="2959" w:type="dxa"/>
            <w:tcMar>
              <w:left w:w="28" w:type="dxa"/>
              <w:right w:w="28" w:type="dxa"/>
            </w:tcMar>
          </w:tcPr>
          <w:p w:rsidR="00193267" w:rsidRPr="00684DD8" w:rsidRDefault="00193267" w:rsidP="00707E69">
            <w:pPr>
              <w:jc w:val="center"/>
              <w:rPr>
                <w:rFonts w:ascii="Arial Narrow" w:hAnsi="Arial Narrow"/>
                <w:sz w:val="20"/>
              </w:rPr>
            </w:pPr>
            <w:r w:rsidRPr="00684DD8">
              <w:rPr>
                <w:rFonts w:ascii="Arial Narrow" w:hAnsi="Arial Narrow"/>
                <w:sz w:val="20"/>
              </w:rPr>
              <w:t>$78,202.28</w:t>
            </w:r>
          </w:p>
        </w:tc>
      </w:tr>
      <w:tr w:rsidR="00193267" w:rsidRPr="00684DD8" w:rsidTr="00707E69">
        <w:tc>
          <w:tcPr>
            <w:tcW w:w="2219" w:type="dxa"/>
            <w:tcMar>
              <w:left w:w="28" w:type="dxa"/>
              <w:right w:w="28" w:type="dxa"/>
            </w:tcMar>
            <w:vAlign w:val="center"/>
          </w:tcPr>
          <w:p w:rsidR="00193267" w:rsidRPr="00684DD8" w:rsidRDefault="00193267" w:rsidP="00707E69">
            <w:pPr>
              <w:jc w:val="left"/>
              <w:rPr>
                <w:rFonts w:ascii="Arial Narrow" w:hAnsi="Arial Narrow"/>
                <w:sz w:val="20"/>
              </w:rPr>
            </w:pPr>
            <w:r w:rsidRPr="00684DD8">
              <w:rPr>
                <w:rFonts w:ascii="Arial Narrow" w:hAnsi="Arial Narrow"/>
                <w:sz w:val="20"/>
              </w:rPr>
              <w:t>Cost of follow-up</w:t>
            </w:r>
          </w:p>
        </w:tc>
        <w:tc>
          <w:tcPr>
            <w:tcW w:w="3168" w:type="dxa"/>
            <w:tcMar>
              <w:left w:w="28" w:type="dxa"/>
              <w:right w:w="28" w:type="dxa"/>
            </w:tcMar>
          </w:tcPr>
          <w:p w:rsidR="00193267" w:rsidRPr="00684DD8" w:rsidRDefault="00193267" w:rsidP="00707E69">
            <w:pPr>
              <w:jc w:val="center"/>
              <w:rPr>
                <w:rFonts w:ascii="Arial Narrow" w:hAnsi="Arial Narrow"/>
                <w:sz w:val="20"/>
              </w:rPr>
            </w:pPr>
            <w:r w:rsidRPr="00684DD8">
              <w:rPr>
                <w:rFonts w:ascii="Arial Narrow" w:hAnsi="Arial Narrow"/>
                <w:sz w:val="20"/>
              </w:rPr>
              <w:t>0-6 months: $64,180</w:t>
            </w:r>
          </w:p>
          <w:p w:rsidR="00193267" w:rsidRPr="00684DD8" w:rsidRDefault="00193267" w:rsidP="00707E69">
            <w:pPr>
              <w:jc w:val="center"/>
              <w:rPr>
                <w:rFonts w:ascii="Arial Narrow" w:hAnsi="Arial Narrow"/>
                <w:sz w:val="20"/>
              </w:rPr>
            </w:pPr>
            <w:r w:rsidRPr="00684DD8">
              <w:rPr>
                <w:rFonts w:ascii="Arial Narrow" w:hAnsi="Arial Narrow"/>
                <w:sz w:val="20"/>
              </w:rPr>
              <w:t>7-12 months: $20,873</w:t>
            </w:r>
          </w:p>
          <w:p w:rsidR="00193267" w:rsidRPr="00684DD8" w:rsidRDefault="00193267" w:rsidP="00707E69">
            <w:pPr>
              <w:jc w:val="center"/>
              <w:rPr>
                <w:rFonts w:ascii="Arial Narrow" w:hAnsi="Arial Narrow"/>
                <w:sz w:val="20"/>
              </w:rPr>
            </w:pPr>
            <w:r w:rsidRPr="00684DD8">
              <w:rPr>
                <w:rFonts w:ascii="Arial Narrow" w:hAnsi="Arial Narrow"/>
                <w:sz w:val="20"/>
              </w:rPr>
              <w:t>13-24 months: $9,728</w:t>
            </w:r>
          </w:p>
          <w:p w:rsidR="00193267" w:rsidRPr="00684DD8" w:rsidRDefault="00193267" w:rsidP="000E14EC">
            <w:pPr>
              <w:jc w:val="center"/>
              <w:rPr>
                <w:rFonts w:ascii="Arial Narrow" w:hAnsi="Arial Narrow"/>
                <w:sz w:val="20"/>
              </w:rPr>
            </w:pPr>
            <w:r w:rsidRPr="00684DD8">
              <w:rPr>
                <w:rFonts w:ascii="Arial Narrow" w:hAnsi="Arial Narrow"/>
                <w:sz w:val="20"/>
              </w:rPr>
              <w:t>≥ 25 months: $ 1,944/year</w:t>
            </w:r>
          </w:p>
        </w:tc>
        <w:tc>
          <w:tcPr>
            <w:tcW w:w="2959" w:type="dxa"/>
            <w:tcMar>
              <w:left w:w="28" w:type="dxa"/>
              <w:right w:w="28" w:type="dxa"/>
            </w:tcMar>
            <w:vAlign w:val="center"/>
          </w:tcPr>
          <w:p w:rsidR="00193267" w:rsidRPr="00684DD8" w:rsidRDefault="00193267" w:rsidP="00707E69">
            <w:pPr>
              <w:jc w:val="center"/>
              <w:rPr>
                <w:rFonts w:ascii="Arial Narrow" w:hAnsi="Arial Narrow"/>
                <w:sz w:val="20"/>
              </w:rPr>
            </w:pPr>
            <w:r w:rsidRPr="00684DD8">
              <w:rPr>
                <w:rFonts w:ascii="Arial Narrow" w:hAnsi="Arial Narrow"/>
                <w:sz w:val="20"/>
              </w:rPr>
              <w:t>$1,944</w:t>
            </w:r>
          </w:p>
        </w:tc>
      </w:tr>
    </w:tbl>
    <w:p w:rsidR="00193267" w:rsidRPr="00684DD8" w:rsidRDefault="00193267" w:rsidP="00193267">
      <w:pPr>
        <w:pStyle w:val="PBACheading1"/>
        <w:ind w:left="720"/>
        <w:rPr>
          <w:rFonts w:ascii="Arial Narrow" w:hAnsi="Arial Narrow"/>
          <w:b w:val="0"/>
          <w:sz w:val="18"/>
          <w:szCs w:val="20"/>
        </w:rPr>
      </w:pPr>
      <w:r w:rsidRPr="00684DD8">
        <w:rPr>
          <w:rFonts w:ascii="Arial Narrow" w:hAnsi="Arial Narrow"/>
          <w:b w:val="0"/>
          <w:sz w:val="18"/>
          <w:szCs w:val="20"/>
        </w:rPr>
        <w:t>Source: Compiled during evaluation</w:t>
      </w:r>
    </w:p>
    <w:p w:rsidR="00193267" w:rsidRPr="00684DD8" w:rsidRDefault="00193267" w:rsidP="00193267">
      <w:pPr>
        <w:pStyle w:val="PBACheading1"/>
        <w:ind w:firstLine="720"/>
        <w:rPr>
          <w:rFonts w:ascii="Arial Narrow" w:hAnsi="Arial Narrow"/>
          <w:b w:val="0"/>
          <w:sz w:val="18"/>
          <w:szCs w:val="20"/>
        </w:rPr>
      </w:pPr>
      <w:r w:rsidRPr="00684DD8">
        <w:rPr>
          <w:rFonts w:ascii="Arial Narrow" w:hAnsi="Arial Narrow"/>
          <w:b w:val="0"/>
          <w:sz w:val="18"/>
          <w:szCs w:val="20"/>
        </w:rPr>
        <w:t>HSCT = haematopoietic stem cell transplant</w:t>
      </w:r>
    </w:p>
    <w:p w:rsidR="00193267" w:rsidRPr="00684DD8" w:rsidRDefault="00193267" w:rsidP="0079023D">
      <w:pPr>
        <w:pStyle w:val="PBACheading1"/>
        <w:ind w:left="720" w:hanging="720"/>
        <w:rPr>
          <w:b w:val="0"/>
        </w:rPr>
      </w:pPr>
    </w:p>
    <w:p w:rsidR="00193267" w:rsidRPr="00684DD8" w:rsidRDefault="00193267" w:rsidP="008B4389">
      <w:pPr>
        <w:pStyle w:val="ListParagraph"/>
        <w:widowControl/>
        <w:numPr>
          <w:ilvl w:val="1"/>
          <w:numId w:val="1"/>
        </w:numPr>
      </w:pPr>
      <w:r w:rsidRPr="00684DD8">
        <w:t xml:space="preserve">The costs used in Section D of the </w:t>
      </w:r>
      <w:r w:rsidR="00BF0A18" w:rsidRPr="00684DD8">
        <w:t>re</w:t>
      </w:r>
      <w:r w:rsidRPr="00684DD8">
        <w:t>submission for allogeneic HSCT and its follow up treatment were based on the UK Stem Cell Strategic Forum estimates. The total cost of allogeneic HSCT included: (</w:t>
      </w:r>
      <w:proofErr w:type="spellStart"/>
      <w:r w:rsidRPr="00684DD8">
        <w:t>i</w:t>
      </w:r>
      <w:proofErr w:type="spellEnd"/>
      <w:r w:rsidRPr="00684DD8">
        <w:t xml:space="preserve">) the cost of pre-transplantation screening (6%; $5,780); (ii) donor costs (26%; $25,047); and (iii) the recipient’s HSCT procedure (69%; $66,186). In Section </w:t>
      </w:r>
      <w:r w:rsidR="00684DD8" w:rsidRPr="00684DD8">
        <w:t>E,</w:t>
      </w:r>
      <w:r w:rsidRPr="00684DD8">
        <w:t xml:space="preserve"> the cost of allogeneic HSCT was based on the A</w:t>
      </w:r>
      <w:r w:rsidR="00684DD8">
        <w:t>R-DRG</w:t>
      </w:r>
      <w:r w:rsidRPr="00684DD8">
        <w:t xml:space="preserve"> cost for allogenic transplant in patients older than 17 years ($78,202). The resubmission stated that this cost was similar to the UK cost of procedure. The cost of follow up treatment in Section E ($1,944) was the cost to the PBS of</w:t>
      </w:r>
      <w:r w:rsidR="0079023D" w:rsidRPr="00684DD8">
        <w:t xml:space="preserve"> outpatient </w:t>
      </w:r>
      <w:proofErr w:type="spellStart"/>
      <w:r w:rsidR="0079023D" w:rsidRPr="00684DD8">
        <w:t>cyclosporin</w:t>
      </w:r>
      <w:proofErr w:type="spellEnd"/>
      <w:r w:rsidR="0079023D" w:rsidRPr="00684DD8">
        <w:t xml:space="preserve"> (2 x 50 </w:t>
      </w:r>
      <w:r w:rsidRPr="00684DD8">
        <w:t>mg capsules daily). When compared to Section D, the costs used in Section E migh</w:t>
      </w:r>
      <w:r w:rsidR="0079023D" w:rsidRPr="00684DD8">
        <w:t>t have been underestimated.</w:t>
      </w:r>
    </w:p>
    <w:p w:rsidR="003A692A" w:rsidRPr="00684DD8" w:rsidRDefault="003A692A" w:rsidP="003A692A">
      <w:pPr>
        <w:rPr>
          <w:szCs w:val="22"/>
        </w:rPr>
      </w:pPr>
    </w:p>
    <w:p w:rsidR="00962CCD" w:rsidRPr="00684DD8" w:rsidRDefault="00D862BA" w:rsidP="008B4389">
      <w:pPr>
        <w:pStyle w:val="ListParagraph"/>
        <w:widowControl/>
        <w:numPr>
          <w:ilvl w:val="1"/>
          <w:numId w:val="1"/>
        </w:numPr>
        <w:rPr>
          <w:szCs w:val="22"/>
        </w:rPr>
      </w:pPr>
      <w:r w:rsidRPr="00684DD8">
        <w:rPr>
          <w:szCs w:val="22"/>
        </w:rPr>
        <w:t xml:space="preserve">The PBAC </w:t>
      </w:r>
      <w:r w:rsidR="00FB3FDC" w:rsidRPr="00684DD8">
        <w:rPr>
          <w:szCs w:val="22"/>
        </w:rPr>
        <w:t xml:space="preserve">previously </w:t>
      </w:r>
      <w:r w:rsidRPr="00684DD8">
        <w:rPr>
          <w:szCs w:val="22"/>
        </w:rPr>
        <w:t xml:space="preserve">considered that the </w:t>
      </w:r>
      <w:r w:rsidR="00175434" w:rsidRPr="00684DD8">
        <w:rPr>
          <w:szCs w:val="22"/>
        </w:rPr>
        <w:t xml:space="preserve">original </w:t>
      </w:r>
      <w:r w:rsidRPr="00684DD8">
        <w:rPr>
          <w:szCs w:val="22"/>
        </w:rPr>
        <w:t xml:space="preserve">usage and financial estimates were highly uncertain, </w:t>
      </w:r>
      <w:r w:rsidR="00175434" w:rsidRPr="00684DD8">
        <w:rPr>
          <w:szCs w:val="22"/>
        </w:rPr>
        <w:t>and</w:t>
      </w:r>
      <w:r w:rsidRPr="00684DD8">
        <w:rPr>
          <w:szCs w:val="22"/>
        </w:rPr>
        <w:t xml:space="preserve"> that total numbers were expected to be small.</w:t>
      </w:r>
      <w:r w:rsidR="00175434" w:rsidRPr="00684DD8">
        <w:rPr>
          <w:szCs w:val="22"/>
        </w:rPr>
        <w:t xml:space="preserve"> The estimates in the </w:t>
      </w:r>
      <w:r w:rsidR="00481C66" w:rsidRPr="00684DD8">
        <w:rPr>
          <w:szCs w:val="22"/>
        </w:rPr>
        <w:t>resubmission</w:t>
      </w:r>
      <w:r w:rsidR="00175434" w:rsidRPr="00684DD8">
        <w:rPr>
          <w:szCs w:val="22"/>
        </w:rPr>
        <w:t xml:space="preserve"> </w:t>
      </w:r>
      <w:r w:rsidR="00CC045E" w:rsidRPr="00684DD8">
        <w:rPr>
          <w:szCs w:val="22"/>
        </w:rPr>
        <w:t>remain</w:t>
      </w:r>
      <w:r w:rsidR="006F3064" w:rsidRPr="00684DD8">
        <w:rPr>
          <w:szCs w:val="22"/>
        </w:rPr>
        <w:t>ed</w:t>
      </w:r>
      <w:r w:rsidR="00CC045E" w:rsidRPr="00684DD8">
        <w:rPr>
          <w:szCs w:val="22"/>
        </w:rPr>
        <w:t xml:space="preserve"> uncertain.</w:t>
      </w:r>
    </w:p>
    <w:p w:rsidR="00C25D9C" w:rsidRPr="00684DD8" w:rsidRDefault="00C25D9C" w:rsidP="008039E6">
      <w:pPr>
        <w:widowControl/>
        <w:rPr>
          <w:szCs w:val="22"/>
        </w:rPr>
      </w:pPr>
    </w:p>
    <w:p w:rsidR="00576972" w:rsidRPr="00684DD8" w:rsidRDefault="00576972" w:rsidP="003C215E">
      <w:pPr>
        <w:pStyle w:val="Heading4"/>
      </w:pPr>
      <w:bookmarkStart w:id="62" w:name="_Toc450655495"/>
      <w:bookmarkStart w:id="63" w:name="_Toc450820750"/>
      <w:r w:rsidRPr="00684DD8">
        <w:t>Quality Use of Medicines</w:t>
      </w:r>
      <w:bookmarkEnd w:id="62"/>
      <w:bookmarkEnd w:id="63"/>
    </w:p>
    <w:p w:rsidR="00576972" w:rsidRPr="00684DD8" w:rsidRDefault="00576972" w:rsidP="00576972">
      <w:pPr>
        <w:widowControl/>
        <w:rPr>
          <w:szCs w:val="22"/>
        </w:rPr>
      </w:pPr>
    </w:p>
    <w:p w:rsidR="00321A8A" w:rsidRPr="00684DD8" w:rsidRDefault="00321A8A" w:rsidP="008B4389">
      <w:pPr>
        <w:pStyle w:val="ListParagraph"/>
        <w:widowControl/>
        <w:numPr>
          <w:ilvl w:val="1"/>
          <w:numId w:val="1"/>
        </w:numPr>
        <w:rPr>
          <w:szCs w:val="22"/>
        </w:rPr>
      </w:pPr>
      <w:r w:rsidRPr="00684DD8">
        <w:t xml:space="preserve">The </w:t>
      </w:r>
      <w:r w:rsidR="00481C66" w:rsidRPr="00684DD8">
        <w:t>resubmission</w:t>
      </w:r>
      <w:r w:rsidRPr="00684DD8">
        <w:t xml:space="preserve"> raised equity and quality use of medicine issues surrounding the proposal that </w:t>
      </w:r>
      <w:proofErr w:type="spellStart"/>
      <w:r w:rsidRPr="00684DD8">
        <w:t>blinatumomab</w:t>
      </w:r>
      <w:proofErr w:type="spellEnd"/>
      <w:r w:rsidRPr="00684DD8">
        <w:t xml:space="preserve"> be PBS reimbursed for hospital inpatients. </w:t>
      </w:r>
      <w:r w:rsidR="00F3265A" w:rsidRPr="00684DD8">
        <w:t>The ESC considered that the submission did not provide any additional information to fundamentally change the previous PBAC view related to the precedent for inpatient reimbursement of PBS medicines.</w:t>
      </w:r>
    </w:p>
    <w:p w:rsidR="00321A8A" w:rsidRPr="00684DD8" w:rsidRDefault="00321A8A" w:rsidP="00CC0E37">
      <w:pPr>
        <w:widowControl/>
        <w:rPr>
          <w:szCs w:val="22"/>
        </w:rPr>
      </w:pPr>
    </w:p>
    <w:p w:rsidR="00321A8A" w:rsidRPr="00684DD8" w:rsidRDefault="00321A8A" w:rsidP="008B4389">
      <w:pPr>
        <w:pStyle w:val="ListParagraph"/>
        <w:widowControl/>
        <w:numPr>
          <w:ilvl w:val="1"/>
          <w:numId w:val="1"/>
        </w:numPr>
        <w:rPr>
          <w:szCs w:val="22"/>
        </w:rPr>
      </w:pPr>
      <w:r w:rsidRPr="00684DD8">
        <w:t>With re</w:t>
      </w:r>
      <w:r w:rsidR="00667E3E" w:rsidRPr="00684DD8">
        <w:t>gards</w:t>
      </w:r>
      <w:r w:rsidRPr="00684DD8">
        <w:t xml:space="preserve"> to equity, the </w:t>
      </w:r>
      <w:r w:rsidR="00481C66" w:rsidRPr="00684DD8">
        <w:t>resubmission</w:t>
      </w:r>
      <w:r w:rsidRPr="00684DD8">
        <w:t xml:space="preserve"> suggested that:</w:t>
      </w:r>
    </w:p>
    <w:p w:rsidR="00321A8A" w:rsidRPr="00684DD8" w:rsidRDefault="008F1A9E" w:rsidP="00B87442">
      <w:pPr>
        <w:pStyle w:val="PBACheading1"/>
        <w:numPr>
          <w:ilvl w:val="0"/>
          <w:numId w:val="7"/>
        </w:numPr>
        <w:rPr>
          <w:b w:val="0"/>
        </w:rPr>
      </w:pPr>
      <w:bookmarkStart w:id="64" w:name="_Toc447807588"/>
      <w:bookmarkStart w:id="65" w:name="_Toc448733888"/>
      <w:bookmarkStart w:id="66" w:name="_Toc450291338"/>
      <w:bookmarkStart w:id="67" w:name="_Toc450655496"/>
      <w:r w:rsidRPr="00684DD8">
        <w:rPr>
          <w:b w:val="0"/>
        </w:rPr>
        <w:t>t</w:t>
      </w:r>
      <w:r w:rsidR="00321A8A" w:rsidRPr="00684DD8">
        <w:rPr>
          <w:b w:val="0"/>
        </w:rPr>
        <w:t xml:space="preserve">he processes by which high cost drugs are funded </w:t>
      </w:r>
      <w:r w:rsidR="003D0EB0" w:rsidRPr="00684DD8">
        <w:rPr>
          <w:b w:val="0"/>
        </w:rPr>
        <w:t>in hospitals is</w:t>
      </w:r>
      <w:r w:rsidR="00321A8A" w:rsidRPr="00684DD8">
        <w:rPr>
          <w:b w:val="0"/>
        </w:rPr>
        <w:t xml:space="preserve"> not universal; therefore</w:t>
      </w:r>
      <w:r w:rsidR="00667E3E" w:rsidRPr="00684DD8">
        <w:rPr>
          <w:b w:val="0"/>
        </w:rPr>
        <w:t>,</w:t>
      </w:r>
      <w:r w:rsidR="00321A8A" w:rsidRPr="00684DD8">
        <w:rPr>
          <w:b w:val="0"/>
        </w:rPr>
        <w:t xml:space="preserve"> it cannot be assumed that all </w:t>
      </w:r>
      <w:proofErr w:type="spellStart"/>
      <w:r w:rsidR="00321A8A" w:rsidRPr="00684DD8">
        <w:rPr>
          <w:b w:val="0"/>
        </w:rPr>
        <w:t>blinatumomab</w:t>
      </w:r>
      <w:proofErr w:type="spellEnd"/>
      <w:r w:rsidR="00321A8A" w:rsidRPr="00684DD8">
        <w:rPr>
          <w:b w:val="0"/>
        </w:rPr>
        <w:t xml:space="preserve"> applications would be approved; and</w:t>
      </w:r>
      <w:bookmarkEnd w:id="64"/>
      <w:bookmarkEnd w:id="65"/>
      <w:bookmarkEnd w:id="66"/>
      <w:bookmarkEnd w:id="67"/>
    </w:p>
    <w:p w:rsidR="00321A8A" w:rsidRPr="00684DD8" w:rsidRDefault="008F1A9E" w:rsidP="00B87442">
      <w:pPr>
        <w:pStyle w:val="PBACheading1"/>
        <w:numPr>
          <w:ilvl w:val="0"/>
          <w:numId w:val="7"/>
        </w:numPr>
        <w:rPr>
          <w:b w:val="0"/>
        </w:rPr>
      </w:pPr>
      <w:bookmarkStart w:id="68" w:name="_Toc447807589"/>
      <w:bookmarkStart w:id="69" w:name="_Toc448733889"/>
      <w:bookmarkStart w:id="70" w:name="_Toc450291339"/>
      <w:bookmarkStart w:id="71" w:name="_Toc450655497"/>
      <w:proofErr w:type="gramStart"/>
      <w:r w:rsidRPr="00684DD8">
        <w:rPr>
          <w:b w:val="0"/>
        </w:rPr>
        <w:lastRenderedPageBreak/>
        <w:t>h</w:t>
      </w:r>
      <w:r w:rsidR="00321A8A" w:rsidRPr="00684DD8">
        <w:rPr>
          <w:b w:val="0"/>
        </w:rPr>
        <w:t>ospitals</w:t>
      </w:r>
      <w:proofErr w:type="gramEnd"/>
      <w:r w:rsidR="00321A8A" w:rsidRPr="00684DD8">
        <w:rPr>
          <w:b w:val="0"/>
        </w:rPr>
        <w:t xml:space="preserve"> that are referral centres for ALL patients would have multiple patients attempting to secure </w:t>
      </w:r>
      <w:proofErr w:type="spellStart"/>
      <w:r w:rsidR="00321A8A" w:rsidRPr="00684DD8">
        <w:rPr>
          <w:b w:val="0"/>
        </w:rPr>
        <w:t>blinatumomab</w:t>
      </w:r>
      <w:proofErr w:type="spellEnd"/>
      <w:r w:rsidR="00321A8A" w:rsidRPr="00684DD8">
        <w:rPr>
          <w:b w:val="0"/>
        </w:rPr>
        <w:t xml:space="preserve"> funding. As hospital budgets are finite</w:t>
      </w:r>
      <w:r w:rsidR="00667E3E" w:rsidRPr="00684DD8">
        <w:rPr>
          <w:b w:val="0"/>
        </w:rPr>
        <w:t>,</w:t>
      </w:r>
      <w:r w:rsidR="00321A8A" w:rsidRPr="00684DD8">
        <w:rPr>
          <w:b w:val="0"/>
        </w:rPr>
        <w:t xml:space="preserve"> it could be possible that some patients would not be funded.</w:t>
      </w:r>
      <w:bookmarkEnd w:id="68"/>
      <w:bookmarkEnd w:id="69"/>
      <w:bookmarkEnd w:id="70"/>
      <w:bookmarkEnd w:id="71"/>
    </w:p>
    <w:p w:rsidR="00321A8A" w:rsidRPr="00684DD8" w:rsidRDefault="00321A8A" w:rsidP="0079023D"/>
    <w:p w:rsidR="00EB2C86" w:rsidRPr="00684DD8" w:rsidRDefault="00EB2C86" w:rsidP="008B4389">
      <w:pPr>
        <w:pStyle w:val="ListParagraph"/>
        <w:widowControl/>
        <w:numPr>
          <w:ilvl w:val="1"/>
          <w:numId w:val="1"/>
        </w:numPr>
        <w:rPr>
          <w:szCs w:val="22"/>
        </w:rPr>
      </w:pPr>
      <w:r w:rsidRPr="00684DD8">
        <w:t xml:space="preserve">The </w:t>
      </w:r>
      <w:r w:rsidR="00481C66" w:rsidRPr="00684DD8">
        <w:t>resubmission</w:t>
      </w:r>
      <w:r w:rsidR="00B81357" w:rsidRPr="00684DD8">
        <w:t xml:space="preserve"> raised the </w:t>
      </w:r>
      <w:r w:rsidRPr="00684DD8">
        <w:t>following quality use of medicine issues:</w:t>
      </w:r>
    </w:p>
    <w:p w:rsidR="00EB2C86" w:rsidRPr="00684DD8" w:rsidRDefault="00B81357" w:rsidP="00B87442">
      <w:pPr>
        <w:pStyle w:val="PBACheading1"/>
        <w:numPr>
          <w:ilvl w:val="0"/>
          <w:numId w:val="8"/>
        </w:numPr>
        <w:rPr>
          <w:b w:val="0"/>
        </w:rPr>
      </w:pPr>
      <w:bookmarkStart w:id="72" w:name="_Toc447807590"/>
      <w:bookmarkStart w:id="73" w:name="_Toc448733890"/>
      <w:bookmarkStart w:id="74" w:name="_Toc450291340"/>
      <w:bookmarkStart w:id="75" w:name="_Toc450655498"/>
      <w:r w:rsidRPr="00684DD8">
        <w:rPr>
          <w:b w:val="0"/>
        </w:rPr>
        <w:t>s</w:t>
      </w:r>
      <w:r w:rsidR="00EB2C86" w:rsidRPr="00684DD8">
        <w:rPr>
          <w:b w:val="0"/>
        </w:rPr>
        <w:t xml:space="preserve">hould inpatient </w:t>
      </w:r>
      <w:proofErr w:type="spellStart"/>
      <w:r w:rsidR="00EB2C86" w:rsidRPr="00684DD8">
        <w:rPr>
          <w:b w:val="0"/>
        </w:rPr>
        <w:t>blinatumomab</w:t>
      </w:r>
      <w:proofErr w:type="spellEnd"/>
      <w:r w:rsidR="00EB2C86" w:rsidRPr="00684DD8">
        <w:rPr>
          <w:b w:val="0"/>
        </w:rPr>
        <w:t xml:space="preserve"> supply not be PBS reimbursed, patients might be discharged sooner than is optimal to secure the PBS reimbursed component of therapy; and</w:t>
      </w:r>
      <w:bookmarkEnd w:id="72"/>
      <w:bookmarkEnd w:id="73"/>
      <w:bookmarkEnd w:id="74"/>
      <w:bookmarkEnd w:id="75"/>
    </w:p>
    <w:p w:rsidR="00576972" w:rsidRPr="00684DD8" w:rsidRDefault="00B81357" w:rsidP="00B87442">
      <w:pPr>
        <w:pStyle w:val="PBACheading1"/>
        <w:numPr>
          <w:ilvl w:val="0"/>
          <w:numId w:val="8"/>
        </w:numPr>
        <w:rPr>
          <w:b w:val="0"/>
        </w:rPr>
      </w:pPr>
      <w:bookmarkStart w:id="76" w:name="_Toc447807591"/>
      <w:bookmarkStart w:id="77" w:name="_Toc448733891"/>
      <w:bookmarkStart w:id="78" w:name="_Toc450291341"/>
      <w:bookmarkStart w:id="79" w:name="_Toc450655499"/>
      <w:proofErr w:type="gramStart"/>
      <w:r w:rsidRPr="00684DD8">
        <w:rPr>
          <w:b w:val="0"/>
        </w:rPr>
        <w:t>m</w:t>
      </w:r>
      <w:r w:rsidR="00EB2C86" w:rsidRPr="00684DD8">
        <w:rPr>
          <w:b w:val="0"/>
        </w:rPr>
        <w:t>inimising</w:t>
      </w:r>
      <w:proofErr w:type="gramEnd"/>
      <w:r w:rsidR="00EB2C86" w:rsidRPr="00684DD8">
        <w:rPr>
          <w:b w:val="0"/>
        </w:rPr>
        <w:t xml:space="preserve"> the expense of inpatient </w:t>
      </w:r>
      <w:proofErr w:type="spellStart"/>
      <w:r w:rsidR="00EB2C86" w:rsidRPr="00684DD8">
        <w:rPr>
          <w:b w:val="0"/>
        </w:rPr>
        <w:t>blinatumomab</w:t>
      </w:r>
      <w:proofErr w:type="spellEnd"/>
      <w:r w:rsidR="00EB2C86" w:rsidRPr="00684DD8">
        <w:rPr>
          <w:b w:val="0"/>
        </w:rPr>
        <w:t xml:space="preserve"> might present an opportunity for hospitals looking for efficiency gains.</w:t>
      </w:r>
      <w:bookmarkEnd w:id="76"/>
      <w:bookmarkEnd w:id="77"/>
      <w:bookmarkEnd w:id="78"/>
      <w:bookmarkEnd w:id="79"/>
    </w:p>
    <w:p w:rsidR="00576972" w:rsidRPr="00684DD8" w:rsidRDefault="00576972" w:rsidP="00CC0E37">
      <w:pPr>
        <w:widowControl/>
        <w:rPr>
          <w:szCs w:val="22"/>
        </w:rPr>
      </w:pPr>
    </w:p>
    <w:p w:rsidR="00576972" w:rsidRPr="00684DD8" w:rsidRDefault="00576972" w:rsidP="003C215E">
      <w:pPr>
        <w:pStyle w:val="Heading4"/>
      </w:pPr>
      <w:bookmarkStart w:id="80" w:name="_Toc450655500"/>
      <w:bookmarkStart w:id="81" w:name="_Toc450820751"/>
      <w:r w:rsidRPr="00684DD8">
        <w:t>Financial Management – Risk Sharing Arrangements</w:t>
      </w:r>
      <w:bookmarkEnd w:id="80"/>
      <w:bookmarkEnd w:id="81"/>
    </w:p>
    <w:p w:rsidR="00C25D9C" w:rsidRPr="00684DD8" w:rsidRDefault="00C25D9C" w:rsidP="00576972">
      <w:pPr>
        <w:widowControl/>
        <w:rPr>
          <w:szCs w:val="22"/>
        </w:rPr>
      </w:pPr>
    </w:p>
    <w:p w:rsidR="00C25D9C" w:rsidRPr="00684DD8" w:rsidRDefault="00EB2C86" w:rsidP="008B4389">
      <w:pPr>
        <w:pStyle w:val="ListParagraph"/>
        <w:widowControl/>
        <w:numPr>
          <w:ilvl w:val="1"/>
          <w:numId w:val="1"/>
        </w:numPr>
        <w:rPr>
          <w:szCs w:val="22"/>
        </w:rPr>
      </w:pPr>
      <w:r w:rsidRPr="00684DD8">
        <w:t xml:space="preserve">The </w:t>
      </w:r>
      <w:r w:rsidR="00481C66" w:rsidRPr="00684DD8">
        <w:t>resubmission</w:t>
      </w:r>
      <w:r w:rsidRPr="00684DD8">
        <w:t xml:space="preserve"> presented a </w:t>
      </w:r>
      <w:r w:rsidR="00684DD8">
        <w:t>R</w:t>
      </w:r>
      <w:r w:rsidR="00684DD8" w:rsidRPr="00684DD8">
        <w:t xml:space="preserve">isk </w:t>
      </w:r>
      <w:r w:rsidR="00684DD8">
        <w:t>S</w:t>
      </w:r>
      <w:r w:rsidR="00684DD8" w:rsidRPr="00684DD8">
        <w:t xml:space="preserve">haring </w:t>
      </w:r>
      <w:r w:rsidR="00684DD8">
        <w:t>A</w:t>
      </w:r>
      <w:r w:rsidR="00684DD8" w:rsidRPr="00684DD8">
        <w:t xml:space="preserve">rrangement </w:t>
      </w:r>
      <w:r w:rsidRPr="00684DD8">
        <w:t>and a managed entry scheme.</w:t>
      </w:r>
    </w:p>
    <w:p w:rsidR="00EB2C86" w:rsidRPr="00684DD8" w:rsidRDefault="00EB2C86" w:rsidP="00EB2C86">
      <w:pPr>
        <w:widowControl/>
        <w:rPr>
          <w:szCs w:val="22"/>
        </w:rPr>
      </w:pPr>
    </w:p>
    <w:p w:rsidR="00EB2C86" w:rsidRPr="00684DD8" w:rsidRDefault="00EB2C86" w:rsidP="008B4389">
      <w:pPr>
        <w:pStyle w:val="ListParagraph"/>
        <w:widowControl/>
        <w:numPr>
          <w:ilvl w:val="1"/>
          <w:numId w:val="1"/>
        </w:numPr>
        <w:rPr>
          <w:szCs w:val="22"/>
        </w:rPr>
      </w:pPr>
      <w:r w:rsidRPr="00684DD8">
        <w:rPr>
          <w:szCs w:val="22"/>
        </w:rPr>
        <w:t xml:space="preserve">In order to reduce financial uncertainty for the PBS/RPBS, the </w:t>
      </w:r>
      <w:r w:rsidR="00481C66" w:rsidRPr="00684DD8">
        <w:rPr>
          <w:szCs w:val="22"/>
        </w:rPr>
        <w:t>resubmission</w:t>
      </w:r>
      <w:r w:rsidRPr="00684DD8">
        <w:rPr>
          <w:szCs w:val="22"/>
        </w:rPr>
        <w:t xml:space="preserve"> proposed a financial cap set at 120% of the estimated </w:t>
      </w:r>
      <w:proofErr w:type="spellStart"/>
      <w:r w:rsidRPr="00684DD8">
        <w:rPr>
          <w:szCs w:val="22"/>
        </w:rPr>
        <w:t>blinatumomab</w:t>
      </w:r>
      <w:proofErr w:type="spellEnd"/>
      <w:r w:rsidRPr="00684DD8">
        <w:rPr>
          <w:szCs w:val="22"/>
        </w:rPr>
        <w:t xml:space="preserve"> </w:t>
      </w:r>
      <w:r w:rsidRPr="00684DD8">
        <w:rPr>
          <w:b/>
          <w:szCs w:val="22"/>
        </w:rPr>
        <w:t>eligible</w:t>
      </w:r>
      <w:r w:rsidRPr="00684DD8">
        <w:rPr>
          <w:szCs w:val="22"/>
        </w:rPr>
        <w:t xml:space="preserve"> population</w:t>
      </w:r>
      <w:r w:rsidR="007514FF" w:rsidRPr="00684DD8">
        <w:rPr>
          <w:szCs w:val="22"/>
        </w:rPr>
        <w:t xml:space="preserve">, rather than the </w:t>
      </w:r>
      <w:r w:rsidR="007514FF" w:rsidRPr="00684DD8">
        <w:rPr>
          <w:b/>
          <w:szCs w:val="22"/>
        </w:rPr>
        <w:t>treated</w:t>
      </w:r>
      <w:r w:rsidR="007514FF" w:rsidRPr="00684DD8">
        <w:rPr>
          <w:szCs w:val="22"/>
        </w:rPr>
        <w:t xml:space="preserve"> population</w:t>
      </w:r>
      <w:r w:rsidRPr="00684DD8">
        <w:rPr>
          <w:szCs w:val="22"/>
        </w:rPr>
        <w:t xml:space="preserve">. Any use beyond the cap would receive a rebate of </w:t>
      </w:r>
      <w:r w:rsidR="00D34A67">
        <w:rPr>
          <w:noProof/>
          <w:color w:val="000000"/>
          <w:szCs w:val="22"/>
          <w:highlight w:val="black"/>
        </w:rPr>
        <w:t>''''''</w:t>
      </w:r>
      <w:r w:rsidRPr="00684DD8">
        <w:rPr>
          <w:szCs w:val="22"/>
        </w:rPr>
        <w:t>%.</w:t>
      </w:r>
      <w:r w:rsidR="00475C78" w:rsidRPr="00684DD8">
        <w:rPr>
          <w:szCs w:val="22"/>
        </w:rPr>
        <w:t xml:space="preserve"> The cap would be set at an agreed estimate of average number</w:t>
      </w:r>
      <w:r w:rsidR="0079023D" w:rsidRPr="00684DD8">
        <w:rPr>
          <w:szCs w:val="22"/>
        </w:rPr>
        <w:t xml:space="preserve"> of vials per eligible patient.</w:t>
      </w:r>
    </w:p>
    <w:p w:rsidR="00475C78" w:rsidRPr="00684DD8" w:rsidRDefault="00475C78" w:rsidP="00475C78">
      <w:pPr>
        <w:rPr>
          <w:szCs w:val="22"/>
        </w:rPr>
      </w:pPr>
    </w:p>
    <w:p w:rsidR="00475C78" w:rsidRPr="00684DD8" w:rsidRDefault="00475C78" w:rsidP="00475C78">
      <w:pPr>
        <w:keepNext/>
        <w:widowControl/>
        <w:ind w:firstLine="720"/>
        <w:rPr>
          <w:rFonts w:ascii="Arial Narrow" w:hAnsi="Arial Narrow"/>
          <w:b/>
          <w:sz w:val="20"/>
        </w:rPr>
      </w:pPr>
      <w:r w:rsidRPr="00684DD8">
        <w:rPr>
          <w:rFonts w:ascii="Arial Narrow" w:hAnsi="Arial Narrow"/>
          <w:b/>
          <w:sz w:val="20"/>
        </w:rPr>
        <w:t xml:space="preserve">Table 14: Proposed patient number and financial caps for </w:t>
      </w:r>
      <w:proofErr w:type="spellStart"/>
      <w:r w:rsidRPr="00684DD8">
        <w:rPr>
          <w:rFonts w:ascii="Arial Narrow" w:hAnsi="Arial Narrow"/>
          <w:b/>
          <w:sz w:val="20"/>
        </w:rPr>
        <w:t>blinatumomab</w:t>
      </w:r>
      <w:proofErr w:type="spellEnd"/>
    </w:p>
    <w:tbl>
      <w:tblPr>
        <w:tblStyle w:val="TableGrid"/>
        <w:tblW w:w="4594" w:type="pct"/>
        <w:tblInd w:w="737" w:type="dxa"/>
        <w:tblLook w:val="04A0" w:firstRow="1" w:lastRow="0" w:firstColumn="1" w:lastColumn="0" w:noHBand="0" w:noVBand="1"/>
      </w:tblPr>
      <w:tblGrid>
        <w:gridCol w:w="3389"/>
        <w:gridCol w:w="1006"/>
        <w:gridCol w:w="993"/>
        <w:gridCol w:w="976"/>
        <w:gridCol w:w="1005"/>
        <w:gridCol w:w="976"/>
      </w:tblGrid>
      <w:tr w:rsidR="00475C78" w:rsidRPr="00684DD8" w:rsidTr="00475C78">
        <w:trPr>
          <w:cantSplit/>
          <w:trHeight w:val="57"/>
          <w:tblHeader/>
        </w:trPr>
        <w:tc>
          <w:tcPr>
            <w:tcW w:w="2030" w:type="pct"/>
            <w:tcMar>
              <w:left w:w="28" w:type="dxa"/>
              <w:right w:w="28" w:type="dxa"/>
            </w:tcMar>
          </w:tcPr>
          <w:p w:rsidR="00475C78" w:rsidRPr="00684DD8" w:rsidRDefault="00475C78" w:rsidP="005727F0">
            <w:pPr>
              <w:keepNext/>
              <w:widowControl/>
              <w:jc w:val="center"/>
              <w:rPr>
                <w:rFonts w:ascii="Arial Narrow" w:hAnsi="Arial Narrow" w:cs="Times New Roman"/>
                <w:b/>
                <w:bCs/>
                <w:snapToGrid/>
                <w:sz w:val="20"/>
              </w:rPr>
            </w:pPr>
          </w:p>
        </w:tc>
        <w:tc>
          <w:tcPr>
            <w:tcW w:w="603" w:type="pct"/>
            <w:noWrap/>
            <w:tcMar>
              <w:left w:w="28" w:type="dxa"/>
              <w:right w:w="28" w:type="dxa"/>
            </w:tcMar>
          </w:tcPr>
          <w:p w:rsidR="00475C78" w:rsidRPr="00684DD8" w:rsidRDefault="00475C78" w:rsidP="005727F0">
            <w:pPr>
              <w:keepNext/>
              <w:widowControl/>
              <w:jc w:val="center"/>
              <w:rPr>
                <w:rFonts w:ascii="Arial Narrow" w:hAnsi="Arial Narrow" w:cs="Times New Roman"/>
                <w:b/>
                <w:bCs/>
                <w:snapToGrid/>
                <w:sz w:val="20"/>
              </w:rPr>
            </w:pPr>
            <w:r w:rsidRPr="00684DD8">
              <w:rPr>
                <w:rFonts w:ascii="Arial Narrow" w:hAnsi="Arial Narrow" w:cs="Times New Roman"/>
                <w:b/>
                <w:bCs/>
                <w:snapToGrid/>
                <w:sz w:val="20"/>
              </w:rPr>
              <w:t>Year 1</w:t>
            </w:r>
          </w:p>
        </w:tc>
        <w:tc>
          <w:tcPr>
            <w:tcW w:w="595" w:type="pct"/>
            <w:noWrap/>
            <w:tcMar>
              <w:left w:w="28" w:type="dxa"/>
              <w:right w:w="28" w:type="dxa"/>
            </w:tcMar>
          </w:tcPr>
          <w:p w:rsidR="00475C78" w:rsidRPr="00684DD8" w:rsidRDefault="00475C78" w:rsidP="005727F0">
            <w:pPr>
              <w:keepNext/>
              <w:widowControl/>
              <w:jc w:val="center"/>
              <w:rPr>
                <w:rFonts w:ascii="Arial Narrow" w:hAnsi="Arial Narrow" w:cs="Times New Roman"/>
                <w:b/>
                <w:bCs/>
                <w:snapToGrid/>
                <w:sz w:val="20"/>
              </w:rPr>
            </w:pPr>
            <w:r w:rsidRPr="00684DD8">
              <w:rPr>
                <w:rFonts w:ascii="Arial Narrow" w:hAnsi="Arial Narrow" w:cs="Times New Roman"/>
                <w:b/>
                <w:bCs/>
                <w:snapToGrid/>
                <w:sz w:val="20"/>
              </w:rPr>
              <w:t>Year 2</w:t>
            </w:r>
          </w:p>
        </w:tc>
        <w:tc>
          <w:tcPr>
            <w:tcW w:w="585" w:type="pct"/>
            <w:noWrap/>
            <w:tcMar>
              <w:left w:w="28" w:type="dxa"/>
              <w:right w:w="28" w:type="dxa"/>
            </w:tcMar>
          </w:tcPr>
          <w:p w:rsidR="00475C78" w:rsidRPr="00684DD8" w:rsidRDefault="00475C78" w:rsidP="005727F0">
            <w:pPr>
              <w:keepNext/>
              <w:widowControl/>
              <w:jc w:val="center"/>
              <w:rPr>
                <w:rFonts w:ascii="Arial Narrow" w:hAnsi="Arial Narrow" w:cs="Times New Roman"/>
                <w:b/>
                <w:bCs/>
                <w:snapToGrid/>
                <w:sz w:val="20"/>
              </w:rPr>
            </w:pPr>
            <w:r w:rsidRPr="00684DD8">
              <w:rPr>
                <w:rFonts w:ascii="Arial Narrow" w:hAnsi="Arial Narrow" w:cs="Times New Roman"/>
                <w:b/>
                <w:bCs/>
                <w:snapToGrid/>
                <w:sz w:val="20"/>
              </w:rPr>
              <w:t>Year 3</w:t>
            </w:r>
          </w:p>
        </w:tc>
        <w:tc>
          <w:tcPr>
            <w:tcW w:w="602" w:type="pct"/>
            <w:noWrap/>
            <w:tcMar>
              <w:left w:w="28" w:type="dxa"/>
              <w:right w:w="28" w:type="dxa"/>
            </w:tcMar>
          </w:tcPr>
          <w:p w:rsidR="00475C78" w:rsidRPr="00684DD8" w:rsidRDefault="00475C78" w:rsidP="005727F0">
            <w:pPr>
              <w:keepNext/>
              <w:widowControl/>
              <w:jc w:val="center"/>
              <w:rPr>
                <w:rFonts w:ascii="Arial Narrow" w:hAnsi="Arial Narrow" w:cs="Times New Roman"/>
                <w:b/>
                <w:bCs/>
                <w:snapToGrid/>
                <w:sz w:val="20"/>
              </w:rPr>
            </w:pPr>
            <w:r w:rsidRPr="00684DD8">
              <w:rPr>
                <w:rFonts w:ascii="Arial Narrow" w:hAnsi="Arial Narrow" w:cs="Times New Roman"/>
                <w:b/>
                <w:bCs/>
                <w:snapToGrid/>
                <w:sz w:val="20"/>
              </w:rPr>
              <w:t>Year 4</w:t>
            </w:r>
          </w:p>
        </w:tc>
        <w:tc>
          <w:tcPr>
            <w:tcW w:w="585" w:type="pct"/>
            <w:noWrap/>
            <w:tcMar>
              <w:left w:w="28" w:type="dxa"/>
              <w:right w:w="28" w:type="dxa"/>
            </w:tcMar>
          </w:tcPr>
          <w:p w:rsidR="00475C78" w:rsidRPr="00684DD8" w:rsidRDefault="00475C78" w:rsidP="005727F0">
            <w:pPr>
              <w:keepNext/>
              <w:widowControl/>
              <w:jc w:val="center"/>
              <w:rPr>
                <w:rFonts w:ascii="Arial Narrow" w:hAnsi="Arial Narrow" w:cs="Times New Roman"/>
                <w:b/>
                <w:bCs/>
                <w:snapToGrid/>
                <w:sz w:val="20"/>
              </w:rPr>
            </w:pPr>
            <w:r w:rsidRPr="00684DD8">
              <w:rPr>
                <w:rFonts w:ascii="Arial Narrow" w:hAnsi="Arial Narrow" w:cs="Times New Roman"/>
                <w:b/>
                <w:bCs/>
                <w:snapToGrid/>
                <w:sz w:val="20"/>
              </w:rPr>
              <w:t>Year 5</w:t>
            </w:r>
          </w:p>
        </w:tc>
      </w:tr>
      <w:tr w:rsidR="00475C78" w:rsidRPr="00684DD8" w:rsidTr="00475C78">
        <w:trPr>
          <w:trHeight w:val="57"/>
        </w:trPr>
        <w:tc>
          <w:tcPr>
            <w:tcW w:w="2030" w:type="pct"/>
            <w:tcMar>
              <w:left w:w="28" w:type="dxa"/>
              <w:right w:w="28" w:type="dxa"/>
            </w:tcMar>
          </w:tcPr>
          <w:p w:rsidR="00475C78" w:rsidRPr="00684DD8" w:rsidRDefault="00475C78" w:rsidP="005727F0">
            <w:pPr>
              <w:keepNext/>
              <w:widowControl/>
              <w:jc w:val="left"/>
              <w:rPr>
                <w:rFonts w:ascii="Arial Narrow" w:hAnsi="Arial Narrow"/>
                <w:sz w:val="20"/>
              </w:rPr>
            </w:pPr>
            <w:r w:rsidRPr="00684DD8">
              <w:rPr>
                <w:rFonts w:ascii="Arial Narrow" w:hAnsi="Arial Narrow" w:cs="Times New Roman"/>
                <w:snapToGrid/>
                <w:sz w:val="20"/>
              </w:rPr>
              <w:t xml:space="preserve">Patients treated with </w:t>
            </w:r>
            <w:proofErr w:type="spellStart"/>
            <w:r w:rsidRPr="00684DD8">
              <w:rPr>
                <w:rFonts w:ascii="Arial Narrow" w:hAnsi="Arial Narrow" w:cs="Times New Roman"/>
                <w:snapToGrid/>
                <w:sz w:val="20"/>
              </w:rPr>
              <w:t>blinatumomab</w:t>
            </w:r>
            <w:proofErr w:type="spellEnd"/>
          </w:p>
        </w:tc>
        <w:tc>
          <w:tcPr>
            <w:tcW w:w="603" w:type="pct"/>
            <w:noWrap/>
            <w:tcMar>
              <w:left w:w="28" w:type="dxa"/>
              <w:right w:w="28" w:type="dxa"/>
            </w:tcMar>
            <w:vAlign w:val="bottom"/>
          </w:tcPr>
          <w:p w:rsidR="00475C78" w:rsidRPr="00D34A67" w:rsidRDefault="00D34A67" w:rsidP="005727F0">
            <w:pPr>
              <w:keepNext/>
              <w:jc w:val="center"/>
              <w:rPr>
                <w:rFonts w:ascii="Arial Narrow" w:hAnsi="Arial Narrow"/>
                <w:sz w:val="20"/>
                <w:highlight w:val="black"/>
              </w:rPr>
            </w:pPr>
            <w:r>
              <w:rPr>
                <w:rFonts w:ascii="Arial Narrow" w:hAnsi="Arial Narrow"/>
                <w:noProof/>
                <w:color w:val="000000"/>
                <w:sz w:val="20"/>
                <w:highlight w:val="black"/>
              </w:rPr>
              <w:t>''''''</w:t>
            </w:r>
          </w:p>
        </w:tc>
        <w:tc>
          <w:tcPr>
            <w:tcW w:w="595" w:type="pct"/>
            <w:noWrap/>
            <w:tcMar>
              <w:left w:w="28" w:type="dxa"/>
              <w:right w:w="28" w:type="dxa"/>
            </w:tcMar>
            <w:vAlign w:val="bottom"/>
          </w:tcPr>
          <w:p w:rsidR="00475C78" w:rsidRPr="00D34A67" w:rsidRDefault="00D34A67" w:rsidP="005727F0">
            <w:pPr>
              <w:keepNext/>
              <w:jc w:val="center"/>
              <w:rPr>
                <w:rFonts w:ascii="Arial Narrow" w:hAnsi="Arial Narrow"/>
                <w:sz w:val="20"/>
                <w:highlight w:val="black"/>
              </w:rPr>
            </w:pPr>
            <w:r>
              <w:rPr>
                <w:rFonts w:ascii="Arial Narrow" w:hAnsi="Arial Narrow"/>
                <w:noProof/>
                <w:color w:val="000000"/>
                <w:sz w:val="20"/>
                <w:highlight w:val="black"/>
              </w:rPr>
              <w:t>'''''</w:t>
            </w:r>
          </w:p>
        </w:tc>
        <w:tc>
          <w:tcPr>
            <w:tcW w:w="585" w:type="pct"/>
            <w:noWrap/>
            <w:tcMar>
              <w:left w:w="28" w:type="dxa"/>
              <w:right w:w="28" w:type="dxa"/>
            </w:tcMar>
            <w:vAlign w:val="bottom"/>
          </w:tcPr>
          <w:p w:rsidR="00475C78" w:rsidRPr="00D34A67" w:rsidRDefault="00D34A67" w:rsidP="005727F0">
            <w:pPr>
              <w:keepNext/>
              <w:jc w:val="center"/>
              <w:rPr>
                <w:rFonts w:ascii="Arial Narrow" w:hAnsi="Arial Narrow"/>
                <w:sz w:val="20"/>
                <w:highlight w:val="black"/>
              </w:rPr>
            </w:pPr>
            <w:r>
              <w:rPr>
                <w:rFonts w:ascii="Arial Narrow" w:hAnsi="Arial Narrow"/>
                <w:noProof/>
                <w:color w:val="000000"/>
                <w:sz w:val="20"/>
                <w:highlight w:val="black"/>
              </w:rPr>
              <w:t>''''''</w:t>
            </w:r>
          </w:p>
        </w:tc>
        <w:tc>
          <w:tcPr>
            <w:tcW w:w="602" w:type="pct"/>
            <w:noWrap/>
            <w:tcMar>
              <w:left w:w="28" w:type="dxa"/>
              <w:right w:w="28" w:type="dxa"/>
            </w:tcMar>
            <w:vAlign w:val="bottom"/>
          </w:tcPr>
          <w:p w:rsidR="00475C78" w:rsidRPr="00D34A67" w:rsidRDefault="00D34A67" w:rsidP="005727F0">
            <w:pPr>
              <w:keepNext/>
              <w:jc w:val="center"/>
              <w:rPr>
                <w:rFonts w:ascii="Arial Narrow" w:hAnsi="Arial Narrow"/>
                <w:sz w:val="20"/>
                <w:highlight w:val="black"/>
              </w:rPr>
            </w:pPr>
            <w:r>
              <w:rPr>
                <w:rFonts w:ascii="Arial Narrow" w:hAnsi="Arial Narrow"/>
                <w:noProof/>
                <w:color w:val="000000"/>
                <w:sz w:val="20"/>
                <w:highlight w:val="black"/>
              </w:rPr>
              <w:t>'''''</w:t>
            </w:r>
          </w:p>
        </w:tc>
        <w:tc>
          <w:tcPr>
            <w:tcW w:w="585" w:type="pct"/>
            <w:noWrap/>
            <w:tcMar>
              <w:left w:w="28" w:type="dxa"/>
              <w:right w:w="28" w:type="dxa"/>
            </w:tcMar>
            <w:vAlign w:val="bottom"/>
          </w:tcPr>
          <w:p w:rsidR="00475C78" w:rsidRPr="00D34A67" w:rsidRDefault="00D34A67" w:rsidP="005727F0">
            <w:pPr>
              <w:keepNext/>
              <w:jc w:val="center"/>
              <w:rPr>
                <w:rFonts w:ascii="Arial Narrow" w:hAnsi="Arial Narrow"/>
                <w:sz w:val="20"/>
                <w:highlight w:val="black"/>
              </w:rPr>
            </w:pPr>
            <w:r>
              <w:rPr>
                <w:rFonts w:ascii="Arial Narrow" w:hAnsi="Arial Narrow"/>
                <w:noProof/>
                <w:color w:val="000000"/>
                <w:sz w:val="20"/>
                <w:highlight w:val="black"/>
              </w:rPr>
              <w:t>''''''</w:t>
            </w:r>
          </w:p>
        </w:tc>
      </w:tr>
      <w:tr w:rsidR="00475C78" w:rsidRPr="00684DD8" w:rsidTr="00475C78">
        <w:trPr>
          <w:trHeight w:val="57"/>
        </w:trPr>
        <w:tc>
          <w:tcPr>
            <w:tcW w:w="2030" w:type="pct"/>
            <w:tcMar>
              <w:left w:w="28" w:type="dxa"/>
              <w:right w:w="28" w:type="dxa"/>
            </w:tcMar>
          </w:tcPr>
          <w:p w:rsidR="00475C78" w:rsidRPr="00684DD8" w:rsidRDefault="00475C78" w:rsidP="005727F0">
            <w:pPr>
              <w:keepNext/>
              <w:widowControl/>
              <w:jc w:val="left"/>
              <w:rPr>
                <w:rFonts w:ascii="Arial Narrow" w:hAnsi="Arial Narrow"/>
                <w:sz w:val="20"/>
              </w:rPr>
            </w:pPr>
            <w:r w:rsidRPr="00684DD8">
              <w:rPr>
                <w:rFonts w:ascii="Arial Narrow" w:hAnsi="Arial Narrow" w:cs="Times New Roman"/>
                <w:snapToGrid/>
                <w:sz w:val="20"/>
              </w:rPr>
              <w:t xml:space="preserve">Cost of </w:t>
            </w:r>
            <w:proofErr w:type="spellStart"/>
            <w:r w:rsidRPr="00684DD8">
              <w:rPr>
                <w:rFonts w:ascii="Arial Narrow" w:hAnsi="Arial Narrow" w:cs="Times New Roman"/>
                <w:snapToGrid/>
                <w:sz w:val="20"/>
              </w:rPr>
              <w:t>blinatumomab</w:t>
            </w:r>
            <w:proofErr w:type="spellEnd"/>
            <w:r w:rsidRPr="00684DD8">
              <w:rPr>
                <w:rFonts w:ascii="Arial Narrow" w:hAnsi="Arial Narrow" w:cs="Times New Roman"/>
                <w:snapToGrid/>
                <w:sz w:val="20"/>
              </w:rPr>
              <w:t xml:space="preserve"> to PBS/RPBS</w:t>
            </w:r>
          </w:p>
        </w:tc>
        <w:tc>
          <w:tcPr>
            <w:tcW w:w="603" w:type="pct"/>
            <w:noWrap/>
            <w:tcMar>
              <w:left w:w="28" w:type="dxa"/>
              <w:right w:w="28" w:type="dxa"/>
            </w:tcMar>
            <w:vAlign w:val="center"/>
          </w:tcPr>
          <w:p w:rsidR="00475C78" w:rsidRPr="00684DD8" w:rsidRDefault="00475C78" w:rsidP="005727F0">
            <w:pPr>
              <w:keepNext/>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595" w:type="pct"/>
            <w:noWrap/>
            <w:tcMar>
              <w:left w:w="28" w:type="dxa"/>
              <w:right w:w="28" w:type="dxa"/>
            </w:tcMar>
            <w:vAlign w:val="center"/>
          </w:tcPr>
          <w:p w:rsidR="00475C78" w:rsidRPr="00684DD8" w:rsidRDefault="00475C78" w:rsidP="005727F0">
            <w:pPr>
              <w:keepNext/>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585" w:type="pct"/>
            <w:noWrap/>
            <w:tcMar>
              <w:left w:w="28" w:type="dxa"/>
              <w:right w:w="28" w:type="dxa"/>
            </w:tcMar>
            <w:vAlign w:val="center"/>
          </w:tcPr>
          <w:p w:rsidR="00475C78" w:rsidRPr="00684DD8" w:rsidRDefault="00475C78" w:rsidP="005727F0">
            <w:pPr>
              <w:keepNext/>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602" w:type="pct"/>
            <w:noWrap/>
            <w:tcMar>
              <w:left w:w="28" w:type="dxa"/>
              <w:right w:w="28" w:type="dxa"/>
            </w:tcMar>
            <w:vAlign w:val="center"/>
          </w:tcPr>
          <w:p w:rsidR="00475C78" w:rsidRPr="00684DD8" w:rsidRDefault="00475C78" w:rsidP="005727F0">
            <w:pPr>
              <w:keepNext/>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c>
          <w:tcPr>
            <w:tcW w:w="585" w:type="pct"/>
            <w:noWrap/>
            <w:tcMar>
              <w:left w:w="28" w:type="dxa"/>
              <w:right w:w="28" w:type="dxa"/>
            </w:tcMar>
            <w:vAlign w:val="center"/>
          </w:tcPr>
          <w:p w:rsidR="00475C78" w:rsidRPr="00684DD8" w:rsidRDefault="00475C78" w:rsidP="005727F0">
            <w:pPr>
              <w:keepNext/>
              <w:jc w:val="right"/>
              <w:rPr>
                <w:rFonts w:ascii="Arial Narrow" w:hAnsi="Arial Narrow"/>
                <w:sz w:val="20"/>
              </w:rPr>
            </w:pPr>
            <w:r w:rsidRPr="00684DD8">
              <w:rPr>
                <w:rFonts w:ascii="Arial Narrow" w:hAnsi="Arial Narrow"/>
                <w:sz w:val="20"/>
              </w:rPr>
              <w:t>$</w:t>
            </w:r>
            <w:r w:rsidR="00D34A67">
              <w:rPr>
                <w:rFonts w:ascii="Arial Narrow" w:hAnsi="Arial Narrow"/>
                <w:noProof/>
                <w:color w:val="000000"/>
                <w:sz w:val="20"/>
                <w:highlight w:val="black"/>
              </w:rPr>
              <w:t>'''''''''''''''''''''''</w:t>
            </w:r>
          </w:p>
        </w:tc>
      </w:tr>
      <w:tr w:rsidR="00475C78" w:rsidRPr="00684DD8" w:rsidTr="00475C78">
        <w:trPr>
          <w:trHeight w:val="57"/>
        </w:trPr>
        <w:tc>
          <w:tcPr>
            <w:tcW w:w="2030" w:type="pct"/>
            <w:tcMar>
              <w:left w:w="28" w:type="dxa"/>
              <w:right w:w="28" w:type="dxa"/>
            </w:tcMar>
          </w:tcPr>
          <w:p w:rsidR="00475C78" w:rsidRPr="00684DD8" w:rsidRDefault="00475C78" w:rsidP="005727F0">
            <w:pPr>
              <w:keepNext/>
              <w:widowControl/>
              <w:jc w:val="left"/>
              <w:rPr>
                <w:rFonts w:ascii="Arial Narrow" w:hAnsi="Arial Narrow"/>
                <w:sz w:val="20"/>
              </w:rPr>
            </w:pPr>
            <w:proofErr w:type="spellStart"/>
            <w:r w:rsidRPr="00684DD8">
              <w:rPr>
                <w:rFonts w:ascii="Arial Narrow" w:hAnsi="Arial Narrow" w:cs="Times New Roman"/>
                <w:snapToGrid/>
                <w:sz w:val="20"/>
              </w:rPr>
              <w:t>Blinatumomab</w:t>
            </w:r>
            <w:proofErr w:type="spellEnd"/>
            <w:r w:rsidRPr="00684DD8">
              <w:rPr>
                <w:rFonts w:ascii="Arial Narrow" w:hAnsi="Arial Narrow" w:cs="Times New Roman"/>
                <w:snapToGrid/>
                <w:sz w:val="20"/>
              </w:rPr>
              <w:t xml:space="preserve"> eligible patients</w:t>
            </w:r>
          </w:p>
        </w:tc>
        <w:tc>
          <w:tcPr>
            <w:tcW w:w="603"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85"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02"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85"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475C78" w:rsidRPr="00684DD8" w:rsidTr="00475C78">
        <w:trPr>
          <w:trHeight w:val="57"/>
        </w:trPr>
        <w:tc>
          <w:tcPr>
            <w:tcW w:w="2030" w:type="pct"/>
            <w:tcMar>
              <w:left w:w="28" w:type="dxa"/>
              <w:right w:w="28" w:type="dxa"/>
            </w:tcMar>
          </w:tcPr>
          <w:p w:rsidR="00475C78" w:rsidRPr="00684DD8" w:rsidRDefault="00475C78" w:rsidP="005727F0">
            <w:pPr>
              <w:keepNext/>
              <w:widowControl/>
              <w:jc w:val="left"/>
              <w:rPr>
                <w:rFonts w:ascii="Arial Narrow" w:hAnsi="Arial Narrow" w:cs="Times New Roman"/>
                <w:b/>
                <w:snapToGrid/>
                <w:sz w:val="20"/>
              </w:rPr>
            </w:pPr>
            <w:r w:rsidRPr="00684DD8">
              <w:rPr>
                <w:rFonts w:ascii="Arial Narrow" w:hAnsi="Arial Narrow" w:cs="Times New Roman"/>
                <w:b/>
                <w:snapToGrid/>
                <w:sz w:val="20"/>
              </w:rPr>
              <w:t>Number of patients at which the cap would be set</w:t>
            </w:r>
          </w:p>
        </w:tc>
        <w:tc>
          <w:tcPr>
            <w:tcW w:w="603" w:type="pct"/>
            <w:noWrap/>
            <w:tcMar>
              <w:left w:w="28" w:type="dxa"/>
              <w:right w:w="28" w:type="dxa"/>
            </w:tcMar>
          </w:tcPr>
          <w:p w:rsidR="00475C78" w:rsidRPr="00D34A67" w:rsidRDefault="00D34A67" w:rsidP="005727F0">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595" w:type="pct"/>
            <w:noWrap/>
            <w:tcMar>
              <w:left w:w="28" w:type="dxa"/>
              <w:right w:w="28" w:type="dxa"/>
            </w:tcMar>
          </w:tcPr>
          <w:p w:rsidR="00475C78" w:rsidRPr="00D34A67" w:rsidRDefault="00D34A67" w:rsidP="005727F0">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585" w:type="pct"/>
            <w:noWrap/>
            <w:tcMar>
              <w:left w:w="28" w:type="dxa"/>
              <w:right w:w="28" w:type="dxa"/>
            </w:tcMar>
          </w:tcPr>
          <w:p w:rsidR="00475C78" w:rsidRPr="00D34A67" w:rsidRDefault="00D34A67" w:rsidP="005727F0">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602" w:type="pct"/>
            <w:noWrap/>
            <w:tcMar>
              <w:left w:w="28" w:type="dxa"/>
              <w:right w:w="28" w:type="dxa"/>
            </w:tcMar>
          </w:tcPr>
          <w:p w:rsidR="00475C78" w:rsidRPr="00D34A67" w:rsidRDefault="00D34A67" w:rsidP="005727F0">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585" w:type="pct"/>
            <w:noWrap/>
            <w:tcMar>
              <w:left w:w="28" w:type="dxa"/>
              <w:right w:w="28" w:type="dxa"/>
            </w:tcMar>
          </w:tcPr>
          <w:p w:rsidR="00475C78" w:rsidRPr="00D34A67" w:rsidRDefault="00D34A67" w:rsidP="005727F0">
            <w:pPr>
              <w:keepNext/>
              <w:widowControl/>
              <w:jc w:val="center"/>
              <w:rPr>
                <w:rFonts w:ascii="Arial Narrow" w:hAnsi="Arial Narrow"/>
                <w:b/>
                <w:sz w:val="20"/>
                <w:highlight w:val="black"/>
              </w:rPr>
            </w:pPr>
            <w:r>
              <w:rPr>
                <w:rFonts w:ascii="Arial Narrow" w:hAnsi="Arial Narrow"/>
                <w:b/>
                <w:noProof/>
                <w:color w:val="000000"/>
                <w:sz w:val="20"/>
                <w:highlight w:val="black"/>
              </w:rPr>
              <w:t>'''''</w:t>
            </w:r>
          </w:p>
        </w:tc>
      </w:tr>
      <w:tr w:rsidR="00475C78" w:rsidRPr="00684DD8" w:rsidTr="00475C78">
        <w:trPr>
          <w:trHeight w:val="57"/>
        </w:trPr>
        <w:tc>
          <w:tcPr>
            <w:tcW w:w="2030" w:type="pct"/>
            <w:tcMar>
              <w:left w:w="28" w:type="dxa"/>
              <w:right w:w="28" w:type="dxa"/>
            </w:tcMar>
          </w:tcPr>
          <w:p w:rsidR="00475C78" w:rsidRPr="00684DD8" w:rsidRDefault="00475C78" w:rsidP="005727F0">
            <w:pPr>
              <w:keepNext/>
              <w:widowControl/>
              <w:jc w:val="left"/>
              <w:rPr>
                <w:rFonts w:ascii="Arial Narrow" w:hAnsi="Arial Narrow" w:cs="Times New Roman"/>
                <w:snapToGrid/>
                <w:sz w:val="20"/>
              </w:rPr>
            </w:pPr>
            <w:r w:rsidRPr="00684DD8">
              <w:rPr>
                <w:rFonts w:ascii="Arial Narrow" w:hAnsi="Arial Narrow" w:cs="Times New Roman"/>
                <w:snapToGrid/>
                <w:sz w:val="20"/>
              </w:rPr>
              <w:t xml:space="preserve">Number of vials used (assuming </w:t>
            </w:r>
            <w:r w:rsidR="00D34A67">
              <w:rPr>
                <w:rFonts w:ascii="Arial Narrow" w:hAnsi="Arial Narrow" w:cs="Times New Roman"/>
                <w:noProof/>
                <w:snapToGrid/>
                <w:color w:val="000000"/>
                <w:sz w:val="20"/>
                <w:highlight w:val="black"/>
              </w:rPr>
              <w:t>'''''</w:t>
            </w:r>
            <w:r w:rsidRPr="00684DD8">
              <w:rPr>
                <w:rFonts w:ascii="Arial Narrow" w:hAnsi="Arial Narrow" w:cs="Times New Roman"/>
                <w:snapToGrid/>
                <w:sz w:val="20"/>
              </w:rPr>
              <w:t xml:space="preserve"> vials per patient)</w:t>
            </w:r>
          </w:p>
        </w:tc>
        <w:tc>
          <w:tcPr>
            <w:tcW w:w="603"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85"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02"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85" w:type="pct"/>
            <w:noWrap/>
            <w:tcMar>
              <w:left w:w="28" w:type="dxa"/>
              <w:right w:w="28" w:type="dxa"/>
            </w:tcMar>
          </w:tcPr>
          <w:p w:rsidR="00475C78" w:rsidRPr="00D34A67" w:rsidRDefault="00D34A67" w:rsidP="005727F0">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475C78" w:rsidRPr="00684DD8" w:rsidTr="00475C78">
        <w:trPr>
          <w:trHeight w:val="57"/>
        </w:trPr>
        <w:tc>
          <w:tcPr>
            <w:tcW w:w="2030" w:type="pct"/>
            <w:tcMar>
              <w:left w:w="28" w:type="dxa"/>
              <w:right w:w="28" w:type="dxa"/>
            </w:tcMar>
          </w:tcPr>
          <w:p w:rsidR="00475C78" w:rsidRPr="00684DD8" w:rsidRDefault="00475C78" w:rsidP="005727F0">
            <w:pPr>
              <w:keepNext/>
              <w:widowControl/>
              <w:jc w:val="left"/>
              <w:rPr>
                <w:rFonts w:ascii="Arial Narrow" w:hAnsi="Arial Narrow" w:cs="Times New Roman"/>
                <w:b/>
                <w:snapToGrid/>
                <w:sz w:val="20"/>
              </w:rPr>
            </w:pPr>
            <w:r w:rsidRPr="00684DD8">
              <w:rPr>
                <w:rFonts w:ascii="Arial Narrow" w:hAnsi="Arial Narrow" w:cs="Times New Roman"/>
                <w:b/>
                <w:snapToGrid/>
                <w:sz w:val="20"/>
              </w:rPr>
              <w:t>Financial cap</w:t>
            </w:r>
          </w:p>
        </w:tc>
        <w:tc>
          <w:tcPr>
            <w:tcW w:w="603" w:type="pct"/>
            <w:noWrap/>
            <w:tcMar>
              <w:left w:w="28" w:type="dxa"/>
              <w:right w:w="28" w:type="dxa"/>
            </w:tcMar>
          </w:tcPr>
          <w:p w:rsidR="00475C78" w:rsidRPr="00684DD8" w:rsidRDefault="00475C78" w:rsidP="005727F0">
            <w:pPr>
              <w:keepNext/>
              <w:widowControl/>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595" w:type="pct"/>
            <w:noWrap/>
            <w:tcMar>
              <w:left w:w="28" w:type="dxa"/>
              <w:right w:w="28" w:type="dxa"/>
            </w:tcMar>
          </w:tcPr>
          <w:p w:rsidR="00475C78" w:rsidRPr="00684DD8" w:rsidRDefault="00475C78" w:rsidP="005727F0">
            <w:pPr>
              <w:keepNext/>
              <w:widowControl/>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585" w:type="pct"/>
            <w:noWrap/>
            <w:tcMar>
              <w:left w:w="28" w:type="dxa"/>
              <w:right w:w="28" w:type="dxa"/>
            </w:tcMar>
          </w:tcPr>
          <w:p w:rsidR="00475C78" w:rsidRPr="00684DD8" w:rsidRDefault="00475C78" w:rsidP="005727F0">
            <w:pPr>
              <w:keepNext/>
              <w:widowControl/>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602" w:type="pct"/>
            <w:noWrap/>
            <w:tcMar>
              <w:left w:w="28" w:type="dxa"/>
              <w:right w:w="28" w:type="dxa"/>
            </w:tcMar>
          </w:tcPr>
          <w:p w:rsidR="00475C78" w:rsidRPr="00684DD8" w:rsidRDefault="00475C78" w:rsidP="005727F0">
            <w:pPr>
              <w:keepNext/>
              <w:widowControl/>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c>
          <w:tcPr>
            <w:tcW w:w="585" w:type="pct"/>
            <w:noWrap/>
            <w:tcMar>
              <w:left w:w="28" w:type="dxa"/>
              <w:right w:w="28" w:type="dxa"/>
            </w:tcMar>
          </w:tcPr>
          <w:p w:rsidR="00475C78" w:rsidRPr="00684DD8" w:rsidRDefault="00475C78" w:rsidP="005727F0">
            <w:pPr>
              <w:keepNext/>
              <w:widowControl/>
              <w:jc w:val="right"/>
              <w:rPr>
                <w:rFonts w:ascii="Arial Narrow" w:hAnsi="Arial Narrow"/>
                <w:b/>
                <w:sz w:val="20"/>
              </w:rPr>
            </w:pPr>
            <w:r w:rsidRPr="00684DD8">
              <w:rPr>
                <w:rFonts w:ascii="Arial Narrow" w:hAnsi="Arial Narrow"/>
                <w:b/>
                <w:sz w:val="20"/>
              </w:rPr>
              <w:t>$</w:t>
            </w:r>
            <w:r w:rsidR="00D34A67">
              <w:rPr>
                <w:rFonts w:ascii="Arial Narrow" w:hAnsi="Arial Narrow"/>
                <w:b/>
                <w:noProof/>
                <w:color w:val="000000"/>
                <w:sz w:val="20"/>
                <w:highlight w:val="black"/>
              </w:rPr>
              <w:t>'''''''''''''''''''</w:t>
            </w:r>
          </w:p>
        </w:tc>
      </w:tr>
    </w:tbl>
    <w:p w:rsidR="00475C78" w:rsidRPr="00684DD8" w:rsidRDefault="00475C78" w:rsidP="00475C78">
      <w:pPr>
        <w:ind w:firstLine="720"/>
        <w:rPr>
          <w:rFonts w:ascii="Arial Narrow" w:hAnsi="Arial Narrow"/>
          <w:sz w:val="18"/>
          <w:szCs w:val="18"/>
        </w:rPr>
      </w:pPr>
      <w:r w:rsidRPr="00684DD8">
        <w:rPr>
          <w:rFonts w:ascii="Arial Narrow" w:hAnsi="Arial Narrow"/>
          <w:sz w:val="18"/>
          <w:szCs w:val="18"/>
        </w:rPr>
        <w:t>Source: Table F.2-1, p274 of the resubmission</w:t>
      </w:r>
    </w:p>
    <w:p w:rsidR="00475C78" w:rsidRPr="00684DD8" w:rsidRDefault="00475C78" w:rsidP="00475C78">
      <w:pPr>
        <w:ind w:firstLine="720"/>
        <w:rPr>
          <w:rFonts w:ascii="Arial Narrow" w:hAnsi="Arial Narrow"/>
          <w:sz w:val="18"/>
          <w:szCs w:val="18"/>
        </w:rPr>
      </w:pPr>
      <w:r w:rsidRPr="00684DD8">
        <w:rPr>
          <w:rFonts w:ascii="Arial Narrow" w:hAnsi="Arial Narrow"/>
          <w:sz w:val="18"/>
          <w:szCs w:val="18"/>
        </w:rPr>
        <w:t>PBS = Pharmaceutical Benefits Scheme; RPBS = Repatriation Pharmaceutical Benefits Scheme</w:t>
      </w:r>
    </w:p>
    <w:p w:rsidR="0045738D" w:rsidRPr="00684DD8" w:rsidRDefault="0045738D" w:rsidP="0079023D">
      <w:pPr>
        <w:rPr>
          <w:szCs w:val="22"/>
        </w:rPr>
      </w:pPr>
    </w:p>
    <w:p w:rsidR="00E2181D" w:rsidRPr="00E2181D" w:rsidRDefault="00E2181D" w:rsidP="00E2181D">
      <w:pPr>
        <w:pStyle w:val="ListParagraph"/>
        <w:widowControl/>
        <w:rPr>
          <w:szCs w:val="22"/>
        </w:rPr>
      </w:pPr>
      <w:r>
        <w:rPr>
          <w:szCs w:val="24"/>
        </w:rPr>
        <w:t>The redacted table shows that a</w:t>
      </w:r>
      <w:r w:rsidRPr="00DE39BD">
        <w:rPr>
          <w:szCs w:val="24"/>
        </w:rPr>
        <w:t>t year 5, the estimated number of patients was</w:t>
      </w:r>
      <w:r>
        <w:rPr>
          <w:szCs w:val="24"/>
        </w:rPr>
        <w:t xml:space="preserve"> less than 10,000 per year.</w:t>
      </w:r>
    </w:p>
    <w:p w:rsidR="00E2181D" w:rsidRDefault="00E2181D" w:rsidP="00E2181D">
      <w:pPr>
        <w:pStyle w:val="ListParagraph"/>
        <w:widowControl/>
        <w:rPr>
          <w:szCs w:val="22"/>
        </w:rPr>
      </w:pPr>
    </w:p>
    <w:p w:rsidR="0045738D" w:rsidRPr="00684DD8" w:rsidRDefault="0045738D" w:rsidP="008B4389">
      <w:pPr>
        <w:pStyle w:val="ListParagraph"/>
        <w:widowControl/>
        <w:numPr>
          <w:ilvl w:val="1"/>
          <w:numId w:val="1"/>
        </w:numPr>
        <w:rPr>
          <w:szCs w:val="22"/>
        </w:rPr>
      </w:pPr>
      <w:r w:rsidRPr="00684DD8">
        <w:rPr>
          <w:szCs w:val="22"/>
        </w:rPr>
        <w:t xml:space="preserve">The ESC advised that an alternative risk-share cap with a 100% rebate of any cost beyond the estimate of treated patients receiving </w:t>
      </w:r>
      <w:r w:rsidR="00D34A67">
        <w:rPr>
          <w:noProof/>
          <w:color w:val="000000"/>
          <w:szCs w:val="22"/>
          <w:highlight w:val="black"/>
        </w:rPr>
        <w:t>''''''</w:t>
      </w:r>
      <w:r w:rsidRPr="00684DD8">
        <w:rPr>
          <w:szCs w:val="22"/>
        </w:rPr>
        <w:t xml:space="preserve"> vials per patient could help manage the financial risk of patients remaining on prolonged </w:t>
      </w:r>
      <w:proofErr w:type="spellStart"/>
      <w:r w:rsidRPr="00684DD8">
        <w:rPr>
          <w:szCs w:val="22"/>
        </w:rPr>
        <w:t>blinatumomab</w:t>
      </w:r>
      <w:proofErr w:type="spellEnd"/>
      <w:r w:rsidRPr="00684DD8">
        <w:rPr>
          <w:szCs w:val="22"/>
        </w:rPr>
        <w:t xml:space="preserve"> maintenance therapy, </w:t>
      </w:r>
      <w:r w:rsidR="00684DD8" w:rsidRPr="00684DD8">
        <w:rPr>
          <w:szCs w:val="22"/>
        </w:rPr>
        <w:t>and</w:t>
      </w:r>
      <w:r w:rsidRPr="00684DD8">
        <w:rPr>
          <w:szCs w:val="22"/>
        </w:rPr>
        <w:t xml:space="preserve"> the possibility of </w:t>
      </w:r>
      <w:r w:rsidR="001721A4">
        <w:rPr>
          <w:szCs w:val="22"/>
        </w:rPr>
        <w:t>use</w:t>
      </w:r>
      <w:r w:rsidR="001721A4" w:rsidRPr="00684DD8">
        <w:rPr>
          <w:szCs w:val="22"/>
        </w:rPr>
        <w:t xml:space="preserve"> </w:t>
      </w:r>
      <w:r w:rsidRPr="00684DD8">
        <w:rPr>
          <w:szCs w:val="22"/>
        </w:rPr>
        <w:t>beyond the estimated number of patients to older teenagers</w:t>
      </w:r>
      <w:r w:rsidR="0079023D" w:rsidRPr="00684DD8">
        <w:rPr>
          <w:szCs w:val="22"/>
        </w:rPr>
        <w:t>.</w:t>
      </w:r>
    </w:p>
    <w:p w:rsidR="00F448D9" w:rsidRPr="00684DD8" w:rsidRDefault="00F448D9" w:rsidP="00F448D9">
      <w:pPr>
        <w:widowControl/>
        <w:rPr>
          <w:szCs w:val="22"/>
        </w:rPr>
      </w:pPr>
    </w:p>
    <w:p w:rsidR="0045738D" w:rsidRPr="00684DD8" w:rsidRDefault="0045738D" w:rsidP="0045738D">
      <w:pPr>
        <w:widowControl/>
        <w:rPr>
          <w:b/>
          <w:i/>
          <w:szCs w:val="22"/>
        </w:rPr>
      </w:pPr>
      <w:r w:rsidRPr="00684DD8">
        <w:rPr>
          <w:b/>
          <w:i/>
          <w:szCs w:val="22"/>
        </w:rPr>
        <w:t>Possible alternative approach to PBS listing</w:t>
      </w:r>
    </w:p>
    <w:p w:rsidR="00EB2C86" w:rsidRPr="00684DD8" w:rsidRDefault="00EB2C86" w:rsidP="00475C78">
      <w:pPr>
        <w:rPr>
          <w:szCs w:val="22"/>
        </w:rPr>
      </w:pPr>
    </w:p>
    <w:p w:rsidR="00EB2C86" w:rsidRPr="00684DD8" w:rsidRDefault="00EB2C86" w:rsidP="008B4389">
      <w:pPr>
        <w:pStyle w:val="ListParagraph"/>
        <w:widowControl/>
        <w:numPr>
          <w:ilvl w:val="1"/>
          <w:numId w:val="1"/>
        </w:numPr>
        <w:rPr>
          <w:szCs w:val="22"/>
        </w:rPr>
      </w:pPr>
      <w:r w:rsidRPr="00684DD8">
        <w:rPr>
          <w:szCs w:val="22"/>
        </w:rPr>
        <w:t xml:space="preserve">The </w:t>
      </w:r>
      <w:r w:rsidR="00B408F1" w:rsidRPr="00684DD8">
        <w:rPr>
          <w:szCs w:val="22"/>
        </w:rPr>
        <w:t xml:space="preserve">proposed </w:t>
      </w:r>
      <w:r w:rsidRPr="00684DD8">
        <w:rPr>
          <w:szCs w:val="22"/>
        </w:rPr>
        <w:t xml:space="preserve">managed entry scheme aimed to address the clinical uncertainty surrounding the efficacy of </w:t>
      </w:r>
      <w:proofErr w:type="spellStart"/>
      <w:r w:rsidRPr="00684DD8">
        <w:rPr>
          <w:szCs w:val="22"/>
        </w:rPr>
        <w:t>blinatumomab</w:t>
      </w:r>
      <w:proofErr w:type="spellEnd"/>
      <w:r w:rsidRPr="00684DD8">
        <w:rPr>
          <w:szCs w:val="22"/>
        </w:rPr>
        <w:t xml:space="preserve"> and </w:t>
      </w:r>
      <w:r w:rsidR="00C926FC" w:rsidRPr="00684DD8">
        <w:rPr>
          <w:szCs w:val="22"/>
        </w:rPr>
        <w:t>standard care</w:t>
      </w:r>
      <w:r w:rsidRPr="00684DD8">
        <w:rPr>
          <w:szCs w:val="22"/>
        </w:rPr>
        <w:t xml:space="preserve"> chemotherapy</w:t>
      </w:r>
      <w:r w:rsidR="00B81357" w:rsidRPr="00684DD8">
        <w:rPr>
          <w:szCs w:val="22"/>
        </w:rPr>
        <w:t>,</w:t>
      </w:r>
      <w:r w:rsidRPr="00684DD8">
        <w:rPr>
          <w:szCs w:val="22"/>
        </w:rPr>
        <w:t xml:space="preserve"> and the rate of allogeneic HSCT.</w:t>
      </w:r>
    </w:p>
    <w:p w:rsidR="00EB2C86" w:rsidRPr="00684DD8" w:rsidRDefault="00EB2C86" w:rsidP="00EB2C86">
      <w:pPr>
        <w:rPr>
          <w:szCs w:val="22"/>
        </w:rPr>
      </w:pPr>
    </w:p>
    <w:p w:rsidR="00EF7AFA" w:rsidRPr="00684DD8" w:rsidRDefault="007514FF" w:rsidP="008B4389">
      <w:pPr>
        <w:pStyle w:val="ListParagraph"/>
        <w:widowControl/>
        <w:numPr>
          <w:ilvl w:val="1"/>
          <w:numId w:val="1"/>
        </w:numPr>
        <w:rPr>
          <w:szCs w:val="22"/>
        </w:rPr>
      </w:pPr>
      <w:r w:rsidRPr="00684DD8">
        <w:rPr>
          <w:szCs w:val="22"/>
        </w:rPr>
        <w:lastRenderedPageBreak/>
        <w:t xml:space="preserve">The </w:t>
      </w:r>
      <w:r w:rsidR="00481C66" w:rsidRPr="00684DD8">
        <w:rPr>
          <w:szCs w:val="22"/>
        </w:rPr>
        <w:t>resubmission</w:t>
      </w:r>
      <w:r w:rsidR="00A82D97" w:rsidRPr="00684DD8">
        <w:rPr>
          <w:szCs w:val="22"/>
        </w:rPr>
        <w:t xml:space="preserve"> proposed that o</w:t>
      </w:r>
      <w:r w:rsidR="00EB2C86" w:rsidRPr="00684DD8">
        <w:rPr>
          <w:szCs w:val="22"/>
        </w:rPr>
        <w:t xml:space="preserve">verall survival data </w:t>
      </w:r>
      <w:r w:rsidRPr="00684DD8">
        <w:rPr>
          <w:szCs w:val="22"/>
        </w:rPr>
        <w:t xml:space="preserve">from the TOWER </w:t>
      </w:r>
      <w:r w:rsidR="00BA2F88" w:rsidRPr="00684DD8">
        <w:rPr>
          <w:szCs w:val="22"/>
        </w:rPr>
        <w:t>t</w:t>
      </w:r>
      <w:r w:rsidRPr="00684DD8">
        <w:rPr>
          <w:szCs w:val="22"/>
        </w:rPr>
        <w:t>rial sh</w:t>
      </w:r>
      <w:r w:rsidR="00EB2C86" w:rsidRPr="00684DD8">
        <w:rPr>
          <w:szCs w:val="22"/>
        </w:rPr>
        <w:t xml:space="preserve">ould be used to populate the economic model and determine a price of </w:t>
      </w:r>
      <w:proofErr w:type="spellStart"/>
      <w:r w:rsidR="00EB2C86" w:rsidRPr="00684DD8">
        <w:rPr>
          <w:szCs w:val="22"/>
        </w:rPr>
        <w:t>blinatumomab</w:t>
      </w:r>
      <w:proofErr w:type="spellEnd"/>
      <w:r w:rsidR="00EB2C86" w:rsidRPr="00684DD8">
        <w:rPr>
          <w:szCs w:val="22"/>
        </w:rPr>
        <w:t>, using the fixed ICER of $</w:t>
      </w:r>
      <w:r w:rsidR="000E14EC">
        <w:rPr>
          <w:szCs w:val="22"/>
        </w:rPr>
        <w:t>45,000</w:t>
      </w:r>
      <w:r w:rsidR="00E2181D">
        <w:rPr>
          <w:szCs w:val="22"/>
        </w:rPr>
        <w:t>/QALY</w:t>
      </w:r>
      <w:r w:rsidR="000E14EC">
        <w:rPr>
          <w:szCs w:val="22"/>
        </w:rPr>
        <w:t xml:space="preserve"> – </w:t>
      </w:r>
      <w:r w:rsidR="00E2181D">
        <w:rPr>
          <w:szCs w:val="22"/>
        </w:rPr>
        <w:t>$</w:t>
      </w:r>
      <w:r w:rsidR="00F7206D">
        <w:rPr>
          <w:szCs w:val="22"/>
        </w:rPr>
        <w:t>7</w:t>
      </w:r>
      <w:bookmarkStart w:id="82" w:name="_GoBack"/>
      <w:bookmarkEnd w:id="82"/>
      <w:r w:rsidR="000E14EC">
        <w:rPr>
          <w:szCs w:val="22"/>
        </w:rPr>
        <w:t>5,000</w:t>
      </w:r>
      <w:r w:rsidR="008D7841">
        <w:rPr>
          <w:szCs w:val="22"/>
        </w:rPr>
        <w:t>/QALY</w:t>
      </w:r>
      <w:r w:rsidR="00EB2C86" w:rsidRPr="00684DD8">
        <w:rPr>
          <w:szCs w:val="22"/>
        </w:rPr>
        <w:t xml:space="preserve">. </w:t>
      </w:r>
      <w:r w:rsidRPr="00684DD8">
        <w:rPr>
          <w:szCs w:val="22"/>
        </w:rPr>
        <w:t>This was the</w:t>
      </w:r>
      <w:r w:rsidR="001559CE" w:rsidRPr="00684DD8">
        <w:rPr>
          <w:szCs w:val="22"/>
        </w:rPr>
        <w:t xml:space="preserve"> base case</w:t>
      </w:r>
      <w:r w:rsidRPr="00684DD8">
        <w:rPr>
          <w:szCs w:val="22"/>
        </w:rPr>
        <w:t xml:space="preserve"> ICER calculated in the </w:t>
      </w:r>
      <w:r w:rsidR="00481C66" w:rsidRPr="00684DD8">
        <w:rPr>
          <w:szCs w:val="22"/>
        </w:rPr>
        <w:t>resubmission</w:t>
      </w:r>
      <w:r w:rsidR="001559CE" w:rsidRPr="00684DD8">
        <w:rPr>
          <w:szCs w:val="22"/>
        </w:rPr>
        <w:t>, using all patients in</w:t>
      </w:r>
      <w:r w:rsidR="008913AA" w:rsidRPr="00684DD8">
        <w:rPr>
          <w:szCs w:val="22"/>
        </w:rPr>
        <w:t xml:space="preserve"> the</w:t>
      </w:r>
      <w:r w:rsidR="001559CE" w:rsidRPr="00684DD8">
        <w:rPr>
          <w:szCs w:val="22"/>
        </w:rPr>
        <w:t xml:space="preserve"> historical control to populate the standard care arm. </w:t>
      </w:r>
    </w:p>
    <w:p w:rsidR="00EF7AFA" w:rsidRPr="00684DD8" w:rsidRDefault="00EF7AFA" w:rsidP="00EF7AFA">
      <w:pPr>
        <w:rPr>
          <w:highlight w:val="yellow"/>
        </w:rPr>
      </w:pPr>
    </w:p>
    <w:p w:rsidR="00EF7AFA" w:rsidRPr="00684DD8" w:rsidRDefault="0079023D" w:rsidP="008B4389">
      <w:pPr>
        <w:pStyle w:val="ListParagraph"/>
        <w:widowControl/>
        <w:numPr>
          <w:ilvl w:val="1"/>
          <w:numId w:val="1"/>
        </w:numPr>
        <w:rPr>
          <w:szCs w:val="22"/>
        </w:rPr>
      </w:pPr>
      <w:r w:rsidRPr="00684DD8">
        <w:t>The ESC considered that i</w:t>
      </w:r>
      <w:r w:rsidR="00EF7AFA" w:rsidRPr="00684DD8">
        <w:t xml:space="preserve">t is likely that data from the TOWER </w:t>
      </w:r>
      <w:r w:rsidR="00BA2F88" w:rsidRPr="00684DD8">
        <w:t>t</w:t>
      </w:r>
      <w:r w:rsidR="00EF7AFA" w:rsidRPr="00684DD8">
        <w:t xml:space="preserve">rial would reduce uncertainty in the economic </w:t>
      </w:r>
      <w:r w:rsidR="00684DD8" w:rsidRPr="00684DD8">
        <w:t>model,</w:t>
      </w:r>
      <w:r w:rsidR="00EF7AFA" w:rsidRPr="00684DD8">
        <w:t xml:space="preserve"> as it would provide a more robust assessment of </w:t>
      </w:r>
      <w:proofErr w:type="spellStart"/>
      <w:r w:rsidR="00EF7AFA" w:rsidRPr="00684DD8">
        <w:t>blinatumomab</w:t>
      </w:r>
      <w:proofErr w:type="spellEnd"/>
      <w:r w:rsidR="00EF7AFA" w:rsidRPr="00684DD8">
        <w:t xml:space="preserve"> versus </w:t>
      </w:r>
      <w:r w:rsidR="00C926FC" w:rsidRPr="00684DD8">
        <w:t>standard care</w:t>
      </w:r>
      <w:r w:rsidR="00EF7AFA" w:rsidRPr="00684DD8">
        <w:t xml:space="preserve"> chemotherapy and of allogeneic HSCT rates. However, without full evaluation</w:t>
      </w:r>
      <w:r w:rsidRPr="00684DD8">
        <w:t>,</w:t>
      </w:r>
      <w:r w:rsidR="00EF7AFA" w:rsidRPr="00684DD8">
        <w:t xml:space="preserve"> it </w:t>
      </w:r>
      <w:r w:rsidR="0032763B" w:rsidRPr="00684DD8">
        <w:t>would be</w:t>
      </w:r>
      <w:r w:rsidR="00EF7AFA" w:rsidRPr="00684DD8">
        <w:t xml:space="preserve"> difficult to assess the applicability of the TOWER </w:t>
      </w:r>
      <w:r w:rsidR="00BA2F88" w:rsidRPr="00684DD8">
        <w:t>t</w:t>
      </w:r>
      <w:r w:rsidR="0045738D" w:rsidRPr="00684DD8">
        <w:t>rial</w:t>
      </w:r>
      <w:r w:rsidR="00EF7AFA" w:rsidRPr="00684DD8">
        <w:t xml:space="preserve"> to the Australian population, the reliability of the results and the suitability of the results to populate the economic model. Given the early termination of the TOWER </w:t>
      </w:r>
      <w:r w:rsidR="00BA2F88" w:rsidRPr="00684DD8">
        <w:t>t</w:t>
      </w:r>
      <w:r w:rsidR="00EF7AFA" w:rsidRPr="00684DD8">
        <w:t xml:space="preserve">rial, it </w:t>
      </w:r>
      <w:r w:rsidR="0032763B" w:rsidRPr="00684DD8">
        <w:t>wa</w:t>
      </w:r>
      <w:r w:rsidR="00EF7AFA" w:rsidRPr="00684DD8">
        <w:t>s also unlikely that this trial would provide adequate longer-term data for a modelled assessment of benefits and harms.</w:t>
      </w:r>
    </w:p>
    <w:p w:rsidR="00EF7AFA" w:rsidRPr="00684DD8" w:rsidRDefault="00EF7AFA" w:rsidP="00EF7AFA">
      <w:pPr>
        <w:widowControl/>
        <w:rPr>
          <w:szCs w:val="22"/>
        </w:rPr>
      </w:pPr>
    </w:p>
    <w:p w:rsidR="00EB2C86" w:rsidRPr="00684DD8" w:rsidRDefault="007514FF" w:rsidP="008B4389">
      <w:pPr>
        <w:pStyle w:val="ListParagraph"/>
        <w:widowControl/>
        <w:numPr>
          <w:ilvl w:val="1"/>
          <w:numId w:val="1"/>
        </w:numPr>
        <w:rPr>
          <w:szCs w:val="22"/>
        </w:rPr>
      </w:pPr>
      <w:r w:rsidRPr="00684DD8">
        <w:rPr>
          <w:szCs w:val="22"/>
        </w:rPr>
        <w:t xml:space="preserve">In November 2015, the PBAC considered the economic model </w:t>
      </w:r>
      <w:r w:rsidR="00FD0C36" w:rsidRPr="00684DD8">
        <w:rPr>
          <w:szCs w:val="22"/>
        </w:rPr>
        <w:t xml:space="preserve">was likely to be optimistic and </w:t>
      </w:r>
      <w:r w:rsidRPr="00684DD8">
        <w:rPr>
          <w:szCs w:val="22"/>
        </w:rPr>
        <w:t xml:space="preserve">unreliable for </w:t>
      </w:r>
      <w:r w:rsidR="00684DD8" w:rsidRPr="00684DD8">
        <w:rPr>
          <w:szCs w:val="22"/>
        </w:rPr>
        <w:t>decision-making</w:t>
      </w:r>
      <w:r w:rsidRPr="00684DD8">
        <w:rPr>
          <w:szCs w:val="22"/>
        </w:rPr>
        <w:t xml:space="preserve">. </w:t>
      </w:r>
      <w:r w:rsidR="00B81357" w:rsidRPr="00684DD8">
        <w:rPr>
          <w:szCs w:val="22"/>
        </w:rPr>
        <w:t>As t</w:t>
      </w:r>
      <w:r w:rsidRPr="00684DD8">
        <w:rPr>
          <w:szCs w:val="22"/>
        </w:rPr>
        <w:t xml:space="preserve">he </w:t>
      </w:r>
      <w:r w:rsidR="00481C66" w:rsidRPr="00684DD8">
        <w:rPr>
          <w:szCs w:val="22"/>
        </w:rPr>
        <w:t>resubmission</w:t>
      </w:r>
      <w:r w:rsidRPr="00684DD8">
        <w:rPr>
          <w:szCs w:val="22"/>
        </w:rPr>
        <w:t xml:space="preserve"> did not address all the concerns raised by the PBAC, the economic model remained unreliable and it might not be valid to use the model to determine the </w:t>
      </w:r>
      <w:proofErr w:type="spellStart"/>
      <w:r w:rsidRPr="00684DD8">
        <w:rPr>
          <w:szCs w:val="22"/>
        </w:rPr>
        <w:t>blinatumomab</w:t>
      </w:r>
      <w:proofErr w:type="spellEnd"/>
      <w:r w:rsidRPr="00684DD8">
        <w:rPr>
          <w:szCs w:val="22"/>
        </w:rPr>
        <w:t xml:space="preserve"> price.</w:t>
      </w:r>
      <w:r w:rsidR="00FB2B16" w:rsidRPr="00684DD8">
        <w:t xml:space="preserve"> The ESC considered it unlikely that the incorporation of the TOWER trial results into the existing model would be informative.</w:t>
      </w:r>
    </w:p>
    <w:p w:rsidR="00EB2C86" w:rsidRPr="00684DD8" w:rsidRDefault="00EB2C86" w:rsidP="00EB2C86">
      <w:pPr>
        <w:rPr>
          <w:szCs w:val="22"/>
        </w:rPr>
      </w:pPr>
    </w:p>
    <w:p w:rsidR="00EB2C86" w:rsidRPr="00684DD8" w:rsidRDefault="007514FF" w:rsidP="008B4389">
      <w:pPr>
        <w:pStyle w:val="ListParagraph"/>
        <w:widowControl/>
        <w:numPr>
          <w:ilvl w:val="1"/>
          <w:numId w:val="1"/>
        </w:numPr>
        <w:rPr>
          <w:szCs w:val="22"/>
        </w:rPr>
      </w:pPr>
      <w:r w:rsidRPr="00684DD8">
        <w:rPr>
          <w:szCs w:val="22"/>
        </w:rPr>
        <w:t xml:space="preserve">Additionally, the </w:t>
      </w:r>
      <w:r w:rsidR="00481C66" w:rsidRPr="00684DD8">
        <w:rPr>
          <w:szCs w:val="22"/>
        </w:rPr>
        <w:t>resubmission</w:t>
      </w:r>
      <w:r w:rsidRPr="00684DD8">
        <w:rPr>
          <w:szCs w:val="22"/>
        </w:rPr>
        <w:t xml:space="preserve"> </w:t>
      </w:r>
      <w:r w:rsidR="003D0EB0" w:rsidRPr="00684DD8">
        <w:rPr>
          <w:szCs w:val="22"/>
        </w:rPr>
        <w:t>requested</w:t>
      </w:r>
      <w:r w:rsidRPr="00684DD8">
        <w:rPr>
          <w:szCs w:val="22"/>
        </w:rPr>
        <w:t xml:space="preserve"> that</w:t>
      </w:r>
      <w:r w:rsidR="00A82D97" w:rsidRPr="00684DD8">
        <w:rPr>
          <w:szCs w:val="22"/>
        </w:rPr>
        <w:t xml:space="preserve"> i</w:t>
      </w:r>
      <w:r w:rsidR="00EB2C86" w:rsidRPr="00684DD8">
        <w:rPr>
          <w:szCs w:val="22"/>
        </w:rPr>
        <w:t xml:space="preserve">f </w:t>
      </w:r>
      <w:r w:rsidR="00CE4756">
        <w:rPr>
          <w:szCs w:val="22"/>
        </w:rPr>
        <w:t xml:space="preserve">the proportion of patients undergoing an allogeneic HSCT in the </w:t>
      </w:r>
      <w:proofErr w:type="spellStart"/>
      <w:r w:rsidR="00CE4756">
        <w:rPr>
          <w:szCs w:val="22"/>
        </w:rPr>
        <w:t>blinatumomab</w:t>
      </w:r>
      <w:proofErr w:type="spellEnd"/>
      <w:r w:rsidR="00CE4756">
        <w:rPr>
          <w:szCs w:val="22"/>
        </w:rPr>
        <w:t xml:space="preserve"> arm </w:t>
      </w:r>
      <w:r w:rsidR="00E416B7">
        <w:rPr>
          <w:szCs w:val="22"/>
        </w:rPr>
        <w:t xml:space="preserve">in TOWER </w:t>
      </w:r>
      <w:r w:rsidR="00CE4756">
        <w:rPr>
          <w:szCs w:val="22"/>
        </w:rPr>
        <w:t xml:space="preserve">was </w:t>
      </w:r>
      <w:r w:rsidR="00EB2C86" w:rsidRPr="00684DD8">
        <w:rPr>
          <w:szCs w:val="22"/>
        </w:rPr>
        <w:t>more than</w:t>
      </w:r>
      <w:r w:rsidR="00CE4756">
        <w:rPr>
          <w:szCs w:val="22"/>
        </w:rPr>
        <w:t xml:space="preserve"> double the proportion in the</w:t>
      </w:r>
      <w:r w:rsidR="00EB2C86" w:rsidRPr="00684DD8">
        <w:rPr>
          <w:szCs w:val="22"/>
        </w:rPr>
        <w:t xml:space="preserve"> </w:t>
      </w:r>
      <w:r w:rsidR="00C926FC" w:rsidRPr="00684DD8">
        <w:rPr>
          <w:szCs w:val="22"/>
        </w:rPr>
        <w:t>standard care</w:t>
      </w:r>
      <w:r w:rsidR="00EB2C86" w:rsidRPr="00684DD8">
        <w:rPr>
          <w:szCs w:val="22"/>
        </w:rPr>
        <w:t xml:space="preserve"> ch</w:t>
      </w:r>
      <w:r w:rsidR="00B81357" w:rsidRPr="00684DD8">
        <w:rPr>
          <w:szCs w:val="22"/>
        </w:rPr>
        <w:t>emotherapy</w:t>
      </w:r>
      <w:r w:rsidR="00CE4756">
        <w:rPr>
          <w:szCs w:val="22"/>
        </w:rPr>
        <w:t xml:space="preserve"> arm</w:t>
      </w:r>
      <w:r w:rsidR="00B81357" w:rsidRPr="00684DD8">
        <w:rPr>
          <w:szCs w:val="22"/>
        </w:rPr>
        <w:t>, the rule of rescue c</w:t>
      </w:r>
      <w:r w:rsidR="00EB2C86" w:rsidRPr="00684DD8">
        <w:rPr>
          <w:szCs w:val="22"/>
        </w:rPr>
        <w:t>ould be enacted</w:t>
      </w:r>
      <w:r w:rsidRPr="00684DD8">
        <w:rPr>
          <w:szCs w:val="22"/>
        </w:rPr>
        <w:t xml:space="preserve">. The </w:t>
      </w:r>
      <w:r w:rsidR="00481C66" w:rsidRPr="00684DD8">
        <w:rPr>
          <w:szCs w:val="22"/>
        </w:rPr>
        <w:t>resubmission</w:t>
      </w:r>
      <w:r w:rsidRPr="00684DD8">
        <w:rPr>
          <w:szCs w:val="22"/>
        </w:rPr>
        <w:t xml:space="preserve"> interpreted </w:t>
      </w:r>
      <w:r w:rsidR="003D0EB0" w:rsidRPr="00684DD8">
        <w:rPr>
          <w:szCs w:val="22"/>
        </w:rPr>
        <w:t xml:space="preserve">this to mean </w:t>
      </w:r>
      <w:r w:rsidRPr="00684DD8">
        <w:rPr>
          <w:szCs w:val="22"/>
        </w:rPr>
        <w:t xml:space="preserve">that </w:t>
      </w:r>
      <w:r w:rsidR="00EB2C86" w:rsidRPr="00684DD8">
        <w:rPr>
          <w:szCs w:val="22"/>
        </w:rPr>
        <w:t xml:space="preserve">the ICER </w:t>
      </w:r>
      <w:r w:rsidRPr="00684DD8">
        <w:rPr>
          <w:szCs w:val="22"/>
        </w:rPr>
        <w:t xml:space="preserve">could be </w:t>
      </w:r>
      <w:r w:rsidR="00EB2C86" w:rsidRPr="00684DD8">
        <w:rPr>
          <w:szCs w:val="22"/>
        </w:rPr>
        <w:t>increased to</w:t>
      </w:r>
      <w:r w:rsidR="003D0EB0" w:rsidRPr="00684DD8">
        <w:rPr>
          <w:szCs w:val="22"/>
        </w:rPr>
        <w:t xml:space="preserve"> between</w:t>
      </w:r>
      <w:r w:rsidR="00EB2C86" w:rsidRPr="00684DD8">
        <w:rPr>
          <w:szCs w:val="22"/>
        </w:rPr>
        <w:t xml:space="preserve"> $75,000</w:t>
      </w:r>
      <w:r w:rsidR="003D0EB0" w:rsidRPr="00684DD8">
        <w:rPr>
          <w:szCs w:val="22"/>
        </w:rPr>
        <w:t xml:space="preserve"> and</w:t>
      </w:r>
      <w:r w:rsidRPr="00684DD8">
        <w:rPr>
          <w:szCs w:val="22"/>
        </w:rPr>
        <w:t xml:space="preserve"> </w:t>
      </w:r>
      <w:r w:rsidR="00EB2C86" w:rsidRPr="00684DD8">
        <w:rPr>
          <w:szCs w:val="22"/>
        </w:rPr>
        <w:t>$105,000</w:t>
      </w:r>
      <w:r w:rsidRPr="00684DD8">
        <w:rPr>
          <w:szCs w:val="22"/>
        </w:rPr>
        <w:t>,</w:t>
      </w:r>
      <w:r w:rsidR="00EB2C86" w:rsidRPr="00684DD8">
        <w:rPr>
          <w:szCs w:val="22"/>
        </w:rPr>
        <w:t xml:space="preserve"> and the</w:t>
      </w:r>
      <w:r w:rsidRPr="00684DD8">
        <w:rPr>
          <w:szCs w:val="22"/>
        </w:rPr>
        <w:t>n the</w:t>
      </w:r>
      <w:r w:rsidR="00EB2C86" w:rsidRPr="00684DD8">
        <w:rPr>
          <w:szCs w:val="22"/>
        </w:rPr>
        <w:t xml:space="preserve"> price of </w:t>
      </w:r>
      <w:proofErr w:type="spellStart"/>
      <w:r w:rsidR="00EB2C86" w:rsidRPr="00684DD8">
        <w:rPr>
          <w:szCs w:val="22"/>
        </w:rPr>
        <w:t>blinatumomab</w:t>
      </w:r>
      <w:proofErr w:type="spellEnd"/>
      <w:r w:rsidR="00EB2C86" w:rsidRPr="00684DD8">
        <w:rPr>
          <w:szCs w:val="22"/>
        </w:rPr>
        <w:t xml:space="preserve"> determined.</w:t>
      </w:r>
    </w:p>
    <w:p w:rsidR="0045738D" w:rsidRPr="00684DD8" w:rsidRDefault="0045738D" w:rsidP="0045738D">
      <w:pPr>
        <w:widowControl/>
        <w:rPr>
          <w:szCs w:val="22"/>
        </w:rPr>
      </w:pPr>
    </w:p>
    <w:p w:rsidR="0006074A" w:rsidRPr="00684DD8" w:rsidRDefault="00EC3FA0" w:rsidP="008B4389">
      <w:pPr>
        <w:pStyle w:val="ListParagraph"/>
        <w:widowControl/>
        <w:numPr>
          <w:ilvl w:val="1"/>
          <w:numId w:val="1"/>
        </w:numPr>
        <w:rPr>
          <w:szCs w:val="22"/>
        </w:rPr>
      </w:pPr>
      <w:r>
        <w:rPr>
          <w:szCs w:val="22"/>
        </w:rPr>
        <w:t>T</w:t>
      </w:r>
      <w:r w:rsidRPr="00684DD8">
        <w:rPr>
          <w:szCs w:val="22"/>
        </w:rPr>
        <w:t xml:space="preserve">he ESC suggested that the PBAC may wish to consider an alternative pragmatic approach to address the clinical uncertainty for a PBS listing </w:t>
      </w:r>
      <w:r>
        <w:rPr>
          <w:szCs w:val="22"/>
        </w:rPr>
        <w:t>g</w:t>
      </w:r>
      <w:r w:rsidR="0006074A" w:rsidRPr="00684DD8">
        <w:rPr>
          <w:szCs w:val="22"/>
        </w:rPr>
        <w:t xml:space="preserve">iven the small </w:t>
      </w:r>
      <w:r w:rsidR="00F75B51">
        <w:rPr>
          <w:szCs w:val="22"/>
        </w:rPr>
        <w:t xml:space="preserve">eligible </w:t>
      </w:r>
      <w:r w:rsidR="0006074A" w:rsidRPr="00684DD8">
        <w:rPr>
          <w:szCs w:val="22"/>
        </w:rPr>
        <w:t xml:space="preserve">patient </w:t>
      </w:r>
      <w:r w:rsidR="00F75B51">
        <w:rPr>
          <w:szCs w:val="22"/>
        </w:rPr>
        <w:t>population</w:t>
      </w:r>
      <w:r>
        <w:rPr>
          <w:szCs w:val="22"/>
        </w:rPr>
        <w:t xml:space="preserve">, </w:t>
      </w:r>
      <w:r w:rsidR="0006074A" w:rsidRPr="00684DD8">
        <w:rPr>
          <w:szCs w:val="22"/>
        </w:rPr>
        <w:t>the clinical need for more effective treatment for relapsed ALL</w:t>
      </w:r>
      <w:r w:rsidR="00FB2B16" w:rsidRPr="00684DD8">
        <w:rPr>
          <w:szCs w:val="22"/>
        </w:rPr>
        <w:t xml:space="preserve"> and the </w:t>
      </w:r>
      <w:r w:rsidR="0006074A" w:rsidRPr="00684DD8">
        <w:rPr>
          <w:szCs w:val="22"/>
        </w:rPr>
        <w:t xml:space="preserve">uncertainty surrounding the </w:t>
      </w:r>
      <w:r w:rsidR="00FB2B16" w:rsidRPr="00684DD8">
        <w:rPr>
          <w:szCs w:val="22"/>
        </w:rPr>
        <w:t xml:space="preserve">use of TOWER </w:t>
      </w:r>
      <w:r w:rsidR="00BA2F88" w:rsidRPr="00684DD8">
        <w:rPr>
          <w:szCs w:val="22"/>
        </w:rPr>
        <w:t>t</w:t>
      </w:r>
      <w:r w:rsidR="00FB2B16" w:rsidRPr="00684DD8">
        <w:rPr>
          <w:szCs w:val="22"/>
        </w:rPr>
        <w:t>rial results in the existing economic model</w:t>
      </w:r>
      <w:r w:rsidR="0032763B" w:rsidRPr="00684DD8">
        <w:rPr>
          <w:szCs w:val="22"/>
        </w:rPr>
        <w:t>.</w:t>
      </w:r>
    </w:p>
    <w:p w:rsidR="0006074A" w:rsidRPr="00684DD8" w:rsidRDefault="0006074A" w:rsidP="0006074A">
      <w:pPr>
        <w:rPr>
          <w:szCs w:val="22"/>
        </w:rPr>
      </w:pPr>
    </w:p>
    <w:p w:rsidR="00BE40C0" w:rsidRPr="00684DD8" w:rsidRDefault="00FB2B16" w:rsidP="008B4389">
      <w:pPr>
        <w:pStyle w:val="ListParagraph"/>
        <w:widowControl/>
        <w:numPr>
          <w:ilvl w:val="1"/>
          <w:numId w:val="1"/>
        </w:numPr>
        <w:rPr>
          <w:szCs w:val="22"/>
        </w:rPr>
      </w:pPr>
      <w:r w:rsidRPr="00684DD8">
        <w:rPr>
          <w:szCs w:val="22"/>
        </w:rPr>
        <w:t xml:space="preserve">The ESC </w:t>
      </w:r>
      <w:r w:rsidR="005C23C1" w:rsidRPr="00684DD8">
        <w:rPr>
          <w:szCs w:val="22"/>
        </w:rPr>
        <w:t>suggested</w:t>
      </w:r>
      <w:r w:rsidRPr="00684DD8">
        <w:rPr>
          <w:szCs w:val="22"/>
        </w:rPr>
        <w:t xml:space="preserve"> that </w:t>
      </w:r>
      <w:r w:rsidR="005C23C1" w:rsidRPr="00684DD8">
        <w:rPr>
          <w:szCs w:val="22"/>
        </w:rPr>
        <w:t xml:space="preserve">this </w:t>
      </w:r>
      <w:r w:rsidRPr="00684DD8">
        <w:rPr>
          <w:szCs w:val="22"/>
        </w:rPr>
        <w:t xml:space="preserve">alternative approach </w:t>
      </w:r>
      <w:r w:rsidR="005C23C1" w:rsidRPr="00684DD8">
        <w:rPr>
          <w:szCs w:val="22"/>
        </w:rPr>
        <w:t>might take the form of an initial PBS-listing based on the parameters of the existing economic model</w:t>
      </w:r>
      <w:r w:rsidRPr="00684DD8">
        <w:rPr>
          <w:szCs w:val="22"/>
        </w:rPr>
        <w:t xml:space="preserve">, with a review </w:t>
      </w:r>
      <w:r w:rsidR="005C23C1" w:rsidRPr="00684DD8">
        <w:rPr>
          <w:szCs w:val="22"/>
        </w:rPr>
        <w:t>of this listing after a period of two years</w:t>
      </w:r>
      <w:r w:rsidR="005C23C1" w:rsidRPr="00684DD8" w:rsidDel="005C23C1">
        <w:rPr>
          <w:szCs w:val="22"/>
        </w:rPr>
        <w:t xml:space="preserve"> </w:t>
      </w:r>
      <w:r w:rsidR="00C1217A" w:rsidRPr="00684DD8">
        <w:rPr>
          <w:szCs w:val="22"/>
        </w:rPr>
        <w:t>based on</w:t>
      </w:r>
      <w:r w:rsidRPr="00684DD8">
        <w:rPr>
          <w:szCs w:val="22"/>
        </w:rPr>
        <w:t xml:space="preserve"> the rate of successful transplant</w:t>
      </w:r>
      <w:r w:rsidR="005C23C1" w:rsidRPr="00684DD8">
        <w:rPr>
          <w:szCs w:val="22"/>
        </w:rPr>
        <w:t>s across</w:t>
      </w:r>
      <w:r w:rsidR="00BE40C0" w:rsidRPr="00684DD8">
        <w:rPr>
          <w:szCs w:val="22"/>
        </w:rPr>
        <w:t xml:space="preserve"> all patients treated with PBS-subsidised </w:t>
      </w:r>
      <w:proofErr w:type="spellStart"/>
      <w:r w:rsidR="00BE40C0" w:rsidRPr="00684DD8">
        <w:rPr>
          <w:szCs w:val="22"/>
        </w:rPr>
        <w:t>blinatumomab</w:t>
      </w:r>
      <w:proofErr w:type="spellEnd"/>
      <w:r w:rsidRPr="00684DD8">
        <w:rPr>
          <w:szCs w:val="22"/>
        </w:rPr>
        <w:t>.</w:t>
      </w:r>
      <w:r w:rsidR="0006074A" w:rsidRPr="00684DD8">
        <w:rPr>
          <w:szCs w:val="22"/>
        </w:rPr>
        <w:t xml:space="preserve"> The ESC noted that </w:t>
      </w:r>
      <w:r w:rsidR="00BE40C0" w:rsidRPr="00684DD8">
        <w:rPr>
          <w:szCs w:val="22"/>
        </w:rPr>
        <w:t xml:space="preserve">post-transplant survival </w:t>
      </w:r>
      <w:r w:rsidR="0006074A" w:rsidRPr="00684DD8">
        <w:rPr>
          <w:szCs w:val="22"/>
        </w:rPr>
        <w:t xml:space="preserve">is </w:t>
      </w:r>
      <w:r w:rsidR="00BE40C0" w:rsidRPr="00684DD8">
        <w:rPr>
          <w:szCs w:val="22"/>
        </w:rPr>
        <w:t>predictable</w:t>
      </w:r>
      <w:r w:rsidR="0006074A" w:rsidRPr="00684DD8">
        <w:rPr>
          <w:szCs w:val="22"/>
        </w:rPr>
        <w:t xml:space="preserve"> soon after transplant, and that a </w:t>
      </w:r>
      <w:r w:rsidR="00F75B51">
        <w:rPr>
          <w:szCs w:val="22"/>
        </w:rPr>
        <w:t xml:space="preserve">two </w:t>
      </w:r>
      <w:r w:rsidR="0006074A" w:rsidRPr="00684DD8">
        <w:rPr>
          <w:szCs w:val="22"/>
        </w:rPr>
        <w:t>year review period w</w:t>
      </w:r>
      <w:r w:rsidR="005C23C1" w:rsidRPr="00684DD8">
        <w:rPr>
          <w:szCs w:val="22"/>
        </w:rPr>
        <w:t>ould be</w:t>
      </w:r>
      <w:r w:rsidR="0006074A" w:rsidRPr="00684DD8">
        <w:rPr>
          <w:szCs w:val="22"/>
        </w:rPr>
        <w:t xml:space="preserve"> clinically appropriate</w:t>
      </w:r>
      <w:r w:rsidR="00920EEA" w:rsidRPr="00684DD8">
        <w:rPr>
          <w:szCs w:val="22"/>
        </w:rPr>
        <w:t xml:space="preserve">, depending on the rate of accrual of patients starting PBS-subsidised </w:t>
      </w:r>
      <w:proofErr w:type="spellStart"/>
      <w:r w:rsidR="00920EEA" w:rsidRPr="00684DD8">
        <w:rPr>
          <w:szCs w:val="22"/>
        </w:rPr>
        <w:t>blinatumomab</w:t>
      </w:r>
      <w:proofErr w:type="spellEnd"/>
      <w:r w:rsidR="00920EEA" w:rsidRPr="00684DD8">
        <w:rPr>
          <w:szCs w:val="22"/>
        </w:rPr>
        <w:t xml:space="preserve"> and PBAC</w:t>
      </w:r>
      <w:r w:rsidR="00E416B7">
        <w:rPr>
          <w:szCs w:val="22"/>
        </w:rPr>
        <w:t xml:space="preserve">’s </w:t>
      </w:r>
      <w:r w:rsidR="00C830B0">
        <w:rPr>
          <w:szCs w:val="22"/>
        </w:rPr>
        <w:t>advice on a</w:t>
      </w:r>
      <w:r w:rsidR="007D2F09">
        <w:rPr>
          <w:szCs w:val="22"/>
        </w:rPr>
        <w:t xml:space="preserve"> </w:t>
      </w:r>
      <w:r w:rsidR="00920EEA" w:rsidRPr="00684DD8">
        <w:rPr>
          <w:szCs w:val="22"/>
        </w:rPr>
        <w:t>reasonable sample size</w:t>
      </w:r>
      <w:r w:rsidR="0006074A" w:rsidRPr="00684DD8">
        <w:rPr>
          <w:szCs w:val="22"/>
        </w:rPr>
        <w:t xml:space="preserve">. </w:t>
      </w:r>
      <w:r w:rsidR="00BE40C0" w:rsidRPr="00684DD8">
        <w:rPr>
          <w:szCs w:val="22"/>
        </w:rPr>
        <w:t>The percentage</w:t>
      </w:r>
      <w:r w:rsidR="005C23C1" w:rsidRPr="00684DD8">
        <w:rPr>
          <w:szCs w:val="22"/>
        </w:rPr>
        <w:t>s</w:t>
      </w:r>
      <w:r w:rsidR="00BE40C0" w:rsidRPr="00684DD8">
        <w:rPr>
          <w:szCs w:val="22"/>
        </w:rPr>
        <w:t xml:space="preserve"> of patients achieving and </w:t>
      </w:r>
      <w:r w:rsidR="005C23C1" w:rsidRPr="00684DD8">
        <w:rPr>
          <w:szCs w:val="22"/>
        </w:rPr>
        <w:t xml:space="preserve">then </w:t>
      </w:r>
      <w:r w:rsidR="00BE40C0" w:rsidRPr="00684DD8">
        <w:rPr>
          <w:szCs w:val="22"/>
        </w:rPr>
        <w:t xml:space="preserve">surviving transplant could be compared to the </w:t>
      </w:r>
      <w:r w:rsidR="005C23C1" w:rsidRPr="00684DD8">
        <w:rPr>
          <w:szCs w:val="22"/>
        </w:rPr>
        <w:t xml:space="preserve">corresponding </w:t>
      </w:r>
      <w:r w:rsidR="00BE40C0" w:rsidRPr="00684DD8">
        <w:rPr>
          <w:szCs w:val="22"/>
        </w:rPr>
        <w:t>estimate</w:t>
      </w:r>
      <w:r w:rsidR="005C23C1" w:rsidRPr="00684DD8">
        <w:rPr>
          <w:szCs w:val="22"/>
        </w:rPr>
        <w:t>s</w:t>
      </w:r>
      <w:r w:rsidR="00BE40C0" w:rsidRPr="00684DD8">
        <w:rPr>
          <w:szCs w:val="22"/>
        </w:rPr>
        <w:t xml:space="preserve"> from </w:t>
      </w:r>
      <w:r w:rsidR="005C23C1" w:rsidRPr="00684DD8">
        <w:rPr>
          <w:szCs w:val="22"/>
        </w:rPr>
        <w:t xml:space="preserve">the </w:t>
      </w:r>
      <w:r w:rsidR="00C34C18" w:rsidRPr="00684DD8">
        <w:rPr>
          <w:szCs w:val="22"/>
        </w:rPr>
        <w:t xml:space="preserve">TOWER </w:t>
      </w:r>
      <w:r w:rsidR="00BA2F88" w:rsidRPr="00684DD8">
        <w:rPr>
          <w:szCs w:val="22"/>
        </w:rPr>
        <w:t>t</w:t>
      </w:r>
      <w:r w:rsidR="00BE40C0" w:rsidRPr="00684DD8">
        <w:rPr>
          <w:szCs w:val="22"/>
        </w:rPr>
        <w:t>rial</w:t>
      </w:r>
      <w:r w:rsidR="00C1217A" w:rsidRPr="00684DD8">
        <w:rPr>
          <w:szCs w:val="22"/>
        </w:rPr>
        <w:t xml:space="preserve">. </w:t>
      </w:r>
      <w:r w:rsidR="005C23C1" w:rsidRPr="00684DD8">
        <w:rPr>
          <w:szCs w:val="22"/>
        </w:rPr>
        <w:t xml:space="preserve">The observed percentages </w:t>
      </w:r>
      <w:r w:rsidR="00F75B51">
        <w:rPr>
          <w:szCs w:val="22"/>
        </w:rPr>
        <w:t>c</w:t>
      </w:r>
      <w:r w:rsidR="00F75B51" w:rsidRPr="00684DD8">
        <w:rPr>
          <w:szCs w:val="22"/>
        </w:rPr>
        <w:t xml:space="preserve">ould </w:t>
      </w:r>
      <w:r w:rsidR="005C23C1" w:rsidRPr="00684DD8">
        <w:rPr>
          <w:szCs w:val="22"/>
        </w:rPr>
        <w:t xml:space="preserve">be used in place of the </w:t>
      </w:r>
      <w:r w:rsidR="004325FB" w:rsidRPr="00684DD8">
        <w:rPr>
          <w:szCs w:val="22"/>
        </w:rPr>
        <w:t xml:space="preserve">TOWER-based </w:t>
      </w:r>
      <w:r w:rsidR="005C23C1" w:rsidRPr="00684DD8">
        <w:rPr>
          <w:szCs w:val="22"/>
        </w:rPr>
        <w:t xml:space="preserve">percentages, and, if necessary, the price of </w:t>
      </w:r>
      <w:proofErr w:type="spellStart"/>
      <w:r w:rsidR="005C23C1" w:rsidRPr="00684DD8">
        <w:rPr>
          <w:szCs w:val="22"/>
        </w:rPr>
        <w:t>blinatumomab</w:t>
      </w:r>
      <w:proofErr w:type="spellEnd"/>
      <w:r w:rsidR="005C23C1" w:rsidRPr="00684DD8">
        <w:rPr>
          <w:szCs w:val="22"/>
        </w:rPr>
        <w:t xml:space="preserve"> reduced to achieve the same ICER.</w:t>
      </w:r>
      <w:r w:rsidR="00B85DA4" w:rsidRPr="00684DD8">
        <w:rPr>
          <w:szCs w:val="22"/>
        </w:rPr>
        <w:t xml:space="preserve"> Consistent with similar existing arrangements, any price reduction would become the basis for rebating the extra cost of PBS-subsidised </w:t>
      </w:r>
      <w:proofErr w:type="spellStart"/>
      <w:r w:rsidR="00B85DA4" w:rsidRPr="00684DD8">
        <w:rPr>
          <w:szCs w:val="22"/>
        </w:rPr>
        <w:t>blinatumomab</w:t>
      </w:r>
      <w:proofErr w:type="spellEnd"/>
      <w:r w:rsidR="00B85DA4" w:rsidRPr="00684DD8">
        <w:rPr>
          <w:szCs w:val="22"/>
        </w:rPr>
        <w:t>, together with the appropriate rate of interest.</w:t>
      </w:r>
    </w:p>
    <w:p w:rsidR="00BE40C0" w:rsidRPr="00684DD8" w:rsidRDefault="00BE40C0" w:rsidP="00BE40C0">
      <w:pPr>
        <w:rPr>
          <w:szCs w:val="22"/>
        </w:rPr>
      </w:pPr>
    </w:p>
    <w:p w:rsidR="00FB2B16" w:rsidRPr="00684DD8" w:rsidRDefault="0006074A" w:rsidP="008B4389">
      <w:pPr>
        <w:pStyle w:val="ListParagraph"/>
        <w:widowControl/>
        <w:numPr>
          <w:ilvl w:val="1"/>
          <w:numId w:val="1"/>
        </w:numPr>
        <w:rPr>
          <w:szCs w:val="22"/>
        </w:rPr>
      </w:pPr>
      <w:r w:rsidRPr="00684DD8">
        <w:rPr>
          <w:szCs w:val="22"/>
        </w:rPr>
        <w:lastRenderedPageBreak/>
        <w:t xml:space="preserve">The ESC noted that such an arrangement would require a willingness from the sponsor to </w:t>
      </w:r>
      <w:r w:rsidR="00B85DA4" w:rsidRPr="00684DD8">
        <w:rPr>
          <w:szCs w:val="22"/>
        </w:rPr>
        <w:t xml:space="preserve">fund the </w:t>
      </w:r>
      <w:r w:rsidRPr="00684DD8">
        <w:rPr>
          <w:szCs w:val="22"/>
        </w:rPr>
        <w:t>collect</w:t>
      </w:r>
      <w:r w:rsidR="00B85DA4" w:rsidRPr="00684DD8">
        <w:rPr>
          <w:szCs w:val="22"/>
        </w:rPr>
        <w:t>ion of</w:t>
      </w:r>
      <w:r w:rsidRPr="00684DD8">
        <w:rPr>
          <w:szCs w:val="22"/>
        </w:rPr>
        <w:t xml:space="preserve"> data on HSCT rates to inform the effectiveness </w:t>
      </w:r>
      <w:r w:rsidR="00C34C18" w:rsidRPr="00684DD8">
        <w:rPr>
          <w:szCs w:val="22"/>
        </w:rPr>
        <w:t>and ongoing cost-</w:t>
      </w:r>
      <w:r w:rsidRPr="00684DD8">
        <w:rPr>
          <w:szCs w:val="22"/>
        </w:rPr>
        <w:t xml:space="preserve">effectiveness of </w:t>
      </w:r>
      <w:proofErr w:type="spellStart"/>
      <w:r w:rsidRPr="00684DD8">
        <w:rPr>
          <w:szCs w:val="22"/>
        </w:rPr>
        <w:t>blinatu</w:t>
      </w:r>
      <w:r w:rsidR="0032763B" w:rsidRPr="00684DD8">
        <w:rPr>
          <w:szCs w:val="22"/>
        </w:rPr>
        <w:t>momab</w:t>
      </w:r>
      <w:proofErr w:type="spellEnd"/>
      <w:r w:rsidR="0032763B" w:rsidRPr="00684DD8">
        <w:rPr>
          <w:szCs w:val="22"/>
        </w:rPr>
        <w:t>.</w:t>
      </w:r>
    </w:p>
    <w:p w:rsidR="00BE40C0" w:rsidRPr="00684DD8" w:rsidRDefault="00BE40C0" w:rsidP="00BE40C0">
      <w:pPr>
        <w:rPr>
          <w:szCs w:val="22"/>
        </w:rPr>
      </w:pPr>
    </w:p>
    <w:p w:rsidR="00BE40C0" w:rsidRPr="00684DD8" w:rsidRDefault="00B85DA4" w:rsidP="008B4389">
      <w:pPr>
        <w:pStyle w:val="ListParagraph"/>
        <w:widowControl/>
        <w:numPr>
          <w:ilvl w:val="1"/>
          <w:numId w:val="1"/>
        </w:numPr>
        <w:rPr>
          <w:szCs w:val="22"/>
        </w:rPr>
      </w:pPr>
      <w:r w:rsidRPr="00684DD8">
        <w:rPr>
          <w:szCs w:val="22"/>
        </w:rPr>
        <w:t>Consistent with similar existing arrangements, t</w:t>
      </w:r>
      <w:r w:rsidR="00BE40C0" w:rsidRPr="00684DD8">
        <w:rPr>
          <w:szCs w:val="22"/>
        </w:rPr>
        <w:t xml:space="preserve">he ESC further noted that possible outcomes following </w:t>
      </w:r>
      <w:r w:rsidR="00C1217A" w:rsidRPr="00684DD8">
        <w:rPr>
          <w:szCs w:val="22"/>
        </w:rPr>
        <w:t>collection of</w:t>
      </w:r>
      <w:r w:rsidR="00BE40C0" w:rsidRPr="00684DD8">
        <w:rPr>
          <w:szCs w:val="22"/>
        </w:rPr>
        <w:t xml:space="preserve"> patient</w:t>
      </w:r>
      <w:r w:rsidR="00C1217A" w:rsidRPr="00684DD8">
        <w:rPr>
          <w:szCs w:val="22"/>
        </w:rPr>
        <w:t xml:space="preserve"> survival</w:t>
      </w:r>
      <w:r w:rsidR="00BE40C0" w:rsidRPr="00684DD8">
        <w:rPr>
          <w:szCs w:val="22"/>
        </w:rPr>
        <w:t xml:space="preserve"> data could be that the price of </w:t>
      </w:r>
      <w:proofErr w:type="spellStart"/>
      <w:r w:rsidR="00BE40C0" w:rsidRPr="00684DD8">
        <w:rPr>
          <w:szCs w:val="22"/>
        </w:rPr>
        <w:t>blinatumomab</w:t>
      </w:r>
      <w:proofErr w:type="spellEnd"/>
      <w:r w:rsidR="00BE40C0" w:rsidRPr="00684DD8">
        <w:rPr>
          <w:szCs w:val="22"/>
        </w:rPr>
        <w:t xml:space="preserve"> </w:t>
      </w:r>
      <w:r w:rsidR="00C1217A" w:rsidRPr="00684DD8">
        <w:rPr>
          <w:szCs w:val="22"/>
        </w:rPr>
        <w:t>may</w:t>
      </w:r>
      <w:r w:rsidR="00BE40C0" w:rsidRPr="00684DD8">
        <w:rPr>
          <w:szCs w:val="22"/>
        </w:rPr>
        <w:t xml:space="preserve"> reduce, or that </w:t>
      </w:r>
      <w:proofErr w:type="spellStart"/>
      <w:r w:rsidR="00BE40C0" w:rsidRPr="00684DD8">
        <w:rPr>
          <w:szCs w:val="22"/>
        </w:rPr>
        <w:t>blinatumomab</w:t>
      </w:r>
      <w:proofErr w:type="spellEnd"/>
      <w:r w:rsidR="00BE40C0" w:rsidRPr="00684DD8">
        <w:rPr>
          <w:szCs w:val="22"/>
        </w:rPr>
        <w:t xml:space="preserve"> may be removed from the PBS, and noted that the management of all potential outcomes was a relevant consideration for the PBAC. </w:t>
      </w:r>
      <w:r w:rsidRPr="00684DD8">
        <w:rPr>
          <w:szCs w:val="22"/>
        </w:rPr>
        <w:t xml:space="preserve">For this reason, </w:t>
      </w:r>
      <w:r w:rsidR="00041683" w:rsidRPr="00684DD8">
        <w:rPr>
          <w:szCs w:val="22"/>
        </w:rPr>
        <w:t>a</w:t>
      </w:r>
      <w:r w:rsidR="00100E36" w:rsidRPr="00684DD8">
        <w:rPr>
          <w:szCs w:val="22"/>
        </w:rPr>
        <w:t xml:space="preserve"> note about these arrangements would need to be included in </w:t>
      </w:r>
      <w:r w:rsidR="00920EEA" w:rsidRPr="00684DD8">
        <w:rPr>
          <w:szCs w:val="22"/>
        </w:rPr>
        <w:t>any</w:t>
      </w:r>
      <w:r w:rsidR="00100E36" w:rsidRPr="00684DD8">
        <w:rPr>
          <w:szCs w:val="22"/>
        </w:rPr>
        <w:t xml:space="preserve"> PBS listing.</w:t>
      </w:r>
    </w:p>
    <w:p w:rsidR="00BF1C1E" w:rsidRPr="00684DD8" w:rsidRDefault="00BF1C1E" w:rsidP="00BF1C1E">
      <w:pPr>
        <w:rPr>
          <w:szCs w:val="22"/>
        </w:rPr>
      </w:pPr>
    </w:p>
    <w:p w:rsidR="00BF1C1E" w:rsidRPr="00684DD8" w:rsidRDefault="00BF1C1E" w:rsidP="008B4389">
      <w:pPr>
        <w:pStyle w:val="ListParagraph"/>
        <w:widowControl/>
        <w:numPr>
          <w:ilvl w:val="1"/>
          <w:numId w:val="1"/>
        </w:numPr>
        <w:rPr>
          <w:szCs w:val="22"/>
        </w:rPr>
      </w:pPr>
      <w:r w:rsidRPr="00684DD8">
        <w:rPr>
          <w:szCs w:val="22"/>
        </w:rPr>
        <w:t xml:space="preserve">The PBAC considered that a managed entry scheme (MES), modified from that proposed in the resubmission and from that suggested by the ESC, would be appropriate to address the primary uncertainty over the incremental proportion of patients alive two years after starting </w:t>
      </w:r>
      <w:proofErr w:type="spellStart"/>
      <w:r w:rsidRPr="00684DD8">
        <w:rPr>
          <w:szCs w:val="22"/>
        </w:rPr>
        <w:t>blinatumomab</w:t>
      </w:r>
      <w:proofErr w:type="spellEnd"/>
      <w:r w:rsidRPr="00684DD8">
        <w:rPr>
          <w:szCs w:val="22"/>
        </w:rPr>
        <w:t xml:space="preserve"> or current standard care therapy, while providing early access to those patients for whom there is a high clinical need</w:t>
      </w:r>
      <w:proofErr w:type="gramStart"/>
      <w:r w:rsidRPr="00684DD8">
        <w:rPr>
          <w:szCs w:val="22"/>
        </w:rPr>
        <w:t xml:space="preserve">.  </w:t>
      </w:r>
      <w:proofErr w:type="gramEnd"/>
      <w:r w:rsidRPr="00684DD8">
        <w:rPr>
          <w:szCs w:val="22"/>
        </w:rPr>
        <w:t>The PBAC noted that its recommendation to list initially was based on an ICER/QALY of $</w:t>
      </w:r>
      <w:r w:rsidR="000E14EC">
        <w:rPr>
          <w:szCs w:val="22"/>
        </w:rPr>
        <w:t>45,000 – 75,000</w:t>
      </w:r>
      <w:proofErr w:type="gramStart"/>
      <w:r w:rsidRPr="00684DD8">
        <w:rPr>
          <w:szCs w:val="22"/>
        </w:rPr>
        <w:t xml:space="preserve">.  </w:t>
      </w:r>
      <w:proofErr w:type="gramEnd"/>
      <w:r w:rsidRPr="00684DD8">
        <w:rPr>
          <w:szCs w:val="22"/>
        </w:rPr>
        <w:t>If the modelled survival holds true at the completion of any MES in the future, then this initial ICER is deemed to be of acceptable cost effectiveness</w:t>
      </w:r>
      <w:proofErr w:type="gramStart"/>
      <w:r w:rsidRPr="00684DD8">
        <w:rPr>
          <w:szCs w:val="22"/>
        </w:rPr>
        <w:t xml:space="preserve">.  </w:t>
      </w:r>
      <w:proofErr w:type="gramEnd"/>
      <w:r w:rsidRPr="00684DD8">
        <w:rPr>
          <w:szCs w:val="22"/>
        </w:rPr>
        <w:t xml:space="preserve">The PBAC considered that a MES for </w:t>
      </w:r>
      <w:proofErr w:type="spellStart"/>
      <w:r w:rsidRPr="00684DD8">
        <w:rPr>
          <w:szCs w:val="22"/>
        </w:rPr>
        <w:t>blinatumomab</w:t>
      </w:r>
      <w:proofErr w:type="spellEnd"/>
      <w:r w:rsidRPr="00684DD8">
        <w:rPr>
          <w:szCs w:val="22"/>
        </w:rPr>
        <w:t xml:space="preserve"> should be guided by the following conditions.</w:t>
      </w:r>
    </w:p>
    <w:p w:rsidR="00BF1C1E" w:rsidRPr="00684DD8" w:rsidRDefault="00BF1C1E" w:rsidP="00BF1C1E">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 xml:space="preserve">The initial price for </w:t>
      </w:r>
      <w:proofErr w:type="spellStart"/>
      <w:r w:rsidRPr="00684DD8">
        <w:rPr>
          <w:szCs w:val="22"/>
        </w:rPr>
        <w:t>blinatumomab</w:t>
      </w:r>
      <w:proofErr w:type="spellEnd"/>
      <w:r w:rsidRPr="00684DD8">
        <w:rPr>
          <w:szCs w:val="22"/>
        </w:rPr>
        <w:t xml:space="preserve"> in the MES would be established based on respecifying the base case of the submitted model to use only the weighted historical control data from patients diagnosed post-2000 for the comparator, which estimated an incremental QALYs gained of 0.73</w:t>
      </w:r>
      <w:proofErr w:type="gramStart"/>
      <w:r w:rsidRPr="00684DD8">
        <w:rPr>
          <w:szCs w:val="22"/>
        </w:rPr>
        <w:t xml:space="preserve">.  </w:t>
      </w:r>
      <w:proofErr w:type="gramEnd"/>
      <w:r w:rsidRPr="00684DD8">
        <w:rPr>
          <w:szCs w:val="22"/>
        </w:rPr>
        <w:t xml:space="preserve">The PBAC recommended this </w:t>
      </w:r>
      <w:proofErr w:type="spellStart"/>
      <w:r w:rsidRPr="00684DD8">
        <w:rPr>
          <w:szCs w:val="22"/>
        </w:rPr>
        <w:t>respecification</w:t>
      </w:r>
      <w:proofErr w:type="spellEnd"/>
      <w:r w:rsidRPr="00684DD8">
        <w:rPr>
          <w:szCs w:val="22"/>
        </w:rPr>
        <w:t xml:space="preserve"> to reflect more recent clinical management given that the model relied on a non-randomised comparison, and noted that it would be possible to back-calculate the </w:t>
      </w:r>
      <w:proofErr w:type="spellStart"/>
      <w:r w:rsidRPr="00684DD8">
        <w:rPr>
          <w:szCs w:val="22"/>
        </w:rPr>
        <w:t>blinatumomab</w:t>
      </w:r>
      <w:proofErr w:type="spellEnd"/>
      <w:r w:rsidRPr="00684DD8">
        <w:rPr>
          <w:szCs w:val="22"/>
        </w:rPr>
        <w:t xml:space="preserve"> price needed to make this model generate an ICER/QALY of $</w:t>
      </w:r>
      <w:r w:rsidR="000E14EC">
        <w:rPr>
          <w:szCs w:val="22"/>
        </w:rPr>
        <w:t xml:space="preserve">45,000 – </w:t>
      </w:r>
      <w:r w:rsidR="00E9610B">
        <w:rPr>
          <w:szCs w:val="22"/>
        </w:rPr>
        <w:t>$</w:t>
      </w:r>
      <w:r w:rsidR="000E14EC">
        <w:rPr>
          <w:szCs w:val="22"/>
        </w:rPr>
        <w:t>75,000</w:t>
      </w:r>
      <w:proofErr w:type="gramStart"/>
      <w:r w:rsidRPr="00684DD8">
        <w:rPr>
          <w:szCs w:val="22"/>
        </w:rPr>
        <w:t>.</w:t>
      </w:r>
      <w:r w:rsidR="00410E4B">
        <w:rPr>
          <w:szCs w:val="22"/>
        </w:rPr>
        <w:t xml:space="preserve">  </w:t>
      </w:r>
      <w:proofErr w:type="gramEnd"/>
      <w:r w:rsidR="00410E4B">
        <w:rPr>
          <w:szCs w:val="22"/>
        </w:rPr>
        <w:t>The PBAC noted that the back-calculation resulted in a reduction of the effective dispensed price from $</w:t>
      </w:r>
      <w:r w:rsidR="00D34A67">
        <w:rPr>
          <w:noProof/>
          <w:color w:val="000000"/>
          <w:szCs w:val="22"/>
          <w:highlight w:val="black"/>
        </w:rPr>
        <w:t>''''''''''''''''''</w:t>
      </w:r>
      <w:r w:rsidR="00410E4B">
        <w:rPr>
          <w:szCs w:val="22"/>
        </w:rPr>
        <w:t xml:space="preserve"> to $</w:t>
      </w:r>
      <w:r w:rsidR="00D34A67">
        <w:rPr>
          <w:noProof/>
          <w:color w:val="000000"/>
          <w:szCs w:val="22"/>
          <w:highlight w:val="black"/>
        </w:rPr>
        <w:t>'''''''''''''''''</w:t>
      </w:r>
      <w:r w:rsidR="00410E4B">
        <w:rPr>
          <w:szCs w:val="22"/>
        </w:rPr>
        <w:t>.</w:t>
      </w:r>
    </w:p>
    <w:p w:rsidR="00B90A69" w:rsidRPr="00684DD8" w:rsidRDefault="00B90A69" w:rsidP="00B90A69">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The possible outcomes following completion of the MES would be that either:</w:t>
      </w:r>
    </w:p>
    <w:p w:rsidR="00BF1C1E" w:rsidRPr="00684DD8" w:rsidRDefault="00BF1C1E" w:rsidP="00B90A69">
      <w:pPr>
        <w:pStyle w:val="ListParagraph"/>
        <w:widowControl/>
        <w:numPr>
          <w:ilvl w:val="0"/>
          <w:numId w:val="5"/>
        </w:numPr>
        <w:rPr>
          <w:szCs w:val="22"/>
        </w:rPr>
      </w:pPr>
      <w:r w:rsidRPr="00684DD8">
        <w:rPr>
          <w:szCs w:val="22"/>
        </w:rPr>
        <w:t xml:space="preserve">the price of </w:t>
      </w:r>
      <w:proofErr w:type="spellStart"/>
      <w:r w:rsidRPr="00684DD8">
        <w:rPr>
          <w:szCs w:val="22"/>
        </w:rPr>
        <w:t>blinatumomab</w:t>
      </w:r>
      <w:proofErr w:type="spellEnd"/>
      <w:r w:rsidRPr="00684DD8">
        <w:rPr>
          <w:szCs w:val="22"/>
        </w:rPr>
        <w:t xml:space="preserve"> would reduce; or</w:t>
      </w:r>
    </w:p>
    <w:p w:rsidR="00BF1C1E" w:rsidRPr="00684DD8" w:rsidRDefault="00BF1C1E" w:rsidP="00B90A69">
      <w:pPr>
        <w:pStyle w:val="ListParagraph"/>
        <w:widowControl/>
        <w:numPr>
          <w:ilvl w:val="0"/>
          <w:numId w:val="5"/>
        </w:numPr>
        <w:rPr>
          <w:szCs w:val="22"/>
        </w:rPr>
      </w:pPr>
      <w:proofErr w:type="gramStart"/>
      <w:r w:rsidRPr="00684DD8">
        <w:rPr>
          <w:szCs w:val="22"/>
        </w:rPr>
        <w:t>the</w:t>
      </w:r>
      <w:proofErr w:type="gramEnd"/>
      <w:r w:rsidRPr="00684DD8">
        <w:rPr>
          <w:szCs w:val="22"/>
        </w:rPr>
        <w:t xml:space="preserve"> price of </w:t>
      </w:r>
      <w:proofErr w:type="spellStart"/>
      <w:r w:rsidRPr="00684DD8">
        <w:rPr>
          <w:szCs w:val="22"/>
        </w:rPr>
        <w:t>blinatumomab</w:t>
      </w:r>
      <w:proofErr w:type="spellEnd"/>
      <w:r w:rsidRPr="00684DD8">
        <w:rPr>
          <w:szCs w:val="22"/>
        </w:rPr>
        <w:t xml:space="preserve"> would be maintained.</w:t>
      </w:r>
    </w:p>
    <w:p w:rsidR="00B90A69" w:rsidRPr="00684DD8" w:rsidRDefault="00B90A69" w:rsidP="00B90A69">
      <w:pPr>
        <w:widowControl/>
        <w:rPr>
          <w:szCs w:val="22"/>
        </w:rPr>
      </w:pPr>
    </w:p>
    <w:p w:rsidR="00BF1C1E" w:rsidRPr="00684DD8" w:rsidRDefault="00630051" w:rsidP="008B4389">
      <w:pPr>
        <w:pStyle w:val="ListParagraph"/>
        <w:widowControl/>
        <w:numPr>
          <w:ilvl w:val="1"/>
          <w:numId w:val="1"/>
        </w:numPr>
        <w:rPr>
          <w:szCs w:val="22"/>
        </w:rPr>
      </w:pPr>
      <w:r w:rsidRPr="00684DD8">
        <w:rPr>
          <w:szCs w:val="22"/>
        </w:rPr>
        <w:t>Entering into a MES</w:t>
      </w:r>
      <w:r w:rsidR="00BF1C1E" w:rsidRPr="00684DD8">
        <w:rPr>
          <w:szCs w:val="22"/>
        </w:rPr>
        <w:t xml:space="preserve"> places the financial burden on the Commonwealth for the upfront risk associated with the uncertain clinical benefit of </w:t>
      </w:r>
      <w:proofErr w:type="spellStart"/>
      <w:r w:rsidR="00BF1C1E" w:rsidRPr="00684DD8">
        <w:rPr>
          <w:szCs w:val="22"/>
        </w:rPr>
        <w:t>blinatumomab</w:t>
      </w:r>
      <w:proofErr w:type="spellEnd"/>
      <w:proofErr w:type="gramStart"/>
      <w:r w:rsidR="00BF1C1E" w:rsidRPr="00684DD8">
        <w:rPr>
          <w:szCs w:val="22"/>
        </w:rPr>
        <w:t xml:space="preserve">.  </w:t>
      </w:r>
      <w:proofErr w:type="gramEnd"/>
      <w:r w:rsidR="00BF1C1E" w:rsidRPr="00684DD8">
        <w:rPr>
          <w:szCs w:val="22"/>
        </w:rPr>
        <w:t xml:space="preserve">Accordingly, should the incremental proportion of patients alive two years </w:t>
      </w:r>
      <w:r w:rsidR="0014208B" w:rsidRPr="00684DD8">
        <w:rPr>
          <w:szCs w:val="22"/>
        </w:rPr>
        <w:t xml:space="preserve">(or 25 months, whichever is easiest for including in the model and/or obtaining from the trial) </w:t>
      </w:r>
      <w:r w:rsidR="00BF1C1E" w:rsidRPr="00684DD8">
        <w:rPr>
          <w:szCs w:val="22"/>
        </w:rPr>
        <w:t xml:space="preserve">after starting </w:t>
      </w:r>
      <w:proofErr w:type="spellStart"/>
      <w:r w:rsidR="00BF1C1E" w:rsidRPr="00684DD8">
        <w:rPr>
          <w:szCs w:val="22"/>
        </w:rPr>
        <w:t>blinatumomab</w:t>
      </w:r>
      <w:proofErr w:type="spellEnd"/>
      <w:r w:rsidR="00BF1C1E" w:rsidRPr="00684DD8">
        <w:rPr>
          <w:szCs w:val="22"/>
        </w:rPr>
        <w:t xml:space="preserve"> or current standard care therapy be smaller in the TOWER results than modelled from the non-randomised comparison, then the sponsor would rebate the Commonwealth taking account of the following:</w:t>
      </w:r>
    </w:p>
    <w:p w:rsidR="00BF1C1E" w:rsidRPr="00684DD8" w:rsidRDefault="00BF1C1E" w:rsidP="00B90A69">
      <w:pPr>
        <w:pStyle w:val="ListParagraph"/>
        <w:widowControl/>
        <w:numPr>
          <w:ilvl w:val="0"/>
          <w:numId w:val="5"/>
        </w:numPr>
        <w:rPr>
          <w:szCs w:val="22"/>
        </w:rPr>
      </w:pPr>
      <w:r w:rsidRPr="00684DD8">
        <w:rPr>
          <w:szCs w:val="22"/>
        </w:rPr>
        <w:t xml:space="preserve">the price reduction of </w:t>
      </w:r>
      <w:proofErr w:type="spellStart"/>
      <w:r w:rsidRPr="00684DD8">
        <w:rPr>
          <w:szCs w:val="22"/>
        </w:rPr>
        <w:t>blinatumomab</w:t>
      </w:r>
      <w:proofErr w:type="spellEnd"/>
      <w:r w:rsidRPr="00684DD8">
        <w:rPr>
          <w:szCs w:val="22"/>
        </w:rPr>
        <w:t xml:space="preserve"> would be calculated to maintain the current ICER ($</w:t>
      </w:r>
      <w:r w:rsidR="000E14EC">
        <w:rPr>
          <w:szCs w:val="22"/>
        </w:rPr>
        <w:t xml:space="preserve">45,000 – </w:t>
      </w:r>
      <w:r w:rsidR="00E9610B">
        <w:rPr>
          <w:szCs w:val="22"/>
        </w:rPr>
        <w:t>$</w:t>
      </w:r>
      <w:r w:rsidR="000E14EC">
        <w:rPr>
          <w:szCs w:val="22"/>
        </w:rPr>
        <w:t>75,000</w:t>
      </w:r>
      <w:r w:rsidRPr="00684DD8">
        <w:rPr>
          <w:szCs w:val="22"/>
        </w:rPr>
        <w:t>) with reduced clinical benefits</w:t>
      </w:r>
    </w:p>
    <w:p w:rsidR="00BF1C1E" w:rsidRPr="00684DD8" w:rsidRDefault="00BF1C1E" w:rsidP="00B90A69">
      <w:pPr>
        <w:pStyle w:val="ListParagraph"/>
        <w:widowControl/>
        <w:numPr>
          <w:ilvl w:val="0"/>
          <w:numId w:val="5"/>
        </w:numPr>
        <w:rPr>
          <w:szCs w:val="22"/>
        </w:rPr>
      </w:pPr>
      <w:proofErr w:type="gramStart"/>
      <w:r w:rsidRPr="00684DD8">
        <w:rPr>
          <w:szCs w:val="22"/>
        </w:rPr>
        <w:t>the</w:t>
      </w:r>
      <w:proofErr w:type="gramEnd"/>
      <w:r w:rsidRPr="00684DD8">
        <w:rPr>
          <w:szCs w:val="22"/>
        </w:rPr>
        <w:t xml:space="preserve"> rebate would be calculated by multiplying this price reduction by the number of PBS-dispensed prescriptions of </w:t>
      </w:r>
      <w:proofErr w:type="spellStart"/>
      <w:r w:rsidRPr="00684DD8">
        <w:rPr>
          <w:szCs w:val="22"/>
        </w:rPr>
        <w:t>blinatumomab</w:t>
      </w:r>
      <w:proofErr w:type="spellEnd"/>
      <w:r w:rsidRPr="00684DD8">
        <w:rPr>
          <w:szCs w:val="22"/>
        </w:rPr>
        <w:t xml:space="preserve"> between the date of listing and the date of implementation of the price reduction, after applying an interest rate deemed appropriate by the Commonwealth.</w:t>
      </w:r>
    </w:p>
    <w:p w:rsidR="00B90A69" w:rsidRPr="00684DD8" w:rsidRDefault="00B90A69" w:rsidP="00B90A69">
      <w:pPr>
        <w:widowControl/>
        <w:rPr>
          <w:szCs w:val="22"/>
        </w:rPr>
      </w:pPr>
    </w:p>
    <w:p w:rsidR="00BF1C1E" w:rsidRPr="00684DD8" w:rsidRDefault="00BF1C1E" w:rsidP="008B4389">
      <w:pPr>
        <w:pStyle w:val="ListParagraph"/>
        <w:widowControl/>
        <w:numPr>
          <w:ilvl w:val="1"/>
          <w:numId w:val="1"/>
        </w:numPr>
        <w:rPr>
          <w:szCs w:val="22"/>
        </w:rPr>
      </w:pPr>
      <w:r w:rsidRPr="00684DD8">
        <w:rPr>
          <w:szCs w:val="22"/>
        </w:rPr>
        <w:lastRenderedPageBreak/>
        <w:t>The PBAC recommended that the ongoing randomised trial (TOWER) be the source of evidence to address this uncertainty, noting the intention to continue following remaining trial participants for at least two years</w:t>
      </w:r>
      <w:r w:rsidR="0014208B" w:rsidRPr="00684DD8">
        <w:rPr>
          <w:szCs w:val="22"/>
        </w:rPr>
        <w:t xml:space="preserve"> (or 25 months)</w:t>
      </w:r>
      <w:proofErr w:type="gramStart"/>
      <w:r w:rsidRPr="00684DD8">
        <w:rPr>
          <w:szCs w:val="22"/>
        </w:rPr>
        <w:t xml:space="preserve">.  </w:t>
      </w:r>
      <w:proofErr w:type="gramEnd"/>
      <w:r w:rsidRPr="00684DD8">
        <w:rPr>
          <w:szCs w:val="22"/>
        </w:rPr>
        <w:t>The PBAC anticipated that the results of this trial should become available with sufficient time to resubmit the revised model within two years.</w:t>
      </w:r>
    </w:p>
    <w:p w:rsidR="00B90A69" w:rsidRPr="00684DD8" w:rsidRDefault="00B90A69" w:rsidP="0007743D">
      <w:pPr>
        <w:widowControl/>
        <w:tabs>
          <w:tab w:val="left" w:pos="992"/>
        </w:tabs>
        <w:rPr>
          <w:szCs w:val="22"/>
        </w:rPr>
      </w:pPr>
    </w:p>
    <w:p w:rsidR="00BF1C1E" w:rsidRPr="00684DD8" w:rsidRDefault="00BF1C1E" w:rsidP="008B4389">
      <w:pPr>
        <w:pStyle w:val="ListParagraph"/>
        <w:widowControl/>
        <w:numPr>
          <w:ilvl w:val="1"/>
          <w:numId w:val="1"/>
        </w:numPr>
        <w:rPr>
          <w:szCs w:val="22"/>
        </w:rPr>
      </w:pPr>
      <w:r w:rsidRPr="00684DD8">
        <w:rPr>
          <w:szCs w:val="22"/>
        </w:rPr>
        <w:t xml:space="preserve">The submission </w:t>
      </w:r>
      <w:r w:rsidR="00E22347" w:rsidRPr="00684DD8">
        <w:rPr>
          <w:szCs w:val="22"/>
        </w:rPr>
        <w:t xml:space="preserve">to complete the MES </w:t>
      </w:r>
      <w:r w:rsidRPr="00684DD8">
        <w:rPr>
          <w:szCs w:val="22"/>
        </w:rPr>
        <w:t xml:space="preserve">should be provided as soon as possible after sufficient follow-up of the TOWER trial to be confident of the incremental overall survival after a majority of participants remaining alive have been followed beyond </w:t>
      </w:r>
      <w:r w:rsidR="0014208B" w:rsidRPr="00684DD8">
        <w:rPr>
          <w:szCs w:val="22"/>
        </w:rPr>
        <w:t>two</w:t>
      </w:r>
      <w:r w:rsidRPr="00684DD8">
        <w:rPr>
          <w:szCs w:val="22"/>
        </w:rPr>
        <w:t xml:space="preserve"> years</w:t>
      </w:r>
      <w:r w:rsidR="0014208B" w:rsidRPr="00684DD8">
        <w:rPr>
          <w:szCs w:val="22"/>
        </w:rPr>
        <w:t xml:space="preserve"> (or 25 months)</w:t>
      </w:r>
      <w:proofErr w:type="gramStart"/>
      <w:r w:rsidRPr="00684DD8">
        <w:rPr>
          <w:szCs w:val="22"/>
        </w:rPr>
        <w:t>.</w:t>
      </w:r>
      <w:r w:rsidR="00425094" w:rsidRPr="00684DD8">
        <w:rPr>
          <w:szCs w:val="22"/>
        </w:rPr>
        <w:t xml:space="preserve">  </w:t>
      </w:r>
      <w:proofErr w:type="gramEnd"/>
      <w:r w:rsidR="00425094" w:rsidRPr="00684DD8">
        <w:rPr>
          <w:szCs w:val="22"/>
        </w:rPr>
        <w:t xml:space="preserve">In order to finalise the MES, the sponsor should be required to confirm that sufficient follow-up is intended, including by specifying the schedule of analysing overall survival from TOWER following the initial results presented in </w:t>
      </w:r>
      <w:r w:rsidR="00425094" w:rsidRPr="00B54128">
        <w:rPr>
          <w:szCs w:val="22"/>
        </w:rPr>
        <w:t>Table 4</w:t>
      </w:r>
      <w:r w:rsidR="00D13741" w:rsidRPr="00B54128">
        <w:rPr>
          <w:szCs w:val="22"/>
        </w:rPr>
        <w:t>.</w:t>
      </w:r>
    </w:p>
    <w:p w:rsidR="00B90A69" w:rsidRPr="00684DD8" w:rsidRDefault="00B90A69" w:rsidP="00B90A69">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 xml:space="preserve">The PBAC recommended that </w:t>
      </w:r>
      <w:r w:rsidR="00C830B0">
        <w:rPr>
          <w:szCs w:val="22"/>
        </w:rPr>
        <w:t xml:space="preserve">at the conclusion of the MES, </w:t>
      </w:r>
      <w:r w:rsidR="004A4194">
        <w:rPr>
          <w:szCs w:val="22"/>
        </w:rPr>
        <w:t xml:space="preserve">the </w:t>
      </w:r>
      <w:r w:rsidRPr="00684DD8">
        <w:rPr>
          <w:szCs w:val="22"/>
        </w:rPr>
        <w:t xml:space="preserve">submission </w:t>
      </w:r>
      <w:r w:rsidR="00C830B0">
        <w:rPr>
          <w:szCs w:val="22"/>
        </w:rPr>
        <w:t xml:space="preserve">should </w:t>
      </w:r>
      <w:r w:rsidR="00AB05CB">
        <w:rPr>
          <w:szCs w:val="22"/>
        </w:rPr>
        <w:t xml:space="preserve">provide </w:t>
      </w:r>
      <w:r w:rsidRPr="00684DD8">
        <w:rPr>
          <w:szCs w:val="22"/>
        </w:rPr>
        <w:t>the further follow-up of TOWER</w:t>
      </w:r>
      <w:r w:rsidR="00AB05CB">
        <w:rPr>
          <w:szCs w:val="22"/>
        </w:rPr>
        <w:t>. Specifically</w:t>
      </w:r>
      <w:r w:rsidR="007D2F09">
        <w:rPr>
          <w:szCs w:val="22"/>
        </w:rPr>
        <w:t xml:space="preserve">, </w:t>
      </w:r>
      <w:r w:rsidR="00AB05CB">
        <w:rPr>
          <w:szCs w:val="22"/>
        </w:rPr>
        <w:t xml:space="preserve">the </w:t>
      </w:r>
      <w:r w:rsidRPr="00684DD8">
        <w:rPr>
          <w:szCs w:val="22"/>
        </w:rPr>
        <w:t>individual patient data (IPD) based analysis of overall survival, using the standard graphics of Kaplan-Meier curves, together with standard reporting of these results (log rank p-values, hazard ratios with 95% confidence intervals, medians, difference in medians, etc.).</w:t>
      </w:r>
    </w:p>
    <w:p w:rsidR="00B90A69" w:rsidRPr="00684DD8" w:rsidRDefault="00B90A69" w:rsidP="00B90A69">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 xml:space="preserve">The PBAC recommended that the overall survival results of this trial be used according to the intent-to-treat analysis, </w:t>
      </w:r>
      <w:proofErr w:type="spellStart"/>
      <w:r w:rsidRPr="00684DD8">
        <w:rPr>
          <w:szCs w:val="22"/>
        </w:rPr>
        <w:t>ie</w:t>
      </w:r>
      <w:proofErr w:type="spellEnd"/>
      <w:r w:rsidRPr="00684DD8">
        <w:rPr>
          <w:szCs w:val="22"/>
        </w:rPr>
        <w:t xml:space="preserve"> without adjustment or censoring for any cross-over to other therapies following cessation of the initial randomised therapy</w:t>
      </w:r>
      <w:proofErr w:type="gramStart"/>
      <w:r w:rsidRPr="00684DD8">
        <w:rPr>
          <w:szCs w:val="22"/>
        </w:rPr>
        <w:t xml:space="preserve">.  </w:t>
      </w:r>
      <w:proofErr w:type="gramEnd"/>
      <w:r w:rsidRPr="00684DD8">
        <w:rPr>
          <w:szCs w:val="22"/>
        </w:rPr>
        <w:t>The PBAC advised that, although this might bias the consequent</w:t>
      </w:r>
      <w:r w:rsidR="004A4194">
        <w:rPr>
          <w:szCs w:val="22"/>
        </w:rPr>
        <w:t>ly</w:t>
      </w:r>
      <w:r w:rsidRPr="00684DD8">
        <w:rPr>
          <w:szCs w:val="22"/>
        </w:rPr>
        <w:t xml:space="preserve"> modelled economic evaluation </w:t>
      </w:r>
      <w:r w:rsidR="00AB05CB">
        <w:rPr>
          <w:szCs w:val="22"/>
        </w:rPr>
        <w:t>against</w:t>
      </w:r>
      <w:r w:rsidR="00AB05CB" w:rsidRPr="00684DD8">
        <w:rPr>
          <w:szCs w:val="22"/>
        </w:rPr>
        <w:t xml:space="preserve"> </w:t>
      </w:r>
      <w:proofErr w:type="spellStart"/>
      <w:r w:rsidRPr="00684DD8">
        <w:rPr>
          <w:szCs w:val="22"/>
        </w:rPr>
        <w:t>blin</w:t>
      </w:r>
      <w:r w:rsidR="00E9610B">
        <w:rPr>
          <w:szCs w:val="22"/>
        </w:rPr>
        <w:t>atumomab</w:t>
      </w:r>
      <w:proofErr w:type="spellEnd"/>
      <w:r w:rsidR="00E9610B">
        <w:rPr>
          <w:szCs w:val="22"/>
        </w:rPr>
        <w:t>, this was necessary to</w:t>
      </w:r>
      <w:r w:rsidRPr="00684DD8">
        <w:rPr>
          <w:szCs w:val="22"/>
        </w:rPr>
        <w:t xml:space="preserve"> address the primary uncertainty </w:t>
      </w:r>
      <w:r w:rsidR="004A4194">
        <w:rPr>
          <w:szCs w:val="22"/>
        </w:rPr>
        <w:t xml:space="preserve">of </w:t>
      </w:r>
      <w:r w:rsidRPr="00684DD8">
        <w:rPr>
          <w:szCs w:val="22"/>
        </w:rPr>
        <w:t>the model</w:t>
      </w:r>
      <w:proofErr w:type="gramStart"/>
      <w:r w:rsidRPr="00684DD8">
        <w:rPr>
          <w:szCs w:val="22"/>
        </w:rPr>
        <w:t xml:space="preserve">.  </w:t>
      </w:r>
      <w:proofErr w:type="gramEnd"/>
      <w:r w:rsidRPr="00684DD8">
        <w:rPr>
          <w:szCs w:val="22"/>
        </w:rPr>
        <w:t xml:space="preserve">The PBAC also considered that this </w:t>
      </w:r>
      <w:r w:rsidR="00E22347" w:rsidRPr="00684DD8">
        <w:rPr>
          <w:szCs w:val="22"/>
        </w:rPr>
        <w:t xml:space="preserve">particular </w:t>
      </w:r>
      <w:r w:rsidRPr="00684DD8">
        <w:rPr>
          <w:szCs w:val="22"/>
        </w:rPr>
        <w:t xml:space="preserve">recommendation should be considered in the light of other recommendations below relating to the </w:t>
      </w:r>
      <w:r w:rsidR="004A4194" w:rsidRPr="00684DD8">
        <w:rPr>
          <w:szCs w:val="22"/>
        </w:rPr>
        <w:t>model that</w:t>
      </w:r>
      <w:r w:rsidRPr="00684DD8">
        <w:rPr>
          <w:szCs w:val="22"/>
        </w:rPr>
        <w:t xml:space="preserve"> would be biased in favour of </w:t>
      </w:r>
      <w:proofErr w:type="spellStart"/>
      <w:r w:rsidRPr="00684DD8">
        <w:rPr>
          <w:szCs w:val="22"/>
        </w:rPr>
        <w:t>blinatumomab</w:t>
      </w:r>
      <w:proofErr w:type="spellEnd"/>
      <w:r w:rsidRPr="00684DD8">
        <w:rPr>
          <w:szCs w:val="22"/>
        </w:rPr>
        <w:t>.</w:t>
      </w:r>
    </w:p>
    <w:p w:rsidR="00B90A69" w:rsidRPr="00684DD8" w:rsidRDefault="00B90A69" w:rsidP="00B90A69">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The PBAC recommended that the resubmitted modelled economic evaluation should:</w:t>
      </w:r>
    </w:p>
    <w:p w:rsidR="00BF1C1E" w:rsidRPr="00684DD8" w:rsidRDefault="00BF1C1E" w:rsidP="00B90A69">
      <w:pPr>
        <w:pStyle w:val="ListParagraph"/>
        <w:widowControl/>
        <w:numPr>
          <w:ilvl w:val="0"/>
          <w:numId w:val="5"/>
        </w:numPr>
        <w:rPr>
          <w:szCs w:val="22"/>
        </w:rPr>
      </w:pPr>
      <w:r w:rsidRPr="00684DD8">
        <w:rPr>
          <w:szCs w:val="22"/>
        </w:rPr>
        <w:t>estimate the incremental overall survival for the two arms of the model up to two years based directly on the observed overall survival Kaplan-Meier curves (intent-to-treat analysis)</w:t>
      </w:r>
    </w:p>
    <w:p w:rsidR="00BF1C1E" w:rsidRPr="00684DD8" w:rsidRDefault="00BF1C1E" w:rsidP="00B90A69">
      <w:pPr>
        <w:pStyle w:val="ListParagraph"/>
        <w:widowControl/>
        <w:numPr>
          <w:ilvl w:val="0"/>
          <w:numId w:val="5"/>
        </w:numPr>
        <w:rPr>
          <w:szCs w:val="22"/>
        </w:rPr>
      </w:pPr>
      <w:r w:rsidRPr="00684DD8">
        <w:rPr>
          <w:szCs w:val="22"/>
        </w:rPr>
        <w:t xml:space="preserve">estimate the incremental proportion of patients alive at two years </w:t>
      </w:r>
      <w:r w:rsidR="0014208B" w:rsidRPr="00684DD8">
        <w:rPr>
          <w:szCs w:val="22"/>
        </w:rPr>
        <w:t xml:space="preserve">(or 25 months) </w:t>
      </w:r>
      <w:r w:rsidRPr="00684DD8">
        <w:rPr>
          <w:szCs w:val="22"/>
        </w:rPr>
        <w:t>across the two Kaplan-Meier curves from the clinical evaluation</w:t>
      </w:r>
    </w:p>
    <w:p w:rsidR="00BF1C1E" w:rsidRPr="00684DD8" w:rsidRDefault="00BF1C1E" w:rsidP="00B90A69">
      <w:pPr>
        <w:pStyle w:val="ListParagraph"/>
        <w:widowControl/>
        <w:numPr>
          <w:ilvl w:val="0"/>
          <w:numId w:val="5"/>
        </w:numPr>
        <w:rPr>
          <w:szCs w:val="22"/>
        </w:rPr>
      </w:pPr>
      <w:r w:rsidRPr="00684DD8">
        <w:rPr>
          <w:szCs w:val="22"/>
        </w:rPr>
        <w:t>then</w:t>
      </w:r>
      <w:r w:rsidR="004D17A2">
        <w:rPr>
          <w:szCs w:val="22"/>
        </w:rPr>
        <w:t>, for simplicity,</w:t>
      </w:r>
      <w:r w:rsidRPr="00684DD8">
        <w:rPr>
          <w:szCs w:val="22"/>
        </w:rPr>
        <w:t xml:space="preserve"> allow extrapolation modelling on both arms for the overall survival curves from this time point</w:t>
      </w:r>
      <w:r w:rsidR="00425094" w:rsidRPr="00684DD8">
        <w:rPr>
          <w:szCs w:val="22"/>
        </w:rPr>
        <w:t>, whereby patients still alive at two years (or 25 months) have normal life expectancy for the remainder of the 20-year model, b</w:t>
      </w:r>
      <w:r w:rsidR="004D17A2">
        <w:rPr>
          <w:szCs w:val="22"/>
        </w:rPr>
        <w:t>ecause</w:t>
      </w:r>
      <w:r w:rsidR="00425094" w:rsidRPr="00684DD8">
        <w:rPr>
          <w:szCs w:val="22"/>
        </w:rPr>
        <w:t xml:space="preserve"> the extrapolation curves at two years (or 25 months) might start from different proportions remaining alive than in the current model</w:t>
      </w:r>
      <w:proofErr w:type="gramStart"/>
      <w:r w:rsidRPr="00684DD8">
        <w:rPr>
          <w:szCs w:val="22"/>
        </w:rPr>
        <w:t>.</w:t>
      </w:r>
      <w:r w:rsidR="004D17A2">
        <w:rPr>
          <w:szCs w:val="22"/>
        </w:rPr>
        <w:t xml:space="preserve">  </w:t>
      </w:r>
      <w:proofErr w:type="gramEnd"/>
      <w:r w:rsidR="004D17A2">
        <w:rPr>
          <w:szCs w:val="22"/>
        </w:rPr>
        <w:t xml:space="preserve">Although </w:t>
      </w:r>
      <w:r w:rsidR="004D17A2" w:rsidRPr="00684DD8">
        <w:rPr>
          <w:szCs w:val="22"/>
        </w:rPr>
        <w:t>this largely reflects the extrapolation basis in the model</w:t>
      </w:r>
      <w:r w:rsidR="004D17A2">
        <w:rPr>
          <w:szCs w:val="22"/>
        </w:rPr>
        <w:t xml:space="preserve"> it is biased in favour of </w:t>
      </w:r>
      <w:proofErr w:type="spellStart"/>
      <w:r w:rsidR="004D17A2">
        <w:rPr>
          <w:szCs w:val="22"/>
        </w:rPr>
        <w:t>blinatumomab</w:t>
      </w:r>
      <w:proofErr w:type="spellEnd"/>
      <w:r w:rsidR="004D17A2">
        <w:rPr>
          <w:szCs w:val="22"/>
        </w:rPr>
        <w:t xml:space="preserve"> because the current </w:t>
      </w:r>
      <w:r w:rsidR="00410E4B">
        <w:rPr>
          <w:szCs w:val="22"/>
        </w:rPr>
        <w:t xml:space="preserve">model’s </w:t>
      </w:r>
      <w:r w:rsidR="004D17A2">
        <w:rPr>
          <w:szCs w:val="22"/>
        </w:rPr>
        <w:t>2</w:t>
      </w:r>
      <w:r w:rsidR="00410E4B">
        <w:rPr>
          <w:szCs w:val="22"/>
        </w:rPr>
        <w:t xml:space="preserve"> to </w:t>
      </w:r>
      <w:r w:rsidR="004D17A2">
        <w:rPr>
          <w:szCs w:val="22"/>
        </w:rPr>
        <w:t>5 year extrapolation</w:t>
      </w:r>
      <w:r w:rsidR="00410E4B">
        <w:rPr>
          <w:szCs w:val="22"/>
        </w:rPr>
        <w:t>s result</w:t>
      </w:r>
      <w:r w:rsidR="004D17A2">
        <w:rPr>
          <w:szCs w:val="22"/>
        </w:rPr>
        <w:t xml:space="preserve"> in greater convergence of the overall survival curves.</w:t>
      </w:r>
    </w:p>
    <w:p w:rsidR="00B90A69" w:rsidRPr="00684DD8" w:rsidRDefault="00B90A69" w:rsidP="00B90A69">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 xml:space="preserve">The PBAC recommended that the other inputs to the model should not change for the resubmission, despite the fact that the associated biases are in favour of </w:t>
      </w:r>
      <w:proofErr w:type="spellStart"/>
      <w:r w:rsidRPr="00684DD8">
        <w:rPr>
          <w:szCs w:val="22"/>
        </w:rPr>
        <w:t>blinatumomab</w:t>
      </w:r>
      <w:proofErr w:type="spellEnd"/>
      <w:proofErr w:type="gramStart"/>
      <w:r w:rsidRPr="00684DD8">
        <w:rPr>
          <w:szCs w:val="22"/>
        </w:rPr>
        <w:t xml:space="preserve">.  </w:t>
      </w:r>
      <w:proofErr w:type="gramEnd"/>
      <w:r w:rsidRPr="00684DD8">
        <w:rPr>
          <w:szCs w:val="22"/>
        </w:rPr>
        <w:t>These include:</w:t>
      </w:r>
    </w:p>
    <w:p w:rsidR="00BF1C1E" w:rsidRPr="00684DD8" w:rsidRDefault="00BF1C1E" w:rsidP="00B90A69">
      <w:pPr>
        <w:pStyle w:val="ListParagraph"/>
        <w:widowControl/>
        <w:numPr>
          <w:ilvl w:val="0"/>
          <w:numId w:val="5"/>
        </w:numPr>
        <w:rPr>
          <w:szCs w:val="22"/>
        </w:rPr>
      </w:pPr>
      <w:proofErr w:type="gramStart"/>
      <w:r w:rsidRPr="00684DD8">
        <w:rPr>
          <w:szCs w:val="22"/>
        </w:rPr>
        <w:t>cost</w:t>
      </w:r>
      <w:r w:rsidR="007F2F99">
        <w:rPr>
          <w:szCs w:val="22"/>
        </w:rPr>
        <w:t>ing</w:t>
      </w:r>
      <w:proofErr w:type="gramEnd"/>
      <w:r w:rsidRPr="00684DD8">
        <w:rPr>
          <w:szCs w:val="22"/>
        </w:rPr>
        <w:t xml:space="preserve"> </w:t>
      </w:r>
      <w:proofErr w:type="spellStart"/>
      <w:r w:rsidRPr="00684DD8">
        <w:rPr>
          <w:szCs w:val="22"/>
        </w:rPr>
        <w:t>blinatumomab</w:t>
      </w:r>
      <w:proofErr w:type="spellEnd"/>
      <w:r w:rsidRPr="00684DD8">
        <w:rPr>
          <w:szCs w:val="22"/>
        </w:rPr>
        <w:t xml:space="preserve"> </w:t>
      </w:r>
      <w:r w:rsidR="007F2F99">
        <w:rPr>
          <w:szCs w:val="22"/>
        </w:rPr>
        <w:t>based on</w:t>
      </w:r>
      <w:r w:rsidR="007F2F99" w:rsidRPr="00684DD8">
        <w:rPr>
          <w:szCs w:val="22"/>
        </w:rPr>
        <w:t xml:space="preserve"> </w:t>
      </w:r>
      <w:r w:rsidR="007F2F99">
        <w:rPr>
          <w:szCs w:val="22"/>
        </w:rPr>
        <w:t xml:space="preserve">an average of </w:t>
      </w:r>
      <w:r w:rsidR="00D34A67">
        <w:rPr>
          <w:noProof/>
          <w:color w:val="000000"/>
          <w:szCs w:val="22"/>
          <w:highlight w:val="black"/>
        </w:rPr>
        <w:t>''''''</w:t>
      </w:r>
      <w:r w:rsidRPr="00684DD8">
        <w:rPr>
          <w:szCs w:val="22"/>
        </w:rPr>
        <w:t xml:space="preserve"> vials</w:t>
      </w:r>
      <w:r w:rsidR="00341A76" w:rsidRPr="00684DD8">
        <w:rPr>
          <w:szCs w:val="22"/>
        </w:rPr>
        <w:t xml:space="preserve"> (</w:t>
      </w:r>
      <w:r w:rsidR="00D34A67">
        <w:rPr>
          <w:noProof/>
          <w:color w:val="000000"/>
          <w:szCs w:val="22"/>
          <w:highlight w:val="black"/>
        </w:rPr>
        <w:t>'''''''''''</w:t>
      </w:r>
      <w:r w:rsidR="00341A76" w:rsidRPr="00684DD8">
        <w:rPr>
          <w:szCs w:val="22"/>
        </w:rPr>
        <w:t xml:space="preserve"> cycles) because this is</w:t>
      </w:r>
      <w:r w:rsidRPr="00684DD8">
        <w:rPr>
          <w:szCs w:val="22"/>
        </w:rPr>
        <w:t xml:space="preserve"> consistent with the recommended PBS restriction </w:t>
      </w:r>
      <w:r w:rsidR="007F2F99">
        <w:rPr>
          <w:szCs w:val="22"/>
        </w:rPr>
        <w:t>of</w:t>
      </w:r>
      <w:r w:rsidR="007F2F99" w:rsidRPr="00684DD8">
        <w:rPr>
          <w:szCs w:val="22"/>
        </w:rPr>
        <w:t xml:space="preserve"> </w:t>
      </w:r>
      <w:r w:rsidR="0014208B" w:rsidRPr="00684DD8">
        <w:rPr>
          <w:szCs w:val="22"/>
        </w:rPr>
        <w:t>a maximum of 5 cycles</w:t>
      </w:r>
      <w:r w:rsidR="007F2F99">
        <w:rPr>
          <w:szCs w:val="22"/>
        </w:rPr>
        <w:t>. The actual average number of vials used in TOWER is likely to be higher</w:t>
      </w:r>
      <w:r w:rsidR="00591CA0">
        <w:rPr>
          <w:szCs w:val="22"/>
        </w:rPr>
        <w:t xml:space="preserve"> </w:t>
      </w:r>
      <w:r w:rsidR="00591CA0">
        <w:rPr>
          <w:szCs w:val="22"/>
        </w:rPr>
        <w:lastRenderedPageBreak/>
        <w:t xml:space="preserve">(reflecting use beyond 5 cycles) and in this case the outcomes (including overall survival) will be reflective of longer use of </w:t>
      </w:r>
      <w:proofErr w:type="spellStart"/>
      <w:r w:rsidR="00591CA0">
        <w:rPr>
          <w:szCs w:val="22"/>
        </w:rPr>
        <w:t>blinatumomab</w:t>
      </w:r>
      <w:proofErr w:type="spellEnd"/>
    </w:p>
    <w:p w:rsidR="00BF1C1E" w:rsidRPr="00684DD8" w:rsidRDefault="00BF1C1E" w:rsidP="00B90A69">
      <w:pPr>
        <w:pStyle w:val="ListParagraph"/>
        <w:widowControl/>
        <w:numPr>
          <w:ilvl w:val="0"/>
          <w:numId w:val="5"/>
        </w:numPr>
        <w:rPr>
          <w:szCs w:val="22"/>
        </w:rPr>
      </w:pPr>
      <w:r w:rsidRPr="00684DD8">
        <w:rPr>
          <w:szCs w:val="22"/>
        </w:rPr>
        <w:t xml:space="preserve">accepting that the difference in proportion alive at two years </w:t>
      </w:r>
      <w:r w:rsidR="0014208B" w:rsidRPr="00684DD8">
        <w:rPr>
          <w:szCs w:val="22"/>
        </w:rPr>
        <w:t xml:space="preserve">(or 25 months) </w:t>
      </w:r>
      <w:r w:rsidRPr="00684DD8">
        <w:rPr>
          <w:szCs w:val="22"/>
        </w:rPr>
        <w:t xml:space="preserve">essentially means a difference in the proportions of cured patients </w:t>
      </w:r>
    </w:p>
    <w:p w:rsidR="00C80F89" w:rsidRPr="00684DD8" w:rsidRDefault="00BF1C1E" w:rsidP="00B90A69">
      <w:pPr>
        <w:pStyle w:val="ListParagraph"/>
        <w:widowControl/>
        <w:numPr>
          <w:ilvl w:val="0"/>
          <w:numId w:val="5"/>
        </w:numPr>
        <w:rPr>
          <w:szCs w:val="22"/>
        </w:rPr>
      </w:pPr>
      <w:r w:rsidRPr="00684DD8">
        <w:rPr>
          <w:szCs w:val="22"/>
        </w:rPr>
        <w:t>not censoring for transplant</w:t>
      </w:r>
      <w:r w:rsidR="0014208B" w:rsidRPr="00684DD8">
        <w:rPr>
          <w:szCs w:val="22"/>
        </w:rPr>
        <w:t>, as this is central to the proposed listing</w:t>
      </w:r>
    </w:p>
    <w:p w:rsidR="00B90A69" w:rsidRPr="00684DD8" w:rsidRDefault="00B90A69" w:rsidP="00B90A69">
      <w:pPr>
        <w:widowControl/>
        <w:rPr>
          <w:szCs w:val="22"/>
        </w:rPr>
      </w:pPr>
    </w:p>
    <w:p w:rsidR="00B90A69" w:rsidRPr="00684DD8" w:rsidRDefault="00B90A69" w:rsidP="008B4389">
      <w:pPr>
        <w:pStyle w:val="ListParagraph"/>
        <w:widowControl/>
        <w:numPr>
          <w:ilvl w:val="1"/>
          <w:numId w:val="1"/>
        </w:numPr>
        <w:rPr>
          <w:szCs w:val="22"/>
        </w:rPr>
      </w:pPr>
      <w:r w:rsidRPr="00684DD8">
        <w:rPr>
          <w:szCs w:val="22"/>
        </w:rPr>
        <w:t>The PBAC emphasised that the primary purpose of keeping other aspects of the model constant between the version forming the basis for th</w:t>
      </w:r>
      <w:r w:rsidR="00CB07E7" w:rsidRPr="00684DD8">
        <w:rPr>
          <w:szCs w:val="22"/>
        </w:rPr>
        <w:t>is</w:t>
      </w:r>
      <w:r w:rsidRPr="00684DD8">
        <w:rPr>
          <w:szCs w:val="22"/>
        </w:rPr>
        <w:t xml:space="preserve"> initial recommendation and the version to be provided at the end of the MES was to examine the consequence of any change in </w:t>
      </w:r>
      <w:r w:rsidR="00CB07E7" w:rsidRPr="00684DD8">
        <w:rPr>
          <w:szCs w:val="22"/>
        </w:rPr>
        <w:t xml:space="preserve">the </w:t>
      </w:r>
      <w:r w:rsidRPr="00684DD8">
        <w:rPr>
          <w:szCs w:val="22"/>
        </w:rPr>
        <w:t>estimate of the identified primary uncertainty.</w:t>
      </w:r>
    </w:p>
    <w:p w:rsidR="00B90A69" w:rsidRPr="00684DD8" w:rsidRDefault="00B90A69" w:rsidP="00B90A69">
      <w:pPr>
        <w:widowControl/>
        <w:rPr>
          <w:szCs w:val="22"/>
        </w:rPr>
      </w:pPr>
    </w:p>
    <w:p w:rsidR="00694BE8" w:rsidRPr="00684DD8" w:rsidRDefault="00694BE8" w:rsidP="008B4389">
      <w:pPr>
        <w:pStyle w:val="ListParagraph"/>
        <w:widowControl/>
        <w:numPr>
          <w:ilvl w:val="1"/>
          <w:numId w:val="1"/>
        </w:numPr>
        <w:rPr>
          <w:szCs w:val="22"/>
        </w:rPr>
      </w:pPr>
      <w:r w:rsidRPr="00684DD8">
        <w:rPr>
          <w:szCs w:val="22"/>
        </w:rPr>
        <w:t>The PBAC indicated that any other unexpected but relevant developments emerging before completion of the MES, such as unexpected safety signals or any grounds to cast doubt on the assumption of cure, would then be considered according to usual PBAC processes.</w:t>
      </w:r>
      <w:r w:rsidR="00630051" w:rsidRPr="00684DD8">
        <w:rPr>
          <w:szCs w:val="22"/>
        </w:rPr>
        <w:t xml:space="preserve"> Such developments may be reported by the sponsor or raised by the PBAC and</w:t>
      </w:r>
      <w:r w:rsidR="00341A76" w:rsidRPr="00684DD8">
        <w:rPr>
          <w:szCs w:val="22"/>
        </w:rPr>
        <w:t>, if substantial,</w:t>
      </w:r>
      <w:r w:rsidR="00630051" w:rsidRPr="00684DD8">
        <w:rPr>
          <w:szCs w:val="22"/>
        </w:rPr>
        <w:t xml:space="preserve"> may </w:t>
      </w:r>
      <w:r w:rsidR="00341A76" w:rsidRPr="00684DD8">
        <w:rPr>
          <w:szCs w:val="22"/>
        </w:rPr>
        <w:t xml:space="preserve">modify the PBAC recommendations arising from the </w:t>
      </w:r>
      <w:r w:rsidR="00630051" w:rsidRPr="00684DD8">
        <w:rPr>
          <w:szCs w:val="22"/>
        </w:rPr>
        <w:t xml:space="preserve">review of the </w:t>
      </w:r>
      <w:r w:rsidR="00341A76" w:rsidRPr="00684DD8">
        <w:rPr>
          <w:szCs w:val="22"/>
        </w:rPr>
        <w:t>MES</w:t>
      </w:r>
      <w:r w:rsidR="00630051" w:rsidRPr="00684DD8">
        <w:rPr>
          <w:szCs w:val="22"/>
        </w:rPr>
        <w:t xml:space="preserve">. </w:t>
      </w:r>
    </w:p>
    <w:p w:rsidR="00694BE8" w:rsidRPr="00684DD8" w:rsidRDefault="00694BE8" w:rsidP="00694BE8">
      <w:pPr>
        <w:widowControl/>
        <w:rPr>
          <w:szCs w:val="22"/>
        </w:rPr>
      </w:pPr>
    </w:p>
    <w:p w:rsidR="00B90A69" w:rsidRPr="00684DD8" w:rsidRDefault="00BF1C1E" w:rsidP="008B4389">
      <w:pPr>
        <w:pStyle w:val="ListParagraph"/>
        <w:widowControl/>
        <w:numPr>
          <w:ilvl w:val="1"/>
          <w:numId w:val="1"/>
        </w:numPr>
        <w:rPr>
          <w:szCs w:val="22"/>
        </w:rPr>
      </w:pPr>
      <w:r w:rsidRPr="00684DD8">
        <w:rPr>
          <w:szCs w:val="22"/>
        </w:rPr>
        <w:t xml:space="preserve">The MES arrangements for </w:t>
      </w:r>
      <w:proofErr w:type="spellStart"/>
      <w:r w:rsidRPr="00684DD8">
        <w:rPr>
          <w:szCs w:val="22"/>
        </w:rPr>
        <w:t>blinatumomab</w:t>
      </w:r>
      <w:proofErr w:type="spellEnd"/>
      <w:r w:rsidRPr="00684DD8">
        <w:rPr>
          <w:szCs w:val="22"/>
        </w:rPr>
        <w:t xml:space="preserve"> would need to be formalised in any Deed of Agreement established for the purposes of PBS listing</w:t>
      </w:r>
      <w:r w:rsidR="0012737E" w:rsidRPr="00684DD8">
        <w:rPr>
          <w:szCs w:val="22"/>
        </w:rPr>
        <w:t xml:space="preserve">, including confirmation from the sponsor that </w:t>
      </w:r>
      <w:r w:rsidR="00253BD0" w:rsidRPr="00684DD8">
        <w:rPr>
          <w:szCs w:val="22"/>
        </w:rPr>
        <w:t xml:space="preserve">overall survival results </w:t>
      </w:r>
      <w:r w:rsidR="00630051" w:rsidRPr="00684DD8">
        <w:rPr>
          <w:szCs w:val="22"/>
        </w:rPr>
        <w:t xml:space="preserve">after a majority of participants remaining alive have been followed </w:t>
      </w:r>
      <w:r w:rsidR="00425094" w:rsidRPr="00684DD8">
        <w:rPr>
          <w:szCs w:val="22"/>
        </w:rPr>
        <w:t xml:space="preserve">in TOWER </w:t>
      </w:r>
      <w:r w:rsidR="00630051" w:rsidRPr="00684DD8">
        <w:rPr>
          <w:szCs w:val="22"/>
        </w:rPr>
        <w:t>beyond two years (or 25 months)</w:t>
      </w:r>
      <w:r w:rsidR="0012737E" w:rsidRPr="00684DD8">
        <w:rPr>
          <w:szCs w:val="22"/>
        </w:rPr>
        <w:t xml:space="preserve"> w</w:t>
      </w:r>
      <w:r w:rsidR="00630051" w:rsidRPr="00684DD8">
        <w:rPr>
          <w:szCs w:val="22"/>
        </w:rPr>
        <w:t>ould</w:t>
      </w:r>
      <w:r w:rsidR="0012737E" w:rsidRPr="00684DD8">
        <w:rPr>
          <w:szCs w:val="22"/>
        </w:rPr>
        <w:t xml:space="preserve"> be available</w:t>
      </w:r>
      <w:proofErr w:type="gramStart"/>
      <w:r w:rsidR="0012737E" w:rsidRPr="00684DD8">
        <w:rPr>
          <w:szCs w:val="22"/>
        </w:rPr>
        <w:t>.</w:t>
      </w:r>
      <w:r w:rsidR="00E22347" w:rsidRPr="00684DD8">
        <w:rPr>
          <w:szCs w:val="22"/>
        </w:rPr>
        <w:t xml:space="preserve">  </w:t>
      </w:r>
      <w:proofErr w:type="gramEnd"/>
      <w:r w:rsidR="00E22347" w:rsidRPr="00684DD8">
        <w:rPr>
          <w:szCs w:val="22"/>
        </w:rPr>
        <w:t xml:space="preserve">The PBAC recommended that the Department </w:t>
      </w:r>
      <w:r w:rsidR="0012737E" w:rsidRPr="00684DD8">
        <w:rPr>
          <w:szCs w:val="22"/>
        </w:rPr>
        <w:t xml:space="preserve">adopt its standard approach </w:t>
      </w:r>
      <w:r w:rsidR="00E22347" w:rsidRPr="00684DD8">
        <w:rPr>
          <w:szCs w:val="22"/>
        </w:rPr>
        <w:t xml:space="preserve">in </w:t>
      </w:r>
      <w:r w:rsidR="00253BD0" w:rsidRPr="00684DD8">
        <w:rPr>
          <w:szCs w:val="22"/>
        </w:rPr>
        <w:t xml:space="preserve">finalising </w:t>
      </w:r>
      <w:r w:rsidR="00E22347" w:rsidRPr="00684DD8">
        <w:rPr>
          <w:szCs w:val="22"/>
        </w:rPr>
        <w:t>th</w:t>
      </w:r>
      <w:r w:rsidR="00CB07E7" w:rsidRPr="00684DD8">
        <w:rPr>
          <w:szCs w:val="22"/>
        </w:rPr>
        <w:t>is Deed to minimise the risk of any unreasonable delay in completing the MES</w:t>
      </w:r>
      <w:r w:rsidR="00253BD0" w:rsidRPr="00684DD8">
        <w:rPr>
          <w:szCs w:val="22"/>
        </w:rPr>
        <w:t>, such as imposing a</w:t>
      </w:r>
      <w:r w:rsidR="00195113" w:rsidRPr="00684DD8">
        <w:rPr>
          <w:szCs w:val="22"/>
        </w:rPr>
        <w:t xml:space="preserve"> suitable</w:t>
      </w:r>
      <w:r w:rsidR="00253BD0" w:rsidRPr="00684DD8">
        <w:rPr>
          <w:szCs w:val="22"/>
        </w:rPr>
        <w:t xml:space="preserve"> price reduction in the event of such a delay</w:t>
      </w:r>
      <w:r w:rsidR="00CB07E7" w:rsidRPr="00684DD8">
        <w:rPr>
          <w:szCs w:val="22"/>
        </w:rPr>
        <w:t>.</w:t>
      </w:r>
    </w:p>
    <w:p w:rsidR="00CB07E7" w:rsidRPr="00684DD8" w:rsidRDefault="00CB07E7" w:rsidP="00CB07E7">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 xml:space="preserve">The nature of these </w:t>
      </w:r>
      <w:r w:rsidR="00694BE8" w:rsidRPr="00684DD8">
        <w:rPr>
          <w:szCs w:val="22"/>
        </w:rPr>
        <w:t xml:space="preserve">MES </w:t>
      </w:r>
      <w:r w:rsidRPr="00684DD8">
        <w:rPr>
          <w:szCs w:val="22"/>
        </w:rPr>
        <w:t xml:space="preserve">arrangements (without details of the consequences for pricing) should be made public, particularly to inform patients, prescribers and other sponsors of their existence and </w:t>
      </w:r>
      <w:r w:rsidR="00694BE8" w:rsidRPr="00684DD8">
        <w:rPr>
          <w:szCs w:val="22"/>
        </w:rPr>
        <w:t xml:space="preserve">any other possible </w:t>
      </w:r>
      <w:r w:rsidRPr="00684DD8">
        <w:rPr>
          <w:szCs w:val="22"/>
        </w:rPr>
        <w:t>consequences.</w:t>
      </w:r>
    </w:p>
    <w:p w:rsidR="00B90A69" w:rsidRPr="00684DD8" w:rsidRDefault="00B90A69" w:rsidP="00B90A69">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 xml:space="preserve">The PBAC recommended that the </w:t>
      </w:r>
      <w:r w:rsidR="002D4BC7">
        <w:rPr>
          <w:szCs w:val="22"/>
        </w:rPr>
        <w:t>R</w:t>
      </w:r>
      <w:r w:rsidR="002D4BC7" w:rsidRPr="00684DD8">
        <w:rPr>
          <w:szCs w:val="22"/>
        </w:rPr>
        <w:t>isk</w:t>
      </w:r>
      <w:r w:rsidRPr="00684DD8">
        <w:rPr>
          <w:szCs w:val="22"/>
        </w:rPr>
        <w:t>-</w:t>
      </w:r>
      <w:r w:rsidR="002D4BC7">
        <w:rPr>
          <w:szCs w:val="22"/>
        </w:rPr>
        <w:t>S</w:t>
      </w:r>
      <w:r w:rsidR="002D4BC7" w:rsidRPr="00684DD8">
        <w:rPr>
          <w:szCs w:val="22"/>
        </w:rPr>
        <w:t xml:space="preserve">haring </w:t>
      </w:r>
      <w:r w:rsidR="002D4BC7">
        <w:rPr>
          <w:szCs w:val="22"/>
        </w:rPr>
        <w:t>A</w:t>
      </w:r>
      <w:r w:rsidR="002D4BC7" w:rsidRPr="00684DD8">
        <w:rPr>
          <w:szCs w:val="22"/>
        </w:rPr>
        <w:t xml:space="preserve">rrangements </w:t>
      </w:r>
      <w:r w:rsidRPr="00684DD8">
        <w:rPr>
          <w:szCs w:val="22"/>
        </w:rPr>
        <w:t xml:space="preserve">be kept separate from the </w:t>
      </w:r>
      <w:r w:rsidR="002D4BC7">
        <w:rPr>
          <w:szCs w:val="22"/>
        </w:rPr>
        <w:t xml:space="preserve">MES </w:t>
      </w:r>
      <w:r w:rsidRPr="00684DD8">
        <w:rPr>
          <w:szCs w:val="22"/>
        </w:rPr>
        <w:t xml:space="preserve">arrangements in the proposed </w:t>
      </w:r>
      <w:r w:rsidR="002D4BC7">
        <w:rPr>
          <w:szCs w:val="22"/>
        </w:rPr>
        <w:t>D</w:t>
      </w:r>
      <w:r w:rsidR="002D4BC7" w:rsidRPr="00684DD8">
        <w:rPr>
          <w:szCs w:val="22"/>
        </w:rPr>
        <w:t xml:space="preserve">eed </w:t>
      </w:r>
      <w:r w:rsidRPr="00684DD8">
        <w:rPr>
          <w:szCs w:val="22"/>
        </w:rPr>
        <w:t xml:space="preserve">of </w:t>
      </w:r>
      <w:r w:rsidR="002D4BC7">
        <w:rPr>
          <w:szCs w:val="22"/>
        </w:rPr>
        <w:t>A</w:t>
      </w:r>
      <w:r w:rsidR="002D4BC7" w:rsidRPr="00684DD8">
        <w:rPr>
          <w:szCs w:val="22"/>
        </w:rPr>
        <w:t>greement</w:t>
      </w:r>
      <w:r w:rsidRPr="00684DD8">
        <w:rPr>
          <w:szCs w:val="22"/>
        </w:rPr>
        <w:t>.</w:t>
      </w:r>
    </w:p>
    <w:p w:rsidR="00694BE8" w:rsidRPr="00684DD8" w:rsidRDefault="00694BE8" w:rsidP="00694BE8">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 xml:space="preserve">The PBAC recommended that the expenditure caps reflect the </w:t>
      </w:r>
      <w:r w:rsidR="00694BE8" w:rsidRPr="00684DD8">
        <w:rPr>
          <w:szCs w:val="22"/>
        </w:rPr>
        <w:t xml:space="preserve">estimate of </w:t>
      </w:r>
      <w:r w:rsidR="00D34A67">
        <w:rPr>
          <w:noProof/>
          <w:color w:val="000000"/>
          <w:szCs w:val="22"/>
          <w:highlight w:val="black"/>
        </w:rPr>
        <w:t>''''''</w:t>
      </w:r>
      <w:r w:rsidRPr="00684DD8">
        <w:rPr>
          <w:szCs w:val="22"/>
        </w:rPr>
        <w:t xml:space="preserve"> vials </w:t>
      </w:r>
      <w:r w:rsidR="00341A76" w:rsidRPr="00684DD8">
        <w:rPr>
          <w:szCs w:val="22"/>
        </w:rPr>
        <w:t>(</w:t>
      </w:r>
      <w:r w:rsidR="00D34A67">
        <w:rPr>
          <w:noProof/>
          <w:color w:val="000000"/>
          <w:szCs w:val="22"/>
          <w:highlight w:val="black"/>
        </w:rPr>
        <w:t>''''''''''</w:t>
      </w:r>
      <w:r w:rsidR="00341A76" w:rsidRPr="00684DD8">
        <w:rPr>
          <w:szCs w:val="22"/>
        </w:rPr>
        <w:t xml:space="preserve"> cycles) </w:t>
      </w:r>
      <w:r w:rsidRPr="00684DD8">
        <w:rPr>
          <w:szCs w:val="22"/>
        </w:rPr>
        <w:t>as proposed</w:t>
      </w:r>
      <w:r w:rsidR="00694BE8" w:rsidRPr="00684DD8">
        <w:rPr>
          <w:szCs w:val="22"/>
        </w:rPr>
        <w:t xml:space="preserve"> </w:t>
      </w:r>
      <w:r w:rsidR="00341A76" w:rsidRPr="00684DD8">
        <w:rPr>
          <w:szCs w:val="22"/>
        </w:rPr>
        <w:t xml:space="preserve">because this is </w:t>
      </w:r>
      <w:r w:rsidR="00694BE8" w:rsidRPr="00684DD8">
        <w:rPr>
          <w:szCs w:val="22"/>
        </w:rPr>
        <w:t xml:space="preserve">consistent with the requested upper limit of 5 cycles of </w:t>
      </w:r>
      <w:proofErr w:type="spellStart"/>
      <w:r w:rsidR="00694BE8" w:rsidRPr="00684DD8">
        <w:rPr>
          <w:szCs w:val="22"/>
        </w:rPr>
        <w:t>blinatumomab</w:t>
      </w:r>
      <w:proofErr w:type="spellEnd"/>
      <w:r w:rsidR="00694BE8" w:rsidRPr="00684DD8">
        <w:rPr>
          <w:szCs w:val="22"/>
        </w:rPr>
        <w:t xml:space="preserve"> therapy</w:t>
      </w:r>
      <w:r w:rsidRPr="00684DD8">
        <w:rPr>
          <w:szCs w:val="22"/>
        </w:rPr>
        <w:t>, but that the</w:t>
      </w:r>
      <w:r w:rsidR="00694BE8" w:rsidRPr="00684DD8">
        <w:rPr>
          <w:szCs w:val="22"/>
        </w:rPr>
        <w:t xml:space="preserve"> caps</w:t>
      </w:r>
      <w:r w:rsidRPr="00684DD8">
        <w:rPr>
          <w:szCs w:val="22"/>
        </w:rPr>
        <w:t xml:space="preserve"> should reflect the estimated treated population (</w:t>
      </w:r>
      <w:r w:rsidR="00D34A67">
        <w:rPr>
          <w:noProof/>
          <w:color w:val="000000"/>
          <w:szCs w:val="22"/>
          <w:highlight w:val="black"/>
        </w:rPr>
        <w:t>'''''''</w:t>
      </w:r>
      <w:r w:rsidRPr="00684DD8">
        <w:rPr>
          <w:szCs w:val="22"/>
        </w:rPr>
        <w:t xml:space="preserve"> to </w:t>
      </w:r>
      <w:r w:rsidR="00D34A67">
        <w:rPr>
          <w:noProof/>
          <w:color w:val="000000"/>
          <w:szCs w:val="22"/>
          <w:highlight w:val="black"/>
        </w:rPr>
        <w:t>''''''</w:t>
      </w:r>
      <w:r w:rsidRPr="00684DD8">
        <w:rPr>
          <w:szCs w:val="22"/>
        </w:rPr>
        <w:t xml:space="preserve"> adults) rather than the proposed 120% of the estimated eligible population (</w:t>
      </w:r>
      <w:r w:rsidR="00D34A67">
        <w:rPr>
          <w:noProof/>
          <w:color w:val="000000"/>
          <w:szCs w:val="22"/>
          <w:highlight w:val="black"/>
        </w:rPr>
        <w:t>''''''</w:t>
      </w:r>
      <w:r w:rsidRPr="00684DD8">
        <w:rPr>
          <w:szCs w:val="22"/>
        </w:rPr>
        <w:t xml:space="preserve"> to </w:t>
      </w:r>
      <w:r w:rsidR="00D34A67">
        <w:rPr>
          <w:noProof/>
          <w:color w:val="000000"/>
          <w:szCs w:val="22"/>
          <w:highlight w:val="black"/>
        </w:rPr>
        <w:t>''''''</w:t>
      </w:r>
      <w:r w:rsidRPr="00684DD8">
        <w:rPr>
          <w:szCs w:val="22"/>
        </w:rPr>
        <w:t xml:space="preserve"> adults)</w:t>
      </w:r>
      <w:proofErr w:type="gramStart"/>
      <w:r w:rsidRPr="00684DD8">
        <w:rPr>
          <w:szCs w:val="22"/>
        </w:rPr>
        <w:t xml:space="preserve">.  </w:t>
      </w:r>
      <w:proofErr w:type="gramEnd"/>
      <w:r w:rsidRPr="00684DD8">
        <w:rPr>
          <w:szCs w:val="22"/>
        </w:rPr>
        <w:t xml:space="preserve">The PBAC noted that including the duration of therapy administered whilst every patient is in the inpatient setting provided sufficient sharing of the risk of uncertainty without also increasing the estimated number of patients </w:t>
      </w:r>
      <w:r w:rsidR="00694BE8" w:rsidRPr="00684DD8">
        <w:rPr>
          <w:szCs w:val="22"/>
        </w:rPr>
        <w:t xml:space="preserve">as </w:t>
      </w:r>
      <w:r w:rsidRPr="00684DD8">
        <w:rPr>
          <w:szCs w:val="22"/>
        </w:rPr>
        <w:t>proposed by the sponsor.</w:t>
      </w:r>
    </w:p>
    <w:p w:rsidR="00694BE8" w:rsidRPr="00684DD8" w:rsidRDefault="00694BE8" w:rsidP="00694BE8">
      <w:pPr>
        <w:widowControl/>
        <w:rPr>
          <w:szCs w:val="22"/>
        </w:rPr>
      </w:pPr>
    </w:p>
    <w:p w:rsidR="00BF1C1E" w:rsidRPr="00684DD8" w:rsidRDefault="00BF1C1E" w:rsidP="008B4389">
      <w:pPr>
        <w:pStyle w:val="ListParagraph"/>
        <w:widowControl/>
        <w:numPr>
          <w:ilvl w:val="1"/>
          <w:numId w:val="1"/>
        </w:numPr>
        <w:rPr>
          <w:szCs w:val="22"/>
        </w:rPr>
      </w:pPr>
      <w:r w:rsidRPr="00684DD8">
        <w:rPr>
          <w:szCs w:val="22"/>
        </w:rPr>
        <w:t>The PBAC recommended that a 100% rebate to the Commonwealth should apply beyond the corresponding expenditure caps.</w:t>
      </w:r>
    </w:p>
    <w:p w:rsidR="00576972" w:rsidRPr="00684DD8" w:rsidRDefault="00576972" w:rsidP="00576972">
      <w:pPr>
        <w:widowControl/>
        <w:rPr>
          <w:szCs w:val="22"/>
        </w:rPr>
      </w:pPr>
    </w:p>
    <w:p w:rsidR="00B30291" w:rsidRPr="00684DD8" w:rsidRDefault="00DD2FC3" w:rsidP="00C525B3">
      <w:pPr>
        <w:ind w:firstLine="720"/>
        <w:contextualSpacing/>
        <w:rPr>
          <w:bCs/>
          <w:i/>
          <w:szCs w:val="22"/>
        </w:rPr>
      </w:pPr>
      <w:r w:rsidRPr="00684DD8">
        <w:rPr>
          <w:bCs/>
          <w:i/>
          <w:szCs w:val="22"/>
        </w:rPr>
        <w:t>For more detail on PBAC’s view, see section 7 “PBAC outcome”</w:t>
      </w:r>
      <w:r w:rsidR="0032763B" w:rsidRPr="00684DD8">
        <w:rPr>
          <w:bCs/>
          <w:i/>
          <w:szCs w:val="22"/>
        </w:rPr>
        <w:t>.</w:t>
      </w:r>
    </w:p>
    <w:p w:rsidR="00B87442" w:rsidRPr="00684DD8" w:rsidRDefault="00B87442" w:rsidP="00C1217A">
      <w:pPr>
        <w:contextualSpacing/>
        <w:rPr>
          <w:bCs/>
          <w:szCs w:val="22"/>
        </w:rPr>
      </w:pPr>
    </w:p>
    <w:p w:rsidR="00B87442" w:rsidRPr="00684DD8" w:rsidRDefault="00B87442" w:rsidP="00C1217A">
      <w:pPr>
        <w:contextualSpacing/>
        <w:rPr>
          <w:bCs/>
          <w:szCs w:val="22"/>
        </w:rPr>
      </w:pPr>
    </w:p>
    <w:p w:rsidR="00B87442" w:rsidRPr="00684DD8" w:rsidRDefault="00B87442" w:rsidP="003C215E">
      <w:pPr>
        <w:pStyle w:val="Heading2"/>
      </w:pPr>
      <w:r w:rsidRPr="00684DD8">
        <w:t>PBAC Outcome</w:t>
      </w:r>
    </w:p>
    <w:p w:rsidR="00B87442" w:rsidRPr="00684DD8" w:rsidRDefault="00B87442" w:rsidP="00B87442">
      <w:pPr>
        <w:rPr>
          <w:bCs/>
          <w:highlight w:val="yellow"/>
        </w:rPr>
      </w:pPr>
    </w:p>
    <w:p w:rsidR="00B87442" w:rsidRPr="008A3185" w:rsidRDefault="00B87442" w:rsidP="008A3185">
      <w:pPr>
        <w:pStyle w:val="ListParagraph"/>
        <w:numPr>
          <w:ilvl w:val="1"/>
          <w:numId w:val="1"/>
        </w:numPr>
        <w:rPr>
          <w:bCs/>
        </w:rPr>
      </w:pPr>
      <w:r w:rsidRPr="008A3185">
        <w:rPr>
          <w:bCs/>
        </w:rPr>
        <w:t xml:space="preserve">The PBAC recommended the </w:t>
      </w:r>
      <w:r w:rsidR="002F027A" w:rsidRPr="008A3185">
        <w:rPr>
          <w:bCs/>
        </w:rPr>
        <w:t xml:space="preserve">Authority </w:t>
      </w:r>
      <w:proofErr w:type="gramStart"/>
      <w:r w:rsidR="002F027A" w:rsidRPr="008A3185">
        <w:rPr>
          <w:bCs/>
        </w:rPr>
        <w:t>Required</w:t>
      </w:r>
      <w:proofErr w:type="gramEnd"/>
      <w:r w:rsidR="002F027A" w:rsidRPr="008A3185">
        <w:rPr>
          <w:bCs/>
        </w:rPr>
        <w:t xml:space="preserve"> </w:t>
      </w:r>
      <w:r w:rsidRPr="008A3185">
        <w:rPr>
          <w:bCs/>
        </w:rPr>
        <w:t xml:space="preserve">listing of </w:t>
      </w:r>
      <w:proofErr w:type="spellStart"/>
      <w:r w:rsidR="00D62E18" w:rsidRPr="008A3185">
        <w:rPr>
          <w:bCs/>
        </w:rPr>
        <w:t>blinatumomab</w:t>
      </w:r>
      <w:proofErr w:type="spellEnd"/>
      <w:r w:rsidRPr="008A3185">
        <w:rPr>
          <w:bCs/>
        </w:rPr>
        <w:t xml:space="preserve"> </w:t>
      </w:r>
      <w:r w:rsidR="00D62E18" w:rsidRPr="008A3185">
        <w:rPr>
          <w:bCs/>
        </w:rPr>
        <w:t xml:space="preserve">for the </w:t>
      </w:r>
      <w:r w:rsidR="00D62E18" w:rsidRPr="008A3185">
        <w:rPr>
          <w:bCs/>
        </w:rPr>
        <w:lastRenderedPageBreak/>
        <w:t xml:space="preserve">treatment of </w:t>
      </w:r>
      <w:r w:rsidR="00974587" w:rsidRPr="008A3185">
        <w:rPr>
          <w:bCs/>
        </w:rPr>
        <w:t xml:space="preserve">relapsed or refractory Ph- B-precursor </w:t>
      </w:r>
      <w:r w:rsidR="00D62E18" w:rsidRPr="008A3185">
        <w:rPr>
          <w:bCs/>
        </w:rPr>
        <w:t xml:space="preserve">acute lymphocytic leukaemia (ALL) </w:t>
      </w:r>
      <w:r w:rsidRPr="008A3185">
        <w:rPr>
          <w:bCs/>
        </w:rPr>
        <w:t>on the basis that it should be available only under special arrangements under Section 100</w:t>
      </w:r>
      <w:r w:rsidR="00D62E18" w:rsidRPr="008A3185">
        <w:rPr>
          <w:bCs/>
        </w:rPr>
        <w:t xml:space="preserve"> (</w:t>
      </w:r>
      <w:r w:rsidR="00B54128" w:rsidRPr="008A3185">
        <w:rPr>
          <w:bCs/>
        </w:rPr>
        <w:t>Efficient Funding of Chemotherapy</w:t>
      </w:r>
      <w:r w:rsidR="0032763B" w:rsidRPr="008A3185">
        <w:rPr>
          <w:bCs/>
        </w:rPr>
        <w:t>).</w:t>
      </w:r>
    </w:p>
    <w:p w:rsidR="002F027A" w:rsidRPr="00684DD8" w:rsidRDefault="002F027A" w:rsidP="0032763B">
      <w:pPr>
        <w:rPr>
          <w:bCs/>
        </w:rPr>
      </w:pPr>
    </w:p>
    <w:p w:rsidR="002F027A" w:rsidRPr="00684DD8" w:rsidRDefault="002F027A" w:rsidP="008A3185">
      <w:pPr>
        <w:numPr>
          <w:ilvl w:val="1"/>
          <w:numId w:val="1"/>
        </w:numPr>
        <w:rPr>
          <w:bCs/>
        </w:rPr>
      </w:pPr>
      <w:r w:rsidRPr="00684DD8">
        <w:rPr>
          <w:bCs/>
        </w:rPr>
        <w:t>The PBAC recalled that in November 2015, it did not recommended listin</w:t>
      </w:r>
      <w:r w:rsidR="009F355A" w:rsidRPr="00684DD8">
        <w:rPr>
          <w:bCs/>
        </w:rPr>
        <w:t xml:space="preserve">g of </w:t>
      </w:r>
      <w:proofErr w:type="spellStart"/>
      <w:r w:rsidR="009F355A" w:rsidRPr="00684DD8">
        <w:rPr>
          <w:bCs/>
        </w:rPr>
        <w:t>blinatumomab</w:t>
      </w:r>
      <w:proofErr w:type="spellEnd"/>
      <w:r w:rsidR="009F355A" w:rsidRPr="00684DD8">
        <w:rPr>
          <w:bCs/>
        </w:rPr>
        <w:t xml:space="preserve"> on the basis of uncertainties in comparative clinical effectiveness and a high and uncertain ICER.</w:t>
      </w:r>
      <w:r w:rsidRPr="00684DD8">
        <w:rPr>
          <w:bCs/>
        </w:rPr>
        <w:t xml:space="preserve"> In the current resubmission, the PBAC considered that </w:t>
      </w:r>
      <w:r w:rsidR="002514E4" w:rsidRPr="00684DD8">
        <w:rPr>
          <w:bCs/>
        </w:rPr>
        <w:t xml:space="preserve">preliminary </w:t>
      </w:r>
      <w:r w:rsidRPr="00684DD8">
        <w:rPr>
          <w:bCs/>
        </w:rPr>
        <w:t xml:space="preserve">data from the TOWER trial provided the Committee with more confidence that </w:t>
      </w:r>
      <w:proofErr w:type="spellStart"/>
      <w:r w:rsidRPr="00684DD8">
        <w:rPr>
          <w:bCs/>
        </w:rPr>
        <w:t>blinatumomab</w:t>
      </w:r>
      <w:proofErr w:type="spellEnd"/>
      <w:r w:rsidRPr="00684DD8">
        <w:rPr>
          <w:bCs/>
        </w:rPr>
        <w:t xml:space="preserve"> has</w:t>
      </w:r>
      <w:r w:rsidR="009F355A" w:rsidRPr="00684DD8">
        <w:rPr>
          <w:bCs/>
        </w:rPr>
        <w:t xml:space="preserve"> benefits in OS compared to standard care chemotherapy</w:t>
      </w:r>
      <w:r w:rsidRPr="00684DD8">
        <w:rPr>
          <w:bCs/>
        </w:rPr>
        <w:t>, and noting the</w:t>
      </w:r>
      <w:r w:rsidR="00C2416C" w:rsidRPr="00684DD8">
        <w:rPr>
          <w:bCs/>
        </w:rPr>
        <w:t xml:space="preserve"> high</w:t>
      </w:r>
      <w:r w:rsidRPr="00684DD8">
        <w:rPr>
          <w:bCs/>
        </w:rPr>
        <w:t xml:space="preserve"> clinical need and importance of early access to </w:t>
      </w:r>
      <w:r w:rsidR="004C6340" w:rsidRPr="00684DD8">
        <w:rPr>
          <w:bCs/>
        </w:rPr>
        <w:t xml:space="preserve">treatment for </w:t>
      </w:r>
      <w:r w:rsidRPr="00684DD8">
        <w:rPr>
          <w:bCs/>
        </w:rPr>
        <w:t>this patient po</w:t>
      </w:r>
      <w:r w:rsidR="00454B3E" w:rsidRPr="00684DD8">
        <w:rPr>
          <w:bCs/>
        </w:rPr>
        <w:t xml:space="preserve">pulation, </w:t>
      </w:r>
      <w:r w:rsidR="00A833CC">
        <w:rPr>
          <w:bCs/>
        </w:rPr>
        <w:t xml:space="preserve">as reflected in consumer input, </w:t>
      </w:r>
      <w:r w:rsidR="00454B3E" w:rsidRPr="00684DD8">
        <w:rPr>
          <w:bCs/>
        </w:rPr>
        <w:t>recommended</w:t>
      </w:r>
      <w:r w:rsidRPr="00684DD8">
        <w:rPr>
          <w:bCs/>
        </w:rPr>
        <w:t xml:space="preserve"> listing under a </w:t>
      </w:r>
      <w:r w:rsidR="002D4BC7">
        <w:rPr>
          <w:bCs/>
        </w:rPr>
        <w:t>M</w:t>
      </w:r>
      <w:r w:rsidR="002D4BC7" w:rsidRPr="00684DD8">
        <w:rPr>
          <w:bCs/>
        </w:rPr>
        <w:t xml:space="preserve">anaged </w:t>
      </w:r>
      <w:r w:rsidR="002D4BC7">
        <w:rPr>
          <w:bCs/>
        </w:rPr>
        <w:t>E</w:t>
      </w:r>
      <w:r w:rsidR="002D4BC7" w:rsidRPr="00684DD8">
        <w:rPr>
          <w:bCs/>
        </w:rPr>
        <w:t xml:space="preserve">ntry </w:t>
      </w:r>
      <w:r w:rsidR="002D4BC7">
        <w:rPr>
          <w:bCs/>
        </w:rPr>
        <w:t>S</w:t>
      </w:r>
      <w:r w:rsidR="002D4BC7" w:rsidRPr="00684DD8">
        <w:rPr>
          <w:bCs/>
        </w:rPr>
        <w:t xml:space="preserve">cheme </w:t>
      </w:r>
      <w:r w:rsidRPr="00684DD8">
        <w:rPr>
          <w:bCs/>
        </w:rPr>
        <w:t xml:space="preserve">(MES). </w:t>
      </w:r>
      <w:r w:rsidR="00497FB0" w:rsidRPr="00684DD8">
        <w:rPr>
          <w:bCs/>
        </w:rPr>
        <w:t xml:space="preserve">The PBAC was satisfied that </w:t>
      </w:r>
      <w:proofErr w:type="spellStart"/>
      <w:r w:rsidR="00497FB0" w:rsidRPr="00684DD8">
        <w:rPr>
          <w:bCs/>
        </w:rPr>
        <w:t>blinatumomab</w:t>
      </w:r>
      <w:proofErr w:type="spellEnd"/>
      <w:r w:rsidR="00497FB0" w:rsidRPr="00684DD8">
        <w:rPr>
          <w:bCs/>
        </w:rPr>
        <w:t xml:space="preserve"> provides, for some patients, a significant improvement in efficacy and reduction in toxicity over standard care </w:t>
      </w:r>
      <w:r w:rsidR="00B6317C" w:rsidRPr="00684DD8">
        <w:rPr>
          <w:bCs/>
        </w:rPr>
        <w:t>chemotherapy;</w:t>
      </w:r>
      <w:r w:rsidR="00497FB0" w:rsidRPr="00684DD8">
        <w:rPr>
          <w:bCs/>
        </w:rPr>
        <w:t xml:space="preserve"> however the size of the incremental treatment effect is still uncertain. This uncer</w:t>
      </w:r>
      <w:r w:rsidR="0032763B" w:rsidRPr="00684DD8">
        <w:rPr>
          <w:bCs/>
        </w:rPr>
        <w:t>tainty is the basis of the MES.</w:t>
      </w:r>
    </w:p>
    <w:p w:rsidR="00B87442" w:rsidRPr="00684DD8" w:rsidRDefault="00B87442" w:rsidP="00B87442">
      <w:pPr>
        <w:rPr>
          <w:bCs/>
          <w:highlight w:val="yellow"/>
        </w:rPr>
      </w:pPr>
    </w:p>
    <w:p w:rsidR="00974587" w:rsidRPr="00684DD8" w:rsidRDefault="00974587" w:rsidP="008A3185">
      <w:pPr>
        <w:numPr>
          <w:ilvl w:val="1"/>
          <w:numId w:val="1"/>
        </w:numPr>
        <w:rPr>
          <w:bCs/>
        </w:rPr>
      </w:pPr>
      <w:r w:rsidRPr="00684DD8">
        <w:rPr>
          <w:bCs/>
        </w:rPr>
        <w:t xml:space="preserve">The PBAC considered the </w:t>
      </w:r>
      <w:r w:rsidR="009F4307" w:rsidRPr="00684DD8">
        <w:rPr>
          <w:bCs/>
        </w:rPr>
        <w:t>secretariat suggested</w:t>
      </w:r>
      <w:r w:rsidRPr="00684DD8">
        <w:rPr>
          <w:bCs/>
        </w:rPr>
        <w:t xml:space="preserve"> restriction was appropriate</w:t>
      </w:r>
      <w:r w:rsidR="00C525B3" w:rsidRPr="00684DD8">
        <w:rPr>
          <w:bCs/>
        </w:rPr>
        <w:t xml:space="preserve">. As the majority of patients in the Phase II studies received less than two treatment cycles, likely due to early success or </w:t>
      </w:r>
      <w:r w:rsidR="005F0650" w:rsidRPr="00684DD8">
        <w:rPr>
          <w:bCs/>
        </w:rPr>
        <w:t xml:space="preserve">treatment </w:t>
      </w:r>
      <w:r w:rsidR="00C525B3" w:rsidRPr="00684DD8">
        <w:rPr>
          <w:bCs/>
        </w:rPr>
        <w:t>failure, the PBAC considered it appropriate that the restriction limits use</w:t>
      </w:r>
      <w:r w:rsidRPr="00684DD8">
        <w:rPr>
          <w:bCs/>
        </w:rPr>
        <w:t xml:space="preserve"> to a maximum of 5 cycles of </w:t>
      </w:r>
      <w:proofErr w:type="spellStart"/>
      <w:r w:rsidRPr="00684DD8">
        <w:rPr>
          <w:bCs/>
        </w:rPr>
        <w:t>blinatumomab</w:t>
      </w:r>
      <w:proofErr w:type="spellEnd"/>
      <w:r w:rsidRPr="00684DD8">
        <w:rPr>
          <w:bCs/>
        </w:rPr>
        <w:t>. The PBAC agreed that the restriction should remain silent on age</w:t>
      </w:r>
      <w:r w:rsidR="002F027A" w:rsidRPr="00684DD8">
        <w:rPr>
          <w:bCs/>
        </w:rPr>
        <w:t xml:space="preserve">, noting that most paediatric patients </w:t>
      </w:r>
      <w:r w:rsidR="00A72A8A" w:rsidRPr="00684DD8">
        <w:rPr>
          <w:bCs/>
        </w:rPr>
        <w:t xml:space="preserve">up to 16 years of age </w:t>
      </w:r>
      <w:r w:rsidR="002F027A" w:rsidRPr="00684DD8">
        <w:rPr>
          <w:bCs/>
        </w:rPr>
        <w:t xml:space="preserve">are </w:t>
      </w:r>
      <w:r w:rsidR="00C80F89" w:rsidRPr="00684DD8">
        <w:rPr>
          <w:bCs/>
        </w:rPr>
        <w:t xml:space="preserve">already being </w:t>
      </w:r>
      <w:r w:rsidR="002F027A" w:rsidRPr="00684DD8">
        <w:rPr>
          <w:bCs/>
        </w:rPr>
        <w:t xml:space="preserve">treated </w:t>
      </w:r>
      <w:r w:rsidR="00C80F89" w:rsidRPr="00684DD8">
        <w:rPr>
          <w:bCs/>
        </w:rPr>
        <w:t xml:space="preserve">appropriately </w:t>
      </w:r>
      <w:r w:rsidR="005F0650" w:rsidRPr="00684DD8">
        <w:rPr>
          <w:bCs/>
        </w:rPr>
        <w:t>through</w:t>
      </w:r>
      <w:r w:rsidR="002F027A" w:rsidRPr="00684DD8">
        <w:rPr>
          <w:bCs/>
        </w:rPr>
        <w:t xml:space="preserve"> clinical trials</w:t>
      </w:r>
      <w:r w:rsidR="0032763B" w:rsidRPr="00684DD8">
        <w:rPr>
          <w:bCs/>
        </w:rPr>
        <w:t>.</w:t>
      </w:r>
    </w:p>
    <w:p w:rsidR="00974587" w:rsidRPr="00684DD8" w:rsidRDefault="00974587" w:rsidP="00974587">
      <w:pPr>
        <w:rPr>
          <w:bCs/>
        </w:rPr>
      </w:pPr>
    </w:p>
    <w:p w:rsidR="00B87442" w:rsidRPr="00684DD8" w:rsidRDefault="00974587" w:rsidP="008A3185">
      <w:pPr>
        <w:numPr>
          <w:ilvl w:val="1"/>
          <w:numId w:val="1"/>
        </w:numPr>
        <w:rPr>
          <w:bCs/>
        </w:rPr>
      </w:pPr>
      <w:r w:rsidRPr="00684DD8">
        <w:rPr>
          <w:bCs/>
        </w:rPr>
        <w:t xml:space="preserve">The PBAC reiterated that PBS subsidised </w:t>
      </w:r>
      <w:proofErr w:type="spellStart"/>
      <w:r w:rsidRPr="00684DD8">
        <w:rPr>
          <w:bCs/>
        </w:rPr>
        <w:t>blinatumomab</w:t>
      </w:r>
      <w:proofErr w:type="spellEnd"/>
      <w:r w:rsidRPr="00684DD8">
        <w:rPr>
          <w:bCs/>
        </w:rPr>
        <w:t xml:space="preserve"> should not be provided to public hospital inpatients, and therefore that the maximum quantities and repeats as suggested by the </w:t>
      </w:r>
      <w:r w:rsidR="002D4BC7">
        <w:rPr>
          <w:bCs/>
        </w:rPr>
        <w:t>S</w:t>
      </w:r>
      <w:r w:rsidR="002D4BC7" w:rsidRPr="00684DD8">
        <w:rPr>
          <w:bCs/>
        </w:rPr>
        <w:t xml:space="preserve">ecretariat </w:t>
      </w:r>
      <w:r w:rsidRPr="00684DD8">
        <w:rPr>
          <w:bCs/>
        </w:rPr>
        <w:t>were appropriate</w:t>
      </w:r>
      <w:r w:rsidR="004C6340" w:rsidRPr="00684DD8">
        <w:rPr>
          <w:bCs/>
        </w:rPr>
        <w:t xml:space="preserve"> for the public hospital listing</w:t>
      </w:r>
      <w:r w:rsidRPr="00684DD8">
        <w:rPr>
          <w:bCs/>
        </w:rPr>
        <w:t xml:space="preserve"> to </w:t>
      </w:r>
      <w:r w:rsidR="004C6340" w:rsidRPr="00684DD8">
        <w:rPr>
          <w:bCs/>
        </w:rPr>
        <w:t xml:space="preserve">account </w:t>
      </w:r>
      <w:r w:rsidRPr="00684DD8">
        <w:rPr>
          <w:bCs/>
        </w:rPr>
        <w:t xml:space="preserve">for the first 9 days of cycle 1 and the first 2 days of cycle 2 being provided </w:t>
      </w:r>
      <w:r w:rsidR="004C6340" w:rsidRPr="00684DD8">
        <w:rPr>
          <w:bCs/>
        </w:rPr>
        <w:t>to inpatients</w:t>
      </w:r>
      <w:r w:rsidRPr="00684DD8">
        <w:rPr>
          <w:bCs/>
        </w:rPr>
        <w:t>.</w:t>
      </w:r>
      <w:r w:rsidR="009F4307" w:rsidRPr="00684DD8">
        <w:rPr>
          <w:bCs/>
        </w:rPr>
        <w:t xml:space="preserve"> This will result in the</w:t>
      </w:r>
      <w:r w:rsidR="004C6340" w:rsidRPr="00684DD8">
        <w:rPr>
          <w:bCs/>
        </w:rPr>
        <w:t xml:space="preserve"> public and</w:t>
      </w:r>
      <w:r w:rsidR="009F4307" w:rsidRPr="00684DD8">
        <w:rPr>
          <w:bCs/>
        </w:rPr>
        <w:t xml:space="preserve"> private hospital listing</w:t>
      </w:r>
      <w:r w:rsidR="004C6340" w:rsidRPr="00684DD8">
        <w:rPr>
          <w:bCs/>
        </w:rPr>
        <w:t>s</w:t>
      </w:r>
      <w:r w:rsidRPr="00684DD8">
        <w:rPr>
          <w:bCs/>
        </w:rPr>
        <w:t xml:space="preserve"> </w:t>
      </w:r>
      <w:r w:rsidR="009F4307" w:rsidRPr="00684DD8">
        <w:rPr>
          <w:bCs/>
        </w:rPr>
        <w:t>having different number</w:t>
      </w:r>
      <w:r w:rsidR="004C6340" w:rsidRPr="00684DD8">
        <w:rPr>
          <w:bCs/>
        </w:rPr>
        <w:t>s</w:t>
      </w:r>
      <w:r w:rsidR="009F4307" w:rsidRPr="00684DD8">
        <w:rPr>
          <w:bCs/>
        </w:rPr>
        <w:t xml:space="preserve"> of repeats. </w:t>
      </w:r>
      <w:r w:rsidRPr="00684DD8">
        <w:rPr>
          <w:bCs/>
        </w:rPr>
        <w:t xml:space="preserve">This arrangement avoids a precedent for PBS funding of inpatient chemotherapy in public hospitals. </w:t>
      </w:r>
    </w:p>
    <w:p w:rsidR="00B87442" w:rsidRPr="00684DD8" w:rsidRDefault="00B87442" w:rsidP="00B87442">
      <w:pPr>
        <w:rPr>
          <w:bCs/>
        </w:rPr>
      </w:pPr>
    </w:p>
    <w:p w:rsidR="00B87442" w:rsidRPr="00684DD8" w:rsidRDefault="009F4307" w:rsidP="008A3185">
      <w:pPr>
        <w:numPr>
          <w:ilvl w:val="1"/>
          <w:numId w:val="1"/>
        </w:numPr>
        <w:rPr>
          <w:bCs/>
        </w:rPr>
      </w:pPr>
      <w:r w:rsidRPr="00684DD8">
        <w:rPr>
          <w:bCs/>
        </w:rPr>
        <w:t xml:space="preserve">The comparator, standard care chemotherapies, was unchanged from the previous submission and remained appropriate. </w:t>
      </w:r>
    </w:p>
    <w:p w:rsidR="00E259E2" w:rsidRPr="00684DD8" w:rsidRDefault="00E259E2" w:rsidP="00E259E2">
      <w:pPr>
        <w:pStyle w:val="ListParagraph"/>
        <w:rPr>
          <w:bCs/>
        </w:rPr>
      </w:pPr>
    </w:p>
    <w:p w:rsidR="00C2416C" w:rsidRPr="00684DD8" w:rsidRDefault="005F0650" w:rsidP="008A3185">
      <w:pPr>
        <w:numPr>
          <w:ilvl w:val="1"/>
          <w:numId w:val="1"/>
        </w:numPr>
        <w:rPr>
          <w:bCs/>
        </w:rPr>
      </w:pPr>
      <w:r w:rsidRPr="00684DD8">
        <w:rPr>
          <w:bCs/>
        </w:rPr>
        <w:t xml:space="preserve">In making its recommendation, the PBAC considered that data from the </w:t>
      </w:r>
      <w:r w:rsidR="00787F56" w:rsidRPr="00684DD8">
        <w:rPr>
          <w:bCs/>
        </w:rPr>
        <w:t>two single-arm Phase II studies compared to a retrospective historical control presented were</w:t>
      </w:r>
      <w:r w:rsidRPr="00684DD8">
        <w:rPr>
          <w:bCs/>
        </w:rPr>
        <w:t xml:space="preserve"> reassuring, however the extent of overall survival benefit remains unclear. </w:t>
      </w:r>
      <w:r w:rsidR="00C2416C" w:rsidRPr="00684DD8">
        <w:rPr>
          <w:bCs/>
        </w:rPr>
        <w:t>The PBAC maintained that the weighted post-2000s data from the historical control are the most appropriate basis for an analysis of comparative efficacy in the absence of mature data from TOWER</w:t>
      </w:r>
      <w:r w:rsidR="00787F56" w:rsidRPr="00684DD8">
        <w:rPr>
          <w:bCs/>
        </w:rPr>
        <w:t xml:space="preserve">, noting that </w:t>
      </w:r>
      <w:r w:rsidR="002D4BC7" w:rsidRPr="00684DD8">
        <w:rPr>
          <w:bCs/>
        </w:rPr>
        <w:t>th</w:t>
      </w:r>
      <w:r w:rsidR="002D4BC7">
        <w:rPr>
          <w:bCs/>
        </w:rPr>
        <w:t>ese</w:t>
      </w:r>
      <w:r w:rsidR="002D4BC7" w:rsidRPr="00684DD8">
        <w:rPr>
          <w:bCs/>
        </w:rPr>
        <w:t xml:space="preserve"> </w:t>
      </w:r>
      <w:r w:rsidR="00787F56" w:rsidRPr="00684DD8">
        <w:rPr>
          <w:bCs/>
        </w:rPr>
        <w:t xml:space="preserve">data were provided in the resubmission but </w:t>
      </w:r>
      <w:r w:rsidR="008F6081" w:rsidRPr="00684DD8">
        <w:rPr>
          <w:bCs/>
        </w:rPr>
        <w:t xml:space="preserve">were presented such that they were </w:t>
      </w:r>
      <w:r w:rsidR="00787F56" w:rsidRPr="00684DD8">
        <w:rPr>
          <w:bCs/>
        </w:rPr>
        <w:t>not able to be verified or evaluated</w:t>
      </w:r>
      <w:r w:rsidR="00C2416C" w:rsidRPr="00684DD8">
        <w:rPr>
          <w:bCs/>
        </w:rPr>
        <w:t xml:space="preserve">. </w:t>
      </w:r>
      <w:r w:rsidRPr="00684DD8">
        <w:rPr>
          <w:bCs/>
        </w:rPr>
        <w:t>The preliminary results from the TOWER trial</w:t>
      </w:r>
      <w:r w:rsidR="008F6081" w:rsidRPr="00684DD8">
        <w:rPr>
          <w:bCs/>
        </w:rPr>
        <w:t xml:space="preserve"> presented in the PSCR</w:t>
      </w:r>
      <w:r w:rsidRPr="00684DD8">
        <w:rPr>
          <w:bCs/>
        </w:rPr>
        <w:t xml:space="preserve"> </w:t>
      </w:r>
      <w:r w:rsidR="00C2416C" w:rsidRPr="00684DD8">
        <w:rPr>
          <w:bCs/>
        </w:rPr>
        <w:t xml:space="preserve">provide reassurances that </w:t>
      </w:r>
      <w:r w:rsidR="002D4BC7" w:rsidRPr="00684DD8">
        <w:rPr>
          <w:bCs/>
        </w:rPr>
        <w:t>evidence that is more robust</w:t>
      </w:r>
      <w:r w:rsidR="00C2416C" w:rsidRPr="00684DD8">
        <w:rPr>
          <w:bCs/>
        </w:rPr>
        <w:t xml:space="preserve"> will be forthcoming in the foreseeable future to better inform the clinical effectiveness and cost effectiveness</w:t>
      </w:r>
      <w:r w:rsidR="002D4BC7">
        <w:rPr>
          <w:bCs/>
        </w:rPr>
        <w:t>. T</w:t>
      </w:r>
      <w:r w:rsidR="002D4BC7" w:rsidRPr="00684DD8">
        <w:rPr>
          <w:bCs/>
        </w:rPr>
        <w:t xml:space="preserve">he </w:t>
      </w:r>
      <w:r w:rsidR="00C2416C" w:rsidRPr="00684DD8">
        <w:rPr>
          <w:bCs/>
        </w:rPr>
        <w:t xml:space="preserve">PBAC has proposed a plan to review this evidence </w:t>
      </w:r>
      <w:r w:rsidR="008F6081" w:rsidRPr="00684DD8">
        <w:rPr>
          <w:bCs/>
        </w:rPr>
        <w:t>as soon as it becomes available</w:t>
      </w:r>
      <w:r w:rsidR="00C2416C" w:rsidRPr="00684DD8">
        <w:rPr>
          <w:bCs/>
        </w:rPr>
        <w:t xml:space="preserve"> to ensure patients receiving medicines on the PBS are being treated according to the best available evidence and that the cost of the treatment remains justified in terms of acceptable cost-effectiveness. Should the modelled extent of benefits not be realised, the Committee has recommended measures to minimise the risk of unjustified health care expenditure. </w:t>
      </w:r>
    </w:p>
    <w:p w:rsidR="00B87442" w:rsidRPr="00684DD8" w:rsidRDefault="00B87442" w:rsidP="00B87442">
      <w:pPr>
        <w:rPr>
          <w:bCs/>
          <w:highlight w:val="yellow"/>
        </w:rPr>
      </w:pPr>
    </w:p>
    <w:p w:rsidR="009B1BBA" w:rsidRPr="00684DD8" w:rsidRDefault="000B5D34" w:rsidP="008A3185">
      <w:pPr>
        <w:numPr>
          <w:ilvl w:val="1"/>
          <w:numId w:val="1"/>
        </w:numPr>
        <w:rPr>
          <w:bCs/>
        </w:rPr>
      </w:pPr>
      <w:r w:rsidRPr="00684DD8">
        <w:rPr>
          <w:bCs/>
        </w:rPr>
        <w:t xml:space="preserve">The PBAC considered that the preliminary TOWER trial results provided by the sponsor </w:t>
      </w:r>
      <w:r w:rsidR="004C6340" w:rsidRPr="00684DD8">
        <w:rPr>
          <w:bCs/>
        </w:rPr>
        <w:t xml:space="preserve">in the PSCR </w:t>
      </w:r>
      <w:r w:rsidR="008F6081" w:rsidRPr="00684DD8">
        <w:rPr>
          <w:bCs/>
        </w:rPr>
        <w:t>indicated</w:t>
      </w:r>
      <w:r w:rsidRPr="00684DD8">
        <w:rPr>
          <w:bCs/>
        </w:rPr>
        <w:t xml:space="preserve"> the likely superiority in efficacy of </w:t>
      </w:r>
      <w:proofErr w:type="spellStart"/>
      <w:r w:rsidRPr="00684DD8">
        <w:rPr>
          <w:bCs/>
        </w:rPr>
        <w:t>blinatumomab</w:t>
      </w:r>
      <w:proofErr w:type="spellEnd"/>
      <w:r w:rsidRPr="00684DD8">
        <w:rPr>
          <w:bCs/>
        </w:rPr>
        <w:t xml:space="preserve"> over standard care chemotherapy. </w:t>
      </w:r>
      <w:r w:rsidR="00E259E2" w:rsidRPr="00684DD8">
        <w:rPr>
          <w:bCs/>
        </w:rPr>
        <w:t xml:space="preserve">However, the PBAC disagreed with the ESC that the most clinically relevant outcome is transplant rate and post-transplant survival, instead considering that overall survival was the most relevant outcome to inform </w:t>
      </w:r>
      <w:r w:rsidR="002D4BC7" w:rsidRPr="00684DD8">
        <w:rPr>
          <w:bCs/>
        </w:rPr>
        <w:t>decision-making</w:t>
      </w:r>
      <w:r w:rsidR="00E259E2" w:rsidRPr="00684DD8">
        <w:rPr>
          <w:bCs/>
        </w:rPr>
        <w:t xml:space="preserve">. </w:t>
      </w:r>
    </w:p>
    <w:p w:rsidR="009B1BBA" w:rsidRPr="00684DD8" w:rsidRDefault="009B1BBA" w:rsidP="009B1BBA">
      <w:pPr>
        <w:pStyle w:val="ListParagraph"/>
        <w:rPr>
          <w:bCs/>
        </w:rPr>
      </w:pPr>
    </w:p>
    <w:p w:rsidR="00B87442" w:rsidRPr="00684DD8" w:rsidRDefault="009B1BBA" w:rsidP="008A3185">
      <w:pPr>
        <w:numPr>
          <w:ilvl w:val="1"/>
          <w:numId w:val="1"/>
        </w:numPr>
        <w:rPr>
          <w:bCs/>
        </w:rPr>
      </w:pPr>
      <w:r w:rsidRPr="00684DD8">
        <w:rPr>
          <w:bCs/>
        </w:rPr>
        <w:t xml:space="preserve">The PBAC considered that the preliminary safety results from TOWER indicate that </w:t>
      </w:r>
      <w:proofErr w:type="spellStart"/>
      <w:r w:rsidRPr="00684DD8">
        <w:rPr>
          <w:bCs/>
        </w:rPr>
        <w:t>blinatumomab</w:t>
      </w:r>
      <w:proofErr w:type="spellEnd"/>
      <w:r w:rsidRPr="00684DD8">
        <w:rPr>
          <w:bCs/>
        </w:rPr>
        <w:t xml:space="preserve"> is likely to be superior in terms of comparative safety compared to standard care chemotherapy, and agreed that the mature TOWER results would provide the PBAC with increased confidence in the safety claim. </w:t>
      </w:r>
    </w:p>
    <w:p w:rsidR="009B1BBA" w:rsidRPr="00684DD8" w:rsidRDefault="009B1BBA" w:rsidP="009B1BBA">
      <w:pPr>
        <w:rPr>
          <w:bCs/>
          <w:highlight w:val="yellow"/>
        </w:rPr>
      </w:pPr>
    </w:p>
    <w:p w:rsidR="004B578F" w:rsidRPr="00684DD8" w:rsidRDefault="000B5D34" w:rsidP="008A3185">
      <w:pPr>
        <w:numPr>
          <w:ilvl w:val="1"/>
          <w:numId w:val="1"/>
        </w:numPr>
        <w:rPr>
          <w:bCs/>
        </w:rPr>
      </w:pPr>
      <w:r w:rsidRPr="00684DD8">
        <w:rPr>
          <w:bCs/>
        </w:rPr>
        <w:t xml:space="preserve">The PBAC </w:t>
      </w:r>
      <w:r w:rsidR="0095771C" w:rsidRPr="00684DD8">
        <w:rPr>
          <w:bCs/>
        </w:rPr>
        <w:t>accepted the structure of the economic model,</w:t>
      </w:r>
      <w:r w:rsidR="00160EC0" w:rsidRPr="00684DD8">
        <w:rPr>
          <w:bCs/>
        </w:rPr>
        <w:t xml:space="preserve"> </w:t>
      </w:r>
      <w:r w:rsidR="00C87046" w:rsidRPr="00684DD8">
        <w:rPr>
          <w:bCs/>
        </w:rPr>
        <w:t xml:space="preserve">acknowledging that the ICER may be optimistic, and </w:t>
      </w:r>
      <w:r w:rsidR="00160EC0" w:rsidRPr="00684DD8">
        <w:rPr>
          <w:bCs/>
        </w:rPr>
        <w:t>reiterating that the preferred input into the economic model is the comparative results from the TOWER trial. The PBAC noted</w:t>
      </w:r>
      <w:r w:rsidRPr="00684DD8">
        <w:rPr>
          <w:bCs/>
        </w:rPr>
        <w:t xml:space="preserve"> that a key driver </w:t>
      </w:r>
      <w:r w:rsidR="0095771C" w:rsidRPr="00684DD8">
        <w:rPr>
          <w:bCs/>
        </w:rPr>
        <w:t>of the model</w:t>
      </w:r>
      <w:r w:rsidRPr="00684DD8">
        <w:rPr>
          <w:bCs/>
        </w:rPr>
        <w:t xml:space="preserve"> is the</w:t>
      </w:r>
      <w:r w:rsidR="002F027A" w:rsidRPr="00684DD8">
        <w:rPr>
          <w:bCs/>
        </w:rPr>
        <w:t xml:space="preserve"> </w:t>
      </w:r>
      <w:r w:rsidRPr="00684DD8">
        <w:rPr>
          <w:bCs/>
        </w:rPr>
        <w:t xml:space="preserve">absolute difference in survival at </w:t>
      </w:r>
      <w:r w:rsidR="000C7DAD" w:rsidRPr="00684DD8">
        <w:rPr>
          <w:bCs/>
        </w:rPr>
        <w:t xml:space="preserve">two years (or </w:t>
      </w:r>
      <w:r w:rsidRPr="00684DD8">
        <w:rPr>
          <w:bCs/>
        </w:rPr>
        <w:t>25 months</w:t>
      </w:r>
      <w:r w:rsidR="000C7DAD" w:rsidRPr="00684DD8">
        <w:rPr>
          <w:bCs/>
        </w:rPr>
        <w:t>)</w:t>
      </w:r>
      <w:r w:rsidRPr="00684DD8">
        <w:rPr>
          <w:bCs/>
        </w:rPr>
        <w:t xml:space="preserve">, where the </w:t>
      </w:r>
      <w:r w:rsidR="002F027A" w:rsidRPr="00684DD8">
        <w:rPr>
          <w:bCs/>
        </w:rPr>
        <w:t xml:space="preserve">extrapolation of the </w:t>
      </w:r>
      <w:r w:rsidRPr="00684DD8">
        <w:rPr>
          <w:bCs/>
        </w:rPr>
        <w:t>modelled curves largely plateau consistent with the likel</w:t>
      </w:r>
      <w:r w:rsidR="002F027A" w:rsidRPr="00684DD8">
        <w:rPr>
          <w:bCs/>
        </w:rPr>
        <w:t>y progression of the disease.</w:t>
      </w:r>
      <w:r w:rsidRPr="00684DD8">
        <w:rPr>
          <w:bCs/>
        </w:rPr>
        <w:t xml:space="preserve"> The magnitude of this difference</w:t>
      </w:r>
      <w:r w:rsidR="002F027A" w:rsidRPr="00684DD8">
        <w:rPr>
          <w:bCs/>
        </w:rPr>
        <w:t xml:space="preserve"> at </w:t>
      </w:r>
      <w:r w:rsidR="000C7DAD" w:rsidRPr="00684DD8">
        <w:rPr>
          <w:bCs/>
        </w:rPr>
        <w:t xml:space="preserve">two years (or </w:t>
      </w:r>
      <w:r w:rsidR="002F027A" w:rsidRPr="00684DD8">
        <w:rPr>
          <w:bCs/>
        </w:rPr>
        <w:t>25 months</w:t>
      </w:r>
      <w:r w:rsidR="000C7DAD" w:rsidRPr="00684DD8">
        <w:rPr>
          <w:bCs/>
        </w:rPr>
        <w:t>)</w:t>
      </w:r>
      <w:r w:rsidRPr="00684DD8">
        <w:rPr>
          <w:bCs/>
        </w:rPr>
        <w:t xml:space="preserve"> will be confirmed with mature data from the TOWER trial. </w:t>
      </w:r>
      <w:r w:rsidR="004B578F" w:rsidRPr="00684DD8">
        <w:rPr>
          <w:bCs/>
        </w:rPr>
        <w:t>The PBAC considered that the base case ICER of $</w:t>
      </w:r>
      <w:r w:rsidR="000E14EC">
        <w:rPr>
          <w:bCs/>
        </w:rPr>
        <w:t xml:space="preserve">45,000 – </w:t>
      </w:r>
      <w:r w:rsidR="00306228">
        <w:rPr>
          <w:bCs/>
        </w:rPr>
        <w:t>$</w:t>
      </w:r>
      <w:r w:rsidR="000E14EC">
        <w:rPr>
          <w:bCs/>
        </w:rPr>
        <w:t>75,000</w:t>
      </w:r>
      <w:r w:rsidR="004B578F" w:rsidRPr="00684DD8">
        <w:rPr>
          <w:bCs/>
        </w:rPr>
        <w:t>/QALY was high but accepta</w:t>
      </w:r>
      <w:r w:rsidR="006F2ADA" w:rsidRPr="00684DD8">
        <w:rPr>
          <w:bCs/>
        </w:rPr>
        <w:t>ble in this patient population</w:t>
      </w:r>
      <w:r w:rsidR="00160EC0" w:rsidRPr="00684DD8">
        <w:rPr>
          <w:bCs/>
        </w:rPr>
        <w:t>.</w:t>
      </w:r>
    </w:p>
    <w:p w:rsidR="006F2ADA" w:rsidRPr="00684DD8" w:rsidRDefault="006F2ADA" w:rsidP="00B92200">
      <w:pPr>
        <w:rPr>
          <w:bCs/>
        </w:rPr>
      </w:pPr>
    </w:p>
    <w:p w:rsidR="0007743D" w:rsidRPr="00684DD8" w:rsidRDefault="0007743D" w:rsidP="008A3185">
      <w:pPr>
        <w:numPr>
          <w:ilvl w:val="1"/>
          <w:numId w:val="1"/>
        </w:numPr>
        <w:rPr>
          <w:bCs/>
        </w:rPr>
      </w:pPr>
      <w:r w:rsidRPr="00684DD8">
        <w:rPr>
          <w:bCs/>
        </w:rPr>
        <w:t xml:space="preserve">The PBAC </w:t>
      </w:r>
      <w:r w:rsidR="005F0650" w:rsidRPr="00684DD8">
        <w:rPr>
          <w:bCs/>
        </w:rPr>
        <w:t>noted th</w:t>
      </w:r>
      <w:r w:rsidR="003E4610" w:rsidRPr="00684DD8">
        <w:rPr>
          <w:bCs/>
        </w:rPr>
        <w:t>at the</w:t>
      </w:r>
      <w:r w:rsidR="005F0650" w:rsidRPr="00684DD8">
        <w:rPr>
          <w:bCs/>
        </w:rPr>
        <w:t xml:space="preserve"> estimated number of </w:t>
      </w:r>
      <w:r w:rsidR="009A59CF" w:rsidRPr="00684DD8">
        <w:rPr>
          <w:bCs/>
        </w:rPr>
        <w:t xml:space="preserve">adult </w:t>
      </w:r>
      <w:r w:rsidR="005F0650" w:rsidRPr="00684DD8">
        <w:rPr>
          <w:bCs/>
        </w:rPr>
        <w:t xml:space="preserve">patients treated with </w:t>
      </w:r>
      <w:proofErr w:type="spellStart"/>
      <w:r w:rsidR="005F0650" w:rsidRPr="00684DD8">
        <w:rPr>
          <w:bCs/>
        </w:rPr>
        <w:t>blinatumomab</w:t>
      </w:r>
      <w:proofErr w:type="spellEnd"/>
      <w:r w:rsidR="005F0650" w:rsidRPr="00684DD8">
        <w:rPr>
          <w:bCs/>
        </w:rPr>
        <w:t xml:space="preserve"> as presented in the resubmission</w:t>
      </w:r>
      <w:r w:rsidR="003E4610" w:rsidRPr="00684DD8">
        <w:rPr>
          <w:bCs/>
        </w:rPr>
        <w:t xml:space="preserve"> was reasonable</w:t>
      </w:r>
      <w:r w:rsidR="009A59CF" w:rsidRPr="00684DD8">
        <w:rPr>
          <w:bCs/>
        </w:rPr>
        <w:t>.</w:t>
      </w:r>
    </w:p>
    <w:p w:rsidR="0007743D" w:rsidRPr="00684DD8" w:rsidRDefault="0007743D" w:rsidP="0007743D">
      <w:pPr>
        <w:pStyle w:val="ListParagraph"/>
        <w:rPr>
          <w:bCs/>
        </w:rPr>
      </w:pPr>
    </w:p>
    <w:p w:rsidR="006F2ADA" w:rsidRPr="00684DD8" w:rsidRDefault="006F2ADA" w:rsidP="008A3185">
      <w:pPr>
        <w:numPr>
          <w:ilvl w:val="1"/>
          <w:numId w:val="1"/>
        </w:numPr>
        <w:rPr>
          <w:bCs/>
        </w:rPr>
      </w:pPr>
      <w:r w:rsidRPr="00684DD8">
        <w:rPr>
          <w:bCs/>
        </w:rPr>
        <w:t xml:space="preserve">The PBAC considered that the rule of rescue does not apply to </w:t>
      </w:r>
      <w:proofErr w:type="spellStart"/>
      <w:r w:rsidRPr="00684DD8">
        <w:rPr>
          <w:bCs/>
        </w:rPr>
        <w:t>blinatumomab</w:t>
      </w:r>
      <w:proofErr w:type="spellEnd"/>
      <w:r w:rsidRPr="00684DD8">
        <w:rPr>
          <w:bCs/>
        </w:rPr>
        <w:t xml:space="preserve"> as</w:t>
      </w:r>
      <w:r w:rsidR="00C525B3" w:rsidRPr="00684DD8">
        <w:rPr>
          <w:bCs/>
        </w:rPr>
        <w:t xml:space="preserve"> an alternative therapy exists, and because </w:t>
      </w:r>
      <w:proofErr w:type="spellStart"/>
      <w:r w:rsidR="00C525B3" w:rsidRPr="00684DD8">
        <w:rPr>
          <w:bCs/>
        </w:rPr>
        <w:t>blinatumomab</w:t>
      </w:r>
      <w:proofErr w:type="spellEnd"/>
      <w:r w:rsidR="00C525B3" w:rsidRPr="00684DD8">
        <w:rPr>
          <w:bCs/>
        </w:rPr>
        <w:t xml:space="preserve"> is not in itself a cure. </w:t>
      </w:r>
    </w:p>
    <w:p w:rsidR="00B87442" w:rsidRPr="00684DD8" w:rsidRDefault="00B87442" w:rsidP="00B87442">
      <w:pPr>
        <w:rPr>
          <w:bCs/>
          <w:highlight w:val="yellow"/>
        </w:rPr>
      </w:pPr>
    </w:p>
    <w:p w:rsidR="00B87442" w:rsidRPr="00684DD8" w:rsidRDefault="00B87442" w:rsidP="008A3185">
      <w:pPr>
        <w:numPr>
          <w:ilvl w:val="1"/>
          <w:numId w:val="1"/>
        </w:numPr>
        <w:rPr>
          <w:bCs/>
        </w:rPr>
      </w:pPr>
      <w:r w:rsidRPr="00684DD8">
        <w:rPr>
          <w:bCs/>
        </w:rPr>
        <w:t xml:space="preserve">The PBAC recommended that </w:t>
      </w:r>
      <w:proofErr w:type="spellStart"/>
      <w:r w:rsidR="00B92200" w:rsidRPr="00684DD8">
        <w:rPr>
          <w:bCs/>
        </w:rPr>
        <w:t>blinatumomab</w:t>
      </w:r>
      <w:proofErr w:type="spellEnd"/>
      <w:r w:rsidRPr="00684DD8">
        <w:rPr>
          <w:bCs/>
        </w:rPr>
        <w:t xml:space="preserve"> should </w:t>
      </w:r>
      <w:r w:rsidR="00B92200" w:rsidRPr="00684DD8">
        <w:rPr>
          <w:bCs/>
        </w:rPr>
        <w:t xml:space="preserve">not </w:t>
      </w:r>
      <w:r w:rsidRPr="00684DD8">
        <w:rPr>
          <w:bCs/>
        </w:rPr>
        <w:t>be treated as interchangeable on an individual patient basis with any other drugs</w:t>
      </w:r>
      <w:r w:rsidR="00B92200" w:rsidRPr="00684DD8">
        <w:rPr>
          <w:bCs/>
        </w:rPr>
        <w:t>.</w:t>
      </w:r>
    </w:p>
    <w:p w:rsidR="00B87442" w:rsidRPr="00684DD8" w:rsidRDefault="00B87442" w:rsidP="00B87442">
      <w:pPr>
        <w:rPr>
          <w:bCs/>
        </w:rPr>
      </w:pPr>
    </w:p>
    <w:p w:rsidR="00B87442" w:rsidRPr="00684DD8" w:rsidRDefault="00B87442" w:rsidP="008A3185">
      <w:pPr>
        <w:numPr>
          <w:ilvl w:val="1"/>
          <w:numId w:val="1"/>
        </w:numPr>
        <w:rPr>
          <w:bCs/>
        </w:rPr>
      </w:pPr>
      <w:r w:rsidRPr="00684DD8">
        <w:rPr>
          <w:bCs/>
        </w:rPr>
        <w:t xml:space="preserve">The PBAC advised that </w:t>
      </w:r>
      <w:proofErr w:type="spellStart"/>
      <w:r w:rsidR="00B92200" w:rsidRPr="00684DD8">
        <w:rPr>
          <w:bCs/>
        </w:rPr>
        <w:t>blinatumomab</w:t>
      </w:r>
      <w:proofErr w:type="spellEnd"/>
      <w:r w:rsidRPr="00684DD8">
        <w:rPr>
          <w:bCs/>
        </w:rPr>
        <w:t xml:space="preserve"> is not suitable for prescribi</w:t>
      </w:r>
      <w:r w:rsidR="0032763B" w:rsidRPr="00684DD8">
        <w:rPr>
          <w:bCs/>
        </w:rPr>
        <w:t>ng by nurse practitioners.</w:t>
      </w:r>
    </w:p>
    <w:p w:rsidR="00B87442" w:rsidRPr="00684DD8" w:rsidRDefault="00B87442" w:rsidP="00B87442">
      <w:pPr>
        <w:rPr>
          <w:bCs/>
        </w:rPr>
      </w:pPr>
    </w:p>
    <w:p w:rsidR="00B87442" w:rsidRPr="00684DD8" w:rsidRDefault="00B87442" w:rsidP="008A3185">
      <w:pPr>
        <w:numPr>
          <w:ilvl w:val="1"/>
          <w:numId w:val="1"/>
        </w:numPr>
        <w:rPr>
          <w:bCs/>
        </w:rPr>
      </w:pPr>
      <w:r w:rsidRPr="00684DD8">
        <w:rPr>
          <w:bCs/>
        </w:rPr>
        <w:t>The PBAC recommended that the Earl</w:t>
      </w:r>
      <w:r w:rsidR="0032763B" w:rsidRPr="00684DD8">
        <w:rPr>
          <w:bCs/>
        </w:rPr>
        <w:t>y Supply Rule should not apply.</w:t>
      </w:r>
    </w:p>
    <w:p w:rsidR="00B87442" w:rsidRPr="00684DD8" w:rsidRDefault="00B87442" w:rsidP="00B87442">
      <w:pPr>
        <w:rPr>
          <w:bCs/>
        </w:rPr>
      </w:pPr>
    </w:p>
    <w:p w:rsidR="00B87442" w:rsidRPr="00684DD8" w:rsidRDefault="00B87442" w:rsidP="008A3185">
      <w:pPr>
        <w:numPr>
          <w:ilvl w:val="1"/>
          <w:numId w:val="1"/>
        </w:numPr>
        <w:rPr>
          <w:bCs/>
        </w:rPr>
      </w:pPr>
      <w:r w:rsidRPr="00684DD8">
        <w:rPr>
          <w:bCs/>
        </w:rPr>
        <w:t>The PBAC noted that this submission is not eligible for an Independent Review</w:t>
      </w:r>
      <w:r w:rsidR="00B92200" w:rsidRPr="00684DD8">
        <w:rPr>
          <w:bCs/>
        </w:rPr>
        <w:t xml:space="preserve"> as it has rece</w:t>
      </w:r>
      <w:r w:rsidR="0032763B" w:rsidRPr="00684DD8">
        <w:rPr>
          <w:bCs/>
        </w:rPr>
        <w:t>ived a positive recommendation.</w:t>
      </w:r>
    </w:p>
    <w:p w:rsidR="00B87442" w:rsidRPr="00684DD8" w:rsidRDefault="00B87442" w:rsidP="00B87442">
      <w:pPr>
        <w:rPr>
          <w:bCs/>
        </w:rPr>
      </w:pPr>
    </w:p>
    <w:p w:rsidR="00B92200" w:rsidRPr="00684DD8" w:rsidRDefault="00B92200" w:rsidP="00B87442">
      <w:pPr>
        <w:rPr>
          <w:bCs/>
        </w:rPr>
      </w:pPr>
    </w:p>
    <w:p w:rsidR="00B87442" w:rsidRPr="00684DD8" w:rsidRDefault="00B87442" w:rsidP="00B87442">
      <w:pPr>
        <w:rPr>
          <w:b/>
          <w:bCs/>
        </w:rPr>
      </w:pPr>
      <w:r w:rsidRPr="00684DD8">
        <w:rPr>
          <w:b/>
          <w:bCs/>
        </w:rPr>
        <w:t>Outcome:</w:t>
      </w:r>
    </w:p>
    <w:p w:rsidR="001A3EB0" w:rsidRPr="00B02405" w:rsidRDefault="00B87442" w:rsidP="001A3EB0">
      <w:pPr>
        <w:rPr>
          <w:bCs/>
        </w:rPr>
      </w:pPr>
      <w:r w:rsidRPr="00684DD8">
        <w:rPr>
          <w:bCs/>
        </w:rPr>
        <w:t xml:space="preserve">Recommended </w:t>
      </w:r>
    </w:p>
    <w:p w:rsidR="00B87442" w:rsidRPr="00684DD8" w:rsidRDefault="00B87442" w:rsidP="00B87442">
      <w:pPr>
        <w:rPr>
          <w:bCs/>
          <w:highlight w:val="yellow"/>
        </w:rPr>
      </w:pPr>
    </w:p>
    <w:p w:rsidR="00B87442" w:rsidRPr="00684DD8" w:rsidRDefault="00B87442" w:rsidP="003C215E">
      <w:pPr>
        <w:pStyle w:val="Heading2"/>
        <w:rPr>
          <w:i/>
        </w:rPr>
      </w:pPr>
      <w:r w:rsidRPr="00684DD8">
        <w:t>Recommended listing</w:t>
      </w:r>
    </w:p>
    <w:p w:rsidR="00B87442" w:rsidRPr="00684DD8" w:rsidRDefault="00B87442" w:rsidP="00B87442">
      <w:pPr>
        <w:rPr>
          <w:bCs/>
        </w:rPr>
      </w:pPr>
    </w:p>
    <w:p w:rsidR="00B87442" w:rsidRPr="00BF7DA8" w:rsidRDefault="00886DBA" w:rsidP="008A3185">
      <w:pPr>
        <w:numPr>
          <w:ilvl w:val="1"/>
          <w:numId w:val="1"/>
        </w:numPr>
        <w:rPr>
          <w:b/>
          <w:bCs/>
        </w:rPr>
      </w:pPr>
      <w:r>
        <w:rPr>
          <w:bCs/>
        </w:rPr>
        <w:t>T</w:t>
      </w:r>
      <w:r w:rsidR="007B0AAA" w:rsidRPr="00684DD8">
        <w:rPr>
          <w:bCs/>
        </w:rPr>
        <w:t>o be finalised</w:t>
      </w:r>
      <w:r>
        <w:rPr>
          <w:bCs/>
        </w:rPr>
        <w:t xml:space="preserve">. </w:t>
      </w:r>
    </w:p>
    <w:p w:rsidR="00BF7DA8" w:rsidRDefault="00BF7DA8" w:rsidP="00BF7DA8">
      <w:pPr>
        <w:pStyle w:val="PBACheading1"/>
        <w:ind w:left="720" w:hanging="720"/>
      </w:pPr>
    </w:p>
    <w:p w:rsidR="00BF7DA8" w:rsidRPr="00867481" w:rsidRDefault="00BF7DA8" w:rsidP="003C215E">
      <w:pPr>
        <w:pStyle w:val="Heading2"/>
      </w:pPr>
      <w:r w:rsidRPr="00867481">
        <w:t>Context for Decision</w:t>
      </w:r>
    </w:p>
    <w:p w:rsidR="00BF7DA8" w:rsidRDefault="00BF7DA8" w:rsidP="00BF7DA8">
      <w:pPr>
        <w:ind w:left="720"/>
        <w:rPr>
          <w:bCs/>
        </w:rPr>
      </w:pPr>
    </w:p>
    <w:p w:rsidR="00BF7DA8" w:rsidRDefault="00BF7DA8" w:rsidP="00BF7DA8">
      <w:pPr>
        <w:ind w:left="720"/>
        <w:rPr>
          <w:bCs/>
        </w:rPr>
      </w:pPr>
      <w:r>
        <w:rPr>
          <w:bCs/>
        </w:rPr>
        <w:t xml:space="preserve">The PBAC helps decide whether and, if so, how medicines should be subsidised in </w:t>
      </w:r>
      <w:r>
        <w:rPr>
          <w:bCs/>
        </w:rPr>
        <w:lastRenderedPageBreak/>
        <w:t>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F7DA8" w:rsidRPr="00867481" w:rsidRDefault="00BF7DA8" w:rsidP="00BF7DA8">
      <w:pPr>
        <w:ind w:left="720"/>
        <w:rPr>
          <w:bCs/>
        </w:rPr>
      </w:pPr>
    </w:p>
    <w:p w:rsidR="00BF7DA8" w:rsidRPr="008B4389" w:rsidRDefault="00BF7DA8" w:rsidP="008B4389">
      <w:pPr>
        <w:pStyle w:val="Heading2"/>
      </w:pPr>
      <w:r w:rsidRPr="008B4389">
        <w:t>Sponsor’s Comment</w:t>
      </w:r>
      <w:r w:rsidRPr="008B4389">
        <w:tab/>
      </w:r>
    </w:p>
    <w:p w:rsidR="00FD2B32" w:rsidRPr="00867481" w:rsidRDefault="00FD2B32" w:rsidP="00FD2B32">
      <w:pPr>
        <w:pStyle w:val="ListParagraph"/>
        <w:rPr>
          <w:b/>
          <w:bCs/>
        </w:rPr>
      </w:pPr>
    </w:p>
    <w:p w:rsidR="00282DD5" w:rsidRPr="00960776" w:rsidRDefault="00282DD5" w:rsidP="00282DD5">
      <w:pPr>
        <w:ind w:left="720"/>
        <w:rPr>
          <w:bCs/>
        </w:rPr>
      </w:pPr>
      <w:r w:rsidRPr="006D3E23">
        <w:rPr>
          <w:bCs/>
        </w:rPr>
        <w:t>Amgen are pleased with the PBAC’s recommendation and recognition of the</w:t>
      </w:r>
      <w:r w:rsidRPr="006D3E23">
        <w:t xml:space="preserve"> clinical need for an effective treatment in this patient population</w:t>
      </w:r>
      <w:proofErr w:type="gramStart"/>
      <w:r w:rsidRPr="006D3E23">
        <w:t xml:space="preserve">.  </w:t>
      </w:r>
      <w:proofErr w:type="gramEnd"/>
      <w:r w:rsidRPr="006D3E23">
        <w:t xml:space="preserve">Amgen are committed to </w:t>
      </w:r>
      <w:r w:rsidRPr="006D3E23">
        <w:rPr>
          <w:bCs/>
        </w:rPr>
        <w:t xml:space="preserve">working with the PBAC to achieve a PBS listing for </w:t>
      </w:r>
      <w:proofErr w:type="spellStart"/>
      <w:r w:rsidRPr="006D3E23">
        <w:rPr>
          <w:bCs/>
        </w:rPr>
        <w:t>blinatumomab</w:t>
      </w:r>
      <w:proofErr w:type="spellEnd"/>
      <w:r w:rsidRPr="006D3E23">
        <w:rPr>
          <w:bCs/>
        </w:rPr>
        <w:t xml:space="preserve"> at the earliest opportunity, but also need to ensure that any arrangements are sustainable</w:t>
      </w:r>
      <w:r w:rsidRPr="006D3E23">
        <w:t xml:space="preserve"> to enable patients to benefit from </w:t>
      </w:r>
      <w:proofErr w:type="spellStart"/>
      <w:r w:rsidRPr="006D3E23">
        <w:t>blinatumomab</w:t>
      </w:r>
      <w:proofErr w:type="spellEnd"/>
      <w:r w:rsidRPr="006D3E23">
        <w:t xml:space="preserve"> both now and in the future. </w:t>
      </w:r>
    </w:p>
    <w:p w:rsidR="00BF7DA8" w:rsidRPr="00684DD8" w:rsidRDefault="00BF7DA8" w:rsidP="00BF7DA8">
      <w:pPr>
        <w:pStyle w:val="PBACheading1"/>
        <w:ind w:left="720" w:hanging="720"/>
      </w:pPr>
    </w:p>
    <w:sectPr w:rsidR="00BF7DA8" w:rsidRPr="00684DD8" w:rsidSect="0083456D">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F7F255" w15:done="0"/>
  <w15:commentEx w15:paraId="2F85C9C2" w15:done="0"/>
  <w15:commentEx w15:paraId="2F5D1579" w15:done="0"/>
  <w15:commentEx w15:paraId="71160794" w15:done="0"/>
  <w15:commentEx w15:paraId="416BB200" w15:done="0"/>
  <w15:commentEx w15:paraId="7083EC4D" w15:done="0"/>
  <w15:commentEx w15:paraId="4F26BD99" w15:done="0"/>
  <w15:commentEx w15:paraId="6053F6AC" w15:done="0"/>
  <w15:commentEx w15:paraId="3820463F" w15:done="0"/>
  <w15:commentEx w15:paraId="5F75752F" w15:done="0"/>
  <w15:commentEx w15:paraId="29E39E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67" w:rsidRDefault="00D34A67" w:rsidP="00124A51">
      <w:r>
        <w:separator/>
      </w:r>
    </w:p>
  </w:endnote>
  <w:endnote w:type="continuationSeparator" w:id="0">
    <w:p w:rsidR="00D34A67" w:rsidRDefault="00D34A6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67" w:rsidRDefault="00D34A67">
    <w:pPr>
      <w:pStyle w:val="Footer"/>
      <w:jc w:val="center"/>
    </w:pPr>
  </w:p>
  <w:p w:rsidR="00D34A67" w:rsidRDefault="00F7206D" w:rsidP="007D6B67">
    <w:pPr>
      <w:pStyle w:val="Footer"/>
      <w:jc w:val="center"/>
    </w:pPr>
    <w:sdt>
      <w:sdtPr>
        <w:id w:val="1878206517"/>
        <w:docPartObj>
          <w:docPartGallery w:val="Page Numbers (Bottom of Page)"/>
          <w:docPartUnique/>
        </w:docPartObj>
      </w:sdtPr>
      <w:sdtEndPr>
        <w:rPr>
          <w:noProof/>
        </w:rPr>
      </w:sdtEndPr>
      <w:sdtContent>
        <w:r w:rsidR="00D34A67">
          <w:fldChar w:fldCharType="begin"/>
        </w:r>
        <w:r w:rsidR="00D34A67">
          <w:instrText xml:space="preserve"> PAGE   \* MERGEFORMAT </w:instrText>
        </w:r>
        <w:r w:rsidR="00D34A67">
          <w:fldChar w:fldCharType="separate"/>
        </w:r>
        <w:r>
          <w:rPr>
            <w:noProof/>
          </w:rPr>
          <w:t>19</w:t>
        </w:r>
        <w:r w:rsidR="00D34A6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67" w:rsidRDefault="00D34A67" w:rsidP="00124A51">
      <w:r>
        <w:separator/>
      </w:r>
    </w:p>
  </w:footnote>
  <w:footnote w:type="continuationSeparator" w:id="0">
    <w:p w:rsidR="00D34A67" w:rsidRDefault="00D34A6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67" w:rsidRPr="00DF217D" w:rsidRDefault="00D34A67" w:rsidP="007D6B67">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D34A67" w:rsidRPr="00DF217D" w:rsidRDefault="00D34A67" w:rsidP="007D6B67">
    <w:pPr>
      <w:pStyle w:val="Header"/>
      <w:ind w:left="360"/>
      <w:jc w:val="center"/>
      <w:rPr>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2172EB"/>
    <w:multiLevelType w:val="hybridMultilevel"/>
    <w:tmpl w:val="03AC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6B37B4"/>
    <w:multiLevelType w:val="hybridMultilevel"/>
    <w:tmpl w:val="40EC1B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F87721"/>
    <w:multiLevelType w:val="hybridMultilevel"/>
    <w:tmpl w:val="16B209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CA8A82F4">
      <w:start w:val="13"/>
      <w:numFmt w:val="bullet"/>
      <w:lvlText w:val=""/>
      <w:lvlJc w:val="left"/>
      <w:pPr>
        <w:ind w:left="1800" w:hanging="360"/>
      </w:pPr>
      <w:rPr>
        <w:rFonts w:ascii="Wingdings" w:eastAsia="Times New Roman" w:hAnsi="Wingdings"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B74295"/>
    <w:multiLevelType w:val="multilevel"/>
    <w:tmpl w:val="0D945A5E"/>
    <w:lvl w:ilvl="0">
      <w:start w:val="3"/>
      <w:numFmt w:val="decimal"/>
      <w:lvlText w:val="%1"/>
      <w:lvlJc w:val="left"/>
      <w:pPr>
        <w:ind w:left="720" w:hanging="720"/>
      </w:pPr>
      <w:rPr>
        <w:rFonts w:hint="default"/>
        <w:b/>
        <w:i w:val="0"/>
      </w:rPr>
    </w:lvl>
    <w:lvl w:ilvl="1">
      <w:start w:val="4"/>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F56673"/>
    <w:multiLevelType w:val="hybridMultilevel"/>
    <w:tmpl w:val="E0F6EF6C"/>
    <w:lvl w:ilvl="0" w:tplc="13E6A344">
      <w:start w:val="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D77D0F"/>
    <w:multiLevelType w:val="hybridMultilevel"/>
    <w:tmpl w:val="4F76DD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8905DC7"/>
    <w:multiLevelType w:val="hybridMultilevel"/>
    <w:tmpl w:val="BC48C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A91BE4"/>
    <w:multiLevelType w:val="hybridMultilevel"/>
    <w:tmpl w:val="F086E6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EA6519D"/>
    <w:multiLevelType w:val="multilevel"/>
    <w:tmpl w:val="AF68B5F8"/>
    <w:lvl w:ilvl="0">
      <w:start w:val="3"/>
      <w:numFmt w:val="decimal"/>
      <w:lvlText w:val="%1"/>
      <w:lvlJc w:val="left"/>
      <w:pPr>
        <w:ind w:left="720" w:hanging="720"/>
      </w:pPr>
      <w:rPr>
        <w:rFonts w:hint="default"/>
        <w:b/>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3F2FEF"/>
    <w:multiLevelType w:val="hybridMultilevel"/>
    <w:tmpl w:val="37B20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B30FC9"/>
    <w:multiLevelType w:val="multilevel"/>
    <w:tmpl w:val="AF68B5F8"/>
    <w:lvl w:ilvl="0">
      <w:start w:val="3"/>
      <w:numFmt w:val="decimal"/>
      <w:lvlText w:val="%1"/>
      <w:lvlJc w:val="left"/>
      <w:pPr>
        <w:ind w:left="720" w:hanging="720"/>
      </w:pPr>
      <w:rPr>
        <w:rFonts w:hint="default"/>
        <w:b/>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55F4A5B"/>
    <w:multiLevelType w:val="multilevel"/>
    <w:tmpl w:val="2044185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6EF2CC5"/>
    <w:multiLevelType w:val="multilevel"/>
    <w:tmpl w:val="776E1EBE"/>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6">
    <w:nsid w:val="3B380306"/>
    <w:multiLevelType w:val="multilevel"/>
    <w:tmpl w:val="61CC6468"/>
    <w:lvl w:ilvl="0">
      <w:start w:val="4"/>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3E5A77"/>
    <w:multiLevelType w:val="multilevel"/>
    <w:tmpl w:val="984E5BA8"/>
    <w:lvl w:ilvl="0">
      <w:start w:val="4"/>
      <w:numFmt w:val="decimal"/>
      <w:lvlText w:val="%1"/>
      <w:lvlJc w:val="left"/>
      <w:pPr>
        <w:ind w:left="720" w:hanging="720"/>
      </w:pPr>
      <w:rPr>
        <w:rFonts w:hint="default"/>
        <w:b/>
        <w:i w:val="0"/>
      </w:rPr>
    </w:lvl>
    <w:lvl w:ilvl="1">
      <w:start w:val="4"/>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13C5F2C"/>
    <w:multiLevelType w:val="hybridMultilevel"/>
    <w:tmpl w:val="CDD4DC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0DD6E71"/>
    <w:multiLevelType w:val="multilevel"/>
    <w:tmpl w:val="675CBA84"/>
    <w:lvl w:ilvl="0">
      <w:start w:val="3"/>
      <w:numFmt w:val="decimal"/>
      <w:lvlText w:val="%1"/>
      <w:lvlJc w:val="left"/>
      <w:pPr>
        <w:ind w:left="720" w:hanging="720"/>
      </w:pPr>
      <w:rPr>
        <w:rFonts w:hint="default"/>
        <w:b/>
        <w:i w:val="0"/>
      </w:rPr>
    </w:lvl>
    <w:lvl w:ilvl="1">
      <w:start w:val="3"/>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977A5C"/>
    <w:multiLevelType w:val="hybridMultilevel"/>
    <w:tmpl w:val="BD5C2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CE0B75"/>
    <w:multiLevelType w:val="hybridMultilevel"/>
    <w:tmpl w:val="87B21C84"/>
    <w:lvl w:ilvl="0" w:tplc="993ABBAA">
      <w:start w:val="2"/>
      <w:numFmt w:val="bullet"/>
      <w:lvlText w:val="•"/>
      <w:lvlJc w:val="left"/>
      <w:pPr>
        <w:ind w:left="720" w:hanging="360"/>
      </w:pPr>
      <w:rPr>
        <w:rFonts w:ascii="SymbolMT" w:eastAsia="SymbolMT" w:hAnsi="Arial" w:cs="SymbolMT" w:hint="eastAsi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58407F"/>
    <w:multiLevelType w:val="multilevel"/>
    <w:tmpl w:val="E9006874"/>
    <w:lvl w:ilvl="0">
      <w:start w:val="4"/>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AE10AD0"/>
    <w:multiLevelType w:val="multilevel"/>
    <w:tmpl w:val="2E2A5BE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B1E35C9"/>
    <w:multiLevelType w:val="hybridMultilevel"/>
    <w:tmpl w:val="4A3665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01809E3"/>
    <w:multiLevelType w:val="multilevel"/>
    <w:tmpl w:val="B9A689F0"/>
    <w:lvl w:ilvl="0">
      <w:start w:val="1"/>
      <w:numFmt w:val="bullet"/>
      <w:pStyle w:val="TableBullets"/>
      <w:lvlText w:val=""/>
      <w:lvlJc w:val="left"/>
      <w:pPr>
        <w:ind w:left="170" w:hanging="170"/>
      </w:pPr>
      <w:rPr>
        <w:rFonts w:ascii="Symbol" w:hAnsi="Symbol" w:hint="default"/>
        <w:color w:val="auto"/>
      </w:rPr>
    </w:lvl>
    <w:lvl w:ilvl="1">
      <w:start w:val="1"/>
      <w:numFmt w:val="bullet"/>
      <w:pStyle w:val="TableBullets2"/>
      <w:lvlText w:val=""/>
      <w:lvlJc w:val="left"/>
      <w:pPr>
        <w:ind w:left="340" w:hanging="170"/>
      </w:pPr>
      <w:rPr>
        <w:rFonts w:ascii="Symbol" w:hAnsi="Symbol" w:hint="default"/>
        <w:color w:val="auto"/>
      </w:rPr>
    </w:lvl>
    <w:lvl w:ilvl="2">
      <w:start w:val="1"/>
      <w:numFmt w:val="bullet"/>
      <w:lvlText w:val=""/>
      <w:lvlJc w:val="left"/>
      <w:pPr>
        <w:ind w:left="680" w:hanging="170"/>
      </w:pPr>
      <w:rPr>
        <w:rFonts w:ascii="Symbol" w:hAnsi="Symbol" w:hint="default"/>
        <w:color w:val="auto"/>
      </w:rPr>
    </w:lvl>
    <w:lvl w:ilvl="3">
      <w:start w:val="1"/>
      <w:numFmt w:val="bullet"/>
      <w:lvlText w:val=""/>
      <w:lvlJc w:val="left"/>
      <w:pPr>
        <w:ind w:left="850" w:hanging="170"/>
      </w:pPr>
      <w:rPr>
        <w:rFonts w:ascii="Symbol" w:hAnsi="Symbol" w:hint="default"/>
        <w:color w:val="auto"/>
      </w:rPr>
    </w:lvl>
    <w:lvl w:ilvl="4">
      <w:start w:val="1"/>
      <w:numFmt w:val="bullet"/>
      <w:lvlText w:val=""/>
      <w:lvlJc w:val="left"/>
      <w:pPr>
        <w:ind w:left="1020" w:hanging="170"/>
      </w:pPr>
      <w:rPr>
        <w:rFonts w:ascii="Symbol" w:hAnsi="Symbol" w:hint="default"/>
        <w:color w:val="auto"/>
      </w:rPr>
    </w:lvl>
    <w:lvl w:ilvl="5">
      <w:start w:val="1"/>
      <w:numFmt w:val="bullet"/>
      <w:lvlText w:val=""/>
      <w:lvlJc w:val="left"/>
      <w:pPr>
        <w:ind w:left="1190" w:hanging="170"/>
      </w:pPr>
      <w:rPr>
        <w:rFonts w:ascii="Symbol" w:hAnsi="Symbol" w:hint="default"/>
        <w:color w:val="auto"/>
      </w:rPr>
    </w:lvl>
    <w:lvl w:ilvl="6">
      <w:start w:val="1"/>
      <w:numFmt w:val="bullet"/>
      <w:lvlText w:val=""/>
      <w:lvlJc w:val="left"/>
      <w:pPr>
        <w:ind w:left="1360" w:hanging="170"/>
      </w:pPr>
      <w:rPr>
        <w:rFonts w:ascii="Symbol" w:hAnsi="Symbol" w:hint="default"/>
        <w:color w:val="auto"/>
      </w:rPr>
    </w:lvl>
    <w:lvl w:ilvl="7">
      <w:start w:val="1"/>
      <w:numFmt w:val="bullet"/>
      <w:lvlText w:val=""/>
      <w:lvlJc w:val="left"/>
      <w:pPr>
        <w:ind w:left="1530" w:hanging="170"/>
      </w:pPr>
      <w:rPr>
        <w:rFonts w:ascii="Symbol" w:hAnsi="Symbol" w:hint="default"/>
        <w:color w:val="auto"/>
      </w:rPr>
    </w:lvl>
    <w:lvl w:ilvl="8">
      <w:start w:val="1"/>
      <w:numFmt w:val="bullet"/>
      <w:lvlText w:val=""/>
      <w:lvlJc w:val="left"/>
      <w:pPr>
        <w:ind w:left="1700" w:hanging="170"/>
      </w:pPr>
      <w:rPr>
        <w:rFonts w:ascii="Symbol" w:hAnsi="Symbol" w:hint="default"/>
        <w:color w:val="auto"/>
      </w:rPr>
    </w:lvl>
  </w:abstractNum>
  <w:abstractNum w:abstractNumId="27">
    <w:nsid w:val="749379E6"/>
    <w:multiLevelType w:val="multilevel"/>
    <w:tmpl w:val="08BC8500"/>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6351E81"/>
    <w:multiLevelType w:val="multilevel"/>
    <w:tmpl w:val="2E2A5BE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84D033C"/>
    <w:multiLevelType w:val="multilevel"/>
    <w:tmpl w:val="7E7A85E0"/>
    <w:lvl w:ilvl="0">
      <w:start w:val="1"/>
      <w:numFmt w:val="decimal"/>
      <w:pStyle w:val="Heading2"/>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9545AD5"/>
    <w:multiLevelType w:val="hybridMultilevel"/>
    <w:tmpl w:val="C4F44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C331102"/>
    <w:multiLevelType w:val="hybridMultilevel"/>
    <w:tmpl w:val="787000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9"/>
  </w:num>
  <w:num w:numId="2">
    <w:abstractNumId w:val="14"/>
  </w:num>
  <w:num w:numId="3">
    <w:abstractNumId w:val="26"/>
  </w:num>
  <w:num w:numId="4">
    <w:abstractNumId w:val="2"/>
  </w:num>
  <w:num w:numId="5">
    <w:abstractNumId w:val="10"/>
  </w:num>
  <w:num w:numId="6">
    <w:abstractNumId w:val="15"/>
  </w:num>
  <w:num w:numId="7">
    <w:abstractNumId w:val="18"/>
  </w:num>
  <w:num w:numId="8">
    <w:abstractNumId w:val="31"/>
  </w:num>
  <w:num w:numId="9">
    <w:abstractNumId w:val="4"/>
  </w:num>
  <w:num w:numId="10">
    <w:abstractNumId w:val="8"/>
  </w:num>
  <w:num w:numId="11">
    <w:abstractNumId w:val="20"/>
  </w:num>
  <w:num w:numId="12">
    <w:abstractNumId w:val="3"/>
  </w:num>
  <w:num w:numId="13">
    <w:abstractNumId w:val="0"/>
  </w:num>
  <w:num w:numId="14">
    <w:abstractNumId w:val="7"/>
  </w:num>
  <w:num w:numId="15">
    <w:abstractNumId w:val="29"/>
  </w:num>
  <w:num w:numId="16">
    <w:abstractNumId w:val="25"/>
  </w:num>
  <w:num w:numId="17">
    <w:abstractNumId w:val="1"/>
  </w:num>
  <w:num w:numId="18">
    <w:abstractNumId w:val="21"/>
  </w:num>
  <w:num w:numId="19">
    <w:abstractNumId w:val="6"/>
  </w:num>
  <w:num w:numId="20">
    <w:abstractNumId w:val="12"/>
  </w:num>
  <w:num w:numId="21">
    <w:abstractNumId w:val="22"/>
  </w:num>
  <w:num w:numId="22">
    <w:abstractNumId w:val="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4"/>
  </w:num>
  <w:num w:numId="26">
    <w:abstractNumId w:val="19"/>
  </w:num>
  <w:num w:numId="27">
    <w:abstractNumId w:val="5"/>
  </w:num>
  <w:num w:numId="28">
    <w:abstractNumId w:val="28"/>
  </w:num>
  <w:num w:numId="29">
    <w:abstractNumId w:val="23"/>
  </w:num>
  <w:num w:numId="30">
    <w:abstractNumId w:val="27"/>
  </w:num>
  <w:num w:numId="31">
    <w:abstractNumId w:val="17"/>
  </w:num>
  <w:num w:numId="32">
    <w:abstractNumId w:val="16"/>
  </w:num>
  <w:num w:numId="33">
    <w:abstractNumId w:val="11"/>
  </w:num>
  <w:num w:numId="34">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50"/>
    <w:rsid w:val="00000790"/>
    <w:rsid w:val="0000110B"/>
    <w:rsid w:val="00002601"/>
    <w:rsid w:val="0000306A"/>
    <w:rsid w:val="000064DF"/>
    <w:rsid w:val="00012E01"/>
    <w:rsid w:val="00013247"/>
    <w:rsid w:val="000140D3"/>
    <w:rsid w:val="000146F7"/>
    <w:rsid w:val="00015886"/>
    <w:rsid w:val="000162EF"/>
    <w:rsid w:val="00017869"/>
    <w:rsid w:val="0002225F"/>
    <w:rsid w:val="00023086"/>
    <w:rsid w:val="00023763"/>
    <w:rsid w:val="0003214C"/>
    <w:rsid w:val="00033464"/>
    <w:rsid w:val="00035427"/>
    <w:rsid w:val="000365D6"/>
    <w:rsid w:val="00037DEF"/>
    <w:rsid w:val="00040895"/>
    <w:rsid w:val="00040E77"/>
    <w:rsid w:val="00041683"/>
    <w:rsid w:val="000421F8"/>
    <w:rsid w:val="0004231D"/>
    <w:rsid w:val="00043C37"/>
    <w:rsid w:val="00050838"/>
    <w:rsid w:val="000546D7"/>
    <w:rsid w:val="00060191"/>
    <w:rsid w:val="0006074A"/>
    <w:rsid w:val="00063BE2"/>
    <w:rsid w:val="00066B5E"/>
    <w:rsid w:val="00071248"/>
    <w:rsid w:val="000720B9"/>
    <w:rsid w:val="0007285E"/>
    <w:rsid w:val="000729E7"/>
    <w:rsid w:val="00074C9F"/>
    <w:rsid w:val="0007743D"/>
    <w:rsid w:val="000812CA"/>
    <w:rsid w:val="00081ACB"/>
    <w:rsid w:val="000845E3"/>
    <w:rsid w:val="00090B2D"/>
    <w:rsid w:val="00090C7E"/>
    <w:rsid w:val="00095DB3"/>
    <w:rsid w:val="00096A30"/>
    <w:rsid w:val="000A3A4E"/>
    <w:rsid w:val="000B36E5"/>
    <w:rsid w:val="000B5D34"/>
    <w:rsid w:val="000C125E"/>
    <w:rsid w:val="000C2757"/>
    <w:rsid w:val="000C7DAD"/>
    <w:rsid w:val="000D0608"/>
    <w:rsid w:val="000D1BFC"/>
    <w:rsid w:val="000D4201"/>
    <w:rsid w:val="000D49DB"/>
    <w:rsid w:val="000E14EC"/>
    <w:rsid w:val="000E2B74"/>
    <w:rsid w:val="000E57E7"/>
    <w:rsid w:val="000F49F3"/>
    <w:rsid w:val="000F5623"/>
    <w:rsid w:val="000F70A5"/>
    <w:rsid w:val="0010090E"/>
    <w:rsid w:val="00100E36"/>
    <w:rsid w:val="00100F8A"/>
    <w:rsid w:val="00101C91"/>
    <w:rsid w:val="00102611"/>
    <w:rsid w:val="001036A0"/>
    <w:rsid w:val="0011032E"/>
    <w:rsid w:val="001109E2"/>
    <w:rsid w:val="00110EE2"/>
    <w:rsid w:val="00116A2D"/>
    <w:rsid w:val="00121799"/>
    <w:rsid w:val="001222FC"/>
    <w:rsid w:val="001227F1"/>
    <w:rsid w:val="0012299F"/>
    <w:rsid w:val="00122E2B"/>
    <w:rsid w:val="00124A51"/>
    <w:rsid w:val="00126621"/>
    <w:rsid w:val="0012737E"/>
    <w:rsid w:val="001301E9"/>
    <w:rsid w:val="00132086"/>
    <w:rsid w:val="001340BF"/>
    <w:rsid w:val="00137645"/>
    <w:rsid w:val="0014015A"/>
    <w:rsid w:val="00140E99"/>
    <w:rsid w:val="0014208B"/>
    <w:rsid w:val="00142C3F"/>
    <w:rsid w:val="001456B0"/>
    <w:rsid w:val="00152E62"/>
    <w:rsid w:val="00152F61"/>
    <w:rsid w:val="00153A45"/>
    <w:rsid w:val="00153FF2"/>
    <w:rsid w:val="001559CE"/>
    <w:rsid w:val="00157130"/>
    <w:rsid w:val="001608D4"/>
    <w:rsid w:val="00160EC0"/>
    <w:rsid w:val="00162913"/>
    <w:rsid w:val="00163EFF"/>
    <w:rsid w:val="001661FB"/>
    <w:rsid w:val="00171583"/>
    <w:rsid w:val="001717BD"/>
    <w:rsid w:val="001721A4"/>
    <w:rsid w:val="00175434"/>
    <w:rsid w:val="00177DF1"/>
    <w:rsid w:val="00180B6D"/>
    <w:rsid w:val="00181B41"/>
    <w:rsid w:val="00193267"/>
    <w:rsid w:val="00195113"/>
    <w:rsid w:val="00195222"/>
    <w:rsid w:val="001971A6"/>
    <w:rsid w:val="001975D8"/>
    <w:rsid w:val="00197605"/>
    <w:rsid w:val="001A3EB0"/>
    <w:rsid w:val="001A4C09"/>
    <w:rsid w:val="001A712E"/>
    <w:rsid w:val="001B0E2D"/>
    <w:rsid w:val="001B165F"/>
    <w:rsid w:val="001B219C"/>
    <w:rsid w:val="001B279A"/>
    <w:rsid w:val="001B2D68"/>
    <w:rsid w:val="001B32D4"/>
    <w:rsid w:val="001B3443"/>
    <w:rsid w:val="001B3D5D"/>
    <w:rsid w:val="001B40CF"/>
    <w:rsid w:val="001B59F5"/>
    <w:rsid w:val="001B6188"/>
    <w:rsid w:val="001C0167"/>
    <w:rsid w:val="001C08FB"/>
    <w:rsid w:val="001C1030"/>
    <w:rsid w:val="001C496C"/>
    <w:rsid w:val="001C4DB1"/>
    <w:rsid w:val="001C4E35"/>
    <w:rsid w:val="001C4E5C"/>
    <w:rsid w:val="001C5CB7"/>
    <w:rsid w:val="001C6E66"/>
    <w:rsid w:val="001D112E"/>
    <w:rsid w:val="001D3AFC"/>
    <w:rsid w:val="001E238E"/>
    <w:rsid w:val="001E3C52"/>
    <w:rsid w:val="001E47EC"/>
    <w:rsid w:val="001E5218"/>
    <w:rsid w:val="001E52EB"/>
    <w:rsid w:val="001E66B4"/>
    <w:rsid w:val="001E740C"/>
    <w:rsid w:val="001E780C"/>
    <w:rsid w:val="001F04C9"/>
    <w:rsid w:val="001F1235"/>
    <w:rsid w:val="001F1CB3"/>
    <w:rsid w:val="001F24F3"/>
    <w:rsid w:val="001F3BE3"/>
    <w:rsid w:val="001F6BA1"/>
    <w:rsid w:val="001F7361"/>
    <w:rsid w:val="002025FE"/>
    <w:rsid w:val="00203179"/>
    <w:rsid w:val="002049F3"/>
    <w:rsid w:val="002105C1"/>
    <w:rsid w:val="00210EFE"/>
    <w:rsid w:val="00211E4C"/>
    <w:rsid w:val="002154CF"/>
    <w:rsid w:val="00215BD5"/>
    <w:rsid w:val="00217705"/>
    <w:rsid w:val="00220297"/>
    <w:rsid w:val="00223B49"/>
    <w:rsid w:val="00224DD4"/>
    <w:rsid w:val="00227CCE"/>
    <w:rsid w:val="002309CC"/>
    <w:rsid w:val="00233698"/>
    <w:rsid w:val="00236564"/>
    <w:rsid w:val="002514E4"/>
    <w:rsid w:val="00253BD0"/>
    <w:rsid w:val="0025534B"/>
    <w:rsid w:val="00255BB7"/>
    <w:rsid w:val="00255D7D"/>
    <w:rsid w:val="002570C5"/>
    <w:rsid w:val="00257840"/>
    <w:rsid w:val="00262A87"/>
    <w:rsid w:val="002643B0"/>
    <w:rsid w:val="00265781"/>
    <w:rsid w:val="00266C65"/>
    <w:rsid w:val="002672F6"/>
    <w:rsid w:val="00267CCA"/>
    <w:rsid w:val="0027091A"/>
    <w:rsid w:val="00271F80"/>
    <w:rsid w:val="00275C5A"/>
    <w:rsid w:val="00282DD5"/>
    <w:rsid w:val="002872BB"/>
    <w:rsid w:val="002902CA"/>
    <w:rsid w:val="0029560C"/>
    <w:rsid w:val="002A14AB"/>
    <w:rsid w:val="002A20AB"/>
    <w:rsid w:val="002A2F75"/>
    <w:rsid w:val="002B13C4"/>
    <w:rsid w:val="002B1C1F"/>
    <w:rsid w:val="002B432F"/>
    <w:rsid w:val="002B4C08"/>
    <w:rsid w:val="002B652B"/>
    <w:rsid w:val="002B6CCE"/>
    <w:rsid w:val="002B6F51"/>
    <w:rsid w:val="002B7E65"/>
    <w:rsid w:val="002C11CF"/>
    <w:rsid w:val="002C27C1"/>
    <w:rsid w:val="002C3912"/>
    <w:rsid w:val="002C7A20"/>
    <w:rsid w:val="002D1822"/>
    <w:rsid w:val="002D47BF"/>
    <w:rsid w:val="002D4A29"/>
    <w:rsid w:val="002D4BC7"/>
    <w:rsid w:val="002D519C"/>
    <w:rsid w:val="002D7113"/>
    <w:rsid w:val="002E07ED"/>
    <w:rsid w:val="002E0B45"/>
    <w:rsid w:val="002E18C6"/>
    <w:rsid w:val="002E2E0B"/>
    <w:rsid w:val="002E5E0B"/>
    <w:rsid w:val="002F027A"/>
    <w:rsid w:val="002F524E"/>
    <w:rsid w:val="002F7B1E"/>
    <w:rsid w:val="003000AE"/>
    <w:rsid w:val="00300D7A"/>
    <w:rsid w:val="00301017"/>
    <w:rsid w:val="003014A3"/>
    <w:rsid w:val="00306228"/>
    <w:rsid w:val="0030715F"/>
    <w:rsid w:val="0030786C"/>
    <w:rsid w:val="0031031A"/>
    <w:rsid w:val="00312679"/>
    <w:rsid w:val="003153CD"/>
    <w:rsid w:val="00315498"/>
    <w:rsid w:val="00315EA1"/>
    <w:rsid w:val="00316C07"/>
    <w:rsid w:val="00317565"/>
    <w:rsid w:val="003210C0"/>
    <w:rsid w:val="00321A8A"/>
    <w:rsid w:val="003230CB"/>
    <w:rsid w:val="003247A8"/>
    <w:rsid w:val="0032488C"/>
    <w:rsid w:val="00324F91"/>
    <w:rsid w:val="0032763B"/>
    <w:rsid w:val="00333810"/>
    <w:rsid w:val="00333A5E"/>
    <w:rsid w:val="00333B35"/>
    <w:rsid w:val="003366C9"/>
    <w:rsid w:val="00340347"/>
    <w:rsid w:val="00341A76"/>
    <w:rsid w:val="003516F0"/>
    <w:rsid w:val="003554BB"/>
    <w:rsid w:val="00355618"/>
    <w:rsid w:val="0035620E"/>
    <w:rsid w:val="00361394"/>
    <w:rsid w:val="003640CF"/>
    <w:rsid w:val="00364743"/>
    <w:rsid w:val="00364A65"/>
    <w:rsid w:val="003714D6"/>
    <w:rsid w:val="0037156A"/>
    <w:rsid w:val="0037266C"/>
    <w:rsid w:val="0037332D"/>
    <w:rsid w:val="003735E4"/>
    <w:rsid w:val="0037373E"/>
    <w:rsid w:val="003754F1"/>
    <w:rsid w:val="00375D52"/>
    <w:rsid w:val="00375FED"/>
    <w:rsid w:val="00376642"/>
    <w:rsid w:val="00382DBC"/>
    <w:rsid w:val="0038365C"/>
    <w:rsid w:val="0038397C"/>
    <w:rsid w:val="00384858"/>
    <w:rsid w:val="003848A2"/>
    <w:rsid w:val="003870F7"/>
    <w:rsid w:val="00392B2A"/>
    <w:rsid w:val="00393F75"/>
    <w:rsid w:val="0039578E"/>
    <w:rsid w:val="00396FD0"/>
    <w:rsid w:val="003A09A0"/>
    <w:rsid w:val="003A1A7A"/>
    <w:rsid w:val="003A2C74"/>
    <w:rsid w:val="003A56B3"/>
    <w:rsid w:val="003A5DC7"/>
    <w:rsid w:val="003A692A"/>
    <w:rsid w:val="003A6FB1"/>
    <w:rsid w:val="003A70BA"/>
    <w:rsid w:val="003B2D73"/>
    <w:rsid w:val="003B559E"/>
    <w:rsid w:val="003C215E"/>
    <w:rsid w:val="003C27B9"/>
    <w:rsid w:val="003C28F1"/>
    <w:rsid w:val="003C44EA"/>
    <w:rsid w:val="003C7ABE"/>
    <w:rsid w:val="003D0EB0"/>
    <w:rsid w:val="003D1828"/>
    <w:rsid w:val="003D2422"/>
    <w:rsid w:val="003D34D8"/>
    <w:rsid w:val="003D35A8"/>
    <w:rsid w:val="003D6EFE"/>
    <w:rsid w:val="003E2033"/>
    <w:rsid w:val="003E4610"/>
    <w:rsid w:val="003F08B9"/>
    <w:rsid w:val="003F0B16"/>
    <w:rsid w:val="003F28A0"/>
    <w:rsid w:val="003F4156"/>
    <w:rsid w:val="003F472F"/>
    <w:rsid w:val="003F6965"/>
    <w:rsid w:val="003F7231"/>
    <w:rsid w:val="00401639"/>
    <w:rsid w:val="00402738"/>
    <w:rsid w:val="004045F8"/>
    <w:rsid w:val="0040682D"/>
    <w:rsid w:val="004074E3"/>
    <w:rsid w:val="004102AF"/>
    <w:rsid w:val="00410E4B"/>
    <w:rsid w:val="00410EC7"/>
    <w:rsid w:val="00414476"/>
    <w:rsid w:val="00416FF7"/>
    <w:rsid w:val="00420B9F"/>
    <w:rsid w:val="00424519"/>
    <w:rsid w:val="00425094"/>
    <w:rsid w:val="00425CB2"/>
    <w:rsid w:val="00427F52"/>
    <w:rsid w:val="00430E5F"/>
    <w:rsid w:val="004319F8"/>
    <w:rsid w:val="004325FB"/>
    <w:rsid w:val="00432FEE"/>
    <w:rsid w:val="00433081"/>
    <w:rsid w:val="00433349"/>
    <w:rsid w:val="004350C3"/>
    <w:rsid w:val="004365DB"/>
    <w:rsid w:val="00436AC0"/>
    <w:rsid w:val="004443A7"/>
    <w:rsid w:val="00446189"/>
    <w:rsid w:val="004464EB"/>
    <w:rsid w:val="00446C8D"/>
    <w:rsid w:val="0045031A"/>
    <w:rsid w:val="00451389"/>
    <w:rsid w:val="00454B3E"/>
    <w:rsid w:val="00454DD8"/>
    <w:rsid w:val="00455D45"/>
    <w:rsid w:val="0045738D"/>
    <w:rsid w:val="0046340F"/>
    <w:rsid w:val="00464595"/>
    <w:rsid w:val="00465750"/>
    <w:rsid w:val="00471EBB"/>
    <w:rsid w:val="00472359"/>
    <w:rsid w:val="0047456A"/>
    <w:rsid w:val="00475C78"/>
    <w:rsid w:val="0048168D"/>
    <w:rsid w:val="00481C66"/>
    <w:rsid w:val="004867E2"/>
    <w:rsid w:val="0048763F"/>
    <w:rsid w:val="00491B3A"/>
    <w:rsid w:val="00497F10"/>
    <w:rsid w:val="00497FB0"/>
    <w:rsid w:val="004A0B8C"/>
    <w:rsid w:val="004A0DA1"/>
    <w:rsid w:val="004A2996"/>
    <w:rsid w:val="004A4194"/>
    <w:rsid w:val="004A6597"/>
    <w:rsid w:val="004A7338"/>
    <w:rsid w:val="004B07EE"/>
    <w:rsid w:val="004B2F18"/>
    <w:rsid w:val="004B3DDB"/>
    <w:rsid w:val="004B44FD"/>
    <w:rsid w:val="004B578F"/>
    <w:rsid w:val="004B5CFC"/>
    <w:rsid w:val="004C1B8D"/>
    <w:rsid w:val="004C2400"/>
    <w:rsid w:val="004C29EF"/>
    <w:rsid w:val="004C3CCC"/>
    <w:rsid w:val="004C4AED"/>
    <w:rsid w:val="004C6340"/>
    <w:rsid w:val="004D0813"/>
    <w:rsid w:val="004D0F61"/>
    <w:rsid w:val="004D17A2"/>
    <w:rsid w:val="004D69D2"/>
    <w:rsid w:val="004E09A3"/>
    <w:rsid w:val="004E0EB8"/>
    <w:rsid w:val="004E2ADC"/>
    <w:rsid w:val="004E2FD7"/>
    <w:rsid w:val="004E5F1A"/>
    <w:rsid w:val="004E61FC"/>
    <w:rsid w:val="004F03D7"/>
    <w:rsid w:val="004F1D02"/>
    <w:rsid w:val="004F2679"/>
    <w:rsid w:val="004F4B53"/>
    <w:rsid w:val="004F5091"/>
    <w:rsid w:val="004F54FF"/>
    <w:rsid w:val="005045D5"/>
    <w:rsid w:val="00505280"/>
    <w:rsid w:val="00506BD4"/>
    <w:rsid w:val="00506E16"/>
    <w:rsid w:val="00510B95"/>
    <w:rsid w:val="0051164B"/>
    <w:rsid w:val="00511C3A"/>
    <w:rsid w:val="00512D59"/>
    <w:rsid w:val="005152B5"/>
    <w:rsid w:val="00521319"/>
    <w:rsid w:val="00521BE8"/>
    <w:rsid w:val="00523C28"/>
    <w:rsid w:val="0052727C"/>
    <w:rsid w:val="00527D3A"/>
    <w:rsid w:val="00532149"/>
    <w:rsid w:val="005344FF"/>
    <w:rsid w:val="005346FE"/>
    <w:rsid w:val="00535CA6"/>
    <w:rsid w:val="00536ACC"/>
    <w:rsid w:val="00543D9E"/>
    <w:rsid w:val="0054692E"/>
    <w:rsid w:val="00554336"/>
    <w:rsid w:val="00555109"/>
    <w:rsid w:val="00560ABB"/>
    <w:rsid w:val="00561E2C"/>
    <w:rsid w:val="00561F6B"/>
    <w:rsid w:val="0056276A"/>
    <w:rsid w:val="00562E3C"/>
    <w:rsid w:val="00563080"/>
    <w:rsid w:val="00564486"/>
    <w:rsid w:val="00565F68"/>
    <w:rsid w:val="005662FD"/>
    <w:rsid w:val="0056696F"/>
    <w:rsid w:val="005727F0"/>
    <w:rsid w:val="00576972"/>
    <w:rsid w:val="00577717"/>
    <w:rsid w:val="005801E9"/>
    <w:rsid w:val="0058179F"/>
    <w:rsid w:val="005823BF"/>
    <w:rsid w:val="00583699"/>
    <w:rsid w:val="00583EB2"/>
    <w:rsid w:val="0058412E"/>
    <w:rsid w:val="00591CA0"/>
    <w:rsid w:val="00592369"/>
    <w:rsid w:val="005971D7"/>
    <w:rsid w:val="005A1E32"/>
    <w:rsid w:val="005A5346"/>
    <w:rsid w:val="005B03F8"/>
    <w:rsid w:val="005B5857"/>
    <w:rsid w:val="005B5D10"/>
    <w:rsid w:val="005B5FD7"/>
    <w:rsid w:val="005B60B6"/>
    <w:rsid w:val="005B701A"/>
    <w:rsid w:val="005C1B83"/>
    <w:rsid w:val="005C23C1"/>
    <w:rsid w:val="005C346B"/>
    <w:rsid w:val="005C3E73"/>
    <w:rsid w:val="005C4B93"/>
    <w:rsid w:val="005C544E"/>
    <w:rsid w:val="005D18AD"/>
    <w:rsid w:val="005D3B1C"/>
    <w:rsid w:val="005D7E3E"/>
    <w:rsid w:val="005E3E3E"/>
    <w:rsid w:val="005E41A2"/>
    <w:rsid w:val="005F0650"/>
    <w:rsid w:val="005F0CB2"/>
    <w:rsid w:val="005F2706"/>
    <w:rsid w:val="005F37AB"/>
    <w:rsid w:val="005F6A8F"/>
    <w:rsid w:val="005F7755"/>
    <w:rsid w:val="005F78B6"/>
    <w:rsid w:val="0060338F"/>
    <w:rsid w:val="00607669"/>
    <w:rsid w:val="00607DC5"/>
    <w:rsid w:val="00610462"/>
    <w:rsid w:val="00612F97"/>
    <w:rsid w:val="00613273"/>
    <w:rsid w:val="00615035"/>
    <w:rsid w:val="00616802"/>
    <w:rsid w:val="00617626"/>
    <w:rsid w:val="00617E12"/>
    <w:rsid w:val="00621477"/>
    <w:rsid w:val="00624A95"/>
    <w:rsid w:val="00625125"/>
    <w:rsid w:val="00625950"/>
    <w:rsid w:val="006261D2"/>
    <w:rsid w:val="00630051"/>
    <w:rsid w:val="006306BF"/>
    <w:rsid w:val="00631D6B"/>
    <w:rsid w:val="0063479F"/>
    <w:rsid w:val="006364A1"/>
    <w:rsid w:val="00637BFD"/>
    <w:rsid w:val="006471CC"/>
    <w:rsid w:val="0065079F"/>
    <w:rsid w:val="00653655"/>
    <w:rsid w:val="00657D15"/>
    <w:rsid w:val="00662A08"/>
    <w:rsid w:val="0066331A"/>
    <w:rsid w:val="006642EA"/>
    <w:rsid w:val="00666089"/>
    <w:rsid w:val="00667E3E"/>
    <w:rsid w:val="00670008"/>
    <w:rsid w:val="00674E42"/>
    <w:rsid w:val="00676B3E"/>
    <w:rsid w:val="00681D16"/>
    <w:rsid w:val="00682112"/>
    <w:rsid w:val="006849C3"/>
    <w:rsid w:val="00684DD8"/>
    <w:rsid w:val="006912CC"/>
    <w:rsid w:val="00694BE8"/>
    <w:rsid w:val="00694F44"/>
    <w:rsid w:val="006973A6"/>
    <w:rsid w:val="00697A97"/>
    <w:rsid w:val="006A060A"/>
    <w:rsid w:val="006A4CD1"/>
    <w:rsid w:val="006B09BD"/>
    <w:rsid w:val="006C2A8E"/>
    <w:rsid w:val="006C4EA2"/>
    <w:rsid w:val="006C5691"/>
    <w:rsid w:val="006D3C7D"/>
    <w:rsid w:val="006D3E20"/>
    <w:rsid w:val="006D3E23"/>
    <w:rsid w:val="006D4E01"/>
    <w:rsid w:val="006D67AD"/>
    <w:rsid w:val="006E17C6"/>
    <w:rsid w:val="006E7BD6"/>
    <w:rsid w:val="006F2ADA"/>
    <w:rsid w:val="006F3064"/>
    <w:rsid w:val="006F63A5"/>
    <w:rsid w:val="0070276E"/>
    <w:rsid w:val="007033FF"/>
    <w:rsid w:val="007057B9"/>
    <w:rsid w:val="00707E69"/>
    <w:rsid w:val="00711A36"/>
    <w:rsid w:val="00711B85"/>
    <w:rsid w:val="00716C84"/>
    <w:rsid w:val="007172AD"/>
    <w:rsid w:val="007265FB"/>
    <w:rsid w:val="00726821"/>
    <w:rsid w:val="00726B93"/>
    <w:rsid w:val="007274DA"/>
    <w:rsid w:val="00731CCB"/>
    <w:rsid w:val="00734224"/>
    <w:rsid w:val="00734844"/>
    <w:rsid w:val="00735328"/>
    <w:rsid w:val="0073685B"/>
    <w:rsid w:val="007408AE"/>
    <w:rsid w:val="00740EC3"/>
    <w:rsid w:val="00743098"/>
    <w:rsid w:val="00745BF7"/>
    <w:rsid w:val="007474AD"/>
    <w:rsid w:val="007514FF"/>
    <w:rsid w:val="00752500"/>
    <w:rsid w:val="007534F8"/>
    <w:rsid w:val="007549B2"/>
    <w:rsid w:val="007567A7"/>
    <w:rsid w:val="00766C23"/>
    <w:rsid w:val="00767FF2"/>
    <w:rsid w:val="0077257B"/>
    <w:rsid w:val="00780826"/>
    <w:rsid w:val="0078498F"/>
    <w:rsid w:val="0078500E"/>
    <w:rsid w:val="00785101"/>
    <w:rsid w:val="00787B51"/>
    <w:rsid w:val="00787F56"/>
    <w:rsid w:val="0079023D"/>
    <w:rsid w:val="007949BA"/>
    <w:rsid w:val="007977C8"/>
    <w:rsid w:val="007A30D5"/>
    <w:rsid w:val="007A4B28"/>
    <w:rsid w:val="007A6687"/>
    <w:rsid w:val="007A6DA5"/>
    <w:rsid w:val="007A7D43"/>
    <w:rsid w:val="007B02F8"/>
    <w:rsid w:val="007B0AAA"/>
    <w:rsid w:val="007B251D"/>
    <w:rsid w:val="007B77D1"/>
    <w:rsid w:val="007C07C3"/>
    <w:rsid w:val="007C45E9"/>
    <w:rsid w:val="007C4791"/>
    <w:rsid w:val="007C6BAA"/>
    <w:rsid w:val="007D0B38"/>
    <w:rsid w:val="007D2F09"/>
    <w:rsid w:val="007D366C"/>
    <w:rsid w:val="007D6B67"/>
    <w:rsid w:val="007D7BF9"/>
    <w:rsid w:val="007E1E9C"/>
    <w:rsid w:val="007E578B"/>
    <w:rsid w:val="007E5B81"/>
    <w:rsid w:val="007E6ABB"/>
    <w:rsid w:val="007F04AB"/>
    <w:rsid w:val="007F1017"/>
    <w:rsid w:val="007F1E70"/>
    <w:rsid w:val="007F2F99"/>
    <w:rsid w:val="007F3066"/>
    <w:rsid w:val="007F4A3F"/>
    <w:rsid w:val="007F6DEC"/>
    <w:rsid w:val="007F704D"/>
    <w:rsid w:val="008039E6"/>
    <w:rsid w:val="00805142"/>
    <w:rsid w:val="00805AA6"/>
    <w:rsid w:val="00807A8B"/>
    <w:rsid w:val="00812149"/>
    <w:rsid w:val="00812552"/>
    <w:rsid w:val="008127BD"/>
    <w:rsid w:val="00813FD5"/>
    <w:rsid w:val="008166EF"/>
    <w:rsid w:val="00816914"/>
    <w:rsid w:val="008264EB"/>
    <w:rsid w:val="00827B21"/>
    <w:rsid w:val="0083456D"/>
    <w:rsid w:val="00837D26"/>
    <w:rsid w:val="00840CA2"/>
    <w:rsid w:val="00841DDF"/>
    <w:rsid w:val="008424A8"/>
    <w:rsid w:val="00843D54"/>
    <w:rsid w:val="008460DB"/>
    <w:rsid w:val="008522A5"/>
    <w:rsid w:val="0085322C"/>
    <w:rsid w:val="00856CBC"/>
    <w:rsid w:val="00856E9A"/>
    <w:rsid w:val="00860CA7"/>
    <w:rsid w:val="008620F6"/>
    <w:rsid w:val="00862FB0"/>
    <w:rsid w:val="00863AC4"/>
    <w:rsid w:val="008743C4"/>
    <w:rsid w:val="00875F60"/>
    <w:rsid w:val="00882874"/>
    <w:rsid w:val="00883787"/>
    <w:rsid w:val="00885197"/>
    <w:rsid w:val="00885EBF"/>
    <w:rsid w:val="00886DBA"/>
    <w:rsid w:val="008913AA"/>
    <w:rsid w:val="00891D69"/>
    <w:rsid w:val="00892568"/>
    <w:rsid w:val="00894292"/>
    <w:rsid w:val="008963A5"/>
    <w:rsid w:val="0089725A"/>
    <w:rsid w:val="008A3185"/>
    <w:rsid w:val="008A3737"/>
    <w:rsid w:val="008A3C3E"/>
    <w:rsid w:val="008A79DE"/>
    <w:rsid w:val="008B115B"/>
    <w:rsid w:val="008B4389"/>
    <w:rsid w:val="008B7D7E"/>
    <w:rsid w:val="008C6528"/>
    <w:rsid w:val="008C7ECB"/>
    <w:rsid w:val="008D1302"/>
    <w:rsid w:val="008D365C"/>
    <w:rsid w:val="008D7841"/>
    <w:rsid w:val="008D7899"/>
    <w:rsid w:val="008D78BE"/>
    <w:rsid w:val="008E1078"/>
    <w:rsid w:val="008E1B9E"/>
    <w:rsid w:val="008E3498"/>
    <w:rsid w:val="008E42F1"/>
    <w:rsid w:val="008E6C42"/>
    <w:rsid w:val="008E79FF"/>
    <w:rsid w:val="008F05AF"/>
    <w:rsid w:val="008F1A9E"/>
    <w:rsid w:val="008F1CF1"/>
    <w:rsid w:val="008F48EB"/>
    <w:rsid w:val="008F4E08"/>
    <w:rsid w:val="008F4F0B"/>
    <w:rsid w:val="008F6081"/>
    <w:rsid w:val="00902131"/>
    <w:rsid w:val="0090383F"/>
    <w:rsid w:val="00904022"/>
    <w:rsid w:val="009062A5"/>
    <w:rsid w:val="0091058E"/>
    <w:rsid w:val="00911272"/>
    <w:rsid w:val="009147AE"/>
    <w:rsid w:val="00914AF8"/>
    <w:rsid w:val="0091717A"/>
    <w:rsid w:val="00920EEA"/>
    <w:rsid w:val="009302D6"/>
    <w:rsid w:val="00930F72"/>
    <w:rsid w:val="0093332D"/>
    <w:rsid w:val="00935093"/>
    <w:rsid w:val="00935401"/>
    <w:rsid w:val="009414F4"/>
    <w:rsid w:val="00944598"/>
    <w:rsid w:val="009471F1"/>
    <w:rsid w:val="0094799F"/>
    <w:rsid w:val="0095771C"/>
    <w:rsid w:val="00961AF9"/>
    <w:rsid w:val="00962CB9"/>
    <w:rsid w:val="00962CCD"/>
    <w:rsid w:val="00964312"/>
    <w:rsid w:val="009647CF"/>
    <w:rsid w:val="00971773"/>
    <w:rsid w:val="009733E9"/>
    <w:rsid w:val="00974587"/>
    <w:rsid w:val="00976851"/>
    <w:rsid w:val="009772F2"/>
    <w:rsid w:val="0098002F"/>
    <w:rsid w:val="00980846"/>
    <w:rsid w:val="00983E57"/>
    <w:rsid w:val="00984F17"/>
    <w:rsid w:val="0098585E"/>
    <w:rsid w:val="00985E1A"/>
    <w:rsid w:val="00987A43"/>
    <w:rsid w:val="009948BC"/>
    <w:rsid w:val="00996B1A"/>
    <w:rsid w:val="009A5189"/>
    <w:rsid w:val="009A59CF"/>
    <w:rsid w:val="009A5A1D"/>
    <w:rsid w:val="009B1BBA"/>
    <w:rsid w:val="009B3E26"/>
    <w:rsid w:val="009B3FFB"/>
    <w:rsid w:val="009C1A73"/>
    <w:rsid w:val="009C1CD8"/>
    <w:rsid w:val="009C1E8C"/>
    <w:rsid w:val="009C2BED"/>
    <w:rsid w:val="009C4AE5"/>
    <w:rsid w:val="009C6ED9"/>
    <w:rsid w:val="009D186B"/>
    <w:rsid w:val="009D5B91"/>
    <w:rsid w:val="009E0691"/>
    <w:rsid w:val="009E0A4D"/>
    <w:rsid w:val="009E2193"/>
    <w:rsid w:val="009E4C07"/>
    <w:rsid w:val="009E5835"/>
    <w:rsid w:val="009F355A"/>
    <w:rsid w:val="009F4307"/>
    <w:rsid w:val="00A01D43"/>
    <w:rsid w:val="00A026B9"/>
    <w:rsid w:val="00A03D43"/>
    <w:rsid w:val="00A04380"/>
    <w:rsid w:val="00A06341"/>
    <w:rsid w:val="00A06D48"/>
    <w:rsid w:val="00A10809"/>
    <w:rsid w:val="00A112EE"/>
    <w:rsid w:val="00A12F35"/>
    <w:rsid w:val="00A13948"/>
    <w:rsid w:val="00A14788"/>
    <w:rsid w:val="00A15FD7"/>
    <w:rsid w:val="00A20551"/>
    <w:rsid w:val="00A214D3"/>
    <w:rsid w:val="00A27AEC"/>
    <w:rsid w:val="00A30509"/>
    <w:rsid w:val="00A35D16"/>
    <w:rsid w:val="00A42EA4"/>
    <w:rsid w:val="00A43C59"/>
    <w:rsid w:val="00A43C62"/>
    <w:rsid w:val="00A44C16"/>
    <w:rsid w:val="00A45BB6"/>
    <w:rsid w:val="00A508E3"/>
    <w:rsid w:val="00A50ECD"/>
    <w:rsid w:val="00A52121"/>
    <w:rsid w:val="00A52729"/>
    <w:rsid w:val="00A52FD6"/>
    <w:rsid w:val="00A53675"/>
    <w:rsid w:val="00A559C8"/>
    <w:rsid w:val="00A56B6A"/>
    <w:rsid w:val="00A578DC"/>
    <w:rsid w:val="00A602DD"/>
    <w:rsid w:val="00A61264"/>
    <w:rsid w:val="00A6725B"/>
    <w:rsid w:val="00A67378"/>
    <w:rsid w:val="00A67C2A"/>
    <w:rsid w:val="00A72A8A"/>
    <w:rsid w:val="00A7334D"/>
    <w:rsid w:val="00A81F8B"/>
    <w:rsid w:val="00A82A55"/>
    <w:rsid w:val="00A82D97"/>
    <w:rsid w:val="00A833CC"/>
    <w:rsid w:val="00A86E8B"/>
    <w:rsid w:val="00A90540"/>
    <w:rsid w:val="00A93072"/>
    <w:rsid w:val="00A96876"/>
    <w:rsid w:val="00AA00D7"/>
    <w:rsid w:val="00AA0A07"/>
    <w:rsid w:val="00AA1F12"/>
    <w:rsid w:val="00AA3FFF"/>
    <w:rsid w:val="00AB017D"/>
    <w:rsid w:val="00AB042A"/>
    <w:rsid w:val="00AB05CB"/>
    <w:rsid w:val="00AB08A0"/>
    <w:rsid w:val="00AB2030"/>
    <w:rsid w:val="00AB216D"/>
    <w:rsid w:val="00AB3430"/>
    <w:rsid w:val="00AB67FD"/>
    <w:rsid w:val="00AB798E"/>
    <w:rsid w:val="00AB7CFA"/>
    <w:rsid w:val="00AC6765"/>
    <w:rsid w:val="00AD02EB"/>
    <w:rsid w:val="00AD3843"/>
    <w:rsid w:val="00AD49B2"/>
    <w:rsid w:val="00AE3F0A"/>
    <w:rsid w:val="00AF63DF"/>
    <w:rsid w:val="00B00903"/>
    <w:rsid w:val="00B01940"/>
    <w:rsid w:val="00B02405"/>
    <w:rsid w:val="00B039A5"/>
    <w:rsid w:val="00B0591E"/>
    <w:rsid w:val="00B10458"/>
    <w:rsid w:val="00B106D8"/>
    <w:rsid w:val="00B234FC"/>
    <w:rsid w:val="00B23C1B"/>
    <w:rsid w:val="00B24D24"/>
    <w:rsid w:val="00B265E1"/>
    <w:rsid w:val="00B30291"/>
    <w:rsid w:val="00B33BF8"/>
    <w:rsid w:val="00B33CA7"/>
    <w:rsid w:val="00B36FFD"/>
    <w:rsid w:val="00B37EA1"/>
    <w:rsid w:val="00B408F1"/>
    <w:rsid w:val="00B41061"/>
    <w:rsid w:val="00B41921"/>
    <w:rsid w:val="00B42851"/>
    <w:rsid w:val="00B4737C"/>
    <w:rsid w:val="00B47E37"/>
    <w:rsid w:val="00B53123"/>
    <w:rsid w:val="00B54128"/>
    <w:rsid w:val="00B54B5B"/>
    <w:rsid w:val="00B5562E"/>
    <w:rsid w:val="00B57000"/>
    <w:rsid w:val="00B608CF"/>
    <w:rsid w:val="00B60939"/>
    <w:rsid w:val="00B60AFD"/>
    <w:rsid w:val="00B60E2F"/>
    <w:rsid w:val="00B62715"/>
    <w:rsid w:val="00B6317C"/>
    <w:rsid w:val="00B66E21"/>
    <w:rsid w:val="00B73D6A"/>
    <w:rsid w:val="00B77A3A"/>
    <w:rsid w:val="00B804AF"/>
    <w:rsid w:val="00B80B54"/>
    <w:rsid w:val="00B81357"/>
    <w:rsid w:val="00B818A4"/>
    <w:rsid w:val="00B8429E"/>
    <w:rsid w:val="00B85DA4"/>
    <w:rsid w:val="00B8649C"/>
    <w:rsid w:val="00B87442"/>
    <w:rsid w:val="00B90A69"/>
    <w:rsid w:val="00B92200"/>
    <w:rsid w:val="00B92D0B"/>
    <w:rsid w:val="00B93C19"/>
    <w:rsid w:val="00B9483E"/>
    <w:rsid w:val="00B94945"/>
    <w:rsid w:val="00B94DB9"/>
    <w:rsid w:val="00B95F7B"/>
    <w:rsid w:val="00B961CD"/>
    <w:rsid w:val="00BA2F88"/>
    <w:rsid w:val="00BA3A5F"/>
    <w:rsid w:val="00BA6668"/>
    <w:rsid w:val="00BA7E4D"/>
    <w:rsid w:val="00BB3EAF"/>
    <w:rsid w:val="00BC058A"/>
    <w:rsid w:val="00BC7F66"/>
    <w:rsid w:val="00BD28C1"/>
    <w:rsid w:val="00BD50DA"/>
    <w:rsid w:val="00BE2180"/>
    <w:rsid w:val="00BE249C"/>
    <w:rsid w:val="00BE3314"/>
    <w:rsid w:val="00BE3FC3"/>
    <w:rsid w:val="00BE40C0"/>
    <w:rsid w:val="00BE4275"/>
    <w:rsid w:val="00BE4964"/>
    <w:rsid w:val="00BE52AC"/>
    <w:rsid w:val="00BE59A0"/>
    <w:rsid w:val="00BE6506"/>
    <w:rsid w:val="00BE78E7"/>
    <w:rsid w:val="00BF0A18"/>
    <w:rsid w:val="00BF152A"/>
    <w:rsid w:val="00BF1C1E"/>
    <w:rsid w:val="00BF23ED"/>
    <w:rsid w:val="00BF2433"/>
    <w:rsid w:val="00BF5E36"/>
    <w:rsid w:val="00BF61C9"/>
    <w:rsid w:val="00BF7473"/>
    <w:rsid w:val="00BF7DA8"/>
    <w:rsid w:val="00C104FA"/>
    <w:rsid w:val="00C1217A"/>
    <w:rsid w:val="00C15C48"/>
    <w:rsid w:val="00C23581"/>
    <w:rsid w:val="00C2416C"/>
    <w:rsid w:val="00C244E7"/>
    <w:rsid w:val="00C25418"/>
    <w:rsid w:val="00C25D9C"/>
    <w:rsid w:val="00C25E99"/>
    <w:rsid w:val="00C30105"/>
    <w:rsid w:val="00C31649"/>
    <w:rsid w:val="00C34C18"/>
    <w:rsid w:val="00C40385"/>
    <w:rsid w:val="00C525B3"/>
    <w:rsid w:val="00C53880"/>
    <w:rsid w:val="00C63BD7"/>
    <w:rsid w:val="00C64F26"/>
    <w:rsid w:val="00C65576"/>
    <w:rsid w:val="00C66165"/>
    <w:rsid w:val="00C67A39"/>
    <w:rsid w:val="00C70DC6"/>
    <w:rsid w:val="00C72F5B"/>
    <w:rsid w:val="00C7492E"/>
    <w:rsid w:val="00C75B2F"/>
    <w:rsid w:val="00C80CF8"/>
    <w:rsid w:val="00C80F89"/>
    <w:rsid w:val="00C81C77"/>
    <w:rsid w:val="00C8213F"/>
    <w:rsid w:val="00C825EF"/>
    <w:rsid w:val="00C82BCF"/>
    <w:rsid w:val="00C830B0"/>
    <w:rsid w:val="00C85223"/>
    <w:rsid w:val="00C87046"/>
    <w:rsid w:val="00C8797A"/>
    <w:rsid w:val="00C91B61"/>
    <w:rsid w:val="00C9207C"/>
    <w:rsid w:val="00C926FC"/>
    <w:rsid w:val="00C938CF"/>
    <w:rsid w:val="00C957F3"/>
    <w:rsid w:val="00CA0BF4"/>
    <w:rsid w:val="00CA5245"/>
    <w:rsid w:val="00CA7868"/>
    <w:rsid w:val="00CA7B09"/>
    <w:rsid w:val="00CB07E7"/>
    <w:rsid w:val="00CB1324"/>
    <w:rsid w:val="00CB3588"/>
    <w:rsid w:val="00CB5B1A"/>
    <w:rsid w:val="00CC045E"/>
    <w:rsid w:val="00CC0E37"/>
    <w:rsid w:val="00CC16DF"/>
    <w:rsid w:val="00CC238E"/>
    <w:rsid w:val="00CC2572"/>
    <w:rsid w:val="00CC2C77"/>
    <w:rsid w:val="00CD3DCE"/>
    <w:rsid w:val="00CD6ADC"/>
    <w:rsid w:val="00CE36BE"/>
    <w:rsid w:val="00CE4756"/>
    <w:rsid w:val="00CE56EB"/>
    <w:rsid w:val="00CE6274"/>
    <w:rsid w:val="00CE65D8"/>
    <w:rsid w:val="00CE7C88"/>
    <w:rsid w:val="00CF39C5"/>
    <w:rsid w:val="00CF456B"/>
    <w:rsid w:val="00CF5A22"/>
    <w:rsid w:val="00CF74B5"/>
    <w:rsid w:val="00D0262E"/>
    <w:rsid w:val="00D02C4D"/>
    <w:rsid w:val="00D04AF2"/>
    <w:rsid w:val="00D04C42"/>
    <w:rsid w:val="00D06D2F"/>
    <w:rsid w:val="00D06FD4"/>
    <w:rsid w:val="00D110BD"/>
    <w:rsid w:val="00D12AF5"/>
    <w:rsid w:val="00D13741"/>
    <w:rsid w:val="00D141B0"/>
    <w:rsid w:val="00D17489"/>
    <w:rsid w:val="00D17D6C"/>
    <w:rsid w:val="00D20D29"/>
    <w:rsid w:val="00D2525A"/>
    <w:rsid w:val="00D27D10"/>
    <w:rsid w:val="00D33577"/>
    <w:rsid w:val="00D34A67"/>
    <w:rsid w:val="00D3779D"/>
    <w:rsid w:val="00D43341"/>
    <w:rsid w:val="00D46105"/>
    <w:rsid w:val="00D47671"/>
    <w:rsid w:val="00D53B7B"/>
    <w:rsid w:val="00D62E18"/>
    <w:rsid w:val="00D704B7"/>
    <w:rsid w:val="00D72817"/>
    <w:rsid w:val="00D7568C"/>
    <w:rsid w:val="00D75C6B"/>
    <w:rsid w:val="00D761A6"/>
    <w:rsid w:val="00D76A44"/>
    <w:rsid w:val="00D76EB0"/>
    <w:rsid w:val="00D777E3"/>
    <w:rsid w:val="00D81BE5"/>
    <w:rsid w:val="00D81F6A"/>
    <w:rsid w:val="00D82F16"/>
    <w:rsid w:val="00D83EEE"/>
    <w:rsid w:val="00D85551"/>
    <w:rsid w:val="00D862BA"/>
    <w:rsid w:val="00D93753"/>
    <w:rsid w:val="00D979B8"/>
    <w:rsid w:val="00DA000D"/>
    <w:rsid w:val="00DA2F73"/>
    <w:rsid w:val="00DA4333"/>
    <w:rsid w:val="00DA647B"/>
    <w:rsid w:val="00DA6BEB"/>
    <w:rsid w:val="00DA77A5"/>
    <w:rsid w:val="00DB0DD0"/>
    <w:rsid w:val="00DB115C"/>
    <w:rsid w:val="00DB4A5B"/>
    <w:rsid w:val="00DC01B6"/>
    <w:rsid w:val="00DC5501"/>
    <w:rsid w:val="00DC65DA"/>
    <w:rsid w:val="00DD2072"/>
    <w:rsid w:val="00DD23A9"/>
    <w:rsid w:val="00DD2FC3"/>
    <w:rsid w:val="00DD3F28"/>
    <w:rsid w:val="00DD4537"/>
    <w:rsid w:val="00DD4E15"/>
    <w:rsid w:val="00DD6BB9"/>
    <w:rsid w:val="00DE28D2"/>
    <w:rsid w:val="00DE33A0"/>
    <w:rsid w:val="00DE3974"/>
    <w:rsid w:val="00DE49A6"/>
    <w:rsid w:val="00DE4E09"/>
    <w:rsid w:val="00DE4FCB"/>
    <w:rsid w:val="00DE552D"/>
    <w:rsid w:val="00DE588F"/>
    <w:rsid w:val="00DF32F4"/>
    <w:rsid w:val="00DF4C47"/>
    <w:rsid w:val="00E03B47"/>
    <w:rsid w:val="00E05AE1"/>
    <w:rsid w:val="00E10149"/>
    <w:rsid w:val="00E14D41"/>
    <w:rsid w:val="00E16372"/>
    <w:rsid w:val="00E172B0"/>
    <w:rsid w:val="00E17F77"/>
    <w:rsid w:val="00E205F4"/>
    <w:rsid w:val="00E20ED6"/>
    <w:rsid w:val="00E21358"/>
    <w:rsid w:val="00E2181D"/>
    <w:rsid w:val="00E22347"/>
    <w:rsid w:val="00E2249B"/>
    <w:rsid w:val="00E259E2"/>
    <w:rsid w:val="00E26AEC"/>
    <w:rsid w:val="00E2771E"/>
    <w:rsid w:val="00E34E82"/>
    <w:rsid w:val="00E37569"/>
    <w:rsid w:val="00E400A8"/>
    <w:rsid w:val="00E40ED9"/>
    <w:rsid w:val="00E41200"/>
    <w:rsid w:val="00E416B7"/>
    <w:rsid w:val="00E41E30"/>
    <w:rsid w:val="00E428AF"/>
    <w:rsid w:val="00E429F8"/>
    <w:rsid w:val="00E444A1"/>
    <w:rsid w:val="00E469F4"/>
    <w:rsid w:val="00E470AB"/>
    <w:rsid w:val="00E47B2C"/>
    <w:rsid w:val="00E50B66"/>
    <w:rsid w:val="00E55424"/>
    <w:rsid w:val="00E55F3A"/>
    <w:rsid w:val="00E576EA"/>
    <w:rsid w:val="00E65E79"/>
    <w:rsid w:val="00E67416"/>
    <w:rsid w:val="00E718B6"/>
    <w:rsid w:val="00E721A7"/>
    <w:rsid w:val="00E72592"/>
    <w:rsid w:val="00E73581"/>
    <w:rsid w:val="00E74C61"/>
    <w:rsid w:val="00E8197F"/>
    <w:rsid w:val="00E819A1"/>
    <w:rsid w:val="00E82AB3"/>
    <w:rsid w:val="00E83BDF"/>
    <w:rsid w:val="00E84392"/>
    <w:rsid w:val="00E846E7"/>
    <w:rsid w:val="00E85488"/>
    <w:rsid w:val="00E86F81"/>
    <w:rsid w:val="00E9082E"/>
    <w:rsid w:val="00E937B8"/>
    <w:rsid w:val="00E9610B"/>
    <w:rsid w:val="00EA0A4E"/>
    <w:rsid w:val="00EA350B"/>
    <w:rsid w:val="00EA3864"/>
    <w:rsid w:val="00EB1997"/>
    <w:rsid w:val="00EB2BBD"/>
    <w:rsid w:val="00EB2C86"/>
    <w:rsid w:val="00EB32A8"/>
    <w:rsid w:val="00EC0061"/>
    <w:rsid w:val="00EC00C9"/>
    <w:rsid w:val="00EC3FA0"/>
    <w:rsid w:val="00EC4AF7"/>
    <w:rsid w:val="00EC6160"/>
    <w:rsid w:val="00EC7578"/>
    <w:rsid w:val="00ED0D8C"/>
    <w:rsid w:val="00ED25B8"/>
    <w:rsid w:val="00ED3684"/>
    <w:rsid w:val="00ED3E04"/>
    <w:rsid w:val="00ED5348"/>
    <w:rsid w:val="00ED6C50"/>
    <w:rsid w:val="00EE07D3"/>
    <w:rsid w:val="00EE1D20"/>
    <w:rsid w:val="00EE214E"/>
    <w:rsid w:val="00EF0166"/>
    <w:rsid w:val="00EF12F9"/>
    <w:rsid w:val="00EF3DF6"/>
    <w:rsid w:val="00EF4A16"/>
    <w:rsid w:val="00EF7AFA"/>
    <w:rsid w:val="00F0265F"/>
    <w:rsid w:val="00F03FE2"/>
    <w:rsid w:val="00F058C9"/>
    <w:rsid w:val="00F05CFD"/>
    <w:rsid w:val="00F067A2"/>
    <w:rsid w:val="00F21589"/>
    <w:rsid w:val="00F24837"/>
    <w:rsid w:val="00F2575F"/>
    <w:rsid w:val="00F2665A"/>
    <w:rsid w:val="00F27C18"/>
    <w:rsid w:val="00F306C7"/>
    <w:rsid w:val="00F30F90"/>
    <w:rsid w:val="00F3265A"/>
    <w:rsid w:val="00F338FF"/>
    <w:rsid w:val="00F33DE9"/>
    <w:rsid w:val="00F35525"/>
    <w:rsid w:val="00F3619A"/>
    <w:rsid w:val="00F36AE6"/>
    <w:rsid w:val="00F40688"/>
    <w:rsid w:val="00F42C00"/>
    <w:rsid w:val="00F430B0"/>
    <w:rsid w:val="00F43EB4"/>
    <w:rsid w:val="00F448D9"/>
    <w:rsid w:val="00F4523A"/>
    <w:rsid w:val="00F46CB6"/>
    <w:rsid w:val="00F537F2"/>
    <w:rsid w:val="00F55E73"/>
    <w:rsid w:val="00F63641"/>
    <w:rsid w:val="00F6391D"/>
    <w:rsid w:val="00F660C0"/>
    <w:rsid w:val="00F719BE"/>
    <w:rsid w:val="00F719E8"/>
    <w:rsid w:val="00F7206D"/>
    <w:rsid w:val="00F72214"/>
    <w:rsid w:val="00F75B51"/>
    <w:rsid w:val="00F80E5D"/>
    <w:rsid w:val="00F851CE"/>
    <w:rsid w:val="00F9035D"/>
    <w:rsid w:val="00F91245"/>
    <w:rsid w:val="00F94E49"/>
    <w:rsid w:val="00F97A78"/>
    <w:rsid w:val="00F97E66"/>
    <w:rsid w:val="00FA222B"/>
    <w:rsid w:val="00FA267E"/>
    <w:rsid w:val="00FA35F8"/>
    <w:rsid w:val="00FA537D"/>
    <w:rsid w:val="00FB2B16"/>
    <w:rsid w:val="00FB2FCB"/>
    <w:rsid w:val="00FB3FDC"/>
    <w:rsid w:val="00FB71EA"/>
    <w:rsid w:val="00FC1074"/>
    <w:rsid w:val="00FC1884"/>
    <w:rsid w:val="00FD0C36"/>
    <w:rsid w:val="00FD2100"/>
    <w:rsid w:val="00FD2B32"/>
    <w:rsid w:val="00FD3D66"/>
    <w:rsid w:val="00FD446D"/>
    <w:rsid w:val="00FD4A2F"/>
    <w:rsid w:val="00FD51D7"/>
    <w:rsid w:val="00FD6076"/>
    <w:rsid w:val="00FE09A9"/>
    <w:rsid w:val="00FE0C36"/>
    <w:rsid w:val="00FE3A34"/>
    <w:rsid w:val="00FE3CDA"/>
    <w:rsid w:val="00FE6B0F"/>
    <w:rsid w:val="00FE70B2"/>
    <w:rsid w:val="00FF23F2"/>
    <w:rsid w:val="00FF3DCF"/>
    <w:rsid w:val="00FF5AA3"/>
    <w:rsid w:val="00FF7361"/>
    <w:rsid w:val="00FF7F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7EA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ListParagraph"/>
    <w:next w:val="Normal"/>
    <w:link w:val="Heading2Char"/>
    <w:qFormat/>
    <w:rsid w:val="00D34A67"/>
    <w:pPr>
      <w:widowControl/>
      <w:numPr>
        <w:numId w:val="1"/>
      </w:numPr>
      <w:contextualSpacing w:val="0"/>
      <w:jc w:val="left"/>
      <w:outlineLvl w:val="1"/>
    </w:pPr>
    <w:rPr>
      <w:b/>
    </w:rPr>
  </w:style>
  <w:style w:type="paragraph" w:styleId="Heading3">
    <w:name w:val="heading 3"/>
    <w:basedOn w:val="PBACheading1"/>
    <w:next w:val="Normal"/>
    <w:qFormat/>
    <w:rsid w:val="003C215E"/>
    <w:pPr>
      <w:keepNext/>
      <w:outlineLvl w:val="2"/>
    </w:pPr>
  </w:style>
  <w:style w:type="paragraph" w:styleId="Heading4">
    <w:name w:val="heading 4"/>
    <w:basedOn w:val="Normal"/>
    <w:next w:val="Normal"/>
    <w:rsid w:val="003C215E"/>
    <w:pPr>
      <w:outlineLvl w:val="3"/>
    </w:pPr>
    <w:rPr>
      <w:b/>
      <w:bCs/>
      <w:i/>
      <w:szCs w:val="22"/>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D34A67"/>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C957F3"/>
    <w:pPr>
      <w:tabs>
        <w:tab w:val="left" w:pos="880"/>
        <w:tab w:val="right" w:leader="dot" w:pos="9016"/>
      </w:tabs>
      <w:spacing w:before="120"/>
      <w:jc w:val="left"/>
    </w:pPr>
    <w:rPr>
      <w:iCs/>
      <w:noProof/>
      <w:sz w:val="20"/>
    </w:rPr>
  </w:style>
  <w:style w:type="paragraph" w:styleId="TOC1">
    <w:name w:val="toc 1"/>
    <w:basedOn w:val="Normal"/>
    <w:next w:val="Normal"/>
    <w:autoRedefine/>
    <w:uiPriority w:val="39"/>
    <w:qFormat/>
    <w:rsid w:val="00EC4AF7"/>
    <w:pPr>
      <w:tabs>
        <w:tab w:val="left" w:pos="440"/>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EC4AF7"/>
    <w:pPr>
      <w:ind w:left="720"/>
      <w:jc w:val="left"/>
    </w:pPr>
    <w:rPr>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EC4AF7"/>
    <w:pPr>
      <w:jc w:val="left"/>
    </w:pPr>
    <w:rPr>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4E61FC"/>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3A6FB1"/>
    <w:rPr>
      <w:rFonts w:ascii="Arial" w:hAnsi="Arial" w:cs="Arial"/>
      <w:snapToGrid w:val="0"/>
      <w:sz w:val="22"/>
      <w:lang w:eastAsia="en-US"/>
    </w:rPr>
  </w:style>
  <w:style w:type="paragraph" w:styleId="Subtitle">
    <w:name w:val="Subtitle"/>
    <w:aliases w:val="PBAC Paragraph"/>
    <w:basedOn w:val="Normal"/>
    <w:link w:val="SubtitleChar"/>
    <w:uiPriority w:val="11"/>
    <w:qFormat/>
    <w:rsid w:val="003C44EA"/>
    <w:pPr>
      <w:widowControl/>
    </w:pPr>
    <w:rPr>
      <w:rFonts w:ascii="Times New Roman" w:hAnsi="Times New Roman" w:cs="Times New Roman"/>
      <w:b/>
      <w:snapToGrid/>
      <w:sz w:val="24"/>
      <w:lang w:eastAsia="en-AU"/>
    </w:rPr>
  </w:style>
  <w:style w:type="character" w:customStyle="1" w:styleId="SubtitleChar">
    <w:name w:val="Subtitle Char"/>
    <w:aliases w:val="PBAC Paragraph Char"/>
    <w:basedOn w:val="DefaultParagraphFont"/>
    <w:link w:val="Subtitle"/>
    <w:rsid w:val="003C44EA"/>
    <w:rPr>
      <w:b/>
      <w:sz w:val="24"/>
    </w:rPr>
  </w:style>
  <w:style w:type="paragraph" w:customStyle="1" w:styleId="Text">
    <w:name w:val="Text"/>
    <w:basedOn w:val="Normal"/>
    <w:link w:val="TextChar"/>
    <w:qFormat/>
    <w:rsid w:val="001340BF"/>
    <w:pPr>
      <w:widowControl/>
      <w:suppressAutoHyphens/>
      <w:spacing w:after="200" w:line="380" w:lineRule="atLeast"/>
      <w:jc w:val="left"/>
    </w:pPr>
    <w:rPr>
      <w:rFonts w:cs="Times New Roman"/>
      <w:snapToGrid/>
      <w:sz w:val="20"/>
    </w:rPr>
  </w:style>
  <w:style w:type="character" w:customStyle="1" w:styleId="TextChar">
    <w:name w:val="Text Char"/>
    <w:basedOn w:val="DefaultParagraphFont"/>
    <w:link w:val="Text"/>
    <w:rsid w:val="001340BF"/>
    <w:rPr>
      <w:rFonts w:ascii="Arial" w:hAnsi="Arial"/>
      <w:lang w:eastAsia="en-US"/>
    </w:rPr>
  </w:style>
  <w:style w:type="paragraph" w:customStyle="1" w:styleId="TableBullets">
    <w:name w:val="Table Bullets"/>
    <w:basedOn w:val="Normal"/>
    <w:uiPriority w:val="63"/>
    <w:qFormat/>
    <w:rsid w:val="00752500"/>
    <w:pPr>
      <w:widowControl/>
      <w:numPr>
        <w:numId w:val="3"/>
      </w:numPr>
      <w:spacing w:before="120" w:after="120"/>
      <w:jc w:val="left"/>
    </w:pPr>
    <w:rPr>
      <w:rFonts w:cs="Times New Roman"/>
      <w:snapToGrid/>
      <w:sz w:val="20"/>
      <w:szCs w:val="22"/>
      <w:lang w:val="en-GB"/>
    </w:rPr>
  </w:style>
  <w:style w:type="paragraph" w:customStyle="1" w:styleId="TableBullets2">
    <w:name w:val="Table Bullets 2"/>
    <w:basedOn w:val="TableBullets"/>
    <w:uiPriority w:val="63"/>
    <w:qFormat/>
    <w:rsid w:val="00752500"/>
    <w:pPr>
      <w:numPr>
        <w:ilvl w:val="1"/>
      </w:numPr>
    </w:pPr>
  </w:style>
  <w:style w:type="paragraph" w:customStyle="1" w:styleId="PBACHeading10">
    <w:name w:val="PBAC Heading 1"/>
    <w:qFormat/>
    <w:rsid w:val="00DB0DD0"/>
    <w:pPr>
      <w:snapToGrid w:val="0"/>
    </w:pPr>
    <w:rPr>
      <w:rFonts w:ascii="Arial" w:hAnsi="Arial" w:cs="Arial"/>
      <w:b/>
      <w:sz w:val="22"/>
      <w:szCs w:val="22"/>
      <w:lang w:eastAsia="en-US"/>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uiPriority w:val="99"/>
    <w:rsid w:val="00C72F5B"/>
    <w:rPr>
      <w:rFonts w:ascii="Arial" w:hAnsi="Arial" w:cs="Arial"/>
      <w:b/>
      <w:lang w:eastAsia="zh-CN"/>
    </w:rPr>
  </w:style>
  <w:style w:type="paragraph" w:customStyle="1" w:styleId="TableLeftAlign">
    <w:name w:val="TableLeftAlign"/>
    <w:basedOn w:val="TableText0"/>
    <w:rsid w:val="0032488C"/>
    <w:rPr>
      <w:rFonts w:ascii="Arial" w:hAnsi="Arial"/>
      <w:lang w:val="en-US"/>
    </w:rPr>
  </w:style>
  <w:style w:type="table" w:customStyle="1" w:styleId="Summarybox1">
    <w:name w:val="Summary box1"/>
    <w:basedOn w:val="TableNormal"/>
    <w:next w:val="TableGrid"/>
    <w:uiPriority w:val="59"/>
    <w:rsid w:val="00D7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3456D"/>
    <w:pPr>
      <w:widowControl/>
      <w:spacing w:after="160" w:line="240" w:lineRule="exact"/>
      <w:jc w:val="left"/>
    </w:pPr>
    <w:rPr>
      <w:rFonts w:ascii="Verdana" w:eastAsia="MS Mincho" w:hAnsi="Verdana" w:cs="Verdana"/>
      <w:snapToGrid/>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16C07"/>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B87442"/>
    <w:rPr>
      <w:b/>
      <w:bCs/>
      <w:smallCaps/>
      <w:color w:val="C0504D" w:themeColor="accent2"/>
      <w:spacing w:val="5"/>
      <w:u w:val="single"/>
    </w:rPr>
  </w:style>
  <w:style w:type="character" w:styleId="FollowedHyperlink">
    <w:name w:val="FollowedHyperlink"/>
    <w:basedOn w:val="DefaultParagraphFont"/>
    <w:semiHidden/>
    <w:unhideWhenUsed/>
    <w:rsid w:val="006D3E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7EA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ListParagraph"/>
    <w:next w:val="Normal"/>
    <w:link w:val="Heading2Char"/>
    <w:qFormat/>
    <w:rsid w:val="00D34A67"/>
    <w:pPr>
      <w:widowControl/>
      <w:numPr>
        <w:numId w:val="1"/>
      </w:numPr>
      <w:contextualSpacing w:val="0"/>
      <w:jc w:val="left"/>
      <w:outlineLvl w:val="1"/>
    </w:pPr>
    <w:rPr>
      <w:b/>
    </w:rPr>
  </w:style>
  <w:style w:type="paragraph" w:styleId="Heading3">
    <w:name w:val="heading 3"/>
    <w:basedOn w:val="PBACheading1"/>
    <w:next w:val="Normal"/>
    <w:qFormat/>
    <w:rsid w:val="003C215E"/>
    <w:pPr>
      <w:keepNext/>
      <w:outlineLvl w:val="2"/>
    </w:pPr>
  </w:style>
  <w:style w:type="paragraph" w:styleId="Heading4">
    <w:name w:val="heading 4"/>
    <w:basedOn w:val="Normal"/>
    <w:next w:val="Normal"/>
    <w:rsid w:val="003C215E"/>
    <w:pPr>
      <w:outlineLvl w:val="3"/>
    </w:pPr>
    <w:rPr>
      <w:b/>
      <w:bCs/>
      <w:i/>
      <w:szCs w:val="22"/>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D34A67"/>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C957F3"/>
    <w:pPr>
      <w:tabs>
        <w:tab w:val="left" w:pos="880"/>
        <w:tab w:val="right" w:leader="dot" w:pos="9016"/>
      </w:tabs>
      <w:spacing w:before="120"/>
      <w:jc w:val="left"/>
    </w:pPr>
    <w:rPr>
      <w:iCs/>
      <w:noProof/>
      <w:sz w:val="20"/>
    </w:rPr>
  </w:style>
  <w:style w:type="paragraph" w:styleId="TOC1">
    <w:name w:val="toc 1"/>
    <w:basedOn w:val="Normal"/>
    <w:next w:val="Normal"/>
    <w:autoRedefine/>
    <w:uiPriority w:val="39"/>
    <w:qFormat/>
    <w:rsid w:val="00EC4AF7"/>
    <w:pPr>
      <w:tabs>
        <w:tab w:val="left" w:pos="440"/>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EC4AF7"/>
    <w:pPr>
      <w:ind w:left="720"/>
      <w:jc w:val="left"/>
    </w:pPr>
    <w:rPr>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EC4AF7"/>
    <w:pPr>
      <w:jc w:val="left"/>
    </w:pPr>
    <w:rPr>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4E61FC"/>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3A6FB1"/>
    <w:rPr>
      <w:rFonts w:ascii="Arial" w:hAnsi="Arial" w:cs="Arial"/>
      <w:snapToGrid w:val="0"/>
      <w:sz w:val="22"/>
      <w:lang w:eastAsia="en-US"/>
    </w:rPr>
  </w:style>
  <w:style w:type="paragraph" w:styleId="Subtitle">
    <w:name w:val="Subtitle"/>
    <w:aliases w:val="PBAC Paragraph"/>
    <w:basedOn w:val="Normal"/>
    <w:link w:val="SubtitleChar"/>
    <w:uiPriority w:val="11"/>
    <w:qFormat/>
    <w:rsid w:val="003C44EA"/>
    <w:pPr>
      <w:widowControl/>
    </w:pPr>
    <w:rPr>
      <w:rFonts w:ascii="Times New Roman" w:hAnsi="Times New Roman" w:cs="Times New Roman"/>
      <w:b/>
      <w:snapToGrid/>
      <w:sz w:val="24"/>
      <w:lang w:eastAsia="en-AU"/>
    </w:rPr>
  </w:style>
  <w:style w:type="character" w:customStyle="1" w:styleId="SubtitleChar">
    <w:name w:val="Subtitle Char"/>
    <w:aliases w:val="PBAC Paragraph Char"/>
    <w:basedOn w:val="DefaultParagraphFont"/>
    <w:link w:val="Subtitle"/>
    <w:rsid w:val="003C44EA"/>
    <w:rPr>
      <w:b/>
      <w:sz w:val="24"/>
    </w:rPr>
  </w:style>
  <w:style w:type="paragraph" w:customStyle="1" w:styleId="Text">
    <w:name w:val="Text"/>
    <w:basedOn w:val="Normal"/>
    <w:link w:val="TextChar"/>
    <w:qFormat/>
    <w:rsid w:val="001340BF"/>
    <w:pPr>
      <w:widowControl/>
      <w:suppressAutoHyphens/>
      <w:spacing w:after="200" w:line="380" w:lineRule="atLeast"/>
      <w:jc w:val="left"/>
    </w:pPr>
    <w:rPr>
      <w:rFonts w:cs="Times New Roman"/>
      <w:snapToGrid/>
      <w:sz w:val="20"/>
    </w:rPr>
  </w:style>
  <w:style w:type="character" w:customStyle="1" w:styleId="TextChar">
    <w:name w:val="Text Char"/>
    <w:basedOn w:val="DefaultParagraphFont"/>
    <w:link w:val="Text"/>
    <w:rsid w:val="001340BF"/>
    <w:rPr>
      <w:rFonts w:ascii="Arial" w:hAnsi="Arial"/>
      <w:lang w:eastAsia="en-US"/>
    </w:rPr>
  </w:style>
  <w:style w:type="paragraph" w:customStyle="1" w:styleId="TableBullets">
    <w:name w:val="Table Bullets"/>
    <w:basedOn w:val="Normal"/>
    <w:uiPriority w:val="63"/>
    <w:qFormat/>
    <w:rsid w:val="00752500"/>
    <w:pPr>
      <w:widowControl/>
      <w:numPr>
        <w:numId w:val="3"/>
      </w:numPr>
      <w:spacing w:before="120" w:after="120"/>
      <w:jc w:val="left"/>
    </w:pPr>
    <w:rPr>
      <w:rFonts w:cs="Times New Roman"/>
      <w:snapToGrid/>
      <w:sz w:val="20"/>
      <w:szCs w:val="22"/>
      <w:lang w:val="en-GB"/>
    </w:rPr>
  </w:style>
  <w:style w:type="paragraph" w:customStyle="1" w:styleId="TableBullets2">
    <w:name w:val="Table Bullets 2"/>
    <w:basedOn w:val="TableBullets"/>
    <w:uiPriority w:val="63"/>
    <w:qFormat/>
    <w:rsid w:val="00752500"/>
    <w:pPr>
      <w:numPr>
        <w:ilvl w:val="1"/>
      </w:numPr>
    </w:pPr>
  </w:style>
  <w:style w:type="paragraph" w:customStyle="1" w:styleId="PBACHeading10">
    <w:name w:val="PBAC Heading 1"/>
    <w:qFormat/>
    <w:rsid w:val="00DB0DD0"/>
    <w:pPr>
      <w:snapToGrid w:val="0"/>
    </w:pPr>
    <w:rPr>
      <w:rFonts w:ascii="Arial" w:hAnsi="Arial" w:cs="Arial"/>
      <w:b/>
      <w:sz w:val="22"/>
      <w:szCs w:val="22"/>
      <w:lang w:eastAsia="en-US"/>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uiPriority w:val="99"/>
    <w:rsid w:val="00C72F5B"/>
    <w:rPr>
      <w:rFonts w:ascii="Arial" w:hAnsi="Arial" w:cs="Arial"/>
      <w:b/>
      <w:lang w:eastAsia="zh-CN"/>
    </w:rPr>
  </w:style>
  <w:style w:type="paragraph" w:customStyle="1" w:styleId="TableLeftAlign">
    <w:name w:val="TableLeftAlign"/>
    <w:basedOn w:val="TableText0"/>
    <w:rsid w:val="0032488C"/>
    <w:rPr>
      <w:rFonts w:ascii="Arial" w:hAnsi="Arial"/>
      <w:lang w:val="en-US"/>
    </w:rPr>
  </w:style>
  <w:style w:type="table" w:customStyle="1" w:styleId="Summarybox1">
    <w:name w:val="Summary box1"/>
    <w:basedOn w:val="TableNormal"/>
    <w:next w:val="TableGrid"/>
    <w:uiPriority w:val="59"/>
    <w:rsid w:val="00D7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3456D"/>
    <w:pPr>
      <w:widowControl/>
      <w:spacing w:after="160" w:line="240" w:lineRule="exact"/>
      <w:jc w:val="left"/>
    </w:pPr>
    <w:rPr>
      <w:rFonts w:ascii="Verdana" w:eastAsia="MS Mincho" w:hAnsi="Verdana" w:cs="Verdana"/>
      <w:snapToGrid/>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16C07"/>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B87442"/>
    <w:rPr>
      <w:b/>
      <w:bCs/>
      <w:smallCaps/>
      <w:color w:val="C0504D" w:themeColor="accent2"/>
      <w:spacing w:val="5"/>
      <w:u w:val="single"/>
    </w:rPr>
  </w:style>
  <w:style w:type="character" w:styleId="FollowedHyperlink">
    <w:name w:val="FollowedHyperlink"/>
    <w:basedOn w:val="DefaultParagraphFont"/>
    <w:semiHidden/>
    <w:unhideWhenUsed/>
    <w:rsid w:val="006D3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5">
      <w:bodyDiv w:val="1"/>
      <w:marLeft w:val="0"/>
      <w:marRight w:val="0"/>
      <w:marTop w:val="0"/>
      <w:marBottom w:val="0"/>
      <w:divBdr>
        <w:top w:val="none" w:sz="0" w:space="0" w:color="auto"/>
        <w:left w:val="none" w:sz="0" w:space="0" w:color="auto"/>
        <w:bottom w:val="none" w:sz="0" w:space="0" w:color="auto"/>
        <w:right w:val="none" w:sz="0" w:space="0" w:color="auto"/>
      </w:divBdr>
    </w:div>
    <w:div w:id="520583527">
      <w:bodyDiv w:val="1"/>
      <w:marLeft w:val="0"/>
      <w:marRight w:val="0"/>
      <w:marTop w:val="0"/>
      <w:marBottom w:val="0"/>
      <w:divBdr>
        <w:top w:val="none" w:sz="0" w:space="0" w:color="auto"/>
        <w:left w:val="none" w:sz="0" w:space="0" w:color="auto"/>
        <w:bottom w:val="none" w:sz="0" w:space="0" w:color="auto"/>
        <w:right w:val="none" w:sz="0" w:space="0" w:color="auto"/>
      </w:divBdr>
    </w:div>
    <w:div w:id="562375761">
      <w:bodyDiv w:val="1"/>
      <w:marLeft w:val="0"/>
      <w:marRight w:val="0"/>
      <w:marTop w:val="0"/>
      <w:marBottom w:val="0"/>
      <w:divBdr>
        <w:top w:val="none" w:sz="0" w:space="0" w:color="auto"/>
        <w:left w:val="none" w:sz="0" w:space="0" w:color="auto"/>
        <w:bottom w:val="none" w:sz="0" w:space="0" w:color="auto"/>
        <w:right w:val="none" w:sz="0" w:space="0" w:color="auto"/>
      </w:divBdr>
    </w:div>
    <w:div w:id="583301239">
      <w:bodyDiv w:val="1"/>
      <w:marLeft w:val="0"/>
      <w:marRight w:val="0"/>
      <w:marTop w:val="0"/>
      <w:marBottom w:val="0"/>
      <w:divBdr>
        <w:top w:val="none" w:sz="0" w:space="0" w:color="auto"/>
        <w:left w:val="none" w:sz="0" w:space="0" w:color="auto"/>
        <w:bottom w:val="none" w:sz="0" w:space="0" w:color="auto"/>
        <w:right w:val="none" w:sz="0" w:space="0" w:color="auto"/>
      </w:divBdr>
    </w:div>
    <w:div w:id="672759404">
      <w:bodyDiv w:val="1"/>
      <w:marLeft w:val="0"/>
      <w:marRight w:val="0"/>
      <w:marTop w:val="0"/>
      <w:marBottom w:val="0"/>
      <w:divBdr>
        <w:top w:val="none" w:sz="0" w:space="0" w:color="auto"/>
        <w:left w:val="none" w:sz="0" w:space="0" w:color="auto"/>
        <w:bottom w:val="none" w:sz="0" w:space="0" w:color="auto"/>
        <w:right w:val="none" w:sz="0" w:space="0" w:color="auto"/>
      </w:divBdr>
    </w:div>
    <w:div w:id="714624065">
      <w:bodyDiv w:val="1"/>
      <w:marLeft w:val="0"/>
      <w:marRight w:val="0"/>
      <w:marTop w:val="0"/>
      <w:marBottom w:val="0"/>
      <w:divBdr>
        <w:top w:val="none" w:sz="0" w:space="0" w:color="auto"/>
        <w:left w:val="none" w:sz="0" w:space="0" w:color="auto"/>
        <w:bottom w:val="none" w:sz="0" w:space="0" w:color="auto"/>
        <w:right w:val="none" w:sz="0" w:space="0" w:color="auto"/>
      </w:divBdr>
    </w:div>
    <w:div w:id="763764068">
      <w:bodyDiv w:val="1"/>
      <w:marLeft w:val="0"/>
      <w:marRight w:val="0"/>
      <w:marTop w:val="0"/>
      <w:marBottom w:val="0"/>
      <w:divBdr>
        <w:top w:val="none" w:sz="0" w:space="0" w:color="auto"/>
        <w:left w:val="none" w:sz="0" w:space="0" w:color="auto"/>
        <w:bottom w:val="none" w:sz="0" w:space="0" w:color="auto"/>
        <w:right w:val="none" w:sz="0" w:space="0" w:color="auto"/>
      </w:divBdr>
    </w:div>
    <w:div w:id="781807980">
      <w:bodyDiv w:val="1"/>
      <w:marLeft w:val="0"/>
      <w:marRight w:val="0"/>
      <w:marTop w:val="0"/>
      <w:marBottom w:val="0"/>
      <w:divBdr>
        <w:top w:val="none" w:sz="0" w:space="0" w:color="auto"/>
        <w:left w:val="none" w:sz="0" w:space="0" w:color="auto"/>
        <w:bottom w:val="none" w:sz="0" w:space="0" w:color="auto"/>
        <w:right w:val="none" w:sz="0" w:space="0" w:color="auto"/>
      </w:divBdr>
    </w:div>
    <w:div w:id="809787460">
      <w:bodyDiv w:val="1"/>
      <w:marLeft w:val="0"/>
      <w:marRight w:val="0"/>
      <w:marTop w:val="0"/>
      <w:marBottom w:val="0"/>
      <w:divBdr>
        <w:top w:val="none" w:sz="0" w:space="0" w:color="auto"/>
        <w:left w:val="none" w:sz="0" w:space="0" w:color="auto"/>
        <w:bottom w:val="none" w:sz="0" w:space="0" w:color="auto"/>
        <w:right w:val="none" w:sz="0" w:space="0" w:color="auto"/>
      </w:divBdr>
    </w:div>
    <w:div w:id="937104521">
      <w:bodyDiv w:val="1"/>
      <w:marLeft w:val="0"/>
      <w:marRight w:val="0"/>
      <w:marTop w:val="0"/>
      <w:marBottom w:val="0"/>
      <w:divBdr>
        <w:top w:val="none" w:sz="0" w:space="0" w:color="auto"/>
        <w:left w:val="none" w:sz="0" w:space="0" w:color="auto"/>
        <w:bottom w:val="none" w:sz="0" w:space="0" w:color="auto"/>
        <w:right w:val="none" w:sz="0" w:space="0" w:color="auto"/>
      </w:divBdr>
    </w:div>
    <w:div w:id="937836504">
      <w:bodyDiv w:val="1"/>
      <w:marLeft w:val="0"/>
      <w:marRight w:val="0"/>
      <w:marTop w:val="0"/>
      <w:marBottom w:val="0"/>
      <w:divBdr>
        <w:top w:val="none" w:sz="0" w:space="0" w:color="auto"/>
        <w:left w:val="none" w:sz="0" w:space="0" w:color="auto"/>
        <w:bottom w:val="none" w:sz="0" w:space="0" w:color="auto"/>
        <w:right w:val="none" w:sz="0" w:space="0" w:color="auto"/>
      </w:divBdr>
    </w:div>
    <w:div w:id="971666108">
      <w:bodyDiv w:val="1"/>
      <w:marLeft w:val="0"/>
      <w:marRight w:val="0"/>
      <w:marTop w:val="0"/>
      <w:marBottom w:val="0"/>
      <w:divBdr>
        <w:top w:val="none" w:sz="0" w:space="0" w:color="auto"/>
        <w:left w:val="none" w:sz="0" w:space="0" w:color="auto"/>
        <w:bottom w:val="none" w:sz="0" w:space="0" w:color="auto"/>
        <w:right w:val="none" w:sz="0" w:space="0" w:color="auto"/>
      </w:divBdr>
    </w:div>
    <w:div w:id="989406697">
      <w:bodyDiv w:val="1"/>
      <w:marLeft w:val="0"/>
      <w:marRight w:val="0"/>
      <w:marTop w:val="0"/>
      <w:marBottom w:val="0"/>
      <w:divBdr>
        <w:top w:val="none" w:sz="0" w:space="0" w:color="auto"/>
        <w:left w:val="none" w:sz="0" w:space="0" w:color="auto"/>
        <w:bottom w:val="none" w:sz="0" w:space="0" w:color="auto"/>
        <w:right w:val="none" w:sz="0" w:space="0" w:color="auto"/>
      </w:divBdr>
    </w:div>
    <w:div w:id="1022626977">
      <w:bodyDiv w:val="1"/>
      <w:marLeft w:val="0"/>
      <w:marRight w:val="0"/>
      <w:marTop w:val="0"/>
      <w:marBottom w:val="0"/>
      <w:divBdr>
        <w:top w:val="none" w:sz="0" w:space="0" w:color="auto"/>
        <w:left w:val="none" w:sz="0" w:space="0" w:color="auto"/>
        <w:bottom w:val="none" w:sz="0" w:space="0" w:color="auto"/>
        <w:right w:val="none" w:sz="0" w:space="0" w:color="auto"/>
      </w:divBdr>
    </w:div>
    <w:div w:id="1230068480">
      <w:bodyDiv w:val="1"/>
      <w:marLeft w:val="0"/>
      <w:marRight w:val="0"/>
      <w:marTop w:val="0"/>
      <w:marBottom w:val="0"/>
      <w:divBdr>
        <w:top w:val="none" w:sz="0" w:space="0" w:color="auto"/>
        <w:left w:val="none" w:sz="0" w:space="0" w:color="auto"/>
        <w:bottom w:val="none" w:sz="0" w:space="0" w:color="auto"/>
        <w:right w:val="none" w:sz="0" w:space="0" w:color="auto"/>
      </w:divBdr>
    </w:div>
    <w:div w:id="1242301078">
      <w:bodyDiv w:val="1"/>
      <w:marLeft w:val="0"/>
      <w:marRight w:val="0"/>
      <w:marTop w:val="0"/>
      <w:marBottom w:val="0"/>
      <w:divBdr>
        <w:top w:val="none" w:sz="0" w:space="0" w:color="auto"/>
        <w:left w:val="none" w:sz="0" w:space="0" w:color="auto"/>
        <w:bottom w:val="none" w:sz="0" w:space="0" w:color="auto"/>
        <w:right w:val="none" w:sz="0" w:space="0" w:color="auto"/>
      </w:divBdr>
    </w:div>
    <w:div w:id="1327591459">
      <w:bodyDiv w:val="1"/>
      <w:marLeft w:val="0"/>
      <w:marRight w:val="0"/>
      <w:marTop w:val="0"/>
      <w:marBottom w:val="0"/>
      <w:divBdr>
        <w:top w:val="none" w:sz="0" w:space="0" w:color="auto"/>
        <w:left w:val="none" w:sz="0" w:space="0" w:color="auto"/>
        <w:bottom w:val="none" w:sz="0" w:space="0" w:color="auto"/>
        <w:right w:val="none" w:sz="0" w:space="0" w:color="auto"/>
      </w:divBdr>
    </w:div>
    <w:div w:id="1567302048">
      <w:bodyDiv w:val="1"/>
      <w:marLeft w:val="0"/>
      <w:marRight w:val="0"/>
      <w:marTop w:val="0"/>
      <w:marBottom w:val="0"/>
      <w:divBdr>
        <w:top w:val="none" w:sz="0" w:space="0" w:color="auto"/>
        <w:left w:val="none" w:sz="0" w:space="0" w:color="auto"/>
        <w:bottom w:val="none" w:sz="0" w:space="0" w:color="auto"/>
        <w:right w:val="none" w:sz="0" w:space="0" w:color="auto"/>
      </w:divBdr>
    </w:div>
    <w:div w:id="1577861139">
      <w:bodyDiv w:val="1"/>
      <w:marLeft w:val="0"/>
      <w:marRight w:val="0"/>
      <w:marTop w:val="0"/>
      <w:marBottom w:val="0"/>
      <w:divBdr>
        <w:top w:val="none" w:sz="0" w:space="0" w:color="auto"/>
        <w:left w:val="none" w:sz="0" w:space="0" w:color="auto"/>
        <w:bottom w:val="none" w:sz="0" w:space="0" w:color="auto"/>
        <w:right w:val="none" w:sz="0" w:space="0" w:color="auto"/>
      </w:divBdr>
    </w:div>
    <w:div w:id="1600874463">
      <w:bodyDiv w:val="1"/>
      <w:marLeft w:val="0"/>
      <w:marRight w:val="0"/>
      <w:marTop w:val="0"/>
      <w:marBottom w:val="0"/>
      <w:divBdr>
        <w:top w:val="none" w:sz="0" w:space="0" w:color="auto"/>
        <w:left w:val="none" w:sz="0" w:space="0" w:color="auto"/>
        <w:bottom w:val="none" w:sz="0" w:space="0" w:color="auto"/>
        <w:right w:val="none" w:sz="0" w:space="0" w:color="auto"/>
      </w:divBdr>
    </w:div>
    <w:div w:id="1608467538">
      <w:bodyDiv w:val="1"/>
      <w:marLeft w:val="0"/>
      <w:marRight w:val="0"/>
      <w:marTop w:val="0"/>
      <w:marBottom w:val="0"/>
      <w:divBdr>
        <w:top w:val="none" w:sz="0" w:space="0" w:color="auto"/>
        <w:left w:val="none" w:sz="0" w:space="0" w:color="auto"/>
        <w:bottom w:val="none" w:sz="0" w:space="0" w:color="auto"/>
        <w:right w:val="none" w:sz="0" w:space="0" w:color="auto"/>
      </w:divBdr>
    </w:div>
    <w:div w:id="1635215710">
      <w:bodyDiv w:val="1"/>
      <w:marLeft w:val="0"/>
      <w:marRight w:val="0"/>
      <w:marTop w:val="0"/>
      <w:marBottom w:val="0"/>
      <w:divBdr>
        <w:top w:val="none" w:sz="0" w:space="0" w:color="auto"/>
        <w:left w:val="none" w:sz="0" w:space="0" w:color="auto"/>
        <w:bottom w:val="none" w:sz="0" w:space="0" w:color="auto"/>
        <w:right w:val="none" w:sz="0" w:space="0" w:color="auto"/>
      </w:divBdr>
    </w:div>
    <w:div w:id="1674137709">
      <w:bodyDiv w:val="1"/>
      <w:marLeft w:val="0"/>
      <w:marRight w:val="0"/>
      <w:marTop w:val="0"/>
      <w:marBottom w:val="0"/>
      <w:divBdr>
        <w:top w:val="none" w:sz="0" w:space="0" w:color="auto"/>
        <w:left w:val="none" w:sz="0" w:space="0" w:color="auto"/>
        <w:bottom w:val="none" w:sz="0" w:space="0" w:color="auto"/>
        <w:right w:val="none" w:sz="0" w:space="0" w:color="auto"/>
      </w:divBdr>
    </w:div>
    <w:div w:id="1676566562">
      <w:bodyDiv w:val="1"/>
      <w:marLeft w:val="0"/>
      <w:marRight w:val="0"/>
      <w:marTop w:val="0"/>
      <w:marBottom w:val="0"/>
      <w:divBdr>
        <w:top w:val="none" w:sz="0" w:space="0" w:color="auto"/>
        <w:left w:val="none" w:sz="0" w:space="0" w:color="auto"/>
        <w:bottom w:val="none" w:sz="0" w:space="0" w:color="auto"/>
        <w:right w:val="none" w:sz="0" w:space="0" w:color="auto"/>
      </w:divBdr>
    </w:div>
    <w:div w:id="1709600783">
      <w:bodyDiv w:val="1"/>
      <w:marLeft w:val="0"/>
      <w:marRight w:val="0"/>
      <w:marTop w:val="0"/>
      <w:marBottom w:val="0"/>
      <w:divBdr>
        <w:top w:val="none" w:sz="0" w:space="0" w:color="auto"/>
        <w:left w:val="none" w:sz="0" w:space="0" w:color="auto"/>
        <w:bottom w:val="none" w:sz="0" w:space="0" w:color="auto"/>
        <w:right w:val="none" w:sz="0" w:space="0" w:color="auto"/>
      </w:divBdr>
      <w:divsChild>
        <w:div w:id="791289371">
          <w:marLeft w:val="547"/>
          <w:marRight w:val="0"/>
          <w:marTop w:val="144"/>
          <w:marBottom w:val="0"/>
          <w:divBdr>
            <w:top w:val="none" w:sz="0" w:space="0" w:color="auto"/>
            <w:left w:val="none" w:sz="0" w:space="0" w:color="auto"/>
            <w:bottom w:val="none" w:sz="0" w:space="0" w:color="auto"/>
            <w:right w:val="none" w:sz="0" w:space="0" w:color="auto"/>
          </w:divBdr>
        </w:div>
        <w:div w:id="1942182554">
          <w:marLeft w:val="547"/>
          <w:marRight w:val="0"/>
          <w:marTop w:val="144"/>
          <w:marBottom w:val="0"/>
          <w:divBdr>
            <w:top w:val="none" w:sz="0" w:space="0" w:color="auto"/>
            <w:left w:val="none" w:sz="0" w:space="0" w:color="auto"/>
            <w:bottom w:val="none" w:sz="0" w:space="0" w:color="auto"/>
            <w:right w:val="none" w:sz="0" w:space="0" w:color="auto"/>
          </w:divBdr>
        </w:div>
      </w:divsChild>
    </w:div>
    <w:div w:id="1758595031">
      <w:bodyDiv w:val="1"/>
      <w:marLeft w:val="0"/>
      <w:marRight w:val="0"/>
      <w:marTop w:val="0"/>
      <w:marBottom w:val="0"/>
      <w:divBdr>
        <w:top w:val="none" w:sz="0" w:space="0" w:color="auto"/>
        <w:left w:val="none" w:sz="0" w:space="0" w:color="auto"/>
        <w:bottom w:val="none" w:sz="0" w:space="0" w:color="auto"/>
        <w:right w:val="none" w:sz="0" w:space="0" w:color="auto"/>
      </w:divBdr>
    </w:div>
    <w:div w:id="1904442177">
      <w:bodyDiv w:val="1"/>
      <w:marLeft w:val="0"/>
      <w:marRight w:val="0"/>
      <w:marTop w:val="0"/>
      <w:marBottom w:val="0"/>
      <w:divBdr>
        <w:top w:val="none" w:sz="0" w:space="0" w:color="auto"/>
        <w:left w:val="none" w:sz="0" w:space="0" w:color="auto"/>
        <w:bottom w:val="none" w:sz="0" w:space="0" w:color="auto"/>
        <w:right w:val="none" w:sz="0" w:space="0" w:color="auto"/>
      </w:divBdr>
    </w:div>
    <w:div w:id="1922913053">
      <w:bodyDiv w:val="1"/>
      <w:marLeft w:val="0"/>
      <w:marRight w:val="0"/>
      <w:marTop w:val="0"/>
      <w:marBottom w:val="0"/>
      <w:divBdr>
        <w:top w:val="none" w:sz="0" w:space="0" w:color="auto"/>
        <w:left w:val="none" w:sz="0" w:space="0" w:color="auto"/>
        <w:bottom w:val="none" w:sz="0" w:space="0" w:color="auto"/>
        <w:right w:val="none" w:sz="0" w:space="0" w:color="auto"/>
      </w:divBdr>
    </w:div>
    <w:div w:id="1988514536">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81323439">
      <w:bodyDiv w:val="1"/>
      <w:marLeft w:val="0"/>
      <w:marRight w:val="0"/>
      <w:marTop w:val="0"/>
      <w:marBottom w:val="0"/>
      <w:divBdr>
        <w:top w:val="none" w:sz="0" w:space="0" w:color="auto"/>
        <w:left w:val="none" w:sz="0" w:space="0" w:color="auto"/>
        <w:bottom w:val="none" w:sz="0" w:space="0" w:color="auto"/>
        <w:right w:val="none" w:sz="0" w:space="0" w:color="auto"/>
      </w:divBdr>
    </w:div>
    <w:div w:id="212075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16E1-C959-4DA0-BCDC-774A146A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9267</Words>
  <Characters>53197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2016-10-06T00:46:00Z</dcterms:created>
  <dcterms:modified xsi:type="dcterms:W3CDTF">2016-10-06T05:50:00Z</dcterms:modified>
</cp:coreProperties>
</file>