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9406BE" w:rsidRDefault="005F6EEA" w:rsidP="009406BE">
      <w:pPr>
        <w:pStyle w:val="Title"/>
      </w:pPr>
      <w:bookmarkStart w:id="0" w:name="_GoBack"/>
      <w:bookmarkEnd w:id="0"/>
      <w:r>
        <w:t>6.08</w:t>
      </w:r>
      <w:r w:rsidR="007C0F57" w:rsidRPr="006D6EC7">
        <w:tab/>
      </w:r>
      <w:r w:rsidRPr="009406BE">
        <w:t>D</w:t>
      </w:r>
      <w:r w:rsidR="005D2F66" w:rsidRPr="009406BE">
        <w:t>ASATINIB</w:t>
      </w:r>
    </w:p>
    <w:p w:rsidR="00C27B58" w:rsidRPr="009406BE" w:rsidRDefault="005F6EEA" w:rsidP="009406BE">
      <w:pPr>
        <w:pStyle w:val="Title"/>
        <w:ind w:left="709"/>
      </w:pPr>
      <w:r w:rsidRPr="009406BE">
        <w:t>20 mg, 50 mg, 70 mg and 100 mg tablets</w:t>
      </w:r>
      <w:r w:rsidR="0004240E" w:rsidRPr="009406BE">
        <w:t>,</w:t>
      </w:r>
    </w:p>
    <w:p w:rsidR="00CE10C4" w:rsidRPr="009406BE" w:rsidRDefault="005F6EEA" w:rsidP="009406BE">
      <w:pPr>
        <w:pStyle w:val="Title"/>
        <w:ind w:left="709"/>
      </w:pPr>
      <w:r w:rsidRPr="009406BE">
        <w:t>Sprycel</w:t>
      </w:r>
      <w:r w:rsidR="0004240E" w:rsidRPr="009406BE">
        <w:t>®</w:t>
      </w:r>
      <w:r w:rsidRPr="009406BE">
        <w:t>, Bristol Myers Squibb Australia Pty Ltd</w:t>
      </w:r>
    </w:p>
    <w:p w:rsidR="00C27B58" w:rsidRDefault="00C27B58" w:rsidP="00C27B58">
      <w:pPr>
        <w:pStyle w:val="NoSpacing"/>
      </w:pPr>
    </w:p>
    <w:p w:rsidR="00CE10C4" w:rsidRPr="009406BE" w:rsidRDefault="00CE10C4" w:rsidP="009406BE">
      <w:pPr>
        <w:pStyle w:val="Heading1"/>
      </w:pPr>
      <w:r w:rsidRPr="009406BE">
        <w:t xml:space="preserve">Purpose of </w:t>
      </w:r>
      <w:r w:rsidR="0004240E" w:rsidRPr="009406BE">
        <w:t>Application</w:t>
      </w:r>
    </w:p>
    <w:p w:rsidR="006A12A5" w:rsidRPr="00882085" w:rsidRDefault="006A12A5" w:rsidP="00882085">
      <w:pPr>
        <w:jc w:val="both"/>
        <w:rPr>
          <w:rFonts w:ascii="Arial" w:hAnsi="Arial"/>
          <w:sz w:val="22"/>
          <w:szCs w:val="22"/>
        </w:rPr>
      </w:pPr>
    </w:p>
    <w:p w:rsidR="00EF44A0" w:rsidRPr="00906312" w:rsidRDefault="00EF44A0" w:rsidP="00906312">
      <w:pPr>
        <w:pStyle w:val="ListParagraph"/>
        <w:numPr>
          <w:ilvl w:val="1"/>
          <w:numId w:val="1"/>
        </w:numPr>
        <w:rPr>
          <w:rFonts w:ascii="Arial" w:hAnsi="Arial"/>
          <w:sz w:val="22"/>
          <w:szCs w:val="22"/>
        </w:rPr>
      </w:pPr>
      <w:r>
        <w:rPr>
          <w:rFonts w:ascii="Arial" w:hAnsi="Arial"/>
          <w:sz w:val="22"/>
          <w:szCs w:val="22"/>
        </w:rPr>
        <w:t>The mi</w:t>
      </w:r>
      <w:r w:rsidR="00FF2801">
        <w:rPr>
          <w:rFonts w:ascii="Arial" w:hAnsi="Arial"/>
          <w:sz w:val="22"/>
          <w:szCs w:val="22"/>
        </w:rPr>
        <w:t xml:space="preserve">nor </w:t>
      </w:r>
      <w:r w:rsidR="00622992">
        <w:rPr>
          <w:rFonts w:ascii="Arial" w:hAnsi="Arial"/>
          <w:sz w:val="22"/>
          <w:szCs w:val="22"/>
        </w:rPr>
        <w:t>re</w:t>
      </w:r>
      <w:r w:rsidR="003531E9">
        <w:rPr>
          <w:rFonts w:ascii="Arial" w:hAnsi="Arial"/>
          <w:sz w:val="22"/>
          <w:szCs w:val="22"/>
        </w:rPr>
        <w:t>-</w:t>
      </w:r>
      <w:r w:rsidR="00FF2801">
        <w:rPr>
          <w:rFonts w:ascii="Arial" w:hAnsi="Arial"/>
          <w:sz w:val="22"/>
          <w:szCs w:val="22"/>
        </w:rPr>
        <w:t xml:space="preserve">submission </w:t>
      </w:r>
      <w:r w:rsidR="00622992">
        <w:rPr>
          <w:rFonts w:ascii="Arial" w:hAnsi="Arial"/>
          <w:sz w:val="22"/>
          <w:szCs w:val="22"/>
        </w:rPr>
        <w:t>r</w:t>
      </w:r>
      <w:r w:rsidR="00FF2801">
        <w:rPr>
          <w:rFonts w:ascii="Arial" w:hAnsi="Arial"/>
          <w:sz w:val="22"/>
          <w:szCs w:val="22"/>
        </w:rPr>
        <w:t>equested</w:t>
      </w:r>
      <w:r w:rsidR="00622992">
        <w:rPr>
          <w:rFonts w:ascii="Arial" w:hAnsi="Arial"/>
          <w:sz w:val="22"/>
          <w:szCs w:val="22"/>
        </w:rPr>
        <w:t xml:space="preserve"> an amendment to the existing </w:t>
      </w:r>
      <w:r w:rsidR="00A53F5C">
        <w:rPr>
          <w:rFonts w:ascii="Arial" w:hAnsi="Arial"/>
          <w:sz w:val="22"/>
          <w:szCs w:val="22"/>
        </w:rPr>
        <w:t xml:space="preserve">PBS </w:t>
      </w:r>
      <w:r w:rsidR="00622992">
        <w:rPr>
          <w:rFonts w:ascii="Arial" w:hAnsi="Arial"/>
          <w:sz w:val="22"/>
          <w:szCs w:val="22"/>
        </w:rPr>
        <w:t xml:space="preserve">listings of </w:t>
      </w:r>
      <w:r w:rsidR="00E96C19">
        <w:rPr>
          <w:rFonts w:ascii="Arial" w:hAnsi="Arial"/>
          <w:sz w:val="22"/>
          <w:szCs w:val="22"/>
        </w:rPr>
        <w:t>dasatinib</w:t>
      </w:r>
      <w:r w:rsidR="00622992">
        <w:rPr>
          <w:rFonts w:ascii="Arial" w:hAnsi="Arial"/>
          <w:sz w:val="22"/>
          <w:szCs w:val="22"/>
        </w:rPr>
        <w:t xml:space="preserve"> </w:t>
      </w:r>
      <w:r w:rsidR="00622992" w:rsidRPr="00906312">
        <w:rPr>
          <w:rFonts w:ascii="Arial" w:hAnsi="Arial"/>
          <w:sz w:val="22"/>
          <w:szCs w:val="22"/>
        </w:rPr>
        <w:t xml:space="preserve">for </w:t>
      </w:r>
      <w:r w:rsidR="001B5D20" w:rsidRPr="00906312">
        <w:rPr>
          <w:rFonts w:ascii="Arial" w:hAnsi="Arial"/>
          <w:sz w:val="22"/>
          <w:szCs w:val="22"/>
        </w:rPr>
        <w:t>first-line</w:t>
      </w:r>
      <w:r w:rsidR="00622992" w:rsidRPr="00906312">
        <w:rPr>
          <w:rFonts w:ascii="Arial" w:hAnsi="Arial"/>
          <w:sz w:val="22"/>
          <w:szCs w:val="22"/>
        </w:rPr>
        <w:t xml:space="preserve"> treatment of patients with chronic myeloid leukaemia. </w:t>
      </w:r>
    </w:p>
    <w:p w:rsidR="00313A8A" w:rsidRPr="00C27B58" w:rsidRDefault="00313A8A" w:rsidP="00C27B58">
      <w:pPr>
        <w:pStyle w:val="NoSpacing"/>
      </w:pPr>
    </w:p>
    <w:p w:rsidR="00077143" w:rsidRPr="009406BE" w:rsidRDefault="006A12A5" w:rsidP="009406BE">
      <w:pPr>
        <w:pStyle w:val="Heading1"/>
      </w:pPr>
      <w:r w:rsidRPr="009406BE">
        <w:t>Requested listing</w:t>
      </w:r>
      <w:r w:rsidR="00077143" w:rsidRPr="009406BE">
        <w:t xml:space="preserve"> </w:t>
      </w:r>
    </w:p>
    <w:p w:rsidR="006A12A5" w:rsidRPr="00882085" w:rsidRDefault="006A12A5" w:rsidP="00882085">
      <w:pPr>
        <w:jc w:val="both"/>
        <w:rPr>
          <w:rFonts w:ascii="Arial" w:hAnsi="Arial"/>
          <w:b/>
          <w:sz w:val="22"/>
          <w:szCs w:val="22"/>
        </w:rPr>
      </w:pPr>
    </w:p>
    <w:p w:rsidR="001B5D20" w:rsidRPr="00906312" w:rsidRDefault="00EF44A0" w:rsidP="00906312">
      <w:pPr>
        <w:pStyle w:val="ListParagraph"/>
        <w:numPr>
          <w:ilvl w:val="1"/>
          <w:numId w:val="3"/>
        </w:numPr>
        <w:ind w:hanging="643"/>
        <w:rPr>
          <w:rFonts w:ascii="Arial" w:hAnsi="Arial"/>
          <w:sz w:val="22"/>
          <w:szCs w:val="22"/>
        </w:rPr>
      </w:pPr>
      <w:r w:rsidRPr="00906312">
        <w:rPr>
          <w:rFonts w:ascii="Arial" w:hAnsi="Arial"/>
          <w:sz w:val="22"/>
          <w:szCs w:val="22"/>
        </w:rPr>
        <w:t xml:space="preserve">The submission </w:t>
      </w:r>
      <w:r w:rsidR="00FF2801" w:rsidRPr="00906312">
        <w:rPr>
          <w:rFonts w:ascii="Arial" w:hAnsi="Arial"/>
          <w:sz w:val="22"/>
          <w:szCs w:val="22"/>
        </w:rPr>
        <w:t>requested</w:t>
      </w:r>
      <w:r w:rsidRPr="00906312">
        <w:rPr>
          <w:rFonts w:ascii="Arial" w:hAnsi="Arial"/>
          <w:sz w:val="22"/>
          <w:szCs w:val="22"/>
        </w:rPr>
        <w:t xml:space="preserve"> </w:t>
      </w:r>
      <w:r w:rsidR="003531E9" w:rsidRPr="00906312">
        <w:rPr>
          <w:rFonts w:ascii="Arial" w:hAnsi="Arial"/>
          <w:sz w:val="22"/>
          <w:szCs w:val="22"/>
        </w:rPr>
        <w:t>a change</w:t>
      </w:r>
      <w:r w:rsidR="00622992" w:rsidRPr="00906312">
        <w:rPr>
          <w:rFonts w:ascii="Arial" w:hAnsi="Arial"/>
          <w:sz w:val="22"/>
          <w:szCs w:val="22"/>
        </w:rPr>
        <w:t xml:space="preserve"> in the type of</w:t>
      </w:r>
      <w:r w:rsidRPr="00906312">
        <w:rPr>
          <w:rFonts w:ascii="Arial" w:hAnsi="Arial"/>
          <w:sz w:val="22"/>
          <w:szCs w:val="22"/>
        </w:rPr>
        <w:t xml:space="preserve"> </w:t>
      </w:r>
      <w:r w:rsidR="00622992" w:rsidRPr="00906312">
        <w:rPr>
          <w:rFonts w:ascii="Arial" w:hAnsi="Arial"/>
          <w:sz w:val="22"/>
          <w:szCs w:val="22"/>
        </w:rPr>
        <w:t xml:space="preserve">authority required </w:t>
      </w:r>
      <w:r w:rsidR="00777199" w:rsidRPr="00906312">
        <w:rPr>
          <w:rFonts w:ascii="Arial" w:hAnsi="Arial"/>
          <w:sz w:val="22"/>
          <w:szCs w:val="22"/>
        </w:rPr>
        <w:t xml:space="preserve">(from written authority to telephone authority) </w:t>
      </w:r>
      <w:r w:rsidR="00622992" w:rsidRPr="00906312">
        <w:rPr>
          <w:rFonts w:ascii="Arial" w:hAnsi="Arial"/>
          <w:sz w:val="22"/>
          <w:szCs w:val="22"/>
        </w:rPr>
        <w:t xml:space="preserve">for subsequent </w:t>
      </w:r>
      <w:r w:rsidR="00777199" w:rsidRPr="00906312">
        <w:rPr>
          <w:rFonts w:ascii="Arial" w:hAnsi="Arial"/>
          <w:sz w:val="22"/>
          <w:szCs w:val="22"/>
        </w:rPr>
        <w:t xml:space="preserve">continuing treatment </w:t>
      </w:r>
      <w:r w:rsidR="00622992" w:rsidRPr="00906312">
        <w:rPr>
          <w:rFonts w:ascii="Arial" w:hAnsi="Arial"/>
          <w:sz w:val="22"/>
          <w:szCs w:val="22"/>
        </w:rPr>
        <w:t>application</w:t>
      </w:r>
      <w:r w:rsidR="00777199" w:rsidRPr="00906312">
        <w:rPr>
          <w:rFonts w:ascii="Arial" w:hAnsi="Arial"/>
          <w:sz w:val="22"/>
          <w:szCs w:val="22"/>
        </w:rPr>
        <w:t>s</w:t>
      </w:r>
      <w:r w:rsidR="00622992" w:rsidRPr="00906312">
        <w:rPr>
          <w:rFonts w:ascii="Arial" w:hAnsi="Arial"/>
          <w:sz w:val="22"/>
          <w:szCs w:val="22"/>
        </w:rPr>
        <w:t>.</w:t>
      </w:r>
      <w:r w:rsidR="001B5D20" w:rsidRPr="00906312">
        <w:rPr>
          <w:rFonts w:ascii="Arial" w:hAnsi="Arial"/>
          <w:sz w:val="22"/>
          <w:szCs w:val="22"/>
        </w:rPr>
        <w:t xml:space="preserve"> The Pre-PBAC Response accepted that the listing of dasatinib should be aligned and modelled on the same requirements as imatinib (item 9113P and item 9114Q).</w:t>
      </w:r>
    </w:p>
    <w:p w:rsidR="007B4F28" w:rsidRDefault="001B5D20" w:rsidP="00AC3A7D">
      <w:pPr>
        <w:pStyle w:val="ListParagraph"/>
        <w:jc w:val="both"/>
      </w:pPr>
      <w:r>
        <w:rPr>
          <w:rFonts w:ascii="Arial" w:hAnsi="Arial"/>
          <w:sz w:val="22"/>
          <w:szCs w:val="22"/>
        </w:rPr>
        <w:t xml:space="preserve"> </w:t>
      </w:r>
    </w:p>
    <w:p w:rsidR="00F70A8E" w:rsidRPr="009406BE" w:rsidRDefault="00F70A8E" w:rsidP="009406BE">
      <w:pPr>
        <w:pStyle w:val="Heading1"/>
      </w:pPr>
      <w:r w:rsidRPr="009406BE">
        <w:t>Background</w:t>
      </w:r>
    </w:p>
    <w:p w:rsidR="00F70A8E" w:rsidRPr="00C603D4" w:rsidRDefault="00F70A8E" w:rsidP="00F70A8E">
      <w:pPr>
        <w:pStyle w:val="ListParagraph"/>
        <w:jc w:val="both"/>
        <w:rPr>
          <w:rFonts w:ascii="Arial" w:hAnsi="Arial"/>
          <w:i/>
          <w:sz w:val="22"/>
          <w:szCs w:val="22"/>
        </w:rPr>
      </w:pPr>
    </w:p>
    <w:p w:rsidR="00F70A8E" w:rsidRDefault="00F70A8E" w:rsidP="00906312">
      <w:pPr>
        <w:pStyle w:val="ListParagraph"/>
        <w:numPr>
          <w:ilvl w:val="1"/>
          <w:numId w:val="3"/>
        </w:numPr>
        <w:ind w:hanging="643"/>
        <w:jc w:val="both"/>
        <w:rPr>
          <w:rFonts w:ascii="Arial" w:hAnsi="Arial"/>
          <w:sz w:val="22"/>
          <w:szCs w:val="22"/>
        </w:rPr>
      </w:pPr>
      <w:r w:rsidRPr="008A0CA3">
        <w:rPr>
          <w:rFonts w:ascii="Arial" w:hAnsi="Arial"/>
          <w:sz w:val="22"/>
          <w:szCs w:val="22"/>
        </w:rPr>
        <w:t xml:space="preserve">There are currently three </w:t>
      </w:r>
      <w:r w:rsidR="00A53F5C" w:rsidRPr="008A0CA3">
        <w:rPr>
          <w:rFonts w:ascii="Arial" w:hAnsi="Arial"/>
          <w:sz w:val="22"/>
          <w:szCs w:val="22"/>
        </w:rPr>
        <w:t>tyrosine kinase inhibitor (TKI</w:t>
      </w:r>
      <w:r w:rsidR="00A53F5C">
        <w:rPr>
          <w:rFonts w:ascii="Arial" w:hAnsi="Arial"/>
          <w:sz w:val="22"/>
          <w:szCs w:val="22"/>
        </w:rPr>
        <w:t>) agent</w:t>
      </w:r>
      <w:r w:rsidRPr="008A0CA3">
        <w:rPr>
          <w:rFonts w:ascii="Arial" w:hAnsi="Arial"/>
          <w:sz w:val="22"/>
          <w:szCs w:val="22"/>
        </w:rPr>
        <w:t>s listed on the PBS for the first-line treatment of chronic myeloid leukaemia in the chronic phase – dasatinib, imatinib and nilotinib.</w:t>
      </w:r>
    </w:p>
    <w:p w:rsidR="00F70A8E" w:rsidRPr="00882085" w:rsidRDefault="00F70A8E" w:rsidP="00906312">
      <w:pPr>
        <w:pStyle w:val="ListParagraph"/>
        <w:ind w:hanging="643"/>
        <w:jc w:val="both"/>
        <w:rPr>
          <w:rFonts w:ascii="Arial" w:hAnsi="Arial"/>
          <w:sz w:val="22"/>
          <w:szCs w:val="22"/>
        </w:rPr>
      </w:pPr>
    </w:p>
    <w:p w:rsidR="00F70A8E" w:rsidRDefault="00F70A8E" w:rsidP="00906312">
      <w:pPr>
        <w:pStyle w:val="ListParagraph"/>
        <w:numPr>
          <w:ilvl w:val="1"/>
          <w:numId w:val="3"/>
        </w:numPr>
        <w:ind w:hanging="643"/>
        <w:jc w:val="both"/>
        <w:rPr>
          <w:rFonts w:ascii="Arial" w:hAnsi="Arial"/>
          <w:sz w:val="22"/>
          <w:szCs w:val="22"/>
        </w:rPr>
      </w:pPr>
      <w:r w:rsidRPr="008A0CA3">
        <w:rPr>
          <w:rFonts w:ascii="Arial" w:hAnsi="Arial"/>
          <w:sz w:val="22"/>
          <w:szCs w:val="22"/>
        </w:rPr>
        <w:t>At its July 2011 meeting, the PBAC recommended the listing of dasatinib (20 mg, 50</w:t>
      </w:r>
      <w:r w:rsidR="0060103B">
        <w:t> </w:t>
      </w:r>
      <w:r w:rsidRPr="008A0CA3">
        <w:rPr>
          <w:rFonts w:ascii="Arial" w:hAnsi="Arial"/>
          <w:sz w:val="22"/>
          <w:szCs w:val="22"/>
        </w:rPr>
        <w:t xml:space="preserve">mg, 70 mg and 100 mg tablets) and nilotinib (150 mg capsules) on the PBS as a Authority Required benefits for first-line treatment of chronic phase Philadelphia positive chronic myeloid leukaemia on a cost-minimisation basis compared with imatinib 400 mg.  </w:t>
      </w:r>
      <w:r w:rsidR="00465DBF">
        <w:rPr>
          <w:rFonts w:ascii="Arial" w:hAnsi="Arial"/>
          <w:sz w:val="22"/>
          <w:szCs w:val="22"/>
        </w:rPr>
        <w:t>PBS l</w:t>
      </w:r>
      <w:r w:rsidRPr="008A0CA3">
        <w:rPr>
          <w:rFonts w:ascii="Arial" w:hAnsi="Arial"/>
          <w:sz w:val="22"/>
          <w:szCs w:val="22"/>
        </w:rPr>
        <w:t>isting was effective on 1 April 2012.</w:t>
      </w:r>
    </w:p>
    <w:p w:rsidR="00F70A8E" w:rsidRPr="00882085" w:rsidRDefault="00F70A8E" w:rsidP="00906312">
      <w:pPr>
        <w:pStyle w:val="ListParagraph"/>
        <w:ind w:hanging="643"/>
        <w:jc w:val="both"/>
        <w:rPr>
          <w:rFonts w:ascii="Arial" w:hAnsi="Arial"/>
          <w:sz w:val="22"/>
          <w:szCs w:val="22"/>
        </w:rPr>
      </w:pPr>
    </w:p>
    <w:p w:rsidR="00F70A8E" w:rsidRDefault="00F70A8E" w:rsidP="00906312">
      <w:pPr>
        <w:pStyle w:val="ListParagraph"/>
        <w:numPr>
          <w:ilvl w:val="1"/>
          <w:numId w:val="3"/>
        </w:numPr>
        <w:ind w:hanging="643"/>
        <w:jc w:val="both"/>
        <w:rPr>
          <w:rFonts w:ascii="Arial" w:hAnsi="Arial"/>
          <w:sz w:val="22"/>
          <w:szCs w:val="22"/>
        </w:rPr>
      </w:pPr>
      <w:r>
        <w:rPr>
          <w:rFonts w:ascii="Arial" w:hAnsi="Arial"/>
          <w:sz w:val="22"/>
          <w:szCs w:val="22"/>
        </w:rPr>
        <w:t>At its July 2014 meeting, the PBAC considered a</w:t>
      </w:r>
      <w:r w:rsidRPr="008A0CA3">
        <w:rPr>
          <w:rFonts w:ascii="Arial" w:hAnsi="Arial"/>
          <w:sz w:val="22"/>
          <w:szCs w:val="22"/>
        </w:rPr>
        <w:t xml:space="preserve"> </w:t>
      </w:r>
      <w:r>
        <w:rPr>
          <w:rFonts w:ascii="Arial" w:hAnsi="Arial"/>
          <w:sz w:val="22"/>
          <w:szCs w:val="22"/>
        </w:rPr>
        <w:t xml:space="preserve">minor submission </w:t>
      </w:r>
      <w:r w:rsidRPr="008A0CA3">
        <w:rPr>
          <w:rFonts w:ascii="Arial" w:hAnsi="Arial"/>
          <w:sz w:val="22"/>
          <w:szCs w:val="22"/>
        </w:rPr>
        <w:t>request</w:t>
      </w:r>
      <w:r>
        <w:rPr>
          <w:rFonts w:ascii="Arial" w:hAnsi="Arial"/>
          <w:sz w:val="22"/>
          <w:szCs w:val="22"/>
        </w:rPr>
        <w:t xml:space="preserve">ing </w:t>
      </w:r>
      <w:r w:rsidRPr="008A0CA3">
        <w:rPr>
          <w:rFonts w:ascii="Arial" w:hAnsi="Arial"/>
          <w:sz w:val="22"/>
          <w:szCs w:val="22"/>
        </w:rPr>
        <w:t>an amendment to the current first-line PBS restriction for dasatinib for treatment of patients with chronic myeloid leukaemia (CML) to ensure consistency with the first-line listing for the alternative TKI imatinib, and to make it easier for patients to continue receiving dasatinib whilst they continue to respond to treatment in the first-line setting.</w:t>
      </w:r>
      <w:r>
        <w:rPr>
          <w:rFonts w:ascii="Arial" w:hAnsi="Arial"/>
          <w:sz w:val="22"/>
          <w:szCs w:val="22"/>
        </w:rPr>
        <w:t xml:space="preserve"> </w:t>
      </w:r>
    </w:p>
    <w:p w:rsidR="00F70A8E" w:rsidRPr="00BE71A3" w:rsidRDefault="00F70A8E" w:rsidP="00906312">
      <w:pPr>
        <w:pStyle w:val="ListParagraph"/>
        <w:ind w:hanging="643"/>
        <w:rPr>
          <w:rFonts w:ascii="Arial" w:hAnsi="Arial"/>
          <w:sz w:val="22"/>
          <w:szCs w:val="22"/>
        </w:rPr>
      </w:pPr>
    </w:p>
    <w:p w:rsidR="00F70A8E" w:rsidRDefault="00F70A8E" w:rsidP="00906312">
      <w:pPr>
        <w:pStyle w:val="ListParagraph"/>
        <w:numPr>
          <w:ilvl w:val="1"/>
          <w:numId w:val="3"/>
        </w:numPr>
        <w:ind w:hanging="643"/>
        <w:rPr>
          <w:rFonts w:ascii="Arial" w:hAnsi="Arial"/>
          <w:sz w:val="22"/>
          <w:szCs w:val="22"/>
        </w:rPr>
      </w:pPr>
      <w:r w:rsidRPr="00BE71A3">
        <w:rPr>
          <w:rFonts w:ascii="Arial" w:hAnsi="Arial"/>
          <w:sz w:val="22"/>
          <w:szCs w:val="22"/>
        </w:rPr>
        <w:t xml:space="preserve">The PBAC rejected the requested amendment noting the current high PBS expenditure on TKIs in CML and expressed a desire to consider the request in a manner that is informed by drug utilisation data. </w:t>
      </w:r>
    </w:p>
    <w:p w:rsidR="00F70A8E" w:rsidRPr="00BE71A3" w:rsidRDefault="00F70A8E" w:rsidP="00906312">
      <w:pPr>
        <w:pStyle w:val="ListParagraph"/>
        <w:ind w:hanging="643"/>
        <w:rPr>
          <w:rFonts w:ascii="Arial" w:hAnsi="Arial"/>
          <w:sz w:val="22"/>
          <w:szCs w:val="22"/>
        </w:rPr>
      </w:pPr>
    </w:p>
    <w:p w:rsidR="00F70A8E" w:rsidRDefault="00F70A8E" w:rsidP="00906312">
      <w:pPr>
        <w:pStyle w:val="ListParagraph"/>
        <w:numPr>
          <w:ilvl w:val="1"/>
          <w:numId w:val="3"/>
        </w:numPr>
        <w:ind w:hanging="643"/>
        <w:rPr>
          <w:rFonts w:ascii="Arial" w:hAnsi="Arial"/>
          <w:sz w:val="22"/>
          <w:szCs w:val="22"/>
        </w:rPr>
      </w:pPr>
      <w:r w:rsidRPr="00BE71A3">
        <w:rPr>
          <w:rFonts w:ascii="Arial" w:hAnsi="Arial"/>
          <w:sz w:val="22"/>
          <w:szCs w:val="22"/>
        </w:rPr>
        <w:t xml:space="preserve">The PBAC noted that </w:t>
      </w:r>
      <w:r>
        <w:rPr>
          <w:rFonts w:ascii="Arial" w:hAnsi="Arial"/>
          <w:sz w:val="22"/>
          <w:szCs w:val="22"/>
        </w:rPr>
        <w:t xml:space="preserve">it </w:t>
      </w:r>
      <w:r w:rsidRPr="00BE71A3">
        <w:rPr>
          <w:rFonts w:ascii="Arial" w:hAnsi="Arial"/>
          <w:sz w:val="22"/>
          <w:szCs w:val="22"/>
        </w:rPr>
        <w:t>would be prepared to</w:t>
      </w:r>
      <w:r>
        <w:rPr>
          <w:rFonts w:ascii="Arial" w:hAnsi="Arial"/>
          <w:sz w:val="22"/>
          <w:szCs w:val="22"/>
        </w:rPr>
        <w:t xml:space="preserve"> reconsider an amendment</w:t>
      </w:r>
      <w:r w:rsidRPr="00BE71A3">
        <w:rPr>
          <w:rFonts w:ascii="Arial" w:hAnsi="Arial"/>
          <w:sz w:val="22"/>
          <w:szCs w:val="22"/>
        </w:rPr>
        <w:t xml:space="preserve"> if drug utilisation data provided by the sponsor and/or the Drug Utilisation Sub-Committee on patient persistence rates for dasatinib and imatinib indicate no discernible difference.</w:t>
      </w:r>
    </w:p>
    <w:p w:rsidR="006F4986" w:rsidRPr="008424CE" w:rsidRDefault="006F4986" w:rsidP="006F4986">
      <w:pPr>
        <w:pStyle w:val="ListParagraph"/>
        <w:rPr>
          <w:rFonts w:ascii="Arial" w:hAnsi="Arial"/>
          <w:sz w:val="22"/>
          <w:szCs w:val="22"/>
          <w:u w:val="single"/>
        </w:rPr>
      </w:pPr>
    </w:p>
    <w:p w:rsidR="006F4986" w:rsidRPr="008424CE" w:rsidRDefault="006F4986" w:rsidP="007930A9">
      <w:pPr>
        <w:keepNext/>
        <w:rPr>
          <w:rFonts w:ascii="Arial" w:hAnsi="Arial"/>
          <w:sz w:val="22"/>
          <w:szCs w:val="22"/>
          <w:u w:val="single"/>
        </w:rPr>
      </w:pPr>
      <w:r w:rsidRPr="008424CE">
        <w:rPr>
          <w:rFonts w:ascii="Arial" w:hAnsi="Arial"/>
          <w:sz w:val="22"/>
          <w:szCs w:val="22"/>
          <w:u w:val="single"/>
        </w:rPr>
        <w:lastRenderedPageBreak/>
        <w:t>Summary of evidence provided in re-submission</w:t>
      </w:r>
    </w:p>
    <w:p w:rsidR="00F70A8E" w:rsidRPr="00BE71A3" w:rsidRDefault="00F70A8E" w:rsidP="007930A9">
      <w:pPr>
        <w:keepNext/>
        <w:rPr>
          <w:rFonts w:ascii="Arial" w:hAnsi="Arial"/>
          <w:sz w:val="22"/>
          <w:szCs w:val="22"/>
        </w:rPr>
      </w:pPr>
    </w:p>
    <w:p w:rsidR="00F70A8E" w:rsidRPr="007B4F28" w:rsidRDefault="00F70A8E" w:rsidP="00906312">
      <w:pPr>
        <w:pStyle w:val="ListParagraph"/>
        <w:keepNext/>
        <w:keepLines/>
        <w:numPr>
          <w:ilvl w:val="1"/>
          <w:numId w:val="3"/>
        </w:numPr>
        <w:ind w:hanging="643"/>
        <w:rPr>
          <w:rFonts w:ascii="Arial" w:hAnsi="Arial"/>
          <w:sz w:val="22"/>
          <w:szCs w:val="22"/>
        </w:rPr>
      </w:pPr>
      <w:r w:rsidRPr="007B4F28">
        <w:rPr>
          <w:rFonts w:ascii="Arial" w:hAnsi="Arial"/>
          <w:sz w:val="22"/>
          <w:szCs w:val="22"/>
        </w:rPr>
        <w:t>The sponsor</w:t>
      </w:r>
      <w:r w:rsidR="006F4986">
        <w:rPr>
          <w:rFonts w:ascii="Arial" w:hAnsi="Arial"/>
          <w:sz w:val="22"/>
          <w:szCs w:val="22"/>
        </w:rPr>
        <w:t xml:space="preserve"> provided data</w:t>
      </w:r>
      <w:r w:rsidRPr="007B4F28">
        <w:rPr>
          <w:rFonts w:ascii="Arial" w:hAnsi="Arial"/>
          <w:sz w:val="22"/>
          <w:szCs w:val="22"/>
        </w:rPr>
        <w:t xml:space="preserve"> compar</w:t>
      </w:r>
      <w:r w:rsidR="006F4986">
        <w:rPr>
          <w:rFonts w:ascii="Arial" w:hAnsi="Arial"/>
          <w:sz w:val="22"/>
          <w:szCs w:val="22"/>
        </w:rPr>
        <w:t>ing</w:t>
      </w:r>
      <w:r w:rsidRPr="007B4F28">
        <w:rPr>
          <w:rFonts w:ascii="Arial" w:hAnsi="Arial"/>
          <w:sz w:val="22"/>
          <w:szCs w:val="22"/>
        </w:rPr>
        <w:t xml:space="preserve"> the persistence to treatment with dasatinib versus imatinib using Kaplan-Meier analysis. The analyses were based on a 10% patient sample obtained from the Department of Human Services for PBS reimbursed scripts from January 2005 to October 2015. </w:t>
      </w:r>
    </w:p>
    <w:p w:rsidR="00F70A8E" w:rsidRPr="007B4F28" w:rsidRDefault="00F70A8E" w:rsidP="00906312">
      <w:pPr>
        <w:pStyle w:val="ListParagraph"/>
        <w:ind w:hanging="643"/>
        <w:rPr>
          <w:rFonts w:ascii="Arial" w:hAnsi="Arial"/>
          <w:sz w:val="22"/>
          <w:szCs w:val="22"/>
        </w:rPr>
      </w:pPr>
    </w:p>
    <w:p w:rsidR="00F70A8E" w:rsidRDefault="00F70A8E" w:rsidP="00906312">
      <w:pPr>
        <w:pStyle w:val="ListParagraph"/>
        <w:numPr>
          <w:ilvl w:val="1"/>
          <w:numId w:val="3"/>
        </w:numPr>
        <w:ind w:hanging="643"/>
        <w:rPr>
          <w:rFonts w:ascii="Arial" w:hAnsi="Arial"/>
          <w:sz w:val="22"/>
          <w:szCs w:val="22"/>
        </w:rPr>
      </w:pPr>
      <w:r w:rsidRPr="007B4F28">
        <w:rPr>
          <w:rFonts w:ascii="Arial" w:hAnsi="Arial"/>
          <w:sz w:val="22"/>
          <w:szCs w:val="22"/>
        </w:rPr>
        <w:t>Only the patient’s first persistence episode within the analysis time period was measured. Three cases were tested including: (1) Base case - Dasatinib 100mg (30 tabs) vs. Imatinib 400mg (30 tabs) using 60 day drop off definition; (2) Sensitivity Analysis 1 - Dasatinib 100mg (30 tabs) vs. Imatinib 400mg (30 tabs) using 90 day drop off definition; and (3) Sensitivity Analysis 2 - Dasatinib any strength vs. Imatinib any strength using 180 day drop off definition. No statistically significant differences in the time on treatment were found between dasatinib and imatinib across the base case and sensitivity analyses. For the time period between April 2012 and October</w:t>
      </w:r>
      <w:r w:rsidR="007930A9">
        <w:rPr>
          <w:rFonts w:ascii="Arial" w:hAnsi="Arial"/>
          <w:sz w:val="22"/>
          <w:szCs w:val="22"/>
        </w:rPr>
        <w:t> </w:t>
      </w:r>
      <w:r w:rsidRPr="007B4F28">
        <w:rPr>
          <w:rFonts w:ascii="Arial" w:hAnsi="Arial"/>
          <w:sz w:val="22"/>
          <w:szCs w:val="22"/>
        </w:rPr>
        <w:t xml:space="preserve">2015, the base case result was HR </w:t>
      </w:r>
      <w:r w:rsidR="00D96BBF">
        <w:rPr>
          <w:rFonts w:ascii="Arial" w:hAnsi="Arial"/>
          <w:noProof/>
          <w:color w:val="000000"/>
          <w:sz w:val="22"/>
          <w:szCs w:val="22"/>
          <w:highlight w:val="black"/>
        </w:rPr>
        <w:t>''''''''''</w:t>
      </w:r>
      <w:r w:rsidRPr="007B4F28">
        <w:rPr>
          <w:rFonts w:ascii="Arial" w:hAnsi="Arial"/>
          <w:sz w:val="22"/>
          <w:szCs w:val="22"/>
        </w:rPr>
        <w:t xml:space="preserve"> (95%CI: </w:t>
      </w:r>
      <w:r w:rsidR="00D96BBF">
        <w:rPr>
          <w:rFonts w:ascii="Arial" w:hAnsi="Arial"/>
          <w:noProof/>
          <w:color w:val="000000"/>
          <w:sz w:val="22"/>
          <w:szCs w:val="22"/>
          <w:highlight w:val="black"/>
        </w:rPr>
        <w:t>''''''''''</w:t>
      </w:r>
      <w:r w:rsidRPr="007B4F28">
        <w:rPr>
          <w:rFonts w:ascii="Arial" w:hAnsi="Arial"/>
          <w:sz w:val="22"/>
          <w:szCs w:val="22"/>
        </w:rPr>
        <w:t xml:space="preserve">, </w:t>
      </w:r>
      <w:r w:rsidR="00D96BBF">
        <w:rPr>
          <w:rFonts w:ascii="Arial" w:hAnsi="Arial"/>
          <w:noProof/>
          <w:color w:val="000000"/>
          <w:sz w:val="22"/>
          <w:szCs w:val="22"/>
          <w:highlight w:val="black"/>
        </w:rPr>
        <w:t>''''''''''''</w:t>
      </w:r>
      <w:r w:rsidRPr="007B4F28">
        <w:rPr>
          <w:rFonts w:ascii="Arial" w:hAnsi="Arial"/>
          <w:sz w:val="22"/>
          <w:szCs w:val="22"/>
        </w:rPr>
        <w:t xml:space="preserve">); P-value = </w:t>
      </w:r>
      <w:r w:rsidR="00D96BBF">
        <w:rPr>
          <w:rFonts w:ascii="Arial" w:hAnsi="Arial"/>
          <w:noProof/>
          <w:color w:val="000000"/>
          <w:sz w:val="22"/>
          <w:szCs w:val="22"/>
          <w:highlight w:val="black"/>
        </w:rPr>
        <w:t>'''''''''''''</w:t>
      </w:r>
      <w:r w:rsidRPr="007B4F28">
        <w:rPr>
          <w:rFonts w:ascii="Arial" w:hAnsi="Arial"/>
          <w:sz w:val="22"/>
          <w:szCs w:val="22"/>
        </w:rPr>
        <w:t xml:space="preserve">. </w:t>
      </w:r>
    </w:p>
    <w:p w:rsidR="00F70A8E" w:rsidRPr="001C00A0" w:rsidRDefault="00F70A8E" w:rsidP="001C00A0">
      <w:pPr>
        <w:jc w:val="both"/>
        <w:rPr>
          <w:rFonts w:ascii="Arial" w:hAnsi="Arial"/>
          <w:sz w:val="22"/>
          <w:szCs w:val="22"/>
        </w:rPr>
      </w:pPr>
    </w:p>
    <w:p w:rsidR="003C0658" w:rsidRPr="0005234D" w:rsidRDefault="003C0658" w:rsidP="003C0658">
      <w:pPr>
        <w:ind w:firstLine="720"/>
        <w:rPr>
          <w:rFonts w:ascii="Arial" w:hAnsi="Arial" w:cs="Arial"/>
          <w:bCs/>
          <w:snapToGrid w:val="0"/>
          <w:sz w:val="22"/>
          <w:szCs w:val="22"/>
        </w:rPr>
      </w:pPr>
      <w:r w:rsidRPr="00F62EE9">
        <w:rPr>
          <w:rFonts w:ascii="Arial" w:hAnsi="Arial" w:cs="Arial"/>
          <w:bCs/>
          <w:i/>
          <w:snapToGrid w:val="0"/>
          <w:sz w:val="22"/>
          <w:szCs w:val="22"/>
        </w:rPr>
        <w:t xml:space="preserve">For more detail on PBAC’s view, see section </w:t>
      </w:r>
      <w:r w:rsidR="00F62EE9" w:rsidRPr="00F62EE9">
        <w:rPr>
          <w:rFonts w:ascii="Arial" w:hAnsi="Arial" w:cs="Arial"/>
          <w:bCs/>
          <w:i/>
          <w:snapToGrid w:val="0"/>
          <w:sz w:val="22"/>
          <w:szCs w:val="22"/>
        </w:rPr>
        <w:t xml:space="preserve">6 </w:t>
      </w:r>
      <w:r w:rsidRPr="00F62EE9">
        <w:rPr>
          <w:rFonts w:ascii="Arial" w:hAnsi="Arial" w:cs="Arial"/>
          <w:bCs/>
          <w:i/>
          <w:snapToGrid w:val="0"/>
          <w:sz w:val="22"/>
          <w:szCs w:val="22"/>
        </w:rPr>
        <w:t>“PBAC outcome”</w:t>
      </w:r>
    </w:p>
    <w:p w:rsidR="00F70A8E" w:rsidRDefault="00F70A8E" w:rsidP="00826F6D">
      <w:pPr>
        <w:pStyle w:val="ListParagraph"/>
        <w:jc w:val="both"/>
        <w:rPr>
          <w:rFonts w:ascii="Arial" w:hAnsi="Arial"/>
          <w:sz w:val="22"/>
          <w:szCs w:val="22"/>
        </w:rPr>
      </w:pPr>
    </w:p>
    <w:p w:rsidR="00F9629A" w:rsidRPr="00552722" w:rsidRDefault="00F9629A" w:rsidP="00F9629A">
      <w:pPr>
        <w:jc w:val="both"/>
        <w:rPr>
          <w:rFonts w:ascii="Arial" w:hAnsi="Arial" w:cs="Arial"/>
          <w:sz w:val="22"/>
          <w:szCs w:val="22"/>
        </w:rPr>
      </w:pPr>
    </w:p>
    <w:p w:rsidR="00565F56" w:rsidRPr="00882085" w:rsidRDefault="00565F56" w:rsidP="009406BE">
      <w:pPr>
        <w:pStyle w:val="Heading1"/>
      </w:pPr>
      <w:r>
        <w:t>Consideration of the evidence</w:t>
      </w:r>
    </w:p>
    <w:p w:rsidR="00565F56" w:rsidRDefault="00565F56" w:rsidP="003531E9">
      <w:pPr>
        <w:pStyle w:val="ListParagraph"/>
        <w:rPr>
          <w:rFonts w:ascii="Arial" w:hAnsi="Arial"/>
          <w:sz w:val="22"/>
          <w:szCs w:val="22"/>
        </w:rPr>
      </w:pPr>
    </w:p>
    <w:p w:rsidR="00C32C19" w:rsidRPr="009406BE" w:rsidRDefault="00C32C19" w:rsidP="009406BE">
      <w:pPr>
        <w:pStyle w:val="Heading2"/>
      </w:pPr>
      <w:r w:rsidRPr="009406BE">
        <w:t>Sponsor hearing</w:t>
      </w:r>
    </w:p>
    <w:p w:rsidR="00C32C19" w:rsidRPr="00C01C2A" w:rsidRDefault="00C32C19" w:rsidP="00C32C19">
      <w:pPr>
        <w:jc w:val="both"/>
        <w:rPr>
          <w:rFonts w:ascii="Arial" w:hAnsi="Arial"/>
          <w:b/>
          <w:sz w:val="22"/>
          <w:szCs w:val="22"/>
        </w:rPr>
      </w:pPr>
    </w:p>
    <w:p w:rsidR="00C32C19" w:rsidRPr="00C01C2A" w:rsidRDefault="00C32C19" w:rsidP="00906312">
      <w:pPr>
        <w:pStyle w:val="ListParagraph"/>
        <w:numPr>
          <w:ilvl w:val="1"/>
          <w:numId w:val="3"/>
        </w:numPr>
        <w:ind w:hanging="643"/>
        <w:jc w:val="both"/>
        <w:rPr>
          <w:rFonts w:ascii="Arial" w:hAnsi="Arial"/>
          <w:b/>
          <w:sz w:val="22"/>
          <w:szCs w:val="22"/>
        </w:rPr>
      </w:pPr>
      <w:r w:rsidRPr="00C01C2A">
        <w:rPr>
          <w:rFonts w:ascii="Arial" w:hAnsi="Arial" w:cs="Arial"/>
          <w:bCs/>
          <w:snapToGrid w:val="0"/>
          <w:sz w:val="22"/>
          <w:szCs w:val="22"/>
        </w:rPr>
        <w:t>There was no hearing for this item as it was a minor submission.</w:t>
      </w:r>
    </w:p>
    <w:p w:rsidR="0056753F" w:rsidRDefault="0056753F">
      <w:pPr>
        <w:rPr>
          <w:rFonts w:ascii="Arial" w:hAnsi="Arial"/>
          <w:b/>
          <w:sz w:val="22"/>
          <w:szCs w:val="22"/>
        </w:rPr>
      </w:pPr>
    </w:p>
    <w:p w:rsidR="00204614" w:rsidRDefault="00204614" w:rsidP="009406BE">
      <w:pPr>
        <w:pStyle w:val="Heading2"/>
        <w:rPr>
          <w:bCs/>
          <w:highlight w:val="yellow"/>
        </w:rPr>
      </w:pPr>
      <w:r w:rsidRPr="00CF6FE4">
        <w:t>Consumer comments</w:t>
      </w:r>
    </w:p>
    <w:p w:rsidR="00204614" w:rsidRPr="00204614" w:rsidRDefault="00204614" w:rsidP="00204614">
      <w:pPr>
        <w:rPr>
          <w:rFonts w:ascii="Arial" w:hAnsi="Arial" w:cs="Arial"/>
          <w:bCs/>
          <w:snapToGrid w:val="0"/>
          <w:sz w:val="22"/>
          <w:szCs w:val="22"/>
        </w:rPr>
      </w:pPr>
    </w:p>
    <w:p w:rsidR="00204614" w:rsidRPr="00204614" w:rsidRDefault="00204614" w:rsidP="00906312">
      <w:pPr>
        <w:numPr>
          <w:ilvl w:val="1"/>
          <w:numId w:val="3"/>
        </w:numPr>
        <w:spacing w:after="120"/>
        <w:ind w:hanging="643"/>
        <w:rPr>
          <w:rFonts w:ascii="Arial" w:hAnsi="Arial" w:cs="Arial"/>
          <w:bCs/>
          <w:snapToGrid w:val="0"/>
          <w:sz w:val="22"/>
          <w:szCs w:val="22"/>
        </w:rPr>
      </w:pPr>
      <w:r w:rsidRPr="00204614">
        <w:rPr>
          <w:rFonts w:ascii="Arial" w:hAnsi="Arial" w:cs="Arial"/>
          <w:bCs/>
          <w:snapToGrid w:val="0"/>
          <w:sz w:val="22"/>
          <w:szCs w:val="22"/>
        </w:rPr>
        <w:t>The PBAC not</w:t>
      </w:r>
      <w:r w:rsidR="00CF6FE4">
        <w:rPr>
          <w:rFonts w:ascii="Arial" w:hAnsi="Arial" w:cs="Arial"/>
          <w:bCs/>
          <w:snapToGrid w:val="0"/>
          <w:sz w:val="22"/>
          <w:szCs w:val="22"/>
        </w:rPr>
        <w:t xml:space="preserve">ed and welcomed the input from, </w:t>
      </w:r>
      <w:r w:rsidR="002258F2">
        <w:rPr>
          <w:rFonts w:ascii="Arial" w:hAnsi="Arial" w:cs="Arial"/>
          <w:bCs/>
          <w:snapToGrid w:val="0"/>
          <w:sz w:val="22"/>
          <w:szCs w:val="22"/>
        </w:rPr>
        <w:t>individuals</w:t>
      </w:r>
      <w:r w:rsidR="00CF6FE4">
        <w:rPr>
          <w:rFonts w:ascii="Arial" w:hAnsi="Arial" w:cs="Arial"/>
          <w:bCs/>
          <w:snapToGrid w:val="0"/>
          <w:sz w:val="22"/>
          <w:szCs w:val="22"/>
        </w:rPr>
        <w:t xml:space="preserve"> (</w:t>
      </w:r>
      <w:r w:rsidR="002258F2">
        <w:rPr>
          <w:rFonts w:ascii="Arial" w:hAnsi="Arial" w:cs="Arial"/>
          <w:bCs/>
          <w:snapToGrid w:val="0"/>
          <w:sz w:val="22"/>
          <w:szCs w:val="22"/>
        </w:rPr>
        <w:t>3</w:t>
      </w:r>
      <w:r w:rsidRPr="00204614">
        <w:rPr>
          <w:rFonts w:ascii="Arial" w:hAnsi="Arial" w:cs="Arial"/>
          <w:bCs/>
          <w:snapToGrid w:val="0"/>
          <w:sz w:val="22"/>
          <w:szCs w:val="22"/>
        </w:rPr>
        <w:t>) and organisations (1)</w:t>
      </w:r>
      <w:r w:rsidR="00A03599">
        <w:rPr>
          <w:rFonts w:ascii="Arial" w:hAnsi="Arial" w:cs="Arial"/>
          <w:bCs/>
          <w:snapToGrid w:val="0"/>
          <w:sz w:val="22"/>
          <w:szCs w:val="22"/>
        </w:rPr>
        <w:t xml:space="preserve">.  The comments described the experiences of prescribers in prescribing PBS-listed tyrosine kinase inhibitors for first-line CML. </w:t>
      </w:r>
      <w:r w:rsidRPr="00204614">
        <w:rPr>
          <w:rFonts w:ascii="Arial" w:hAnsi="Arial" w:cs="Arial"/>
          <w:bCs/>
          <w:snapToGrid w:val="0"/>
          <w:sz w:val="22"/>
          <w:szCs w:val="22"/>
        </w:rPr>
        <w:t xml:space="preserve"> </w:t>
      </w:r>
    </w:p>
    <w:p w:rsidR="002A270C" w:rsidRPr="002949E9" w:rsidRDefault="002A270C" w:rsidP="00906312">
      <w:pPr>
        <w:numPr>
          <w:ilvl w:val="1"/>
          <w:numId w:val="3"/>
        </w:numPr>
        <w:ind w:hanging="643"/>
        <w:rPr>
          <w:rFonts w:ascii="Arial" w:hAnsi="Arial" w:cs="Arial"/>
          <w:bCs/>
          <w:sz w:val="22"/>
          <w:szCs w:val="22"/>
        </w:rPr>
      </w:pPr>
      <w:r w:rsidRPr="00D97C40">
        <w:rPr>
          <w:rFonts w:ascii="Arial" w:hAnsi="Arial" w:cs="Arial"/>
          <w:bCs/>
          <w:sz w:val="22"/>
          <w:szCs w:val="22"/>
        </w:rPr>
        <w:t xml:space="preserve">The PBAC noted the </w:t>
      </w:r>
      <w:r w:rsidR="00D97C40">
        <w:rPr>
          <w:rFonts w:ascii="Arial" w:hAnsi="Arial" w:cs="Arial"/>
          <w:bCs/>
          <w:sz w:val="22"/>
          <w:szCs w:val="22"/>
        </w:rPr>
        <w:t>comments</w:t>
      </w:r>
      <w:r w:rsidRPr="00D97C40">
        <w:rPr>
          <w:rFonts w:ascii="Arial" w:hAnsi="Arial" w:cs="Arial"/>
          <w:bCs/>
          <w:sz w:val="22"/>
          <w:szCs w:val="22"/>
        </w:rPr>
        <w:t xml:space="preserve"> received from the Haematology Society of Australia and New Zealand</w:t>
      </w:r>
      <w:r w:rsidR="00D97C40">
        <w:rPr>
          <w:rFonts w:ascii="Arial" w:hAnsi="Arial" w:cs="Arial"/>
          <w:bCs/>
          <w:sz w:val="22"/>
          <w:szCs w:val="22"/>
        </w:rPr>
        <w:t xml:space="preserve"> (HSANZ).  The PBAC noted </w:t>
      </w:r>
      <w:r w:rsidRPr="00D97C40">
        <w:rPr>
          <w:rFonts w:ascii="Arial" w:hAnsi="Arial" w:cs="Arial"/>
          <w:bCs/>
          <w:sz w:val="22"/>
          <w:szCs w:val="22"/>
        </w:rPr>
        <w:t>that prescribers have found the current requirement of obtaining a written authority to be unnecessarily cumbersome</w:t>
      </w:r>
      <w:r w:rsidR="00984629">
        <w:rPr>
          <w:rFonts w:ascii="Arial" w:hAnsi="Arial" w:cs="Arial"/>
          <w:bCs/>
          <w:sz w:val="22"/>
          <w:szCs w:val="22"/>
        </w:rPr>
        <w:t xml:space="preserve"> in the context of approval continuing treatment. The HSANZ indicated that </w:t>
      </w:r>
      <w:r w:rsidR="00D97C40">
        <w:rPr>
          <w:rFonts w:ascii="Arial" w:hAnsi="Arial" w:cs="Arial"/>
          <w:bCs/>
          <w:sz w:val="22"/>
          <w:szCs w:val="22"/>
        </w:rPr>
        <w:t xml:space="preserve">similar drugs for treating the same condition require the telephone authority method which is generally faster than </w:t>
      </w:r>
      <w:r w:rsidR="00984629">
        <w:rPr>
          <w:rFonts w:ascii="Arial" w:hAnsi="Arial" w:cs="Arial"/>
          <w:bCs/>
          <w:sz w:val="22"/>
          <w:szCs w:val="22"/>
        </w:rPr>
        <w:t xml:space="preserve">obtaining a </w:t>
      </w:r>
      <w:r w:rsidR="00D97C40">
        <w:rPr>
          <w:rFonts w:ascii="Arial" w:hAnsi="Arial" w:cs="Arial"/>
          <w:bCs/>
          <w:sz w:val="22"/>
          <w:szCs w:val="22"/>
        </w:rPr>
        <w:t>written authority</w:t>
      </w:r>
      <w:r w:rsidR="00984629">
        <w:rPr>
          <w:rFonts w:ascii="Arial" w:hAnsi="Arial" w:cs="Arial"/>
          <w:bCs/>
          <w:sz w:val="22"/>
          <w:szCs w:val="22"/>
        </w:rPr>
        <w:t xml:space="preserve"> via post</w:t>
      </w:r>
      <w:r w:rsidRPr="00D97C40">
        <w:rPr>
          <w:rFonts w:ascii="Arial" w:hAnsi="Arial" w:cs="Arial"/>
          <w:bCs/>
          <w:sz w:val="22"/>
          <w:szCs w:val="22"/>
        </w:rPr>
        <w:t xml:space="preserve">. The PBAC noted that this </w:t>
      </w:r>
      <w:r w:rsidRPr="002949E9">
        <w:rPr>
          <w:rFonts w:ascii="Arial" w:hAnsi="Arial" w:cs="Arial"/>
          <w:bCs/>
          <w:sz w:val="22"/>
          <w:szCs w:val="22"/>
        </w:rPr>
        <w:t>advice was supportive of the evidence provided in the submission.</w:t>
      </w:r>
    </w:p>
    <w:p w:rsidR="00204614" w:rsidRPr="002949E9" w:rsidRDefault="00204614" w:rsidP="00565F56">
      <w:pPr>
        <w:rPr>
          <w:rFonts w:ascii="Arial" w:hAnsi="Arial" w:cs="Arial"/>
          <w:bCs/>
          <w:snapToGrid w:val="0"/>
          <w:sz w:val="22"/>
          <w:szCs w:val="22"/>
        </w:rPr>
      </w:pPr>
    </w:p>
    <w:p w:rsidR="003531E9" w:rsidRPr="009406BE" w:rsidRDefault="003531E9" w:rsidP="009406BE">
      <w:pPr>
        <w:pStyle w:val="Heading1"/>
      </w:pPr>
      <w:r w:rsidRPr="009406BE">
        <w:t>Estimated PBS usage &amp; financial implications</w:t>
      </w:r>
    </w:p>
    <w:p w:rsidR="003531E9" w:rsidRPr="002949E9" w:rsidRDefault="003531E9" w:rsidP="003531E9">
      <w:pPr>
        <w:rPr>
          <w:rFonts w:ascii="Arial" w:hAnsi="Arial"/>
          <w:sz w:val="22"/>
          <w:szCs w:val="22"/>
        </w:rPr>
      </w:pPr>
    </w:p>
    <w:p w:rsidR="00C32C19" w:rsidRPr="00071D81" w:rsidRDefault="003531E9" w:rsidP="00906312">
      <w:pPr>
        <w:pStyle w:val="ListParagraph"/>
        <w:numPr>
          <w:ilvl w:val="1"/>
          <w:numId w:val="3"/>
        </w:numPr>
        <w:ind w:hanging="643"/>
        <w:jc w:val="both"/>
        <w:rPr>
          <w:rFonts w:ascii="Arial" w:hAnsi="Arial"/>
          <w:b/>
          <w:sz w:val="22"/>
          <w:szCs w:val="22"/>
        </w:rPr>
      </w:pPr>
      <w:r w:rsidRPr="002949E9">
        <w:rPr>
          <w:rFonts w:ascii="Arial" w:hAnsi="Arial"/>
          <w:sz w:val="22"/>
          <w:szCs w:val="22"/>
        </w:rPr>
        <w:t>The sponsor estimated there to be no financial implications to the PBS</w:t>
      </w:r>
      <w:r w:rsidR="00C32C19" w:rsidRPr="002949E9">
        <w:rPr>
          <w:rFonts w:ascii="Arial" w:hAnsi="Arial"/>
          <w:sz w:val="22"/>
          <w:szCs w:val="22"/>
        </w:rPr>
        <w:t xml:space="preserve">, as a consequence of </w:t>
      </w:r>
      <w:r w:rsidR="00754F93" w:rsidRPr="002949E9">
        <w:rPr>
          <w:rFonts w:ascii="Arial" w:hAnsi="Arial"/>
          <w:sz w:val="22"/>
          <w:szCs w:val="22"/>
        </w:rPr>
        <w:t>changing the authority method from</w:t>
      </w:r>
      <w:r w:rsidR="00C32C19" w:rsidRPr="002949E9">
        <w:rPr>
          <w:rFonts w:ascii="Arial" w:hAnsi="Arial"/>
          <w:sz w:val="22"/>
          <w:szCs w:val="22"/>
        </w:rPr>
        <w:t xml:space="preserve"> Authority Required (Written) to Authority Required (Telephone). </w:t>
      </w:r>
    </w:p>
    <w:p w:rsidR="008A1956" w:rsidRPr="002949E9" w:rsidRDefault="008A1956" w:rsidP="00882085">
      <w:pPr>
        <w:jc w:val="both"/>
        <w:rPr>
          <w:rFonts w:ascii="Arial" w:hAnsi="Arial"/>
          <w:b/>
          <w:sz w:val="22"/>
          <w:szCs w:val="22"/>
        </w:rPr>
      </w:pPr>
    </w:p>
    <w:p w:rsidR="003872CF" w:rsidRPr="002949E9" w:rsidRDefault="007B4F28" w:rsidP="00AC3A7D">
      <w:pPr>
        <w:ind w:firstLine="720"/>
        <w:rPr>
          <w:rFonts w:ascii="Arial" w:hAnsi="Arial"/>
          <w:sz w:val="22"/>
          <w:szCs w:val="22"/>
        </w:rPr>
      </w:pPr>
      <w:r w:rsidRPr="002949E9">
        <w:rPr>
          <w:rFonts w:ascii="Arial" w:hAnsi="Arial" w:cs="Arial"/>
          <w:bCs/>
          <w:i/>
          <w:snapToGrid w:val="0"/>
          <w:sz w:val="22"/>
          <w:szCs w:val="22"/>
        </w:rPr>
        <w:t xml:space="preserve">For more detail on PBAC’s view, see section </w:t>
      </w:r>
      <w:r w:rsidR="00651EE9" w:rsidRPr="002949E9">
        <w:rPr>
          <w:rFonts w:ascii="Arial" w:hAnsi="Arial" w:cs="Arial"/>
          <w:bCs/>
          <w:i/>
          <w:snapToGrid w:val="0"/>
          <w:sz w:val="22"/>
          <w:szCs w:val="22"/>
        </w:rPr>
        <w:t xml:space="preserve">6 </w:t>
      </w:r>
      <w:r w:rsidRPr="002949E9">
        <w:rPr>
          <w:rFonts w:ascii="Arial" w:hAnsi="Arial" w:cs="Arial"/>
          <w:bCs/>
          <w:i/>
          <w:snapToGrid w:val="0"/>
          <w:sz w:val="22"/>
          <w:szCs w:val="22"/>
        </w:rPr>
        <w:t>“PBAC outcome”</w:t>
      </w:r>
    </w:p>
    <w:p w:rsidR="00CE10C4" w:rsidRDefault="00CE10C4" w:rsidP="004A2484">
      <w:pPr>
        <w:jc w:val="both"/>
        <w:rPr>
          <w:rFonts w:ascii="Arial" w:hAnsi="Arial"/>
          <w:sz w:val="22"/>
          <w:szCs w:val="22"/>
        </w:rPr>
      </w:pPr>
    </w:p>
    <w:p w:rsidR="00E42BF8" w:rsidRPr="002949E9" w:rsidRDefault="00E42BF8" w:rsidP="004A2484">
      <w:pPr>
        <w:jc w:val="both"/>
        <w:rPr>
          <w:rFonts w:ascii="Arial" w:hAnsi="Arial"/>
          <w:sz w:val="22"/>
          <w:szCs w:val="22"/>
        </w:rPr>
      </w:pPr>
    </w:p>
    <w:p w:rsidR="00565F56" w:rsidRPr="002949E9" w:rsidRDefault="00565F56" w:rsidP="00ED1549">
      <w:pPr>
        <w:pStyle w:val="Heading1"/>
        <w:keepNext/>
        <w:rPr>
          <w:snapToGrid w:val="0"/>
        </w:rPr>
      </w:pPr>
      <w:r w:rsidRPr="002949E9">
        <w:rPr>
          <w:snapToGrid w:val="0"/>
        </w:rPr>
        <w:t>PBAC Outcome</w:t>
      </w:r>
    </w:p>
    <w:p w:rsidR="00565F56" w:rsidRPr="002949E9" w:rsidRDefault="00565F56" w:rsidP="00565F56">
      <w:pPr>
        <w:widowControl w:val="0"/>
        <w:jc w:val="both"/>
        <w:rPr>
          <w:rFonts w:ascii="Arial" w:hAnsi="Arial" w:cs="Arial"/>
          <w:b/>
          <w:bCs/>
          <w:snapToGrid w:val="0"/>
          <w:sz w:val="22"/>
          <w:szCs w:val="20"/>
          <w:lang w:val="en-GB"/>
        </w:rPr>
      </w:pPr>
    </w:p>
    <w:p w:rsidR="00C32C19" w:rsidRPr="002949E9" w:rsidRDefault="00C32C19" w:rsidP="00906312">
      <w:pPr>
        <w:widowControl w:val="0"/>
        <w:numPr>
          <w:ilvl w:val="1"/>
          <w:numId w:val="3"/>
        </w:numPr>
        <w:spacing w:after="120"/>
        <w:ind w:hanging="643"/>
        <w:contextualSpacing/>
        <w:jc w:val="both"/>
        <w:rPr>
          <w:rFonts w:ascii="Arial" w:hAnsi="Arial" w:cs="Arial"/>
          <w:b/>
          <w:bCs/>
          <w:snapToGrid w:val="0"/>
          <w:sz w:val="22"/>
          <w:szCs w:val="22"/>
          <w:lang w:val="en-GB" w:eastAsia="en-US"/>
        </w:rPr>
      </w:pPr>
      <w:r w:rsidRPr="002949E9">
        <w:rPr>
          <w:rFonts w:ascii="Arial" w:hAnsi="Arial" w:cs="Arial"/>
          <w:bCs/>
          <w:snapToGrid w:val="0"/>
          <w:sz w:val="22"/>
          <w:szCs w:val="22"/>
          <w:lang w:val="en-GB" w:eastAsia="en-US"/>
        </w:rPr>
        <w:t>The PBAC recommended that the authority required type for dasatinib be changed from Authority Required (written) to Authority Required (telephone)</w:t>
      </w:r>
      <w:r w:rsidRPr="002949E9">
        <w:rPr>
          <w:rFonts w:ascii="Arial" w:hAnsi="Arial"/>
          <w:sz w:val="22"/>
          <w:szCs w:val="22"/>
        </w:rPr>
        <w:t xml:space="preserve"> for subsequent continuing treatment applications</w:t>
      </w:r>
      <w:r w:rsidR="006F4986" w:rsidRPr="002949E9">
        <w:rPr>
          <w:rFonts w:ascii="Arial" w:hAnsi="Arial"/>
          <w:sz w:val="22"/>
          <w:szCs w:val="22"/>
        </w:rPr>
        <w:t xml:space="preserve"> </w:t>
      </w:r>
      <w:r w:rsidR="006F4986" w:rsidRPr="002949E9">
        <w:rPr>
          <w:rFonts w:ascii="Arial" w:hAnsi="Arial" w:cs="Arial"/>
          <w:snapToGrid w:val="0"/>
          <w:sz w:val="22"/>
          <w:szCs w:val="20"/>
        </w:rPr>
        <w:t xml:space="preserve">for first-line treatment of </w:t>
      </w:r>
      <w:r w:rsidR="006F4986" w:rsidRPr="002949E9">
        <w:rPr>
          <w:rFonts w:ascii="Arial" w:hAnsi="Arial" w:cs="Arial"/>
          <w:sz w:val="22"/>
        </w:rPr>
        <w:t>CML</w:t>
      </w:r>
      <w:r w:rsidRPr="002949E9">
        <w:rPr>
          <w:rFonts w:ascii="Arial" w:hAnsi="Arial" w:cs="Arial"/>
          <w:bCs/>
          <w:snapToGrid w:val="0"/>
          <w:sz w:val="22"/>
          <w:szCs w:val="22"/>
          <w:lang w:val="en-GB" w:eastAsia="en-US"/>
        </w:rPr>
        <w:t xml:space="preserve">. </w:t>
      </w:r>
      <w:r w:rsidR="006F4986" w:rsidRPr="002949E9">
        <w:rPr>
          <w:rFonts w:ascii="Arial" w:hAnsi="Arial" w:cs="Arial"/>
          <w:bCs/>
          <w:snapToGrid w:val="0"/>
          <w:sz w:val="22"/>
          <w:szCs w:val="22"/>
          <w:lang w:val="en-GB" w:eastAsia="en-US"/>
        </w:rPr>
        <w:t>The requirements for initial treatment (Authority Required – Written) and first continuing treatment applications (Authority Required– Written) remain unchanged, this aligns with the current requirements for imatinib.</w:t>
      </w:r>
    </w:p>
    <w:p w:rsidR="000B2108" w:rsidRPr="002949E9" w:rsidRDefault="000B2108" w:rsidP="00906312">
      <w:pPr>
        <w:widowControl w:val="0"/>
        <w:spacing w:after="120"/>
        <w:ind w:left="720" w:hanging="643"/>
        <w:contextualSpacing/>
        <w:jc w:val="both"/>
        <w:rPr>
          <w:rFonts w:ascii="Arial" w:hAnsi="Arial" w:cs="Arial"/>
          <w:b/>
          <w:bCs/>
          <w:snapToGrid w:val="0"/>
          <w:sz w:val="22"/>
          <w:szCs w:val="22"/>
          <w:lang w:val="en-GB" w:eastAsia="en-US"/>
        </w:rPr>
      </w:pPr>
    </w:p>
    <w:p w:rsidR="00565F56" w:rsidRPr="00AC3A7D" w:rsidRDefault="000B2108" w:rsidP="00906312">
      <w:pPr>
        <w:widowControl w:val="0"/>
        <w:numPr>
          <w:ilvl w:val="1"/>
          <w:numId w:val="3"/>
        </w:numPr>
        <w:spacing w:after="120"/>
        <w:ind w:hanging="643"/>
        <w:contextualSpacing/>
        <w:jc w:val="both"/>
        <w:rPr>
          <w:rFonts w:ascii="Arial" w:hAnsi="Arial" w:cs="Arial"/>
          <w:bCs/>
          <w:snapToGrid w:val="0"/>
          <w:sz w:val="22"/>
          <w:szCs w:val="20"/>
          <w:lang w:val="en-GB"/>
        </w:rPr>
      </w:pPr>
      <w:r w:rsidRPr="00AC3A7D">
        <w:rPr>
          <w:rFonts w:ascii="Arial" w:hAnsi="Arial" w:cs="Arial"/>
          <w:bCs/>
          <w:snapToGrid w:val="0"/>
          <w:sz w:val="22"/>
          <w:szCs w:val="22"/>
          <w:lang w:val="en-GB" w:eastAsia="en-US"/>
        </w:rPr>
        <w:t xml:space="preserve">The PBAC agreed with the submission that the requested amendment to the restriction should not have any financial implications for the PBS. </w:t>
      </w:r>
    </w:p>
    <w:p w:rsidR="00565F56" w:rsidRPr="002949E9" w:rsidRDefault="00565F56" w:rsidP="00565F56">
      <w:pPr>
        <w:widowControl w:val="0"/>
        <w:jc w:val="both"/>
        <w:rPr>
          <w:rFonts w:ascii="Arial" w:hAnsi="Arial" w:cs="Arial"/>
          <w:b/>
          <w:bCs/>
          <w:snapToGrid w:val="0"/>
          <w:sz w:val="22"/>
          <w:szCs w:val="20"/>
          <w:lang w:val="en-GB"/>
        </w:rPr>
      </w:pPr>
    </w:p>
    <w:p w:rsidR="00565F56" w:rsidRPr="002949E9" w:rsidRDefault="00565F56" w:rsidP="00565F56">
      <w:pPr>
        <w:widowControl w:val="0"/>
        <w:jc w:val="both"/>
        <w:rPr>
          <w:rFonts w:ascii="Arial" w:hAnsi="Arial" w:cs="Arial"/>
          <w:b/>
          <w:bCs/>
          <w:snapToGrid w:val="0"/>
          <w:sz w:val="22"/>
          <w:szCs w:val="20"/>
          <w:lang w:val="en-GB"/>
        </w:rPr>
      </w:pPr>
      <w:r w:rsidRPr="002949E9">
        <w:rPr>
          <w:rFonts w:ascii="Arial" w:hAnsi="Arial" w:cs="Arial"/>
          <w:b/>
          <w:bCs/>
          <w:snapToGrid w:val="0"/>
          <w:sz w:val="22"/>
          <w:szCs w:val="20"/>
          <w:lang w:val="en-GB"/>
        </w:rPr>
        <w:t>Outcome:</w:t>
      </w:r>
    </w:p>
    <w:p w:rsidR="000F1AB7" w:rsidRDefault="003C0658" w:rsidP="00565F56">
      <w:pPr>
        <w:widowControl w:val="0"/>
        <w:jc w:val="both"/>
        <w:rPr>
          <w:rFonts w:ascii="Arial" w:hAnsi="Arial" w:cs="Arial"/>
          <w:bCs/>
          <w:snapToGrid w:val="0"/>
          <w:sz w:val="22"/>
          <w:szCs w:val="20"/>
          <w:highlight w:val="yellow"/>
        </w:rPr>
      </w:pPr>
      <w:r w:rsidRPr="002949E9">
        <w:rPr>
          <w:rFonts w:ascii="Arial" w:hAnsi="Arial" w:cs="Arial"/>
          <w:bCs/>
          <w:snapToGrid w:val="0"/>
          <w:sz w:val="22"/>
          <w:szCs w:val="20"/>
          <w:lang w:val="en-GB"/>
        </w:rPr>
        <w:t xml:space="preserve">Recommended </w:t>
      </w:r>
    </w:p>
    <w:p w:rsidR="002A2646" w:rsidRPr="0069654D" w:rsidRDefault="002A2646" w:rsidP="00565F56">
      <w:pPr>
        <w:widowControl w:val="0"/>
        <w:jc w:val="both"/>
        <w:rPr>
          <w:rFonts w:ascii="Arial" w:hAnsi="Arial" w:cs="Arial"/>
          <w:bCs/>
          <w:snapToGrid w:val="0"/>
          <w:sz w:val="22"/>
          <w:szCs w:val="20"/>
          <w:highlight w:val="yellow"/>
        </w:rPr>
      </w:pPr>
    </w:p>
    <w:p w:rsidR="00565F56" w:rsidRPr="00754F93" w:rsidRDefault="00565F56" w:rsidP="009406BE">
      <w:pPr>
        <w:pStyle w:val="Heading1"/>
        <w:rPr>
          <w:i/>
          <w:snapToGrid w:val="0"/>
          <w:lang w:val="en-GB"/>
        </w:rPr>
      </w:pPr>
      <w:r w:rsidRPr="00754F93">
        <w:rPr>
          <w:snapToGrid w:val="0"/>
          <w:lang w:val="en-GB"/>
        </w:rPr>
        <w:t>Recommended listing</w:t>
      </w:r>
    </w:p>
    <w:p w:rsidR="00565F56" w:rsidRPr="00754F93" w:rsidRDefault="00565F56" w:rsidP="00565F56">
      <w:pPr>
        <w:widowControl w:val="0"/>
        <w:jc w:val="both"/>
        <w:rPr>
          <w:rFonts w:ascii="Arial" w:hAnsi="Arial" w:cs="Arial"/>
          <w:b/>
          <w:bCs/>
          <w:i/>
          <w:snapToGrid w:val="0"/>
          <w:sz w:val="22"/>
          <w:szCs w:val="20"/>
          <w:lang w:val="en-GB"/>
        </w:rPr>
      </w:pPr>
    </w:p>
    <w:p w:rsidR="00565F56" w:rsidRPr="00754F93" w:rsidRDefault="00C32C19" w:rsidP="00906312">
      <w:pPr>
        <w:widowControl w:val="0"/>
        <w:numPr>
          <w:ilvl w:val="1"/>
          <w:numId w:val="3"/>
        </w:numPr>
        <w:ind w:hanging="643"/>
        <w:jc w:val="both"/>
        <w:rPr>
          <w:rFonts w:ascii="Arial" w:hAnsi="Arial" w:cs="Arial"/>
          <w:bCs/>
          <w:snapToGrid w:val="0"/>
          <w:sz w:val="22"/>
          <w:szCs w:val="20"/>
        </w:rPr>
      </w:pPr>
      <w:r w:rsidRPr="00754F93">
        <w:rPr>
          <w:rFonts w:ascii="Arial" w:hAnsi="Arial" w:cs="Arial"/>
          <w:bCs/>
          <w:snapToGrid w:val="0"/>
          <w:sz w:val="22"/>
          <w:szCs w:val="20"/>
        </w:rPr>
        <w:t>Amend existing listing</w:t>
      </w:r>
    </w:p>
    <w:p w:rsidR="00565F56" w:rsidRDefault="00565F56" w:rsidP="00565F56">
      <w:pPr>
        <w:widowControl w:val="0"/>
        <w:jc w:val="both"/>
        <w:rPr>
          <w:rFonts w:ascii="Arial" w:hAnsi="Arial" w:cs="Arial"/>
          <w:b/>
          <w:bCs/>
          <w:snapToGrid w:val="0"/>
          <w:sz w:val="22"/>
          <w:szCs w:val="20"/>
          <w:highlight w:val="yellow"/>
        </w:rPr>
      </w:pPr>
    </w:p>
    <w:p w:rsidR="007930A9" w:rsidRPr="0069654D" w:rsidRDefault="007930A9" w:rsidP="00565F56">
      <w:pPr>
        <w:widowControl w:val="0"/>
        <w:jc w:val="both"/>
        <w:rPr>
          <w:rFonts w:ascii="Arial" w:hAnsi="Arial" w:cs="Arial"/>
          <w:b/>
          <w:bCs/>
          <w:snapToGrid w:val="0"/>
          <w:sz w:val="22"/>
          <w:szCs w:val="20"/>
          <w:highlight w:val="yellow"/>
        </w:rPr>
      </w:pPr>
    </w:p>
    <w:tbl>
      <w:tblPr>
        <w:tblW w:w="8363" w:type="dxa"/>
        <w:tblInd w:w="817" w:type="dxa"/>
        <w:tblLayout w:type="fixed"/>
        <w:tblLook w:val="0000" w:firstRow="0" w:lastRow="0" w:firstColumn="0" w:lastColumn="0" w:noHBand="0" w:noVBand="0"/>
      </w:tblPr>
      <w:tblGrid>
        <w:gridCol w:w="2410"/>
        <w:gridCol w:w="142"/>
        <w:gridCol w:w="567"/>
        <w:gridCol w:w="850"/>
        <w:gridCol w:w="2268"/>
        <w:gridCol w:w="2126"/>
      </w:tblGrid>
      <w:tr w:rsidR="007735D1" w:rsidRPr="00260CE3" w:rsidTr="009406BE">
        <w:trPr>
          <w:cantSplit/>
          <w:trHeight w:val="471"/>
        </w:trPr>
        <w:tc>
          <w:tcPr>
            <w:tcW w:w="2552" w:type="dxa"/>
            <w:gridSpan w:val="2"/>
            <w:tcBorders>
              <w:bottom w:val="single" w:sz="4" w:space="0" w:color="auto"/>
            </w:tcBorders>
          </w:tcPr>
          <w:p w:rsidR="007735D1" w:rsidRPr="00260CE3" w:rsidRDefault="007735D1" w:rsidP="009406BE">
            <w:pPr>
              <w:keepNext/>
              <w:ind w:left="-108"/>
              <w:jc w:val="both"/>
              <w:rPr>
                <w:rFonts w:ascii="Arial Narrow" w:hAnsi="Arial Narrow" w:cs="Arial"/>
                <w:sz w:val="20"/>
                <w:szCs w:val="20"/>
              </w:rPr>
            </w:pPr>
            <w:r w:rsidRPr="00260CE3">
              <w:rPr>
                <w:rFonts w:ascii="Arial Narrow" w:hAnsi="Arial Narrow" w:cs="Arial"/>
                <w:sz w:val="20"/>
                <w:szCs w:val="20"/>
              </w:rPr>
              <w:t>Name, Restriction,</w:t>
            </w:r>
          </w:p>
          <w:p w:rsidR="007735D1" w:rsidRPr="00260CE3" w:rsidRDefault="007735D1" w:rsidP="009406BE">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7735D1" w:rsidRPr="00260CE3" w:rsidRDefault="007735D1" w:rsidP="009406BE">
            <w:pPr>
              <w:keepNext/>
              <w:ind w:left="-108"/>
              <w:jc w:val="both"/>
              <w:rPr>
                <w:rFonts w:ascii="Arial Narrow" w:hAnsi="Arial Narrow" w:cs="Arial"/>
                <w:sz w:val="20"/>
                <w:szCs w:val="20"/>
              </w:rPr>
            </w:pPr>
            <w:r w:rsidRPr="00260CE3">
              <w:rPr>
                <w:rFonts w:ascii="Arial Narrow" w:hAnsi="Arial Narrow" w:cs="Arial"/>
                <w:sz w:val="20"/>
                <w:szCs w:val="20"/>
              </w:rPr>
              <w:t>Max.</w:t>
            </w:r>
          </w:p>
          <w:p w:rsidR="007735D1" w:rsidRPr="00260CE3" w:rsidRDefault="007735D1" w:rsidP="009406BE">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7735D1" w:rsidRPr="00260CE3" w:rsidRDefault="007735D1" w:rsidP="009406BE">
            <w:pPr>
              <w:keepNext/>
              <w:ind w:left="-108"/>
              <w:jc w:val="both"/>
              <w:rPr>
                <w:rFonts w:ascii="Arial Narrow" w:hAnsi="Arial Narrow" w:cs="Arial"/>
                <w:sz w:val="20"/>
                <w:szCs w:val="20"/>
              </w:rPr>
            </w:pPr>
            <w:r w:rsidRPr="00260CE3">
              <w:rPr>
                <w:rFonts w:ascii="Arial Narrow" w:hAnsi="Arial Narrow" w:cs="Arial"/>
                <w:sz w:val="20"/>
                <w:szCs w:val="20"/>
              </w:rPr>
              <w:t>№.of</w:t>
            </w:r>
          </w:p>
          <w:p w:rsidR="007735D1" w:rsidRPr="00260CE3" w:rsidRDefault="007735D1" w:rsidP="009406BE">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4394" w:type="dxa"/>
            <w:gridSpan w:val="2"/>
            <w:tcBorders>
              <w:bottom w:val="single" w:sz="4" w:space="0" w:color="auto"/>
            </w:tcBorders>
          </w:tcPr>
          <w:p w:rsidR="007735D1" w:rsidRPr="00260CE3" w:rsidRDefault="007735D1" w:rsidP="009406BE">
            <w:pPr>
              <w:keepNext/>
              <w:jc w:val="both"/>
              <w:rPr>
                <w:rFonts w:ascii="Arial Narrow" w:hAnsi="Arial Narrow" w:cs="Arial"/>
                <w:sz w:val="20"/>
                <w:szCs w:val="20"/>
                <w:lang w:val="fr-FR"/>
              </w:rPr>
            </w:pPr>
            <w:r w:rsidRPr="00260CE3">
              <w:rPr>
                <w:rFonts w:ascii="Arial Narrow" w:hAnsi="Arial Narrow" w:cs="Arial"/>
                <w:sz w:val="20"/>
                <w:szCs w:val="20"/>
              </w:rPr>
              <w:t>Proprietary Name Manufacturer</w:t>
            </w:r>
          </w:p>
        </w:tc>
      </w:tr>
      <w:tr w:rsidR="007735D1" w:rsidRPr="00260CE3" w:rsidTr="009406BE">
        <w:trPr>
          <w:cantSplit/>
          <w:trHeight w:val="577"/>
        </w:trPr>
        <w:tc>
          <w:tcPr>
            <w:tcW w:w="2552" w:type="dxa"/>
            <w:gridSpan w:val="2"/>
          </w:tcPr>
          <w:p w:rsidR="007735D1" w:rsidRPr="00622992" w:rsidRDefault="007735D1" w:rsidP="009406BE">
            <w:pPr>
              <w:keepNext/>
              <w:ind w:left="-108"/>
              <w:jc w:val="both"/>
              <w:rPr>
                <w:rFonts w:ascii="Arial Narrow" w:hAnsi="Arial Narrow" w:cs="Arial"/>
                <w:smallCaps/>
                <w:sz w:val="20"/>
                <w:szCs w:val="20"/>
              </w:rPr>
            </w:pPr>
            <w:r w:rsidRPr="00622992">
              <w:rPr>
                <w:rFonts w:ascii="Arial Narrow" w:hAnsi="Arial Narrow" w:cs="Arial"/>
                <w:smallCaps/>
                <w:sz w:val="20"/>
                <w:szCs w:val="20"/>
              </w:rPr>
              <w:t>DASATINIB</w:t>
            </w:r>
          </w:p>
          <w:p w:rsidR="007735D1" w:rsidRPr="00622992" w:rsidRDefault="007735D1" w:rsidP="009406BE">
            <w:pPr>
              <w:keepNext/>
              <w:ind w:left="-108"/>
              <w:jc w:val="both"/>
              <w:rPr>
                <w:rFonts w:ascii="Arial Narrow" w:hAnsi="Arial Narrow" w:cs="Arial"/>
                <w:smallCaps/>
                <w:sz w:val="20"/>
                <w:szCs w:val="20"/>
              </w:rPr>
            </w:pPr>
            <w:r w:rsidRPr="00622992">
              <w:rPr>
                <w:rFonts w:ascii="Arial Narrow" w:hAnsi="Arial Narrow" w:cs="Arial"/>
                <w:smallCaps/>
                <w:sz w:val="20"/>
                <w:szCs w:val="20"/>
              </w:rPr>
              <w:t>dasatinib 20 mg tablet, 60</w:t>
            </w:r>
          </w:p>
          <w:p w:rsidR="007735D1" w:rsidRPr="00622992" w:rsidRDefault="007735D1" w:rsidP="009406BE">
            <w:pPr>
              <w:keepNext/>
              <w:ind w:left="-108"/>
              <w:jc w:val="both"/>
              <w:rPr>
                <w:rFonts w:ascii="Arial Narrow" w:hAnsi="Arial Narrow" w:cs="Arial"/>
                <w:smallCaps/>
                <w:sz w:val="20"/>
                <w:szCs w:val="20"/>
              </w:rPr>
            </w:pPr>
            <w:r w:rsidRPr="00622992">
              <w:rPr>
                <w:rFonts w:ascii="Arial Narrow" w:hAnsi="Arial Narrow" w:cs="Arial"/>
                <w:smallCaps/>
                <w:sz w:val="20"/>
                <w:szCs w:val="20"/>
              </w:rPr>
              <w:t>dasatinib 50 mg tablet, 60</w:t>
            </w:r>
          </w:p>
          <w:p w:rsidR="007735D1" w:rsidRPr="00622992" w:rsidRDefault="007735D1" w:rsidP="009406BE">
            <w:pPr>
              <w:keepNext/>
              <w:ind w:left="-108"/>
              <w:jc w:val="both"/>
              <w:rPr>
                <w:rFonts w:ascii="Arial Narrow" w:hAnsi="Arial Narrow" w:cs="Arial"/>
                <w:smallCaps/>
                <w:sz w:val="20"/>
                <w:szCs w:val="20"/>
              </w:rPr>
            </w:pPr>
            <w:r w:rsidRPr="00622992">
              <w:rPr>
                <w:rFonts w:ascii="Arial Narrow" w:hAnsi="Arial Narrow" w:cs="Arial"/>
                <w:smallCaps/>
                <w:sz w:val="20"/>
                <w:szCs w:val="20"/>
              </w:rPr>
              <w:t>dasatinib 70 mg tablet, 60</w:t>
            </w:r>
          </w:p>
          <w:p w:rsidR="007735D1" w:rsidRPr="00260CE3" w:rsidRDefault="007735D1" w:rsidP="009406BE">
            <w:pPr>
              <w:keepNext/>
              <w:ind w:left="-108"/>
              <w:jc w:val="both"/>
              <w:rPr>
                <w:rFonts w:ascii="Arial Narrow" w:hAnsi="Arial Narrow" w:cs="Arial"/>
                <w:sz w:val="20"/>
                <w:szCs w:val="20"/>
              </w:rPr>
            </w:pPr>
            <w:r w:rsidRPr="00622992">
              <w:rPr>
                <w:rFonts w:ascii="Arial Narrow" w:hAnsi="Arial Narrow" w:cs="Arial"/>
                <w:smallCaps/>
                <w:sz w:val="20"/>
                <w:szCs w:val="20"/>
              </w:rPr>
              <w:t>dasatinib 100 mg tablet, 30</w:t>
            </w:r>
          </w:p>
        </w:tc>
        <w:tc>
          <w:tcPr>
            <w:tcW w:w="567" w:type="dxa"/>
          </w:tcPr>
          <w:p w:rsidR="007735D1" w:rsidRPr="00260CE3" w:rsidRDefault="007735D1" w:rsidP="009406BE">
            <w:pPr>
              <w:keepNext/>
              <w:ind w:left="-108"/>
              <w:jc w:val="both"/>
              <w:rPr>
                <w:rFonts w:ascii="Arial Narrow" w:hAnsi="Arial Narrow" w:cs="Arial"/>
                <w:sz w:val="20"/>
                <w:szCs w:val="20"/>
              </w:rPr>
            </w:pPr>
          </w:p>
          <w:p w:rsidR="007735D1" w:rsidRPr="00622992" w:rsidRDefault="007735D1" w:rsidP="009406BE">
            <w:pPr>
              <w:keepNext/>
              <w:ind w:left="-108"/>
              <w:jc w:val="both"/>
              <w:rPr>
                <w:rFonts w:ascii="Arial Narrow" w:hAnsi="Arial Narrow" w:cs="Arial"/>
                <w:sz w:val="20"/>
                <w:szCs w:val="20"/>
              </w:rPr>
            </w:pPr>
            <w:r w:rsidRPr="00622992">
              <w:rPr>
                <w:rFonts w:ascii="Arial Narrow" w:hAnsi="Arial Narrow" w:cs="Arial"/>
                <w:sz w:val="20"/>
                <w:szCs w:val="20"/>
              </w:rPr>
              <w:t>1</w:t>
            </w:r>
          </w:p>
          <w:p w:rsidR="007735D1" w:rsidRPr="00622992" w:rsidRDefault="007735D1" w:rsidP="009406BE">
            <w:pPr>
              <w:keepNext/>
              <w:ind w:left="-108"/>
              <w:jc w:val="both"/>
              <w:rPr>
                <w:rFonts w:ascii="Arial Narrow" w:hAnsi="Arial Narrow" w:cs="Arial"/>
                <w:sz w:val="20"/>
                <w:szCs w:val="20"/>
              </w:rPr>
            </w:pPr>
            <w:r w:rsidRPr="00622992">
              <w:rPr>
                <w:rFonts w:ascii="Arial Narrow" w:hAnsi="Arial Narrow" w:cs="Arial"/>
                <w:sz w:val="20"/>
                <w:szCs w:val="20"/>
              </w:rPr>
              <w:t>1</w:t>
            </w:r>
          </w:p>
          <w:p w:rsidR="007735D1" w:rsidRPr="00622992" w:rsidRDefault="007735D1" w:rsidP="009406BE">
            <w:pPr>
              <w:keepNext/>
              <w:ind w:left="-108"/>
              <w:jc w:val="both"/>
              <w:rPr>
                <w:rFonts w:ascii="Arial Narrow" w:hAnsi="Arial Narrow" w:cs="Arial"/>
                <w:sz w:val="20"/>
                <w:szCs w:val="20"/>
              </w:rPr>
            </w:pPr>
            <w:r w:rsidRPr="00622992">
              <w:rPr>
                <w:rFonts w:ascii="Arial Narrow" w:hAnsi="Arial Narrow" w:cs="Arial"/>
                <w:sz w:val="20"/>
                <w:szCs w:val="20"/>
              </w:rPr>
              <w:t>1</w:t>
            </w:r>
          </w:p>
          <w:p w:rsidR="007735D1" w:rsidRPr="00260CE3" w:rsidRDefault="007735D1" w:rsidP="009406BE">
            <w:pPr>
              <w:keepNext/>
              <w:ind w:left="-108"/>
              <w:jc w:val="both"/>
              <w:rPr>
                <w:rFonts w:ascii="Arial Narrow" w:hAnsi="Arial Narrow" w:cs="Arial"/>
                <w:sz w:val="20"/>
                <w:szCs w:val="20"/>
              </w:rPr>
            </w:pPr>
            <w:r w:rsidRPr="00622992">
              <w:rPr>
                <w:rFonts w:ascii="Arial Narrow" w:hAnsi="Arial Narrow" w:cs="Arial"/>
                <w:sz w:val="20"/>
                <w:szCs w:val="20"/>
              </w:rPr>
              <w:t>1</w:t>
            </w:r>
          </w:p>
        </w:tc>
        <w:tc>
          <w:tcPr>
            <w:tcW w:w="850" w:type="dxa"/>
          </w:tcPr>
          <w:p w:rsidR="007735D1" w:rsidRPr="00260CE3" w:rsidRDefault="007735D1" w:rsidP="009406BE">
            <w:pPr>
              <w:keepNext/>
              <w:ind w:left="-108"/>
              <w:jc w:val="both"/>
              <w:rPr>
                <w:rFonts w:ascii="Arial Narrow" w:hAnsi="Arial Narrow" w:cs="Arial"/>
                <w:sz w:val="20"/>
                <w:szCs w:val="20"/>
              </w:rPr>
            </w:pPr>
          </w:p>
          <w:p w:rsidR="007735D1" w:rsidRPr="00622992" w:rsidRDefault="007735D1" w:rsidP="009406BE">
            <w:pPr>
              <w:keepNext/>
              <w:ind w:left="-108"/>
              <w:jc w:val="both"/>
              <w:rPr>
                <w:rFonts w:ascii="Arial Narrow" w:hAnsi="Arial Narrow" w:cs="Arial"/>
                <w:sz w:val="20"/>
                <w:szCs w:val="20"/>
              </w:rPr>
            </w:pPr>
            <w:r w:rsidRPr="00622992">
              <w:rPr>
                <w:rFonts w:ascii="Arial Narrow" w:hAnsi="Arial Narrow" w:cs="Arial"/>
                <w:sz w:val="20"/>
                <w:szCs w:val="20"/>
              </w:rPr>
              <w:t>5</w:t>
            </w:r>
          </w:p>
          <w:p w:rsidR="007735D1" w:rsidRPr="00622992" w:rsidRDefault="007735D1" w:rsidP="009406BE">
            <w:pPr>
              <w:keepNext/>
              <w:ind w:left="-108"/>
              <w:jc w:val="both"/>
              <w:rPr>
                <w:rFonts w:ascii="Arial Narrow" w:hAnsi="Arial Narrow" w:cs="Arial"/>
                <w:sz w:val="20"/>
                <w:szCs w:val="20"/>
              </w:rPr>
            </w:pPr>
            <w:r w:rsidRPr="00622992">
              <w:rPr>
                <w:rFonts w:ascii="Arial Narrow" w:hAnsi="Arial Narrow" w:cs="Arial"/>
                <w:sz w:val="20"/>
                <w:szCs w:val="20"/>
              </w:rPr>
              <w:t>5</w:t>
            </w:r>
          </w:p>
          <w:p w:rsidR="007735D1" w:rsidRPr="00622992" w:rsidRDefault="007735D1" w:rsidP="009406BE">
            <w:pPr>
              <w:keepNext/>
              <w:ind w:left="-108"/>
              <w:jc w:val="both"/>
              <w:rPr>
                <w:rFonts w:ascii="Arial Narrow" w:hAnsi="Arial Narrow" w:cs="Arial"/>
                <w:sz w:val="20"/>
                <w:szCs w:val="20"/>
              </w:rPr>
            </w:pPr>
            <w:r w:rsidRPr="00622992">
              <w:rPr>
                <w:rFonts w:ascii="Arial Narrow" w:hAnsi="Arial Narrow" w:cs="Arial"/>
                <w:sz w:val="20"/>
                <w:szCs w:val="20"/>
              </w:rPr>
              <w:t>5</w:t>
            </w:r>
          </w:p>
          <w:p w:rsidR="007735D1" w:rsidRPr="00260CE3" w:rsidRDefault="007735D1" w:rsidP="009406BE">
            <w:pPr>
              <w:keepNext/>
              <w:ind w:left="-108"/>
              <w:jc w:val="both"/>
              <w:rPr>
                <w:rFonts w:ascii="Arial Narrow" w:hAnsi="Arial Narrow" w:cs="Arial"/>
                <w:sz w:val="20"/>
                <w:szCs w:val="20"/>
              </w:rPr>
            </w:pPr>
            <w:r w:rsidRPr="00622992">
              <w:rPr>
                <w:rFonts w:ascii="Arial Narrow" w:hAnsi="Arial Narrow" w:cs="Arial"/>
                <w:sz w:val="20"/>
                <w:szCs w:val="20"/>
              </w:rPr>
              <w:t>5</w:t>
            </w:r>
          </w:p>
        </w:tc>
        <w:tc>
          <w:tcPr>
            <w:tcW w:w="2268" w:type="dxa"/>
          </w:tcPr>
          <w:p w:rsidR="007735D1" w:rsidRDefault="007735D1" w:rsidP="009406BE">
            <w:pPr>
              <w:keepNext/>
              <w:jc w:val="both"/>
              <w:rPr>
                <w:rFonts w:ascii="Arial" w:hAnsi="Arial"/>
                <w:sz w:val="20"/>
              </w:rPr>
            </w:pPr>
          </w:p>
          <w:p w:rsidR="007735D1" w:rsidRDefault="007735D1" w:rsidP="009406BE">
            <w:pPr>
              <w:keepNext/>
              <w:jc w:val="both"/>
              <w:rPr>
                <w:rFonts w:ascii="Arial" w:hAnsi="Arial"/>
                <w:sz w:val="20"/>
              </w:rPr>
            </w:pPr>
            <w:r>
              <w:rPr>
                <w:rFonts w:ascii="Arial" w:hAnsi="Arial"/>
                <w:sz w:val="20"/>
              </w:rPr>
              <w:t>Sprycel</w:t>
            </w:r>
          </w:p>
          <w:p w:rsidR="007735D1" w:rsidRDefault="007735D1" w:rsidP="009406BE">
            <w:pPr>
              <w:keepNext/>
              <w:jc w:val="both"/>
              <w:rPr>
                <w:rFonts w:ascii="Arial" w:hAnsi="Arial"/>
                <w:sz w:val="20"/>
              </w:rPr>
            </w:pPr>
            <w:r>
              <w:rPr>
                <w:rFonts w:ascii="Arial" w:hAnsi="Arial"/>
                <w:sz w:val="20"/>
              </w:rPr>
              <w:t>Sprycel</w:t>
            </w:r>
          </w:p>
          <w:p w:rsidR="007735D1" w:rsidRDefault="007735D1" w:rsidP="009406BE">
            <w:pPr>
              <w:keepNext/>
              <w:jc w:val="both"/>
              <w:rPr>
                <w:rFonts w:ascii="Arial" w:hAnsi="Arial"/>
                <w:sz w:val="20"/>
              </w:rPr>
            </w:pPr>
            <w:r>
              <w:rPr>
                <w:rFonts w:ascii="Arial" w:hAnsi="Arial"/>
                <w:sz w:val="20"/>
              </w:rPr>
              <w:t>Sprycel</w:t>
            </w:r>
          </w:p>
          <w:p w:rsidR="007735D1" w:rsidRDefault="007735D1" w:rsidP="009406BE">
            <w:pPr>
              <w:keepNext/>
              <w:jc w:val="both"/>
              <w:rPr>
                <w:rFonts w:ascii="Arial" w:hAnsi="Arial"/>
                <w:sz w:val="20"/>
              </w:rPr>
            </w:pPr>
            <w:r>
              <w:rPr>
                <w:rFonts w:ascii="Arial" w:hAnsi="Arial"/>
                <w:sz w:val="20"/>
              </w:rPr>
              <w:t>Sprycel</w:t>
            </w:r>
          </w:p>
          <w:p w:rsidR="007735D1" w:rsidRPr="00260CE3" w:rsidRDefault="007735D1" w:rsidP="009406BE">
            <w:pPr>
              <w:keepNext/>
              <w:jc w:val="both"/>
              <w:rPr>
                <w:rFonts w:ascii="Arial Narrow" w:hAnsi="Arial Narrow" w:cs="Arial"/>
                <w:sz w:val="20"/>
                <w:szCs w:val="20"/>
              </w:rPr>
            </w:pPr>
          </w:p>
        </w:tc>
        <w:tc>
          <w:tcPr>
            <w:tcW w:w="2126" w:type="dxa"/>
          </w:tcPr>
          <w:p w:rsidR="007735D1" w:rsidRDefault="007735D1" w:rsidP="009406BE">
            <w:pPr>
              <w:keepNext/>
              <w:jc w:val="both"/>
              <w:rPr>
                <w:rFonts w:ascii="Arial Narrow" w:hAnsi="Arial Narrow" w:cs="Arial"/>
                <w:sz w:val="20"/>
                <w:szCs w:val="20"/>
              </w:rPr>
            </w:pPr>
          </w:p>
          <w:p w:rsidR="007735D1" w:rsidRDefault="007735D1" w:rsidP="009406BE">
            <w:pPr>
              <w:keepNext/>
              <w:jc w:val="both"/>
              <w:rPr>
                <w:rFonts w:ascii="Arial Narrow" w:hAnsi="Arial Narrow" w:cs="Arial"/>
                <w:sz w:val="20"/>
                <w:szCs w:val="20"/>
              </w:rPr>
            </w:pPr>
            <w:r>
              <w:rPr>
                <w:rFonts w:ascii="Arial Narrow" w:hAnsi="Arial Narrow" w:cs="Arial"/>
                <w:sz w:val="20"/>
                <w:szCs w:val="20"/>
              </w:rPr>
              <w:t>BQ</w:t>
            </w:r>
          </w:p>
          <w:p w:rsidR="007735D1" w:rsidRDefault="007735D1" w:rsidP="009406BE">
            <w:pPr>
              <w:keepNext/>
              <w:jc w:val="both"/>
              <w:rPr>
                <w:rFonts w:ascii="Arial Narrow" w:hAnsi="Arial Narrow" w:cs="Arial"/>
                <w:sz w:val="20"/>
                <w:szCs w:val="20"/>
              </w:rPr>
            </w:pPr>
            <w:r>
              <w:rPr>
                <w:rFonts w:ascii="Arial Narrow" w:hAnsi="Arial Narrow" w:cs="Arial"/>
                <w:sz w:val="20"/>
                <w:szCs w:val="20"/>
              </w:rPr>
              <w:t>BQ</w:t>
            </w:r>
          </w:p>
          <w:p w:rsidR="007735D1" w:rsidRDefault="007735D1" w:rsidP="009406BE">
            <w:pPr>
              <w:keepNext/>
              <w:jc w:val="both"/>
              <w:rPr>
                <w:rFonts w:ascii="Arial Narrow" w:hAnsi="Arial Narrow" w:cs="Arial"/>
                <w:sz w:val="20"/>
                <w:szCs w:val="20"/>
              </w:rPr>
            </w:pPr>
            <w:r>
              <w:rPr>
                <w:rFonts w:ascii="Arial Narrow" w:hAnsi="Arial Narrow" w:cs="Arial"/>
                <w:sz w:val="20"/>
                <w:szCs w:val="20"/>
              </w:rPr>
              <w:t>BQ</w:t>
            </w:r>
          </w:p>
          <w:p w:rsidR="007735D1" w:rsidRPr="00260CE3" w:rsidRDefault="007735D1" w:rsidP="009406BE">
            <w:pPr>
              <w:keepNext/>
              <w:jc w:val="both"/>
              <w:rPr>
                <w:rFonts w:ascii="Arial Narrow" w:hAnsi="Arial Narrow" w:cs="Arial"/>
                <w:sz w:val="20"/>
                <w:szCs w:val="20"/>
              </w:rPr>
            </w:pPr>
            <w:r>
              <w:rPr>
                <w:rFonts w:ascii="Arial Narrow" w:hAnsi="Arial Narrow" w:cs="Arial"/>
                <w:sz w:val="20"/>
                <w:szCs w:val="20"/>
              </w:rPr>
              <w:t>BQ</w:t>
            </w:r>
          </w:p>
        </w:tc>
      </w:tr>
      <w:tr w:rsidR="007735D1" w:rsidRPr="00260CE3" w:rsidTr="009406BE">
        <w:trPr>
          <w:cantSplit/>
          <w:trHeight w:val="360"/>
        </w:trPr>
        <w:tc>
          <w:tcPr>
            <w:tcW w:w="8363" w:type="dxa"/>
            <w:gridSpan w:val="6"/>
            <w:tcBorders>
              <w:bottom w:val="single" w:sz="4" w:space="0" w:color="auto"/>
            </w:tcBorders>
          </w:tcPr>
          <w:p w:rsidR="007735D1" w:rsidRPr="00260CE3" w:rsidRDefault="007735D1" w:rsidP="009406BE">
            <w:pPr>
              <w:jc w:val="both"/>
              <w:rPr>
                <w:rFonts w:ascii="Arial Narrow" w:hAnsi="Arial Narrow" w:cs="Arial"/>
                <w:sz w:val="20"/>
                <w:szCs w:val="20"/>
              </w:rPr>
            </w:pPr>
          </w:p>
        </w:tc>
      </w:tr>
      <w:tr w:rsidR="007735D1" w:rsidRPr="00260CE3" w:rsidTr="009406BE">
        <w:trPr>
          <w:cantSplit/>
          <w:trHeight w:val="360"/>
        </w:trPr>
        <w:tc>
          <w:tcPr>
            <w:tcW w:w="2410" w:type="dxa"/>
            <w:tcBorders>
              <w:top w:val="single" w:sz="4" w:space="0" w:color="auto"/>
              <w:left w:val="single" w:sz="4" w:space="0" w:color="auto"/>
              <w:bottom w:val="single" w:sz="4" w:space="0" w:color="auto"/>
              <w:right w:val="single" w:sz="4" w:space="0" w:color="auto"/>
            </w:tcBorders>
          </w:tcPr>
          <w:p w:rsidR="007735D1" w:rsidRPr="00260CE3" w:rsidRDefault="007735D1" w:rsidP="009406BE">
            <w:pPr>
              <w:jc w:val="both"/>
              <w:rPr>
                <w:rFonts w:ascii="Arial Narrow" w:hAnsi="Arial Narrow" w:cs="Arial"/>
                <w:b/>
                <w:sz w:val="20"/>
                <w:szCs w:val="20"/>
              </w:rPr>
            </w:pPr>
            <w:r w:rsidRPr="00260CE3">
              <w:rPr>
                <w:rFonts w:ascii="Arial Narrow" w:hAnsi="Arial Narrow" w:cs="Arial"/>
                <w:b/>
                <w:sz w:val="20"/>
                <w:szCs w:val="20"/>
              </w:rPr>
              <w:t xml:space="preserve">Category / </w:t>
            </w:r>
          </w:p>
          <w:p w:rsidR="007735D1" w:rsidRPr="00260CE3" w:rsidRDefault="007735D1" w:rsidP="009406BE">
            <w:pPr>
              <w:jc w:val="both"/>
              <w:rPr>
                <w:rFonts w:ascii="Arial Narrow" w:hAnsi="Arial Narrow" w:cs="Arial"/>
                <w:b/>
                <w:sz w:val="20"/>
                <w:szCs w:val="20"/>
              </w:rPr>
            </w:pPr>
            <w:r w:rsidRPr="00260CE3">
              <w:rPr>
                <w:rFonts w:ascii="Arial Narrow" w:hAnsi="Arial Narrow" w:cs="Arial"/>
                <w:b/>
                <w:sz w:val="20"/>
                <w:szCs w:val="20"/>
              </w:rPr>
              <w:t>Program</w:t>
            </w:r>
          </w:p>
        </w:tc>
        <w:tc>
          <w:tcPr>
            <w:tcW w:w="5953" w:type="dxa"/>
            <w:gridSpan w:val="5"/>
            <w:tcBorders>
              <w:top w:val="single" w:sz="4" w:space="0" w:color="auto"/>
              <w:left w:val="single" w:sz="4" w:space="0" w:color="auto"/>
              <w:bottom w:val="single" w:sz="4" w:space="0" w:color="auto"/>
              <w:right w:val="single" w:sz="4" w:space="0" w:color="auto"/>
            </w:tcBorders>
          </w:tcPr>
          <w:p w:rsidR="007735D1" w:rsidRPr="00260CE3" w:rsidRDefault="007735D1" w:rsidP="009406BE">
            <w:pPr>
              <w:rPr>
                <w:rFonts w:ascii="Arial Narrow" w:hAnsi="Arial Narrow" w:cs="Arial"/>
                <w:sz w:val="20"/>
                <w:szCs w:val="20"/>
              </w:rPr>
            </w:pPr>
            <w:r w:rsidRPr="00260CE3">
              <w:rPr>
                <w:rFonts w:ascii="Arial Narrow" w:hAnsi="Arial Narrow" w:cs="Arial"/>
                <w:sz w:val="20"/>
                <w:szCs w:val="20"/>
              </w:rPr>
              <w:t>GENERAL – General Schedule (Code GE)</w:t>
            </w:r>
          </w:p>
          <w:p w:rsidR="007735D1" w:rsidRPr="00260CE3" w:rsidRDefault="007735D1" w:rsidP="009406BE">
            <w:pPr>
              <w:rPr>
                <w:rFonts w:ascii="Arial Narrow" w:hAnsi="Arial Narrow" w:cs="Arial"/>
                <w:sz w:val="20"/>
                <w:szCs w:val="20"/>
              </w:rPr>
            </w:pPr>
          </w:p>
        </w:tc>
      </w:tr>
      <w:tr w:rsidR="007735D1" w:rsidRPr="00260CE3" w:rsidTr="009406BE">
        <w:trPr>
          <w:cantSplit/>
          <w:trHeight w:val="360"/>
        </w:trPr>
        <w:tc>
          <w:tcPr>
            <w:tcW w:w="2410" w:type="dxa"/>
            <w:tcBorders>
              <w:top w:val="single" w:sz="4" w:space="0" w:color="auto"/>
              <w:left w:val="single" w:sz="4" w:space="0" w:color="auto"/>
              <w:bottom w:val="single" w:sz="4" w:space="0" w:color="auto"/>
              <w:right w:val="single" w:sz="4" w:space="0" w:color="auto"/>
            </w:tcBorders>
          </w:tcPr>
          <w:p w:rsidR="007735D1" w:rsidRPr="00260CE3" w:rsidRDefault="007735D1" w:rsidP="009406BE">
            <w:pPr>
              <w:jc w:val="both"/>
              <w:rPr>
                <w:rFonts w:ascii="Arial Narrow" w:hAnsi="Arial Narrow" w:cs="Arial"/>
                <w:b/>
                <w:sz w:val="20"/>
                <w:szCs w:val="20"/>
              </w:rPr>
            </w:pPr>
            <w:r w:rsidRPr="00260CE3">
              <w:rPr>
                <w:rFonts w:ascii="Arial Narrow" w:hAnsi="Arial Narrow" w:cs="Arial"/>
                <w:b/>
                <w:sz w:val="20"/>
                <w:szCs w:val="20"/>
              </w:rPr>
              <w:t>Prescriber type:</w:t>
            </w:r>
          </w:p>
        </w:tc>
        <w:tc>
          <w:tcPr>
            <w:tcW w:w="5953" w:type="dxa"/>
            <w:gridSpan w:val="5"/>
            <w:tcBorders>
              <w:top w:val="single" w:sz="4" w:space="0" w:color="auto"/>
              <w:left w:val="single" w:sz="4" w:space="0" w:color="auto"/>
              <w:bottom w:val="single" w:sz="4" w:space="0" w:color="auto"/>
              <w:right w:val="single" w:sz="4" w:space="0" w:color="auto"/>
            </w:tcBorders>
          </w:tcPr>
          <w:p w:rsidR="007735D1" w:rsidRPr="00260CE3" w:rsidRDefault="007735D1" w:rsidP="009406BE">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D96BBF">
              <w:rPr>
                <w:rFonts w:ascii="Arial Narrow" w:hAnsi="Arial Narrow" w:cs="Arial"/>
                <w:sz w:val="20"/>
                <w:szCs w:val="20"/>
              </w:rPr>
            </w:r>
            <w:r w:rsidR="00D96BB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D96BBF">
              <w:rPr>
                <w:rFonts w:ascii="Arial Narrow" w:hAnsi="Arial Narrow" w:cs="Arial"/>
                <w:sz w:val="20"/>
                <w:szCs w:val="20"/>
              </w:rPr>
            </w:r>
            <w:r w:rsidR="00D96BBF">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D96BBF">
              <w:rPr>
                <w:rFonts w:ascii="Arial Narrow" w:hAnsi="Arial Narrow" w:cs="Arial"/>
                <w:sz w:val="20"/>
                <w:szCs w:val="20"/>
              </w:rPr>
            </w:r>
            <w:r w:rsidR="00D96BB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D96BBF">
              <w:rPr>
                <w:rFonts w:ascii="Arial Narrow" w:hAnsi="Arial Narrow" w:cs="Arial"/>
                <w:sz w:val="20"/>
                <w:szCs w:val="20"/>
              </w:rPr>
            </w:r>
            <w:r w:rsidR="00D96BB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7735D1" w:rsidRPr="00260CE3" w:rsidRDefault="007735D1" w:rsidP="009406BE">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D96BBF">
              <w:rPr>
                <w:rFonts w:ascii="Arial Narrow" w:hAnsi="Arial Narrow" w:cs="Arial"/>
                <w:sz w:val="20"/>
                <w:szCs w:val="20"/>
              </w:rPr>
            </w:r>
            <w:r w:rsidR="00D96BB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7735D1" w:rsidRPr="00260CE3" w:rsidTr="009406BE">
        <w:trPr>
          <w:cantSplit/>
          <w:trHeight w:val="360"/>
        </w:trPr>
        <w:tc>
          <w:tcPr>
            <w:tcW w:w="2410" w:type="dxa"/>
            <w:tcBorders>
              <w:top w:val="single" w:sz="4" w:space="0" w:color="auto"/>
              <w:left w:val="single" w:sz="4" w:space="0" w:color="auto"/>
              <w:bottom w:val="single" w:sz="4" w:space="0" w:color="auto"/>
              <w:right w:val="single" w:sz="4" w:space="0" w:color="auto"/>
            </w:tcBorders>
          </w:tcPr>
          <w:p w:rsidR="007735D1" w:rsidRPr="00260CE3" w:rsidRDefault="007735D1" w:rsidP="009406BE">
            <w:pPr>
              <w:jc w:val="both"/>
              <w:rPr>
                <w:rFonts w:ascii="Arial Narrow" w:hAnsi="Arial Narrow" w:cs="Arial"/>
                <w:b/>
                <w:sz w:val="20"/>
                <w:szCs w:val="20"/>
              </w:rPr>
            </w:pPr>
            <w:r w:rsidRPr="00260CE3">
              <w:rPr>
                <w:rFonts w:ascii="Arial Narrow" w:hAnsi="Arial Narrow" w:cs="Arial"/>
                <w:b/>
                <w:sz w:val="20"/>
                <w:szCs w:val="20"/>
              </w:rPr>
              <w:t>Condition:</w:t>
            </w:r>
          </w:p>
        </w:tc>
        <w:tc>
          <w:tcPr>
            <w:tcW w:w="5953" w:type="dxa"/>
            <w:gridSpan w:val="5"/>
            <w:tcBorders>
              <w:top w:val="single" w:sz="4" w:space="0" w:color="auto"/>
              <w:left w:val="single" w:sz="4" w:space="0" w:color="auto"/>
              <w:bottom w:val="single" w:sz="4" w:space="0" w:color="auto"/>
              <w:right w:val="single" w:sz="4" w:space="0" w:color="auto"/>
            </w:tcBorders>
          </w:tcPr>
          <w:p w:rsidR="007735D1" w:rsidRPr="00BA6A23" w:rsidRDefault="007735D1" w:rsidP="009406BE">
            <w:pPr>
              <w:rPr>
                <w:rFonts w:ascii="Arial Narrow" w:hAnsi="Arial Narrow" w:cs="Arial"/>
                <w:sz w:val="20"/>
                <w:szCs w:val="20"/>
              </w:rPr>
            </w:pPr>
            <w:r w:rsidRPr="00BA6A23">
              <w:rPr>
                <w:rFonts w:ascii="Arial Narrow" w:hAnsi="Arial Narrow" w:cs="Arial"/>
                <w:color w:val="333333"/>
                <w:sz w:val="20"/>
                <w:szCs w:val="20"/>
                <w:shd w:val="clear" w:color="auto" w:fill="FFFFFF"/>
              </w:rPr>
              <w:t>Chronic Myeloid Leukaemia (CML)</w:t>
            </w:r>
          </w:p>
        </w:tc>
      </w:tr>
      <w:tr w:rsidR="007735D1" w:rsidRPr="00260CE3" w:rsidTr="009406BE">
        <w:trPr>
          <w:cantSplit/>
          <w:trHeight w:val="360"/>
        </w:trPr>
        <w:tc>
          <w:tcPr>
            <w:tcW w:w="2410" w:type="dxa"/>
            <w:tcBorders>
              <w:top w:val="single" w:sz="4" w:space="0" w:color="auto"/>
              <w:left w:val="single" w:sz="4" w:space="0" w:color="auto"/>
              <w:bottom w:val="single" w:sz="4" w:space="0" w:color="auto"/>
              <w:right w:val="single" w:sz="4" w:space="0" w:color="auto"/>
            </w:tcBorders>
          </w:tcPr>
          <w:p w:rsidR="007735D1" w:rsidRPr="00260CE3" w:rsidRDefault="007735D1" w:rsidP="009406BE">
            <w:pPr>
              <w:jc w:val="both"/>
              <w:rPr>
                <w:rFonts w:ascii="Arial Narrow" w:hAnsi="Arial Narrow" w:cs="Arial"/>
                <w:b/>
                <w:sz w:val="20"/>
                <w:szCs w:val="20"/>
              </w:rPr>
            </w:pPr>
            <w:r w:rsidRPr="00260CE3">
              <w:rPr>
                <w:rFonts w:ascii="Arial Narrow" w:hAnsi="Arial Narrow" w:cs="Arial"/>
                <w:b/>
                <w:sz w:val="20"/>
                <w:szCs w:val="20"/>
              </w:rPr>
              <w:t>PBS Indication:</w:t>
            </w:r>
          </w:p>
        </w:tc>
        <w:tc>
          <w:tcPr>
            <w:tcW w:w="5953" w:type="dxa"/>
            <w:gridSpan w:val="5"/>
            <w:tcBorders>
              <w:top w:val="single" w:sz="4" w:space="0" w:color="auto"/>
              <w:left w:val="single" w:sz="4" w:space="0" w:color="auto"/>
              <w:bottom w:val="single" w:sz="4" w:space="0" w:color="auto"/>
              <w:right w:val="single" w:sz="4" w:space="0" w:color="auto"/>
            </w:tcBorders>
          </w:tcPr>
          <w:p w:rsidR="007735D1" w:rsidRPr="00BA6A23" w:rsidRDefault="007735D1" w:rsidP="009406BE">
            <w:pPr>
              <w:rPr>
                <w:rFonts w:ascii="Arial Narrow" w:hAnsi="Arial Narrow" w:cs="Arial"/>
                <w:sz w:val="20"/>
                <w:szCs w:val="20"/>
              </w:rPr>
            </w:pPr>
            <w:r w:rsidRPr="00BA6A23">
              <w:rPr>
                <w:rFonts w:ascii="Arial Narrow" w:hAnsi="Arial Narrow" w:cs="Arial"/>
                <w:color w:val="333333"/>
                <w:sz w:val="20"/>
                <w:szCs w:val="20"/>
                <w:shd w:val="clear" w:color="auto" w:fill="FFFFFF"/>
              </w:rPr>
              <w:t>Chronic Myeloid Leukaemia (CML)</w:t>
            </w:r>
          </w:p>
        </w:tc>
      </w:tr>
      <w:tr w:rsidR="007735D1" w:rsidRPr="00260CE3" w:rsidTr="009406BE">
        <w:trPr>
          <w:cantSplit/>
          <w:trHeight w:val="360"/>
        </w:trPr>
        <w:tc>
          <w:tcPr>
            <w:tcW w:w="2410" w:type="dxa"/>
            <w:tcBorders>
              <w:top w:val="single" w:sz="4" w:space="0" w:color="auto"/>
              <w:left w:val="single" w:sz="4" w:space="0" w:color="auto"/>
              <w:bottom w:val="single" w:sz="4" w:space="0" w:color="auto"/>
              <w:right w:val="single" w:sz="4" w:space="0" w:color="auto"/>
            </w:tcBorders>
          </w:tcPr>
          <w:p w:rsidR="007735D1" w:rsidRPr="00260CE3" w:rsidRDefault="007735D1" w:rsidP="009406BE">
            <w:pPr>
              <w:jc w:val="both"/>
              <w:rPr>
                <w:rFonts w:ascii="Arial Narrow" w:hAnsi="Arial Narrow" w:cs="Arial"/>
                <w:b/>
                <w:sz w:val="20"/>
                <w:szCs w:val="20"/>
              </w:rPr>
            </w:pPr>
            <w:r w:rsidRPr="00260CE3">
              <w:rPr>
                <w:rFonts w:ascii="Arial Narrow" w:hAnsi="Arial Narrow" w:cs="Arial"/>
                <w:b/>
                <w:sz w:val="20"/>
                <w:szCs w:val="20"/>
              </w:rPr>
              <w:t>Treatment phase:</w:t>
            </w:r>
          </w:p>
          <w:p w:rsidR="007735D1" w:rsidRPr="00260CE3" w:rsidRDefault="007735D1" w:rsidP="009406BE">
            <w:pPr>
              <w:jc w:val="both"/>
              <w:rPr>
                <w:rFonts w:ascii="Arial Narrow" w:hAnsi="Arial Narrow" w:cs="Arial"/>
                <w:b/>
                <w:sz w:val="20"/>
                <w:szCs w:val="20"/>
              </w:rPr>
            </w:pPr>
          </w:p>
        </w:tc>
        <w:tc>
          <w:tcPr>
            <w:tcW w:w="5953" w:type="dxa"/>
            <w:gridSpan w:val="5"/>
            <w:tcBorders>
              <w:top w:val="single" w:sz="4" w:space="0" w:color="auto"/>
              <w:left w:val="single" w:sz="4" w:space="0" w:color="auto"/>
              <w:bottom w:val="single" w:sz="4" w:space="0" w:color="auto"/>
              <w:right w:val="single" w:sz="4" w:space="0" w:color="auto"/>
            </w:tcBorders>
          </w:tcPr>
          <w:p w:rsidR="007735D1" w:rsidRPr="00260CE3" w:rsidRDefault="007735D1" w:rsidP="009406BE">
            <w:pPr>
              <w:rPr>
                <w:rFonts w:ascii="Arial Narrow" w:hAnsi="Arial Narrow" w:cs="Arial"/>
                <w:sz w:val="20"/>
                <w:szCs w:val="20"/>
              </w:rPr>
            </w:pPr>
            <w:r>
              <w:rPr>
                <w:rFonts w:ascii="Arial Narrow" w:hAnsi="Arial Narrow" w:cs="Arial"/>
                <w:sz w:val="20"/>
                <w:szCs w:val="20"/>
              </w:rPr>
              <w:t>Subsequent continuing</w:t>
            </w:r>
          </w:p>
        </w:tc>
      </w:tr>
      <w:tr w:rsidR="007735D1" w:rsidRPr="00260CE3" w:rsidTr="009406BE">
        <w:trPr>
          <w:cantSplit/>
          <w:trHeight w:val="360"/>
        </w:trPr>
        <w:tc>
          <w:tcPr>
            <w:tcW w:w="2410" w:type="dxa"/>
            <w:tcBorders>
              <w:top w:val="single" w:sz="4" w:space="0" w:color="auto"/>
              <w:left w:val="single" w:sz="4" w:space="0" w:color="auto"/>
              <w:bottom w:val="single" w:sz="4" w:space="0" w:color="auto"/>
              <w:right w:val="single" w:sz="4" w:space="0" w:color="auto"/>
            </w:tcBorders>
          </w:tcPr>
          <w:p w:rsidR="007735D1" w:rsidRPr="00260CE3" w:rsidRDefault="007735D1" w:rsidP="009406BE">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7735D1" w:rsidRPr="00260CE3" w:rsidRDefault="007735D1" w:rsidP="009406BE">
            <w:pPr>
              <w:jc w:val="both"/>
              <w:rPr>
                <w:rFonts w:ascii="Arial Narrow" w:hAnsi="Arial Narrow" w:cs="Arial"/>
                <w:b/>
                <w:sz w:val="20"/>
                <w:szCs w:val="20"/>
              </w:rPr>
            </w:pPr>
          </w:p>
        </w:tc>
        <w:tc>
          <w:tcPr>
            <w:tcW w:w="5953" w:type="dxa"/>
            <w:gridSpan w:val="5"/>
            <w:tcBorders>
              <w:top w:val="single" w:sz="4" w:space="0" w:color="auto"/>
              <w:left w:val="single" w:sz="4" w:space="0" w:color="auto"/>
              <w:bottom w:val="single" w:sz="4" w:space="0" w:color="auto"/>
              <w:right w:val="single" w:sz="4" w:space="0" w:color="auto"/>
            </w:tcBorders>
          </w:tcPr>
          <w:p w:rsidR="007735D1" w:rsidRPr="00106BCF" w:rsidRDefault="007735D1" w:rsidP="009406BE">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D96BBF">
              <w:rPr>
                <w:rFonts w:ascii="Arial Narrow" w:hAnsi="Arial Narrow" w:cs="Arial"/>
                <w:sz w:val="20"/>
                <w:szCs w:val="20"/>
              </w:rPr>
            </w:r>
            <w:r w:rsidR="00D96BB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7735D1" w:rsidRPr="00106BCF" w:rsidRDefault="007735D1" w:rsidP="009406B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D96BBF">
              <w:rPr>
                <w:rFonts w:ascii="Arial Narrow" w:hAnsi="Arial Narrow" w:cs="Arial"/>
                <w:sz w:val="20"/>
                <w:szCs w:val="20"/>
              </w:rPr>
            </w:r>
            <w:r w:rsidR="00D96BBF">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7735D1" w:rsidRPr="00106BCF" w:rsidRDefault="007735D1" w:rsidP="009406BE">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D96BBF">
              <w:rPr>
                <w:rFonts w:ascii="Arial Narrow" w:hAnsi="Arial Narrow" w:cs="Arial"/>
                <w:sz w:val="20"/>
                <w:szCs w:val="20"/>
              </w:rPr>
            </w:r>
            <w:r w:rsidR="00D96BBF">
              <w:rPr>
                <w:rFonts w:ascii="Arial Narrow" w:hAnsi="Arial Narrow" w:cs="Arial"/>
                <w:sz w:val="20"/>
                <w:szCs w:val="20"/>
              </w:rPr>
              <w:fldChar w:fldCharType="separate"/>
            </w:r>
            <w:r>
              <w:rPr>
                <w:rFonts w:ascii="Arial Narrow" w:hAnsi="Arial Narrow" w:cs="Arial"/>
                <w:sz w:val="20"/>
                <w:szCs w:val="20"/>
              </w:rPr>
              <w:fldChar w:fldCharType="end"/>
            </w:r>
            <w:bookmarkEnd w:id="1"/>
            <w:r w:rsidRPr="00106BCF">
              <w:rPr>
                <w:rFonts w:ascii="Arial Narrow" w:hAnsi="Arial Narrow" w:cs="Arial"/>
                <w:sz w:val="20"/>
                <w:szCs w:val="20"/>
              </w:rPr>
              <w:t>Authority Required - Telephone</w:t>
            </w:r>
          </w:p>
          <w:p w:rsidR="007735D1" w:rsidRPr="00106BCF" w:rsidRDefault="007735D1" w:rsidP="009406BE">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D96BBF">
              <w:rPr>
                <w:rFonts w:ascii="Arial Narrow" w:hAnsi="Arial Narrow" w:cs="Arial"/>
                <w:sz w:val="20"/>
                <w:szCs w:val="20"/>
              </w:rPr>
            </w:r>
            <w:r w:rsidR="00D96BB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7735D1" w:rsidRPr="00106BCF" w:rsidRDefault="007735D1" w:rsidP="009406BE">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D96BBF">
              <w:rPr>
                <w:rFonts w:ascii="Arial Narrow" w:hAnsi="Arial Narrow" w:cs="Arial"/>
                <w:sz w:val="20"/>
                <w:szCs w:val="20"/>
              </w:rPr>
            </w:r>
            <w:r w:rsidR="00D96BB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7735D1" w:rsidRPr="00260CE3" w:rsidRDefault="007735D1" w:rsidP="009406BE">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D96BBF">
              <w:rPr>
                <w:rFonts w:ascii="Arial Narrow" w:hAnsi="Arial Narrow" w:cs="Arial"/>
                <w:sz w:val="20"/>
                <w:szCs w:val="20"/>
              </w:rPr>
            </w:r>
            <w:r w:rsidR="00D96BB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7735D1" w:rsidRPr="00260CE3" w:rsidTr="009406BE">
        <w:trPr>
          <w:cantSplit/>
          <w:trHeight w:val="360"/>
        </w:trPr>
        <w:tc>
          <w:tcPr>
            <w:tcW w:w="2410" w:type="dxa"/>
            <w:tcBorders>
              <w:top w:val="single" w:sz="4" w:space="0" w:color="auto"/>
              <w:left w:val="single" w:sz="4" w:space="0" w:color="auto"/>
              <w:bottom w:val="single" w:sz="4" w:space="0" w:color="auto"/>
              <w:right w:val="single" w:sz="4" w:space="0" w:color="auto"/>
            </w:tcBorders>
          </w:tcPr>
          <w:p w:rsidR="007735D1" w:rsidRPr="00260CE3" w:rsidRDefault="007735D1" w:rsidP="009406BE">
            <w:pPr>
              <w:jc w:val="both"/>
              <w:rPr>
                <w:rFonts w:ascii="Arial Narrow" w:hAnsi="Arial Narrow" w:cs="Arial"/>
                <w:b/>
                <w:sz w:val="20"/>
                <w:szCs w:val="20"/>
              </w:rPr>
            </w:pPr>
            <w:r w:rsidRPr="00260CE3">
              <w:rPr>
                <w:rFonts w:ascii="Arial Narrow" w:hAnsi="Arial Narrow" w:cs="Arial"/>
                <w:b/>
                <w:sz w:val="20"/>
                <w:szCs w:val="20"/>
              </w:rPr>
              <w:t>Clinical criteria:</w:t>
            </w:r>
          </w:p>
          <w:p w:rsidR="007735D1" w:rsidRPr="00260CE3" w:rsidRDefault="007735D1" w:rsidP="009406BE">
            <w:pPr>
              <w:jc w:val="both"/>
              <w:rPr>
                <w:rFonts w:ascii="Arial Narrow" w:hAnsi="Arial Narrow" w:cs="Arial"/>
                <w:i/>
                <w:sz w:val="20"/>
                <w:szCs w:val="20"/>
              </w:rPr>
            </w:pPr>
          </w:p>
          <w:p w:rsidR="007735D1" w:rsidRPr="00260CE3" w:rsidRDefault="007735D1" w:rsidP="009406BE">
            <w:pPr>
              <w:jc w:val="both"/>
              <w:rPr>
                <w:rFonts w:ascii="Arial Narrow" w:hAnsi="Arial Narrow" w:cs="Arial"/>
                <w:i/>
                <w:sz w:val="20"/>
                <w:szCs w:val="20"/>
              </w:rPr>
            </w:pPr>
          </w:p>
        </w:tc>
        <w:tc>
          <w:tcPr>
            <w:tcW w:w="5953" w:type="dxa"/>
            <w:gridSpan w:val="5"/>
            <w:tcBorders>
              <w:top w:val="single" w:sz="4" w:space="0" w:color="auto"/>
              <w:left w:val="single" w:sz="4" w:space="0" w:color="auto"/>
              <w:bottom w:val="single" w:sz="4" w:space="0" w:color="auto"/>
              <w:right w:val="single" w:sz="4" w:space="0" w:color="auto"/>
            </w:tcBorders>
          </w:tcPr>
          <w:p w:rsidR="007735D1" w:rsidRPr="00511869" w:rsidRDefault="007735D1" w:rsidP="009406BE">
            <w:pPr>
              <w:rPr>
                <w:rFonts w:ascii="Arial Narrow" w:hAnsi="Arial Narrow" w:cs="Arial"/>
                <w:sz w:val="20"/>
                <w:szCs w:val="20"/>
              </w:rPr>
            </w:pPr>
            <w:r w:rsidRPr="00511869">
              <w:rPr>
                <w:rFonts w:ascii="Arial Narrow" w:hAnsi="Arial Narrow" w:cs="Arial"/>
                <w:sz w:val="20"/>
                <w:szCs w:val="20"/>
              </w:rPr>
              <w:t>The condition must be in the chronic phase of chronic myeloid leukaemia,</w:t>
            </w:r>
          </w:p>
          <w:p w:rsidR="007735D1" w:rsidRPr="00511869" w:rsidRDefault="007735D1" w:rsidP="009406BE">
            <w:pPr>
              <w:rPr>
                <w:rFonts w:ascii="Arial Narrow" w:hAnsi="Arial Narrow" w:cs="Arial"/>
                <w:sz w:val="20"/>
                <w:szCs w:val="20"/>
              </w:rPr>
            </w:pPr>
            <w:r w:rsidRPr="00511869">
              <w:rPr>
                <w:rFonts w:ascii="Arial Narrow" w:hAnsi="Arial Narrow" w:cs="Arial"/>
                <w:sz w:val="20"/>
                <w:szCs w:val="20"/>
              </w:rPr>
              <w:t>AND</w:t>
            </w:r>
          </w:p>
          <w:p w:rsidR="007735D1" w:rsidRPr="00511869" w:rsidRDefault="007735D1" w:rsidP="009406BE">
            <w:pPr>
              <w:rPr>
                <w:rFonts w:ascii="Arial Narrow" w:hAnsi="Arial Narrow" w:cs="Arial"/>
                <w:sz w:val="20"/>
                <w:szCs w:val="20"/>
              </w:rPr>
            </w:pPr>
            <w:r w:rsidRPr="00511869">
              <w:rPr>
                <w:rFonts w:ascii="Arial Narrow" w:hAnsi="Arial Narrow" w:cs="Arial"/>
                <w:sz w:val="20"/>
                <w:szCs w:val="20"/>
              </w:rPr>
              <w:t>Patient must have received initial continuing PBS-subsidised treatment with this drug as a first line therapy for this condition; OR</w:t>
            </w:r>
          </w:p>
          <w:p w:rsidR="007735D1" w:rsidRPr="00511869" w:rsidRDefault="007735D1" w:rsidP="009406BE">
            <w:pPr>
              <w:rPr>
                <w:rFonts w:ascii="Arial Narrow" w:hAnsi="Arial Narrow" w:cs="Arial"/>
                <w:sz w:val="20"/>
                <w:szCs w:val="20"/>
              </w:rPr>
            </w:pPr>
            <w:r w:rsidRPr="00511869">
              <w:rPr>
                <w:rFonts w:ascii="Arial Narrow" w:hAnsi="Arial Narrow" w:cs="Arial"/>
                <w:sz w:val="20"/>
                <w:szCs w:val="20"/>
              </w:rPr>
              <w:t xml:space="preserve">Patient must have experienced intolerance, not a failure of response, to PBS-subsidised treatment with </w:t>
            </w:r>
            <w:r>
              <w:rPr>
                <w:rFonts w:ascii="Arial Narrow" w:hAnsi="Arial Narrow" w:cs="Arial"/>
                <w:sz w:val="20"/>
                <w:szCs w:val="20"/>
              </w:rPr>
              <w:t>imatinib</w:t>
            </w:r>
            <w:r w:rsidRPr="00511869">
              <w:rPr>
                <w:rFonts w:ascii="Arial Narrow" w:hAnsi="Arial Narrow" w:cs="Arial"/>
                <w:sz w:val="20"/>
                <w:szCs w:val="20"/>
              </w:rPr>
              <w:t xml:space="preserve"> as a first line therapy for this condition; OR</w:t>
            </w:r>
          </w:p>
          <w:p w:rsidR="007735D1" w:rsidRPr="00511869" w:rsidRDefault="007735D1" w:rsidP="009406BE">
            <w:pPr>
              <w:rPr>
                <w:rFonts w:ascii="Arial Narrow" w:hAnsi="Arial Narrow" w:cs="Arial"/>
                <w:sz w:val="20"/>
                <w:szCs w:val="20"/>
              </w:rPr>
            </w:pPr>
            <w:r w:rsidRPr="00511869">
              <w:rPr>
                <w:rFonts w:ascii="Arial Narrow" w:hAnsi="Arial Narrow" w:cs="Arial"/>
                <w:sz w:val="20"/>
                <w:szCs w:val="20"/>
              </w:rPr>
              <w:t>Patient must have experienced intolerance, not a failure of response, to PBS-subsidised treatment with nilotinib as a first line therapy for this condition,</w:t>
            </w:r>
          </w:p>
          <w:p w:rsidR="007735D1" w:rsidRPr="00511869" w:rsidRDefault="007735D1" w:rsidP="009406BE">
            <w:pPr>
              <w:rPr>
                <w:rFonts w:ascii="Arial Narrow" w:hAnsi="Arial Narrow" w:cs="Arial"/>
                <w:sz w:val="20"/>
                <w:szCs w:val="20"/>
              </w:rPr>
            </w:pPr>
            <w:r w:rsidRPr="00511869">
              <w:rPr>
                <w:rFonts w:ascii="Arial Narrow" w:hAnsi="Arial Narrow" w:cs="Arial"/>
                <w:sz w:val="20"/>
                <w:szCs w:val="20"/>
              </w:rPr>
              <w:t>AND</w:t>
            </w:r>
          </w:p>
          <w:p w:rsidR="007735D1" w:rsidRPr="00511869" w:rsidRDefault="007735D1" w:rsidP="009406BE">
            <w:pPr>
              <w:rPr>
                <w:rFonts w:ascii="Arial Narrow" w:hAnsi="Arial Narrow" w:cs="Arial"/>
                <w:sz w:val="20"/>
                <w:szCs w:val="20"/>
              </w:rPr>
            </w:pPr>
            <w:r w:rsidRPr="00511869">
              <w:rPr>
                <w:rFonts w:ascii="Arial Narrow" w:hAnsi="Arial Narrow" w:cs="Arial"/>
                <w:sz w:val="20"/>
                <w:szCs w:val="20"/>
              </w:rPr>
              <w:t>Patient must have maintained a major cytogenic response; OR</w:t>
            </w:r>
          </w:p>
          <w:p w:rsidR="007735D1" w:rsidRPr="00511869" w:rsidRDefault="007735D1" w:rsidP="009406BE">
            <w:pPr>
              <w:rPr>
                <w:rFonts w:ascii="Arial Narrow" w:hAnsi="Arial Narrow" w:cs="Arial"/>
                <w:sz w:val="20"/>
                <w:szCs w:val="20"/>
              </w:rPr>
            </w:pPr>
            <w:r w:rsidRPr="00511869">
              <w:rPr>
                <w:rFonts w:ascii="Arial Narrow" w:hAnsi="Arial Narrow" w:cs="Arial"/>
                <w:sz w:val="20"/>
                <w:szCs w:val="20"/>
              </w:rPr>
              <w:t>Patient must have maintained a peripheral blood level of BCR-ABL of less than 1%,</w:t>
            </w:r>
          </w:p>
          <w:p w:rsidR="007735D1" w:rsidRPr="00511869" w:rsidRDefault="007735D1" w:rsidP="009406BE">
            <w:pPr>
              <w:rPr>
                <w:rFonts w:ascii="Arial Narrow" w:hAnsi="Arial Narrow" w:cs="Arial"/>
                <w:sz w:val="20"/>
                <w:szCs w:val="20"/>
              </w:rPr>
            </w:pPr>
            <w:r w:rsidRPr="00511869">
              <w:rPr>
                <w:rFonts w:ascii="Arial Narrow" w:hAnsi="Arial Narrow" w:cs="Arial"/>
                <w:sz w:val="20"/>
                <w:szCs w:val="20"/>
              </w:rPr>
              <w:t>AND</w:t>
            </w:r>
          </w:p>
          <w:p w:rsidR="007735D1" w:rsidRPr="00511869" w:rsidRDefault="007735D1" w:rsidP="009406BE">
            <w:pPr>
              <w:rPr>
                <w:rFonts w:ascii="Arial Narrow" w:hAnsi="Arial Narrow" w:cs="Arial"/>
                <w:sz w:val="20"/>
                <w:szCs w:val="20"/>
              </w:rPr>
            </w:pPr>
            <w:r w:rsidRPr="00511869">
              <w:rPr>
                <w:rFonts w:ascii="Arial Narrow" w:hAnsi="Arial Narrow" w:cs="Arial"/>
                <w:sz w:val="20"/>
                <w:szCs w:val="20"/>
              </w:rPr>
              <w:t>The treatment must not exceed a total maximum of 24 weeks of therapy with a PBS-subsidised treatment with a tyrosine kinase inhibitor for this condition under this restriction,</w:t>
            </w:r>
          </w:p>
          <w:p w:rsidR="007735D1" w:rsidRPr="00511869" w:rsidRDefault="007735D1" w:rsidP="009406BE">
            <w:pPr>
              <w:rPr>
                <w:rFonts w:ascii="Arial Narrow" w:hAnsi="Arial Narrow" w:cs="Arial"/>
                <w:sz w:val="20"/>
                <w:szCs w:val="20"/>
              </w:rPr>
            </w:pPr>
            <w:r w:rsidRPr="00511869">
              <w:rPr>
                <w:rFonts w:ascii="Arial Narrow" w:hAnsi="Arial Narrow" w:cs="Arial"/>
                <w:sz w:val="20"/>
                <w:szCs w:val="20"/>
              </w:rPr>
              <w:t>AND</w:t>
            </w:r>
          </w:p>
          <w:p w:rsidR="007735D1" w:rsidRPr="00260CE3" w:rsidRDefault="007735D1" w:rsidP="009406BE">
            <w:pPr>
              <w:rPr>
                <w:rFonts w:ascii="Arial Narrow" w:hAnsi="Arial Narrow" w:cs="Arial"/>
                <w:sz w:val="20"/>
                <w:szCs w:val="20"/>
              </w:rPr>
            </w:pPr>
            <w:r w:rsidRPr="00511869">
              <w:rPr>
                <w:rFonts w:ascii="Arial Narrow" w:hAnsi="Arial Narrow" w:cs="Arial"/>
                <w:sz w:val="20"/>
                <w:szCs w:val="20"/>
              </w:rPr>
              <w:t>The treatment must be the sole PBS-subsidised therapy for this condition.</w:t>
            </w:r>
          </w:p>
          <w:p w:rsidR="007735D1" w:rsidRPr="00260CE3" w:rsidRDefault="007735D1" w:rsidP="009406BE">
            <w:pPr>
              <w:rPr>
                <w:rFonts w:ascii="Arial Narrow" w:hAnsi="Arial Narrow" w:cs="Arial"/>
                <w:sz w:val="20"/>
                <w:szCs w:val="20"/>
              </w:rPr>
            </w:pPr>
          </w:p>
        </w:tc>
      </w:tr>
      <w:tr w:rsidR="007735D1" w:rsidRPr="00260CE3" w:rsidTr="009406BE">
        <w:trPr>
          <w:cantSplit/>
          <w:trHeight w:val="360"/>
        </w:trPr>
        <w:tc>
          <w:tcPr>
            <w:tcW w:w="2410" w:type="dxa"/>
            <w:tcBorders>
              <w:top w:val="single" w:sz="4" w:space="0" w:color="auto"/>
              <w:left w:val="single" w:sz="4" w:space="0" w:color="auto"/>
              <w:bottom w:val="single" w:sz="4" w:space="0" w:color="auto"/>
              <w:right w:val="single" w:sz="4" w:space="0" w:color="auto"/>
            </w:tcBorders>
          </w:tcPr>
          <w:p w:rsidR="007735D1" w:rsidRPr="00260CE3" w:rsidRDefault="007735D1" w:rsidP="009406BE">
            <w:pPr>
              <w:jc w:val="both"/>
              <w:rPr>
                <w:rFonts w:ascii="Arial Narrow" w:hAnsi="Arial Narrow" w:cs="Arial"/>
                <w:b/>
                <w:sz w:val="20"/>
                <w:szCs w:val="20"/>
              </w:rPr>
            </w:pPr>
            <w:r w:rsidRPr="00260CE3">
              <w:rPr>
                <w:rFonts w:ascii="Arial Narrow" w:hAnsi="Arial Narrow" w:cs="Arial"/>
                <w:b/>
                <w:sz w:val="20"/>
                <w:szCs w:val="20"/>
              </w:rPr>
              <w:t>Prescriber Instructions</w:t>
            </w:r>
          </w:p>
          <w:p w:rsidR="007735D1" w:rsidRPr="00260CE3" w:rsidRDefault="007735D1" w:rsidP="009406BE">
            <w:pPr>
              <w:jc w:val="both"/>
              <w:rPr>
                <w:rFonts w:ascii="Arial Narrow" w:hAnsi="Arial Narrow" w:cs="Arial"/>
                <w:sz w:val="20"/>
                <w:szCs w:val="20"/>
              </w:rPr>
            </w:pPr>
          </w:p>
        </w:tc>
        <w:tc>
          <w:tcPr>
            <w:tcW w:w="5953" w:type="dxa"/>
            <w:gridSpan w:val="5"/>
            <w:tcBorders>
              <w:top w:val="single" w:sz="4" w:space="0" w:color="auto"/>
              <w:left w:val="single" w:sz="4" w:space="0" w:color="auto"/>
              <w:bottom w:val="single" w:sz="4" w:space="0" w:color="auto"/>
              <w:right w:val="single" w:sz="4" w:space="0" w:color="auto"/>
            </w:tcBorders>
          </w:tcPr>
          <w:p w:rsidR="007735D1" w:rsidRPr="00260CE3" w:rsidRDefault="007735D1" w:rsidP="009406BE">
            <w:pPr>
              <w:rPr>
                <w:rFonts w:ascii="Arial Narrow" w:hAnsi="Arial Narrow" w:cs="Arial"/>
                <w:sz w:val="20"/>
                <w:szCs w:val="20"/>
              </w:rPr>
            </w:pPr>
            <w:r>
              <w:rPr>
                <w:rFonts w:ascii="Arial Narrow" w:hAnsi="Arial Narrow" w:cs="Arial"/>
                <w:sz w:val="20"/>
                <w:szCs w:val="20"/>
              </w:rPr>
              <w:t>S</w:t>
            </w:r>
            <w:r w:rsidRPr="00511869">
              <w:rPr>
                <w:rFonts w:ascii="Arial Narrow" w:hAnsi="Arial Narrow" w:cs="Arial"/>
                <w:sz w:val="20"/>
                <w:szCs w:val="20"/>
              </w:rPr>
              <w:t xml:space="preserve">ubsequent authority applications for continuing therapy with </w:t>
            </w:r>
            <w:r>
              <w:rPr>
                <w:rFonts w:ascii="Arial Narrow" w:hAnsi="Arial Narrow" w:cs="Arial"/>
                <w:sz w:val="20"/>
                <w:szCs w:val="20"/>
              </w:rPr>
              <w:t>dasatinib</w:t>
            </w:r>
            <w:r w:rsidRPr="00511869">
              <w:rPr>
                <w:rFonts w:ascii="Arial Narrow" w:hAnsi="Arial Narrow" w:cs="Arial"/>
                <w:sz w:val="20"/>
                <w:szCs w:val="20"/>
              </w:rPr>
              <w:t xml:space="preserve"> may be made on the telephone by contacting the Department of Human Services on 1800 700 270 (hours of operation 8 a.m. to 5 p.m. EST Monday to Friday).</w:t>
            </w:r>
          </w:p>
        </w:tc>
      </w:tr>
      <w:tr w:rsidR="007735D1" w:rsidRPr="00260CE3" w:rsidTr="009406BE">
        <w:trPr>
          <w:trHeight w:val="360"/>
        </w:trPr>
        <w:tc>
          <w:tcPr>
            <w:tcW w:w="2410" w:type="dxa"/>
            <w:tcBorders>
              <w:top w:val="single" w:sz="4" w:space="0" w:color="auto"/>
              <w:left w:val="single" w:sz="4" w:space="0" w:color="auto"/>
              <w:bottom w:val="single" w:sz="4" w:space="0" w:color="auto"/>
              <w:right w:val="single" w:sz="4" w:space="0" w:color="auto"/>
            </w:tcBorders>
          </w:tcPr>
          <w:p w:rsidR="007735D1" w:rsidRPr="00260CE3" w:rsidRDefault="007735D1" w:rsidP="009406BE">
            <w:pPr>
              <w:jc w:val="both"/>
              <w:rPr>
                <w:rFonts w:ascii="Arial Narrow" w:hAnsi="Arial Narrow" w:cs="Arial"/>
                <w:b/>
                <w:sz w:val="20"/>
                <w:szCs w:val="20"/>
              </w:rPr>
            </w:pPr>
            <w:r w:rsidRPr="00260CE3">
              <w:rPr>
                <w:rFonts w:ascii="Arial Narrow" w:hAnsi="Arial Narrow" w:cs="Arial"/>
                <w:b/>
                <w:sz w:val="20"/>
                <w:szCs w:val="20"/>
              </w:rPr>
              <w:t>Administrative Advice</w:t>
            </w:r>
          </w:p>
          <w:p w:rsidR="007735D1" w:rsidRPr="00260CE3" w:rsidRDefault="007735D1" w:rsidP="009406BE">
            <w:pPr>
              <w:jc w:val="both"/>
              <w:rPr>
                <w:rFonts w:ascii="Arial Narrow" w:hAnsi="Arial Narrow" w:cs="Arial"/>
                <w:i/>
                <w:sz w:val="20"/>
                <w:szCs w:val="20"/>
              </w:rPr>
            </w:pPr>
            <w:r w:rsidRPr="001827C7">
              <w:rPr>
                <w:rFonts w:ascii="Arial Narrow" w:hAnsi="Arial Narrow" w:cs="Arial"/>
                <w:i/>
                <w:sz w:val="20"/>
                <w:szCs w:val="20"/>
              </w:rPr>
              <w:t>(not included in LI)</w:t>
            </w:r>
          </w:p>
          <w:p w:rsidR="007735D1" w:rsidRPr="00260CE3" w:rsidRDefault="007735D1" w:rsidP="009406BE">
            <w:pPr>
              <w:rPr>
                <w:rFonts w:ascii="Arial Narrow" w:hAnsi="Arial Narrow" w:cs="Arial"/>
                <w:sz w:val="20"/>
                <w:szCs w:val="20"/>
              </w:rPr>
            </w:pPr>
          </w:p>
        </w:tc>
        <w:tc>
          <w:tcPr>
            <w:tcW w:w="5953" w:type="dxa"/>
            <w:gridSpan w:val="5"/>
            <w:tcBorders>
              <w:top w:val="single" w:sz="4" w:space="0" w:color="auto"/>
              <w:left w:val="single" w:sz="4" w:space="0" w:color="auto"/>
              <w:bottom w:val="single" w:sz="4" w:space="0" w:color="auto"/>
              <w:right w:val="single" w:sz="4" w:space="0" w:color="auto"/>
            </w:tcBorders>
          </w:tcPr>
          <w:p w:rsidR="007735D1" w:rsidRDefault="007735D1" w:rsidP="009406BE">
            <w:pPr>
              <w:rPr>
                <w:rFonts w:ascii="Arial Narrow" w:hAnsi="Arial Narrow" w:cs="Arial"/>
                <w:sz w:val="20"/>
                <w:szCs w:val="20"/>
              </w:rPr>
            </w:pPr>
            <w:r w:rsidRPr="007A08EF">
              <w:rPr>
                <w:rFonts w:ascii="Arial Narrow" w:hAnsi="Arial Narrow" w:cs="Arial"/>
                <w:sz w:val="20"/>
                <w:szCs w:val="20"/>
              </w:rPr>
              <w:t>The following information applies to the prescribing under the Pharmaceutical Benefits Scheme (PBS) of tyrosine kinase inhibitors (TKI) agents for the chronic phase of chronic myeloid leukaemia. Where the term TKI agent appears in the following notes and restrictions it refers to imatinib mesylate, dasatinib or nilotinib.</w:t>
            </w:r>
          </w:p>
          <w:p w:rsidR="007735D1" w:rsidRPr="007A08EF" w:rsidRDefault="007735D1" w:rsidP="009406BE">
            <w:pPr>
              <w:rPr>
                <w:rFonts w:ascii="Arial Narrow" w:hAnsi="Arial Narrow" w:cs="Arial"/>
                <w:sz w:val="20"/>
                <w:szCs w:val="20"/>
              </w:rPr>
            </w:pPr>
          </w:p>
          <w:p w:rsidR="007735D1" w:rsidRPr="007A08EF" w:rsidRDefault="007735D1" w:rsidP="009406BE">
            <w:pPr>
              <w:rPr>
                <w:rFonts w:ascii="Arial Narrow" w:hAnsi="Arial Narrow" w:cs="Arial"/>
                <w:sz w:val="20"/>
                <w:szCs w:val="20"/>
              </w:rPr>
            </w:pPr>
            <w:r w:rsidRPr="007A08EF">
              <w:rPr>
                <w:rFonts w:ascii="Arial Narrow" w:hAnsi="Arial Narrow" w:cs="Arial"/>
                <w:sz w:val="20"/>
                <w:szCs w:val="20"/>
              </w:rPr>
              <w:t>Patients are eligible for PBS-subsidised treatment with only one TKI agent at any one time and must not be receiving concomitant interferon alfa therapy. Eligible patients may only swap between TKI agents if they have not failed prior PBS-subsidised treatment with that agent.</w:t>
            </w:r>
          </w:p>
          <w:p w:rsidR="007735D1" w:rsidRPr="007A08EF" w:rsidRDefault="007735D1" w:rsidP="009406BE">
            <w:pPr>
              <w:rPr>
                <w:rFonts w:ascii="Arial Narrow" w:hAnsi="Arial Narrow" w:cs="Arial"/>
                <w:sz w:val="20"/>
                <w:szCs w:val="20"/>
              </w:rPr>
            </w:pPr>
          </w:p>
          <w:p w:rsidR="007735D1" w:rsidRPr="007A08EF" w:rsidRDefault="007735D1" w:rsidP="009406BE">
            <w:pPr>
              <w:rPr>
                <w:rFonts w:ascii="Arial Narrow" w:hAnsi="Arial Narrow" w:cs="Arial"/>
                <w:sz w:val="20"/>
                <w:szCs w:val="20"/>
              </w:rPr>
            </w:pPr>
            <w:r w:rsidRPr="007A08EF">
              <w:rPr>
                <w:rFonts w:ascii="Arial Narrow" w:hAnsi="Arial Narrow" w:cs="Arial"/>
                <w:sz w:val="20"/>
                <w:szCs w:val="20"/>
              </w:rPr>
              <w:t>1. Continuing treatment with imatinib mesylate</w:t>
            </w:r>
            <w:r>
              <w:rPr>
                <w:rFonts w:ascii="Arial Narrow" w:hAnsi="Arial Narrow" w:cs="Arial"/>
                <w:sz w:val="20"/>
                <w:szCs w:val="20"/>
              </w:rPr>
              <w:t xml:space="preserve">, </w:t>
            </w:r>
            <w:r w:rsidRPr="007A08EF">
              <w:rPr>
                <w:rFonts w:ascii="Arial Narrow" w:hAnsi="Arial Narrow" w:cs="Arial"/>
                <w:sz w:val="20"/>
                <w:szCs w:val="20"/>
              </w:rPr>
              <w:t>dasatinib or nilotinib - first-line</w:t>
            </w:r>
          </w:p>
          <w:p w:rsidR="007735D1" w:rsidRDefault="007735D1" w:rsidP="009406BE">
            <w:pPr>
              <w:rPr>
                <w:rFonts w:ascii="Arial Narrow" w:hAnsi="Arial Narrow" w:cs="Arial"/>
                <w:sz w:val="20"/>
                <w:szCs w:val="20"/>
              </w:rPr>
            </w:pPr>
            <w:r w:rsidRPr="007A08EF">
              <w:rPr>
                <w:rFonts w:ascii="Arial Narrow" w:hAnsi="Arial Narrow" w:cs="Arial"/>
                <w:sz w:val="20"/>
                <w:szCs w:val="20"/>
              </w:rPr>
              <w:t>First continuing applications are to be written and must include a pathology report demonstrating the patient has responded to the initial course of treatment.</w:t>
            </w:r>
          </w:p>
          <w:p w:rsidR="007735D1" w:rsidRPr="007A08EF" w:rsidRDefault="007735D1" w:rsidP="009406BE">
            <w:pPr>
              <w:rPr>
                <w:rFonts w:ascii="Arial Narrow" w:hAnsi="Arial Narrow" w:cs="Arial"/>
                <w:sz w:val="20"/>
                <w:szCs w:val="20"/>
              </w:rPr>
            </w:pPr>
          </w:p>
          <w:p w:rsidR="007735D1" w:rsidRPr="007A08EF" w:rsidRDefault="007735D1" w:rsidP="009406BE">
            <w:pPr>
              <w:rPr>
                <w:rFonts w:ascii="Arial Narrow" w:hAnsi="Arial Narrow" w:cs="Arial"/>
                <w:sz w:val="20"/>
                <w:szCs w:val="20"/>
              </w:rPr>
            </w:pPr>
            <w:r w:rsidRPr="007A08EF">
              <w:rPr>
                <w:rFonts w:ascii="Arial Narrow" w:hAnsi="Arial Narrow" w:cs="Arial"/>
                <w:sz w:val="20"/>
                <w:szCs w:val="20"/>
              </w:rPr>
              <w:t>Second and subsequent authority applications for continuing therapy with imatinib mesylate</w:t>
            </w:r>
            <w:r>
              <w:rPr>
                <w:rFonts w:ascii="Arial Narrow" w:hAnsi="Arial Narrow" w:cs="Arial"/>
                <w:sz w:val="20"/>
                <w:szCs w:val="20"/>
              </w:rPr>
              <w:t xml:space="preserve">, </w:t>
            </w:r>
            <w:r w:rsidRPr="007A08EF">
              <w:rPr>
                <w:rFonts w:ascii="Arial Narrow" w:hAnsi="Arial Narrow" w:cs="Arial"/>
                <w:sz w:val="20"/>
                <w:szCs w:val="20"/>
              </w:rPr>
              <w:t>dasatinib or nilotinib may be made on the telephone by contacting the Department of Human Services on 1800 700 270 (hours of operation 8 a.m. to 5 p.m. EST Monday to Friday). Patients must maintain a major cytogenetic response or have a peripheral blood BCR-ABL of less than 1% to receive continuing therapy.</w:t>
            </w:r>
          </w:p>
          <w:p w:rsidR="007735D1" w:rsidRPr="007A08EF" w:rsidRDefault="007735D1" w:rsidP="009406BE">
            <w:pPr>
              <w:rPr>
                <w:rFonts w:ascii="Arial Narrow" w:hAnsi="Arial Narrow" w:cs="Arial"/>
                <w:sz w:val="20"/>
                <w:szCs w:val="20"/>
              </w:rPr>
            </w:pPr>
          </w:p>
          <w:p w:rsidR="007735D1" w:rsidRPr="00884F59" w:rsidRDefault="007735D1" w:rsidP="009406BE">
            <w:pPr>
              <w:rPr>
                <w:rFonts w:ascii="Arial Narrow" w:hAnsi="Arial Narrow" w:cs="Arial"/>
                <w:sz w:val="20"/>
                <w:szCs w:val="20"/>
              </w:rPr>
            </w:pPr>
            <w:r w:rsidRPr="00884F59">
              <w:rPr>
                <w:rFonts w:ascii="Arial Narrow" w:hAnsi="Arial Narrow" w:cs="Arial"/>
                <w:sz w:val="20"/>
                <w:szCs w:val="20"/>
              </w:rPr>
              <w:t>Nilotinib is not approved for patients in blast crisis.</w:t>
            </w:r>
          </w:p>
          <w:p w:rsidR="007735D1" w:rsidRPr="00884F59" w:rsidRDefault="007735D1" w:rsidP="009406BE">
            <w:pPr>
              <w:rPr>
                <w:rFonts w:ascii="Arial Narrow" w:hAnsi="Arial Narrow" w:cs="Arial"/>
                <w:sz w:val="20"/>
                <w:szCs w:val="20"/>
              </w:rPr>
            </w:pPr>
          </w:p>
          <w:p w:rsidR="007735D1" w:rsidRPr="00884F59" w:rsidRDefault="007735D1" w:rsidP="009406BE">
            <w:pPr>
              <w:rPr>
                <w:rFonts w:ascii="Arial Narrow" w:hAnsi="Arial Narrow" w:cs="Arial"/>
                <w:sz w:val="20"/>
                <w:szCs w:val="20"/>
              </w:rPr>
            </w:pPr>
            <w:r>
              <w:rPr>
                <w:rFonts w:ascii="Arial Narrow" w:hAnsi="Arial Narrow" w:cs="Arial"/>
                <w:sz w:val="20"/>
                <w:szCs w:val="20"/>
              </w:rPr>
              <w:t>2</w:t>
            </w:r>
            <w:r w:rsidRPr="00884F59">
              <w:rPr>
                <w:rFonts w:ascii="Arial Narrow" w:hAnsi="Arial Narrow" w:cs="Arial"/>
                <w:sz w:val="20"/>
                <w:szCs w:val="20"/>
              </w:rPr>
              <w:t>. Initial second line treatment</w:t>
            </w:r>
          </w:p>
          <w:p w:rsidR="007735D1" w:rsidRPr="00884F59" w:rsidRDefault="007735D1" w:rsidP="009406BE">
            <w:pPr>
              <w:rPr>
                <w:rFonts w:ascii="Arial Narrow" w:hAnsi="Arial Narrow" w:cs="Arial"/>
                <w:sz w:val="20"/>
                <w:szCs w:val="20"/>
              </w:rPr>
            </w:pPr>
          </w:p>
          <w:p w:rsidR="007735D1" w:rsidRPr="00884F59" w:rsidRDefault="007735D1" w:rsidP="009406BE">
            <w:pPr>
              <w:rPr>
                <w:rFonts w:ascii="Arial Narrow" w:hAnsi="Arial Narrow" w:cs="Arial"/>
                <w:sz w:val="20"/>
                <w:szCs w:val="20"/>
              </w:rPr>
            </w:pPr>
            <w:r w:rsidRPr="00884F59">
              <w:rPr>
                <w:rFonts w:ascii="Arial Narrow" w:hAnsi="Arial Narrow" w:cs="Arial"/>
                <w:sz w:val="20"/>
                <w:szCs w:val="20"/>
              </w:rPr>
              <w:t>From 1 April 2012, under the PBS, a patient will be able to be prescribed either dasatinib or nilotinib within the initial 18 month treatment period as second-line therapy, as long as only one agent is approved at a time and providing the patient did not fail that drug as first-line therapy.</w:t>
            </w:r>
          </w:p>
          <w:p w:rsidR="007735D1" w:rsidRPr="00884F59" w:rsidRDefault="007735D1" w:rsidP="009406BE">
            <w:pPr>
              <w:rPr>
                <w:rFonts w:ascii="Arial Narrow" w:hAnsi="Arial Narrow" w:cs="Arial"/>
                <w:sz w:val="20"/>
                <w:szCs w:val="20"/>
              </w:rPr>
            </w:pPr>
          </w:p>
          <w:p w:rsidR="007735D1" w:rsidRPr="00884F59" w:rsidRDefault="007735D1" w:rsidP="009406BE">
            <w:pPr>
              <w:rPr>
                <w:rFonts w:ascii="Arial Narrow" w:hAnsi="Arial Narrow" w:cs="Arial"/>
                <w:sz w:val="20"/>
                <w:szCs w:val="20"/>
              </w:rPr>
            </w:pPr>
            <w:r w:rsidRPr="00884F59">
              <w:rPr>
                <w:rFonts w:ascii="Arial Narrow" w:hAnsi="Arial Narrow" w:cs="Arial"/>
                <w:sz w:val="20"/>
                <w:szCs w:val="20"/>
              </w:rPr>
              <w:t>During the initial 18 month treatment period, switching between approved second-line agents may only occur for reasons of intolerance, not failure of response.</w:t>
            </w:r>
          </w:p>
          <w:p w:rsidR="007735D1" w:rsidRPr="00884F59" w:rsidRDefault="007735D1" w:rsidP="009406BE">
            <w:pPr>
              <w:rPr>
                <w:rFonts w:ascii="Arial Narrow" w:hAnsi="Arial Narrow" w:cs="Arial"/>
                <w:sz w:val="20"/>
                <w:szCs w:val="20"/>
              </w:rPr>
            </w:pPr>
          </w:p>
          <w:p w:rsidR="007735D1" w:rsidRPr="00884F59" w:rsidRDefault="007735D1" w:rsidP="009406BE">
            <w:pPr>
              <w:rPr>
                <w:rFonts w:ascii="Arial Narrow" w:hAnsi="Arial Narrow" w:cs="Arial"/>
                <w:sz w:val="20"/>
                <w:szCs w:val="20"/>
              </w:rPr>
            </w:pPr>
            <w:r>
              <w:rPr>
                <w:rFonts w:ascii="Arial Narrow" w:hAnsi="Arial Narrow" w:cs="Arial"/>
                <w:sz w:val="20"/>
                <w:szCs w:val="20"/>
              </w:rPr>
              <w:t>3</w:t>
            </w:r>
            <w:r w:rsidRPr="00884F59">
              <w:rPr>
                <w:rFonts w:ascii="Arial Narrow" w:hAnsi="Arial Narrow" w:cs="Arial"/>
                <w:sz w:val="20"/>
                <w:szCs w:val="20"/>
              </w:rPr>
              <w:t>. Initial third line treatment</w:t>
            </w:r>
          </w:p>
          <w:p w:rsidR="007735D1" w:rsidRPr="00884F59" w:rsidRDefault="007735D1" w:rsidP="009406BE">
            <w:pPr>
              <w:rPr>
                <w:rFonts w:ascii="Arial Narrow" w:hAnsi="Arial Narrow" w:cs="Arial"/>
                <w:sz w:val="20"/>
                <w:szCs w:val="20"/>
              </w:rPr>
            </w:pPr>
          </w:p>
          <w:p w:rsidR="007735D1" w:rsidRPr="00884F59" w:rsidRDefault="007735D1" w:rsidP="009406BE">
            <w:pPr>
              <w:rPr>
                <w:rFonts w:ascii="Arial Narrow" w:hAnsi="Arial Narrow" w:cs="Arial"/>
                <w:sz w:val="20"/>
                <w:szCs w:val="20"/>
              </w:rPr>
            </w:pPr>
            <w:r w:rsidRPr="00884F59">
              <w:rPr>
                <w:rFonts w:ascii="Arial Narrow" w:hAnsi="Arial Narrow" w:cs="Arial"/>
                <w:sz w:val="20"/>
                <w:szCs w:val="20"/>
              </w:rPr>
              <w:t>Third-line treatment with a TKI can only be approved when imatinib is used for first-line treatment. Patients will only be approved for PBS-subsidised treatment with one third-line agent.</w:t>
            </w:r>
          </w:p>
          <w:p w:rsidR="007735D1" w:rsidRPr="00884F59" w:rsidRDefault="007735D1" w:rsidP="009406BE">
            <w:pPr>
              <w:rPr>
                <w:rFonts w:ascii="Arial Narrow" w:hAnsi="Arial Narrow" w:cs="Arial"/>
                <w:sz w:val="20"/>
                <w:szCs w:val="20"/>
              </w:rPr>
            </w:pPr>
          </w:p>
          <w:p w:rsidR="007735D1" w:rsidRPr="00884F59" w:rsidRDefault="007735D1" w:rsidP="009406BE">
            <w:pPr>
              <w:rPr>
                <w:rFonts w:ascii="Arial Narrow" w:hAnsi="Arial Narrow" w:cs="Arial"/>
                <w:sz w:val="20"/>
                <w:szCs w:val="20"/>
              </w:rPr>
            </w:pPr>
            <w:r w:rsidRPr="00884F59">
              <w:rPr>
                <w:rFonts w:ascii="Arial Narrow" w:hAnsi="Arial Narrow" w:cs="Arial"/>
                <w:sz w:val="20"/>
                <w:szCs w:val="20"/>
              </w:rPr>
              <w:t>From 1 April 2012, under the PBS, a patient will be able to be prescribed either dasatinib or nilotinib providing the patient did not fail that drug as first or second line therapy and for nilotinib the patient is not in blast crisis.</w:t>
            </w:r>
          </w:p>
          <w:p w:rsidR="007735D1" w:rsidRPr="00884F59" w:rsidRDefault="007735D1" w:rsidP="009406BE">
            <w:pPr>
              <w:rPr>
                <w:rFonts w:ascii="Arial Narrow" w:hAnsi="Arial Narrow" w:cs="Arial"/>
                <w:sz w:val="20"/>
                <w:szCs w:val="20"/>
              </w:rPr>
            </w:pPr>
          </w:p>
          <w:p w:rsidR="007735D1" w:rsidRPr="00884F59" w:rsidRDefault="007735D1" w:rsidP="009406BE">
            <w:pPr>
              <w:rPr>
                <w:rFonts w:ascii="Arial Narrow" w:hAnsi="Arial Narrow" w:cs="Arial"/>
                <w:sz w:val="20"/>
                <w:szCs w:val="20"/>
              </w:rPr>
            </w:pPr>
            <w:r>
              <w:rPr>
                <w:rFonts w:ascii="Arial Narrow" w:hAnsi="Arial Narrow" w:cs="Arial"/>
                <w:sz w:val="20"/>
                <w:szCs w:val="20"/>
              </w:rPr>
              <w:t>4</w:t>
            </w:r>
            <w:r w:rsidRPr="00884F59">
              <w:rPr>
                <w:rFonts w:ascii="Arial Narrow" w:hAnsi="Arial Narrow" w:cs="Arial"/>
                <w:sz w:val="20"/>
                <w:szCs w:val="20"/>
              </w:rPr>
              <w:t>. Continuing treatment for second and third line treatment</w:t>
            </w:r>
          </w:p>
          <w:p w:rsidR="007735D1" w:rsidRPr="00884F59" w:rsidRDefault="007735D1" w:rsidP="009406BE">
            <w:pPr>
              <w:rPr>
                <w:rFonts w:ascii="Arial Narrow" w:hAnsi="Arial Narrow" w:cs="Arial"/>
                <w:sz w:val="20"/>
                <w:szCs w:val="20"/>
              </w:rPr>
            </w:pPr>
          </w:p>
          <w:p w:rsidR="007735D1" w:rsidRPr="00884F59" w:rsidRDefault="007735D1" w:rsidP="009406BE">
            <w:pPr>
              <w:rPr>
                <w:rFonts w:ascii="Arial Narrow" w:hAnsi="Arial Narrow" w:cs="Arial"/>
                <w:sz w:val="20"/>
                <w:szCs w:val="20"/>
              </w:rPr>
            </w:pPr>
            <w:r w:rsidRPr="00884F59">
              <w:rPr>
                <w:rFonts w:ascii="Arial Narrow" w:hAnsi="Arial Narrow" w:cs="Arial"/>
                <w:sz w:val="20"/>
                <w:szCs w:val="20"/>
              </w:rPr>
              <w:t>All continuing applications are to be written and must include a pathology report demonstrating the patient has responded to PBS-subsidised treatment as follows:</w:t>
            </w:r>
          </w:p>
          <w:p w:rsidR="007735D1" w:rsidRPr="00884F59" w:rsidRDefault="007735D1" w:rsidP="009406BE">
            <w:pPr>
              <w:rPr>
                <w:rFonts w:ascii="Arial Narrow" w:hAnsi="Arial Narrow" w:cs="Arial"/>
                <w:sz w:val="20"/>
                <w:szCs w:val="20"/>
              </w:rPr>
            </w:pPr>
          </w:p>
          <w:p w:rsidR="007735D1" w:rsidRPr="00884F59" w:rsidRDefault="007735D1" w:rsidP="009406BE">
            <w:pPr>
              <w:rPr>
                <w:rFonts w:ascii="Arial Narrow" w:hAnsi="Arial Narrow" w:cs="Arial"/>
                <w:sz w:val="20"/>
                <w:szCs w:val="20"/>
              </w:rPr>
            </w:pPr>
            <w:r w:rsidRPr="00884F59">
              <w:rPr>
                <w:rFonts w:ascii="Arial Narrow" w:hAnsi="Arial Narrow" w:cs="Arial"/>
                <w:sz w:val="20"/>
                <w:szCs w:val="20"/>
              </w:rPr>
              <w:t>(i) within 18 months of the commencement of treatment, at which time patients in whom a major cytogenetic response or peripheral blood BCR-ABL level of less than 1% has been demonstrated may receive authorisation for a further 12 months of treatment; and</w:t>
            </w:r>
          </w:p>
          <w:p w:rsidR="007735D1" w:rsidRPr="00884F59" w:rsidRDefault="007735D1" w:rsidP="009406BE">
            <w:pPr>
              <w:rPr>
                <w:rFonts w:ascii="Arial Narrow" w:hAnsi="Arial Narrow" w:cs="Arial"/>
                <w:sz w:val="20"/>
                <w:szCs w:val="20"/>
              </w:rPr>
            </w:pPr>
          </w:p>
          <w:p w:rsidR="007735D1" w:rsidRPr="00884F59" w:rsidRDefault="007735D1" w:rsidP="009406BE">
            <w:pPr>
              <w:rPr>
                <w:rFonts w:ascii="Arial Narrow" w:hAnsi="Arial Narrow" w:cs="Arial"/>
                <w:sz w:val="20"/>
                <w:szCs w:val="20"/>
              </w:rPr>
            </w:pPr>
            <w:r w:rsidRPr="00884F59">
              <w:rPr>
                <w:rFonts w:ascii="Arial Narrow" w:hAnsi="Arial Narrow" w:cs="Arial"/>
                <w:sz w:val="20"/>
                <w:szCs w:val="20"/>
              </w:rPr>
              <w:t>(ii) at no greater than 12 month intervals thereafter, to demonstrate that the major cytogenetic response or peripheral blood BCR-ABL level of less than 1% has been sustained.</w:t>
            </w:r>
          </w:p>
          <w:p w:rsidR="007735D1" w:rsidRPr="00884F59" w:rsidRDefault="007735D1" w:rsidP="009406BE">
            <w:pPr>
              <w:rPr>
                <w:rFonts w:ascii="Arial Narrow" w:hAnsi="Arial Narrow" w:cs="Arial"/>
                <w:sz w:val="20"/>
                <w:szCs w:val="20"/>
              </w:rPr>
            </w:pPr>
          </w:p>
          <w:p w:rsidR="007735D1" w:rsidRDefault="007735D1" w:rsidP="009406BE">
            <w:pPr>
              <w:rPr>
                <w:rFonts w:ascii="Arial Narrow" w:hAnsi="Arial Narrow" w:cs="Arial"/>
                <w:sz w:val="20"/>
                <w:szCs w:val="20"/>
              </w:rPr>
            </w:pPr>
            <w:r w:rsidRPr="00884F59">
              <w:rPr>
                <w:rFonts w:ascii="Arial Narrow" w:hAnsi="Arial Narrow" w:cs="Arial"/>
                <w:sz w:val="20"/>
                <w:szCs w:val="20"/>
              </w:rPr>
              <w:t>During second line continuing treatment beyond the initial 18 month treatment period, switching between approved second line TKI agents may only occur for reason of intolerance. Where there is failure of response, switching may only occur through application for prescription of a third line agent.</w:t>
            </w:r>
          </w:p>
          <w:p w:rsidR="007735D1" w:rsidRPr="007A08EF" w:rsidRDefault="007735D1" w:rsidP="009406BE">
            <w:pPr>
              <w:rPr>
                <w:rFonts w:ascii="Arial Narrow" w:hAnsi="Arial Narrow" w:cs="Arial"/>
                <w:sz w:val="20"/>
                <w:szCs w:val="20"/>
              </w:rPr>
            </w:pPr>
          </w:p>
          <w:p w:rsidR="007735D1" w:rsidRPr="007A08EF" w:rsidRDefault="007735D1" w:rsidP="009406BE">
            <w:pPr>
              <w:rPr>
                <w:rFonts w:ascii="Arial Narrow" w:hAnsi="Arial Narrow" w:cs="Arial"/>
                <w:sz w:val="20"/>
                <w:szCs w:val="20"/>
              </w:rPr>
            </w:pPr>
            <w:r w:rsidRPr="007A08EF">
              <w:rPr>
                <w:rFonts w:ascii="Arial Narrow" w:hAnsi="Arial Narrow" w:cs="Arial"/>
                <w:sz w:val="20"/>
                <w:szCs w:val="20"/>
              </w:rPr>
              <w:t>3. For imatinib mesylate, dasatinib and nilotinib</w:t>
            </w:r>
          </w:p>
          <w:p w:rsidR="007735D1" w:rsidRPr="007A08EF" w:rsidRDefault="007735D1" w:rsidP="009406BE">
            <w:pPr>
              <w:rPr>
                <w:rFonts w:ascii="Arial Narrow" w:hAnsi="Arial Narrow" w:cs="Arial"/>
                <w:sz w:val="20"/>
                <w:szCs w:val="20"/>
              </w:rPr>
            </w:pPr>
            <w:r w:rsidRPr="007A08EF">
              <w:rPr>
                <w:rFonts w:ascii="Arial Narrow" w:hAnsi="Arial Narrow" w:cs="Arial"/>
                <w:sz w:val="20"/>
                <w:szCs w:val="20"/>
              </w:rPr>
              <w:t>During continuing therapy beyond the initial 18 month treatment period, switching between approved first-line agents may only occur for reason of intolerance. Where there is failure of response, switching may only occur through application for prescription of second-line agents.</w:t>
            </w:r>
          </w:p>
          <w:p w:rsidR="007735D1" w:rsidRDefault="007735D1" w:rsidP="009406BE">
            <w:pPr>
              <w:rPr>
                <w:rFonts w:ascii="Arial Narrow" w:hAnsi="Arial Narrow" w:cs="Arial"/>
                <w:sz w:val="20"/>
                <w:szCs w:val="20"/>
              </w:rPr>
            </w:pPr>
            <w:r w:rsidRPr="007A08EF">
              <w:rPr>
                <w:rFonts w:ascii="Arial Narrow" w:hAnsi="Arial Narrow" w:cs="Arial"/>
                <w:sz w:val="20"/>
                <w:szCs w:val="20"/>
              </w:rPr>
              <w:t>Where a patient has previously received PBS-subsidised treatment with imatinib mesylate, dasatinib or nilotinib no approval will be granted for PBS-subsidised re-treatment in the chronic phase of chronic myeloid leukaemia, where that patient has at any time failed to meet the response criteria whilst on that TKI agent</w:t>
            </w:r>
          </w:p>
          <w:p w:rsidR="007735D1" w:rsidRPr="00260CE3" w:rsidRDefault="007735D1" w:rsidP="009406BE">
            <w:pPr>
              <w:rPr>
                <w:rFonts w:ascii="Arial Narrow" w:hAnsi="Arial Narrow" w:cs="Arial"/>
                <w:sz w:val="20"/>
                <w:szCs w:val="20"/>
              </w:rPr>
            </w:pPr>
          </w:p>
        </w:tc>
      </w:tr>
      <w:tr w:rsidR="007735D1" w:rsidRPr="00260CE3" w:rsidTr="008424CE">
        <w:trPr>
          <w:trHeight w:val="1206"/>
        </w:trPr>
        <w:tc>
          <w:tcPr>
            <w:tcW w:w="2410" w:type="dxa"/>
            <w:tcBorders>
              <w:top w:val="single" w:sz="4" w:space="0" w:color="auto"/>
              <w:left w:val="single" w:sz="4" w:space="0" w:color="auto"/>
              <w:bottom w:val="single" w:sz="4" w:space="0" w:color="auto"/>
              <w:right w:val="single" w:sz="4" w:space="0" w:color="auto"/>
            </w:tcBorders>
          </w:tcPr>
          <w:p w:rsidR="007735D1" w:rsidRPr="00260CE3" w:rsidRDefault="007735D1" w:rsidP="009406BE">
            <w:pPr>
              <w:jc w:val="both"/>
              <w:rPr>
                <w:rFonts w:ascii="Arial Narrow" w:hAnsi="Arial Narrow" w:cs="Arial"/>
                <w:sz w:val="20"/>
                <w:szCs w:val="20"/>
              </w:rPr>
            </w:pPr>
          </w:p>
        </w:tc>
        <w:tc>
          <w:tcPr>
            <w:tcW w:w="5953" w:type="dxa"/>
            <w:gridSpan w:val="5"/>
            <w:tcBorders>
              <w:top w:val="single" w:sz="4" w:space="0" w:color="auto"/>
              <w:left w:val="single" w:sz="4" w:space="0" w:color="auto"/>
              <w:bottom w:val="single" w:sz="4" w:space="0" w:color="auto"/>
              <w:right w:val="single" w:sz="4" w:space="0" w:color="auto"/>
            </w:tcBorders>
          </w:tcPr>
          <w:p w:rsidR="007735D1" w:rsidRPr="007A08EF" w:rsidRDefault="007735D1" w:rsidP="009406BE">
            <w:pPr>
              <w:jc w:val="both"/>
              <w:rPr>
                <w:rFonts w:ascii="Arial Narrow" w:hAnsi="Arial Narrow" w:cs="Arial"/>
                <w:sz w:val="20"/>
                <w:szCs w:val="20"/>
              </w:rPr>
            </w:pPr>
            <w:r>
              <w:rPr>
                <w:rFonts w:ascii="Arial Narrow" w:hAnsi="Arial Narrow" w:cs="Arial"/>
                <w:sz w:val="20"/>
                <w:szCs w:val="20"/>
              </w:rPr>
              <w:t>5</w:t>
            </w:r>
            <w:r w:rsidRPr="007A08EF">
              <w:rPr>
                <w:rFonts w:ascii="Arial Narrow" w:hAnsi="Arial Narrow" w:cs="Arial"/>
                <w:sz w:val="20"/>
                <w:szCs w:val="20"/>
              </w:rPr>
              <w:t>. Authority approval requirements</w:t>
            </w:r>
          </w:p>
          <w:p w:rsidR="007735D1" w:rsidRPr="007A08EF" w:rsidRDefault="007735D1" w:rsidP="009406BE">
            <w:pPr>
              <w:jc w:val="both"/>
              <w:rPr>
                <w:rFonts w:ascii="Arial Narrow" w:hAnsi="Arial Narrow" w:cs="Arial"/>
                <w:sz w:val="20"/>
                <w:szCs w:val="20"/>
              </w:rPr>
            </w:pPr>
            <w:r w:rsidRPr="007A08EF">
              <w:rPr>
                <w:rFonts w:ascii="Arial Narrow" w:hAnsi="Arial Narrow" w:cs="Arial"/>
                <w:sz w:val="20"/>
                <w:szCs w:val="20"/>
              </w:rPr>
              <w:t>Response criteria to initial treatment with imatinib mesylate, dasatinib or nilotinib:</w:t>
            </w:r>
          </w:p>
          <w:p w:rsidR="007735D1" w:rsidRDefault="007735D1" w:rsidP="009406BE">
            <w:pPr>
              <w:jc w:val="both"/>
              <w:rPr>
                <w:rFonts w:ascii="Arial Narrow" w:hAnsi="Arial Narrow" w:cs="Arial"/>
                <w:sz w:val="20"/>
                <w:szCs w:val="20"/>
              </w:rPr>
            </w:pPr>
            <w:r w:rsidRPr="007A08EF">
              <w:rPr>
                <w:rFonts w:ascii="Arial Narrow" w:hAnsi="Arial Narrow" w:cs="Arial"/>
                <w:sz w:val="20"/>
                <w:szCs w:val="20"/>
              </w:rPr>
              <w:t>For the purposes of assessing response to PBS-subsidised treatment with imatinib mesylate, dasatinib or nilotinib either cytogenetic analysis indicating the number of Philadelphia positive [t (9;22)] cells in the bone marrow measured by standard karyotyping, or quantitative PCR indicating the relative level of BCR-ABL transcript in the peripheral blood using the international scale, must be submitted. For bone marrow analyses, where the standard karyotyping is not informative for technical reasons, a cytogenetic analysis performed on the bone marrow by the use of fluorescence in situ hybridisation (FISH) with BCR-ABL specific probe must be submitted. The cytogenetic or peripheral blood quantitative PCR analyses must be submitted within 18 months of the commencement of treatment with imatinib mesylate, dasatinib or nilotinib (patients in whom a major cytogenetic response or peripheral blood BCR-ABL level of less than 1% is demonstrable by 18 months are eligible to receive continuing treatment with that agent).</w:t>
            </w:r>
          </w:p>
          <w:p w:rsidR="007735D1" w:rsidRDefault="007735D1" w:rsidP="009406BE">
            <w:pPr>
              <w:jc w:val="both"/>
              <w:rPr>
                <w:rFonts w:ascii="Arial Narrow" w:hAnsi="Arial Narrow" w:cs="Arial"/>
                <w:sz w:val="20"/>
                <w:szCs w:val="20"/>
              </w:rPr>
            </w:pPr>
          </w:p>
          <w:p w:rsidR="007735D1" w:rsidRPr="007A08EF" w:rsidRDefault="007735D1" w:rsidP="009406BE">
            <w:pPr>
              <w:jc w:val="both"/>
              <w:rPr>
                <w:rFonts w:ascii="Arial Narrow" w:hAnsi="Arial Narrow" w:cs="Arial"/>
                <w:sz w:val="20"/>
                <w:szCs w:val="20"/>
              </w:rPr>
            </w:pPr>
            <w:r w:rsidRPr="007A08EF">
              <w:rPr>
                <w:rFonts w:ascii="Arial Narrow" w:hAnsi="Arial Narrow" w:cs="Arial"/>
                <w:sz w:val="20"/>
                <w:szCs w:val="20"/>
              </w:rPr>
              <w:t>5. Definitions of response</w:t>
            </w:r>
          </w:p>
          <w:p w:rsidR="007735D1" w:rsidRPr="007A08EF" w:rsidRDefault="007735D1" w:rsidP="009406BE">
            <w:pPr>
              <w:jc w:val="both"/>
              <w:rPr>
                <w:rFonts w:ascii="Arial Narrow" w:hAnsi="Arial Narrow" w:cs="Arial"/>
                <w:sz w:val="20"/>
                <w:szCs w:val="20"/>
              </w:rPr>
            </w:pPr>
            <w:r w:rsidRPr="007A08EF">
              <w:rPr>
                <w:rFonts w:ascii="Arial Narrow" w:hAnsi="Arial Narrow" w:cs="Arial"/>
                <w:sz w:val="20"/>
                <w:szCs w:val="20"/>
              </w:rPr>
              <w:t>A major cytogenetic response is defined as less than 35% Philadelphia positive bone marrow cells.</w:t>
            </w:r>
          </w:p>
          <w:p w:rsidR="007735D1" w:rsidRPr="007A08EF" w:rsidRDefault="007735D1" w:rsidP="009406BE">
            <w:pPr>
              <w:jc w:val="both"/>
              <w:rPr>
                <w:rFonts w:ascii="Arial Narrow" w:hAnsi="Arial Narrow" w:cs="Arial"/>
                <w:sz w:val="20"/>
                <w:szCs w:val="20"/>
              </w:rPr>
            </w:pPr>
            <w:r w:rsidRPr="007A08EF">
              <w:rPr>
                <w:rFonts w:ascii="Arial Narrow" w:hAnsi="Arial Narrow" w:cs="Arial"/>
                <w:sz w:val="20"/>
                <w:szCs w:val="20"/>
              </w:rPr>
              <w:t>A peripheral blood BCR-ABL level of less than 1% on the international scale (Blood 108: 28-37, 2006) also indicates a response, at least the biological equivalent of a major cytogenetic response.</w:t>
            </w:r>
          </w:p>
          <w:p w:rsidR="007735D1" w:rsidRPr="007A08EF" w:rsidRDefault="007735D1" w:rsidP="009406BE">
            <w:pPr>
              <w:jc w:val="both"/>
              <w:rPr>
                <w:rFonts w:ascii="Arial Narrow" w:hAnsi="Arial Narrow" w:cs="Arial"/>
                <w:sz w:val="20"/>
                <w:szCs w:val="20"/>
              </w:rPr>
            </w:pPr>
          </w:p>
          <w:p w:rsidR="007735D1" w:rsidRPr="007A08EF" w:rsidRDefault="007735D1" w:rsidP="009406BE">
            <w:pPr>
              <w:jc w:val="both"/>
              <w:rPr>
                <w:rFonts w:ascii="Arial Narrow" w:hAnsi="Arial Narrow" w:cs="Arial"/>
                <w:sz w:val="20"/>
                <w:szCs w:val="20"/>
              </w:rPr>
            </w:pPr>
            <w:r w:rsidRPr="007A08EF">
              <w:rPr>
                <w:rFonts w:ascii="Arial Narrow" w:hAnsi="Arial Narrow" w:cs="Arial"/>
                <w:sz w:val="20"/>
                <w:szCs w:val="20"/>
              </w:rPr>
              <w:t>6. Definitions of loss of response</w:t>
            </w:r>
          </w:p>
          <w:p w:rsidR="007735D1" w:rsidRPr="007A08EF" w:rsidRDefault="007735D1" w:rsidP="009406BE">
            <w:pPr>
              <w:jc w:val="both"/>
              <w:rPr>
                <w:rFonts w:ascii="Arial Narrow" w:hAnsi="Arial Narrow" w:cs="Arial"/>
                <w:sz w:val="20"/>
                <w:szCs w:val="20"/>
              </w:rPr>
            </w:pPr>
            <w:r w:rsidRPr="007A08EF">
              <w:rPr>
                <w:rFonts w:ascii="Arial Narrow" w:hAnsi="Arial Narrow" w:cs="Arial"/>
                <w:sz w:val="20"/>
                <w:szCs w:val="20"/>
              </w:rPr>
              <w:t>Loss of a previously documented major cytogenetic response (demonstrated by the presence of greater than 35% Ph positive cells on bone marrow biopsy), during ongoing tyrosine kinase inhibitor (TKI) therapy.</w:t>
            </w:r>
          </w:p>
          <w:p w:rsidR="007735D1" w:rsidRDefault="007735D1" w:rsidP="009406BE">
            <w:pPr>
              <w:jc w:val="both"/>
              <w:rPr>
                <w:rFonts w:ascii="Arial Narrow" w:hAnsi="Arial Narrow" w:cs="Arial"/>
                <w:sz w:val="20"/>
                <w:szCs w:val="20"/>
              </w:rPr>
            </w:pPr>
            <w:r w:rsidRPr="007A08EF">
              <w:rPr>
                <w:rFonts w:ascii="Arial Narrow" w:hAnsi="Arial Narrow" w:cs="Arial"/>
                <w:sz w:val="20"/>
                <w:szCs w:val="20"/>
              </w:rPr>
              <w:t>Loss of a previously demonstrated molecular response (demonstrated by peripheral blood BCR-ABL levels increasing consecutively in value by at least 5 fold to a level of greater than 0.1% confirmed on a subsequent test), during ongoing tyrosine kinase inhibitor therapy.</w:t>
            </w:r>
          </w:p>
          <w:p w:rsidR="007735D1" w:rsidRDefault="007735D1" w:rsidP="009406BE">
            <w:pPr>
              <w:jc w:val="both"/>
              <w:rPr>
                <w:rFonts w:ascii="Arial Narrow" w:hAnsi="Arial Narrow" w:cs="Arial"/>
                <w:sz w:val="20"/>
                <w:szCs w:val="20"/>
              </w:rPr>
            </w:pPr>
          </w:p>
          <w:p w:rsidR="007735D1" w:rsidRPr="007A08EF" w:rsidRDefault="007735D1" w:rsidP="009406BE">
            <w:pPr>
              <w:jc w:val="both"/>
              <w:rPr>
                <w:rFonts w:ascii="Arial Narrow" w:hAnsi="Arial Narrow" w:cs="Arial"/>
                <w:sz w:val="20"/>
                <w:szCs w:val="20"/>
              </w:rPr>
            </w:pPr>
            <w:r w:rsidRPr="007A08EF">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7735D1" w:rsidRPr="007A08EF" w:rsidRDefault="007735D1" w:rsidP="009406BE">
            <w:pPr>
              <w:jc w:val="both"/>
              <w:rPr>
                <w:rFonts w:ascii="Arial Narrow" w:hAnsi="Arial Narrow" w:cs="Arial"/>
                <w:sz w:val="20"/>
                <w:szCs w:val="20"/>
              </w:rPr>
            </w:pPr>
            <w:r w:rsidRPr="007A08EF">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7735D1" w:rsidRPr="007A08EF" w:rsidRDefault="007735D1" w:rsidP="009406BE">
            <w:pPr>
              <w:jc w:val="both"/>
              <w:rPr>
                <w:rFonts w:ascii="Arial Narrow" w:hAnsi="Arial Narrow" w:cs="Arial"/>
                <w:sz w:val="20"/>
                <w:szCs w:val="20"/>
              </w:rPr>
            </w:pPr>
            <w:r w:rsidRPr="007A08EF">
              <w:rPr>
                <w:rFonts w:ascii="Arial Narrow" w:hAnsi="Arial Narrow" w:cs="Arial"/>
                <w:sz w:val="20"/>
                <w:szCs w:val="20"/>
              </w:rPr>
              <w:t>Applications for authority to prescribe should be forwarded to:</w:t>
            </w:r>
          </w:p>
          <w:p w:rsidR="007735D1" w:rsidRPr="007A08EF" w:rsidRDefault="007735D1" w:rsidP="009406BE">
            <w:pPr>
              <w:jc w:val="both"/>
              <w:rPr>
                <w:rFonts w:ascii="Arial Narrow" w:hAnsi="Arial Narrow" w:cs="Arial"/>
                <w:sz w:val="20"/>
                <w:szCs w:val="20"/>
              </w:rPr>
            </w:pPr>
            <w:r w:rsidRPr="007A08EF">
              <w:rPr>
                <w:rFonts w:ascii="Arial Narrow" w:hAnsi="Arial Narrow" w:cs="Arial"/>
                <w:sz w:val="20"/>
                <w:szCs w:val="20"/>
              </w:rPr>
              <w:t>Department of Human Services</w:t>
            </w:r>
          </w:p>
          <w:p w:rsidR="007735D1" w:rsidRPr="007A08EF" w:rsidRDefault="007735D1" w:rsidP="009406BE">
            <w:pPr>
              <w:jc w:val="both"/>
              <w:rPr>
                <w:rFonts w:ascii="Arial Narrow" w:hAnsi="Arial Narrow" w:cs="Arial"/>
                <w:sz w:val="20"/>
                <w:szCs w:val="20"/>
              </w:rPr>
            </w:pPr>
            <w:r w:rsidRPr="007A08EF">
              <w:rPr>
                <w:rFonts w:ascii="Arial Narrow" w:hAnsi="Arial Narrow" w:cs="Arial"/>
                <w:sz w:val="20"/>
                <w:szCs w:val="20"/>
              </w:rPr>
              <w:t>Complex Drugs</w:t>
            </w:r>
          </w:p>
          <w:p w:rsidR="007735D1" w:rsidRPr="007A08EF" w:rsidRDefault="007735D1" w:rsidP="009406BE">
            <w:pPr>
              <w:jc w:val="both"/>
              <w:rPr>
                <w:rFonts w:ascii="Arial Narrow" w:hAnsi="Arial Narrow" w:cs="Arial"/>
                <w:sz w:val="20"/>
                <w:szCs w:val="20"/>
              </w:rPr>
            </w:pPr>
            <w:r w:rsidRPr="007A08EF">
              <w:rPr>
                <w:rFonts w:ascii="Arial Narrow" w:hAnsi="Arial Narrow" w:cs="Arial"/>
                <w:sz w:val="20"/>
                <w:szCs w:val="20"/>
              </w:rPr>
              <w:t>Reply Paid 9826</w:t>
            </w:r>
          </w:p>
          <w:p w:rsidR="007735D1" w:rsidRPr="00260CE3" w:rsidRDefault="007735D1" w:rsidP="009406BE">
            <w:pPr>
              <w:jc w:val="both"/>
              <w:rPr>
                <w:rFonts w:ascii="Arial Narrow" w:hAnsi="Arial Narrow" w:cs="Arial"/>
                <w:sz w:val="20"/>
                <w:szCs w:val="20"/>
              </w:rPr>
            </w:pPr>
            <w:r w:rsidRPr="007A08EF">
              <w:rPr>
                <w:rFonts w:ascii="Arial Narrow" w:hAnsi="Arial Narrow" w:cs="Arial"/>
                <w:sz w:val="20"/>
                <w:szCs w:val="20"/>
              </w:rPr>
              <w:t>HOBART TAS 7001</w:t>
            </w:r>
          </w:p>
        </w:tc>
      </w:tr>
    </w:tbl>
    <w:p w:rsidR="007735D1" w:rsidRDefault="007735D1" w:rsidP="007735D1">
      <w:pPr>
        <w:pStyle w:val="ListParagraph"/>
        <w:rPr>
          <w:rFonts w:ascii="Arial" w:hAnsi="Arial"/>
          <w:sz w:val="22"/>
          <w:szCs w:val="22"/>
        </w:rPr>
      </w:pPr>
    </w:p>
    <w:p w:rsidR="007930A9" w:rsidRPr="007930A9" w:rsidRDefault="007930A9" w:rsidP="009406BE">
      <w:pPr>
        <w:pStyle w:val="Heading1"/>
        <w:rPr>
          <w:snapToGrid w:val="0"/>
          <w:lang w:eastAsia="en-US"/>
        </w:rPr>
      </w:pPr>
      <w:r w:rsidRPr="007930A9">
        <w:rPr>
          <w:snapToGrid w:val="0"/>
          <w:lang w:eastAsia="en-US"/>
        </w:rPr>
        <w:t>Context for Decision</w:t>
      </w:r>
    </w:p>
    <w:p w:rsidR="007930A9" w:rsidRPr="007930A9" w:rsidRDefault="007930A9" w:rsidP="007930A9">
      <w:pPr>
        <w:widowControl w:val="0"/>
        <w:ind w:left="720"/>
        <w:jc w:val="both"/>
        <w:rPr>
          <w:rFonts w:ascii="Arial" w:hAnsi="Arial" w:cs="Arial"/>
          <w:bCs/>
          <w:snapToGrid w:val="0"/>
          <w:sz w:val="22"/>
          <w:szCs w:val="20"/>
          <w:lang w:eastAsia="en-US"/>
        </w:rPr>
      </w:pPr>
    </w:p>
    <w:p w:rsidR="007930A9" w:rsidRPr="007930A9" w:rsidRDefault="007930A9" w:rsidP="007930A9">
      <w:pPr>
        <w:widowControl w:val="0"/>
        <w:ind w:left="720"/>
        <w:jc w:val="both"/>
        <w:rPr>
          <w:rFonts w:ascii="Arial" w:hAnsi="Arial" w:cs="Arial"/>
          <w:bCs/>
          <w:snapToGrid w:val="0"/>
          <w:sz w:val="22"/>
          <w:szCs w:val="20"/>
          <w:lang w:eastAsia="en-US"/>
        </w:rPr>
      </w:pPr>
      <w:r w:rsidRPr="007930A9">
        <w:rPr>
          <w:rFonts w:ascii="Arial" w:hAnsi="Arial" w:cs="Arial"/>
          <w:bCs/>
          <w:snapToGrid w:val="0"/>
          <w:sz w:val="22"/>
          <w:szCs w:val="20"/>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930A9" w:rsidRPr="007930A9" w:rsidRDefault="007930A9" w:rsidP="007930A9">
      <w:pPr>
        <w:widowControl w:val="0"/>
        <w:ind w:left="720"/>
        <w:jc w:val="both"/>
        <w:rPr>
          <w:rFonts w:ascii="Arial" w:hAnsi="Arial" w:cs="Arial"/>
          <w:bCs/>
          <w:snapToGrid w:val="0"/>
          <w:sz w:val="22"/>
          <w:szCs w:val="20"/>
          <w:lang w:eastAsia="en-US"/>
        </w:rPr>
      </w:pPr>
    </w:p>
    <w:p w:rsidR="007930A9" w:rsidRPr="007930A9" w:rsidRDefault="007930A9" w:rsidP="00AC3A7D">
      <w:pPr>
        <w:pStyle w:val="Heading1"/>
        <w:rPr>
          <w:snapToGrid w:val="0"/>
          <w:lang w:eastAsia="en-US"/>
        </w:rPr>
      </w:pPr>
      <w:r w:rsidRPr="007930A9">
        <w:rPr>
          <w:snapToGrid w:val="0"/>
          <w:lang w:eastAsia="en-US"/>
        </w:rPr>
        <w:t>Sponsor’s Comment</w:t>
      </w:r>
      <w:r w:rsidRPr="007930A9">
        <w:rPr>
          <w:snapToGrid w:val="0"/>
          <w:lang w:eastAsia="en-US"/>
        </w:rPr>
        <w:tab/>
      </w:r>
    </w:p>
    <w:p w:rsidR="007930A9" w:rsidRPr="007930A9" w:rsidRDefault="007930A9" w:rsidP="007930A9">
      <w:pPr>
        <w:widowControl w:val="0"/>
        <w:ind w:left="720"/>
        <w:jc w:val="both"/>
        <w:rPr>
          <w:rFonts w:ascii="Arial" w:hAnsi="Arial" w:cs="Arial"/>
          <w:bCs/>
          <w:snapToGrid w:val="0"/>
          <w:sz w:val="22"/>
          <w:szCs w:val="20"/>
          <w:highlight w:val="yellow"/>
          <w:lang w:eastAsia="en-US"/>
        </w:rPr>
      </w:pPr>
    </w:p>
    <w:p w:rsidR="007930A9" w:rsidRPr="007930A9" w:rsidRDefault="007930A9" w:rsidP="007930A9">
      <w:pPr>
        <w:widowControl w:val="0"/>
        <w:ind w:left="720"/>
        <w:jc w:val="both"/>
        <w:rPr>
          <w:rFonts w:ascii="Arial" w:hAnsi="Arial" w:cs="Arial"/>
          <w:bCs/>
          <w:snapToGrid w:val="0"/>
          <w:sz w:val="22"/>
          <w:szCs w:val="20"/>
          <w:lang w:eastAsia="en-US"/>
        </w:rPr>
      </w:pPr>
      <w:r w:rsidRPr="007930A9">
        <w:rPr>
          <w:rFonts w:ascii="Arial" w:hAnsi="Arial" w:cs="Arial"/>
          <w:bCs/>
          <w:snapToGrid w:val="0"/>
          <w:sz w:val="22"/>
          <w:szCs w:val="20"/>
          <w:lang w:eastAsia="en-US"/>
        </w:rPr>
        <w:t>The sponsor had no comment.</w:t>
      </w:r>
    </w:p>
    <w:p w:rsidR="007930A9" w:rsidRDefault="007930A9" w:rsidP="007735D1">
      <w:pPr>
        <w:pStyle w:val="ListParagraph"/>
        <w:rPr>
          <w:rFonts w:ascii="Arial" w:hAnsi="Arial"/>
          <w:sz w:val="22"/>
          <w:szCs w:val="22"/>
        </w:rPr>
      </w:pPr>
    </w:p>
    <w:sectPr w:rsidR="007930A9"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BBF" w:rsidRDefault="00D96BBF">
      <w:r>
        <w:separator/>
      </w:r>
    </w:p>
    <w:p w:rsidR="00D96BBF" w:rsidRDefault="00D96BBF"/>
  </w:endnote>
  <w:endnote w:type="continuationSeparator" w:id="0">
    <w:p w:rsidR="00D96BBF" w:rsidRDefault="00D96BBF">
      <w:r>
        <w:continuationSeparator/>
      </w:r>
    </w:p>
    <w:p w:rsidR="00D96BBF" w:rsidRDefault="00D96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C3A7D" w:rsidTr="005A3173">
      <w:trPr>
        <w:trHeight w:val="151"/>
      </w:trPr>
      <w:tc>
        <w:tcPr>
          <w:tcW w:w="2250" w:type="pct"/>
          <w:tcBorders>
            <w:top w:val="nil"/>
            <w:left w:val="nil"/>
            <w:bottom w:val="single" w:sz="4" w:space="0" w:color="4F81BD"/>
            <w:right w:val="nil"/>
          </w:tcBorders>
        </w:tcPr>
        <w:p w:rsidR="00AC3A7D" w:rsidRPr="005A3173" w:rsidRDefault="00AC3A7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C3A7D" w:rsidRPr="005A3173" w:rsidRDefault="00AC3A7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C3A7D" w:rsidRPr="005A3173" w:rsidRDefault="00AC3A7D" w:rsidP="005A3173">
          <w:pPr>
            <w:pStyle w:val="Header"/>
            <w:spacing w:line="276" w:lineRule="auto"/>
            <w:rPr>
              <w:rFonts w:ascii="Calibri" w:eastAsia="MS Gothic" w:hAnsi="Calibri"/>
              <w:b/>
              <w:bCs/>
              <w:color w:val="4F81BD"/>
            </w:rPr>
          </w:pPr>
        </w:p>
      </w:tc>
    </w:tr>
    <w:tr w:rsidR="00AC3A7D" w:rsidTr="005A3173">
      <w:trPr>
        <w:trHeight w:val="150"/>
      </w:trPr>
      <w:tc>
        <w:tcPr>
          <w:tcW w:w="2250" w:type="pct"/>
          <w:tcBorders>
            <w:top w:val="single" w:sz="4" w:space="0" w:color="4F81BD"/>
            <w:left w:val="nil"/>
            <w:bottom w:val="nil"/>
            <w:right w:val="nil"/>
          </w:tcBorders>
        </w:tcPr>
        <w:p w:rsidR="00AC3A7D" w:rsidRPr="005A3173" w:rsidRDefault="00AC3A7D" w:rsidP="005A3173">
          <w:pPr>
            <w:pStyle w:val="Header"/>
            <w:spacing w:line="276" w:lineRule="auto"/>
            <w:rPr>
              <w:rFonts w:ascii="Calibri" w:eastAsia="MS Gothic" w:hAnsi="Calibri"/>
              <w:b/>
              <w:bCs/>
              <w:color w:val="4F81BD"/>
            </w:rPr>
          </w:pPr>
        </w:p>
      </w:tc>
      <w:tc>
        <w:tcPr>
          <w:tcW w:w="0" w:type="auto"/>
          <w:vMerge/>
          <w:vAlign w:val="center"/>
          <w:hideMark/>
        </w:tcPr>
        <w:p w:rsidR="00AC3A7D" w:rsidRPr="005A3173" w:rsidRDefault="00AC3A7D" w:rsidP="005A3173">
          <w:pPr>
            <w:rPr>
              <w:rFonts w:ascii="Calibri" w:hAnsi="Calibri"/>
              <w:color w:val="365F91"/>
              <w:sz w:val="22"/>
              <w:szCs w:val="22"/>
            </w:rPr>
          </w:pPr>
        </w:p>
      </w:tc>
      <w:tc>
        <w:tcPr>
          <w:tcW w:w="2250" w:type="pct"/>
          <w:tcBorders>
            <w:top w:val="single" w:sz="4" w:space="0" w:color="4F81BD"/>
            <w:left w:val="nil"/>
            <w:bottom w:val="nil"/>
            <w:right w:val="nil"/>
          </w:tcBorders>
        </w:tcPr>
        <w:p w:rsidR="00AC3A7D" w:rsidRPr="005A3173" w:rsidRDefault="00AC3A7D" w:rsidP="005A3173">
          <w:pPr>
            <w:pStyle w:val="Header"/>
            <w:spacing w:line="276" w:lineRule="auto"/>
            <w:rPr>
              <w:rFonts w:ascii="Calibri" w:eastAsia="MS Gothic" w:hAnsi="Calibri"/>
              <w:b/>
              <w:bCs/>
              <w:color w:val="4F81BD"/>
            </w:rPr>
          </w:pPr>
        </w:p>
      </w:tc>
    </w:tr>
  </w:tbl>
  <w:p w:rsidR="00AC3A7D" w:rsidRDefault="00AC3A7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3A7D" w:rsidRDefault="00AC3A7D">
    <w:pPr>
      <w:pStyle w:val="Footer"/>
    </w:pPr>
  </w:p>
  <w:p w:rsidR="00AC3A7D" w:rsidRDefault="00AC3A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05025"/>
      <w:docPartObj>
        <w:docPartGallery w:val="Page Numbers (Bottom of Page)"/>
        <w:docPartUnique/>
      </w:docPartObj>
    </w:sdtPr>
    <w:sdtEndPr>
      <w:rPr>
        <w:rFonts w:ascii="Arial" w:hAnsi="Arial" w:cs="Arial"/>
        <w:noProof/>
        <w:sz w:val="22"/>
        <w:szCs w:val="22"/>
      </w:rPr>
    </w:sdtEndPr>
    <w:sdtContent>
      <w:p w:rsidR="00AC3A7D" w:rsidRPr="007B4F28" w:rsidRDefault="00AC3A7D">
        <w:pPr>
          <w:pStyle w:val="Footer"/>
          <w:jc w:val="center"/>
          <w:rPr>
            <w:rFonts w:ascii="Arial" w:hAnsi="Arial" w:cs="Arial"/>
            <w:sz w:val="22"/>
            <w:szCs w:val="22"/>
          </w:rPr>
        </w:pPr>
        <w:r w:rsidRPr="007B4F28">
          <w:rPr>
            <w:rFonts w:ascii="Arial" w:hAnsi="Arial" w:cs="Arial"/>
            <w:sz w:val="22"/>
            <w:szCs w:val="22"/>
          </w:rPr>
          <w:fldChar w:fldCharType="begin"/>
        </w:r>
        <w:r w:rsidRPr="007B4F28">
          <w:rPr>
            <w:rFonts w:ascii="Arial" w:hAnsi="Arial" w:cs="Arial"/>
            <w:sz w:val="22"/>
            <w:szCs w:val="22"/>
          </w:rPr>
          <w:instrText xml:space="preserve"> PAGE   \* MERGEFORMAT </w:instrText>
        </w:r>
        <w:r w:rsidRPr="007B4F28">
          <w:rPr>
            <w:rFonts w:ascii="Arial" w:hAnsi="Arial" w:cs="Arial"/>
            <w:sz w:val="22"/>
            <w:szCs w:val="22"/>
          </w:rPr>
          <w:fldChar w:fldCharType="separate"/>
        </w:r>
        <w:r w:rsidR="00D96BBF">
          <w:rPr>
            <w:rFonts w:ascii="Arial" w:hAnsi="Arial" w:cs="Arial"/>
            <w:noProof/>
            <w:sz w:val="22"/>
            <w:szCs w:val="22"/>
          </w:rPr>
          <w:t>1</w:t>
        </w:r>
        <w:r w:rsidRPr="007B4F28">
          <w:rPr>
            <w:rFonts w:ascii="Arial" w:hAnsi="Arial" w:cs="Arial"/>
            <w:noProof/>
            <w:sz w:val="22"/>
            <w:szCs w:val="22"/>
          </w:rPr>
          <w:fldChar w:fldCharType="end"/>
        </w:r>
      </w:p>
    </w:sdtContent>
  </w:sdt>
  <w:p w:rsidR="00AC3A7D" w:rsidRDefault="00AC3A7D"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AC3A7D" w:rsidTr="005A3173">
      <w:trPr>
        <w:trHeight w:val="151"/>
      </w:trPr>
      <w:tc>
        <w:tcPr>
          <w:tcW w:w="2250" w:type="pct"/>
          <w:tcBorders>
            <w:top w:val="nil"/>
            <w:left w:val="nil"/>
            <w:bottom w:val="single" w:sz="4" w:space="0" w:color="4F81BD"/>
            <w:right w:val="nil"/>
          </w:tcBorders>
        </w:tcPr>
        <w:p w:rsidR="00AC3A7D" w:rsidRPr="005A3173" w:rsidRDefault="00AC3A7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C3A7D" w:rsidRPr="005A3173" w:rsidRDefault="00AC3A7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C3A7D" w:rsidRPr="005A3173" w:rsidRDefault="00AC3A7D" w:rsidP="005A3173">
          <w:pPr>
            <w:pStyle w:val="Header"/>
            <w:spacing w:line="276" w:lineRule="auto"/>
            <w:rPr>
              <w:rFonts w:ascii="Calibri" w:eastAsia="MS Gothic" w:hAnsi="Calibri"/>
              <w:b/>
              <w:bCs/>
              <w:color w:val="4F81BD"/>
            </w:rPr>
          </w:pPr>
        </w:p>
      </w:tc>
    </w:tr>
    <w:tr w:rsidR="00AC3A7D" w:rsidTr="005A3173">
      <w:trPr>
        <w:trHeight w:val="150"/>
      </w:trPr>
      <w:tc>
        <w:tcPr>
          <w:tcW w:w="2250" w:type="pct"/>
          <w:tcBorders>
            <w:top w:val="single" w:sz="4" w:space="0" w:color="4F81BD"/>
            <w:left w:val="nil"/>
            <w:bottom w:val="nil"/>
            <w:right w:val="nil"/>
          </w:tcBorders>
        </w:tcPr>
        <w:p w:rsidR="00AC3A7D" w:rsidRPr="005A3173" w:rsidRDefault="00AC3A7D" w:rsidP="005A3173">
          <w:pPr>
            <w:pStyle w:val="Header"/>
            <w:spacing w:line="276" w:lineRule="auto"/>
            <w:rPr>
              <w:rFonts w:ascii="Calibri" w:eastAsia="MS Gothic" w:hAnsi="Calibri"/>
              <w:b/>
              <w:bCs/>
              <w:color w:val="4F81BD"/>
            </w:rPr>
          </w:pPr>
        </w:p>
      </w:tc>
      <w:tc>
        <w:tcPr>
          <w:tcW w:w="0" w:type="auto"/>
          <w:vMerge/>
          <w:vAlign w:val="center"/>
          <w:hideMark/>
        </w:tcPr>
        <w:p w:rsidR="00AC3A7D" w:rsidRPr="005A3173" w:rsidRDefault="00AC3A7D" w:rsidP="005A3173">
          <w:pPr>
            <w:rPr>
              <w:rFonts w:ascii="Calibri" w:hAnsi="Calibri"/>
              <w:color w:val="365F91"/>
              <w:sz w:val="22"/>
              <w:szCs w:val="22"/>
            </w:rPr>
          </w:pPr>
        </w:p>
      </w:tc>
      <w:tc>
        <w:tcPr>
          <w:tcW w:w="2250" w:type="pct"/>
          <w:tcBorders>
            <w:top w:val="single" w:sz="4" w:space="0" w:color="4F81BD"/>
            <w:left w:val="nil"/>
            <w:bottom w:val="nil"/>
            <w:right w:val="nil"/>
          </w:tcBorders>
        </w:tcPr>
        <w:p w:rsidR="00AC3A7D" w:rsidRPr="005A3173" w:rsidRDefault="00AC3A7D"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C3A7D" w:rsidTr="005A3173">
      <w:trPr>
        <w:trHeight w:val="151"/>
      </w:trPr>
      <w:tc>
        <w:tcPr>
          <w:tcW w:w="2250" w:type="pct"/>
          <w:tcBorders>
            <w:top w:val="nil"/>
            <w:left w:val="nil"/>
            <w:bottom w:val="single" w:sz="4" w:space="0" w:color="4F81BD"/>
            <w:right w:val="nil"/>
          </w:tcBorders>
        </w:tcPr>
        <w:p w:rsidR="00AC3A7D" w:rsidRPr="005A3173" w:rsidRDefault="00AC3A7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C3A7D" w:rsidRPr="005A3173" w:rsidRDefault="00AC3A7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C3A7D" w:rsidRPr="005A3173" w:rsidRDefault="00AC3A7D" w:rsidP="005A3173">
          <w:pPr>
            <w:pStyle w:val="Header"/>
            <w:spacing w:line="276" w:lineRule="auto"/>
            <w:rPr>
              <w:rFonts w:ascii="Calibri" w:eastAsia="MS Gothic" w:hAnsi="Calibri"/>
              <w:b/>
              <w:bCs/>
              <w:color w:val="4F81BD"/>
            </w:rPr>
          </w:pPr>
        </w:p>
      </w:tc>
    </w:tr>
    <w:tr w:rsidR="00AC3A7D" w:rsidTr="005A3173">
      <w:trPr>
        <w:trHeight w:val="150"/>
      </w:trPr>
      <w:tc>
        <w:tcPr>
          <w:tcW w:w="2250" w:type="pct"/>
          <w:tcBorders>
            <w:top w:val="single" w:sz="4" w:space="0" w:color="4F81BD"/>
            <w:left w:val="nil"/>
            <w:bottom w:val="nil"/>
            <w:right w:val="nil"/>
          </w:tcBorders>
        </w:tcPr>
        <w:p w:rsidR="00AC3A7D" w:rsidRPr="005A3173" w:rsidRDefault="00AC3A7D" w:rsidP="005A3173">
          <w:pPr>
            <w:pStyle w:val="Header"/>
            <w:spacing w:line="276" w:lineRule="auto"/>
            <w:rPr>
              <w:rFonts w:ascii="Calibri" w:eastAsia="MS Gothic" w:hAnsi="Calibri"/>
              <w:b/>
              <w:bCs/>
              <w:color w:val="4F81BD"/>
            </w:rPr>
          </w:pPr>
        </w:p>
      </w:tc>
      <w:tc>
        <w:tcPr>
          <w:tcW w:w="0" w:type="auto"/>
          <w:vMerge/>
          <w:vAlign w:val="center"/>
          <w:hideMark/>
        </w:tcPr>
        <w:p w:rsidR="00AC3A7D" w:rsidRPr="005A3173" w:rsidRDefault="00AC3A7D" w:rsidP="005A3173">
          <w:pPr>
            <w:rPr>
              <w:rFonts w:ascii="Calibri" w:hAnsi="Calibri"/>
              <w:color w:val="365F91"/>
              <w:sz w:val="22"/>
              <w:szCs w:val="22"/>
            </w:rPr>
          </w:pPr>
        </w:p>
      </w:tc>
      <w:tc>
        <w:tcPr>
          <w:tcW w:w="2250" w:type="pct"/>
          <w:tcBorders>
            <w:top w:val="single" w:sz="4" w:space="0" w:color="4F81BD"/>
            <w:left w:val="nil"/>
            <w:bottom w:val="nil"/>
            <w:right w:val="nil"/>
          </w:tcBorders>
        </w:tcPr>
        <w:p w:rsidR="00AC3A7D" w:rsidRPr="005A3173" w:rsidRDefault="00AC3A7D" w:rsidP="005A3173">
          <w:pPr>
            <w:pStyle w:val="Header"/>
            <w:spacing w:line="276" w:lineRule="auto"/>
            <w:rPr>
              <w:rFonts w:ascii="Calibri" w:eastAsia="MS Gothic" w:hAnsi="Calibri"/>
              <w:b/>
              <w:bCs/>
              <w:color w:val="4F81BD"/>
            </w:rPr>
          </w:pPr>
        </w:p>
      </w:tc>
    </w:tr>
  </w:tbl>
  <w:p w:rsidR="00AC3A7D" w:rsidRPr="007C0F57" w:rsidRDefault="00AC3A7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AC3A7D" w:rsidRPr="007C0F57" w:rsidRDefault="00AC3A7D" w:rsidP="007C0F57">
    <w:pPr>
      <w:pStyle w:val="Footer"/>
      <w:jc w:val="center"/>
      <w:rPr>
        <w:b/>
        <w:i/>
        <w:sz w:val="20"/>
        <w:szCs w:val="20"/>
      </w:rPr>
    </w:pPr>
    <w:r w:rsidRPr="007C0F57">
      <w:rPr>
        <w:b/>
        <w:i/>
        <w:sz w:val="20"/>
        <w:szCs w:val="20"/>
      </w:rPr>
      <w:t>Commercial-in-Confidence</w:t>
    </w:r>
  </w:p>
  <w:p w:rsidR="00AC3A7D" w:rsidRDefault="00AC3A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BBF" w:rsidRDefault="00D96BBF">
      <w:r>
        <w:separator/>
      </w:r>
    </w:p>
    <w:p w:rsidR="00D96BBF" w:rsidRDefault="00D96BBF"/>
  </w:footnote>
  <w:footnote w:type="continuationSeparator" w:id="0">
    <w:p w:rsidR="00D96BBF" w:rsidRDefault="00D96BBF">
      <w:r>
        <w:continuationSeparator/>
      </w:r>
    </w:p>
    <w:p w:rsidR="00D96BBF" w:rsidRDefault="00D96B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C3A7D" w:rsidRPr="008E0D90" w:rsidTr="00A06225">
      <w:trPr>
        <w:trHeight w:val="151"/>
      </w:trPr>
      <w:tc>
        <w:tcPr>
          <w:tcW w:w="2389" w:type="pct"/>
          <w:tcBorders>
            <w:top w:val="nil"/>
            <w:left w:val="nil"/>
            <w:bottom w:val="single" w:sz="4" w:space="0" w:color="4F81BD"/>
            <w:right w:val="nil"/>
          </w:tcBorders>
        </w:tcPr>
        <w:p w:rsidR="00AC3A7D" w:rsidRPr="00A06225" w:rsidRDefault="00AC3A7D">
          <w:pPr>
            <w:pStyle w:val="Header"/>
            <w:spacing w:line="276" w:lineRule="auto"/>
            <w:rPr>
              <w:rFonts w:ascii="Cambria" w:eastAsia="MS Gothic" w:hAnsi="Cambria"/>
              <w:b/>
              <w:bCs/>
              <w:color w:val="4F81BD"/>
            </w:rPr>
          </w:pPr>
        </w:p>
      </w:tc>
      <w:tc>
        <w:tcPr>
          <w:tcW w:w="333" w:type="pct"/>
          <w:vMerge w:val="restart"/>
          <w:noWrap/>
          <w:vAlign w:val="center"/>
          <w:hideMark/>
        </w:tcPr>
        <w:p w:rsidR="00AC3A7D" w:rsidRPr="00A06225" w:rsidRDefault="00AC3A7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C3A7D" w:rsidRPr="00A06225" w:rsidRDefault="00AC3A7D">
          <w:pPr>
            <w:pStyle w:val="Header"/>
            <w:spacing w:line="276" w:lineRule="auto"/>
            <w:rPr>
              <w:rFonts w:ascii="Cambria" w:eastAsia="MS Gothic" w:hAnsi="Cambria"/>
              <w:b/>
              <w:bCs/>
              <w:color w:val="4F81BD"/>
            </w:rPr>
          </w:pPr>
        </w:p>
      </w:tc>
    </w:tr>
    <w:tr w:rsidR="00AC3A7D" w:rsidRPr="008E0D90" w:rsidTr="00A06225">
      <w:trPr>
        <w:trHeight w:val="150"/>
      </w:trPr>
      <w:tc>
        <w:tcPr>
          <w:tcW w:w="2389" w:type="pct"/>
          <w:tcBorders>
            <w:top w:val="single" w:sz="4" w:space="0" w:color="4F81BD"/>
            <w:left w:val="nil"/>
            <w:bottom w:val="nil"/>
            <w:right w:val="nil"/>
          </w:tcBorders>
        </w:tcPr>
        <w:p w:rsidR="00AC3A7D" w:rsidRPr="00A06225" w:rsidRDefault="00AC3A7D">
          <w:pPr>
            <w:pStyle w:val="Header"/>
            <w:spacing w:line="276" w:lineRule="auto"/>
            <w:rPr>
              <w:rFonts w:ascii="Cambria" w:eastAsia="MS Gothic" w:hAnsi="Cambria"/>
              <w:b/>
              <w:bCs/>
              <w:color w:val="4F81BD"/>
            </w:rPr>
          </w:pPr>
        </w:p>
      </w:tc>
      <w:tc>
        <w:tcPr>
          <w:tcW w:w="0" w:type="auto"/>
          <w:vMerge/>
          <w:vAlign w:val="center"/>
          <w:hideMark/>
        </w:tcPr>
        <w:p w:rsidR="00AC3A7D" w:rsidRPr="00A06225" w:rsidRDefault="00AC3A7D">
          <w:pPr>
            <w:rPr>
              <w:rFonts w:ascii="Cambria" w:hAnsi="Cambria"/>
              <w:color w:val="4F81BD"/>
              <w:sz w:val="22"/>
              <w:szCs w:val="22"/>
            </w:rPr>
          </w:pPr>
        </w:p>
      </w:tc>
      <w:tc>
        <w:tcPr>
          <w:tcW w:w="2278" w:type="pct"/>
          <w:tcBorders>
            <w:top w:val="single" w:sz="4" w:space="0" w:color="4F81BD"/>
            <w:left w:val="nil"/>
            <w:bottom w:val="nil"/>
            <w:right w:val="nil"/>
          </w:tcBorders>
        </w:tcPr>
        <w:p w:rsidR="00AC3A7D" w:rsidRPr="00A06225" w:rsidRDefault="00AC3A7D">
          <w:pPr>
            <w:pStyle w:val="Header"/>
            <w:spacing w:line="276" w:lineRule="auto"/>
            <w:rPr>
              <w:rFonts w:ascii="Cambria" w:eastAsia="MS Gothic" w:hAnsi="Cambria"/>
              <w:b/>
              <w:bCs/>
              <w:color w:val="4F81BD"/>
            </w:rPr>
          </w:pPr>
        </w:p>
      </w:tc>
    </w:tr>
  </w:tbl>
  <w:p w:rsidR="00AC3A7D" w:rsidRDefault="00AC3A7D">
    <w:pPr>
      <w:pStyle w:val="Header"/>
    </w:pPr>
  </w:p>
  <w:p w:rsidR="00AC3A7D" w:rsidRDefault="00AC3A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7D" w:rsidRPr="00DF217D" w:rsidRDefault="00AC3A7D" w:rsidP="007B4F28">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July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AC3A7D" w:rsidRDefault="00AC3A7D"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multilevel"/>
    <w:tmpl w:val="EAE8475A"/>
    <w:lvl w:ilvl="0">
      <w:start w:val="1"/>
      <w:numFmt w:val="decimal"/>
      <w:pStyle w:val="Heading1"/>
      <w:lvlText w:val="%1"/>
      <w:lvlJc w:val="left"/>
      <w:pPr>
        <w:tabs>
          <w:tab w:val="num" w:pos="643"/>
        </w:tabs>
        <w:ind w:left="643" w:hanging="360"/>
      </w:pPr>
      <w:rPr>
        <w:rFonts w:hint="default"/>
        <w:i w:val="0"/>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84D033C"/>
    <w:multiLevelType w:val="multilevel"/>
    <w:tmpl w:val="0F1C04D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0"/>
  </w:num>
  <w:num w:numId="4">
    <w:abstractNumId w:val="5"/>
  </w:num>
  <w:num w:numId="5">
    <w:abstractNumId w:val="3"/>
  </w:num>
  <w:num w:numId="6">
    <w:abstractNumId w:val="2"/>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21A1"/>
    <w:rsid w:val="0004240E"/>
    <w:rsid w:val="00045E26"/>
    <w:rsid w:val="000514B5"/>
    <w:rsid w:val="00060E64"/>
    <w:rsid w:val="00066755"/>
    <w:rsid w:val="00071D81"/>
    <w:rsid w:val="00075D1B"/>
    <w:rsid w:val="00077143"/>
    <w:rsid w:val="000969AD"/>
    <w:rsid w:val="000A4EBC"/>
    <w:rsid w:val="000B1825"/>
    <w:rsid w:val="000B2108"/>
    <w:rsid w:val="000B558D"/>
    <w:rsid w:val="000B7684"/>
    <w:rsid w:val="000C0C61"/>
    <w:rsid w:val="000C6996"/>
    <w:rsid w:val="000D23BA"/>
    <w:rsid w:val="000E681E"/>
    <w:rsid w:val="000F1AB7"/>
    <w:rsid w:val="000F4E6A"/>
    <w:rsid w:val="001107BF"/>
    <w:rsid w:val="0012417C"/>
    <w:rsid w:val="00142395"/>
    <w:rsid w:val="00142714"/>
    <w:rsid w:val="001452ED"/>
    <w:rsid w:val="001540F3"/>
    <w:rsid w:val="001827C7"/>
    <w:rsid w:val="001830CE"/>
    <w:rsid w:val="0018643B"/>
    <w:rsid w:val="00191CBA"/>
    <w:rsid w:val="00196307"/>
    <w:rsid w:val="001B017F"/>
    <w:rsid w:val="001B5129"/>
    <w:rsid w:val="001B5D20"/>
    <w:rsid w:val="001C00A0"/>
    <w:rsid w:val="001C1195"/>
    <w:rsid w:val="001D4868"/>
    <w:rsid w:val="001E5234"/>
    <w:rsid w:val="00203127"/>
    <w:rsid w:val="00204614"/>
    <w:rsid w:val="00213CFB"/>
    <w:rsid w:val="00216125"/>
    <w:rsid w:val="002258F2"/>
    <w:rsid w:val="002630EB"/>
    <w:rsid w:val="00271BA1"/>
    <w:rsid w:val="00277505"/>
    <w:rsid w:val="002818C4"/>
    <w:rsid w:val="0029458F"/>
    <w:rsid w:val="002949E9"/>
    <w:rsid w:val="002A104C"/>
    <w:rsid w:val="002A2646"/>
    <w:rsid w:val="002A270C"/>
    <w:rsid w:val="002A4960"/>
    <w:rsid w:val="002B1AE6"/>
    <w:rsid w:val="002B30F8"/>
    <w:rsid w:val="002C212F"/>
    <w:rsid w:val="002E3153"/>
    <w:rsid w:val="002E72CA"/>
    <w:rsid w:val="0030592B"/>
    <w:rsid w:val="00313A8A"/>
    <w:rsid w:val="00326E79"/>
    <w:rsid w:val="003367EF"/>
    <w:rsid w:val="00341AE4"/>
    <w:rsid w:val="0034366D"/>
    <w:rsid w:val="003531E9"/>
    <w:rsid w:val="00354182"/>
    <w:rsid w:val="00364797"/>
    <w:rsid w:val="003872CF"/>
    <w:rsid w:val="0039782C"/>
    <w:rsid w:val="003A05D5"/>
    <w:rsid w:val="003A5B4A"/>
    <w:rsid w:val="003B23C5"/>
    <w:rsid w:val="003B2A75"/>
    <w:rsid w:val="003C0658"/>
    <w:rsid w:val="003D4AC4"/>
    <w:rsid w:val="003D63B7"/>
    <w:rsid w:val="003E468B"/>
    <w:rsid w:val="003F2741"/>
    <w:rsid w:val="003F5C8C"/>
    <w:rsid w:val="004465BD"/>
    <w:rsid w:val="00465DBF"/>
    <w:rsid w:val="00466ADA"/>
    <w:rsid w:val="00475763"/>
    <w:rsid w:val="00476245"/>
    <w:rsid w:val="00485940"/>
    <w:rsid w:val="004A2484"/>
    <w:rsid w:val="004A5A85"/>
    <w:rsid w:val="004B5640"/>
    <w:rsid w:val="004C1BD7"/>
    <w:rsid w:val="004C691D"/>
    <w:rsid w:val="004E6371"/>
    <w:rsid w:val="004E692D"/>
    <w:rsid w:val="004F2483"/>
    <w:rsid w:val="00501554"/>
    <w:rsid w:val="00511869"/>
    <w:rsid w:val="00514CD7"/>
    <w:rsid w:val="00521BA4"/>
    <w:rsid w:val="005319B2"/>
    <w:rsid w:val="00532C74"/>
    <w:rsid w:val="00534E2E"/>
    <w:rsid w:val="00544552"/>
    <w:rsid w:val="00565F56"/>
    <w:rsid w:val="0056753F"/>
    <w:rsid w:val="00581932"/>
    <w:rsid w:val="005963BB"/>
    <w:rsid w:val="005A2A95"/>
    <w:rsid w:val="005A3173"/>
    <w:rsid w:val="005A3223"/>
    <w:rsid w:val="005A3DA3"/>
    <w:rsid w:val="005A52C4"/>
    <w:rsid w:val="005D03AB"/>
    <w:rsid w:val="005D2F66"/>
    <w:rsid w:val="005D5017"/>
    <w:rsid w:val="005F6EEA"/>
    <w:rsid w:val="0060103B"/>
    <w:rsid w:val="00601A91"/>
    <w:rsid w:val="00602BA3"/>
    <w:rsid w:val="006140E1"/>
    <w:rsid w:val="00614159"/>
    <w:rsid w:val="00617C00"/>
    <w:rsid w:val="00622992"/>
    <w:rsid w:val="006263BF"/>
    <w:rsid w:val="0062748A"/>
    <w:rsid w:val="00630A2C"/>
    <w:rsid w:val="00633D22"/>
    <w:rsid w:val="0063514A"/>
    <w:rsid w:val="00651169"/>
    <w:rsid w:val="00651EE9"/>
    <w:rsid w:val="00653D69"/>
    <w:rsid w:val="00670A76"/>
    <w:rsid w:val="006711AA"/>
    <w:rsid w:val="00672B57"/>
    <w:rsid w:val="00675622"/>
    <w:rsid w:val="006906DB"/>
    <w:rsid w:val="006A12A5"/>
    <w:rsid w:val="006B0D94"/>
    <w:rsid w:val="006B485D"/>
    <w:rsid w:val="006C708E"/>
    <w:rsid w:val="006D6EC7"/>
    <w:rsid w:val="006E10E6"/>
    <w:rsid w:val="006F4986"/>
    <w:rsid w:val="006F5125"/>
    <w:rsid w:val="0071101F"/>
    <w:rsid w:val="007174BB"/>
    <w:rsid w:val="00737620"/>
    <w:rsid w:val="007465F0"/>
    <w:rsid w:val="00754F93"/>
    <w:rsid w:val="0076420C"/>
    <w:rsid w:val="00772DCC"/>
    <w:rsid w:val="007735D1"/>
    <w:rsid w:val="007753C2"/>
    <w:rsid w:val="00777199"/>
    <w:rsid w:val="007838B8"/>
    <w:rsid w:val="00787511"/>
    <w:rsid w:val="007930A9"/>
    <w:rsid w:val="007A08EF"/>
    <w:rsid w:val="007B4F28"/>
    <w:rsid w:val="007C0F57"/>
    <w:rsid w:val="007C40B6"/>
    <w:rsid w:val="007C729F"/>
    <w:rsid w:val="007E1D28"/>
    <w:rsid w:val="007F2641"/>
    <w:rsid w:val="007F7C36"/>
    <w:rsid w:val="00802AB2"/>
    <w:rsid w:val="00806796"/>
    <w:rsid w:val="008151D6"/>
    <w:rsid w:val="00826F6D"/>
    <w:rsid w:val="008424CE"/>
    <w:rsid w:val="008432DE"/>
    <w:rsid w:val="00845D1D"/>
    <w:rsid w:val="00856DDD"/>
    <w:rsid w:val="00863E68"/>
    <w:rsid w:val="00864473"/>
    <w:rsid w:val="00882085"/>
    <w:rsid w:val="00883188"/>
    <w:rsid w:val="00884F59"/>
    <w:rsid w:val="00897D58"/>
    <w:rsid w:val="008A0CA3"/>
    <w:rsid w:val="008A1956"/>
    <w:rsid w:val="008A4937"/>
    <w:rsid w:val="008B1BF2"/>
    <w:rsid w:val="008D1B5C"/>
    <w:rsid w:val="008D3C82"/>
    <w:rsid w:val="008D447E"/>
    <w:rsid w:val="008D7A41"/>
    <w:rsid w:val="008E3680"/>
    <w:rsid w:val="008E5870"/>
    <w:rsid w:val="008F1434"/>
    <w:rsid w:val="008F7355"/>
    <w:rsid w:val="00906312"/>
    <w:rsid w:val="009067B7"/>
    <w:rsid w:val="00930937"/>
    <w:rsid w:val="00933E6C"/>
    <w:rsid w:val="0093551C"/>
    <w:rsid w:val="009406BE"/>
    <w:rsid w:val="00942160"/>
    <w:rsid w:val="009602C5"/>
    <w:rsid w:val="00974C21"/>
    <w:rsid w:val="00984629"/>
    <w:rsid w:val="00995E0F"/>
    <w:rsid w:val="009B0F67"/>
    <w:rsid w:val="009C703C"/>
    <w:rsid w:val="009D3CAA"/>
    <w:rsid w:val="009E154C"/>
    <w:rsid w:val="009F4E46"/>
    <w:rsid w:val="009F5B65"/>
    <w:rsid w:val="009F5F2E"/>
    <w:rsid w:val="00A03599"/>
    <w:rsid w:val="00A06225"/>
    <w:rsid w:val="00A128E6"/>
    <w:rsid w:val="00A37C8D"/>
    <w:rsid w:val="00A5273B"/>
    <w:rsid w:val="00A53A9D"/>
    <w:rsid w:val="00A53F5C"/>
    <w:rsid w:val="00A55FEE"/>
    <w:rsid w:val="00A62C1A"/>
    <w:rsid w:val="00A6426D"/>
    <w:rsid w:val="00A70622"/>
    <w:rsid w:val="00A70977"/>
    <w:rsid w:val="00A8390C"/>
    <w:rsid w:val="00A86450"/>
    <w:rsid w:val="00A928BD"/>
    <w:rsid w:val="00AA4D1C"/>
    <w:rsid w:val="00AC193C"/>
    <w:rsid w:val="00AC3A7D"/>
    <w:rsid w:val="00AC5206"/>
    <w:rsid w:val="00AE11A5"/>
    <w:rsid w:val="00AE13E2"/>
    <w:rsid w:val="00AF68CC"/>
    <w:rsid w:val="00B1059E"/>
    <w:rsid w:val="00B205AA"/>
    <w:rsid w:val="00B22E84"/>
    <w:rsid w:val="00B25F75"/>
    <w:rsid w:val="00B43E90"/>
    <w:rsid w:val="00B467DC"/>
    <w:rsid w:val="00B50C3E"/>
    <w:rsid w:val="00B51DAC"/>
    <w:rsid w:val="00B56118"/>
    <w:rsid w:val="00B6773F"/>
    <w:rsid w:val="00B801BA"/>
    <w:rsid w:val="00BA6A23"/>
    <w:rsid w:val="00BB60EF"/>
    <w:rsid w:val="00BB69F5"/>
    <w:rsid w:val="00BB7EC3"/>
    <w:rsid w:val="00BC4B9A"/>
    <w:rsid w:val="00BD784C"/>
    <w:rsid w:val="00BE71A3"/>
    <w:rsid w:val="00BF4CB6"/>
    <w:rsid w:val="00BF55AB"/>
    <w:rsid w:val="00C00DA7"/>
    <w:rsid w:val="00C12768"/>
    <w:rsid w:val="00C27B58"/>
    <w:rsid w:val="00C32C19"/>
    <w:rsid w:val="00C34507"/>
    <w:rsid w:val="00C35996"/>
    <w:rsid w:val="00C374B4"/>
    <w:rsid w:val="00C5342C"/>
    <w:rsid w:val="00C603D4"/>
    <w:rsid w:val="00C6256A"/>
    <w:rsid w:val="00C91449"/>
    <w:rsid w:val="00C92D10"/>
    <w:rsid w:val="00CA433F"/>
    <w:rsid w:val="00CA76E4"/>
    <w:rsid w:val="00CE10C4"/>
    <w:rsid w:val="00CE27B5"/>
    <w:rsid w:val="00CF6FE4"/>
    <w:rsid w:val="00D0321E"/>
    <w:rsid w:val="00D1455A"/>
    <w:rsid w:val="00D25CFC"/>
    <w:rsid w:val="00D3138B"/>
    <w:rsid w:val="00D3280C"/>
    <w:rsid w:val="00D3406A"/>
    <w:rsid w:val="00D469B2"/>
    <w:rsid w:val="00D55DC2"/>
    <w:rsid w:val="00D741EB"/>
    <w:rsid w:val="00D84934"/>
    <w:rsid w:val="00D91271"/>
    <w:rsid w:val="00D96BBF"/>
    <w:rsid w:val="00D97C40"/>
    <w:rsid w:val="00DA2CB5"/>
    <w:rsid w:val="00DA4BAC"/>
    <w:rsid w:val="00DB08B5"/>
    <w:rsid w:val="00DE6D27"/>
    <w:rsid w:val="00DF217D"/>
    <w:rsid w:val="00DF26A7"/>
    <w:rsid w:val="00E004E5"/>
    <w:rsid w:val="00E12392"/>
    <w:rsid w:val="00E164B3"/>
    <w:rsid w:val="00E16910"/>
    <w:rsid w:val="00E3184C"/>
    <w:rsid w:val="00E42BF8"/>
    <w:rsid w:val="00E65E54"/>
    <w:rsid w:val="00E80155"/>
    <w:rsid w:val="00E848C0"/>
    <w:rsid w:val="00E91B96"/>
    <w:rsid w:val="00E941A1"/>
    <w:rsid w:val="00E95CE3"/>
    <w:rsid w:val="00E96C19"/>
    <w:rsid w:val="00EA2825"/>
    <w:rsid w:val="00EB5088"/>
    <w:rsid w:val="00ED1549"/>
    <w:rsid w:val="00ED1644"/>
    <w:rsid w:val="00ED2593"/>
    <w:rsid w:val="00EE0BE9"/>
    <w:rsid w:val="00EF44A0"/>
    <w:rsid w:val="00EF4FED"/>
    <w:rsid w:val="00F050BD"/>
    <w:rsid w:val="00F05657"/>
    <w:rsid w:val="00F25578"/>
    <w:rsid w:val="00F258E5"/>
    <w:rsid w:val="00F300BC"/>
    <w:rsid w:val="00F3334E"/>
    <w:rsid w:val="00F50EC4"/>
    <w:rsid w:val="00F57A6D"/>
    <w:rsid w:val="00F609EC"/>
    <w:rsid w:val="00F62EE9"/>
    <w:rsid w:val="00F638CC"/>
    <w:rsid w:val="00F64CC1"/>
    <w:rsid w:val="00F70A8E"/>
    <w:rsid w:val="00F8247A"/>
    <w:rsid w:val="00F9629A"/>
    <w:rsid w:val="00FA5883"/>
    <w:rsid w:val="00FA6055"/>
    <w:rsid w:val="00FB322F"/>
    <w:rsid w:val="00FB4245"/>
    <w:rsid w:val="00FB442F"/>
    <w:rsid w:val="00FC1929"/>
    <w:rsid w:val="00FC5B46"/>
    <w:rsid w:val="00FC62FF"/>
    <w:rsid w:val="00FD2E7F"/>
    <w:rsid w:val="00FE0E94"/>
    <w:rsid w:val="00FF00BD"/>
    <w:rsid w:val="00FF05AC"/>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9406BE"/>
    <w:pPr>
      <w:numPr>
        <w:numId w:val="3"/>
      </w:numPr>
      <w:tabs>
        <w:tab w:val="clear" w:pos="643"/>
        <w:tab w:val="num" w:pos="709"/>
      </w:tabs>
      <w:ind w:left="709" w:hanging="709"/>
      <w:jc w:val="both"/>
      <w:outlineLvl w:val="0"/>
    </w:pPr>
    <w:rPr>
      <w:rFonts w:ascii="Arial" w:hAnsi="Arial"/>
      <w:b/>
      <w:sz w:val="22"/>
      <w:szCs w:val="22"/>
    </w:rPr>
  </w:style>
  <w:style w:type="paragraph" w:styleId="Heading2">
    <w:name w:val="heading 2"/>
    <w:basedOn w:val="Normal"/>
    <w:next w:val="Normal"/>
    <w:qFormat/>
    <w:rsid w:val="009406BE"/>
    <w:pPr>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9406BE"/>
    <w:pPr>
      <w:spacing w:after="300"/>
      <w:contextualSpacing/>
      <w:outlineLvl w:val="0"/>
    </w:pPr>
    <w:rPr>
      <w:rFonts w:ascii="Arial Bold" w:eastAsiaTheme="majorEastAsia" w:hAnsi="Arial Bold" w:cstheme="majorBidi"/>
      <w:b/>
      <w:spacing w:val="5"/>
      <w:kern w:val="28"/>
      <w:sz w:val="28"/>
      <w:szCs w:val="28"/>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9406BE"/>
    <w:rPr>
      <w:rFonts w:ascii="Arial Bold" w:eastAsiaTheme="majorEastAsia" w:hAnsi="Arial Bold" w:cstheme="majorBidi"/>
      <w:b/>
      <w:spacing w:val="5"/>
      <w:kern w:val="28"/>
      <w:sz w:val="28"/>
      <w:szCs w:val="28"/>
    </w:rPr>
  </w:style>
  <w:style w:type="character" w:customStyle="1" w:styleId="ListParagraphChar">
    <w:name w:val="List Paragraph Char"/>
    <w:basedOn w:val="DefaultParagraphFont"/>
    <w:link w:val="ListParagraph"/>
    <w:uiPriority w:val="72"/>
    <w:rsid w:val="00077143"/>
    <w:rPr>
      <w:sz w:val="24"/>
      <w:szCs w:val="24"/>
    </w:rPr>
  </w:style>
  <w:style w:type="paragraph" w:customStyle="1" w:styleId="PBACHeading1">
    <w:name w:val="PBAC Heading 1"/>
    <w:qFormat/>
    <w:rsid w:val="00565F56"/>
    <w:pPr>
      <w:ind w:left="720" w:hanging="720"/>
      <w:outlineLvl w:val="0"/>
    </w:pPr>
    <w:rPr>
      <w:rFonts w:ascii="Arial" w:hAnsi="Arial" w:cs="Arial"/>
      <w:b/>
      <w:snapToGrid w:val="0"/>
      <w:sz w:val="22"/>
      <w:szCs w:val="22"/>
      <w:lang w:eastAsia="en-US"/>
    </w:rPr>
  </w:style>
  <w:style w:type="character" w:styleId="IntenseReference">
    <w:name w:val="Intense Reference"/>
    <w:basedOn w:val="DefaultParagraphFont"/>
    <w:uiPriority w:val="32"/>
    <w:rsid w:val="00565F56"/>
    <w:rPr>
      <w:b/>
      <w:bCs/>
      <w:smallCaps/>
      <w:color w:val="C0504D" w:themeColor="accent2"/>
      <w:spacing w:val="5"/>
      <w:u w:val="single"/>
    </w:rPr>
  </w:style>
  <w:style w:type="paragraph" w:customStyle="1" w:styleId="PBACheading10">
    <w:name w:val="PBAC heading 1"/>
    <w:qFormat/>
    <w:rsid w:val="007930A9"/>
    <w:pPr>
      <w:ind w:left="720" w:hanging="720"/>
    </w:pPr>
    <w:rPr>
      <w:rFonts w:ascii="Arial"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9406BE"/>
    <w:pPr>
      <w:numPr>
        <w:numId w:val="3"/>
      </w:numPr>
      <w:tabs>
        <w:tab w:val="clear" w:pos="643"/>
        <w:tab w:val="num" w:pos="709"/>
      </w:tabs>
      <w:ind w:left="709" w:hanging="709"/>
      <w:jc w:val="both"/>
      <w:outlineLvl w:val="0"/>
    </w:pPr>
    <w:rPr>
      <w:rFonts w:ascii="Arial" w:hAnsi="Arial"/>
      <w:b/>
      <w:sz w:val="22"/>
      <w:szCs w:val="22"/>
    </w:rPr>
  </w:style>
  <w:style w:type="paragraph" w:styleId="Heading2">
    <w:name w:val="heading 2"/>
    <w:basedOn w:val="Normal"/>
    <w:next w:val="Normal"/>
    <w:qFormat/>
    <w:rsid w:val="009406BE"/>
    <w:pPr>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9406BE"/>
    <w:pPr>
      <w:spacing w:after="300"/>
      <w:contextualSpacing/>
      <w:outlineLvl w:val="0"/>
    </w:pPr>
    <w:rPr>
      <w:rFonts w:ascii="Arial Bold" w:eastAsiaTheme="majorEastAsia" w:hAnsi="Arial Bold" w:cstheme="majorBidi"/>
      <w:b/>
      <w:spacing w:val="5"/>
      <w:kern w:val="28"/>
      <w:sz w:val="28"/>
      <w:szCs w:val="28"/>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9406BE"/>
    <w:rPr>
      <w:rFonts w:ascii="Arial Bold" w:eastAsiaTheme="majorEastAsia" w:hAnsi="Arial Bold" w:cstheme="majorBidi"/>
      <w:b/>
      <w:spacing w:val="5"/>
      <w:kern w:val="28"/>
      <w:sz w:val="28"/>
      <w:szCs w:val="28"/>
    </w:rPr>
  </w:style>
  <w:style w:type="character" w:customStyle="1" w:styleId="ListParagraphChar">
    <w:name w:val="List Paragraph Char"/>
    <w:basedOn w:val="DefaultParagraphFont"/>
    <w:link w:val="ListParagraph"/>
    <w:uiPriority w:val="72"/>
    <w:rsid w:val="00077143"/>
    <w:rPr>
      <w:sz w:val="24"/>
      <w:szCs w:val="24"/>
    </w:rPr>
  </w:style>
  <w:style w:type="paragraph" w:customStyle="1" w:styleId="PBACHeading1">
    <w:name w:val="PBAC Heading 1"/>
    <w:qFormat/>
    <w:rsid w:val="00565F56"/>
    <w:pPr>
      <w:ind w:left="720" w:hanging="720"/>
      <w:outlineLvl w:val="0"/>
    </w:pPr>
    <w:rPr>
      <w:rFonts w:ascii="Arial" w:hAnsi="Arial" w:cs="Arial"/>
      <w:b/>
      <w:snapToGrid w:val="0"/>
      <w:sz w:val="22"/>
      <w:szCs w:val="22"/>
      <w:lang w:eastAsia="en-US"/>
    </w:rPr>
  </w:style>
  <w:style w:type="character" w:styleId="IntenseReference">
    <w:name w:val="Intense Reference"/>
    <w:basedOn w:val="DefaultParagraphFont"/>
    <w:uiPriority w:val="32"/>
    <w:rsid w:val="00565F56"/>
    <w:rPr>
      <w:b/>
      <w:bCs/>
      <w:smallCaps/>
      <w:color w:val="C0504D" w:themeColor="accent2"/>
      <w:spacing w:val="5"/>
      <w:u w:val="single"/>
    </w:rPr>
  </w:style>
  <w:style w:type="paragraph" w:customStyle="1" w:styleId="PBACheading10">
    <w:name w:val="PBAC heading 1"/>
    <w:qFormat/>
    <w:rsid w:val="007930A9"/>
    <w:pPr>
      <w:ind w:left="720" w:hanging="720"/>
    </w:pPr>
    <w:rPr>
      <w:rFonts w:ascii="Arial"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27556454">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54783276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7578195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78473-EB81-4497-9E79-ADD35A81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2016-09-23T06:32:00Z</dcterms:created>
  <dcterms:modified xsi:type="dcterms:W3CDTF">2016-09-23T06:33:00Z</dcterms:modified>
</cp:coreProperties>
</file>