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2A3AC0" w:rsidP="0018643B">
      <w:pPr>
        <w:pStyle w:val="Title"/>
        <w:rPr>
          <w:szCs w:val="28"/>
        </w:rPr>
      </w:pPr>
      <w:r>
        <w:rPr>
          <w:szCs w:val="28"/>
        </w:rPr>
        <w:t>7.03</w:t>
      </w:r>
      <w:r w:rsidR="007C0F57" w:rsidRPr="006D6EC7">
        <w:rPr>
          <w:szCs w:val="28"/>
        </w:rPr>
        <w:tab/>
      </w:r>
      <w:r>
        <w:rPr>
          <w:szCs w:val="28"/>
        </w:rPr>
        <w:t>DENOSUMAB</w:t>
      </w:r>
    </w:p>
    <w:p w:rsidR="00C27B58" w:rsidRDefault="002A3AC0" w:rsidP="0018643B">
      <w:pPr>
        <w:pStyle w:val="Title"/>
        <w:ind w:left="720"/>
        <w:rPr>
          <w:szCs w:val="28"/>
        </w:rPr>
      </w:pPr>
      <w:r>
        <w:rPr>
          <w:szCs w:val="28"/>
        </w:rPr>
        <w:t>Injection 120 mg in 1.7 mL</w:t>
      </w:r>
    </w:p>
    <w:p w:rsidR="00C27B58" w:rsidRPr="006D4E2A" w:rsidRDefault="002A3AC0" w:rsidP="006D4E2A">
      <w:pPr>
        <w:pStyle w:val="Title"/>
        <w:ind w:left="720"/>
        <w:rPr>
          <w:szCs w:val="28"/>
        </w:rPr>
      </w:pPr>
      <w:r>
        <w:rPr>
          <w:szCs w:val="28"/>
        </w:rPr>
        <w:t>Xgeva</w:t>
      </w:r>
      <w:r w:rsidR="0004240E" w:rsidRPr="006D6EC7">
        <w:rPr>
          <w:szCs w:val="28"/>
          <w:vertAlign w:val="superscript"/>
        </w:rPr>
        <w:t>®</w:t>
      </w:r>
      <w:r w:rsidR="00EF44A0">
        <w:rPr>
          <w:szCs w:val="28"/>
        </w:rPr>
        <w:t xml:space="preserve">, </w:t>
      </w:r>
      <w:r>
        <w:rPr>
          <w:szCs w:val="28"/>
        </w:rPr>
        <w:t>Amgen Australia Pty Ltd</w:t>
      </w:r>
    </w:p>
    <w:p w:rsidR="00CE10C4" w:rsidRPr="00C603D4" w:rsidRDefault="00CE10C4" w:rsidP="006D4E2A">
      <w:pPr>
        <w:pStyle w:val="Heading1"/>
        <w:keepNext/>
        <w:keepLines/>
        <w:numPr>
          <w:ilvl w:val="0"/>
          <w:numId w:val="4"/>
        </w:numPr>
      </w:pPr>
      <w:r w:rsidRPr="00C603D4">
        <w:t xml:space="preserve">Purpose of </w:t>
      </w:r>
      <w:r w:rsidR="0004240E" w:rsidRPr="00C603D4">
        <w:t>Application</w:t>
      </w:r>
    </w:p>
    <w:p w:rsidR="006A12A5" w:rsidRPr="00882085" w:rsidRDefault="006A12A5" w:rsidP="00882085">
      <w:pPr>
        <w:jc w:val="both"/>
        <w:rPr>
          <w:rFonts w:ascii="Arial" w:hAnsi="Arial"/>
          <w:sz w:val="22"/>
          <w:szCs w:val="22"/>
        </w:rPr>
      </w:pPr>
    </w:p>
    <w:p w:rsidR="00EF44A0" w:rsidRPr="00920E36" w:rsidRDefault="00EF44A0" w:rsidP="00C27B58">
      <w:pPr>
        <w:pStyle w:val="ListParagraph"/>
        <w:numPr>
          <w:ilvl w:val="1"/>
          <w:numId w:val="4"/>
        </w:numPr>
        <w:jc w:val="both"/>
        <w:rPr>
          <w:rFonts w:ascii="Arial" w:hAnsi="Arial"/>
          <w:b/>
          <w:sz w:val="22"/>
          <w:szCs w:val="22"/>
        </w:rPr>
      </w:pPr>
      <w:r>
        <w:rPr>
          <w:rFonts w:ascii="Arial" w:hAnsi="Arial"/>
          <w:sz w:val="22"/>
          <w:szCs w:val="22"/>
        </w:rPr>
        <w:t>The mi</w:t>
      </w:r>
      <w:r w:rsidR="00FF2801">
        <w:rPr>
          <w:rFonts w:ascii="Arial" w:hAnsi="Arial"/>
          <w:sz w:val="22"/>
          <w:szCs w:val="22"/>
        </w:rPr>
        <w:t xml:space="preserve">nor </w:t>
      </w:r>
      <w:r w:rsidR="002A3AC0">
        <w:rPr>
          <w:rFonts w:ascii="Arial" w:hAnsi="Arial"/>
          <w:sz w:val="22"/>
          <w:szCs w:val="22"/>
        </w:rPr>
        <w:t>re-</w:t>
      </w:r>
      <w:r w:rsidR="00FF2801">
        <w:rPr>
          <w:rFonts w:ascii="Arial" w:hAnsi="Arial"/>
          <w:sz w:val="22"/>
          <w:szCs w:val="22"/>
        </w:rPr>
        <w:t xml:space="preserve">submission sought </w:t>
      </w:r>
      <w:r w:rsidR="00E85EAA">
        <w:rPr>
          <w:rFonts w:ascii="Arial" w:hAnsi="Arial"/>
          <w:sz w:val="22"/>
          <w:szCs w:val="22"/>
        </w:rPr>
        <w:t>an Authority Required (Strea</w:t>
      </w:r>
      <w:r w:rsidR="00EC1EE9">
        <w:rPr>
          <w:rFonts w:ascii="Arial" w:hAnsi="Arial"/>
          <w:sz w:val="22"/>
          <w:szCs w:val="22"/>
        </w:rPr>
        <w:t>mlined</w:t>
      </w:r>
      <w:r w:rsidR="00E85EAA">
        <w:rPr>
          <w:rFonts w:ascii="Arial" w:hAnsi="Arial"/>
          <w:sz w:val="22"/>
          <w:szCs w:val="22"/>
        </w:rPr>
        <w:t>)</w:t>
      </w:r>
      <w:r w:rsidR="002A3AC0">
        <w:rPr>
          <w:rFonts w:ascii="Arial" w:hAnsi="Arial"/>
          <w:sz w:val="22"/>
          <w:szCs w:val="22"/>
        </w:rPr>
        <w:t xml:space="preserve"> listing of deno</w:t>
      </w:r>
      <w:r w:rsidR="00D4055D">
        <w:rPr>
          <w:rFonts w:ascii="Arial" w:hAnsi="Arial"/>
          <w:sz w:val="22"/>
          <w:szCs w:val="22"/>
        </w:rPr>
        <w:t xml:space="preserve">sumab for the treatment </w:t>
      </w:r>
      <w:r w:rsidR="009531ED">
        <w:rPr>
          <w:rFonts w:ascii="Arial" w:hAnsi="Arial"/>
          <w:sz w:val="22"/>
          <w:szCs w:val="22"/>
        </w:rPr>
        <w:t xml:space="preserve">of </w:t>
      </w:r>
      <w:r w:rsidR="00D4055D">
        <w:rPr>
          <w:rFonts w:ascii="Arial" w:hAnsi="Arial"/>
          <w:sz w:val="22"/>
          <w:szCs w:val="22"/>
        </w:rPr>
        <w:t>bisphosphonate</w:t>
      </w:r>
      <w:r w:rsidR="002A3AC0">
        <w:rPr>
          <w:rFonts w:ascii="Arial" w:hAnsi="Arial"/>
          <w:sz w:val="22"/>
          <w:szCs w:val="22"/>
        </w:rPr>
        <w:t>-refractory hypercalcaemia</w:t>
      </w:r>
      <w:r w:rsidR="00EC1EE9">
        <w:rPr>
          <w:rFonts w:ascii="Arial" w:hAnsi="Arial"/>
          <w:sz w:val="22"/>
          <w:szCs w:val="22"/>
        </w:rPr>
        <w:t xml:space="preserve"> of malignancy (HCM)</w:t>
      </w:r>
      <w:r w:rsidR="002A3AC0">
        <w:rPr>
          <w:rFonts w:ascii="Arial" w:hAnsi="Arial"/>
          <w:sz w:val="22"/>
          <w:szCs w:val="22"/>
        </w:rPr>
        <w:t xml:space="preserve"> on a cost-minimisation basis with zoledronic acid.</w:t>
      </w:r>
    </w:p>
    <w:p w:rsidR="009531ED" w:rsidRPr="00C27B58" w:rsidRDefault="009531ED" w:rsidP="00C27B58">
      <w:pPr>
        <w:pStyle w:val="NoSpacing"/>
      </w:pPr>
    </w:p>
    <w:p w:rsidR="00077143" w:rsidRPr="00077143" w:rsidRDefault="006A12A5" w:rsidP="00182BB2">
      <w:pPr>
        <w:pStyle w:val="Heading1"/>
        <w:numPr>
          <w:ilvl w:val="0"/>
          <w:numId w:val="4"/>
        </w:numPr>
      </w:pPr>
      <w:r w:rsidRPr="004A2484">
        <w:t>Requested listing</w:t>
      </w:r>
      <w:r w:rsidR="00077143">
        <w:t xml:space="preserve"> </w:t>
      </w:r>
    </w:p>
    <w:p w:rsidR="006A12A5" w:rsidRPr="00882085" w:rsidRDefault="006A12A5" w:rsidP="00882085">
      <w:pPr>
        <w:jc w:val="both"/>
        <w:rPr>
          <w:rFonts w:ascii="Arial" w:hAnsi="Arial"/>
          <w:b/>
          <w:sz w:val="22"/>
          <w:szCs w:val="22"/>
        </w:rPr>
      </w:pPr>
    </w:p>
    <w:p w:rsidR="00826F6D" w:rsidRPr="00D8641D" w:rsidRDefault="00EF44A0" w:rsidP="00C27B58">
      <w:pPr>
        <w:pStyle w:val="ListParagraph"/>
        <w:numPr>
          <w:ilvl w:val="1"/>
          <w:numId w:val="4"/>
        </w:numPr>
        <w:jc w:val="both"/>
      </w:pPr>
      <w:r w:rsidRPr="001A2E81">
        <w:rPr>
          <w:rFonts w:ascii="Arial" w:hAnsi="Arial"/>
          <w:sz w:val="22"/>
          <w:szCs w:val="22"/>
        </w:rPr>
        <w:t xml:space="preserve">The </w:t>
      </w:r>
      <w:r w:rsidR="004E3696" w:rsidRPr="001A2E81">
        <w:rPr>
          <w:rFonts w:ascii="Arial" w:hAnsi="Arial"/>
          <w:sz w:val="22"/>
          <w:szCs w:val="22"/>
        </w:rPr>
        <w:t>minor re-</w:t>
      </w:r>
      <w:r w:rsidRPr="001A2E81">
        <w:rPr>
          <w:rFonts w:ascii="Arial" w:hAnsi="Arial"/>
          <w:sz w:val="22"/>
          <w:szCs w:val="22"/>
        </w:rPr>
        <w:t xml:space="preserve">submission </w:t>
      </w:r>
      <w:r w:rsidR="00FF2801" w:rsidRPr="001A2E81">
        <w:rPr>
          <w:rFonts w:ascii="Arial" w:hAnsi="Arial"/>
          <w:sz w:val="22"/>
          <w:szCs w:val="22"/>
        </w:rPr>
        <w:t>requested</w:t>
      </w:r>
      <w:r w:rsidRPr="001A2E81">
        <w:rPr>
          <w:rFonts w:ascii="Arial" w:hAnsi="Arial"/>
          <w:sz w:val="22"/>
          <w:szCs w:val="22"/>
        </w:rPr>
        <w:t xml:space="preserve"> the following </w:t>
      </w:r>
      <w:r w:rsidR="0076420C" w:rsidRPr="001A2E81">
        <w:rPr>
          <w:rFonts w:ascii="Arial" w:hAnsi="Arial"/>
          <w:sz w:val="22"/>
          <w:szCs w:val="22"/>
        </w:rPr>
        <w:t xml:space="preserve">new </w:t>
      </w:r>
      <w:r w:rsidRPr="001A2E81">
        <w:rPr>
          <w:rFonts w:ascii="Arial" w:hAnsi="Arial"/>
          <w:sz w:val="22"/>
          <w:szCs w:val="22"/>
        </w:rPr>
        <w:t>listing</w:t>
      </w:r>
      <w:r w:rsidR="00826F6D" w:rsidRPr="001A2E81">
        <w:rPr>
          <w:rFonts w:ascii="Arial" w:hAnsi="Arial"/>
          <w:sz w:val="22"/>
          <w:szCs w:val="22"/>
        </w:rPr>
        <w:t>:</w:t>
      </w:r>
      <w:r w:rsidRPr="001A2E81">
        <w:rPr>
          <w:rFonts w:ascii="Arial" w:hAnsi="Arial"/>
          <w:sz w:val="22"/>
          <w:szCs w:val="22"/>
        </w:rPr>
        <w:t xml:space="preserve"> </w:t>
      </w:r>
    </w:p>
    <w:p w:rsidR="00D8641D" w:rsidRPr="00C27B58" w:rsidRDefault="00D8641D" w:rsidP="00D8641D">
      <w:pPr>
        <w:pStyle w:val="ListParagraph"/>
        <w:jc w:val="both"/>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920E36">
        <w:trPr>
          <w:cantSplit/>
          <w:trHeight w:val="471"/>
          <w:tblHeader/>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826F6D" w:rsidRPr="00260CE3" w:rsidRDefault="002A3AC0" w:rsidP="00C27B58">
            <w:pPr>
              <w:keepNext/>
              <w:ind w:left="-108"/>
              <w:jc w:val="both"/>
              <w:rPr>
                <w:rFonts w:ascii="Arial Narrow" w:hAnsi="Arial Narrow" w:cs="Arial"/>
                <w:sz w:val="20"/>
                <w:szCs w:val="20"/>
              </w:rPr>
            </w:pPr>
            <w:r>
              <w:rPr>
                <w:rFonts w:ascii="Arial Narrow" w:hAnsi="Arial Narrow" w:cs="Arial"/>
                <w:smallCaps/>
                <w:sz w:val="20"/>
                <w:szCs w:val="20"/>
              </w:rPr>
              <w:t>DENOSUMAB</w:t>
            </w:r>
          </w:p>
          <w:p w:rsidR="002A3AC0" w:rsidRPr="002A3AC0" w:rsidRDefault="002A3AC0" w:rsidP="002A3AC0">
            <w:pPr>
              <w:keepNext/>
              <w:ind w:left="-108"/>
              <w:jc w:val="both"/>
              <w:rPr>
                <w:rFonts w:ascii="Arial Narrow" w:hAnsi="Arial Narrow" w:cs="Arial"/>
                <w:sz w:val="20"/>
                <w:szCs w:val="20"/>
              </w:rPr>
            </w:pPr>
            <w:r w:rsidRPr="002A3AC0">
              <w:rPr>
                <w:rFonts w:ascii="Arial Narrow" w:hAnsi="Arial Narrow" w:cs="Arial"/>
                <w:sz w:val="20"/>
                <w:szCs w:val="20"/>
              </w:rPr>
              <w:t xml:space="preserve">120mg/1.7mL injection, 1 x 1.7mL </w:t>
            </w:r>
          </w:p>
          <w:p w:rsidR="00826F6D" w:rsidRPr="00260CE3" w:rsidRDefault="007C433D" w:rsidP="002A3AC0">
            <w:pPr>
              <w:keepNext/>
              <w:ind w:left="-108"/>
              <w:jc w:val="both"/>
              <w:rPr>
                <w:rFonts w:ascii="Arial Narrow" w:hAnsi="Arial Narrow" w:cs="Arial"/>
                <w:sz w:val="20"/>
                <w:szCs w:val="20"/>
              </w:rPr>
            </w:pPr>
            <w:r w:rsidRPr="002A3AC0">
              <w:rPr>
                <w:rFonts w:ascii="Arial Narrow" w:hAnsi="Arial Narrow" w:cs="Arial"/>
                <w:sz w:val="20"/>
                <w:szCs w:val="20"/>
              </w:rPr>
              <w:t>V</w:t>
            </w:r>
            <w:r w:rsidR="002A3AC0" w:rsidRPr="002A3AC0">
              <w:rPr>
                <w:rFonts w:ascii="Arial Narrow" w:hAnsi="Arial Narrow" w:cs="Arial"/>
                <w:sz w:val="20"/>
                <w:szCs w:val="20"/>
              </w:rPr>
              <w:t>ial</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2A3AC0" w:rsidP="002A3AC0">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826F6D" w:rsidRDefault="00826F6D" w:rsidP="00C27B58">
            <w:pPr>
              <w:keepNext/>
              <w:ind w:left="-108"/>
              <w:jc w:val="both"/>
              <w:rPr>
                <w:rFonts w:ascii="Arial Narrow" w:hAnsi="Arial Narrow" w:cs="Arial"/>
                <w:sz w:val="20"/>
                <w:szCs w:val="20"/>
              </w:rPr>
            </w:pPr>
          </w:p>
          <w:p w:rsidR="002A3AC0" w:rsidRPr="00260CE3" w:rsidRDefault="002A3AC0" w:rsidP="00C27B5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2A3AC0" w:rsidRDefault="002A3AC0" w:rsidP="00C27B58">
            <w:pPr>
              <w:keepNext/>
              <w:ind w:left="-108"/>
              <w:jc w:val="both"/>
              <w:rPr>
                <w:rFonts w:ascii="Arial Narrow" w:hAnsi="Arial Narrow" w:cs="Arial"/>
                <w:sz w:val="20"/>
                <w:szCs w:val="20"/>
              </w:rPr>
            </w:pPr>
          </w:p>
          <w:p w:rsidR="00826F6D" w:rsidRPr="00260CE3" w:rsidRDefault="002A3AC0" w:rsidP="00C27B58">
            <w:pPr>
              <w:keepNext/>
              <w:ind w:left="-108"/>
              <w:jc w:val="both"/>
              <w:rPr>
                <w:rFonts w:ascii="Arial Narrow" w:hAnsi="Arial Narrow" w:cs="Arial"/>
                <w:sz w:val="20"/>
                <w:szCs w:val="20"/>
              </w:rPr>
            </w:pPr>
            <w:r>
              <w:rPr>
                <w:rFonts w:ascii="Arial Narrow" w:hAnsi="Arial Narrow" w:cs="Arial"/>
                <w:sz w:val="20"/>
                <w:szCs w:val="20"/>
              </w:rPr>
              <w:t>$</w:t>
            </w:r>
            <w:r w:rsidR="002333A0">
              <w:rPr>
                <w:rFonts w:ascii="Arial Narrow" w:hAnsi="Arial Narrow" w:cs="Arial"/>
                <w:noProof/>
                <w:color w:val="000000"/>
                <w:sz w:val="20"/>
                <w:szCs w:val="20"/>
                <w:highlight w:val="black"/>
              </w:rPr>
              <w:t>'''''''''''''''</w:t>
            </w:r>
          </w:p>
        </w:tc>
        <w:tc>
          <w:tcPr>
            <w:tcW w:w="1275" w:type="dxa"/>
          </w:tcPr>
          <w:p w:rsidR="00C27B58" w:rsidRDefault="00C27B58" w:rsidP="00C27B58">
            <w:pPr>
              <w:keepNext/>
              <w:jc w:val="both"/>
              <w:rPr>
                <w:rFonts w:ascii="Arial Narrow" w:hAnsi="Arial Narrow" w:cs="Arial"/>
                <w:sz w:val="20"/>
                <w:szCs w:val="20"/>
              </w:rPr>
            </w:pPr>
          </w:p>
          <w:p w:rsidR="00826F6D" w:rsidRPr="002A3AC0" w:rsidRDefault="002A3AC0" w:rsidP="002A3AC0">
            <w:pPr>
              <w:keepNext/>
              <w:jc w:val="both"/>
              <w:rPr>
                <w:rFonts w:ascii="Arial Narrow" w:hAnsi="Arial Narrow" w:cs="Arial"/>
                <w:sz w:val="20"/>
                <w:szCs w:val="20"/>
              </w:rPr>
            </w:pPr>
            <w:r>
              <w:rPr>
                <w:rFonts w:ascii="Arial Narrow" w:hAnsi="Arial Narrow" w:cs="Arial"/>
                <w:sz w:val="20"/>
                <w:szCs w:val="20"/>
              </w:rPr>
              <w:t>XGEVA</w:t>
            </w:r>
            <w:r>
              <w:rPr>
                <w:rFonts w:ascii="Arial Narrow" w:hAnsi="Arial Narrow" w:cs="Arial"/>
                <w:sz w:val="20"/>
                <w:szCs w:val="20"/>
                <w:vertAlign w:val="superscript"/>
              </w:rPr>
              <w:t>®</w:t>
            </w:r>
          </w:p>
        </w:tc>
        <w:tc>
          <w:tcPr>
            <w:tcW w:w="1134" w:type="dxa"/>
          </w:tcPr>
          <w:p w:rsidR="00826F6D" w:rsidRPr="00260CE3" w:rsidRDefault="002A3AC0" w:rsidP="00C27B58">
            <w:pPr>
              <w:keepNext/>
              <w:jc w:val="both"/>
              <w:rPr>
                <w:rFonts w:ascii="Arial Narrow" w:hAnsi="Arial Narrow" w:cs="Arial"/>
                <w:sz w:val="20"/>
                <w:szCs w:val="20"/>
              </w:rPr>
            </w:pPr>
            <w:r>
              <w:rPr>
                <w:rFonts w:ascii="Arial Narrow" w:hAnsi="Arial Narrow" w:cs="Arial"/>
                <w:sz w:val="20"/>
                <w:szCs w:val="20"/>
              </w:rPr>
              <w:t>Amgen Australia Pty Ltd</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2A3AC0">
              <w:rPr>
                <w:rFonts w:ascii="Arial Narrow" w:hAnsi="Arial Narrow" w:cs="Arial"/>
                <w:sz w:val="20"/>
                <w:szCs w:val="20"/>
              </w:rPr>
              <w:fldChar w:fldCharType="begin">
                <w:ffData>
                  <w:name w:val=""/>
                  <w:enabled/>
                  <w:calcOnExit w:val="0"/>
                  <w:checkBox>
                    <w:sizeAuto/>
                    <w:default w:val="1"/>
                  </w:checkBox>
                </w:ffData>
              </w:fldChar>
            </w:r>
            <w:r w:rsidR="002A3AC0">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002A3AC0">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2A3AC0">
              <w:rPr>
                <w:rFonts w:ascii="Arial Narrow" w:hAnsi="Arial Narrow" w:cs="Arial"/>
                <w:sz w:val="20"/>
                <w:szCs w:val="20"/>
              </w:rPr>
              <w:fldChar w:fldCharType="begin">
                <w:ffData>
                  <w:name w:val="Check3"/>
                  <w:enabled/>
                  <w:calcOnExit w:val="0"/>
                  <w:checkBox>
                    <w:sizeAuto/>
                    <w:default w:val="1"/>
                  </w:checkBox>
                </w:ffData>
              </w:fldChar>
            </w:r>
            <w:bookmarkStart w:id="0" w:name="Check3"/>
            <w:r w:rsidR="002A3AC0">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002A3AC0">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2A3AC0" w:rsidP="00C27B58">
            <w:pPr>
              <w:rPr>
                <w:rFonts w:ascii="Arial Narrow" w:hAnsi="Arial Narrow" w:cs="Arial"/>
                <w:sz w:val="20"/>
                <w:szCs w:val="20"/>
              </w:rPr>
            </w:pPr>
            <w:r>
              <w:rPr>
                <w:rFonts w:ascii="Arial Narrow" w:hAnsi="Arial Narrow" w:cs="Arial"/>
                <w:sz w:val="20"/>
                <w:szCs w:val="20"/>
              </w:rPr>
              <w:t>Hypercalcaemia of malignancy</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2A3AC0"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C27B58">
            <w:pPr>
              <w:jc w:val="both"/>
              <w:rPr>
                <w:rFonts w:ascii="Arial Narrow" w:hAnsi="Arial Narrow" w:cs="Arial"/>
                <w:i/>
                <w:sz w:val="20"/>
                <w:szCs w:val="20"/>
              </w:rPr>
            </w:pPr>
          </w:p>
          <w:p w:rsidR="00826F6D" w:rsidRPr="00260CE3" w:rsidRDefault="00826F6D" w:rsidP="00D055B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p>
          <w:p w:rsidR="002A3AC0" w:rsidRDefault="002A3AC0" w:rsidP="002A3AC0">
            <w:pPr>
              <w:rPr>
                <w:rFonts w:ascii="Arial Narrow" w:hAnsi="Arial Narrow" w:cs="Arial"/>
                <w:sz w:val="20"/>
                <w:szCs w:val="20"/>
              </w:rPr>
            </w:pPr>
            <w:r w:rsidRPr="002A3AC0">
              <w:rPr>
                <w:rFonts w:ascii="Arial Narrow" w:hAnsi="Arial Narrow" w:cs="Arial"/>
                <w:sz w:val="20"/>
                <w:szCs w:val="20"/>
              </w:rPr>
              <w:t>Patient must have a malignancy refractory to anti-neoplastic therapy.</w:t>
            </w:r>
          </w:p>
          <w:p w:rsidR="002A3AC0" w:rsidRPr="002A3AC0" w:rsidRDefault="002A3AC0" w:rsidP="002A3AC0">
            <w:pPr>
              <w:rPr>
                <w:rFonts w:ascii="Arial Narrow" w:hAnsi="Arial Narrow" w:cs="Arial"/>
                <w:sz w:val="20"/>
                <w:szCs w:val="20"/>
              </w:rPr>
            </w:pPr>
          </w:p>
          <w:p w:rsidR="002A3AC0" w:rsidRDefault="002A3AC0" w:rsidP="002A3AC0">
            <w:pPr>
              <w:rPr>
                <w:rFonts w:ascii="Arial Narrow" w:hAnsi="Arial Narrow" w:cs="Arial"/>
                <w:sz w:val="20"/>
                <w:szCs w:val="20"/>
              </w:rPr>
            </w:pPr>
            <w:r w:rsidRPr="002A3AC0">
              <w:rPr>
                <w:rFonts w:ascii="Arial Narrow" w:hAnsi="Arial Narrow" w:cs="Arial"/>
                <w:sz w:val="20"/>
                <w:szCs w:val="20"/>
              </w:rPr>
              <w:t>AND</w:t>
            </w:r>
          </w:p>
          <w:p w:rsidR="002A3AC0" w:rsidRPr="002A3AC0" w:rsidRDefault="002A3AC0" w:rsidP="002A3AC0">
            <w:pPr>
              <w:rPr>
                <w:rFonts w:ascii="Arial Narrow" w:hAnsi="Arial Narrow" w:cs="Arial"/>
                <w:sz w:val="20"/>
                <w:szCs w:val="20"/>
              </w:rPr>
            </w:pPr>
          </w:p>
          <w:p w:rsidR="00826F6D" w:rsidRPr="00260CE3" w:rsidRDefault="002A3AC0" w:rsidP="002A3AC0">
            <w:pPr>
              <w:rPr>
                <w:rFonts w:ascii="Arial Narrow" w:hAnsi="Arial Narrow" w:cs="Arial"/>
                <w:sz w:val="20"/>
                <w:szCs w:val="20"/>
              </w:rPr>
            </w:pPr>
            <w:r w:rsidRPr="002A3AC0">
              <w:rPr>
                <w:rFonts w:ascii="Arial Narrow" w:hAnsi="Arial Narrow" w:cs="Arial"/>
                <w:sz w:val="20"/>
                <w:szCs w:val="20"/>
              </w:rPr>
              <w:t>Condition must be refractory to treatment with an intravenous bisphosphonate.</w:t>
            </w:r>
          </w:p>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305DB7">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305DB7" w:rsidRPr="00FA79B3" w:rsidRDefault="00305DB7" w:rsidP="00305DB7">
            <w:pPr>
              <w:tabs>
                <w:tab w:val="num" w:pos="720"/>
              </w:tabs>
              <w:rPr>
                <w:rFonts w:ascii="Arial Narrow" w:hAnsi="Arial Narrow" w:cs="Arial"/>
                <w:b/>
                <w:sz w:val="20"/>
                <w:szCs w:val="20"/>
              </w:rPr>
            </w:pPr>
            <w:r w:rsidRPr="00FA79B3">
              <w:rPr>
                <w:rFonts w:ascii="Arial Narrow" w:hAnsi="Arial Narrow" w:cs="Arial"/>
                <w:b/>
                <w:sz w:val="20"/>
                <w:szCs w:val="20"/>
              </w:rPr>
              <w:t xml:space="preserve">Continuing therapy only </w:t>
            </w:r>
          </w:p>
          <w:p w:rsidR="00826F6D" w:rsidRPr="00260CE3" w:rsidRDefault="00305DB7" w:rsidP="00305DB7">
            <w:pPr>
              <w:rPr>
                <w:rFonts w:ascii="Arial Narrow" w:hAnsi="Arial Narrow" w:cs="Arial"/>
                <w:sz w:val="20"/>
                <w:szCs w:val="20"/>
              </w:rPr>
            </w:pPr>
            <w:r w:rsidRPr="00FA79B3">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ED1C68" w:rsidRDefault="00ED1C68" w:rsidP="002C3416">
      <w:pPr>
        <w:rPr>
          <w:rFonts w:ascii="Arial" w:hAnsi="Arial"/>
          <w:sz w:val="22"/>
          <w:szCs w:val="22"/>
        </w:rPr>
      </w:pPr>
    </w:p>
    <w:p w:rsidR="00E2305D" w:rsidRPr="0005234D" w:rsidRDefault="00E2305D" w:rsidP="00E2305D">
      <w:pPr>
        <w:ind w:firstLine="720"/>
        <w:rPr>
          <w:rFonts w:ascii="Arial" w:hAnsi="Arial" w:cs="Arial"/>
          <w:bCs/>
          <w:snapToGrid w:val="0"/>
          <w:sz w:val="22"/>
          <w:szCs w:val="22"/>
        </w:rPr>
      </w:pPr>
      <w:r w:rsidRPr="00325457">
        <w:rPr>
          <w:rFonts w:ascii="Arial" w:hAnsi="Arial" w:cs="Arial"/>
          <w:bCs/>
          <w:i/>
          <w:snapToGrid w:val="0"/>
          <w:sz w:val="22"/>
          <w:szCs w:val="22"/>
        </w:rPr>
        <w:t>For more detail on PBAC’s view, see section 7 “PBAC outcome”</w:t>
      </w:r>
    </w:p>
    <w:p w:rsidR="00BB7EC3" w:rsidRPr="00882085" w:rsidRDefault="00BB7EC3" w:rsidP="00882085">
      <w:pPr>
        <w:jc w:val="both"/>
        <w:rPr>
          <w:rFonts w:ascii="Arial" w:hAnsi="Arial"/>
          <w:b/>
          <w:sz w:val="22"/>
          <w:szCs w:val="22"/>
        </w:rPr>
      </w:pPr>
    </w:p>
    <w:p w:rsidR="00CE10C4" w:rsidRPr="00C603D4" w:rsidRDefault="00CE10C4" w:rsidP="00920E36">
      <w:pPr>
        <w:pStyle w:val="Heading1"/>
        <w:keepNext/>
        <w:keepLines/>
        <w:numPr>
          <w:ilvl w:val="0"/>
          <w:numId w:val="4"/>
        </w:numPr>
      </w:pPr>
      <w:r w:rsidRPr="00C603D4">
        <w:lastRenderedPageBreak/>
        <w:t>Background</w:t>
      </w:r>
    </w:p>
    <w:p w:rsidR="00C603D4" w:rsidRPr="00C603D4" w:rsidRDefault="00C603D4" w:rsidP="00920E36">
      <w:pPr>
        <w:pStyle w:val="ListParagraph"/>
        <w:keepNext/>
        <w:keepLines/>
        <w:jc w:val="both"/>
        <w:rPr>
          <w:rFonts w:ascii="Arial" w:hAnsi="Arial"/>
          <w:i/>
          <w:sz w:val="22"/>
          <w:szCs w:val="22"/>
        </w:rPr>
      </w:pPr>
    </w:p>
    <w:p w:rsidR="002B1AE6" w:rsidRPr="00FC4E66" w:rsidRDefault="00FC4E66" w:rsidP="00920E36">
      <w:pPr>
        <w:pStyle w:val="ListParagraph"/>
        <w:keepNext/>
        <w:keepLines/>
        <w:numPr>
          <w:ilvl w:val="1"/>
          <w:numId w:val="4"/>
        </w:numPr>
        <w:jc w:val="both"/>
        <w:rPr>
          <w:rFonts w:ascii="Arial" w:hAnsi="Arial"/>
          <w:i/>
          <w:sz w:val="22"/>
          <w:szCs w:val="22"/>
        </w:rPr>
      </w:pPr>
      <w:r>
        <w:rPr>
          <w:rFonts w:ascii="Arial" w:hAnsi="Arial"/>
          <w:sz w:val="22"/>
          <w:szCs w:val="22"/>
        </w:rPr>
        <w:t>Denosumab was TGA registered on 8 September 2011, and is currently indicated for the following indications:</w:t>
      </w:r>
    </w:p>
    <w:p w:rsidR="00FC4E66" w:rsidRDefault="00FC4E66" w:rsidP="00FC4E66">
      <w:pPr>
        <w:jc w:val="both"/>
        <w:rPr>
          <w:rFonts w:ascii="Arial" w:hAnsi="Arial"/>
          <w:i/>
          <w:sz w:val="22"/>
          <w:szCs w:val="22"/>
        </w:rPr>
      </w:pPr>
    </w:p>
    <w:p w:rsidR="00FC4E66" w:rsidRPr="009F4B47" w:rsidRDefault="00FC4E66" w:rsidP="009F4B47">
      <w:pPr>
        <w:pStyle w:val="ListParagraph"/>
        <w:numPr>
          <w:ilvl w:val="0"/>
          <w:numId w:val="9"/>
        </w:numPr>
        <w:jc w:val="both"/>
        <w:rPr>
          <w:rFonts w:ascii="Arial" w:hAnsi="Arial"/>
          <w:sz w:val="22"/>
          <w:szCs w:val="22"/>
        </w:rPr>
      </w:pPr>
      <w:r w:rsidRPr="009F4B47">
        <w:rPr>
          <w:rFonts w:ascii="Arial" w:hAnsi="Arial"/>
          <w:sz w:val="22"/>
          <w:szCs w:val="22"/>
        </w:rPr>
        <w:t>Prevention of skeletal related events in patients with bone metastases from solid tumours;</w:t>
      </w:r>
    </w:p>
    <w:p w:rsidR="004E3696" w:rsidRPr="004E3696" w:rsidRDefault="004E3696" w:rsidP="004E3696">
      <w:pPr>
        <w:ind w:left="709"/>
        <w:jc w:val="both"/>
        <w:rPr>
          <w:rFonts w:ascii="Arial" w:hAnsi="Arial"/>
          <w:sz w:val="22"/>
          <w:szCs w:val="22"/>
        </w:rPr>
      </w:pPr>
    </w:p>
    <w:p w:rsidR="00FC4E66" w:rsidRPr="009F4B47" w:rsidRDefault="00FC4E66" w:rsidP="009F4B47">
      <w:pPr>
        <w:pStyle w:val="ListParagraph"/>
        <w:numPr>
          <w:ilvl w:val="0"/>
          <w:numId w:val="9"/>
        </w:numPr>
        <w:jc w:val="both"/>
        <w:rPr>
          <w:rFonts w:ascii="Arial" w:hAnsi="Arial"/>
          <w:sz w:val="22"/>
          <w:szCs w:val="22"/>
        </w:rPr>
      </w:pPr>
      <w:r w:rsidRPr="009F4B47">
        <w:rPr>
          <w:rFonts w:ascii="Arial" w:hAnsi="Arial"/>
          <w:sz w:val="22"/>
          <w:szCs w:val="22"/>
        </w:rPr>
        <w:t>Treatment of giant cell tumour of bone in adults or skeletally mature adolescents that is recurrent, or unresectable, or resectable but associated with severe morbidity; and</w:t>
      </w:r>
    </w:p>
    <w:p w:rsidR="004E3696" w:rsidRPr="004E3696" w:rsidRDefault="004E3696" w:rsidP="004E3696">
      <w:pPr>
        <w:ind w:left="709"/>
        <w:jc w:val="both"/>
        <w:rPr>
          <w:rFonts w:ascii="Arial" w:hAnsi="Arial"/>
          <w:sz w:val="22"/>
          <w:szCs w:val="22"/>
        </w:rPr>
      </w:pPr>
    </w:p>
    <w:p w:rsidR="00FC4E66" w:rsidRPr="009F4B47" w:rsidRDefault="00FC4E66" w:rsidP="009F4B47">
      <w:pPr>
        <w:pStyle w:val="ListParagraph"/>
        <w:numPr>
          <w:ilvl w:val="0"/>
          <w:numId w:val="9"/>
        </w:numPr>
        <w:jc w:val="both"/>
        <w:rPr>
          <w:rFonts w:ascii="Arial" w:hAnsi="Arial"/>
          <w:sz w:val="22"/>
          <w:szCs w:val="22"/>
        </w:rPr>
      </w:pPr>
      <w:r w:rsidRPr="009F4B47">
        <w:rPr>
          <w:rFonts w:ascii="Arial" w:hAnsi="Arial"/>
          <w:sz w:val="22"/>
          <w:szCs w:val="22"/>
        </w:rPr>
        <w:t>Treatment of hypercalcaemia of malignancy that is refractory to intravenous bisphosphonate.</w:t>
      </w:r>
    </w:p>
    <w:p w:rsidR="006B0D94" w:rsidRPr="00882085" w:rsidRDefault="006B0D94" w:rsidP="00882085">
      <w:pPr>
        <w:pStyle w:val="ListParagraph"/>
        <w:jc w:val="both"/>
        <w:rPr>
          <w:rFonts w:ascii="Arial" w:hAnsi="Arial"/>
          <w:sz w:val="22"/>
          <w:szCs w:val="22"/>
        </w:rPr>
      </w:pPr>
    </w:p>
    <w:p w:rsidR="00326E79" w:rsidRPr="00882085" w:rsidRDefault="00FC4E66" w:rsidP="00182BB2">
      <w:pPr>
        <w:pStyle w:val="ListParagraph"/>
        <w:numPr>
          <w:ilvl w:val="1"/>
          <w:numId w:val="4"/>
        </w:numPr>
        <w:jc w:val="both"/>
        <w:rPr>
          <w:rFonts w:ascii="Arial" w:hAnsi="Arial"/>
          <w:sz w:val="22"/>
          <w:szCs w:val="22"/>
        </w:rPr>
      </w:pPr>
      <w:r>
        <w:rPr>
          <w:rFonts w:ascii="Arial" w:hAnsi="Arial"/>
          <w:sz w:val="22"/>
          <w:szCs w:val="22"/>
        </w:rPr>
        <w:t>Denosumab for hypercalcaemia of malignancy was previously considered by the PBAC in March 2016.</w:t>
      </w:r>
    </w:p>
    <w:p w:rsidR="006A12A5" w:rsidRPr="00882085" w:rsidRDefault="006A12A5" w:rsidP="00882085">
      <w:pPr>
        <w:pStyle w:val="ListParagraph"/>
        <w:jc w:val="both"/>
        <w:rPr>
          <w:rFonts w:ascii="Arial" w:hAnsi="Arial"/>
          <w:sz w:val="22"/>
          <w:szCs w:val="22"/>
        </w:rPr>
      </w:pPr>
    </w:p>
    <w:p w:rsidR="00BB7EC3" w:rsidRDefault="00FC4E66" w:rsidP="00182BB2">
      <w:pPr>
        <w:pStyle w:val="ListParagraph"/>
        <w:numPr>
          <w:ilvl w:val="1"/>
          <w:numId w:val="4"/>
        </w:numPr>
        <w:jc w:val="both"/>
        <w:rPr>
          <w:rFonts w:ascii="Arial" w:hAnsi="Arial"/>
          <w:sz w:val="22"/>
          <w:szCs w:val="22"/>
        </w:rPr>
      </w:pPr>
      <w:r>
        <w:rPr>
          <w:rFonts w:ascii="Arial" w:hAnsi="Arial"/>
          <w:sz w:val="22"/>
          <w:szCs w:val="22"/>
        </w:rPr>
        <w:t xml:space="preserve">The PBAC rejected the submission for denosumab in March 2016 on the basis of low quality clinical data that did not support the claim of superior efficacy over zoledronic acid, and the lack of a clear clinical place for denosumab. The PBAC considered that the clinical place of denosumab had not been clearly defined, particularly in the context of refractory and relapsed patients, and that there was a high likelihood of ongoing denosumab use in patients while they are still responsive to </w:t>
      </w:r>
      <w:r w:rsidR="00D4055D">
        <w:rPr>
          <w:rFonts w:ascii="Arial" w:hAnsi="Arial"/>
          <w:sz w:val="22"/>
          <w:szCs w:val="22"/>
        </w:rPr>
        <w:t>bisphosphonates</w:t>
      </w:r>
      <w:r>
        <w:rPr>
          <w:rFonts w:ascii="Arial" w:hAnsi="Arial"/>
          <w:sz w:val="22"/>
          <w:szCs w:val="22"/>
        </w:rPr>
        <w:t xml:space="preserve"> or where hypercalcaemia would be well controlled by treatment of the underlying condition.</w:t>
      </w:r>
      <w:r w:rsidR="007C1F97">
        <w:rPr>
          <w:rFonts w:ascii="Arial" w:hAnsi="Arial"/>
          <w:sz w:val="22"/>
          <w:szCs w:val="22"/>
        </w:rPr>
        <w:t xml:space="preserve"> The PBAC also noted differences in the treatment algorithm between denosumab and zoledronic acid, where o</w:t>
      </w:r>
      <w:r w:rsidR="00D4055D">
        <w:rPr>
          <w:rFonts w:ascii="Arial" w:hAnsi="Arial"/>
          <w:sz w:val="22"/>
          <w:szCs w:val="22"/>
        </w:rPr>
        <w:t>ne was for ongoing therapy whereas</w:t>
      </w:r>
      <w:r w:rsidR="007C1F97">
        <w:rPr>
          <w:rFonts w:ascii="Arial" w:hAnsi="Arial"/>
          <w:sz w:val="22"/>
          <w:szCs w:val="22"/>
        </w:rPr>
        <w:t xml:space="preserve"> the comparator was for episodic treatment.</w:t>
      </w:r>
    </w:p>
    <w:p w:rsidR="007C1F97" w:rsidRPr="007C1F97" w:rsidRDefault="007C1F97" w:rsidP="007C1F97">
      <w:pPr>
        <w:pStyle w:val="ListParagraph"/>
        <w:rPr>
          <w:rFonts w:ascii="Arial" w:hAnsi="Arial"/>
          <w:sz w:val="22"/>
          <w:szCs w:val="22"/>
        </w:rPr>
      </w:pPr>
    </w:p>
    <w:p w:rsidR="007C1F97" w:rsidRDefault="007C1F97" w:rsidP="00182BB2">
      <w:pPr>
        <w:pStyle w:val="ListParagraph"/>
        <w:numPr>
          <w:ilvl w:val="1"/>
          <w:numId w:val="4"/>
        </w:numPr>
        <w:jc w:val="both"/>
        <w:rPr>
          <w:rFonts w:ascii="Arial" w:hAnsi="Arial"/>
          <w:sz w:val="22"/>
          <w:szCs w:val="22"/>
        </w:rPr>
      </w:pPr>
      <w:r>
        <w:rPr>
          <w:rFonts w:ascii="Arial" w:hAnsi="Arial"/>
          <w:sz w:val="22"/>
          <w:szCs w:val="22"/>
        </w:rPr>
        <w:t xml:space="preserve">The PBAC considered in March 2016 that a future re-submission for this indication should be a major submission, and should include a further cost-minimisation analysis between denosumab and </w:t>
      </w:r>
      <w:r w:rsidR="00D4055D">
        <w:rPr>
          <w:rFonts w:ascii="Arial" w:hAnsi="Arial"/>
          <w:sz w:val="22"/>
          <w:szCs w:val="22"/>
        </w:rPr>
        <w:t>bisphosphonates</w:t>
      </w:r>
      <w:r>
        <w:rPr>
          <w:rFonts w:ascii="Arial" w:hAnsi="Arial"/>
          <w:sz w:val="22"/>
          <w:szCs w:val="22"/>
        </w:rPr>
        <w:t>, and further identify the patient group for which PBS listing is sought.</w:t>
      </w:r>
    </w:p>
    <w:p w:rsidR="00BB7EC3" w:rsidRDefault="00BB7EC3" w:rsidP="00882085">
      <w:pPr>
        <w:jc w:val="both"/>
        <w:rPr>
          <w:rFonts w:ascii="Arial" w:hAnsi="Arial"/>
          <w:b/>
          <w:sz w:val="22"/>
          <w:szCs w:val="22"/>
        </w:rPr>
      </w:pPr>
    </w:p>
    <w:p w:rsidR="00E2305D" w:rsidRPr="0005234D" w:rsidRDefault="00E2305D" w:rsidP="00E2305D">
      <w:pPr>
        <w:ind w:firstLine="720"/>
        <w:rPr>
          <w:rFonts w:ascii="Arial" w:hAnsi="Arial" w:cs="Arial"/>
          <w:bCs/>
          <w:snapToGrid w:val="0"/>
          <w:sz w:val="22"/>
          <w:szCs w:val="22"/>
        </w:rPr>
      </w:pPr>
      <w:r w:rsidRPr="00690AEE">
        <w:rPr>
          <w:rFonts w:ascii="Arial" w:hAnsi="Arial" w:cs="Arial"/>
          <w:bCs/>
          <w:i/>
          <w:snapToGrid w:val="0"/>
          <w:sz w:val="22"/>
          <w:szCs w:val="22"/>
        </w:rPr>
        <w:t>For more detail on PBAC’s view, see section 7 “PBAC outcome”</w:t>
      </w:r>
    </w:p>
    <w:p w:rsidR="008A1956" w:rsidRPr="00882085" w:rsidRDefault="008A1956" w:rsidP="00882085">
      <w:pPr>
        <w:jc w:val="both"/>
        <w:rPr>
          <w:rFonts w:ascii="Arial" w:hAnsi="Arial"/>
          <w:b/>
          <w:sz w:val="22"/>
          <w:szCs w:val="22"/>
        </w:rPr>
      </w:pPr>
    </w:p>
    <w:p w:rsidR="00CE10C4" w:rsidRPr="00C603D4" w:rsidRDefault="00CE10C4" w:rsidP="00182BB2">
      <w:pPr>
        <w:pStyle w:val="Heading1"/>
        <w:numPr>
          <w:ilvl w:val="0"/>
          <w:numId w:val="4"/>
        </w:numPr>
      </w:pPr>
      <w:r w:rsidRPr="00C603D4">
        <w:t>Clinical place for the proposed ther</w:t>
      </w:r>
      <w:r w:rsidR="006A12A5" w:rsidRPr="00C603D4">
        <w:t>apy</w:t>
      </w:r>
    </w:p>
    <w:p w:rsidR="00C35996" w:rsidRPr="00FD33C4" w:rsidRDefault="00C35996" w:rsidP="00FD33C4">
      <w:pPr>
        <w:jc w:val="both"/>
        <w:rPr>
          <w:rFonts w:ascii="Arial" w:hAnsi="Arial"/>
          <w:sz w:val="22"/>
          <w:szCs w:val="22"/>
        </w:rPr>
      </w:pPr>
    </w:p>
    <w:p w:rsidR="006A12A5" w:rsidRPr="00F871ED" w:rsidRDefault="00976CEB" w:rsidP="00976CEB">
      <w:pPr>
        <w:pStyle w:val="ListParagraph"/>
        <w:numPr>
          <w:ilvl w:val="1"/>
          <w:numId w:val="4"/>
        </w:numPr>
        <w:jc w:val="both"/>
        <w:rPr>
          <w:rFonts w:ascii="Arial" w:hAnsi="Arial"/>
          <w:sz w:val="22"/>
          <w:szCs w:val="22"/>
        </w:rPr>
      </w:pPr>
      <w:r w:rsidRPr="00F871ED">
        <w:rPr>
          <w:rFonts w:ascii="Arial" w:hAnsi="Arial"/>
          <w:sz w:val="22"/>
          <w:szCs w:val="22"/>
        </w:rPr>
        <w:t>Th</w:t>
      </w:r>
      <w:r w:rsidR="00F871ED" w:rsidRPr="00F871ED">
        <w:rPr>
          <w:rFonts w:ascii="Arial" w:hAnsi="Arial"/>
          <w:sz w:val="22"/>
          <w:szCs w:val="22"/>
        </w:rPr>
        <w:t xml:space="preserve">is submission and the </w:t>
      </w:r>
      <w:r w:rsidRPr="00F871ED">
        <w:rPr>
          <w:rFonts w:ascii="Arial" w:hAnsi="Arial"/>
          <w:sz w:val="22"/>
          <w:szCs w:val="22"/>
        </w:rPr>
        <w:t>March 2016 submission positioned denosumab as an alternative therapy in patients who are refractory to initial intravenous bisphosphonate treatment. The proposed current therapy for retreatment was an intravenous bisphosphonate such as pamidronate or zoledronic acid.</w:t>
      </w:r>
    </w:p>
    <w:p w:rsidR="00BB7EC3" w:rsidRDefault="00BB7EC3" w:rsidP="00882085">
      <w:pPr>
        <w:pStyle w:val="Header"/>
        <w:tabs>
          <w:tab w:val="clear" w:pos="4153"/>
          <w:tab w:val="clear" w:pos="8306"/>
        </w:tabs>
        <w:jc w:val="both"/>
        <w:rPr>
          <w:rFonts w:ascii="Arial" w:hAnsi="Arial"/>
          <w:sz w:val="22"/>
          <w:szCs w:val="22"/>
        </w:rPr>
      </w:pPr>
    </w:p>
    <w:p w:rsidR="00E2305D" w:rsidRPr="0005234D" w:rsidRDefault="00E2305D" w:rsidP="00E2305D">
      <w:pPr>
        <w:ind w:firstLine="720"/>
        <w:rPr>
          <w:rFonts w:ascii="Arial" w:hAnsi="Arial" w:cs="Arial"/>
          <w:bCs/>
          <w:snapToGrid w:val="0"/>
          <w:sz w:val="22"/>
          <w:szCs w:val="22"/>
        </w:rPr>
      </w:pPr>
      <w:r w:rsidRPr="00690AEE">
        <w:rPr>
          <w:rFonts w:ascii="Arial" w:hAnsi="Arial" w:cs="Arial"/>
          <w:bCs/>
          <w:i/>
          <w:snapToGrid w:val="0"/>
          <w:sz w:val="22"/>
          <w:szCs w:val="22"/>
        </w:rPr>
        <w:t>For more detail on PBAC’s view, see section 7 “PBAC outcome”</w:t>
      </w:r>
    </w:p>
    <w:p w:rsidR="00CD45F0" w:rsidRPr="00882085" w:rsidRDefault="00CD45F0" w:rsidP="00882085">
      <w:pPr>
        <w:pStyle w:val="Header"/>
        <w:tabs>
          <w:tab w:val="clear" w:pos="4153"/>
          <w:tab w:val="clear" w:pos="8306"/>
        </w:tabs>
        <w:jc w:val="both"/>
        <w:rPr>
          <w:rFonts w:ascii="Arial" w:hAnsi="Arial"/>
          <w:sz w:val="22"/>
          <w:szCs w:val="22"/>
        </w:rPr>
      </w:pPr>
    </w:p>
    <w:p w:rsidR="005A3173" w:rsidRPr="00882085" w:rsidRDefault="005A3173" w:rsidP="00182BB2">
      <w:pPr>
        <w:pStyle w:val="Heading1"/>
        <w:numPr>
          <w:ilvl w:val="0"/>
          <w:numId w:val="4"/>
        </w:numPr>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DF26A7" w:rsidRPr="009347D0" w:rsidRDefault="00FF2801" w:rsidP="00182BB2">
      <w:pPr>
        <w:pStyle w:val="ListParagraph"/>
        <w:numPr>
          <w:ilvl w:val="1"/>
          <w:numId w:val="4"/>
        </w:numPr>
        <w:jc w:val="both"/>
        <w:rPr>
          <w:rFonts w:ascii="Arial" w:hAnsi="Arial"/>
          <w:sz w:val="22"/>
          <w:szCs w:val="22"/>
        </w:rPr>
      </w:pPr>
      <w:r>
        <w:rPr>
          <w:rFonts w:ascii="Arial" w:hAnsi="Arial"/>
          <w:sz w:val="22"/>
          <w:szCs w:val="22"/>
        </w:rPr>
        <w:t xml:space="preserve">The minor </w:t>
      </w:r>
      <w:r w:rsidR="00976CEB">
        <w:rPr>
          <w:rFonts w:ascii="Arial" w:hAnsi="Arial"/>
          <w:sz w:val="22"/>
          <w:szCs w:val="22"/>
        </w:rPr>
        <w:t>re-</w:t>
      </w:r>
      <w:r>
        <w:rPr>
          <w:rFonts w:ascii="Arial" w:hAnsi="Arial"/>
          <w:sz w:val="22"/>
          <w:szCs w:val="22"/>
        </w:rPr>
        <w:t>submission nominated</w:t>
      </w:r>
      <w:r w:rsidR="00E85EAA">
        <w:rPr>
          <w:rFonts w:ascii="Arial" w:hAnsi="Arial"/>
          <w:sz w:val="22"/>
          <w:szCs w:val="22"/>
        </w:rPr>
        <w:t xml:space="preserve"> zoledronic acid as the comparator. This was unchanged from the March 2016 submission.</w:t>
      </w:r>
    </w:p>
    <w:p w:rsidR="00FC4E66" w:rsidRPr="00FC4E66" w:rsidRDefault="00FC4E66" w:rsidP="00FC4E66">
      <w:pPr>
        <w:jc w:val="both"/>
        <w:rPr>
          <w:rFonts w:ascii="Arial" w:hAnsi="Arial"/>
          <w:sz w:val="22"/>
          <w:szCs w:val="22"/>
        </w:rPr>
      </w:pPr>
    </w:p>
    <w:p w:rsidR="00E85EAA" w:rsidRPr="00E2305D" w:rsidRDefault="00E85EAA" w:rsidP="00D8641D">
      <w:pPr>
        <w:pStyle w:val="ListParagraph"/>
        <w:numPr>
          <w:ilvl w:val="1"/>
          <w:numId w:val="4"/>
        </w:numPr>
        <w:jc w:val="both"/>
        <w:rPr>
          <w:rFonts w:ascii="Arial" w:hAnsi="Arial"/>
          <w:sz w:val="22"/>
          <w:szCs w:val="22"/>
        </w:rPr>
      </w:pPr>
      <w:r>
        <w:rPr>
          <w:rFonts w:ascii="Arial" w:hAnsi="Arial"/>
          <w:sz w:val="22"/>
          <w:szCs w:val="22"/>
        </w:rPr>
        <w:lastRenderedPageBreak/>
        <w:t xml:space="preserve">The </w:t>
      </w:r>
      <w:r w:rsidR="00976CEB">
        <w:rPr>
          <w:rFonts w:ascii="Arial" w:hAnsi="Arial"/>
          <w:sz w:val="22"/>
          <w:szCs w:val="22"/>
        </w:rPr>
        <w:t xml:space="preserve">re-submission </w:t>
      </w:r>
      <w:r>
        <w:rPr>
          <w:rFonts w:ascii="Arial" w:hAnsi="Arial"/>
          <w:sz w:val="22"/>
          <w:szCs w:val="22"/>
        </w:rPr>
        <w:t xml:space="preserve">disagreed with the </w:t>
      </w:r>
      <w:r w:rsidR="00976CEB">
        <w:rPr>
          <w:rFonts w:ascii="Arial" w:hAnsi="Arial"/>
          <w:sz w:val="22"/>
          <w:szCs w:val="22"/>
        </w:rPr>
        <w:t xml:space="preserve">March 2016 </w:t>
      </w:r>
      <w:r>
        <w:rPr>
          <w:rFonts w:ascii="Arial" w:hAnsi="Arial"/>
          <w:sz w:val="22"/>
          <w:szCs w:val="22"/>
        </w:rPr>
        <w:t>PBAC</w:t>
      </w:r>
      <w:r w:rsidR="00976CEB">
        <w:rPr>
          <w:rFonts w:ascii="Arial" w:hAnsi="Arial"/>
          <w:sz w:val="22"/>
          <w:szCs w:val="22"/>
        </w:rPr>
        <w:t xml:space="preserve"> </w:t>
      </w:r>
      <w:r w:rsidR="0029397C">
        <w:rPr>
          <w:rFonts w:ascii="Arial" w:hAnsi="Arial"/>
          <w:sz w:val="22"/>
          <w:szCs w:val="22"/>
        </w:rPr>
        <w:t xml:space="preserve">advice </w:t>
      </w:r>
      <w:r>
        <w:rPr>
          <w:rFonts w:ascii="Arial" w:hAnsi="Arial"/>
          <w:sz w:val="22"/>
          <w:szCs w:val="22"/>
        </w:rPr>
        <w:t xml:space="preserve">that pamidronate was also a </w:t>
      </w:r>
      <w:r w:rsidR="00FC4E66">
        <w:rPr>
          <w:rFonts w:ascii="Arial" w:hAnsi="Arial"/>
          <w:sz w:val="22"/>
          <w:szCs w:val="22"/>
        </w:rPr>
        <w:t>relevant comparator, on the basis that it had substantially lower utilisation than zoledronic acid, and had been accepted as being less effective than zoledronic acid for this indication.</w:t>
      </w:r>
      <w:r w:rsidR="00D8641D">
        <w:rPr>
          <w:rFonts w:ascii="Arial" w:hAnsi="Arial"/>
          <w:sz w:val="22"/>
          <w:szCs w:val="22"/>
        </w:rPr>
        <w:t xml:space="preserve"> </w:t>
      </w:r>
      <w:r w:rsidR="00D8641D" w:rsidRPr="00E2305D">
        <w:rPr>
          <w:rFonts w:ascii="Arial" w:hAnsi="Arial"/>
          <w:sz w:val="22"/>
          <w:szCs w:val="22"/>
        </w:rPr>
        <w:t>The PBS Therapeutic Relativity sheets state that “Zoledronic acid injection 4 mg (Zometa®) was listed on the basis of acceptable cost-effectiveness compared to disodium pamidronate injection 90 mg in the treatment of hypercalcaemia of malignancy refractory to anti-neoplastic therapy’.</w:t>
      </w:r>
    </w:p>
    <w:p w:rsidR="001F5510" w:rsidRDefault="001F5510" w:rsidP="001F5510">
      <w:pPr>
        <w:jc w:val="both"/>
        <w:rPr>
          <w:rFonts w:ascii="Arial" w:hAnsi="Arial"/>
          <w:sz w:val="22"/>
          <w:szCs w:val="22"/>
        </w:rPr>
      </w:pPr>
    </w:p>
    <w:p w:rsidR="00E2305D" w:rsidRPr="0005234D" w:rsidRDefault="00E2305D" w:rsidP="00E2305D">
      <w:pPr>
        <w:ind w:firstLine="720"/>
        <w:rPr>
          <w:rFonts w:ascii="Arial" w:hAnsi="Arial" w:cs="Arial"/>
          <w:bCs/>
          <w:snapToGrid w:val="0"/>
          <w:sz w:val="22"/>
          <w:szCs w:val="22"/>
        </w:rPr>
      </w:pPr>
      <w:r w:rsidRPr="00690AEE">
        <w:rPr>
          <w:rFonts w:ascii="Arial" w:hAnsi="Arial" w:cs="Arial"/>
          <w:bCs/>
          <w:i/>
          <w:snapToGrid w:val="0"/>
          <w:sz w:val="22"/>
          <w:szCs w:val="22"/>
        </w:rPr>
        <w:t>For more detail on PBAC’s view, see section 7 “PBAC outcome”</w:t>
      </w:r>
    </w:p>
    <w:p w:rsidR="008A1956" w:rsidRPr="00476245" w:rsidRDefault="008A1956" w:rsidP="00476245">
      <w:pPr>
        <w:jc w:val="both"/>
        <w:rPr>
          <w:rFonts w:ascii="Arial" w:hAnsi="Arial"/>
          <w:sz w:val="22"/>
          <w:szCs w:val="22"/>
        </w:rPr>
      </w:pPr>
    </w:p>
    <w:p w:rsidR="000B558D" w:rsidRPr="00CF51FA" w:rsidRDefault="008D7A41" w:rsidP="00182BB2">
      <w:pPr>
        <w:pStyle w:val="Heading1"/>
        <w:numPr>
          <w:ilvl w:val="0"/>
          <w:numId w:val="4"/>
        </w:numPr>
      </w:pPr>
      <w:r w:rsidRPr="00CF51FA">
        <w:t>C</w:t>
      </w:r>
      <w:r w:rsidR="00D84934" w:rsidRPr="00CF51FA">
        <w:t>onsideration of the evidence</w:t>
      </w:r>
    </w:p>
    <w:p w:rsidR="00BB7EC3" w:rsidRPr="00CF51FA" w:rsidRDefault="00BB7EC3" w:rsidP="00F9629A">
      <w:pPr>
        <w:jc w:val="both"/>
        <w:rPr>
          <w:rFonts w:ascii="Arial" w:hAnsi="Arial"/>
          <w:sz w:val="22"/>
          <w:szCs w:val="22"/>
        </w:rPr>
      </w:pPr>
    </w:p>
    <w:p w:rsidR="00E2305D" w:rsidRDefault="00E2305D" w:rsidP="00C76276">
      <w:pPr>
        <w:pStyle w:val="Heading2"/>
        <w:rPr>
          <w:snapToGrid w:val="0"/>
        </w:rPr>
      </w:pPr>
      <w:r w:rsidRPr="00C76276">
        <w:rPr>
          <w:snapToGrid w:val="0"/>
        </w:rPr>
        <w:t>Sponsor hearing</w:t>
      </w:r>
    </w:p>
    <w:p w:rsidR="00C76276" w:rsidRPr="00C76276" w:rsidRDefault="00C76276" w:rsidP="00C76276"/>
    <w:p w:rsidR="00E2305D" w:rsidRDefault="00E2305D" w:rsidP="00E2305D">
      <w:pPr>
        <w:numPr>
          <w:ilvl w:val="1"/>
          <w:numId w:val="4"/>
        </w:numPr>
        <w:spacing w:after="120"/>
        <w:rPr>
          <w:rFonts w:ascii="Arial" w:hAnsi="Arial" w:cs="Arial"/>
          <w:bCs/>
          <w:snapToGrid w:val="0"/>
          <w:sz w:val="22"/>
          <w:szCs w:val="22"/>
        </w:rPr>
      </w:pPr>
      <w:r w:rsidRPr="00CF51FA">
        <w:rPr>
          <w:rFonts w:ascii="Arial" w:hAnsi="Arial" w:cs="Arial"/>
          <w:bCs/>
          <w:snapToGrid w:val="0"/>
          <w:sz w:val="22"/>
          <w:szCs w:val="22"/>
        </w:rPr>
        <w:t>There was no hearing for this item as it was a minor submissi</w:t>
      </w:r>
      <w:r w:rsidR="00CF51FA" w:rsidRPr="00CF51FA">
        <w:rPr>
          <w:rFonts w:ascii="Arial" w:hAnsi="Arial" w:cs="Arial"/>
          <w:bCs/>
          <w:snapToGrid w:val="0"/>
          <w:sz w:val="22"/>
          <w:szCs w:val="22"/>
        </w:rPr>
        <w:t>on.</w:t>
      </w:r>
    </w:p>
    <w:p w:rsidR="00E2305D" w:rsidRDefault="00E2305D" w:rsidP="00C76276">
      <w:pPr>
        <w:pStyle w:val="Heading2"/>
      </w:pPr>
      <w:r w:rsidRPr="00C76276">
        <w:t>Consumer comments</w:t>
      </w:r>
    </w:p>
    <w:p w:rsidR="00C76276" w:rsidRPr="00C76276" w:rsidRDefault="00C76276" w:rsidP="00C76276"/>
    <w:p w:rsidR="00E2305D" w:rsidRPr="00CF51FA" w:rsidRDefault="00E2305D" w:rsidP="00CF51FA">
      <w:pPr>
        <w:numPr>
          <w:ilvl w:val="1"/>
          <w:numId w:val="4"/>
        </w:numPr>
        <w:spacing w:after="120"/>
        <w:rPr>
          <w:rFonts w:ascii="Arial" w:hAnsi="Arial" w:cs="Arial"/>
          <w:bCs/>
          <w:snapToGrid w:val="0"/>
          <w:sz w:val="22"/>
          <w:szCs w:val="22"/>
        </w:rPr>
      </w:pPr>
      <w:r w:rsidRPr="00CF51FA">
        <w:rPr>
          <w:rFonts w:ascii="Arial" w:hAnsi="Arial" w:cs="Arial"/>
          <w:bCs/>
          <w:snapToGrid w:val="0"/>
          <w:sz w:val="22"/>
          <w:szCs w:val="22"/>
        </w:rPr>
        <w:t xml:space="preserve">The PBAC noted and welcomed the input from </w:t>
      </w:r>
      <w:r w:rsidR="00CF51FA" w:rsidRPr="00CF51FA">
        <w:rPr>
          <w:rFonts w:ascii="Arial" w:hAnsi="Arial" w:cs="Arial"/>
          <w:bCs/>
          <w:snapToGrid w:val="0"/>
          <w:sz w:val="22"/>
          <w:szCs w:val="22"/>
        </w:rPr>
        <w:t xml:space="preserve">an </w:t>
      </w:r>
      <w:r w:rsidRPr="00CF51FA">
        <w:rPr>
          <w:rFonts w:ascii="Arial" w:hAnsi="Arial" w:cs="Arial"/>
          <w:bCs/>
          <w:snapToGrid w:val="0"/>
          <w:sz w:val="22"/>
          <w:szCs w:val="22"/>
        </w:rPr>
        <w:t>i</w:t>
      </w:r>
      <w:r w:rsidR="00CF51FA" w:rsidRPr="00CF51FA">
        <w:rPr>
          <w:rFonts w:ascii="Arial" w:hAnsi="Arial" w:cs="Arial"/>
          <w:bCs/>
          <w:snapToGrid w:val="0"/>
          <w:sz w:val="22"/>
          <w:szCs w:val="22"/>
        </w:rPr>
        <w:t xml:space="preserve">ndividual </w:t>
      </w:r>
      <w:r w:rsidRPr="00CF51FA">
        <w:rPr>
          <w:rFonts w:ascii="Arial" w:hAnsi="Arial" w:cs="Arial"/>
          <w:bCs/>
          <w:snapToGrid w:val="0"/>
          <w:sz w:val="22"/>
          <w:szCs w:val="22"/>
        </w:rPr>
        <w:t>health care professional</w:t>
      </w:r>
      <w:r w:rsidR="00A751F6">
        <w:rPr>
          <w:rFonts w:ascii="Arial" w:hAnsi="Arial" w:cs="Arial"/>
          <w:bCs/>
          <w:snapToGrid w:val="0"/>
          <w:sz w:val="22"/>
          <w:szCs w:val="22"/>
        </w:rPr>
        <w:t xml:space="preserve"> </w:t>
      </w:r>
      <w:r w:rsidRPr="00CF51FA">
        <w:rPr>
          <w:rFonts w:ascii="Arial" w:hAnsi="Arial" w:cs="Arial"/>
          <w:bCs/>
          <w:snapToGrid w:val="0"/>
          <w:sz w:val="22"/>
          <w:szCs w:val="22"/>
        </w:rPr>
        <w:t>via the Consumer Comments facility o</w:t>
      </w:r>
      <w:r w:rsidR="00A751F6">
        <w:rPr>
          <w:rFonts w:ascii="Arial" w:hAnsi="Arial" w:cs="Arial"/>
          <w:bCs/>
          <w:snapToGrid w:val="0"/>
          <w:sz w:val="22"/>
          <w:szCs w:val="22"/>
        </w:rPr>
        <w:t>n the PBS website.  The comment</w:t>
      </w:r>
      <w:r w:rsidRPr="00CF51FA">
        <w:rPr>
          <w:rFonts w:ascii="Arial" w:hAnsi="Arial" w:cs="Arial"/>
          <w:bCs/>
          <w:snapToGrid w:val="0"/>
          <w:sz w:val="22"/>
          <w:szCs w:val="22"/>
        </w:rPr>
        <w:t xml:space="preserve"> described a range</w:t>
      </w:r>
      <w:r w:rsidR="00CF51FA" w:rsidRPr="00CF51FA">
        <w:rPr>
          <w:rFonts w:ascii="Arial" w:hAnsi="Arial" w:cs="Arial"/>
          <w:bCs/>
          <w:snapToGrid w:val="0"/>
          <w:sz w:val="22"/>
          <w:szCs w:val="22"/>
        </w:rPr>
        <w:t xml:space="preserve"> of benefits of treatment with denosumab</w:t>
      </w:r>
      <w:r w:rsidRPr="00CF51FA">
        <w:rPr>
          <w:rFonts w:ascii="Arial" w:hAnsi="Arial" w:cs="Arial"/>
          <w:bCs/>
          <w:snapToGrid w:val="0"/>
          <w:sz w:val="22"/>
          <w:szCs w:val="22"/>
        </w:rPr>
        <w:t xml:space="preserve"> including the ability to </w:t>
      </w:r>
      <w:r w:rsidR="00CF51FA" w:rsidRPr="00CF51FA">
        <w:rPr>
          <w:rFonts w:ascii="Arial" w:hAnsi="Arial" w:cs="Arial"/>
          <w:bCs/>
          <w:snapToGrid w:val="0"/>
          <w:sz w:val="22"/>
          <w:szCs w:val="22"/>
        </w:rPr>
        <w:t>improve quality of life in patients from</w:t>
      </w:r>
      <w:r w:rsidRPr="00CF51FA">
        <w:rPr>
          <w:rFonts w:ascii="Arial" w:hAnsi="Arial" w:cs="Arial"/>
          <w:bCs/>
          <w:snapToGrid w:val="0"/>
          <w:sz w:val="22"/>
          <w:szCs w:val="22"/>
        </w:rPr>
        <w:t xml:space="preserve"> </w:t>
      </w:r>
      <w:r w:rsidR="00CF51FA" w:rsidRPr="00CF51FA">
        <w:rPr>
          <w:rFonts w:ascii="Arial" w:hAnsi="Arial" w:cs="Arial"/>
          <w:bCs/>
          <w:snapToGrid w:val="0"/>
          <w:sz w:val="22"/>
          <w:szCs w:val="22"/>
        </w:rPr>
        <w:t>successful treatment of bisphosphonate refractory hypercalcaemia of malignancy.</w:t>
      </w:r>
    </w:p>
    <w:p w:rsidR="009B43FB" w:rsidRDefault="009B43FB">
      <w:pPr>
        <w:rPr>
          <w:rFonts w:ascii="Arial" w:hAnsi="Arial"/>
          <w:b/>
          <w:i/>
          <w:sz w:val="22"/>
        </w:rPr>
      </w:pPr>
    </w:p>
    <w:p w:rsidR="00D84934" w:rsidRPr="00882085" w:rsidRDefault="00D84934" w:rsidP="00B1059E">
      <w:pPr>
        <w:pStyle w:val="Heading2"/>
      </w:pPr>
      <w:r>
        <w:t>Clinical trials</w:t>
      </w:r>
    </w:p>
    <w:p w:rsidR="00D84934" w:rsidRPr="00F9629A" w:rsidRDefault="00D84934" w:rsidP="00F9629A">
      <w:pPr>
        <w:jc w:val="both"/>
        <w:rPr>
          <w:rFonts w:ascii="Arial" w:hAnsi="Arial"/>
          <w:sz w:val="22"/>
          <w:szCs w:val="22"/>
        </w:rPr>
      </w:pPr>
    </w:p>
    <w:p w:rsidR="0076420C" w:rsidRDefault="00FD33C4" w:rsidP="00182BB2">
      <w:pPr>
        <w:pStyle w:val="ListParagraph"/>
        <w:numPr>
          <w:ilvl w:val="1"/>
          <w:numId w:val="4"/>
        </w:numPr>
        <w:jc w:val="both"/>
        <w:rPr>
          <w:rFonts w:ascii="Arial" w:hAnsi="Arial"/>
          <w:sz w:val="22"/>
          <w:szCs w:val="22"/>
        </w:rPr>
      </w:pPr>
      <w:r>
        <w:rPr>
          <w:rFonts w:ascii="Arial" w:hAnsi="Arial"/>
          <w:sz w:val="22"/>
          <w:szCs w:val="22"/>
        </w:rPr>
        <w:t xml:space="preserve">As a minor </w:t>
      </w:r>
      <w:r w:rsidR="009542AC">
        <w:rPr>
          <w:rFonts w:ascii="Arial" w:hAnsi="Arial"/>
          <w:sz w:val="22"/>
          <w:szCs w:val="22"/>
        </w:rPr>
        <w:t>re-</w:t>
      </w:r>
      <w:r>
        <w:rPr>
          <w:rFonts w:ascii="Arial" w:hAnsi="Arial"/>
          <w:sz w:val="22"/>
          <w:szCs w:val="22"/>
        </w:rPr>
        <w:t>submission, no new</w:t>
      </w:r>
      <w:r w:rsidR="0076420C">
        <w:rPr>
          <w:rFonts w:ascii="Arial" w:hAnsi="Arial"/>
          <w:sz w:val="22"/>
          <w:szCs w:val="22"/>
        </w:rPr>
        <w:t xml:space="preserve"> clinical trials </w:t>
      </w:r>
      <w:r w:rsidR="00FF2801">
        <w:rPr>
          <w:rFonts w:ascii="Arial" w:hAnsi="Arial"/>
          <w:sz w:val="22"/>
          <w:szCs w:val="22"/>
        </w:rPr>
        <w:t>were</w:t>
      </w:r>
      <w:r w:rsidR="009542AC">
        <w:rPr>
          <w:rFonts w:ascii="Arial" w:hAnsi="Arial"/>
          <w:sz w:val="22"/>
          <w:szCs w:val="22"/>
        </w:rPr>
        <w:t xml:space="preserve"> presented</w:t>
      </w:r>
      <w:r w:rsidR="0076420C">
        <w:rPr>
          <w:rFonts w:ascii="Arial" w:hAnsi="Arial"/>
          <w:sz w:val="22"/>
          <w:szCs w:val="22"/>
        </w:rPr>
        <w:t>.</w:t>
      </w:r>
    </w:p>
    <w:p w:rsidR="00BB7EC3" w:rsidRPr="00882085" w:rsidRDefault="00BB7EC3" w:rsidP="009B0F67">
      <w:pPr>
        <w:jc w:val="both"/>
        <w:rPr>
          <w:rFonts w:ascii="Arial" w:hAnsi="Arial"/>
          <w:sz w:val="22"/>
          <w:szCs w:val="22"/>
        </w:rPr>
      </w:pPr>
    </w:p>
    <w:p w:rsidR="005A3173" w:rsidRPr="00882085" w:rsidRDefault="005A3173" w:rsidP="00B1059E">
      <w:pPr>
        <w:pStyle w:val="Heading2"/>
      </w:pPr>
      <w:r w:rsidRPr="00882085">
        <w:t>Comparative effectiveness</w:t>
      </w:r>
    </w:p>
    <w:p w:rsidR="005A3173" w:rsidRPr="00882085" w:rsidRDefault="005A3173" w:rsidP="00882085">
      <w:pPr>
        <w:jc w:val="both"/>
        <w:rPr>
          <w:rFonts w:ascii="Arial" w:hAnsi="Arial"/>
          <w:sz w:val="22"/>
          <w:szCs w:val="22"/>
        </w:rPr>
      </w:pPr>
    </w:p>
    <w:p w:rsidR="009B0F67" w:rsidRDefault="00FD33C4" w:rsidP="00FD33C4">
      <w:pPr>
        <w:pStyle w:val="ListParagraph"/>
        <w:numPr>
          <w:ilvl w:val="1"/>
          <w:numId w:val="4"/>
        </w:numPr>
        <w:jc w:val="both"/>
        <w:rPr>
          <w:rFonts w:ascii="Arial" w:hAnsi="Arial"/>
          <w:sz w:val="22"/>
          <w:szCs w:val="22"/>
        </w:rPr>
      </w:pPr>
      <w:r w:rsidRPr="00FD33C4">
        <w:rPr>
          <w:rFonts w:ascii="Arial" w:hAnsi="Arial"/>
          <w:sz w:val="22"/>
          <w:szCs w:val="22"/>
        </w:rPr>
        <w:t>The trial results remain</w:t>
      </w:r>
      <w:r w:rsidR="00690AEE">
        <w:rPr>
          <w:rFonts w:ascii="Arial" w:hAnsi="Arial"/>
          <w:sz w:val="22"/>
          <w:szCs w:val="22"/>
        </w:rPr>
        <w:t>ed</w:t>
      </w:r>
      <w:r w:rsidRPr="00FD33C4">
        <w:rPr>
          <w:rFonts w:ascii="Arial" w:hAnsi="Arial"/>
          <w:sz w:val="22"/>
          <w:szCs w:val="22"/>
        </w:rPr>
        <w:t xml:space="preserve"> unchanged from the previous major submission considered in March 2016. The results from the M</w:t>
      </w:r>
      <w:r w:rsidR="00ED2E19">
        <w:rPr>
          <w:rFonts w:ascii="Arial" w:hAnsi="Arial"/>
          <w:sz w:val="22"/>
          <w:szCs w:val="22"/>
        </w:rPr>
        <w:t>arch</w:t>
      </w:r>
      <w:r w:rsidRPr="00FD33C4">
        <w:rPr>
          <w:rFonts w:ascii="Arial" w:hAnsi="Arial"/>
          <w:sz w:val="22"/>
          <w:szCs w:val="22"/>
        </w:rPr>
        <w:t xml:space="preserve"> 2016 submission are repeated below.</w:t>
      </w:r>
    </w:p>
    <w:p w:rsidR="00FD33C4" w:rsidRPr="00FD33C4" w:rsidRDefault="00FD33C4" w:rsidP="00FD33C4">
      <w:pPr>
        <w:jc w:val="both"/>
        <w:rPr>
          <w:rFonts w:ascii="Arial" w:hAnsi="Arial"/>
          <w:sz w:val="22"/>
          <w:szCs w:val="22"/>
        </w:rPr>
      </w:pPr>
    </w:p>
    <w:p w:rsidR="00FD33C4" w:rsidRDefault="00FD33C4" w:rsidP="00966FC4">
      <w:pPr>
        <w:pStyle w:val="ListParagraph"/>
        <w:numPr>
          <w:ilvl w:val="1"/>
          <w:numId w:val="4"/>
        </w:numPr>
        <w:jc w:val="both"/>
        <w:rPr>
          <w:rFonts w:ascii="Arial" w:hAnsi="Arial"/>
          <w:sz w:val="22"/>
          <w:szCs w:val="22"/>
        </w:rPr>
      </w:pPr>
      <w:r w:rsidRPr="00FD33C4">
        <w:rPr>
          <w:rFonts w:ascii="Arial" w:hAnsi="Arial"/>
          <w:sz w:val="22"/>
          <w:szCs w:val="22"/>
        </w:rPr>
        <w:t xml:space="preserve">The submission was based on a naïve indirect comparison between a single-arm denosumab observational study and a pooled subgroup analysis of zoledronic acid 8mg retreatment from two randomised controlled trials. </w:t>
      </w:r>
    </w:p>
    <w:p w:rsidR="00FD33C4" w:rsidRPr="00FD33C4" w:rsidRDefault="00FD33C4" w:rsidP="00FD33C4">
      <w:pPr>
        <w:pStyle w:val="ListParagraph"/>
        <w:rPr>
          <w:rFonts w:ascii="Arial" w:hAnsi="Arial"/>
          <w:sz w:val="22"/>
          <w:szCs w:val="22"/>
        </w:rPr>
      </w:pPr>
    </w:p>
    <w:p w:rsidR="00FD33C4" w:rsidRDefault="00FD33C4" w:rsidP="00966FC4">
      <w:pPr>
        <w:pStyle w:val="ListParagraph"/>
        <w:numPr>
          <w:ilvl w:val="1"/>
          <w:numId w:val="4"/>
        </w:numPr>
        <w:jc w:val="both"/>
        <w:rPr>
          <w:rFonts w:ascii="Arial" w:hAnsi="Arial"/>
          <w:sz w:val="22"/>
          <w:szCs w:val="22"/>
        </w:rPr>
      </w:pPr>
      <w:r w:rsidRPr="00FD33C4">
        <w:rPr>
          <w:rFonts w:ascii="Arial" w:hAnsi="Arial"/>
          <w:sz w:val="22"/>
          <w:szCs w:val="22"/>
        </w:rPr>
        <w:t xml:space="preserve">The submission also presented a supportive comparison of denosumab and zoledronic acid for the prevention of hypercalcaemia of malignancy based on a retrospective, pooled analysis of two randomised controlled trials. </w:t>
      </w:r>
    </w:p>
    <w:p w:rsidR="00FD33C4" w:rsidRPr="00FD33C4" w:rsidRDefault="00FD33C4" w:rsidP="00FD33C4">
      <w:pPr>
        <w:pStyle w:val="ListParagraph"/>
        <w:rPr>
          <w:rFonts w:ascii="Arial" w:hAnsi="Arial"/>
          <w:sz w:val="22"/>
          <w:szCs w:val="22"/>
        </w:rPr>
      </w:pPr>
    </w:p>
    <w:p w:rsidR="00FD33C4" w:rsidRDefault="00FD33C4" w:rsidP="00966FC4">
      <w:pPr>
        <w:pStyle w:val="ListParagraph"/>
        <w:numPr>
          <w:ilvl w:val="1"/>
          <w:numId w:val="4"/>
        </w:numPr>
        <w:jc w:val="both"/>
        <w:rPr>
          <w:rFonts w:ascii="Arial" w:hAnsi="Arial"/>
          <w:sz w:val="22"/>
          <w:szCs w:val="22"/>
        </w:rPr>
      </w:pPr>
      <w:r w:rsidRPr="00FD33C4">
        <w:rPr>
          <w:rFonts w:ascii="Arial" w:hAnsi="Arial"/>
          <w:sz w:val="22"/>
          <w:szCs w:val="22"/>
        </w:rPr>
        <w:t xml:space="preserve">No data were available to support a comparison of zoledronic acid 4 mg with denosumab for retreatment of hypercalcaemia of malignancy. </w:t>
      </w:r>
    </w:p>
    <w:p w:rsidR="00976CEB" w:rsidRDefault="00976CEB" w:rsidP="00C01320">
      <w:pPr>
        <w:pStyle w:val="ListParagraph"/>
        <w:rPr>
          <w:rFonts w:ascii="Arial" w:hAnsi="Arial"/>
          <w:sz w:val="22"/>
          <w:szCs w:val="22"/>
        </w:rPr>
      </w:pPr>
    </w:p>
    <w:p w:rsidR="00D63ED1" w:rsidRDefault="00976CEB" w:rsidP="00966FC4">
      <w:pPr>
        <w:pStyle w:val="ListParagraph"/>
        <w:numPr>
          <w:ilvl w:val="1"/>
          <w:numId w:val="4"/>
        </w:numPr>
        <w:jc w:val="both"/>
        <w:rPr>
          <w:rFonts w:ascii="Arial" w:hAnsi="Arial"/>
          <w:sz w:val="22"/>
          <w:szCs w:val="22"/>
        </w:rPr>
      </w:pPr>
      <w:r>
        <w:rPr>
          <w:rFonts w:ascii="Arial" w:hAnsi="Arial"/>
          <w:sz w:val="22"/>
          <w:szCs w:val="22"/>
        </w:rPr>
        <w:t>The</w:t>
      </w:r>
      <w:r w:rsidR="00D63ED1" w:rsidRPr="00D63ED1">
        <w:rPr>
          <w:rFonts w:ascii="Arial" w:hAnsi="Arial"/>
          <w:sz w:val="22"/>
          <w:szCs w:val="22"/>
        </w:rPr>
        <w:t xml:space="preserve"> </w:t>
      </w:r>
      <w:r w:rsidR="00D63ED1">
        <w:rPr>
          <w:rFonts w:ascii="Arial" w:hAnsi="Arial"/>
          <w:sz w:val="22"/>
          <w:szCs w:val="22"/>
        </w:rPr>
        <w:t xml:space="preserve">PBAC concluded at the March 2016 meeting (PBAC </w:t>
      </w:r>
      <w:r w:rsidR="00E8345E">
        <w:rPr>
          <w:rFonts w:ascii="Arial" w:hAnsi="Arial"/>
          <w:sz w:val="22"/>
          <w:szCs w:val="22"/>
        </w:rPr>
        <w:t>public summary document</w:t>
      </w:r>
      <w:r w:rsidR="00D63ED1">
        <w:rPr>
          <w:rFonts w:ascii="Arial" w:hAnsi="Arial"/>
          <w:sz w:val="22"/>
          <w:szCs w:val="22"/>
        </w:rPr>
        <w:t xml:space="preserve"> paragraphs 6.22 and 6.23) that </w:t>
      </w:r>
      <w:r w:rsidR="00D63ED1" w:rsidRPr="00976CEB">
        <w:rPr>
          <w:rFonts w:ascii="Arial" w:hAnsi="Arial"/>
          <w:sz w:val="22"/>
          <w:szCs w:val="22"/>
        </w:rPr>
        <w:t>claim</w:t>
      </w:r>
      <w:r w:rsidR="00D63ED1">
        <w:rPr>
          <w:rFonts w:ascii="Arial" w:hAnsi="Arial"/>
          <w:sz w:val="22"/>
          <w:szCs w:val="22"/>
        </w:rPr>
        <w:t>s</w:t>
      </w:r>
      <w:r w:rsidR="00D63ED1" w:rsidRPr="00976CEB">
        <w:rPr>
          <w:rFonts w:ascii="Arial" w:hAnsi="Arial"/>
          <w:sz w:val="22"/>
          <w:szCs w:val="22"/>
        </w:rPr>
        <w:t xml:space="preserve"> of superior comparative effectiveness </w:t>
      </w:r>
      <w:r w:rsidR="00D63ED1">
        <w:rPr>
          <w:rFonts w:ascii="Arial" w:hAnsi="Arial"/>
          <w:sz w:val="22"/>
          <w:szCs w:val="22"/>
        </w:rPr>
        <w:t xml:space="preserve">and </w:t>
      </w:r>
      <w:r w:rsidR="00D63ED1" w:rsidRPr="00976CEB">
        <w:rPr>
          <w:rFonts w:ascii="Arial" w:hAnsi="Arial"/>
          <w:sz w:val="22"/>
          <w:szCs w:val="22"/>
        </w:rPr>
        <w:t xml:space="preserve">non-inferior comparative safety </w:t>
      </w:r>
      <w:r w:rsidR="00690AEE">
        <w:rPr>
          <w:rFonts w:ascii="Arial" w:hAnsi="Arial"/>
          <w:sz w:val="22"/>
          <w:szCs w:val="22"/>
        </w:rPr>
        <w:t xml:space="preserve">to zoledronic acid </w:t>
      </w:r>
      <w:r w:rsidR="00D63ED1" w:rsidRPr="00976CEB">
        <w:rPr>
          <w:rFonts w:ascii="Arial" w:hAnsi="Arial"/>
          <w:sz w:val="22"/>
          <w:szCs w:val="22"/>
        </w:rPr>
        <w:t>w</w:t>
      </w:r>
      <w:r w:rsidR="00D63ED1">
        <w:rPr>
          <w:rFonts w:ascii="Arial" w:hAnsi="Arial"/>
          <w:sz w:val="22"/>
          <w:szCs w:val="22"/>
        </w:rPr>
        <w:t>ere</w:t>
      </w:r>
      <w:r w:rsidR="00D63ED1" w:rsidRPr="00976CEB">
        <w:rPr>
          <w:rFonts w:ascii="Arial" w:hAnsi="Arial"/>
          <w:sz w:val="22"/>
          <w:szCs w:val="22"/>
        </w:rPr>
        <w:t xml:space="preserve"> not adequately supported by the data.</w:t>
      </w:r>
    </w:p>
    <w:p w:rsidR="00D63ED1" w:rsidRPr="00D63ED1" w:rsidRDefault="00D63ED1" w:rsidP="00D63ED1">
      <w:pPr>
        <w:pStyle w:val="ListParagraph"/>
        <w:rPr>
          <w:rFonts w:ascii="Arial" w:hAnsi="Arial"/>
          <w:sz w:val="22"/>
          <w:szCs w:val="22"/>
        </w:rPr>
      </w:pPr>
    </w:p>
    <w:p w:rsidR="00D63ED1" w:rsidRPr="00D63ED1" w:rsidRDefault="00D63ED1" w:rsidP="00435BA8">
      <w:pPr>
        <w:pStyle w:val="Heading2"/>
        <w:keepLines/>
      </w:pPr>
      <w:r w:rsidRPr="00D63ED1">
        <w:lastRenderedPageBreak/>
        <w:t>Economic analysis</w:t>
      </w:r>
    </w:p>
    <w:p w:rsidR="00D63ED1" w:rsidRPr="00D63ED1" w:rsidRDefault="00D63ED1" w:rsidP="00435BA8">
      <w:pPr>
        <w:pStyle w:val="ListParagraph"/>
        <w:keepNext/>
        <w:keepLines/>
        <w:rPr>
          <w:rFonts w:ascii="Arial" w:hAnsi="Arial"/>
          <w:sz w:val="22"/>
          <w:szCs w:val="22"/>
        </w:rPr>
      </w:pPr>
    </w:p>
    <w:p w:rsidR="009B0F67" w:rsidRDefault="00D63ED1" w:rsidP="00435BA8">
      <w:pPr>
        <w:pStyle w:val="ListParagraph"/>
        <w:keepNext/>
        <w:keepLines/>
        <w:numPr>
          <w:ilvl w:val="1"/>
          <w:numId w:val="4"/>
        </w:numPr>
        <w:jc w:val="both"/>
        <w:rPr>
          <w:rFonts w:ascii="Arial" w:hAnsi="Arial"/>
          <w:sz w:val="22"/>
          <w:szCs w:val="22"/>
        </w:rPr>
      </w:pPr>
      <w:r>
        <w:rPr>
          <w:rFonts w:ascii="Arial" w:hAnsi="Arial"/>
          <w:sz w:val="22"/>
          <w:szCs w:val="22"/>
        </w:rPr>
        <w:t xml:space="preserve">The </w:t>
      </w:r>
      <w:r w:rsidR="00C1622A">
        <w:rPr>
          <w:rFonts w:ascii="Arial" w:hAnsi="Arial"/>
          <w:sz w:val="22"/>
          <w:szCs w:val="22"/>
        </w:rPr>
        <w:t xml:space="preserve">submission proposed listing on a cost minimisation basis with zoledronic acid. The cost minimisation analysis estimated the proportion of denosumab use </w:t>
      </w:r>
      <w:r w:rsidR="0029397C">
        <w:rPr>
          <w:rFonts w:ascii="Arial" w:hAnsi="Arial"/>
          <w:sz w:val="22"/>
          <w:szCs w:val="22"/>
        </w:rPr>
        <w:t xml:space="preserve">that </w:t>
      </w:r>
      <w:r w:rsidR="00C1622A">
        <w:rPr>
          <w:rFonts w:ascii="Arial" w:hAnsi="Arial"/>
          <w:sz w:val="22"/>
          <w:szCs w:val="22"/>
        </w:rPr>
        <w:t xml:space="preserve">would be attributed to HCM and calculated a cost minimised price to the comparator. The submission then offset the proportion of patients receiving denosumab at the lower price against the current price of denosumab and proposed a new weighted </w:t>
      </w:r>
      <w:r w:rsidR="00F228F1">
        <w:rPr>
          <w:rFonts w:ascii="Arial" w:hAnsi="Arial"/>
          <w:sz w:val="22"/>
          <w:szCs w:val="22"/>
        </w:rPr>
        <w:t>price for denosumab</w:t>
      </w:r>
      <w:r w:rsidR="00C1622A">
        <w:rPr>
          <w:rFonts w:ascii="Arial" w:hAnsi="Arial"/>
          <w:sz w:val="22"/>
          <w:szCs w:val="22"/>
        </w:rPr>
        <w:t xml:space="preserve"> as shown in the table below.</w:t>
      </w:r>
    </w:p>
    <w:p w:rsidR="00C1622A" w:rsidRDefault="00C1622A" w:rsidP="00C1622A">
      <w:pPr>
        <w:rPr>
          <w:rFonts w:ascii="Arial" w:hAnsi="Arial"/>
          <w:sz w:val="22"/>
          <w:szCs w:val="22"/>
        </w:rPr>
      </w:pPr>
      <w:bookmarkStart w:id="2" w:name="_GoBack"/>
      <w:bookmarkEnd w:id="2"/>
    </w:p>
    <w:p w:rsidR="00C76276" w:rsidRPr="00920E36" w:rsidRDefault="00AB772C" w:rsidP="00920E36">
      <w:pPr>
        <w:ind w:firstLine="720"/>
        <w:rPr>
          <w:rFonts w:ascii="Arial Narrow" w:hAnsi="Arial Narrow"/>
          <w:sz w:val="20"/>
          <w:szCs w:val="20"/>
        </w:rPr>
      </w:pPr>
      <w:r w:rsidRPr="009531ED">
        <w:rPr>
          <w:rFonts w:ascii="Arial Narrow" w:hAnsi="Arial Narrow"/>
          <w:b/>
          <w:sz w:val="20"/>
          <w:szCs w:val="20"/>
        </w:rPr>
        <w:t xml:space="preserve">Table 1: </w:t>
      </w:r>
      <w:r w:rsidRPr="00C1622A">
        <w:rPr>
          <w:rFonts w:ascii="Arial Narrow" w:hAnsi="Arial Narrow"/>
          <w:b/>
          <w:bCs/>
          <w:color w:val="000000"/>
          <w:sz w:val="20"/>
          <w:szCs w:val="20"/>
        </w:rPr>
        <w:t>Cost-minimisation of denosumab vs zoledronic acid dose</w:t>
      </w:r>
    </w:p>
    <w:tbl>
      <w:tblPr>
        <w:tblW w:w="6120"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Cost-minimisation of denosumab vs zoledronic acid dose"/>
        <w:tblDescription w:val="The redacted table shows the proposed weighted price as less than $10 million."/>
      </w:tblPr>
      <w:tblGrid>
        <w:gridCol w:w="5074"/>
        <w:gridCol w:w="1046"/>
      </w:tblGrid>
      <w:tr w:rsidR="00C1622A" w:rsidTr="00C76276">
        <w:trPr>
          <w:trHeight w:val="300"/>
          <w:tblHeader/>
        </w:trPr>
        <w:tc>
          <w:tcPr>
            <w:tcW w:w="5074" w:type="dxa"/>
            <w:shd w:val="clear" w:color="auto" w:fill="auto"/>
            <w:noWrap/>
            <w:vAlign w:val="bottom"/>
            <w:hideMark/>
          </w:tcPr>
          <w:p w:rsidR="00C1622A" w:rsidRPr="00C1622A" w:rsidRDefault="00C1622A">
            <w:pPr>
              <w:rPr>
                <w:rFonts w:ascii="Arial Narrow" w:hAnsi="Arial Narrow"/>
                <w:color w:val="000000"/>
                <w:sz w:val="20"/>
                <w:szCs w:val="20"/>
              </w:rPr>
            </w:pPr>
            <w:r w:rsidRPr="00F228F1">
              <w:rPr>
                <w:rFonts w:ascii="Arial Narrow" w:hAnsi="Arial Narrow"/>
                <w:color w:val="000000"/>
                <w:sz w:val="20"/>
                <w:szCs w:val="20"/>
              </w:rPr>
              <w:t>1. Zoledronic acid DPMQ</w:t>
            </w:r>
          </w:p>
        </w:tc>
        <w:tc>
          <w:tcPr>
            <w:tcW w:w="1046" w:type="dxa"/>
            <w:shd w:val="clear" w:color="auto" w:fill="auto"/>
            <w:noWrap/>
            <w:vAlign w:val="bottom"/>
            <w:hideMark/>
          </w:tcPr>
          <w:p w:rsidR="00C1622A" w:rsidRPr="00C1622A" w:rsidRDefault="00C1622A">
            <w:pPr>
              <w:jc w:val="center"/>
              <w:rPr>
                <w:rFonts w:ascii="Arial Narrow" w:hAnsi="Arial Narrow"/>
                <w:color w:val="000000"/>
                <w:sz w:val="20"/>
                <w:szCs w:val="20"/>
              </w:rPr>
            </w:pPr>
            <w:r w:rsidRPr="00C1622A">
              <w:rPr>
                <w:rFonts w:ascii="Arial Narrow" w:hAnsi="Arial Narrow"/>
                <w:color w:val="000000"/>
                <w:sz w:val="20"/>
                <w:szCs w:val="20"/>
              </w:rPr>
              <w:t>$</w:t>
            </w:r>
            <w:r w:rsidR="002333A0">
              <w:rPr>
                <w:rFonts w:ascii="Arial Narrow" w:hAnsi="Arial Narrow"/>
                <w:noProof/>
                <w:color w:val="000000"/>
                <w:sz w:val="20"/>
                <w:szCs w:val="20"/>
                <w:highlight w:val="black"/>
              </w:rPr>
              <w:t>''''''''''''''''</w:t>
            </w:r>
          </w:p>
        </w:tc>
      </w:tr>
      <w:tr w:rsidR="00C1622A" w:rsidTr="00AB772C">
        <w:trPr>
          <w:trHeight w:val="300"/>
        </w:trPr>
        <w:tc>
          <w:tcPr>
            <w:tcW w:w="5074" w:type="dxa"/>
            <w:shd w:val="clear" w:color="auto" w:fill="auto"/>
            <w:noWrap/>
            <w:vAlign w:val="bottom"/>
            <w:hideMark/>
          </w:tcPr>
          <w:p w:rsidR="00C1622A" w:rsidRPr="00C1622A" w:rsidRDefault="00C1622A">
            <w:pPr>
              <w:rPr>
                <w:rFonts w:ascii="Arial Narrow" w:hAnsi="Arial Narrow"/>
                <w:color w:val="000000"/>
                <w:sz w:val="20"/>
                <w:szCs w:val="20"/>
              </w:rPr>
            </w:pPr>
            <w:r w:rsidRPr="00F228F1">
              <w:rPr>
                <w:rFonts w:ascii="Arial Narrow" w:hAnsi="Arial Narrow"/>
                <w:color w:val="000000"/>
                <w:sz w:val="20"/>
                <w:szCs w:val="20"/>
              </w:rPr>
              <w:t>2. Extra cost for IV administration</w:t>
            </w:r>
          </w:p>
        </w:tc>
        <w:tc>
          <w:tcPr>
            <w:tcW w:w="1046" w:type="dxa"/>
            <w:shd w:val="clear" w:color="auto" w:fill="auto"/>
            <w:noWrap/>
            <w:vAlign w:val="bottom"/>
            <w:hideMark/>
          </w:tcPr>
          <w:p w:rsidR="00C1622A" w:rsidRPr="00C1622A" w:rsidRDefault="00C1622A">
            <w:pPr>
              <w:jc w:val="center"/>
              <w:rPr>
                <w:rFonts w:ascii="Arial Narrow" w:hAnsi="Arial Narrow"/>
                <w:color w:val="000000"/>
                <w:sz w:val="20"/>
                <w:szCs w:val="20"/>
              </w:rPr>
            </w:pPr>
            <w:r w:rsidRPr="00C1622A">
              <w:rPr>
                <w:rFonts w:ascii="Arial Narrow" w:hAnsi="Arial Narrow"/>
                <w:color w:val="000000"/>
                <w:sz w:val="20"/>
                <w:szCs w:val="20"/>
              </w:rPr>
              <w:t>$</w:t>
            </w:r>
            <w:r w:rsidR="002333A0">
              <w:rPr>
                <w:rFonts w:ascii="Arial Narrow" w:hAnsi="Arial Narrow"/>
                <w:noProof/>
                <w:color w:val="000000"/>
                <w:sz w:val="20"/>
                <w:szCs w:val="20"/>
                <w:highlight w:val="black"/>
              </w:rPr>
              <w:t>''''''''''''</w:t>
            </w:r>
          </w:p>
        </w:tc>
      </w:tr>
      <w:tr w:rsidR="00C1622A" w:rsidRPr="00B40E03" w:rsidTr="00AB772C">
        <w:trPr>
          <w:trHeight w:val="300"/>
        </w:trPr>
        <w:tc>
          <w:tcPr>
            <w:tcW w:w="5074" w:type="dxa"/>
            <w:shd w:val="clear" w:color="auto" w:fill="auto"/>
            <w:noWrap/>
            <w:vAlign w:val="bottom"/>
            <w:hideMark/>
          </w:tcPr>
          <w:p w:rsidR="00C1622A" w:rsidRPr="00C1622A" w:rsidRDefault="00C1622A">
            <w:pPr>
              <w:rPr>
                <w:rFonts w:ascii="Arial Narrow" w:hAnsi="Arial Narrow"/>
                <w:color w:val="000000"/>
                <w:sz w:val="20"/>
                <w:szCs w:val="20"/>
              </w:rPr>
            </w:pPr>
            <w:r w:rsidRPr="00F228F1">
              <w:rPr>
                <w:rFonts w:ascii="Arial Narrow" w:hAnsi="Arial Narrow"/>
                <w:color w:val="000000"/>
                <w:sz w:val="20"/>
                <w:szCs w:val="20"/>
              </w:rPr>
              <w:t>3. Total cost of 4mg zoledronic acid dose</w:t>
            </w:r>
          </w:p>
        </w:tc>
        <w:tc>
          <w:tcPr>
            <w:tcW w:w="1046" w:type="dxa"/>
            <w:shd w:val="clear" w:color="auto" w:fill="auto"/>
            <w:noWrap/>
            <w:vAlign w:val="bottom"/>
            <w:hideMark/>
          </w:tcPr>
          <w:p w:rsidR="00C1622A" w:rsidRPr="00C1622A" w:rsidRDefault="00C1622A">
            <w:pPr>
              <w:jc w:val="center"/>
              <w:rPr>
                <w:rFonts w:ascii="Arial Narrow" w:hAnsi="Arial Narrow"/>
                <w:color w:val="000000"/>
                <w:sz w:val="20"/>
                <w:szCs w:val="20"/>
              </w:rPr>
            </w:pPr>
            <w:r w:rsidRPr="00C1622A">
              <w:rPr>
                <w:rFonts w:ascii="Arial Narrow" w:hAnsi="Arial Narrow"/>
                <w:color w:val="000000"/>
                <w:sz w:val="20"/>
                <w:szCs w:val="20"/>
              </w:rPr>
              <w:t>$</w:t>
            </w:r>
            <w:r w:rsidR="002333A0">
              <w:rPr>
                <w:rFonts w:ascii="Arial Narrow" w:hAnsi="Arial Narrow"/>
                <w:noProof/>
                <w:color w:val="000000"/>
                <w:sz w:val="20"/>
                <w:szCs w:val="20"/>
                <w:highlight w:val="black"/>
              </w:rPr>
              <w:t>''''''''''''''''</w:t>
            </w:r>
          </w:p>
        </w:tc>
      </w:tr>
      <w:tr w:rsidR="00C1622A" w:rsidTr="00AB772C">
        <w:trPr>
          <w:trHeight w:val="300"/>
        </w:trPr>
        <w:tc>
          <w:tcPr>
            <w:tcW w:w="5074" w:type="dxa"/>
            <w:shd w:val="clear" w:color="auto" w:fill="auto"/>
            <w:noWrap/>
            <w:vAlign w:val="bottom"/>
            <w:hideMark/>
          </w:tcPr>
          <w:p w:rsidR="00C1622A" w:rsidRPr="00C1622A" w:rsidRDefault="00C1622A">
            <w:pPr>
              <w:rPr>
                <w:rFonts w:ascii="Arial Narrow" w:hAnsi="Arial Narrow"/>
                <w:color w:val="000000"/>
                <w:sz w:val="20"/>
                <w:szCs w:val="20"/>
              </w:rPr>
            </w:pPr>
            <w:r w:rsidRPr="00F228F1">
              <w:rPr>
                <w:rFonts w:ascii="Arial Narrow" w:hAnsi="Arial Narrow"/>
                <w:color w:val="000000"/>
                <w:sz w:val="20"/>
                <w:szCs w:val="20"/>
              </w:rPr>
              <w:t>Denosumab 120mg DPMQ</w:t>
            </w:r>
          </w:p>
        </w:tc>
        <w:tc>
          <w:tcPr>
            <w:tcW w:w="1046" w:type="dxa"/>
            <w:shd w:val="clear" w:color="auto" w:fill="auto"/>
            <w:noWrap/>
            <w:vAlign w:val="bottom"/>
            <w:hideMark/>
          </w:tcPr>
          <w:p w:rsidR="00C1622A" w:rsidRPr="00C1622A" w:rsidRDefault="00C1622A">
            <w:pPr>
              <w:jc w:val="center"/>
              <w:rPr>
                <w:rFonts w:ascii="Arial Narrow" w:hAnsi="Arial Narrow"/>
                <w:color w:val="000000"/>
                <w:sz w:val="20"/>
                <w:szCs w:val="20"/>
              </w:rPr>
            </w:pPr>
            <w:r w:rsidRPr="00C1622A">
              <w:rPr>
                <w:rFonts w:ascii="Arial Narrow" w:hAnsi="Arial Narrow"/>
                <w:color w:val="000000"/>
                <w:sz w:val="20"/>
                <w:szCs w:val="20"/>
              </w:rPr>
              <w:t>$</w:t>
            </w:r>
            <w:r w:rsidR="002333A0">
              <w:rPr>
                <w:rFonts w:ascii="Arial Narrow" w:hAnsi="Arial Narrow"/>
                <w:noProof/>
                <w:color w:val="000000"/>
                <w:sz w:val="20"/>
                <w:szCs w:val="20"/>
                <w:highlight w:val="black"/>
              </w:rPr>
              <w:t>''''''''''''''''</w:t>
            </w:r>
          </w:p>
        </w:tc>
      </w:tr>
      <w:tr w:rsidR="00AB772C" w:rsidTr="00AB772C">
        <w:trPr>
          <w:trHeight w:val="300"/>
        </w:trPr>
        <w:tc>
          <w:tcPr>
            <w:tcW w:w="5074" w:type="dxa"/>
            <w:shd w:val="clear" w:color="auto" w:fill="auto"/>
            <w:noWrap/>
            <w:vAlign w:val="bottom"/>
          </w:tcPr>
          <w:p w:rsidR="00AB772C" w:rsidRPr="00AB772C" w:rsidRDefault="00AB772C">
            <w:pPr>
              <w:rPr>
                <w:rFonts w:ascii="Arial Narrow" w:hAnsi="Arial Narrow"/>
                <w:color w:val="000000"/>
                <w:sz w:val="20"/>
                <w:szCs w:val="20"/>
              </w:rPr>
            </w:pPr>
            <w:r>
              <w:rPr>
                <w:rFonts w:ascii="Arial Narrow" w:hAnsi="Arial Narrow"/>
                <w:color w:val="000000"/>
                <w:sz w:val="20"/>
                <w:szCs w:val="20"/>
              </w:rPr>
              <w:t>Proposed % of use at lower price</w:t>
            </w:r>
          </w:p>
        </w:tc>
        <w:tc>
          <w:tcPr>
            <w:tcW w:w="1046" w:type="dxa"/>
            <w:shd w:val="clear" w:color="auto" w:fill="auto"/>
            <w:noWrap/>
            <w:vAlign w:val="bottom"/>
          </w:tcPr>
          <w:p w:rsidR="00AB772C" w:rsidRPr="00C1622A" w:rsidRDefault="002333A0">
            <w:pPr>
              <w:jc w:val="center"/>
              <w:rPr>
                <w:rFonts w:ascii="Arial Narrow" w:hAnsi="Arial Narrow"/>
                <w:color w:val="000000"/>
                <w:sz w:val="20"/>
                <w:szCs w:val="20"/>
              </w:rPr>
            </w:pPr>
            <w:r>
              <w:rPr>
                <w:rFonts w:ascii="Arial Narrow" w:hAnsi="Arial Narrow"/>
                <w:noProof/>
                <w:color w:val="000000"/>
                <w:sz w:val="20"/>
                <w:szCs w:val="20"/>
                <w:highlight w:val="black"/>
              </w:rPr>
              <w:t>''''''''''''</w:t>
            </w:r>
            <w:r w:rsidR="00AB772C">
              <w:rPr>
                <w:rFonts w:ascii="Arial Narrow" w:hAnsi="Arial Narrow"/>
                <w:color w:val="000000"/>
                <w:sz w:val="20"/>
                <w:szCs w:val="20"/>
              </w:rPr>
              <w:t xml:space="preserve"> (</w:t>
            </w:r>
            <w:r>
              <w:rPr>
                <w:rFonts w:ascii="Arial Narrow" w:hAnsi="Arial Narrow"/>
                <w:noProof/>
                <w:color w:val="000000"/>
                <w:sz w:val="20"/>
                <w:szCs w:val="20"/>
                <w:highlight w:val="black"/>
              </w:rPr>
              <w:t>'''</w:t>
            </w:r>
            <w:r w:rsidR="00AB772C">
              <w:rPr>
                <w:rFonts w:ascii="Arial Narrow" w:hAnsi="Arial Narrow"/>
                <w:color w:val="000000"/>
                <w:sz w:val="20"/>
                <w:szCs w:val="20"/>
              </w:rPr>
              <w:t>%)</w:t>
            </w:r>
          </w:p>
        </w:tc>
      </w:tr>
      <w:tr w:rsidR="00AB772C" w:rsidTr="00AB772C">
        <w:trPr>
          <w:trHeight w:val="300"/>
        </w:trPr>
        <w:tc>
          <w:tcPr>
            <w:tcW w:w="5074" w:type="dxa"/>
            <w:shd w:val="clear" w:color="auto" w:fill="auto"/>
            <w:noWrap/>
            <w:vAlign w:val="bottom"/>
          </w:tcPr>
          <w:p w:rsidR="00AB772C" w:rsidRPr="00AB772C" w:rsidRDefault="00AB772C">
            <w:pPr>
              <w:rPr>
                <w:rFonts w:ascii="Arial Narrow" w:hAnsi="Arial Narrow"/>
                <w:color w:val="000000"/>
                <w:sz w:val="20"/>
                <w:szCs w:val="20"/>
              </w:rPr>
            </w:pPr>
            <w:r>
              <w:rPr>
                <w:rFonts w:ascii="Arial Narrow" w:hAnsi="Arial Narrow"/>
                <w:color w:val="000000"/>
                <w:sz w:val="20"/>
                <w:szCs w:val="20"/>
              </w:rPr>
              <w:t>Proposed weighted price</w:t>
            </w:r>
          </w:p>
        </w:tc>
        <w:tc>
          <w:tcPr>
            <w:tcW w:w="1046" w:type="dxa"/>
            <w:shd w:val="clear" w:color="auto" w:fill="auto"/>
            <w:noWrap/>
            <w:vAlign w:val="bottom"/>
          </w:tcPr>
          <w:p w:rsidR="00AB772C" w:rsidRPr="00C1622A" w:rsidRDefault="00AB772C">
            <w:pPr>
              <w:jc w:val="center"/>
              <w:rPr>
                <w:rFonts w:ascii="Arial Narrow" w:hAnsi="Arial Narrow"/>
                <w:color w:val="000000"/>
                <w:sz w:val="20"/>
                <w:szCs w:val="20"/>
              </w:rPr>
            </w:pPr>
            <w:r>
              <w:rPr>
                <w:rFonts w:ascii="Arial Narrow" w:hAnsi="Arial Narrow"/>
                <w:color w:val="000000"/>
                <w:sz w:val="20"/>
                <w:szCs w:val="20"/>
              </w:rPr>
              <w:t>$</w:t>
            </w:r>
            <w:r w:rsidR="002333A0">
              <w:rPr>
                <w:rFonts w:ascii="Arial Narrow" w:hAnsi="Arial Narrow"/>
                <w:noProof/>
                <w:color w:val="000000"/>
                <w:sz w:val="20"/>
                <w:szCs w:val="20"/>
                <w:highlight w:val="black"/>
              </w:rPr>
              <w:t>'''''''''''''''''</w:t>
            </w:r>
          </w:p>
        </w:tc>
      </w:tr>
    </w:tbl>
    <w:p w:rsidR="00C1622A" w:rsidRPr="00AB772C" w:rsidRDefault="00AB772C" w:rsidP="00C1622A">
      <w:pPr>
        <w:rPr>
          <w:rFonts w:ascii="Arial Narrow" w:hAnsi="Arial Narrow"/>
          <w:sz w:val="20"/>
          <w:szCs w:val="20"/>
        </w:rPr>
      </w:pPr>
      <w:r>
        <w:rPr>
          <w:rFonts w:ascii="Arial" w:hAnsi="Arial"/>
          <w:sz w:val="22"/>
          <w:szCs w:val="22"/>
        </w:rPr>
        <w:tab/>
      </w:r>
      <w:r>
        <w:rPr>
          <w:rFonts w:ascii="Arial Narrow" w:hAnsi="Arial Narrow"/>
          <w:sz w:val="20"/>
          <w:szCs w:val="20"/>
        </w:rPr>
        <w:t xml:space="preserve">Source: </w:t>
      </w:r>
      <w:r w:rsidR="00DC6224">
        <w:rPr>
          <w:rFonts w:ascii="Arial Narrow" w:hAnsi="Arial Narrow"/>
          <w:sz w:val="20"/>
          <w:szCs w:val="20"/>
        </w:rPr>
        <w:t xml:space="preserve">Submission </w:t>
      </w:r>
      <w:r>
        <w:rPr>
          <w:rFonts w:ascii="Arial Narrow" w:hAnsi="Arial Narrow"/>
          <w:sz w:val="20"/>
          <w:szCs w:val="20"/>
        </w:rPr>
        <w:t>Excel worksheet Pricing, Sheet 1.</w:t>
      </w:r>
    </w:p>
    <w:p w:rsidR="009C1E6C" w:rsidRDefault="009C1E6C" w:rsidP="009C1E6C">
      <w:pPr>
        <w:rPr>
          <w:rFonts w:ascii="Arial" w:hAnsi="Arial"/>
          <w:sz w:val="22"/>
          <w:szCs w:val="22"/>
        </w:rPr>
      </w:pPr>
    </w:p>
    <w:p w:rsidR="009C1E6C" w:rsidRPr="009C1E6C" w:rsidRDefault="009C1E6C" w:rsidP="009C1E6C">
      <w:pPr>
        <w:pStyle w:val="ListParagraph"/>
        <w:jc w:val="both"/>
        <w:rPr>
          <w:rFonts w:ascii="Arial" w:hAnsi="Arial"/>
          <w:sz w:val="22"/>
          <w:szCs w:val="22"/>
        </w:rPr>
      </w:pPr>
      <w:r w:rsidRPr="009C1E6C">
        <w:rPr>
          <w:rFonts w:ascii="Arial" w:hAnsi="Arial"/>
          <w:sz w:val="22"/>
          <w:szCs w:val="22"/>
        </w:rPr>
        <w:t xml:space="preserve">The redacted table shows </w:t>
      </w:r>
      <w:r>
        <w:rPr>
          <w:rFonts w:ascii="Arial" w:hAnsi="Arial"/>
          <w:sz w:val="22"/>
          <w:szCs w:val="22"/>
        </w:rPr>
        <w:t>the proposed weighted price as less than $10 million.</w:t>
      </w:r>
    </w:p>
    <w:p w:rsidR="00C1622A" w:rsidRPr="00C1622A" w:rsidRDefault="00C1622A" w:rsidP="00C1622A">
      <w:pPr>
        <w:rPr>
          <w:rFonts w:ascii="Arial" w:hAnsi="Arial"/>
          <w:sz w:val="22"/>
          <w:szCs w:val="22"/>
        </w:rPr>
      </w:pPr>
    </w:p>
    <w:p w:rsidR="00C1622A" w:rsidRPr="005077EE" w:rsidRDefault="00C1622A" w:rsidP="005077EE">
      <w:pPr>
        <w:pStyle w:val="ListParagraph"/>
        <w:numPr>
          <w:ilvl w:val="1"/>
          <w:numId w:val="4"/>
        </w:numPr>
        <w:jc w:val="both"/>
        <w:rPr>
          <w:rFonts w:ascii="Arial" w:hAnsi="Arial"/>
          <w:sz w:val="22"/>
          <w:szCs w:val="22"/>
        </w:rPr>
      </w:pPr>
      <w:r w:rsidRPr="009347D0">
        <w:rPr>
          <w:rFonts w:ascii="Arial" w:hAnsi="Arial"/>
          <w:sz w:val="22"/>
          <w:szCs w:val="22"/>
        </w:rPr>
        <w:t>The Secretariat note</w:t>
      </w:r>
      <w:r w:rsidR="00690AEE" w:rsidRPr="009347D0">
        <w:rPr>
          <w:rFonts w:ascii="Arial" w:hAnsi="Arial"/>
          <w:sz w:val="22"/>
          <w:szCs w:val="22"/>
        </w:rPr>
        <w:t>d</w:t>
      </w:r>
      <w:r w:rsidR="0096514A">
        <w:rPr>
          <w:rFonts w:ascii="Arial" w:hAnsi="Arial"/>
          <w:sz w:val="22"/>
          <w:szCs w:val="22"/>
        </w:rPr>
        <w:t xml:space="preserve"> </w:t>
      </w:r>
      <w:r w:rsidRPr="009347D0">
        <w:rPr>
          <w:rFonts w:ascii="Arial" w:hAnsi="Arial"/>
          <w:sz w:val="22"/>
          <w:szCs w:val="22"/>
        </w:rPr>
        <w:t>that the submission</w:t>
      </w:r>
      <w:r w:rsidR="0096514A">
        <w:rPr>
          <w:rFonts w:ascii="Arial" w:hAnsi="Arial"/>
          <w:sz w:val="22"/>
          <w:szCs w:val="22"/>
        </w:rPr>
        <w:t>’s financial estimates</w:t>
      </w:r>
      <w:r w:rsidRPr="009347D0">
        <w:rPr>
          <w:rFonts w:ascii="Arial" w:hAnsi="Arial"/>
          <w:sz w:val="22"/>
          <w:szCs w:val="22"/>
        </w:rPr>
        <w:t xml:space="preserve"> assume</w:t>
      </w:r>
      <w:r w:rsidR="00690AEE" w:rsidRPr="009347D0">
        <w:rPr>
          <w:rFonts w:ascii="Arial" w:hAnsi="Arial"/>
          <w:sz w:val="22"/>
          <w:szCs w:val="22"/>
        </w:rPr>
        <w:t>d</w:t>
      </w:r>
      <w:r w:rsidRPr="009347D0">
        <w:rPr>
          <w:rFonts w:ascii="Arial" w:hAnsi="Arial"/>
          <w:sz w:val="22"/>
          <w:szCs w:val="22"/>
        </w:rPr>
        <w:t xml:space="preserve"> patients being treated with denosumab will receive on average 5 doses of that drug, whereas patients receiving treatment with zoledronic acid </w:t>
      </w:r>
      <w:r w:rsidR="00690AEE" w:rsidRPr="005077EE">
        <w:rPr>
          <w:rFonts w:ascii="Arial" w:hAnsi="Arial"/>
          <w:sz w:val="22"/>
          <w:szCs w:val="22"/>
        </w:rPr>
        <w:t>we</w:t>
      </w:r>
      <w:r w:rsidRPr="005077EE">
        <w:rPr>
          <w:rFonts w:ascii="Arial" w:hAnsi="Arial"/>
          <w:sz w:val="22"/>
          <w:szCs w:val="22"/>
        </w:rPr>
        <w:t>re assumed to receive two doses. The cost-minimisation calculation</w:t>
      </w:r>
      <w:r w:rsidR="0096514A" w:rsidRPr="005077EE">
        <w:rPr>
          <w:rFonts w:ascii="Arial" w:hAnsi="Arial"/>
          <w:sz w:val="22"/>
          <w:szCs w:val="22"/>
        </w:rPr>
        <w:t xml:space="preserve"> in </w:t>
      </w:r>
      <w:r w:rsidR="0004059D" w:rsidRPr="005077EE">
        <w:rPr>
          <w:rFonts w:ascii="Arial" w:hAnsi="Arial"/>
          <w:sz w:val="22"/>
          <w:szCs w:val="22"/>
        </w:rPr>
        <w:t xml:space="preserve">the submission </w:t>
      </w:r>
      <w:r w:rsidRPr="005077EE">
        <w:rPr>
          <w:rFonts w:ascii="Arial" w:hAnsi="Arial"/>
          <w:sz w:val="22"/>
          <w:szCs w:val="22"/>
        </w:rPr>
        <w:t>d</w:t>
      </w:r>
      <w:r w:rsidR="00690AEE" w:rsidRPr="005077EE">
        <w:rPr>
          <w:rFonts w:ascii="Arial" w:hAnsi="Arial"/>
          <w:sz w:val="22"/>
          <w:szCs w:val="22"/>
        </w:rPr>
        <w:t>id</w:t>
      </w:r>
      <w:r w:rsidRPr="005077EE">
        <w:rPr>
          <w:rFonts w:ascii="Arial" w:hAnsi="Arial"/>
          <w:sz w:val="22"/>
          <w:szCs w:val="22"/>
        </w:rPr>
        <w:t xml:space="preserve"> not account for this difference. </w:t>
      </w:r>
    </w:p>
    <w:p w:rsidR="00B40E03" w:rsidRPr="009347D0" w:rsidRDefault="00B40E03" w:rsidP="005077EE">
      <w:pPr>
        <w:pStyle w:val="ListParagraph"/>
        <w:jc w:val="both"/>
        <w:rPr>
          <w:rFonts w:ascii="Arial" w:hAnsi="Arial"/>
          <w:sz w:val="22"/>
          <w:szCs w:val="22"/>
        </w:rPr>
      </w:pPr>
    </w:p>
    <w:p w:rsidR="00FC6DD2" w:rsidRPr="0096514A" w:rsidRDefault="00B40E03" w:rsidP="005077EE">
      <w:pPr>
        <w:pStyle w:val="ListParagraph"/>
        <w:numPr>
          <w:ilvl w:val="1"/>
          <w:numId w:val="4"/>
        </w:numPr>
        <w:jc w:val="both"/>
        <w:rPr>
          <w:rFonts w:ascii="Arial" w:hAnsi="Arial"/>
          <w:sz w:val="22"/>
          <w:szCs w:val="22"/>
        </w:rPr>
      </w:pPr>
      <w:r w:rsidRPr="0096514A">
        <w:rPr>
          <w:rFonts w:ascii="Arial" w:hAnsi="Arial"/>
          <w:sz w:val="22"/>
          <w:szCs w:val="22"/>
        </w:rPr>
        <w:t xml:space="preserve">The weighted price </w:t>
      </w:r>
      <w:r w:rsidR="0004059D">
        <w:rPr>
          <w:rFonts w:ascii="Arial" w:hAnsi="Arial"/>
          <w:sz w:val="22"/>
          <w:szCs w:val="22"/>
        </w:rPr>
        <w:t>wa</w:t>
      </w:r>
      <w:r w:rsidRPr="0096514A">
        <w:rPr>
          <w:rFonts w:ascii="Arial" w:hAnsi="Arial"/>
          <w:sz w:val="22"/>
          <w:szCs w:val="22"/>
        </w:rPr>
        <w:t xml:space="preserve">s based on overall utilisation of denosumab being comprised of </w:t>
      </w:r>
      <w:r w:rsidR="002333A0">
        <w:rPr>
          <w:rFonts w:ascii="Arial" w:hAnsi="Arial"/>
          <w:noProof/>
          <w:color w:val="000000"/>
          <w:sz w:val="22"/>
          <w:szCs w:val="22"/>
          <w:highlight w:val="black"/>
        </w:rPr>
        <w:t>'''</w:t>
      </w:r>
      <w:r w:rsidRPr="0096514A">
        <w:rPr>
          <w:rFonts w:ascii="Arial" w:hAnsi="Arial"/>
          <w:sz w:val="22"/>
          <w:szCs w:val="22"/>
        </w:rPr>
        <w:t xml:space="preserve">% (conservatively rounding upwards) from HCM and </w:t>
      </w:r>
      <w:r w:rsidR="002333A0">
        <w:rPr>
          <w:rFonts w:ascii="Arial" w:hAnsi="Arial"/>
          <w:noProof/>
          <w:color w:val="000000"/>
          <w:sz w:val="22"/>
          <w:szCs w:val="22"/>
          <w:highlight w:val="black"/>
        </w:rPr>
        <w:t>''''''</w:t>
      </w:r>
      <w:r w:rsidRPr="0096514A">
        <w:rPr>
          <w:rFonts w:ascii="Arial" w:hAnsi="Arial"/>
          <w:sz w:val="22"/>
          <w:szCs w:val="22"/>
        </w:rPr>
        <w:t>% from existing listings This distribution of use is based on forecast utilisation outlined in Table 2 of the submission (replicated below).  Shaded cells in Table 2 represent actual utilisation for the existing denosumab listings.</w:t>
      </w:r>
      <w:r w:rsidRPr="00F228F1">
        <w:rPr>
          <w:rFonts w:ascii="Arial" w:hAnsi="Arial"/>
          <w:sz w:val="22"/>
          <w:szCs w:val="22"/>
          <w:vertAlign w:val="superscript"/>
        </w:rPr>
        <w:footnoteReference w:id="1"/>
      </w:r>
      <w:r w:rsidRPr="0096514A">
        <w:rPr>
          <w:rFonts w:ascii="Arial" w:hAnsi="Arial"/>
          <w:sz w:val="22"/>
          <w:szCs w:val="22"/>
        </w:rPr>
        <w:t xml:space="preserve">  Forecast utilisation for the existing listings is based on annual growth rates which are assumed to diminish over time, consistent with uptake eventually plateauing.  HCM forecast utilisation is based on estimates presented in the March 2016 submission with HCM patient numbers modified to reflect the more accurate numbers provided by the DUSC during the evaluation of that submission.</w:t>
      </w:r>
    </w:p>
    <w:p w:rsidR="00D63ED1" w:rsidRDefault="00D63ED1" w:rsidP="00C00DA7">
      <w:pPr>
        <w:jc w:val="both"/>
        <w:rPr>
          <w:rFonts w:ascii="Arial" w:hAnsi="Arial"/>
          <w:sz w:val="22"/>
          <w:szCs w:val="22"/>
        </w:rPr>
      </w:pPr>
    </w:p>
    <w:p w:rsidR="005A3173" w:rsidRPr="00882085" w:rsidRDefault="005A3173" w:rsidP="00B1059E">
      <w:pPr>
        <w:pStyle w:val="Heading2"/>
      </w:pPr>
      <w:r w:rsidRPr="00882085">
        <w:t>Estimated PBS usage &amp; financial implications</w:t>
      </w:r>
    </w:p>
    <w:p w:rsidR="005A3173" w:rsidRPr="00882085" w:rsidRDefault="005A3173" w:rsidP="00882085">
      <w:pPr>
        <w:ind w:left="720" w:hanging="720"/>
        <w:jc w:val="both"/>
        <w:rPr>
          <w:rFonts w:ascii="Arial" w:hAnsi="Arial"/>
          <w:b/>
          <w:i/>
          <w:sz w:val="22"/>
          <w:szCs w:val="22"/>
        </w:rPr>
      </w:pPr>
    </w:p>
    <w:p w:rsidR="00C00DA7" w:rsidRDefault="00EC1EE9" w:rsidP="00182BB2">
      <w:pPr>
        <w:pStyle w:val="ListParagraph"/>
        <w:numPr>
          <w:ilvl w:val="1"/>
          <w:numId w:val="4"/>
        </w:numPr>
        <w:jc w:val="both"/>
        <w:rPr>
          <w:rFonts w:ascii="Arial" w:hAnsi="Arial"/>
          <w:sz w:val="22"/>
          <w:szCs w:val="22"/>
        </w:rPr>
      </w:pPr>
      <w:r w:rsidRPr="00EC1EE9">
        <w:rPr>
          <w:rFonts w:ascii="Arial" w:hAnsi="Arial"/>
          <w:sz w:val="22"/>
          <w:szCs w:val="22"/>
        </w:rPr>
        <w:t>The submission proposed a new weighted DPMQ of $</w:t>
      </w:r>
      <w:r w:rsidR="002333A0">
        <w:rPr>
          <w:rFonts w:ascii="Arial" w:hAnsi="Arial"/>
          <w:noProof/>
          <w:color w:val="000000"/>
          <w:sz w:val="22"/>
          <w:szCs w:val="22"/>
          <w:highlight w:val="black"/>
        </w:rPr>
        <w:t>'''''''''''''''</w:t>
      </w:r>
      <w:r w:rsidRPr="00EC1EE9">
        <w:rPr>
          <w:rFonts w:ascii="Arial" w:hAnsi="Arial"/>
          <w:sz w:val="22"/>
          <w:szCs w:val="22"/>
        </w:rPr>
        <w:t xml:space="preserve"> based on overall utilisation estimates of </w:t>
      </w:r>
      <w:r w:rsidR="005209F3">
        <w:rPr>
          <w:rFonts w:ascii="Arial" w:hAnsi="Arial"/>
          <w:sz w:val="22"/>
          <w:szCs w:val="22"/>
        </w:rPr>
        <w:t xml:space="preserve">approximately </w:t>
      </w:r>
      <w:r w:rsidR="002333A0">
        <w:rPr>
          <w:rFonts w:ascii="Arial" w:hAnsi="Arial"/>
          <w:noProof/>
          <w:color w:val="000000"/>
          <w:sz w:val="22"/>
          <w:szCs w:val="22"/>
          <w:highlight w:val="black"/>
        </w:rPr>
        <w:t>''''</w:t>
      </w:r>
      <w:r w:rsidRPr="00EC1EE9">
        <w:rPr>
          <w:rFonts w:ascii="Arial" w:hAnsi="Arial"/>
          <w:sz w:val="22"/>
          <w:szCs w:val="22"/>
        </w:rPr>
        <w:t xml:space="preserve">% use for HCM. </w:t>
      </w:r>
      <w:r w:rsidR="00561281">
        <w:rPr>
          <w:rFonts w:ascii="Arial" w:hAnsi="Arial"/>
          <w:sz w:val="22"/>
          <w:szCs w:val="22"/>
        </w:rPr>
        <w:t xml:space="preserve">This weighted DPMQ for all denosumab listings is based on </w:t>
      </w:r>
      <w:r w:rsidR="002333A0">
        <w:rPr>
          <w:rFonts w:ascii="Arial" w:hAnsi="Arial"/>
          <w:noProof/>
          <w:color w:val="000000"/>
          <w:sz w:val="22"/>
          <w:szCs w:val="22"/>
          <w:highlight w:val="black"/>
        </w:rPr>
        <w:t>'''</w:t>
      </w:r>
      <w:r w:rsidR="00561281">
        <w:rPr>
          <w:rFonts w:ascii="Arial" w:hAnsi="Arial"/>
          <w:sz w:val="22"/>
          <w:szCs w:val="22"/>
        </w:rPr>
        <w:t>% use at $</w:t>
      </w:r>
      <w:r w:rsidR="002333A0">
        <w:rPr>
          <w:rFonts w:ascii="Arial" w:hAnsi="Arial"/>
          <w:noProof/>
          <w:color w:val="000000"/>
          <w:sz w:val="22"/>
          <w:szCs w:val="22"/>
          <w:highlight w:val="black"/>
        </w:rPr>
        <w:t>''''''''''''''''''</w:t>
      </w:r>
      <w:r w:rsidR="00561281">
        <w:rPr>
          <w:rFonts w:ascii="Arial" w:hAnsi="Arial"/>
          <w:sz w:val="22"/>
          <w:szCs w:val="22"/>
        </w:rPr>
        <w:t xml:space="preserve"> (the price of zoledronic acid plus </w:t>
      </w:r>
      <w:r w:rsidR="0004059D">
        <w:rPr>
          <w:rFonts w:ascii="Arial" w:hAnsi="Arial"/>
          <w:sz w:val="22"/>
          <w:szCs w:val="22"/>
        </w:rPr>
        <w:t xml:space="preserve">the cost of </w:t>
      </w:r>
      <w:r w:rsidR="00561281">
        <w:rPr>
          <w:rFonts w:ascii="Arial" w:hAnsi="Arial"/>
          <w:sz w:val="22"/>
          <w:szCs w:val="22"/>
        </w:rPr>
        <w:t xml:space="preserve">I.V. administration), and </w:t>
      </w:r>
      <w:r w:rsidR="002333A0">
        <w:rPr>
          <w:rFonts w:ascii="Arial" w:hAnsi="Arial"/>
          <w:noProof/>
          <w:color w:val="000000"/>
          <w:sz w:val="22"/>
          <w:szCs w:val="22"/>
          <w:highlight w:val="black"/>
        </w:rPr>
        <w:t>''''''</w:t>
      </w:r>
      <w:r w:rsidR="00561281">
        <w:rPr>
          <w:rFonts w:ascii="Arial" w:hAnsi="Arial"/>
          <w:sz w:val="22"/>
          <w:szCs w:val="22"/>
        </w:rPr>
        <w:t>% use at the current price of $501.00. The submission calculated the weighted price using the formula:</w:t>
      </w:r>
    </w:p>
    <w:p w:rsidR="00561281" w:rsidRDefault="00561281" w:rsidP="00561281">
      <w:pPr>
        <w:jc w:val="both"/>
        <w:rPr>
          <w:rFonts w:ascii="Arial" w:hAnsi="Arial"/>
          <w:sz w:val="22"/>
          <w:szCs w:val="22"/>
        </w:rPr>
      </w:pPr>
    </w:p>
    <w:p w:rsidR="00561281" w:rsidRPr="00561281" w:rsidRDefault="00561281" w:rsidP="00561281">
      <w:pPr>
        <w:ind w:left="720"/>
        <w:jc w:val="both"/>
        <w:rPr>
          <w:rFonts w:ascii="Arial" w:hAnsi="Arial"/>
          <w:sz w:val="22"/>
          <w:szCs w:val="22"/>
        </w:rPr>
      </w:pPr>
      <w:r>
        <w:rPr>
          <w:rFonts w:ascii="Arial" w:hAnsi="Arial"/>
          <w:sz w:val="22"/>
          <w:szCs w:val="22"/>
        </w:rPr>
        <w:t>(</w:t>
      </w:r>
      <w:r w:rsidR="002333A0">
        <w:rPr>
          <w:rFonts w:ascii="Arial" w:hAnsi="Arial"/>
          <w:noProof/>
          <w:color w:val="000000"/>
          <w:sz w:val="22"/>
          <w:szCs w:val="22"/>
          <w:highlight w:val="black"/>
        </w:rPr>
        <w:t>'''''''''''</w:t>
      </w:r>
      <w:r>
        <w:rPr>
          <w:rFonts w:ascii="Arial" w:hAnsi="Arial"/>
          <w:sz w:val="22"/>
          <w:szCs w:val="22"/>
        </w:rPr>
        <w:t xml:space="preserve"> x </w:t>
      </w:r>
      <w:r w:rsidR="002333A0">
        <w:rPr>
          <w:rFonts w:ascii="Arial" w:hAnsi="Arial"/>
          <w:noProof/>
          <w:color w:val="000000"/>
          <w:sz w:val="22"/>
          <w:szCs w:val="22"/>
          <w:highlight w:val="black"/>
        </w:rPr>
        <w:t>''''''''''''''''''</w:t>
      </w:r>
      <w:r>
        <w:rPr>
          <w:rFonts w:ascii="Arial" w:hAnsi="Arial"/>
          <w:sz w:val="22"/>
          <w:szCs w:val="22"/>
        </w:rPr>
        <w:t>) + (</w:t>
      </w:r>
      <w:r w:rsidR="002333A0">
        <w:rPr>
          <w:rFonts w:ascii="Arial" w:hAnsi="Arial"/>
          <w:noProof/>
          <w:color w:val="000000"/>
          <w:sz w:val="22"/>
          <w:szCs w:val="22"/>
          <w:highlight w:val="black"/>
        </w:rPr>
        <w:t>'''''''''''</w:t>
      </w:r>
      <w:r>
        <w:rPr>
          <w:rFonts w:ascii="Arial" w:hAnsi="Arial"/>
          <w:sz w:val="22"/>
          <w:szCs w:val="22"/>
        </w:rPr>
        <w:t xml:space="preserve"> x </w:t>
      </w:r>
      <w:r w:rsidRPr="0078192E">
        <w:rPr>
          <w:rFonts w:ascii="Arial" w:hAnsi="Arial"/>
          <w:sz w:val="22"/>
          <w:szCs w:val="22"/>
        </w:rPr>
        <w:t>501.00</w:t>
      </w:r>
      <w:r>
        <w:rPr>
          <w:rFonts w:ascii="Arial" w:hAnsi="Arial"/>
          <w:sz w:val="22"/>
          <w:szCs w:val="22"/>
        </w:rPr>
        <w:t>) = $</w:t>
      </w:r>
      <w:r w:rsidR="002333A0">
        <w:rPr>
          <w:rFonts w:ascii="Arial" w:hAnsi="Arial"/>
          <w:noProof/>
          <w:color w:val="000000"/>
          <w:sz w:val="22"/>
          <w:szCs w:val="22"/>
          <w:highlight w:val="black"/>
        </w:rPr>
        <w:t>'''''''''''''''</w:t>
      </w:r>
    </w:p>
    <w:p w:rsidR="00EC1EE9" w:rsidRPr="00D63ED1" w:rsidRDefault="00EC1EE9" w:rsidP="00D63ED1">
      <w:pPr>
        <w:jc w:val="both"/>
        <w:rPr>
          <w:rFonts w:ascii="Arial" w:hAnsi="Arial"/>
          <w:sz w:val="22"/>
          <w:szCs w:val="22"/>
        </w:rPr>
      </w:pPr>
    </w:p>
    <w:p w:rsidR="00EC1EE9" w:rsidRPr="00EC1EE9" w:rsidRDefault="00F228F1" w:rsidP="00EC1EE9">
      <w:pPr>
        <w:pStyle w:val="ListParagraph"/>
        <w:numPr>
          <w:ilvl w:val="1"/>
          <w:numId w:val="4"/>
        </w:numPr>
        <w:jc w:val="both"/>
        <w:rPr>
          <w:rFonts w:ascii="Arial" w:hAnsi="Arial"/>
          <w:sz w:val="22"/>
          <w:szCs w:val="22"/>
        </w:rPr>
      </w:pPr>
      <w:r>
        <w:rPr>
          <w:rFonts w:ascii="Arial" w:hAnsi="Arial"/>
          <w:sz w:val="22"/>
          <w:szCs w:val="22"/>
        </w:rPr>
        <w:t>The</w:t>
      </w:r>
      <w:r w:rsidR="00EC1EE9" w:rsidRPr="00EC1EE9">
        <w:rPr>
          <w:rFonts w:ascii="Arial" w:hAnsi="Arial"/>
          <w:sz w:val="22"/>
          <w:szCs w:val="22"/>
        </w:rPr>
        <w:t xml:space="preserve"> re-submission used utilisation estimates provided by the Drug Utilisation Sub-committee (DUSC). The revised utilisation estimates are provided below.</w:t>
      </w:r>
    </w:p>
    <w:p w:rsidR="00EC1EE9" w:rsidRPr="00515DEF" w:rsidRDefault="00EC1EE9" w:rsidP="00EC1EE9">
      <w:pPr>
        <w:jc w:val="both"/>
        <w:rPr>
          <w:rFonts w:ascii="Arial" w:hAnsi="Arial"/>
          <w:sz w:val="22"/>
          <w:szCs w:val="22"/>
        </w:rPr>
      </w:pPr>
    </w:p>
    <w:p w:rsidR="00C76276" w:rsidRPr="0050324B" w:rsidRDefault="00C1622A" w:rsidP="0050324B">
      <w:pPr>
        <w:ind w:firstLine="720"/>
        <w:jc w:val="both"/>
        <w:rPr>
          <w:rFonts w:ascii="Arial Narrow" w:hAnsi="Arial Narrow"/>
          <w:b/>
          <w:sz w:val="20"/>
          <w:szCs w:val="20"/>
        </w:rPr>
      </w:pPr>
      <w:r w:rsidRPr="009531ED">
        <w:rPr>
          <w:rFonts w:ascii="Arial Narrow" w:hAnsi="Arial Narrow"/>
          <w:b/>
          <w:sz w:val="20"/>
          <w:szCs w:val="20"/>
        </w:rPr>
        <w:t>Table 2: Utilisation estimates for denosumab</w:t>
      </w:r>
    </w:p>
    <w:tbl>
      <w:tblPr>
        <w:tblW w:w="4558" w:type="pct"/>
        <w:tblInd w:w="817" w:type="dxa"/>
        <w:tblLook w:val="04A0" w:firstRow="1" w:lastRow="0" w:firstColumn="1" w:lastColumn="0" w:noHBand="0" w:noVBand="1"/>
        <w:tblCaption w:val="Table 2: Utilisation estimates for denosumab"/>
        <w:tblDescription w:val="The redacted table shows the estimated utilisation of services for existing listings in 2021 is between 50,000 – 100,000 per year and the estimated utilisation of services for HCM in 2021 is less than 10,000 per year."/>
      </w:tblPr>
      <w:tblGrid>
        <w:gridCol w:w="1633"/>
        <w:gridCol w:w="1628"/>
        <w:gridCol w:w="1700"/>
        <w:gridCol w:w="1695"/>
        <w:gridCol w:w="1769"/>
      </w:tblGrid>
      <w:tr w:rsidR="00EC1EE9" w:rsidRPr="009637FD" w:rsidTr="00920E36">
        <w:trPr>
          <w:trHeight w:val="408"/>
          <w:tblHeader/>
        </w:trPr>
        <w:tc>
          <w:tcPr>
            <w:tcW w:w="9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1EE9" w:rsidRPr="00BD36D0" w:rsidRDefault="00EC1EE9" w:rsidP="00A778DE">
            <w:pPr>
              <w:jc w:val="center"/>
              <w:rPr>
                <w:rFonts w:ascii="Arial Narrow" w:hAnsi="Arial Narrow"/>
                <w:b/>
                <w:color w:val="000000"/>
                <w:sz w:val="20"/>
                <w:szCs w:val="20"/>
              </w:rPr>
            </w:pPr>
            <w:r w:rsidRPr="00BD36D0">
              <w:rPr>
                <w:rFonts w:ascii="Arial Narrow" w:hAnsi="Arial Narrow"/>
                <w:b/>
                <w:color w:val="000000"/>
                <w:sz w:val="20"/>
                <w:szCs w:val="20"/>
              </w:rPr>
              <w:t>Year</w:t>
            </w:r>
          </w:p>
        </w:tc>
        <w:tc>
          <w:tcPr>
            <w:tcW w:w="966" w:type="pct"/>
            <w:tcBorders>
              <w:top w:val="single" w:sz="4" w:space="0" w:color="auto"/>
              <w:left w:val="nil"/>
              <w:bottom w:val="single" w:sz="4" w:space="0" w:color="auto"/>
              <w:right w:val="single" w:sz="4" w:space="0" w:color="auto"/>
            </w:tcBorders>
            <w:shd w:val="clear" w:color="auto" w:fill="auto"/>
            <w:vAlign w:val="bottom"/>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Services for existing listings</w:t>
            </w:r>
          </w:p>
        </w:tc>
        <w:tc>
          <w:tcPr>
            <w:tcW w:w="1009" w:type="pct"/>
            <w:tcBorders>
              <w:top w:val="single" w:sz="4" w:space="0" w:color="auto"/>
              <w:left w:val="nil"/>
              <w:bottom w:val="single" w:sz="4" w:space="0" w:color="auto"/>
              <w:right w:val="single" w:sz="4" w:space="0" w:color="auto"/>
            </w:tcBorders>
            <w:shd w:val="clear" w:color="auto" w:fill="auto"/>
            <w:vAlign w:val="bottom"/>
            <w:hideMark/>
          </w:tcPr>
          <w:p w:rsidR="00EC1EE9" w:rsidRPr="00BD36D0" w:rsidRDefault="00EC1EE9" w:rsidP="00A778DE">
            <w:pPr>
              <w:jc w:val="center"/>
              <w:rPr>
                <w:rFonts w:ascii="Arial Narrow" w:hAnsi="Arial Narrow"/>
                <w:b/>
                <w:bCs/>
                <w:i/>
                <w:color w:val="000000"/>
                <w:sz w:val="20"/>
                <w:szCs w:val="20"/>
              </w:rPr>
            </w:pPr>
            <w:r w:rsidRPr="00BD36D0">
              <w:rPr>
                <w:rFonts w:ascii="Arial Narrow" w:hAnsi="Arial Narrow"/>
                <w:b/>
                <w:bCs/>
                <w:i/>
                <w:color w:val="000000"/>
                <w:sz w:val="20"/>
                <w:szCs w:val="20"/>
              </w:rPr>
              <w:t>Annual growth for existing listings</w:t>
            </w:r>
          </w:p>
        </w:tc>
        <w:tc>
          <w:tcPr>
            <w:tcW w:w="1006" w:type="pct"/>
            <w:tcBorders>
              <w:top w:val="single" w:sz="4" w:space="0" w:color="auto"/>
              <w:left w:val="nil"/>
              <w:bottom w:val="single" w:sz="4" w:space="0" w:color="auto"/>
              <w:right w:val="single" w:sz="4" w:space="0" w:color="auto"/>
            </w:tcBorders>
            <w:shd w:val="clear" w:color="auto" w:fill="auto"/>
            <w:vAlign w:val="bottom"/>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Services for HCM</w:t>
            </w:r>
          </w:p>
        </w:tc>
        <w:tc>
          <w:tcPr>
            <w:tcW w:w="1050" w:type="pct"/>
            <w:tcBorders>
              <w:top w:val="single" w:sz="4" w:space="0" w:color="auto"/>
              <w:left w:val="nil"/>
              <w:bottom w:val="single" w:sz="4" w:space="0" w:color="auto"/>
              <w:right w:val="single" w:sz="4" w:space="0" w:color="auto"/>
            </w:tcBorders>
            <w:shd w:val="clear" w:color="auto" w:fill="auto"/>
            <w:vAlign w:val="bottom"/>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 total denosumab use that is HCM</w:t>
            </w:r>
          </w:p>
        </w:tc>
      </w:tr>
      <w:tr w:rsidR="00EC1EE9" w:rsidRPr="009637FD" w:rsidTr="00F228F1">
        <w:trPr>
          <w:trHeight w:val="73"/>
        </w:trPr>
        <w:tc>
          <w:tcPr>
            <w:tcW w:w="969" w:type="pct"/>
            <w:tcBorders>
              <w:top w:val="nil"/>
              <w:left w:val="single" w:sz="4" w:space="0" w:color="auto"/>
              <w:bottom w:val="single" w:sz="4" w:space="0" w:color="auto"/>
              <w:right w:val="single" w:sz="4" w:space="0" w:color="auto"/>
            </w:tcBorders>
            <w:shd w:val="clear" w:color="000000" w:fill="D9D9D9"/>
            <w:vAlign w:val="center"/>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2011</w:t>
            </w:r>
          </w:p>
        </w:tc>
        <w:tc>
          <w:tcPr>
            <w:tcW w:w="966" w:type="pct"/>
            <w:tcBorders>
              <w:top w:val="nil"/>
              <w:left w:val="nil"/>
              <w:bottom w:val="single" w:sz="4" w:space="0" w:color="auto"/>
              <w:right w:val="single" w:sz="4" w:space="0" w:color="auto"/>
            </w:tcBorders>
            <w:shd w:val="clear" w:color="000000" w:fill="D9D9D9"/>
            <w:noWrap/>
            <w:vAlign w:val="bottom"/>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09" w:type="pct"/>
            <w:tcBorders>
              <w:top w:val="nil"/>
              <w:left w:val="nil"/>
              <w:bottom w:val="single" w:sz="4" w:space="0" w:color="auto"/>
              <w:right w:val="single" w:sz="4" w:space="0" w:color="auto"/>
            </w:tcBorders>
            <w:shd w:val="clear" w:color="000000" w:fill="D9D9D9"/>
            <w:noWrap/>
            <w:vAlign w:val="bottom"/>
            <w:hideMark/>
          </w:tcPr>
          <w:p w:rsidR="00EC1EE9" w:rsidRPr="00BD36D0" w:rsidRDefault="00EC1EE9" w:rsidP="00A778DE">
            <w:pPr>
              <w:jc w:val="center"/>
              <w:rPr>
                <w:rFonts w:ascii="Arial Narrow" w:hAnsi="Arial Narrow"/>
                <w:i/>
                <w:color w:val="000000"/>
                <w:sz w:val="20"/>
                <w:szCs w:val="20"/>
              </w:rPr>
            </w:pPr>
            <w:r w:rsidRPr="00BD36D0">
              <w:rPr>
                <w:rFonts w:ascii="Arial Narrow" w:hAnsi="Arial Narrow"/>
                <w:i/>
                <w:color w:val="000000"/>
                <w:sz w:val="20"/>
                <w:szCs w:val="20"/>
              </w:rPr>
              <w:t> </w:t>
            </w:r>
          </w:p>
        </w:tc>
        <w:tc>
          <w:tcPr>
            <w:tcW w:w="1006"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c>
          <w:tcPr>
            <w:tcW w:w="1050"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r>
      <w:tr w:rsidR="00EC1EE9" w:rsidRPr="009637FD" w:rsidTr="00F228F1">
        <w:trPr>
          <w:trHeight w:val="35"/>
        </w:trPr>
        <w:tc>
          <w:tcPr>
            <w:tcW w:w="969" w:type="pct"/>
            <w:tcBorders>
              <w:top w:val="nil"/>
              <w:left w:val="single" w:sz="4" w:space="0" w:color="auto"/>
              <w:bottom w:val="single" w:sz="4" w:space="0" w:color="auto"/>
              <w:right w:val="single" w:sz="4" w:space="0" w:color="auto"/>
            </w:tcBorders>
            <w:shd w:val="clear" w:color="000000" w:fill="D9D9D9"/>
            <w:vAlign w:val="center"/>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2012</w:t>
            </w:r>
          </w:p>
        </w:tc>
        <w:tc>
          <w:tcPr>
            <w:tcW w:w="966" w:type="pct"/>
            <w:tcBorders>
              <w:top w:val="nil"/>
              <w:left w:val="nil"/>
              <w:bottom w:val="single" w:sz="4" w:space="0" w:color="auto"/>
              <w:right w:val="single" w:sz="4" w:space="0" w:color="auto"/>
            </w:tcBorders>
            <w:shd w:val="clear" w:color="000000" w:fill="D9D9D9"/>
            <w:vAlign w:val="center"/>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09" w:type="pct"/>
            <w:tcBorders>
              <w:top w:val="nil"/>
              <w:left w:val="nil"/>
              <w:bottom w:val="single" w:sz="4" w:space="0" w:color="auto"/>
              <w:right w:val="single" w:sz="4" w:space="0" w:color="auto"/>
            </w:tcBorders>
            <w:shd w:val="clear" w:color="000000" w:fill="D9D9D9"/>
            <w:noWrap/>
            <w:vAlign w:val="bottom"/>
            <w:hideMark/>
          </w:tcPr>
          <w:p w:rsidR="00EC1EE9" w:rsidRPr="00BD36D0" w:rsidRDefault="00EC1EE9" w:rsidP="00A778DE">
            <w:pPr>
              <w:jc w:val="center"/>
              <w:rPr>
                <w:rFonts w:ascii="Arial Narrow" w:hAnsi="Arial Narrow"/>
                <w:i/>
                <w:color w:val="000000"/>
                <w:sz w:val="20"/>
                <w:szCs w:val="20"/>
              </w:rPr>
            </w:pPr>
            <w:r w:rsidRPr="00BD36D0">
              <w:rPr>
                <w:rFonts w:ascii="Arial Narrow" w:hAnsi="Arial Narrow"/>
                <w:i/>
                <w:color w:val="000000"/>
                <w:sz w:val="20"/>
                <w:szCs w:val="20"/>
              </w:rPr>
              <w:t> </w:t>
            </w:r>
          </w:p>
        </w:tc>
        <w:tc>
          <w:tcPr>
            <w:tcW w:w="1006"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c>
          <w:tcPr>
            <w:tcW w:w="1050"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r>
      <w:tr w:rsidR="00EC1EE9" w:rsidRPr="009637FD" w:rsidTr="00F228F1">
        <w:trPr>
          <w:trHeight w:val="35"/>
        </w:trPr>
        <w:tc>
          <w:tcPr>
            <w:tcW w:w="969" w:type="pct"/>
            <w:tcBorders>
              <w:top w:val="nil"/>
              <w:left w:val="single" w:sz="4" w:space="0" w:color="auto"/>
              <w:bottom w:val="single" w:sz="4" w:space="0" w:color="auto"/>
              <w:right w:val="single" w:sz="4" w:space="0" w:color="auto"/>
            </w:tcBorders>
            <w:shd w:val="clear" w:color="000000" w:fill="D9D9D9"/>
            <w:vAlign w:val="center"/>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2013</w:t>
            </w:r>
          </w:p>
        </w:tc>
        <w:tc>
          <w:tcPr>
            <w:tcW w:w="966" w:type="pct"/>
            <w:tcBorders>
              <w:top w:val="nil"/>
              <w:left w:val="nil"/>
              <w:bottom w:val="single" w:sz="4" w:space="0" w:color="auto"/>
              <w:right w:val="single" w:sz="4" w:space="0" w:color="auto"/>
            </w:tcBorders>
            <w:shd w:val="clear" w:color="000000" w:fill="D9D9D9"/>
            <w:vAlign w:val="center"/>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09" w:type="pct"/>
            <w:tcBorders>
              <w:top w:val="nil"/>
              <w:left w:val="nil"/>
              <w:bottom w:val="single" w:sz="4" w:space="0" w:color="auto"/>
              <w:right w:val="single" w:sz="4" w:space="0" w:color="auto"/>
            </w:tcBorders>
            <w:shd w:val="clear" w:color="000000" w:fill="D9D9D9"/>
            <w:noWrap/>
            <w:vAlign w:val="bottom"/>
            <w:hideMark/>
          </w:tcPr>
          <w:p w:rsidR="00EC1EE9" w:rsidRPr="00BD36D0" w:rsidRDefault="002333A0" w:rsidP="00A778DE">
            <w:pPr>
              <w:jc w:val="center"/>
              <w:rPr>
                <w:rFonts w:ascii="Arial Narrow" w:hAnsi="Arial Narrow"/>
                <w:i/>
                <w:color w:val="000000"/>
                <w:sz w:val="20"/>
                <w:szCs w:val="20"/>
              </w:rPr>
            </w:pPr>
            <w:r>
              <w:rPr>
                <w:rFonts w:ascii="Arial Narrow" w:hAnsi="Arial Narrow"/>
                <w:i/>
                <w:noProof/>
                <w:color w:val="000000"/>
                <w:sz w:val="20"/>
                <w:szCs w:val="20"/>
                <w:highlight w:val="black"/>
              </w:rPr>
              <w:t>'''''</w:t>
            </w:r>
            <w:r w:rsidR="00EC1EE9" w:rsidRPr="00BD36D0">
              <w:rPr>
                <w:rFonts w:ascii="Arial Narrow" w:hAnsi="Arial Narrow"/>
                <w:i/>
                <w:color w:val="000000"/>
                <w:sz w:val="20"/>
                <w:szCs w:val="20"/>
              </w:rPr>
              <w:t>%</w:t>
            </w:r>
          </w:p>
        </w:tc>
        <w:tc>
          <w:tcPr>
            <w:tcW w:w="1006"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c>
          <w:tcPr>
            <w:tcW w:w="1050"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r>
      <w:tr w:rsidR="00EC1EE9" w:rsidRPr="009637FD" w:rsidTr="00F228F1">
        <w:trPr>
          <w:trHeight w:val="70"/>
        </w:trPr>
        <w:tc>
          <w:tcPr>
            <w:tcW w:w="969" w:type="pct"/>
            <w:tcBorders>
              <w:top w:val="nil"/>
              <w:left w:val="single" w:sz="4" w:space="0" w:color="auto"/>
              <w:bottom w:val="single" w:sz="4" w:space="0" w:color="auto"/>
              <w:right w:val="single" w:sz="4" w:space="0" w:color="auto"/>
            </w:tcBorders>
            <w:shd w:val="clear" w:color="000000" w:fill="D9D9D9"/>
            <w:vAlign w:val="center"/>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2014</w:t>
            </w:r>
          </w:p>
        </w:tc>
        <w:tc>
          <w:tcPr>
            <w:tcW w:w="966" w:type="pct"/>
            <w:tcBorders>
              <w:top w:val="nil"/>
              <w:left w:val="nil"/>
              <w:bottom w:val="single" w:sz="4" w:space="0" w:color="auto"/>
              <w:right w:val="single" w:sz="4" w:space="0" w:color="auto"/>
            </w:tcBorders>
            <w:shd w:val="clear" w:color="000000" w:fill="D9D9D9"/>
            <w:vAlign w:val="center"/>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09" w:type="pct"/>
            <w:tcBorders>
              <w:top w:val="nil"/>
              <w:left w:val="nil"/>
              <w:bottom w:val="single" w:sz="4" w:space="0" w:color="auto"/>
              <w:right w:val="single" w:sz="4" w:space="0" w:color="auto"/>
            </w:tcBorders>
            <w:shd w:val="clear" w:color="000000" w:fill="D9D9D9"/>
            <w:noWrap/>
            <w:vAlign w:val="bottom"/>
            <w:hideMark/>
          </w:tcPr>
          <w:p w:rsidR="00EC1EE9" w:rsidRPr="00BD36D0" w:rsidRDefault="002333A0" w:rsidP="00A778DE">
            <w:pPr>
              <w:jc w:val="center"/>
              <w:rPr>
                <w:rFonts w:ascii="Arial Narrow" w:hAnsi="Arial Narrow"/>
                <w:i/>
                <w:color w:val="000000"/>
                <w:sz w:val="20"/>
                <w:szCs w:val="20"/>
              </w:rPr>
            </w:pPr>
            <w:r>
              <w:rPr>
                <w:rFonts w:ascii="Arial Narrow" w:hAnsi="Arial Narrow"/>
                <w:i/>
                <w:noProof/>
                <w:color w:val="000000"/>
                <w:sz w:val="20"/>
                <w:szCs w:val="20"/>
                <w:highlight w:val="black"/>
              </w:rPr>
              <w:t>'''''''</w:t>
            </w:r>
            <w:r w:rsidR="00EC1EE9" w:rsidRPr="00BD36D0">
              <w:rPr>
                <w:rFonts w:ascii="Arial Narrow" w:hAnsi="Arial Narrow"/>
                <w:i/>
                <w:color w:val="000000"/>
                <w:sz w:val="20"/>
                <w:szCs w:val="20"/>
              </w:rPr>
              <w:t>%</w:t>
            </w:r>
          </w:p>
        </w:tc>
        <w:tc>
          <w:tcPr>
            <w:tcW w:w="1006"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c>
          <w:tcPr>
            <w:tcW w:w="1050"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r>
      <w:tr w:rsidR="00EC1EE9" w:rsidRPr="009637FD" w:rsidTr="00F228F1">
        <w:trPr>
          <w:trHeight w:val="35"/>
        </w:trPr>
        <w:tc>
          <w:tcPr>
            <w:tcW w:w="969" w:type="pct"/>
            <w:tcBorders>
              <w:top w:val="nil"/>
              <w:left w:val="single" w:sz="4" w:space="0" w:color="auto"/>
              <w:bottom w:val="single" w:sz="4" w:space="0" w:color="auto"/>
              <w:right w:val="single" w:sz="4" w:space="0" w:color="auto"/>
            </w:tcBorders>
            <w:shd w:val="clear" w:color="000000" w:fill="D9D9D9"/>
            <w:vAlign w:val="center"/>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2015</w:t>
            </w:r>
          </w:p>
        </w:tc>
        <w:tc>
          <w:tcPr>
            <w:tcW w:w="966" w:type="pct"/>
            <w:tcBorders>
              <w:top w:val="nil"/>
              <w:left w:val="nil"/>
              <w:bottom w:val="single" w:sz="4" w:space="0" w:color="auto"/>
              <w:right w:val="single" w:sz="4" w:space="0" w:color="auto"/>
            </w:tcBorders>
            <w:shd w:val="clear" w:color="000000" w:fill="D9D9D9"/>
            <w:vAlign w:val="center"/>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09" w:type="pct"/>
            <w:tcBorders>
              <w:top w:val="nil"/>
              <w:left w:val="nil"/>
              <w:bottom w:val="single" w:sz="4" w:space="0" w:color="auto"/>
              <w:right w:val="single" w:sz="4" w:space="0" w:color="auto"/>
            </w:tcBorders>
            <w:shd w:val="clear" w:color="000000" w:fill="D9D9D9"/>
            <w:noWrap/>
            <w:vAlign w:val="bottom"/>
            <w:hideMark/>
          </w:tcPr>
          <w:p w:rsidR="00EC1EE9" w:rsidRPr="00BD36D0" w:rsidRDefault="002333A0" w:rsidP="00A778DE">
            <w:pPr>
              <w:jc w:val="center"/>
              <w:rPr>
                <w:rFonts w:ascii="Arial Narrow" w:hAnsi="Arial Narrow"/>
                <w:i/>
                <w:color w:val="000000"/>
                <w:sz w:val="20"/>
                <w:szCs w:val="20"/>
              </w:rPr>
            </w:pPr>
            <w:r>
              <w:rPr>
                <w:rFonts w:ascii="Arial Narrow" w:hAnsi="Arial Narrow"/>
                <w:i/>
                <w:noProof/>
                <w:color w:val="000000"/>
                <w:sz w:val="20"/>
                <w:szCs w:val="20"/>
                <w:highlight w:val="black"/>
              </w:rPr>
              <w:t>''''''</w:t>
            </w:r>
            <w:r w:rsidR="00EC1EE9" w:rsidRPr="00BD36D0">
              <w:rPr>
                <w:rFonts w:ascii="Arial Narrow" w:hAnsi="Arial Narrow"/>
                <w:i/>
                <w:color w:val="000000"/>
                <w:sz w:val="20"/>
                <w:szCs w:val="20"/>
              </w:rPr>
              <w:t>%</w:t>
            </w:r>
          </w:p>
        </w:tc>
        <w:tc>
          <w:tcPr>
            <w:tcW w:w="1006"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c>
          <w:tcPr>
            <w:tcW w:w="1050"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r>
      <w:tr w:rsidR="00EC1EE9" w:rsidRPr="009637FD" w:rsidTr="00F228F1">
        <w:trPr>
          <w:trHeight w:val="161"/>
        </w:trPr>
        <w:tc>
          <w:tcPr>
            <w:tcW w:w="969" w:type="pct"/>
            <w:tcBorders>
              <w:top w:val="nil"/>
              <w:left w:val="single" w:sz="4" w:space="0" w:color="auto"/>
              <w:bottom w:val="single" w:sz="4" w:space="0" w:color="auto"/>
              <w:right w:val="single" w:sz="4" w:space="0" w:color="auto"/>
            </w:tcBorders>
            <w:shd w:val="clear" w:color="auto" w:fill="auto"/>
            <w:vAlign w:val="center"/>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2016</w:t>
            </w:r>
          </w:p>
        </w:tc>
        <w:tc>
          <w:tcPr>
            <w:tcW w:w="966" w:type="pct"/>
            <w:tcBorders>
              <w:top w:val="nil"/>
              <w:left w:val="nil"/>
              <w:bottom w:val="single" w:sz="4" w:space="0" w:color="auto"/>
              <w:right w:val="single" w:sz="4" w:space="0" w:color="auto"/>
            </w:tcBorders>
            <w:shd w:val="clear" w:color="auto" w:fill="auto"/>
            <w:noWrap/>
            <w:vAlign w:val="bottom"/>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09" w:type="pct"/>
            <w:tcBorders>
              <w:top w:val="nil"/>
              <w:left w:val="nil"/>
              <w:bottom w:val="single" w:sz="4" w:space="0" w:color="auto"/>
              <w:right w:val="single" w:sz="4" w:space="0" w:color="auto"/>
            </w:tcBorders>
            <w:shd w:val="clear" w:color="auto" w:fill="auto"/>
            <w:noWrap/>
            <w:vAlign w:val="bottom"/>
            <w:hideMark/>
          </w:tcPr>
          <w:p w:rsidR="00EC1EE9" w:rsidRPr="00BD36D0" w:rsidRDefault="002333A0" w:rsidP="00A778DE">
            <w:pPr>
              <w:jc w:val="center"/>
              <w:rPr>
                <w:rFonts w:ascii="Arial Narrow" w:hAnsi="Arial Narrow"/>
                <w:i/>
                <w:color w:val="000000"/>
                <w:sz w:val="20"/>
                <w:szCs w:val="20"/>
              </w:rPr>
            </w:pPr>
            <w:r>
              <w:rPr>
                <w:rFonts w:ascii="Arial Narrow" w:hAnsi="Arial Narrow"/>
                <w:i/>
                <w:noProof/>
                <w:color w:val="000000"/>
                <w:sz w:val="20"/>
                <w:szCs w:val="20"/>
                <w:highlight w:val="black"/>
              </w:rPr>
              <w:t>''''''</w:t>
            </w:r>
            <w:r w:rsidR="00EC1EE9" w:rsidRPr="00BD36D0">
              <w:rPr>
                <w:rFonts w:ascii="Arial Narrow" w:hAnsi="Arial Narrow"/>
                <w:i/>
                <w:color w:val="000000"/>
                <w:sz w:val="20"/>
                <w:szCs w:val="20"/>
              </w:rPr>
              <w:t>%</w:t>
            </w:r>
          </w:p>
        </w:tc>
        <w:tc>
          <w:tcPr>
            <w:tcW w:w="1006"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c>
          <w:tcPr>
            <w:tcW w:w="1050" w:type="pct"/>
            <w:tcBorders>
              <w:top w:val="nil"/>
              <w:left w:val="nil"/>
              <w:bottom w:val="single" w:sz="4" w:space="0" w:color="auto"/>
              <w:right w:val="single" w:sz="4" w:space="0" w:color="auto"/>
            </w:tcBorders>
            <w:shd w:val="clear" w:color="auto" w:fill="auto"/>
            <w:noWrap/>
            <w:vAlign w:val="bottom"/>
            <w:hideMark/>
          </w:tcPr>
          <w:p w:rsidR="00EC1EE9" w:rsidRPr="00BD36D0" w:rsidRDefault="00EC1EE9" w:rsidP="00A778DE">
            <w:pPr>
              <w:rPr>
                <w:rFonts w:ascii="Arial Narrow" w:hAnsi="Arial Narrow"/>
                <w:color w:val="000000"/>
                <w:sz w:val="20"/>
                <w:szCs w:val="20"/>
              </w:rPr>
            </w:pPr>
            <w:r w:rsidRPr="00BD36D0">
              <w:rPr>
                <w:rFonts w:ascii="Arial Narrow" w:hAnsi="Arial Narrow"/>
                <w:color w:val="000000"/>
                <w:sz w:val="20"/>
                <w:szCs w:val="20"/>
              </w:rPr>
              <w:t> </w:t>
            </w:r>
          </w:p>
        </w:tc>
      </w:tr>
      <w:tr w:rsidR="00EC1EE9" w:rsidRPr="009637FD" w:rsidTr="00F228F1">
        <w:trPr>
          <w:trHeight w:val="66"/>
        </w:trPr>
        <w:tc>
          <w:tcPr>
            <w:tcW w:w="969" w:type="pct"/>
            <w:tcBorders>
              <w:top w:val="nil"/>
              <w:left w:val="single" w:sz="4" w:space="0" w:color="auto"/>
              <w:bottom w:val="single" w:sz="4" w:space="0" w:color="auto"/>
              <w:right w:val="single" w:sz="4" w:space="0" w:color="auto"/>
            </w:tcBorders>
            <w:shd w:val="clear" w:color="auto" w:fill="auto"/>
            <w:vAlign w:val="center"/>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2017</w:t>
            </w:r>
          </w:p>
        </w:tc>
        <w:tc>
          <w:tcPr>
            <w:tcW w:w="966" w:type="pct"/>
            <w:tcBorders>
              <w:top w:val="nil"/>
              <w:left w:val="nil"/>
              <w:bottom w:val="single" w:sz="4" w:space="0" w:color="auto"/>
              <w:right w:val="single" w:sz="4" w:space="0" w:color="auto"/>
            </w:tcBorders>
            <w:shd w:val="clear" w:color="auto" w:fill="auto"/>
            <w:noWrap/>
            <w:vAlign w:val="bottom"/>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09" w:type="pct"/>
            <w:tcBorders>
              <w:top w:val="nil"/>
              <w:left w:val="nil"/>
              <w:bottom w:val="single" w:sz="4" w:space="0" w:color="auto"/>
              <w:right w:val="single" w:sz="4" w:space="0" w:color="auto"/>
            </w:tcBorders>
            <w:shd w:val="clear" w:color="auto" w:fill="auto"/>
            <w:noWrap/>
            <w:vAlign w:val="bottom"/>
            <w:hideMark/>
          </w:tcPr>
          <w:p w:rsidR="00EC1EE9" w:rsidRPr="00BD36D0" w:rsidRDefault="002333A0" w:rsidP="00A778DE">
            <w:pPr>
              <w:jc w:val="center"/>
              <w:rPr>
                <w:rFonts w:ascii="Arial Narrow" w:hAnsi="Arial Narrow"/>
                <w:i/>
                <w:color w:val="000000"/>
                <w:sz w:val="20"/>
                <w:szCs w:val="20"/>
              </w:rPr>
            </w:pPr>
            <w:r>
              <w:rPr>
                <w:rFonts w:ascii="Arial Narrow" w:hAnsi="Arial Narrow"/>
                <w:i/>
                <w:noProof/>
                <w:color w:val="000000"/>
                <w:sz w:val="20"/>
                <w:szCs w:val="20"/>
                <w:highlight w:val="black"/>
              </w:rPr>
              <w:t>'''</w:t>
            </w:r>
            <w:r w:rsidR="00EC1EE9" w:rsidRPr="00BD36D0">
              <w:rPr>
                <w:rFonts w:ascii="Arial Narrow" w:hAnsi="Arial Narrow"/>
                <w:i/>
                <w:color w:val="000000"/>
                <w:sz w:val="20"/>
                <w:szCs w:val="20"/>
              </w:rPr>
              <w:t>%</w:t>
            </w:r>
          </w:p>
        </w:tc>
        <w:tc>
          <w:tcPr>
            <w:tcW w:w="1006" w:type="pct"/>
            <w:tcBorders>
              <w:top w:val="nil"/>
              <w:left w:val="nil"/>
              <w:bottom w:val="single" w:sz="4" w:space="0" w:color="auto"/>
              <w:right w:val="single" w:sz="4" w:space="0" w:color="auto"/>
            </w:tcBorders>
            <w:shd w:val="clear" w:color="auto" w:fill="auto"/>
            <w:vAlign w:val="center"/>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50" w:type="pct"/>
            <w:tcBorders>
              <w:top w:val="nil"/>
              <w:left w:val="nil"/>
              <w:bottom w:val="single" w:sz="4" w:space="0" w:color="auto"/>
              <w:right w:val="single" w:sz="4" w:space="0" w:color="auto"/>
            </w:tcBorders>
            <w:shd w:val="clear" w:color="auto" w:fill="auto"/>
            <w:noWrap/>
            <w:vAlign w:val="bottom"/>
            <w:hideMark/>
          </w:tcPr>
          <w:p w:rsidR="00EC1EE9" w:rsidRPr="00BD36D0" w:rsidRDefault="002333A0" w:rsidP="00A778DE">
            <w:pPr>
              <w:jc w:val="center"/>
              <w:rPr>
                <w:rFonts w:ascii="Arial Narrow" w:hAnsi="Arial Narrow"/>
                <w:color w:val="000000"/>
                <w:sz w:val="20"/>
                <w:szCs w:val="20"/>
              </w:rPr>
            </w:pPr>
            <w:r>
              <w:rPr>
                <w:rFonts w:ascii="Arial Narrow" w:hAnsi="Arial Narrow"/>
                <w:noProof/>
                <w:color w:val="000000"/>
                <w:sz w:val="20"/>
                <w:szCs w:val="20"/>
                <w:highlight w:val="black"/>
              </w:rPr>
              <w:t>''''''''</w:t>
            </w:r>
            <w:r w:rsidR="00EC1EE9" w:rsidRPr="00BD36D0">
              <w:rPr>
                <w:rFonts w:ascii="Arial Narrow" w:hAnsi="Arial Narrow"/>
                <w:color w:val="000000"/>
                <w:sz w:val="20"/>
                <w:szCs w:val="20"/>
              </w:rPr>
              <w:t>%</w:t>
            </w:r>
          </w:p>
        </w:tc>
      </w:tr>
      <w:tr w:rsidR="00EC1EE9" w:rsidRPr="009637FD" w:rsidTr="00F228F1">
        <w:trPr>
          <w:trHeight w:val="97"/>
        </w:trPr>
        <w:tc>
          <w:tcPr>
            <w:tcW w:w="969" w:type="pct"/>
            <w:tcBorders>
              <w:top w:val="nil"/>
              <w:left w:val="single" w:sz="4" w:space="0" w:color="auto"/>
              <w:bottom w:val="single" w:sz="4" w:space="0" w:color="auto"/>
              <w:right w:val="single" w:sz="4" w:space="0" w:color="auto"/>
            </w:tcBorders>
            <w:shd w:val="clear" w:color="auto" w:fill="auto"/>
            <w:vAlign w:val="center"/>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2018</w:t>
            </w:r>
          </w:p>
        </w:tc>
        <w:tc>
          <w:tcPr>
            <w:tcW w:w="966" w:type="pct"/>
            <w:tcBorders>
              <w:top w:val="nil"/>
              <w:left w:val="nil"/>
              <w:bottom w:val="single" w:sz="4" w:space="0" w:color="auto"/>
              <w:right w:val="single" w:sz="4" w:space="0" w:color="auto"/>
            </w:tcBorders>
            <w:shd w:val="clear" w:color="auto" w:fill="auto"/>
            <w:noWrap/>
            <w:vAlign w:val="bottom"/>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09" w:type="pct"/>
            <w:tcBorders>
              <w:top w:val="nil"/>
              <w:left w:val="nil"/>
              <w:bottom w:val="single" w:sz="4" w:space="0" w:color="auto"/>
              <w:right w:val="single" w:sz="4" w:space="0" w:color="auto"/>
            </w:tcBorders>
            <w:shd w:val="clear" w:color="auto" w:fill="auto"/>
            <w:noWrap/>
            <w:vAlign w:val="bottom"/>
            <w:hideMark/>
          </w:tcPr>
          <w:p w:rsidR="00EC1EE9" w:rsidRPr="00BD36D0" w:rsidRDefault="002333A0" w:rsidP="00A778DE">
            <w:pPr>
              <w:jc w:val="center"/>
              <w:rPr>
                <w:rFonts w:ascii="Arial Narrow" w:hAnsi="Arial Narrow"/>
                <w:i/>
                <w:color w:val="000000"/>
                <w:sz w:val="20"/>
                <w:szCs w:val="20"/>
              </w:rPr>
            </w:pPr>
            <w:r>
              <w:rPr>
                <w:rFonts w:ascii="Arial Narrow" w:hAnsi="Arial Narrow"/>
                <w:i/>
                <w:noProof/>
                <w:color w:val="000000"/>
                <w:sz w:val="20"/>
                <w:szCs w:val="20"/>
                <w:highlight w:val="black"/>
              </w:rPr>
              <w:t>'''</w:t>
            </w:r>
            <w:r w:rsidR="00EC1EE9" w:rsidRPr="00BD36D0">
              <w:rPr>
                <w:rFonts w:ascii="Arial Narrow" w:hAnsi="Arial Narrow"/>
                <w:i/>
                <w:color w:val="000000"/>
                <w:sz w:val="20"/>
                <w:szCs w:val="20"/>
              </w:rPr>
              <w:t>%</w:t>
            </w:r>
          </w:p>
        </w:tc>
        <w:tc>
          <w:tcPr>
            <w:tcW w:w="1006" w:type="pct"/>
            <w:tcBorders>
              <w:top w:val="nil"/>
              <w:left w:val="nil"/>
              <w:bottom w:val="single" w:sz="4" w:space="0" w:color="auto"/>
              <w:right w:val="single" w:sz="4" w:space="0" w:color="auto"/>
            </w:tcBorders>
            <w:shd w:val="clear" w:color="auto" w:fill="auto"/>
            <w:vAlign w:val="center"/>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50" w:type="pct"/>
            <w:tcBorders>
              <w:top w:val="nil"/>
              <w:left w:val="nil"/>
              <w:bottom w:val="single" w:sz="4" w:space="0" w:color="auto"/>
              <w:right w:val="single" w:sz="4" w:space="0" w:color="auto"/>
            </w:tcBorders>
            <w:shd w:val="clear" w:color="auto" w:fill="auto"/>
            <w:noWrap/>
            <w:vAlign w:val="bottom"/>
            <w:hideMark/>
          </w:tcPr>
          <w:p w:rsidR="00EC1EE9" w:rsidRPr="00BD36D0" w:rsidRDefault="002333A0" w:rsidP="00A778DE">
            <w:pPr>
              <w:jc w:val="center"/>
              <w:rPr>
                <w:rFonts w:ascii="Arial Narrow" w:hAnsi="Arial Narrow"/>
                <w:color w:val="000000"/>
                <w:sz w:val="20"/>
                <w:szCs w:val="20"/>
              </w:rPr>
            </w:pPr>
            <w:r>
              <w:rPr>
                <w:rFonts w:ascii="Arial Narrow" w:hAnsi="Arial Narrow"/>
                <w:noProof/>
                <w:color w:val="000000"/>
                <w:sz w:val="20"/>
                <w:szCs w:val="20"/>
                <w:highlight w:val="black"/>
              </w:rPr>
              <w:t>''''''''</w:t>
            </w:r>
            <w:r w:rsidR="00EC1EE9" w:rsidRPr="00BD36D0">
              <w:rPr>
                <w:rFonts w:ascii="Arial Narrow" w:hAnsi="Arial Narrow"/>
                <w:color w:val="000000"/>
                <w:sz w:val="20"/>
                <w:szCs w:val="20"/>
              </w:rPr>
              <w:t>%</w:t>
            </w:r>
          </w:p>
        </w:tc>
      </w:tr>
      <w:tr w:rsidR="00EC1EE9" w:rsidRPr="009637FD" w:rsidTr="00F228F1">
        <w:trPr>
          <w:trHeight w:val="158"/>
        </w:trPr>
        <w:tc>
          <w:tcPr>
            <w:tcW w:w="969" w:type="pct"/>
            <w:tcBorders>
              <w:top w:val="nil"/>
              <w:left w:val="single" w:sz="4" w:space="0" w:color="auto"/>
              <w:bottom w:val="single" w:sz="4" w:space="0" w:color="auto"/>
              <w:right w:val="single" w:sz="4" w:space="0" w:color="auto"/>
            </w:tcBorders>
            <w:shd w:val="clear" w:color="auto" w:fill="auto"/>
            <w:vAlign w:val="center"/>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2019</w:t>
            </w:r>
          </w:p>
        </w:tc>
        <w:tc>
          <w:tcPr>
            <w:tcW w:w="966" w:type="pct"/>
            <w:tcBorders>
              <w:top w:val="nil"/>
              <w:left w:val="nil"/>
              <w:bottom w:val="single" w:sz="4" w:space="0" w:color="auto"/>
              <w:right w:val="single" w:sz="4" w:space="0" w:color="auto"/>
            </w:tcBorders>
            <w:shd w:val="clear" w:color="auto" w:fill="auto"/>
            <w:noWrap/>
            <w:vAlign w:val="bottom"/>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09" w:type="pct"/>
            <w:tcBorders>
              <w:top w:val="nil"/>
              <w:left w:val="nil"/>
              <w:bottom w:val="single" w:sz="4" w:space="0" w:color="auto"/>
              <w:right w:val="single" w:sz="4" w:space="0" w:color="auto"/>
            </w:tcBorders>
            <w:shd w:val="clear" w:color="auto" w:fill="auto"/>
            <w:noWrap/>
            <w:vAlign w:val="bottom"/>
            <w:hideMark/>
          </w:tcPr>
          <w:p w:rsidR="00EC1EE9" w:rsidRPr="00BD36D0" w:rsidRDefault="002333A0" w:rsidP="00A778DE">
            <w:pPr>
              <w:jc w:val="center"/>
              <w:rPr>
                <w:rFonts w:ascii="Arial Narrow" w:hAnsi="Arial Narrow"/>
                <w:i/>
                <w:color w:val="000000"/>
                <w:sz w:val="20"/>
                <w:szCs w:val="20"/>
              </w:rPr>
            </w:pPr>
            <w:r>
              <w:rPr>
                <w:rFonts w:ascii="Arial Narrow" w:hAnsi="Arial Narrow"/>
                <w:i/>
                <w:noProof/>
                <w:color w:val="000000"/>
                <w:sz w:val="20"/>
                <w:szCs w:val="20"/>
                <w:highlight w:val="black"/>
              </w:rPr>
              <w:t>''''</w:t>
            </w:r>
            <w:r w:rsidR="00EC1EE9" w:rsidRPr="00BD36D0">
              <w:rPr>
                <w:rFonts w:ascii="Arial Narrow" w:hAnsi="Arial Narrow"/>
                <w:i/>
                <w:color w:val="000000"/>
                <w:sz w:val="20"/>
                <w:szCs w:val="20"/>
              </w:rPr>
              <w:t>%</w:t>
            </w:r>
          </w:p>
        </w:tc>
        <w:tc>
          <w:tcPr>
            <w:tcW w:w="1006" w:type="pct"/>
            <w:tcBorders>
              <w:top w:val="nil"/>
              <w:left w:val="nil"/>
              <w:bottom w:val="single" w:sz="4" w:space="0" w:color="auto"/>
              <w:right w:val="single" w:sz="4" w:space="0" w:color="auto"/>
            </w:tcBorders>
            <w:shd w:val="clear" w:color="auto" w:fill="auto"/>
            <w:vAlign w:val="center"/>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50" w:type="pct"/>
            <w:tcBorders>
              <w:top w:val="nil"/>
              <w:left w:val="nil"/>
              <w:bottom w:val="single" w:sz="4" w:space="0" w:color="auto"/>
              <w:right w:val="single" w:sz="4" w:space="0" w:color="auto"/>
            </w:tcBorders>
            <w:shd w:val="clear" w:color="auto" w:fill="auto"/>
            <w:noWrap/>
            <w:vAlign w:val="bottom"/>
            <w:hideMark/>
          </w:tcPr>
          <w:p w:rsidR="00EC1EE9" w:rsidRPr="00BD36D0" w:rsidRDefault="002333A0" w:rsidP="00A778DE">
            <w:pPr>
              <w:jc w:val="center"/>
              <w:rPr>
                <w:rFonts w:ascii="Arial Narrow" w:hAnsi="Arial Narrow"/>
                <w:color w:val="000000"/>
                <w:sz w:val="20"/>
                <w:szCs w:val="20"/>
              </w:rPr>
            </w:pPr>
            <w:r>
              <w:rPr>
                <w:rFonts w:ascii="Arial Narrow" w:hAnsi="Arial Narrow"/>
                <w:noProof/>
                <w:color w:val="000000"/>
                <w:sz w:val="20"/>
                <w:szCs w:val="20"/>
                <w:highlight w:val="black"/>
              </w:rPr>
              <w:t>'''''''''</w:t>
            </w:r>
            <w:r w:rsidR="00EC1EE9" w:rsidRPr="00BD36D0">
              <w:rPr>
                <w:rFonts w:ascii="Arial Narrow" w:hAnsi="Arial Narrow"/>
                <w:color w:val="000000"/>
                <w:sz w:val="20"/>
                <w:szCs w:val="20"/>
              </w:rPr>
              <w:t>%</w:t>
            </w:r>
          </w:p>
        </w:tc>
      </w:tr>
      <w:tr w:rsidR="00EC1EE9" w:rsidRPr="009637FD" w:rsidTr="00F228F1">
        <w:trPr>
          <w:trHeight w:val="190"/>
        </w:trPr>
        <w:tc>
          <w:tcPr>
            <w:tcW w:w="969" w:type="pct"/>
            <w:tcBorders>
              <w:top w:val="nil"/>
              <w:left w:val="single" w:sz="4" w:space="0" w:color="auto"/>
              <w:bottom w:val="single" w:sz="4" w:space="0" w:color="auto"/>
              <w:right w:val="single" w:sz="4" w:space="0" w:color="auto"/>
            </w:tcBorders>
            <w:shd w:val="clear" w:color="auto" w:fill="auto"/>
            <w:vAlign w:val="center"/>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2020</w:t>
            </w:r>
          </w:p>
        </w:tc>
        <w:tc>
          <w:tcPr>
            <w:tcW w:w="966" w:type="pct"/>
            <w:tcBorders>
              <w:top w:val="nil"/>
              <w:left w:val="nil"/>
              <w:bottom w:val="single" w:sz="4" w:space="0" w:color="auto"/>
              <w:right w:val="single" w:sz="4" w:space="0" w:color="auto"/>
            </w:tcBorders>
            <w:shd w:val="clear" w:color="auto" w:fill="auto"/>
            <w:noWrap/>
            <w:vAlign w:val="bottom"/>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09" w:type="pct"/>
            <w:tcBorders>
              <w:top w:val="nil"/>
              <w:left w:val="nil"/>
              <w:bottom w:val="single" w:sz="4" w:space="0" w:color="auto"/>
              <w:right w:val="single" w:sz="4" w:space="0" w:color="auto"/>
            </w:tcBorders>
            <w:shd w:val="clear" w:color="auto" w:fill="auto"/>
            <w:noWrap/>
            <w:vAlign w:val="bottom"/>
            <w:hideMark/>
          </w:tcPr>
          <w:p w:rsidR="00EC1EE9" w:rsidRPr="00BD36D0" w:rsidRDefault="002333A0" w:rsidP="00A778DE">
            <w:pPr>
              <w:jc w:val="center"/>
              <w:rPr>
                <w:rFonts w:ascii="Arial Narrow" w:hAnsi="Arial Narrow"/>
                <w:i/>
                <w:color w:val="000000"/>
                <w:sz w:val="20"/>
                <w:szCs w:val="20"/>
              </w:rPr>
            </w:pPr>
            <w:r>
              <w:rPr>
                <w:rFonts w:ascii="Arial Narrow" w:hAnsi="Arial Narrow"/>
                <w:i/>
                <w:noProof/>
                <w:color w:val="000000"/>
                <w:sz w:val="20"/>
                <w:szCs w:val="20"/>
                <w:highlight w:val="black"/>
              </w:rPr>
              <w:t>'''</w:t>
            </w:r>
            <w:r w:rsidR="00EC1EE9" w:rsidRPr="00BD36D0">
              <w:rPr>
                <w:rFonts w:ascii="Arial Narrow" w:hAnsi="Arial Narrow"/>
                <w:i/>
                <w:color w:val="000000"/>
                <w:sz w:val="20"/>
                <w:szCs w:val="20"/>
              </w:rPr>
              <w:t>%</w:t>
            </w:r>
          </w:p>
        </w:tc>
        <w:tc>
          <w:tcPr>
            <w:tcW w:w="1006" w:type="pct"/>
            <w:tcBorders>
              <w:top w:val="nil"/>
              <w:left w:val="nil"/>
              <w:bottom w:val="single" w:sz="4" w:space="0" w:color="auto"/>
              <w:right w:val="single" w:sz="4" w:space="0" w:color="auto"/>
            </w:tcBorders>
            <w:shd w:val="clear" w:color="auto" w:fill="auto"/>
            <w:vAlign w:val="center"/>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50" w:type="pct"/>
            <w:tcBorders>
              <w:top w:val="nil"/>
              <w:left w:val="nil"/>
              <w:bottom w:val="single" w:sz="4" w:space="0" w:color="auto"/>
              <w:right w:val="single" w:sz="4" w:space="0" w:color="auto"/>
            </w:tcBorders>
            <w:shd w:val="clear" w:color="auto" w:fill="auto"/>
            <w:noWrap/>
            <w:vAlign w:val="bottom"/>
            <w:hideMark/>
          </w:tcPr>
          <w:p w:rsidR="00EC1EE9" w:rsidRPr="00BD36D0" w:rsidRDefault="002333A0" w:rsidP="00A778DE">
            <w:pPr>
              <w:jc w:val="center"/>
              <w:rPr>
                <w:rFonts w:ascii="Arial Narrow" w:hAnsi="Arial Narrow"/>
                <w:color w:val="000000"/>
                <w:sz w:val="20"/>
                <w:szCs w:val="20"/>
              </w:rPr>
            </w:pPr>
            <w:r>
              <w:rPr>
                <w:rFonts w:ascii="Arial Narrow" w:hAnsi="Arial Narrow"/>
                <w:noProof/>
                <w:color w:val="000000"/>
                <w:sz w:val="20"/>
                <w:szCs w:val="20"/>
                <w:highlight w:val="black"/>
              </w:rPr>
              <w:t>'''''''''</w:t>
            </w:r>
            <w:r w:rsidR="00EC1EE9" w:rsidRPr="00BD36D0">
              <w:rPr>
                <w:rFonts w:ascii="Arial Narrow" w:hAnsi="Arial Narrow"/>
                <w:color w:val="000000"/>
                <w:sz w:val="20"/>
                <w:szCs w:val="20"/>
              </w:rPr>
              <w:t>%</w:t>
            </w:r>
          </w:p>
        </w:tc>
      </w:tr>
      <w:tr w:rsidR="00EC1EE9" w:rsidRPr="009637FD" w:rsidTr="00F228F1">
        <w:trPr>
          <w:trHeight w:val="94"/>
        </w:trPr>
        <w:tc>
          <w:tcPr>
            <w:tcW w:w="969" w:type="pct"/>
            <w:tcBorders>
              <w:top w:val="nil"/>
              <w:left w:val="single" w:sz="4" w:space="0" w:color="auto"/>
              <w:bottom w:val="single" w:sz="4" w:space="0" w:color="auto"/>
              <w:right w:val="single" w:sz="4" w:space="0" w:color="auto"/>
            </w:tcBorders>
            <w:shd w:val="clear" w:color="auto" w:fill="auto"/>
            <w:vAlign w:val="center"/>
            <w:hideMark/>
          </w:tcPr>
          <w:p w:rsidR="00EC1EE9" w:rsidRPr="00BD36D0" w:rsidRDefault="00EC1EE9" w:rsidP="00A778DE">
            <w:pPr>
              <w:jc w:val="center"/>
              <w:rPr>
                <w:rFonts w:ascii="Arial Narrow" w:hAnsi="Arial Narrow"/>
                <w:b/>
                <w:bCs/>
                <w:color w:val="000000"/>
                <w:sz w:val="20"/>
                <w:szCs w:val="20"/>
              </w:rPr>
            </w:pPr>
            <w:r w:rsidRPr="00BD36D0">
              <w:rPr>
                <w:rFonts w:ascii="Arial Narrow" w:hAnsi="Arial Narrow"/>
                <w:b/>
                <w:bCs/>
                <w:color w:val="000000"/>
                <w:sz w:val="20"/>
                <w:szCs w:val="20"/>
              </w:rPr>
              <w:t>2021</w:t>
            </w:r>
          </w:p>
        </w:tc>
        <w:tc>
          <w:tcPr>
            <w:tcW w:w="966" w:type="pct"/>
            <w:tcBorders>
              <w:top w:val="nil"/>
              <w:left w:val="nil"/>
              <w:bottom w:val="single" w:sz="4" w:space="0" w:color="auto"/>
              <w:right w:val="single" w:sz="4" w:space="0" w:color="auto"/>
            </w:tcBorders>
            <w:shd w:val="clear" w:color="auto" w:fill="auto"/>
            <w:noWrap/>
            <w:vAlign w:val="bottom"/>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09" w:type="pct"/>
            <w:tcBorders>
              <w:top w:val="nil"/>
              <w:left w:val="nil"/>
              <w:bottom w:val="single" w:sz="4" w:space="0" w:color="auto"/>
              <w:right w:val="single" w:sz="4" w:space="0" w:color="auto"/>
            </w:tcBorders>
            <w:shd w:val="clear" w:color="auto" w:fill="auto"/>
            <w:noWrap/>
            <w:vAlign w:val="bottom"/>
            <w:hideMark/>
          </w:tcPr>
          <w:p w:rsidR="00EC1EE9" w:rsidRPr="00BD36D0" w:rsidRDefault="002333A0" w:rsidP="00A778DE">
            <w:pPr>
              <w:jc w:val="center"/>
              <w:rPr>
                <w:rFonts w:ascii="Arial Narrow" w:hAnsi="Arial Narrow"/>
                <w:i/>
                <w:color w:val="000000"/>
                <w:sz w:val="20"/>
                <w:szCs w:val="20"/>
              </w:rPr>
            </w:pPr>
            <w:r>
              <w:rPr>
                <w:rFonts w:ascii="Arial Narrow" w:hAnsi="Arial Narrow"/>
                <w:i/>
                <w:noProof/>
                <w:color w:val="000000"/>
                <w:sz w:val="20"/>
                <w:szCs w:val="20"/>
                <w:highlight w:val="black"/>
              </w:rPr>
              <w:t>''''</w:t>
            </w:r>
            <w:r w:rsidR="00EC1EE9" w:rsidRPr="00BD36D0">
              <w:rPr>
                <w:rFonts w:ascii="Arial Narrow" w:hAnsi="Arial Narrow"/>
                <w:i/>
                <w:color w:val="000000"/>
                <w:sz w:val="20"/>
                <w:szCs w:val="20"/>
              </w:rPr>
              <w:t>%</w:t>
            </w:r>
          </w:p>
        </w:tc>
        <w:tc>
          <w:tcPr>
            <w:tcW w:w="1006" w:type="pct"/>
            <w:tcBorders>
              <w:top w:val="nil"/>
              <w:left w:val="nil"/>
              <w:bottom w:val="single" w:sz="4" w:space="0" w:color="auto"/>
              <w:right w:val="single" w:sz="4" w:space="0" w:color="auto"/>
            </w:tcBorders>
            <w:shd w:val="clear" w:color="auto" w:fill="auto"/>
            <w:vAlign w:val="center"/>
            <w:hideMark/>
          </w:tcPr>
          <w:p w:rsidR="00EC1EE9" w:rsidRPr="002333A0" w:rsidRDefault="002333A0" w:rsidP="00A778DE">
            <w:pPr>
              <w:jc w:val="center"/>
              <w:rPr>
                <w:rFonts w:ascii="Arial Narrow" w:hAnsi="Arial Narrow"/>
                <w:color w:val="000000"/>
                <w:sz w:val="20"/>
                <w:szCs w:val="20"/>
                <w:highlight w:val="black"/>
              </w:rPr>
            </w:pPr>
            <w:r>
              <w:rPr>
                <w:rFonts w:ascii="Arial Narrow" w:hAnsi="Arial Narrow"/>
                <w:noProof/>
                <w:color w:val="000000"/>
                <w:sz w:val="20"/>
                <w:szCs w:val="20"/>
                <w:highlight w:val="black"/>
              </w:rPr>
              <w:t>'''''''''''''</w:t>
            </w:r>
          </w:p>
        </w:tc>
        <w:tc>
          <w:tcPr>
            <w:tcW w:w="1050" w:type="pct"/>
            <w:tcBorders>
              <w:top w:val="nil"/>
              <w:left w:val="nil"/>
              <w:bottom w:val="single" w:sz="4" w:space="0" w:color="auto"/>
              <w:right w:val="single" w:sz="4" w:space="0" w:color="auto"/>
            </w:tcBorders>
            <w:shd w:val="clear" w:color="auto" w:fill="auto"/>
            <w:noWrap/>
            <w:vAlign w:val="bottom"/>
            <w:hideMark/>
          </w:tcPr>
          <w:p w:rsidR="00EC1EE9" w:rsidRPr="00BD36D0" w:rsidRDefault="002333A0" w:rsidP="00A778DE">
            <w:pPr>
              <w:jc w:val="center"/>
              <w:rPr>
                <w:rFonts w:ascii="Arial Narrow" w:hAnsi="Arial Narrow"/>
                <w:color w:val="000000"/>
                <w:sz w:val="20"/>
                <w:szCs w:val="20"/>
              </w:rPr>
            </w:pPr>
            <w:r>
              <w:rPr>
                <w:rFonts w:ascii="Arial Narrow" w:hAnsi="Arial Narrow"/>
                <w:noProof/>
                <w:color w:val="000000"/>
                <w:sz w:val="20"/>
                <w:szCs w:val="20"/>
                <w:highlight w:val="black"/>
              </w:rPr>
              <w:t>'''''''''</w:t>
            </w:r>
            <w:r w:rsidR="00EC1EE9" w:rsidRPr="00BD36D0">
              <w:rPr>
                <w:rFonts w:ascii="Arial Narrow" w:hAnsi="Arial Narrow"/>
                <w:color w:val="000000"/>
                <w:sz w:val="20"/>
                <w:szCs w:val="20"/>
              </w:rPr>
              <w:t>%</w:t>
            </w:r>
          </w:p>
        </w:tc>
      </w:tr>
    </w:tbl>
    <w:p w:rsidR="00EC1EE9" w:rsidRPr="00C1622A" w:rsidRDefault="00C1622A" w:rsidP="00F228F1">
      <w:pPr>
        <w:ind w:firstLine="720"/>
        <w:jc w:val="both"/>
        <w:rPr>
          <w:rFonts w:ascii="Arial Narrow" w:hAnsi="Arial Narrow"/>
          <w:sz w:val="20"/>
          <w:szCs w:val="20"/>
        </w:rPr>
      </w:pPr>
      <w:r>
        <w:rPr>
          <w:rFonts w:ascii="Arial Narrow" w:hAnsi="Arial Narrow"/>
          <w:sz w:val="20"/>
          <w:szCs w:val="20"/>
        </w:rPr>
        <w:t>Source: Denosumab submission, p. 3</w:t>
      </w:r>
    </w:p>
    <w:p w:rsidR="00C1622A" w:rsidRDefault="00C1622A" w:rsidP="00EC1EE9">
      <w:pPr>
        <w:jc w:val="both"/>
        <w:rPr>
          <w:rFonts w:ascii="Arial" w:hAnsi="Arial"/>
          <w:sz w:val="22"/>
          <w:szCs w:val="22"/>
        </w:rPr>
      </w:pPr>
    </w:p>
    <w:p w:rsidR="00FD5CAE" w:rsidRPr="00FD5CAE" w:rsidRDefault="00FD5CAE" w:rsidP="00FD5CAE">
      <w:pPr>
        <w:ind w:left="720"/>
        <w:jc w:val="both"/>
        <w:rPr>
          <w:rFonts w:ascii="Arial" w:hAnsi="Arial"/>
          <w:sz w:val="22"/>
          <w:szCs w:val="22"/>
        </w:rPr>
      </w:pPr>
      <w:r>
        <w:rPr>
          <w:rFonts w:ascii="Arial" w:hAnsi="Arial"/>
          <w:sz w:val="22"/>
          <w:szCs w:val="22"/>
        </w:rPr>
        <w:t>The redacted table shows the estimated utilisation of services for existing listings in 2021 is between 50,000 – 100,000 per year and the estimated utilisation of services for HCM in 2021 is less than 10,000 per year.</w:t>
      </w:r>
    </w:p>
    <w:p w:rsidR="00FD5CAE" w:rsidRDefault="00FD5CAE" w:rsidP="00FD5CAE">
      <w:pPr>
        <w:pStyle w:val="ListParagraph"/>
        <w:jc w:val="both"/>
        <w:rPr>
          <w:rFonts w:ascii="Arial" w:hAnsi="Arial"/>
          <w:sz w:val="22"/>
          <w:szCs w:val="22"/>
        </w:rPr>
      </w:pPr>
    </w:p>
    <w:p w:rsidR="0096514A" w:rsidRPr="0096514A" w:rsidRDefault="00EC1EE9" w:rsidP="0096514A">
      <w:pPr>
        <w:pStyle w:val="ListParagraph"/>
        <w:numPr>
          <w:ilvl w:val="1"/>
          <w:numId w:val="4"/>
        </w:numPr>
        <w:jc w:val="both"/>
        <w:rPr>
          <w:rFonts w:ascii="Arial" w:hAnsi="Arial"/>
          <w:sz w:val="22"/>
          <w:szCs w:val="22"/>
        </w:rPr>
      </w:pPr>
      <w:r w:rsidRPr="00EC1EE9">
        <w:rPr>
          <w:rFonts w:ascii="Arial" w:hAnsi="Arial"/>
          <w:sz w:val="22"/>
          <w:szCs w:val="22"/>
        </w:rPr>
        <w:t xml:space="preserve">The sponsor provided new financial estimates based on updated utilisation estimates, the revised lower price, cost offsets for substitution of zoledronic acid 4 mg and updated patient co-payments. </w:t>
      </w:r>
      <w:r w:rsidR="0096514A" w:rsidRPr="0096514A">
        <w:rPr>
          <w:rFonts w:ascii="Arial" w:hAnsi="Arial"/>
          <w:sz w:val="22"/>
          <w:szCs w:val="22"/>
        </w:rPr>
        <w:t xml:space="preserve">The submission’s revised financial estimates resulted in a net cost to the PBS of </w:t>
      </w:r>
      <w:r w:rsidR="007E6B02">
        <w:rPr>
          <w:rFonts w:ascii="Arial" w:hAnsi="Arial"/>
          <w:sz w:val="22"/>
          <w:szCs w:val="22"/>
        </w:rPr>
        <w:t xml:space="preserve">less than </w:t>
      </w:r>
      <w:r w:rsidR="0096514A" w:rsidRPr="0096514A">
        <w:rPr>
          <w:rFonts w:ascii="Arial" w:hAnsi="Arial"/>
          <w:sz w:val="22"/>
          <w:szCs w:val="22"/>
        </w:rPr>
        <w:t>$</w:t>
      </w:r>
      <w:r w:rsidR="007E6B02">
        <w:rPr>
          <w:rFonts w:ascii="Arial" w:hAnsi="Arial"/>
          <w:sz w:val="22"/>
          <w:szCs w:val="22"/>
        </w:rPr>
        <w:t xml:space="preserve">10 million </w:t>
      </w:r>
      <w:r w:rsidR="0096514A" w:rsidRPr="0096514A">
        <w:rPr>
          <w:rFonts w:ascii="Arial" w:hAnsi="Arial"/>
          <w:sz w:val="22"/>
          <w:szCs w:val="22"/>
        </w:rPr>
        <w:t xml:space="preserve">in year 5, and </w:t>
      </w:r>
      <w:r w:rsidR="007E6B02">
        <w:rPr>
          <w:rFonts w:ascii="Arial" w:hAnsi="Arial"/>
          <w:sz w:val="22"/>
          <w:szCs w:val="22"/>
        </w:rPr>
        <w:t xml:space="preserve">less than </w:t>
      </w:r>
      <w:r w:rsidR="0096514A" w:rsidRPr="0096514A">
        <w:rPr>
          <w:rFonts w:ascii="Arial" w:hAnsi="Arial"/>
          <w:sz w:val="22"/>
          <w:szCs w:val="22"/>
        </w:rPr>
        <w:t>$</w:t>
      </w:r>
      <w:r w:rsidR="007E6B02">
        <w:rPr>
          <w:rFonts w:ascii="Arial" w:hAnsi="Arial"/>
          <w:sz w:val="22"/>
          <w:szCs w:val="22"/>
        </w:rPr>
        <w:t xml:space="preserve">10 million </w:t>
      </w:r>
      <w:r w:rsidR="0096514A" w:rsidRPr="0096514A">
        <w:rPr>
          <w:rFonts w:ascii="Arial" w:hAnsi="Arial"/>
          <w:sz w:val="22"/>
          <w:szCs w:val="22"/>
        </w:rPr>
        <w:t>over five years. The Secretariat noted that although as a minor submission the financial estimates have not been evaluated, the cost to Government appeared to largely result from the assumption that patients treated with denosumab would receive an average of 5 doses of that drug whereas patients t</w:t>
      </w:r>
      <w:r w:rsidR="0004059D">
        <w:rPr>
          <w:rFonts w:ascii="Arial" w:hAnsi="Arial"/>
          <w:sz w:val="22"/>
          <w:szCs w:val="22"/>
        </w:rPr>
        <w:t>reated with zoledronic acid would</w:t>
      </w:r>
      <w:r w:rsidR="0096514A" w:rsidRPr="0096514A">
        <w:rPr>
          <w:rFonts w:ascii="Arial" w:hAnsi="Arial"/>
          <w:sz w:val="22"/>
          <w:szCs w:val="22"/>
        </w:rPr>
        <w:t xml:space="preserve"> receive two doses (refer submission financial estimates spreadsheet- background and assumptions).</w:t>
      </w:r>
    </w:p>
    <w:p w:rsidR="0096514A" w:rsidRPr="0096514A" w:rsidRDefault="0096514A" w:rsidP="005077EE">
      <w:pPr>
        <w:pStyle w:val="ListParagraph"/>
        <w:jc w:val="both"/>
        <w:rPr>
          <w:rFonts w:ascii="Arial" w:hAnsi="Arial"/>
          <w:sz w:val="22"/>
          <w:szCs w:val="22"/>
        </w:rPr>
      </w:pPr>
    </w:p>
    <w:p w:rsidR="00EC1EE9" w:rsidRDefault="002D0266" w:rsidP="00EC1EE9">
      <w:pPr>
        <w:pStyle w:val="ListParagraph"/>
        <w:numPr>
          <w:ilvl w:val="1"/>
          <w:numId w:val="4"/>
        </w:numPr>
        <w:jc w:val="both"/>
        <w:rPr>
          <w:rFonts w:ascii="Arial" w:hAnsi="Arial"/>
          <w:sz w:val="22"/>
          <w:szCs w:val="22"/>
        </w:rPr>
      </w:pPr>
      <w:r>
        <w:rPr>
          <w:rFonts w:ascii="Arial" w:hAnsi="Arial"/>
          <w:sz w:val="22"/>
          <w:szCs w:val="22"/>
        </w:rPr>
        <w:t>The PBAC noted that the financial estimates in the submission were no longer applicable based on the recommendation for the cost-minimisation of denosumab to pamidronate.</w:t>
      </w:r>
    </w:p>
    <w:p w:rsidR="0096514A" w:rsidRDefault="0096514A" w:rsidP="00E2305D">
      <w:pPr>
        <w:ind w:firstLine="720"/>
        <w:rPr>
          <w:rFonts w:ascii="Arial" w:hAnsi="Arial" w:cs="Arial"/>
          <w:bCs/>
          <w:i/>
          <w:snapToGrid w:val="0"/>
          <w:sz w:val="22"/>
          <w:szCs w:val="22"/>
        </w:rPr>
      </w:pPr>
    </w:p>
    <w:p w:rsidR="00E2305D" w:rsidRPr="0005234D" w:rsidRDefault="00E2305D" w:rsidP="00E2305D">
      <w:pPr>
        <w:ind w:firstLine="720"/>
        <w:rPr>
          <w:rFonts w:ascii="Arial" w:hAnsi="Arial" w:cs="Arial"/>
          <w:bCs/>
          <w:snapToGrid w:val="0"/>
          <w:sz w:val="22"/>
          <w:szCs w:val="22"/>
        </w:rPr>
      </w:pPr>
      <w:r w:rsidRPr="00F8172F">
        <w:rPr>
          <w:rFonts w:ascii="Arial" w:hAnsi="Arial" w:cs="Arial"/>
          <w:bCs/>
          <w:i/>
          <w:snapToGrid w:val="0"/>
          <w:sz w:val="22"/>
          <w:szCs w:val="22"/>
        </w:rPr>
        <w:t>For more detail on PBAC’s view, see section 7 “PBAC outcome”</w:t>
      </w:r>
    </w:p>
    <w:p w:rsidR="009B43FB" w:rsidRDefault="009B43FB" w:rsidP="00EC1EE9">
      <w:pPr>
        <w:jc w:val="both"/>
        <w:rPr>
          <w:rFonts w:ascii="Arial" w:hAnsi="Arial"/>
          <w:sz w:val="22"/>
          <w:szCs w:val="22"/>
        </w:rPr>
      </w:pPr>
    </w:p>
    <w:p w:rsidR="00E2305D" w:rsidRPr="00C76276" w:rsidRDefault="00E2305D" w:rsidP="00C76276">
      <w:pPr>
        <w:pStyle w:val="Heading1"/>
        <w:numPr>
          <w:ilvl w:val="0"/>
          <w:numId w:val="4"/>
        </w:numPr>
      </w:pPr>
      <w:r w:rsidRPr="00C76276">
        <w:t>PBAC Outcome</w:t>
      </w:r>
    </w:p>
    <w:p w:rsidR="00E2305D" w:rsidRPr="00934756" w:rsidRDefault="00E2305D" w:rsidP="00E2305D">
      <w:pPr>
        <w:widowControl w:val="0"/>
        <w:jc w:val="both"/>
        <w:rPr>
          <w:rFonts w:ascii="Arial" w:hAnsi="Arial" w:cs="Arial"/>
          <w:bCs/>
          <w:snapToGrid w:val="0"/>
          <w:sz w:val="22"/>
          <w:szCs w:val="20"/>
          <w:lang w:val="en-GB"/>
        </w:rPr>
      </w:pPr>
    </w:p>
    <w:p w:rsidR="00E2305D" w:rsidRDefault="00E2305D" w:rsidP="005077EE">
      <w:pPr>
        <w:pStyle w:val="ListParagraph"/>
        <w:widowControl w:val="0"/>
        <w:numPr>
          <w:ilvl w:val="1"/>
          <w:numId w:val="4"/>
        </w:numPr>
        <w:jc w:val="both"/>
        <w:rPr>
          <w:rFonts w:ascii="Arial" w:hAnsi="Arial" w:cs="Arial"/>
          <w:bCs/>
          <w:snapToGrid w:val="0"/>
          <w:sz w:val="22"/>
          <w:szCs w:val="20"/>
          <w:lang w:val="en-GB"/>
        </w:rPr>
      </w:pPr>
      <w:r w:rsidRPr="005077EE">
        <w:rPr>
          <w:rFonts w:ascii="Arial" w:hAnsi="Arial" w:cs="Arial"/>
          <w:bCs/>
          <w:snapToGrid w:val="0"/>
          <w:sz w:val="22"/>
          <w:szCs w:val="20"/>
          <w:lang w:val="en-GB"/>
        </w:rPr>
        <w:t>The PBAC recommended the</w:t>
      </w:r>
      <w:r w:rsidR="00D22336" w:rsidRPr="005077EE">
        <w:rPr>
          <w:rFonts w:ascii="Arial" w:hAnsi="Arial" w:cs="Arial"/>
          <w:bCs/>
          <w:snapToGrid w:val="0"/>
          <w:sz w:val="22"/>
          <w:szCs w:val="20"/>
          <w:lang w:val="en-GB"/>
        </w:rPr>
        <w:t xml:space="preserve"> Authority Required (Streamlined) </w:t>
      </w:r>
      <w:r w:rsidRPr="005077EE">
        <w:rPr>
          <w:rFonts w:ascii="Arial" w:hAnsi="Arial" w:cs="Arial"/>
          <w:bCs/>
          <w:snapToGrid w:val="0"/>
          <w:sz w:val="22"/>
          <w:szCs w:val="20"/>
          <w:lang w:val="en-GB"/>
        </w:rPr>
        <w:t xml:space="preserve">listing of </w:t>
      </w:r>
      <w:r w:rsidR="00953B21" w:rsidRPr="005077EE">
        <w:rPr>
          <w:rFonts w:ascii="Arial" w:hAnsi="Arial" w:cs="Arial"/>
          <w:bCs/>
          <w:snapToGrid w:val="0"/>
          <w:sz w:val="22"/>
          <w:szCs w:val="20"/>
          <w:lang w:val="en-GB"/>
        </w:rPr>
        <w:t>denosumab</w:t>
      </w:r>
      <w:r w:rsidRPr="005077EE">
        <w:rPr>
          <w:rFonts w:ascii="Arial" w:hAnsi="Arial" w:cs="Arial"/>
          <w:bCs/>
          <w:snapToGrid w:val="0"/>
          <w:sz w:val="22"/>
          <w:szCs w:val="20"/>
          <w:lang w:val="en-GB"/>
        </w:rPr>
        <w:t xml:space="preserve">, on </w:t>
      </w:r>
      <w:r w:rsidR="00D22336" w:rsidRPr="005077EE">
        <w:rPr>
          <w:rFonts w:ascii="Arial" w:hAnsi="Arial" w:cs="Arial"/>
          <w:bCs/>
          <w:snapToGrid w:val="0"/>
          <w:sz w:val="22"/>
          <w:szCs w:val="20"/>
          <w:lang w:val="en-GB"/>
        </w:rPr>
        <w:t>a cost minimisation basis to pamidronate</w:t>
      </w:r>
      <w:r w:rsidR="00B018CD">
        <w:rPr>
          <w:rFonts w:ascii="Arial" w:hAnsi="Arial" w:cs="Arial"/>
          <w:bCs/>
          <w:snapToGrid w:val="0"/>
          <w:sz w:val="22"/>
          <w:szCs w:val="20"/>
          <w:lang w:val="en-GB"/>
        </w:rPr>
        <w:t xml:space="preserve"> (as the least costly bisphosphonate, given that no evidence of superiority of denosumab was provided)</w:t>
      </w:r>
      <w:r w:rsidRPr="005077EE">
        <w:rPr>
          <w:rFonts w:ascii="Arial" w:hAnsi="Arial" w:cs="Arial"/>
          <w:bCs/>
          <w:snapToGrid w:val="0"/>
          <w:sz w:val="22"/>
          <w:szCs w:val="20"/>
          <w:lang w:val="en-GB"/>
        </w:rPr>
        <w:t xml:space="preserve">.  </w:t>
      </w:r>
      <w:r w:rsidR="00A52955" w:rsidRPr="005077EE">
        <w:rPr>
          <w:rFonts w:ascii="Arial" w:hAnsi="Arial" w:cs="Arial"/>
          <w:bCs/>
          <w:snapToGrid w:val="0"/>
          <w:sz w:val="22"/>
          <w:szCs w:val="20"/>
          <w:lang w:val="en-GB"/>
        </w:rPr>
        <w:t xml:space="preserve">As with the comparison with zoledronic acid, </w:t>
      </w:r>
      <w:r w:rsidR="00A52955" w:rsidRPr="00A52955">
        <w:rPr>
          <w:rFonts w:ascii="Arial" w:hAnsi="Arial" w:cs="Arial"/>
          <w:bCs/>
          <w:snapToGrid w:val="0"/>
          <w:sz w:val="22"/>
          <w:szCs w:val="20"/>
          <w:lang w:val="en-GB"/>
        </w:rPr>
        <w:t>t</w:t>
      </w:r>
      <w:r w:rsidR="00934756" w:rsidRPr="00A52955">
        <w:rPr>
          <w:rFonts w:ascii="Arial" w:hAnsi="Arial" w:cs="Arial"/>
          <w:bCs/>
          <w:snapToGrid w:val="0"/>
          <w:sz w:val="22"/>
          <w:szCs w:val="20"/>
          <w:lang w:val="en-GB"/>
        </w:rPr>
        <w:t>he equi-effective dose</w:t>
      </w:r>
      <w:r w:rsidR="007C433D" w:rsidRPr="00A52955">
        <w:rPr>
          <w:rFonts w:ascii="Arial" w:hAnsi="Arial" w:cs="Arial"/>
          <w:bCs/>
          <w:snapToGrid w:val="0"/>
          <w:sz w:val="22"/>
          <w:szCs w:val="20"/>
          <w:lang w:val="en-GB"/>
        </w:rPr>
        <w:t>s</w:t>
      </w:r>
      <w:r w:rsidR="00A52955" w:rsidRPr="00A52955">
        <w:rPr>
          <w:rFonts w:ascii="Arial" w:hAnsi="Arial" w:cs="Arial"/>
          <w:bCs/>
          <w:snapToGrid w:val="0"/>
          <w:sz w:val="22"/>
          <w:szCs w:val="20"/>
          <w:lang w:val="en-GB"/>
        </w:rPr>
        <w:t xml:space="preserve"> of denosumab and pamidronate</w:t>
      </w:r>
      <w:r w:rsidR="007C433D" w:rsidRPr="00A52955">
        <w:rPr>
          <w:rFonts w:ascii="Arial" w:hAnsi="Arial" w:cs="Arial"/>
          <w:bCs/>
          <w:snapToGrid w:val="0"/>
          <w:sz w:val="22"/>
          <w:szCs w:val="20"/>
          <w:lang w:val="en-GB"/>
        </w:rPr>
        <w:t xml:space="preserve"> </w:t>
      </w:r>
      <w:r w:rsidR="00A52955" w:rsidRPr="00A52955">
        <w:rPr>
          <w:rFonts w:ascii="Arial" w:hAnsi="Arial" w:cs="Arial"/>
          <w:bCs/>
          <w:snapToGrid w:val="0"/>
          <w:sz w:val="22"/>
          <w:szCs w:val="20"/>
          <w:lang w:val="en-GB"/>
        </w:rPr>
        <w:t xml:space="preserve">are </w:t>
      </w:r>
      <w:r w:rsidR="007C433D" w:rsidRPr="00A52955">
        <w:rPr>
          <w:rFonts w:ascii="Arial" w:hAnsi="Arial" w:cs="Arial"/>
          <w:bCs/>
          <w:snapToGrid w:val="0"/>
          <w:sz w:val="22"/>
          <w:szCs w:val="20"/>
          <w:lang w:val="en-GB"/>
        </w:rPr>
        <w:t>difficult to estimate because of the</w:t>
      </w:r>
      <w:r w:rsidR="00A52955" w:rsidRPr="00A52955">
        <w:rPr>
          <w:rFonts w:ascii="Arial" w:hAnsi="Arial" w:cs="Arial"/>
          <w:bCs/>
          <w:snapToGrid w:val="0"/>
          <w:sz w:val="22"/>
          <w:szCs w:val="20"/>
          <w:lang w:val="en-GB"/>
        </w:rPr>
        <w:t>ir</w:t>
      </w:r>
      <w:r w:rsidR="007C433D" w:rsidRPr="00A52955">
        <w:rPr>
          <w:rFonts w:ascii="Arial" w:hAnsi="Arial" w:cs="Arial"/>
          <w:bCs/>
          <w:snapToGrid w:val="0"/>
          <w:sz w:val="22"/>
          <w:szCs w:val="20"/>
          <w:lang w:val="en-GB"/>
        </w:rPr>
        <w:t xml:space="preserve"> different treatment regimen</w:t>
      </w:r>
      <w:r w:rsidR="00A52955" w:rsidRPr="00A52955">
        <w:rPr>
          <w:rFonts w:ascii="Arial" w:hAnsi="Arial" w:cs="Arial"/>
          <w:bCs/>
          <w:snapToGrid w:val="0"/>
          <w:sz w:val="22"/>
          <w:szCs w:val="20"/>
          <w:lang w:val="en-GB"/>
        </w:rPr>
        <w:t>s, with the former an</w:t>
      </w:r>
      <w:r w:rsidR="007C433D" w:rsidRPr="00A52955">
        <w:rPr>
          <w:rFonts w:ascii="Arial" w:hAnsi="Arial" w:cs="Arial"/>
          <w:bCs/>
          <w:snapToGrid w:val="0"/>
          <w:sz w:val="22"/>
          <w:szCs w:val="20"/>
          <w:lang w:val="en-GB"/>
        </w:rPr>
        <w:t xml:space="preserve"> ongoin</w:t>
      </w:r>
      <w:r w:rsidR="00A52955" w:rsidRPr="00A52955">
        <w:rPr>
          <w:rFonts w:ascii="Arial" w:hAnsi="Arial" w:cs="Arial"/>
          <w:bCs/>
          <w:snapToGrid w:val="0"/>
          <w:sz w:val="22"/>
          <w:szCs w:val="20"/>
          <w:lang w:val="en-GB"/>
        </w:rPr>
        <w:t>g therapy whereas the latter</w:t>
      </w:r>
      <w:r w:rsidR="007C433D" w:rsidRPr="00A52955">
        <w:rPr>
          <w:rFonts w:ascii="Arial" w:hAnsi="Arial" w:cs="Arial"/>
          <w:bCs/>
          <w:snapToGrid w:val="0"/>
          <w:sz w:val="22"/>
          <w:szCs w:val="20"/>
          <w:lang w:val="en-GB"/>
        </w:rPr>
        <w:t xml:space="preserve"> </w:t>
      </w:r>
      <w:r w:rsidR="00A52955" w:rsidRPr="00A52955">
        <w:rPr>
          <w:rFonts w:ascii="Arial" w:hAnsi="Arial" w:cs="Arial"/>
          <w:bCs/>
          <w:snapToGrid w:val="0"/>
          <w:sz w:val="22"/>
          <w:szCs w:val="20"/>
          <w:lang w:val="en-GB"/>
        </w:rPr>
        <w:t>is an</w:t>
      </w:r>
      <w:r w:rsidR="007C433D" w:rsidRPr="00A52955">
        <w:rPr>
          <w:rFonts w:ascii="Arial" w:hAnsi="Arial" w:cs="Arial"/>
          <w:bCs/>
          <w:snapToGrid w:val="0"/>
          <w:sz w:val="22"/>
          <w:szCs w:val="20"/>
          <w:lang w:val="en-GB"/>
        </w:rPr>
        <w:t xml:space="preserve"> episodic treatment.</w:t>
      </w:r>
      <w:r w:rsidR="000B0A82">
        <w:rPr>
          <w:rFonts w:ascii="Arial" w:hAnsi="Arial" w:cs="Arial"/>
          <w:bCs/>
          <w:snapToGrid w:val="0"/>
          <w:sz w:val="22"/>
          <w:szCs w:val="20"/>
          <w:lang w:val="en-GB"/>
        </w:rPr>
        <w:t xml:space="preserve">  The PBAC</w:t>
      </w:r>
      <w:r w:rsidR="00A52955" w:rsidRPr="00A52955">
        <w:rPr>
          <w:rFonts w:ascii="Arial" w:hAnsi="Arial" w:cs="Arial"/>
          <w:bCs/>
          <w:snapToGrid w:val="0"/>
          <w:sz w:val="22"/>
          <w:szCs w:val="20"/>
          <w:lang w:val="en-GB"/>
        </w:rPr>
        <w:t xml:space="preserve"> considered the equi-effective </w:t>
      </w:r>
      <w:r w:rsidR="000B0A82">
        <w:rPr>
          <w:rFonts w:ascii="Arial" w:hAnsi="Arial" w:cs="Arial"/>
          <w:bCs/>
          <w:snapToGrid w:val="0"/>
          <w:sz w:val="22"/>
          <w:szCs w:val="20"/>
          <w:lang w:val="en-GB"/>
        </w:rPr>
        <w:t>dose to</w:t>
      </w:r>
      <w:r w:rsidR="00A52955" w:rsidRPr="005077EE">
        <w:rPr>
          <w:rFonts w:ascii="Arial" w:hAnsi="Arial" w:cs="Arial"/>
          <w:bCs/>
          <w:snapToGrid w:val="0"/>
          <w:sz w:val="22"/>
          <w:szCs w:val="20"/>
          <w:lang w:val="en-GB"/>
        </w:rPr>
        <w:t xml:space="preserve"> be</w:t>
      </w:r>
      <w:r w:rsidR="000B0A82">
        <w:rPr>
          <w:rFonts w:ascii="Arial" w:hAnsi="Arial" w:cs="Arial"/>
          <w:bCs/>
          <w:snapToGrid w:val="0"/>
          <w:sz w:val="22"/>
          <w:szCs w:val="20"/>
          <w:lang w:val="en-GB"/>
        </w:rPr>
        <w:t xml:space="preserve"> </w:t>
      </w:r>
      <w:r w:rsidR="00934756" w:rsidRPr="005077EE">
        <w:rPr>
          <w:rFonts w:ascii="Arial" w:hAnsi="Arial" w:cs="Arial"/>
          <w:bCs/>
          <w:snapToGrid w:val="0"/>
          <w:sz w:val="22"/>
          <w:szCs w:val="20"/>
          <w:lang w:val="en-GB"/>
        </w:rPr>
        <w:t xml:space="preserve">5 </w:t>
      </w:r>
      <w:r w:rsidR="00F462AC" w:rsidRPr="005077EE">
        <w:rPr>
          <w:rFonts w:ascii="Arial" w:hAnsi="Arial" w:cs="Arial"/>
          <w:bCs/>
          <w:snapToGrid w:val="0"/>
          <w:sz w:val="22"/>
          <w:szCs w:val="20"/>
          <w:lang w:val="en-GB"/>
        </w:rPr>
        <w:t>individual</w:t>
      </w:r>
      <w:r w:rsidR="00122F05" w:rsidRPr="00A52955">
        <w:rPr>
          <w:rFonts w:ascii="Arial" w:hAnsi="Arial" w:cs="Arial"/>
          <w:bCs/>
          <w:snapToGrid w:val="0"/>
          <w:sz w:val="22"/>
          <w:szCs w:val="20"/>
          <w:lang w:val="en-GB"/>
        </w:rPr>
        <w:t xml:space="preserve"> </w:t>
      </w:r>
      <w:r w:rsidR="00934756" w:rsidRPr="00A52955">
        <w:rPr>
          <w:rFonts w:ascii="Arial" w:hAnsi="Arial" w:cs="Arial"/>
          <w:bCs/>
          <w:snapToGrid w:val="0"/>
          <w:sz w:val="22"/>
          <w:szCs w:val="20"/>
          <w:lang w:val="en-GB"/>
        </w:rPr>
        <w:t xml:space="preserve">SC injections of 120 mg denosumab to </w:t>
      </w:r>
      <w:r w:rsidR="00AB45C5">
        <w:rPr>
          <w:rFonts w:ascii="Arial" w:hAnsi="Arial" w:cs="Arial"/>
          <w:bCs/>
          <w:snapToGrid w:val="0"/>
          <w:sz w:val="22"/>
          <w:szCs w:val="20"/>
          <w:lang w:val="en-GB"/>
        </w:rPr>
        <w:t>one</w:t>
      </w:r>
      <w:r w:rsidR="005209F3">
        <w:rPr>
          <w:rFonts w:ascii="Arial" w:hAnsi="Arial" w:cs="Arial"/>
          <w:bCs/>
          <w:snapToGrid w:val="0"/>
          <w:sz w:val="22"/>
          <w:szCs w:val="20"/>
          <w:lang w:val="en-GB"/>
        </w:rPr>
        <w:t xml:space="preserve"> </w:t>
      </w:r>
      <w:r w:rsidR="005209F3" w:rsidRPr="005077EE">
        <w:rPr>
          <w:rFonts w:ascii="Arial" w:hAnsi="Arial" w:cs="Arial"/>
          <w:bCs/>
          <w:snapToGrid w:val="0"/>
          <w:sz w:val="22"/>
          <w:szCs w:val="20"/>
          <w:lang w:val="en-GB"/>
        </w:rPr>
        <w:t>90</w:t>
      </w:r>
      <w:r w:rsidR="00934756" w:rsidRPr="005077EE">
        <w:rPr>
          <w:rFonts w:ascii="Arial" w:hAnsi="Arial" w:cs="Arial"/>
          <w:bCs/>
          <w:snapToGrid w:val="0"/>
          <w:sz w:val="22"/>
          <w:szCs w:val="20"/>
          <w:lang w:val="en-GB"/>
        </w:rPr>
        <w:t xml:space="preserve"> mg</w:t>
      </w:r>
      <w:r w:rsidR="00122F05" w:rsidRPr="005077EE">
        <w:rPr>
          <w:rFonts w:ascii="Arial" w:hAnsi="Arial" w:cs="Arial"/>
          <w:bCs/>
          <w:snapToGrid w:val="0"/>
          <w:sz w:val="22"/>
          <w:szCs w:val="20"/>
          <w:lang w:val="en-GB"/>
        </w:rPr>
        <w:t xml:space="preserve"> in</w:t>
      </w:r>
      <w:r w:rsidR="000B0A82">
        <w:rPr>
          <w:rFonts w:ascii="Arial" w:hAnsi="Arial" w:cs="Arial"/>
          <w:bCs/>
          <w:snapToGrid w:val="0"/>
          <w:sz w:val="22"/>
          <w:szCs w:val="20"/>
          <w:lang w:val="en-GB"/>
        </w:rPr>
        <w:t xml:space="preserve">fusion </w:t>
      </w:r>
      <w:r w:rsidR="00A52955" w:rsidRPr="005077EE">
        <w:rPr>
          <w:rFonts w:ascii="Arial" w:hAnsi="Arial" w:cs="Arial"/>
          <w:bCs/>
          <w:snapToGrid w:val="0"/>
          <w:sz w:val="22"/>
          <w:szCs w:val="20"/>
          <w:lang w:val="en-GB"/>
        </w:rPr>
        <w:t>of</w:t>
      </w:r>
      <w:r w:rsidR="00F462AC" w:rsidRPr="005077EE">
        <w:rPr>
          <w:rFonts w:ascii="Arial" w:hAnsi="Arial" w:cs="Arial"/>
          <w:bCs/>
          <w:snapToGrid w:val="0"/>
          <w:sz w:val="22"/>
          <w:szCs w:val="20"/>
          <w:lang w:val="en-GB"/>
        </w:rPr>
        <w:t xml:space="preserve"> pamidronate</w:t>
      </w:r>
      <w:r w:rsidR="00920E36">
        <w:rPr>
          <w:rFonts w:ascii="Arial" w:hAnsi="Arial" w:cs="Arial"/>
          <w:bCs/>
          <w:snapToGrid w:val="0"/>
          <w:sz w:val="22"/>
          <w:szCs w:val="20"/>
          <w:lang w:val="en-GB"/>
        </w:rPr>
        <w:t>.</w:t>
      </w:r>
    </w:p>
    <w:p w:rsidR="00A52955" w:rsidRPr="005077EE" w:rsidRDefault="00A52955" w:rsidP="005077EE">
      <w:pPr>
        <w:pStyle w:val="ListParagraph"/>
        <w:widowControl w:val="0"/>
        <w:jc w:val="both"/>
        <w:rPr>
          <w:rFonts w:ascii="Arial" w:hAnsi="Arial" w:cs="Arial"/>
          <w:bCs/>
          <w:snapToGrid w:val="0"/>
          <w:sz w:val="22"/>
          <w:szCs w:val="20"/>
          <w:lang w:val="en-GB"/>
        </w:rPr>
      </w:pPr>
    </w:p>
    <w:p w:rsidR="00BA596E" w:rsidRDefault="00AB2FD3" w:rsidP="005077EE">
      <w:pPr>
        <w:pStyle w:val="ListParagraph"/>
        <w:widowControl w:val="0"/>
        <w:numPr>
          <w:ilvl w:val="1"/>
          <w:numId w:val="4"/>
        </w:numPr>
        <w:jc w:val="both"/>
        <w:rPr>
          <w:rFonts w:ascii="Arial" w:hAnsi="Arial" w:cs="Arial"/>
          <w:bCs/>
          <w:snapToGrid w:val="0"/>
          <w:sz w:val="22"/>
          <w:szCs w:val="20"/>
          <w:lang w:val="en-GB"/>
        </w:rPr>
      </w:pPr>
      <w:r>
        <w:rPr>
          <w:rFonts w:ascii="Arial" w:hAnsi="Arial" w:cs="Arial"/>
          <w:bCs/>
          <w:snapToGrid w:val="0"/>
          <w:sz w:val="22"/>
          <w:szCs w:val="20"/>
          <w:lang w:val="en-GB"/>
        </w:rPr>
        <w:lastRenderedPageBreak/>
        <w:t>T</w:t>
      </w:r>
      <w:r w:rsidRPr="00AB2FD3">
        <w:rPr>
          <w:rFonts w:ascii="Arial" w:hAnsi="Arial" w:cs="Arial"/>
          <w:bCs/>
          <w:snapToGrid w:val="0"/>
          <w:sz w:val="22"/>
          <w:szCs w:val="20"/>
          <w:lang w:val="en-GB"/>
        </w:rPr>
        <w:t xml:space="preserve">he PBAC noted the Pre-PBAC response that </w:t>
      </w:r>
      <w:r w:rsidR="00A52955">
        <w:rPr>
          <w:rFonts w:ascii="Arial" w:hAnsi="Arial" w:cs="Arial"/>
          <w:bCs/>
          <w:snapToGrid w:val="0"/>
          <w:sz w:val="22"/>
          <w:szCs w:val="20"/>
          <w:lang w:val="en-GB"/>
        </w:rPr>
        <w:t>asserted</w:t>
      </w:r>
      <w:r w:rsidRPr="00AB2FD3">
        <w:rPr>
          <w:rFonts w:ascii="Arial" w:hAnsi="Arial" w:cs="Arial"/>
          <w:bCs/>
          <w:snapToGrid w:val="0"/>
          <w:sz w:val="22"/>
          <w:szCs w:val="20"/>
          <w:lang w:val="en-GB"/>
        </w:rPr>
        <w:t xml:space="preserve"> that the cost of an IV administration was conservative at $60 and was more likely to be over $300/ IV.  The PBAC considered that $60/ IV was reasonable as the majority of patient</w:t>
      </w:r>
      <w:r w:rsidR="00A52955">
        <w:rPr>
          <w:rFonts w:ascii="Arial" w:hAnsi="Arial" w:cs="Arial"/>
          <w:bCs/>
          <w:snapToGrid w:val="0"/>
          <w:sz w:val="22"/>
          <w:szCs w:val="20"/>
          <w:lang w:val="en-GB"/>
        </w:rPr>
        <w:t>s receiving pamidronate or zole</w:t>
      </w:r>
      <w:r w:rsidRPr="00AB2FD3">
        <w:rPr>
          <w:rFonts w:ascii="Arial" w:hAnsi="Arial" w:cs="Arial"/>
          <w:bCs/>
          <w:snapToGrid w:val="0"/>
          <w:sz w:val="22"/>
          <w:szCs w:val="20"/>
          <w:lang w:val="en-GB"/>
        </w:rPr>
        <w:t xml:space="preserve">dronic acid would have an IV port </w:t>
      </w:r>
      <w:r w:rsidRPr="005077EE">
        <w:rPr>
          <w:rFonts w:ascii="Arial" w:hAnsi="Arial" w:cs="Arial"/>
          <w:bCs/>
          <w:i/>
          <w:snapToGrid w:val="0"/>
          <w:sz w:val="22"/>
          <w:szCs w:val="20"/>
          <w:lang w:val="en-GB"/>
        </w:rPr>
        <w:t>in situ.</w:t>
      </w:r>
    </w:p>
    <w:p w:rsidR="00AB2FD3" w:rsidRDefault="00AB2FD3" w:rsidP="00BA596E">
      <w:pPr>
        <w:widowControl w:val="0"/>
        <w:ind w:left="720"/>
        <w:jc w:val="both"/>
        <w:rPr>
          <w:rFonts w:ascii="Arial" w:hAnsi="Arial" w:cs="Arial"/>
          <w:bCs/>
          <w:snapToGrid w:val="0"/>
          <w:sz w:val="22"/>
          <w:szCs w:val="20"/>
          <w:lang w:val="en-GB"/>
        </w:rPr>
      </w:pPr>
    </w:p>
    <w:p w:rsidR="00325457" w:rsidRPr="00934756" w:rsidRDefault="00325457" w:rsidP="00325457">
      <w:pPr>
        <w:widowControl w:val="0"/>
        <w:numPr>
          <w:ilvl w:val="1"/>
          <w:numId w:val="4"/>
        </w:numPr>
        <w:jc w:val="both"/>
        <w:rPr>
          <w:rFonts w:ascii="Arial" w:hAnsi="Arial" w:cs="Arial"/>
          <w:bCs/>
          <w:snapToGrid w:val="0"/>
          <w:sz w:val="22"/>
          <w:szCs w:val="20"/>
          <w:lang w:val="en-GB"/>
        </w:rPr>
      </w:pPr>
      <w:r>
        <w:rPr>
          <w:rFonts w:ascii="Arial" w:hAnsi="Arial" w:cs="Arial"/>
          <w:bCs/>
          <w:snapToGrid w:val="0"/>
          <w:sz w:val="22"/>
          <w:szCs w:val="20"/>
          <w:lang w:val="en-GB"/>
        </w:rPr>
        <w:t>The PBAC considered that the</w:t>
      </w:r>
      <w:r w:rsidR="00B018CD">
        <w:rPr>
          <w:rFonts w:ascii="Arial" w:hAnsi="Arial" w:cs="Arial"/>
          <w:bCs/>
          <w:snapToGrid w:val="0"/>
          <w:sz w:val="22"/>
          <w:szCs w:val="20"/>
          <w:lang w:val="en-GB"/>
        </w:rPr>
        <w:t xml:space="preserve"> </w:t>
      </w:r>
      <w:r>
        <w:rPr>
          <w:rFonts w:ascii="Arial" w:hAnsi="Arial" w:cs="Arial"/>
          <w:bCs/>
          <w:snapToGrid w:val="0"/>
          <w:sz w:val="22"/>
          <w:szCs w:val="20"/>
          <w:lang w:val="en-GB"/>
        </w:rPr>
        <w:t xml:space="preserve">clinical place for denosumab in the treatment of HCM was </w:t>
      </w:r>
      <w:r w:rsidR="00F8172F">
        <w:rPr>
          <w:rFonts w:ascii="Arial" w:hAnsi="Arial" w:cs="Arial"/>
          <w:bCs/>
          <w:snapToGrid w:val="0"/>
          <w:sz w:val="22"/>
          <w:szCs w:val="20"/>
          <w:lang w:val="en-GB"/>
        </w:rPr>
        <w:t>in</w:t>
      </w:r>
      <w:r>
        <w:rPr>
          <w:rFonts w:ascii="Arial" w:hAnsi="Arial" w:cs="Arial"/>
          <w:bCs/>
          <w:snapToGrid w:val="0"/>
          <w:sz w:val="22"/>
          <w:szCs w:val="20"/>
          <w:lang w:val="en-GB"/>
        </w:rPr>
        <w:t xml:space="preserve"> </w:t>
      </w:r>
      <w:r w:rsidRPr="00325457">
        <w:rPr>
          <w:rFonts w:ascii="Arial" w:hAnsi="Arial" w:cs="Arial"/>
          <w:bCs/>
          <w:snapToGrid w:val="0"/>
          <w:sz w:val="22"/>
          <w:szCs w:val="20"/>
          <w:lang w:val="en-GB"/>
        </w:rPr>
        <w:t xml:space="preserve">malignancy refractory to anti neoplastic therapy and </w:t>
      </w:r>
      <w:r w:rsidR="00B018CD">
        <w:rPr>
          <w:rFonts w:ascii="Arial" w:hAnsi="Arial" w:cs="Arial"/>
          <w:bCs/>
          <w:snapToGrid w:val="0"/>
          <w:sz w:val="22"/>
          <w:szCs w:val="20"/>
          <w:lang w:val="en-GB"/>
        </w:rPr>
        <w:t xml:space="preserve">as second-line </w:t>
      </w:r>
      <w:r w:rsidRPr="00325457">
        <w:rPr>
          <w:rFonts w:ascii="Arial" w:hAnsi="Arial" w:cs="Arial"/>
          <w:bCs/>
          <w:snapToGrid w:val="0"/>
          <w:sz w:val="22"/>
          <w:szCs w:val="20"/>
          <w:lang w:val="en-GB"/>
        </w:rPr>
        <w:t>to bisphosphonates</w:t>
      </w:r>
      <w:r>
        <w:rPr>
          <w:rFonts w:ascii="Arial" w:hAnsi="Arial" w:cs="Arial"/>
          <w:bCs/>
          <w:snapToGrid w:val="0"/>
          <w:sz w:val="22"/>
          <w:szCs w:val="20"/>
          <w:lang w:val="en-GB"/>
        </w:rPr>
        <w:t>.</w:t>
      </w:r>
      <w:r w:rsidR="00B018CD">
        <w:rPr>
          <w:rFonts w:ascii="Arial" w:hAnsi="Arial" w:cs="Arial"/>
          <w:bCs/>
          <w:snapToGrid w:val="0"/>
          <w:sz w:val="22"/>
          <w:szCs w:val="20"/>
          <w:lang w:val="en-GB"/>
        </w:rPr>
        <w:t xml:space="preserve"> In this setting, although defining a group of patients as refractory to bisphosphonates (hence a second-line listing) was a pragmatic way forward, the PBAC recognised that identifying a truly </w:t>
      </w:r>
      <w:r w:rsidR="00DF5E88">
        <w:rPr>
          <w:rFonts w:ascii="Arial" w:hAnsi="Arial" w:cs="Arial"/>
          <w:bCs/>
          <w:snapToGrid w:val="0"/>
          <w:sz w:val="22"/>
          <w:szCs w:val="20"/>
          <w:lang w:val="en-GB"/>
        </w:rPr>
        <w:t>bisphosphonate-resistant group was problematic, and that in clinical practice these patients were likely to continue to receive bisphosphonates (and other therapies).</w:t>
      </w:r>
    </w:p>
    <w:p w:rsidR="00E2305D" w:rsidRPr="00D24FA2" w:rsidRDefault="00E2305D" w:rsidP="00E2305D">
      <w:pPr>
        <w:widowControl w:val="0"/>
        <w:jc w:val="both"/>
        <w:rPr>
          <w:rFonts w:ascii="Arial" w:hAnsi="Arial" w:cs="Arial"/>
          <w:bCs/>
          <w:snapToGrid w:val="0"/>
          <w:sz w:val="22"/>
          <w:szCs w:val="20"/>
          <w:lang w:val="en-GB"/>
        </w:rPr>
      </w:pPr>
    </w:p>
    <w:p w:rsidR="00E2305D" w:rsidRPr="00D24FA2" w:rsidRDefault="00D24FA2" w:rsidP="00E2305D">
      <w:pPr>
        <w:widowControl w:val="0"/>
        <w:numPr>
          <w:ilvl w:val="1"/>
          <w:numId w:val="4"/>
        </w:numPr>
        <w:jc w:val="both"/>
        <w:rPr>
          <w:rFonts w:ascii="Arial" w:hAnsi="Arial" w:cs="Arial"/>
          <w:bCs/>
          <w:snapToGrid w:val="0"/>
          <w:sz w:val="22"/>
          <w:szCs w:val="20"/>
          <w:lang w:val="en-GB"/>
        </w:rPr>
      </w:pPr>
      <w:r w:rsidRPr="00D24FA2">
        <w:rPr>
          <w:rFonts w:ascii="Arial" w:hAnsi="Arial" w:cs="Arial"/>
          <w:bCs/>
          <w:snapToGrid w:val="0"/>
          <w:sz w:val="22"/>
          <w:szCs w:val="20"/>
          <w:lang w:val="en-GB"/>
        </w:rPr>
        <w:t xml:space="preserve">The </w:t>
      </w:r>
      <w:r w:rsidR="00F462AC" w:rsidRPr="00D24FA2">
        <w:rPr>
          <w:rFonts w:ascii="Arial" w:hAnsi="Arial" w:cs="Arial"/>
          <w:bCs/>
          <w:snapToGrid w:val="0"/>
          <w:sz w:val="22"/>
          <w:szCs w:val="20"/>
          <w:lang w:val="en-GB"/>
        </w:rPr>
        <w:t>PBAC did not agree with the sponsor</w:t>
      </w:r>
      <w:r w:rsidR="005209F3">
        <w:rPr>
          <w:rFonts w:ascii="Arial" w:hAnsi="Arial" w:cs="Arial"/>
          <w:bCs/>
          <w:snapToGrid w:val="0"/>
          <w:sz w:val="22"/>
          <w:szCs w:val="20"/>
          <w:lang w:val="en-GB"/>
        </w:rPr>
        <w:t>’</w:t>
      </w:r>
      <w:r w:rsidR="00F462AC" w:rsidRPr="00D24FA2">
        <w:rPr>
          <w:rFonts w:ascii="Arial" w:hAnsi="Arial" w:cs="Arial"/>
          <w:bCs/>
          <w:snapToGrid w:val="0"/>
          <w:sz w:val="22"/>
          <w:szCs w:val="20"/>
          <w:lang w:val="en-GB"/>
        </w:rPr>
        <w:t xml:space="preserve">s claim that pamidronate was not an appropriate </w:t>
      </w:r>
      <w:r w:rsidR="00325457">
        <w:rPr>
          <w:rFonts w:ascii="Arial" w:hAnsi="Arial" w:cs="Arial"/>
          <w:bCs/>
          <w:snapToGrid w:val="0"/>
          <w:sz w:val="22"/>
          <w:szCs w:val="20"/>
          <w:lang w:val="en-GB"/>
        </w:rPr>
        <w:t>comparato</w:t>
      </w:r>
      <w:r w:rsidR="000B1BA8">
        <w:rPr>
          <w:rFonts w:ascii="Arial" w:hAnsi="Arial" w:cs="Arial"/>
          <w:bCs/>
          <w:snapToGrid w:val="0"/>
          <w:sz w:val="22"/>
          <w:szCs w:val="20"/>
          <w:lang w:val="en-GB"/>
        </w:rPr>
        <w:t>r</w:t>
      </w:r>
      <w:r w:rsidRPr="00D24FA2">
        <w:rPr>
          <w:rFonts w:ascii="Arial" w:hAnsi="Arial" w:cs="Arial"/>
          <w:bCs/>
          <w:snapToGrid w:val="0"/>
          <w:sz w:val="22"/>
          <w:szCs w:val="20"/>
          <w:lang w:val="en-GB"/>
        </w:rPr>
        <w:t xml:space="preserve"> </w:t>
      </w:r>
      <w:r w:rsidR="0096011B">
        <w:rPr>
          <w:rFonts w:ascii="Arial" w:hAnsi="Arial" w:cs="Arial"/>
          <w:bCs/>
          <w:snapToGrid w:val="0"/>
          <w:sz w:val="22"/>
          <w:szCs w:val="20"/>
          <w:lang w:val="en-GB"/>
        </w:rPr>
        <w:t>on the basis of</w:t>
      </w:r>
      <w:r w:rsidRPr="00D24FA2">
        <w:rPr>
          <w:rFonts w:ascii="Arial" w:hAnsi="Arial" w:cs="Arial"/>
          <w:bCs/>
          <w:snapToGrid w:val="0"/>
          <w:sz w:val="22"/>
          <w:szCs w:val="20"/>
          <w:lang w:val="en-GB"/>
        </w:rPr>
        <w:t xml:space="preserve"> the</w:t>
      </w:r>
      <w:r w:rsidR="0096011B">
        <w:rPr>
          <w:rFonts w:ascii="Arial" w:hAnsi="Arial" w:cs="Arial"/>
          <w:bCs/>
          <w:snapToGrid w:val="0"/>
          <w:sz w:val="22"/>
          <w:szCs w:val="20"/>
          <w:lang w:val="en-GB"/>
        </w:rPr>
        <w:t xml:space="preserve"> </w:t>
      </w:r>
      <w:r w:rsidRPr="00D24FA2">
        <w:rPr>
          <w:rFonts w:ascii="Arial" w:hAnsi="Arial" w:cs="Arial"/>
          <w:bCs/>
          <w:snapToGrid w:val="0"/>
          <w:sz w:val="22"/>
          <w:szCs w:val="20"/>
          <w:lang w:val="en-GB"/>
        </w:rPr>
        <w:t xml:space="preserve">continued use of </w:t>
      </w:r>
      <w:r w:rsidR="000B1BA8">
        <w:rPr>
          <w:rFonts w:ascii="Arial" w:hAnsi="Arial" w:cs="Arial"/>
          <w:bCs/>
          <w:snapToGrid w:val="0"/>
          <w:sz w:val="22"/>
          <w:szCs w:val="20"/>
          <w:lang w:val="en-GB"/>
        </w:rPr>
        <w:t>bisp</w:t>
      </w:r>
      <w:r w:rsidR="000B0A82">
        <w:rPr>
          <w:rFonts w:ascii="Arial" w:hAnsi="Arial" w:cs="Arial"/>
          <w:bCs/>
          <w:snapToGrid w:val="0"/>
          <w:sz w:val="22"/>
          <w:szCs w:val="20"/>
          <w:lang w:val="en-GB"/>
        </w:rPr>
        <w:t xml:space="preserve">hosphonates including </w:t>
      </w:r>
      <w:r w:rsidRPr="00D24FA2">
        <w:rPr>
          <w:rFonts w:ascii="Arial" w:hAnsi="Arial" w:cs="Arial"/>
          <w:bCs/>
          <w:snapToGrid w:val="0"/>
          <w:sz w:val="22"/>
          <w:szCs w:val="20"/>
          <w:lang w:val="en-GB"/>
        </w:rPr>
        <w:t>pamidronate</w:t>
      </w:r>
      <w:r w:rsidR="000B1BA8">
        <w:rPr>
          <w:rFonts w:ascii="Arial" w:hAnsi="Arial" w:cs="Arial"/>
          <w:bCs/>
          <w:snapToGrid w:val="0"/>
          <w:sz w:val="22"/>
          <w:szCs w:val="20"/>
          <w:lang w:val="en-GB"/>
        </w:rPr>
        <w:t>,</w:t>
      </w:r>
      <w:r w:rsidRPr="00D24FA2">
        <w:rPr>
          <w:rFonts w:ascii="Arial" w:hAnsi="Arial" w:cs="Arial"/>
          <w:bCs/>
          <w:snapToGrid w:val="0"/>
          <w:sz w:val="22"/>
          <w:szCs w:val="20"/>
          <w:lang w:val="en-GB"/>
        </w:rPr>
        <w:t xml:space="preserve"> for the treatment of HCM and the </w:t>
      </w:r>
      <w:r w:rsidR="00325457">
        <w:rPr>
          <w:rFonts w:ascii="Arial" w:hAnsi="Arial" w:cs="Arial"/>
          <w:bCs/>
          <w:snapToGrid w:val="0"/>
          <w:sz w:val="22"/>
          <w:szCs w:val="20"/>
          <w:lang w:val="en-GB"/>
        </w:rPr>
        <w:t>likelihood that denosumab would substitute for pamidronate in this indication.</w:t>
      </w:r>
      <w:r w:rsidR="000B0A82">
        <w:rPr>
          <w:rFonts w:ascii="Arial" w:hAnsi="Arial" w:cs="Arial"/>
          <w:bCs/>
          <w:snapToGrid w:val="0"/>
          <w:sz w:val="22"/>
          <w:szCs w:val="20"/>
          <w:lang w:val="en-GB"/>
        </w:rPr>
        <w:t xml:space="preserve"> The PBAC noted the submission had not provided any data to demonstrate the superiority of denosumab over pamidronate, and as noted by the PBAC in March 2016</w:t>
      </w:r>
      <w:r w:rsidR="000B1BA8">
        <w:rPr>
          <w:rFonts w:ascii="Arial" w:hAnsi="Arial" w:cs="Arial"/>
          <w:bCs/>
          <w:snapToGrid w:val="0"/>
          <w:sz w:val="22"/>
          <w:szCs w:val="20"/>
          <w:lang w:val="en-GB"/>
        </w:rPr>
        <w:t>,</w:t>
      </w:r>
      <w:r w:rsidR="000B0A82">
        <w:rPr>
          <w:rFonts w:ascii="Arial" w:hAnsi="Arial" w:cs="Arial"/>
          <w:bCs/>
          <w:snapToGrid w:val="0"/>
          <w:sz w:val="22"/>
          <w:szCs w:val="20"/>
          <w:lang w:val="en-GB"/>
        </w:rPr>
        <w:t xml:space="preserve"> the comparison of denosumab and zoledronic acid was based on </w:t>
      </w:r>
      <w:r w:rsidR="00DF5E88">
        <w:rPr>
          <w:rFonts w:ascii="Arial" w:hAnsi="Arial" w:cs="Arial"/>
          <w:bCs/>
          <w:snapToGrid w:val="0"/>
          <w:sz w:val="22"/>
          <w:szCs w:val="20"/>
          <w:lang w:val="en-GB"/>
        </w:rPr>
        <w:t xml:space="preserve">very </w:t>
      </w:r>
      <w:r w:rsidR="000B0A82">
        <w:rPr>
          <w:rFonts w:ascii="Arial" w:hAnsi="Arial" w:cs="Arial"/>
          <w:bCs/>
          <w:snapToGrid w:val="0"/>
          <w:sz w:val="22"/>
          <w:szCs w:val="20"/>
          <w:lang w:val="en-GB"/>
        </w:rPr>
        <w:t>poor quality data.</w:t>
      </w:r>
      <w:r w:rsidR="000B1BA8">
        <w:rPr>
          <w:rFonts w:ascii="Arial" w:hAnsi="Arial" w:cs="Arial"/>
          <w:bCs/>
          <w:snapToGrid w:val="0"/>
          <w:sz w:val="22"/>
          <w:szCs w:val="20"/>
          <w:lang w:val="en-GB"/>
        </w:rPr>
        <w:t xml:space="preserve"> In the absence of better quality clinical data, the PBAC considered pamidronate to be the most reasonable comparator on which to base a listing recommendation.</w:t>
      </w:r>
    </w:p>
    <w:p w:rsidR="00E2305D" w:rsidRPr="00BA596E" w:rsidRDefault="00E2305D" w:rsidP="00E2305D">
      <w:pPr>
        <w:widowControl w:val="0"/>
        <w:jc w:val="both"/>
        <w:rPr>
          <w:rFonts w:ascii="Arial" w:hAnsi="Arial" w:cs="Arial"/>
          <w:bCs/>
          <w:snapToGrid w:val="0"/>
          <w:sz w:val="22"/>
          <w:szCs w:val="20"/>
          <w:lang w:val="en-GB"/>
        </w:rPr>
      </w:pPr>
    </w:p>
    <w:p w:rsidR="00E2305D" w:rsidRDefault="00BA596E" w:rsidP="00BA596E">
      <w:pPr>
        <w:widowControl w:val="0"/>
        <w:numPr>
          <w:ilvl w:val="1"/>
          <w:numId w:val="4"/>
        </w:numPr>
        <w:jc w:val="both"/>
        <w:rPr>
          <w:rFonts w:ascii="Arial" w:hAnsi="Arial" w:cs="Arial"/>
          <w:bCs/>
          <w:snapToGrid w:val="0"/>
          <w:sz w:val="22"/>
          <w:szCs w:val="20"/>
          <w:lang w:val="en-GB"/>
        </w:rPr>
      </w:pPr>
      <w:r w:rsidRPr="00BA596E">
        <w:rPr>
          <w:rFonts w:ascii="Arial" w:hAnsi="Arial" w:cs="Arial"/>
          <w:bCs/>
          <w:snapToGrid w:val="0"/>
          <w:sz w:val="22"/>
          <w:szCs w:val="20"/>
          <w:lang w:val="en-GB"/>
        </w:rPr>
        <w:t xml:space="preserve">The PBAC considered that the utilisation estimates were an underestimation as there was a high likelihood of usage in patients while they are still responsive to bisphosphonates or where hypercalcaemia would be well controlled by treatment of the underlying condition. </w:t>
      </w:r>
    </w:p>
    <w:p w:rsidR="00F82A40" w:rsidRDefault="00F82A40" w:rsidP="00F82A40">
      <w:pPr>
        <w:widowControl w:val="0"/>
        <w:ind w:left="720"/>
        <w:jc w:val="both"/>
        <w:rPr>
          <w:rFonts w:ascii="Arial" w:hAnsi="Arial" w:cs="Arial"/>
          <w:bCs/>
          <w:snapToGrid w:val="0"/>
          <w:sz w:val="22"/>
          <w:szCs w:val="20"/>
          <w:lang w:val="en-GB"/>
        </w:rPr>
      </w:pPr>
    </w:p>
    <w:p w:rsidR="00E2305D" w:rsidRPr="00F82A40" w:rsidRDefault="00E2305D" w:rsidP="00E2305D">
      <w:pPr>
        <w:widowControl w:val="0"/>
        <w:numPr>
          <w:ilvl w:val="1"/>
          <w:numId w:val="4"/>
        </w:numPr>
        <w:jc w:val="both"/>
        <w:rPr>
          <w:rFonts w:ascii="Arial" w:hAnsi="Arial" w:cs="Arial"/>
          <w:bCs/>
          <w:snapToGrid w:val="0"/>
          <w:sz w:val="22"/>
          <w:szCs w:val="20"/>
          <w:lang w:val="en-GB"/>
        </w:rPr>
      </w:pPr>
      <w:r w:rsidRPr="00F82A40">
        <w:rPr>
          <w:rFonts w:ascii="Arial" w:hAnsi="Arial" w:cs="Arial"/>
          <w:bCs/>
          <w:snapToGrid w:val="0"/>
          <w:sz w:val="22"/>
          <w:szCs w:val="20"/>
          <w:lang w:val="en-GB"/>
        </w:rPr>
        <w:t xml:space="preserve">The PBAC advised that </w:t>
      </w:r>
      <w:r w:rsidR="00F82A40" w:rsidRPr="00F82A40">
        <w:rPr>
          <w:rFonts w:ascii="Arial" w:hAnsi="Arial" w:cs="Arial"/>
          <w:bCs/>
          <w:snapToGrid w:val="0"/>
          <w:sz w:val="22"/>
          <w:szCs w:val="20"/>
          <w:lang w:val="en-GB"/>
        </w:rPr>
        <w:t>denosumab</w:t>
      </w:r>
      <w:r w:rsidRPr="00F82A40">
        <w:rPr>
          <w:rFonts w:ascii="Arial" w:hAnsi="Arial" w:cs="Arial"/>
          <w:bCs/>
          <w:snapToGrid w:val="0"/>
          <w:sz w:val="22"/>
          <w:szCs w:val="20"/>
          <w:lang w:val="en-GB"/>
        </w:rPr>
        <w:t xml:space="preserve"> is not suitable for prescribing by nurse practitioners</w:t>
      </w:r>
      <w:r w:rsidR="00F82A40" w:rsidRPr="00F82A40">
        <w:rPr>
          <w:rFonts w:ascii="Arial" w:hAnsi="Arial" w:cs="Arial"/>
          <w:bCs/>
          <w:snapToGrid w:val="0"/>
          <w:sz w:val="22"/>
          <w:szCs w:val="20"/>
          <w:lang w:val="en-GB"/>
        </w:rPr>
        <w:t xml:space="preserve"> in this indication in alignment with zoledronic acid and pamidronate</w:t>
      </w:r>
      <w:r w:rsidRPr="00F82A40">
        <w:rPr>
          <w:rFonts w:ascii="Arial" w:hAnsi="Arial" w:cs="Arial"/>
          <w:bCs/>
          <w:snapToGrid w:val="0"/>
          <w:sz w:val="22"/>
          <w:szCs w:val="20"/>
          <w:lang w:val="en-GB"/>
        </w:rPr>
        <w:t>.</w:t>
      </w:r>
    </w:p>
    <w:p w:rsidR="00E2305D" w:rsidRPr="0069654D" w:rsidRDefault="00E2305D" w:rsidP="00E2305D">
      <w:pPr>
        <w:widowControl w:val="0"/>
        <w:jc w:val="both"/>
        <w:rPr>
          <w:rFonts w:ascii="Arial" w:hAnsi="Arial" w:cs="Arial"/>
          <w:bCs/>
          <w:snapToGrid w:val="0"/>
          <w:sz w:val="22"/>
          <w:szCs w:val="20"/>
          <w:highlight w:val="yellow"/>
          <w:lang w:val="en-GB"/>
        </w:rPr>
      </w:pPr>
    </w:p>
    <w:p w:rsidR="00E2305D" w:rsidRPr="00F82A40" w:rsidRDefault="00E2305D" w:rsidP="00E2305D">
      <w:pPr>
        <w:widowControl w:val="0"/>
        <w:numPr>
          <w:ilvl w:val="1"/>
          <w:numId w:val="4"/>
        </w:numPr>
        <w:jc w:val="both"/>
        <w:rPr>
          <w:rFonts w:ascii="Arial" w:hAnsi="Arial" w:cs="Arial"/>
          <w:bCs/>
          <w:snapToGrid w:val="0"/>
          <w:sz w:val="22"/>
          <w:szCs w:val="20"/>
          <w:lang w:val="en-GB"/>
        </w:rPr>
      </w:pPr>
      <w:r w:rsidRPr="00F82A40">
        <w:rPr>
          <w:rFonts w:ascii="Arial" w:hAnsi="Arial" w:cs="Arial"/>
          <w:bCs/>
          <w:snapToGrid w:val="0"/>
          <w:sz w:val="22"/>
          <w:szCs w:val="20"/>
          <w:lang w:val="en-GB"/>
        </w:rPr>
        <w:t xml:space="preserve">The PBAC recommended that the Early Supply Rule should apply. </w:t>
      </w:r>
    </w:p>
    <w:p w:rsidR="00E2305D" w:rsidRPr="0069654D" w:rsidRDefault="00E2305D" w:rsidP="00E2305D">
      <w:pPr>
        <w:widowControl w:val="0"/>
        <w:jc w:val="both"/>
        <w:rPr>
          <w:rFonts w:ascii="Arial" w:hAnsi="Arial" w:cs="Arial"/>
          <w:bCs/>
          <w:snapToGrid w:val="0"/>
          <w:sz w:val="22"/>
          <w:szCs w:val="20"/>
          <w:highlight w:val="yellow"/>
          <w:lang w:val="en-GB"/>
        </w:rPr>
      </w:pPr>
    </w:p>
    <w:p w:rsidR="00E2305D" w:rsidRPr="00F82A40" w:rsidRDefault="00E2305D" w:rsidP="00F82A40">
      <w:pPr>
        <w:widowControl w:val="0"/>
        <w:numPr>
          <w:ilvl w:val="1"/>
          <w:numId w:val="4"/>
        </w:numPr>
        <w:jc w:val="both"/>
        <w:rPr>
          <w:rFonts w:ascii="Arial" w:hAnsi="Arial" w:cs="Arial"/>
          <w:b/>
          <w:snapToGrid w:val="0"/>
          <w:sz w:val="22"/>
          <w:szCs w:val="20"/>
          <w:lang w:val="en-GB"/>
        </w:rPr>
      </w:pPr>
      <w:r w:rsidRPr="00F82A40">
        <w:rPr>
          <w:rFonts w:ascii="Arial" w:hAnsi="Arial" w:cs="Arial"/>
          <w:bCs/>
          <w:snapToGrid w:val="0"/>
          <w:sz w:val="22"/>
          <w:szCs w:val="20"/>
          <w:lang w:val="en-GB"/>
        </w:rPr>
        <w:t>The PBAC noted that this submission is not eligible for an Independent Review</w:t>
      </w:r>
      <w:r w:rsidR="00F82A40" w:rsidRPr="00F82A40">
        <w:rPr>
          <w:rFonts w:ascii="Arial" w:hAnsi="Arial" w:cs="Arial"/>
          <w:bCs/>
          <w:snapToGrid w:val="0"/>
          <w:sz w:val="22"/>
          <w:szCs w:val="20"/>
          <w:lang w:val="en-GB"/>
        </w:rPr>
        <w:t xml:space="preserve"> as it was a positive recommendation</w:t>
      </w:r>
      <w:r w:rsidRPr="00F82A40">
        <w:rPr>
          <w:rFonts w:ascii="Arial" w:hAnsi="Arial" w:cs="Arial"/>
          <w:bCs/>
          <w:snapToGrid w:val="0"/>
          <w:sz w:val="22"/>
          <w:szCs w:val="20"/>
          <w:lang w:val="en-GB"/>
        </w:rPr>
        <w:t xml:space="preserve">. </w:t>
      </w:r>
    </w:p>
    <w:p w:rsidR="00E2305D" w:rsidRPr="0069654D" w:rsidRDefault="00E2305D" w:rsidP="00E2305D">
      <w:pPr>
        <w:widowControl w:val="0"/>
        <w:jc w:val="both"/>
        <w:rPr>
          <w:rFonts w:ascii="Arial" w:hAnsi="Arial" w:cs="Arial"/>
          <w:b/>
          <w:bCs/>
          <w:snapToGrid w:val="0"/>
          <w:sz w:val="22"/>
          <w:szCs w:val="20"/>
          <w:highlight w:val="yellow"/>
          <w:lang w:val="en-GB"/>
        </w:rPr>
      </w:pPr>
    </w:p>
    <w:p w:rsidR="00E2305D" w:rsidRPr="00C76276" w:rsidRDefault="00E2305D" w:rsidP="00C76276">
      <w:pPr>
        <w:pStyle w:val="Heading2"/>
        <w:rPr>
          <w:i w:val="0"/>
          <w:snapToGrid w:val="0"/>
          <w:lang w:val="en-GB"/>
        </w:rPr>
      </w:pPr>
      <w:r w:rsidRPr="00C76276">
        <w:rPr>
          <w:i w:val="0"/>
          <w:snapToGrid w:val="0"/>
          <w:lang w:val="en-GB"/>
        </w:rPr>
        <w:t>Outcome:</w:t>
      </w:r>
    </w:p>
    <w:p w:rsidR="00E2305D" w:rsidRPr="00CA4291" w:rsidRDefault="00E2305D" w:rsidP="00E2305D">
      <w:pPr>
        <w:widowControl w:val="0"/>
        <w:jc w:val="both"/>
        <w:rPr>
          <w:rFonts w:ascii="Arial" w:hAnsi="Arial" w:cs="Arial"/>
          <w:bCs/>
          <w:snapToGrid w:val="0"/>
          <w:sz w:val="22"/>
          <w:szCs w:val="20"/>
          <w:lang w:val="en-GB"/>
        </w:rPr>
      </w:pPr>
      <w:r w:rsidRPr="00CA4291">
        <w:rPr>
          <w:rFonts w:ascii="Arial" w:hAnsi="Arial" w:cs="Arial"/>
          <w:bCs/>
          <w:snapToGrid w:val="0"/>
          <w:sz w:val="22"/>
          <w:szCs w:val="20"/>
          <w:lang w:val="en-GB"/>
        </w:rPr>
        <w:t>Recommended</w:t>
      </w:r>
    </w:p>
    <w:p w:rsidR="00E2305D" w:rsidRPr="0069654D" w:rsidRDefault="00E2305D" w:rsidP="00E2305D">
      <w:pPr>
        <w:widowControl w:val="0"/>
        <w:jc w:val="both"/>
        <w:rPr>
          <w:rFonts w:ascii="Arial" w:hAnsi="Arial" w:cs="Arial"/>
          <w:bCs/>
          <w:snapToGrid w:val="0"/>
          <w:sz w:val="22"/>
          <w:szCs w:val="20"/>
          <w:highlight w:val="yellow"/>
        </w:rPr>
      </w:pPr>
    </w:p>
    <w:p w:rsidR="00E2305D" w:rsidRPr="00C76276" w:rsidRDefault="00E2305D" w:rsidP="00920E36">
      <w:pPr>
        <w:pStyle w:val="Heading1"/>
        <w:keepNext/>
        <w:keepLines/>
        <w:numPr>
          <w:ilvl w:val="0"/>
          <w:numId w:val="4"/>
        </w:numPr>
      </w:pPr>
      <w:r w:rsidRPr="00C76276">
        <w:lastRenderedPageBreak/>
        <w:t>Recommended listing</w:t>
      </w:r>
    </w:p>
    <w:p w:rsidR="00F8172F" w:rsidRPr="00F8172F" w:rsidRDefault="00F8172F" w:rsidP="00920E36">
      <w:pPr>
        <w:keepNext/>
        <w:keepLines/>
        <w:widowControl w:val="0"/>
        <w:jc w:val="both"/>
        <w:rPr>
          <w:rFonts w:ascii="Arial" w:hAnsi="Arial" w:cs="Arial"/>
          <w:bCs/>
          <w:snapToGrid w:val="0"/>
          <w:sz w:val="22"/>
          <w:szCs w:val="20"/>
        </w:rPr>
      </w:pPr>
    </w:p>
    <w:p w:rsidR="00E2305D" w:rsidRPr="00F8172F" w:rsidRDefault="00F8172F" w:rsidP="00920E36">
      <w:pPr>
        <w:keepNext/>
        <w:keepLines/>
        <w:widowControl w:val="0"/>
        <w:numPr>
          <w:ilvl w:val="1"/>
          <w:numId w:val="4"/>
        </w:numPr>
        <w:jc w:val="both"/>
        <w:rPr>
          <w:rFonts w:ascii="Arial" w:hAnsi="Arial" w:cs="Arial"/>
          <w:bCs/>
          <w:snapToGrid w:val="0"/>
          <w:sz w:val="22"/>
          <w:szCs w:val="20"/>
        </w:rPr>
      </w:pPr>
      <w:r w:rsidRPr="00F8172F">
        <w:rPr>
          <w:rFonts w:ascii="Arial" w:hAnsi="Arial" w:cs="Arial"/>
          <w:bCs/>
          <w:snapToGrid w:val="0"/>
          <w:sz w:val="22"/>
          <w:szCs w:val="20"/>
        </w:rPr>
        <w:t>Amend existing/recommended listing as follows</w:t>
      </w:r>
      <w:r w:rsidR="00E2305D" w:rsidRPr="00F8172F">
        <w:rPr>
          <w:rFonts w:ascii="Arial" w:hAnsi="Arial" w:cs="Arial"/>
          <w:bCs/>
          <w:snapToGrid w:val="0"/>
          <w:sz w:val="22"/>
          <w:szCs w:val="20"/>
        </w:rPr>
        <w:t>:</w:t>
      </w:r>
    </w:p>
    <w:p w:rsidR="00E2305D" w:rsidRDefault="00E2305D" w:rsidP="00920E36">
      <w:pPr>
        <w:keepNext/>
        <w:keepLines/>
        <w:widowControl w:val="0"/>
        <w:jc w:val="both"/>
        <w:rPr>
          <w:rFonts w:ascii="Arial" w:hAnsi="Arial" w:cs="Arial"/>
          <w:bCs/>
          <w:snapToGrid w:val="0"/>
          <w:sz w:val="22"/>
          <w:szCs w:val="20"/>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F8172F" w:rsidRPr="0039782C" w:rsidTr="00920E36">
        <w:trPr>
          <w:cantSplit/>
          <w:trHeight w:val="471"/>
          <w:tblHeader/>
        </w:trPr>
        <w:tc>
          <w:tcPr>
            <w:tcW w:w="3119" w:type="dxa"/>
            <w:gridSpan w:val="2"/>
            <w:tcBorders>
              <w:bottom w:val="single" w:sz="4" w:space="0" w:color="auto"/>
            </w:tcBorders>
          </w:tcPr>
          <w:p w:rsidR="00F8172F" w:rsidRPr="0039782C" w:rsidRDefault="00F8172F" w:rsidP="00920E36">
            <w:pPr>
              <w:keepNext/>
              <w:keepLines/>
              <w:ind w:left="-108"/>
              <w:jc w:val="both"/>
              <w:rPr>
                <w:rFonts w:ascii="Arial Narrow" w:hAnsi="Arial Narrow" w:cs="Arial"/>
                <w:b/>
                <w:sz w:val="20"/>
                <w:szCs w:val="20"/>
              </w:rPr>
            </w:pPr>
            <w:r w:rsidRPr="0039782C">
              <w:rPr>
                <w:rFonts w:ascii="Arial Narrow" w:hAnsi="Arial Narrow" w:cs="Arial"/>
                <w:b/>
                <w:sz w:val="20"/>
                <w:szCs w:val="20"/>
              </w:rPr>
              <w:t>Name, Restriction,</w:t>
            </w:r>
          </w:p>
          <w:p w:rsidR="00F8172F" w:rsidRPr="0039782C" w:rsidRDefault="00F8172F" w:rsidP="00920E36">
            <w:pPr>
              <w:keepNext/>
              <w:keepLines/>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F8172F" w:rsidRPr="0039782C" w:rsidRDefault="00F8172F" w:rsidP="00920E36">
            <w:pPr>
              <w:keepNext/>
              <w:keepLines/>
              <w:ind w:left="-108"/>
              <w:jc w:val="both"/>
              <w:rPr>
                <w:rFonts w:ascii="Arial Narrow" w:hAnsi="Arial Narrow" w:cs="Arial"/>
                <w:b/>
                <w:sz w:val="20"/>
                <w:szCs w:val="20"/>
              </w:rPr>
            </w:pPr>
            <w:r w:rsidRPr="0039782C">
              <w:rPr>
                <w:rFonts w:ascii="Arial Narrow" w:hAnsi="Arial Narrow" w:cs="Arial"/>
                <w:b/>
                <w:sz w:val="20"/>
                <w:szCs w:val="20"/>
              </w:rPr>
              <w:t>Max.</w:t>
            </w:r>
          </w:p>
          <w:p w:rsidR="00F8172F" w:rsidRPr="0039782C" w:rsidRDefault="00F8172F" w:rsidP="00920E36">
            <w:pPr>
              <w:keepNext/>
              <w:keepLines/>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F8172F" w:rsidRPr="0039782C" w:rsidRDefault="00F8172F" w:rsidP="00920E36">
            <w:pPr>
              <w:keepNext/>
              <w:keepLines/>
              <w:ind w:left="-108"/>
              <w:jc w:val="both"/>
              <w:rPr>
                <w:rFonts w:ascii="Arial Narrow" w:hAnsi="Arial Narrow" w:cs="Arial"/>
                <w:b/>
                <w:sz w:val="20"/>
                <w:szCs w:val="20"/>
              </w:rPr>
            </w:pPr>
            <w:r w:rsidRPr="0039782C">
              <w:rPr>
                <w:rFonts w:ascii="Arial Narrow" w:hAnsi="Arial Narrow" w:cs="Arial"/>
                <w:b/>
                <w:sz w:val="20"/>
                <w:szCs w:val="20"/>
              </w:rPr>
              <w:t>№.of</w:t>
            </w:r>
          </w:p>
          <w:p w:rsidR="00F8172F" w:rsidRPr="0039782C" w:rsidRDefault="00F8172F" w:rsidP="00920E36">
            <w:pPr>
              <w:keepNext/>
              <w:keepLines/>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F8172F" w:rsidRPr="0039782C" w:rsidRDefault="00F8172F" w:rsidP="00920E36">
            <w:pPr>
              <w:keepNext/>
              <w:keepLines/>
              <w:ind w:left="-108"/>
              <w:jc w:val="both"/>
              <w:rPr>
                <w:rFonts w:ascii="Arial Narrow" w:hAnsi="Arial Narrow" w:cs="Arial"/>
                <w:b/>
                <w:sz w:val="20"/>
                <w:szCs w:val="20"/>
              </w:rPr>
            </w:pPr>
          </w:p>
        </w:tc>
        <w:tc>
          <w:tcPr>
            <w:tcW w:w="2409" w:type="dxa"/>
            <w:gridSpan w:val="2"/>
            <w:tcBorders>
              <w:bottom w:val="single" w:sz="4" w:space="0" w:color="auto"/>
            </w:tcBorders>
          </w:tcPr>
          <w:p w:rsidR="00F8172F" w:rsidRPr="0039782C" w:rsidRDefault="00F8172F" w:rsidP="00920E36">
            <w:pPr>
              <w:keepNext/>
              <w:keepLines/>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F8172F" w:rsidRPr="00260CE3" w:rsidTr="00DC6224">
        <w:trPr>
          <w:cantSplit/>
          <w:trHeight w:val="577"/>
        </w:trPr>
        <w:tc>
          <w:tcPr>
            <w:tcW w:w="3119" w:type="dxa"/>
            <w:gridSpan w:val="2"/>
          </w:tcPr>
          <w:p w:rsidR="00F8172F" w:rsidRPr="00260CE3" w:rsidRDefault="00F8172F" w:rsidP="00920E36">
            <w:pPr>
              <w:keepNext/>
              <w:keepLines/>
              <w:ind w:left="-108"/>
              <w:jc w:val="both"/>
              <w:rPr>
                <w:rFonts w:ascii="Arial Narrow" w:hAnsi="Arial Narrow" w:cs="Arial"/>
                <w:sz w:val="20"/>
                <w:szCs w:val="20"/>
              </w:rPr>
            </w:pPr>
            <w:r>
              <w:rPr>
                <w:rFonts w:ascii="Arial Narrow" w:hAnsi="Arial Narrow" w:cs="Arial"/>
                <w:smallCaps/>
                <w:sz w:val="20"/>
                <w:szCs w:val="20"/>
              </w:rPr>
              <w:t>DENOSUMAB</w:t>
            </w:r>
          </w:p>
          <w:p w:rsidR="00F8172F" w:rsidRPr="002A3AC0" w:rsidRDefault="00F8172F" w:rsidP="00920E36">
            <w:pPr>
              <w:keepNext/>
              <w:keepLines/>
              <w:ind w:left="-108"/>
              <w:jc w:val="both"/>
              <w:rPr>
                <w:rFonts w:ascii="Arial Narrow" w:hAnsi="Arial Narrow" w:cs="Arial"/>
                <w:sz w:val="20"/>
                <w:szCs w:val="20"/>
              </w:rPr>
            </w:pPr>
            <w:r w:rsidRPr="002A3AC0">
              <w:rPr>
                <w:rFonts w:ascii="Arial Narrow" w:hAnsi="Arial Narrow" w:cs="Arial"/>
                <w:sz w:val="20"/>
                <w:szCs w:val="20"/>
              </w:rPr>
              <w:t xml:space="preserve">120mg/1.7mL injection, 1 x 1.7mL </w:t>
            </w:r>
          </w:p>
          <w:p w:rsidR="00F8172F" w:rsidRPr="00260CE3" w:rsidRDefault="005077EE" w:rsidP="00920E36">
            <w:pPr>
              <w:keepNext/>
              <w:keepLines/>
              <w:ind w:left="-108"/>
              <w:jc w:val="both"/>
              <w:rPr>
                <w:rFonts w:ascii="Arial Narrow" w:hAnsi="Arial Narrow" w:cs="Arial"/>
                <w:sz w:val="20"/>
                <w:szCs w:val="20"/>
              </w:rPr>
            </w:pPr>
            <w:r w:rsidRPr="002A3AC0">
              <w:rPr>
                <w:rFonts w:ascii="Arial Narrow" w:hAnsi="Arial Narrow" w:cs="Arial"/>
                <w:sz w:val="20"/>
                <w:szCs w:val="20"/>
              </w:rPr>
              <w:t>V</w:t>
            </w:r>
            <w:r w:rsidR="00F8172F" w:rsidRPr="002A3AC0">
              <w:rPr>
                <w:rFonts w:ascii="Arial Narrow" w:hAnsi="Arial Narrow" w:cs="Arial"/>
                <w:sz w:val="20"/>
                <w:szCs w:val="20"/>
              </w:rPr>
              <w:t>ial</w:t>
            </w:r>
          </w:p>
        </w:tc>
        <w:tc>
          <w:tcPr>
            <w:tcW w:w="850" w:type="dxa"/>
          </w:tcPr>
          <w:p w:rsidR="00F8172F" w:rsidRPr="00260CE3" w:rsidRDefault="00F8172F" w:rsidP="00920E36">
            <w:pPr>
              <w:keepNext/>
              <w:keepLines/>
              <w:ind w:left="-108"/>
              <w:jc w:val="both"/>
              <w:rPr>
                <w:rFonts w:ascii="Arial Narrow" w:hAnsi="Arial Narrow" w:cs="Arial"/>
                <w:sz w:val="20"/>
                <w:szCs w:val="20"/>
              </w:rPr>
            </w:pPr>
          </w:p>
          <w:p w:rsidR="00F8172F" w:rsidRPr="00260CE3" w:rsidRDefault="00F8172F" w:rsidP="00920E36">
            <w:pPr>
              <w:keepNext/>
              <w:keepLines/>
              <w:ind w:left="-108"/>
              <w:jc w:val="both"/>
              <w:rPr>
                <w:rFonts w:ascii="Arial Narrow" w:hAnsi="Arial Narrow" w:cs="Arial"/>
                <w:sz w:val="20"/>
                <w:szCs w:val="20"/>
              </w:rPr>
            </w:pPr>
            <w:r>
              <w:rPr>
                <w:rFonts w:ascii="Arial Narrow" w:hAnsi="Arial Narrow" w:cs="Arial"/>
                <w:sz w:val="20"/>
                <w:szCs w:val="20"/>
              </w:rPr>
              <w:t>1</w:t>
            </w:r>
          </w:p>
        </w:tc>
        <w:tc>
          <w:tcPr>
            <w:tcW w:w="709" w:type="dxa"/>
          </w:tcPr>
          <w:p w:rsidR="00F8172F" w:rsidRDefault="00F8172F" w:rsidP="00920E36">
            <w:pPr>
              <w:keepNext/>
              <w:keepLines/>
              <w:ind w:left="-108"/>
              <w:jc w:val="both"/>
              <w:rPr>
                <w:rFonts w:ascii="Arial Narrow" w:hAnsi="Arial Narrow" w:cs="Arial"/>
                <w:sz w:val="20"/>
                <w:szCs w:val="20"/>
              </w:rPr>
            </w:pPr>
          </w:p>
          <w:p w:rsidR="00F8172F" w:rsidRPr="00260CE3" w:rsidRDefault="00F8172F" w:rsidP="00920E36">
            <w:pPr>
              <w:keepNext/>
              <w:keepLines/>
              <w:ind w:left="-108"/>
              <w:jc w:val="both"/>
              <w:rPr>
                <w:rFonts w:ascii="Arial Narrow" w:hAnsi="Arial Narrow" w:cs="Arial"/>
                <w:sz w:val="20"/>
                <w:szCs w:val="20"/>
              </w:rPr>
            </w:pPr>
            <w:r>
              <w:rPr>
                <w:rFonts w:ascii="Arial Narrow" w:hAnsi="Arial Narrow" w:cs="Arial"/>
                <w:sz w:val="20"/>
                <w:szCs w:val="20"/>
              </w:rPr>
              <w:t>5</w:t>
            </w:r>
          </w:p>
        </w:tc>
        <w:tc>
          <w:tcPr>
            <w:tcW w:w="1276" w:type="dxa"/>
          </w:tcPr>
          <w:p w:rsidR="00F8172F" w:rsidRPr="00260CE3" w:rsidRDefault="00F8172F" w:rsidP="00920E36">
            <w:pPr>
              <w:keepNext/>
              <w:keepLines/>
              <w:ind w:left="-108"/>
              <w:jc w:val="both"/>
              <w:rPr>
                <w:rFonts w:ascii="Arial Narrow" w:hAnsi="Arial Narrow" w:cs="Arial"/>
                <w:sz w:val="20"/>
                <w:szCs w:val="20"/>
              </w:rPr>
            </w:pPr>
          </w:p>
        </w:tc>
        <w:tc>
          <w:tcPr>
            <w:tcW w:w="1275" w:type="dxa"/>
          </w:tcPr>
          <w:p w:rsidR="00F8172F" w:rsidRDefault="00F8172F" w:rsidP="00920E36">
            <w:pPr>
              <w:keepNext/>
              <w:keepLines/>
              <w:jc w:val="both"/>
              <w:rPr>
                <w:rFonts w:ascii="Arial Narrow" w:hAnsi="Arial Narrow" w:cs="Arial"/>
                <w:sz w:val="20"/>
                <w:szCs w:val="20"/>
              </w:rPr>
            </w:pPr>
          </w:p>
          <w:p w:rsidR="00F8172F" w:rsidRPr="002A3AC0" w:rsidRDefault="00F8172F" w:rsidP="00920E36">
            <w:pPr>
              <w:keepNext/>
              <w:keepLines/>
              <w:jc w:val="both"/>
              <w:rPr>
                <w:rFonts w:ascii="Arial Narrow" w:hAnsi="Arial Narrow" w:cs="Arial"/>
                <w:sz w:val="20"/>
                <w:szCs w:val="20"/>
              </w:rPr>
            </w:pPr>
            <w:r>
              <w:rPr>
                <w:rFonts w:ascii="Arial Narrow" w:hAnsi="Arial Narrow" w:cs="Arial"/>
                <w:sz w:val="20"/>
                <w:szCs w:val="20"/>
              </w:rPr>
              <w:t>XGEVA</w:t>
            </w:r>
            <w:r>
              <w:rPr>
                <w:rFonts w:ascii="Arial Narrow" w:hAnsi="Arial Narrow" w:cs="Arial"/>
                <w:sz w:val="20"/>
                <w:szCs w:val="20"/>
                <w:vertAlign w:val="superscript"/>
              </w:rPr>
              <w:t>®</w:t>
            </w:r>
          </w:p>
        </w:tc>
        <w:tc>
          <w:tcPr>
            <w:tcW w:w="1134" w:type="dxa"/>
          </w:tcPr>
          <w:p w:rsidR="00F8172F" w:rsidRPr="00260CE3" w:rsidRDefault="00F8172F" w:rsidP="00920E36">
            <w:pPr>
              <w:keepNext/>
              <w:keepLines/>
              <w:jc w:val="both"/>
              <w:rPr>
                <w:rFonts w:ascii="Arial Narrow" w:hAnsi="Arial Narrow" w:cs="Arial"/>
                <w:sz w:val="20"/>
                <w:szCs w:val="20"/>
              </w:rPr>
            </w:pPr>
            <w:r>
              <w:rPr>
                <w:rFonts w:ascii="Arial Narrow" w:hAnsi="Arial Narrow" w:cs="Arial"/>
                <w:sz w:val="20"/>
                <w:szCs w:val="20"/>
              </w:rPr>
              <w:t>Amgen Australia Pty Ltd</w:t>
            </w:r>
          </w:p>
        </w:tc>
      </w:tr>
      <w:tr w:rsidR="00F8172F" w:rsidRPr="00260CE3" w:rsidTr="00DC6224">
        <w:trPr>
          <w:cantSplit/>
          <w:trHeight w:val="360"/>
        </w:trPr>
        <w:tc>
          <w:tcPr>
            <w:tcW w:w="8363" w:type="dxa"/>
            <w:gridSpan w:val="7"/>
            <w:tcBorders>
              <w:bottom w:val="single" w:sz="4" w:space="0" w:color="auto"/>
            </w:tcBorders>
          </w:tcPr>
          <w:p w:rsidR="00F8172F" w:rsidRPr="00260CE3" w:rsidRDefault="00F8172F" w:rsidP="00920E36">
            <w:pPr>
              <w:keepNext/>
              <w:keepLines/>
              <w:jc w:val="both"/>
              <w:rPr>
                <w:rFonts w:ascii="Arial Narrow" w:hAnsi="Arial Narrow" w:cs="Arial"/>
                <w:sz w:val="20"/>
                <w:szCs w:val="20"/>
              </w:rPr>
            </w:pPr>
          </w:p>
        </w:tc>
      </w:tr>
      <w:tr w:rsidR="00F8172F" w:rsidRPr="00260CE3" w:rsidTr="00DC6224">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172F" w:rsidRPr="00260CE3" w:rsidRDefault="00F8172F" w:rsidP="00920E36">
            <w:pPr>
              <w:keepNext/>
              <w:keepLines/>
              <w:jc w:val="both"/>
              <w:rPr>
                <w:rFonts w:ascii="Arial Narrow" w:hAnsi="Arial Narrow" w:cs="Arial"/>
                <w:b/>
                <w:sz w:val="20"/>
                <w:szCs w:val="20"/>
              </w:rPr>
            </w:pPr>
            <w:r w:rsidRPr="00260CE3">
              <w:rPr>
                <w:rFonts w:ascii="Arial Narrow" w:hAnsi="Arial Narrow" w:cs="Arial"/>
                <w:b/>
                <w:sz w:val="20"/>
                <w:szCs w:val="20"/>
              </w:rPr>
              <w:t xml:space="preserve">Category / </w:t>
            </w:r>
          </w:p>
          <w:p w:rsidR="00F8172F" w:rsidRPr="00260CE3" w:rsidRDefault="00F8172F" w:rsidP="00920E36">
            <w:pPr>
              <w:keepNext/>
              <w:keepLines/>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F8172F" w:rsidRPr="00260CE3" w:rsidRDefault="00F8172F" w:rsidP="00920E36">
            <w:pPr>
              <w:keepNext/>
              <w:keepLines/>
              <w:rPr>
                <w:rFonts w:ascii="Arial Narrow" w:hAnsi="Arial Narrow" w:cs="Arial"/>
                <w:sz w:val="20"/>
                <w:szCs w:val="20"/>
              </w:rPr>
            </w:pPr>
            <w:r w:rsidRPr="00260CE3">
              <w:rPr>
                <w:rFonts w:ascii="Arial Narrow" w:hAnsi="Arial Narrow" w:cs="Arial"/>
                <w:sz w:val="20"/>
                <w:szCs w:val="20"/>
              </w:rPr>
              <w:t>GENERAL – General Schedule (Code GE)</w:t>
            </w:r>
          </w:p>
          <w:p w:rsidR="00F8172F" w:rsidRPr="00260CE3" w:rsidRDefault="00F8172F" w:rsidP="00920E36">
            <w:pPr>
              <w:keepNext/>
              <w:keepLines/>
              <w:rPr>
                <w:rFonts w:ascii="Arial Narrow" w:hAnsi="Arial Narrow" w:cs="Arial"/>
                <w:sz w:val="20"/>
                <w:szCs w:val="20"/>
              </w:rPr>
            </w:pPr>
          </w:p>
        </w:tc>
      </w:tr>
      <w:tr w:rsidR="00F8172F" w:rsidRPr="00260CE3" w:rsidTr="00DC6224">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172F" w:rsidRPr="00260CE3" w:rsidRDefault="00F8172F" w:rsidP="00920E36">
            <w:pPr>
              <w:keepNext/>
              <w:keepLines/>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F8172F" w:rsidRPr="00260CE3" w:rsidRDefault="00F8172F" w:rsidP="00920E36">
            <w:pPr>
              <w:keepNext/>
              <w:keepLines/>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0E63AC">
              <w:rPr>
                <w:rFonts w:ascii="Arial Narrow" w:hAnsi="Arial Narrow" w:cs="Arial"/>
                <w:sz w:val="20"/>
                <w:szCs w:val="20"/>
              </w:rPr>
              <w:fldChar w:fldCharType="begin">
                <w:ffData>
                  <w:name w:val=""/>
                  <w:enabled/>
                  <w:calcOnExit w:val="0"/>
                  <w:checkBox>
                    <w:sizeAuto/>
                    <w:default w:val="0"/>
                  </w:checkBox>
                </w:ffData>
              </w:fldChar>
            </w:r>
            <w:r w:rsidR="000E63AC">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000E63AC">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F8172F" w:rsidRPr="00260CE3" w:rsidRDefault="00F8172F" w:rsidP="00920E36">
            <w:pPr>
              <w:keepNext/>
              <w:keepLines/>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F8172F" w:rsidRPr="00260CE3" w:rsidTr="00DC6224">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172F" w:rsidRPr="00260CE3" w:rsidRDefault="00F8172F" w:rsidP="00920E36">
            <w:pPr>
              <w:keepNext/>
              <w:keepLines/>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F8172F" w:rsidRPr="00260CE3" w:rsidRDefault="00F8172F" w:rsidP="00920E36">
            <w:pPr>
              <w:keepNext/>
              <w:keepLines/>
              <w:rPr>
                <w:rFonts w:ascii="Arial Narrow" w:hAnsi="Arial Narrow" w:cs="Arial"/>
                <w:sz w:val="20"/>
                <w:szCs w:val="20"/>
              </w:rPr>
            </w:pPr>
            <w:r>
              <w:rPr>
                <w:rFonts w:ascii="Arial Narrow" w:hAnsi="Arial Narrow" w:cs="Arial"/>
                <w:sz w:val="20"/>
                <w:szCs w:val="20"/>
              </w:rPr>
              <w:t>Hypercalcaemia of malignancy</w:t>
            </w:r>
          </w:p>
        </w:tc>
      </w:tr>
      <w:tr w:rsidR="00F8172F" w:rsidRPr="00260CE3" w:rsidTr="00DC6224">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172F" w:rsidRPr="00260CE3" w:rsidRDefault="00F8172F" w:rsidP="00920E36">
            <w:pPr>
              <w:keepNext/>
              <w:keepLines/>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F8172F" w:rsidRPr="00260CE3" w:rsidRDefault="00F8172F" w:rsidP="00920E36">
            <w:pPr>
              <w:keepNext/>
              <w:keepLines/>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F8172F" w:rsidRPr="00106BCF" w:rsidRDefault="00F8172F" w:rsidP="00920E36">
            <w:pPr>
              <w:keepNext/>
              <w:keepLines/>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F8172F" w:rsidRPr="00106BCF" w:rsidRDefault="00F8172F" w:rsidP="00920E36">
            <w:pPr>
              <w:keepNext/>
              <w:keepLines/>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F8172F" w:rsidRPr="00106BCF" w:rsidRDefault="00F8172F" w:rsidP="00920E36">
            <w:pPr>
              <w:keepNext/>
              <w:keepLines/>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F8172F" w:rsidRPr="00106BCF" w:rsidRDefault="00F8172F" w:rsidP="00920E36">
            <w:pPr>
              <w:keepNext/>
              <w:keepLines/>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F8172F" w:rsidRPr="00106BCF" w:rsidRDefault="00F8172F" w:rsidP="00920E36">
            <w:pPr>
              <w:keepNext/>
              <w:keepLines/>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F8172F" w:rsidRPr="00260CE3" w:rsidRDefault="00F8172F" w:rsidP="00920E36">
            <w:pPr>
              <w:keepNext/>
              <w:keepLines/>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435BA8">
              <w:rPr>
                <w:rFonts w:ascii="Arial Narrow" w:hAnsi="Arial Narrow" w:cs="Arial"/>
                <w:sz w:val="20"/>
                <w:szCs w:val="20"/>
              </w:rPr>
            </w:r>
            <w:r w:rsidR="00435BA8">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F8172F" w:rsidRPr="00260CE3" w:rsidTr="00DC6224">
        <w:trPr>
          <w:cantSplit/>
          <w:trHeight w:val="360"/>
        </w:trPr>
        <w:tc>
          <w:tcPr>
            <w:tcW w:w="1985" w:type="dxa"/>
            <w:tcBorders>
              <w:top w:val="single" w:sz="4" w:space="0" w:color="auto"/>
              <w:left w:val="single" w:sz="4" w:space="0" w:color="auto"/>
              <w:bottom w:val="single" w:sz="4" w:space="0" w:color="auto"/>
              <w:right w:val="single" w:sz="4" w:space="0" w:color="auto"/>
            </w:tcBorders>
          </w:tcPr>
          <w:p w:rsidR="00F8172F" w:rsidRPr="00260CE3" w:rsidRDefault="00F8172F" w:rsidP="00920E36">
            <w:pPr>
              <w:keepNext/>
              <w:keepLines/>
              <w:jc w:val="both"/>
              <w:rPr>
                <w:rFonts w:ascii="Arial Narrow" w:hAnsi="Arial Narrow" w:cs="Arial"/>
                <w:b/>
                <w:sz w:val="20"/>
                <w:szCs w:val="20"/>
              </w:rPr>
            </w:pPr>
            <w:r w:rsidRPr="00260CE3">
              <w:rPr>
                <w:rFonts w:ascii="Arial Narrow" w:hAnsi="Arial Narrow" w:cs="Arial"/>
                <w:b/>
                <w:sz w:val="20"/>
                <w:szCs w:val="20"/>
              </w:rPr>
              <w:t>Clinical criteria:</w:t>
            </w:r>
          </w:p>
          <w:p w:rsidR="00F8172F" w:rsidRPr="00260CE3" w:rsidRDefault="00F8172F" w:rsidP="00920E36">
            <w:pPr>
              <w:keepNext/>
              <w:keepLines/>
              <w:jc w:val="both"/>
              <w:rPr>
                <w:rFonts w:ascii="Arial Narrow" w:hAnsi="Arial Narrow" w:cs="Arial"/>
                <w:i/>
                <w:sz w:val="20"/>
                <w:szCs w:val="20"/>
              </w:rPr>
            </w:pPr>
          </w:p>
          <w:p w:rsidR="00F8172F" w:rsidRPr="00260CE3" w:rsidRDefault="00F8172F" w:rsidP="00920E36">
            <w:pPr>
              <w:keepNext/>
              <w:keepLines/>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F8172F" w:rsidRDefault="00F8172F" w:rsidP="00920E36">
            <w:pPr>
              <w:keepNext/>
              <w:keepLines/>
              <w:rPr>
                <w:rFonts w:ascii="Arial Narrow" w:hAnsi="Arial Narrow" w:cs="Arial"/>
                <w:sz w:val="20"/>
                <w:szCs w:val="20"/>
              </w:rPr>
            </w:pPr>
            <w:r w:rsidRPr="002A3AC0">
              <w:rPr>
                <w:rFonts w:ascii="Arial Narrow" w:hAnsi="Arial Narrow" w:cs="Arial"/>
                <w:sz w:val="20"/>
                <w:szCs w:val="20"/>
              </w:rPr>
              <w:t>Patient must have a malignancy refractory to anti-neoplastic therapy.</w:t>
            </w:r>
          </w:p>
          <w:p w:rsidR="00F8172F" w:rsidRPr="002A3AC0" w:rsidRDefault="00F8172F" w:rsidP="00920E36">
            <w:pPr>
              <w:keepNext/>
              <w:keepLines/>
              <w:rPr>
                <w:rFonts w:ascii="Arial Narrow" w:hAnsi="Arial Narrow" w:cs="Arial"/>
                <w:sz w:val="20"/>
                <w:szCs w:val="20"/>
              </w:rPr>
            </w:pPr>
          </w:p>
          <w:p w:rsidR="00F8172F" w:rsidRDefault="00F8172F" w:rsidP="00920E36">
            <w:pPr>
              <w:keepNext/>
              <w:keepLines/>
              <w:rPr>
                <w:rFonts w:ascii="Arial Narrow" w:hAnsi="Arial Narrow" w:cs="Arial"/>
                <w:sz w:val="20"/>
                <w:szCs w:val="20"/>
              </w:rPr>
            </w:pPr>
            <w:r w:rsidRPr="002A3AC0">
              <w:rPr>
                <w:rFonts w:ascii="Arial Narrow" w:hAnsi="Arial Narrow" w:cs="Arial"/>
                <w:sz w:val="20"/>
                <w:szCs w:val="20"/>
              </w:rPr>
              <w:t>AND</w:t>
            </w:r>
          </w:p>
          <w:p w:rsidR="00F8172F" w:rsidRPr="002A3AC0" w:rsidRDefault="00F8172F" w:rsidP="00920E36">
            <w:pPr>
              <w:keepNext/>
              <w:keepLines/>
              <w:rPr>
                <w:rFonts w:ascii="Arial Narrow" w:hAnsi="Arial Narrow" w:cs="Arial"/>
                <w:sz w:val="20"/>
                <w:szCs w:val="20"/>
              </w:rPr>
            </w:pPr>
          </w:p>
          <w:p w:rsidR="00F8172F" w:rsidRPr="00260CE3" w:rsidRDefault="00F8172F" w:rsidP="00920E36">
            <w:pPr>
              <w:keepNext/>
              <w:keepLines/>
              <w:rPr>
                <w:rFonts w:ascii="Arial Narrow" w:hAnsi="Arial Narrow" w:cs="Arial"/>
                <w:sz w:val="20"/>
                <w:szCs w:val="20"/>
              </w:rPr>
            </w:pPr>
            <w:r w:rsidRPr="002A3AC0">
              <w:rPr>
                <w:rFonts w:ascii="Arial Narrow" w:hAnsi="Arial Narrow" w:cs="Arial"/>
                <w:sz w:val="20"/>
                <w:szCs w:val="20"/>
              </w:rPr>
              <w:t>Condition must be refractory to treatment with an intravenous bisphosphonate.</w:t>
            </w:r>
          </w:p>
        </w:tc>
      </w:tr>
    </w:tbl>
    <w:p w:rsidR="00F8172F" w:rsidRPr="0069654D" w:rsidRDefault="00F8172F" w:rsidP="00E2305D">
      <w:pPr>
        <w:widowControl w:val="0"/>
        <w:jc w:val="both"/>
        <w:rPr>
          <w:rFonts w:ascii="Arial" w:hAnsi="Arial" w:cs="Arial"/>
          <w:bCs/>
          <w:snapToGrid w:val="0"/>
          <w:sz w:val="22"/>
          <w:szCs w:val="20"/>
        </w:rPr>
      </w:pPr>
    </w:p>
    <w:p w:rsidR="0051432B" w:rsidRPr="00C76276" w:rsidRDefault="0051432B" w:rsidP="00C76276">
      <w:pPr>
        <w:pStyle w:val="Heading1"/>
        <w:numPr>
          <w:ilvl w:val="0"/>
          <w:numId w:val="4"/>
        </w:numPr>
      </w:pPr>
      <w:r w:rsidRPr="00C76276">
        <w:t>Context for Decision</w:t>
      </w:r>
    </w:p>
    <w:p w:rsidR="0051432B" w:rsidRDefault="0051432B" w:rsidP="0051432B">
      <w:pPr>
        <w:ind w:left="426"/>
        <w:jc w:val="both"/>
        <w:rPr>
          <w:rFonts w:ascii="Arial" w:hAnsi="Arial" w:cs="Arial"/>
          <w:sz w:val="22"/>
        </w:rPr>
      </w:pPr>
    </w:p>
    <w:p w:rsidR="0051432B" w:rsidRPr="0051432B" w:rsidRDefault="0051432B" w:rsidP="00997D99">
      <w:pPr>
        <w:widowControl w:val="0"/>
        <w:ind w:left="720"/>
        <w:jc w:val="both"/>
        <w:rPr>
          <w:rFonts w:ascii="Arial" w:hAnsi="Arial" w:cs="Arial"/>
          <w:bCs/>
          <w:snapToGrid w:val="0"/>
          <w:sz w:val="22"/>
          <w:szCs w:val="20"/>
        </w:rPr>
      </w:pPr>
      <w:r w:rsidRPr="0051432B">
        <w:rPr>
          <w:rFonts w:ascii="Arial" w:hAnsi="Arial" w:cs="Arial"/>
          <w:bCs/>
          <w:snapToGrid w:val="0"/>
          <w:sz w:val="22"/>
          <w:szCs w:val="2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1432B" w:rsidRDefault="0051432B" w:rsidP="0051432B">
      <w:pPr>
        <w:ind w:left="426"/>
        <w:jc w:val="both"/>
        <w:rPr>
          <w:rFonts w:ascii="Arial" w:hAnsi="Arial" w:cs="Arial"/>
          <w:sz w:val="22"/>
        </w:rPr>
      </w:pPr>
    </w:p>
    <w:p w:rsidR="0051432B" w:rsidRPr="00C76276" w:rsidRDefault="0051432B" w:rsidP="00C76276">
      <w:pPr>
        <w:pStyle w:val="Heading1"/>
        <w:numPr>
          <w:ilvl w:val="0"/>
          <w:numId w:val="4"/>
        </w:numPr>
      </w:pPr>
      <w:r w:rsidRPr="00C76276">
        <w:t>Sponsor’s Comment</w:t>
      </w:r>
    </w:p>
    <w:p w:rsidR="0051432B" w:rsidRDefault="0051432B" w:rsidP="008A0965">
      <w:pPr>
        <w:widowControl w:val="0"/>
        <w:jc w:val="both"/>
        <w:rPr>
          <w:rFonts w:ascii="Arial" w:hAnsi="Arial" w:cs="Arial"/>
          <w:bCs/>
          <w:snapToGrid w:val="0"/>
          <w:sz w:val="22"/>
          <w:szCs w:val="20"/>
        </w:rPr>
      </w:pPr>
    </w:p>
    <w:p w:rsidR="0051432B" w:rsidRPr="0051432B" w:rsidRDefault="0051432B" w:rsidP="0051432B">
      <w:pPr>
        <w:widowControl w:val="0"/>
        <w:ind w:left="720"/>
        <w:jc w:val="both"/>
        <w:rPr>
          <w:rFonts w:ascii="Arial" w:hAnsi="Arial" w:cs="Arial"/>
          <w:bCs/>
          <w:snapToGrid w:val="0"/>
          <w:sz w:val="22"/>
          <w:szCs w:val="20"/>
        </w:rPr>
      </w:pPr>
      <w:r w:rsidRPr="0051432B">
        <w:rPr>
          <w:rFonts w:ascii="Arial" w:hAnsi="Arial" w:cs="Arial"/>
          <w:bCs/>
          <w:snapToGrid w:val="0"/>
          <w:sz w:val="22"/>
          <w:szCs w:val="20"/>
        </w:rPr>
        <w:t>The sponsor had no comment.</w:t>
      </w:r>
    </w:p>
    <w:sectPr w:rsidR="0051432B" w:rsidRPr="0051432B"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BAEAE6" w15:done="0"/>
  <w15:commentEx w15:paraId="665ED3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3A0" w:rsidRDefault="002333A0">
      <w:r>
        <w:separator/>
      </w:r>
    </w:p>
    <w:p w:rsidR="002333A0" w:rsidRDefault="002333A0"/>
  </w:endnote>
  <w:endnote w:type="continuationSeparator" w:id="0">
    <w:p w:rsidR="002333A0" w:rsidRDefault="002333A0">
      <w:r>
        <w:continuationSeparator/>
      </w:r>
    </w:p>
    <w:p w:rsidR="002333A0" w:rsidRDefault="00233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21EF8" w:rsidTr="005A3173">
      <w:trPr>
        <w:trHeight w:val="151"/>
      </w:trPr>
      <w:tc>
        <w:tcPr>
          <w:tcW w:w="2250" w:type="pct"/>
          <w:tcBorders>
            <w:top w:val="nil"/>
            <w:left w:val="nil"/>
            <w:bottom w:val="single" w:sz="4" w:space="0" w:color="4F81BD"/>
            <w:right w:val="nil"/>
          </w:tcBorders>
        </w:tcPr>
        <w:p w:rsidR="00721EF8" w:rsidRPr="005A3173" w:rsidRDefault="00721EF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21EF8" w:rsidRPr="005A3173" w:rsidRDefault="00721EF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21EF8" w:rsidRPr="005A3173" w:rsidRDefault="00721EF8" w:rsidP="005A3173">
          <w:pPr>
            <w:pStyle w:val="Header"/>
            <w:spacing w:line="276" w:lineRule="auto"/>
            <w:rPr>
              <w:rFonts w:ascii="Calibri" w:eastAsia="MS Gothic" w:hAnsi="Calibri"/>
              <w:b/>
              <w:bCs/>
              <w:color w:val="4F81BD"/>
            </w:rPr>
          </w:pPr>
        </w:p>
      </w:tc>
    </w:tr>
    <w:tr w:rsidR="00721EF8" w:rsidTr="005A3173">
      <w:trPr>
        <w:trHeight w:val="150"/>
      </w:trPr>
      <w:tc>
        <w:tcPr>
          <w:tcW w:w="2250" w:type="pct"/>
          <w:tcBorders>
            <w:top w:val="single" w:sz="4" w:space="0" w:color="4F81BD"/>
            <w:left w:val="nil"/>
            <w:bottom w:val="nil"/>
            <w:right w:val="nil"/>
          </w:tcBorders>
        </w:tcPr>
        <w:p w:rsidR="00721EF8" w:rsidRPr="005A3173" w:rsidRDefault="00721EF8" w:rsidP="005A3173">
          <w:pPr>
            <w:pStyle w:val="Header"/>
            <w:spacing w:line="276" w:lineRule="auto"/>
            <w:rPr>
              <w:rFonts w:ascii="Calibri" w:eastAsia="MS Gothic" w:hAnsi="Calibri"/>
              <w:b/>
              <w:bCs/>
              <w:color w:val="4F81BD"/>
            </w:rPr>
          </w:pPr>
        </w:p>
      </w:tc>
      <w:tc>
        <w:tcPr>
          <w:tcW w:w="0" w:type="auto"/>
          <w:vMerge/>
          <w:vAlign w:val="center"/>
          <w:hideMark/>
        </w:tcPr>
        <w:p w:rsidR="00721EF8" w:rsidRPr="005A3173" w:rsidRDefault="00721EF8" w:rsidP="005A3173">
          <w:pPr>
            <w:rPr>
              <w:rFonts w:ascii="Calibri" w:hAnsi="Calibri"/>
              <w:color w:val="365F91"/>
              <w:sz w:val="22"/>
              <w:szCs w:val="22"/>
            </w:rPr>
          </w:pPr>
        </w:p>
      </w:tc>
      <w:tc>
        <w:tcPr>
          <w:tcW w:w="2250" w:type="pct"/>
          <w:tcBorders>
            <w:top w:val="single" w:sz="4" w:space="0" w:color="4F81BD"/>
            <w:left w:val="nil"/>
            <w:bottom w:val="nil"/>
            <w:right w:val="nil"/>
          </w:tcBorders>
        </w:tcPr>
        <w:p w:rsidR="00721EF8" w:rsidRPr="005A3173" w:rsidRDefault="00721EF8" w:rsidP="005A3173">
          <w:pPr>
            <w:pStyle w:val="Header"/>
            <w:spacing w:line="276" w:lineRule="auto"/>
            <w:rPr>
              <w:rFonts w:ascii="Calibri" w:eastAsia="MS Gothic" w:hAnsi="Calibri"/>
              <w:b/>
              <w:bCs/>
              <w:color w:val="4F81BD"/>
            </w:rPr>
          </w:pPr>
        </w:p>
      </w:tc>
    </w:tr>
  </w:tbl>
  <w:p w:rsidR="00721EF8" w:rsidRDefault="00721EF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1EF8" w:rsidRDefault="00721EF8">
    <w:pPr>
      <w:pStyle w:val="Footer"/>
    </w:pPr>
  </w:p>
  <w:p w:rsidR="00721EF8" w:rsidRDefault="00721E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641398"/>
      <w:docPartObj>
        <w:docPartGallery w:val="Page Numbers (Bottom of Page)"/>
        <w:docPartUnique/>
      </w:docPartObj>
    </w:sdtPr>
    <w:sdtEndPr>
      <w:rPr>
        <w:rFonts w:ascii="Arial" w:hAnsi="Arial" w:cs="Arial"/>
        <w:noProof/>
      </w:rPr>
    </w:sdtEndPr>
    <w:sdtContent>
      <w:p w:rsidR="00721EF8" w:rsidRPr="00E2305D" w:rsidRDefault="00721EF8">
        <w:pPr>
          <w:pStyle w:val="Footer"/>
          <w:jc w:val="center"/>
          <w:rPr>
            <w:rFonts w:ascii="Arial" w:hAnsi="Arial" w:cs="Arial"/>
          </w:rPr>
        </w:pPr>
        <w:r w:rsidRPr="00E2305D">
          <w:rPr>
            <w:rFonts w:ascii="Arial" w:hAnsi="Arial" w:cs="Arial"/>
          </w:rPr>
          <w:fldChar w:fldCharType="begin"/>
        </w:r>
        <w:r w:rsidRPr="00E2305D">
          <w:rPr>
            <w:rFonts w:ascii="Arial" w:hAnsi="Arial" w:cs="Arial"/>
          </w:rPr>
          <w:instrText xml:space="preserve"> PAGE   \* MERGEFORMAT </w:instrText>
        </w:r>
        <w:r w:rsidRPr="00E2305D">
          <w:rPr>
            <w:rFonts w:ascii="Arial" w:hAnsi="Arial" w:cs="Arial"/>
          </w:rPr>
          <w:fldChar w:fldCharType="separate"/>
        </w:r>
        <w:r w:rsidR="00435BA8">
          <w:rPr>
            <w:rFonts w:ascii="Arial" w:hAnsi="Arial" w:cs="Arial"/>
            <w:noProof/>
          </w:rPr>
          <w:t>7</w:t>
        </w:r>
        <w:r w:rsidRPr="00E2305D">
          <w:rPr>
            <w:rFonts w:ascii="Arial" w:hAnsi="Arial" w:cs="Arial"/>
            <w:noProof/>
          </w:rPr>
          <w:fldChar w:fldCharType="end"/>
        </w:r>
      </w:p>
    </w:sdtContent>
  </w:sdt>
  <w:p w:rsidR="00721EF8" w:rsidRDefault="00721EF8"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721EF8" w:rsidTr="005A3173">
      <w:trPr>
        <w:trHeight w:val="151"/>
      </w:trPr>
      <w:tc>
        <w:tcPr>
          <w:tcW w:w="2250" w:type="pct"/>
          <w:tcBorders>
            <w:top w:val="nil"/>
            <w:left w:val="nil"/>
            <w:bottom w:val="single" w:sz="4" w:space="0" w:color="4F81BD"/>
            <w:right w:val="nil"/>
          </w:tcBorders>
        </w:tcPr>
        <w:p w:rsidR="00721EF8" w:rsidRPr="005A3173" w:rsidRDefault="00721EF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21EF8" w:rsidRPr="005A3173" w:rsidRDefault="00721EF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21EF8" w:rsidRPr="005A3173" w:rsidRDefault="00721EF8" w:rsidP="005A3173">
          <w:pPr>
            <w:pStyle w:val="Header"/>
            <w:spacing w:line="276" w:lineRule="auto"/>
            <w:rPr>
              <w:rFonts w:ascii="Calibri" w:eastAsia="MS Gothic" w:hAnsi="Calibri"/>
              <w:b/>
              <w:bCs/>
              <w:color w:val="4F81BD"/>
            </w:rPr>
          </w:pPr>
        </w:p>
      </w:tc>
    </w:tr>
    <w:tr w:rsidR="00721EF8" w:rsidTr="005A3173">
      <w:trPr>
        <w:trHeight w:val="150"/>
      </w:trPr>
      <w:tc>
        <w:tcPr>
          <w:tcW w:w="2250" w:type="pct"/>
          <w:tcBorders>
            <w:top w:val="single" w:sz="4" w:space="0" w:color="4F81BD"/>
            <w:left w:val="nil"/>
            <w:bottom w:val="nil"/>
            <w:right w:val="nil"/>
          </w:tcBorders>
        </w:tcPr>
        <w:p w:rsidR="00721EF8" w:rsidRPr="005A3173" w:rsidRDefault="00721EF8" w:rsidP="005A3173">
          <w:pPr>
            <w:pStyle w:val="Header"/>
            <w:spacing w:line="276" w:lineRule="auto"/>
            <w:rPr>
              <w:rFonts w:ascii="Calibri" w:eastAsia="MS Gothic" w:hAnsi="Calibri"/>
              <w:b/>
              <w:bCs/>
              <w:color w:val="4F81BD"/>
            </w:rPr>
          </w:pPr>
        </w:p>
      </w:tc>
      <w:tc>
        <w:tcPr>
          <w:tcW w:w="0" w:type="auto"/>
          <w:vMerge/>
          <w:vAlign w:val="center"/>
          <w:hideMark/>
        </w:tcPr>
        <w:p w:rsidR="00721EF8" w:rsidRPr="005A3173" w:rsidRDefault="00721EF8" w:rsidP="005A3173">
          <w:pPr>
            <w:rPr>
              <w:rFonts w:ascii="Calibri" w:hAnsi="Calibri"/>
              <w:color w:val="365F91"/>
              <w:sz w:val="22"/>
              <w:szCs w:val="22"/>
            </w:rPr>
          </w:pPr>
        </w:p>
      </w:tc>
      <w:tc>
        <w:tcPr>
          <w:tcW w:w="2250" w:type="pct"/>
          <w:tcBorders>
            <w:top w:val="single" w:sz="4" w:space="0" w:color="4F81BD"/>
            <w:left w:val="nil"/>
            <w:bottom w:val="nil"/>
            <w:right w:val="nil"/>
          </w:tcBorders>
        </w:tcPr>
        <w:p w:rsidR="00721EF8" w:rsidRPr="005A3173" w:rsidRDefault="00721EF8"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721EF8" w:rsidTr="005A3173">
      <w:trPr>
        <w:trHeight w:val="151"/>
      </w:trPr>
      <w:tc>
        <w:tcPr>
          <w:tcW w:w="2250" w:type="pct"/>
          <w:tcBorders>
            <w:top w:val="nil"/>
            <w:left w:val="nil"/>
            <w:bottom w:val="single" w:sz="4" w:space="0" w:color="4F81BD"/>
            <w:right w:val="nil"/>
          </w:tcBorders>
        </w:tcPr>
        <w:p w:rsidR="00721EF8" w:rsidRPr="005A3173" w:rsidRDefault="00721EF8" w:rsidP="005A3173">
          <w:pPr>
            <w:pStyle w:val="Header"/>
            <w:spacing w:line="276" w:lineRule="auto"/>
            <w:rPr>
              <w:rFonts w:ascii="Calibri" w:eastAsia="MS Gothic" w:hAnsi="Calibri"/>
              <w:b/>
              <w:bCs/>
              <w:color w:val="4F81BD"/>
            </w:rPr>
          </w:pPr>
        </w:p>
      </w:tc>
      <w:tc>
        <w:tcPr>
          <w:tcW w:w="500" w:type="pct"/>
          <w:vMerge w:val="restart"/>
          <w:noWrap/>
          <w:vAlign w:val="center"/>
          <w:hideMark/>
        </w:tcPr>
        <w:p w:rsidR="00721EF8" w:rsidRPr="005A3173" w:rsidRDefault="00721EF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721EF8" w:rsidRPr="005A3173" w:rsidRDefault="00721EF8" w:rsidP="005A3173">
          <w:pPr>
            <w:pStyle w:val="Header"/>
            <w:spacing w:line="276" w:lineRule="auto"/>
            <w:rPr>
              <w:rFonts w:ascii="Calibri" w:eastAsia="MS Gothic" w:hAnsi="Calibri"/>
              <w:b/>
              <w:bCs/>
              <w:color w:val="4F81BD"/>
            </w:rPr>
          </w:pPr>
        </w:p>
      </w:tc>
    </w:tr>
    <w:tr w:rsidR="00721EF8" w:rsidTr="005A3173">
      <w:trPr>
        <w:trHeight w:val="150"/>
      </w:trPr>
      <w:tc>
        <w:tcPr>
          <w:tcW w:w="2250" w:type="pct"/>
          <w:tcBorders>
            <w:top w:val="single" w:sz="4" w:space="0" w:color="4F81BD"/>
            <w:left w:val="nil"/>
            <w:bottom w:val="nil"/>
            <w:right w:val="nil"/>
          </w:tcBorders>
        </w:tcPr>
        <w:p w:rsidR="00721EF8" w:rsidRPr="005A3173" w:rsidRDefault="00721EF8" w:rsidP="005A3173">
          <w:pPr>
            <w:pStyle w:val="Header"/>
            <w:spacing w:line="276" w:lineRule="auto"/>
            <w:rPr>
              <w:rFonts w:ascii="Calibri" w:eastAsia="MS Gothic" w:hAnsi="Calibri"/>
              <w:b/>
              <w:bCs/>
              <w:color w:val="4F81BD"/>
            </w:rPr>
          </w:pPr>
        </w:p>
      </w:tc>
      <w:tc>
        <w:tcPr>
          <w:tcW w:w="0" w:type="auto"/>
          <w:vMerge/>
          <w:vAlign w:val="center"/>
          <w:hideMark/>
        </w:tcPr>
        <w:p w:rsidR="00721EF8" w:rsidRPr="005A3173" w:rsidRDefault="00721EF8" w:rsidP="005A3173">
          <w:pPr>
            <w:rPr>
              <w:rFonts w:ascii="Calibri" w:hAnsi="Calibri"/>
              <w:color w:val="365F91"/>
              <w:sz w:val="22"/>
              <w:szCs w:val="22"/>
            </w:rPr>
          </w:pPr>
        </w:p>
      </w:tc>
      <w:tc>
        <w:tcPr>
          <w:tcW w:w="2250" w:type="pct"/>
          <w:tcBorders>
            <w:top w:val="single" w:sz="4" w:space="0" w:color="4F81BD"/>
            <w:left w:val="nil"/>
            <w:bottom w:val="nil"/>
            <w:right w:val="nil"/>
          </w:tcBorders>
        </w:tcPr>
        <w:p w:rsidR="00721EF8" w:rsidRPr="005A3173" w:rsidRDefault="00721EF8" w:rsidP="005A3173">
          <w:pPr>
            <w:pStyle w:val="Header"/>
            <w:spacing w:line="276" w:lineRule="auto"/>
            <w:rPr>
              <w:rFonts w:ascii="Calibri" w:eastAsia="MS Gothic" w:hAnsi="Calibri"/>
              <w:b/>
              <w:bCs/>
              <w:color w:val="4F81BD"/>
            </w:rPr>
          </w:pPr>
        </w:p>
      </w:tc>
    </w:tr>
  </w:tbl>
  <w:p w:rsidR="00721EF8" w:rsidRPr="007C0F57" w:rsidRDefault="00721EF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721EF8" w:rsidRPr="007C0F57" w:rsidRDefault="00721EF8" w:rsidP="007C0F57">
    <w:pPr>
      <w:pStyle w:val="Footer"/>
      <w:jc w:val="center"/>
      <w:rPr>
        <w:b/>
        <w:i/>
        <w:sz w:val="20"/>
        <w:szCs w:val="20"/>
      </w:rPr>
    </w:pPr>
    <w:r w:rsidRPr="007C0F57">
      <w:rPr>
        <w:b/>
        <w:i/>
        <w:sz w:val="20"/>
        <w:szCs w:val="20"/>
      </w:rPr>
      <w:t>Commercial-in-Confidence</w:t>
    </w:r>
  </w:p>
  <w:p w:rsidR="00721EF8" w:rsidRDefault="00721E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3A0" w:rsidRDefault="002333A0">
      <w:r>
        <w:separator/>
      </w:r>
    </w:p>
    <w:p w:rsidR="002333A0" w:rsidRDefault="002333A0"/>
  </w:footnote>
  <w:footnote w:type="continuationSeparator" w:id="0">
    <w:p w:rsidR="002333A0" w:rsidRDefault="002333A0">
      <w:r>
        <w:continuationSeparator/>
      </w:r>
    </w:p>
    <w:p w:rsidR="002333A0" w:rsidRDefault="002333A0"/>
  </w:footnote>
  <w:footnote w:id="1">
    <w:p w:rsidR="00721EF8" w:rsidRPr="00CF0F83" w:rsidRDefault="00721EF8" w:rsidP="00B40E03">
      <w:pPr>
        <w:pStyle w:val="FootnoteText"/>
        <w:rPr>
          <w:sz w:val="18"/>
          <w:szCs w:val="18"/>
        </w:rPr>
      </w:pPr>
      <w:r w:rsidRPr="00CF0F83">
        <w:rPr>
          <w:rStyle w:val="FootnoteReference"/>
          <w:sz w:val="18"/>
          <w:szCs w:val="18"/>
        </w:rPr>
        <w:footnoteRef/>
      </w:r>
      <w:r w:rsidRPr="00CF0F83">
        <w:rPr>
          <w:sz w:val="18"/>
          <w:szCs w:val="18"/>
        </w:rPr>
        <w:t xml:space="preserve"> </w:t>
      </w:r>
      <w:r w:rsidRPr="00CF0F83">
        <w:rPr>
          <w:color w:val="222222"/>
          <w:sz w:val="18"/>
          <w:szCs w:val="18"/>
        </w:rPr>
        <w:t xml:space="preserve">Sourced online at </w:t>
      </w:r>
      <w:hyperlink r:id="rId1" w:history="1">
        <w:r w:rsidRPr="00CF0F83">
          <w:rPr>
            <w:rStyle w:val="Hyperlink"/>
            <w:sz w:val="18"/>
            <w:szCs w:val="18"/>
          </w:rPr>
          <w:t>http://medicarestatistics.humanservices.gov.au/statistics/pbs_item.jsp</w:t>
        </w:r>
      </w:hyperlink>
      <w:r w:rsidRPr="00CF0F83">
        <w:rPr>
          <w:color w:val="222222"/>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721EF8" w:rsidRPr="008E0D90" w:rsidTr="00A06225">
      <w:trPr>
        <w:trHeight w:val="151"/>
      </w:trPr>
      <w:tc>
        <w:tcPr>
          <w:tcW w:w="2389" w:type="pct"/>
          <w:tcBorders>
            <w:top w:val="nil"/>
            <w:left w:val="nil"/>
            <w:bottom w:val="single" w:sz="4" w:space="0" w:color="4F81BD"/>
            <w:right w:val="nil"/>
          </w:tcBorders>
        </w:tcPr>
        <w:p w:rsidR="00721EF8" w:rsidRPr="00A06225" w:rsidRDefault="00721EF8">
          <w:pPr>
            <w:pStyle w:val="Header"/>
            <w:spacing w:line="276" w:lineRule="auto"/>
            <w:rPr>
              <w:rFonts w:ascii="Cambria" w:eastAsia="MS Gothic" w:hAnsi="Cambria"/>
              <w:b/>
              <w:bCs/>
              <w:color w:val="4F81BD"/>
            </w:rPr>
          </w:pPr>
        </w:p>
      </w:tc>
      <w:tc>
        <w:tcPr>
          <w:tcW w:w="333" w:type="pct"/>
          <w:vMerge w:val="restart"/>
          <w:noWrap/>
          <w:vAlign w:val="center"/>
          <w:hideMark/>
        </w:tcPr>
        <w:p w:rsidR="00721EF8" w:rsidRPr="00A06225" w:rsidRDefault="00721EF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721EF8" w:rsidRPr="00A06225" w:rsidRDefault="00721EF8">
          <w:pPr>
            <w:pStyle w:val="Header"/>
            <w:spacing w:line="276" w:lineRule="auto"/>
            <w:rPr>
              <w:rFonts w:ascii="Cambria" w:eastAsia="MS Gothic" w:hAnsi="Cambria"/>
              <w:b/>
              <w:bCs/>
              <w:color w:val="4F81BD"/>
            </w:rPr>
          </w:pPr>
        </w:p>
      </w:tc>
    </w:tr>
    <w:tr w:rsidR="00721EF8" w:rsidRPr="008E0D90" w:rsidTr="00A06225">
      <w:trPr>
        <w:trHeight w:val="150"/>
      </w:trPr>
      <w:tc>
        <w:tcPr>
          <w:tcW w:w="2389" w:type="pct"/>
          <w:tcBorders>
            <w:top w:val="single" w:sz="4" w:space="0" w:color="4F81BD"/>
            <w:left w:val="nil"/>
            <w:bottom w:val="nil"/>
            <w:right w:val="nil"/>
          </w:tcBorders>
        </w:tcPr>
        <w:p w:rsidR="00721EF8" w:rsidRPr="00A06225" w:rsidRDefault="00721EF8">
          <w:pPr>
            <w:pStyle w:val="Header"/>
            <w:spacing w:line="276" w:lineRule="auto"/>
            <w:rPr>
              <w:rFonts w:ascii="Cambria" w:eastAsia="MS Gothic" w:hAnsi="Cambria"/>
              <w:b/>
              <w:bCs/>
              <w:color w:val="4F81BD"/>
            </w:rPr>
          </w:pPr>
        </w:p>
      </w:tc>
      <w:tc>
        <w:tcPr>
          <w:tcW w:w="0" w:type="auto"/>
          <w:vMerge/>
          <w:vAlign w:val="center"/>
          <w:hideMark/>
        </w:tcPr>
        <w:p w:rsidR="00721EF8" w:rsidRPr="00A06225" w:rsidRDefault="00721EF8">
          <w:pPr>
            <w:rPr>
              <w:rFonts w:ascii="Cambria" w:hAnsi="Cambria"/>
              <w:color w:val="4F81BD"/>
              <w:sz w:val="22"/>
              <w:szCs w:val="22"/>
            </w:rPr>
          </w:pPr>
        </w:p>
      </w:tc>
      <w:tc>
        <w:tcPr>
          <w:tcW w:w="2278" w:type="pct"/>
          <w:tcBorders>
            <w:top w:val="single" w:sz="4" w:space="0" w:color="4F81BD"/>
            <w:left w:val="nil"/>
            <w:bottom w:val="nil"/>
            <w:right w:val="nil"/>
          </w:tcBorders>
        </w:tcPr>
        <w:p w:rsidR="00721EF8" w:rsidRPr="00A06225" w:rsidRDefault="00721EF8">
          <w:pPr>
            <w:pStyle w:val="Header"/>
            <w:spacing w:line="276" w:lineRule="auto"/>
            <w:rPr>
              <w:rFonts w:ascii="Cambria" w:eastAsia="MS Gothic" w:hAnsi="Cambria"/>
              <w:b/>
              <w:bCs/>
              <w:color w:val="4F81BD"/>
            </w:rPr>
          </w:pPr>
        </w:p>
      </w:tc>
    </w:tr>
  </w:tbl>
  <w:p w:rsidR="00721EF8" w:rsidRDefault="00721EF8">
    <w:pPr>
      <w:pStyle w:val="Header"/>
    </w:pPr>
  </w:p>
  <w:p w:rsidR="00721EF8" w:rsidRDefault="00721E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F8" w:rsidRPr="00DF217D" w:rsidRDefault="0051432B" w:rsidP="00E2305D">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00721EF8" w:rsidRPr="00DF217D">
      <w:rPr>
        <w:rFonts w:ascii="Arial" w:hAnsi="Arial" w:cs="Arial"/>
        <w:i/>
        <w:color w:val="808080"/>
        <w:sz w:val="22"/>
      </w:rPr>
      <w:t xml:space="preserve">– </w:t>
    </w:r>
    <w:r w:rsidR="00721EF8">
      <w:rPr>
        <w:rFonts w:ascii="Arial" w:hAnsi="Arial" w:cs="Arial"/>
        <w:i/>
        <w:color w:val="808080"/>
        <w:sz w:val="22"/>
      </w:rPr>
      <w:t xml:space="preserve">July 2016 </w:t>
    </w:r>
    <w:r w:rsidR="00721EF8" w:rsidRPr="00DF217D">
      <w:rPr>
        <w:rFonts w:ascii="Arial" w:hAnsi="Arial" w:cs="Arial"/>
        <w:i/>
        <w:color w:val="808080"/>
        <w:sz w:val="22"/>
      </w:rPr>
      <w:t>PBAC</w:t>
    </w:r>
    <w:r w:rsidR="00721EF8">
      <w:rPr>
        <w:rFonts w:ascii="Arial" w:hAnsi="Arial" w:cs="Arial"/>
        <w:i/>
        <w:color w:val="808080"/>
        <w:sz w:val="22"/>
      </w:rPr>
      <w:t xml:space="preserve"> </w:t>
    </w:r>
    <w:r w:rsidR="00721EF8" w:rsidRPr="00DF217D">
      <w:rPr>
        <w:rFonts w:ascii="Arial" w:hAnsi="Arial" w:cs="Arial"/>
        <w:i/>
        <w:color w:val="808080"/>
        <w:sz w:val="22"/>
      </w:rPr>
      <w:t>Meeting</w:t>
    </w:r>
  </w:p>
  <w:p w:rsidR="00721EF8" w:rsidRDefault="00721EF8"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B4C7367"/>
    <w:multiLevelType w:val="hybridMultilevel"/>
    <w:tmpl w:val="0A326764"/>
    <w:lvl w:ilvl="0" w:tplc="FEE4013A">
      <w:start w:val="1"/>
      <w:numFmt w:val="bullet"/>
      <w:lvlText w:val="−"/>
      <w:lvlJc w:val="left"/>
      <w:pPr>
        <w:ind w:left="1429" w:hanging="360"/>
      </w:pPr>
      <w:rPr>
        <w:rFonts w:ascii="Arial" w:hAnsi="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396A6C"/>
    <w:multiLevelType w:val="hybridMultilevel"/>
    <w:tmpl w:val="1C9C0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3E1B94"/>
    <w:multiLevelType w:val="hybridMultilevel"/>
    <w:tmpl w:val="55261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62030E"/>
    <w:multiLevelType w:val="hybridMultilevel"/>
    <w:tmpl w:val="AE3EF602"/>
    <w:lvl w:ilvl="0" w:tplc="4E3002CA">
      <w:start w:val="1"/>
      <w:numFmt w:val="decimal"/>
      <w:lvlText w:val="%1."/>
      <w:lvlJc w:val="left"/>
      <w:pPr>
        <w:ind w:left="720" w:hanging="360"/>
      </w:pPr>
      <w:rPr>
        <w:rFonts w:ascii="Times New Roman" w:hAnsi="Times New Roman" w:cs="Times New Roman"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174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84D033C"/>
    <w:multiLevelType w:val="multilevel"/>
    <w:tmpl w:val="9E3E602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5"/>
  </w:num>
  <w:num w:numId="4">
    <w:abstractNumId w:val="13"/>
  </w:num>
  <w:num w:numId="5">
    <w:abstractNumId w:val="1"/>
  </w:num>
  <w:num w:numId="6">
    <w:abstractNumId w:val="0"/>
  </w:num>
  <w:num w:numId="7">
    <w:abstractNumId w:val="9"/>
  </w:num>
  <w:num w:numId="8">
    <w:abstractNumId w:val="11"/>
  </w:num>
  <w:num w:numId="9">
    <w:abstractNumId w:val="6"/>
  </w:num>
  <w:num w:numId="10">
    <w:abstractNumId w:val="10"/>
  </w:num>
  <w:num w:numId="11">
    <w:abstractNumId w:val="4"/>
  </w:num>
  <w:num w:numId="12">
    <w:abstractNumId w:val="2"/>
  </w:num>
  <w:num w:numId="13">
    <w:abstractNumId w:val="8"/>
  </w:num>
  <w:num w:numId="14">
    <w:abstractNumId w:val="12"/>
  </w:num>
  <w:num w:numId="15">
    <w:abstractNumId w:val="0"/>
  </w:num>
  <w:num w:numId="16">
    <w:abstractNumId w:val="0"/>
  </w:num>
  <w:num w:numId="17">
    <w:abstractNumId w:val="0"/>
  </w:num>
  <w:num w:numId="18">
    <w:abstractNumId w:val="0"/>
  </w:num>
  <w:num w:numId="19">
    <w:abstractNumId w:val="0"/>
  </w:num>
  <w:numIdMacAtCleanup w:val="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Craig">
    <w15:presenceInfo w15:providerId="None" w15:userId="Jonathan Crai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946"/>
    <w:rsid w:val="000131D7"/>
    <w:rsid w:val="0002464A"/>
    <w:rsid w:val="0003106B"/>
    <w:rsid w:val="0004059D"/>
    <w:rsid w:val="000421A1"/>
    <w:rsid w:val="0004240E"/>
    <w:rsid w:val="00045E26"/>
    <w:rsid w:val="00050839"/>
    <w:rsid w:val="000514B5"/>
    <w:rsid w:val="00060E64"/>
    <w:rsid w:val="00065DB1"/>
    <w:rsid w:val="00066755"/>
    <w:rsid w:val="00067B35"/>
    <w:rsid w:val="00077143"/>
    <w:rsid w:val="00080751"/>
    <w:rsid w:val="000969AD"/>
    <w:rsid w:val="000A0866"/>
    <w:rsid w:val="000B0A82"/>
    <w:rsid w:val="000B1BA8"/>
    <w:rsid w:val="000B558D"/>
    <w:rsid w:val="000C6996"/>
    <w:rsid w:val="000D23BA"/>
    <w:rsid w:val="000E63AC"/>
    <w:rsid w:val="000E681E"/>
    <w:rsid w:val="000F4E6A"/>
    <w:rsid w:val="00105522"/>
    <w:rsid w:val="001107BF"/>
    <w:rsid w:val="00117806"/>
    <w:rsid w:val="00122F05"/>
    <w:rsid w:val="0012417C"/>
    <w:rsid w:val="00142395"/>
    <w:rsid w:val="00142714"/>
    <w:rsid w:val="001452ED"/>
    <w:rsid w:val="00154755"/>
    <w:rsid w:val="00182BB2"/>
    <w:rsid w:val="001830CE"/>
    <w:rsid w:val="0018643B"/>
    <w:rsid w:val="00196307"/>
    <w:rsid w:val="001A2E81"/>
    <w:rsid w:val="001B017F"/>
    <w:rsid w:val="001B5129"/>
    <w:rsid w:val="001C1195"/>
    <w:rsid w:val="001C6C8E"/>
    <w:rsid w:val="001D3B11"/>
    <w:rsid w:val="001E5C58"/>
    <w:rsid w:val="001F5510"/>
    <w:rsid w:val="00213CFB"/>
    <w:rsid w:val="002333A0"/>
    <w:rsid w:val="00271BA1"/>
    <w:rsid w:val="00277505"/>
    <w:rsid w:val="0029397C"/>
    <w:rsid w:val="0029458F"/>
    <w:rsid w:val="002A104C"/>
    <w:rsid w:val="002A3AC0"/>
    <w:rsid w:val="002A4960"/>
    <w:rsid w:val="002B1AE6"/>
    <w:rsid w:val="002B30F8"/>
    <w:rsid w:val="002C212F"/>
    <w:rsid w:val="002C3416"/>
    <w:rsid w:val="002D0266"/>
    <w:rsid w:val="002D4785"/>
    <w:rsid w:val="002E3153"/>
    <w:rsid w:val="002E72CA"/>
    <w:rsid w:val="00305DB7"/>
    <w:rsid w:val="00325457"/>
    <w:rsid w:val="00326E79"/>
    <w:rsid w:val="00333072"/>
    <w:rsid w:val="003367EF"/>
    <w:rsid w:val="00341AE4"/>
    <w:rsid w:val="0034681B"/>
    <w:rsid w:val="00365243"/>
    <w:rsid w:val="003872CF"/>
    <w:rsid w:val="0039782C"/>
    <w:rsid w:val="003A5B4A"/>
    <w:rsid w:val="003B23C5"/>
    <w:rsid w:val="003B2A75"/>
    <w:rsid w:val="003D4AC4"/>
    <w:rsid w:val="003D63B7"/>
    <w:rsid w:val="003E468B"/>
    <w:rsid w:val="003F5C8C"/>
    <w:rsid w:val="0042127A"/>
    <w:rsid w:val="00435BA8"/>
    <w:rsid w:val="00437837"/>
    <w:rsid w:val="00437D5F"/>
    <w:rsid w:val="004465BD"/>
    <w:rsid w:val="00453CAE"/>
    <w:rsid w:val="00466ADA"/>
    <w:rsid w:val="00476245"/>
    <w:rsid w:val="00485940"/>
    <w:rsid w:val="004A2484"/>
    <w:rsid w:val="004A5A85"/>
    <w:rsid w:val="004B5640"/>
    <w:rsid w:val="004C1BD7"/>
    <w:rsid w:val="004C6805"/>
    <w:rsid w:val="004C691D"/>
    <w:rsid w:val="004D5ABE"/>
    <w:rsid w:val="004E3696"/>
    <w:rsid w:val="004E692D"/>
    <w:rsid w:val="00501554"/>
    <w:rsid w:val="0050324B"/>
    <w:rsid w:val="005077EE"/>
    <w:rsid w:val="0051432B"/>
    <w:rsid w:val="00514CD7"/>
    <w:rsid w:val="00515DEF"/>
    <w:rsid w:val="005209F3"/>
    <w:rsid w:val="005319B2"/>
    <w:rsid w:val="00532C74"/>
    <w:rsid w:val="00534E2E"/>
    <w:rsid w:val="00544552"/>
    <w:rsid w:val="00554BB2"/>
    <w:rsid w:val="00561281"/>
    <w:rsid w:val="00581932"/>
    <w:rsid w:val="005963BB"/>
    <w:rsid w:val="005A3173"/>
    <w:rsid w:val="005A3223"/>
    <w:rsid w:val="005A3DA3"/>
    <w:rsid w:val="005A52C4"/>
    <w:rsid w:val="005D03AB"/>
    <w:rsid w:val="005D0A9F"/>
    <w:rsid w:val="005D5017"/>
    <w:rsid w:val="00601A91"/>
    <w:rsid w:val="00602BA3"/>
    <w:rsid w:val="00614159"/>
    <w:rsid w:val="00617C00"/>
    <w:rsid w:val="006263BF"/>
    <w:rsid w:val="0062748A"/>
    <w:rsid w:val="00630A2C"/>
    <w:rsid w:val="00651169"/>
    <w:rsid w:val="00653D69"/>
    <w:rsid w:val="00654271"/>
    <w:rsid w:val="00670A76"/>
    <w:rsid w:val="006711AA"/>
    <w:rsid w:val="00672B57"/>
    <w:rsid w:val="00675622"/>
    <w:rsid w:val="006906DB"/>
    <w:rsid w:val="00690AEE"/>
    <w:rsid w:val="006A12A5"/>
    <w:rsid w:val="006A4555"/>
    <w:rsid w:val="006B0D94"/>
    <w:rsid w:val="006B485D"/>
    <w:rsid w:val="006C708E"/>
    <w:rsid w:val="006D4E2A"/>
    <w:rsid w:val="006D6EC7"/>
    <w:rsid w:val="006F5125"/>
    <w:rsid w:val="00705C55"/>
    <w:rsid w:val="007155AF"/>
    <w:rsid w:val="007174BB"/>
    <w:rsid w:val="00721EF8"/>
    <w:rsid w:val="007519CE"/>
    <w:rsid w:val="00751DE7"/>
    <w:rsid w:val="007536A8"/>
    <w:rsid w:val="0076420C"/>
    <w:rsid w:val="007753C2"/>
    <w:rsid w:val="0078192E"/>
    <w:rsid w:val="007838B8"/>
    <w:rsid w:val="007C0F57"/>
    <w:rsid w:val="007C1F97"/>
    <w:rsid w:val="007C40B6"/>
    <w:rsid w:val="007C433D"/>
    <w:rsid w:val="007C4545"/>
    <w:rsid w:val="007C729F"/>
    <w:rsid w:val="007D4D1D"/>
    <w:rsid w:val="007E1D28"/>
    <w:rsid w:val="007E6B02"/>
    <w:rsid w:val="007F2641"/>
    <w:rsid w:val="007F7C36"/>
    <w:rsid w:val="00806796"/>
    <w:rsid w:val="008151D6"/>
    <w:rsid w:val="00826F6D"/>
    <w:rsid w:val="00844EB3"/>
    <w:rsid w:val="00856DDD"/>
    <w:rsid w:val="00863E68"/>
    <w:rsid w:val="0088199D"/>
    <w:rsid w:val="00882085"/>
    <w:rsid w:val="00883188"/>
    <w:rsid w:val="00897D58"/>
    <w:rsid w:val="008A0965"/>
    <w:rsid w:val="008A1956"/>
    <w:rsid w:val="008A37AD"/>
    <w:rsid w:val="008A4937"/>
    <w:rsid w:val="008D1B5C"/>
    <w:rsid w:val="008D3C82"/>
    <w:rsid w:val="008D447E"/>
    <w:rsid w:val="008D7A41"/>
    <w:rsid w:val="008E3680"/>
    <w:rsid w:val="008E5870"/>
    <w:rsid w:val="008F1434"/>
    <w:rsid w:val="008F7355"/>
    <w:rsid w:val="009067B7"/>
    <w:rsid w:val="00920E36"/>
    <w:rsid w:val="00930937"/>
    <w:rsid w:val="00933E6C"/>
    <w:rsid w:val="00934756"/>
    <w:rsid w:val="009347D0"/>
    <w:rsid w:val="00934F14"/>
    <w:rsid w:val="00936331"/>
    <w:rsid w:val="00942160"/>
    <w:rsid w:val="009531ED"/>
    <w:rsid w:val="00953B21"/>
    <w:rsid w:val="009542AC"/>
    <w:rsid w:val="0096011B"/>
    <w:rsid w:val="009602C5"/>
    <w:rsid w:val="0096514A"/>
    <w:rsid w:val="00966FC4"/>
    <w:rsid w:val="00974C21"/>
    <w:rsid w:val="00976CEB"/>
    <w:rsid w:val="00997D99"/>
    <w:rsid w:val="009B0F67"/>
    <w:rsid w:val="009B43FB"/>
    <w:rsid w:val="009C1E6C"/>
    <w:rsid w:val="009C703C"/>
    <w:rsid w:val="009D3CAA"/>
    <w:rsid w:val="009F4B47"/>
    <w:rsid w:val="009F4E46"/>
    <w:rsid w:val="009F5B65"/>
    <w:rsid w:val="009F5F2E"/>
    <w:rsid w:val="00A06225"/>
    <w:rsid w:val="00A128E6"/>
    <w:rsid w:val="00A13029"/>
    <w:rsid w:val="00A14192"/>
    <w:rsid w:val="00A37C8D"/>
    <w:rsid w:val="00A5273B"/>
    <w:rsid w:val="00A52955"/>
    <w:rsid w:val="00A53A9D"/>
    <w:rsid w:val="00A55FEE"/>
    <w:rsid w:val="00A62C1A"/>
    <w:rsid w:val="00A6426D"/>
    <w:rsid w:val="00A70622"/>
    <w:rsid w:val="00A70977"/>
    <w:rsid w:val="00A751F6"/>
    <w:rsid w:val="00A778DE"/>
    <w:rsid w:val="00A8107F"/>
    <w:rsid w:val="00A8390C"/>
    <w:rsid w:val="00A928BD"/>
    <w:rsid w:val="00AA4D1C"/>
    <w:rsid w:val="00AB2FD3"/>
    <w:rsid w:val="00AB45C5"/>
    <w:rsid w:val="00AB772C"/>
    <w:rsid w:val="00AC193C"/>
    <w:rsid w:val="00AC32A9"/>
    <w:rsid w:val="00AC5206"/>
    <w:rsid w:val="00AE11A5"/>
    <w:rsid w:val="00AE13E2"/>
    <w:rsid w:val="00AE7291"/>
    <w:rsid w:val="00AF68CC"/>
    <w:rsid w:val="00B018CD"/>
    <w:rsid w:val="00B1059E"/>
    <w:rsid w:val="00B205AA"/>
    <w:rsid w:val="00B22E84"/>
    <w:rsid w:val="00B25F75"/>
    <w:rsid w:val="00B40E03"/>
    <w:rsid w:val="00B43E90"/>
    <w:rsid w:val="00B467DC"/>
    <w:rsid w:val="00B56118"/>
    <w:rsid w:val="00B6773F"/>
    <w:rsid w:val="00B801BA"/>
    <w:rsid w:val="00BA33F0"/>
    <w:rsid w:val="00BA596E"/>
    <w:rsid w:val="00BB4DC7"/>
    <w:rsid w:val="00BB69F5"/>
    <w:rsid w:val="00BB7EC3"/>
    <w:rsid w:val="00BC4B9A"/>
    <w:rsid w:val="00BD4F79"/>
    <w:rsid w:val="00BD784C"/>
    <w:rsid w:val="00BF4CB6"/>
    <w:rsid w:val="00BF59D8"/>
    <w:rsid w:val="00C00DA7"/>
    <w:rsid w:val="00C01320"/>
    <w:rsid w:val="00C03259"/>
    <w:rsid w:val="00C10A90"/>
    <w:rsid w:val="00C12768"/>
    <w:rsid w:val="00C1622A"/>
    <w:rsid w:val="00C27B58"/>
    <w:rsid w:val="00C35996"/>
    <w:rsid w:val="00C5342C"/>
    <w:rsid w:val="00C603D4"/>
    <w:rsid w:val="00C6256A"/>
    <w:rsid w:val="00C76276"/>
    <w:rsid w:val="00C91449"/>
    <w:rsid w:val="00C92D10"/>
    <w:rsid w:val="00CA1EE3"/>
    <w:rsid w:val="00CA4291"/>
    <w:rsid w:val="00CA60F1"/>
    <w:rsid w:val="00CA63F1"/>
    <w:rsid w:val="00CD45F0"/>
    <w:rsid w:val="00CE10C4"/>
    <w:rsid w:val="00CE27B5"/>
    <w:rsid w:val="00CF0F83"/>
    <w:rsid w:val="00CF51FA"/>
    <w:rsid w:val="00D0321E"/>
    <w:rsid w:val="00D055B8"/>
    <w:rsid w:val="00D1455A"/>
    <w:rsid w:val="00D22336"/>
    <w:rsid w:val="00D24FA2"/>
    <w:rsid w:val="00D3138B"/>
    <w:rsid w:val="00D3280C"/>
    <w:rsid w:val="00D3406A"/>
    <w:rsid w:val="00D4055D"/>
    <w:rsid w:val="00D469B2"/>
    <w:rsid w:val="00D63ED1"/>
    <w:rsid w:val="00D741EB"/>
    <w:rsid w:val="00D84934"/>
    <w:rsid w:val="00D8641D"/>
    <w:rsid w:val="00D91271"/>
    <w:rsid w:val="00DA2CB5"/>
    <w:rsid w:val="00DA4BAC"/>
    <w:rsid w:val="00DC6224"/>
    <w:rsid w:val="00DD4376"/>
    <w:rsid w:val="00DE6D27"/>
    <w:rsid w:val="00DF217D"/>
    <w:rsid w:val="00DF26A7"/>
    <w:rsid w:val="00DF5E88"/>
    <w:rsid w:val="00E164B3"/>
    <w:rsid w:val="00E16910"/>
    <w:rsid w:val="00E2305D"/>
    <w:rsid w:val="00E613E1"/>
    <w:rsid w:val="00E65E54"/>
    <w:rsid w:val="00E80155"/>
    <w:rsid w:val="00E8345E"/>
    <w:rsid w:val="00E848C0"/>
    <w:rsid w:val="00E85EAA"/>
    <w:rsid w:val="00E91B96"/>
    <w:rsid w:val="00E941A1"/>
    <w:rsid w:val="00E95CE3"/>
    <w:rsid w:val="00EA2825"/>
    <w:rsid w:val="00EB5088"/>
    <w:rsid w:val="00EC1EE9"/>
    <w:rsid w:val="00ED00CD"/>
    <w:rsid w:val="00ED1644"/>
    <w:rsid w:val="00ED1C68"/>
    <w:rsid w:val="00ED2593"/>
    <w:rsid w:val="00ED2E19"/>
    <w:rsid w:val="00EF44A0"/>
    <w:rsid w:val="00EF4FED"/>
    <w:rsid w:val="00EF729D"/>
    <w:rsid w:val="00F050BD"/>
    <w:rsid w:val="00F05657"/>
    <w:rsid w:val="00F10091"/>
    <w:rsid w:val="00F228F1"/>
    <w:rsid w:val="00F25578"/>
    <w:rsid w:val="00F258E5"/>
    <w:rsid w:val="00F300BC"/>
    <w:rsid w:val="00F3334E"/>
    <w:rsid w:val="00F462AC"/>
    <w:rsid w:val="00F50EC4"/>
    <w:rsid w:val="00F57A6D"/>
    <w:rsid w:val="00F638CC"/>
    <w:rsid w:val="00F64CC1"/>
    <w:rsid w:val="00F721AE"/>
    <w:rsid w:val="00F758DC"/>
    <w:rsid w:val="00F8172F"/>
    <w:rsid w:val="00F8247A"/>
    <w:rsid w:val="00F82A40"/>
    <w:rsid w:val="00F871ED"/>
    <w:rsid w:val="00F9629A"/>
    <w:rsid w:val="00FA5883"/>
    <w:rsid w:val="00FA6055"/>
    <w:rsid w:val="00FB322F"/>
    <w:rsid w:val="00FB442F"/>
    <w:rsid w:val="00FC1929"/>
    <w:rsid w:val="00FC4E66"/>
    <w:rsid w:val="00FC5B46"/>
    <w:rsid w:val="00FC6DD2"/>
    <w:rsid w:val="00FD33C4"/>
    <w:rsid w:val="00FD5CA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iPriority="11" w:unhideWhenUsed="0" w:qFormat="1"/>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6"/>
      </w:numPr>
      <w:jc w:val="both"/>
      <w:outlineLvl w:val="0"/>
    </w:pPr>
    <w:rPr>
      <w:rFonts w:ascii="Arial" w:hAnsi="Arial"/>
      <w:b/>
      <w:sz w:val="22"/>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5"/>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sz w:val="24"/>
      <w:szCs w:val="24"/>
    </w:rPr>
  </w:style>
  <w:style w:type="paragraph" w:customStyle="1" w:styleId="PBACHeading1">
    <w:name w:val="PBAC Heading 1"/>
    <w:qFormat/>
    <w:rsid w:val="00844EB3"/>
    <w:pPr>
      <w:ind w:left="720" w:hanging="720"/>
    </w:pPr>
    <w:rPr>
      <w:rFonts w:ascii="Arial" w:hAnsi="Arial" w:cs="Arial"/>
      <w:b/>
      <w:snapToGrid w:val="0"/>
      <w:sz w:val="22"/>
      <w:szCs w:val="22"/>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
    <w:basedOn w:val="Normal"/>
    <w:next w:val="Normal"/>
    <w:link w:val="CaptionChar1"/>
    <w:qFormat/>
    <w:rsid w:val="00B40E03"/>
    <w:pPr>
      <w:tabs>
        <w:tab w:val="left" w:pos="1418"/>
      </w:tabs>
      <w:spacing w:before="240"/>
      <w:ind w:left="1418" w:hanging="1418"/>
    </w:pPr>
    <w:rPr>
      <w:rFonts w:ascii="Arial" w:hAnsi="Arial" w:cs="Arial"/>
      <w:b/>
      <w:sz w:val="20"/>
      <w:szCs w:val="20"/>
      <w:lang w:eastAsia="zh-CN"/>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rsid w:val="00B40E03"/>
    <w:rPr>
      <w:rFonts w:ascii="Arial" w:hAnsi="Arial" w:cs="Arial"/>
      <w:b/>
      <w:lang w:eastAsia="zh-CN"/>
    </w:rPr>
  </w:style>
  <w:style w:type="paragraph" w:styleId="FootnoteText">
    <w:name w:val="footnote text"/>
    <w:basedOn w:val="Normal"/>
    <w:link w:val="FootnoteTextChar"/>
    <w:rsid w:val="00B40E03"/>
    <w:pPr>
      <w:spacing w:line="360" w:lineRule="auto"/>
    </w:pPr>
    <w:rPr>
      <w:rFonts w:ascii="Arial" w:eastAsia="Batang" w:hAnsi="Arial" w:cs="Arial"/>
      <w:sz w:val="20"/>
      <w:szCs w:val="20"/>
      <w:lang w:eastAsia="ko-KR"/>
    </w:rPr>
  </w:style>
  <w:style w:type="character" w:customStyle="1" w:styleId="FootnoteTextChar">
    <w:name w:val="Footnote Text Char"/>
    <w:basedOn w:val="DefaultParagraphFont"/>
    <w:link w:val="FootnoteText"/>
    <w:rsid w:val="00B40E03"/>
    <w:rPr>
      <w:rFonts w:ascii="Arial" w:eastAsia="Batang" w:hAnsi="Arial" w:cs="Arial"/>
      <w:lang w:eastAsia="ko-KR"/>
    </w:rPr>
  </w:style>
  <w:style w:type="character" w:styleId="FootnoteReference">
    <w:name w:val="footnote reference"/>
    <w:basedOn w:val="DefaultParagraphFont"/>
    <w:rsid w:val="00B40E03"/>
    <w:rPr>
      <w:vertAlign w:val="superscript"/>
    </w:rPr>
  </w:style>
  <w:style w:type="character" w:styleId="IntenseReference">
    <w:name w:val="Intense Reference"/>
    <w:basedOn w:val="DefaultParagraphFont"/>
    <w:uiPriority w:val="32"/>
    <w:rsid w:val="00E2305D"/>
    <w:rPr>
      <w:b/>
      <w:bCs/>
      <w:smallCaps/>
      <w:color w:val="C0504D" w:themeColor="accent2"/>
      <w:spacing w:val="5"/>
      <w:u w:val="single"/>
    </w:rPr>
  </w:style>
  <w:style w:type="character" w:styleId="Emphasis">
    <w:name w:val="Emphasis"/>
    <w:basedOn w:val="DefaultParagraphFont"/>
    <w:qFormat/>
    <w:rsid w:val="00435B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qFormat="1"/>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iPriority="11" w:unhideWhenUsed="0" w:qFormat="1"/>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6"/>
      </w:numPr>
      <w:jc w:val="both"/>
      <w:outlineLvl w:val="0"/>
    </w:pPr>
    <w:rPr>
      <w:rFonts w:ascii="Arial" w:hAnsi="Arial"/>
      <w:b/>
      <w:sz w:val="22"/>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5"/>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077143"/>
    <w:rPr>
      <w:sz w:val="24"/>
      <w:szCs w:val="24"/>
    </w:rPr>
  </w:style>
  <w:style w:type="paragraph" w:customStyle="1" w:styleId="PBACHeading1">
    <w:name w:val="PBAC Heading 1"/>
    <w:qFormat/>
    <w:rsid w:val="00844EB3"/>
    <w:pPr>
      <w:ind w:left="720" w:hanging="720"/>
    </w:pPr>
    <w:rPr>
      <w:rFonts w:ascii="Arial" w:hAnsi="Arial" w:cs="Arial"/>
      <w:b/>
      <w:snapToGrid w:val="0"/>
      <w:sz w:val="22"/>
      <w:szCs w:val="22"/>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
    <w:basedOn w:val="Normal"/>
    <w:next w:val="Normal"/>
    <w:link w:val="CaptionChar1"/>
    <w:qFormat/>
    <w:rsid w:val="00B40E03"/>
    <w:pPr>
      <w:tabs>
        <w:tab w:val="left" w:pos="1418"/>
      </w:tabs>
      <w:spacing w:before="240"/>
      <w:ind w:left="1418" w:hanging="1418"/>
    </w:pPr>
    <w:rPr>
      <w:rFonts w:ascii="Arial" w:hAnsi="Arial" w:cs="Arial"/>
      <w:b/>
      <w:sz w:val="20"/>
      <w:szCs w:val="20"/>
      <w:lang w:eastAsia="zh-CN"/>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basedOn w:val="DefaultParagraphFont"/>
    <w:link w:val="Caption"/>
    <w:rsid w:val="00B40E03"/>
    <w:rPr>
      <w:rFonts w:ascii="Arial" w:hAnsi="Arial" w:cs="Arial"/>
      <w:b/>
      <w:lang w:eastAsia="zh-CN"/>
    </w:rPr>
  </w:style>
  <w:style w:type="paragraph" w:styleId="FootnoteText">
    <w:name w:val="footnote text"/>
    <w:basedOn w:val="Normal"/>
    <w:link w:val="FootnoteTextChar"/>
    <w:rsid w:val="00B40E03"/>
    <w:pPr>
      <w:spacing w:line="360" w:lineRule="auto"/>
    </w:pPr>
    <w:rPr>
      <w:rFonts w:ascii="Arial" w:eastAsia="Batang" w:hAnsi="Arial" w:cs="Arial"/>
      <w:sz w:val="20"/>
      <w:szCs w:val="20"/>
      <w:lang w:eastAsia="ko-KR"/>
    </w:rPr>
  </w:style>
  <w:style w:type="character" w:customStyle="1" w:styleId="FootnoteTextChar">
    <w:name w:val="Footnote Text Char"/>
    <w:basedOn w:val="DefaultParagraphFont"/>
    <w:link w:val="FootnoteText"/>
    <w:rsid w:val="00B40E03"/>
    <w:rPr>
      <w:rFonts w:ascii="Arial" w:eastAsia="Batang" w:hAnsi="Arial" w:cs="Arial"/>
      <w:lang w:eastAsia="ko-KR"/>
    </w:rPr>
  </w:style>
  <w:style w:type="character" w:styleId="FootnoteReference">
    <w:name w:val="footnote reference"/>
    <w:basedOn w:val="DefaultParagraphFont"/>
    <w:rsid w:val="00B40E03"/>
    <w:rPr>
      <w:vertAlign w:val="superscript"/>
    </w:rPr>
  </w:style>
  <w:style w:type="character" w:styleId="IntenseReference">
    <w:name w:val="Intense Reference"/>
    <w:basedOn w:val="DefaultParagraphFont"/>
    <w:uiPriority w:val="32"/>
    <w:rsid w:val="00E2305D"/>
    <w:rPr>
      <w:b/>
      <w:bCs/>
      <w:smallCaps/>
      <w:color w:val="C0504D" w:themeColor="accent2"/>
      <w:spacing w:val="5"/>
      <w:u w:val="single"/>
    </w:rPr>
  </w:style>
  <w:style w:type="character" w:styleId="Emphasis">
    <w:name w:val="Emphasis"/>
    <w:basedOn w:val="DefaultParagraphFont"/>
    <w:qFormat/>
    <w:rsid w:val="00435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4897">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184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edicarestatistics.humanservices.gov.au/statistics/pbs_item.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B78E-7DD7-407E-86FF-87934190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2167</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2016-09-20T01:00:00Z</dcterms:created>
  <dcterms:modified xsi:type="dcterms:W3CDTF">2016-09-20T01:08:00Z</dcterms:modified>
</cp:coreProperties>
</file>