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D56" w:rsidRPr="00232F1B" w:rsidRDefault="001F4EB0" w:rsidP="00232F1B">
      <w:pPr>
        <w:pStyle w:val="Title"/>
      </w:pPr>
      <w:bookmarkStart w:id="0" w:name="_Toc450288329"/>
      <w:bookmarkStart w:id="1" w:name="_GoBack"/>
      <w:bookmarkEnd w:id="1"/>
      <w:r w:rsidRPr="00232F1B">
        <w:t>6.01</w:t>
      </w:r>
      <w:r w:rsidR="00B60939" w:rsidRPr="00232F1B">
        <w:tab/>
      </w:r>
      <w:r w:rsidR="00F44D56" w:rsidRPr="00232F1B">
        <w:t>DIPHTHERIA, TETANUS, &amp; ACELLULAR PERTUSSIS (</w:t>
      </w:r>
      <w:r w:rsidR="00801151" w:rsidRPr="00232F1B">
        <w:rPr>
          <w:rFonts w:hint="eastAsia"/>
        </w:rPr>
        <w:t>d</w:t>
      </w:r>
      <w:r w:rsidR="00F44D56" w:rsidRPr="00232F1B">
        <w:t>T</w:t>
      </w:r>
      <w:r w:rsidR="00801151" w:rsidRPr="00232F1B">
        <w:rPr>
          <w:rFonts w:hint="eastAsia"/>
        </w:rPr>
        <w:t>pa</w:t>
      </w:r>
      <w:r w:rsidR="00F44D56" w:rsidRPr="00232F1B">
        <w:t xml:space="preserve">) </w:t>
      </w:r>
      <w:r w:rsidR="00C76E69" w:rsidRPr="00232F1B">
        <w:t>injection, 0.5 m</w:t>
      </w:r>
      <w:r w:rsidR="005E16D5" w:rsidRPr="00232F1B">
        <w:t>L</w:t>
      </w:r>
      <w:r w:rsidR="005E16D5" w:rsidRPr="00232F1B">
        <w:br/>
      </w:r>
      <w:r w:rsidR="00C76E69" w:rsidRPr="00232F1B">
        <w:t>Boostrix</w:t>
      </w:r>
      <w:r w:rsidR="00F44D56" w:rsidRPr="00232F1B">
        <w:t>®</w:t>
      </w:r>
      <w:r w:rsidR="005E16D5" w:rsidRPr="00232F1B">
        <w:br/>
      </w:r>
      <w:r w:rsidR="00C76E69" w:rsidRPr="00232F1B">
        <w:t>Glaxo</w:t>
      </w:r>
      <w:r w:rsidR="005E16D5" w:rsidRPr="00232F1B">
        <w:t>SmithK</w:t>
      </w:r>
      <w:r w:rsidR="00C76E69" w:rsidRPr="00232F1B">
        <w:t>line Australia Pty Ltd</w:t>
      </w:r>
      <w:bookmarkEnd w:id="0"/>
    </w:p>
    <w:p w:rsidR="00433044" w:rsidRDefault="00433044" w:rsidP="001C7B61">
      <w:pPr>
        <w:pStyle w:val="BodyText"/>
        <w:widowControl/>
      </w:pPr>
    </w:p>
    <w:p w:rsidR="00B50DB8" w:rsidRPr="00232F1B" w:rsidRDefault="00B50DB8" w:rsidP="00232F1B">
      <w:pPr>
        <w:pStyle w:val="PBACHeading1"/>
      </w:pPr>
      <w:bookmarkStart w:id="2" w:name="_Toc450288331"/>
      <w:r w:rsidRPr="00232F1B">
        <w:t>Purpose of Application</w:t>
      </w:r>
      <w:bookmarkEnd w:id="2"/>
    </w:p>
    <w:p w:rsidR="00B60939" w:rsidRPr="00AB6640" w:rsidRDefault="00B60939" w:rsidP="001C7B61">
      <w:pPr>
        <w:keepNext/>
        <w:widowControl/>
        <w:rPr>
          <w:szCs w:val="22"/>
        </w:rPr>
      </w:pPr>
    </w:p>
    <w:p w:rsidR="002C2775" w:rsidRPr="00AB6640" w:rsidRDefault="00BD519D" w:rsidP="001C7B61">
      <w:pPr>
        <w:pStyle w:val="ListParagraph"/>
        <w:widowControl/>
        <w:numPr>
          <w:ilvl w:val="1"/>
          <w:numId w:val="3"/>
        </w:numPr>
        <w:rPr>
          <w:szCs w:val="22"/>
        </w:rPr>
      </w:pPr>
      <w:r w:rsidRPr="00AB6640">
        <w:t>National Immunisation Program (</w:t>
      </w:r>
      <w:r w:rsidR="00002156" w:rsidRPr="00AB6640">
        <w:t>NIP</w:t>
      </w:r>
      <w:r w:rsidRPr="00AB6640">
        <w:t>)</w:t>
      </w:r>
      <w:r w:rsidR="00002156" w:rsidRPr="00AB6640">
        <w:t xml:space="preserve"> listing for </w:t>
      </w:r>
      <w:r w:rsidR="00880B0F" w:rsidRPr="00AB6640">
        <w:t xml:space="preserve">combined diphtheria, tetanus and acellular </w:t>
      </w:r>
      <w:r w:rsidR="00841116" w:rsidRPr="00AB6640">
        <w:t>pertussis</w:t>
      </w:r>
      <w:r w:rsidR="00880B0F" w:rsidRPr="00AB6640">
        <w:t xml:space="preserve"> (</w:t>
      </w:r>
      <w:r w:rsidR="00C90A8C" w:rsidRPr="00AB6640">
        <w:rPr>
          <w:szCs w:val="22"/>
        </w:rPr>
        <w:t>dTpa</w:t>
      </w:r>
      <w:r w:rsidR="00880B0F" w:rsidRPr="00AB6640">
        <w:rPr>
          <w:szCs w:val="22"/>
        </w:rPr>
        <w:t>)</w:t>
      </w:r>
      <w:r w:rsidR="00C90A8C" w:rsidRPr="00AB6640">
        <w:rPr>
          <w:szCs w:val="22"/>
        </w:rPr>
        <w:t xml:space="preserve"> (Boostrix) for immunisation of women in the third trimester of every pregnancy, in order to reduce pertussis disease in the mother and particularly, early onset infant disease.</w:t>
      </w:r>
    </w:p>
    <w:p w:rsidR="004E43B2" w:rsidRPr="00AB6640" w:rsidRDefault="004E43B2" w:rsidP="001C7B61">
      <w:pPr>
        <w:widowControl/>
        <w:rPr>
          <w:lang w:val="en-US"/>
        </w:rPr>
      </w:pPr>
    </w:p>
    <w:p w:rsidR="000A3BB3" w:rsidRPr="00AB6640" w:rsidRDefault="000A3BB3" w:rsidP="001C7B61">
      <w:pPr>
        <w:widowControl/>
        <w:rPr>
          <w:lang w:val="en-US"/>
        </w:rPr>
      </w:pPr>
    </w:p>
    <w:p w:rsidR="00B50DB8" w:rsidRPr="00AB6640" w:rsidRDefault="00B50DB8" w:rsidP="00232F1B">
      <w:pPr>
        <w:pStyle w:val="Heading1"/>
      </w:pPr>
      <w:bookmarkStart w:id="3" w:name="_Toc450288332"/>
      <w:r w:rsidRPr="00AB6640">
        <w:t>Requested listing</w:t>
      </w:r>
      <w:bookmarkEnd w:id="3"/>
    </w:p>
    <w:p w:rsidR="00B60939" w:rsidRPr="00AB6640" w:rsidRDefault="00B60939" w:rsidP="001C7B61">
      <w:pPr>
        <w:keepNext/>
        <w:widowControl/>
      </w:pPr>
    </w:p>
    <w:p w:rsidR="00C67F9E" w:rsidRPr="00AB6640" w:rsidRDefault="00C67F9E" w:rsidP="001C7B61">
      <w:pPr>
        <w:pStyle w:val="ListParagraph"/>
        <w:keepNext/>
        <w:widowControl/>
        <w:numPr>
          <w:ilvl w:val="1"/>
          <w:numId w:val="3"/>
        </w:numPr>
        <w:rPr>
          <w:szCs w:val="22"/>
        </w:rPr>
      </w:pPr>
      <w:r w:rsidRPr="00AB6640">
        <w:rPr>
          <w:szCs w:val="22"/>
        </w:rPr>
        <w:t>The submission sought the following listing:</w:t>
      </w:r>
    </w:p>
    <w:p w:rsidR="00801151" w:rsidRDefault="00801151" w:rsidP="001C7B61">
      <w:pPr>
        <w:pStyle w:val="ListParagraph"/>
        <w:keepNext/>
        <w:widowControl/>
        <w:rPr>
          <w:szCs w:val="22"/>
        </w:rPr>
      </w:pPr>
    </w:p>
    <w:tbl>
      <w:tblPr>
        <w:tblW w:w="4604" w:type="pct"/>
        <w:tblInd w:w="737" w:type="dxa"/>
        <w:tblCellMar>
          <w:left w:w="28" w:type="dxa"/>
          <w:right w:w="28" w:type="dxa"/>
        </w:tblCellMar>
        <w:tblLook w:val="0000" w:firstRow="0" w:lastRow="0" w:firstColumn="0" w:lastColumn="0" w:noHBand="0" w:noVBand="0"/>
      </w:tblPr>
      <w:tblGrid>
        <w:gridCol w:w="3096"/>
        <w:gridCol w:w="685"/>
        <w:gridCol w:w="828"/>
        <w:gridCol w:w="1507"/>
        <w:gridCol w:w="770"/>
        <w:gridCol w:w="1477"/>
      </w:tblGrid>
      <w:tr w:rsidR="00B50DB8" w:rsidRPr="00203B12" w:rsidTr="00B50DB8">
        <w:trPr>
          <w:cantSplit/>
          <w:trHeight w:val="463"/>
        </w:trPr>
        <w:tc>
          <w:tcPr>
            <w:tcW w:w="1865" w:type="pct"/>
            <w:tcBorders>
              <w:bottom w:val="single" w:sz="4" w:space="0" w:color="auto"/>
            </w:tcBorders>
            <w:vAlign w:val="center"/>
          </w:tcPr>
          <w:p w:rsidR="00617E12" w:rsidRPr="00203B12" w:rsidRDefault="00617E12" w:rsidP="001C7B61">
            <w:pPr>
              <w:keepNext/>
              <w:widowControl/>
              <w:jc w:val="left"/>
              <w:rPr>
                <w:rFonts w:ascii="Arial Narrow" w:hAnsi="Arial Narrow"/>
                <w:sz w:val="20"/>
              </w:rPr>
            </w:pPr>
            <w:r w:rsidRPr="00203B12">
              <w:rPr>
                <w:rFonts w:ascii="Arial Narrow" w:hAnsi="Arial Narrow"/>
                <w:sz w:val="20"/>
              </w:rPr>
              <w:t>Name, Restriction,</w:t>
            </w:r>
          </w:p>
          <w:p w:rsidR="00617E12" w:rsidRPr="00203B12" w:rsidRDefault="00617E12" w:rsidP="001C7B61">
            <w:pPr>
              <w:keepNext/>
              <w:widowControl/>
              <w:jc w:val="left"/>
              <w:rPr>
                <w:rFonts w:ascii="Arial Narrow" w:hAnsi="Arial Narrow"/>
                <w:sz w:val="20"/>
              </w:rPr>
            </w:pPr>
            <w:r w:rsidRPr="00203B12">
              <w:rPr>
                <w:rFonts w:ascii="Arial Narrow" w:hAnsi="Arial Narrow"/>
                <w:sz w:val="20"/>
              </w:rPr>
              <w:t>Manner of administration and form</w:t>
            </w:r>
          </w:p>
        </w:tc>
        <w:tc>
          <w:tcPr>
            <w:tcW w:w="423" w:type="pct"/>
            <w:tcBorders>
              <w:bottom w:val="single" w:sz="4" w:space="0" w:color="auto"/>
            </w:tcBorders>
            <w:vAlign w:val="center"/>
          </w:tcPr>
          <w:p w:rsidR="00617E12" w:rsidRPr="00203B12" w:rsidRDefault="00617E12" w:rsidP="001C7B61">
            <w:pPr>
              <w:keepNext/>
              <w:widowControl/>
              <w:jc w:val="center"/>
              <w:rPr>
                <w:rFonts w:ascii="Arial Narrow" w:hAnsi="Arial Narrow"/>
                <w:sz w:val="20"/>
              </w:rPr>
            </w:pPr>
            <w:r w:rsidRPr="00203B12">
              <w:rPr>
                <w:rFonts w:ascii="Arial Narrow" w:hAnsi="Arial Narrow"/>
                <w:sz w:val="20"/>
              </w:rPr>
              <w:t>Max.</w:t>
            </w:r>
          </w:p>
          <w:p w:rsidR="00617E12" w:rsidRPr="00203B12" w:rsidRDefault="00617E12" w:rsidP="001C7B61">
            <w:pPr>
              <w:keepNext/>
              <w:widowControl/>
              <w:jc w:val="center"/>
              <w:rPr>
                <w:rFonts w:ascii="Arial Narrow" w:hAnsi="Arial Narrow"/>
                <w:sz w:val="20"/>
              </w:rPr>
            </w:pPr>
            <w:r w:rsidRPr="00203B12">
              <w:rPr>
                <w:rFonts w:ascii="Arial Narrow" w:hAnsi="Arial Narrow"/>
                <w:sz w:val="20"/>
              </w:rPr>
              <w:t>Qty</w:t>
            </w:r>
          </w:p>
        </w:tc>
        <w:tc>
          <w:tcPr>
            <w:tcW w:w="509" w:type="pct"/>
            <w:tcBorders>
              <w:bottom w:val="single" w:sz="4" w:space="0" w:color="auto"/>
            </w:tcBorders>
            <w:vAlign w:val="center"/>
          </w:tcPr>
          <w:p w:rsidR="00617E12" w:rsidRPr="00203B12" w:rsidRDefault="00617E12" w:rsidP="001C7B61">
            <w:pPr>
              <w:keepNext/>
              <w:widowControl/>
              <w:jc w:val="center"/>
              <w:rPr>
                <w:rFonts w:ascii="Arial Narrow" w:hAnsi="Arial Narrow"/>
                <w:sz w:val="20"/>
              </w:rPr>
            </w:pPr>
            <w:r w:rsidRPr="00203B12">
              <w:rPr>
                <w:rFonts w:ascii="Arial Narrow" w:hAnsi="Arial Narrow"/>
                <w:sz w:val="20"/>
              </w:rPr>
              <w:t>№.of</w:t>
            </w:r>
          </w:p>
          <w:p w:rsidR="00617E12" w:rsidRPr="00203B12" w:rsidRDefault="00617E12" w:rsidP="001C7B61">
            <w:pPr>
              <w:keepNext/>
              <w:widowControl/>
              <w:jc w:val="center"/>
              <w:rPr>
                <w:rFonts w:ascii="Arial Narrow" w:hAnsi="Arial Narrow"/>
                <w:sz w:val="20"/>
              </w:rPr>
            </w:pPr>
            <w:r w:rsidRPr="00203B12">
              <w:rPr>
                <w:rFonts w:ascii="Arial Narrow" w:hAnsi="Arial Narrow"/>
                <w:sz w:val="20"/>
              </w:rPr>
              <w:t>Rpts</w:t>
            </w:r>
          </w:p>
        </w:tc>
        <w:tc>
          <w:tcPr>
            <w:tcW w:w="914" w:type="pct"/>
            <w:tcBorders>
              <w:bottom w:val="single" w:sz="4" w:space="0" w:color="auto"/>
            </w:tcBorders>
            <w:vAlign w:val="center"/>
          </w:tcPr>
          <w:p w:rsidR="00617E12" w:rsidRPr="00203B12" w:rsidRDefault="00617E12" w:rsidP="001C7B61">
            <w:pPr>
              <w:keepNext/>
              <w:widowControl/>
              <w:jc w:val="center"/>
              <w:rPr>
                <w:rFonts w:ascii="Arial Narrow" w:hAnsi="Arial Narrow"/>
                <w:sz w:val="20"/>
              </w:rPr>
            </w:pPr>
            <w:r w:rsidRPr="00203B12">
              <w:rPr>
                <w:rFonts w:ascii="Arial Narrow" w:hAnsi="Arial Narrow"/>
                <w:sz w:val="20"/>
              </w:rPr>
              <w:t>Dispensed Price for Max. Qty</w:t>
            </w:r>
          </w:p>
        </w:tc>
        <w:tc>
          <w:tcPr>
            <w:tcW w:w="1289" w:type="pct"/>
            <w:gridSpan w:val="2"/>
            <w:tcBorders>
              <w:bottom w:val="single" w:sz="4" w:space="0" w:color="auto"/>
            </w:tcBorders>
            <w:vAlign w:val="center"/>
          </w:tcPr>
          <w:p w:rsidR="00617E12" w:rsidRPr="00203B12" w:rsidRDefault="00617E12" w:rsidP="001C7B61">
            <w:pPr>
              <w:keepNext/>
              <w:widowControl/>
              <w:jc w:val="center"/>
              <w:rPr>
                <w:rFonts w:ascii="Arial Narrow" w:hAnsi="Arial Narrow"/>
                <w:sz w:val="20"/>
                <w:lang w:val="fr-FR"/>
              </w:rPr>
            </w:pPr>
            <w:r w:rsidRPr="00203B12">
              <w:rPr>
                <w:rFonts w:ascii="Arial Narrow" w:hAnsi="Arial Narrow"/>
                <w:sz w:val="20"/>
              </w:rPr>
              <w:t>Proprietary Name and Manufacturer</w:t>
            </w:r>
          </w:p>
        </w:tc>
      </w:tr>
      <w:tr w:rsidR="00C67F9E" w:rsidRPr="00203B12" w:rsidTr="00C67F9E">
        <w:trPr>
          <w:cantSplit/>
          <w:trHeight w:val="567"/>
        </w:trPr>
        <w:tc>
          <w:tcPr>
            <w:tcW w:w="1865" w:type="pct"/>
            <w:vAlign w:val="center"/>
          </w:tcPr>
          <w:p w:rsidR="00C67F9E" w:rsidRPr="00203B12" w:rsidRDefault="00C67F9E" w:rsidP="001C7B61">
            <w:pPr>
              <w:keepNext/>
              <w:widowControl/>
              <w:jc w:val="left"/>
              <w:rPr>
                <w:rFonts w:ascii="Arial Narrow" w:eastAsia="Times New Roman" w:hAnsi="Arial Narrow"/>
                <w:smallCaps/>
                <w:sz w:val="20"/>
              </w:rPr>
            </w:pPr>
            <w:r w:rsidRPr="00203B12">
              <w:rPr>
                <w:rFonts w:ascii="Arial Narrow" w:eastAsia="Times New Roman" w:hAnsi="Arial Narrow"/>
                <w:smallCaps/>
                <w:sz w:val="20"/>
              </w:rPr>
              <w:t>Combined diphtheria-tetanus-acellular pertussis (</w:t>
            </w:r>
            <w:r w:rsidRPr="00203B12">
              <w:rPr>
                <w:rFonts w:ascii="Arial Narrow" w:eastAsia="Times New Roman" w:hAnsi="Arial Narrow"/>
                <w:sz w:val="20"/>
              </w:rPr>
              <w:t>dTpa</w:t>
            </w:r>
            <w:r w:rsidRPr="00203B12">
              <w:rPr>
                <w:rFonts w:ascii="Arial Narrow" w:eastAsia="Times New Roman" w:hAnsi="Arial Narrow"/>
                <w:smallCaps/>
                <w:sz w:val="20"/>
              </w:rPr>
              <w:t xml:space="preserve">) vaccine </w:t>
            </w:r>
          </w:p>
          <w:p w:rsidR="00C67F9E" w:rsidRPr="00203B12" w:rsidRDefault="00C67F9E" w:rsidP="001C7B61">
            <w:pPr>
              <w:keepNext/>
              <w:widowControl/>
              <w:jc w:val="left"/>
              <w:rPr>
                <w:rFonts w:ascii="Arial Narrow" w:hAnsi="Arial Narrow"/>
                <w:sz w:val="20"/>
              </w:rPr>
            </w:pPr>
            <w:r w:rsidRPr="00203B12">
              <w:rPr>
                <w:rFonts w:ascii="Arial Narrow" w:hAnsi="Arial Narrow"/>
                <w:sz w:val="20"/>
              </w:rPr>
              <w:t>Pre-filled syringe, 0.5 mL</w:t>
            </w:r>
          </w:p>
        </w:tc>
        <w:tc>
          <w:tcPr>
            <w:tcW w:w="423" w:type="pct"/>
            <w:vAlign w:val="center"/>
          </w:tcPr>
          <w:p w:rsidR="00C67F9E" w:rsidRPr="00203B12" w:rsidRDefault="00C67F9E" w:rsidP="001C7B61">
            <w:pPr>
              <w:keepNext/>
              <w:widowControl/>
              <w:jc w:val="center"/>
              <w:rPr>
                <w:rFonts w:ascii="Arial Narrow" w:hAnsi="Arial Narrow"/>
                <w:sz w:val="20"/>
              </w:rPr>
            </w:pPr>
            <w:r w:rsidRPr="00203B12">
              <w:rPr>
                <w:rFonts w:ascii="Arial Narrow" w:hAnsi="Arial Narrow"/>
                <w:sz w:val="20"/>
                <w:lang w:eastAsia="zh-CN"/>
              </w:rPr>
              <w:t>1</w:t>
            </w:r>
          </w:p>
        </w:tc>
        <w:tc>
          <w:tcPr>
            <w:tcW w:w="509" w:type="pct"/>
            <w:vAlign w:val="center"/>
          </w:tcPr>
          <w:p w:rsidR="00C67F9E" w:rsidRPr="00203B12" w:rsidRDefault="00C67F9E" w:rsidP="001C7B61">
            <w:pPr>
              <w:keepNext/>
              <w:widowControl/>
              <w:jc w:val="center"/>
              <w:rPr>
                <w:rFonts w:ascii="Arial Narrow" w:hAnsi="Arial Narrow"/>
                <w:sz w:val="20"/>
              </w:rPr>
            </w:pPr>
            <w:r w:rsidRPr="00203B12">
              <w:rPr>
                <w:rFonts w:ascii="Arial Narrow" w:hAnsi="Arial Narrow"/>
                <w:sz w:val="20"/>
                <w:lang w:eastAsia="zh-CN"/>
              </w:rPr>
              <w:t>0</w:t>
            </w:r>
          </w:p>
        </w:tc>
        <w:tc>
          <w:tcPr>
            <w:tcW w:w="914" w:type="pct"/>
            <w:vAlign w:val="center"/>
          </w:tcPr>
          <w:p w:rsidR="00C67F9E" w:rsidRPr="00203B12" w:rsidRDefault="00C67F9E" w:rsidP="001C7B61">
            <w:pPr>
              <w:keepNext/>
              <w:widowControl/>
              <w:jc w:val="center"/>
              <w:rPr>
                <w:rFonts w:ascii="Arial Narrow" w:hAnsi="Arial Narrow"/>
                <w:sz w:val="20"/>
              </w:rPr>
            </w:pPr>
            <w:r w:rsidRPr="00203B12">
              <w:rPr>
                <w:rFonts w:ascii="Arial Narrow" w:hAnsi="Arial Narrow"/>
                <w:sz w:val="20"/>
              </w:rPr>
              <w:t>$</w:t>
            </w:r>
            <w:r w:rsidR="00232F1B">
              <w:rPr>
                <w:rFonts w:ascii="Arial Narrow" w:hAnsi="Arial Narrow"/>
                <w:noProof/>
                <w:color w:val="000000"/>
                <w:sz w:val="20"/>
                <w:highlight w:val="black"/>
              </w:rPr>
              <w:t>''''''</w:t>
            </w:r>
          </w:p>
        </w:tc>
        <w:tc>
          <w:tcPr>
            <w:tcW w:w="393" w:type="pct"/>
            <w:vAlign w:val="center"/>
          </w:tcPr>
          <w:p w:rsidR="00C67F9E" w:rsidRPr="00203B12" w:rsidRDefault="00C67F9E" w:rsidP="001C7B61">
            <w:pPr>
              <w:keepNext/>
              <w:widowControl/>
              <w:jc w:val="left"/>
              <w:rPr>
                <w:rFonts w:ascii="Arial Narrow" w:hAnsi="Arial Narrow"/>
                <w:sz w:val="20"/>
              </w:rPr>
            </w:pPr>
            <w:r w:rsidRPr="00203B12">
              <w:rPr>
                <w:rFonts w:ascii="Arial Narrow" w:hAnsi="Arial Narrow"/>
                <w:sz w:val="20"/>
              </w:rPr>
              <w:t>Boostrix</w:t>
            </w:r>
            <w:r w:rsidR="00AE58EE">
              <w:rPr>
                <w:rFonts w:ascii="Arial Narrow" w:hAnsi="Arial Narrow"/>
                <w:sz w:val="20"/>
              </w:rPr>
              <w:t>®</w:t>
            </w:r>
          </w:p>
        </w:tc>
        <w:tc>
          <w:tcPr>
            <w:tcW w:w="896" w:type="pct"/>
            <w:vAlign w:val="center"/>
          </w:tcPr>
          <w:p w:rsidR="00C67F9E" w:rsidRPr="00203B12" w:rsidRDefault="00C67F9E" w:rsidP="001C7B61">
            <w:pPr>
              <w:keepNext/>
              <w:widowControl/>
              <w:jc w:val="center"/>
              <w:rPr>
                <w:rFonts w:ascii="Arial Narrow" w:hAnsi="Arial Narrow"/>
                <w:sz w:val="20"/>
              </w:rPr>
            </w:pPr>
            <w:r w:rsidRPr="00203B12">
              <w:rPr>
                <w:rFonts w:ascii="Arial Narrow" w:hAnsi="Arial Narrow"/>
                <w:sz w:val="20"/>
              </w:rPr>
              <w:t>GSK</w:t>
            </w:r>
          </w:p>
        </w:tc>
      </w:tr>
      <w:tr w:rsidR="00617E12" w:rsidRPr="00203B12" w:rsidTr="00B50DB8">
        <w:trPr>
          <w:cantSplit/>
          <w:trHeight w:val="354"/>
        </w:trPr>
        <w:tc>
          <w:tcPr>
            <w:tcW w:w="5000" w:type="pct"/>
            <w:gridSpan w:val="6"/>
            <w:vAlign w:val="center"/>
          </w:tcPr>
          <w:p w:rsidR="00203B12" w:rsidRDefault="00203B12" w:rsidP="001C7B61">
            <w:pPr>
              <w:widowControl/>
              <w:rPr>
                <w:rFonts w:ascii="Arial Narrow" w:hAnsi="Arial Narrow"/>
                <w:b/>
                <w:sz w:val="20"/>
              </w:rPr>
            </w:pPr>
          </w:p>
          <w:p w:rsidR="00617E12" w:rsidRPr="00203B12" w:rsidRDefault="00842E44" w:rsidP="001C7B61">
            <w:pPr>
              <w:widowControl/>
              <w:rPr>
                <w:rFonts w:ascii="Arial Narrow" w:hAnsi="Arial Narrow"/>
                <w:sz w:val="20"/>
              </w:rPr>
            </w:pPr>
            <w:r w:rsidRPr="00203B12">
              <w:rPr>
                <w:rFonts w:ascii="Arial Narrow" w:hAnsi="Arial Narrow"/>
                <w:b/>
                <w:sz w:val="20"/>
              </w:rPr>
              <w:t>National Immunisation Program</w:t>
            </w:r>
          </w:p>
          <w:p w:rsidR="00842E44" w:rsidRPr="00203B12" w:rsidRDefault="00842E44" w:rsidP="001C7B61">
            <w:pPr>
              <w:widowControl/>
              <w:rPr>
                <w:rFonts w:ascii="Arial Narrow" w:hAnsi="Arial Narrow"/>
                <w:sz w:val="20"/>
              </w:rPr>
            </w:pPr>
            <w:r w:rsidRPr="00203B12">
              <w:rPr>
                <w:rFonts w:ascii="Arial Narrow" w:hAnsi="Arial Narrow"/>
                <w:sz w:val="20"/>
              </w:rPr>
              <w:t>Vaccination of pregnant women, during the third trimester of each pregnancy</w:t>
            </w:r>
          </w:p>
        </w:tc>
      </w:tr>
    </w:tbl>
    <w:p w:rsidR="00B60939" w:rsidRPr="00882085" w:rsidRDefault="00B60939" w:rsidP="001C7B61">
      <w:pPr>
        <w:widowControl/>
      </w:pPr>
    </w:p>
    <w:p w:rsidR="002C2775" w:rsidRPr="00AB6640" w:rsidRDefault="00DF70D6" w:rsidP="001C7B61">
      <w:pPr>
        <w:pStyle w:val="ListParagraph"/>
        <w:widowControl/>
        <w:numPr>
          <w:ilvl w:val="1"/>
          <w:numId w:val="3"/>
        </w:numPr>
        <w:rPr>
          <w:szCs w:val="22"/>
        </w:rPr>
      </w:pPr>
      <w:r w:rsidRPr="00AB6640">
        <w:rPr>
          <w:szCs w:val="22"/>
        </w:rPr>
        <w:t>Listing was requested based on cost-effectiveness compared with n</w:t>
      </w:r>
      <w:r w:rsidR="00B23E17" w:rsidRPr="00AB6640">
        <w:rPr>
          <w:szCs w:val="22"/>
        </w:rPr>
        <w:t>o vaccination</w:t>
      </w:r>
      <w:r w:rsidR="00B97564" w:rsidRPr="00AB6640">
        <w:rPr>
          <w:szCs w:val="22"/>
        </w:rPr>
        <w:t>.</w:t>
      </w:r>
    </w:p>
    <w:p w:rsidR="00203B12" w:rsidRPr="00AB6640" w:rsidRDefault="00203B12" w:rsidP="001C7B61">
      <w:pPr>
        <w:pStyle w:val="ListParagraph"/>
        <w:widowControl/>
        <w:rPr>
          <w:szCs w:val="22"/>
        </w:rPr>
      </w:pPr>
    </w:p>
    <w:p w:rsidR="00203B12" w:rsidRPr="00AB6640" w:rsidRDefault="00203B12" w:rsidP="001C7B61">
      <w:pPr>
        <w:pStyle w:val="ListParagraph"/>
        <w:widowControl/>
        <w:numPr>
          <w:ilvl w:val="1"/>
          <w:numId w:val="3"/>
        </w:numPr>
        <w:rPr>
          <w:szCs w:val="22"/>
        </w:rPr>
      </w:pPr>
      <w:r w:rsidRPr="00AB6640">
        <w:rPr>
          <w:szCs w:val="22"/>
        </w:rPr>
        <w:t xml:space="preserve">The ESC </w:t>
      </w:r>
      <w:r w:rsidR="00A45C1B" w:rsidRPr="00AB6640">
        <w:rPr>
          <w:szCs w:val="22"/>
        </w:rPr>
        <w:t xml:space="preserve">noted </w:t>
      </w:r>
      <w:r w:rsidR="002021DD" w:rsidRPr="00AB6640">
        <w:rPr>
          <w:szCs w:val="22"/>
        </w:rPr>
        <w:t xml:space="preserve">that </w:t>
      </w:r>
      <w:r w:rsidR="00A45C1B" w:rsidRPr="00AB6640">
        <w:rPr>
          <w:szCs w:val="22"/>
        </w:rPr>
        <w:t>the ATAGI post-submission advice stated that “the optimal timing of maternal immunisation is an issue for further consideration, in light of an emerging body of evidence supporting second trimester immunisation</w:t>
      </w:r>
      <w:r w:rsidR="002D6746">
        <w:rPr>
          <w:szCs w:val="22"/>
        </w:rPr>
        <w:t>. That evidence i</w:t>
      </w:r>
      <w:r w:rsidR="001F2FFA">
        <w:rPr>
          <w:szCs w:val="22"/>
        </w:rPr>
        <w:t>s</w:t>
      </w:r>
      <w:r w:rsidR="002D6746">
        <w:rPr>
          <w:szCs w:val="22"/>
        </w:rPr>
        <w:t xml:space="preserve"> under on-going review to inform continuing recommendations for optimal vaccine administration.</w:t>
      </w:r>
      <w:r w:rsidR="00A45C1B" w:rsidRPr="00AB6640">
        <w:rPr>
          <w:szCs w:val="22"/>
        </w:rPr>
        <w:t>”</w:t>
      </w:r>
      <w:r w:rsidR="00801151" w:rsidRPr="00AB6640">
        <w:rPr>
          <w:szCs w:val="22"/>
        </w:rPr>
        <w:t xml:space="preserve"> </w:t>
      </w:r>
      <w:r w:rsidR="008373A1" w:rsidRPr="00AB6640">
        <w:rPr>
          <w:szCs w:val="22"/>
        </w:rPr>
        <w:t>T</w:t>
      </w:r>
      <w:r w:rsidR="00801151" w:rsidRPr="00AB6640">
        <w:rPr>
          <w:szCs w:val="22"/>
        </w:rPr>
        <w:t>he ESC considered that a broader indication</w:t>
      </w:r>
      <w:r w:rsidR="008373A1" w:rsidRPr="00AB6640">
        <w:rPr>
          <w:szCs w:val="22"/>
        </w:rPr>
        <w:t>,</w:t>
      </w:r>
      <w:r w:rsidR="00801151" w:rsidRPr="00AB6640">
        <w:rPr>
          <w:szCs w:val="22"/>
        </w:rPr>
        <w:t xml:space="preserve"> for </w:t>
      </w:r>
      <w:r w:rsidR="00BD519D" w:rsidRPr="00AB6640">
        <w:rPr>
          <w:szCs w:val="22"/>
        </w:rPr>
        <w:t>immunisation</w:t>
      </w:r>
      <w:r w:rsidR="00A45C1B" w:rsidRPr="00AB6640">
        <w:rPr>
          <w:szCs w:val="22"/>
        </w:rPr>
        <w:t xml:space="preserve"> of pregnant women </w:t>
      </w:r>
      <w:r w:rsidR="00801151" w:rsidRPr="00AB6640">
        <w:rPr>
          <w:szCs w:val="22"/>
        </w:rPr>
        <w:t xml:space="preserve">during </w:t>
      </w:r>
      <w:r w:rsidR="00A45C1B" w:rsidRPr="00AB6640">
        <w:rPr>
          <w:szCs w:val="22"/>
        </w:rPr>
        <w:t xml:space="preserve">each </w:t>
      </w:r>
      <w:r w:rsidR="00801151" w:rsidRPr="00AB6640">
        <w:rPr>
          <w:szCs w:val="22"/>
        </w:rPr>
        <w:t>pregnancy (without the restriction to the third trimester)</w:t>
      </w:r>
      <w:r w:rsidR="008373A1" w:rsidRPr="00AB6640">
        <w:rPr>
          <w:szCs w:val="22"/>
        </w:rPr>
        <w:t>,</w:t>
      </w:r>
      <w:r w:rsidR="00801151" w:rsidRPr="00AB6640">
        <w:rPr>
          <w:szCs w:val="22"/>
        </w:rPr>
        <w:t xml:space="preserve"> may be more appropriate</w:t>
      </w:r>
      <w:r w:rsidR="007D007B" w:rsidRPr="00AB6640">
        <w:rPr>
          <w:szCs w:val="22"/>
        </w:rPr>
        <w:t xml:space="preserve"> </w:t>
      </w:r>
      <w:r w:rsidR="007D007B" w:rsidRPr="00AB6640">
        <w:rPr>
          <w:color w:val="000000" w:themeColor="text1"/>
        </w:rPr>
        <w:t xml:space="preserve">due to some ongoing clinical uncertainty about the </w:t>
      </w:r>
      <w:r w:rsidR="003772CB" w:rsidRPr="00AB6640">
        <w:rPr>
          <w:color w:val="000000" w:themeColor="text1"/>
        </w:rPr>
        <w:t xml:space="preserve">optimal </w:t>
      </w:r>
      <w:r w:rsidR="007D007B" w:rsidRPr="00AB6640">
        <w:rPr>
          <w:color w:val="000000" w:themeColor="text1"/>
        </w:rPr>
        <w:t>timing of immunisation during pregnancy.</w:t>
      </w:r>
    </w:p>
    <w:p w:rsidR="00EF7DD8" w:rsidRPr="00AB6640" w:rsidRDefault="00EF7DD8" w:rsidP="001C7B61">
      <w:pPr>
        <w:pStyle w:val="ListParagraph"/>
        <w:widowControl/>
        <w:rPr>
          <w:szCs w:val="22"/>
        </w:rPr>
      </w:pPr>
    </w:p>
    <w:p w:rsidR="00EF7DD8" w:rsidRPr="00AB6640" w:rsidRDefault="00EF7DD8" w:rsidP="001C7B61">
      <w:pPr>
        <w:pStyle w:val="ListParagraph"/>
        <w:widowControl/>
        <w:numPr>
          <w:ilvl w:val="1"/>
          <w:numId w:val="3"/>
        </w:numPr>
        <w:rPr>
          <w:szCs w:val="22"/>
        </w:rPr>
      </w:pPr>
      <w:r w:rsidRPr="00AB6640">
        <w:rPr>
          <w:szCs w:val="22"/>
        </w:rPr>
        <w:t>The ESC noted that the requested price of $</w:t>
      </w:r>
      <w:r w:rsidR="00232F1B">
        <w:rPr>
          <w:noProof/>
          <w:color w:val="000000"/>
          <w:szCs w:val="22"/>
          <w:highlight w:val="black"/>
        </w:rPr>
        <w:t>'''''''</w:t>
      </w:r>
      <w:r w:rsidR="00BD519D" w:rsidRPr="00AB6640">
        <w:rPr>
          <w:szCs w:val="22"/>
        </w:rPr>
        <w:t xml:space="preserve"> per dose</w:t>
      </w:r>
      <w:r w:rsidRPr="00AB6640">
        <w:rPr>
          <w:szCs w:val="22"/>
        </w:rPr>
        <w:t xml:space="preserve"> is $</w:t>
      </w:r>
      <w:r w:rsidR="00232F1B">
        <w:rPr>
          <w:noProof/>
          <w:color w:val="000000"/>
          <w:szCs w:val="22"/>
          <w:highlight w:val="black"/>
        </w:rPr>
        <w:t>''' '''''''''</w:t>
      </w:r>
      <w:r w:rsidRPr="00AB6640">
        <w:rPr>
          <w:szCs w:val="22"/>
        </w:rPr>
        <w:t xml:space="preserve"> than the nationally negotiated price (</w:t>
      </w:r>
      <w:r w:rsidR="00BD519D" w:rsidRPr="00AB6640">
        <w:rPr>
          <w:szCs w:val="22"/>
        </w:rPr>
        <w:t xml:space="preserve">of </w:t>
      </w:r>
      <w:r w:rsidRPr="00AB6640">
        <w:rPr>
          <w:szCs w:val="22"/>
        </w:rPr>
        <w:t>$</w:t>
      </w:r>
      <w:r w:rsidR="00232F1B">
        <w:rPr>
          <w:noProof/>
          <w:color w:val="000000"/>
          <w:szCs w:val="22"/>
          <w:highlight w:val="black"/>
        </w:rPr>
        <w:t>'''''''</w:t>
      </w:r>
      <w:r w:rsidRPr="00AB6640">
        <w:rPr>
          <w:szCs w:val="22"/>
        </w:rPr>
        <w:t xml:space="preserve">) for </w:t>
      </w:r>
      <w:r w:rsidR="00BD519D" w:rsidRPr="00AB6640">
        <w:rPr>
          <w:szCs w:val="22"/>
        </w:rPr>
        <w:t xml:space="preserve">dTpa </w:t>
      </w:r>
      <w:r w:rsidRPr="00AB6640">
        <w:rPr>
          <w:szCs w:val="22"/>
        </w:rPr>
        <w:t xml:space="preserve">for the </w:t>
      </w:r>
      <w:r w:rsidR="00D46868" w:rsidRPr="00AB6640">
        <w:rPr>
          <w:szCs w:val="22"/>
        </w:rPr>
        <w:t xml:space="preserve">school </w:t>
      </w:r>
      <w:r w:rsidRPr="00AB6640">
        <w:rPr>
          <w:szCs w:val="22"/>
        </w:rPr>
        <w:t>program</w:t>
      </w:r>
      <w:r w:rsidR="00D46868" w:rsidRPr="00AB6640">
        <w:rPr>
          <w:szCs w:val="22"/>
        </w:rPr>
        <w:t xml:space="preserve"> (10-15 year olds)</w:t>
      </w:r>
      <w:r w:rsidR="00BD519D" w:rsidRPr="00AB6640">
        <w:rPr>
          <w:szCs w:val="22"/>
        </w:rPr>
        <w:t xml:space="preserve"> on the NIP Schedule</w:t>
      </w:r>
      <w:r w:rsidRPr="00AB6640">
        <w:rPr>
          <w:szCs w:val="22"/>
        </w:rPr>
        <w:t>.</w:t>
      </w:r>
    </w:p>
    <w:p w:rsidR="004E43B2" w:rsidRDefault="004E43B2" w:rsidP="001C7B61">
      <w:pPr>
        <w:widowControl/>
      </w:pPr>
    </w:p>
    <w:p w:rsidR="00AB6640" w:rsidRPr="0005234D" w:rsidRDefault="00AB6640" w:rsidP="001C7B61">
      <w:pPr>
        <w:widowControl/>
        <w:ind w:firstLine="720"/>
        <w:rPr>
          <w:bCs/>
          <w:szCs w:val="22"/>
        </w:rPr>
      </w:pPr>
      <w:r w:rsidRPr="002D6746">
        <w:rPr>
          <w:bCs/>
          <w:i/>
          <w:szCs w:val="22"/>
        </w:rPr>
        <w:t>For more detail on PBAC’s view, see section 7 “PBAC outcome”</w:t>
      </w:r>
    </w:p>
    <w:p w:rsidR="000A3BB3" w:rsidRDefault="000A3BB3" w:rsidP="001C7B61">
      <w:pPr>
        <w:widowControl/>
      </w:pPr>
    </w:p>
    <w:p w:rsidR="001377AB" w:rsidRPr="00AB6640" w:rsidRDefault="001377AB" w:rsidP="001C7B61">
      <w:pPr>
        <w:widowControl/>
      </w:pPr>
    </w:p>
    <w:p w:rsidR="00B50DB8" w:rsidRPr="00AB6640" w:rsidRDefault="00B50DB8" w:rsidP="00232F1B">
      <w:pPr>
        <w:pStyle w:val="Heading1"/>
      </w:pPr>
      <w:bookmarkStart w:id="4" w:name="_Toc450288333"/>
      <w:r w:rsidRPr="00AB6640">
        <w:t>Background</w:t>
      </w:r>
      <w:bookmarkEnd w:id="4"/>
    </w:p>
    <w:p w:rsidR="00B60939" w:rsidRPr="00AB6640" w:rsidRDefault="00B60939" w:rsidP="001C7B61">
      <w:pPr>
        <w:widowControl/>
        <w:rPr>
          <w:szCs w:val="22"/>
        </w:rPr>
      </w:pPr>
    </w:p>
    <w:p w:rsidR="002021DD" w:rsidRPr="002B2380" w:rsidRDefault="00833130" w:rsidP="001C7B61">
      <w:pPr>
        <w:pStyle w:val="ListParagraph"/>
        <w:widowControl/>
        <w:numPr>
          <w:ilvl w:val="1"/>
          <w:numId w:val="3"/>
        </w:numPr>
        <w:rPr>
          <w:szCs w:val="22"/>
        </w:rPr>
      </w:pPr>
      <w:r w:rsidRPr="00FB0A2A">
        <w:rPr>
          <w:b/>
          <w:bCs/>
          <w:szCs w:val="22"/>
        </w:rPr>
        <w:t xml:space="preserve">TGA status at time of </w:t>
      </w:r>
      <w:r w:rsidR="00FB0A2A" w:rsidRPr="00FB0A2A">
        <w:rPr>
          <w:b/>
          <w:bCs/>
          <w:szCs w:val="22"/>
        </w:rPr>
        <w:t>PBAC consideration</w:t>
      </w:r>
      <w:r w:rsidRPr="00AB6640">
        <w:rPr>
          <w:b/>
          <w:bCs/>
          <w:szCs w:val="22"/>
        </w:rPr>
        <w:t>:</w:t>
      </w:r>
      <w:r w:rsidRPr="00AB6640">
        <w:rPr>
          <w:color w:val="000000" w:themeColor="text1"/>
          <w:szCs w:val="22"/>
        </w:rPr>
        <w:t xml:space="preserve"> </w:t>
      </w:r>
      <w:r w:rsidR="00DE79C3" w:rsidRPr="00AB6640">
        <w:rPr>
          <w:color w:val="000000" w:themeColor="text1"/>
          <w:szCs w:val="22"/>
        </w:rPr>
        <w:t xml:space="preserve">dTpa was TGA approved in </w:t>
      </w:r>
      <w:r w:rsidR="00280CA3" w:rsidRPr="00AB6640">
        <w:rPr>
          <w:color w:val="000000" w:themeColor="text1"/>
          <w:szCs w:val="22"/>
        </w:rPr>
        <w:t>2000</w:t>
      </w:r>
      <w:r w:rsidR="00E22A4B" w:rsidRPr="00AB6640">
        <w:rPr>
          <w:color w:val="000000" w:themeColor="text1"/>
          <w:szCs w:val="22"/>
        </w:rPr>
        <w:t xml:space="preserve">. </w:t>
      </w:r>
      <w:r w:rsidR="002B2380">
        <w:rPr>
          <w:noProof/>
          <w:color w:val="000000"/>
          <w:highlight w:val="black"/>
        </w:rPr>
        <w:t xml:space="preserve">'''''''''' '''''''''''''''''''''''''' '''''''''''''' '''''''''' ''' '''''''''' ''''''''''''''''''''''' '''''''''' ''''''''''' ''''''''''''''''''''''''' '''' '''''''''''''''' ''''''' ''''''''' ''''' ''''''' ''''''''''''''''''' '''''''''''''''''''''''''''' ''''''''' '''''''''''''''''''''' ''''''''' '''' '''''''''''''''''''''''' ''''''''''''' '''''' '''''''''''''''''' '''''''''''' '''''' ''''''''''''' ''''''''''''''' ''''''''''''''''''''''''''' '''''''''' ''''' ''''''''''''''''''' ''''''''''''''' ''''''''' '''''''''''''''''''''' ''''''''''''''' '''''''''' '''''' ''''''''' </w:t>
      </w:r>
      <w:r w:rsidR="002B2380">
        <w:rPr>
          <w:noProof/>
          <w:color w:val="000000"/>
          <w:highlight w:val="black"/>
        </w:rPr>
        <w:lastRenderedPageBreak/>
        <w:t>'''''''''''''' '''''''''''''''''''''' ''''''''' ''''''' '''''''''''''''''''''' ''''''''''''''''''''''''''' '''''''''''''''''''' '''''''''''''''' '''''' ''''''''''' ''''''''''''''' '''''''''''''''''''''''''' ''''''''''' '''''''''''''' ''''''''''''''' '''''''''''''''''' ''''''''' ''''''' ''''''''''''''''''' '''''''''''''''''''''''''' ''''''''''''''''''''' '''''''' ''''''''''''''''''' ''''''''''' '''''' ''''''''' ''''''''''''' ''''''''' ''''''''''''' ''''' ''''''' ''''''''''' '''''''''''''''' '''' ''''''' ''''''''''''''' '''' ''''''' '''''''''''''''''''''''''''' ''''''''' ''''''' '''''''''''' ''''''''''''''''''''''' '''''''''''''''''' '''' '''''''' ''''''''''''''' ''''''''''' ''''''' ''''''''''''''''''''' ''''''''' ''''''' '''''''''''''''''''''''' ''''' '''''''' '''''''''''''''''''''' ''''''''''''''''''''' ''''' ''''''' ''''''' '''''''''''''''''' '''''''''''' '''''''''''''''''''''' '''''''' '''''''''''''''''''' '''''''''''''''''''' ''''' '''''''' ''''''''''' '''''''''' '''''''' ''''''''''''''' '''''''''''''''''' '''''' ''''''''''''''''''' '''''' '''''''' '''''''''''''''''''''''' '''''''''''''''''''' '''''''''' '''''' '''''''''''' ''''''''''''' '''''''''''''''''''''''''' '''''''''''' ''''''' '''''''''''''''''''' ''''''''''''''''''''''''''' '''''''''''''''''''' '''''''' ''''''''''''''''''''' '''''''''''' '''''' ''''''' ''''''''''''''''''</w:t>
      </w:r>
    </w:p>
    <w:p w:rsidR="002021DD" w:rsidRPr="00AB6640" w:rsidRDefault="002021DD" w:rsidP="001C7B61">
      <w:pPr>
        <w:pStyle w:val="ListParagraph"/>
        <w:widowControl/>
        <w:rPr>
          <w:szCs w:val="22"/>
        </w:rPr>
      </w:pPr>
    </w:p>
    <w:p w:rsidR="00873348" w:rsidRPr="00AB6640" w:rsidRDefault="00873348" w:rsidP="001C7B61">
      <w:pPr>
        <w:pStyle w:val="ListParagraph"/>
        <w:widowControl/>
        <w:numPr>
          <w:ilvl w:val="1"/>
          <w:numId w:val="3"/>
        </w:numPr>
        <w:rPr>
          <w:szCs w:val="22"/>
        </w:rPr>
      </w:pPr>
      <w:r w:rsidRPr="00AB6640">
        <w:rPr>
          <w:szCs w:val="22"/>
        </w:rPr>
        <w:t xml:space="preserve">The submission </w:t>
      </w:r>
      <w:r w:rsidR="00712B38" w:rsidRPr="00AB6640">
        <w:rPr>
          <w:szCs w:val="22"/>
        </w:rPr>
        <w:t xml:space="preserve">noted </w:t>
      </w:r>
      <w:r w:rsidRPr="00AB6640">
        <w:rPr>
          <w:szCs w:val="22"/>
        </w:rPr>
        <w:t xml:space="preserve">a further update </w:t>
      </w:r>
      <w:r w:rsidR="00165D76" w:rsidRPr="00AB6640">
        <w:rPr>
          <w:szCs w:val="22"/>
        </w:rPr>
        <w:t>to the PI</w:t>
      </w:r>
      <w:r w:rsidR="00E774BC" w:rsidRPr="00AB6640">
        <w:rPr>
          <w:szCs w:val="22"/>
        </w:rPr>
        <w:t>,</w:t>
      </w:r>
      <w:r w:rsidR="00165D76" w:rsidRPr="00AB6640">
        <w:rPr>
          <w:szCs w:val="22"/>
        </w:rPr>
        <w:t xml:space="preserve"> </w:t>
      </w:r>
      <w:r w:rsidRPr="00AB6640">
        <w:rPr>
          <w:szCs w:val="22"/>
        </w:rPr>
        <w:t>based on ongoing maternal vaccination trials</w:t>
      </w:r>
      <w:r w:rsidR="00E774BC" w:rsidRPr="00AB6640">
        <w:rPr>
          <w:szCs w:val="22"/>
        </w:rPr>
        <w:t>,</w:t>
      </w:r>
      <w:r w:rsidRPr="00AB6640">
        <w:rPr>
          <w:szCs w:val="22"/>
        </w:rPr>
        <w:t xml:space="preserve"> </w:t>
      </w:r>
      <w:r w:rsidR="00E7498A" w:rsidRPr="00AB6640">
        <w:rPr>
          <w:szCs w:val="22"/>
        </w:rPr>
        <w:t xml:space="preserve">is </w:t>
      </w:r>
      <w:r w:rsidRPr="00AB6640">
        <w:rPr>
          <w:szCs w:val="22"/>
        </w:rPr>
        <w:t xml:space="preserve">anticipated in 2018 or 2019. </w:t>
      </w:r>
      <w:r w:rsidR="00165D76" w:rsidRPr="00AB6640">
        <w:rPr>
          <w:szCs w:val="22"/>
        </w:rPr>
        <w:t>N</w:t>
      </w:r>
      <w:r w:rsidRPr="00AB6640">
        <w:rPr>
          <w:szCs w:val="22"/>
        </w:rPr>
        <w:t xml:space="preserve">o detail </w:t>
      </w:r>
      <w:r w:rsidR="00165D76" w:rsidRPr="00AB6640">
        <w:rPr>
          <w:szCs w:val="22"/>
        </w:rPr>
        <w:t>regarding</w:t>
      </w:r>
      <w:r w:rsidRPr="00AB6640">
        <w:rPr>
          <w:szCs w:val="22"/>
        </w:rPr>
        <w:t xml:space="preserve"> this further update </w:t>
      </w:r>
      <w:r w:rsidR="00165D76" w:rsidRPr="00AB6640">
        <w:rPr>
          <w:szCs w:val="22"/>
        </w:rPr>
        <w:t xml:space="preserve">or the </w:t>
      </w:r>
      <w:r w:rsidRPr="00AB6640">
        <w:rPr>
          <w:szCs w:val="22"/>
        </w:rPr>
        <w:t xml:space="preserve">ongoing trials </w:t>
      </w:r>
      <w:r w:rsidR="00165D76" w:rsidRPr="00AB6640">
        <w:rPr>
          <w:szCs w:val="22"/>
        </w:rPr>
        <w:t xml:space="preserve">was provided </w:t>
      </w:r>
      <w:r w:rsidRPr="00AB6640">
        <w:rPr>
          <w:szCs w:val="22"/>
        </w:rPr>
        <w:t>in the submission</w:t>
      </w:r>
      <w:r w:rsidR="00FB0A2A">
        <w:rPr>
          <w:szCs w:val="22"/>
        </w:rPr>
        <w:t>,</w:t>
      </w:r>
      <w:r w:rsidR="00203B12" w:rsidRPr="00AB6640">
        <w:rPr>
          <w:szCs w:val="22"/>
        </w:rPr>
        <w:t xml:space="preserve"> the PSCR</w:t>
      </w:r>
      <w:r w:rsidR="001835FA">
        <w:rPr>
          <w:szCs w:val="22"/>
        </w:rPr>
        <w:t xml:space="preserve"> or the pre</w:t>
      </w:r>
      <w:r w:rsidR="001835FA">
        <w:rPr>
          <w:szCs w:val="22"/>
        </w:rPr>
        <w:noBreakHyphen/>
      </w:r>
      <w:r w:rsidR="00FB0A2A">
        <w:rPr>
          <w:szCs w:val="22"/>
        </w:rPr>
        <w:t>PBAC response</w:t>
      </w:r>
      <w:r w:rsidRPr="00AB6640">
        <w:rPr>
          <w:szCs w:val="22"/>
        </w:rPr>
        <w:t>.</w:t>
      </w:r>
    </w:p>
    <w:p w:rsidR="00B60939" w:rsidRPr="00AB6640" w:rsidRDefault="00B60939" w:rsidP="001C7B61">
      <w:pPr>
        <w:pStyle w:val="ListParagraph"/>
        <w:widowControl/>
        <w:rPr>
          <w:szCs w:val="22"/>
        </w:rPr>
      </w:pPr>
    </w:p>
    <w:p w:rsidR="00867724" w:rsidRPr="00AB6640" w:rsidRDefault="00DA1D0D" w:rsidP="001C7B61">
      <w:pPr>
        <w:pStyle w:val="ListParagraph"/>
        <w:widowControl/>
        <w:numPr>
          <w:ilvl w:val="1"/>
          <w:numId w:val="3"/>
        </w:numPr>
        <w:rPr>
          <w:szCs w:val="22"/>
        </w:rPr>
      </w:pPr>
      <w:r w:rsidRPr="00AB6640">
        <w:t xml:space="preserve">The PBAC has not previously considered </w:t>
      </w:r>
      <w:r w:rsidR="009C50F4" w:rsidRPr="00AB6640">
        <w:t xml:space="preserve">dTpa </w:t>
      </w:r>
      <w:r w:rsidR="00ED7070" w:rsidRPr="00AB6640">
        <w:t xml:space="preserve">for </w:t>
      </w:r>
      <w:r w:rsidR="009A2C9E" w:rsidRPr="00AB6640">
        <w:t>maternal vaccination</w:t>
      </w:r>
      <w:r w:rsidR="00ED7070" w:rsidRPr="00AB6640">
        <w:t xml:space="preserve">. In July 2011, the PBAC reviewed </w:t>
      </w:r>
      <w:r w:rsidR="00867724" w:rsidRPr="00AB6640">
        <w:t xml:space="preserve">a </w:t>
      </w:r>
      <w:r w:rsidR="00ED7070" w:rsidRPr="00AB6640">
        <w:t xml:space="preserve">submission for dTpa (Boostrix) </w:t>
      </w:r>
      <w:r w:rsidR="00867724" w:rsidRPr="00AB6640">
        <w:t>for</w:t>
      </w:r>
      <w:r w:rsidR="00ED7070" w:rsidRPr="00AB6640">
        <w:t xml:space="preserve"> vaccination of both parents of newborn infants, at or around the time of birth of their child </w:t>
      </w:r>
      <w:r w:rsidR="00867724" w:rsidRPr="00AB6640">
        <w:t>(</w:t>
      </w:r>
      <w:r w:rsidR="00ED7070" w:rsidRPr="00AB6640">
        <w:t>known as a ‘cocooning’ strategy</w:t>
      </w:r>
      <w:r w:rsidR="00867724" w:rsidRPr="00AB6640">
        <w:t>)</w:t>
      </w:r>
      <w:r w:rsidR="00ED7070" w:rsidRPr="00AB6640">
        <w:t xml:space="preserve">. </w:t>
      </w:r>
      <w:r w:rsidR="00A243DB" w:rsidRPr="00AB6640">
        <w:t xml:space="preserve">In November 2011, the PBAC reviewed a submission for dTpa (Adacel) for ‘cocooning’. Both </w:t>
      </w:r>
      <w:r w:rsidR="00ED7070" w:rsidRPr="00AB6640">
        <w:t>submission</w:t>
      </w:r>
      <w:r w:rsidR="00A243DB" w:rsidRPr="00AB6640">
        <w:t>s were</w:t>
      </w:r>
      <w:r w:rsidR="00ED7070" w:rsidRPr="00AB6640">
        <w:t xml:space="preserve"> rejected </w:t>
      </w:r>
      <w:r w:rsidR="00CB299A" w:rsidRPr="00AB6640">
        <w:t xml:space="preserve">on the basis of </w:t>
      </w:r>
      <w:r w:rsidR="00ED7070" w:rsidRPr="00AB6640">
        <w:t>uncertain clinical effectiveness and high an</w:t>
      </w:r>
      <w:r w:rsidR="009A5EE7" w:rsidRPr="00AB6640">
        <w:t>d uncertain cost effectiveness.</w:t>
      </w:r>
    </w:p>
    <w:p w:rsidR="00A243DB" w:rsidRPr="00AB6640" w:rsidRDefault="00A243DB" w:rsidP="001C7B61">
      <w:pPr>
        <w:pStyle w:val="ListParagraph"/>
        <w:widowControl/>
        <w:rPr>
          <w:szCs w:val="22"/>
        </w:rPr>
      </w:pPr>
    </w:p>
    <w:p w:rsidR="00BC609B" w:rsidRPr="00AB6640" w:rsidRDefault="00BC609B" w:rsidP="001C7B61">
      <w:pPr>
        <w:pStyle w:val="ListParagraph"/>
        <w:widowControl/>
        <w:numPr>
          <w:ilvl w:val="1"/>
          <w:numId w:val="3"/>
        </w:numPr>
        <w:rPr>
          <w:szCs w:val="22"/>
        </w:rPr>
      </w:pPr>
      <w:r w:rsidRPr="00AB6640">
        <w:t xml:space="preserve">All states and territories have implemented jurisdictionally-funded antepartum pertussis vaccination programs from late 2013 to June 2015 as a response to ongoing severe disease in young infants. </w:t>
      </w:r>
      <w:r w:rsidR="00E7498A" w:rsidRPr="00AB6640">
        <w:t>A</w:t>
      </w:r>
      <w:r w:rsidRPr="00AB6640">
        <w:t>n end date</w:t>
      </w:r>
      <w:r w:rsidR="00E7498A" w:rsidRPr="00AB6640">
        <w:t xml:space="preserve"> is not specified for any of </w:t>
      </w:r>
      <w:r w:rsidR="00E7498A" w:rsidRPr="00AB6640">
        <w:rPr>
          <w:szCs w:val="22"/>
        </w:rPr>
        <w:t>these programs</w:t>
      </w:r>
      <w:r w:rsidRPr="00AB6640">
        <w:rPr>
          <w:szCs w:val="22"/>
        </w:rPr>
        <w:t>.</w:t>
      </w:r>
    </w:p>
    <w:p w:rsidR="00867724" w:rsidRPr="00AB6640" w:rsidRDefault="00867724" w:rsidP="001C7B61">
      <w:pPr>
        <w:pStyle w:val="ListParagraph"/>
        <w:widowControl/>
        <w:rPr>
          <w:szCs w:val="22"/>
        </w:rPr>
      </w:pPr>
    </w:p>
    <w:p w:rsidR="00ED7070" w:rsidRDefault="00ED7070" w:rsidP="001C7B61">
      <w:pPr>
        <w:pStyle w:val="ListParagraph"/>
        <w:widowControl/>
        <w:numPr>
          <w:ilvl w:val="1"/>
          <w:numId w:val="3"/>
        </w:numPr>
        <w:rPr>
          <w:szCs w:val="22"/>
        </w:rPr>
      </w:pPr>
      <w:r w:rsidRPr="00AB6640">
        <w:rPr>
          <w:szCs w:val="22"/>
        </w:rPr>
        <w:t xml:space="preserve">ATAGI </w:t>
      </w:r>
      <w:r w:rsidR="00203B12" w:rsidRPr="00AB6640">
        <w:rPr>
          <w:szCs w:val="22"/>
        </w:rPr>
        <w:t xml:space="preserve">advised </w:t>
      </w:r>
      <w:r w:rsidR="00FC2DE4" w:rsidRPr="00AB6640">
        <w:rPr>
          <w:szCs w:val="22"/>
        </w:rPr>
        <w:t>that dTpa (Boostrix) would be suitable for funding under the NIP for</w:t>
      </w:r>
      <w:r w:rsidR="00175179" w:rsidRPr="00AB6640">
        <w:rPr>
          <w:szCs w:val="22"/>
        </w:rPr>
        <w:t xml:space="preserve"> pregnant</w:t>
      </w:r>
      <w:r w:rsidR="00FC2DE4" w:rsidRPr="00AB6640">
        <w:rPr>
          <w:szCs w:val="22"/>
        </w:rPr>
        <w:t xml:space="preserve"> women in the third trimester of every pregnancy</w:t>
      </w:r>
      <w:r w:rsidR="004C616D" w:rsidRPr="00AB6640">
        <w:rPr>
          <w:szCs w:val="22"/>
        </w:rPr>
        <w:t>.</w:t>
      </w:r>
      <w:r w:rsidR="00B14AAE" w:rsidRPr="00AB6640">
        <w:rPr>
          <w:szCs w:val="22"/>
        </w:rPr>
        <w:t xml:space="preserve"> The ATAGI post</w:t>
      </w:r>
      <w:r w:rsidR="001835FA">
        <w:rPr>
          <w:szCs w:val="22"/>
        </w:rPr>
        <w:noBreakHyphen/>
      </w:r>
      <w:r w:rsidR="00B14AAE" w:rsidRPr="00AB6640">
        <w:rPr>
          <w:szCs w:val="22"/>
        </w:rPr>
        <w:t xml:space="preserve">submission advice </w:t>
      </w:r>
      <w:r w:rsidR="00CB299A" w:rsidRPr="00AB6640">
        <w:rPr>
          <w:szCs w:val="22"/>
        </w:rPr>
        <w:t>further advised</w:t>
      </w:r>
      <w:r w:rsidR="00B14AAE" w:rsidRPr="00AB6640">
        <w:rPr>
          <w:szCs w:val="22"/>
        </w:rPr>
        <w:t xml:space="preserve"> that the optimal timing </w:t>
      </w:r>
      <w:r w:rsidR="00CB299A" w:rsidRPr="00AB6640">
        <w:rPr>
          <w:szCs w:val="22"/>
        </w:rPr>
        <w:t xml:space="preserve">of vaccination </w:t>
      </w:r>
      <w:r w:rsidR="00B14AAE" w:rsidRPr="00AB6640">
        <w:rPr>
          <w:szCs w:val="22"/>
        </w:rPr>
        <w:t>is an issue for further consideration (see paragraph 2.3).</w:t>
      </w:r>
    </w:p>
    <w:p w:rsidR="00AB6640" w:rsidRPr="00AB6640" w:rsidRDefault="00AB6640" w:rsidP="001C7B61">
      <w:pPr>
        <w:pStyle w:val="ListParagraph"/>
        <w:widowControl/>
        <w:rPr>
          <w:szCs w:val="22"/>
        </w:rPr>
      </w:pPr>
    </w:p>
    <w:p w:rsidR="00AB6640" w:rsidRPr="0005234D" w:rsidRDefault="00AB6640" w:rsidP="001C7B61">
      <w:pPr>
        <w:widowControl/>
        <w:ind w:firstLine="720"/>
        <w:rPr>
          <w:bCs/>
          <w:szCs w:val="22"/>
        </w:rPr>
      </w:pPr>
      <w:r w:rsidRPr="002C28F9">
        <w:rPr>
          <w:bCs/>
          <w:i/>
          <w:szCs w:val="22"/>
        </w:rPr>
        <w:t>For more detail on PBAC’s view, see section 7 “PBAC outcome”</w:t>
      </w:r>
    </w:p>
    <w:p w:rsidR="00E55BB5" w:rsidRPr="00AB6640" w:rsidRDefault="00E55BB5" w:rsidP="001C7B61">
      <w:pPr>
        <w:widowControl/>
      </w:pPr>
    </w:p>
    <w:p w:rsidR="000A3BB3" w:rsidRPr="00AB6640" w:rsidRDefault="000A3BB3" w:rsidP="001C7B61">
      <w:pPr>
        <w:widowControl/>
      </w:pPr>
    </w:p>
    <w:p w:rsidR="00B50DB8" w:rsidRPr="00AB6640" w:rsidRDefault="00B50DB8" w:rsidP="00232F1B">
      <w:pPr>
        <w:pStyle w:val="Heading1"/>
      </w:pPr>
      <w:bookmarkStart w:id="5" w:name="_Toc450288334"/>
      <w:r w:rsidRPr="00AB6640">
        <w:t>Clinical place for the proposed therapy</w:t>
      </w:r>
      <w:bookmarkEnd w:id="5"/>
    </w:p>
    <w:p w:rsidR="00B60939" w:rsidRPr="00AB6640" w:rsidRDefault="00B60939" w:rsidP="001C7B61">
      <w:pPr>
        <w:widowControl/>
        <w:rPr>
          <w:szCs w:val="22"/>
        </w:rPr>
      </w:pPr>
    </w:p>
    <w:p w:rsidR="007E219A" w:rsidRPr="00AB6640" w:rsidRDefault="00520E02" w:rsidP="001C7B61">
      <w:pPr>
        <w:pStyle w:val="ListParagraph"/>
        <w:widowControl/>
        <w:numPr>
          <w:ilvl w:val="1"/>
          <w:numId w:val="3"/>
        </w:numPr>
        <w:rPr>
          <w:szCs w:val="22"/>
        </w:rPr>
      </w:pPr>
      <w:r w:rsidRPr="00AB6640">
        <w:t>Pertussis</w:t>
      </w:r>
      <w:r w:rsidR="00203B12" w:rsidRPr="00AB6640">
        <w:t xml:space="preserve"> (</w:t>
      </w:r>
      <w:r w:rsidR="002A627C" w:rsidRPr="00AB6640">
        <w:t xml:space="preserve">or </w:t>
      </w:r>
      <w:r w:rsidR="00203B12" w:rsidRPr="00AB6640">
        <w:t>whooping cough)</w:t>
      </w:r>
      <w:r w:rsidRPr="00AB6640">
        <w:t xml:space="preserve"> is a highly infectious disease of the upper respiratory tract, caused by the bacterial organism Bordetella pertussis.</w:t>
      </w:r>
      <w:r w:rsidR="002D4A7B" w:rsidRPr="00AB6640">
        <w:t xml:space="preserve"> </w:t>
      </w:r>
      <w:r w:rsidR="00D603B1" w:rsidRPr="00AB6640">
        <w:t>Currently, childhood doses of pertussis vaccine</w:t>
      </w:r>
      <w:r w:rsidR="00012007" w:rsidRPr="00AB6640">
        <w:t xml:space="preserve"> </w:t>
      </w:r>
      <w:r w:rsidR="00A243DB" w:rsidRPr="00AB6640">
        <w:t xml:space="preserve">are scheduled </w:t>
      </w:r>
      <w:r w:rsidR="00012007" w:rsidRPr="00AB6640">
        <w:t>at two, four and six months of age, with booster doses at 18</w:t>
      </w:r>
      <w:r w:rsidR="00203B12" w:rsidRPr="00AB6640">
        <w:t> </w:t>
      </w:r>
      <w:r w:rsidR="00012007" w:rsidRPr="00AB6640">
        <w:t>months, four years and 10-15 years.</w:t>
      </w:r>
      <w:r w:rsidR="00067618" w:rsidRPr="00AB6640">
        <w:t xml:space="preserve"> </w:t>
      </w:r>
      <w:r w:rsidR="00144624" w:rsidRPr="00AB6640">
        <w:rPr>
          <w:rFonts w:hint="eastAsia"/>
        </w:rPr>
        <w:t>DTPa</w:t>
      </w:r>
      <w:r w:rsidR="00144624" w:rsidRPr="00AB6640">
        <w:t xml:space="preserve"> (Infanrix, Tripacel)</w:t>
      </w:r>
      <w:r w:rsidR="00144624" w:rsidRPr="00AB6640">
        <w:rPr>
          <w:rFonts w:hint="eastAsia"/>
        </w:rPr>
        <w:t xml:space="preserve"> is a child formulation of diphtheria, tetanus and acellular pertussis-containing vaccines</w:t>
      </w:r>
      <w:r w:rsidR="00144624" w:rsidRPr="00AB6640">
        <w:t>.</w:t>
      </w:r>
      <w:r w:rsidR="00144624" w:rsidRPr="00AB6640">
        <w:rPr>
          <w:rFonts w:hint="eastAsia"/>
        </w:rPr>
        <w:t xml:space="preserve"> dTpa</w:t>
      </w:r>
      <w:r w:rsidR="00144624" w:rsidRPr="00AB6640">
        <w:t xml:space="preserve"> (Boostrix, Adacel)</w:t>
      </w:r>
      <w:r w:rsidR="00144624" w:rsidRPr="00AB6640">
        <w:rPr>
          <w:rFonts w:hint="eastAsia"/>
        </w:rPr>
        <w:t xml:space="preserve"> reduced antigen content formulation, is used in adults, adolescents and children aged </w:t>
      </w:r>
      <w:r w:rsidR="00144624" w:rsidRPr="00AB6640">
        <w:t>≥</w:t>
      </w:r>
      <w:r w:rsidR="00144624" w:rsidRPr="00AB6640">
        <w:rPr>
          <w:rFonts w:hint="eastAsia"/>
        </w:rPr>
        <w:t>10 years.</w:t>
      </w:r>
    </w:p>
    <w:p w:rsidR="00144624" w:rsidRPr="00AB6640" w:rsidRDefault="00144624" w:rsidP="001C7B61">
      <w:pPr>
        <w:pStyle w:val="ListParagraph"/>
        <w:widowControl/>
        <w:rPr>
          <w:szCs w:val="22"/>
        </w:rPr>
      </w:pPr>
    </w:p>
    <w:p w:rsidR="004C75E4" w:rsidRDefault="00CE30C3" w:rsidP="001C7B61">
      <w:pPr>
        <w:pStyle w:val="ListParagraph"/>
        <w:widowControl/>
        <w:numPr>
          <w:ilvl w:val="1"/>
          <w:numId w:val="3"/>
        </w:numPr>
        <w:rPr>
          <w:szCs w:val="22"/>
        </w:rPr>
      </w:pPr>
      <w:r w:rsidRPr="00AB6640">
        <w:rPr>
          <w:szCs w:val="22"/>
        </w:rPr>
        <w:t>The submission proposed to include dTpa on the NIP schedule for immunisation of women in the third trimester of every pregnancy.</w:t>
      </w:r>
    </w:p>
    <w:p w:rsidR="00AB6640" w:rsidRPr="00AB6640" w:rsidRDefault="00AB6640" w:rsidP="001C7B61">
      <w:pPr>
        <w:pStyle w:val="ListParagraph"/>
        <w:widowControl/>
        <w:rPr>
          <w:szCs w:val="22"/>
        </w:rPr>
      </w:pPr>
    </w:p>
    <w:p w:rsidR="00AB6640" w:rsidRPr="0005234D" w:rsidRDefault="00AB6640" w:rsidP="001C7B61">
      <w:pPr>
        <w:widowControl/>
        <w:ind w:firstLine="720"/>
        <w:rPr>
          <w:bCs/>
          <w:szCs w:val="22"/>
        </w:rPr>
      </w:pPr>
      <w:r w:rsidRPr="002C28F9">
        <w:rPr>
          <w:bCs/>
          <w:i/>
          <w:szCs w:val="22"/>
        </w:rPr>
        <w:t>For more detail on PBAC’s view, see section 7 “PBAC outcome”</w:t>
      </w:r>
    </w:p>
    <w:p w:rsidR="000D2F92" w:rsidRPr="00AB6640" w:rsidRDefault="000D2F92" w:rsidP="001C7B61">
      <w:pPr>
        <w:pStyle w:val="ListParagraph"/>
        <w:widowControl/>
        <w:rPr>
          <w:szCs w:val="22"/>
        </w:rPr>
      </w:pPr>
    </w:p>
    <w:p w:rsidR="00D91BA5" w:rsidRPr="00AB6640" w:rsidRDefault="00D91BA5" w:rsidP="001C7B61">
      <w:pPr>
        <w:pStyle w:val="ListParagraph"/>
        <w:widowControl/>
        <w:rPr>
          <w:szCs w:val="22"/>
        </w:rPr>
      </w:pPr>
    </w:p>
    <w:p w:rsidR="00B50DB8" w:rsidRPr="00AB6640" w:rsidRDefault="00B50DB8" w:rsidP="00232F1B">
      <w:pPr>
        <w:pStyle w:val="Heading1"/>
      </w:pPr>
      <w:bookmarkStart w:id="6" w:name="_Toc450288335"/>
      <w:r w:rsidRPr="00AB6640">
        <w:lastRenderedPageBreak/>
        <w:t>Comparator</w:t>
      </w:r>
      <w:bookmarkEnd w:id="6"/>
    </w:p>
    <w:p w:rsidR="00B60939" w:rsidRPr="00AB6640" w:rsidRDefault="00B60939" w:rsidP="001C7B61">
      <w:pPr>
        <w:widowControl/>
      </w:pPr>
    </w:p>
    <w:p w:rsidR="002C2775" w:rsidRDefault="002F0675" w:rsidP="001C7B61">
      <w:pPr>
        <w:pStyle w:val="ListParagraph"/>
        <w:widowControl/>
        <w:numPr>
          <w:ilvl w:val="1"/>
          <w:numId w:val="3"/>
        </w:numPr>
      </w:pPr>
      <w:r w:rsidRPr="00AB6640">
        <w:rPr>
          <w:szCs w:val="22"/>
        </w:rPr>
        <w:t>The submission nominated n</w:t>
      </w:r>
      <w:r w:rsidR="003357F8" w:rsidRPr="00AB6640">
        <w:rPr>
          <w:szCs w:val="22"/>
        </w:rPr>
        <w:t>o vaccination</w:t>
      </w:r>
      <w:r w:rsidRPr="00AB6640">
        <w:rPr>
          <w:szCs w:val="22"/>
        </w:rPr>
        <w:t xml:space="preserve"> as the</w:t>
      </w:r>
      <w:r w:rsidR="00CB299A" w:rsidRPr="00AB6640">
        <w:rPr>
          <w:szCs w:val="22"/>
        </w:rPr>
        <w:t xml:space="preserve"> main</w:t>
      </w:r>
      <w:r w:rsidRPr="00AB6640">
        <w:rPr>
          <w:szCs w:val="22"/>
        </w:rPr>
        <w:t xml:space="preserve"> comparator</w:t>
      </w:r>
      <w:r w:rsidR="00CB299A" w:rsidRPr="00AB6640">
        <w:rPr>
          <w:szCs w:val="22"/>
        </w:rPr>
        <w:t>.</w:t>
      </w:r>
      <w:r w:rsidR="000D2F92" w:rsidRPr="00AB6640">
        <w:t xml:space="preserve"> </w:t>
      </w:r>
      <w:r w:rsidR="00203B12" w:rsidRPr="00AB6640">
        <w:t xml:space="preserve">The ESC noted that states and territories are </w:t>
      </w:r>
      <w:r w:rsidR="00CB299A" w:rsidRPr="00AB6640">
        <w:t>currently funding antepartum pertussis vaccination programs but</w:t>
      </w:r>
      <w:r w:rsidR="000D2F92" w:rsidRPr="00AB6640">
        <w:t xml:space="preserve"> considered that no vaccination was the appropriate comparator for PBAC consideration. The ESC noted that the PBAC has not previously assessed such a program for clinical and cost effectiveness</w:t>
      </w:r>
      <w:r w:rsidR="00C86627" w:rsidRPr="00AB6640">
        <w:t xml:space="preserve">. Further, </w:t>
      </w:r>
      <w:r w:rsidR="000D2F92" w:rsidRPr="00AB6640">
        <w:t xml:space="preserve">no vaccination would be consistent with the accepted comparator for the July 2011 and November 2011 ‘cocooning’ submissions (which, at that time, </w:t>
      </w:r>
      <w:r w:rsidR="002E6F7F" w:rsidRPr="00AB6640">
        <w:t>was</w:t>
      </w:r>
      <w:r w:rsidR="000D2F92" w:rsidRPr="00AB6640">
        <w:t xml:space="preserve"> also </w:t>
      </w:r>
      <w:r w:rsidR="002E6F7F" w:rsidRPr="00AB6640">
        <w:t xml:space="preserve">funded </w:t>
      </w:r>
      <w:r w:rsidR="000D2F92" w:rsidRPr="00AB6640">
        <w:t>through jurisdictional programs).</w:t>
      </w:r>
    </w:p>
    <w:p w:rsidR="00AB6640" w:rsidRDefault="00AB6640" w:rsidP="001C7B61">
      <w:pPr>
        <w:pStyle w:val="ListParagraph"/>
        <w:widowControl/>
      </w:pPr>
    </w:p>
    <w:p w:rsidR="00AB6640" w:rsidRPr="00AB6640" w:rsidRDefault="00AB6640" w:rsidP="001C7B61">
      <w:pPr>
        <w:pStyle w:val="PBACHeading1"/>
        <w:numPr>
          <w:ilvl w:val="0"/>
          <w:numId w:val="0"/>
        </w:numPr>
        <w:ind w:left="720"/>
        <w:rPr>
          <w:b w:val="0"/>
          <w:i/>
        </w:rPr>
      </w:pPr>
      <w:r w:rsidRPr="002C28F9">
        <w:rPr>
          <w:b w:val="0"/>
          <w:i/>
        </w:rPr>
        <w:t>For more detail on PBAC’s view, see section 7 “PBAC outcome”</w:t>
      </w:r>
    </w:p>
    <w:p w:rsidR="007404C6" w:rsidRPr="00AB6640" w:rsidRDefault="007404C6" w:rsidP="001C7B61">
      <w:pPr>
        <w:widowControl/>
        <w:jc w:val="left"/>
        <w:rPr>
          <w:szCs w:val="22"/>
        </w:rPr>
      </w:pPr>
    </w:p>
    <w:p w:rsidR="000A3BB3" w:rsidRPr="00AB6640" w:rsidRDefault="000A3BB3" w:rsidP="001C7B61">
      <w:pPr>
        <w:widowControl/>
        <w:jc w:val="left"/>
        <w:rPr>
          <w:szCs w:val="22"/>
        </w:rPr>
      </w:pPr>
    </w:p>
    <w:p w:rsidR="00B50DB8" w:rsidRDefault="00BD6CF3" w:rsidP="00232F1B">
      <w:pPr>
        <w:pStyle w:val="Heading1"/>
      </w:pPr>
      <w:bookmarkStart w:id="7" w:name="_Toc450288336"/>
      <w:r w:rsidRPr="00AB6640">
        <w:t>C</w:t>
      </w:r>
      <w:r w:rsidR="00B50DB8" w:rsidRPr="00AB6640">
        <w:t>onsideration of the evidence</w:t>
      </w:r>
      <w:bookmarkEnd w:id="7"/>
    </w:p>
    <w:p w:rsidR="00766DAC" w:rsidRDefault="00766DAC" w:rsidP="001C7B61">
      <w:pPr>
        <w:pStyle w:val="PBACHeading1"/>
        <w:keepNext/>
        <w:numPr>
          <w:ilvl w:val="0"/>
          <w:numId w:val="0"/>
        </w:numPr>
      </w:pPr>
    </w:p>
    <w:p w:rsidR="00766DAC" w:rsidRPr="00232F1B" w:rsidRDefault="00766DAC" w:rsidP="00232F1B">
      <w:pPr>
        <w:pStyle w:val="Heading2"/>
      </w:pPr>
      <w:r w:rsidRPr="00232F1B">
        <w:t>Sponsor hearing</w:t>
      </w:r>
    </w:p>
    <w:p w:rsidR="00766DAC" w:rsidRPr="00FB0A2A" w:rsidRDefault="00766DAC" w:rsidP="001C7B61">
      <w:pPr>
        <w:widowControl/>
        <w:rPr>
          <w:b/>
          <w:bCs/>
          <w:szCs w:val="22"/>
        </w:rPr>
      </w:pPr>
    </w:p>
    <w:p w:rsidR="002C28F9" w:rsidRPr="00FB0A2A" w:rsidRDefault="002C28F9" w:rsidP="002C28F9">
      <w:pPr>
        <w:widowControl/>
        <w:numPr>
          <w:ilvl w:val="1"/>
          <w:numId w:val="3"/>
        </w:numPr>
        <w:jc w:val="left"/>
        <w:rPr>
          <w:bCs/>
          <w:szCs w:val="22"/>
        </w:rPr>
      </w:pPr>
      <w:r w:rsidRPr="00FB0A2A">
        <w:rPr>
          <w:bCs/>
          <w:szCs w:val="22"/>
        </w:rPr>
        <w:t>There was no hearing for this item.</w:t>
      </w:r>
    </w:p>
    <w:p w:rsidR="00766DAC" w:rsidRPr="00FB0A2A" w:rsidRDefault="00766DAC" w:rsidP="001C7B61">
      <w:pPr>
        <w:widowControl/>
        <w:rPr>
          <w:bCs/>
          <w:szCs w:val="22"/>
        </w:rPr>
      </w:pPr>
    </w:p>
    <w:p w:rsidR="00766DAC" w:rsidRPr="00FB0A2A" w:rsidRDefault="00766DAC" w:rsidP="00232F1B">
      <w:pPr>
        <w:pStyle w:val="Heading2"/>
      </w:pPr>
      <w:r w:rsidRPr="00FB0A2A">
        <w:t>Consumer comments</w:t>
      </w:r>
    </w:p>
    <w:p w:rsidR="00766DAC" w:rsidRPr="00FB0A2A" w:rsidRDefault="00766DAC" w:rsidP="001C7B61">
      <w:pPr>
        <w:widowControl/>
        <w:rPr>
          <w:b/>
          <w:bCs/>
          <w:szCs w:val="22"/>
        </w:rPr>
      </w:pPr>
    </w:p>
    <w:p w:rsidR="002C28F9" w:rsidRPr="00FB0A2A" w:rsidRDefault="002C28F9" w:rsidP="002C28F9">
      <w:pPr>
        <w:widowControl/>
        <w:numPr>
          <w:ilvl w:val="1"/>
          <w:numId w:val="3"/>
        </w:numPr>
        <w:rPr>
          <w:bCs/>
          <w:szCs w:val="22"/>
        </w:rPr>
      </w:pPr>
      <w:r w:rsidRPr="00FB0A2A">
        <w:rPr>
          <w:bCs/>
          <w:szCs w:val="22"/>
        </w:rPr>
        <w:t>The PBAC noted and welcomed the input from individuals (132), health care professionals (4) and organisations (1) via the Consumer Comments facility on the PBS website.  The comments described a range of benefits of including dTpa on the NIP</w:t>
      </w:r>
      <w:r w:rsidR="001835FA">
        <w:rPr>
          <w:bCs/>
          <w:szCs w:val="22"/>
        </w:rPr>
        <w:t xml:space="preserve"> for vaccination of pregnant women</w:t>
      </w:r>
      <w:r w:rsidRPr="00FB0A2A">
        <w:rPr>
          <w:bCs/>
          <w:szCs w:val="22"/>
        </w:rPr>
        <w:t xml:space="preserve"> including avoiding infant deaths from pertussis, reduction in morbidity for adults</w:t>
      </w:r>
      <w:r>
        <w:rPr>
          <w:bCs/>
          <w:szCs w:val="22"/>
        </w:rPr>
        <w:t>,</w:t>
      </w:r>
      <w:r w:rsidRPr="00FB0A2A">
        <w:rPr>
          <w:bCs/>
          <w:szCs w:val="22"/>
        </w:rPr>
        <w:t xml:space="preserve"> and improved access, information and certainty of funding associated with a national program (compared with the current state based arrangements). In addition, </w:t>
      </w:r>
      <w:r>
        <w:rPr>
          <w:bCs/>
          <w:szCs w:val="22"/>
        </w:rPr>
        <w:t xml:space="preserve">a small number of </w:t>
      </w:r>
      <w:r w:rsidRPr="00FB0A2A">
        <w:rPr>
          <w:bCs/>
          <w:szCs w:val="22"/>
        </w:rPr>
        <w:t xml:space="preserve">comments </w:t>
      </w:r>
      <w:r w:rsidR="000118A0">
        <w:rPr>
          <w:bCs/>
          <w:szCs w:val="22"/>
        </w:rPr>
        <w:t xml:space="preserve">were not supportive of the requested listing, including </w:t>
      </w:r>
      <w:r w:rsidRPr="00FB0A2A">
        <w:rPr>
          <w:bCs/>
          <w:szCs w:val="22"/>
        </w:rPr>
        <w:t xml:space="preserve">concerns </w:t>
      </w:r>
      <w:r w:rsidR="00E01306">
        <w:rPr>
          <w:bCs/>
          <w:szCs w:val="22"/>
        </w:rPr>
        <w:t>regarding a claimed</w:t>
      </w:r>
      <w:r w:rsidRPr="00FB0A2A">
        <w:rPr>
          <w:bCs/>
          <w:szCs w:val="22"/>
        </w:rPr>
        <w:t xml:space="preserve"> lack of evidence of the efficacy and safety of the vaccine in pregnancy</w:t>
      </w:r>
      <w:r w:rsidR="00903E47">
        <w:rPr>
          <w:bCs/>
          <w:szCs w:val="22"/>
        </w:rPr>
        <w:t>.</w:t>
      </w:r>
      <w:r w:rsidR="001835FA">
        <w:rPr>
          <w:bCs/>
          <w:szCs w:val="22"/>
        </w:rPr>
        <w:t xml:space="preserve"> </w:t>
      </w:r>
    </w:p>
    <w:p w:rsidR="002C28F9" w:rsidRPr="00FB0A2A" w:rsidRDefault="002C28F9" w:rsidP="002C28F9">
      <w:pPr>
        <w:widowControl/>
        <w:rPr>
          <w:bCs/>
          <w:szCs w:val="22"/>
        </w:rPr>
      </w:pPr>
    </w:p>
    <w:p w:rsidR="002C28F9" w:rsidRPr="00FB0A2A" w:rsidRDefault="002C28F9" w:rsidP="002C28F9">
      <w:pPr>
        <w:widowControl/>
        <w:numPr>
          <w:ilvl w:val="1"/>
          <w:numId w:val="3"/>
        </w:numPr>
        <w:rPr>
          <w:bCs/>
          <w:szCs w:val="22"/>
        </w:rPr>
      </w:pPr>
      <w:r w:rsidRPr="00FB0A2A">
        <w:rPr>
          <w:bCs/>
          <w:szCs w:val="22"/>
        </w:rPr>
        <w:t>The PBAC noted the advice received from Northern Rivers Vaccination Supporters Group which supported the request to list dTpa on the NIP for pregnant women to provide added protection to the infant in the first few weeks of life, until they are able to start their own vaccination schedule at six weeks old. The PBAC specifically noted the advice that listing the vaccine on the NIP will increase awareness of the vaccine with mothers</w:t>
      </w:r>
      <w:r w:rsidR="001F2FFA">
        <w:rPr>
          <w:bCs/>
          <w:szCs w:val="22"/>
        </w:rPr>
        <w:t>,</w:t>
      </w:r>
      <w:r w:rsidRPr="00FB0A2A">
        <w:rPr>
          <w:bCs/>
          <w:szCs w:val="22"/>
        </w:rPr>
        <w:t xml:space="preserve"> clinicians and other adults.</w:t>
      </w:r>
    </w:p>
    <w:p w:rsidR="00B60939" w:rsidRPr="00AB6640" w:rsidRDefault="00B60939" w:rsidP="001C7B61">
      <w:pPr>
        <w:keepNext/>
        <w:widowControl/>
      </w:pPr>
    </w:p>
    <w:p w:rsidR="00B60939" w:rsidRPr="00AB6640" w:rsidRDefault="00B60939" w:rsidP="00232F1B">
      <w:pPr>
        <w:pStyle w:val="Heading2"/>
      </w:pPr>
      <w:bookmarkStart w:id="8" w:name="_Toc450288337"/>
      <w:r w:rsidRPr="00AB6640">
        <w:t>Clinical trials</w:t>
      </w:r>
      <w:bookmarkEnd w:id="8"/>
    </w:p>
    <w:p w:rsidR="00B60939" w:rsidRPr="00AB6640" w:rsidRDefault="00B60939" w:rsidP="001C7B61">
      <w:pPr>
        <w:keepNext/>
        <w:widowControl/>
        <w:rPr>
          <w:szCs w:val="22"/>
        </w:rPr>
      </w:pPr>
    </w:p>
    <w:p w:rsidR="00862502" w:rsidRPr="00AB6640" w:rsidRDefault="00D22430" w:rsidP="001C7B61">
      <w:pPr>
        <w:pStyle w:val="ListParagraph"/>
        <w:widowControl/>
        <w:numPr>
          <w:ilvl w:val="1"/>
          <w:numId w:val="3"/>
        </w:numPr>
        <w:rPr>
          <w:szCs w:val="22"/>
        </w:rPr>
      </w:pPr>
      <w:r w:rsidRPr="00AB6640">
        <w:rPr>
          <w:szCs w:val="22"/>
        </w:rPr>
        <w:t xml:space="preserve">No randomised trials were located reporting the </w:t>
      </w:r>
      <w:r w:rsidR="00144624" w:rsidRPr="00AB6640">
        <w:rPr>
          <w:szCs w:val="22"/>
        </w:rPr>
        <w:t xml:space="preserve">clinical </w:t>
      </w:r>
      <w:r w:rsidRPr="00AB6640">
        <w:rPr>
          <w:szCs w:val="22"/>
        </w:rPr>
        <w:t xml:space="preserve">effectiveness of maternal dTpa vaccination. </w:t>
      </w:r>
      <w:r w:rsidR="00C17D54" w:rsidRPr="00AB6640">
        <w:t xml:space="preserve">The </w:t>
      </w:r>
      <w:r w:rsidR="00063828" w:rsidRPr="00AB6640">
        <w:t>key clinical evidence presented in the submission included</w:t>
      </w:r>
      <w:r w:rsidR="00C17D54" w:rsidRPr="00AB6640">
        <w:t>:</w:t>
      </w:r>
    </w:p>
    <w:p w:rsidR="00C17D54" w:rsidRPr="00AB6640" w:rsidRDefault="00C17D54" w:rsidP="00163227">
      <w:pPr>
        <w:pStyle w:val="ListParagraph"/>
        <w:widowControl/>
        <w:numPr>
          <w:ilvl w:val="0"/>
          <w:numId w:val="22"/>
        </w:numPr>
        <w:rPr>
          <w:b/>
        </w:rPr>
      </w:pPr>
      <w:bookmarkStart w:id="9" w:name="_Toc448741916"/>
      <w:r w:rsidRPr="00AB6640">
        <w:t xml:space="preserve">Two randomised controlled trials and one cohort controlled clinical study investigating the comparative effect of maternal dTpa vaccination and no active immunisation against pertussis, on immunogenicity and safety outcomes; </w:t>
      </w:r>
      <w:r w:rsidR="00846F83" w:rsidRPr="00AB6640">
        <w:t>and</w:t>
      </w:r>
      <w:bookmarkEnd w:id="9"/>
    </w:p>
    <w:p w:rsidR="00C17D54" w:rsidRPr="00AB6640" w:rsidRDefault="00846F83" w:rsidP="00163227">
      <w:pPr>
        <w:pStyle w:val="ListParagraph"/>
        <w:widowControl/>
        <w:numPr>
          <w:ilvl w:val="0"/>
          <w:numId w:val="22"/>
        </w:numPr>
        <w:rPr>
          <w:b/>
        </w:rPr>
      </w:pPr>
      <w:bookmarkStart w:id="10" w:name="_Toc448741917"/>
      <w:r w:rsidRPr="00AB6640">
        <w:t>T</w:t>
      </w:r>
      <w:r w:rsidR="00C17D54" w:rsidRPr="00AB6640">
        <w:t>wo population-level observational studies from the UK assessing the effectiveness of the maternal dTpa vaccination in infants</w:t>
      </w:r>
      <w:r w:rsidRPr="00AB6640">
        <w:t>.</w:t>
      </w:r>
      <w:bookmarkEnd w:id="10"/>
      <w:r w:rsidR="00C17D54" w:rsidRPr="00AB6640">
        <w:t xml:space="preserve"> </w:t>
      </w:r>
    </w:p>
    <w:p w:rsidR="00C17D54" w:rsidRPr="00AB6640" w:rsidRDefault="00C17D54" w:rsidP="001C7B61">
      <w:pPr>
        <w:pStyle w:val="ListParagraph"/>
        <w:widowControl/>
        <w:rPr>
          <w:szCs w:val="22"/>
        </w:rPr>
      </w:pPr>
    </w:p>
    <w:p w:rsidR="00862502" w:rsidRPr="00AB6640" w:rsidRDefault="00862502" w:rsidP="001C7B61">
      <w:pPr>
        <w:pStyle w:val="ListParagraph"/>
        <w:widowControl/>
        <w:numPr>
          <w:ilvl w:val="1"/>
          <w:numId w:val="3"/>
        </w:numPr>
        <w:rPr>
          <w:szCs w:val="22"/>
        </w:rPr>
      </w:pPr>
      <w:r w:rsidRPr="00AB6640">
        <w:rPr>
          <w:szCs w:val="22"/>
        </w:rPr>
        <w:t xml:space="preserve">Details of the trials presented in the submission are provided in </w:t>
      </w:r>
      <w:r w:rsidR="000A3BB3" w:rsidRPr="00AB6640">
        <w:rPr>
          <w:szCs w:val="22"/>
        </w:rPr>
        <w:t>Table 1</w:t>
      </w:r>
      <w:r w:rsidRPr="00AB6640">
        <w:rPr>
          <w:szCs w:val="22"/>
        </w:rPr>
        <w:t xml:space="preserve">.  </w:t>
      </w:r>
    </w:p>
    <w:p w:rsidR="000A3BB3" w:rsidRPr="00AB6640" w:rsidRDefault="000A3BB3" w:rsidP="001C7B61">
      <w:pPr>
        <w:widowControl/>
        <w:jc w:val="left"/>
        <w:rPr>
          <w:szCs w:val="22"/>
        </w:rPr>
      </w:pPr>
      <w:r w:rsidRPr="00AB6640">
        <w:rPr>
          <w:szCs w:val="22"/>
        </w:rPr>
        <w:br w:type="page"/>
      </w:r>
    </w:p>
    <w:p w:rsidR="00C6643A" w:rsidRDefault="008F120A" w:rsidP="001C7B61">
      <w:pPr>
        <w:widowControl/>
        <w:ind w:firstLine="720"/>
        <w:rPr>
          <w:rStyle w:val="CommentReference"/>
        </w:rPr>
      </w:pPr>
      <w:r w:rsidRPr="00DD3B96">
        <w:rPr>
          <w:rStyle w:val="CommentReference"/>
        </w:rPr>
        <w:t>Table</w:t>
      </w:r>
      <w:r w:rsidR="00AF14A2" w:rsidRPr="00DD3B96">
        <w:rPr>
          <w:rStyle w:val="CommentReference"/>
        </w:rPr>
        <w:t xml:space="preserve"> 1</w:t>
      </w:r>
      <w:r w:rsidRPr="00DD3B96">
        <w:rPr>
          <w:rStyle w:val="CommentReference"/>
        </w:rPr>
        <w:t>:</w:t>
      </w:r>
      <w:r w:rsidR="00EC536C">
        <w:rPr>
          <w:rStyle w:val="CommentReference"/>
        </w:rPr>
        <w:t xml:space="preserve"> </w:t>
      </w:r>
      <w:r w:rsidR="00AF14A2" w:rsidRPr="00DD3B96">
        <w:rPr>
          <w:rStyle w:val="CommentReference"/>
        </w:rPr>
        <w:t>Trials and associated reports presented in the submission</w:t>
      </w:r>
    </w:p>
    <w:tbl>
      <w:tblPr>
        <w:tblStyle w:val="TableGrid"/>
        <w:tblW w:w="0" w:type="auto"/>
        <w:tblInd w:w="817" w:type="dxa"/>
        <w:tblLook w:val="04A0" w:firstRow="1" w:lastRow="0" w:firstColumn="1" w:lastColumn="0" w:noHBand="0" w:noVBand="1"/>
        <w:tblCaption w:val="Table 1: Trials and associated reports presented in the submission"/>
      </w:tblPr>
      <w:tblGrid>
        <w:gridCol w:w="1701"/>
        <w:gridCol w:w="4827"/>
        <w:gridCol w:w="1897"/>
      </w:tblGrid>
      <w:tr w:rsidR="00FD7F87" w:rsidTr="00E0257A">
        <w:trPr>
          <w:tblHeader/>
        </w:trPr>
        <w:tc>
          <w:tcPr>
            <w:tcW w:w="1701" w:type="dxa"/>
          </w:tcPr>
          <w:p w:rsidR="00FD7F87" w:rsidRPr="00FD7F87" w:rsidRDefault="00FD7F87" w:rsidP="001C7B61">
            <w:pPr>
              <w:pStyle w:val="TableText1"/>
              <w:rPr>
                <w:szCs w:val="20"/>
              </w:rPr>
            </w:pPr>
            <w:r w:rsidRPr="00DD3B96">
              <w:rPr>
                <w:b/>
                <w:szCs w:val="20"/>
              </w:rPr>
              <w:t>Trial ID</w:t>
            </w:r>
          </w:p>
        </w:tc>
        <w:tc>
          <w:tcPr>
            <w:tcW w:w="4827" w:type="dxa"/>
          </w:tcPr>
          <w:p w:rsidR="00FD7F87" w:rsidRPr="00FD7F87" w:rsidRDefault="00FD7F87" w:rsidP="001C7B61">
            <w:pPr>
              <w:pStyle w:val="TableText1"/>
              <w:rPr>
                <w:szCs w:val="20"/>
              </w:rPr>
            </w:pPr>
            <w:r w:rsidRPr="00DD3B96">
              <w:rPr>
                <w:b/>
                <w:szCs w:val="20"/>
              </w:rPr>
              <w:t>Protocol title/ Publication title</w:t>
            </w:r>
          </w:p>
        </w:tc>
        <w:tc>
          <w:tcPr>
            <w:tcW w:w="1897" w:type="dxa"/>
          </w:tcPr>
          <w:p w:rsidR="00FD7F87" w:rsidRPr="00FD7F87" w:rsidRDefault="00FD7F87" w:rsidP="001C7B61">
            <w:pPr>
              <w:pStyle w:val="TableText1"/>
              <w:rPr>
                <w:szCs w:val="20"/>
              </w:rPr>
            </w:pPr>
            <w:r w:rsidRPr="00DD3B96">
              <w:rPr>
                <w:b/>
                <w:szCs w:val="20"/>
              </w:rPr>
              <w:t>Publication citation</w:t>
            </w:r>
          </w:p>
        </w:tc>
      </w:tr>
      <w:tr w:rsidR="00FD7F87" w:rsidTr="00E0257A">
        <w:tc>
          <w:tcPr>
            <w:tcW w:w="8425" w:type="dxa"/>
            <w:gridSpan w:val="3"/>
          </w:tcPr>
          <w:p w:rsidR="00FD7F87" w:rsidRPr="00FD7F87" w:rsidRDefault="00FD7F87" w:rsidP="001C7B61">
            <w:pPr>
              <w:pStyle w:val="TableText1"/>
              <w:rPr>
                <w:szCs w:val="20"/>
              </w:rPr>
            </w:pPr>
            <w:r w:rsidRPr="00DD3B96">
              <w:rPr>
                <w:b/>
                <w:szCs w:val="20"/>
              </w:rPr>
              <w:t xml:space="preserve">Vaccine </w:t>
            </w:r>
            <w:r w:rsidR="006F12F6">
              <w:rPr>
                <w:b/>
                <w:szCs w:val="20"/>
              </w:rPr>
              <w:t>e</w:t>
            </w:r>
            <w:r w:rsidRPr="00DD3B96">
              <w:rPr>
                <w:b/>
                <w:szCs w:val="20"/>
              </w:rPr>
              <w:t>fficacy</w:t>
            </w:r>
            <w:r w:rsidR="006F12F6">
              <w:rPr>
                <w:b/>
                <w:szCs w:val="20"/>
              </w:rPr>
              <w:t xml:space="preserve"> in infants</w:t>
            </w:r>
            <w:r w:rsidRPr="00DD3B96">
              <w:rPr>
                <w:b/>
                <w:szCs w:val="20"/>
              </w:rPr>
              <w:t xml:space="preserve"> – </w:t>
            </w:r>
            <w:r w:rsidR="006F12F6">
              <w:rPr>
                <w:b/>
                <w:szCs w:val="20"/>
              </w:rPr>
              <w:t>n</w:t>
            </w:r>
            <w:r w:rsidRPr="00DD3B96">
              <w:rPr>
                <w:b/>
                <w:szCs w:val="20"/>
              </w:rPr>
              <w:t>on-randomised studies</w:t>
            </w:r>
          </w:p>
        </w:tc>
      </w:tr>
      <w:tr w:rsidR="00FD7F87" w:rsidTr="00E0257A">
        <w:tc>
          <w:tcPr>
            <w:tcW w:w="1701" w:type="dxa"/>
          </w:tcPr>
          <w:p w:rsidR="00FD7F87" w:rsidRPr="00DD3B96" w:rsidRDefault="00FD7F87" w:rsidP="001C7B61">
            <w:pPr>
              <w:pStyle w:val="TableText1"/>
              <w:rPr>
                <w:szCs w:val="20"/>
              </w:rPr>
            </w:pPr>
            <w:r w:rsidRPr="00DD3B96">
              <w:rPr>
                <w:noProof/>
              </w:rPr>
              <w:t>Amirthalingam 2014</w:t>
            </w:r>
          </w:p>
        </w:tc>
        <w:tc>
          <w:tcPr>
            <w:tcW w:w="4827" w:type="dxa"/>
          </w:tcPr>
          <w:p w:rsidR="00FD7F87" w:rsidRPr="00AE01E4" w:rsidRDefault="00FD7F87" w:rsidP="001C7B61">
            <w:pPr>
              <w:pStyle w:val="TableText1"/>
              <w:rPr>
                <w:noProof/>
              </w:rPr>
            </w:pPr>
            <w:r w:rsidRPr="00AE01E4">
              <w:rPr>
                <w:noProof/>
              </w:rPr>
              <w:t>Amirthalingam G, Andrews N, Campbell H</w:t>
            </w:r>
            <w:r w:rsidRPr="00DD3B96">
              <w:rPr>
                <w:noProof/>
              </w:rPr>
              <w:t>, et al. Effectiveness of maternal pertussis vaccination in England: an observational study.</w:t>
            </w:r>
          </w:p>
        </w:tc>
        <w:tc>
          <w:tcPr>
            <w:tcW w:w="1897" w:type="dxa"/>
          </w:tcPr>
          <w:p w:rsidR="00FD7F87" w:rsidRPr="00DD3B96" w:rsidRDefault="00FD7F87" w:rsidP="001C7B61">
            <w:pPr>
              <w:pStyle w:val="TableText1"/>
              <w:rPr>
                <w:szCs w:val="20"/>
                <w:lang w:val="en-US"/>
              </w:rPr>
            </w:pPr>
            <w:r w:rsidRPr="00DD3B96">
              <w:rPr>
                <w:i/>
                <w:noProof/>
              </w:rPr>
              <w:t>Lancet </w:t>
            </w:r>
            <w:r w:rsidRPr="00DD3B96">
              <w:rPr>
                <w:noProof/>
              </w:rPr>
              <w:t>2014;384 (9953):1521-8.</w:t>
            </w:r>
            <w:r w:rsidRPr="00DD3B96">
              <w:rPr>
                <w:rStyle w:val="apple-converted-space"/>
                <w:color w:val="000000"/>
                <w:sz w:val="17"/>
                <w:szCs w:val="17"/>
                <w:shd w:val="clear" w:color="auto" w:fill="FFFFFF"/>
              </w:rPr>
              <w:t> </w:t>
            </w:r>
          </w:p>
        </w:tc>
      </w:tr>
      <w:tr w:rsidR="00FD7F87" w:rsidTr="00E0257A">
        <w:tc>
          <w:tcPr>
            <w:tcW w:w="1701" w:type="dxa"/>
          </w:tcPr>
          <w:p w:rsidR="00FD7F87" w:rsidRPr="00DD3B96" w:rsidRDefault="00FD7F87" w:rsidP="001C7B61">
            <w:pPr>
              <w:pStyle w:val="TableText1"/>
              <w:rPr>
                <w:noProof/>
              </w:rPr>
            </w:pPr>
            <w:r w:rsidRPr="00DD3B96">
              <w:rPr>
                <w:noProof/>
              </w:rPr>
              <w:t>Dabrera 2015</w:t>
            </w:r>
          </w:p>
        </w:tc>
        <w:tc>
          <w:tcPr>
            <w:tcW w:w="4827" w:type="dxa"/>
          </w:tcPr>
          <w:p w:rsidR="00FD7F87" w:rsidRPr="00AE01E4" w:rsidRDefault="00FD7F87" w:rsidP="001C7B61">
            <w:pPr>
              <w:widowControl/>
              <w:autoSpaceDE w:val="0"/>
              <w:autoSpaceDN w:val="0"/>
              <w:adjustRightInd w:val="0"/>
              <w:jc w:val="left"/>
              <w:rPr>
                <w:rFonts w:ascii="Arial Narrow" w:eastAsia="Times New Roman" w:hAnsi="Arial Narrow" w:cs="Times New Roman"/>
                <w:noProof/>
                <w:snapToGrid/>
                <w:sz w:val="20"/>
                <w:szCs w:val="22"/>
                <w:lang w:val="en-GB" w:eastAsia="en-AU"/>
              </w:rPr>
            </w:pPr>
            <w:r w:rsidRPr="00DD3B96">
              <w:rPr>
                <w:rFonts w:ascii="Arial Narrow" w:eastAsia="Times New Roman" w:hAnsi="Arial Narrow" w:cs="Times New Roman"/>
                <w:noProof/>
                <w:snapToGrid/>
                <w:sz w:val="20"/>
                <w:szCs w:val="22"/>
                <w:lang w:val="en-GB" w:eastAsia="en-AU"/>
              </w:rPr>
              <w:t>Dabrera G, Amirthalingam G, Andrews N, et al.  A case-control study to estimate the effectiveness of maternal pertussis vaccination in protecting newborn infants in England and</w:t>
            </w:r>
            <w:r>
              <w:rPr>
                <w:rFonts w:ascii="Arial Narrow" w:eastAsia="Times New Roman" w:hAnsi="Arial Narrow" w:cs="Times New Roman"/>
                <w:noProof/>
                <w:snapToGrid/>
                <w:sz w:val="20"/>
                <w:szCs w:val="22"/>
                <w:lang w:val="en-GB" w:eastAsia="en-AU"/>
              </w:rPr>
              <w:t xml:space="preserve"> </w:t>
            </w:r>
            <w:r w:rsidRPr="00AE01E4">
              <w:rPr>
                <w:rFonts w:ascii="Arial Narrow" w:eastAsia="Times New Roman" w:hAnsi="Arial Narrow" w:cs="Times New Roman"/>
                <w:noProof/>
                <w:snapToGrid/>
                <w:sz w:val="20"/>
                <w:szCs w:val="22"/>
                <w:lang w:val="en-GB" w:eastAsia="en-AU"/>
              </w:rPr>
              <w:t>Wales, 2012–2013</w:t>
            </w:r>
          </w:p>
        </w:tc>
        <w:tc>
          <w:tcPr>
            <w:tcW w:w="1897" w:type="dxa"/>
          </w:tcPr>
          <w:p w:rsidR="00FD7F87" w:rsidRPr="00DD3B96" w:rsidRDefault="00FD7F87" w:rsidP="001C7B61">
            <w:pPr>
              <w:pStyle w:val="TableText1"/>
              <w:rPr>
                <w:noProof/>
              </w:rPr>
            </w:pPr>
            <w:r w:rsidRPr="00DD3B96">
              <w:rPr>
                <w:rFonts w:ascii="Arial" w:hAnsi="Arial" w:cs="Arial"/>
                <w:i/>
                <w:sz w:val="17"/>
                <w:szCs w:val="17"/>
                <w:shd w:val="clear" w:color="auto" w:fill="FFFFFF"/>
              </w:rPr>
              <w:t>Clin Infect Dis</w:t>
            </w:r>
            <w:r w:rsidRPr="00DD3B96">
              <w:rPr>
                <w:rFonts w:ascii="Arial" w:hAnsi="Arial" w:cs="Arial"/>
                <w:sz w:val="17"/>
                <w:szCs w:val="17"/>
                <w:shd w:val="clear" w:color="auto" w:fill="FFFFFF"/>
              </w:rPr>
              <w:t xml:space="preserve"> </w:t>
            </w:r>
            <w:r w:rsidRPr="00DD3B96">
              <w:rPr>
                <w:noProof/>
              </w:rPr>
              <w:t>2015;60(3):333–7</w:t>
            </w:r>
          </w:p>
        </w:tc>
      </w:tr>
      <w:tr w:rsidR="006F12F6" w:rsidRPr="006F12F6" w:rsidTr="00E0257A">
        <w:tc>
          <w:tcPr>
            <w:tcW w:w="8425" w:type="dxa"/>
            <w:gridSpan w:val="3"/>
          </w:tcPr>
          <w:p w:rsidR="006F12F6" w:rsidRPr="006F12F6" w:rsidRDefault="006F12F6" w:rsidP="001C7B61">
            <w:pPr>
              <w:pStyle w:val="TableText1"/>
              <w:rPr>
                <w:rFonts w:cs="Arial"/>
                <w:i/>
                <w:szCs w:val="20"/>
                <w:shd w:val="clear" w:color="auto" w:fill="FFFFFF"/>
              </w:rPr>
            </w:pPr>
            <w:r w:rsidRPr="006F12F6">
              <w:rPr>
                <w:b/>
                <w:noProof/>
                <w:szCs w:val="20"/>
              </w:rPr>
              <w:t xml:space="preserve">Vaccine </w:t>
            </w:r>
            <w:r>
              <w:rPr>
                <w:b/>
                <w:noProof/>
                <w:szCs w:val="20"/>
              </w:rPr>
              <w:t>e</w:t>
            </w:r>
            <w:r w:rsidRPr="006F12F6">
              <w:rPr>
                <w:b/>
                <w:noProof/>
                <w:szCs w:val="20"/>
              </w:rPr>
              <w:t>fficacy in adult</w:t>
            </w:r>
            <w:r>
              <w:rPr>
                <w:b/>
                <w:noProof/>
                <w:szCs w:val="20"/>
              </w:rPr>
              <w:t>s - r</w:t>
            </w:r>
            <w:r w:rsidRPr="006F12F6">
              <w:rPr>
                <w:b/>
                <w:noProof/>
                <w:szCs w:val="20"/>
              </w:rPr>
              <w:t>andomised trial</w:t>
            </w:r>
          </w:p>
        </w:tc>
      </w:tr>
      <w:tr w:rsidR="006F12F6" w:rsidRPr="006F12F6" w:rsidTr="00E0257A">
        <w:tc>
          <w:tcPr>
            <w:tcW w:w="1701" w:type="dxa"/>
          </w:tcPr>
          <w:p w:rsidR="006F12F6" w:rsidRPr="006F12F6" w:rsidRDefault="006F12F6" w:rsidP="001C7B61">
            <w:pPr>
              <w:pStyle w:val="TableText1"/>
              <w:rPr>
                <w:noProof/>
                <w:szCs w:val="20"/>
              </w:rPr>
            </w:pPr>
            <w:r w:rsidRPr="006F12F6">
              <w:rPr>
                <w:noProof/>
                <w:szCs w:val="20"/>
              </w:rPr>
              <w:t>Ward 2005</w:t>
            </w:r>
          </w:p>
          <w:p w:rsidR="006F12F6" w:rsidRPr="006F12F6" w:rsidRDefault="006F12F6" w:rsidP="001C7B61">
            <w:pPr>
              <w:pStyle w:val="TableText1"/>
              <w:rPr>
                <w:noProof/>
                <w:szCs w:val="20"/>
              </w:rPr>
            </w:pPr>
            <w:r w:rsidRPr="006F12F6">
              <w:rPr>
                <w:noProof/>
                <w:szCs w:val="20"/>
              </w:rPr>
              <w:t>(APERT)</w:t>
            </w:r>
          </w:p>
        </w:tc>
        <w:tc>
          <w:tcPr>
            <w:tcW w:w="4827" w:type="dxa"/>
          </w:tcPr>
          <w:p w:rsidR="006F12F6" w:rsidRPr="006F12F6" w:rsidRDefault="006F12F6" w:rsidP="001C7B61">
            <w:pPr>
              <w:widowControl/>
              <w:autoSpaceDE w:val="0"/>
              <w:autoSpaceDN w:val="0"/>
              <w:adjustRightInd w:val="0"/>
              <w:jc w:val="left"/>
              <w:rPr>
                <w:rFonts w:ascii="Arial Narrow" w:eastAsia="Times New Roman" w:hAnsi="Arial Narrow" w:cs="Times New Roman"/>
                <w:noProof/>
                <w:snapToGrid/>
                <w:sz w:val="20"/>
                <w:lang w:val="en-GB" w:eastAsia="en-AU"/>
              </w:rPr>
            </w:pPr>
            <w:r w:rsidRPr="00676454">
              <w:rPr>
                <w:rFonts w:ascii="Arial Narrow" w:eastAsia="MS Mincho" w:hAnsi="Arial Narrow"/>
                <w:snapToGrid/>
                <w:sz w:val="20"/>
              </w:rPr>
              <w:t>Ward JI, Cherry JD, Chang SJ et al. Efficacy of an acellular pertussis vaccine among adolescents and adults.</w:t>
            </w:r>
          </w:p>
        </w:tc>
        <w:tc>
          <w:tcPr>
            <w:tcW w:w="1897" w:type="dxa"/>
          </w:tcPr>
          <w:p w:rsidR="006F12F6" w:rsidRPr="006F12F6" w:rsidRDefault="006F12F6" w:rsidP="001C7B61">
            <w:pPr>
              <w:pStyle w:val="TableText1"/>
              <w:rPr>
                <w:rFonts w:cs="Arial"/>
                <w:i/>
                <w:szCs w:val="20"/>
                <w:shd w:val="clear" w:color="auto" w:fill="FFFFFF"/>
              </w:rPr>
            </w:pPr>
            <w:r w:rsidRPr="00827FB5">
              <w:rPr>
                <w:i/>
                <w:noProof/>
              </w:rPr>
              <w:t>N Engl J Med</w:t>
            </w:r>
            <w:r w:rsidRPr="00676454">
              <w:rPr>
                <w:noProof/>
              </w:rPr>
              <w:t xml:space="preserve"> 2005;</w:t>
            </w:r>
            <w:r w:rsidRPr="00676454">
              <w:t xml:space="preserve"> </w:t>
            </w:r>
            <w:r w:rsidRPr="00676454">
              <w:rPr>
                <w:noProof/>
              </w:rPr>
              <w:t>353(15):1555-1563.</w:t>
            </w:r>
          </w:p>
        </w:tc>
      </w:tr>
      <w:tr w:rsidR="00FD7F87" w:rsidTr="00E0257A">
        <w:tc>
          <w:tcPr>
            <w:tcW w:w="8425" w:type="dxa"/>
            <w:gridSpan w:val="3"/>
          </w:tcPr>
          <w:p w:rsidR="00FD7F87" w:rsidRDefault="00FD7F87" w:rsidP="001C7B61">
            <w:pPr>
              <w:widowControl/>
              <w:rPr>
                <w:rStyle w:val="CommentReference"/>
              </w:rPr>
            </w:pPr>
            <w:r w:rsidRPr="00FD7F87">
              <w:rPr>
                <w:rFonts w:ascii="Arial Narrow" w:eastAsia="Times New Roman" w:hAnsi="Arial Narrow" w:cs="Times New Roman"/>
                <w:b/>
                <w:snapToGrid/>
                <w:sz w:val="20"/>
                <w:lang w:val="en-GB" w:eastAsia="en-AU"/>
              </w:rPr>
              <w:t xml:space="preserve">Immunogenicity and safety – Randomised </w:t>
            </w:r>
            <w:r w:rsidR="001E2882">
              <w:rPr>
                <w:rFonts w:ascii="Arial Narrow" w:eastAsia="Times New Roman" w:hAnsi="Arial Narrow" w:cs="Times New Roman"/>
                <w:b/>
                <w:snapToGrid/>
                <w:sz w:val="20"/>
                <w:lang w:val="en-GB" w:eastAsia="en-AU"/>
              </w:rPr>
              <w:t>and controlled t</w:t>
            </w:r>
            <w:r w:rsidRPr="00FD7F87">
              <w:rPr>
                <w:rFonts w:ascii="Arial Narrow" w:eastAsia="Times New Roman" w:hAnsi="Arial Narrow" w:cs="Times New Roman"/>
                <w:b/>
                <w:snapToGrid/>
                <w:sz w:val="20"/>
                <w:lang w:val="en-GB" w:eastAsia="en-AU"/>
              </w:rPr>
              <w:t>rials</w:t>
            </w:r>
          </w:p>
        </w:tc>
      </w:tr>
      <w:tr w:rsidR="00FD7F87" w:rsidTr="00E0257A">
        <w:tc>
          <w:tcPr>
            <w:tcW w:w="1701" w:type="dxa"/>
          </w:tcPr>
          <w:p w:rsidR="00FD7F87" w:rsidRPr="00B4544A" w:rsidRDefault="00FD7F87" w:rsidP="001C7B61">
            <w:pPr>
              <w:pStyle w:val="TableText1"/>
              <w:rPr>
                <w:rFonts w:cs="Arial"/>
                <w:szCs w:val="20"/>
                <w:lang w:val="en-US" w:eastAsia="en-US"/>
              </w:rPr>
            </w:pPr>
            <w:r w:rsidRPr="00B4544A">
              <w:rPr>
                <w:rFonts w:cs="Arial"/>
                <w:szCs w:val="20"/>
                <w:lang w:val="en-US" w:eastAsia="en-US"/>
              </w:rPr>
              <w:t>Munoz 2014</w:t>
            </w:r>
          </w:p>
        </w:tc>
        <w:tc>
          <w:tcPr>
            <w:tcW w:w="4827" w:type="dxa"/>
          </w:tcPr>
          <w:p w:rsidR="00FD7F87" w:rsidRPr="00B4544A" w:rsidRDefault="00FD7F87" w:rsidP="001C7B61">
            <w:pPr>
              <w:pStyle w:val="TableText1"/>
              <w:rPr>
                <w:rFonts w:cs="Arial"/>
                <w:szCs w:val="20"/>
                <w:lang w:val="en-US" w:eastAsia="en-US"/>
              </w:rPr>
            </w:pPr>
            <w:r w:rsidRPr="00B4544A">
              <w:rPr>
                <w:szCs w:val="20"/>
                <w:lang w:val="en-US" w:eastAsia="en-US"/>
              </w:rPr>
              <w:t>Munoz FM</w:t>
            </w:r>
            <w:r w:rsidRPr="00B4544A">
              <w:rPr>
                <w:rFonts w:cs="Arial"/>
                <w:szCs w:val="20"/>
                <w:lang w:val="en-US" w:eastAsia="en-US"/>
              </w:rPr>
              <w:t>, </w:t>
            </w:r>
            <w:r w:rsidRPr="00B4544A">
              <w:rPr>
                <w:szCs w:val="20"/>
                <w:lang w:val="en-US" w:eastAsia="en-US"/>
              </w:rPr>
              <w:t>Bond NH</w:t>
            </w:r>
            <w:r w:rsidRPr="00B4544A">
              <w:rPr>
                <w:rFonts w:cs="Arial"/>
                <w:szCs w:val="20"/>
                <w:lang w:val="en-US" w:eastAsia="en-US"/>
              </w:rPr>
              <w:t>, </w:t>
            </w:r>
            <w:r w:rsidRPr="00B4544A">
              <w:rPr>
                <w:szCs w:val="20"/>
                <w:lang w:val="en-US" w:eastAsia="en-US"/>
              </w:rPr>
              <w:t>Maccato M</w:t>
            </w:r>
            <w:r w:rsidRPr="00B4544A">
              <w:rPr>
                <w:rFonts w:cs="Arial"/>
                <w:szCs w:val="20"/>
                <w:lang w:val="en-US" w:eastAsia="en-US"/>
              </w:rPr>
              <w:t xml:space="preserve"> et al. Safety and immunogenicity of tetanus diphtheria and acellular pertussis (dTpa) immunization during pregnancy in mothers and infants: a randomized controlled trial</w:t>
            </w:r>
          </w:p>
        </w:tc>
        <w:tc>
          <w:tcPr>
            <w:tcW w:w="1897" w:type="dxa"/>
          </w:tcPr>
          <w:p w:rsidR="00FD7F87" w:rsidRPr="00B4544A" w:rsidRDefault="00FD7F87" w:rsidP="001C7B61">
            <w:pPr>
              <w:pStyle w:val="TableText1"/>
              <w:rPr>
                <w:rFonts w:cs="Arial"/>
                <w:szCs w:val="20"/>
                <w:lang w:val="en-US" w:eastAsia="en-US"/>
              </w:rPr>
            </w:pPr>
            <w:r w:rsidRPr="00B4544A">
              <w:rPr>
                <w:rFonts w:cs="Arial"/>
                <w:i/>
                <w:szCs w:val="20"/>
                <w:lang w:val="en-US" w:eastAsia="en-US"/>
              </w:rPr>
              <w:t xml:space="preserve">JAMA </w:t>
            </w:r>
            <w:r w:rsidRPr="00B4544A">
              <w:rPr>
                <w:rFonts w:cs="Arial"/>
                <w:szCs w:val="20"/>
                <w:lang w:val="en-US" w:eastAsia="en-US"/>
              </w:rPr>
              <w:t xml:space="preserve">2014;311(17): 1760-1769 </w:t>
            </w:r>
          </w:p>
        </w:tc>
      </w:tr>
      <w:tr w:rsidR="00FD7F87" w:rsidTr="00E0257A">
        <w:tc>
          <w:tcPr>
            <w:tcW w:w="1701" w:type="dxa"/>
          </w:tcPr>
          <w:p w:rsidR="00FD7F87" w:rsidRPr="00B4544A" w:rsidRDefault="00FD7F87" w:rsidP="001C7B61">
            <w:pPr>
              <w:pStyle w:val="TableText1"/>
              <w:rPr>
                <w:rFonts w:cs="Arial"/>
                <w:szCs w:val="20"/>
                <w:lang w:val="en-US" w:eastAsia="en-US"/>
              </w:rPr>
            </w:pPr>
            <w:r w:rsidRPr="00B4544A">
              <w:rPr>
                <w:rFonts w:cs="Arial"/>
                <w:szCs w:val="20"/>
                <w:lang w:val="en-US" w:eastAsia="en-US"/>
              </w:rPr>
              <w:t>Maertens 2016</w:t>
            </w:r>
          </w:p>
        </w:tc>
        <w:tc>
          <w:tcPr>
            <w:tcW w:w="4827" w:type="dxa"/>
          </w:tcPr>
          <w:p w:rsidR="00FD7F87" w:rsidRPr="00B4544A" w:rsidRDefault="00FD7F87" w:rsidP="001C7B61">
            <w:pPr>
              <w:pStyle w:val="TableText1"/>
              <w:rPr>
                <w:rFonts w:cs="Arial"/>
                <w:szCs w:val="20"/>
                <w:lang w:val="en-US" w:eastAsia="en-US"/>
              </w:rPr>
            </w:pPr>
            <w:r w:rsidRPr="00B4544A">
              <w:rPr>
                <w:szCs w:val="20"/>
                <w:lang w:val="en-US" w:eastAsia="en-US"/>
              </w:rPr>
              <w:t>Maertens K</w:t>
            </w:r>
            <w:r w:rsidRPr="00B4544A">
              <w:rPr>
                <w:rFonts w:cs="Arial"/>
                <w:szCs w:val="20"/>
                <w:lang w:val="en-US" w:eastAsia="en-US"/>
              </w:rPr>
              <w:t>, </w:t>
            </w:r>
            <w:r w:rsidRPr="00B4544A">
              <w:rPr>
                <w:szCs w:val="20"/>
                <w:lang w:val="en-US" w:eastAsia="en-US"/>
              </w:rPr>
              <w:t>Caboré RN</w:t>
            </w:r>
            <w:r w:rsidRPr="00B4544A">
              <w:rPr>
                <w:rFonts w:cs="Arial"/>
                <w:szCs w:val="20"/>
                <w:lang w:val="en-US" w:eastAsia="en-US"/>
              </w:rPr>
              <w:t>, </w:t>
            </w:r>
            <w:r w:rsidRPr="00B4544A">
              <w:rPr>
                <w:szCs w:val="20"/>
                <w:lang w:val="en-US" w:eastAsia="en-US"/>
              </w:rPr>
              <w:t>Huygen K</w:t>
            </w:r>
            <w:r w:rsidRPr="00B4544A">
              <w:rPr>
                <w:rFonts w:cs="Arial"/>
                <w:szCs w:val="20"/>
                <w:lang w:val="en-US" w:eastAsia="en-US"/>
              </w:rPr>
              <w:t xml:space="preserve"> et al. Pertussis vaccination during pregnancy in Belgium: results of a prospective controlled cohort study</w:t>
            </w:r>
          </w:p>
        </w:tc>
        <w:tc>
          <w:tcPr>
            <w:tcW w:w="1897" w:type="dxa"/>
          </w:tcPr>
          <w:p w:rsidR="00FD7F87" w:rsidRPr="00B4544A" w:rsidRDefault="00FD7F87" w:rsidP="001C7B61">
            <w:pPr>
              <w:pStyle w:val="TableText1"/>
              <w:rPr>
                <w:rFonts w:cs="Arial"/>
                <w:szCs w:val="20"/>
                <w:lang w:val="en-US" w:eastAsia="en-US"/>
              </w:rPr>
            </w:pPr>
            <w:r w:rsidRPr="00B4544A">
              <w:rPr>
                <w:rFonts w:cs="Arial"/>
                <w:i/>
                <w:szCs w:val="20"/>
                <w:lang w:val="en-US" w:eastAsia="en-US"/>
              </w:rPr>
              <w:t>Vaccine</w:t>
            </w:r>
            <w:r w:rsidRPr="00B4544A">
              <w:rPr>
                <w:rFonts w:cs="Arial"/>
                <w:szCs w:val="20"/>
                <w:lang w:val="en-US" w:eastAsia="en-US"/>
              </w:rPr>
              <w:t xml:space="preserve"> 2016;34(1): 142-150</w:t>
            </w:r>
          </w:p>
        </w:tc>
      </w:tr>
      <w:tr w:rsidR="00FD7F87" w:rsidTr="00E0257A">
        <w:tc>
          <w:tcPr>
            <w:tcW w:w="1701" w:type="dxa"/>
          </w:tcPr>
          <w:p w:rsidR="00FD7F87" w:rsidRPr="00B4544A" w:rsidRDefault="00FD7F87" w:rsidP="001C7B61">
            <w:pPr>
              <w:pStyle w:val="TableText1"/>
              <w:rPr>
                <w:rFonts w:cs="Arial"/>
                <w:szCs w:val="20"/>
                <w:lang w:val="en-US" w:eastAsia="en-US"/>
              </w:rPr>
            </w:pPr>
            <w:r w:rsidRPr="00B4544A">
              <w:rPr>
                <w:rFonts w:cs="Arial"/>
                <w:szCs w:val="20"/>
                <w:lang w:val="en-US" w:eastAsia="en-US"/>
              </w:rPr>
              <w:t>Hoang 2016</w:t>
            </w:r>
          </w:p>
        </w:tc>
        <w:tc>
          <w:tcPr>
            <w:tcW w:w="4827" w:type="dxa"/>
          </w:tcPr>
          <w:p w:rsidR="00FD7F87" w:rsidRPr="00B4544A" w:rsidRDefault="00FD7F87" w:rsidP="001C7B61">
            <w:pPr>
              <w:pStyle w:val="TableText1"/>
              <w:rPr>
                <w:rFonts w:cs="Arial"/>
                <w:szCs w:val="20"/>
                <w:lang w:val="en-US" w:eastAsia="en-US"/>
              </w:rPr>
            </w:pPr>
            <w:r w:rsidRPr="00B4544A">
              <w:rPr>
                <w:szCs w:val="20"/>
                <w:lang w:val="en-US" w:eastAsia="en-US"/>
              </w:rPr>
              <w:t>Hoang HT</w:t>
            </w:r>
            <w:r w:rsidRPr="00B4544A">
              <w:rPr>
                <w:rFonts w:cs="Arial"/>
                <w:szCs w:val="20"/>
                <w:lang w:val="en-US" w:eastAsia="en-US"/>
              </w:rPr>
              <w:t>, </w:t>
            </w:r>
            <w:r w:rsidRPr="00B4544A">
              <w:rPr>
                <w:szCs w:val="20"/>
                <w:lang w:val="en-US" w:eastAsia="en-US"/>
              </w:rPr>
              <w:t>Leuridan E</w:t>
            </w:r>
            <w:r w:rsidRPr="00B4544A">
              <w:rPr>
                <w:rFonts w:cs="Arial"/>
                <w:szCs w:val="20"/>
                <w:lang w:val="en-US" w:eastAsia="en-US"/>
              </w:rPr>
              <w:t>, </w:t>
            </w:r>
            <w:r w:rsidRPr="00B4544A">
              <w:rPr>
                <w:szCs w:val="20"/>
                <w:lang w:val="en-US" w:eastAsia="en-US"/>
              </w:rPr>
              <w:t>Maertens K</w:t>
            </w:r>
            <w:r w:rsidRPr="00B4544A">
              <w:rPr>
                <w:rFonts w:cs="Arial"/>
                <w:szCs w:val="20"/>
                <w:lang w:val="en-US" w:eastAsia="en-US"/>
              </w:rPr>
              <w:t xml:space="preserve">  et al. Pertussis vaccination during pregnancy in Vietnam: results of a randomized controlled trial</w:t>
            </w:r>
          </w:p>
        </w:tc>
        <w:tc>
          <w:tcPr>
            <w:tcW w:w="1897" w:type="dxa"/>
          </w:tcPr>
          <w:p w:rsidR="00FD7F87" w:rsidRPr="00B4544A" w:rsidRDefault="00FD7F87" w:rsidP="001C7B61">
            <w:pPr>
              <w:pStyle w:val="TableText1"/>
              <w:rPr>
                <w:rFonts w:cs="Arial"/>
                <w:szCs w:val="20"/>
                <w:lang w:val="en-US" w:eastAsia="en-US"/>
              </w:rPr>
            </w:pPr>
            <w:r w:rsidRPr="00B4544A">
              <w:rPr>
                <w:rFonts w:cs="Arial"/>
                <w:i/>
                <w:szCs w:val="20"/>
                <w:lang w:val="en-US" w:eastAsia="en-US"/>
              </w:rPr>
              <w:t>Vaccine</w:t>
            </w:r>
            <w:r w:rsidRPr="00B4544A">
              <w:rPr>
                <w:rFonts w:cs="Arial"/>
                <w:szCs w:val="20"/>
                <w:lang w:val="en-US" w:eastAsia="en-US"/>
              </w:rPr>
              <w:t xml:space="preserve"> 2016;34(1): 151-159 </w:t>
            </w:r>
          </w:p>
        </w:tc>
      </w:tr>
      <w:tr w:rsidR="00BD7189" w:rsidTr="00E0257A">
        <w:tc>
          <w:tcPr>
            <w:tcW w:w="8425" w:type="dxa"/>
            <w:gridSpan w:val="3"/>
          </w:tcPr>
          <w:p w:rsidR="00BD7189" w:rsidRPr="00B4544A" w:rsidRDefault="00BD7189" w:rsidP="001C7B61">
            <w:pPr>
              <w:pStyle w:val="TableText1"/>
              <w:rPr>
                <w:rFonts w:cs="Arial"/>
                <w:i/>
                <w:szCs w:val="20"/>
                <w:lang w:val="en-US" w:eastAsia="en-US"/>
              </w:rPr>
            </w:pPr>
            <w:r w:rsidRPr="00D61784">
              <w:rPr>
                <w:b/>
              </w:rPr>
              <w:t xml:space="preserve">Vaccine </w:t>
            </w:r>
            <w:r w:rsidR="006F12F6">
              <w:rPr>
                <w:b/>
              </w:rPr>
              <w:t>s</w:t>
            </w:r>
            <w:r w:rsidRPr="00D61784">
              <w:rPr>
                <w:b/>
              </w:rPr>
              <w:t xml:space="preserve">afety – </w:t>
            </w:r>
            <w:r w:rsidR="006F12F6">
              <w:rPr>
                <w:b/>
              </w:rPr>
              <w:t>n</w:t>
            </w:r>
            <w:r w:rsidRPr="00D61784">
              <w:rPr>
                <w:b/>
              </w:rPr>
              <w:t>on-randomised studies</w:t>
            </w:r>
          </w:p>
        </w:tc>
      </w:tr>
      <w:tr w:rsidR="00BD7189" w:rsidTr="00E0257A">
        <w:tc>
          <w:tcPr>
            <w:tcW w:w="1701" w:type="dxa"/>
          </w:tcPr>
          <w:p w:rsidR="00BD7189" w:rsidRPr="00D61784" w:rsidRDefault="00BD7189" w:rsidP="001C7B61">
            <w:pPr>
              <w:pStyle w:val="TableText1"/>
              <w:rPr>
                <w:b/>
              </w:rPr>
            </w:pPr>
            <w:r w:rsidRPr="00D61784">
              <w:rPr>
                <w:noProof/>
              </w:rPr>
              <w:t>Vizzotti 2015</w:t>
            </w:r>
          </w:p>
        </w:tc>
        <w:tc>
          <w:tcPr>
            <w:tcW w:w="4827" w:type="dxa"/>
          </w:tcPr>
          <w:p w:rsidR="00BD7189" w:rsidRDefault="00BD7189" w:rsidP="001C7B61">
            <w:pPr>
              <w:pStyle w:val="TableText1"/>
            </w:pPr>
            <w:r w:rsidRPr="00D61784">
              <w:rPr>
                <w:noProof/>
              </w:rPr>
              <w:t>Vizzotti C, Neyro S, Katz N, et al. Maternal immunization in Argentina: A story line from the prospective of a middle income country</w:t>
            </w:r>
          </w:p>
        </w:tc>
        <w:tc>
          <w:tcPr>
            <w:tcW w:w="1897" w:type="dxa"/>
          </w:tcPr>
          <w:p w:rsidR="00BD7189" w:rsidRPr="00B4544A" w:rsidRDefault="00BD7189" w:rsidP="001C7B61">
            <w:pPr>
              <w:pStyle w:val="TableText1"/>
              <w:rPr>
                <w:rFonts w:cs="Arial"/>
                <w:i/>
                <w:szCs w:val="20"/>
                <w:lang w:val="en-US" w:eastAsia="en-US"/>
              </w:rPr>
            </w:pPr>
            <w:r w:rsidRPr="00D61784">
              <w:rPr>
                <w:i/>
                <w:noProof/>
              </w:rPr>
              <w:t>Vaccine</w:t>
            </w:r>
            <w:r w:rsidRPr="00D61784">
              <w:rPr>
                <w:noProof/>
              </w:rPr>
              <w:t xml:space="preserve"> 2015;33: 6413–6419 </w:t>
            </w:r>
          </w:p>
        </w:tc>
      </w:tr>
      <w:tr w:rsidR="00BD7189" w:rsidTr="00E0257A">
        <w:tc>
          <w:tcPr>
            <w:tcW w:w="1701" w:type="dxa"/>
          </w:tcPr>
          <w:p w:rsidR="00BD7189" w:rsidRPr="00D61784" w:rsidRDefault="00BD7189" w:rsidP="001C7B61">
            <w:pPr>
              <w:pStyle w:val="TableText1"/>
              <w:rPr>
                <w:noProof/>
              </w:rPr>
            </w:pPr>
            <w:r w:rsidRPr="00D61784">
              <w:rPr>
                <w:noProof/>
              </w:rPr>
              <w:t>Donegan 2014</w:t>
            </w:r>
          </w:p>
        </w:tc>
        <w:tc>
          <w:tcPr>
            <w:tcW w:w="4827" w:type="dxa"/>
            <w:vAlign w:val="center"/>
          </w:tcPr>
          <w:p w:rsidR="00BD7189" w:rsidRPr="00D61784" w:rsidRDefault="00BD7189" w:rsidP="001C7B61">
            <w:pPr>
              <w:pStyle w:val="TableText1"/>
              <w:rPr>
                <w:noProof/>
              </w:rPr>
            </w:pPr>
            <w:r w:rsidRPr="00D61784">
              <w:rPr>
                <w:noProof/>
              </w:rPr>
              <w:t>Donegan K, King B, Bryan P. Safety of pertussis vaccination in pregnant women in UK: observational study</w:t>
            </w:r>
          </w:p>
        </w:tc>
        <w:tc>
          <w:tcPr>
            <w:tcW w:w="1897" w:type="dxa"/>
          </w:tcPr>
          <w:p w:rsidR="00BD7189" w:rsidRPr="00D61784" w:rsidRDefault="00BD7189" w:rsidP="001C7B61">
            <w:pPr>
              <w:pStyle w:val="TableText1"/>
              <w:rPr>
                <w:i/>
                <w:noProof/>
              </w:rPr>
            </w:pPr>
            <w:r w:rsidRPr="00D61784">
              <w:rPr>
                <w:i/>
                <w:noProof/>
              </w:rPr>
              <w:t xml:space="preserve">BMJ </w:t>
            </w:r>
            <w:r w:rsidRPr="00D61784">
              <w:rPr>
                <w:noProof/>
              </w:rPr>
              <w:t>2014;349: g4219</w:t>
            </w:r>
          </w:p>
        </w:tc>
      </w:tr>
      <w:tr w:rsidR="00BD7189" w:rsidTr="00E0257A">
        <w:tc>
          <w:tcPr>
            <w:tcW w:w="1701" w:type="dxa"/>
          </w:tcPr>
          <w:p w:rsidR="00BD7189" w:rsidRPr="00D61784" w:rsidRDefault="00BD7189" w:rsidP="001C7B61">
            <w:pPr>
              <w:pStyle w:val="TableText1"/>
              <w:rPr>
                <w:noProof/>
              </w:rPr>
            </w:pPr>
            <w:r w:rsidRPr="00D61784">
              <w:rPr>
                <w:noProof/>
              </w:rPr>
              <w:t>Kharbanda 2014</w:t>
            </w:r>
          </w:p>
        </w:tc>
        <w:tc>
          <w:tcPr>
            <w:tcW w:w="4827" w:type="dxa"/>
            <w:vAlign w:val="center"/>
          </w:tcPr>
          <w:p w:rsidR="00BD7189" w:rsidRPr="00D61784" w:rsidRDefault="00BD7189" w:rsidP="001C7B61">
            <w:pPr>
              <w:widowControl/>
              <w:autoSpaceDE w:val="0"/>
              <w:autoSpaceDN w:val="0"/>
              <w:adjustRightInd w:val="0"/>
              <w:jc w:val="left"/>
              <w:rPr>
                <w:rFonts w:ascii="Arial Narrow" w:eastAsia="Times New Roman" w:hAnsi="Arial Narrow" w:cs="Times New Roman"/>
                <w:noProof/>
                <w:snapToGrid/>
                <w:sz w:val="20"/>
                <w:szCs w:val="22"/>
                <w:lang w:val="en-GB" w:eastAsia="en-AU"/>
              </w:rPr>
            </w:pPr>
            <w:r w:rsidRPr="00D61784">
              <w:rPr>
                <w:rFonts w:ascii="Arial Narrow" w:eastAsia="Times New Roman" w:hAnsi="Arial Narrow" w:cs="Times New Roman"/>
                <w:noProof/>
                <w:snapToGrid/>
                <w:sz w:val="20"/>
                <w:szCs w:val="22"/>
                <w:lang w:val="en-GB" w:eastAsia="en-AU"/>
              </w:rPr>
              <w:t>Kharbanda EO, Vazquez-Benitez G, Lipkind  GS, et al. Evaluation of the association of maternal pertussis</w:t>
            </w:r>
          </w:p>
          <w:p w:rsidR="00BD7189" w:rsidRPr="00D61784" w:rsidRDefault="00BD7189" w:rsidP="001C7B61">
            <w:pPr>
              <w:pStyle w:val="TableText1"/>
              <w:rPr>
                <w:noProof/>
              </w:rPr>
            </w:pPr>
            <w:r w:rsidRPr="00D61784">
              <w:rPr>
                <w:noProof/>
              </w:rPr>
              <w:t>vaccination with obstetric events and birth outcomes</w:t>
            </w:r>
          </w:p>
        </w:tc>
        <w:tc>
          <w:tcPr>
            <w:tcW w:w="1897" w:type="dxa"/>
          </w:tcPr>
          <w:p w:rsidR="00BD7189" w:rsidRPr="00D61784" w:rsidRDefault="00BD7189" w:rsidP="001C7B61">
            <w:pPr>
              <w:pStyle w:val="TableText1"/>
              <w:rPr>
                <w:i/>
                <w:noProof/>
              </w:rPr>
            </w:pPr>
            <w:r w:rsidRPr="00D61784">
              <w:rPr>
                <w:i/>
                <w:noProof/>
              </w:rPr>
              <w:t xml:space="preserve">JAMA </w:t>
            </w:r>
            <w:r w:rsidRPr="00D61784">
              <w:rPr>
                <w:noProof/>
              </w:rPr>
              <w:t>2014; 312(18):1897-1904</w:t>
            </w:r>
          </w:p>
        </w:tc>
      </w:tr>
      <w:tr w:rsidR="00BD7189" w:rsidTr="00E0257A">
        <w:tc>
          <w:tcPr>
            <w:tcW w:w="1701" w:type="dxa"/>
          </w:tcPr>
          <w:p w:rsidR="00BD7189" w:rsidRPr="00D61784" w:rsidRDefault="00BD7189" w:rsidP="001C7B61">
            <w:pPr>
              <w:pStyle w:val="TableText1"/>
              <w:rPr>
                <w:noProof/>
              </w:rPr>
            </w:pPr>
            <w:r w:rsidRPr="00D61784">
              <w:rPr>
                <w:noProof/>
              </w:rPr>
              <w:t>Sukumaran 2015a</w:t>
            </w:r>
          </w:p>
        </w:tc>
        <w:tc>
          <w:tcPr>
            <w:tcW w:w="4827" w:type="dxa"/>
            <w:vAlign w:val="center"/>
          </w:tcPr>
          <w:p w:rsidR="00BD7189" w:rsidRPr="00D61784" w:rsidRDefault="00BD7189" w:rsidP="001C7B61">
            <w:pPr>
              <w:widowControl/>
              <w:autoSpaceDE w:val="0"/>
              <w:autoSpaceDN w:val="0"/>
              <w:adjustRightInd w:val="0"/>
              <w:jc w:val="left"/>
              <w:rPr>
                <w:rFonts w:ascii="Arial Narrow" w:eastAsia="Times New Roman" w:hAnsi="Arial Narrow" w:cs="Times New Roman"/>
                <w:noProof/>
                <w:snapToGrid/>
                <w:sz w:val="20"/>
                <w:szCs w:val="22"/>
                <w:lang w:val="en-GB" w:eastAsia="en-AU"/>
              </w:rPr>
            </w:pPr>
            <w:r w:rsidRPr="00D61784">
              <w:rPr>
                <w:rFonts w:ascii="Arial Narrow" w:eastAsia="Times New Roman" w:hAnsi="Arial Narrow" w:cs="Times New Roman"/>
                <w:noProof/>
                <w:snapToGrid/>
                <w:sz w:val="20"/>
                <w:szCs w:val="22"/>
                <w:lang w:val="en-GB" w:eastAsia="en-AU"/>
              </w:rPr>
              <w:t>Sukumaran L, McCarthy NL, Kharbanda EO, et al. Association of Tdap vaccination with acute events and adverse birth outcomes among pregnantwomen with prior tetanus-containing immunizations</w:t>
            </w:r>
          </w:p>
        </w:tc>
        <w:tc>
          <w:tcPr>
            <w:tcW w:w="1897" w:type="dxa"/>
          </w:tcPr>
          <w:p w:rsidR="00BD7189" w:rsidRPr="00D61784" w:rsidRDefault="00BD7189" w:rsidP="001C7B61">
            <w:pPr>
              <w:pStyle w:val="TableText1"/>
              <w:rPr>
                <w:i/>
                <w:noProof/>
              </w:rPr>
            </w:pPr>
            <w:r w:rsidRPr="00D61784">
              <w:rPr>
                <w:i/>
                <w:noProof/>
              </w:rPr>
              <w:t>JAMA</w:t>
            </w:r>
            <w:r w:rsidRPr="00D61784">
              <w:rPr>
                <w:noProof/>
              </w:rPr>
              <w:t xml:space="preserve"> 2015; 314(15):1581-1587</w:t>
            </w:r>
          </w:p>
        </w:tc>
      </w:tr>
      <w:tr w:rsidR="00BD7189" w:rsidTr="00E0257A">
        <w:tc>
          <w:tcPr>
            <w:tcW w:w="1701" w:type="dxa"/>
            <w:tcBorders>
              <w:bottom w:val="single" w:sz="4" w:space="0" w:color="auto"/>
            </w:tcBorders>
          </w:tcPr>
          <w:p w:rsidR="00BD7189" w:rsidRPr="00D61784" w:rsidRDefault="00BD7189" w:rsidP="001C7B61">
            <w:pPr>
              <w:pStyle w:val="TableText1"/>
              <w:rPr>
                <w:noProof/>
              </w:rPr>
            </w:pPr>
            <w:r w:rsidRPr="00D61784">
              <w:rPr>
                <w:noProof/>
              </w:rPr>
              <w:t>Sukumaran 2015b</w:t>
            </w:r>
          </w:p>
        </w:tc>
        <w:tc>
          <w:tcPr>
            <w:tcW w:w="4827" w:type="dxa"/>
            <w:tcBorders>
              <w:bottom w:val="single" w:sz="4" w:space="0" w:color="auto"/>
            </w:tcBorders>
            <w:vAlign w:val="center"/>
          </w:tcPr>
          <w:p w:rsidR="00BD7189" w:rsidRPr="00D61784" w:rsidRDefault="00BD7189" w:rsidP="001C7B61">
            <w:pPr>
              <w:widowControl/>
              <w:autoSpaceDE w:val="0"/>
              <w:autoSpaceDN w:val="0"/>
              <w:adjustRightInd w:val="0"/>
              <w:jc w:val="left"/>
              <w:rPr>
                <w:rFonts w:ascii="Arial Narrow" w:eastAsia="Times New Roman" w:hAnsi="Arial Narrow" w:cs="Times New Roman"/>
                <w:noProof/>
                <w:snapToGrid/>
                <w:sz w:val="20"/>
                <w:szCs w:val="22"/>
                <w:lang w:val="en-GB" w:eastAsia="en-AU"/>
              </w:rPr>
            </w:pPr>
            <w:r w:rsidRPr="00D61784">
              <w:rPr>
                <w:rFonts w:ascii="Arial Narrow" w:eastAsia="Times New Roman" w:hAnsi="Arial Narrow" w:cs="Times New Roman"/>
                <w:noProof/>
                <w:snapToGrid/>
                <w:sz w:val="20"/>
                <w:szCs w:val="22"/>
                <w:lang w:val="en-GB" w:eastAsia="en-AU"/>
              </w:rPr>
              <w:t>Sukumaran L, McCarthy NL, Kharbanda EO, et al. Safety of Tetanus Toxoid, Reduced Diphtheria Toxoid, and Acellular Pertussis and Influenza vaccinations in pregnancy</w:t>
            </w:r>
          </w:p>
        </w:tc>
        <w:tc>
          <w:tcPr>
            <w:tcW w:w="1897" w:type="dxa"/>
            <w:tcBorders>
              <w:bottom w:val="single" w:sz="4" w:space="0" w:color="auto"/>
            </w:tcBorders>
          </w:tcPr>
          <w:p w:rsidR="00BD7189" w:rsidRPr="00D61784" w:rsidRDefault="00BD7189" w:rsidP="001C7B61">
            <w:pPr>
              <w:pStyle w:val="TableText1"/>
              <w:rPr>
                <w:i/>
                <w:noProof/>
              </w:rPr>
            </w:pPr>
            <w:r w:rsidRPr="00D61784">
              <w:rPr>
                <w:i/>
                <w:noProof/>
              </w:rPr>
              <w:t xml:space="preserve">Obstet Gynecol </w:t>
            </w:r>
            <w:r w:rsidRPr="00D61784">
              <w:rPr>
                <w:noProof/>
              </w:rPr>
              <w:t>2015;126 (5):1069-74. </w:t>
            </w:r>
          </w:p>
        </w:tc>
      </w:tr>
      <w:tr w:rsidR="00BD7189" w:rsidTr="00E0257A">
        <w:tc>
          <w:tcPr>
            <w:tcW w:w="1701" w:type="dxa"/>
            <w:tcBorders>
              <w:top w:val="single" w:sz="4" w:space="0" w:color="auto"/>
              <w:left w:val="single" w:sz="4" w:space="0" w:color="auto"/>
              <w:bottom w:val="single" w:sz="4" w:space="0" w:color="auto"/>
              <w:right w:val="single" w:sz="4" w:space="0" w:color="auto"/>
            </w:tcBorders>
          </w:tcPr>
          <w:p w:rsidR="0016040B" w:rsidRDefault="00BD7189" w:rsidP="001C7B61">
            <w:pPr>
              <w:pStyle w:val="TableText1"/>
              <w:rPr>
                <w:rFonts w:cs="Arial"/>
                <w:szCs w:val="20"/>
                <w:lang w:val="en-US" w:eastAsia="en-US"/>
              </w:rPr>
            </w:pPr>
            <w:r w:rsidRPr="00D61784">
              <w:rPr>
                <w:rFonts w:cs="Arial"/>
                <w:szCs w:val="20"/>
                <w:lang w:val="en-US" w:eastAsia="en-US"/>
              </w:rPr>
              <w:t>Walls 2016</w:t>
            </w:r>
          </w:p>
          <w:p w:rsidR="0016040B" w:rsidRPr="00D61784" w:rsidRDefault="0016040B" w:rsidP="001C7B61">
            <w:pPr>
              <w:pStyle w:val="TableText1"/>
              <w:rPr>
                <w:noProof/>
              </w:rPr>
            </w:pPr>
          </w:p>
        </w:tc>
        <w:tc>
          <w:tcPr>
            <w:tcW w:w="4827" w:type="dxa"/>
            <w:tcBorders>
              <w:top w:val="single" w:sz="4" w:space="0" w:color="auto"/>
              <w:left w:val="single" w:sz="4" w:space="0" w:color="auto"/>
              <w:bottom w:val="single" w:sz="4" w:space="0" w:color="auto"/>
              <w:right w:val="single" w:sz="4" w:space="0" w:color="auto"/>
            </w:tcBorders>
            <w:vAlign w:val="center"/>
          </w:tcPr>
          <w:p w:rsidR="00BD7189" w:rsidRPr="00D61784" w:rsidRDefault="00BD7189" w:rsidP="001C7B61">
            <w:pPr>
              <w:widowControl/>
              <w:autoSpaceDE w:val="0"/>
              <w:autoSpaceDN w:val="0"/>
              <w:adjustRightInd w:val="0"/>
              <w:jc w:val="left"/>
              <w:rPr>
                <w:rFonts w:ascii="Arial Narrow" w:eastAsia="Times New Roman" w:hAnsi="Arial Narrow" w:cs="Times New Roman"/>
                <w:noProof/>
                <w:snapToGrid/>
                <w:sz w:val="20"/>
                <w:szCs w:val="22"/>
                <w:lang w:val="en-GB" w:eastAsia="en-AU"/>
              </w:rPr>
            </w:pPr>
            <w:r w:rsidRPr="00D61784">
              <w:rPr>
                <w:rFonts w:ascii="Arial Narrow" w:eastAsia="Times New Roman" w:hAnsi="Arial Narrow" w:cs="Times New Roman"/>
                <w:noProof/>
                <w:snapToGrid/>
                <w:sz w:val="20"/>
                <w:szCs w:val="22"/>
                <w:lang w:val="en-GB" w:eastAsia="en-AU"/>
              </w:rPr>
              <w:t>Walls t, Graham P, Petousis-harris H, et al. Infant outcomes after exposure to Tdap vaccine in pregnancy: an observational study.</w:t>
            </w:r>
          </w:p>
        </w:tc>
        <w:tc>
          <w:tcPr>
            <w:tcW w:w="1897" w:type="dxa"/>
            <w:tcBorders>
              <w:top w:val="single" w:sz="4" w:space="0" w:color="auto"/>
              <w:left w:val="single" w:sz="4" w:space="0" w:color="auto"/>
              <w:bottom w:val="single" w:sz="4" w:space="0" w:color="auto"/>
              <w:right w:val="single" w:sz="4" w:space="0" w:color="auto"/>
            </w:tcBorders>
          </w:tcPr>
          <w:p w:rsidR="00BD7189" w:rsidRPr="00D61784" w:rsidRDefault="00BD7189" w:rsidP="001C7B61">
            <w:pPr>
              <w:pStyle w:val="TableText1"/>
              <w:rPr>
                <w:i/>
                <w:noProof/>
              </w:rPr>
            </w:pPr>
            <w:r w:rsidRPr="00D61784">
              <w:rPr>
                <w:i/>
                <w:noProof/>
              </w:rPr>
              <w:t>BMJ Open.</w:t>
            </w:r>
            <w:r w:rsidRPr="00D61784">
              <w:rPr>
                <w:noProof/>
              </w:rPr>
              <w:t xml:space="preserve"> 2016; 6(1): e009536.</w:t>
            </w:r>
          </w:p>
        </w:tc>
      </w:tr>
      <w:tr w:rsidR="0096655C" w:rsidTr="00E0257A">
        <w:tc>
          <w:tcPr>
            <w:tcW w:w="1701" w:type="dxa"/>
            <w:tcBorders>
              <w:top w:val="single" w:sz="4" w:space="0" w:color="auto"/>
              <w:left w:val="single" w:sz="4" w:space="0" w:color="auto"/>
              <w:bottom w:val="single" w:sz="4" w:space="0" w:color="auto"/>
              <w:right w:val="single" w:sz="4" w:space="0" w:color="auto"/>
            </w:tcBorders>
          </w:tcPr>
          <w:p w:rsidR="0096655C" w:rsidRPr="00D61784" w:rsidRDefault="0096655C" w:rsidP="001C7B61">
            <w:pPr>
              <w:pStyle w:val="TableText1"/>
              <w:rPr>
                <w:rFonts w:cs="Arial"/>
                <w:szCs w:val="20"/>
                <w:lang w:val="en-US" w:eastAsia="en-US"/>
              </w:rPr>
            </w:pPr>
            <w:r>
              <w:rPr>
                <w:rFonts w:cs="Arial"/>
                <w:szCs w:val="20"/>
                <w:lang w:val="en-US" w:eastAsia="en-US"/>
              </w:rPr>
              <w:t>Study PIPS</w:t>
            </w:r>
          </w:p>
        </w:tc>
        <w:tc>
          <w:tcPr>
            <w:tcW w:w="4827" w:type="dxa"/>
            <w:tcBorders>
              <w:top w:val="single" w:sz="4" w:space="0" w:color="auto"/>
              <w:left w:val="single" w:sz="4" w:space="0" w:color="auto"/>
              <w:bottom w:val="single" w:sz="4" w:space="0" w:color="auto"/>
              <w:right w:val="single" w:sz="4" w:space="0" w:color="auto"/>
            </w:tcBorders>
            <w:vAlign w:val="center"/>
          </w:tcPr>
          <w:p w:rsidR="0096655C" w:rsidRPr="00D61784" w:rsidRDefault="0096655C" w:rsidP="001C7B61">
            <w:pPr>
              <w:widowControl/>
              <w:autoSpaceDE w:val="0"/>
              <w:autoSpaceDN w:val="0"/>
              <w:adjustRightInd w:val="0"/>
              <w:jc w:val="left"/>
              <w:rPr>
                <w:rFonts w:ascii="Arial Narrow" w:eastAsia="Times New Roman" w:hAnsi="Arial Narrow" w:cs="Times New Roman"/>
                <w:noProof/>
                <w:snapToGrid/>
                <w:sz w:val="20"/>
                <w:szCs w:val="22"/>
                <w:lang w:val="en-GB" w:eastAsia="en-AU"/>
              </w:rPr>
            </w:pPr>
            <w:r>
              <w:rPr>
                <w:rFonts w:ascii="Arial Narrow" w:eastAsia="Times New Roman" w:hAnsi="Arial Narrow" w:cs="Times New Roman"/>
                <w:noProof/>
                <w:snapToGrid/>
                <w:sz w:val="20"/>
                <w:szCs w:val="22"/>
                <w:lang w:val="en-GB" w:eastAsia="en-AU"/>
              </w:rPr>
              <w:t xml:space="preserve">Study report: </w:t>
            </w:r>
            <w:r w:rsidRPr="00D61784">
              <w:rPr>
                <w:rFonts w:ascii="Arial Narrow" w:eastAsia="Times New Roman" w:hAnsi="Arial Narrow" w:cs="Times New Roman"/>
                <w:noProof/>
                <w:snapToGrid/>
                <w:sz w:val="20"/>
                <w:szCs w:val="22"/>
                <w:lang w:val="en-GB" w:eastAsia="en-AU"/>
              </w:rPr>
              <w:t xml:space="preserve">Pertussis in Pregnancy Safety (PIPS) Study </w:t>
            </w:r>
          </w:p>
          <w:p w:rsidR="0096655C" w:rsidRPr="00D61784" w:rsidRDefault="0096655C" w:rsidP="001C7B61">
            <w:pPr>
              <w:widowControl/>
              <w:autoSpaceDE w:val="0"/>
              <w:autoSpaceDN w:val="0"/>
              <w:adjustRightInd w:val="0"/>
              <w:jc w:val="left"/>
              <w:rPr>
                <w:rFonts w:ascii="Arial Narrow" w:eastAsia="Times New Roman" w:hAnsi="Arial Narrow" w:cs="Times New Roman"/>
                <w:noProof/>
                <w:snapToGrid/>
                <w:sz w:val="20"/>
                <w:szCs w:val="22"/>
                <w:lang w:val="en-GB" w:eastAsia="en-AU"/>
              </w:rPr>
            </w:pPr>
            <w:r w:rsidRPr="00D61784">
              <w:rPr>
                <w:rFonts w:ascii="Arial Narrow" w:eastAsia="Times New Roman" w:hAnsi="Arial Narrow" w:cs="Times New Roman"/>
                <w:noProof/>
                <w:snapToGrid/>
                <w:sz w:val="20"/>
                <w:szCs w:val="22"/>
                <w:lang w:val="en-GB" w:eastAsia="en-AU"/>
              </w:rPr>
              <w:t xml:space="preserve">Studies 2 and 3—Maternal Outcomes Report </w:t>
            </w:r>
          </w:p>
          <w:p w:rsidR="0096655C" w:rsidRPr="00D61784" w:rsidRDefault="0096655C" w:rsidP="001C7B61">
            <w:pPr>
              <w:widowControl/>
              <w:autoSpaceDE w:val="0"/>
              <w:autoSpaceDN w:val="0"/>
              <w:adjustRightInd w:val="0"/>
              <w:jc w:val="left"/>
              <w:rPr>
                <w:rFonts w:ascii="Arial Narrow" w:eastAsia="Times New Roman" w:hAnsi="Arial Narrow" w:cs="Times New Roman"/>
                <w:noProof/>
                <w:snapToGrid/>
                <w:sz w:val="20"/>
                <w:szCs w:val="22"/>
                <w:lang w:val="en-GB" w:eastAsia="en-AU"/>
              </w:rPr>
            </w:pPr>
            <w:r w:rsidRPr="00D61784">
              <w:rPr>
                <w:rFonts w:ascii="Arial Narrow" w:eastAsia="Times New Roman" w:hAnsi="Arial Narrow" w:cs="Times New Roman"/>
                <w:noProof/>
                <w:snapToGrid/>
                <w:sz w:val="20"/>
                <w:szCs w:val="22"/>
                <w:lang w:val="en-GB" w:eastAsia="en-AU"/>
              </w:rPr>
              <w:t>With Supplementary Study 3—Infant Outcomes Report</w:t>
            </w:r>
          </w:p>
        </w:tc>
        <w:tc>
          <w:tcPr>
            <w:tcW w:w="1897" w:type="dxa"/>
            <w:tcBorders>
              <w:top w:val="single" w:sz="4" w:space="0" w:color="auto"/>
              <w:left w:val="single" w:sz="4" w:space="0" w:color="auto"/>
              <w:bottom w:val="single" w:sz="4" w:space="0" w:color="auto"/>
              <w:right w:val="single" w:sz="4" w:space="0" w:color="auto"/>
            </w:tcBorders>
          </w:tcPr>
          <w:p w:rsidR="0096655C" w:rsidRPr="0096655C" w:rsidRDefault="0096655C" w:rsidP="001C7B61">
            <w:pPr>
              <w:widowControl/>
              <w:autoSpaceDE w:val="0"/>
              <w:autoSpaceDN w:val="0"/>
              <w:adjustRightInd w:val="0"/>
              <w:jc w:val="left"/>
              <w:rPr>
                <w:rFonts w:ascii="Arial Narrow" w:eastAsia="Times New Roman" w:hAnsi="Arial Narrow" w:cs="Times New Roman"/>
                <w:noProof/>
                <w:snapToGrid/>
                <w:sz w:val="20"/>
                <w:szCs w:val="22"/>
                <w:lang w:val="en-GB" w:eastAsia="en-AU"/>
              </w:rPr>
            </w:pPr>
            <w:r w:rsidRPr="0096655C">
              <w:rPr>
                <w:rFonts w:ascii="Arial Narrow" w:eastAsia="Times New Roman" w:hAnsi="Arial Narrow" w:cs="Times New Roman"/>
                <w:noProof/>
                <w:snapToGrid/>
                <w:sz w:val="20"/>
                <w:szCs w:val="22"/>
                <w:lang w:val="en-GB" w:eastAsia="en-AU"/>
              </w:rPr>
              <w:t>December 2015</w:t>
            </w:r>
          </w:p>
        </w:tc>
      </w:tr>
      <w:tr w:rsidR="00BD7189" w:rsidTr="00E0257A">
        <w:tc>
          <w:tcPr>
            <w:tcW w:w="1701" w:type="dxa"/>
            <w:tcBorders>
              <w:top w:val="single" w:sz="4" w:space="0" w:color="auto"/>
            </w:tcBorders>
          </w:tcPr>
          <w:p w:rsidR="00BD7189" w:rsidRPr="00D61784" w:rsidRDefault="00BD7189" w:rsidP="001C7B61">
            <w:pPr>
              <w:pStyle w:val="TableText1"/>
              <w:rPr>
                <w:rFonts w:cs="Arial"/>
                <w:szCs w:val="20"/>
                <w:lang w:val="en-US" w:eastAsia="en-US"/>
              </w:rPr>
            </w:pPr>
            <w:r w:rsidRPr="00D61784">
              <w:rPr>
                <w:noProof/>
              </w:rPr>
              <w:t>Shakib 2013</w:t>
            </w:r>
          </w:p>
        </w:tc>
        <w:tc>
          <w:tcPr>
            <w:tcW w:w="4827" w:type="dxa"/>
            <w:tcBorders>
              <w:top w:val="single" w:sz="4" w:space="0" w:color="auto"/>
            </w:tcBorders>
            <w:vAlign w:val="center"/>
          </w:tcPr>
          <w:p w:rsidR="00BD7189" w:rsidRPr="00D61784" w:rsidRDefault="00BD7189" w:rsidP="001C7B61">
            <w:pPr>
              <w:widowControl/>
              <w:autoSpaceDE w:val="0"/>
              <w:autoSpaceDN w:val="0"/>
              <w:adjustRightInd w:val="0"/>
              <w:jc w:val="left"/>
              <w:rPr>
                <w:rFonts w:ascii="Arial Narrow" w:eastAsia="Times New Roman" w:hAnsi="Arial Narrow" w:cs="Times New Roman"/>
                <w:noProof/>
                <w:snapToGrid/>
                <w:sz w:val="20"/>
                <w:szCs w:val="22"/>
                <w:lang w:val="en-GB" w:eastAsia="en-AU"/>
              </w:rPr>
            </w:pPr>
            <w:r w:rsidRPr="00D61784">
              <w:rPr>
                <w:rFonts w:ascii="Arial Narrow" w:eastAsia="Times New Roman" w:hAnsi="Arial Narrow" w:cs="Times New Roman"/>
                <w:noProof/>
                <w:snapToGrid/>
                <w:sz w:val="20"/>
                <w:szCs w:val="22"/>
                <w:lang w:val="en-GB" w:eastAsia="en-AU"/>
              </w:rPr>
              <w:t xml:space="preserve">Tetanus, diphtheria, acellular pertussis vaccine during pregnancy: pregnancy and infant health outcomes. </w:t>
            </w:r>
          </w:p>
        </w:tc>
        <w:tc>
          <w:tcPr>
            <w:tcW w:w="1897" w:type="dxa"/>
            <w:tcBorders>
              <w:top w:val="single" w:sz="4" w:space="0" w:color="auto"/>
            </w:tcBorders>
          </w:tcPr>
          <w:p w:rsidR="00BD7189" w:rsidRPr="00D61784" w:rsidRDefault="00BD7189" w:rsidP="001C7B61">
            <w:pPr>
              <w:widowControl/>
              <w:autoSpaceDE w:val="0"/>
              <w:autoSpaceDN w:val="0"/>
              <w:adjustRightInd w:val="0"/>
              <w:jc w:val="left"/>
              <w:rPr>
                <w:rFonts w:ascii="Arial Narrow" w:eastAsia="Times New Roman" w:hAnsi="Arial Narrow" w:cs="Times New Roman"/>
                <w:i/>
                <w:noProof/>
                <w:snapToGrid/>
                <w:sz w:val="20"/>
                <w:szCs w:val="22"/>
                <w:lang w:val="en-GB" w:eastAsia="en-AU"/>
              </w:rPr>
            </w:pPr>
            <w:r w:rsidRPr="004A4B1F">
              <w:rPr>
                <w:rFonts w:ascii="Arial Narrow" w:eastAsia="Times New Roman" w:hAnsi="Arial Narrow" w:cs="Times New Roman"/>
                <w:i/>
                <w:noProof/>
                <w:snapToGrid/>
                <w:sz w:val="20"/>
                <w:szCs w:val="22"/>
                <w:lang w:val="en-GB" w:eastAsia="en-AU"/>
              </w:rPr>
              <w:t>J Pediatr</w:t>
            </w:r>
            <w:r w:rsidRPr="00D61784">
              <w:rPr>
                <w:rFonts w:ascii="Arial Narrow" w:eastAsia="Times New Roman" w:hAnsi="Arial Narrow" w:cs="Times New Roman"/>
                <w:noProof/>
                <w:snapToGrid/>
                <w:sz w:val="20"/>
                <w:szCs w:val="22"/>
                <w:lang w:val="en-GB" w:eastAsia="en-AU"/>
              </w:rPr>
              <w:t xml:space="preserve"> 2013; 163(5):1422-6</w:t>
            </w:r>
          </w:p>
        </w:tc>
      </w:tr>
    </w:tbl>
    <w:p w:rsidR="00BD7189" w:rsidRPr="00C6643A" w:rsidRDefault="00BD7189" w:rsidP="001C7B61">
      <w:pPr>
        <w:pStyle w:val="TableFooter"/>
        <w:widowControl/>
        <w:ind w:left="720"/>
      </w:pPr>
      <w:r>
        <w:t>S</w:t>
      </w:r>
      <w:r w:rsidRPr="00C6643A">
        <w:t>ource: Table B-3, p24 of the submission; Table B-23, p48 of the submission</w:t>
      </w:r>
    </w:p>
    <w:p w:rsidR="000A3BB3" w:rsidRDefault="000A3BB3" w:rsidP="001C7B61">
      <w:pPr>
        <w:widowControl/>
        <w:jc w:val="left"/>
        <w:rPr>
          <w:rStyle w:val="CommentReference"/>
        </w:rPr>
      </w:pPr>
      <w:r>
        <w:rPr>
          <w:rStyle w:val="CommentReference"/>
        </w:rPr>
        <w:br w:type="page"/>
      </w:r>
    </w:p>
    <w:p w:rsidR="00862502" w:rsidRPr="007D1AA0" w:rsidRDefault="008F120A" w:rsidP="001C7B61">
      <w:pPr>
        <w:pStyle w:val="ListParagraph"/>
        <w:widowControl/>
        <w:numPr>
          <w:ilvl w:val="1"/>
          <w:numId w:val="3"/>
        </w:numPr>
        <w:rPr>
          <w:szCs w:val="22"/>
        </w:rPr>
      </w:pPr>
      <w:r w:rsidRPr="00B50DB8">
        <w:rPr>
          <w:szCs w:val="22"/>
        </w:rPr>
        <w:t xml:space="preserve">The key features of </w:t>
      </w:r>
      <w:r w:rsidR="00A30B5C">
        <w:rPr>
          <w:szCs w:val="22"/>
        </w:rPr>
        <w:t>the vaccine effectiveness</w:t>
      </w:r>
      <w:r w:rsidR="000E5EBB">
        <w:rPr>
          <w:szCs w:val="22"/>
        </w:rPr>
        <w:t xml:space="preserve"> (VE)</w:t>
      </w:r>
      <w:r w:rsidR="00A30B5C">
        <w:rPr>
          <w:szCs w:val="22"/>
        </w:rPr>
        <w:t xml:space="preserve"> studies</w:t>
      </w:r>
      <w:r w:rsidRPr="00B50DB8">
        <w:rPr>
          <w:szCs w:val="22"/>
        </w:rPr>
        <w:t xml:space="preserve"> are </w:t>
      </w:r>
      <w:r w:rsidR="00C16703">
        <w:rPr>
          <w:szCs w:val="22"/>
        </w:rPr>
        <w:t xml:space="preserve">summarised in </w:t>
      </w:r>
      <w:r w:rsidR="000A3BB3">
        <w:rPr>
          <w:szCs w:val="22"/>
        </w:rPr>
        <w:t>Table</w:t>
      </w:r>
      <w:r w:rsidR="009B79BF">
        <w:rPr>
          <w:szCs w:val="22"/>
        </w:rPr>
        <w:t> </w:t>
      </w:r>
      <w:r w:rsidR="000A3BB3">
        <w:rPr>
          <w:szCs w:val="22"/>
        </w:rPr>
        <w:t>2</w:t>
      </w:r>
      <w:r w:rsidR="00C16703">
        <w:rPr>
          <w:szCs w:val="22"/>
        </w:rPr>
        <w:t>.</w:t>
      </w:r>
    </w:p>
    <w:p w:rsidR="007F1017" w:rsidRDefault="007F1017" w:rsidP="001C7B61">
      <w:pPr>
        <w:widowControl/>
        <w:rPr>
          <w:szCs w:val="22"/>
        </w:rPr>
      </w:pPr>
    </w:p>
    <w:p w:rsidR="007F1017" w:rsidRPr="00E2771E" w:rsidRDefault="00E6230B" w:rsidP="001C7B61">
      <w:pPr>
        <w:widowControl/>
        <w:ind w:firstLine="720"/>
        <w:rPr>
          <w:rStyle w:val="CommentReference"/>
        </w:rPr>
      </w:pPr>
      <w:r>
        <w:rPr>
          <w:rStyle w:val="CommentReference"/>
        </w:rPr>
        <w:t>Table 2</w:t>
      </w:r>
      <w:r w:rsidR="007F1017" w:rsidRPr="00E2771E">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3"/>
        <w:gridCol w:w="667"/>
        <w:gridCol w:w="1785"/>
        <w:gridCol w:w="767"/>
        <w:gridCol w:w="1527"/>
        <w:gridCol w:w="1077"/>
        <w:gridCol w:w="1059"/>
      </w:tblGrid>
      <w:tr w:rsidR="00965145" w:rsidRPr="00E2771E" w:rsidTr="00986F60">
        <w:tc>
          <w:tcPr>
            <w:tcW w:w="878" w:type="pct"/>
            <w:shd w:val="clear" w:color="auto" w:fill="auto"/>
            <w:vAlign w:val="center"/>
          </w:tcPr>
          <w:p w:rsidR="007F1017" w:rsidRPr="00E2771E" w:rsidRDefault="007F1017" w:rsidP="001C7B61">
            <w:pPr>
              <w:widowControl/>
              <w:jc w:val="left"/>
              <w:rPr>
                <w:rFonts w:ascii="Arial Narrow" w:hAnsi="Arial Narrow"/>
                <w:b/>
                <w:sz w:val="20"/>
                <w:lang w:val="en-US"/>
              </w:rPr>
            </w:pPr>
            <w:r w:rsidRPr="00E2771E">
              <w:rPr>
                <w:rFonts w:ascii="Arial Narrow" w:hAnsi="Arial Narrow"/>
                <w:b/>
                <w:sz w:val="20"/>
                <w:lang w:val="en-US"/>
              </w:rPr>
              <w:t>Trial</w:t>
            </w:r>
          </w:p>
        </w:tc>
        <w:tc>
          <w:tcPr>
            <w:tcW w:w="393" w:type="pct"/>
            <w:shd w:val="clear" w:color="auto" w:fill="auto"/>
            <w:vAlign w:val="center"/>
          </w:tcPr>
          <w:p w:rsidR="00965145" w:rsidRDefault="007F1017" w:rsidP="001C7B61">
            <w:pPr>
              <w:widowControl/>
              <w:jc w:val="center"/>
              <w:rPr>
                <w:rFonts w:ascii="Arial Narrow" w:hAnsi="Arial Narrow"/>
                <w:b/>
                <w:sz w:val="20"/>
                <w:lang w:val="en-US"/>
              </w:rPr>
            </w:pPr>
            <w:r w:rsidRPr="00E2771E">
              <w:rPr>
                <w:rFonts w:ascii="Arial Narrow" w:hAnsi="Arial Narrow"/>
                <w:b/>
                <w:sz w:val="20"/>
                <w:lang w:val="en-US"/>
              </w:rPr>
              <w:t>N</w:t>
            </w:r>
            <w:r w:rsidR="00A23D25">
              <w:rPr>
                <w:rFonts w:ascii="Arial Narrow" w:hAnsi="Arial Narrow"/>
                <w:b/>
                <w:sz w:val="20"/>
                <w:lang w:val="en-US"/>
              </w:rPr>
              <w:t xml:space="preserve"> (Cases</w:t>
            </w:r>
            <w:r w:rsidR="00965145">
              <w:rPr>
                <w:rFonts w:ascii="Arial Narrow" w:hAnsi="Arial Narrow"/>
                <w:b/>
                <w:sz w:val="20"/>
                <w:lang w:val="en-US"/>
              </w:rPr>
              <w:t>/</w:t>
            </w:r>
          </w:p>
          <w:p w:rsidR="007F1017" w:rsidRPr="00E2771E" w:rsidRDefault="00965145" w:rsidP="001C7B61">
            <w:pPr>
              <w:widowControl/>
              <w:jc w:val="center"/>
              <w:rPr>
                <w:rFonts w:ascii="Arial Narrow" w:hAnsi="Arial Narrow"/>
                <w:b/>
                <w:sz w:val="20"/>
                <w:lang w:val="en-US"/>
              </w:rPr>
            </w:pPr>
            <w:r>
              <w:rPr>
                <w:rFonts w:ascii="Arial Narrow" w:hAnsi="Arial Narrow"/>
                <w:b/>
                <w:sz w:val="20"/>
                <w:lang w:val="en-US"/>
              </w:rPr>
              <w:t>control</w:t>
            </w:r>
            <w:r w:rsidR="00A23D25">
              <w:rPr>
                <w:rFonts w:ascii="Arial Narrow" w:hAnsi="Arial Narrow"/>
                <w:b/>
                <w:sz w:val="20"/>
                <w:lang w:val="en-US"/>
              </w:rPr>
              <w:t>)</w:t>
            </w:r>
          </w:p>
        </w:tc>
        <w:tc>
          <w:tcPr>
            <w:tcW w:w="1071" w:type="pct"/>
            <w:shd w:val="clear" w:color="auto" w:fill="auto"/>
            <w:vAlign w:val="center"/>
          </w:tcPr>
          <w:p w:rsidR="007F1017" w:rsidRPr="00E2771E" w:rsidRDefault="007F1017" w:rsidP="001C7B61">
            <w:pPr>
              <w:widowControl/>
              <w:jc w:val="center"/>
              <w:rPr>
                <w:rFonts w:ascii="Arial Narrow" w:hAnsi="Arial Narrow"/>
                <w:b/>
                <w:sz w:val="20"/>
                <w:lang w:val="en-US"/>
              </w:rPr>
            </w:pPr>
            <w:r w:rsidRPr="00E2771E">
              <w:rPr>
                <w:rFonts w:ascii="Arial Narrow" w:hAnsi="Arial Narrow"/>
                <w:b/>
                <w:sz w:val="20"/>
                <w:lang w:val="en-US"/>
              </w:rPr>
              <w:t xml:space="preserve">Design/ </w:t>
            </w:r>
            <w:r w:rsidR="00BA03C6">
              <w:rPr>
                <w:rFonts w:ascii="Arial Narrow" w:hAnsi="Arial Narrow"/>
                <w:b/>
                <w:sz w:val="20"/>
                <w:lang w:val="en-US"/>
              </w:rPr>
              <w:t>Case identification period</w:t>
            </w:r>
          </w:p>
        </w:tc>
        <w:tc>
          <w:tcPr>
            <w:tcW w:w="461" w:type="pct"/>
            <w:shd w:val="clear" w:color="auto" w:fill="auto"/>
            <w:vAlign w:val="center"/>
          </w:tcPr>
          <w:p w:rsidR="007F1017" w:rsidRPr="00E2771E" w:rsidRDefault="007F1017" w:rsidP="001C7B61">
            <w:pPr>
              <w:widowControl/>
              <w:jc w:val="center"/>
              <w:rPr>
                <w:rFonts w:ascii="Arial Narrow" w:hAnsi="Arial Narrow"/>
                <w:b/>
                <w:sz w:val="20"/>
                <w:lang w:val="en-US"/>
              </w:rPr>
            </w:pPr>
            <w:r w:rsidRPr="00E2771E">
              <w:rPr>
                <w:rFonts w:ascii="Arial Narrow" w:hAnsi="Arial Narrow"/>
                <w:b/>
                <w:sz w:val="20"/>
                <w:lang w:val="en-US"/>
              </w:rPr>
              <w:t>Risk of bias</w:t>
            </w:r>
          </w:p>
        </w:tc>
        <w:tc>
          <w:tcPr>
            <w:tcW w:w="916" w:type="pct"/>
            <w:shd w:val="clear" w:color="auto" w:fill="auto"/>
            <w:vAlign w:val="center"/>
          </w:tcPr>
          <w:p w:rsidR="007F1017" w:rsidRPr="00E2771E" w:rsidRDefault="007F1017" w:rsidP="001C7B61">
            <w:pPr>
              <w:widowControl/>
              <w:jc w:val="center"/>
              <w:rPr>
                <w:rFonts w:ascii="Arial Narrow" w:hAnsi="Arial Narrow"/>
                <w:b/>
                <w:sz w:val="20"/>
                <w:lang w:val="en-US"/>
              </w:rPr>
            </w:pPr>
            <w:r w:rsidRPr="00E2771E">
              <w:rPr>
                <w:rFonts w:ascii="Arial Narrow" w:hAnsi="Arial Narrow"/>
                <w:b/>
                <w:sz w:val="20"/>
                <w:lang w:val="en-US"/>
              </w:rPr>
              <w:t>Patient population</w:t>
            </w:r>
          </w:p>
        </w:tc>
        <w:tc>
          <w:tcPr>
            <w:tcW w:w="646" w:type="pct"/>
            <w:shd w:val="clear" w:color="auto" w:fill="auto"/>
            <w:vAlign w:val="center"/>
          </w:tcPr>
          <w:p w:rsidR="007F1017" w:rsidRPr="00E2771E" w:rsidRDefault="007F1017" w:rsidP="001C7B61">
            <w:pPr>
              <w:widowControl/>
              <w:jc w:val="center"/>
              <w:rPr>
                <w:rFonts w:ascii="Arial Narrow" w:hAnsi="Arial Narrow"/>
                <w:b/>
                <w:sz w:val="20"/>
                <w:lang w:val="en-US"/>
              </w:rPr>
            </w:pPr>
            <w:r w:rsidRPr="00E2771E">
              <w:rPr>
                <w:rFonts w:ascii="Arial Narrow" w:hAnsi="Arial Narrow"/>
                <w:b/>
                <w:sz w:val="20"/>
                <w:lang w:val="en-US"/>
              </w:rPr>
              <w:t>Outcome</w:t>
            </w:r>
          </w:p>
        </w:tc>
        <w:tc>
          <w:tcPr>
            <w:tcW w:w="635" w:type="pct"/>
            <w:shd w:val="clear" w:color="auto" w:fill="auto"/>
            <w:vAlign w:val="center"/>
          </w:tcPr>
          <w:p w:rsidR="007F1017" w:rsidRPr="00E2771E" w:rsidRDefault="007F1017" w:rsidP="001C7B61">
            <w:pPr>
              <w:widowControl/>
              <w:jc w:val="center"/>
              <w:rPr>
                <w:rFonts w:ascii="Arial Narrow" w:hAnsi="Arial Narrow"/>
                <w:b/>
                <w:sz w:val="20"/>
                <w:lang w:val="en-US"/>
              </w:rPr>
            </w:pPr>
            <w:r w:rsidRPr="00E2771E">
              <w:rPr>
                <w:rFonts w:ascii="Arial Narrow" w:hAnsi="Arial Narrow"/>
                <w:b/>
                <w:sz w:val="20"/>
                <w:lang w:val="en-US"/>
              </w:rPr>
              <w:t>Use in modelled evaluation</w:t>
            </w:r>
          </w:p>
        </w:tc>
      </w:tr>
      <w:tr w:rsidR="00043C0D" w:rsidRPr="005848FB" w:rsidTr="001E2882">
        <w:tc>
          <w:tcPr>
            <w:tcW w:w="878" w:type="pct"/>
            <w:shd w:val="clear" w:color="auto" w:fill="auto"/>
            <w:vAlign w:val="center"/>
          </w:tcPr>
          <w:p w:rsidR="00043C0D" w:rsidRPr="00E2771E" w:rsidRDefault="00043C0D" w:rsidP="001C7B61">
            <w:pPr>
              <w:widowControl/>
              <w:jc w:val="left"/>
              <w:rPr>
                <w:rFonts w:ascii="Arial Narrow" w:hAnsi="Arial Narrow"/>
                <w:sz w:val="20"/>
                <w:lang w:val="en-US"/>
              </w:rPr>
            </w:pPr>
            <w:r w:rsidRPr="005848FB">
              <w:rPr>
                <w:rFonts w:ascii="Arial Narrow" w:hAnsi="Arial Narrow"/>
                <w:sz w:val="20"/>
                <w:lang w:val="en-US"/>
              </w:rPr>
              <w:t>Amirthalingam 2014</w:t>
            </w:r>
          </w:p>
        </w:tc>
        <w:tc>
          <w:tcPr>
            <w:tcW w:w="393" w:type="pct"/>
            <w:shd w:val="clear" w:color="auto" w:fill="auto"/>
            <w:vAlign w:val="center"/>
          </w:tcPr>
          <w:p w:rsidR="00043C0D" w:rsidRPr="00E2771E" w:rsidRDefault="00965145" w:rsidP="001C7B61">
            <w:pPr>
              <w:widowControl/>
              <w:jc w:val="center"/>
              <w:rPr>
                <w:rFonts w:ascii="Arial Narrow" w:hAnsi="Arial Narrow"/>
                <w:sz w:val="20"/>
                <w:lang w:val="en-US"/>
              </w:rPr>
            </w:pPr>
            <w:r>
              <w:rPr>
                <w:rFonts w:ascii="Arial Narrow" w:hAnsi="Arial Narrow"/>
                <w:sz w:val="20"/>
                <w:lang w:val="en-US"/>
              </w:rPr>
              <w:t>82/</w:t>
            </w:r>
            <w:r w:rsidR="00043C0D">
              <w:rPr>
                <w:rFonts w:ascii="Arial Narrow" w:hAnsi="Arial Narrow"/>
                <w:sz w:val="20"/>
                <w:lang w:val="en-US"/>
              </w:rPr>
              <w:t>NA</w:t>
            </w:r>
          </w:p>
        </w:tc>
        <w:tc>
          <w:tcPr>
            <w:tcW w:w="1071" w:type="pct"/>
            <w:shd w:val="clear" w:color="auto" w:fill="auto"/>
            <w:vAlign w:val="center"/>
          </w:tcPr>
          <w:p w:rsidR="00043C0D" w:rsidRPr="00E2771E" w:rsidRDefault="00043C0D" w:rsidP="001C7B61">
            <w:pPr>
              <w:widowControl/>
              <w:jc w:val="center"/>
              <w:rPr>
                <w:rFonts w:ascii="Arial Narrow" w:hAnsi="Arial Narrow"/>
                <w:sz w:val="20"/>
                <w:lang w:val="en-US"/>
              </w:rPr>
            </w:pPr>
            <w:r>
              <w:rPr>
                <w:rFonts w:ascii="Arial Narrow" w:hAnsi="Arial Narrow"/>
                <w:sz w:val="20"/>
                <w:lang w:val="en-US"/>
              </w:rPr>
              <w:t xml:space="preserve">Retro, </w:t>
            </w:r>
            <w:r w:rsidRPr="00BA03C6">
              <w:rPr>
                <w:rFonts w:ascii="Arial Narrow" w:hAnsi="Arial Narrow"/>
                <w:sz w:val="20"/>
                <w:lang w:val="en-US"/>
              </w:rPr>
              <w:t>Screening Method (case-coverage study)</w:t>
            </w:r>
            <w:r w:rsidR="00BA03C6">
              <w:rPr>
                <w:rFonts w:ascii="Arial Narrow" w:hAnsi="Arial Narrow"/>
                <w:sz w:val="20"/>
                <w:lang w:val="en-US"/>
              </w:rPr>
              <w:t>,</w:t>
            </w:r>
            <w:r w:rsidR="00BA03C6" w:rsidRPr="00BA03C6">
              <w:rPr>
                <w:rFonts w:ascii="Arial Narrow" w:hAnsi="Arial Narrow"/>
                <w:sz w:val="20"/>
                <w:lang w:val="en-US"/>
              </w:rPr>
              <w:t xml:space="preserve"> January 2008 and September 2013</w:t>
            </w:r>
          </w:p>
        </w:tc>
        <w:tc>
          <w:tcPr>
            <w:tcW w:w="461" w:type="pct"/>
            <w:shd w:val="clear" w:color="auto" w:fill="auto"/>
            <w:vAlign w:val="center"/>
          </w:tcPr>
          <w:p w:rsidR="00043C0D" w:rsidRPr="00E2771E" w:rsidRDefault="004B0903" w:rsidP="001C7B61">
            <w:pPr>
              <w:widowControl/>
              <w:jc w:val="center"/>
              <w:rPr>
                <w:rFonts w:ascii="Arial Narrow" w:hAnsi="Arial Narrow"/>
                <w:sz w:val="20"/>
                <w:lang w:val="en-US"/>
              </w:rPr>
            </w:pPr>
            <w:r>
              <w:rPr>
                <w:rFonts w:ascii="Arial Narrow" w:hAnsi="Arial Narrow"/>
                <w:sz w:val="20"/>
                <w:lang w:val="en-US"/>
              </w:rPr>
              <w:t>H</w:t>
            </w:r>
            <w:r w:rsidR="00A43EB3">
              <w:rPr>
                <w:rFonts w:ascii="Arial Narrow" w:hAnsi="Arial Narrow"/>
                <w:sz w:val="20"/>
                <w:lang w:val="en-US"/>
              </w:rPr>
              <w:t>igh</w:t>
            </w:r>
          </w:p>
        </w:tc>
        <w:tc>
          <w:tcPr>
            <w:tcW w:w="916" w:type="pct"/>
            <w:vMerge w:val="restart"/>
            <w:shd w:val="clear" w:color="auto" w:fill="auto"/>
            <w:vAlign w:val="center"/>
          </w:tcPr>
          <w:p w:rsidR="00043C0D" w:rsidRPr="00E2771E" w:rsidRDefault="00043C0D" w:rsidP="001C7B61">
            <w:pPr>
              <w:widowControl/>
              <w:jc w:val="center"/>
              <w:rPr>
                <w:rFonts w:ascii="Arial Narrow" w:hAnsi="Arial Narrow"/>
                <w:sz w:val="20"/>
                <w:lang w:val="en-US"/>
              </w:rPr>
            </w:pPr>
            <w:r>
              <w:rPr>
                <w:rFonts w:ascii="Arial Narrow" w:hAnsi="Arial Narrow"/>
                <w:sz w:val="20"/>
                <w:lang w:val="en-US"/>
              </w:rPr>
              <w:t>Population level maternal dTpa-IPV vaccination program in the UK</w:t>
            </w:r>
          </w:p>
        </w:tc>
        <w:tc>
          <w:tcPr>
            <w:tcW w:w="646" w:type="pct"/>
            <w:shd w:val="clear" w:color="auto" w:fill="auto"/>
            <w:vAlign w:val="center"/>
          </w:tcPr>
          <w:p w:rsidR="00043C0D" w:rsidRPr="00E2771E" w:rsidRDefault="00043C0D" w:rsidP="001C7B61">
            <w:pPr>
              <w:widowControl/>
              <w:jc w:val="center"/>
              <w:rPr>
                <w:rFonts w:ascii="Arial Narrow" w:hAnsi="Arial Narrow"/>
                <w:sz w:val="20"/>
                <w:lang w:val="en-US"/>
              </w:rPr>
            </w:pPr>
            <w:r>
              <w:rPr>
                <w:rFonts w:ascii="Arial Narrow" w:hAnsi="Arial Narrow"/>
                <w:sz w:val="20"/>
                <w:lang w:val="en-US"/>
              </w:rPr>
              <w:t>VE</w:t>
            </w:r>
          </w:p>
        </w:tc>
        <w:tc>
          <w:tcPr>
            <w:tcW w:w="635" w:type="pct"/>
            <w:shd w:val="clear" w:color="auto" w:fill="auto"/>
            <w:vAlign w:val="center"/>
          </w:tcPr>
          <w:p w:rsidR="00043C0D" w:rsidRPr="00E2771E" w:rsidRDefault="007640FD" w:rsidP="001C7B61">
            <w:pPr>
              <w:widowControl/>
              <w:jc w:val="center"/>
              <w:rPr>
                <w:rFonts w:ascii="Arial Narrow" w:hAnsi="Arial Narrow"/>
                <w:sz w:val="20"/>
                <w:lang w:val="en-US"/>
              </w:rPr>
            </w:pPr>
            <w:r>
              <w:rPr>
                <w:rFonts w:ascii="Arial Narrow" w:hAnsi="Arial Narrow"/>
                <w:sz w:val="20"/>
                <w:lang w:val="en-US"/>
              </w:rPr>
              <w:t>VE</w:t>
            </w:r>
            <w:r w:rsidR="00043C0D">
              <w:rPr>
                <w:rFonts w:ascii="Arial Narrow" w:hAnsi="Arial Narrow"/>
                <w:sz w:val="20"/>
                <w:lang w:val="en-US"/>
              </w:rPr>
              <w:t xml:space="preserve"> for infants</w:t>
            </w:r>
          </w:p>
        </w:tc>
      </w:tr>
      <w:tr w:rsidR="00043C0D" w:rsidRPr="005848FB" w:rsidTr="001E2882">
        <w:tc>
          <w:tcPr>
            <w:tcW w:w="878" w:type="pct"/>
            <w:shd w:val="clear" w:color="auto" w:fill="auto"/>
            <w:vAlign w:val="center"/>
          </w:tcPr>
          <w:p w:rsidR="00043C0D" w:rsidRPr="00E2771E" w:rsidRDefault="00043C0D" w:rsidP="001C7B61">
            <w:pPr>
              <w:widowControl/>
              <w:jc w:val="left"/>
              <w:rPr>
                <w:rFonts w:ascii="Arial Narrow" w:hAnsi="Arial Narrow"/>
                <w:sz w:val="20"/>
                <w:lang w:val="en-US"/>
              </w:rPr>
            </w:pPr>
            <w:r w:rsidRPr="005848FB">
              <w:rPr>
                <w:rFonts w:ascii="Arial Narrow" w:hAnsi="Arial Narrow"/>
                <w:sz w:val="20"/>
                <w:lang w:val="en-US"/>
              </w:rPr>
              <w:t>Dabrera 2015</w:t>
            </w:r>
          </w:p>
        </w:tc>
        <w:tc>
          <w:tcPr>
            <w:tcW w:w="393" w:type="pct"/>
            <w:shd w:val="clear" w:color="auto" w:fill="auto"/>
            <w:vAlign w:val="center"/>
          </w:tcPr>
          <w:p w:rsidR="00043C0D" w:rsidRPr="00E2771E" w:rsidRDefault="00965145" w:rsidP="001C7B61">
            <w:pPr>
              <w:widowControl/>
              <w:jc w:val="center"/>
              <w:rPr>
                <w:rFonts w:ascii="Arial Narrow" w:hAnsi="Arial Narrow"/>
                <w:sz w:val="20"/>
                <w:lang w:val="en-US"/>
              </w:rPr>
            </w:pPr>
            <w:r>
              <w:rPr>
                <w:rFonts w:ascii="Arial Narrow" w:hAnsi="Arial Narrow"/>
                <w:sz w:val="20"/>
                <w:lang w:val="en-US"/>
              </w:rPr>
              <w:t>58/55</w:t>
            </w:r>
          </w:p>
        </w:tc>
        <w:tc>
          <w:tcPr>
            <w:tcW w:w="1071" w:type="pct"/>
            <w:shd w:val="clear" w:color="auto" w:fill="auto"/>
            <w:vAlign w:val="center"/>
          </w:tcPr>
          <w:p w:rsidR="00043C0D" w:rsidRPr="00E2771E" w:rsidRDefault="001035B5" w:rsidP="001C7B61">
            <w:pPr>
              <w:widowControl/>
              <w:jc w:val="center"/>
              <w:rPr>
                <w:rFonts w:ascii="Arial Narrow" w:hAnsi="Arial Narrow"/>
                <w:sz w:val="20"/>
                <w:lang w:val="en-US"/>
              </w:rPr>
            </w:pPr>
            <w:r>
              <w:rPr>
                <w:rFonts w:ascii="Arial Narrow" w:hAnsi="Arial Narrow"/>
                <w:sz w:val="20"/>
                <w:lang w:val="en-US"/>
              </w:rPr>
              <w:t xml:space="preserve">Retro, </w:t>
            </w:r>
            <w:r w:rsidR="00043C0D" w:rsidRPr="00BA03C6">
              <w:rPr>
                <w:rFonts w:ascii="Arial Narrow" w:hAnsi="Arial Narrow"/>
                <w:sz w:val="20"/>
                <w:lang w:val="en-US"/>
              </w:rPr>
              <w:t>Case-control study</w:t>
            </w:r>
            <w:r w:rsidR="00713B54">
              <w:rPr>
                <w:rFonts w:ascii="Arial Narrow" w:hAnsi="Arial Narrow"/>
                <w:sz w:val="20"/>
                <w:lang w:val="en-US"/>
              </w:rPr>
              <w:t xml:space="preserve">, </w:t>
            </w:r>
            <w:r w:rsidRPr="00713B54">
              <w:rPr>
                <w:rFonts w:ascii="Arial Narrow" w:hAnsi="Arial Narrow"/>
                <w:sz w:val="20"/>
                <w:lang w:val="en-US"/>
              </w:rPr>
              <w:t>October 2012 and July 2013</w:t>
            </w:r>
          </w:p>
        </w:tc>
        <w:tc>
          <w:tcPr>
            <w:tcW w:w="461" w:type="pct"/>
            <w:shd w:val="clear" w:color="auto" w:fill="auto"/>
            <w:vAlign w:val="center"/>
          </w:tcPr>
          <w:p w:rsidR="00043C0D" w:rsidRPr="00E2771E" w:rsidRDefault="00330C59" w:rsidP="001C7B61">
            <w:pPr>
              <w:widowControl/>
              <w:jc w:val="center"/>
              <w:rPr>
                <w:rFonts w:ascii="Arial Narrow" w:hAnsi="Arial Narrow"/>
                <w:sz w:val="20"/>
                <w:lang w:val="en-US"/>
              </w:rPr>
            </w:pPr>
            <w:r>
              <w:rPr>
                <w:rFonts w:ascii="Arial Narrow" w:hAnsi="Arial Narrow"/>
                <w:sz w:val="20"/>
                <w:lang w:val="en-US"/>
              </w:rPr>
              <w:t>High</w:t>
            </w:r>
          </w:p>
        </w:tc>
        <w:tc>
          <w:tcPr>
            <w:tcW w:w="916" w:type="pct"/>
            <w:vMerge/>
            <w:shd w:val="clear" w:color="auto" w:fill="auto"/>
            <w:vAlign w:val="center"/>
          </w:tcPr>
          <w:p w:rsidR="00043C0D" w:rsidRPr="00E2771E" w:rsidRDefault="00043C0D" w:rsidP="001C7B61">
            <w:pPr>
              <w:widowControl/>
              <w:jc w:val="center"/>
              <w:rPr>
                <w:rFonts w:ascii="Arial Narrow" w:hAnsi="Arial Narrow"/>
                <w:sz w:val="20"/>
                <w:lang w:val="en-US"/>
              </w:rPr>
            </w:pPr>
          </w:p>
        </w:tc>
        <w:tc>
          <w:tcPr>
            <w:tcW w:w="646" w:type="pct"/>
            <w:shd w:val="clear" w:color="auto" w:fill="auto"/>
            <w:vAlign w:val="center"/>
          </w:tcPr>
          <w:p w:rsidR="00043C0D" w:rsidRPr="00E2771E" w:rsidRDefault="00043C0D" w:rsidP="001C7B61">
            <w:pPr>
              <w:widowControl/>
              <w:jc w:val="center"/>
              <w:rPr>
                <w:rFonts w:ascii="Arial Narrow" w:hAnsi="Arial Narrow"/>
                <w:sz w:val="20"/>
                <w:lang w:val="en-US"/>
              </w:rPr>
            </w:pPr>
            <w:r>
              <w:rPr>
                <w:rFonts w:ascii="Arial Narrow" w:hAnsi="Arial Narrow"/>
                <w:sz w:val="20"/>
                <w:lang w:val="en-US"/>
              </w:rPr>
              <w:t>VE</w:t>
            </w:r>
          </w:p>
        </w:tc>
        <w:tc>
          <w:tcPr>
            <w:tcW w:w="635" w:type="pct"/>
            <w:shd w:val="clear" w:color="auto" w:fill="auto"/>
            <w:vAlign w:val="center"/>
          </w:tcPr>
          <w:p w:rsidR="00043C0D" w:rsidRPr="00E2771E" w:rsidRDefault="007640FD" w:rsidP="001C7B61">
            <w:pPr>
              <w:widowControl/>
              <w:jc w:val="center"/>
              <w:rPr>
                <w:rFonts w:ascii="Arial Narrow" w:hAnsi="Arial Narrow"/>
                <w:sz w:val="20"/>
                <w:lang w:val="en-US"/>
              </w:rPr>
            </w:pPr>
            <w:r>
              <w:rPr>
                <w:rFonts w:ascii="Arial Narrow" w:hAnsi="Arial Narrow"/>
                <w:sz w:val="20"/>
                <w:lang w:val="en-US"/>
              </w:rPr>
              <w:t>Not used</w:t>
            </w:r>
          </w:p>
        </w:tc>
      </w:tr>
    </w:tbl>
    <w:p w:rsidR="00544D1D" w:rsidRPr="0072416F" w:rsidRDefault="00544D1D" w:rsidP="001C7B61">
      <w:pPr>
        <w:pStyle w:val="TableFooter"/>
        <w:widowControl/>
        <w:ind w:firstLine="720"/>
      </w:pPr>
      <w:r w:rsidRPr="003A0216">
        <w:t xml:space="preserve">Source: </w:t>
      </w:r>
      <w:r w:rsidR="00772EA5" w:rsidRPr="003A0216">
        <w:t>C</w:t>
      </w:r>
      <w:r w:rsidRPr="003A0216">
        <w:t>ompiled during the evaluation</w:t>
      </w:r>
    </w:p>
    <w:p w:rsidR="0037169D" w:rsidRDefault="00761A58" w:rsidP="001C7B61">
      <w:pPr>
        <w:pStyle w:val="ListParagraph"/>
        <w:widowControl/>
        <w:rPr>
          <w:rStyle w:val="CommentReference"/>
          <w:b w:val="0"/>
          <w:sz w:val="18"/>
          <w:szCs w:val="20"/>
        </w:rPr>
      </w:pPr>
      <w:r w:rsidRPr="00954E60">
        <w:rPr>
          <w:rStyle w:val="CommentReference"/>
          <w:b w:val="0"/>
          <w:sz w:val="18"/>
          <w:szCs w:val="20"/>
        </w:rPr>
        <w:t xml:space="preserve">VE = vaccine effectiveness; Retro = retrospective; </w:t>
      </w:r>
      <w:r>
        <w:rPr>
          <w:rStyle w:val="CommentReference"/>
          <w:b w:val="0"/>
          <w:sz w:val="18"/>
          <w:szCs w:val="20"/>
        </w:rPr>
        <w:t>dTpa</w:t>
      </w:r>
      <w:r w:rsidRPr="00954E60">
        <w:rPr>
          <w:rStyle w:val="CommentReference"/>
          <w:b w:val="0"/>
          <w:sz w:val="18"/>
          <w:szCs w:val="20"/>
        </w:rPr>
        <w:t xml:space="preserve"> = </w:t>
      </w:r>
      <w:r w:rsidR="00F440E2" w:rsidRPr="00F440E2">
        <w:rPr>
          <w:rStyle w:val="CommentReference"/>
          <w:b w:val="0"/>
          <w:sz w:val="18"/>
          <w:szCs w:val="20"/>
        </w:rPr>
        <w:t>diphtheria toxoid, tetanus toxoid and three purified antigens of Bordetella pertussis [pertussis toxoid (PT), pertussis filamentous haemagglutinin (FHA) and pertactin (PRN)</w:t>
      </w:r>
      <w:r w:rsidR="00994F90">
        <w:rPr>
          <w:rStyle w:val="CommentReference"/>
          <w:b w:val="0"/>
          <w:sz w:val="18"/>
          <w:szCs w:val="20"/>
        </w:rPr>
        <w:t>]</w:t>
      </w:r>
      <w:r w:rsidR="005771AB">
        <w:rPr>
          <w:rStyle w:val="CommentReference"/>
          <w:b w:val="0"/>
          <w:sz w:val="18"/>
          <w:szCs w:val="20"/>
        </w:rPr>
        <w:t>;</w:t>
      </w:r>
      <w:r w:rsidRPr="00954E60">
        <w:rPr>
          <w:rStyle w:val="CommentReference"/>
          <w:b w:val="0"/>
          <w:sz w:val="18"/>
          <w:szCs w:val="20"/>
        </w:rPr>
        <w:t xml:space="preserve"> </w:t>
      </w:r>
      <w:r w:rsidR="007D1F78">
        <w:rPr>
          <w:rStyle w:val="CommentReference"/>
          <w:b w:val="0"/>
          <w:sz w:val="18"/>
          <w:szCs w:val="20"/>
        </w:rPr>
        <w:t>IPV</w:t>
      </w:r>
      <w:r w:rsidR="0037169D">
        <w:rPr>
          <w:rStyle w:val="CommentReference"/>
          <w:b w:val="0"/>
          <w:sz w:val="18"/>
          <w:szCs w:val="20"/>
        </w:rPr>
        <w:t xml:space="preserve"> = </w:t>
      </w:r>
      <w:r w:rsidR="0037169D" w:rsidRPr="008F0335">
        <w:rPr>
          <w:rStyle w:val="CommentReference"/>
          <w:b w:val="0"/>
          <w:sz w:val="18"/>
          <w:szCs w:val="20"/>
        </w:rPr>
        <w:t>inactivated poliovirus</w:t>
      </w:r>
    </w:p>
    <w:p w:rsidR="00333DBD" w:rsidRPr="002E6F7F" w:rsidRDefault="00333DBD" w:rsidP="001C7B61">
      <w:pPr>
        <w:pStyle w:val="ListParagraph"/>
        <w:widowControl/>
        <w:rPr>
          <w:rStyle w:val="CommentReference"/>
          <w:rFonts w:ascii="Arial" w:hAnsi="Arial"/>
          <w:b w:val="0"/>
          <w:sz w:val="22"/>
          <w:szCs w:val="22"/>
        </w:rPr>
      </w:pPr>
    </w:p>
    <w:p w:rsidR="009C7402" w:rsidRPr="00AB6640" w:rsidRDefault="0006022D" w:rsidP="001C7B61">
      <w:pPr>
        <w:pStyle w:val="ListParagraph"/>
        <w:widowControl/>
        <w:numPr>
          <w:ilvl w:val="1"/>
          <w:numId w:val="3"/>
        </w:numPr>
        <w:rPr>
          <w:szCs w:val="22"/>
        </w:rPr>
      </w:pPr>
      <w:r w:rsidRPr="00AB6640">
        <w:rPr>
          <w:szCs w:val="22"/>
        </w:rPr>
        <w:t xml:space="preserve">In the absence of formal clinical trial data assessing vaccine efficacy, </w:t>
      </w:r>
      <w:r w:rsidR="00C85C13" w:rsidRPr="00AB6640">
        <w:rPr>
          <w:szCs w:val="22"/>
        </w:rPr>
        <w:t xml:space="preserve">VE estimates </w:t>
      </w:r>
      <w:r w:rsidR="00B70F1A" w:rsidRPr="00AB6640">
        <w:rPr>
          <w:szCs w:val="22"/>
        </w:rPr>
        <w:t xml:space="preserve">were </w:t>
      </w:r>
      <w:r w:rsidR="00C85C13" w:rsidRPr="00AB6640">
        <w:rPr>
          <w:szCs w:val="22"/>
        </w:rPr>
        <w:t>sourced</w:t>
      </w:r>
      <w:r w:rsidR="00B70F1A" w:rsidRPr="00AB6640">
        <w:rPr>
          <w:szCs w:val="22"/>
        </w:rPr>
        <w:t xml:space="preserve"> </w:t>
      </w:r>
      <w:r w:rsidR="00C85C13" w:rsidRPr="00AB6640">
        <w:rPr>
          <w:szCs w:val="22"/>
        </w:rPr>
        <w:t xml:space="preserve">from two observational studies (Amirthalingam 2014 and Dabrera 2015). </w:t>
      </w:r>
      <w:r w:rsidR="00CE5F09" w:rsidRPr="00AB6640">
        <w:rPr>
          <w:szCs w:val="22"/>
        </w:rPr>
        <w:t xml:space="preserve"> The risk of bias</w:t>
      </w:r>
      <w:r w:rsidR="00712B38" w:rsidRPr="00AB6640">
        <w:rPr>
          <w:szCs w:val="22"/>
        </w:rPr>
        <w:t xml:space="preserve"> with these estimates</w:t>
      </w:r>
      <w:r w:rsidR="00CE5F09" w:rsidRPr="00AB6640">
        <w:rPr>
          <w:szCs w:val="22"/>
        </w:rPr>
        <w:t xml:space="preserve"> is high due to the observational design of the studies. Amirthalingam </w:t>
      </w:r>
      <w:r w:rsidR="005131B9" w:rsidRPr="00AB6640">
        <w:rPr>
          <w:szCs w:val="22"/>
        </w:rPr>
        <w:t xml:space="preserve">2014 </w:t>
      </w:r>
      <w:r w:rsidR="00CE5F09" w:rsidRPr="00AB6640">
        <w:rPr>
          <w:szCs w:val="22"/>
        </w:rPr>
        <w:t xml:space="preserve">used the screening method to estimate VE. </w:t>
      </w:r>
      <w:r w:rsidR="005131B9" w:rsidRPr="00AB6640">
        <w:t xml:space="preserve">The </w:t>
      </w:r>
      <w:r w:rsidR="00FB0A2A">
        <w:t xml:space="preserve">evaluation </w:t>
      </w:r>
      <w:r w:rsidR="001F2FFA">
        <w:t>noted</w:t>
      </w:r>
      <w:r w:rsidR="00FB0A2A">
        <w:t xml:space="preserve"> that the </w:t>
      </w:r>
      <w:r w:rsidR="005131B9" w:rsidRPr="00AB6640">
        <w:t>screening method is considered a useful tool for monitoring VE but not a reliable method for precise VE estimates</w:t>
      </w:r>
      <w:r w:rsidR="005131B9" w:rsidRPr="00AB6640">
        <w:rPr>
          <w:rStyle w:val="FootnoteReference"/>
        </w:rPr>
        <w:footnoteReference w:id="1"/>
      </w:r>
      <w:r w:rsidR="005131B9" w:rsidRPr="00AB6640">
        <w:t>. Dabrera 2015 used a case control method. A matched analysis was originally planned but due to a lack of controls an unmatched analysis was undertaken.</w:t>
      </w:r>
      <w:r w:rsidR="00DE724D" w:rsidRPr="00AB6640">
        <w:t xml:space="preserve"> The PSCR </w:t>
      </w:r>
      <w:r w:rsidR="0036176C" w:rsidRPr="00AB6640">
        <w:t xml:space="preserve">noted that </w:t>
      </w:r>
      <w:r w:rsidR="0096655C" w:rsidRPr="00AB6640">
        <w:t>“</w:t>
      </w:r>
      <w:r w:rsidR="0036176C" w:rsidRPr="00AB6640">
        <w:t>the screening method used to estimate vaccine effectiveness in Amirthalingam 2014 is certainly dependent upon the accuracy of the external estimate of vaccination coverage employed. However, where this assumption holds, the screening method is considered the most appropriate methodology for assessing vaccine effectiveness</w:t>
      </w:r>
      <w:r w:rsidR="0096655C" w:rsidRPr="00AB6640">
        <w:t>”</w:t>
      </w:r>
      <w:r w:rsidR="0036176C" w:rsidRPr="00AB6640">
        <w:t xml:space="preserve">. The PSCR further noted that the different approaches in </w:t>
      </w:r>
      <w:r w:rsidR="0036176C" w:rsidRPr="00AB6640">
        <w:rPr>
          <w:szCs w:val="22"/>
        </w:rPr>
        <w:t>Amirthalingam 2014 and Dabrera 2015 yielded almost identical esti</w:t>
      </w:r>
      <w:r w:rsidR="009C341C" w:rsidRPr="00AB6640">
        <w:rPr>
          <w:szCs w:val="22"/>
        </w:rPr>
        <w:t>mates of vaccine effectiveness.</w:t>
      </w:r>
    </w:p>
    <w:p w:rsidR="009C7402" w:rsidRPr="00AB6640" w:rsidRDefault="009C7402" w:rsidP="001C7B61">
      <w:pPr>
        <w:pStyle w:val="ListParagraph"/>
        <w:widowControl/>
        <w:rPr>
          <w:szCs w:val="22"/>
        </w:rPr>
      </w:pPr>
    </w:p>
    <w:p w:rsidR="009E44D2" w:rsidRPr="00AB6640" w:rsidRDefault="0036176C" w:rsidP="001C7B61">
      <w:pPr>
        <w:pStyle w:val="ListParagraph"/>
        <w:widowControl/>
        <w:numPr>
          <w:ilvl w:val="1"/>
          <w:numId w:val="3"/>
        </w:numPr>
        <w:rPr>
          <w:szCs w:val="22"/>
        </w:rPr>
      </w:pPr>
      <w:r w:rsidRPr="00AB6640">
        <w:rPr>
          <w:szCs w:val="22"/>
        </w:rPr>
        <w:t>The ES</w:t>
      </w:r>
      <w:r w:rsidR="009C7402" w:rsidRPr="00AB6640">
        <w:rPr>
          <w:szCs w:val="22"/>
        </w:rPr>
        <w:t xml:space="preserve">C noted the ATAGI pre-submission advice which considered that, in the absence of formal clinical trial data assessing vaccine efficacy, </w:t>
      </w:r>
      <w:r w:rsidR="0011370B" w:rsidRPr="00AB6640">
        <w:rPr>
          <w:szCs w:val="22"/>
        </w:rPr>
        <w:t xml:space="preserve">the </w:t>
      </w:r>
      <w:r w:rsidR="009C341C" w:rsidRPr="00AB6640">
        <w:rPr>
          <w:szCs w:val="22"/>
        </w:rPr>
        <w:t>Amirthalingam</w:t>
      </w:r>
      <w:r w:rsidR="0011370B" w:rsidRPr="00AB6640">
        <w:rPr>
          <w:szCs w:val="22"/>
        </w:rPr>
        <w:t xml:space="preserve"> </w:t>
      </w:r>
      <w:r w:rsidR="009C7402" w:rsidRPr="00AB6640">
        <w:rPr>
          <w:szCs w:val="22"/>
        </w:rPr>
        <w:t>2014 and Dabrera 2015 results are “very high level evidence for the effectiveness of a routine antepartum vaccination strategy”.</w:t>
      </w:r>
    </w:p>
    <w:p w:rsidR="00E7498A" w:rsidRPr="00AB6640" w:rsidRDefault="00E7498A" w:rsidP="001C7B61">
      <w:pPr>
        <w:pStyle w:val="ListParagraph"/>
        <w:widowControl/>
        <w:rPr>
          <w:szCs w:val="22"/>
        </w:rPr>
      </w:pPr>
    </w:p>
    <w:p w:rsidR="00B472F1" w:rsidRPr="00AB6640" w:rsidRDefault="00B472F1" w:rsidP="001C7B61">
      <w:pPr>
        <w:pStyle w:val="ListParagraph"/>
        <w:widowControl/>
        <w:numPr>
          <w:ilvl w:val="1"/>
          <w:numId w:val="3"/>
        </w:numPr>
        <w:rPr>
          <w:szCs w:val="22"/>
        </w:rPr>
      </w:pPr>
      <w:r w:rsidRPr="00AB6640">
        <w:rPr>
          <w:szCs w:val="22"/>
        </w:rPr>
        <w:t>The studies were conducted in the UK during a national pertussis outbreak when the incidence of pertussis was relatively high (</w:t>
      </w:r>
      <w:r w:rsidR="009A4A8F" w:rsidRPr="00AB6640">
        <w:rPr>
          <w:szCs w:val="22"/>
        </w:rPr>
        <w:t xml:space="preserve">see </w:t>
      </w:r>
      <w:r w:rsidRPr="00AB6640">
        <w:rPr>
          <w:szCs w:val="22"/>
        </w:rPr>
        <w:t xml:space="preserve">Figure </w:t>
      </w:r>
      <w:r w:rsidR="00D91BA5" w:rsidRPr="00AB6640">
        <w:rPr>
          <w:szCs w:val="22"/>
        </w:rPr>
        <w:t>1</w:t>
      </w:r>
      <w:r w:rsidRPr="00AB6640">
        <w:rPr>
          <w:szCs w:val="22"/>
        </w:rPr>
        <w:t>) and it is unknown if the results are directly applicable to non-epidemic periods in Australia. Since the overall level of pertussis varies, effect size of interventions to prevent</w:t>
      </w:r>
      <w:r w:rsidR="00A2422F" w:rsidRPr="00AB6640">
        <w:rPr>
          <w:szCs w:val="22"/>
        </w:rPr>
        <w:t xml:space="preserve"> </w:t>
      </w:r>
      <w:r w:rsidRPr="00AB6640">
        <w:rPr>
          <w:szCs w:val="22"/>
        </w:rPr>
        <w:t>may also vary.</w:t>
      </w:r>
      <w:r w:rsidR="00697C5E" w:rsidRPr="00AB6640">
        <w:rPr>
          <w:szCs w:val="22"/>
        </w:rPr>
        <w:t xml:space="preserve"> The PSCR argued that the relative effectiveness of pertussis vaccination appears to be at least reasonably c</w:t>
      </w:r>
      <w:r w:rsidR="009C341C" w:rsidRPr="00AB6640">
        <w:rPr>
          <w:szCs w:val="22"/>
        </w:rPr>
        <w:t>onstant across epidemic and non</w:t>
      </w:r>
      <w:r w:rsidR="009C341C" w:rsidRPr="00AB6640">
        <w:rPr>
          <w:szCs w:val="22"/>
        </w:rPr>
        <w:noBreakHyphen/>
      </w:r>
      <w:r w:rsidR="00697C5E" w:rsidRPr="00AB6640">
        <w:rPr>
          <w:szCs w:val="22"/>
        </w:rPr>
        <w:t>epidemic conditions.</w:t>
      </w:r>
    </w:p>
    <w:p w:rsidR="009A4A8F" w:rsidRPr="00AB6640" w:rsidRDefault="009A4A8F" w:rsidP="001C7B61">
      <w:pPr>
        <w:pStyle w:val="ListParagraph"/>
        <w:widowControl/>
        <w:rPr>
          <w:szCs w:val="22"/>
        </w:rPr>
      </w:pPr>
    </w:p>
    <w:p w:rsidR="00D91BA5" w:rsidRPr="00DA0A23" w:rsidRDefault="00D91BA5" w:rsidP="001C7B61">
      <w:pPr>
        <w:pStyle w:val="Heading5"/>
        <w:keepNext/>
        <w:widowControl/>
        <w:spacing w:before="0" w:after="0"/>
        <w:ind w:firstLine="709"/>
        <w:rPr>
          <w:rFonts w:ascii="Arial Narrow" w:hAnsi="Arial Narrow"/>
          <w:sz w:val="20"/>
        </w:rPr>
      </w:pPr>
      <w:r w:rsidRPr="00DA0A23">
        <w:rPr>
          <w:rStyle w:val="CommentReference"/>
          <w:b/>
          <w:szCs w:val="26"/>
        </w:rPr>
        <w:t>Figure 1: Annual incidence of laboratory-confirmed cases of pertussis by age group (Amirthalingam 2014)</w:t>
      </w:r>
    </w:p>
    <w:p w:rsidR="00D91BA5" w:rsidRPr="009A4A8F" w:rsidRDefault="00D91BA5" w:rsidP="001C7B61">
      <w:pPr>
        <w:pStyle w:val="ListParagraph"/>
        <w:widowControl/>
        <w:rPr>
          <w:i/>
          <w:szCs w:val="22"/>
        </w:rPr>
      </w:pPr>
      <w:r w:rsidRPr="009A4A8F">
        <w:rPr>
          <w:i/>
          <w:noProof/>
          <w:szCs w:val="22"/>
          <w:lang w:eastAsia="en-AU"/>
        </w:rPr>
        <w:drawing>
          <wp:inline distT="0" distB="0" distL="0" distR="0" wp14:anchorId="3E234942" wp14:editId="6ABE39F9">
            <wp:extent cx="5227093" cy="2736376"/>
            <wp:effectExtent l="0" t="0" r="0" b="6985"/>
            <wp:docPr id="3074" name="Picture 2" title="Figure 1: Annual incidence of laboratory-confirmed cases of pertussis by age group (Amirthalingam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5226591" cy="2736113"/>
                    </a:xfrm>
                    <a:prstGeom prst="rect">
                      <a:avLst/>
                    </a:prstGeom>
                    <a:noFill/>
                    <a:ln>
                      <a:noFill/>
                    </a:ln>
                    <a:extLst>
                      <a:ext uri="{53640926-AAD7-44D8-BBD7-CCE9431645EC}">
                        <a14:shadowObscured xmlns:a14="http://schemas.microsoft.com/office/drawing/2010/main"/>
                      </a:ext>
                    </a:extLst>
                  </pic:spPr>
                </pic:pic>
              </a:graphicData>
            </a:graphic>
          </wp:inline>
        </w:drawing>
      </w:r>
    </w:p>
    <w:p w:rsidR="00D91BA5" w:rsidRPr="00DA0A23" w:rsidRDefault="00D91BA5" w:rsidP="001C7B61">
      <w:pPr>
        <w:pStyle w:val="TableFooter"/>
        <w:widowControl/>
        <w:ind w:firstLine="709"/>
      </w:pPr>
      <w:r w:rsidRPr="00DA0A23">
        <w:t>Source: Figure B-1, p50 of the submission</w:t>
      </w:r>
    </w:p>
    <w:p w:rsidR="00D91BA5" w:rsidRPr="005D6157" w:rsidRDefault="00D91BA5" w:rsidP="001C7B61">
      <w:pPr>
        <w:pStyle w:val="ListParagraph"/>
        <w:widowControl/>
        <w:rPr>
          <w:szCs w:val="22"/>
        </w:rPr>
      </w:pPr>
    </w:p>
    <w:p w:rsidR="00E7498A" w:rsidRPr="00AB6640" w:rsidRDefault="00E7498A" w:rsidP="001C7B61">
      <w:pPr>
        <w:pStyle w:val="ListParagraph"/>
        <w:widowControl/>
        <w:numPr>
          <w:ilvl w:val="1"/>
          <w:numId w:val="3"/>
        </w:numPr>
        <w:rPr>
          <w:strike/>
          <w:szCs w:val="22"/>
        </w:rPr>
      </w:pPr>
      <w:r w:rsidRPr="00AB6640">
        <w:rPr>
          <w:szCs w:val="22"/>
        </w:rPr>
        <w:t>In these observation</w:t>
      </w:r>
      <w:r w:rsidR="00712B38" w:rsidRPr="00AB6640">
        <w:rPr>
          <w:szCs w:val="22"/>
        </w:rPr>
        <w:t>al</w:t>
      </w:r>
      <w:r w:rsidRPr="00AB6640">
        <w:rPr>
          <w:szCs w:val="22"/>
        </w:rPr>
        <w:t xml:space="preserve"> studies the immunisation status of people in contact with the infants, other than the mother, is unknown. It is therefore unknown if the incidence of pertussis has been impacted by the immunisation of people other than the mother.</w:t>
      </w:r>
      <w:r w:rsidR="00F9619A" w:rsidRPr="00AB6640">
        <w:rPr>
          <w:szCs w:val="22"/>
        </w:rPr>
        <w:t xml:space="preserve"> The PSCR argued that it is unlikely that the incidence of pertussis observed in the observational studies was confounded by changes in the immunisation status of anyone other than the mother on the basis of public health guidelines in England and that cocoon vaccination strategies have not been funded or recommended. The ESC</w:t>
      </w:r>
      <w:r w:rsidR="00F47D28" w:rsidRPr="00AB6640">
        <w:rPr>
          <w:szCs w:val="22"/>
        </w:rPr>
        <w:t xml:space="preserve"> </w:t>
      </w:r>
      <w:r w:rsidR="00BF5175" w:rsidRPr="00AB6640">
        <w:rPr>
          <w:szCs w:val="22"/>
        </w:rPr>
        <w:t>noted that it is inherently difficult to link changes in the incidence to changes in the vaccine schedule (i.e. it is unknown how high notifications would have been without the additional immunisation). The ESC further noted that private vaccination is significant and social media plays an unquantifiable role in immunisation promotion and testing rates.</w:t>
      </w:r>
      <w:r w:rsidR="00F47D28" w:rsidRPr="00AB6640">
        <w:rPr>
          <w:strike/>
          <w:szCs w:val="22"/>
        </w:rPr>
        <w:t xml:space="preserve"> </w:t>
      </w:r>
    </w:p>
    <w:p w:rsidR="009A3948" w:rsidRPr="00AB6640" w:rsidRDefault="009A3948" w:rsidP="001C7B61">
      <w:pPr>
        <w:pStyle w:val="ListParagraph"/>
        <w:widowControl/>
        <w:rPr>
          <w:szCs w:val="22"/>
        </w:rPr>
      </w:pPr>
    </w:p>
    <w:p w:rsidR="009A3948" w:rsidRPr="00AB6640" w:rsidRDefault="009A3948" w:rsidP="001C7B61">
      <w:pPr>
        <w:pStyle w:val="ListParagraph"/>
        <w:widowControl/>
        <w:numPr>
          <w:ilvl w:val="1"/>
          <w:numId w:val="3"/>
        </w:numPr>
        <w:rPr>
          <w:szCs w:val="22"/>
        </w:rPr>
      </w:pPr>
      <w:r w:rsidRPr="00AB6640">
        <w:rPr>
          <w:szCs w:val="22"/>
        </w:rPr>
        <w:t xml:space="preserve">The ESC </w:t>
      </w:r>
      <w:r w:rsidR="00EF69D4" w:rsidRPr="00AB6640">
        <w:rPr>
          <w:szCs w:val="22"/>
        </w:rPr>
        <w:t>considered</w:t>
      </w:r>
      <w:r w:rsidRPr="00AB6640">
        <w:rPr>
          <w:szCs w:val="22"/>
        </w:rPr>
        <w:t xml:space="preserve"> the evidence presented from Amirthalingam 2014 and Dabrera 2015</w:t>
      </w:r>
      <w:r w:rsidR="00EF69D4" w:rsidRPr="00AB6640">
        <w:rPr>
          <w:szCs w:val="22"/>
        </w:rPr>
        <w:t>. I</w:t>
      </w:r>
      <w:r w:rsidRPr="00AB6640">
        <w:rPr>
          <w:szCs w:val="22"/>
        </w:rPr>
        <w:t>n the absence of a randomised control trial data assessing vaccine efficacy</w:t>
      </w:r>
      <w:r w:rsidR="00EF69D4" w:rsidRPr="00AB6640">
        <w:rPr>
          <w:szCs w:val="22"/>
        </w:rPr>
        <w:t>, the ESC considered that maternal vaccination is likely to be effective in preventing pertussis in infants</w:t>
      </w:r>
      <w:r w:rsidRPr="00AB6640">
        <w:rPr>
          <w:szCs w:val="22"/>
        </w:rPr>
        <w:t xml:space="preserve">. The ESC </w:t>
      </w:r>
      <w:r w:rsidR="00207369" w:rsidRPr="00AB6640">
        <w:rPr>
          <w:szCs w:val="22"/>
        </w:rPr>
        <w:t>considered</w:t>
      </w:r>
      <w:r w:rsidRPr="00AB6640">
        <w:rPr>
          <w:szCs w:val="22"/>
        </w:rPr>
        <w:t xml:space="preserve"> that data on the impact of the </w:t>
      </w:r>
      <w:r w:rsidR="00BE2851" w:rsidRPr="00AB6640">
        <w:rPr>
          <w:szCs w:val="22"/>
        </w:rPr>
        <w:t xml:space="preserve">Australian </w:t>
      </w:r>
      <w:r w:rsidRPr="00AB6640">
        <w:rPr>
          <w:szCs w:val="22"/>
        </w:rPr>
        <w:t xml:space="preserve">jurisdictional maternal vaccination programs on the incidence of pertussis would be informative. However, </w:t>
      </w:r>
      <w:r w:rsidR="00BF5175" w:rsidRPr="00AB6640">
        <w:rPr>
          <w:szCs w:val="22"/>
        </w:rPr>
        <w:t xml:space="preserve">the ESC noted that, as with the UK data, it would be difficult to </w:t>
      </w:r>
      <w:r w:rsidRPr="00AB6640">
        <w:rPr>
          <w:szCs w:val="22"/>
        </w:rPr>
        <w:t xml:space="preserve">link changes in the </w:t>
      </w:r>
      <w:r w:rsidR="007275A4">
        <w:rPr>
          <w:szCs w:val="22"/>
        </w:rPr>
        <w:t xml:space="preserve">overall </w:t>
      </w:r>
      <w:r w:rsidRPr="00AB6640">
        <w:rPr>
          <w:szCs w:val="22"/>
        </w:rPr>
        <w:t xml:space="preserve">incidence </w:t>
      </w:r>
      <w:r w:rsidR="00C0004D" w:rsidRPr="00AB6640">
        <w:rPr>
          <w:szCs w:val="22"/>
        </w:rPr>
        <w:t xml:space="preserve">of pertussis </w:t>
      </w:r>
      <w:r w:rsidRPr="00AB6640">
        <w:rPr>
          <w:szCs w:val="22"/>
        </w:rPr>
        <w:t xml:space="preserve">to changes in the </w:t>
      </w:r>
      <w:r w:rsidR="00C0004D" w:rsidRPr="00AB6640">
        <w:rPr>
          <w:szCs w:val="22"/>
        </w:rPr>
        <w:t xml:space="preserve">Australian </w:t>
      </w:r>
      <w:r w:rsidRPr="00AB6640">
        <w:rPr>
          <w:szCs w:val="22"/>
        </w:rPr>
        <w:t>vaccine schedule</w:t>
      </w:r>
      <w:r w:rsidR="00706386" w:rsidRPr="00AB6640">
        <w:rPr>
          <w:szCs w:val="22"/>
        </w:rPr>
        <w:t>.</w:t>
      </w:r>
    </w:p>
    <w:p w:rsidR="003876C4" w:rsidRPr="00AB6640" w:rsidRDefault="003876C4" w:rsidP="001C7B61">
      <w:pPr>
        <w:pStyle w:val="ListParagraph"/>
        <w:widowControl/>
        <w:rPr>
          <w:szCs w:val="22"/>
        </w:rPr>
      </w:pPr>
    </w:p>
    <w:p w:rsidR="009A3948" w:rsidRPr="00AB6640" w:rsidRDefault="003876C4" w:rsidP="001C7B61">
      <w:pPr>
        <w:pStyle w:val="ListParagraph"/>
        <w:widowControl/>
        <w:numPr>
          <w:ilvl w:val="1"/>
          <w:numId w:val="3"/>
        </w:numPr>
        <w:rPr>
          <w:szCs w:val="22"/>
        </w:rPr>
      </w:pPr>
      <w:r w:rsidRPr="00AB6640">
        <w:rPr>
          <w:szCs w:val="22"/>
        </w:rPr>
        <w:t xml:space="preserve">The vaccine used in the UK at the time the studies were conducted was Repevax (marketed in Australia as Adacel Polio) which includes the same components as Adacel with the addition of inactivated poliovirus. The PBAC has previously concluded that a single booster dose of Adacel is as effective as a single dose of Boostrix although it was noted that the data for diphtheria and tetanus are more convincing than for pertussis because protective antibody levels have been established for these diseases (Adacel </w:t>
      </w:r>
      <w:r w:rsidR="0068652F" w:rsidRPr="00AB6640">
        <w:rPr>
          <w:szCs w:val="22"/>
        </w:rPr>
        <w:t>Public Summary Document (</w:t>
      </w:r>
      <w:r w:rsidRPr="00AB6640">
        <w:rPr>
          <w:szCs w:val="22"/>
        </w:rPr>
        <w:t>PSD</w:t>
      </w:r>
      <w:r w:rsidR="0068652F" w:rsidRPr="00AB6640">
        <w:rPr>
          <w:szCs w:val="22"/>
        </w:rPr>
        <w:t>)</w:t>
      </w:r>
      <w:r w:rsidRPr="00AB6640">
        <w:rPr>
          <w:szCs w:val="22"/>
        </w:rPr>
        <w:t xml:space="preserve"> March 2006).</w:t>
      </w:r>
      <w:r w:rsidR="005A3702" w:rsidRPr="00AB6640">
        <w:rPr>
          <w:szCs w:val="22"/>
        </w:rPr>
        <w:t xml:space="preserve"> </w:t>
      </w:r>
      <w:r w:rsidR="0051006A" w:rsidRPr="00AB6640">
        <w:rPr>
          <w:szCs w:val="22"/>
        </w:rPr>
        <w:t>The ATAGI post</w:t>
      </w:r>
      <w:r w:rsidR="0051006A" w:rsidRPr="00AB6640">
        <w:rPr>
          <w:szCs w:val="22"/>
        </w:rPr>
        <w:noBreakHyphen/>
      </w:r>
      <w:r w:rsidR="005A3702" w:rsidRPr="00AB6640">
        <w:rPr>
          <w:szCs w:val="22"/>
        </w:rPr>
        <w:t>submission advice noted that it is reasonable to assume comparable efficacy for Boostrix and Repevax on the basis of bridging immunogenicity data.</w:t>
      </w:r>
    </w:p>
    <w:p w:rsidR="00B60939" w:rsidRPr="00AB6640" w:rsidRDefault="00B60939" w:rsidP="001C7B61">
      <w:pPr>
        <w:pStyle w:val="ListParagraph"/>
        <w:widowControl/>
        <w:rPr>
          <w:szCs w:val="22"/>
        </w:rPr>
      </w:pPr>
    </w:p>
    <w:p w:rsidR="00B60939" w:rsidRPr="00AB6640" w:rsidRDefault="00B60939" w:rsidP="00232F1B">
      <w:pPr>
        <w:pStyle w:val="Heading2"/>
      </w:pPr>
      <w:bookmarkStart w:id="11" w:name="_Toc450288338"/>
      <w:r w:rsidRPr="00AB6640">
        <w:t>Comparative effectiveness</w:t>
      </w:r>
      <w:bookmarkEnd w:id="11"/>
    </w:p>
    <w:p w:rsidR="00B60939" w:rsidRPr="00AB6640" w:rsidRDefault="00B60939" w:rsidP="001C7B61">
      <w:pPr>
        <w:keepNext/>
        <w:widowControl/>
        <w:rPr>
          <w:szCs w:val="22"/>
        </w:rPr>
      </w:pPr>
    </w:p>
    <w:p w:rsidR="007F1017" w:rsidRPr="00AB6640" w:rsidRDefault="00F14B8A" w:rsidP="001C7B61">
      <w:pPr>
        <w:pStyle w:val="ListParagraph"/>
        <w:widowControl/>
        <w:numPr>
          <w:ilvl w:val="1"/>
          <w:numId w:val="3"/>
        </w:numPr>
        <w:rPr>
          <w:szCs w:val="22"/>
        </w:rPr>
      </w:pPr>
      <w:r w:rsidRPr="00AB6640">
        <w:rPr>
          <w:szCs w:val="22"/>
        </w:rPr>
        <w:t xml:space="preserve">The </w:t>
      </w:r>
      <w:r w:rsidR="00A842F6" w:rsidRPr="00AB6640">
        <w:rPr>
          <w:szCs w:val="22"/>
        </w:rPr>
        <w:t xml:space="preserve">estimates for </w:t>
      </w:r>
      <w:r w:rsidR="00335CD2" w:rsidRPr="00AB6640">
        <w:rPr>
          <w:szCs w:val="22"/>
        </w:rPr>
        <w:t>VE</w:t>
      </w:r>
      <w:r w:rsidRPr="00AB6640">
        <w:rPr>
          <w:szCs w:val="22"/>
        </w:rPr>
        <w:t xml:space="preserve"> </w:t>
      </w:r>
      <w:r w:rsidR="00A842F6" w:rsidRPr="00AB6640">
        <w:rPr>
          <w:szCs w:val="22"/>
        </w:rPr>
        <w:t xml:space="preserve">in preventing pertussis </w:t>
      </w:r>
      <w:r w:rsidR="00851C2D" w:rsidRPr="00AB6640">
        <w:rPr>
          <w:szCs w:val="22"/>
        </w:rPr>
        <w:t xml:space="preserve">in infants </w:t>
      </w:r>
      <w:r w:rsidRPr="00AB6640">
        <w:rPr>
          <w:szCs w:val="22"/>
        </w:rPr>
        <w:t>are presented below.</w:t>
      </w:r>
      <w:r w:rsidR="00A66A02" w:rsidRPr="00AB6640">
        <w:rPr>
          <w:szCs w:val="22"/>
        </w:rPr>
        <w:t xml:space="preserve"> </w:t>
      </w:r>
      <w:r w:rsidR="00A842F6" w:rsidRPr="00AB6640">
        <w:t xml:space="preserve">The </w:t>
      </w:r>
      <w:r w:rsidR="00335CD2" w:rsidRPr="00AB6640">
        <w:t>VE</w:t>
      </w:r>
      <w:r w:rsidR="00851C2D" w:rsidRPr="00AB6640">
        <w:t xml:space="preserve"> against pertussis in mothers wa</w:t>
      </w:r>
      <w:r w:rsidR="00A842F6" w:rsidRPr="00AB6640">
        <w:t xml:space="preserve">s not measured in the presented </w:t>
      </w:r>
      <w:r w:rsidR="008E53DB" w:rsidRPr="00AB6640">
        <w:t xml:space="preserve">clinical </w:t>
      </w:r>
      <w:r w:rsidR="00A842F6" w:rsidRPr="00AB6640">
        <w:t>studies</w:t>
      </w:r>
      <w:r w:rsidR="00851C2D" w:rsidRPr="00AB6640">
        <w:t>. In the economic model</w:t>
      </w:r>
      <w:r w:rsidR="005131B9" w:rsidRPr="00AB6640">
        <w:t>,</w:t>
      </w:r>
      <w:r w:rsidR="008774E8" w:rsidRPr="00AB6640">
        <w:t xml:space="preserve"> </w:t>
      </w:r>
      <w:r w:rsidR="00851C2D" w:rsidRPr="00AB6640">
        <w:t>VE for</w:t>
      </w:r>
      <w:r w:rsidR="005131B9" w:rsidRPr="00AB6640">
        <w:t xml:space="preserve"> mothers is sourced from a RCT conducted</w:t>
      </w:r>
      <w:r w:rsidR="00851C2D" w:rsidRPr="00AB6640">
        <w:t xml:space="preserve"> in the general population (APERT)</w:t>
      </w:r>
      <w:r w:rsidR="00143D0C" w:rsidRPr="00AB6640">
        <w:t>.</w:t>
      </w:r>
      <w:r w:rsidR="00143D0C" w:rsidRPr="00AB6640" w:rsidDel="00143D0C">
        <w:t xml:space="preserve"> </w:t>
      </w:r>
      <w:r w:rsidR="002412A3" w:rsidRPr="00AB6640">
        <w:t>T</w:t>
      </w:r>
      <w:r w:rsidR="00851C2D" w:rsidRPr="00AB6640">
        <w:t xml:space="preserve">he results </w:t>
      </w:r>
      <w:r w:rsidR="002412A3" w:rsidRPr="00AB6640">
        <w:t xml:space="preserve">from this study </w:t>
      </w:r>
      <w:r w:rsidR="00851C2D" w:rsidRPr="00AB6640">
        <w:t xml:space="preserve">are </w:t>
      </w:r>
      <w:r w:rsidR="002412A3" w:rsidRPr="00AB6640">
        <w:t xml:space="preserve">also </w:t>
      </w:r>
      <w:r w:rsidR="00851C2D" w:rsidRPr="00AB6640">
        <w:t>presented in Table 3</w:t>
      </w:r>
      <w:r w:rsidR="002412A3" w:rsidRPr="00AB6640">
        <w:t>.</w:t>
      </w:r>
    </w:p>
    <w:p w:rsidR="001E2882" w:rsidRDefault="001E2882" w:rsidP="001C7B61">
      <w:pPr>
        <w:pStyle w:val="ListParagraph"/>
        <w:widowControl/>
        <w:rPr>
          <w:szCs w:val="22"/>
        </w:rPr>
      </w:pPr>
    </w:p>
    <w:p w:rsidR="007F1017" w:rsidRDefault="007F1017" w:rsidP="001C7B61">
      <w:pPr>
        <w:keepNext/>
        <w:widowControl/>
        <w:ind w:left="709"/>
        <w:rPr>
          <w:rStyle w:val="CommentReference"/>
        </w:rPr>
      </w:pPr>
      <w:r w:rsidRPr="001F7361">
        <w:rPr>
          <w:rStyle w:val="CommentReference"/>
        </w:rPr>
        <w:t xml:space="preserve">Table </w:t>
      </w:r>
      <w:r w:rsidR="000C42BB">
        <w:rPr>
          <w:rStyle w:val="CommentReference"/>
        </w:rPr>
        <w:t>3</w:t>
      </w:r>
      <w:r>
        <w:rPr>
          <w:rStyle w:val="CommentReference"/>
        </w:rPr>
        <w:t>:</w:t>
      </w:r>
      <w:r w:rsidR="000C42BB">
        <w:rPr>
          <w:rStyle w:val="CommentReference"/>
        </w:rPr>
        <w:t xml:space="preserve"> </w:t>
      </w:r>
      <w:r w:rsidR="000C42BB" w:rsidRPr="000C42BB">
        <w:rPr>
          <w:rStyle w:val="CommentReference"/>
        </w:rPr>
        <w:t xml:space="preserve">Summary of </w:t>
      </w:r>
      <w:r w:rsidR="00846F83">
        <w:rPr>
          <w:rStyle w:val="CommentReference"/>
        </w:rPr>
        <w:t xml:space="preserve">VE </w:t>
      </w:r>
      <w:r w:rsidR="000C42BB" w:rsidRPr="000C42BB">
        <w:rPr>
          <w:rStyle w:val="CommentReference"/>
        </w:rPr>
        <w:t xml:space="preserve">results of </w:t>
      </w:r>
      <w:r w:rsidR="00B972F3">
        <w:rPr>
          <w:rStyle w:val="CommentReference"/>
        </w:rPr>
        <w:t>pertussis vaccin</w:t>
      </w:r>
      <w:r w:rsidR="00F06BE6">
        <w:rPr>
          <w:rStyle w:val="CommentReference"/>
        </w:rPr>
        <w:t>e</w:t>
      </w:r>
      <w:r w:rsidR="00236799">
        <w:rPr>
          <w:rStyle w:val="CommentReference"/>
        </w:rPr>
        <w:t>s</w:t>
      </w:r>
      <w:r w:rsidR="00B972F3" w:rsidRPr="000C42BB">
        <w:rPr>
          <w:rStyle w:val="CommentReference"/>
        </w:rPr>
        <w:t xml:space="preserve"> </w:t>
      </w:r>
    </w:p>
    <w:tbl>
      <w:tblPr>
        <w:tblStyle w:val="TableGrid"/>
        <w:tblW w:w="8363" w:type="dxa"/>
        <w:tblInd w:w="766" w:type="dxa"/>
        <w:tblCellMar>
          <w:left w:w="57" w:type="dxa"/>
          <w:right w:w="57" w:type="dxa"/>
        </w:tblCellMar>
        <w:tblLook w:val="04A0" w:firstRow="1" w:lastRow="0" w:firstColumn="1" w:lastColumn="0" w:noHBand="0" w:noVBand="1"/>
        <w:tblCaption w:val="Table 3: Summary of VE results of pertussis vaccines "/>
      </w:tblPr>
      <w:tblGrid>
        <w:gridCol w:w="2552"/>
        <w:gridCol w:w="2126"/>
        <w:gridCol w:w="2410"/>
        <w:gridCol w:w="1275"/>
      </w:tblGrid>
      <w:tr w:rsidR="00A11569" w:rsidRPr="00D01CC5" w:rsidTr="00E0257A">
        <w:trPr>
          <w:trHeight w:val="493"/>
          <w:tblHeader/>
        </w:trPr>
        <w:tc>
          <w:tcPr>
            <w:tcW w:w="2552" w:type="dxa"/>
          </w:tcPr>
          <w:p w:rsidR="00A11569" w:rsidRPr="00D01CC5" w:rsidRDefault="00A11569" w:rsidP="001C7B61">
            <w:pPr>
              <w:pStyle w:val="Table"/>
              <w:keepNext/>
              <w:rPr>
                <w:rFonts w:ascii="Arial Narrow" w:hAnsi="Arial Narrow" w:cs="Arial"/>
                <w:b/>
                <w:szCs w:val="20"/>
              </w:rPr>
            </w:pPr>
            <w:r w:rsidRPr="000A27E1">
              <w:rPr>
                <w:rFonts w:ascii="Arial Narrow" w:hAnsi="Arial Narrow" w:cs="Arial"/>
                <w:b/>
                <w:szCs w:val="20"/>
              </w:rPr>
              <w:t>Infant age/vaccination timing</w:t>
            </w:r>
          </w:p>
        </w:tc>
        <w:tc>
          <w:tcPr>
            <w:tcW w:w="2126" w:type="dxa"/>
          </w:tcPr>
          <w:p w:rsidR="00A11569" w:rsidRPr="00D01CC5" w:rsidRDefault="00245597" w:rsidP="001C7B61">
            <w:pPr>
              <w:pStyle w:val="Table"/>
              <w:keepNext/>
              <w:jc w:val="center"/>
              <w:rPr>
                <w:rFonts w:ascii="Arial Narrow" w:hAnsi="Arial Narrow" w:cs="Arial"/>
                <w:b/>
                <w:szCs w:val="20"/>
              </w:rPr>
            </w:pPr>
            <w:r>
              <w:rPr>
                <w:rFonts w:ascii="Arial Narrow" w:hAnsi="Arial Narrow" w:cs="Arial"/>
                <w:b/>
                <w:szCs w:val="20"/>
              </w:rPr>
              <w:t xml:space="preserve">dTpa-IPV </w:t>
            </w:r>
            <w:r w:rsidR="00A11569">
              <w:rPr>
                <w:rFonts w:ascii="Arial Narrow" w:hAnsi="Arial Narrow" w:cs="Arial"/>
                <w:b/>
                <w:szCs w:val="20"/>
              </w:rPr>
              <w:t>Vaccinated c</w:t>
            </w:r>
            <w:r w:rsidR="00A11569" w:rsidRPr="00D01CC5">
              <w:rPr>
                <w:rFonts w:ascii="Arial Narrow" w:hAnsi="Arial Narrow" w:cs="Arial"/>
                <w:b/>
                <w:szCs w:val="20"/>
              </w:rPr>
              <w:t xml:space="preserve">ases </w:t>
            </w:r>
            <w:r w:rsidR="00A11569" w:rsidRPr="001C7A7A">
              <w:rPr>
                <w:rFonts w:ascii="Arial" w:hAnsi="Arial" w:cs="Arial"/>
                <w:b/>
              </w:rPr>
              <w:t xml:space="preserve">n/N </w:t>
            </w:r>
            <w:r w:rsidR="00A11569" w:rsidRPr="00D01CC5">
              <w:rPr>
                <w:rFonts w:ascii="Arial Narrow" w:hAnsi="Arial Narrow" w:cs="Arial"/>
                <w:b/>
                <w:szCs w:val="20"/>
              </w:rPr>
              <w:t>(%)</w:t>
            </w:r>
          </w:p>
        </w:tc>
        <w:tc>
          <w:tcPr>
            <w:tcW w:w="2410" w:type="dxa"/>
          </w:tcPr>
          <w:p w:rsidR="00A11569" w:rsidRDefault="00A11569" w:rsidP="001C7B61">
            <w:pPr>
              <w:pStyle w:val="Table"/>
              <w:keepNext/>
              <w:jc w:val="center"/>
              <w:rPr>
                <w:rFonts w:ascii="Arial Narrow" w:hAnsi="Arial Narrow" w:cs="Arial"/>
                <w:b/>
                <w:szCs w:val="20"/>
              </w:rPr>
            </w:pPr>
            <w:r>
              <w:rPr>
                <w:rFonts w:ascii="Arial Narrow" w:hAnsi="Arial Narrow" w:cs="Arial"/>
                <w:b/>
                <w:szCs w:val="20"/>
              </w:rPr>
              <w:t>Matched coverage</w:t>
            </w:r>
            <w:r w:rsidRPr="00D01CC5">
              <w:rPr>
                <w:rFonts w:ascii="Arial Narrow" w:hAnsi="Arial Narrow" w:cs="Arial"/>
                <w:b/>
                <w:szCs w:val="20"/>
              </w:rPr>
              <w:t xml:space="preserve"> (%)</w:t>
            </w:r>
            <w:r>
              <w:rPr>
                <w:rFonts w:ascii="Arial Narrow" w:hAnsi="Arial Narrow" w:cs="Arial"/>
                <w:b/>
                <w:szCs w:val="20"/>
              </w:rPr>
              <w:t xml:space="preserve"> /</w:t>
            </w:r>
          </w:p>
          <w:p w:rsidR="00A11569" w:rsidRPr="00D01CC5" w:rsidRDefault="00A11569" w:rsidP="001C7B61">
            <w:pPr>
              <w:pStyle w:val="Table"/>
              <w:keepNext/>
              <w:jc w:val="center"/>
              <w:rPr>
                <w:rFonts w:ascii="Arial Narrow" w:hAnsi="Arial Narrow" w:cs="Arial"/>
                <w:b/>
                <w:szCs w:val="20"/>
              </w:rPr>
            </w:pPr>
            <w:r>
              <w:rPr>
                <w:rFonts w:ascii="Arial Narrow" w:hAnsi="Arial Narrow" w:cs="Arial"/>
                <w:b/>
                <w:snapToGrid w:val="0"/>
                <w:szCs w:val="20"/>
              </w:rPr>
              <w:t>Vaccinated controls</w:t>
            </w:r>
            <w:r w:rsidRPr="00C53340">
              <w:rPr>
                <w:rFonts w:ascii="Arial Narrow" w:hAnsi="Arial Narrow" w:cs="Arial"/>
                <w:b/>
                <w:snapToGrid w:val="0"/>
              </w:rPr>
              <w:t xml:space="preserve"> n/N</w:t>
            </w:r>
            <w:r w:rsidRPr="00C53340">
              <w:rPr>
                <w:rFonts w:ascii="Arial Narrow" w:hAnsi="Arial Narrow" w:cs="Arial"/>
                <w:b/>
                <w:snapToGrid w:val="0"/>
                <w:szCs w:val="20"/>
              </w:rPr>
              <w:t xml:space="preserve"> (%)</w:t>
            </w:r>
          </w:p>
        </w:tc>
        <w:tc>
          <w:tcPr>
            <w:tcW w:w="1275" w:type="dxa"/>
          </w:tcPr>
          <w:p w:rsidR="00A11569" w:rsidRPr="00D01CC5" w:rsidRDefault="00A11569" w:rsidP="001C7B61">
            <w:pPr>
              <w:pStyle w:val="Table"/>
              <w:keepNext/>
              <w:jc w:val="center"/>
              <w:rPr>
                <w:rFonts w:ascii="Arial Narrow" w:hAnsi="Arial Narrow" w:cs="Arial"/>
                <w:b/>
                <w:szCs w:val="20"/>
              </w:rPr>
            </w:pPr>
            <w:r w:rsidRPr="00D01CC5">
              <w:rPr>
                <w:rFonts w:ascii="Arial Narrow" w:hAnsi="Arial Narrow" w:cs="Arial"/>
                <w:b/>
                <w:szCs w:val="20"/>
              </w:rPr>
              <w:t>VE: % (95% CI)</w:t>
            </w:r>
          </w:p>
        </w:tc>
      </w:tr>
      <w:tr w:rsidR="00A11569" w:rsidRPr="00D01CC5" w:rsidTr="001E7113">
        <w:tc>
          <w:tcPr>
            <w:tcW w:w="8363" w:type="dxa"/>
            <w:gridSpan w:val="4"/>
          </w:tcPr>
          <w:p w:rsidR="00A11569" w:rsidRPr="00D01CC5" w:rsidRDefault="002412A3" w:rsidP="001C7B61">
            <w:pPr>
              <w:keepNext/>
              <w:widowControl/>
              <w:jc w:val="left"/>
              <w:rPr>
                <w:rFonts w:ascii="Arial Narrow" w:hAnsi="Arial Narrow"/>
                <w:sz w:val="20"/>
              </w:rPr>
            </w:pPr>
            <w:r>
              <w:rPr>
                <w:rFonts w:ascii="Arial Narrow" w:hAnsi="Arial Narrow"/>
                <w:b/>
                <w:sz w:val="20"/>
              </w:rPr>
              <w:t>Amirthalingam</w:t>
            </w:r>
            <w:r w:rsidR="00A11569" w:rsidRPr="00D01CC5">
              <w:rPr>
                <w:rFonts w:ascii="Arial Narrow" w:hAnsi="Arial Narrow"/>
                <w:b/>
                <w:sz w:val="20"/>
              </w:rPr>
              <w:t xml:space="preserve"> 2014: Screening Method</w:t>
            </w:r>
          </w:p>
        </w:tc>
      </w:tr>
      <w:tr w:rsidR="00D539F4" w:rsidRPr="00D01CC5" w:rsidTr="00D539F4">
        <w:tc>
          <w:tcPr>
            <w:tcW w:w="8363" w:type="dxa"/>
            <w:gridSpan w:val="4"/>
            <w:vAlign w:val="center"/>
          </w:tcPr>
          <w:p w:rsidR="00D539F4" w:rsidRPr="00D01CC5" w:rsidRDefault="00D539F4" w:rsidP="001C7B61">
            <w:pPr>
              <w:keepNext/>
              <w:widowControl/>
              <w:jc w:val="left"/>
              <w:rPr>
                <w:rFonts w:ascii="Arial Narrow" w:hAnsi="Arial Narrow"/>
                <w:sz w:val="20"/>
              </w:rPr>
            </w:pPr>
            <w:r w:rsidRPr="00D01CC5">
              <w:rPr>
                <w:rFonts w:ascii="Arial Narrow" w:hAnsi="Arial Narrow"/>
                <w:sz w:val="20"/>
              </w:rPr>
              <w:t xml:space="preserve">Infants &lt;3 months </w:t>
            </w:r>
          </w:p>
        </w:tc>
      </w:tr>
      <w:tr w:rsidR="00A11569" w:rsidRPr="00D01CC5" w:rsidTr="00D706BC">
        <w:tc>
          <w:tcPr>
            <w:tcW w:w="2552" w:type="dxa"/>
          </w:tcPr>
          <w:p w:rsidR="00A11569" w:rsidRPr="00D01CC5" w:rsidRDefault="00A11569" w:rsidP="001C7B61">
            <w:pPr>
              <w:keepNext/>
              <w:widowControl/>
              <w:jc w:val="left"/>
              <w:rPr>
                <w:rFonts w:ascii="Arial Narrow" w:hAnsi="Arial Narrow"/>
                <w:sz w:val="20"/>
              </w:rPr>
            </w:pPr>
            <w:r w:rsidRPr="00D01CC5">
              <w:rPr>
                <w:rFonts w:ascii="Arial Narrow" w:hAnsi="Arial Narrow"/>
                <w:sz w:val="20"/>
              </w:rPr>
              <w:t>≥ 7 days before birth (primary)</w:t>
            </w:r>
          </w:p>
        </w:tc>
        <w:tc>
          <w:tcPr>
            <w:tcW w:w="2126" w:type="dxa"/>
          </w:tcPr>
          <w:p w:rsidR="00A11569" w:rsidRPr="00D01CC5" w:rsidRDefault="00A11569" w:rsidP="001C7B61">
            <w:pPr>
              <w:keepNext/>
              <w:widowControl/>
              <w:jc w:val="center"/>
              <w:rPr>
                <w:rFonts w:ascii="Arial Narrow" w:hAnsi="Arial Narrow"/>
                <w:sz w:val="20"/>
              </w:rPr>
            </w:pPr>
            <w:r>
              <w:rPr>
                <w:rFonts w:ascii="Arial Narrow" w:hAnsi="Arial Narrow"/>
                <w:sz w:val="20"/>
              </w:rPr>
              <w:t>12/82 (</w:t>
            </w:r>
            <w:r w:rsidRPr="00D01CC5">
              <w:rPr>
                <w:rFonts w:ascii="Arial Narrow" w:hAnsi="Arial Narrow"/>
                <w:sz w:val="20"/>
              </w:rPr>
              <w:t>15%</w:t>
            </w:r>
            <w:r>
              <w:rPr>
                <w:rFonts w:ascii="Arial Narrow" w:hAnsi="Arial Narrow"/>
                <w:sz w:val="20"/>
              </w:rPr>
              <w:t>)</w:t>
            </w:r>
          </w:p>
        </w:tc>
        <w:tc>
          <w:tcPr>
            <w:tcW w:w="2410" w:type="dxa"/>
          </w:tcPr>
          <w:p w:rsidR="00A11569" w:rsidRPr="00D01CC5" w:rsidRDefault="00A11569" w:rsidP="001C7B61">
            <w:pPr>
              <w:keepNext/>
              <w:widowControl/>
              <w:jc w:val="center"/>
              <w:rPr>
                <w:rFonts w:ascii="Arial Narrow" w:hAnsi="Arial Narrow"/>
                <w:sz w:val="20"/>
              </w:rPr>
            </w:pPr>
            <w:r w:rsidRPr="00D01CC5">
              <w:rPr>
                <w:rFonts w:ascii="Arial Narrow" w:hAnsi="Arial Narrow"/>
                <w:sz w:val="20"/>
              </w:rPr>
              <w:t>62%</w:t>
            </w:r>
          </w:p>
        </w:tc>
        <w:tc>
          <w:tcPr>
            <w:tcW w:w="1275" w:type="dxa"/>
          </w:tcPr>
          <w:p w:rsidR="00A11569" w:rsidRPr="00D01CC5" w:rsidRDefault="00A11569" w:rsidP="001C7B61">
            <w:pPr>
              <w:keepNext/>
              <w:widowControl/>
              <w:jc w:val="center"/>
              <w:rPr>
                <w:rFonts w:ascii="Arial Narrow" w:hAnsi="Arial Narrow"/>
                <w:sz w:val="20"/>
              </w:rPr>
            </w:pPr>
            <w:r w:rsidRPr="00D01CC5">
              <w:rPr>
                <w:rFonts w:ascii="Arial Narrow" w:hAnsi="Arial Narrow"/>
                <w:sz w:val="20"/>
              </w:rPr>
              <w:t>91% (84, 95)</w:t>
            </w:r>
          </w:p>
        </w:tc>
      </w:tr>
      <w:tr w:rsidR="00A11569" w:rsidRPr="00D01CC5" w:rsidTr="00D706BC">
        <w:tc>
          <w:tcPr>
            <w:tcW w:w="2552" w:type="dxa"/>
          </w:tcPr>
          <w:p w:rsidR="00A11569" w:rsidRPr="00D01CC5" w:rsidRDefault="00A11569" w:rsidP="001C7B61">
            <w:pPr>
              <w:keepNext/>
              <w:widowControl/>
              <w:ind w:left="227" w:hanging="227"/>
              <w:jc w:val="left"/>
              <w:rPr>
                <w:rFonts w:ascii="Arial Narrow" w:hAnsi="Arial Narrow"/>
                <w:sz w:val="20"/>
              </w:rPr>
            </w:pPr>
            <w:r w:rsidRPr="00D01CC5">
              <w:rPr>
                <w:rFonts w:ascii="Arial Narrow" w:hAnsi="Arial Narrow"/>
                <w:sz w:val="20"/>
              </w:rPr>
              <w:t>≥ 7 days before birth</w:t>
            </w:r>
            <w:r>
              <w:rPr>
                <w:rFonts w:ascii="Arial Narrow" w:hAnsi="Arial Narrow"/>
                <w:sz w:val="20"/>
              </w:rPr>
              <w:t>, r</w:t>
            </w:r>
            <w:r w:rsidRPr="00F20CBD">
              <w:rPr>
                <w:rFonts w:ascii="Arial Narrow" w:hAnsi="Arial Narrow"/>
                <w:sz w:val="20"/>
              </w:rPr>
              <w:t>educe coverage by 20%</w:t>
            </w:r>
          </w:p>
        </w:tc>
        <w:tc>
          <w:tcPr>
            <w:tcW w:w="2126" w:type="dxa"/>
          </w:tcPr>
          <w:p w:rsidR="00A11569" w:rsidRDefault="00A11569" w:rsidP="001C7B61">
            <w:pPr>
              <w:keepNext/>
              <w:widowControl/>
              <w:jc w:val="center"/>
              <w:rPr>
                <w:rFonts w:ascii="Arial Narrow" w:hAnsi="Arial Narrow"/>
                <w:sz w:val="20"/>
              </w:rPr>
            </w:pPr>
            <w:r w:rsidRPr="00F20CBD">
              <w:rPr>
                <w:rFonts w:ascii="Arial Narrow" w:hAnsi="Arial Narrow"/>
                <w:sz w:val="20"/>
              </w:rPr>
              <w:t>12/82 (15%)</w:t>
            </w:r>
          </w:p>
        </w:tc>
        <w:tc>
          <w:tcPr>
            <w:tcW w:w="2410" w:type="dxa"/>
          </w:tcPr>
          <w:p w:rsidR="00A11569" w:rsidRPr="00D01CC5" w:rsidRDefault="00A11569" w:rsidP="001C7B61">
            <w:pPr>
              <w:keepNext/>
              <w:widowControl/>
              <w:jc w:val="center"/>
              <w:rPr>
                <w:rFonts w:ascii="Arial Narrow" w:hAnsi="Arial Narrow"/>
                <w:sz w:val="20"/>
              </w:rPr>
            </w:pPr>
            <w:r>
              <w:rPr>
                <w:rFonts w:ascii="Arial Narrow" w:hAnsi="Arial Narrow"/>
                <w:sz w:val="20"/>
              </w:rPr>
              <w:t>49%</w:t>
            </w:r>
          </w:p>
        </w:tc>
        <w:tc>
          <w:tcPr>
            <w:tcW w:w="1275" w:type="dxa"/>
          </w:tcPr>
          <w:p w:rsidR="00A11569" w:rsidRPr="00D01CC5" w:rsidRDefault="00A11569" w:rsidP="001C7B61">
            <w:pPr>
              <w:keepNext/>
              <w:widowControl/>
              <w:jc w:val="center"/>
              <w:rPr>
                <w:rFonts w:ascii="Arial Narrow" w:hAnsi="Arial Narrow"/>
                <w:sz w:val="20"/>
              </w:rPr>
            </w:pPr>
            <w:r w:rsidRPr="00F20CBD">
              <w:rPr>
                <w:rFonts w:ascii="Arial Narrow" w:hAnsi="Arial Narrow"/>
                <w:sz w:val="20"/>
              </w:rPr>
              <w:t>84%</w:t>
            </w:r>
            <w:r>
              <w:rPr>
                <w:rFonts w:ascii="Arial Narrow" w:hAnsi="Arial Narrow"/>
                <w:sz w:val="20"/>
              </w:rPr>
              <w:t xml:space="preserve"> (71, 93)</w:t>
            </w:r>
          </w:p>
        </w:tc>
      </w:tr>
      <w:tr w:rsidR="00A11569" w:rsidRPr="00D01CC5" w:rsidTr="00D706BC">
        <w:trPr>
          <w:trHeight w:val="64"/>
        </w:trPr>
        <w:tc>
          <w:tcPr>
            <w:tcW w:w="2552" w:type="dxa"/>
          </w:tcPr>
          <w:p w:rsidR="00A11569" w:rsidRPr="00D01CC5" w:rsidRDefault="00A11569" w:rsidP="001C7B61">
            <w:pPr>
              <w:keepNext/>
              <w:widowControl/>
              <w:rPr>
                <w:rFonts w:ascii="Arial Narrow" w:hAnsi="Arial Narrow"/>
                <w:sz w:val="20"/>
              </w:rPr>
            </w:pPr>
            <w:r w:rsidRPr="00D01CC5">
              <w:rPr>
                <w:rFonts w:ascii="Arial Narrow" w:hAnsi="Arial Narrow"/>
                <w:sz w:val="20"/>
              </w:rPr>
              <w:t>≥ 28 days before birth</w:t>
            </w:r>
          </w:p>
        </w:tc>
        <w:tc>
          <w:tcPr>
            <w:tcW w:w="2126" w:type="dxa"/>
          </w:tcPr>
          <w:p w:rsidR="00A11569" w:rsidRPr="00D01CC5" w:rsidRDefault="00A11569" w:rsidP="001C7B61">
            <w:pPr>
              <w:keepNext/>
              <w:widowControl/>
              <w:jc w:val="center"/>
              <w:rPr>
                <w:rFonts w:ascii="Arial Narrow" w:hAnsi="Arial Narrow"/>
                <w:sz w:val="20"/>
              </w:rPr>
            </w:pPr>
            <w:r>
              <w:rPr>
                <w:rFonts w:ascii="Arial Narrow" w:hAnsi="Arial Narrow"/>
                <w:sz w:val="20"/>
              </w:rPr>
              <w:t>10/69 (</w:t>
            </w:r>
            <w:r w:rsidRPr="00D01CC5">
              <w:rPr>
                <w:rFonts w:ascii="Arial Narrow" w:hAnsi="Arial Narrow"/>
                <w:sz w:val="20"/>
              </w:rPr>
              <w:t>14%</w:t>
            </w:r>
            <w:r>
              <w:rPr>
                <w:rFonts w:ascii="Arial Narrow" w:hAnsi="Arial Narrow"/>
                <w:sz w:val="20"/>
              </w:rPr>
              <w:t>)</w:t>
            </w:r>
          </w:p>
        </w:tc>
        <w:tc>
          <w:tcPr>
            <w:tcW w:w="2410" w:type="dxa"/>
          </w:tcPr>
          <w:p w:rsidR="00A11569" w:rsidRPr="00D01CC5" w:rsidRDefault="00A11569" w:rsidP="001C7B61">
            <w:pPr>
              <w:keepNext/>
              <w:widowControl/>
              <w:jc w:val="center"/>
              <w:rPr>
                <w:rFonts w:ascii="Arial Narrow" w:hAnsi="Arial Narrow"/>
                <w:sz w:val="20"/>
              </w:rPr>
            </w:pPr>
            <w:r w:rsidRPr="00D01CC5">
              <w:rPr>
                <w:rFonts w:ascii="Arial Narrow" w:hAnsi="Arial Narrow"/>
                <w:sz w:val="20"/>
              </w:rPr>
              <w:t>63%</w:t>
            </w:r>
          </w:p>
        </w:tc>
        <w:tc>
          <w:tcPr>
            <w:tcW w:w="1275" w:type="dxa"/>
          </w:tcPr>
          <w:p w:rsidR="00A11569" w:rsidRPr="00D01CC5" w:rsidRDefault="00A11569" w:rsidP="001C7B61">
            <w:pPr>
              <w:keepNext/>
              <w:widowControl/>
              <w:jc w:val="center"/>
              <w:rPr>
                <w:rFonts w:ascii="Arial Narrow" w:hAnsi="Arial Narrow"/>
                <w:sz w:val="20"/>
              </w:rPr>
            </w:pPr>
            <w:r w:rsidRPr="00D01CC5">
              <w:rPr>
                <w:rFonts w:ascii="Arial Narrow" w:hAnsi="Arial Narrow"/>
                <w:sz w:val="20"/>
              </w:rPr>
              <w:t>91% (83, 95)</w:t>
            </w:r>
          </w:p>
        </w:tc>
      </w:tr>
      <w:tr w:rsidR="00A11569" w:rsidRPr="00D01CC5" w:rsidTr="00D706BC">
        <w:tc>
          <w:tcPr>
            <w:tcW w:w="2552" w:type="dxa"/>
          </w:tcPr>
          <w:p w:rsidR="00A11569" w:rsidRPr="00D01CC5" w:rsidRDefault="00A11569" w:rsidP="001C7B61">
            <w:pPr>
              <w:keepNext/>
              <w:widowControl/>
              <w:jc w:val="left"/>
              <w:rPr>
                <w:rFonts w:ascii="Arial Narrow" w:hAnsi="Arial Narrow"/>
                <w:sz w:val="20"/>
              </w:rPr>
            </w:pPr>
            <w:r w:rsidRPr="00D01CC5">
              <w:rPr>
                <w:rFonts w:ascii="Arial Narrow" w:hAnsi="Arial Narrow"/>
                <w:sz w:val="20"/>
              </w:rPr>
              <w:t>7-27 days before birth</w:t>
            </w:r>
          </w:p>
        </w:tc>
        <w:tc>
          <w:tcPr>
            <w:tcW w:w="2126" w:type="dxa"/>
          </w:tcPr>
          <w:p w:rsidR="00A11569" w:rsidRPr="00D01CC5" w:rsidRDefault="00A11569" w:rsidP="001C7B61">
            <w:pPr>
              <w:keepNext/>
              <w:widowControl/>
              <w:jc w:val="center"/>
              <w:rPr>
                <w:rFonts w:ascii="Arial Narrow" w:hAnsi="Arial Narrow"/>
                <w:sz w:val="20"/>
              </w:rPr>
            </w:pPr>
            <w:r>
              <w:rPr>
                <w:rFonts w:ascii="Arial Narrow" w:hAnsi="Arial Narrow"/>
                <w:sz w:val="20"/>
              </w:rPr>
              <w:t>2/72 (</w:t>
            </w:r>
            <w:r w:rsidRPr="00D01CC5">
              <w:rPr>
                <w:rFonts w:ascii="Arial Narrow" w:hAnsi="Arial Narrow"/>
                <w:sz w:val="20"/>
              </w:rPr>
              <w:t>3%</w:t>
            </w:r>
            <w:r>
              <w:rPr>
                <w:rFonts w:ascii="Arial Narrow" w:hAnsi="Arial Narrow"/>
                <w:sz w:val="20"/>
              </w:rPr>
              <w:t>)</w:t>
            </w:r>
          </w:p>
        </w:tc>
        <w:tc>
          <w:tcPr>
            <w:tcW w:w="2410" w:type="dxa"/>
          </w:tcPr>
          <w:p w:rsidR="00A11569" w:rsidRPr="00D01CC5" w:rsidRDefault="00A11569" w:rsidP="001C7B61">
            <w:pPr>
              <w:keepNext/>
              <w:widowControl/>
              <w:jc w:val="center"/>
              <w:rPr>
                <w:rFonts w:ascii="Arial Narrow" w:hAnsi="Arial Narrow"/>
                <w:sz w:val="20"/>
              </w:rPr>
            </w:pPr>
            <w:r w:rsidRPr="00D01CC5">
              <w:rPr>
                <w:rFonts w:ascii="Arial Narrow" w:hAnsi="Arial Narrow"/>
                <w:sz w:val="20"/>
              </w:rPr>
              <w:t>19%</w:t>
            </w:r>
          </w:p>
        </w:tc>
        <w:tc>
          <w:tcPr>
            <w:tcW w:w="1275" w:type="dxa"/>
          </w:tcPr>
          <w:p w:rsidR="00A11569" w:rsidRPr="00D01CC5" w:rsidRDefault="00A11569" w:rsidP="001C7B61">
            <w:pPr>
              <w:keepNext/>
              <w:widowControl/>
              <w:jc w:val="center"/>
              <w:rPr>
                <w:rFonts w:ascii="Arial Narrow" w:hAnsi="Arial Narrow"/>
                <w:sz w:val="20"/>
              </w:rPr>
            </w:pPr>
            <w:r w:rsidRPr="00D01CC5">
              <w:rPr>
                <w:rFonts w:ascii="Arial Narrow" w:hAnsi="Arial Narrow"/>
                <w:sz w:val="20"/>
              </w:rPr>
              <w:t>91% (70; 96)</w:t>
            </w:r>
          </w:p>
        </w:tc>
      </w:tr>
      <w:tr w:rsidR="00A11569" w:rsidRPr="00D01CC5" w:rsidTr="00D706BC">
        <w:tc>
          <w:tcPr>
            <w:tcW w:w="2552" w:type="dxa"/>
          </w:tcPr>
          <w:p w:rsidR="00A11569" w:rsidRPr="00D01CC5" w:rsidRDefault="00A11569" w:rsidP="001C7B61">
            <w:pPr>
              <w:keepNext/>
              <w:widowControl/>
              <w:jc w:val="left"/>
              <w:rPr>
                <w:rFonts w:ascii="Arial Narrow" w:hAnsi="Arial Narrow"/>
                <w:sz w:val="20"/>
              </w:rPr>
            </w:pPr>
            <w:r w:rsidRPr="00D01CC5">
              <w:rPr>
                <w:rFonts w:ascii="Arial Narrow" w:hAnsi="Arial Narrow"/>
                <w:sz w:val="20"/>
              </w:rPr>
              <w:t>&lt; 7 days before birth</w:t>
            </w:r>
          </w:p>
        </w:tc>
        <w:tc>
          <w:tcPr>
            <w:tcW w:w="2126" w:type="dxa"/>
          </w:tcPr>
          <w:p w:rsidR="00A11569" w:rsidRPr="00D01CC5" w:rsidRDefault="00A11569" w:rsidP="001C7B61">
            <w:pPr>
              <w:keepNext/>
              <w:widowControl/>
              <w:jc w:val="center"/>
              <w:rPr>
                <w:rFonts w:ascii="Arial Narrow" w:hAnsi="Arial Narrow"/>
                <w:sz w:val="20"/>
              </w:rPr>
            </w:pPr>
            <w:r>
              <w:rPr>
                <w:rFonts w:ascii="Arial Narrow" w:hAnsi="Arial Narrow"/>
                <w:sz w:val="20"/>
              </w:rPr>
              <w:t>2/68 (</w:t>
            </w:r>
            <w:r w:rsidRPr="00D01CC5">
              <w:rPr>
                <w:rFonts w:ascii="Arial Narrow" w:hAnsi="Arial Narrow"/>
                <w:sz w:val="20"/>
              </w:rPr>
              <w:t>3%</w:t>
            </w:r>
            <w:r>
              <w:rPr>
                <w:rFonts w:ascii="Arial Narrow" w:hAnsi="Arial Narrow"/>
                <w:sz w:val="20"/>
              </w:rPr>
              <w:t>)</w:t>
            </w:r>
          </w:p>
        </w:tc>
        <w:tc>
          <w:tcPr>
            <w:tcW w:w="2410" w:type="dxa"/>
          </w:tcPr>
          <w:p w:rsidR="00A11569" w:rsidRPr="00D01CC5" w:rsidRDefault="00A11569" w:rsidP="001C7B61">
            <w:pPr>
              <w:keepNext/>
              <w:widowControl/>
              <w:jc w:val="center"/>
              <w:rPr>
                <w:rFonts w:ascii="Arial Narrow" w:hAnsi="Arial Narrow"/>
                <w:sz w:val="20"/>
              </w:rPr>
            </w:pPr>
            <w:r w:rsidRPr="00D01CC5">
              <w:rPr>
                <w:rFonts w:ascii="Arial Narrow" w:hAnsi="Arial Narrow"/>
                <w:sz w:val="20"/>
              </w:rPr>
              <w:t>5%</w:t>
            </w:r>
          </w:p>
        </w:tc>
        <w:tc>
          <w:tcPr>
            <w:tcW w:w="1275" w:type="dxa"/>
          </w:tcPr>
          <w:p w:rsidR="00A11569" w:rsidRPr="00D01CC5" w:rsidRDefault="00A11569" w:rsidP="001C7B61">
            <w:pPr>
              <w:keepNext/>
              <w:widowControl/>
              <w:jc w:val="center"/>
              <w:rPr>
                <w:rFonts w:ascii="Arial Narrow" w:hAnsi="Arial Narrow"/>
                <w:sz w:val="20"/>
              </w:rPr>
            </w:pPr>
            <w:r w:rsidRPr="00D01CC5">
              <w:rPr>
                <w:rFonts w:ascii="Arial Narrow" w:hAnsi="Arial Narrow"/>
                <w:sz w:val="20"/>
              </w:rPr>
              <w:t>38% (-95, 80)</w:t>
            </w:r>
          </w:p>
        </w:tc>
      </w:tr>
      <w:tr w:rsidR="00D539F4" w:rsidRPr="00D01CC5" w:rsidTr="00D539F4">
        <w:tc>
          <w:tcPr>
            <w:tcW w:w="8363" w:type="dxa"/>
            <w:gridSpan w:val="4"/>
            <w:vAlign w:val="center"/>
          </w:tcPr>
          <w:p w:rsidR="00D539F4" w:rsidRPr="00D01CC5" w:rsidRDefault="00D539F4" w:rsidP="001C7B61">
            <w:pPr>
              <w:keepNext/>
              <w:widowControl/>
              <w:jc w:val="left"/>
              <w:rPr>
                <w:rFonts w:ascii="Arial Narrow" w:hAnsi="Arial Narrow"/>
                <w:sz w:val="20"/>
              </w:rPr>
            </w:pPr>
            <w:r w:rsidRPr="00D01CC5">
              <w:rPr>
                <w:rFonts w:ascii="Arial Narrow" w:hAnsi="Arial Narrow"/>
                <w:sz w:val="20"/>
              </w:rPr>
              <w:t>Infants &lt;2 months</w:t>
            </w:r>
          </w:p>
        </w:tc>
      </w:tr>
      <w:tr w:rsidR="00A11569" w:rsidRPr="00D01CC5" w:rsidTr="00D706BC">
        <w:tc>
          <w:tcPr>
            <w:tcW w:w="2552" w:type="dxa"/>
          </w:tcPr>
          <w:p w:rsidR="00A11569" w:rsidRPr="00D01CC5" w:rsidRDefault="00A11569" w:rsidP="001C7B61">
            <w:pPr>
              <w:keepNext/>
              <w:widowControl/>
              <w:jc w:val="left"/>
              <w:rPr>
                <w:rFonts w:ascii="Arial Narrow" w:hAnsi="Arial Narrow"/>
                <w:sz w:val="20"/>
              </w:rPr>
            </w:pPr>
            <w:r w:rsidRPr="00D01CC5">
              <w:rPr>
                <w:rFonts w:ascii="Arial Narrow" w:hAnsi="Arial Narrow"/>
                <w:sz w:val="20"/>
              </w:rPr>
              <w:t>≥ 7 days before birth</w:t>
            </w:r>
          </w:p>
        </w:tc>
        <w:tc>
          <w:tcPr>
            <w:tcW w:w="2126" w:type="dxa"/>
          </w:tcPr>
          <w:p w:rsidR="00A11569" w:rsidRPr="00D01CC5" w:rsidRDefault="00A11569" w:rsidP="001C7B61">
            <w:pPr>
              <w:keepNext/>
              <w:widowControl/>
              <w:jc w:val="center"/>
              <w:rPr>
                <w:rFonts w:ascii="Arial Narrow" w:hAnsi="Arial Narrow"/>
                <w:sz w:val="20"/>
              </w:rPr>
            </w:pPr>
            <w:r>
              <w:rPr>
                <w:rFonts w:ascii="Arial Narrow" w:hAnsi="Arial Narrow"/>
                <w:sz w:val="20"/>
              </w:rPr>
              <w:t>11/71 (</w:t>
            </w:r>
            <w:r w:rsidRPr="00D01CC5">
              <w:rPr>
                <w:rFonts w:ascii="Arial Narrow" w:hAnsi="Arial Narrow"/>
                <w:sz w:val="20"/>
              </w:rPr>
              <w:t>15%</w:t>
            </w:r>
            <w:r>
              <w:rPr>
                <w:rFonts w:ascii="Arial Narrow" w:hAnsi="Arial Narrow"/>
                <w:sz w:val="20"/>
              </w:rPr>
              <w:t>)</w:t>
            </w:r>
          </w:p>
        </w:tc>
        <w:tc>
          <w:tcPr>
            <w:tcW w:w="2410" w:type="dxa"/>
          </w:tcPr>
          <w:p w:rsidR="00A11569" w:rsidRPr="00D01CC5" w:rsidRDefault="00A11569" w:rsidP="001C7B61">
            <w:pPr>
              <w:keepNext/>
              <w:widowControl/>
              <w:jc w:val="center"/>
              <w:rPr>
                <w:rFonts w:ascii="Arial Narrow" w:hAnsi="Arial Narrow"/>
                <w:sz w:val="20"/>
              </w:rPr>
            </w:pPr>
            <w:r w:rsidRPr="00D01CC5">
              <w:rPr>
                <w:rFonts w:ascii="Arial Narrow" w:hAnsi="Arial Narrow"/>
                <w:sz w:val="20"/>
              </w:rPr>
              <w:t>61%</w:t>
            </w:r>
          </w:p>
        </w:tc>
        <w:tc>
          <w:tcPr>
            <w:tcW w:w="1275" w:type="dxa"/>
          </w:tcPr>
          <w:p w:rsidR="00A11569" w:rsidRPr="00D01CC5" w:rsidRDefault="00A11569" w:rsidP="001C7B61">
            <w:pPr>
              <w:keepNext/>
              <w:widowControl/>
              <w:jc w:val="center"/>
              <w:rPr>
                <w:rFonts w:ascii="Arial Narrow" w:hAnsi="Arial Narrow"/>
                <w:sz w:val="20"/>
              </w:rPr>
            </w:pPr>
            <w:r w:rsidRPr="00D01CC5">
              <w:rPr>
                <w:rFonts w:ascii="Arial Narrow" w:hAnsi="Arial Narrow"/>
                <w:sz w:val="20"/>
              </w:rPr>
              <w:t>90% (82, 95)</w:t>
            </w:r>
          </w:p>
        </w:tc>
      </w:tr>
      <w:tr w:rsidR="00A11569" w:rsidRPr="00D01CC5" w:rsidTr="00D706BC">
        <w:tc>
          <w:tcPr>
            <w:tcW w:w="2552" w:type="dxa"/>
          </w:tcPr>
          <w:p w:rsidR="00A11569" w:rsidRPr="00F20CBD" w:rsidRDefault="00A11569" w:rsidP="001C7B61">
            <w:pPr>
              <w:keepNext/>
              <w:widowControl/>
              <w:jc w:val="left"/>
              <w:rPr>
                <w:rFonts w:ascii="Arial Narrow" w:hAnsi="Arial Narrow"/>
                <w:sz w:val="20"/>
              </w:rPr>
            </w:pPr>
            <w:r w:rsidRPr="00D01CC5">
              <w:rPr>
                <w:rFonts w:ascii="Arial Narrow" w:hAnsi="Arial Narrow"/>
                <w:sz w:val="20"/>
              </w:rPr>
              <w:t>≥ 7 days before birth</w:t>
            </w:r>
            <w:r>
              <w:rPr>
                <w:rFonts w:ascii="Arial Narrow" w:hAnsi="Arial Narrow"/>
                <w:sz w:val="20"/>
              </w:rPr>
              <w:t>, r</w:t>
            </w:r>
            <w:r w:rsidRPr="00F20CBD">
              <w:rPr>
                <w:rFonts w:ascii="Arial Narrow" w:hAnsi="Arial Narrow"/>
                <w:sz w:val="20"/>
              </w:rPr>
              <w:t xml:space="preserve">educe coverage by 20% </w:t>
            </w:r>
          </w:p>
        </w:tc>
        <w:tc>
          <w:tcPr>
            <w:tcW w:w="2126" w:type="dxa"/>
          </w:tcPr>
          <w:p w:rsidR="00A11569" w:rsidRPr="00F20CBD" w:rsidRDefault="00A11569" w:rsidP="001C7B61">
            <w:pPr>
              <w:keepNext/>
              <w:widowControl/>
              <w:jc w:val="center"/>
              <w:rPr>
                <w:rFonts w:ascii="Arial Narrow" w:hAnsi="Arial Narrow"/>
                <w:sz w:val="20"/>
              </w:rPr>
            </w:pPr>
            <w:r>
              <w:rPr>
                <w:rFonts w:ascii="Arial Narrow" w:hAnsi="Arial Narrow"/>
                <w:sz w:val="20"/>
              </w:rPr>
              <w:t>11/71 (15%)</w:t>
            </w:r>
          </w:p>
        </w:tc>
        <w:tc>
          <w:tcPr>
            <w:tcW w:w="2410" w:type="dxa"/>
          </w:tcPr>
          <w:p w:rsidR="00A11569" w:rsidRPr="00F20CBD" w:rsidRDefault="00A11569" w:rsidP="001C7B61">
            <w:pPr>
              <w:keepNext/>
              <w:widowControl/>
              <w:jc w:val="center"/>
              <w:rPr>
                <w:rFonts w:ascii="Arial Narrow" w:hAnsi="Arial Narrow"/>
                <w:sz w:val="20"/>
              </w:rPr>
            </w:pPr>
            <w:r>
              <w:rPr>
                <w:rFonts w:ascii="Arial Narrow" w:hAnsi="Arial Narrow"/>
                <w:sz w:val="20"/>
              </w:rPr>
              <w:t>49%</w:t>
            </w:r>
          </w:p>
        </w:tc>
        <w:tc>
          <w:tcPr>
            <w:tcW w:w="1275" w:type="dxa"/>
          </w:tcPr>
          <w:p w:rsidR="00A11569" w:rsidRPr="00F20CBD" w:rsidRDefault="00A11569" w:rsidP="001C7B61">
            <w:pPr>
              <w:keepNext/>
              <w:widowControl/>
              <w:jc w:val="center"/>
              <w:rPr>
                <w:rFonts w:ascii="Arial Narrow" w:hAnsi="Arial Narrow"/>
                <w:sz w:val="20"/>
              </w:rPr>
            </w:pPr>
            <w:r>
              <w:rPr>
                <w:rFonts w:ascii="Arial Narrow" w:hAnsi="Arial Narrow"/>
                <w:sz w:val="20"/>
              </w:rPr>
              <w:t xml:space="preserve">82% (67, </w:t>
            </w:r>
            <w:r w:rsidRPr="005D58A1">
              <w:rPr>
                <w:rFonts w:ascii="Arial Narrow" w:hAnsi="Arial Narrow"/>
                <w:sz w:val="20"/>
              </w:rPr>
              <w:t>90)</w:t>
            </w:r>
          </w:p>
        </w:tc>
      </w:tr>
      <w:tr w:rsidR="00A11569" w:rsidRPr="00D01CC5" w:rsidTr="001E7113">
        <w:trPr>
          <w:trHeight w:val="255"/>
        </w:trPr>
        <w:tc>
          <w:tcPr>
            <w:tcW w:w="8363" w:type="dxa"/>
            <w:gridSpan w:val="4"/>
          </w:tcPr>
          <w:p w:rsidR="00A11569" w:rsidRPr="00D01CC5" w:rsidRDefault="00A11569" w:rsidP="001C7B61">
            <w:pPr>
              <w:keepNext/>
              <w:widowControl/>
              <w:jc w:val="left"/>
              <w:rPr>
                <w:rFonts w:ascii="Arial Narrow" w:hAnsi="Arial Narrow"/>
                <w:sz w:val="20"/>
              </w:rPr>
            </w:pPr>
            <w:r w:rsidRPr="00D01CC5">
              <w:rPr>
                <w:rFonts w:ascii="Arial Narrow" w:hAnsi="Arial Narrow"/>
                <w:b/>
                <w:sz w:val="20"/>
              </w:rPr>
              <w:t>Debrera 2015: Case-Control Study</w:t>
            </w:r>
          </w:p>
        </w:tc>
      </w:tr>
      <w:tr w:rsidR="00A11569" w:rsidRPr="00D01CC5" w:rsidTr="00D706BC">
        <w:tc>
          <w:tcPr>
            <w:tcW w:w="2552" w:type="dxa"/>
            <w:vMerge w:val="restart"/>
            <w:vAlign w:val="center"/>
          </w:tcPr>
          <w:p w:rsidR="00A11569" w:rsidRPr="00D01CC5" w:rsidRDefault="00A11569" w:rsidP="001C7B61">
            <w:pPr>
              <w:keepNext/>
              <w:widowControl/>
              <w:jc w:val="left"/>
              <w:rPr>
                <w:rFonts w:ascii="Arial Narrow" w:hAnsi="Arial Narrow"/>
                <w:sz w:val="20"/>
              </w:rPr>
            </w:pPr>
            <w:r w:rsidRPr="00D01CC5">
              <w:rPr>
                <w:rFonts w:ascii="Arial Narrow" w:hAnsi="Arial Narrow"/>
                <w:sz w:val="20"/>
              </w:rPr>
              <w:t>Infants &lt; 8 weeks</w:t>
            </w:r>
          </w:p>
        </w:tc>
        <w:tc>
          <w:tcPr>
            <w:tcW w:w="2126" w:type="dxa"/>
            <w:vMerge w:val="restart"/>
            <w:vAlign w:val="center"/>
          </w:tcPr>
          <w:p w:rsidR="00A11569" w:rsidRPr="00D01CC5" w:rsidRDefault="00A11569" w:rsidP="001C7B61">
            <w:pPr>
              <w:keepNext/>
              <w:widowControl/>
              <w:jc w:val="center"/>
              <w:rPr>
                <w:rFonts w:ascii="Arial Narrow" w:hAnsi="Arial Narrow"/>
                <w:sz w:val="20"/>
              </w:rPr>
            </w:pPr>
            <w:r>
              <w:rPr>
                <w:rFonts w:ascii="Arial Narrow" w:hAnsi="Arial Narrow"/>
                <w:sz w:val="20"/>
              </w:rPr>
              <w:t>10/58 (</w:t>
            </w:r>
            <w:r w:rsidRPr="00D01CC5">
              <w:rPr>
                <w:rFonts w:ascii="Arial Narrow" w:hAnsi="Arial Narrow"/>
                <w:sz w:val="20"/>
              </w:rPr>
              <w:t>17%</w:t>
            </w:r>
            <w:r>
              <w:rPr>
                <w:rFonts w:ascii="Arial Narrow" w:hAnsi="Arial Narrow"/>
                <w:sz w:val="20"/>
              </w:rPr>
              <w:t>)</w:t>
            </w:r>
          </w:p>
        </w:tc>
        <w:tc>
          <w:tcPr>
            <w:tcW w:w="2410" w:type="dxa"/>
            <w:vMerge w:val="restart"/>
            <w:vAlign w:val="center"/>
          </w:tcPr>
          <w:p w:rsidR="00A11569" w:rsidRPr="00D01CC5" w:rsidRDefault="00A11569" w:rsidP="001C7B61">
            <w:pPr>
              <w:keepNext/>
              <w:widowControl/>
              <w:jc w:val="center"/>
              <w:rPr>
                <w:rFonts w:ascii="Arial Narrow" w:hAnsi="Arial Narrow"/>
                <w:sz w:val="20"/>
              </w:rPr>
            </w:pPr>
            <w:r>
              <w:rPr>
                <w:rFonts w:ascii="Arial Narrow" w:hAnsi="Arial Narrow"/>
                <w:sz w:val="20"/>
              </w:rPr>
              <w:t>39/55 (</w:t>
            </w:r>
            <w:r w:rsidRPr="00D01CC5">
              <w:rPr>
                <w:rFonts w:ascii="Arial Narrow" w:hAnsi="Arial Narrow"/>
                <w:sz w:val="20"/>
              </w:rPr>
              <w:t>71%</w:t>
            </w:r>
            <w:r>
              <w:rPr>
                <w:rFonts w:ascii="Arial Narrow" w:hAnsi="Arial Narrow"/>
                <w:sz w:val="20"/>
              </w:rPr>
              <w:t>)</w:t>
            </w:r>
          </w:p>
        </w:tc>
        <w:tc>
          <w:tcPr>
            <w:tcW w:w="1275" w:type="dxa"/>
            <w:tcBorders>
              <w:bottom w:val="nil"/>
            </w:tcBorders>
            <w:vAlign w:val="center"/>
          </w:tcPr>
          <w:p w:rsidR="00A11569" w:rsidRPr="00D01CC5" w:rsidRDefault="00A11569" w:rsidP="001C7B61">
            <w:pPr>
              <w:keepNext/>
              <w:widowControl/>
              <w:jc w:val="center"/>
              <w:rPr>
                <w:rFonts w:ascii="Arial Narrow" w:hAnsi="Arial Narrow"/>
                <w:sz w:val="20"/>
              </w:rPr>
            </w:pPr>
            <w:r w:rsidRPr="00D01CC5">
              <w:rPr>
                <w:rFonts w:ascii="Arial Narrow" w:hAnsi="Arial Narrow"/>
                <w:sz w:val="20"/>
              </w:rPr>
              <w:t>91% (77, 97)</w:t>
            </w:r>
          </w:p>
        </w:tc>
      </w:tr>
      <w:tr w:rsidR="00A11569" w:rsidRPr="00D01CC5" w:rsidTr="00D706BC">
        <w:tc>
          <w:tcPr>
            <w:tcW w:w="2552" w:type="dxa"/>
            <w:vMerge/>
            <w:tcBorders>
              <w:bottom w:val="double" w:sz="4" w:space="0" w:color="auto"/>
            </w:tcBorders>
          </w:tcPr>
          <w:p w:rsidR="00A11569" w:rsidRPr="00D01CC5" w:rsidRDefault="00A11569" w:rsidP="001C7B61">
            <w:pPr>
              <w:widowControl/>
              <w:rPr>
                <w:rFonts w:ascii="Arial Narrow" w:hAnsi="Arial Narrow"/>
                <w:sz w:val="20"/>
              </w:rPr>
            </w:pPr>
          </w:p>
        </w:tc>
        <w:tc>
          <w:tcPr>
            <w:tcW w:w="2126" w:type="dxa"/>
            <w:vMerge/>
            <w:tcBorders>
              <w:bottom w:val="double" w:sz="4" w:space="0" w:color="auto"/>
            </w:tcBorders>
          </w:tcPr>
          <w:p w:rsidR="00A11569" w:rsidRPr="00D01CC5" w:rsidRDefault="00A11569" w:rsidP="001C7B61">
            <w:pPr>
              <w:widowControl/>
              <w:jc w:val="center"/>
              <w:rPr>
                <w:rFonts w:ascii="Arial Narrow" w:hAnsi="Arial Narrow"/>
                <w:sz w:val="20"/>
              </w:rPr>
            </w:pPr>
          </w:p>
        </w:tc>
        <w:tc>
          <w:tcPr>
            <w:tcW w:w="2410" w:type="dxa"/>
            <w:vMerge/>
            <w:tcBorders>
              <w:bottom w:val="double" w:sz="4" w:space="0" w:color="auto"/>
            </w:tcBorders>
          </w:tcPr>
          <w:p w:rsidR="00A11569" w:rsidRPr="00D01CC5" w:rsidRDefault="00A11569" w:rsidP="001C7B61">
            <w:pPr>
              <w:widowControl/>
              <w:jc w:val="center"/>
              <w:rPr>
                <w:rFonts w:ascii="Arial Narrow" w:hAnsi="Arial Narrow"/>
                <w:sz w:val="20"/>
              </w:rPr>
            </w:pPr>
          </w:p>
        </w:tc>
        <w:tc>
          <w:tcPr>
            <w:tcW w:w="1275" w:type="dxa"/>
            <w:tcBorders>
              <w:top w:val="nil"/>
              <w:bottom w:val="double" w:sz="4" w:space="0" w:color="auto"/>
            </w:tcBorders>
          </w:tcPr>
          <w:p w:rsidR="00A11569" w:rsidRPr="00D01CC5" w:rsidRDefault="00A11569" w:rsidP="001C7B61">
            <w:pPr>
              <w:widowControl/>
              <w:jc w:val="center"/>
              <w:rPr>
                <w:rFonts w:ascii="Arial Narrow" w:hAnsi="Arial Narrow"/>
                <w:sz w:val="20"/>
              </w:rPr>
            </w:pPr>
            <w:r w:rsidRPr="00D01CC5">
              <w:rPr>
                <w:rFonts w:ascii="Arial Narrow" w:hAnsi="Arial Narrow"/>
                <w:sz w:val="20"/>
              </w:rPr>
              <w:t>93% (81</w:t>
            </w:r>
            <w:r>
              <w:rPr>
                <w:rFonts w:ascii="Arial Narrow" w:hAnsi="Arial Narrow"/>
                <w:sz w:val="20"/>
              </w:rPr>
              <w:t xml:space="preserve">, </w:t>
            </w:r>
            <w:r w:rsidRPr="00D01CC5">
              <w:rPr>
                <w:rFonts w:ascii="Arial Narrow" w:hAnsi="Arial Narrow"/>
                <w:sz w:val="20"/>
              </w:rPr>
              <w:t>97)</w:t>
            </w:r>
            <w:r w:rsidR="00256A78" w:rsidRPr="00256A78">
              <w:rPr>
                <w:rFonts w:ascii="Arial Narrow" w:hAnsi="Arial Narrow"/>
                <w:sz w:val="20"/>
                <w:vertAlign w:val="superscript"/>
              </w:rPr>
              <w:t>a</w:t>
            </w:r>
            <w:r w:rsidRPr="00256A78">
              <w:rPr>
                <w:rFonts w:ascii="Arial Narrow" w:hAnsi="Arial Narrow"/>
                <w:sz w:val="20"/>
                <w:vertAlign w:val="superscript"/>
              </w:rPr>
              <w:t xml:space="preserve"> </w:t>
            </w:r>
          </w:p>
        </w:tc>
      </w:tr>
      <w:tr w:rsidR="002916B6" w:rsidRPr="00D01CC5" w:rsidTr="00D706BC">
        <w:tc>
          <w:tcPr>
            <w:tcW w:w="2552" w:type="dxa"/>
            <w:tcBorders>
              <w:top w:val="double" w:sz="4" w:space="0" w:color="auto"/>
            </w:tcBorders>
          </w:tcPr>
          <w:p w:rsidR="002916B6" w:rsidRPr="00816B31" w:rsidRDefault="00B229B8" w:rsidP="001C7B61">
            <w:pPr>
              <w:pStyle w:val="Table"/>
              <w:keepNext/>
              <w:rPr>
                <w:rFonts w:ascii="Arial Narrow" w:hAnsi="Arial Narrow" w:cs="Arial"/>
                <w:b/>
                <w:szCs w:val="20"/>
              </w:rPr>
            </w:pPr>
            <w:r w:rsidRPr="00814586">
              <w:rPr>
                <w:rFonts w:ascii="Arial Narrow" w:hAnsi="Arial Narrow"/>
                <w:b/>
              </w:rPr>
              <w:t>APERT</w:t>
            </w:r>
            <w:r>
              <w:rPr>
                <w:rFonts w:ascii="Arial Narrow" w:hAnsi="Arial Narrow"/>
                <w:b/>
              </w:rPr>
              <w:t>: randomised trial</w:t>
            </w:r>
          </w:p>
        </w:tc>
        <w:tc>
          <w:tcPr>
            <w:tcW w:w="2126" w:type="dxa"/>
            <w:tcBorders>
              <w:top w:val="double" w:sz="4" w:space="0" w:color="auto"/>
            </w:tcBorders>
          </w:tcPr>
          <w:p w:rsidR="002916B6" w:rsidRPr="00816B31" w:rsidRDefault="00983AF4" w:rsidP="001C7B61">
            <w:pPr>
              <w:pStyle w:val="Table"/>
              <w:keepNext/>
              <w:jc w:val="center"/>
              <w:rPr>
                <w:rFonts w:ascii="Arial Narrow" w:hAnsi="Arial Narrow" w:cs="Arial"/>
                <w:b/>
                <w:szCs w:val="20"/>
              </w:rPr>
            </w:pPr>
            <w:r w:rsidRPr="00816B31">
              <w:rPr>
                <w:rFonts w:ascii="Arial Narrow" w:hAnsi="Arial Narrow" w:cs="Arial"/>
                <w:b/>
                <w:szCs w:val="20"/>
              </w:rPr>
              <w:t>pa3V</w:t>
            </w:r>
          </w:p>
          <w:p w:rsidR="008A575A" w:rsidRPr="00816B31" w:rsidRDefault="00F07488" w:rsidP="001C7B61">
            <w:pPr>
              <w:pStyle w:val="Table"/>
              <w:keepNext/>
              <w:jc w:val="center"/>
              <w:rPr>
                <w:rFonts w:ascii="Arial Narrow" w:hAnsi="Arial Narrow" w:cs="Arial"/>
                <w:b/>
                <w:szCs w:val="20"/>
              </w:rPr>
            </w:pPr>
            <w:r>
              <w:rPr>
                <w:rFonts w:ascii="Arial Narrow" w:hAnsi="Arial Narrow" w:cs="Arial"/>
                <w:b/>
                <w:szCs w:val="20"/>
              </w:rPr>
              <w:t>(N=1391</w:t>
            </w:r>
            <w:r w:rsidR="002412A3">
              <w:rPr>
                <w:rFonts w:ascii="Arial Narrow" w:hAnsi="Arial Narrow" w:cs="Arial"/>
                <w:b/>
                <w:szCs w:val="20"/>
              </w:rPr>
              <w:t>; 2421 person-yr</w:t>
            </w:r>
            <w:r>
              <w:rPr>
                <w:rFonts w:ascii="Arial Narrow" w:hAnsi="Arial Narrow" w:cs="Arial"/>
                <w:b/>
                <w:szCs w:val="20"/>
              </w:rPr>
              <w:t>)</w:t>
            </w:r>
          </w:p>
        </w:tc>
        <w:tc>
          <w:tcPr>
            <w:tcW w:w="2410" w:type="dxa"/>
            <w:tcBorders>
              <w:top w:val="double" w:sz="4" w:space="0" w:color="auto"/>
            </w:tcBorders>
          </w:tcPr>
          <w:p w:rsidR="002412A3" w:rsidRDefault="002412A3" w:rsidP="001C7B61">
            <w:pPr>
              <w:pStyle w:val="Table"/>
              <w:keepNext/>
              <w:jc w:val="center"/>
              <w:rPr>
                <w:rFonts w:ascii="Arial Narrow" w:hAnsi="Arial Narrow" w:cs="Arial"/>
                <w:b/>
                <w:szCs w:val="20"/>
              </w:rPr>
            </w:pPr>
            <w:r>
              <w:rPr>
                <w:rFonts w:ascii="Arial Narrow" w:hAnsi="Arial Narrow" w:cs="Arial"/>
                <w:b/>
                <w:szCs w:val="20"/>
              </w:rPr>
              <w:t>H</w:t>
            </w:r>
            <w:r w:rsidRPr="002412A3">
              <w:rPr>
                <w:rFonts w:ascii="Arial Narrow" w:hAnsi="Arial Narrow" w:cs="Arial"/>
                <w:b/>
                <w:szCs w:val="20"/>
              </w:rPr>
              <w:t>epatitis A vaccine</w:t>
            </w:r>
            <w:r>
              <w:rPr>
                <w:rFonts w:ascii="Arial Narrow" w:hAnsi="Arial Narrow" w:cs="Arial"/>
                <w:b/>
                <w:szCs w:val="20"/>
              </w:rPr>
              <w:t xml:space="preserve"> </w:t>
            </w:r>
          </w:p>
          <w:p w:rsidR="008A575A" w:rsidRPr="00816B31" w:rsidRDefault="00F07488" w:rsidP="001C7B61">
            <w:pPr>
              <w:pStyle w:val="Table"/>
              <w:keepNext/>
              <w:jc w:val="center"/>
              <w:rPr>
                <w:rFonts w:ascii="Arial Narrow" w:hAnsi="Arial Narrow" w:cs="Arial"/>
                <w:b/>
                <w:szCs w:val="20"/>
              </w:rPr>
            </w:pPr>
            <w:r>
              <w:rPr>
                <w:rFonts w:ascii="Arial Narrow" w:hAnsi="Arial Narrow" w:cs="Arial"/>
                <w:b/>
                <w:szCs w:val="20"/>
              </w:rPr>
              <w:t>(N=1390</w:t>
            </w:r>
            <w:r w:rsidR="002412A3">
              <w:rPr>
                <w:rFonts w:ascii="Arial Narrow" w:hAnsi="Arial Narrow" w:cs="Arial"/>
                <w:b/>
                <w:szCs w:val="20"/>
              </w:rPr>
              <w:t>; 2444 person-yr</w:t>
            </w:r>
            <w:r>
              <w:rPr>
                <w:rFonts w:ascii="Arial Narrow" w:hAnsi="Arial Narrow" w:cs="Arial"/>
                <w:b/>
                <w:szCs w:val="20"/>
              </w:rPr>
              <w:t>)</w:t>
            </w:r>
          </w:p>
        </w:tc>
        <w:tc>
          <w:tcPr>
            <w:tcW w:w="1275" w:type="dxa"/>
            <w:tcBorders>
              <w:top w:val="double" w:sz="4" w:space="0" w:color="auto"/>
            </w:tcBorders>
          </w:tcPr>
          <w:p w:rsidR="002916B6" w:rsidRPr="00D01CC5" w:rsidRDefault="001B1E47" w:rsidP="001C7B61">
            <w:pPr>
              <w:widowControl/>
              <w:jc w:val="center"/>
              <w:rPr>
                <w:rFonts w:ascii="Arial Narrow" w:hAnsi="Arial Narrow"/>
                <w:sz w:val="20"/>
              </w:rPr>
            </w:pPr>
            <w:r w:rsidRPr="00D01CC5">
              <w:rPr>
                <w:rFonts w:ascii="Arial Narrow" w:hAnsi="Arial Narrow"/>
                <w:b/>
              </w:rPr>
              <w:t>VE: % (95% CI)</w:t>
            </w:r>
          </w:p>
        </w:tc>
      </w:tr>
      <w:tr w:rsidR="00256A78" w:rsidRPr="00D01CC5" w:rsidTr="00D706BC">
        <w:tc>
          <w:tcPr>
            <w:tcW w:w="2552" w:type="dxa"/>
            <w:vMerge w:val="restart"/>
          </w:tcPr>
          <w:p w:rsidR="00256A78" w:rsidRPr="00D01CC5" w:rsidRDefault="00983AF4" w:rsidP="001C7B61">
            <w:pPr>
              <w:widowControl/>
              <w:rPr>
                <w:rFonts w:ascii="Arial Narrow" w:hAnsi="Arial Narrow"/>
                <w:sz w:val="20"/>
              </w:rPr>
            </w:pPr>
            <w:r>
              <w:rPr>
                <w:rFonts w:ascii="Arial Narrow" w:hAnsi="Arial Narrow"/>
                <w:sz w:val="20"/>
              </w:rPr>
              <w:t>Adult</w:t>
            </w:r>
          </w:p>
        </w:tc>
        <w:tc>
          <w:tcPr>
            <w:tcW w:w="2126" w:type="dxa"/>
            <w:vMerge w:val="restart"/>
          </w:tcPr>
          <w:p w:rsidR="00256A78" w:rsidRPr="00D01CC5" w:rsidRDefault="002B3C9F" w:rsidP="001C7B61">
            <w:pPr>
              <w:widowControl/>
              <w:jc w:val="center"/>
              <w:rPr>
                <w:rFonts w:ascii="Arial Narrow" w:hAnsi="Arial Narrow"/>
                <w:sz w:val="20"/>
              </w:rPr>
            </w:pPr>
            <w:r w:rsidRPr="002412A3">
              <w:rPr>
                <w:rFonts w:ascii="Arial Narrow" w:hAnsi="Arial Narrow"/>
                <w:sz w:val="20"/>
              </w:rPr>
              <w:t>1</w:t>
            </w:r>
            <w:r w:rsidR="002412A3" w:rsidRPr="002412A3">
              <w:rPr>
                <w:rFonts w:ascii="Arial Narrow" w:hAnsi="Arial Narrow"/>
                <w:sz w:val="20"/>
              </w:rPr>
              <w:t xml:space="preserve"> case of pertussis</w:t>
            </w:r>
          </w:p>
        </w:tc>
        <w:tc>
          <w:tcPr>
            <w:tcW w:w="2410" w:type="dxa"/>
            <w:vMerge w:val="restart"/>
          </w:tcPr>
          <w:p w:rsidR="00256A78" w:rsidRPr="00D01CC5" w:rsidRDefault="002B3C9F" w:rsidP="001C7B61">
            <w:pPr>
              <w:widowControl/>
              <w:jc w:val="center"/>
              <w:rPr>
                <w:rFonts w:ascii="Arial Narrow" w:hAnsi="Arial Narrow"/>
                <w:sz w:val="20"/>
              </w:rPr>
            </w:pPr>
            <w:r w:rsidRPr="002412A3">
              <w:rPr>
                <w:rFonts w:ascii="Arial Narrow" w:hAnsi="Arial Narrow"/>
                <w:sz w:val="20"/>
              </w:rPr>
              <w:t>9</w:t>
            </w:r>
            <w:r w:rsidR="002412A3" w:rsidRPr="002412A3">
              <w:rPr>
                <w:rFonts w:ascii="Arial Narrow" w:hAnsi="Arial Narrow"/>
                <w:sz w:val="20"/>
              </w:rPr>
              <w:t xml:space="preserve"> cases of pertussis</w:t>
            </w:r>
          </w:p>
        </w:tc>
        <w:tc>
          <w:tcPr>
            <w:tcW w:w="1275" w:type="dxa"/>
            <w:tcBorders>
              <w:bottom w:val="nil"/>
            </w:tcBorders>
          </w:tcPr>
          <w:p w:rsidR="00256A78" w:rsidRPr="00D01CC5" w:rsidRDefault="001C0CD4" w:rsidP="001C7B61">
            <w:pPr>
              <w:keepNext/>
              <w:widowControl/>
              <w:jc w:val="center"/>
              <w:rPr>
                <w:rFonts w:ascii="Arial Narrow" w:hAnsi="Arial Narrow"/>
                <w:sz w:val="20"/>
              </w:rPr>
            </w:pPr>
            <w:r w:rsidRPr="00EC1743">
              <w:rPr>
                <w:rStyle w:val="Small"/>
                <w:rFonts w:ascii="Arial Narrow" w:hAnsi="Arial Narrow"/>
              </w:rPr>
              <w:t>89</w:t>
            </w:r>
            <w:r w:rsidR="002412A3">
              <w:rPr>
                <w:rStyle w:val="Small"/>
                <w:rFonts w:ascii="Arial Narrow" w:hAnsi="Arial Narrow"/>
              </w:rPr>
              <w:t>%</w:t>
            </w:r>
            <w:r w:rsidRPr="00EC1743">
              <w:rPr>
                <w:rStyle w:val="Small"/>
                <w:rFonts w:ascii="Arial Narrow" w:hAnsi="Arial Narrow"/>
              </w:rPr>
              <w:t xml:space="preserve"> (19-99)</w:t>
            </w:r>
          </w:p>
        </w:tc>
      </w:tr>
      <w:tr w:rsidR="00256A78" w:rsidRPr="00D01CC5" w:rsidTr="00D706BC">
        <w:tc>
          <w:tcPr>
            <w:tcW w:w="2552" w:type="dxa"/>
            <w:vMerge/>
          </w:tcPr>
          <w:p w:rsidR="00256A78" w:rsidRPr="00D01CC5" w:rsidRDefault="00256A78" w:rsidP="001C7B61">
            <w:pPr>
              <w:widowControl/>
              <w:rPr>
                <w:rFonts w:ascii="Arial Narrow" w:hAnsi="Arial Narrow"/>
                <w:sz w:val="20"/>
              </w:rPr>
            </w:pPr>
          </w:p>
        </w:tc>
        <w:tc>
          <w:tcPr>
            <w:tcW w:w="2126" w:type="dxa"/>
            <w:vMerge/>
          </w:tcPr>
          <w:p w:rsidR="00256A78" w:rsidRPr="00D01CC5" w:rsidRDefault="00256A78" w:rsidP="001C7B61">
            <w:pPr>
              <w:widowControl/>
              <w:jc w:val="center"/>
              <w:rPr>
                <w:rFonts w:ascii="Arial Narrow" w:hAnsi="Arial Narrow"/>
                <w:sz w:val="20"/>
              </w:rPr>
            </w:pPr>
          </w:p>
        </w:tc>
        <w:tc>
          <w:tcPr>
            <w:tcW w:w="2410" w:type="dxa"/>
            <w:vMerge/>
          </w:tcPr>
          <w:p w:rsidR="00256A78" w:rsidRPr="00D01CC5" w:rsidRDefault="00256A78" w:rsidP="001C7B61">
            <w:pPr>
              <w:widowControl/>
              <w:jc w:val="center"/>
              <w:rPr>
                <w:rFonts w:ascii="Arial Narrow" w:hAnsi="Arial Narrow"/>
                <w:sz w:val="20"/>
              </w:rPr>
            </w:pPr>
          </w:p>
        </w:tc>
        <w:tc>
          <w:tcPr>
            <w:tcW w:w="1275" w:type="dxa"/>
            <w:tcBorders>
              <w:top w:val="nil"/>
            </w:tcBorders>
          </w:tcPr>
          <w:p w:rsidR="00334389" w:rsidRPr="002025F0" w:rsidRDefault="00256A78" w:rsidP="001C7B61">
            <w:pPr>
              <w:widowControl/>
              <w:jc w:val="center"/>
              <w:rPr>
                <w:rFonts w:ascii="Arial Narrow" w:hAnsi="Arial Narrow"/>
                <w:sz w:val="20"/>
                <w:vertAlign w:val="superscript"/>
              </w:rPr>
            </w:pPr>
            <w:r w:rsidRPr="003241B9">
              <w:rPr>
                <w:rFonts w:ascii="Arial Narrow" w:hAnsi="Arial Narrow"/>
                <w:sz w:val="20"/>
              </w:rPr>
              <w:t>92</w:t>
            </w:r>
            <w:r>
              <w:rPr>
                <w:rFonts w:ascii="Arial Narrow" w:hAnsi="Arial Narrow"/>
                <w:sz w:val="20"/>
              </w:rPr>
              <w:t xml:space="preserve">% </w:t>
            </w:r>
            <w:r w:rsidRPr="003241B9">
              <w:rPr>
                <w:rFonts w:ascii="Arial Narrow" w:hAnsi="Arial Narrow"/>
                <w:sz w:val="20"/>
              </w:rPr>
              <w:t>(32, 99)</w:t>
            </w:r>
            <w:r w:rsidRPr="00256A78">
              <w:rPr>
                <w:rFonts w:ascii="Arial Narrow" w:hAnsi="Arial Narrow"/>
                <w:sz w:val="20"/>
                <w:vertAlign w:val="superscript"/>
              </w:rPr>
              <w:t>b</w:t>
            </w:r>
          </w:p>
        </w:tc>
      </w:tr>
    </w:tbl>
    <w:p w:rsidR="002F5A1D" w:rsidRDefault="002F5A1D" w:rsidP="001C7B61">
      <w:pPr>
        <w:pStyle w:val="TableFooter"/>
        <w:widowControl/>
        <w:ind w:firstLine="709"/>
        <w:rPr>
          <w:szCs w:val="18"/>
        </w:rPr>
      </w:pPr>
      <w:r>
        <w:rPr>
          <w:szCs w:val="18"/>
        </w:rPr>
        <w:t>Source: Table B-24, p50 of the submission and publications</w:t>
      </w:r>
    </w:p>
    <w:p w:rsidR="002B3C9F" w:rsidRDefault="00833289" w:rsidP="001C7B61">
      <w:pPr>
        <w:pStyle w:val="TableFooter"/>
        <w:widowControl/>
        <w:ind w:left="709"/>
        <w:rPr>
          <w:szCs w:val="18"/>
        </w:rPr>
      </w:pPr>
      <w:r>
        <w:rPr>
          <w:rStyle w:val="CommentReference"/>
          <w:b w:val="0"/>
          <w:sz w:val="18"/>
          <w:szCs w:val="20"/>
        </w:rPr>
        <w:t>dTpa</w:t>
      </w:r>
      <w:r w:rsidRPr="00954E60">
        <w:rPr>
          <w:rStyle w:val="CommentReference"/>
          <w:b w:val="0"/>
          <w:sz w:val="18"/>
          <w:szCs w:val="20"/>
        </w:rPr>
        <w:t xml:space="preserve"> = </w:t>
      </w:r>
      <w:r w:rsidRPr="00F440E2">
        <w:rPr>
          <w:rStyle w:val="CommentReference"/>
          <w:b w:val="0"/>
          <w:sz w:val="18"/>
          <w:szCs w:val="20"/>
        </w:rPr>
        <w:t>diphtheria toxoid, tetanus toxoid and three purified antigens of Bordetella pertussis [pertussis toxoid (PT), pertussis filamentous haemagglutinin (FHA) and pertactin (PRN)</w:t>
      </w:r>
      <w:r w:rsidR="00994F90">
        <w:rPr>
          <w:rStyle w:val="CommentReference"/>
          <w:b w:val="0"/>
          <w:sz w:val="18"/>
          <w:szCs w:val="20"/>
        </w:rPr>
        <w:t>]</w:t>
      </w:r>
      <w:r>
        <w:rPr>
          <w:rStyle w:val="CommentReference"/>
          <w:b w:val="0"/>
          <w:sz w:val="18"/>
          <w:szCs w:val="20"/>
        </w:rPr>
        <w:t>;</w:t>
      </w:r>
      <w:r w:rsidRPr="00954E60">
        <w:rPr>
          <w:rStyle w:val="CommentReference"/>
          <w:b w:val="0"/>
          <w:sz w:val="18"/>
          <w:szCs w:val="20"/>
        </w:rPr>
        <w:t xml:space="preserve"> </w:t>
      </w:r>
      <w:r>
        <w:rPr>
          <w:rStyle w:val="CommentReference"/>
          <w:b w:val="0"/>
          <w:sz w:val="18"/>
          <w:szCs w:val="20"/>
        </w:rPr>
        <w:t xml:space="preserve">IPV = </w:t>
      </w:r>
      <w:r w:rsidRPr="008F0335">
        <w:rPr>
          <w:rStyle w:val="CommentReference"/>
          <w:b w:val="0"/>
          <w:sz w:val="18"/>
          <w:szCs w:val="20"/>
        </w:rPr>
        <w:t>inactivated poliovirus</w:t>
      </w:r>
      <w:r>
        <w:rPr>
          <w:rStyle w:val="CommentReference"/>
          <w:b w:val="0"/>
          <w:sz w:val="18"/>
          <w:szCs w:val="20"/>
        </w:rPr>
        <w:t xml:space="preserve">; </w:t>
      </w:r>
      <w:r w:rsidR="002B3C9F">
        <w:t xml:space="preserve">pa3v = three </w:t>
      </w:r>
      <w:r w:rsidR="002B3C9F" w:rsidRPr="009159D2">
        <w:t>component</w:t>
      </w:r>
      <w:r w:rsidR="002B3C9F">
        <w:t xml:space="preserve"> acellular pertussis</w:t>
      </w:r>
    </w:p>
    <w:p w:rsidR="00A11569" w:rsidRDefault="00256A78" w:rsidP="001C7B61">
      <w:pPr>
        <w:pStyle w:val="TableFooter"/>
        <w:widowControl/>
        <w:ind w:left="709"/>
        <w:rPr>
          <w:szCs w:val="18"/>
        </w:rPr>
      </w:pPr>
      <w:r w:rsidRPr="00256A78">
        <w:rPr>
          <w:szCs w:val="18"/>
          <w:vertAlign w:val="superscript"/>
        </w:rPr>
        <w:t>a</w:t>
      </w:r>
      <w:r w:rsidR="00A11569">
        <w:rPr>
          <w:szCs w:val="18"/>
        </w:rPr>
        <w:t xml:space="preserve"> </w:t>
      </w:r>
      <w:r w:rsidR="00646CCC">
        <w:rPr>
          <w:szCs w:val="18"/>
        </w:rPr>
        <w:t xml:space="preserve">analysis was </w:t>
      </w:r>
      <w:r w:rsidR="00A11569" w:rsidRPr="009642A9">
        <w:rPr>
          <w:szCs w:val="18"/>
        </w:rPr>
        <w:t>adjusted for sex, geographical region, and birth period</w:t>
      </w:r>
    </w:p>
    <w:p w:rsidR="00256A78" w:rsidRPr="003E7C26" w:rsidRDefault="00256A78" w:rsidP="001C7B61">
      <w:pPr>
        <w:pStyle w:val="TableFooter"/>
        <w:widowControl/>
        <w:ind w:left="709"/>
        <w:rPr>
          <w:szCs w:val="18"/>
        </w:rPr>
      </w:pPr>
      <w:r w:rsidRPr="00256A78">
        <w:rPr>
          <w:szCs w:val="18"/>
          <w:vertAlign w:val="superscript"/>
        </w:rPr>
        <w:t>b</w:t>
      </w:r>
      <w:r>
        <w:rPr>
          <w:szCs w:val="18"/>
        </w:rPr>
        <w:t xml:space="preserve"> </w:t>
      </w:r>
      <w:r w:rsidR="00646CCC">
        <w:rPr>
          <w:szCs w:val="18"/>
        </w:rPr>
        <w:t xml:space="preserve">analysis was </w:t>
      </w:r>
      <w:r>
        <w:rPr>
          <w:szCs w:val="18"/>
        </w:rPr>
        <w:t>adjusted for duration of illness</w:t>
      </w:r>
    </w:p>
    <w:p w:rsidR="00735688" w:rsidRDefault="00735688" w:rsidP="001C7B61">
      <w:pPr>
        <w:pStyle w:val="ListParagraph"/>
        <w:widowControl/>
        <w:rPr>
          <w:szCs w:val="22"/>
        </w:rPr>
      </w:pPr>
    </w:p>
    <w:p w:rsidR="009953A1" w:rsidRPr="00AB6640" w:rsidRDefault="00B46B9E" w:rsidP="001C7B61">
      <w:pPr>
        <w:pStyle w:val="ListParagraph"/>
        <w:widowControl/>
        <w:numPr>
          <w:ilvl w:val="1"/>
          <w:numId w:val="3"/>
        </w:numPr>
        <w:rPr>
          <w:szCs w:val="22"/>
        </w:rPr>
      </w:pPr>
      <w:r w:rsidRPr="00AB6640">
        <w:t xml:space="preserve">The </w:t>
      </w:r>
      <w:r w:rsidR="009368C9" w:rsidRPr="00AB6640">
        <w:t xml:space="preserve">VE </w:t>
      </w:r>
      <w:r w:rsidRPr="00AB6640">
        <w:t>estimate for infants less than 3 months from Amirthalingam 2014 (which used the screening method) was</w:t>
      </w:r>
      <w:r w:rsidR="000759C1" w:rsidRPr="00AB6640">
        <w:t xml:space="preserve"> 91% (95% CI: 84</w:t>
      </w:r>
      <w:r w:rsidRPr="00AB6640">
        <w:t>%, 95%)</w:t>
      </w:r>
      <w:r w:rsidR="009368C9" w:rsidRPr="00AB6640">
        <w:t xml:space="preserve"> </w:t>
      </w:r>
      <w:r w:rsidRPr="00AB6640">
        <w:t>when the mother is vaccinated at least 7 days before birth</w:t>
      </w:r>
      <w:r w:rsidR="009368C9" w:rsidRPr="00AB6640">
        <w:t xml:space="preserve">. </w:t>
      </w:r>
      <w:r w:rsidR="000558E6" w:rsidRPr="00AB6640">
        <w:rPr>
          <w:szCs w:val="22"/>
        </w:rPr>
        <w:t>Using t</w:t>
      </w:r>
      <w:r w:rsidR="00B50B10" w:rsidRPr="00AB6640">
        <w:rPr>
          <w:szCs w:val="22"/>
        </w:rPr>
        <w:t>he screening method</w:t>
      </w:r>
      <w:r w:rsidR="000558E6" w:rsidRPr="00AB6640">
        <w:rPr>
          <w:szCs w:val="22"/>
        </w:rPr>
        <w:t>, the VE estimate</w:t>
      </w:r>
      <w:r w:rsidR="00B50B10" w:rsidRPr="00AB6640">
        <w:rPr>
          <w:szCs w:val="22"/>
        </w:rPr>
        <w:t xml:space="preserve"> </w:t>
      </w:r>
      <w:r w:rsidR="009953A1" w:rsidRPr="00AB6640">
        <w:rPr>
          <w:szCs w:val="22"/>
        </w:rPr>
        <w:t xml:space="preserve">is sensitive to the estimated vaccination coverage. A sensitivity analysis was presented </w:t>
      </w:r>
      <w:r w:rsidR="00DA1110" w:rsidRPr="00AB6640">
        <w:rPr>
          <w:szCs w:val="22"/>
        </w:rPr>
        <w:t>in</w:t>
      </w:r>
      <w:r w:rsidR="009953A1" w:rsidRPr="00AB6640">
        <w:rPr>
          <w:szCs w:val="22"/>
        </w:rPr>
        <w:t xml:space="preserve"> Amirthalingam 2014 in which the </w:t>
      </w:r>
      <w:r w:rsidR="007275A4">
        <w:rPr>
          <w:szCs w:val="22"/>
        </w:rPr>
        <w:t xml:space="preserve">population vaccine </w:t>
      </w:r>
      <w:r w:rsidR="009953A1" w:rsidRPr="00AB6640">
        <w:rPr>
          <w:szCs w:val="22"/>
        </w:rPr>
        <w:t>coverage was reduced by 20%. The VE reduced to</w:t>
      </w:r>
      <w:r w:rsidR="009953A1" w:rsidRPr="00AB6640">
        <w:t xml:space="preserve"> </w:t>
      </w:r>
      <w:r w:rsidR="009953A1" w:rsidRPr="00AB6640">
        <w:rPr>
          <w:szCs w:val="22"/>
        </w:rPr>
        <w:t>82% (95% CI: 67%, 90%) and 84% (95% CI: 71%, 93%) in infants less than two</w:t>
      </w:r>
      <w:r w:rsidR="009368C9" w:rsidRPr="00AB6640">
        <w:rPr>
          <w:szCs w:val="22"/>
        </w:rPr>
        <w:t xml:space="preserve"> and three months respectively.</w:t>
      </w:r>
    </w:p>
    <w:p w:rsidR="009368C9" w:rsidRPr="00AB6640" w:rsidRDefault="009368C9" w:rsidP="001C7B61">
      <w:pPr>
        <w:pStyle w:val="ListParagraph"/>
        <w:widowControl/>
        <w:rPr>
          <w:szCs w:val="22"/>
        </w:rPr>
      </w:pPr>
    </w:p>
    <w:p w:rsidR="009368C9" w:rsidRPr="00AB6640" w:rsidRDefault="009368C9" w:rsidP="001C7B61">
      <w:pPr>
        <w:pStyle w:val="ListParagraph"/>
        <w:widowControl/>
        <w:numPr>
          <w:ilvl w:val="1"/>
          <w:numId w:val="3"/>
        </w:numPr>
        <w:rPr>
          <w:szCs w:val="22"/>
        </w:rPr>
      </w:pPr>
      <w:r w:rsidRPr="00AB6640">
        <w:t xml:space="preserve">The unadjusted VE estimate from Debrera 2015 using a </w:t>
      </w:r>
      <w:r w:rsidR="00B46B9E" w:rsidRPr="00AB6640">
        <w:t>case-control design was</w:t>
      </w:r>
      <w:r w:rsidRPr="00AB6640">
        <w:t xml:space="preserve"> 91% (95% CI: 77%, 97%), </w:t>
      </w:r>
      <w:r w:rsidR="00B46B9E" w:rsidRPr="00AB6640">
        <w:t>which wa</w:t>
      </w:r>
      <w:r w:rsidRPr="00AB6640">
        <w:t>s consistent with the est</w:t>
      </w:r>
      <w:r w:rsidR="00B46B9E" w:rsidRPr="00AB6640">
        <w:t>imate</w:t>
      </w:r>
      <w:r w:rsidRPr="00AB6640">
        <w:t xml:space="preserve"> from Amirthalingam 2014.</w:t>
      </w:r>
    </w:p>
    <w:p w:rsidR="006F3352" w:rsidRPr="00AB6640" w:rsidRDefault="006F3352" w:rsidP="001C7B61">
      <w:pPr>
        <w:pStyle w:val="ListParagraph"/>
        <w:widowControl/>
        <w:rPr>
          <w:szCs w:val="22"/>
        </w:rPr>
      </w:pPr>
    </w:p>
    <w:p w:rsidR="006F3352" w:rsidRPr="00AB6640" w:rsidRDefault="006F3352" w:rsidP="001C7B61">
      <w:pPr>
        <w:pStyle w:val="ListParagraph"/>
        <w:widowControl/>
        <w:numPr>
          <w:ilvl w:val="1"/>
          <w:numId w:val="3"/>
        </w:numPr>
        <w:rPr>
          <w:szCs w:val="22"/>
        </w:rPr>
      </w:pPr>
      <w:r w:rsidRPr="00AB6640">
        <w:rPr>
          <w:szCs w:val="22"/>
        </w:rPr>
        <w:t xml:space="preserve">The ESC noted that </w:t>
      </w:r>
      <w:r w:rsidR="00207DE0" w:rsidRPr="00AB6640">
        <w:rPr>
          <w:szCs w:val="22"/>
        </w:rPr>
        <w:t>“</w:t>
      </w:r>
      <w:r w:rsidRPr="00AB6640">
        <w:rPr>
          <w:szCs w:val="22"/>
        </w:rPr>
        <w:t xml:space="preserve">12 deaths have been reported in young babies with confirmed pertussis who were born after the introduction of </w:t>
      </w:r>
      <w:r w:rsidR="00207DE0" w:rsidRPr="00AB6640">
        <w:rPr>
          <w:szCs w:val="22"/>
        </w:rPr>
        <w:t>[</w:t>
      </w:r>
      <w:r w:rsidRPr="00AB6640">
        <w:rPr>
          <w:szCs w:val="22"/>
        </w:rPr>
        <w:t>pertussis vaccination in</w:t>
      </w:r>
      <w:r w:rsidR="00EB735A" w:rsidRPr="00AB6640">
        <w:rPr>
          <w:szCs w:val="22"/>
        </w:rPr>
        <w:t>]</w:t>
      </w:r>
      <w:r w:rsidRPr="00AB6640">
        <w:rPr>
          <w:szCs w:val="22"/>
        </w:rPr>
        <w:t xml:space="preserve"> pregnancy</w:t>
      </w:r>
      <w:r w:rsidR="00EB735A" w:rsidRPr="00AB6640">
        <w:rPr>
          <w:szCs w:val="22"/>
        </w:rPr>
        <w:t xml:space="preserve"> programme</w:t>
      </w:r>
      <w:r w:rsidRPr="00AB6640">
        <w:rPr>
          <w:szCs w:val="22"/>
        </w:rPr>
        <w:t xml:space="preserve"> </w:t>
      </w:r>
      <w:r w:rsidR="00EB735A" w:rsidRPr="00AB6640">
        <w:rPr>
          <w:szCs w:val="22"/>
        </w:rPr>
        <w:t>[</w:t>
      </w:r>
      <w:r w:rsidRPr="00AB6640">
        <w:rPr>
          <w:szCs w:val="22"/>
        </w:rPr>
        <w:t>in the UK</w:t>
      </w:r>
      <w:r w:rsidR="00EB735A" w:rsidRPr="00AB6640">
        <w:rPr>
          <w:szCs w:val="22"/>
        </w:rPr>
        <w:t>]</w:t>
      </w:r>
      <w:r w:rsidRPr="00AB6640">
        <w:rPr>
          <w:szCs w:val="22"/>
        </w:rPr>
        <w:t xml:space="preserve"> on 1 October 2012, as at en</w:t>
      </w:r>
      <w:r w:rsidR="00207DE0" w:rsidRPr="00AB6640">
        <w:rPr>
          <w:szCs w:val="22"/>
        </w:rPr>
        <w:t>d June 2015. Eleven of these 12 </w:t>
      </w:r>
      <w:r w:rsidRPr="00AB6640">
        <w:rPr>
          <w:szCs w:val="22"/>
        </w:rPr>
        <w:t>babies were born to mothers who had not been vaccinated against pertussis, all of the 12 babies were too young to be fully protected by vaccination themselves and only one had received their first dose of pertussis-containing vaccine.</w:t>
      </w:r>
      <w:r w:rsidR="00207DE0" w:rsidRPr="00AB6640">
        <w:rPr>
          <w:szCs w:val="22"/>
        </w:rPr>
        <w:t>”</w:t>
      </w:r>
      <w:r w:rsidR="00207DE0" w:rsidRPr="00AB6640">
        <w:rPr>
          <w:rStyle w:val="FootnoteReference"/>
          <w:szCs w:val="22"/>
        </w:rPr>
        <w:footnoteReference w:id="2"/>
      </w:r>
      <w:r w:rsidR="00207DE0" w:rsidRPr="00AB6640">
        <w:rPr>
          <w:szCs w:val="22"/>
        </w:rPr>
        <w:t xml:space="preserve"> </w:t>
      </w:r>
      <w:r w:rsidR="00BE2851" w:rsidRPr="00AB6640">
        <w:rPr>
          <w:szCs w:val="22"/>
        </w:rPr>
        <w:t xml:space="preserve">Maternal coverage during this period was approximately </w:t>
      </w:r>
      <w:r w:rsidR="007D007B" w:rsidRPr="00AB6640">
        <w:rPr>
          <w:szCs w:val="22"/>
        </w:rPr>
        <w:t>50-</w:t>
      </w:r>
      <w:r w:rsidR="00BE2851" w:rsidRPr="00AB6640">
        <w:rPr>
          <w:szCs w:val="22"/>
        </w:rPr>
        <w:t xml:space="preserve">60%. </w:t>
      </w:r>
      <w:r w:rsidR="00207DE0" w:rsidRPr="00AB6640">
        <w:rPr>
          <w:szCs w:val="22"/>
        </w:rPr>
        <w:t xml:space="preserve">Accordingly, the ESC considered that it was likely that </w:t>
      </w:r>
      <w:r w:rsidR="00164E64" w:rsidRPr="00AB6640">
        <w:rPr>
          <w:szCs w:val="22"/>
        </w:rPr>
        <w:t>pertussis vaccination in pregnancy has prevented some deaths in infants in the UK.</w:t>
      </w:r>
    </w:p>
    <w:p w:rsidR="009953A1" w:rsidRPr="00AB6640" w:rsidRDefault="009953A1" w:rsidP="001C7B61">
      <w:pPr>
        <w:pStyle w:val="ListParagraph"/>
        <w:widowControl/>
        <w:rPr>
          <w:szCs w:val="22"/>
        </w:rPr>
      </w:pPr>
    </w:p>
    <w:p w:rsidR="003876C4" w:rsidRPr="00AB6640" w:rsidRDefault="009953A1" w:rsidP="001C7B61">
      <w:pPr>
        <w:pStyle w:val="ListParagraph"/>
        <w:widowControl/>
        <w:numPr>
          <w:ilvl w:val="1"/>
          <w:numId w:val="3"/>
        </w:numPr>
        <w:rPr>
          <w:szCs w:val="22"/>
        </w:rPr>
      </w:pPr>
      <w:r w:rsidRPr="00AB6640">
        <w:rPr>
          <w:szCs w:val="22"/>
        </w:rPr>
        <w:t xml:space="preserve">The number of pertussis events in the APERT trial was low and hence the 95% CI for the </w:t>
      </w:r>
      <w:r w:rsidR="00E849DF" w:rsidRPr="00AB6640">
        <w:rPr>
          <w:szCs w:val="22"/>
        </w:rPr>
        <w:t xml:space="preserve">estimate of </w:t>
      </w:r>
      <w:r w:rsidRPr="00AB6640">
        <w:rPr>
          <w:szCs w:val="22"/>
        </w:rPr>
        <w:t>VE is wide (32% to 99% for the adjusted analysis and 19</w:t>
      </w:r>
      <w:r w:rsidR="00712B38" w:rsidRPr="00AB6640">
        <w:rPr>
          <w:szCs w:val="22"/>
        </w:rPr>
        <w:t>%</w:t>
      </w:r>
      <w:r w:rsidRPr="00AB6640">
        <w:rPr>
          <w:szCs w:val="22"/>
        </w:rPr>
        <w:t xml:space="preserve"> to 99% for the unadjusted analysis).</w:t>
      </w:r>
      <w:r w:rsidR="002F5E39" w:rsidRPr="00AB6640">
        <w:rPr>
          <w:szCs w:val="22"/>
        </w:rPr>
        <w:t xml:space="preserve"> The applicability of the results from APERT, which was conducted in the general population, to pregnant women is unknown.</w:t>
      </w:r>
      <w:r w:rsidR="00460A98" w:rsidRPr="00AB6640">
        <w:rPr>
          <w:szCs w:val="22"/>
        </w:rPr>
        <w:t xml:space="preserve"> The ATAGI post-submission advice</w:t>
      </w:r>
      <w:r w:rsidR="0011370B" w:rsidRPr="00AB6640">
        <w:rPr>
          <w:szCs w:val="22"/>
        </w:rPr>
        <w:t xml:space="preserve"> </w:t>
      </w:r>
      <w:r w:rsidR="009D4F4A">
        <w:rPr>
          <w:szCs w:val="22"/>
        </w:rPr>
        <w:t>s</w:t>
      </w:r>
      <w:r w:rsidR="00460A98" w:rsidRPr="00AB6640">
        <w:rPr>
          <w:szCs w:val="22"/>
        </w:rPr>
        <w:t xml:space="preserve">tated that it </w:t>
      </w:r>
      <w:r w:rsidR="002D4701">
        <w:rPr>
          <w:szCs w:val="22"/>
        </w:rPr>
        <w:t>wa</w:t>
      </w:r>
      <w:r w:rsidR="00460A98" w:rsidRPr="00AB6640">
        <w:rPr>
          <w:szCs w:val="22"/>
        </w:rPr>
        <w:t>s reasonable to assume that vaccine efficacy in pregnant women wi</w:t>
      </w:r>
      <w:r w:rsidR="00E849DF" w:rsidRPr="00AB6640">
        <w:rPr>
          <w:szCs w:val="22"/>
        </w:rPr>
        <w:t>ll be equivalent to that in non</w:t>
      </w:r>
      <w:r w:rsidR="00E849DF" w:rsidRPr="00AB6640">
        <w:rPr>
          <w:szCs w:val="22"/>
        </w:rPr>
        <w:noBreakHyphen/>
      </w:r>
      <w:r w:rsidR="00460A98" w:rsidRPr="00AB6640">
        <w:rPr>
          <w:szCs w:val="22"/>
        </w:rPr>
        <w:t>pregnant women on the basis of a comparison of immunogenicity data. The ATAGI advice provided a comparison of vaccine efficacy of influenza vaccine among pregnant women compared with that of healthy adults, concluding that vaccine efficacy is comparable in the two groups and suggested that in the absence of evidence to the contrary, it is reasonable to assume the same for the pertussis vaccine.</w:t>
      </w:r>
    </w:p>
    <w:p w:rsidR="00B50B10" w:rsidRPr="00AB6640" w:rsidRDefault="00B50B10" w:rsidP="001C7B61">
      <w:pPr>
        <w:pStyle w:val="ListParagraph"/>
        <w:widowControl/>
        <w:rPr>
          <w:szCs w:val="22"/>
        </w:rPr>
      </w:pPr>
    </w:p>
    <w:p w:rsidR="00F91BF7" w:rsidRPr="00AB6640" w:rsidRDefault="00F91BF7" w:rsidP="001C7B61">
      <w:pPr>
        <w:pStyle w:val="ListParagraph"/>
        <w:widowControl/>
        <w:numPr>
          <w:ilvl w:val="1"/>
          <w:numId w:val="3"/>
        </w:numPr>
        <w:rPr>
          <w:szCs w:val="22"/>
        </w:rPr>
      </w:pPr>
      <w:r w:rsidRPr="00AB6640">
        <w:rPr>
          <w:szCs w:val="22"/>
        </w:rPr>
        <w:t>The immunogenicity RCT</w:t>
      </w:r>
      <w:r w:rsidR="001E7113" w:rsidRPr="00AB6640">
        <w:rPr>
          <w:szCs w:val="22"/>
        </w:rPr>
        <w:t>s</w:t>
      </w:r>
      <w:r w:rsidRPr="00AB6640">
        <w:rPr>
          <w:szCs w:val="22"/>
        </w:rPr>
        <w:t xml:space="preserve"> (</w:t>
      </w:r>
      <w:r w:rsidRPr="00AB6640">
        <w:t xml:space="preserve">Munoz 2014, Hoang 2016) </w:t>
      </w:r>
      <w:r w:rsidRPr="00AB6640">
        <w:rPr>
          <w:szCs w:val="22"/>
        </w:rPr>
        <w:t>and cohort control</w:t>
      </w:r>
      <w:r w:rsidR="001E7113" w:rsidRPr="00AB6640">
        <w:rPr>
          <w:szCs w:val="22"/>
        </w:rPr>
        <w:t>led</w:t>
      </w:r>
      <w:r w:rsidRPr="00AB6640">
        <w:rPr>
          <w:szCs w:val="22"/>
        </w:rPr>
        <w:t xml:space="preserve"> study (</w:t>
      </w:r>
      <w:r w:rsidRPr="00AB6640">
        <w:t xml:space="preserve">Maertens 2016) </w:t>
      </w:r>
      <w:r w:rsidRPr="00AB6640">
        <w:rPr>
          <w:szCs w:val="22"/>
        </w:rPr>
        <w:t>demonstrate that maternal vaccination with dTpa induces</w:t>
      </w:r>
      <w:r w:rsidR="001E7113" w:rsidRPr="00AB6640">
        <w:rPr>
          <w:szCs w:val="22"/>
        </w:rPr>
        <w:t xml:space="preserve"> an</w:t>
      </w:r>
      <w:r w:rsidRPr="00AB6640">
        <w:rPr>
          <w:szCs w:val="22"/>
        </w:rPr>
        <w:t xml:space="preserve"> immune response to pertussis antigens, among both mothers and their infants. The </w:t>
      </w:r>
      <w:r w:rsidR="00712B38" w:rsidRPr="00AB6640">
        <w:rPr>
          <w:szCs w:val="22"/>
        </w:rPr>
        <w:t xml:space="preserve">submission </w:t>
      </w:r>
      <w:r w:rsidRPr="00AB6640">
        <w:rPr>
          <w:szCs w:val="22"/>
        </w:rPr>
        <w:t>acknowledged the absence of established immunological correlates of protection against pertussis disease. The evidence further suggests potential interference of maternal pertussis vaccination with the infant immune response to pertussis vaccination, namely ‘blunting’</w:t>
      </w:r>
      <w:r w:rsidR="008E2749" w:rsidRPr="00AB6640">
        <w:rPr>
          <w:szCs w:val="22"/>
        </w:rPr>
        <w:t>.</w:t>
      </w:r>
      <w:r w:rsidRPr="00AB6640">
        <w:rPr>
          <w:szCs w:val="22"/>
        </w:rPr>
        <w:t xml:space="preserve"> </w:t>
      </w:r>
      <w:r w:rsidR="00E14E9A" w:rsidRPr="00AB6640">
        <w:rPr>
          <w:szCs w:val="22"/>
        </w:rPr>
        <w:t xml:space="preserve">ATAGI considers </w:t>
      </w:r>
      <w:r w:rsidRPr="00AB6640">
        <w:rPr>
          <w:szCs w:val="22"/>
        </w:rPr>
        <w:t>the clinical importance of this is uncertain</w:t>
      </w:r>
      <w:r w:rsidR="00384D6A" w:rsidRPr="00AB6640">
        <w:rPr>
          <w:szCs w:val="22"/>
        </w:rPr>
        <w:t xml:space="preserve"> and</w:t>
      </w:r>
      <w:r w:rsidR="008E2749" w:rsidRPr="00AB6640">
        <w:rPr>
          <w:szCs w:val="22"/>
        </w:rPr>
        <w:t xml:space="preserve"> </w:t>
      </w:r>
      <w:r w:rsidR="00CA7F1D" w:rsidRPr="00AB6640">
        <w:rPr>
          <w:szCs w:val="22"/>
        </w:rPr>
        <w:t>notes</w:t>
      </w:r>
      <w:r w:rsidR="008E2749" w:rsidRPr="00AB6640">
        <w:rPr>
          <w:szCs w:val="22"/>
        </w:rPr>
        <w:t xml:space="preserve"> that</w:t>
      </w:r>
      <w:r w:rsidRPr="00AB6640">
        <w:rPr>
          <w:szCs w:val="22"/>
        </w:rPr>
        <w:t xml:space="preserve"> the recently introduced 18</w:t>
      </w:r>
      <w:r w:rsidR="00087140">
        <w:rPr>
          <w:szCs w:val="22"/>
        </w:rPr>
        <w:t>-</w:t>
      </w:r>
      <w:r w:rsidRPr="00AB6640">
        <w:rPr>
          <w:szCs w:val="22"/>
        </w:rPr>
        <w:t>month DTPa booster dose in infant</w:t>
      </w:r>
      <w:r w:rsidR="00087140">
        <w:rPr>
          <w:szCs w:val="22"/>
        </w:rPr>
        <w:t>s</w:t>
      </w:r>
      <w:r w:rsidRPr="00AB6640">
        <w:rPr>
          <w:szCs w:val="22"/>
        </w:rPr>
        <w:t xml:space="preserve"> may reduce </w:t>
      </w:r>
      <w:r w:rsidR="00EA1017">
        <w:rPr>
          <w:szCs w:val="22"/>
        </w:rPr>
        <w:t>any</w:t>
      </w:r>
      <w:r w:rsidR="00EA1017" w:rsidRPr="00AB6640">
        <w:rPr>
          <w:szCs w:val="22"/>
        </w:rPr>
        <w:t xml:space="preserve"> </w:t>
      </w:r>
      <w:r w:rsidR="00EA1017">
        <w:rPr>
          <w:szCs w:val="22"/>
        </w:rPr>
        <w:t>impact</w:t>
      </w:r>
      <w:r w:rsidR="00EA1017" w:rsidRPr="00AB6640">
        <w:rPr>
          <w:szCs w:val="22"/>
        </w:rPr>
        <w:t xml:space="preserve"> </w:t>
      </w:r>
      <w:r w:rsidRPr="00AB6640">
        <w:rPr>
          <w:szCs w:val="22"/>
        </w:rPr>
        <w:t>of ‘blunting’</w:t>
      </w:r>
      <w:r w:rsidR="00CD0ED6" w:rsidRPr="00AB6640">
        <w:rPr>
          <w:szCs w:val="22"/>
        </w:rPr>
        <w:t xml:space="preserve"> (ATAGI </w:t>
      </w:r>
      <w:r w:rsidR="00AE376F" w:rsidRPr="00AB6640">
        <w:rPr>
          <w:szCs w:val="22"/>
        </w:rPr>
        <w:t xml:space="preserve">pre-submission </w:t>
      </w:r>
      <w:r w:rsidR="00CD0ED6" w:rsidRPr="00AB6640">
        <w:rPr>
          <w:szCs w:val="22"/>
        </w:rPr>
        <w:t>advice p12)</w:t>
      </w:r>
      <w:r w:rsidRPr="00AB6640">
        <w:rPr>
          <w:szCs w:val="22"/>
        </w:rPr>
        <w:t>.</w:t>
      </w:r>
      <w:r w:rsidR="005D6FA0" w:rsidRPr="00AB6640" w:rsidDel="005D6FA0">
        <w:rPr>
          <w:szCs w:val="22"/>
        </w:rPr>
        <w:t xml:space="preserve"> </w:t>
      </w:r>
    </w:p>
    <w:p w:rsidR="00A11569" w:rsidRPr="00AB6640" w:rsidRDefault="00A11569" w:rsidP="001C7B61">
      <w:pPr>
        <w:pStyle w:val="ListParagraph"/>
        <w:widowControl/>
        <w:rPr>
          <w:rStyle w:val="CommentReference"/>
        </w:rPr>
      </w:pPr>
    </w:p>
    <w:p w:rsidR="00B60939" w:rsidRPr="00AB6640" w:rsidRDefault="00B60939" w:rsidP="00232F1B">
      <w:pPr>
        <w:pStyle w:val="Heading2"/>
      </w:pPr>
      <w:bookmarkStart w:id="12" w:name="_Toc450288339"/>
      <w:r w:rsidRPr="00AB6640">
        <w:t>Comparative harms</w:t>
      </w:r>
      <w:bookmarkEnd w:id="12"/>
    </w:p>
    <w:p w:rsidR="000F1505" w:rsidRPr="00AB6640" w:rsidRDefault="000F1505" w:rsidP="001C7B61">
      <w:pPr>
        <w:widowControl/>
      </w:pPr>
    </w:p>
    <w:p w:rsidR="00B60939" w:rsidRPr="00AB6640" w:rsidRDefault="00161A62" w:rsidP="001C7B61">
      <w:pPr>
        <w:pStyle w:val="ListParagraph"/>
        <w:widowControl/>
        <w:numPr>
          <w:ilvl w:val="1"/>
          <w:numId w:val="3"/>
        </w:numPr>
        <w:rPr>
          <w:szCs w:val="22"/>
        </w:rPr>
      </w:pPr>
      <w:r w:rsidRPr="00AB6640">
        <w:rPr>
          <w:szCs w:val="22"/>
        </w:rPr>
        <w:t xml:space="preserve">Three immunogenicity </w:t>
      </w:r>
      <w:r w:rsidR="00B001A8" w:rsidRPr="00AB6640">
        <w:rPr>
          <w:szCs w:val="22"/>
        </w:rPr>
        <w:t>trials</w:t>
      </w:r>
      <w:r w:rsidRPr="00AB6640">
        <w:rPr>
          <w:szCs w:val="22"/>
        </w:rPr>
        <w:t xml:space="preserve"> and seven non-randomised studies provided safety data for maternal dTpa vaccination. </w:t>
      </w:r>
      <w:r w:rsidR="00524096" w:rsidRPr="00AB6640">
        <w:rPr>
          <w:szCs w:val="22"/>
        </w:rPr>
        <w:t>L</w:t>
      </w:r>
      <w:r w:rsidR="000F1505" w:rsidRPr="00AB6640">
        <w:rPr>
          <w:szCs w:val="22"/>
        </w:rPr>
        <w:t>ocal reactions are the most commonly reported adverse events in dTpa vaccinated pregnant women</w:t>
      </w:r>
      <w:r w:rsidR="00537D14" w:rsidRPr="00AB6640">
        <w:rPr>
          <w:szCs w:val="22"/>
        </w:rPr>
        <w:t xml:space="preserve"> </w:t>
      </w:r>
      <w:r w:rsidR="004E0C83" w:rsidRPr="00AB6640">
        <w:rPr>
          <w:szCs w:val="22"/>
        </w:rPr>
        <w:t>and</w:t>
      </w:r>
      <w:r w:rsidR="00537D14" w:rsidRPr="00AB6640">
        <w:rPr>
          <w:szCs w:val="22"/>
        </w:rPr>
        <w:t xml:space="preserve"> pain is the most</w:t>
      </w:r>
      <w:r w:rsidR="00087140">
        <w:rPr>
          <w:szCs w:val="22"/>
        </w:rPr>
        <w:t xml:space="preserve"> commonly</w:t>
      </w:r>
      <w:r w:rsidR="00537D14" w:rsidRPr="00AB6640">
        <w:rPr>
          <w:szCs w:val="22"/>
        </w:rPr>
        <w:t xml:space="preserve"> reported local reaction</w:t>
      </w:r>
      <w:r w:rsidR="000F1505" w:rsidRPr="00AB6640">
        <w:rPr>
          <w:szCs w:val="22"/>
        </w:rPr>
        <w:t xml:space="preserve">. dTpa vaccination during pregnancy </w:t>
      </w:r>
      <w:r w:rsidR="00D91DB1">
        <w:t>has not been</w:t>
      </w:r>
      <w:r w:rsidR="00D91DB1" w:rsidRPr="00AB6640" w:rsidDel="00D91DB1">
        <w:rPr>
          <w:szCs w:val="22"/>
        </w:rPr>
        <w:t xml:space="preserve"> </w:t>
      </w:r>
      <w:r w:rsidR="000F1505" w:rsidRPr="00AB6640">
        <w:rPr>
          <w:szCs w:val="22"/>
        </w:rPr>
        <w:t xml:space="preserve">associated with </w:t>
      </w:r>
      <w:r w:rsidR="001E7113" w:rsidRPr="00AB6640">
        <w:rPr>
          <w:szCs w:val="22"/>
        </w:rPr>
        <w:t xml:space="preserve">an increased </w:t>
      </w:r>
      <w:r w:rsidR="000F1505" w:rsidRPr="00AB6640">
        <w:rPr>
          <w:szCs w:val="22"/>
        </w:rPr>
        <w:t xml:space="preserve">risk of maternal </w:t>
      </w:r>
      <w:r w:rsidR="001E7113" w:rsidRPr="00AB6640">
        <w:rPr>
          <w:szCs w:val="22"/>
        </w:rPr>
        <w:t>or</w:t>
      </w:r>
      <w:r w:rsidR="000F1505" w:rsidRPr="00AB6640">
        <w:rPr>
          <w:szCs w:val="22"/>
        </w:rPr>
        <w:t xml:space="preserve"> infant events, such as still birth, maternal or neonatal death, preterm delivery, pre-eclampsia, post-partum haemorrhage or low birth weight.</w:t>
      </w:r>
      <w:r w:rsidR="00424034" w:rsidRPr="00AB6640">
        <w:rPr>
          <w:szCs w:val="22"/>
        </w:rPr>
        <w:t xml:space="preserve"> </w:t>
      </w:r>
    </w:p>
    <w:p w:rsidR="00C91D48" w:rsidRPr="00AB6640" w:rsidRDefault="00C91D48" w:rsidP="001C7B61">
      <w:pPr>
        <w:pStyle w:val="ListParagraph"/>
        <w:widowControl/>
        <w:rPr>
          <w:szCs w:val="22"/>
        </w:rPr>
      </w:pPr>
    </w:p>
    <w:p w:rsidR="007F1017" w:rsidRPr="00AB6640" w:rsidRDefault="007F1017" w:rsidP="00232F1B">
      <w:pPr>
        <w:pStyle w:val="Heading2"/>
      </w:pPr>
      <w:bookmarkStart w:id="13" w:name="_Toc450288340"/>
      <w:r w:rsidRPr="00AB6640">
        <w:t>Benefits/harms</w:t>
      </w:r>
      <w:bookmarkEnd w:id="13"/>
    </w:p>
    <w:p w:rsidR="000E412D" w:rsidRPr="00AB6640" w:rsidRDefault="000E412D" w:rsidP="001C7B61">
      <w:pPr>
        <w:pStyle w:val="ListParagraph"/>
        <w:keepNext/>
        <w:widowControl/>
        <w:rPr>
          <w:szCs w:val="22"/>
        </w:rPr>
      </w:pPr>
    </w:p>
    <w:p w:rsidR="000E412D" w:rsidRPr="00AB6640" w:rsidRDefault="00CE763A" w:rsidP="001C7B61">
      <w:pPr>
        <w:pStyle w:val="ListParagraph"/>
        <w:widowControl/>
        <w:numPr>
          <w:ilvl w:val="1"/>
          <w:numId w:val="3"/>
        </w:numPr>
      </w:pPr>
      <w:r w:rsidRPr="00AB6640">
        <w:rPr>
          <w:szCs w:val="22"/>
        </w:rPr>
        <w:t>A summary of the comparative benefits and harms for maternal dTpa vaccination versus no maternal vaccination is presented in the</w:t>
      </w:r>
      <w:r w:rsidR="0011370B" w:rsidRPr="00AB6640">
        <w:rPr>
          <w:szCs w:val="22"/>
        </w:rPr>
        <w:t xml:space="preserve"> following</w:t>
      </w:r>
      <w:r w:rsidRPr="00AB6640">
        <w:rPr>
          <w:szCs w:val="22"/>
        </w:rPr>
        <w:t xml:space="preserve"> table.</w:t>
      </w:r>
      <w:r w:rsidRPr="00AB6640">
        <w:t xml:space="preserve"> </w:t>
      </w:r>
    </w:p>
    <w:p w:rsidR="00A84113" w:rsidRPr="00AB6640" w:rsidRDefault="00A84113" w:rsidP="001C7B61">
      <w:pPr>
        <w:pStyle w:val="ListParagraph"/>
        <w:widowControl/>
      </w:pPr>
    </w:p>
    <w:p w:rsidR="000E412D" w:rsidRDefault="00A13FD2" w:rsidP="001C7B61">
      <w:pPr>
        <w:keepNext/>
        <w:widowControl/>
        <w:ind w:left="709"/>
        <w:rPr>
          <w:rStyle w:val="CommentReference"/>
        </w:rPr>
      </w:pPr>
      <w:r>
        <w:rPr>
          <w:rStyle w:val="CommentReference"/>
        </w:rPr>
        <w:t xml:space="preserve">Table </w:t>
      </w:r>
      <w:r w:rsidR="00AB0B6E">
        <w:rPr>
          <w:rStyle w:val="CommentReference"/>
        </w:rPr>
        <w:t>4</w:t>
      </w:r>
      <w:r w:rsidR="000E412D" w:rsidRPr="00A578DC">
        <w:rPr>
          <w:rStyle w:val="CommentReference"/>
        </w:rPr>
        <w:t xml:space="preserve">: Summary of comparative benefits and harms for </w:t>
      </w:r>
      <w:r w:rsidR="000E412D">
        <w:rPr>
          <w:rStyle w:val="CommentReference"/>
        </w:rPr>
        <w:t>maternal dTpa vaccination and no vaccination (based on the non-randomised evidence)</w:t>
      </w:r>
    </w:p>
    <w:tbl>
      <w:tblPr>
        <w:tblStyle w:val="TableGridbeth1"/>
        <w:tblW w:w="4626" w:type="pct"/>
        <w:tblInd w:w="698" w:type="dxa"/>
        <w:tblLayout w:type="fixed"/>
        <w:tblCellMar>
          <w:left w:w="28" w:type="dxa"/>
          <w:right w:w="28" w:type="dxa"/>
        </w:tblCellMar>
        <w:tblLook w:val="04A0" w:firstRow="1" w:lastRow="0" w:firstColumn="1" w:lastColumn="0" w:noHBand="0" w:noVBand="1"/>
        <w:tblCaption w:val="Table 4: Summary of comparative benefits and harms for maternal dTpa vaccination and no vaccination (based on the non-randomised evidence)"/>
      </w:tblPr>
      <w:tblGrid>
        <w:gridCol w:w="2449"/>
        <w:gridCol w:w="2978"/>
        <w:gridCol w:w="2976"/>
      </w:tblGrid>
      <w:tr w:rsidR="000874E0" w:rsidRPr="00E2771E" w:rsidTr="00E0257A">
        <w:trPr>
          <w:tblHeader/>
        </w:trPr>
        <w:tc>
          <w:tcPr>
            <w:tcW w:w="5000" w:type="pct"/>
            <w:gridSpan w:val="3"/>
            <w:shd w:val="clear" w:color="auto" w:fill="auto"/>
            <w:vAlign w:val="center"/>
          </w:tcPr>
          <w:p w:rsidR="000874E0" w:rsidRPr="00E2771E" w:rsidRDefault="000874E0" w:rsidP="001C7B61">
            <w:pPr>
              <w:keepNext/>
              <w:widowControl/>
              <w:rPr>
                <w:rFonts w:ascii="Arial Narrow" w:hAnsi="Arial Narrow"/>
                <w:b/>
                <w:color w:val="000000"/>
                <w:sz w:val="20"/>
                <w:szCs w:val="18"/>
              </w:rPr>
            </w:pPr>
            <w:r w:rsidRPr="00E2771E">
              <w:rPr>
                <w:rFonts w:ascii="Arial Narrow" w:hAnsi="Arial Narrow"/>
                <w:b/>
                <w:color w:val="000000"/>
                <w:sz w:val="20"/>
                <w:szCs w:val="18"/>
              </w:rPr>
              <w:t>Benefits</w:t>
            </w:r>
          </w:p>
        </w:tc>
      </w:tr>
      <w:tr w:rsidR="000874E0" w:rsidRPr="00E2771E" w:rsidTr="001C6B3B">
        <w:tc>
          <w:tcPr>
            <w:tcW w:w="5000" w:type="pct"/>
            <w:gridSpan w:val="3"/>
            <w:tcBorders>
              <w:top w:val="double" w:sz="4" w:space="0" w:color="auto"/>
              <w:bottom w:val="single" w:sz="4" w:space="0" w:color="auto"/>
            </w:tcBorders>
            <w:shd w:val="clear" w:color="auto" w:fill="auto"/>
            <w:vAlign w:val="center"/>
          </w:tcPr>
          <w:p w:rsidR="000874E0" w:rsidRPr="00E2771E" w:rsidRDefault="000874E0" w:rsidP="001C7B61">
            <w:pPr>
              <w:keepNext/>
              <w:widowControl/>
              <w:rPr>
                <w:rFonts w:ascii="Arial Narrow" w:hAnsi="Arial Narrow"/>
                <w:b/>
                <w:color w:val="000000"/>
                <w:sz w:val="20"/>
                <w:szCs w:val="18"/>
              </w:rPr>
            </w:pPr>
            <w:r>
              <w:rPr>
                <w:rFonts w:ascii="Arial Narrow" w:hAnsi="Arial Narrow"/>
                <w:b/>
                <w:color w:val="000000"/>
                <w:sz w:val="20"/>
                <w:szCs w:val="18"/>
              </w:rPr>
              <w:t xml:space="preserve">Vaccine effectiveness (VE) </w:t>
            </w:r>
            <w:r w:rsidRPr="00925641">
              <w:rPr>
                <w:rFonts w:ascii="Arial Narrow" w:hAnsi="Arial Narrow"/>
                <w:b/>
                <w:color w:val="000000"/>
                <w:sz w:val="20"/>
                <w:szCs w:val="18"/>
              </w:rPr>
              <w:t>% (95% CI)</w:t>
            </w:r>
          </w:p>
        </w:tc>
      </w:tr>
      <w:tr w:rsidR="000874E0" w:rsidRPr="00E2771E" w:rsidTr="000874E0">
        <w:trPr>
          <w:trHeight w:val="316"/>
        </w:trPr>
        <w:tc>
          <w:tcPr>
            <w:tcW w:w="1457" w:type="pct"/>
            <w:tcBorders>
              <w:top w:val="single" w:sz="4" w:space="0" w:color="auto"/>
            </w:tcBorders>
            <w:shd w:val="clear" w:color="auto" w:fill="auto"/>
            <w:vAlign w:val="center"/>
          </w:tcPr>
          <w:p w:rsidR="000874E0" w:rsidRPr="00B932ED" w:rsidRDefault="000874E0" w:rsidP="001C7B61">
            <w:pPr>
              <w:keepNext/>
              <w:widowControl/>
              <w:rPr>
                <w:rFonts w:ascii="Arial Narrow" w:hAnsi="Arial Narrow"/>
                <w:color w:val="000000"/>
                <w:sz w:val="20"/>
                <w:szCs w:val="18"/>
              </w:rPr>
            </w:pPr>
          </w:p>
        </w:tc>
        <w:tc>
          <w:tcPr>
            <w:tcW w:w="1772" w:type="pct"/>
            <w:tcBorders>
              <w:top w:val="single" w:sz="4" w:space="0" w:color="auto"/>
            </w:tcBorders>
            <w:shd w:val="clear" w:color="auto" w:fill="auto"/>
            <w:vAlign w:val="center"/>
          </w:tcPr>
          <w:p w:rsidR="000874E0" w:rsidRPr="00807E29" w:rsidRDefault="000874E0" w:rsidP="001C7B61">
            <w:pPr>
              <w:keepNext/>
              <w:widowControl/>
              <w:jc w:val="center"/>
              <w:rPr>
                <w:rFonts w:ascii="Arial Narrow" w:hAnsi="Arial Narrow"/>
                <w:b/>
                <w:color w:val="000000"/>
                <w:sz w:val="20"/>
                <w:szCs w:val="18"/>
              </w:rPr>
            </w:pPr>
            <w:r w:rsidRPr="00807E29">
              <w:rPr>
                <w:rFonts w:ascii="Arial Narrow" w:hAnsi="Arial Narrow"/>
                <w:b/>
                <w:sz w:val="20"/>
              </w:rPr>
              <w:t>Amirthalingam 2014</w:t>
            </w:r>
          </w:p>
        </w:tc>
        <w:tc>
          <w:tcPr>
            <w:tcW w:w="1771" w:type="pct"/>
            <w:tcBorders>
              <w:top w:val="single" w:sz="4" w:space="0" w:color="auto"/>
            </w:tcBorders>
            <w:shd w:val="clear" w:color="auto" w:fill="auto"/>
            <w:vAlign w:val="center"/>
          </w:tcPr>
          <w:p w:rsidR="000874E0" w:rsidRPr="00807E29" w:rsidRDefault="000874E0" w:rsidP="001C7B61">
            <w:pPr>
              <w:keepNext/>
              <w:widowControl/>
              <w:jc w:val="center"/>
              <w:rPr>
                <w:rFonts w:ascii="Arial Narrow" w:hAnsi="Arial Narrow"/>
                <w:b/>
                <w:color w:val="000000"/>
                <w:sz w:val="20"/>
                <w:szCs w:val="18"/>
              </w:rPr>
            </w:pPr>
            <w:r w:rsidRPr="00807E29">
              <w:rPr>
                <w:rFonts w:ascii="Arial Narrow" w:hAnsi="Arial Narrow"/>
                <w:b/>
                <w:sz w:val="20"/>
              </w:rPr>
              <w:t>Debrera 2015</w:t>
            </w:r>
          </w:p>
        </w:tc>
      </w:tr>
      <w:tr w:rsidR="000874E0" w:rsidRPr="00E2771E" w:rsidTr="000874E0">
        <w:trPr>
          <w:trHeight w:val="315"/>
        </w:trPr>
        <w:tc>
          <w:tcPr>
            <w:tcW w:w="1457" w:type="pct"/>
            <w:tcBorders>
              <w:top w:val="single" w:sz="4" w:space="0" w:color="auto"/>
            </w:tcBorders>
            <w:shd w:val="clear" w:color="auto" w:fill="auto"/>
            <w:vAlign w:val="center"/>
          </w:tcPr>
          <w:p w:rsidR="000874E0" w:rsidRDefault="000874E0" w:rsidP="001C7B61">
            <w:pPr>
              <w:keepNext/>
              <w:widowControl/>
              <w:rPr>
                <w:rFonts w:ascii="Arial Narrow" w:hAnsi="Arial Narrow"/>
                <w:sz w:val="20"/>
              </w:rPr>
            </w:pPr>
            <w:r>
              <w:rPr>
                <w:rFonts w:ascii="Arial Narrow" w:hAnsi="Arial Narrow"/>
                <w:sz w:val="20"/>
              </w:rPr>
              <w:t>Infants &lt; 3 months</w:t>
            </w:r>
          </w:p>
        </w:tc>
        <w:tc>
          <w:tcPr>
            <w:tcW w:w="1772" w:type="pct"/>
            <w:tcBorders>
              <w:top w:val="single" w:sz="4" w:space="0" w:color="auto"/>
            </w:tcBorders>
            <w:shd w:val="clear" w:color="auto" w:fill="auto"/>
            <w:vAlign w:val="center"/>
          </w:tcPr>
          <w:p w:rsidR="000874E0" w:rsidRDefault="000874E0" w:rsidP="001C7B61">
            <w:pPr>
              <w:keepNext/>
              <w:widowControl/>
              <w:jc w:val="center"/>
              <w:rPr>
                <w:rFonts w:ascii="Arial Narrow" w:hAnsi="Arial Narrow"/>
                <w:sz w:val="20"/>
              </w:rPr>
            </w:pPr>
            <w:r>
              <w:rPr>
                <w:rFonts w:ascii="Arial Narrow" w:hAnsi="Arial Narrow"/>
                <w:sz w:val="20"/>
              </w:rPr>
              <w:t xml:space="preserve"> </w:t>
            </w:r>
            <w:r w:rsidRPr="00D01CC5">
              <w:rPr>
                <w:rFonts w:ascii="Arial Narrow" w:hAnsi="Arial Narrow"/>
                <w:sz w:val="20"/>
              </w:rPr>
              <w:t>91% (84, 95)</w:t>
            </w:r>
          </w:p>
        </w:tc>
        <w:tc>
          <w:tcPr>
            <w:tcW w:w="1771" w:type="pct"/>
            <w:tcBorders>
              <w:top w:val="single" w:sz="4" w:space="0" w:color="auto"/>
            </w:tcBorders>
            <w:shd w:val="clear" w:color="auto" w:fill="auto"/>
            <w:vAlign w:val="center"/>
          </w:tcPr>
          <w:p w:rsidR="000874E0" w:rsidRPr="00F476EB" w:rsidRDefault="000874E0" w:rsidP="001C7B61">
            <w:pPr>
              <w:keepNext/>
              <w:widowControl/>
              <w:jc w:val="center"/>
              <w:rPr>
                <w:rFonts w:ascii="Arial Narrow" w:hAnsi="Arial Narrow"/>
                <w:color w:val="000000"/>
                <w:sz w:val="20"/>
                <w:szCs w:val="18"/>
              </w:rPr>
            </w:pPr>
            <w:r w:rsidRPr="00F476EB">
              <w:rPr>
                <w:rFonts w:ascii="Arial Narrow" w:hAnsi="Arial Narrow"/>
                <w:color w:val="000000"/>
                <w:sz w:val="20"/>
                <w:szCs w:val="18"/>
              </w:rPr>
              <w:t>NA</w:t>
            </w:r>
          </w:p>
        </w:tc>
      </w:tr>
      <w:tr w:rsidR="000874E0" w:rsidRPr="00E2771E" w:rsidTr="000874E0">
        <w:trPr>
          <w:trHeight w:val="315"/>
        </w:trPr>
        <w:tc>
          <w:tcPr>
            <w:tcW w:w="1457" w:type="pct"/>
            <w:tcBorders>
              <w:top w:val="single" w:sz="4" w:space="0" w:color="auto"/>
            </w:tcBorders>
            <w:shd w:val="clear" w:color="auto" w:fill="auto"/>
            <w:vAlign w:val="center"/>
          </w:tcPr>
          <w:p w:rsidR="000874E0" w:rsidRDefault="000874E0" w:rsidP="001C7B61">
            <w:pPr>
              <w:keepNext/>
              <w:widowControl/>
              <w:rPr>
                <w:rFonts w:ascii="Arial Narrow" w:hAnsi="Arial Narrow"/>
                <w:sz w:val="20"/>
              </w:rPr>
            </w:pPr>
            <w:r w:rsidRPr="00D01CC5">
              <w:rPr>
                <w:rFonts w:ascii="Arial Narrow" w:hAnsi="Arial Narrow"/>
                <w:sz w:val="20"/>
              </w:rPr>
              <w:t>Infants &lt; 8 weeks</w:t>
            </w:r>
          </w:p>
        </w:tc>
        <w:tc>
          <w:tcPr>
            <w:tcW w:w="1772" w:type="pct"/>
            <w:tcBorders>
              <w:top w:val="single" w:sz="4" w:space="0" w:color="auto"/>
            </w:tcBorders>
            <w:shd w:val="clear" w:color="auto" w:fill="auto"/>
            <w:vAlign w:val="center"/>
          </w:tcPr>
          <w:p w:rsidR="000874E0" w:rsidRDefault="000874E0" w:rsidP="001C7B61">
            <w:pPr>
              <w:keepNext/>
              <w:widowControl/>
              <w:jc w:val="center"/>
              <w:rPr>
                <w:rFonts w:ascii="Arial Narrow" w:hAnsi="Arial Narrow"/>
                <w:sz w:val="20"/>
              </w:rPr>
            </w:pPr>
            <w:r w:rsidRPr="00D01CC5">
              <w:rPr>
                <w:rFonts w:ascii="Arial Narrow" w:hAnsi="Arial Narrow"/>
                <w:sz w:val="20"/>
              </w:rPr>
              <w:t>90% (82, 95)</w:t>
            </w:r>
          </w:p>
        </w:tc>
        <w:tc>
          <w:tcPr>
            <w:tcW w:w="1771" w:type="pct"/>
            <w:tcBorders>
              <w:top w:val="single" w:sz="4" w:space="0" w:color="auto"/>
            </w:tcBorders>
            <w:shd w:val="clear" w:color="auto" w:fill="auto"/>
            <w:vAlign w:val="center"/>
          </w:tcPr>
          <w:p w:rsidR="000874E0" w:rsidRPr="00F476EB" w:rsidRDefault="000874E0" w:rsidP="001C7B61">
            <w:pPr>
              <w:keepNext/>
              <w:widowControl/>
              <w:jc w:val="center"/>
              <w:rPr>
                <w:rFonts w:ascii="Arial Narrow" w:hAnsi="Arial Narrow"/>
                <w:color w:val="000000"/>
                <w:sz w:val="20"/>
                <w:szCs w:val="18"/>
              </w:rPr>
            </w:pPr>
            <w:r w:rsidRPr="00D01CC5">
              <w:rPr>
                <w:rFonts w:ascii="Arial Narrow" w:hAnsi="Arial Narrow"/>
                <w:sz w:val="20"/>
              </w:rPr>
              <w:t>91% (77, 97)</w:t>
            </w:r>
          </w:p>
        </w:tc>
      </w:tr>
      <w:tr w:rsidR="000874E0" w:rsidRPr="00E2771E" w:rsidTr="001C6B3B">
        <w:tc>
          <w:tcPr>
            <w:tcW w:w="5000" w:type="pct"/>
            <w:gridSpan w:val="3"/>
            <w:tcBorders>
              <w:top w:val="double" w:sz="4" w:space="0" w:color="auto"/>
              <w:bottom w:val="double" w:sz="4" w:space="0" w:color="auto"/>
            </w:tcBorders>
            <w:shd w:val="clear" w:color="auto" w:fill="auto"/>
            <w:vAlign w:val="center"/>
          </w:tcPr>
          <w:p w:rsidR="000874E0" w:rsidRPr="00E2771E" w:rsidRDefault="000874E0" w:rsidP="001C7B61">
            <w:pPr>
              <w:keepNext/>
              <w:widowControl/>
              <w:rPr>
                <w:rFonts w:ascii="Arial Narrow" w:hAnsi="Arial Narrow"/>
                <w:b/>
                <w:color w:val="000000"/>
                <w:sz w:val="20"/>
                <w:szCs w:val="18"/>
              </w:rPr>
            </w:pPr>
            <w:r w:rsidRPr="00E2771E">
              <w:rPr>
                <w:rFonts w:ascii="Arial Narrow" w:hAnsi="Arial Narrow"/>
                <w:b/>
                <w:color w:val="000000"/>
                <w:sz w:val="20"/>
                <w:szCs w:val="18"/>
              </w:rPr>
              <w:t xml:space="preserve">Harms </w:t>
            </w:r>
          </w:p>
        </w:tc>
      </w:tr>
      <w:tr w:rsidR="000874E0" w:rsidRPr="00E2771E" w:rsidTr="001C6B3B">
        <w:trPr>
          <w:trHeight w:val="315"/>
        </w:trPr>
        <w:tc>
          <w:tcPr>
            <w:tcW w:w="1457" w:type="pct"/>
            <w:tcBorders>
              <w:top w:val="double" w:sz="4" w:space="0" w:color="auto"/>
            </w:tcBorders>
            <w:shd w:val="clear" w:color="auto" w:fill="auto"/>
            <w:vAlign w:val="center"/>
          </w:tcPr>
          <w:p w:rsidR="000874E0" w:rsidRDefault="000874E0" w:rsidP="001C7B61">
            <w:pPr>
              <w:keepNext/>
              <w:widowControl/>
              <w:rPr>
                <w:rFonts w:ascii="Arial Narrow" w:hAnsi="Arial Narrow"/>
                <w:sz w:val="20"/>
              </w:rPr>
            </w:pPr>
          </w:p>
        </w:tc>
        <w:tc>
          <w:tcPr>
            <w:tcW w:w="1772" w:type="pct"/>
            <w:tcBorders>
              <w:top w:val="double" w:sz="4" w:space="0" w:color="auto"/>
            </w:tcBorders>
            <w:shd w:val="clear" w:color="auto" w:fill="auto"/>
            <w:vAlign w:val="center"/>
          </w:tcPr>
          <w:p w:rsidR="000874E0" w:rsidRPr="00B84717" w:rsidRDefault="000874E0" w:rsidP="001C7B61">
            <w:pPr>
              <w:keepNext/>
              <w:widowControl/>
              <w:jc w:val="center"/>
              <w:rPr>
                <w:rFonts w:ascii="Arial Narrow" w:hAnsi="Arial Narrow"/>
                <w:b/>
                <w:sz w:val="20"/>
              </w:rPr>
            </w:pPr>
            <w:r w:rsidRPr="00B84717">
              <w:rPr>
                <w:rFonts w:ascii="Arial Narrow" w:hAnsi="Arial Narrow"/>
                <w:b/>
                <w:sz w:val="20"/>
              </w:rPr>
              <w:t>dTpa</w:t>
            </w:r>
          </w:p>
        </w:tc>
        <w:tc>
          <w:tcPr>
            <w:tcW w:w="1771" w:type="pct"/>
            <w:tcBorders>
              <w:top w:val="double" w:sz="4" w:space="0" w:color="auto"/>
            </w:tcBorders>
            <w:shd w:val="clear" w:color="auto" w:fill="auto"/>
            <w:vAlign w:val="center"/>
          </w:tcPr>
          <w:p w:rsidR="000874E0" w:rsidRPr="00B84717" w:rsidRDefault="000874E0" w:rsidP="001C7B61">
            <w:pPr>
              <w:keepNext/>
              <w:widowControl/>
              <w:jc w:val="center"/>
              <w:rPr>
                <w:rFonts w:ascii="Arial Narrow" w:hAnsi="Arial Narrow"/>
                <w:b/>
                <w:color w:val="000000"/>
                <w:sz w:val="20"/>
                <w:szCs w:val="18"/>
              </w:rPr>
            </w:pPr>
            <w:r w:rsidRPr="00B84717">
              <w:rPr>
                <w:rFonts w:ascii="Arial Narrow" w:hAnsi="Arial Narrow"/>
                <w:b/>
                <w:color w:val="000000"/>
                <w:sz w:val="20"/>
                <w:szCs w:val="18"/>
              </w:rPr>
              <w:t>Placebo</w:t>
            </w:r>
          </w:p>
        </w:tc>
      </w:tr>
      <w:tr w:rsidR="000874E0" w:rsidRPr="00E2771E" w:rsidTr="001C6B3B">
        <w:trPr>
          <w:trHeight w:val="289"/>
        </w:trPr>
        <w:tc>
          <w:tcPr>
            <w:tcW w:w="1457" w:type="pct"/>
            <w:tcBorders>
              <w:top w:val="single" w:sz="4" w:space="0" w:color="auto"/>
            </w:tcBorders>
            <w:shd w:val="clear" w:color="auto" w:fill="auto"/>
          </w:tcPr>
          <w:p w:rsidR="000874E0" w:rsidRPr="00807E29" w:rsidRDefault="000874E0" w:rsidP="001C7B61">
            <w:pPr>
              <w:keepNext/>
              <w:widowControl/>
              <w:jc w:val="left"/>
              <w:rPr>
                <w:rFonts w:ascii="Arial Narrow" w:hAnsi="Arial Narrow"/>
                <w:b/>
                <w:sz w:val="20"/>
              </w:rPr>
            </w:pPr>
            <w:r w:rsidRPr="00807E29">
              <w:rPr>
                <w:rFonts w:ascii="Arial Narrow" w:hAnsi="Arial Narrow"/>
                <w:b/>
                <w:sz w:val="20"/>
              </w:rPr>
              <w:t>Munoz 2014</w:t>
            </w:r>
          </w:p>
          <w:p w:rsidR="000874E0" w:rsidRDefault="000874E0" w:rsidP="001C7B61">
            <w:pPr>
              <w:widowControl/>
              <w:tabs>
                <w:tab w:val="left" w:pos="150"/>
              </w:tabs>
              <w:jc w:val="left"/>
              <w:rPr>
                <w:rFonts w:ascii="Arial Narrow" w:hAnsi="Arial Narrow"/>
                <w:sz w:val="20"/>
              </w:rPr>
            </w:pPr>
            <w:r>
              <w:rPr>
                <w:rFonts w:ascii="Arial Narrow" w:hAnsi="Arial Narrow"/>
                <w:sz w:val="20"/>
              </w:rPr>
              <w:t>Injection site reactions</w:t>
            </w:r>
          </w:p>
          <w:p w:rsidR="000874E0" w:rsidRDefault="000874E0" w:rsidP="001C7B61">
            <w:pPr>
              <w:widowControl/>
              <w:tabs>
                <w:tab w:val="left" w:pos="150"/>
              </w:tabs>
              <w:jc w:val="left"/>
              <w:rPr>
                <w:rFonts w:ascii="Arial Narrow" w:hAnsi="Arial Narrow"/>
                <w:sz w:val="20"/>
              </w:rPr>
            </w:pPr>
            <w:r>
              <w:rPr>
                <w:rFonts w:ascii="Arial Narrow" w:hAnsi="Arial Narrow"/>
                <w:sz w:val="20"/>
              </w:rPr>
              <w:t xml:space="preserve">  - Pain</w:t>
            </w:r>
          </w:p>
          <w:p w:rsidR="000874E0" w:rsidRDefault="000874E0" w:rsidP="001C7B61">
            <w:pPr>
              <w:widowControl/>
              <w:tabs>
                <w:tab w:val="left" w:pos="150"/>
              </w:tabs>
              <w:jc w:val="left"/>
              <w:rPr>
                <w:rFonts w:ascii="Arial Narrow" w:hAnsi="Arial Narrow"/>
                <w:sz w:val="20"/>
              </w:rPr>
            </w:pPr>
            <w:r>
              <w:rPr>
                <w:rFonts w:ascii="Arial Narrow" w:hAnsi="Arial Narrow"/>
                <w:sz w:val="20"/>
              </w:rPr>
              <w:t xml:space="preserve">  - Redness</w:t>
            </w:r>
          </w:p>
          <w:p w:rsidR="000874E0" w:rsidRPr="00B932ED" w:rsidRDefault="000874E0" w:rsidP="001C7B61">
            <w:pPr>
              <w:widowControl/>
              <w:tabs>
                <w:tab w:val="left" w:pos="150"/>
              </w:tabs>
              <w:jc w:val="left"/>
              <w:rPr>
                <w:rFonts w:ascii="Arial Narrow" w:hAnsi="Arial Narrow"/>
                <w:sz w:val="20"/>
              </w:rPr>
            </w:pPr>
            <w:r>
              <w:rPr>
                <w:rFonts w:ascii="Arial Narrow" w:hAnsi="Arial Narrow"/>
                <w:sz w:val="20"/>
              </w:rPr>
              <w:t xml:space="preserve">  - Swelling</w:t>
            </w:r>
          </w:p>
        </w:tc>
        <w:tc>
          <w:tcPr>
            <w:tcW w:w="1772" w:type="pct"/>
            <w:tcBorders>
              <w:top w:val="single" w:sz="4" w:space="0" w:color="auto"/>
            </w:tcBorders>
            <w:shd w:val="clear" w:color="auto" w:fill="auto"/>
          </w:tcPr>
          <w:p w:rsidR="000874E0" w:rsidRDefault="000874E0" w:rsidP="001C7B61">
            <w:pPr>
              <w:keepNext/>
              <w:widowControl/>
              <w:jc w:val="center"/>
              <w:rPr>
                <w:rFonts w:ascii="Arial Narrow" w:hAnsi="Arial Narrow"/>
                <w:sz w:val="20"/>
              </w:rPr>
            </w:pPr>
            <w:r>
              <w:rPr>
                <w:rFonts w:ascii="Arial Narrow" w:hAnsi="Arial Narrow"/>
                <w:sz w:val="20"/>
              </w:rPr>
              <w:t>N=33 Antepartum</w:t>
            </w:r>
          </w:p>
          <w:p w:rsidR="000874E0" w:rsidRDefault="000874E0" w:rsidP="001C7B61">
            <w:pPr>
              <w:widowControl/>
              <w:jc w:val="center"/>
              <w:rPr>
                <w:rFonts w:ascii="Arial Narrow" w:hAnsi="Arial Narrow"/>
                <w:sz w:val="20"/>
              </w:rPr>
            </w:pPr>
            <w:r>
              <w:rPr>
                <w:rFonts w:ascii="Arial Narrow" w:hAnsi="Arial Narrow"/>
                <w:sz w:val="20"/>
              </w:rPr>
              <w:t>26 (78.8%)</w:t>
            </w:r>
          </w:p>
          <w:p w:rsidR="000874E0" w:rsidRDefault="000874E0" w:rsidP="001C7B61">
            <w:pPr>
              <w:widowControl/>
              <w:jc w:val="center"/>
              <w:rPr>
                <w:rFonts w:ascii="Arial Narrow" w:hAnsi="Arial Narrow"/>
                <w:sz w:val="20"/>
              </w:rPr>
            </w:pPr>
            <w:r>
              <w:rPr>
                <w:rFonts w:ascii="Arial Narrow" w:hAnsi="Arial Narrow"/>
                <w:sz w:val="20"/>
              </w:rPr>
              <w:t>25 (75.8%)</w:t>
            </w:r>
          </w:p>
          <w:p w:rsidR="000874E0" w:rsidRDefault="000874E0" w:rsidP="001C7B61">
            <w:pPr>
              <w:widowControl/>
              <w:jc w:val="center"/>
              <w:rPr>
                <w:rFonts w:ascii="Arial Narrow" w:hAnsi="Arial Narrow"/>
                <w:sz w:val="20"/>
              </w:rPr>
            </w:pPr>
            <w:r>
              <w:rPr>
                <w:rFonts w:ascii="Arial Narrow" w:hAnsi="Arial Narrow"/>
                <w:sz w:val="20"/>
              </w:rPr>
              <w:t>3 (9.1%)</w:t>
            </w:r>
          </w:p>
          <w:p w:rsidR="000874E0" w:rsidRPr="00D01CC5" w:rsidRDefault="000874E0" w:rsidP="001C7B61">
            <w:pPr>
              <w:widowControl/>
              <w:jc w:val="center"/>
              <w:rPr>
                <w:rFonts w:ascii="Arial Narrow" w:hAnsi="Arial Narrow"/>
                <w:sz w:val="20"/>
              </w:rPr>
            </w:pPr>
            <w:r>
              <w:rPr>
                <w:rFonts w:ascii="Arial Narrow" w:hAnsi="Arial Narrow"/>
                <w:sz w:val="20"/>
              </w:rPr>
              <w:t>3 (9.1%)</w:t>
            </w:r>
          </w:p>
        </w:tc>
        <w:tc>
          <w:tcPr>
            <w:tcW w:w="1771" w:type="pct"/>
            <w:tcBorders>
              <w:top w:val="single" w:sz="4" w:space="0" w:color="auto"/>
            </w:tcBorders>
            <w:shd w:val="clear" w:color="auto" w:fill="auto"/>
          </w:tcPr>
          <w:p w:rsidR="000874E0" w:rsidRDefault="000874E0" w:rsidP="001C7B61">
            <w:pPr>
              <w:keepNext/>
              <w:widowControl/>
              <w:jc w:val="center"/>
              <w:rPr>
                <w:rFonts w:ascii="Arial Narrow" w:hAnsi="Arial Narrow"/>
                <w:sz w:val="20"/>
              </w:rPr>
            </w:pPr>
            <w:r>
              <w:rPr>
                <w:rFonts w:ascii="Arial Narrow" w:hAnsi="Arial Narrow"/>
                <w:sz w:val="20"/>
              </w:rPr>
              <w:t xml:space="preserve">N=15 Antepartum </w:t>
            </w:r>
          </w:p>
          <w:p w:rsidR="000874E0" w:rsidRDefault="000874E0" w:rsidP="001C7B61">
            <w:pPr>
              <w:widowControl/>
              <w:jc w:val="center"/>
              <w:rPr>
                <w:rFonts w:ascii="Arial Narrow" w:hAnsi="Arial Narrow"/>
                <w:sz w:val="20"/>
              </w:rPr>
            </w:pPr>
            <w:r>
              <w:rPr>
                <w:rFonts w:ascii="Arial Narrow" w:hAnsi="Arial Narrow"/>
                <w:sz w:val="20"/>
              </w:rPr>
              <w:t>3 (20%)</w:t>
            </w:r>
          </w:p>
          <w:p w:rsidR="000874E0" w:rsidRDefault="000874E0" w:rsidP="001C7B61">
            <w:pPr>
              <w:widowControl/>
              <w:jc w:val="center"/>
              <w:rPr>
                <w:rFonts w:ascii="Arial Narrow" w:hAnsi="Arial Narrow"/>
                <w:sz w:val="20"/>
              </w:rPr>
            </w:pPr>
            <w:r>
              <w:rPr>
                <w:rFonts w:ascii="Arial Narrow" w:hAnsi="Arial Narrow"/>
                <w:sz w:val="20"/>
              </w:rPr>
              <w:t>2 (13.3%)</w:t>
            </w:r>
          </w:p>
          <w:p w:rsidR="000874E0" w:rsidRDefault="000874E0" w:rsidP="001C7B61">
            <w:pPr>
              <w:widowControl/>
              <w:jc w:val="center"/>
              <w:rPr>
                <w:rFonts w:ascii="Arial Narrow" w:hAnsi="Arial Narrow"/>
                <w:sz w:val="20"/>
              </w:rPr>
            </w:pPr>
            <w:r>
              <w:rPr>
                <w:rFonts w:ascii="Arial Narrow" w:hAnsi="Arial Narrow"/>
                <w:sz w:val="20"/>
              </w:rPr>
              <w:t>1 (6.7%)</w:t>
            </w:r>
          </w:p>
          <w:p w:rsidR="000874E0" w:rsidRPr="00C318FD" w:rsidRDefault="000874E0" w:rsidP="001C7B61">
            <w:pPr>
              <w:widowControl/>
              <w:jc w:val="center"/>
              <w:rPr>
                <w:rFonts w:ascii="Arial Narrow" w:hAnsi="Arial Narrow"/>
                <w:sz w:val="20"/>
              </w:rPr>
            </w:pPr>
            <w:r>
              <w:rPr>
                <w:rFonts w:ascii="Arial Narrow" w:hAnsi="Arial Narrow"/>
                <w:sz w:val="20"/>
              </w:rPr>
              <w:t>0</w:t>
            </w:r>
          </w:p>
        </w:tc>
      </w:tr>
      <w:tr w:rsidR="000874E0" w:rsidRPr="00E2771E" w:rsidTr="001C6B3B">
        <w:trPr>
          <w:trHeight w:val="315"/>
        </w:trPr>
        <w:tc>
          <w:tcPr>
            <w:tcW w:w="1457" w:type="pct"/>
            <w:tcBorders>
              <w:top w:val="single" w:sz="4" w:space="0" w:color="auto"/>
            </w:tcBorders>
            <w:shd w:val="clear" w:color="auto" w:fill="auto"/>
          </w:tcPr>
          <w:p w:rsidR="000874E0" w:rsidRPr="00807E29" w:rsidRDefault="000874E0" w:rsidP="001C7B61">
            <w:pPr>
              <w:keepNext/>
              <w:widowControl/>
              <w:jc w:val="left"/>
              <w:rPr>
                <w:rFonts w:ascii="Arial Narrow" w:hAnsi="Arial Narrow"/>
                <w:b/>
                <w:sz w:val="20"/>
              </w:rPr>
            </w:pPr>
            <w:r w:rsidRPr="00807E29">
              <w:rPr>
                <w:rFonts w:ascii="Arial Narrow" w:hAnsi="Arial Narrow"/>
                <w:b/>
                <w:sz w:val="20"/>
              </w:rPr>
              <w:t>PIPS</w:t>
            </w:r>
          </w:p>
          <w:p w:rsidR="000874E0" w:rsidRDefault="000874E0" w:rsidP="001C7B61">
            <w:pPr>
              <w:keepNext/>
              <w:widowControl/>
              <w:jc w:val="left"/>
              <w:rPr>
                <w:rFonts w:ascii="Arial Narrow" w:hAnsi="Arial Narrow"/>
                <w:sz w:val="20"/>
              </w:rPr>
            </w:pPr>
            <w:r>
              <w:rPr>
                <w:rFonts w:ascii="Arial Narrow" w:hAnsi="Arial Narrow"/>
                <w:sz w:val="20"/>
              </w:rPr>
              <w:t xml:space="preserve">  -Mild pain</w:t>
            </w:r>
          </w:p>
          <w:p w:rsidR="000874E0" w:rsidRDefault="000874E0" w:rsidP="001C7B61">
            <w:pPr>
              <w:keepNext/>
              <w:widowControl/>
              <w:jc w:val="left"/>
              <w:rPr>
                <w:rFonts w:ascii="Arial Narrow" w:hAnsi="Arial Narrow"/>
                <w:sz w:val="20"/>
              </w:rPr>
            </w:pPr>
            <w:r>
              <w:rPr>
                <w:rFonts w:ascii="Arial Narrow" w:hAnsi="Arial Narrow"/>
                <w:sz w:val="20"/>
              </w:rPr>
              <w:t xml:space="preserve">  -Moderate pain</w:t>
            </w:r>
          </w:p>
          <w:p w:rsidR="000874E0" w:rsidRPr="00085FCB" w:rsidRDefault="000874E0" w:rsidP="001C7B61">
            <w:pPr>
              <w:keepNext/>
              <w:widowControl/>
              <w:jc w:val="left"/>
              <w:rPr>
                <w:rFonts w:ascii="Arial Narrow" w:hAnsi="Arial Narrow"/>
                <w:sz w:val="20"/>
              </w:rPr>
            </w:pPr>
            <w:r>
              <w:rPr>
                <w:rFonts w:ascii="Arial Narrow" w:hAnsi="Arial Narrow"/>
                <w:sz w:val="20"/>
              </w:rPr>
              <w:t xml:space="preserve">  -Severe pain</w:t>
            </w:r>
          </w:p>
        </w:tc>
        <w:tc>
          <w:tcPr>
            <w:tcW w:w="1772" w:type="pct"/>
            <w:tcBorders>
              <w:top w:val="single" w:sz="4" w:space="0" w:color="auto"/>
            </w:tcBorders>
            <w:shd w:val="clear" w:color="auto" w:fill="auto"/>
          </w:tcPr>
          <w:p w:rsidR="000874E0" w:rsidRDefault="000874E0" w:rsidP="001C7B61">
            <w:pPr>
              <w:keepNext/>
              <w:widowControl/>
              <w:jc w:val="center"/>
              <w:rPr>
                <w:rFonts w:ascii="Arial Narrow" w:hAnsi="Arial Narrow"/>
                <w:sz w:val="20"/>
              </w:rPr>
            </w:pPr>
            <w:r>
              <w:rPr>
                <w:rFonts w:ascii="Arial Narrow" w:hAnsi="Arial Narrow"/>
                <w:sz w:val="20"/>
              </w:rPr>
              <w:t>N=793</w:t>
            </w:r>
          </w:p>
          <w:p w:rsidR="000874E0" w:rsidRDefault="000874E0" w:rsidP="001C7B61">
            <w:pPr>
              <w:keepNext/>
              <w:widowControl/>
              <w:jc w:val="center"/>
              <w:rPr>
                <w:rFonts w:ascii="Arial Narrow" w:hAnsi="Arial Narrow"/>
                <w:sz w:val="20"/>
              </w:rPr>
            </w:pPr>
            <w:r>
              <w:rPr>
                <w:rFonts w:ascii="Arial Narrow" w:hAnsi="Arial Narrow"/>
                <w:sz w:val="20"/>
              </w:rPr>
              <w:t>347 (43.8%)</w:t>
            </w:r>
          </w:p>
          <w:p w:rsidR="000874E0" w:rsidRDefault="000874E0" w:rsidP="001C7B61">
            <w:pPr>
              <w:keepNext/>
              <w:widowControl/>
              <w:jc w:val="center"/>
              <w:rPr>
                <w:rFonts w:ascii="Arial Narrow" w:hAnsi="Arial Narrow"/>
                <w:sz w:val="20"/>
              </w:rPr>
            </w:pPr>
            <w:r>
              <w:rPr>
                <w:rFonts w:ascii="Arial Narrow" w:hAnsi="Arial Narrow"/>
                <w:sz w:val="20"/>
              </w:rPr>
              <w:t>279 (35.2%)</w:t>
            </w:r>
          </w:p>
          <w:p w:rsidR="000874E0" w:rsidRPr="00B54CEB" w:rsidRDefault="000874E0" w:rsidP="001C7B61">
            <w:pPr>
              <w:keepNext/>
              <w:widowControl/>
              <w:jc w:val="center"/>
              <w:rPr>
                <w:rFonts w:ascii="Arial Narrow" w:hAnsi="Arial Narrow"/>
                <w:sz w:val="20"/>
              </w:rPr>
            </w:pPr>
            <w:r>
              <w:rPr>
                <w:rFonts w:ascii="Arial Narrow" w:hAnsi="Arial Narrow"/>
                <w:sz w:val="20"/>
              </w:rPr>
              <w:t>21 (2.6%)</w:t>
            </w:r>
          </w:p>
        </w:tc>
        <w:tc>
          <w:tcPr>
            <w:tcW w:w="1771" w:type="pct"/>
            <w:tcBorders>
              <w:top w:val="single" w:sz="4" w:space="0" w:color="auto"/>
            </w:tcBorders>
            <w:shd w:val="clear" w:color="auto" w:fill="auto"/>
          </w:tcPr>
          <w:p w:rsidR="000874E0" w:rsidRDefault="000874E0" w:rsidP="001C7B61">
            <w:pPr>
              <w:keepNext/>
              <w:widowControl/>
              <w:jc w:val="center"/>
              <w:rPr>
                <w:rFonts w:ascii="Arial Narrow" w:hAnsi="Arial Narrow"/>
                <w:sz w:val="20"/>
              </w:rPr>
            </w:pPr>
          </w:p>
          <w:p w:rsidR="000874E0" w:rsidRDefault="000874E0" w:rsidP="001C7B61">
            <w:pPr>
              <w:keepNext/>
              <w:widowControl/>
              <w:jc w:val="center"/>
              <w:rPr>
                <w:rFonts w:ascii="Arial Narrow" w:hAnsi="Arial Narrow"/>
                <w:sz w:val="20"/>
              </w:rPr>
            </w:pPr>
          </w:p>
          <w:p w:rsidR="000874E0" w:rsidRPr="00B54CEB" w:rsidRDefault="000874E0" w:rsidP="001C7B61">
            <w:pPr>
              <w:keepNext/>
              <w:widowControl/>
              <w:jc w:val="center"/>
              <w:rPr>
                <w:rFonts w:ascii="Arial Narrow" w:hAnsi="Arial Narrow"/>
                <w:sz w:val="20"/>
              </w:rPr>
            </w:pPr>
            <w:r>
              <w:rPr>
                <w:rFonts w:ascii="Arial Narrow" w:hAnsi="Arial Narrow"/>
                <w:sz w:val="20"/>
              </w:rPr>
              <w:t>NA</w:t>
            </w:r>
          </w:p>
        </w:tc>
      </w:tr>
    </w:tbl>
    <w:p w:rsidR="004B2557" w:rsidRPr="00C62D05" w:rsidRDefault="004B2557" w:rsidP="001C7B61">
      <w:pPr>
        <w:pStyle w:val="TableFooter"/>
        <w:widowControl/>
        <w:tabs>
          <w:tab w:val="left" w:pos="4142"/>
        </w:tabs>
        <w:ind w:left="709" w:firstLine="11"/>
      </w:pPr>
      <w:r w:rsidRPr="00C62D05">
        <w:t>Source: Table B-24, p50 of the submission and publications</w:t>
      </w:r>
    </w:p>
    <w:p w:rsidR="000874E0" w:rsidRPr="00C421E6" w:rsidRDefault="000874E0" w:rsidP="001C7B61">
      <w:pPr>
        <w:pStyle w:val="TableFooter"/>
        <w:widowControl/>
        <w:tabs>
          <w:tab w:val="left" w:pos="4142"/>
        </w:tabs>
        <w:ind w:left="709" w:firstLine="11"/>
      </w:pPr>
      <w:r>
        <w:t xml:space="preserve"> </w:t>
      </w:r>
    </w:p>
    <w:p w:rsidR="000D7790" w:rsidRPr="00AB6640" w:rsidRDefault="0018223B" w:rsidP="001C7B61">
      <w:pPr>
        <w:pStyle w:val="ListParagraph"/>
        <w:widowControl/>
        <w:numPr>
          <w:ilvl w:val="1"/>
          <w:numId w:val="3"/>
        </w:numPr>
      </w:pPr>
      <w:r w:rsidRPr="00AB6640">
        <w:rPr>
          <w:szCs w:val="22"/>
        </w:rPr>
        <w:t>Based on the non-randomised observation</w:t>
      </w:r>
      <w:r w:rsidR="00AF09FF" w:rsidRPr="00AB6640">
        <w:rPr>
          <w:szCs w:val="22"/>
        </w:rPr>
        <w:t>al</w:t>
      </w:r>
      <w:r w:rsidRPr="00AB6640">
        <w:rPr>
          <w:szCs w:val="22"/>
        </w:rPr>
        <w:t xml:space="preserve"> data, maternal vaccination is estimated to reduce the number of cases of pertussis in infants</w:t>
      </w:r>
      <w:r w:rsidR="00AF09FF" w:rsidRPr="00AB6640">
        <w:rPr>
          <w:szCs w:val="22"/>
        </w:rPr>
        <w:t xml:space="preserve"> aged less than 3</w:t>
      </w:r>
      <w:r w:rsidR="00AE376F" w:rsidRPr="00AB6640">
        <w:rPr>
          <w:szCs w:val="22"/>
        </w:rPr>
        <w:t> </w:t>
      </w:r>
      <w:r w:rsidR="00AF09FF" w:rsidRPr="00AB6640">
        <w:rPr>
          <w:szCs w:val="22"/>
        </w:rPr>
        <w:t>months</w:t>
      </w:r>
      <w:r w:rsidRPr="00AB6640">
        <w:rPr>
          <w:szCs w:val="22"/>
        </w:rPr>
        <w:t xml:space="preserve"> by 91%. In 2014 there were 106 cases of pertussis in Australia in infants less than 3</w:t>
      </w:r>
      <w:r w:rsidR="0011370B" w:rsidRPr="00AB6640">
        <w:rPr>
          <w:szCs w:val="22"/>
        </w:rPr>
        <w:t> </w:t>
      </w:r>
      <w:r w:rsidRPr="00AB6640">
        <w:rPr>
          <w:szCs w:val="22"/>
        </w:rPr>
        <w:t xml:space="preserve">months of age. If all pregnant women </w:t>
      </w:r>
      <w:r w:rsidR="005131B9" w:rsidRPr="00AB6640">
        <w:rPr>
          <w:szCs w:val="22"/>
        </w:rPr>
        <w:t xml:space="preserve">in Australia </w:t>
      </w:r>
      <w:r w:rsidRPr="00AB6640">
        <w:rPr>
          <w:szCs w:val="22"/>
        </w:rPr>
        <w:t>were vaccinated</w:t>
      </w:r>
      <w:r w:rsidR="00176551" w:rsidRPr="00AB6640">
        <w:rPr>
          <w:szCs w:val="22"/>
        </w:rPr>
        <w:t>,</w:t>
      </w:r>
      <w:r w:rsidRPr="00AB6640">
        <w:rPr>
          <w:szCs w:val="22"/>
        </w:rPr>
        <w:t xml:space="preserve"> 96</w:t>
      </w:r>
      <w:r w:rsidR="00AE376F" w:rsidRPr="00AB6640">
        <w:rPr>
          <w:szCs w:val="22"/>
        </w:rPr>
        <w:t> </w:t>
      </w:r>
      <w:r w:rsidRPr="00AB6640">
        <w:rPr>
          <w:szCs w:val="22"/>
        </w:rPr>
        <w:t>cases</w:t>
      </w:r>
      <w:r w:rsidR="0049185F" w:rsidRPr="00AB6640">
        <w:rPr>
          <w:szCs w:val="22"/>
        </w:rPr>
        <w:t xml:space="preserve"> of pertussis</w:t>
      </w:r>
      <w:r w:rsidRPr="00AB6640">
        <w:rPr>
          <w:szCs w:val="22"/>
        </w:rPr>
        <w:t xml:space="preserve"> </w:t>
      </w:r>
      <w:r w:rsidR="00906F89" w:rsidRPr="00AB6640">
        <w:rPr>
          <w:szCs w:val="22"/>
        </w:rPr>
        <w:t>would be prevented.</w:t>
      </w:r>
      <w:r w:rsidR="00DD7968" w:rsidRPr="00AB6640">
        <w:rPr>
          <w:szCs w:val="22"/>
        </w:rPr>
        <w:t xml:space="preserve"> </w:t>
      </w:r>
      <w:r w:rsidR="00AF09FF" w:rsidRPr="00AB6640">
        <w:rPr>
          <w:szCs w:val="22"/>
        </w:rPr>
        <w:t>If 70% of pregnant women were vaccinated</w:t>
      </w:r>
      <w:r w:rsidR="00712B38" w:rsidRPr="00AB6640">
        <w:rPr>
          <w:szCs w:val="22"/>
        </w:rPr>
        <w:t>,</w:t>
      </w:r>
      <w:r w:rsidR="00AF09FF" w:rsidRPr="00AB6640">
        <w:rPr>
          <w:szCs w:val="22"/>
        </w:rPr>
        <w:t xml:space="preserve"> as </w:t>
      </w:r>
      <w:r w:rsidR="009E046E">
        <w:rPr>
          <w:szCs w:val="22"/>
        </w:rPr>
        <w:t>wa</w:t>
      </w:r>
      <w:r w:rsidR="00AF09FF" w:rsidRPr="00AB6640">
        <w:rPr>
          <w:szCs w:val="22"/>
        </w:rPr>
        <w:t>s assumed in the economic model</w:t>
      </w:r>
      <w:r w:rsidR="005D4A60">
        <w:rPr>
          <w:szCs w:val="22"/>
        </w:rPr>
        <w:t xml:space="preserve"> and suggested by ATAGI (pre</w:t>
      </w:r>
      <w:r w:rsidR="005D4A60">
        <w:rPr>
          <w:szCs w:val="22"/>
        </w:rPr>
        <w:noBreakHyphen/>
      </w:r>
      <w:r w:rsidR="009D4F4A">
        <w:rPr>
          <w:szCs w:val="22"/>
        </w:rPr>
        <w:t>submission advice</w:t>
      </w:r>
      <w:r w:rsidR="009E046E">
        <w:rPr>
          <w:szCs w:val="22"/>
        </w:rPr>
        <w:t>)</w:t>
      </w:r>
      <w:r w:rsidR="00AF09FF" w:rsidRPr="00AB6640">
        <w:rPr>
          <w:szCs w:val="22"/>
        </w:rPr>
        <w:t>, 67 cases of pertussis would be prevented.</w:t>
      </w:r>
    </w:p>
    <w:p w:rsidR="00906F89" w:rsidRPr="00AB6640" w:rsidRDefault="00906F89" w:rsidP="001C7B61">
      <w:pPr>
        <w:pStyle w:val="ListParagraph"/>
        <w:widowControl/>
      </w:pPr>
    </w:p>
    <w:p w:rsidR="0018223B" w:rsidRPr="00AB6640" w:rsidRDefault="0018223B" w:rsidP="001C7B61">
      <w:pPr>
        <w:pStyle w:val="ListParagraph"/>
        <w:widowControl/>
        <w:numPr>
          <w:ilvl w:val="1"/>
          <w:numId w:val="3"/>
        </w:numPr>
      </w:pPr>
      <w:r w:rsidRPr="00AB6640">
        <w:rPr>
          <w:szCs w:val="22"/>
        </w:rPr>
        <w:t xml:space="preserve">Pain is the most commonly reported </w:t>
      </w:r>
      <w:r w:rsidR="00C62D05" w:rsidRPr="00AB6640">
        <w:rPr>
          <w:szCs w:val="22"/>
        </w:rPr>
        <w:t xml:space="preserve">injection site </w:t>
      </w:r>
      <w:r w:rsidRPr="00AB6640">
        <w:rPr>
          <w:szCs w:val="22"/>
        </w:rPr>
        <w:t>reaction</w:t>
      </w:r>
      <w:r w:rsidR="000E24C6" w:rsidRPr="00AB6640">
        <w:rPr>
          <w:szCs w:val="22"/>
        </w:rPr>
        <w:t>.</w:t>
      </w:r>
    </w:p>
    <w:p w:rsidR="00B62715" w:rsidRPr="00AB6640" w:rsidRDefault="00B62715" w:rsidP="001C7B61">
      <w:pPr>
        <w:widowControl/>
      </w:pPr>
    </w:p>
    <w:p w:rsidR="00B60939" w:rsidRPr="00AB6640" w:rsidRDefault="00B60939" w:rsidP="00232F1B">
      <w:pPr>
        <w:pStyle w:val="Heading2"/>
      </w:pPr>
      <w:bookmarkStart w:id="14" w:name="_Toc450288341"/>
      <w:r w:rsidRPr="00AB6640">
        <w:t>Clinical claim</w:t>
      </w:r>
      <w:bookmarkEnd w:id="14"/>
    </w:p>
    <w:p w:rsidR="00B60939" w:rsidRPr="00AB6640" w:rsidRDefault="00B60939" w:rsidP="001C7B61">
      <w:pPr>
        <w:keepNext/>
        <w:widowControl/>
        <w:ind w:left="720" w:hanging="720"/>
        <w:rPr>
          <w:szCs w:val="22"/>
        </w:rPr>
      </w:pPr>
    </w:p>
    <w:p w:rsidR="00B60939" w:rsidRDefault="00A75016" w:rsidP="001C7B61">
      <w:pPr>
        <w:pStyle w:val="ListParagraph"/>
        <w:widowControl/>
        <w:numPr>
          <w:ilvl w:val="1"/>
          <w:numId w:val="3"/>
        </w:numPr>
        <w:rPr>
          <w:szCs w:val="22"/>
        </w:rPr>
      </w:pPr>
      <w:r w:rsidRPr="00AB6640">
        <w:rPr>
          <w:szCs w:val="22"/>
        </w:rPr>
        <w:t xml:space="preserve">The submission described dTpa vaccination during the third trimester of pregnancy as superior in terms of comparative effectiveness in preventing pertussis in infants and mothers, and inferior in terms of comparative safety, over no vaccination. </w:t>
      </w:r>
      <w:r w:rsidR="009368C9" w:rsidRPr="00AB6640">
        <w:rPr>
          <w:lang w:val="en-GB" w:eastAsia="en-GB"/>
        </w:rPr>
        <w:t xml:space="preserve">The ESC considered that these claims were </w:t>
      </w:r>
      <w:r w:rsidR="00F03379" w:rsidRPr="00AB6640">
        <w:rPr>
          <w:lang w:val="en-GB" w:eastAsia="en-GB"/>
        </w:rPr>
        <w:t>appropriate</w:t>
      </w:r>
      <w:r w:rsidR="009368C9" w:rsidRPr="00AB6640">
        <w:rPr>
          <w:lang w:val="en-GB" w:eastAsia="en-GB"/>
        </w:rPr>
        <w:t xml:space="preserve"> and that the vaccine effectiveness for dTpa for prevention of pertussis in infants was likely to be high</w:t>
      </w:r>
      <w:r w:rsidRPr="00AB6640">
        <w:t>. However, t</w:t>
      </w:r>
      <w:r w:rsidRPr="00AB6640">
        <w:rPr>
          <w:szCs w:val="22"/>
        </w:rPr>
        <w:t xml:space="preserve">he submission </w:t>
      </w:r>
      <w:r w:rsidR="006A7276" w:rsidRPr="00AB6640">
        <w:rPr>
          <w:szCs w:val="22"/>
        </w:rPr>
        <w:t xml:space="preserve">did </w:t>
      </w:r>
      <w:r w:rsidRPr="00AB6640">
        <w:rPr>
          <w:szCs w:val="22"/>
        </w:rPr>
        <w:t>not provide clinical evidence on the effectiveness</w:t>
      </w:r>
      <w:r w:rsidR="00AF09FF" w:rsidRPr="00AB6640">
        <w:rPr>
          <w:szCs w:val="22"/>
        </w:rPr>
        <w:t xml:space="preserve"> of dTpa</w:t>
      </w:r>
      <w:r w:rsidRPr="00AB6640">
        <w:rPr>
          <w:szCs w:val="22"/>
        </w:rPr>
        <w:t xml:space="preserve"> in preventing pertussis in mothers</w:t>
      </w:r>
      <w:r w:rsidR="005131B9" w:rsidRPr="00AB6640">
        <w:rPr>
          <w:szCs w:val="22"/>
        </w:rPr>
        <w:t xml:space="preserve">. Although dTpa elicits a significant immunogenic response in mothers, there is no clear evidence supporting the correlation of immunogenicity </w:t>
      </w:r>
      <w:r w:rsidR="00AF09FF" w:rsidRPr="00AB6640">
        <w:rPr>
          <w:szCs w:val="22"/>
        </w:rPr>
        <w:t xml:space="preserve">outcomes </w:t>
      </w:r>
      <w:r w:rsidR="005131B9" w:rsidRPr="00AB6640">
        <w:rPr>
          <w:szCs w:val="22"/>
        </w:rPr>
        <w:t xml:space="preserve">and protection </w:t>
      </w:r>
      <w:r w:rsidR="00AF09FF" w:rsidRPr="00AB6640">
        <w:rPr>
          <w:szCs w:val="22"/>
        </w:rPr>
        <w:t xml:space="preserve">from </w:t>
      </w:r>
      <w:r w:rsidR="005131B9" w:rsidRPr="00AB6640">
        <w:rPr>
          <w:szCs w:val="22"/>
        </w:rPr>
        <w:t>pertussis.</w:t>
      </w:r>
      <w:r w:rsidR="007253E7" w:rsidRPr="00AB6640">
        <w:rPr>
          <w:szCs w:val="22"/>
        </w:rPr>
        <w:t xml:space="preserve"> </w:t>
      </w:r>
      <w:r w:rsidR="005131B9" w:rsidRPr="00AB6640">
        <w:rPr>
          <w:szCs w:val="22"/>
        </w:rPr>
        <w:t xml:space="preserve">In the economic model </w:t>
      </w:r>
      <w:r w:rsidR="007253E7" w:rsidRPr="00AB6640">
        <w:rPr>
          <w:szCs w:val="22"/>
        </w:rPr>
        <w:t>it is assumed that the effectiveness of dTpa in the general population is directly applicable to pregnant women</w:t>
      </w:r>
      <w:r w:rsidRPr="00AB6640">
        <w:rPr>
          <w:szCs w:val="22"/>
        </w:rPr>
        <w:t>.</w:t>
      </w:r>
    </w:p>
    <w:p w:rsidR="00766DAC" w:rsidRDefault="00766DAC" w:rsidP="001C7B61">
      <w:pPr>
        <w:pStyle w:val="ListParagraph"/>
        <w:widowControl/>
        <w:rPr>
          <w:szCs w:val="22"/>
        </w:rPr>
      </w:pPr>
    </w:p>
    <w:p w:rsidR="00766DAC" w:rsidRPr="00112C00" w:rsidRDefault="00766DAC" w:rsidP="001C7B61">
      <w:pPr>
        <w:pStyle w:val="ListParagraph"/>
        <w:widowControl/>
        <w:numPr>
          <w:ilvl w:val="1"/>
          <w:numId w:val="3"/>
        </w:numPr>
        <w:jc w:val="left"/>
        <w:rPr>
          <w:bCs/>
        </w:rPr>
      </w:pPr>
      <w:r w:rsidRPr="00112C00">
        <w:rPr>
          <w:bCs/>
          <w:szCs w:val="22"/>
        </w:rPr>
        <w:t xml:space="preserve">The PBAC considered that the claim of superior comparative effectiveness </w:t>
      </w:r>
      <w:r w:rsidR="00087140" w:rsidRPr="00112C00">
        <w:rPr>
          <w:bCs/>
          <w:szCs w:val="22"/>
        </w:rPr>
        <w:t>in preventing pertussis</w:t>
      </w:r>
      <w:r w:rsidR="00881D1E">
        <w:rPr>
          <w:bCs/>
          <w:szCs w:val="22"/>
        </w:rPr>
        <w:t xml:space="preserve"> disease</w:t>
      </w:r>
      <w:r w:rsidR="00087140" w:rsidRPr="00112C00">
        <w:rPr>
          <w:bCs/>
          <w:szCs w:val="22"/>
        </w:rPr>
        <w:t xml:space="preserve"> in infants and mothers </w:t>
      </w:r>
      <w:r w:rsidRPr="00112C00">
        <w:rPr>
          <w:bCs/>
          <w:szCs w:val="22"/>
        </w:rPr>
        <w:t>was reasonable.</w:t>
      </w:r>
    </w:p>
    <w:p w:rsidR="00766DAC" w:rsidRPr="00112C00" w:rsidRDefault="00766DAC" w:rsidP="001C7B61">
      <w:pPr>
        <w:pStyle w:val="ListParagraph"/>
        <w:widowControl/>
        <w:rPr>
          <w:bCs/>
          <w:szCs w:val="22"/>
        </w:rPr>
      </w:pPr>
    </w:p>
    <w:p w:rsidR="00766DAC" w:rsidRPr="00112C00" w:rsidRDefault="00766DAC" w:rsidP="001C7B61">
      <w:pPr>
        <w:pStyle w:val="ListParagraph"/>
        <w:widowControl/>
        <w:numPr>
          <w:ilvl w:val="1"/>
          <w:numId w:val="3"/>
        </w:numPr>
        <w:rPr>
          <w:szCs w:val="22"/>
        </w:rPr>
      </w:pPr>
      <w:r w:rsidRPr="00112C00">
        <w:rPr>
          <w:szCs w:val="22"/>
        </w:rPr>
        <w:t>The PBAC considered that the claim of inferior comparative safety was reasonable.</w:t>
      </w:r>
    </w:p>
    <w:p w:rsidR="008E6C1D" w:rsidRDefault="008E6C1D" w:rsidP="001C7B61">
      <w:pPr>
        <w:pStyle w:val="ListParagraph"/>
        <w:widowControl/>
        <w:rPr>
          <w:szCs w:val="22"/>
        </w:rPr>
      </w:pPr>
    </w:p>
    <w:p w:rsidR="00227364" w:rsidRPr="00AB6640" w:rsidRDefault="00227364" w:rsidP="001C7B61">
      <w:pPr>
        <w:pStyle w:val="ListParagraph"/>
        <w:widowControl/>
        <w:rPr>
          <w:szCs w:val="22"/>
        </w:rPr>
      </w:pPr>
    </w:p>
    <w:p w:rsidR="00607883" w:rsidRPr="00AB6640" w:rsidRDefault="00607883" w:rsidP="00232F1B">
      <w:pPr>
        <w:pStyle w:val="Heading2"/>
        <w:keepNext/>
      </w:pPr>
      <w:bookmarkStart w:id="15" w:name="_Toc450288342"/>
      <w:r w:rsidRPr="00AB6640">
        <w:t>Economic analysis</w:t>
      </w:r>
      <w:bookmarkEnd w:id="15"/>
    </w:p>
    <w:p w:rsidR="00607883" w:rsidRPr="00AB6640" w:rsidRDefault="00607883" w:rsidP="001C7B61">
      <w:pPr>
        <w:widowControl/>
        <w:ind w:left="720" w:hanging="720"/>
        <w:rPr>
          <w:szCs w:val="22"/>
        </w:rPr>
      </w:pPr>
    </w:p>
    <w:p w:rsidR="00607883" w:rsidRPr="00AB6640" w:rsidRDefault="00607883" w:rsidP="001C7B61">
      <w:pPr>
        <w:pStyle w:val="ListParagraph"/>
        <w:widowControl/>
        <w:numPr>
          <w:ilvl w:val="1"/>
          <w:numId w:val="3"/>
        </w:numPr>
        <w:rPr>
          <w:szCs w:val="22"/>
        </w:rPr>
      </w:pPr>
      <w:r w:rsidRPr="00AB6640">
        <w:t>The economic evaluation is a cost-</w:t>
      </w:r>
      <w:r w:rsidR="00AE376F" w:rsidRPr="00AB6640">
        <w:t xml:space="preserve">utility </w:t>
      </w:r>
      <w:r w:rsidRPr="00AB6640">
        <w:t>analysis. The submission presented a decision tree model.</w:t>
      </w:r>
    </w:p>
    <w:p w:rsidR="00607883" w:rsidRPr="00AB6640" w:rsidRDefault="00607883" w:rsidP="001C7B61">
      <w:pPr>
        <w:pStyle w:val="ListParagraph"/>
        <w:widowControl/>
        <w:rPr>
          <w:szCs w:val="22"/>
        </w:rPr>
      </w:pPr>
    </w:p>
    <w:p w:rsidR="00607883" w:rsidRDefault="00607883" w:rsidP="001C7B61">
      <w:pPr>
        <w:keepNext/>
        <w:widowControl/>
        <w:ind w:firstLine="720"/>
        <w:rPr>
          <w:rStyle w:val="CommentReference"/>
        </w:rPr>
      </w:pPr>
      <w:r>
        <w:rPr>
          <w:rStyle w:val="CommentReference"/>
        </w:rPr>
        <w:t xml:space="preserve">Table </w:t>
      </w:r>
      <w:r w:rsidR="00AB0B6E">
        <w:rPr>
          <w:rStyle w:val="CommentReference"/>
        </w:rPr>
        <w:t>5</w:t>
      </w:r>
      <w:r w:rsidRPr="006B2A4D">
        <w:rPr>
          <w:rStyle w:val="CommentReference"/>
        </w:rPr>
        <w:t>: Summary of model structure and rationale</w:t>
      </w:r>
    </w:p>
    <w:tbl>
      <w:tblPr>
        <w:tblW w:w="459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43"/>
        <w:gridCol w:w="6505"/>
      </w:tblGrid>
      <w:tr w:rsidR="00C230D7" w:rsidRPr="00650AEA" w:rsidTr="00B85B93">
        <w:trPr>
          <w:tblHeader/>
        </w:trPr>
        <w:tc>
          <w:tcPr>
            <w:tcW w:w="1104" w:type="pct"/>
            <w:tcBorders>
              <w:top w:val="single" w:sz="4" w:space="0" w:color="auto"/>
              <w:left w:val="single" w:sz="4" w:space="0" w:color="auto"/>
              <w:bottom w:val="single" w:sz="4" w:space="0" w:color="auto"/>
              <w:right w:val="single" w:sz="4" w:space="0" w:color="auto"/>
            </w:tcBorders>
            <w:shd w:val="clear" w:color="auto" w:fill="auto"/>
          </w:tcPr>
          <w:p w:rsidR="00C230D7" w:rsidRPr="00650AEA" w:rsidRDefault="00C230D7" w:rsidP="001C7B61">
            <w:pPr>
              <w:widowControl/>
              <w:jc w:val="left"/>
              <w:rPr>
                <w:rFonts w:ascii="Arial Narrow" w:hAnsi="Arial Narrow"/>
                <w:sz w:val="20"/>
              </w:rPr>
            </w:pPr>
            <w:r w:rsidRPr="00650AEA">
              <w:rPr>
                <w:rFonts w:ascii="Arial Narrow" w:hAnsi="Arial Narrow"/>
                <w:sz w:val="20"/>
              </w:rPr>
              <w:t>Time horizon</w:t>
            </w:r>
          </w:p>
        </w:tc>
        <w:tc>
          <w:tcPr>
            <w:tcW w:w="3896" w:type="pct"/>
            <w:tcBorders>
              <w:top w:val="single" w:sz="4" w:space="0" w:color="auto"/>
              <w:left w:val="single" w:sz="4" w:space="0" w:color="auto"/>
              <w:bottom w:val="single" w:sz="4" w:space="0" w:color="auto"/>
              <w:right w:val="single" w:sz="4" w:space="0" w:color="auto"/>
            </w:tcBorders>
          </w:tcPr>
          <w:p w:rsidR="00C230D7" w:rsidRDefault="00C230D7" w:rsidP="001C7B61">
            <w:pPr>
              <w:keepNext/>
              <w:widowControl/>
              <w:rPr>
                <w:rFonts w:ascii="Arial Narrow" w:hAnsi="Arial Narrow"/>
                <w:sz w:val="20"/>
              </w:rPr>
            </w:pPr>
            <w:r>
              <w:rPr>
                <w:rFonts w:ascii="Arial Narrow" w:hAnsi="Arial Narrow"/>
                <w:sz w:val="20"/>
              </w:rPr>
              <w:t xml:space="preserve">The number of cases of pertussis occurring in one year is reported. </w:t>
            </w:r>
          </w:p>
          <w:p w:rsidR="00C230D7" w:rsidRDefault="00C230D7" w:rsidP="00284BC0">
            <w:pPr>
              <w:pStyle w:val="ListParagraph"/>
              <w:keepNext/>
              <w:widowControl/>
              <w:numPr>
                <w:ilvl w:val="0"/>
                <w:numId w:val="19"/>
              </w:numPr>
              <w:ind w:left="255" w:hanging="255"/>
              <w:rPr>
                <w:rFonts w:ascii="Arial Narrow" w:hAnsi="Arial Narrow"/>
                <w:sz w:val="20"/>
              </w:rPr>
            </w:pPr>
            <w:r w:rsidRPr="00C2153B">
              <w:rPr>
                <w:rFonts w:ascii="Arial Narrow" w:hAnsi="Arial Narrow"/>
                <w:sz w:val="20"/>
              </w:rPr>
              <w:t xml:space="preserve">For infants there is a benefit of maternal vaccination for up to 7 months (after which the infant is covered by the primary DTPa doses). </w:t>
            </w:r>
          </w:p>
          <w:p w:rsidR="00C230D7" w:rsidRDefault="00C230D7" w:rsidP="00284BC0">
            <w:pPr>
              <w:pStyle w:val="ListParagraph"/>
              <w:keepNext/>
              <w:widowControl/>
              <w:numPr>
                <w:ilvl w:val="0"/>
                <w:numId w:val="19"/>
              </w:numPr>
              <w:ind w:left="255" w:hanging="255"/>
              <w:rPr>
                <w:rFonts w:ascii="Arial Narrow" w:hAnsi="Arial Narrow"/>
                <w:sz w:val="20"/>
              </w:rPr>
            </w:pPr>
            <w:r w:rsidRPr="00C2153B">
              <w:rPr>
                <w:rFonts w:ascii="Arial Narrow" w:hAnsi="Arial Narrow"/>
                <w:sz w:val="20"/>
              </w:rPr>
              <w:t xml:space="preserve">For mothers dTpa is assumed to be effective for up to 5 years. </w:t>
            </w:r>
            <w:r>
              <w:rPr>
                <w:rFonts w:ascii="Arial Narrow" w:hAnsi="Arial Narrow"/>
                <w:sz w:val="20"/>
              </w:rPr>
              <w:t>The median follow</w:t>
            </w:r>
            <w:r w:rsidR="00B85B93">
              <w:rPr>
                <w:rFonts w:ascii="Arial Narrow" w:hAnsi="Arial Narrow"/>
                <w:sz w:val="20"/>
              </w:rPr>
              <w:noBreakHyphen/>
            </w:r>
            <w:r>
              <w:rPr>
                <w:rFonts w:ascii="Arial Narrow" w:hAnsi="Arial Narrow"/>
                <w:sz w:val="20"/>
              </w:rPr>
              <w:t>up in the clinical trial (APERT) was 22 months.</w:t>
            </w:r>
          </w:p>
          <w:p w:rsidR="00C230D7" w:rsidRPr="00E82E19" w:rsidRDefault="00C230D7" w:rsidP="00284BC0">
            <w:pPr>
              <w:pStyle w:val="ListParagraph"/>
              <w:keepNext/>
              <w:widowControl/>
              <w:numPr>
                <w:ilvl w:val="0"/>
                <w:numId w:val="19"/>
              </w:numPr>
              <w:ind w:left="255" w:hanging="255"/>
            </w:pPr>
            <w:r w:rsidRPr="00C2153B">
              <w:rPr>
                <w:rFonts w:ascii="Arial Narrow" w:hAnsi="Arial Narrow"/>
                <w:sz w:val="20"/>
              </w:rPr>
              <w:t xml:space="preserve">For deaths (which occur in infants &lt;6 months of age) </w:t>
            </w:r>
            <w:r w:rsidR="00AF09FF">
              <w:rPr>
                <w:rFonts w:ascii="Arial Narrow" w:hAnsi="Arial Narrow"/>
                <w:sz w:val="20"/>
              </w:rPr>
              <w:t xml:space="preserve">the life years lost are calculated using </w:t>
            </w:r>
            <w:r w:rsidRPr="00C2153B">
              <w:rPr>
                <w:rFonts w:ascii="Arial Narrow" w:hAnsi="Arial Narrow"/>
                <w:sz w:val="20"/>
              </w:rPr>
              <w:t>a life time horizon.</w:t>
            </w:r>
          </w:p>
        </w:tc>
      </w:tr>
      <w:tr w:rsidR="00C230D7" w:rsidRPr="00650AEA" w:rsidTr="00B85B93">
        <w:trPr>
          <w:tblHeader/>
        </w:trPr>
        <w:tc>
          <w:tcPr>
            <w:tcW w:w="1104" w:type="pct"/>
            <w:tcBorders>
              <w:top w:val="single" w:sz="4" w:space="0" w:color="auto"/>
              <w:left w:val="single" w:sz="4" w:space="0" w:color="auto"/>
              <w:bottom w:val="single" w:sz="4" w:space="0" w:color="auto"/>
              <w:right w:val="single" w:sz="4" w:space="0" w:color="auto"/>
            </w:tcBorders>
            <w:shd w:val="clear" w:color="auto" w:fill="auto"/>
          </w:tcPr>
          <w:p w:rsidR="00C230D7" w:rsidRPr="00650AEA" w:rsidRDefault="00C230D7" w:rsidP="001C7B61">
            <w:pPr>
              <w:widowControl/>
              <w:jc w:val="left"/>
              <w:rPr>
                <w:rFonts w:ascii="Arial Narrow" w:hAnsi="Arial Narrow"/>
                <w:sz w:val="20"/>
              </w:rPr>
            </w:pPr>
            <w:r w:rsidRPr="00650AEA">
              <w:rPr>
                <w:rFonts w:ascii="Arial Narrow" w:hAnsi="Arial Narrow"/>
                <w:sz w:val="20"/>
              </w:rPr>
              <w:t>Outcomes</w:t>
            </w:r>
          </w:p>
        </w:tc>
        <w:tc>
          <w:tcPr>
            <w:tcW w:w="3896" w:type="pct"/>
            <w:tcBorders>
              <w:top w:val="single" w:sz="4" w:space="0" w:color="auto"/>
              <w:left w:val="single" w:sz="4" w:space="0" w:color="auto"/>
              <w:bottom w:val="single" w:sz="4" w:space="0" w:color="auto"/>
              <w:right w:val="single" w:sz="4" w:space="0" w:color="auto"/>
            </w:tcBorders>
          </w:tcPr>
          <w:p w:rsidR="00C230D7" w:rsidRPr="00E82E19" w:rsidRDefault="00C230D7" w:rsidP="001C7B61">
            <w:pPr>
              <w:keepNext/>
              <w:widowControl/>
              <w:rPr>
                <w:rFonts w:ascii="Arial Narrow" w:hAnsi="Arial Narrow"/>
                <w:sz w:val="20"/>
              </w:rPr>
            </w:pPr>
            <w:r>
              <w:rPr>
                <w:rFonts w:ascii="Arial Narrow" w:hAnsi="Arial Narrow"/>
                <w:sz w:val="20"/>
              </w:rPr>
              <w:t>Number of cases of pertussis, number of hospitalisations due to pertussis, deaths due to pertussis, QALYs</w:t>
            </w:r>
          </w:p>
        </w:tc>
      </w:tr>
      <w:tr w:rsidR="00C230D7" w:rsidRPr="00650AEA" w:rsidTr="00B85B93">
        <w:trPr>
          <w:tblHeader/>
        </w:trPr>
        <w:tc>
          <w:tcPr>
            <w:tcW w:w="1104" w:type="pct"/>
            <w:tcBorders>
              <w:top w:val="single" w:sz="4" w:space="0" w:color="auto"/>
              <w:left w:val="single" w:sz="4" w:space="0" w:color="auto"/>
              <w:bottom w:val="single" w:sz="4" w:space="0" w:color="auto"/>
              <w:right w:val="single" w:sz="4" w:space="0" w:color="auto"/>
            </w:tcBorders>
            <w:shd w:val="clear" w:color="auto" w:fill="auto"/>
          </w:tcPr>
          <w:p w:rsidR="00C230D7" w:rsidRPr="00650AEA" w:rsidRDefault="00C230D7" w:rsidP="001C7B61">
            <w:pPr>
              <w:widowControl/>
              <w:jc w:val="left"/>
              <w:rPr>
                <w:rFonts w:ascii="Arial Narrow" w:hAnsi="Arial Narrow"/>
                <w:sz w:val="20"/>
              </w:rPr>
            </w:pPr>
            <w:r w:rsidRPr="00650AEA">
              <w:rPr>
                <w:rFonts w:ascii="Arial Narrow" w:hAnsi="Arial Narrow"/>
                <w:sz w:val="20"/>
              </w:rPr>
              <w:t>Methods used to generate results</w:t>
            </w:r>
          </w:p>
        </w:tc>
        <w:tc>
          <w:tcPr>
            <w:tcW w:w="3896" w:type="pct"/>
            <w:tcBorders>
              <w:top w:val="single" w:sz="4" w:space="0" w:color="auto"/>
              <w:left w:val="single" w:sz="4" w:space="0" w:color="auto"/>
              <w:bottom w:val="single" w:sz="4" w:space="0" w:color="auto"/>
              <w:right w:val="single" w:sz="4" w:space="0" w:color="auto"/>
            </w:tcBorders>
          </w:tcPr>
          <w:p w:rsidR="00C230D7" w:rsidRPr="007F638D" w:rsidRDefault="00AF09FF" w:rsidP="001C7B61">
            <w:pPr>
              <w:keepNext/>
              <w:widowControl/>
              <w:rPr>
                <w:rFonts w:ascii="Arial Narrow" w:hAnsi="Arial Narrow"/>
                <w:sz w:val="20"/>
                <w:highlight w:val="yellow"/>
              </w:rPr>
            </w:pPr>
            <w:r>
              <w:rPr>
                <w:rFonts w:ascii="Arial Narrow" w:hAnsi="Arial Narrow"/>
                <w:sz w:val="20"/>
              </w:rPr>
              <w:t>Static p</w:t>
            </w:r>
            <w:r w:rsidR="00C230D7" w:rsidRPr="00C2153B">
              <w:rPr>
                <w:rFonts w:ascii="Arial Narrow" w:hAnsi="Arial Narrow"/>
                <w:sz w:val="20"/>
              </w:rPr>
              <w:t>opulation based decision tree.</w:t>
            </w:r>
            <w:r w:rsidR="00C230D7">
              <w:rPr>
                <w:rFonts w:ascii="Arial Narrow" w:hAnsi="Arial Narrow"/>
                <w:sz w:val="20"/>
              </w:rPr>
              <w:t xml:space="preserve"> The number of cases of pertussis with and without maternal vaccination is calculated. Costs and QALY losses are applied to each case.</w:t>
            </w:r>
          </w:p>
        </w:tc>
      </w:tr>
      <w:tr w:rsidR="00C230D7" w:rsidRPr="00650AEA" w:rsidTr="00B85B93">
        <w:trPr>
          <w:tblHeader/>
        </w:trPr>
        <w:tc>
          <w:tcPr>
            <w:tcW w:w="1104" w:type="pct"/>
            <w:tcBorders>
              <w:top w:val="single" w:sz="4" w:space="0" w:color="auto"/>
              <w:left w:val="single" w:sz="4" w:space="0" w:color="auto"/>
              <w:bottom w:val="single" w:sz="4" w:space="0" w:color="auto"/>
              <w:right w:val="single" w:sz="4" w:space="0" w:color="auto"/>
            </w:tcBorders>
            <w:shd w:val="clear" w:color="auto" w:fill="auto"/>
          </w:tcPr>
          <w:p w:rsidR="00C230D7" w:rsidRPr="00650AEA" w:rsidRDefault="00AF09FF" w:rsidP="001C7B61">
            <w:pPr>
              <w:widowControl/>
              <w:jc w:val="left"/>
              <w:rPr>
                <w:rFonts w:ascii="Arial Narrow" w:hAnsi="Arial Narrow"/>
                <w:sz w:val="20"/>
              </w:rPr>
            </w:pPr>
            <w:r>
              <w:rPr>
                <w:rFonts w:ascii="Arial Narrow" w:hAnsi="Arial Narrow"/>
                <w:sz w:val="20"/>
              </w:rPr>
              <w:t>I</w:t>
            </w:r>
            <w:r w:rsidR="00C230D7" w:rsidRPr="00650AEA">
              <w:rPr>
                <w:rFonts w:ascii="Arial Narrow" w:hAnsi="Arial Narrow"/>
                <w:sz w:val="20"/>
              </w:rPr>
              <w:t xml:space="preserve">ncidence of pertussis without maternal </w:t>
            </w:r>
            <w:r w:rsidR="00712B38">
              <w:rPr>
                <w:rFonts w:ascii="Arial Narrow" w:hAnsi="Arial Narrow"/>
                <w:sz w:val="20"/>
              </w:rPr>
              <w:t>dTpa</w:t>
            </w:r>
          </w:p>
        </w:tc>
        <w:tc>
          <w:tcPr>
            <w:tcW w:w="3896" w:type="pct"/>
            <w:tcBorders>
              <w:top w:val="single" w:sz="4" w:space="0" w:color="auto"/>
              <w:left w:val="single" w:sz="4" w:space="0" w:color="auto"/>
              <w:bottom w:val="single" w:sz="4" w:space="0" w:color="auto"/>
              <w:right w:val="single" w:sz="4" w:space="0" w:color="auto"/>
            </w:tcBorders>
          </w:tcPr>
          <w:p w:rsidR="00C230D7" w:rsidRPr="00C2153B" w:rsidRDefault="00C230D7" w:rsidP="001C7B61">
            <w:pPr>
              <w:keepNext/>
              <w:widowControl/>
              <w:rPr>
                <w:rFonts w:ascii="Arial Narrow" w:hAnsi="Arial Narrow"/>
                <w:sz w:val="20"/>
              </w:rPr>
            </w:pPr>
            <w:r w:rsidRPr="00C2153B">
              <w:rPr>
                <w:rFonts w:ascii="Arial Narrow" w:hAnsi="Arial Narrow"/>
                <w:sz w:val="20"/>
              </w:rPr>
              <w:t>Reported: based on NNDSS data</w:t>
            </w:r>
          </w:p>
          <w:p w:rsidR="00C230D7" w:rsidRPr="007F638D" w:rsidRDefault="00C230D7" w:rsidP="001C7B61">
            <w:pPr>
              <w:keepNext/>
              <w:widowControl/>
              <w:rPr>
                <w:rFonts w:ascii="Arial Narrow" w:hAnsi="Arial Narrow"/>
                <w:sz w:val="20"/>
                <w:highlight w:val="yellow"/>
              </w:rPr>
            </w:pPr>
            <w:r w:rsidRPr="00C2153B">
              <w:rPr>
                <w:rFonts w:ascii="Arial Narrow" w:hAnsi="Arial Narrow"/>
                <w:sz w:val="20"/>
              </w:rPr>
              <w:t>Unreported: assumed proportional increase compared with reported cases</w:t>
            </w:r>
            <w:r w:rsidR="006C7176">
              <w:rPr>
                <w:rFonts w:ascii="Arial Narrow" w:hAnsi="Arial Narrow"/>
                <w:sz w:val="20"/>
              </w:rPr>
              <w:t>, with proportion differing across age groups</w:t>
            </w:r>
          </w:p>
        </w:tc>
      </w:tr>
      <w:tr w:rsidR="00C230D7" w:rsidRPr="00650AEA" w:rsidTr="00B85B93">
        <w:trPr>
          <w:tblHeader/>
        </w:trPr>
        <w:tc>
          <w:tcPr>
            <w:tcW w:w="1104" w:type="pct"/>
            <w:tcBorders>
              <w:top w:val="single" w:sz="4" w:space="0" w:color="auto"/>
              <w:left w:val="single" w:sz="4" w:space="0" w:color="auto"/>
              <w:bottom w:val="single" w:sz="4" w:space="0" w:color="auto"/>
              <w:right w:val="single" w:sz="4" w:space="0" w:color="auto"/>
            </w:tcBorders>
            <w:shd w:val="clear" w:color="auto" w:fill="auto"/>
          </w:tcPr>
          <w:p w:rsidR="00C230D7" w:rsidRPr="00650AEA" w:rsidRDefault="00AF09FF" w:rsidP="001C7B61">
            <w:pPr>
              <w:widowControl/>
              <w:jc w:val="left"/>
              <w:rPr>
                <w:rFonts w:ascii="Arial Narrow" w:hAnsi="Arial Narrow"/>
                <w:sz w:val="20"/>
              </w:rPr>
            </w:pPr>
            <w:r>
              <w:rPr>
                <w:rFonts w:ascii="Arial Narrow" w:hAnsi="Arial Narrow"/>
                <w:sz w:val="20"/>
              </w:rPr>
              <w:t xml:space="preserve">Incidence of pertussis with maternal </w:t>
            </w:r>
            <w:r w:rsidR="00712B38">
              <w:rPr>
                <w:rFonts w:ascii="Arial Narrow" w:hAnsi="Arial Narrow"/>
                <w:sz w:val="20"/>
              </w:rPr>
              <w:t>dTpa</w:t>
            </w:r>
          </w:p>
        </w:tc>
        <w:tc>
          <w:tcPr>
            <w:tcW w:w="3896" w:type="pct"/>
            <w:tcBorders>
              <w:top w:val="single" w:sz="4" w:space="0" w:color="auto"/>
              <w:left w:val="single" w:sz="4" w:space="0" w:color="auto"/>
              <w:bottom w:val="single" w:sz="4" w:space="0" w:color="auto"/>
              <w:right w:val="single" w:sz="4" w:space="0" w:color="auto"/>
            </w:tcBorders>
          </w:tcPr>
          <w:p w:rsidR="00C230D7" w:rsidRPr="00C2153B" w:rsidDel="00C2153B" w:rsidRDefault="00C230D7" w:rsidP="001C7B61">
            <w:pPr>
              <w:keepNext/>
              <w:widowControl/>
              <w:rPr>
                <w:rFonts w:ascii="Arial Narrow" w:hAnsi="Arial Narrow"/>
                <w:sz w:val="20"/>
              </w:rPr>
            </w:pPr>
            <w:r>
              <w:rPr>
                <w:rFonts w:ascii="Arial Narrow" w:hAnsi="Arial Narrow"/>
                <w:sz w:val="20"/>
              </w:rPr>
              <w:t>Number of cases multiplied by the VE and coverage</w:t>
            </w:r>
          </w:p>
        </w:tc>
      </w:tr>
      <w:tr w:rsidR="00C230D7" w:rsidRPr="00650AEA" w:rsidTr="00B85B93">
        <w:trPr>
          <w:tblHeader/>
        </w:trPr>
        <w:tc>
          <w:tcPr>
            <w:tcW w:w="1104" w:type="pct"/>
            <w:tcBorders>
              <w:top w:val="single" w:sz="4" w:space="0" w:color="auto"/>
              <w:left w:val="single" w:sz="4" w:space="0" w:color="auto"/>
              <w:bottom w:val="single" w:sz="4" w:space="0" w:color="auto"/>
              <w:right w:val="single" w:sz="4" w:space="0" w:color="auto"/>
            </w:tcBorders>
            <w:shd w:val="clear" w:color="auto" w:fill="auto"/>
          </w:tcPr>
          <w:p w:rsidR="00C230D7" w:rsidRPr="00650AEA" w:rsidRDefault="00C230D7" w:rsidP="001C7B61">
            <w:pPr>
              <w:widowControl/>
              <w:jc w:val="left"/>
              <w:rPr>
                <w:rFonts w:ascii="Arial Narrow" w:hAnsi="Arial Narrow"/>
                <w:sz w:val="20"/>
              </w:rPr>
            </w:pPr>
            <w:r w:rsidRPr="00650AEA">
              <w:rPr>
                <w:rFonts w:ascii="Arial Narrow" w:hAnsi="Arial Narrow"/>
                <w:sz w:val="20"/>
              </w:rPr>
              <w:t>Outcomes for each event</w:t>
            </w:r>
          </w:p>
        </w:tc>
        <w:tc>
          <w:tcPr>
            <w:tcW w:w="3896" w:type="pct"/>
            <w:tcBorders>
              <w:top w:val="single" w:sz="4" w:space="0" w:color="auto"/>
              <w:left w:val="single" w:sz="4" w:space="0" w:color="auto"/>
              <w:bottom w:val="single" w:sz="4" w:space="0" w:color="auto"/>
              <w:right w:val="single" w:sz="4" w:space="0" w:color="auto"/>
            </w:tcBorders>
          </w:tcPr>
          <w:p w:rsidR="00C230D7" w:rsidRPr="00C2153B" w:rsidRDefault="00C230D7" w:rsidP="001C7B61">
            <w:pPr>
              <w:keepNext/>
              <w:widowControl/>
              <w:rPr>
                <w:rFonts w:ascii="Arial Narrow" w:hAnsi="Arial Narrow"/>
                <w:sz w:val="20"/>
              </w:rPr>
            </w:pPr>
            <w:r w:rsidRPr="00C2153B">
              <w:rPr>
                <w:rFonts w:ascii="Arial Narrow" w:hAnsi="Arial Narrow"/>
                <w:sz w:val="20"/>
              </w:rPr>
              <w:t>Reported: Costs for hospitalisation or ambulatory care, QALY loss, death</w:t>
            </w:r>
          </w:p>
          <w:p w:rsidR="00C230D7" w:rsidRPr="00864435" w:rsidRDefault="00C230D7" w:rsidP="001C7B61">
            <w:pPr>
              <w:keepNext/>
              <w:widowControl/>
              <w:rPr>
                <w:rFonts w:ascii="Arial Narrow" w:hAnsi="Arial Narrow"/>
                <w:sz w:val="20"/>
              </w:rPr>
            </w:pPr>
            <w:r w:rsidRPr="00C2153B">
              <w:rPr>
                <w:rFonts w:ascii="Arial Narrow" w:hAnsi="Arial Narrow"/>
                <w:sz w:val="20"/>
              </w:rPr>
              <w:t>Unreported: QALY loss</w:t>
            </w:r>
          </w:p>
        </w:tc>
      </w:tr>
      <w:tr w:rsidR="00C230D7" w:rsidRPr="00650AEA" w:rsidTr="00B85B93">
        <w:trPr>
          <w:tblHeader/>
        </w:trPr>
        <w:tc>
          <w:tcPr>
            <w:tcW w:w="1104" w:type="pct"/>
            <w:tcBorders>
              <w:top w:val="single" w:sz="4" w:space="0" w:color="auto"/>
              <w:left w:val="single" w:sz="4" w:space="0" w:color="auto"/>
              <w:bottom w:val="single" w:sz="4" w:space="0" w:color="auto"/>
              <w:right w:val="single" w:sz="4" w:space="0" w:color="auto"/>
            </w:tcBorders>
            <w:shd w:val="clear" w:color="auto" w:fill="auto"/>
          </w:tcPr>
          <w:p w:rsidR="00C230D7" w:rsidRPr="00650AEA" w:rsidRDefault="00C230D7" w:rsidP="001C7B61">
            <w:pPr>
              <w:widowControl/>
              <w:jc w:val="left"/>
              <w:rPr>
                <w:rFonts w:ascii="Arial Narrow" w:hAnsi="Arial Narrow"/>
                <w:sz w:val="20"/>
              </w:rPr>
            </w:pPr>
            <w:r w:rsidRPr="00650AEA">
              <w:rPr>
                <w:rFonts w:ascii="Arial Narrow" w:hAnsi="Arial Narrow"/>
                <w:sz w:val="20"/>
              </w:rPr>
              <w:t>Discount rate</w:t>
            </w:r>
          </w:p>
        </w:tc>
        <w:tc>
          <w:tcPr>
            <w:tcW w:w="3896" w:type="pct"/>
            <w:tcBorders>
              <w:top w:val="single" w:sz="4" w:space="0" w:color="auto"/>
              <w:left w:val="single" w:sz="4" w:space="0" w:color="auto"/>
              <w:bottom w:val="single" w:sz="4" w:space="0" w:color="auto"/>
              <w:right w:val="single" w:sz="4" w:space="0" w:color="auto"/>
            </w:tcBorders>
          </w:tcPr>
          <w:p w:rsidR="00C230D7" w:rsidRPr="00E82E19" w:rsidRDefault="00C230D7" w:rsidP="001C7B61">
            <w:pPr>
              <w:keepNext/>
              <w:widowControl/>
              <w:rPr>
                <w:rFonts w:ascii="Arial Narrow" w:hAnsi="Arial Narrow"/>
                <w:sz w:val="20"/>
              </w:rPr>
            </w:pPr>
            <w:r w:rsidRPr="00864435">
              <w:rPr>
                <w:rFonts w:ascii="Arial Narrow" w:hAnsi="Arial Narrow"/>
                <w:sz w:val="20"/>
              </w:rPr>
              <w:t xml:space="preserve">5% annually to costs  </w:t>
            </w:r>
            <w:r>
              <w:rPr>
                <w:rFonts w:ascii="Arial Narrow" w:hAnsi="Arial Narrow"/>
                <w:sz w:val="20"/>
              </w:rPr>
              <w:t>and QALY</w:t>
            </w:r>
            <w:r w:rsidRPr="00864435">
              <w:rPr>
                <w:rFonts w:ascii="Arial Narrow" w:hAnsi="Arial Narrow"/>
                <w:sz w:val="20"/>
              </w:rPr>
              <w:t>s</w:t>
            </w:r>
          </w:p>
        </w:tc>
      </w:tr>
      <w:tr w:rsidR="00C230D7" w:rsidRPr="00650AEA" w:rsidTr="00B85B93">
        <w:trPr>
          <w:tblHeader/>
        </w:trPr>
        <w:tc>
          <w:tcPr>
            <w:tcW w:w="1104" w:type="pct"/>
            <w:tcBorders>
              <w:top w:val="single" w:sz="4" w:space="0" w:color="auto"/>
              <w:left w:val="single" w:sz="4" w:space="0" w:color="auto"/>
              <w:bottom w:val="single" w:sz="4" w:space="0" w:color="auto"/>
              <w:right w:val="single" w:sz="4" w:space="0" w:color="auto"/>
            </w:tcBorders>
            <w:shd w:val="clear" w:color="auto" w:fill="auto"/>
          </w:tcPr>
          <w:p w:rsidR="00C230D7" w:rsidRPr="00650AEA" w:rsidRDefault="00C230D7" w:rsidP="001C7B61">
            <w:pPr>
              <w:widowControl/>
              <w:jc w:val="left"/>
              <w:rPr>
                <w:rFonts w:ascii="Arial Narrow" w:hAnsi="Arial Narrow"/>
                <w:sz w:val="20"/>
              </w:rPr>
            </w:pPr>
            <w:r w:rsidRPr="00650AEA">
              <w:rPr>
                <w:rFonts w:ascii="Arial Narrow" w:hAnsi="Arial Narrow"/>
                <w:sz w:val="20"/>
              </w:rPr>
              <w:t>Software package</w:t>
            </w:r>
          </w:p>
        </w:tc>
        <w:tc>
          <w:tcPr>
            <w:tcW w:w="3896" w:type="pct"/>
            <w:tcBorders>
              <w:top w:val="single" w:sz="4" w:space="0" w:color="auto"/>
              <w:left w:val="single" w:sz="4" w:space="0" w:color="auto"/>
              <w:bottom w:val="single" w:sz="4" w:space="0" w:color="auto"/>
              <w:right w:val="single" w:sz="4" w:space="0" w:color="auto"/>
            </w:tcBorders>
          </w:tcPr>
          <w:p w:rsidR="00C230D7" w:rsidRPr="00E82E19" w:rsidRDefault="00C230D7" w:rsidP="001C7B61">
            <w:pPr>
              <w:keepNext/>
              <w:widowControl/>
              <w:rPr>
                <w:rFonts w:ascii="Arial Narrow" w:hAnsi="Arial Narrow"/>
                <w:sz w:val="20"/>
              </w:rPr>
            </w:pPr>
            <w:r>
              <w:rPr>
                <w:rFonts w:ascii="Arial Narrow" w:hAnsi="Arial Narrow"/>
                <w:sz w:val="20"/>
              </w:rPr>
              <w:t>Excel</w:t>
            </w:r>
          </w:p>
        </w:tc>
      </w:tr>
    </w:tbl>
    <w:p w:rsidR="00607883" w:rsidRPr="006B2A4D" w:rsidRDefault="00607883" w:rsidP="001C7B61">
      <w:pPr>
        <w:pStyle w:val="TableFooter"/>
        <w:widowControl/>
        <w:ind w:firstLine="720"/>
      </w:pPr>
      <w:r w:rsidRPr="00AE376F">
        <w:t xml:space="preserve">Source: </w:t>
      </w:r>
      <w:r w:rsidR="00AE376F" w:rsidRPr="00AE376F">
        <w:t>constructed during the evaluation</w:t>
      </w:r>
    </w:p>
    <w:p w:rsidR="00DF04D9" w:rsidRDefault="00DF04D9" w:rsidP="001C7B61">
      <w:pPr>
        <w:pStyle w:val="ListParagraph"/>
        <w:widowControl/>
        <w:rPr>
          <w:szCs w:val="22"/>
        </w:rPr>
      </w:pPr>
    </w:p>
    <w:p w:rsidR="00607883" w:rsidRPr="006B2A4D" w:rsidRDefault="0049185F" w:rsidP="001C7B61">
      <w:pPr>
        <w:pStyle w:val="ListParagraph"/>
        <w:widowControl/>
        <w:numPr>
          <w:ilvl w:val="1"/>
          <w:numId w:val="3"/>
        </w:numPr>
        <w:rPr>
          <w:szCs w:val="22"/>
        </w:rPr>
      </w:pPr>
      <w:r>
        <w:rPr>
          <w:szCs w:val="22"/>
        </w:rPr>
        <w:t>The key model drivers are summarised in the Table</w:t>
      </w:r>
      <w:r w:rsidR="00AB0B6E">
        <w:rPr>
          <w:szCs w:val="22"/>
        </w:rPr>
        <w:t xml:space="preserve"> 6</w:t>
      </w:r>
      <w:r>
        <w:rPr>
          <w:szCs w:val="22"/>
        </w:rPr>
        <w:t xml:space="preserve"> below.</w:t>
      </w:r>
    </w:p>
    <w:p w:rsidR="00607883" w:rsidRPr="006B2A4D" w:rsidRDefault="00607883" w:rsidP="001C7B61">
      <w:pPr>
        <w:widowControl/>
        <w:rPr>
          <w:szCs w:val="22"/>
        </w:rPr>
      </w:pPr>
    </w:p>
    <w:p w:rsidR="00607883" w:rsidRPr="006B2A4D" w:rsidRDefault="00A13FD2" w:rsidP="001C7B61">
      <w:pPr>
        <w:keepNext/>
        <w:widowControl/>
        <w:ind w:firstLine="720"/>
        <w:rPr>
          <w:rStyle w:val="CommentReference"/>
        </w:rPr>
      </w:pPr>
      <w:r>
        <w:rPr>
          <w:rStyle w:val="CommentReference"/>
        </w:rPr>
        <w:t xml:space="preserve">Table </w:t>
      </w:r>
      <w:r w:rsidR="00AB0B6E">
        <w:rPr>
          <w:rStyle w:val="CommentReference"/>
        </w:rPr>
        <w:t>6</w:t>
      </w:r>
      <w:r w:rsidR="00607883" w:rsidRPr="006B2A4D">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7"/>
        <w:gridCol w:w="5389"/>
        <w:gridCol w:w="1399"/>
      </w:tblGrid>
      <w:tr w:rsidR="00607883" w:rsidRPr="006B2A4D" w:rsidTr="00E24767">
        <w:trPr>
          <w:tblHeader/>
        </w:trPr>
        <w:tc>
          <w:tcPr>
            <w:tcW w:w="933" w:type="pct"/>
            <w:shd w:val="clear" w:color="auto" w:fill="auto"/>
            <w:vAlign w:val="center"/>
          </w:tcPr>
          <w:p w:rsidR="00607883" w:rsidRPr="006B2A4D" w:rsidRDefault="00607883" w:rsidP="001C7B61">
            <w:pPr>
              <w:keepNext/>
              <w:widowControl/>
              <w:jc w:val="left"/>
              <w:rPr>
                <w:rFonts w:ascii="Arial Narrow" w:hAnsi="Arial Narrow"/>
                <w:b/>
                <w:sz w:val="20"/>
              </w:rPr>
            </w:pPr>
            <w:r w:rsidRPr="006B2A4D">
              <w:rPr>
                <w:rFonts w:ascii="Arial Narrow" w:hAnsi="Arial Narrow"/>
                <w:b/>
                <w:sz w:val="20"/>
              </w:rPr>
              <w:t>Description</w:t>
            </w:r>
          </w:p>
        </w:tc>
        <w:tc>
          <w:tcPr>
            <w:tcW w:w="3228" w:type="pct"/>
            <w:shd w:val="clear" w:color="auto" w:fill="auto"/>
            <w:vAlign w:val="center"/>
          </w:tcPr>
          <w:p w:rsidR="00607883" w:rsidRPr="006B2A4D" w:rsidRDefault="00607883" w:rsidP="001C7B61">
            <w:pPr>
              <w:keepNext/>
              <w:widowControl/>
              <w:jc w:val="center"/>
              <w:rPr>
                <w:rFonts w:ascii="Arial Narrow" w:hAnsi="Arial Narrow"/>
                <w:b/>
                <w:sz w:val="20"/>
              </w:rPr>
            </w:pPr>
            <w:r w:rsidRPr="006B2A4D">
              <w:rPr>
                <w:rFonts w:ascii="Arial Narrow" w:hAnsi="Arial Narrow"/>
                <w:b/>
                <w:sz w:val="20"/>
              </w:rPr>
              <w:t>Method/Value</w:t>
            </w:r>
          </w:p>
        </w:tc>
        <w:tc>
          <w:tcPr>
            <w:tcW w:w="838" w:type="pct"/>
            <w:shd w:val="clear" w:color="auto" w:fill="auto"/>
            <w:vAlign w:val="center"/>
          </w:tcPr>
          <w:p w:rsidR="00607883" w:rsidRPr="006B2A4D" w:rsidRDefault="00607883" w:rsidP="001C7B61">
            <w:pPr>
              <w:keepNext/>
              <w:widowControl/>
              <w:jc w:val="center"/>
              <w:rPr>
                <w:rFonts w:ascii="Arial Narrow" w:hAnsi="Arial Narrow"/>
                <w:b/>
                <w:sz w:val="20"/>
              </w:rPr>
            </w:pPr>
            <w:r w:rsidRPr="006B2A4D">
              <w:rPr>
                <w:rFonts w:ascii="Arial Narrow" w:hAnsi="Arial Narrow"/>
                <w:b/>
                <w:sz w:val="20"/>
              </w:rPr>
              <w:t>Impact</w:t>
            </w:r>
          </w:p>
        </w:tc>
      </w:tr>
      <w:tr w:rsidR="00607883" w:rsidRPr="006B2A4D" w:rsidTr="00E24767">
        <w:tc>
          <w:tcPr>
            <w:tcW w:w="933" w:type="pct"/>
            <w:shd w:val="clear" w:color="auto" w:fill="auto"/>
            <w:vAlign w:val="center"/>
          </w:tcPr>
          <w:p w:rsidR="00607883" w:rsidRPr="006B2A4D" w:rsidRDefault="0049185F" w:rsidP="001C7B61">
            <w:pPr>
              <w:keepNext/>
              <w:widowControl/>
              <w:jc w:val="left"/>
              <w:rPr>
                <w:rFonts w:ascii="Arial Narrow" w:hAnsi="Arial Narrow"/>
                <w:sz w:val="20"/>
              </w:rPr>
            </w:pPr>
            <w:r>
              <w:rPr>
                <w:rFonts w:ascii="Arial Narrow" w:hAnsi="Arial Narrow"/>
                <w:sz w:val="20"/>
              </w:rPr>
              <w:t>The number of unreported cases of pertussis</w:t>
            </w:r>
          </w:p>
        </w:tc>
        <w:tc>
          <w:tcPr>
            <w:tcW w:w="3228" w:type="pct"/>
            <w:shd w:val="clear" w:color="auto" w:fill="auto"/>
            <w:vAlign w:val="center"/>
          </w:tcPr>
          <w:p w:rsidR="00AF09FF" w:rsidRPr="00281101" w:rsidRDefault="0049185F" w:rsidP="001C7B61">
            <w:pPr>
              <w:keepNext/>
              <w:widowControl/>
              <w:jc w:val="center"/>
              <w:rPr>
                <w:rFonts w:ascii="Arial Narrow" w:hAnsi="Arial Narrow"/>
                <w:sz w:val="20"/>
              </w:rPr>
            </w:pPr>
            <w:r w:rsidRPr="00281101">
              <w:rPr>
                <w:rFonts w:ascii="Arial Narrow" w:hAnsi="Arial Narrow"/>
                <w:sz w:val="20"/>
              </w:rPr>
              <w:t>Underreporting factor of 2 assumed for infants (</w:t>
            </w:r>
            <w:r w:rsidR="005131B9" w:rsidRPr="00281101">
              <w:rPr>
                <w:rFonts w:ascii="Arial Narrow" w:hAnsi="Arial Narrow"/>
                <w:sz w:val="20"/>
              </w:rPr>
              <w:t xml:space="preserve">i.e. </w:t>
            </w:r>
            <w:r w:rsidRPr="00281101">
              <w:rPr>
                <w:rFonts w:ascii="Arial Narrow" w:hAnsi="Arial Narrow"/>
                <w:sz w:val="20"/>
              </w:rPr>
              <w:t>50% cases are unreported)</w:t>
            </w:r>
            <w:r w:rsidR="00B243C9" w:rsidRPr="00281101">
              <w:rPr>
                <w:rFonts w:ascii="Arial Narrow" w:hAnsi="Arial Narrow"/>
                <w:sz w:val="20"/>
              </w:rPr>
              <w:t xml:space="preserve">; </w:t>
            </w:r>
            <w:r w:rsidRPr="00281101">
              <w:rPr>
                <w:rFonts w:ascii="Arial Narrow" w:hAnsi="Arial Narrow"/>
                <w:sz w:val="20"/>
              </w:rPr>
              <w:t>Underreporting factor of 20 assumed for mothers (</w:t>
            </w:r>
            <w:r w:rsidR="005131B9" w:rsidRPr="00281101">
              <w:rPr>
                <w:rFonts w:ascii="Arial Narrow" w:hAnsi="Arial Narrow"/>
                <w:sz w:val="20"/>
              </w:rPr>
              <w:t xml:space="preserve">i.e. </w:t>
            </w:r>
            <w:r w:rsidRPr="00281101">
              <w:rPr>
                <w:rFonts w:ascii="Arial Narrow" w:hAnsi="Arial Narrow"/>
                <w:sz w:val="20"/>
              </w:rPr>
              <w:t>95% of cases are unreported)</w:t>
            </w:r>
            <w:r w:rsidR="00712B38" w:rsidRPr="00281101">
              <w:rPr>
                <w:rFonts w:ascii="Arial Narrow" w:hAnsi="Arial Narrow"/>
                <w:sz w:val="20"/>
              </w:rPr>
              <w:t xml:space="preserve">. </w:t>
            </w:r>
            <w:r w:rsidR="00AF09FF" w:rsidRPr="00281101">
              <w:rPr>
                <w:rFonts w:ascii="Arial Narrow" w:hAnsi="Arial Narrow"/>
                <w:sz w:val="20"/>
              </w:rPr>
              <w:t>It is not stated in the submission how the underreporting factors were calculated.</w:t>
            </w:r>
          </w:p>
        </w:tc>
        <w:tc>
          <w:tcPr>
            <w:tcW w:w="838" w:type="pct"/>
            <w:shd w:val="clear" w:color="auto" w:fill="auto"/>
            <w:vAlign w:val="center"/>
          </w:tcPr>
          <w:p w:rsidR="00607883" w:rsidRPr="00A94EF5" w:rsidRDefault="00607883" w:rsidP="001C7B61">
            <w:pPr>
              <w:keepNext/>
              <w:widowControl/>
              <w:jc w:val="center"/>
              <w:rPr>
                <w:rFonts w:ascii="Arial Narrow" w:hAnsi="Arial Narrow"/>
                <w:sz w:val="20"/>
              </w:rPr>
            </w:pPr>
            <w:r w:rsidRPr="00A94EF5">
              <w:rPr>
                <w:rFonts w:ascii="Arial Narrow" w:hAnsi="Arial Narrow"/>
                <w:sz w:val="20"/>
              </w:rPr>
              <w:t>High</w:t>
            </w:r>
            <w:r w:rsidR="00E24767" w:rsidRPr="00A94EF5">
              <w:rPr>
                <w:rFonts w:ascii="Arial Narrow" w:hAnsi="Arial Narrow"/>
                <w:sz w:val="20"/>
              </w:rPr>
              <w:t xml:space="preserve"> </w:t>
            </w:r>
          </w:p>
        </w:tc>
      </w:tr>
      <w:tr w:rsidR="00607883" w:rsidRPr="006B2A4D" w:rsidTr="00E24767">
        <w:tc>
          <w:tcPr>
            <w:tcW w:w="933" w:type="pct"/>
            <w:shd w:val="clear" w:color="auto" w:fill="auto"/>
            <w:vAlign w:val="center"/>
          </w:tcPr>
          <w:p w:rsidR="00607883" w:rsidRPr="00112C00" w:rsidRDefault="0049185F" w:rsidP="001C7B61">
            <w:pPr>
              <w:keepNext/>
              <w:widowControl/>
              <w:jc w:val="left"/>
              <w:rPr>
                <w:rFonts w:ascii="Arial Narrow" w:hAnsi="Arial Narrow"/>
                <w:sz w:val="20"/>
              </w:rPr>
            </w:pPr>
            <w:r w:rsidRPr="00112C00">
              <w:rPr>
                <w:rFonts w:ascii="Arial Narrow" w:hAnsi="Arial Narrow"/>
                <w:sz w:val="20"/>
              </w:rPr>
              <w:t>Disutility applied to unreported cases</w:t>
            </w:r>
          </w:p>
        </w:tc>
        <w:tc>
          <w:tcPr>
            <w:tcW w:w="3228" w:type="pct"/>
            <w:shd w:val="clear" w:color="auto" w:fill="auto"/>
            <w:vAlign w:val="center"/>
          </w:tcPr>
          <w:p w:rsidR="0049185F" w:rsidRPr="00112C00" w:rsidRDefault="00693BAB" w:rsidP="001C7B61">
            <w:pPr>
              <w:keepNext/>
              <w:widowControl/>
              <w:jc w:val="center"/>
              <w:rPr>
                <w:rFonts w:ascii="Arial Narrow" w:hAnsi="Arial Narrow"/>
                <w:sz w:val="20"/>
              </w:rPr>
            </w:pPr>
            <w:r w:rsidRPr="00112C00">
              <w:rPr>
                <w:rFonts w:ascii="Arial Narrow" w:hAnsi="Arial Narrow"/>
                <w:sz w:val="20"/>
              </w:rPr>
              <w:t>Infant: 0.15; M</w:t>
            </w:r>
            <w:r w:rsidR="0049185F" w:rsidRPr="00112C00">
              <w:rPr>
                <w:rFonts w:ascii="Arial Narrow" w:hAnsi="Arial Narrow"/>
                <w:sz w:val="20"/>
              </w:rPr>
              <w:t>other 0.08</w:t>
            </w:r>
            <w:r w:rsidRPr="00112C00">
              <w:rPr>
                <w:rFonts w:ascii="Arial Narrow" w:hAnsi="Arial Narrow"/>
                <w:sz w:val="20"/>
              </w:rPr>
              <w:t>-0.11</w:t>
            </w:r>
          </w:p>
          <w:p w:rsidR="00607883" w:rsidRPr="00112C00" w:rsidRDefault="00693BAB" w:rsidP="001C7B61">
            <w:pPr>
              <w:keepNext/>
              <w:widowControl/>
              <w:jc w:val="center"/>
              <w:rPr>
                <w:rFonts w:ascii="Arial Narrow" w:hAnsi="Arial Narrow"/>
                <w:sz w:val="20"/>
              </w:rPr>
            </w:pPr>
            <w:r w:rsidRPr="00112C00">
              <w:rPr>
                <w:rFonts w:ascii="Arial Narrow" w:hAnsi="Arial Narrow"/>
                <w:sz w:val="20"/>
              </w:rPr>
              <w:t xml:space="preserve">The disutilities applied are 50% of the disutilities for </w:t>
            </w:r>
            <w:r w:rsidR="0049185F" w:rsidRPr="00112C00">
              <w:rPr>
                <w:rFonts w:ascii="Arial Narrow" w:hAnsi="Arial Narrow"/>
                <w:sz w:val="20"/>
              </w:rPr>
              <w:t>reported cases</w:t>
            </w:r>
            <w:r w:rsidRPr="00112C00">
              <w:rPr>
                <w:rFonts w:ascii="Arial Narrow" w:hAnsi="Arial Narrow"/>
                <w:sz w:val="20"/>
              </w:rPr>
              <w:t xml:space="preserve">. Supporting literature is not provided for </w:t>
            </w:r>
            <w:r w:rsidR="00712B38" w:rsidRPr="00112C00">
              <w:rPr>
                <w:rFonts w:ascii="Arial Narrow" w:hAnsi="Arial Narrow"/>
                <w:sz w:val="20"/>
              </w:rPr>
              <w:t>the 50% reduction</w:t>
            </w:r>
            <w:r w:rsidRPr="00112C00">
              <w:rPr>
                <w:rFonts w:ascii="Arial Narrow" w:hAnsi="Arial Narrow"/>
                <w:sz w:val="20"/>
              </w:rPr>
              <w:t>.</w:t>
            </w:r>
          </w:p>
        </w:tc>
        <w:tc>
          <w:tcPr>
            <w:tcW w:w="838" w:type="pct"/>
            <w:shd w:val="clear" w:color="auto" w:fill="auto"/>
            <w:vAlign w:val="center"/>
          </w:tcPr>
          <w:p w:rsidR="00607883" w:rsidRPr="00112C00" w:rsidRDefault="00693BAB" w:rsidP="001C7B61">
            <w:pPr>
              <w:keepNext/>
              <w:widowControl/>
              <w:jc w:val="center"/>
              <w:rPr>
                <w:rFonts w:ascii="Arial Narrow" w:hAnsi="Arial Narrow"/>
                <w:sz w:val="20"/>
              </w:rPr>
            </w:pPr>
            <w:r w:rsidRPr="00112C00">
              <w:rPr>
                <w:rFonts w:ascii="Arial Narrow" w:hAnsi="Arial Narrow"/>
                <w:sz w:val="20"/>
              </w:rPr>
              <w:t>High</w:t>
            </w:r>
          </w:p>
        </w:tc>
      </w:tr>
      <w:tr w:rsidR="00E24767" w:rsidRPr="006B2A4D" w:rsidTr="00E24767">
        <w:tc>
          <w:tcPr>
            <w:tcW w:w="933" w:type="pct"/>
            <w:shd w:val="clear" w:color="auto" w:fill="auto"/>
            <w:vAlign w:val="center"/>
          </w:tcPr>
          <w:p w:rsidR="00E24767" w:rsidRPr="00112C00" w:rsidRDefault="00E24767" w:rsidP="001C7B61">
            <w:pPr>
              <w:keepNext/>
              <w:widowControl/>
              <w:jc w:val="left"/>
              <w:rPr>
                <w:rFonts w:ascii="Arial Narrow" w:hAnsi="Arial Narrow"/>
                <w:sz w:val="20"/>
              </w:rPr>
            </w:pPr>
            <w:r w:rsidRPr="00112C00">
              <w:rPr>
                <w:rFonts w:ascii="Arial Narrow" w:hAnsi="Arial Narrow"/>
                <w:sz w:val="20"/>
              </w:rPr>
              <w:t>Duration of disease</w:t>
            </w:r>
          </w:p>
        </w:tc>
        <w:tc>
          <w:tcPr>
            <w:tcW w:w="3228" w:type="pct"/>
            <w:shd w:val="clear" w:color="auto" w:fill="auto"/>
            <w:vAlign w:val="center"/>
          </w:tcPr>
          <w:p w:rsidR="00E24767" w:rsidRPr="00112C00" w:rsidRDefault="00E24767" w:rsidP="001C7B61">
            <w:pPr>
              <w:keepNext/>
              <w:widowControl/>
              <w:jc w:val="center"/>
              <w:rPr>
                <w:rFonts w:ascii="Arial Narrow" w:hAnsi="Arial Narrow"/>
                <w:sz w:val="20"/>
              </w:rPr>
            </w:pPr>
            <w:r w:rsidRPr="00112C00">
              <w:rPr>
                <w:rFonts w:ascii="Arial Narrow" w:hAnsi="Arial Narrow"/>
                <w:sz w:val="20"/>
              </w:rPr>
              <w:t>The duration of pertussis is assumed to be betwe</w:t>
            </w:r>
            <w:r w:rsidR="00A94EF5" w:rsidRPr="00112C00">
              <w:rPr>
                <w:rFonts w:ascii="Arial Narrow" w:hAnsi="Arial Narrow"/>
                <w:sz w:val="20"/>
              </w:rPr>
              <w:t>en 62 and 80 days. This was in</w:t>
            </w:r>
            <w:r w:rsidRPr="00112C00">
              <w:rPr>
                <w:rFonts w:ascii="Arial Narrow" w:hAnsi="Arial Narrow"/>
                <w:sz w:val="20"/>
              </w:rPr>
              <w:t>adequately justified in the submission</w:t>
            </w:r>
            <w:r w:rsidR="00A94EF5" w:rsidRPr="00112C00">
              <w:rPr>
                <w:rFonts w:ascii="Arial Narrow" w:hAnsi="Arial Narrow"/>
                <w:sz w:val="20"/>
              </w:rPr>
              <w:t>.</w:t>
            </w:r>
          </w:p>
        </w:tc>
        <w:tc>
          <w:tcPr>
            <w:tcW w:w="838" w:type="pct"/>
            <w:shd w:val="clear" w:color="auto" w:fill="auto"/>
            <w:vAlign w:val="center"/>
          </w:tcPr>
          <w:p w:rsidR="00E24767" w:rsidRPr="00112C00" w:rsidRDefault="00A12D20" w:rsidP="001C7B61">
            <w:pPr>
              <w:keepNext/>
              <w:widowControl/>
              <w:jc w:val="center"/>
              <w:rPr>
                <w:rFonts w:ascii="Arial Narrow" w:hAnsi="Arial Narrow"/>
                <w:sz w:val="20"/>
                <w:highlight w:val="yellow"/>
              </w:rPr>
            </w:pPr>
            <w:r w:rsidRPr="00112C00">
              <w:rPr>
                <w:rFonts w:ascii="Arial Narrow" w:hAnsi="Arial Narrow"/>
                <w:sz w:val="20"/>
              </w:rPr>
              <w:t>High</w:t>
            </w:r>
            <w:r w:rsidR="006C7176" w:rsidRPr="00112C00">
              <w:rPr>
                <w:rFonts w:ascii="Arial Narrow" w:hAnsi="Arial Narrow"/>
                <w:sz w:val="20"/>
              </w:rPr>
              <w:t>, favours dTpa</w:t>
            </w:r>
          </w:p>
        </w:tc>
      </w:tr>
      <w:tr w:rsidR="00607883" w:rsidRPr="006B2A4D" w:rsidTr="00E24767">
        <w:tc>
          <w:tcPr>
            <w:tcW w:w="933" w:type="pct"/>
            <w:shd w:val="clear" w:color="auto" w:fill="auto"/>
            <w:vAlign w:val="center"/>
          </w:tcPr>
          <w:p w:rsidR="00607883" w:rsidRPr="00112C00" w:rsidRDefault="00201B7B" w:rsidP="001C7B61">
            <w:pPr>
              <w:keepNext/>
              <w:widowControl/>
              <w:jc w:val="left"/>
              <w:rPr>
                <w:rFonts w:ascii="Arial Narrow" w:hAnsi="Arial Narrow"/>
                <w:sz w:val="20"/>
              </w:rPr>
            </w:pPr>
            <w:r w:rsidRPr="00112C00">
              <w:rPr>
                <w:rFonts w:ascii="Arial Narrow" w:hAnsi="Arial Narrow"/>
                <w:sz w:val="20"/>
              </w:rPr>
              <w:t>Baseline i</w:t>
            </w:r>
            <w:r w:rsidR="00693BAB" w:rsidRPr="00112C00">
              <w:rPr>
                <w:rFonts w:ascii="Arial Narrow" w:hAnsi="Arial Narrow"/>
                <w:sz w:val="20"/>
              </w:rPr>
              <w:t>ncidence of pertussis</w:t>
            </w:r>
          </w:p>
        </w:tc>
        <w:tc>
          <w:tcPr>
            <w:tcW w:w="3228" w:type="pct"/>
            <w:shd w:val="clear" w:color="auto" w:fill="auto"/>
            <w:vAlign w:val="center"/>
          </w:tcPr>
          <w:p w:rsidR="00693BAB" w:rsidRPr="00112C00" w:rsidRDefault="00693BAB" w:rsidP="001C7B61">
            <w:pPr>
              <w:keepNext/>
              <w:widowControl/>
              <w:jc w:val="center"/>
              <w:rPr>
                <w:rFonts w:ascii="Arial Narrow" w:hAnsi="Arial Narrow"/>
                <w:sz w:val="20"/>
              </w:rPr>
            </w:pPr>
            <w:r w:rsidRPr="00112C00">
              <w:rPr>
                <w:rFonts w:ascii="Arial Narrow" w:hAnsi="Arial Narrow"/>
                <w:sz w:val="20"/>
              </w:rPr>
              <w:t xml:space="preserve">NNDSS data for 1999-2008 for infants. NNDSS data for </w:t>
            </w:r>
            <w:r w:rsidR="009A788E" w:rsidRPr="00112C00">
              <w:rPr>
                <w:rFonts w:ascii="Arial Narrow" w:hAnsi="Arial Narrow"/>
                <w:sz w:val="20"/>
              </w:rPr>
              <w:t>1999</w:t>
            </w:r>
            <w:r w:rsidRPr="00112C00">
              <w:rPr>
                <w:rFonts w:ascii="Arial Narrow" w:hAnsi="Arial Narrow"/>
                <w:sz w:val="20"/>
              </w:rPr>
              <w:t>-2014 for mothers</w:t>
            </w:r>
            <w:r w:rsidR="009A788E" w:rsidRPr="00112C00">
              <w:rPr>
                <w:rFonts w:ascii="Arial Narrow" w:hAnsi="Arial Narrow"/>
                <w:sz w:val="20"/>
              </w:rPr>
              <w:t xml:space="preserve"> (revised in the PSCR from 2008-2014 in the submission)</w:t>
            </w:r>
            <w:r w:rsidRPr="00112C00">
              <w:rPr>
                <w:rFonts w:ascii="Arial Narrow" w:hAnsi="Arial Narrow"/>
                <w:sz w:val="20"/>
              </w:rPr>
              <w:t>.</w:t>
            </w:r>
            <w:r w:rsidR="00712B38" w:rsidRPr="00112C00">
              <w:rPr>
                <w:rFonts w:ascii="Arial Narrow" w:hAnsi="Arial Narrow"/>
                <w:sz w:val="20"/>
              </w:rPr>
              <w:t xml:space="preserve"> </w:t>
            </w:r>
            <w:r w:rsidRPr="00112C00">
              <w:rPr>
                <w:rFonts w:ascii="Arial Narrow" w:hAnsi="Arial Narrow"/>
                <w:sz w:val="20"/>
              </w:rPr>
              <w:t>The incidence is more representative of an epidemic year tha</w:t>
            </w:r>
            <w:r w:rsidR="0056407E" w:rsidRPr="00112C00">
              <w:rPr>
                <w:rFonts w:ascii="Arial Narrow" w:hAnsi="Arial Narrow"/>
                <w:sz w:val="20"/>
              </w:rPr>
              <w:t>n</w:t>
            </w:r>
            <w:r w:rsidRPr="00112C00">
              <w:rPr>
                <w:rFonts w:ascii="Arial Narrow" w:hAnsi="Arial Narrow"/>
                <w:sz w:val="20"/>
              </w:rPr>
              <w:t xml:space="preserve"> a non-epidemic year.</w:t>
            </w:r>
          </w:p>
        </w:tc>
        <w:tc>
          <w:tcPr>
            <w:tcW w:w="838" w:type="pct"/>
            <w:shd w:val="clear" w:color="auto" w:fill="auto"/>
            <w:vAlign w:val="center"/>
          </w:tcPr>
          <w:p w:rsidR="00607883" w:rsidRPr="00112C00" w:rsidRDefault="00E42857" w:rsidP="001C7B61">
            <w:pPr>
              <w:keepNext/>
              <w:widowControl/>
              <w:jc w:val="center"/>
              <w:rPr>
                <w:rFonts w:ascii="Arial Narrow" w:hAnsi="Arial Narrow"/>
                <w:sz w:val="20"/>
              </w:rPr>
            </w:pPr>
            <w:r w:rsidRPr="00112C00">
              <w:rPr>
                <w:rFonts w:ascii="Arial Narrow" w:hAnsi="Arial Narrow"/>
                <w:sz w:val="20"/>
              </w:rPr>
              <w:t>Moderate</w:t>
            </w:r>
            <w:r w:rsidR="00693BAB" w:rsidRPr="00112C00">
              <w:rPr>
                <w:rFonts w:ascii="Arial Narrow" w:hAnsi="Arial Narrow"/>
                <w:sz w:val="20"/>
              </w:rPr>
              <w:t>, favours dTpa</w:t>
            </w:r>
          </w:p>
        </w:tc>
      </w:tr>
      <w:tr w:rsidR="00607883" w:rsidRPr="006B2A4D" w:rsidTr="00E24767">
        <w:tc>
          <w:tcPr>
            <w:tcW w:w="933" w:type="pct"/>
            <w:shd w:val="clear" w:color="auto" w:fill="auto"/>
            <w:vAlign w:val="center"/>
          </w:tcPr>
          <w:p w:rsidR="00607883" w:rsidRPr="006B2A4D" w:rsidRDefault="00693BAB" w:rsidP="001C7B61">
            <w:pPr>
              <w:keepNext/>
              <w:widowControl/>
              <w:jc w:val="left"/>
              <w:rPr>
                <w:rFonts w:ascii="Arial Narrow" w:hAnsi="Arial Narrow"/>
                <w:sz w:val="20"/>
              </w:rPr>
            </w:pPr>
            <w:r>
              <w:rPr>
                <w:rFonts w:ascii="Arial Narrow" w:hAnsi="Arial Narrow"/>
                <w:sz w:val="20"/>
              </w:rPr>
              <w:t>VE for mothers</w:t>
            </w:r>
          </w:p>
        </w:tc>
        <w:tc>
          <w:tcPr>
            <w:tcW w:w="3228" w:type="pct"/>
            <w:shd w:val="clear" w:color="auto" w:fill="auto"/>
            <w:vAlign w:val="center"/>
          </w:tcPr>
          <w:p w:rsidR="00693BAB" w:rsidRPr="006B2A4D" w:rsidRDefault="00693BAB" w:rsidP="001C7B61">
            <w:pPr>
              <w:keepNext/>
              <w:widowControl/>
              <w:jc w:val="center"/>
              <w:rPr>
                <w:rFonts w:ascii="Arial Narrow" w:hAnsi="Arial Narrow"/>
                <w:sz w:val="20"/>
              </w:rPr>
            </w:pPr>
            <w:r>
              <w:rPr>
                <w:rFonts w:ascii="Arial Narrow" w:hAnsi="Arial Narrow"/>
                <w:sz w:val="20"/>
              </w:rPr>
              <w:t>91% sourced from a</w:t>
            </w:r>
            <w:r w:rsidR="006C7176">
              <w:rPr>
                <w:rFonts w:ascii="Arial Narrow" w:hAnsi="Arial Narrow"/>
                <w:sz w:val="20"/>
              </w:rPr>
              <w:t>n</w:t>
            </w:r>
            <w:r>
              <w:rPr>
                <w:rFonts w:ascii="Arial Narrow" w:hAnsi="Arial Narrow"/>
                <w:sz w:val="20"/>
              </w:rPr>
              <w:t xml:space="preserve"> RCT in the general population.</w:t>
            </w:r>
            <w:r w:rsidR="00116E6D">
              <w:rPr>
                <w:rFonts w:ascii="Arial Narrow" w:hAnsi="Arial Narrow"/>
                <w:sz w:val="20"/>
              </w:rPr>
              <w:t xml:space="preserve"> VE assumed to wane over 5 years.</w:t>
            </w:r>
          </w:p>
        </w:tc>
        <w:tc>
          <w:tcPr>
            <w:tcW w:w="838" w:type="pct"/>
            <w:shd w:val="clear" w:color="auto" w:fill="auto"/>
            <w:vAlign w:val="center"/>
          </w:tcPr>
          <w:p w:rsidR="00607883" w:rsidRPr="006B2A4D" w:rsidRDefault="00693BAB" w:rsidP="001C7B61">
            <w:pPr>
              <w:keepNext/>
              <w:widowControl/>
              <w:jc w:val="center"/>
              <w:rPr>
                <w:rFonts w:ascii="Arial Narrow" w:hAnsi="Arial Narrow"/>
                <w:sz w:val="20"/>
              </w:rPr>
            </w:pPr>
            <w:r>
              <w:rPr>
                <w:rFonts w:ascii="Arial Narrow" w:hAnsi="Arial Narrow"/>
                <w:sz w:val="20"/>
              </w:rPr>
              <w:t>Moderate</w:t>
            </w:r>
          </w:p>
        </w:tc>
      </w:tr>
      <w:tr w:rsidR="00693BAB" w:rsidRPr="006B2A4D" w:rsidTr="00E24767">
        <w:tc>
          <w:tcPr>
            <w:tcW w:w="933" w:type="pct"/>
            <w:shd w:val="clear" w:color="auto" w:fill="auto"/>
            <w:vAlign w:val="center"/>
          </w:tcPr>
          <w:p w:rsidR="00693BAB" w:rsidRDefault="00E42857" w:rsidP="001C7B61">
            <w:pPr>
              <w:keepNext/>
              <w:widowControl/>
              <w:jc w:val="left"/>
              <w:rPr>
                <w:rFonts w:ascii="Arial Narrow" w:hAnsi="Arial Narrow"/>
                <w:sz w:val="20"/>
              </w:rPr>
            </w:pPr>
            <w:r>
              <w:rPr>
                <w:rFonts w:ascii="Arial Narrow" w:hAnsi="Arial Narrow"/>
                <w:sz w:val="20"/>
              </w:rPr>
              <w:t>Vaccine administration cost</w:t>
            </w:r>
          </w:p>
        </w:tc>
        <w:tc>
          <w:tcPr>
            <w:tcW w:w="3228" w:type="pct"/>
            <w:shd w:val="clear" w:color="auto" w:fill="auto"/>
            <w:vAlign w:val="center"/>
          </w:tcPr>
          <w:p w:rsidR="00693BAB" w:rsidRDefault="00E42857" w:rsidP="001C7B61">
            <w:pPr>
              <w:keepNext/>
              <w:widowControl/>
              <w:jc w:val="center"/>
              <w:rPr>
                <w:rFonts w:ascii="Arial Narrow" w:hAnsi="Arial Narrow"/>
                <w:sz w:val="20"/>
              </w:rPr>
            </w:pPr>
            <w:r>
              <w:rPr>
                <w:rFonts w:ascii="Arial Narrow" w:hAnsi="Arial Narrow"/>
                <w:sz w:val="20"/>
              </w:rPr>
              <w:t>No cost assumed</w:t>
            </w:r>
          </w:p>
        </w:tc>
        <w:tc>
          <w:tcPr>
            <w:tcW w:w="838" w:type="pct"/>
            <w:shd w:val="clear" w:color="auto" w:fill="auto"/>
            <w:vAlign w:val="center"/>
          </w:tcPr>
          <w:p w:rsidR="00693BAB" w:rsidRDefault="00E42857" w:rsidP="001C7B61">
            <w:pPr>
              <w:keepNext/>
              <w:widowControl/>
              <w:jc w:val="center"/>
              <w:rPr>
                <w:rFonts w:ascii="Arial Narrow" w:hAnsi="Arial Narrow"/>
                <w:sz w:val="20"/>
              </w:rPr>
            </w:pPr>
            <w:r>
              <w:rPr>
                <w:rFonts w:ascii="Arial Narrow" w:hAnsi="Arial Narrow"/>
                <w:sz w:val="20"/>
              </w:rPr>
              <w:t>Moderate, favours dTpa</w:t>
            </w:r>
          </w:p>
        </w:tc>
      </w:tr>
      <w:tr w:rsidR="0031048B" w:rsidRPr="006B2A4D" w:rsidTr="00E24767">
        <w:tc>
          <w:tcPr>
            <w:tcW w:w="933" w:type="pct"/>
            <w:shd w:val="clear" w:color="auto" w:fill="auto"/>
            <w:vAlign w:val="center"/>
          </w:tcPr>
          <w:p w:rsidR="0031048B" w:rsidRDefault="0031048B" w:rsidP="001C7B61">
            <w:pPr>
              <w:keepNext/>
              <w:widowControl/>
              <w:jc w:val="left"/>
              <w:rPr>
                <w:rFonts w:ascii="Arial Narrow" w:hAnsi="Arial Narrow"/>
                <w:sz w:val="20"/>
              </w:rPr>
            </w:pPr>
            <w:r>
              <w:rPr>
                <w:rFonts w:ascii="Arial Narrow" w:hAnsi="Arial Narrow"/>
                <w:sz w:val="20"/>
              </w:rPr>
              <w:t>Discount rate</w:t>
            </w:r>
          </w:p>
        </w:tc>
        <w:tc>
          <w:tcPr>
            <w:tcW w:w="3228" w:type="pct"/>
            <w:shd w:val="clear" w:color="auto" w:fill="auto"/>
            <w:vAlign w:val="center"/>
          </w:tcPr>
          <w:p w:rsidR="0031048B" w:rsidRDefault="0031048B" w:rsidP="001C7B61">
            <w:pPr>
              <w:keepNext/>
              <w:widowControl/>
              <w:jc w:val="center"/>
              <w:rPr>
                <w:rFonts w:ascii="Arial Narrow" w:hAnsi="Arial Narrow"/>
                <w:sz w:val="20"/>
              </w:rPr>
            </w:pPr>
            <w:r>
              <w:rPr>
                <w:rFonts w:ascii="Arial Narrow" w:hAnsi="Arial Narrow"/>
                <w:sz w:val="20"/>
              </w:rPr>
              <w:t>5% annually for costs and benefits</w:t>
            </w:r>
          </w:p>
        </w:tc>
        <w:tc>
          <w:tcPr>
            <w:tcW w:w="838" w:type="pct"/>
            <w:shd w:val="clear" w:color="auto" w:fill="auto"/>
            <w:vAlign w:val="center"/>
          </w:tcPr>
          <w:p w:rsidR="0031048B" w:rsidRDefault="0031048B" w:rsidP="001C7B61">
            <w:pPr>
              <w:keepNext/>
              <w:widowControl/>
              <w:jc w:val="center"/>
              <w:rPr>
                <w:rFonts w:ascii="Arial Narrow" w:hAnsi="Arial Narrow"/>
                <w:sz w:val="20"/>
              </w:rPr>
            </w:pPr>
            <w:r>
              <w:rPr>
                <w:rFonts w:ascii="Arial Narrow" w:hAnsi="Arial Narrow"/>
                <w:sz w:val="20"/>
              </w:rPr>
              <w:t>Moderate</w:t>
            </w:r>
          </w:p>
        </w:tc>
      </w:tr>
    </w:tbl>
    <w:p w:rsidR="00607883" w:rsidRPr="006B2A4D" w:rsidRDefault="00607883" w:rsidP="001C7B61">
      <w:pPr>
        <w:pStyle w:val="TableFooter"/>
        <w:widowControl/>
        <w:ind w:firstLine="720"/>
      </w:pPr>
      <w:r w:rsidRPr="003A0216">
        <w:t>Source: compiled during the evaluation</w:t>
      </w:r>
    </w:p>
    <w:p w:rsidR="00607883" w:rsidRPr="006B2A4D" w:rsidRDefault="00607883" w:rsidP="001C7B61">
      <w:pPr>
        <w:widowControl/>
        <w:rPr>
          <w:szCs w:val="22"/>
        </w:rPr>
      </w:pPr>
    </w:p>
    <w:p w:rsidR="00E74BA8" w:rsidRPr="00AB6640" w:rsidRDefault="00AC5456" w:rsidP="001C7B61">
      <w:pPr>
        <w:pStyle w:val="ListParagraph"/>
        <w:widowControl/>
        <w:numPr>
          <w:ilvl w:val="1"/>
          <w:numId w:val="3"/>
        </w:numPr>
        <w:rPr>
          <w:szCs w:val="22"/>
        </w:rPr>
      </w:pPr>
      <w:r w:rsidRPr="00AB6640">
        <w:t>T</w:t>
      </w:r>
      <w:r w:rsidR="00413139" w:rsidRPr="00AB6640">
        <w:t xml:space="preserve">he results of the economic evaluation </w:t>
      </w:r>
      <w:r w:rsidR="00FF3530" w:rsidRPr="00AB6640">
        <w:t xml:space="preserve">(using a revised base case) </w:t>
      </w:r>
      <w:r w:rsidR="005131B9" w:rsidRPr="00AB6640">
        <w:t>in which</w:t>
      </w:r>
      <w:r w:rsidR="00413139" w:rsidRPr="00AB6640">
        <w:t xml:space="preserve"> 224,510 mothers </w:t>
      </w:r>
      <w:r w:rsidR="005131B9" w:rsidRPr="00AB6640">
        <w:t xml:space="preserve">are </w:t>
      </w:r>
      <w:r w:rsidR="00413139" w:rsidRPr="00AB6640">
        <w:t>vaccinated</w:t>
      </w:r>
      <w:r w:rsidR="00F3705A" w:rsidRPr="00AB6640">
        <w:t xml:space="preserve"> (equivalent to 70% of Australian mothers vaccinated during pregnancy </w:t>
      </w:r>
      <w:r w:rsidR="0056407E" w:rsidRPr="00AB6640">
        <w:t xml:space="preserve">based on </w:t>
      </w:r>
      <w:r w:rsidR="00F3705A" w:rsidRPr="00AB6640">
        <w:t>2013</w:t>
      </w:r>
      <w:r w:rsidR="0056407E" w:rsidRPr="00AB6640">
        <w:t xml:space="preserve"> population data</w:t>
      </w:r>
      <w:r w:rsidR="00F3705A" w:rsidRPr="00AB6640">
        <w:t>)</w:t>
      </w:r>
      <w:r w:rsidRPr="00AB6640">
        <w:t xml:space="preserve"> are provided in Table 7</w:t>
      </w:r>
      <w:r w:rsidR="00413139" w:rsidRPr="00AB6640">
        <w:t>.</w:t>
      </w:r>
      <w:r w:rsidR="00F3705A" w:rsidRPr="00AB6640">
        <w:t xml:space="preserve"> The number of cases prevented is </w:t>
      </w:r>
      <w:r w:rsidR="00D402AA" w:rsidRPr="00AB6640">
        <w:t xml:space="preserve">influenced </w:t>
      </w:r>
      <w:r w:rsidR="00F3705A" w:rsidRPr="00AB6640">
        <w:t>by the uptake</w:t>
      </w:r>
      <w:r w:rsidR="00D402AA" w:rsidRPr="00AB6640">
        <w:t xml:space="preserve"> rate. The </w:t>
      </w:r>
      <w:r w:rsidR="00F3705A" w:rsidRPr="00AB6640">
        <w:t>ICER is not</w:t>
      </w:r>
      <w:r w:rsidR="00D402AA" w:rsidRPr="00AB6640">
        <w:t xml:space="preserve"> sensitive to this because </w:t>
      </w:r>
      <w:r w:rsidR="00F3705A" w:rsidRPr="00AB6640">
        <w:t>the average costs and benefits are the same for each mother/infant.</w:t>
      </w:r>
      <w:r w:rsidR="00E74BA8" w:rsidRPr="00AB6640">
        <w:rPr>
          <w:szCs w:val="22"/>
        </w:rPr>
        <w:t xml:space="preserve"> The base case presented in the submission estimated an incremental cost per QALY gained due to avoided cases of pertussis of </w:t>
      </w:r>
      <w:r w:rsidR="008A6471">
        <w:rPr>
          <w:szCs w:val="22"/>
        </w:rPr>
        <w:t xml:space="preserve"> $15,000 - $45,000</w:t>
      </w:r>
      <w:r w:rsidR="00E74BA8" w:rsidRPr="00AB6640">
        <w:rPr>
          <w:szCs w:val="22"/>
        </w:rPr>
        <w:t xml:space="preserve">. The following issues identified in the evaluation were addressed in the PSCR and the ESC considered they should be incorporated into </w:t>
      </w:r>
      <w:r w:rsidR="00B85B93" w:rsidRPr="00AB6640">
        <w:rPr>
          <w:szCs w:val="22"/>
        </w:rPr>
        <w:t>a</w:t>
      </w:r>
      <w:r w:rsidR="00E74BA8" w:rsidRPr="00AB6640">
        <w:rPr>
          <w:szCs w:val="22"/>
        </w:rPr>
        <w:t xml:space="preserve"> revised base case</w:t>
      </w:r>
      <w:r w:rsidR="00284BC0">
        <w:rPr>
          <w:szCs w:val="22"/>
        </w:rPr>
        <w:t xml:space="preserve"> (referred to as the ‘ESC base case’) which resulted in an ICER of </w:t>
      </w:r>
      <w:r w:rsidR="008A6471">
        <w:rPr>
          <w:szCs w:val="22"/>
        </w:rPr>
        <w:t>$15,000 - $45,000</w:t>
      </w:r>
      <w:r w:rsidR="00284BC0">
        <w:rPr>
          <w:szCs w:val="22"/>
        </w:rPr>
        <w:t xml:space="preserve"> per QALY gained</w:t>
      </w:r>
      <w:r w:rsidR="00E74BA8" w:rsidRPr="00AB6640">
        <w:rPr>
          <w:szCs w:val="22"/>
        </w:rPr>
        <w:t>.</w:t>
      </w:r>
      <w:r w:rsidR="0073210C" w:rsidRPr="00AB6640">
        <w:rPr>
          <w:szCs w:val="22"/>
        </w:rPr>
        <w:t xml:space="preserve"> </w:t>
      </w:r>
    </w:p>
    <w:p w:rsidR="00E74BA8" w:rsidRPr="00AB6640" w:rsidRDefault="00E74BA8" w:rsidP="001C7B61">
      <w:pPr>
        <w:pStyle w:val="ListParagraph"/>
        <w:widowControl/>
        <w:numPr>
          <w:ilvl w:val="2"/>
          <w:numId w:val="3"/>
        </w:numPr>
        <w:ind w:left="993" w:hanging="284"/>
        <w:rPr>
          <w:color w:val="000000" w:themeColor="text1"/>
        </w:rPr>
      </w:pPr>
      <w:r w:rsidRPr="00AB6640">
        <w:rPr>
          <w:color w:val="000000" w:themeColor="text1"/>
        </w:rPr>
        <w:t xml:space="preserve">The evaluation considered that the model may have overestimated the average number of deaths due to pertussis and hence the number of deaths prevented with maternal dTpa. From 1993 to 2014 there was an average of 1.45 infant pertussis deaths per year reported to the </w:t>
      </w:r>
      <w:r w:rsidR="008B6E90" w:rsidRPr="00AB6640">
        <w:rPr>
          <w:color w:val="000000" w:themeColor="text1"/>
        </w:rPr>
        <w:t>National Notifiable Diseases Surveillance System (</w:t>
      </w:r>
      <w:r w:rsidRPr="00AB6640">
        <w:rPr>
          <w:color w:val="000000" w:themeColor="text1"/>
        </w:rPr>
        <w:t>NNDSS</w:t>
      </w:r>
      <w:r w:rsidR="008B6E90" w:rsidRPr="00AB6640">
        <w:rPr>
          <w:color w:val="000000" w:themeColor="text1"/>
        </w:rPr>
        <w:t>)</w:t>
      </w:r>
      <w:r w:rsidRPr="00AB6640">
        <w:rPr>
          <w:color w:val="000000" w:themeColor="text1"/>
        </w:rPr>
        <w:t xml:space="preserve"> (ATAGI pre-submission advice, p4). ATAGI estimated that there are 2 deaths per year in infants aged &lt;4 months in epidemic years but none in non</w:t>
      </w:r>
      <w:r w:rsidRPr="00AB6640">
        <w:rPr>
          <w:color w:val="000000" w:themeColor="text1"/>
        </w:rPr>
        <w:noBreakHyphen/>
        <w:t>epidemic years. Without maternal vaccination the model estimated that there are 2 deaths per year in infants &lt;6 months of age, and maternal dTpa is estimated to prevent 1 of these deaths. The PSCR and the ESC agreed that the number of infant</w:t>
      </w:r>
      <w:r w:rsidR="007605D8" w:rsidRPr="00AB6640">
        <w:rPr>
          <w:color w:val="000000" w:themeColor="text1"/>
        </w:rPr>
        <w:t xml:space="preserve"> deaths prevented should be halved</w:t>
      </w:r>
      <w:r w:rsidRPr="00AB6640">
        <w:rPr>
          <w:color w:val="000000" w:themeColor="text1"/>
        </w:rPr>
        <w:t xml:space="preserve"> in the base case.</w:t>
      </w:r>
      <w:r w:rsidR="00483C1C">
        <w:rPr>
          <w:color w:val="000000" w:themeColor="text1"/>
        </w:rPr>
        <w:t xml:space="preserve"> </w:t>
      </w:r>
    </w:p>
    <w:p w:rsidR="00E74BA8" w:rsidRPr="00AB6640" w:rsidRDefault="00E74BA8" w:rsidP="001C7B61">
      <w:pPr>
        <w:pStyle w:val="ListParagraph"/>
        <w:widowControl/>
        <w:numPr>
          <w:ilvl w:val="2"/>
          <w:numId w:val="3"/>
        </w:numPr>
        <w:ind w:left="993" w:hanging="284"/>
        <w:rPr>
          <w:color w:val="000000" w:themeColor="text1"/>
        </w:rPr>
      </w:pPr>
      <w:r w:rsidRPr="00AB6640">
        <w:rPr>
          <w:color w:val="000000" w:themeColor="text1"/>
        </w:rPr>
        <w:t>The model’s baseline incidence of pertussis in adults was based on data for 2008</w:t>
      </w:r>
      <w:r w:rsidRPr="00AB6640">
        <w:rPr>
          <w:color w:val="000000" w:themeColor="text1"/>
        </w:rPr>
        <w:noBreakHyphen/>
        <w:t>2014 which were primarily epidemic years. The PSCR provided an alternative set of estimates for baseline incidence of pertussis for adults, based on data spanning 1999-2014</w:t>
      </w:r>
      <w:r w:rsidR="00130D5A">
        <w:rPr>
          <w:color w:val="000000" w:themeColor="text1"/>
        </w:rPr>
        <w:t xml:space="preserve"> and </w:t>
      </w:r>
      <w:r w:rsidR="002D5630">
        <w:rPr>
          <w:color w:val="000000" w:themeColor="text1"/>
        </w:rPr>
        <w:t xml:space="preserve">a revised ICER of </w:t>
      </w:r>
      <w:r w:rsidR="008A6471">
        <w:rPr>
          <w:szCs w:val="22"/>
        </w:rPr>
        <w:t>$15,000 - $45,000</w:t>
      </w:r>
      <w:r w:rsidR="002D5630">
        <w:rPr>
          <w:color w:val="000000" w:themeColor="text1"/>
        </w:rPr>
        <w:t xml:space="preserve"> incorporating these </w:t>
      </w:r>
      <w:r w:rsidR="00130D5A">
        <w:rPr>
          <w:color w:val="000000" w:themeColor="text1"/>
        </w:rPr>
        <w:t xml:space="preserve">revised </w:t>
      </w:r>
      <w:r w:rsidR="002D5630">
        <w:rPr>
          <w:color w:val="000000" w:themeColor="text1"/>
        </w:rPr>
        <w:t>estimates (but not including the above change to mortality)</w:t>
      </w:r>
      <w:r w:rsidRPr="00AB6640">
        <w:rPr>
          <w:color w:val="000000" w:themeColor="text1"/>
        </w:rPr>
        <w:t>. The ATAGI post-submission advice considered that it would be preferable to use the same time period as a basis for estimation of cases across the age spectrum. Accordingly, the ESC considered this revised incidence data should be incorporated into a revised base case.</w:t>
      </w:r>
      <w:r w:rsidR="002D5630">
        <w:rPr>
          <w:color w:val="000000" w:themeColor="text1"/>
        </w:rPr>
        <w:t xml:space="preserve"> However, </w:t>
      </w:r>
      <w:r w:rsidR="000118A0">
        <w:rPr>
          <w:color w:val="000000" w:themeColor="text1"/>
        </w:rPr>
        <w:t xml:space="preserve">despite providing the revised incidence data and ICER in the PSCR, </w:t>
      </w:r>
      <w:r w:rsidR="002D5630">
        <w:rPr>
          <w:color w:val="000000" w:themeColor="text1"/>
        </w:rPr>
        <w:t>the pre-PBAC response</w:t>
      </w:r>
      <w:r w:rsidR="002D5630" w:rsidRPr="000118A0">
        <w:rPr>
          <w:color w:val="000000" w:themeColor="text1"/>
        </w:rPr>
        <w:t xml:space="preserve"> </w:t>
      </w:r>
      <w:r w:rsidR="000118A0" w:rsidRPr="000118A0">
        <w:rPr>
          <w:color w:val="000000" w:themeColor="text1"/>
        </w:rPr>
        <w:t xml:space="preserve">stated that </w:t>
      </w:r>
      <w:r w:rsidR="002D5630" w:rsidRPr="000118A0">
        <w:rPr>
          <w:color w:val="000000" w:themeColor="text1"/>
        </w:rPr>
        <w:t>t</w:t>
      </w:r>
      <w:r w:rsidR="002D5630">
        <w:rPr>
          <w:color w:val="000000" w:themeColor="text1"/>
        </w:rPr>
        <w:t>he revised adult incidence estimates should not be incorporated without additional adjustment to other parameters in the model.</w:t>
      </w:r>
      <w:r w:rsidR="00890BFD">
        <w:rPr>
          <w:color w:val="000000" w:themeColor="text1"/>
        </w:rPr>
        <w:t xml:space="preserve"> T</w:t>
      </w:r>
      <w:r w:rsidR="002D5630">
        <w:rPr>
          <w:color w:val="000000" w:themeColor="text1"/>
        </w:rPr>
        <w:t xml:space="preserve">he PBAC </w:t>
      </w:r>
      <w:r w:rsidR="00483C1C">
        <w:rPr>
          <w:color w:val="000000" w:themeColor="text1"/>
        </w:rPr>
        <w:t xml:space="preserve">accepted the use of the more recent 2008-2014 incidence data on the basis that </w:t>
      </w:r>
      <w:r w:rsidR="00890BFD">
        <w:rPr>
          <w:color w:val="000000" w:themeColor="text1"/>
        </w:rPr>
        <w:t>the overall incidence of pertussis appears to be increasing over time.</w:t>
      </w:r>
    </w:p>
    <w:p w:rsidR="003963E8" w:rsidRPr="00AB6640" w:rsidRDefault="003963E8" w:rsidP="001C7B61">
      <w:pPr>
        <w:pStyle w:val="ListParagraph"/>
        <w:widowControl/>
        <w:rPr>
          <w:szCs w:val="22"/>
        </w:rPr>
      </w:pPr>
    </w:p>
    <w:p w:rsidR="00607883" w:rsidRPr="00AB6640" w:rsidRDefault="006642B9" w:rsidP="001C7B61">
      <w:pPr>
        <w:pStyle w:val="ListParagraph"/>
        <w:widowControl/>
        <w:numPr>
          <w:ilvl w:val="1"/>
          <w:numId w:val="3"/>
        </w:numPr>
        <w:rPr>
          <w:szCs w:val="22"/>
        </w:rPr>
      </w:pPr>
      <w:r w:rsidRPr="00AB6640">
        <w:t>P</w:t>
      </w:r>
      <w:r w:rsidR="00712B38" w:rsidRPr="00AB6640">
        <w:t>rotection due to a herd effect wa</w:t>
      </w:r>
      <w:r w:rsidRPr="00AB6640">
        <w:t>s not included in the analysis. ATAGI consider</w:t>
      </w:r>
      <w:r w:rsidR="00DF04D9" w:rsidRPr="00AB6640">
        <w:t xml:space="preserve">ed </w:t>
      </w:r>
      <w:r w:rsidR="006C7176" w:rsidRPr="00AB6640">
        <w:t>that maternal</w:t>
      </w:r>
      <w:r w:rsidRPr="00AB6640">
        <w:t xml:space="preserve"> vaccination would have limited impact on overall herd immunity given that pregnant women represent only 1.3% of the total population</w:t>
      </w:r>
      <w:r w:rsidR="00085DFA" w:rsidRPr="00AB6640">
        <w:t xml:space="preserve"> (ATAGI pre</w:t>
      </w:r>
      <w:r w:rsidR="00085DFA" w:rsidRPr="00AB6640">
        <w:noBreakHyphen/>
      </w:r>
      <w:r w:rsidR="00DF04D9" w:rsidRPr="00AB6640">
        <w:t>submission advice)</w:t>
      </w:r>
      <w:r w:rsidR="00766DB0" w:rsidRPr="00AB6640">
        <w:t>.</w:t>
      </w:r>
      <w:r w:rsidR="00AC5456" w:rsidRPr="00AB6640">
        <w:t xml:space="preserve"> The ESC considered this was appropriate, noting that any estimate of an effect on herd immunity would be </w:t>
      </w:r>
      <w:r w:rsidR="003963E8" w:rsidRPr="00AB6640">
        <w:t xml:space="preserve">small and </w:t>
      </w:r>
      <w:r w:rsidR="00AC5456" w:rsidRPr="00AB6640">
        <w:t>subject to considerable uncertainty.</w:t>
      </w:r>
      <w:r w:rsidR="003963E8" w:rsidRPr="00AB6640">
        <w:t xml:space="preserve"> The </w:t>
      </w:r>
      <w:r w:rsidR="003963E8" w:rsidRPr="00AB6640">
        <w:rPr>
          <w:color w:val="000000" w:themeColor="text1"/>
        </w:rPr>
        <w:t xml:space="preserve">ESC noted another conservative assumption </w:t>
      </w:r>
      <w:r w:rsidR="00DF04D9" w:rsidRPr="00AB6640">
        <w:rPr>
          <w:color w:val="000000" w:themeColor="text1"/>
        </w:rPr>
        <w:t xml:space="preserve">which may have a small and uncertain impact on the results </w:t>
      </w:r>
      <w:r w:rsidR="003963E8" w:rsidRPr="00AB6640">
        <w:rPr>
          <w:color w:val="000000" w:themeColor="text1"/>
        </w:rPr>
        <w:t xml:space="preserve">was that the model did not include any benefits related to the </w:t>
      </w:r>
      <w:r w:rsidR="00130D5A">
        <w:rPr>
          <w:color w:val="000000" w:themeColor="text1"/>
        </w:rPr>
        <w:t xml:space="preserve">additional prevention of </w:t>
      </w:r>
      <w:r w:rsidR="003963E8" w:rsidRPr="00AB6640">
        <w:rPr>
          <w:color w:val="000000" w:themeColor="text1"/>
        </w:rPr>
        <w:t>diphtheria and tetanus.</w:t>
      </w:r>
    </w:p>
    <w:p w:rsidR="00607883" w:rsidRPr="006B2A4D" w:rsidRDefault="00607883" w:rsidP="001C7B61">
      <w:pPr>
        <w:widowControl/>
        <w:rPr>
          <w:szCs w:val="22"/>
        </w:rPr>
      </w:pPr>
    </w:p>
    <w:p w:rsidR="00413139" w:rsidRPr="001A51A2" w:rsidRDefault="00413139" w:rsidP="00890BFD">
      <w:pPr>
        <w:keepNext/>
        <w:widowControl/>
        <w:ind w:left="709"/>
        <w:rPr>
          <w:rStyle w:val="CommentReference"/>
        </w:rPr>
      </w:pPr>
      <w:r w:rsidRPr="001A51A2">
        <w:rPr>
          <w:rStyle w:val="CommentReference"/>
        </w:rPr>
        <w:t xml:space="preserve">Table </w:t>
      </w:r>
      <w:r w:rsidR="00AB0B6E" w:rsidRPr="001A51A2">
        <w:rPr>
          <w:rStyle w:val="CommentReference"/>
        </w:rPr>
        <w:t>7</w:t>
      </w:r>
      <w:r w:rsidRPr="001A51A2">
        <w:rPr>
          <w:rStyle w:val="CommentReference"/>
        </w:rPr>
        <w:t>: Results of the economic evaluation</w:t>
      </w:r>
      <w:r w:rsidR="00EF6010" w:rsidRPr="001A51A2">
        <w:rPr>
          <w:rStyle w:val="CommentReference"/>
        </w:rPr>
        <w:t xml:space="preserve"> </w:t>
      </w:r>
      <w:r w:rsidR="00EF6010" w:rsidRPr="00112C00">
        <w:rPr>
          <w:rStyle w:val="CommentReference"/>
        </w:rPr>
        <w:t>(ESC base case)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38"/>
        <w:gridCol w:w="2009"/>
        <w:gridCol w:w="2010"/>
        <w:gridCol w:w="1606"/>
      </w:tblGrid>
      <w:tr w:rsidR="00413139" w:rsidRPr="001A51A2" w:rsidTr="001B7D4B">
        <w:tc>
          <w:tcPr>
            <w:tcW w:w="1637" w:type="pct"/>
          </w:tcPr>
          <w:p w:rsidR="00413139" w:rsidRPr="00112C00" w:rsidRDefault="00413139" w:rsidP="00890BFD">
            <w:pPr>
              <w:keepNext/>
              <w:widowControl/>
              <w:rPr>
                <w:rFonts w:ascii="Arial Narrow" w:hAnsi="Arial Narrow"/>
                <w:b/>
                <w:sz w:val="20"/>
              </w:rPr>
            </w:pPr>
            <w:r w:rsidRPr="00112C00">
              <w:rPr>
                <w:rFonts w:ascii="Arial Narrow" w:hAnsi="Arial Narrow"/>
                <w:b/>
                <w:sz w:val="20"/>
              </w:rPr>
              <w:t>Component</w:t>
            </w:r>
          </w:p>
        </w:tc>
        <w:tc>
          <w:tcPr>
            <w:tcW w:w="1201" w:type="pct"/>
          </w:tcPr>
          <w:p w:rsidR="00413139" w:rsidRPr="00112C00" w:rsidRDefault="00413139" w:rsidP="00890BFD">
            <w:pPr>
              <w:keepNext/>
              <w:widowControl/>
              <w:jc w:val="center"/>
              <w:rPr>
                <w:rFonts w:ascii="Arial Narrow" w:hAnsi="Arial Narrow"/>
                <w:b/>
                <w:sz w:val="20"/>
              </w:rPr>
            </w:pPr>
            <w:r w:rsidRPr="00112C00">
              <w:rPr>
                <w:rFonts w:ascii="Arial Narrow" w:hAnsi="Arial Narrow"/>
                <w:b/>
                <w:sz w:val="20"/>
              </w:rPr>
              <w:t>Maternal vaccination</w:t>
            </w:r>
            <w:r w:rsidR="00BD519D" w:rsidRPr="00112C00">
              <w:rPr>
                <w:rFonts w:ascii="Arial Narrow" w:hAnsi="Arial Narrow"/>
                <w:b/>
                <w:sz w:val="20"/>
              </w:rPr>
              <w:t xml:space="preserve"> vs </w:t>
            </w:r>
            <w:r w:rsidR="00130D5A">
              <w:rPr>
                <w:rFonts w:ascii="Arial Narrow" w:hAnsi="Arial Narrow"/>
                <w:b/>
                <w:sz w:val="20"/>
              </w:rPr>
              <w:t>N</w:t>
            </w:r>
            <w:r w:rsidR="00BD519D" w:rsidRPr="00112C00">
              <w:rPr>
                <w:rFonts w:ascii="Arial Narrow" w:hAnsi="Arial Narrow"/>
                <w:b/>
                <w:sz w:val="20"/>
              </w:rPr>
              <w:t>o maternal vaccination</w:t>
            </w:r>
          </w:p>
        </w:tc>
        <w:tc>
          <w:tcPr>
            <w:tcW w:w="1202" w:type="pct"/>
          </w:tcPr>
          <w:p w:rsidR="00413139" w:rsidRPr="00112C00" w:rsidRDefault="00BD519D" w:rsidP="00890BFD">
            <w:pPr>
              <w:keepNext/>
              <w:widowControl/>
              <w:jc w:val="center"/>
              <w:rPr>
                <w:rFonts w:ascii="Arial Narrow" w:hAnsi="Arial Narrow"/>
                <w:b/>
                <w:sz w:val="20"/>
              </w:rPr>
            </w:pPr>
            <w:r w:rsidRPr="00112C00">
              <w:rPr>
                <w:rFonts w:ascii="Arial Narrow" w:hAnsi="Arial Narrow"/>
                <w:b/>
                <w:sz w:val="20"/>
              </w:rPr>
              <w:t xml:space="preserve">Current strategy vs </w:t>
            </w:r>
            <w:r w:rsidR="00413139" w:rsidRPr="00112C00">
              <w:rPr>
                <w:rFonts w:ascii="Arial Narrow" w:hAnsi="Arial Narrow"/>
                <w:b/>
                <w:sz w:val="20"/>
              </w:rPr>
              <w:t>No maternal vaccination</w:t>
            </w:r>
          </w:p>
        </w:tc>
        <w:tc>
          <w:tcPr>
            <w:tcW w:w="961" w:type="pct"/>
          </w:tcPr>
          <w:p w:rsidR="00413139" w:rsidRPr="00112C00" w:rsidRDefault="00413139" w:rsidP="00890BFD">
            <w:pPr>
              <w:keepNext/>
              <w:widowControl/>
              <w:jc w:val="center"/>
              <w:rPr>
                <w:rFonts w:ascii="Arial Narrow" w:hAnsi="Arial Narrow"/>
                <w:b/>
                <w:sz w:val="20"/>
              </w:rPr>
            </w:pPr>
            <w:r w:rsidRPr="00112C00">
              <w:rPr>
                <w:rFonts w:ascii="Arial Narrow" w:hAnsi="Arial Narrow"/>
                <w:b/>
                <w:sz w:val="20"/>
              </w:rPr>
              <w:t>Increment</w:t>
            </w:r>
          </w:p>
        </w:tc>
      </w:tr>
      <w:tr w:rsidR="001B7D4B" w:rsidRPr="001A51A2" w:rsidTr="001B7D4B">
        <w:tc>
          <w:tcPr>
            <w:tcW w:w="1637" w:type="pct"/>
          </w:tcPr>
          <w:p w:rsidR="001B7D4B" w:rsidRPr="00112C00" w:rsidRDefault="00130D5A" w:rsidP="00890BFD">
            <w:pPr>
              <w:keepNext/>
              <w:widowControl/>
              <w:rPr>
                <w:rFonts w:ascii="Arial Narrow" w:hAnsi="Arial Narrow"/>
                <w:sz w:val="20"/>
              </w:rPr>
            </w:pPr>
            <w:r>
              <w:rPr>
                <w:rFonts w:ascii="Arial Narrow" w:hAnsi="Arial Narrow"/>
                <w:sz w:val="20"/>
              </w:rPr>
              <w:t>Incremental c</w:t>
            </w:r>
            <w:r w:rsidR="001B7D4B" w:rsidRPr="00112C00">
              <w:rPr>
                <w:rFonts w:ascii="Arial Narrow" w:hAnsi="Arial Narrow"/>
                <w:sz w:val="20"/>
              </w:rPr>
              <w:t>osts</w:t>
            </w:r>
          </w:p>
        </w:tc>
        <w:tc>
          <w:tcPr>
            <w:tcW w:w="1201" w:type="pct"/>
          </w:tcPr>
          <w:p w:rsidR="001B7D4B" w:rsidRPr="00112C00" w:rsidRDefault="001B7D4B" w:rsidP="00890BFD">
            <w:pPr>
              <w:keepNext/>
              <w:widowControl/>
              <w:jc w:val="center"/>
              <w:rPr>
                <w:rFonts w:ascii="Arial Narrow" w:hAnsi="Arial Narrow"/>
                <w:sz w:val="20"/>
              </w:rPr>
            </w:pPr>
            <w:r w:rsidRPr="00112C00">
              <w:rPr>
                <w:rFonts w:ascii="Arial Narrow" w:hAnsi="Arial Narrow"/>
                <w:sz w:val="20"/>
              </w:rPr>
              <w:t>$</w:t>
            </w:r>
            <w:r w:rsidR="00232F1B">
              <w:rPr>
                <w:rFonts w:ascii="Arial Narrow" w:hAnsi="Arial Narrow"/>
                <w:noProof/>
                <w:color w:val="000000"/>
                <w:sz w:val="20"/>
                <w:highlight w:val="black"/>
              </w:rPr>
              <w:t>'''''''''''''''''''''''''''''</w:t>
            </w:r>
          </w:p>
        </w:tc>
        <w:tc>
          <w:tcPr>
            <w:tcW w:w="1202" w:type="pct"/>
          </w:tcPr>
          <w:p w:rsidR="001B7D4B" w:rsidRPr="00112C00" w:rsidRDefault="001B7D4B" w:rsidP="00890BFD">
            <w:pPr>
              <w:keepNext/>
              <w:widowControl/>
              <w:jc w:val="center"/>
              <w:rPr>
                <w:rFonts w:ascii="Arial Narrow" w:hAnsi="Arial Narrow"/>
                <w:sz w:val="20"/>
              </w:rPr>
            </w:pPr>
            <w:r w:rsidRPr="00112C00">
              <w:rPr>
                <w:rFonts w:ascii="Arial Narrow" w:hAnsi="Arial Narrow"/>
                <w:sz w:val="20"/>
              </w:rPr>
              <w:t>$</w:t>
            </w:r>
            <w:r w:rsidR="00232F1B">
              <w:rPr>
                <w:rFonts w:ascii="Arial Narrow" w:hAnsi="Arial Narrow"/>
                <w:noProof/>
                <w:color w:val="000000"/>
                <w:sz w:val="20"/>
                <w:highlight w:val="black"/>
              </w:rPr>
              <w:t>''''''''''''''''''''''''''</w:t>
            </w:r>
          </w:p>
        </w:tc>
        <w:tc>
          <w:tcPr>
            <w:tcW w:w="961" w:type="pct"/>
          </w:tcPr>
          <w:p w:rsidR="001B7D4B" w:rsidRPr="00112C00" w:rsidRDefault="001B7D4B" w:rsidP="00890BFD">
            <w:pPr>
              <w:keepNext/>
              <w:widowControl/>
              <w:jc w:val="center"/>
              <w:rPr>
                <w:rFonts w:ascii="Arial Narrow" w:hAnsi="Arial Narrow"/>
                <w:sz w:val="20"/>
              </w:rPr>
            </w:pPr>
            <w:r w:rsidRPr="00112C00">
              <w:rPr>
                <w:rFonts w:ascii="Arial Narrow" w:hAnsi="Arial Narrow"/>
                <w:sz w:val="20"/>
              </w:rPr>
              <w:t>$</w:t>
            </w:r>
            <w:r w:rsidR="00232F1B">
              <w:rPr>
                <w:rFonts w:ascii="Arial Narrow" w:hAnsi="Arial Narrow"/>
                <w:noProof/>
                <w:color w:val="000000"/>
                <w:sz w:val="20"/>
                <w:highlight w:val="black"/>
              </w:rPr>
              <w:t>'''''''''''''''''''''''''</w:t>
            </w:r>
          </w:p>
        </w:tc>
      </w:tr>
      <w:tr w:rsidR="001B7D4B" w:rsidRPr="001A51A2" w:rsidTr="001B7D4B">
        <w:tc>
          <w:tcPr>
            <w:tcW w:w="1637" w:type="pct"/>
          </w:tcPr>
          <w:p w:rsidR="001B7D4B" w:rsidRPr="00112C00" w:rsidRDefault="001B7D4B" w:rsidP="00890BFD">
            <w:pPr>
              <w:keepNext/>
              <w:widowControl/>
              <w:rPr>
                <w:rFonts w:ascii="Arial Narrow" w:hAnsi="Arial Narrow"/>
                <w:sz w:val="20"/>
              </w:rPr>
            </w:pPr>
            <w:r w:rsidRPr="00112C00">
              <w:rPr>
                <w:rFonts w:ascii="Arial Narrow" w:hAnsi="Arial Narrow"/>
                <w:sz w:val="20"/>
              </w:rPr>
              <w:t>QALYs gained due to avoided cases</w:t>
            </w:r>
          </w:p>
        </w:tc>
        <w:tc>
          <w:tcPr>
            <w:tcW w:w="1201" w:type="pct"/>
          </w:tcPr>
          <w:p w:rsidR="001B7D4B" w:rsidRPr="00232F1B" w:rsidRDefault="00232F1B" w:rsidP="00890BFD">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202" w:type="pct"/>
          </w:tcPr>
          <w:p w:rsidR="001B7D4B" w:rsidRPr="00232F1B" w:rsidRDefault="00232F1B" w:rsidP="00890BFD">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961" w:type="pct"/>
          </w:tcPr>
          <w:p w:rsidR="001B7D4B" w:rsidRPr="00232F1B" w:rsidRDefault="00232F1B" w:rsidP="00890BFD">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413139" w:rsidRPr="001A51A2" w:rsidTr="001B7D4B">
        <w:tc>
          <w:tcPr>
            <w:tcW w:w="4039" w:type="pct"/>
            <w:gridSpan w:val="3"/>
          </w:tcPr>
          <w:p w:rsidR="00413139" w:rsidRPr="00112C00" w:rsidRDefault="00413139" w:rsidP="00890BFD">
            <w:pPr>
              <w:keepNext/>
              <w:widowControl/>
              <w:rPr>
                <w:rFonts w:ascii="Arial Narrow" w:hAnsi="Arial Narrow"/>
                <w:b/>
                <w:sz w:val="20"/>
              </w:rPr>
            </w:pPr>
            <w:r w:rsidRPr="00112C00">
              <w:rPr>
                <w:rFonts w:ascii="Arial Narrow" w:hAnsi="Arial Narrow"/>
                <w:b/>
                <w:sz w:val="20"/>
              </w:rPr>
              <w:t>Incremental cost/extra QALY gained</w:t>
            </w:r>
          </w:p>
        </w:tc>
        <w:tc>
          <w:tcPr>
            <w:tcW w:w="961" w:type="pct"/>
          </w:tcPr>
          <w:p w:rsidR="00413139" w:rsidRPr="00112C00" w:rsidRDefault="00413139" w:rsidP="00890BFD">
            <w:pPr>
              <w:keepNext/>
              <w:widowControl/>
              <w:jc w:val="center"/>
              <w:rPr>
                <w:rFonts w:ascii="Arial Narrow" w:hAnsi="Arial Narrow"/>
                <w:b/>
                <w:sz w:val="20"/>
              </w:rPr>
            </w:pPr>
            <w:r w:rsidRPr="00112C00">
              <w:rPr>
                <w:rFonts w:ascii="Arial Narrow" w:hAnsi="Arial Narrow"/>
                <w:b/>
                <w:sz w:val="20"/>
              </w:rPr>
              <w:t>$</w:t>
            </w:r>
            <w:r w:rsidR="00232F1B">
              <w:rPr>
                <w:rFonts w:ascii="Arial Narrow" w:hAnsi="Arial Narrow"/>
                <w:b/>
                <w:bCs/>
                <w:noProof/>
                <w:color w:val="000000"/>
                <w:sz w:val="20"/>
                <w:highlight w:val="black"/>
              </w:rPr>
              <w:t>'''''''''''''</w:t>
            </w:r>
          </w:p>
        </w:tc>
      </w:tr>
    </w:tbl>
    <w:p w:rsidR="003963E8" w:rsidRPr="001A51A2" w:rsidRDefault="003963E8" w:rsidP="001C7B61">
      <w:pPr>
        <w:pStyle w:val="TableFooter"/>
        <w:widowControl/>
        <w:ind w:firstLine="720"/>
      </w:pPr>
      <w:r w:rsidRPr="001A51A2">
        <w:t>Source: Table D-14, p99, of the submission.</w:t>
      </w:r>
    </w:p>
    <w:p w:rsidR="00EF6010" w:rsidRDefault="00EF6010" w:rsidP="001C7B61">
      <w:pPr>
        <w:widowControl/>
        <w:rPr>
          <w:szCs w:val="22"/>
        </w:rPr>
      </w:pPr>
    </w:p>
    <w:p w:rsidR="00F66571" w:rsidRDefault="00F66571" w:rsidP="002858C5">
      <w:pPr>
        <w:widowControl/>
        <w:ind w:left="720"/>
        <w:rPr>
          <w:szCs w:val="22"/>
        </w:rPr>
      </w:pPr>
      <w:r>
        <w:rPr>
          <w:szCs w:val="22"/>
        </w:rPr>
        <w:t xml:space="preserve">The redacted table shows an </w:t>
      </w:r>
      <w:r w:rsidR="002858C5">
        <w:rPr>
          <w:szCs w:val="22"/>
        </w:rPr>
        <w:t xml:space="preserve">incremental cost/extra QALY gained </w:t>
      </w:r>
      <w:r>
        <w:rPr>
          <w:szCs w:val="22"/>
        </w:rPr>
        <w:t>in the range of $15,000 - $45,000.</w:t>
      </w:r>
    </w:p>
    <w:p w:rsidR="00F66571" w:rsidRPr="006B2A4D" w:rsidRDefault="00F66571" w:rsidP="001C7B61">
      <w:pPr>
        <w:widowControl/>
        <w:rPr>
          <w:szCs w:val="22"/>
        </w:rPr>
      </w:pPr>
    </w:p>
    <w:p w:rsidR="00DA1110" w:rsidRPr="00AB6640" w:rsidRDefault="00E42857" w:rsidP="001C7B61">
      <w:pPr>
        <w:pStyle w:val="ListParagraph"/>
        <w:widowControl/>
        <w:numPr>
          <w:ilvl w:val="1"/>
          <w:numId w:val="3"/>
        </w:numPr>
        <w:rPr>
          <w:color w:val="000000" w:themeColor="text1"/>
        </w:rPr>
      </w:pPr>
      <w:r w:rsidRPr="00AB6640">
        <w:rPr>
          <w:color w:val="000000" w:themeColor="text1"/>
        </w:rPr>
        <w:t xml:space="preserve">The </w:t>
      </w:r>
      <w:r w:rsidR="00483C1C">
        <w:rPr>
          <w:color w:val="000000" w:themeColor="text1"/>
        </w:rPr>
        <w:t>ESC base case</w:t>
      </w:r>
      <w:r w:rsidR="00483C1C" w:rsidRPr="00AB6640">
        <w:rPr>
          <w:color w:val="000000" w:themeColor="text1"/>
        </w:rPr>
        <w:t xml:space="preserve"> </w:t>
      </w:r>
      <w:r w:rsidRPr="00AB6640">
        <w:rPr>
          <w:color w:val="000000" w:themeColor="text1"/>
        </w:rPr>
        <w:t>model predict</w:t>
      </w:r>
      <w:r w:rsidR="00413D66" w:rsidRPr="00AB6640">
        <w:rPr>
          <w:color w:val="000000" w:themeColor="text1"/>
        </w:rPr>
        <w:t>ed</w:t>
      </w:r>
      <w:r w:rsidRPr="00AB6640">
        <w:rPr>
          <w:color w:val="000000" w:themeColor="text1"/>
        </w:rPr>
        <w:t xml:space="preserve"> </w:t>
      </w:r>
      <w:r w:rsidR="007605D8" w:rsidRPr="00AB6640">
        <w:rPr>
          <w:color w:val="000000" w:themeColor="text1"/>
        </w:rPr>
        <w:t>6,060</w:t>
      </w:r>
      <w:r w:rsidR="00DA1110" w:rsidRPr="00AB6640">
        <w:rPr>
          <w:color w:val="000000" w:themeColor="text1"/>
        </w:rPr>
        <w:t xml:space="preserve"> case</w:t>
      </w:r>
      <w:r w:rsidR="00413D66" w:rsidRPr="00AB6640">
        <w:rPr>
          <w:color w:val="000000" w:themeColor="text1"/>
        </w:rPr>
        <w:t>s</w:t>
      </w:r>
      <w:r w:rsidR="00DA1110" w:rsidRPr="00AB6640">
        <w:rPr>
          <w:color w:val="000000" w:themeColor="text1"/>
        </w:rPr>
        <w:t xml:space="preserve"> of pertussis will be prevented per year:</w:t>
      </w:r>
    </w:p>
    <w:p w:rsidR="00DA1110" w:rsidRPr="00AB6640" w:rsidRDefault="00E42857" w:rsidP="001C7B61">
      <w:pPr>
        <w:pStyle w:val="ListParagraph"/>
        <w:widowControl/>
        <w:numPr>
          <w:ilvl w:val="0"/>
          <w:numId w:val="23"/>
        </w:numPr>
        <w:ind w:left="993" w:hanging="284"/>
        <w:rPr>
          <w:color w:val="000000" w:themeColor="text1"/>
        </w:rPr>
      </w:pPr>
      <w:r w:rsidRPr="00AB6640">
        <w:rPr>
          <w:color w:val="000000" w:themeColor="text1"/>
        </w:rPr>
        <w:t xml:space="preserve">277 </w:t>
      </w:r>
      <w:r w:rsidR="00DA1110" w:rsidRPr="00AB6640">
        <w:rPr>
          <w:color w:val="000000" w:themeColor="text1"/>
        </w:rPr>
        <w:t>cases</w:t>
      </w:r>
      <w:r w:rsidRPr="00AB6640">
        <w:rPr>
          <w:color w:val="000000" w:themeColor="text1"/>
        </w:rPr>
        <w:t xml:space="preserve"> in infants &lt;1 year of age (13</w:t>
      </w:r>
      <w:r w:rsidR="009F7DD4" w:rsidRPr="00AB6640">
        <w:rPr>
          <w:color w:val="000000" w:themeColor="text1"/>
        </w:rPr>
        <w:t>8</w:t>
      </w:r>
      <w:r w:rsidRPr="00AB6640">
        <w:rPr>
          <w:color w:val="000000" w:themeColor="text1"/>
        </w:rPr>
        <w:t xml:space="preserve"> rep</w:t>
      </w:r>
      <w:r w:rsidR="00DA1110" w:rsidRPr="00AB6640">
        <w:rPr>
          <w:color w:val="000000" w:themeColor="text1"/>
        </w:rPr>
        <w:t>orted and 138 unreported cases); and</w:t>
      </w:r>
    </w:p>
    <w:p w:rsidR="00E42857" w:rsidRPr="00AB6640" w:rsidRDefault="00F0656B" w:rsidP="001C7B61">
      <w:pPr>
        <w:pStyle w:val="ListParagraph"/>
        <w:widowControl/>
        <w:numPr>
          <w:ilvl w:val="0"/>
          <w:numId w:val="23"/>
        </w:numPr>
        <w:ind w:left="993" w:hanging="284"/>
        <w:rPr>
          <w:color w:val="000000" w:themeColor="text1"/>
        </w:rPr>
      </w:pPr>
      <w:r w:rsidRPr="00AB6640">
        <w:rPr>
          <w:color w:val="000000" w:themeColor="text1"/>
        </w:rPr>
        <w:t>5,783</w:t>
      </w:r>
      <w:r w:rsidR="00DA1110" w:rsidRPr="00AB6640">
        <w:rPr>
          <w:color w:val="000000" w:themeColor="text1"/>
        </w:rPr>
        <w:t xml:space="preserve"> cases in mothers</w:t>
      </w:r>
      <w:r w:rsidR="00E42857" w:rsidRPr="00AB6640">
        <w:rPr>
          <w:color w:val="000000" w:themeColor="text1"/>
        </w:rPr>
        <w:t xml:space="preserve"> (</w:t>
      </w:r>
      <w:r w:rsidRPr="00AB6640">
        <w:rPr>
          <w:color w:val="000000" w:themeColor="text1"/>
        </w:rPr>
        <w:t xml:space="preserve">289 </w:t>
      </w:r>
      <w:r w:rsidR="00E42857" w:rsidRPr="00AB6640">
        <w:rPr>
          <w:color w:val="000000" w:themeColor="text1"/>
        </w:rPr>
        <w:t xml:space="preserve">reported and </w:t>
      </w:r>
      <w:r w:rsidRPr="00AB6640">
        <w:rPr>
          <w:color w:val="000000" w:themeColor="text1"/>
        </w:rPr>
        <w:t>5,494</w:t>
      </w:r>
      <w:r w:rsidR="00E42857" w:rsidRPr="00AB6640">
        <w:rPr>
          <w:color w:val="000000" w:themeColor="text1"/>
        </w:rPr>
        <w:t xml:space="preserve"> unreported cases). </w:t>
      </w:r>
    </w:p>
    <w:p w:rsidR="00E42857" w:rsidRPr="00AB6640" w:rsidRDefault="00E42857" w:rsidP="001C7B61">
      <w:pPr>
        <w:pStyle w:val="ListParagraph"/>
        <w:widowControl/>
        <w:rPr>
          <w:color w:val="000000" w:themeColor="text1"/>
        </w:rPr>
      </w:pPr>
    </w:p>
    <w:p w:rsidR="00B4616E" w:rsidRPr="00AB6640" w:rsidRDefault="00B4616E" w:rsidP="001C7B61">
      <w:pPr>
        <w:pStyle w:val="ListParagraph"/>
        <w:widowControl/>
        <w:numPr>
          <w:ilvl w:val="1"/>
          <w:numId w:val="3"/>
        </w:numPr>
        <w:rPr>
          <w:color w:val="000000" w:themeColor="text1"/>
        </w:rPr>
      </w:pPr>
      <w:r w:rsidRPr="00AB6640">
        <w:rPr>
          <w:color w:val="000000" w:themeColor="text1"/>
        </w:rPr>
        <w:t xml:space="preserve">The submission stated that the prevention of pertussis in very young infants is the motivating factor behind maternal </w:t>
      </w:r>
      <w:r w:rsidR="00EC536C" w:rsidRPr="00AB6640">
        <w:rPr>
          <w:color w:val="000000" w:themeColor="text1"/>
        </w:rPr>
        <w:t>dTpa;</w:t>
      </w:r>
      <w:r w:rsidRPr="00AB6640">
        <w:rPr>
          <w:color w:val="000000" w:themeColor="text1"/>
        </w:rPr>
        <w:t xml:space="preserve"> however</w:t>
      </w:r>
      <w:r w:rsidR="00E74BA8" w:rsidRPr="00AB6640">
        <w:rPr>
          <w:color w:val="000000" w:themeColor="text1"/>
        </w:rPr>
        <w:t>,</w:t>
      </w:r>
      <w:r w:rsidR="00413D66" w:rsidRPr="00AB6640">
        <w:rPr>
          <w:color w:val="000000" w:themeColor="text1"/>
        </w:rPr>
        <w:t xml:space="preserve"> the ESC noted that </w:t>
      </w:r>
      <w:r w:rsidR="00E74BA8" w:rsidRPr="00AB6640">
        <w:rPr>
          <w:color w:val="000000" w:themeColor="text1"/>
        </w:rPr>
        <w:t>the</w:t>
      </w:r>
      <w:r w:rsidR="009113B0" w:rsidRPr="00AB6640">
        <w:rPr>
          <w:color w:val="000000" w:themeColor="text1"/>
        </w:rPr>
        <w:t xml:space="preserve"> </w:t>
      </w:r>
      <w:r w:rsidR="00413D66" w:rsidRPr="00AB6640">
        <w:rPr>
          <w:color w:val="000000" w:themeColor="text1"/>
        </w:rPr>
        <w:t xml:space="preserve">majority of cases of pertussis prevented </w:t>
      </w:r>
      <w:r w:rsidR="001F0C16" w:rsidRPr="00AB6640">
        <w:rPr>
          <w:color w:val="000000" w:themeColor="text1"/>
        </w:rPr>
        <w:t xml:space="preserve">in the model </w:t>
      </w:r>
      <w:r w:rsidR="00413D66" w:rsidRPr="00AB6640">
        <w:rPr>
          <w:color w:val="000000" w:themeColor="text1"/>
        </w:rPr>
        <w:t xml:space="preserve">due to the vaccine </w:t>
      </w:r>
      <w:r w:rsidR="00714A0F" w:rsidRPr="00AB6640">
        <w:rPr>
          <w:color w:val="000000" w:themeColor="text1"/>
        </w:rPr>
        <w:t>accrued</w:t>
      </w:r>
      <w:r w:rsidR="00413D66" w:rsidRPr="00AB6640">
        <w:rPr>
          <w:color w:val="000000" w:themeColor="text1"/>
        </w:rPr>
        <w:t xml:space="preserve"> to </w:t>
      </w:r>
      <w:r w:rsidRPr="00AB6640">
        <w:rPr>
          <w:color w:val="000000" w:themeColor="text1"/>
        </w:rPr>
        <w:t>the mothers</w:t>
      </w:r>
      <w:r w:rsidR="00E74BA8" w:rsidRPr="00AB6640">
        <w:rPr>
          <w:color w:val="000000" w:themeColor="text1"/>
        </w:rPr>
        <w:t xml:space="preserve"> (</w:t>
      </w:r>
      <w:r w:rsidR="00F0656B" w:rsidRPr="00AB6640">
        <w:rPr>
          <w:color w:val="000000" w:themeColor="text1"/>
        </w:rPr>
        <w:t>95%</w:t>
      </w:r>
      <w:r w:rsidR="00E74BA8" w:rsidRPr="00AB6640">
        <w:rPr>
          <w:color w:val="000000" w:themeColor="text1"/>
        </w:rPr>
        <w:t xml:space="preserve"> of prevented cases)</w:t>
      </w:r>
      <w:r w:rsidRPr="00AB6640">
        <w:rPr>
          <w:color w:val="000000" w:themeColor="text1"/>
        </w:rPr>
        <w:t>. Excluding the benefit in mothers increase</w:t>
      </w:r>
      <w:r w:rsidR="00766DB0" w:rsidRPr="00AB6640">
        <w:rPr>
          <w:color w:val="000000" w:themeColor="text1"/>
        </w:rPr>
        <w:t>d</w:t>
      </w:r>
      <w:r w:rsidRPr="00AB6640">
        <w:rPr>
          <w:color w:val="000000" w:themeColor="text1"/>
        </w:rPr>
        <w:t xml:space="preserve"> the ICER to </w:t>
      </w:r>
      <w:r w:rsidR="008A6471">
        <w:rPr>
          <w:color w:val="000000" w:themeColor="text1"/>
        </w:rPr>
        <w:t xml:space="preserve"> $105,000 - $200,000/QALY</w:t>
      </w:r>
      <w:r w:rsidR="00B87862" w:rsidRPr="00AB6640">
        <w:rPr>
          <w:color w:val="000000" w:themeColor="text1"/>
        </w:rPr>
        <w:t xml:space="preserve"> (using the ESC base case)</w:t>
      </w:r>
      <w:r w:rsidRPr="00AB6640">
        <w:rPr>
          <w:color w:val="000000" w:themeColor="text1"/>
        </w:rPr>
        <w:t>.</w:t>
      </w:r>
      <w:r w:rsidR="00BA5D52" w:rsidRPr="00AB6640">
        <w:rPr>
          <w:color w:val="000000" w:themeColor="text1"/>
        </w:rPr>
        <w:t xml:space="preserve"> The ESC considered that it was reasonable to consider the benefit to the mothers from the proposed vaccination but reiterated that there was no evidence to support the disutilities applied to unreported cases.</w:t>
      </w:r>
      <w:r w:rsidR="00796E15" w:rsidRPr="00AB6640">
        <w:rPr>
          <w:color w:val="000000" w:themeColor="text1"/>
        </w:rPr>
        <w:t xml:space="preserve"> The ESC further noted that the cost per life year saved in the </w:t>
      </w:r>
      <w:r w:rsidR="00483C1C">
        <w:rPr>
          <w:color w:val="000000" w:themeColor="text1"/>
        </w:rPr>
        <w:t>ESC</w:t>
      </w:r>
      <w:r w:rsidR="00483C1C" w:rsidRPr="00AB6640">
        <w:rPr>
          <w:color w:val="000000" w:themeColor="text1"/>
        </w:rPr>
        <w:t xml:space="preserve"> </w:t>
      </w:r>
      <w:r w:rsidR="00796E15" w:rsidRPr="00AB6640">
        <w:rPr>
          <w:color w:val="000000" w:themeColor="text1"/>
        </w:rPr>
        <w:t xml:space="preserve">base case was </w:t>
      </w:r>
      <w:r w:rsidR="008A6471">
        <w:rPr>
          <w:color w:val="000000" w:themeColor="text1"/>
        </w:rPr>
        <w:t>more than $200,000</w:t>
      </w:r>
      <w:r w:rsidR="00796E15" w:rsidRPr="00AB6640">
        <w:rPr>
          <w:color w:val="000000" w:themeColor="text1"/>
        </w:rPr>
        <w:t>.</w:t>
      </w:r>
      <w:r w:rsidR="00BA5D52" w:rsidRPr="00AB6640">
        <w:rPr>
          <w:color w:val="000000" w:themeColor="text1"/>
        </w:rPr>
        <w:t xml:space="preserve"> </w:t>
      </w:r>
    </w:p>
    <w:p w:rsidR="00B4616E" w:rsidRPr="00AB6640" w:rsidRDefault="00B4616E" w:rsidP="001C7B61">
      <w:pPr>
        <w:pStyle w:val="ListParagraph"/>
        <w:widowControl/>
        <w:rPr>
          <w:color w:val="000000" w:themeColor="text1"/>
        </w:rPr>
      </w:pPr>
    </w:p>
    <w:p w:rsidR="00B4616E" w:rsidRPr="00AB6640" w:rsidRDefault="00B4616E" w:rsidP="001C7B61">
      <w:pPr>
        <w:pStyle w:val="ListParagraph"/>
        <w:widowControl/>
        <w:numPr>
          <w:ilvl w:val="1"/>
          <w:numId w:val="3"/>
        </w:numPr>
        <w:rPr>
          <w:color w:val="000000" w:themeColor="text1"/>
        </w:rPr>
      </w:pPr>
      <w:r w:rsidRPr="00AB6640">
        <w:rPr>
          <w:color w:val="000000" w:themeColor="text1"/>
        </w:rPr>
        <w:t>In the model</w:t>
      </w:r>
      <w:r w:rsidR="008B6E90" w:rsidRPr="00AB6640">
        <w:rPr>
          <w:color w:val="000000" w:themeColor="text1"/>
        </w:rPr>
        <w:t>,</w:t>
      </w:r>
      <w:r w:rsidRPr="00AB6640">
        <w:rPr>
          <w:color w:val="000000" w:themeColor="text1"/>
        </w:rPr>
        <w:t xml:space="preserve"> the incidence of pertussis reported by the NNDSS </w:t>
      </w:r>
      <w:r w:rsidR="001F0C16" w:rsidRPr="00AB6640">
        <w:rPr>
          <w:color w:val="000000" w:themeColor="text1"/>
        </w:rPr>
        <w:t>wa</w:t>
      </w:r>
      <w:r w:rsidRPr="00AB6640">
        <w:rPr>
          <w:color w:val="000000" w:themeColor="text1"/>
        </w:rPr>
        <w:t xml:space="preserve">s inflated to account for unreported cases. The submission stated </w:t>
      </w:r>
      <w:r w:rsidR="001F0C16" w:rsidRPr="00AB6640">
        <w:rPr>
          <w:color w:val="000000" w:themeColor="text1"/>
        </w:rPr>
        <w:t xml:space="preserve">that </w:t>
      </w:r>
      <w:r w:rsidRPr="00AB6640">
        <w:rPr>
          <w:color w:val="000000" w:themeColor="text1"/>
        </w:rPr>
        <w:t xml:space="preserve">estimating the extent of underreporting of pertussis in Australia is inherently challenging as data are limited, rates are different across age groups, and rates vary over time, geographic region and due to different background vaccination practices. </w:t>
      </w:r>
      <w:r w:rsidR="00E74BA8" w:rsidRPr="00AB6640">
        <w:rPr>
          <w:color w:val="000000" w:themeColor="text1"/>
        </w:rPr>
        <w:t xml:space="preserve">The model assumed </w:t>
      </w:r>
      <w:r w:rsidRPr="00AB6640">
        <w:rPr>
          <w:color w:val="000000" w:themeColor="text1"/>
        </w:rPr>
        <w:t xml:space="preserve">an underreporting factor of 2 </w:t>
      </w:r>
      <w:r w:rsidR="00E74BA8" w:rsidRPr="00AB6640">
        <w:rPr>
          <w:color w:val="000000" w:themeColor="text1"/>
        </w:rPr>
        <w:t xml:space="preserve">for infants </w:t>
      </w:r>
      <w:r w:rsidRPr="00AB6640">
        <w:rPr>
          <w:color w:val="000000" w:themeColor="text1"/>
        </w:rPr>
        <w:t xml:space="preserve">(i.e. 50% cases are unreported) and 20 </w:t>
      </w:r>
      <w:r w:rsidR="00E74BA8" w:rsidRPr="00AB6640">
        <w:rPr>
          <w:color w:val="000000" w:themeColor="text1"/>
        </w:rPr>
        <w:t xml:space="preserve">for mothers </w:t>
      </w:r>
      <w:r w:rsidRPr="00AB6640">
        <w:rPr>
          <w:color w:val="000000" w:themeColor="text1"/>
        </w:rPr>
        <w:t xml:space="preserve">(i.e. 95% of cases are unreported). Of the prevented cases, </w:t>
      </w:r>
      <w:r w:rsidR="007605D8" w:rsidRPr="00AB6640">
        <w:rPr>
          <w:color w:val="000000" w:themeColor="text1"/>
        </w:rPr>
        <w:t>5,633</w:t>
      </w:r>
      <w:r w:rsidRPr="00AB6640">
        <w:rPr>
          <w:color w:val="000000" w:themeColor="text1"/>
        </w:rPr>
        <w:t xml:space="preserve"> (9</w:t>
      </w:r>
      <w:r w:rsidR="007605D8" w:rsidRPr="00AB6640">
        <w:rPr>
          <w:color w:val="000000" w:themeColor="text1"/>
        </w:rPr>
        <w:t>3</w:t>
      </w:r>
      <w:r w:rsidRPr="00AB6640">
        <w:rPr>
          <w:color w:val="000000" w:themeColor="text1"/>
        </w:rPr>
        <w:t xml:space="preserve">%) </w:t>
      </w:r>
      <w:r w:rsidR="00220F74" w:rsidRPr="00AB6640">
        <w:rPr>
          <w:color w:val="000000" w:themeColor="text1"/>
        </w:rPr>
        <w:t xml:space="preserve">were </w:t>
      </w:r>
      <w:r w:rsidRPr="00AB6640">
        <w:rPr>
          <w:color w:val="000000" w:themeColor="text1"/>
        </w:rPr>
        <w:t>unreported cases. Excluding the unreported cases increase</w:t>
      </w:r>
      <w:r w:rsidR="00766DB0" w:rsidRPr="00AB6640">
        <w:rPr>
          <w:color w:val="000000" w:themeColor="text1"/>
        </w:rPr>
        <w:t>d</w:t>
      </w:r>
      <w:r w:rsidRPr="00AB6640">
        <w:rPr>
          <w:color w:val="000000" w:themeColor="text1"/>
        </w:rPr>
        <w:t xml:space="preserve"> the ICER to </w:t>
      </w:r>
      <w:r w:rsidR="008A6471">
        <w:rPr>
          <w:color w:val="000000" w:themeColor="text1"/>
        </w:rPr>
        <w:t>$105,000 - $200,000</w:t>
      </w:r>
      <w:r w:rsidRPr="00AB6640">
        <w:rPr>
          <w:color w:val="000000" w:themeColor="text1"/>
        </w:rPr>
        <w:t>/QALY gained</w:t>
      </w:r>
      <w:r w:rsidR="00483C1C">
        <w:rPr>
          <w:color w:val="000000" w:themeColor="text1"/>
        </w:rPr>
        <w:t xml:space="preserve"> in the ESC base case</w:t>
      </w:r>
      <w:r w:rsidRPr="00AB6640">
        <w:rPr>
          <w:color w:val="000000" w:themeColor="text1"/>
        </w:rPr>
        <w:t>.</w:t>
      </w:r>
      <w:r w:rsidR="009A788E" w:rsidRPr="00AB6640">
        <w:rPr>
          <w:color w:val="000000" w:themeColor="text1"/>
        </w:rPr>
        <w:t xml:space="preserve"> The PSCR  argued that the assumpti</w:t>
      </w:r>
      <w:r w:rsidR="00A1104B" w:rsidRPr="00AB6640">
        <w:rPr>
          <w:color w:val="000000" w:themeColor="text1"/>
        </w:rPr>
        <w:t>ons used in the submission were conser</w:t>
      </w:r>
      <w:r w:rsidR="006255E8" w:rsidRPr="00AB6640">
        <w:rPr>
          <w:color w:val="000000" w:themeColor="text1"/>
        </w:rPr>
        <w:t>vative and consistent with available seroepidemiology survey data. The ATAGI post</w:t>
      </w:r>
      <w:r w:rsidR="00220F74" w:rsidRPr="00AB6640">
        <w:rPr>
          <w:color w:val="000000" w:themeColor="text1"/>
        </w:rPr>
        <w:noBreakHyphen/>
      </w:r>
      <w:r w:rsidR="006255E8" w:rsidRPr="00AB6640">
        <w:rPr>
          <w:color w:val="000000" w:themeColor="text1"/>
        </w:rPr>
        <w:t>submission advice stated that “it is reasonable to assume that f</w:t>
      </w:r>
      <w:r w:rsidR="001F0C16" w:rsidRPr="00AB6640">
        <w:rPr>
          <w:color w:val="000000" w:themeColor="text1"/>
        </w:rPr>
        <w:t>ewer cases are under-reported in</w:t>
      </w:r>
      <w:r w:rsidR="006255E8" w:rsidRPr="00AB6640">
        <w:rPr>
          <w:color w:val="000000" w:themeColor="text1"/>
        </w:rPr>
        <w:t xml:space="preserve"> the very young than in the adult population, given evidence of asymptomatic or very mild infection with increasing age. In the absence of detailed data in the Australian context, the estimates provided are within broadly plausible bounds but are recognised to be unavoidably uncertain”. The ESC </w:t>
      </w:r>
      <w:r w:rsidR="00220F74" w:rsidRPr="00AB6640">
        <w:rPr>
          <w:color w:val="000000" w:themeColor="text1"/>
        </w:rPr>
        <w:t>considered that</w:t>
      </w:r>
      <w:r w:rsidR="006255E8" w:rsidRPr="00AB6640">
        <w:rPr>
          <w:color w:val="000000" w:themeColor="text1"/>
        </w:rPr>
        <w:t xml:space="preserve"> </w:t>
      </w:r>
      <w:r w:rsidR="00220F74" w:rsidRPr="00AB6640">
        <w:rPr>
          <w:color w:val="000000" w:themeColor="text1"/>
        </w:rPr>
        <w:t xml:space="preserve">estimating </w:t>
      </w:r>
      <w:r w:rsidR="00E24767" w:rsidRPr="00AB6640">
        <w:rPr>
          <w:color w:val="000000" w:themeColor="text1"/>
        </w:rPr>
        <w:t>th</w:t>
      </w:r>
      <w:r w:rsidR="0039356A" w:rsidRPr="00AB6640">
        <w:rPr>
          <w:color w:val="000000" w:themeColor="text1"/>
        </w:rPr>
        <w:t>e rate of un</w:t>
      </w:r>
      <w:r w:rsidR="000D7469">
        <w:rPr>
          <w:color w:val="000000" w:themeColor="text1"/>
        </w:rPr>
        <w:t>der-</w:t>
      </w:r>
      <w:r w:rsidR="0039356A" w:rsidRPr="00AB6640">
        <w:rPr>
          <w:color w:val="000000" w:themeColor="text1"/>
        </w:rPr>
        <w:t>r</w:t>
      </w:r>
      <w:r w:rsidR="00E24767" w:rsidRPr="00AB6640">
        <w:rPr>
          <w:color w:val="000000" w:themeColor="text1"/>
        </w:rPr>
        <w:t xml:space="preserve">eporting is </w:t>
      </w:r>
      <w:r w:rsidR="001F0C16" w:rsidRPr="00AB6640">
        <w:rPr>
          <w:color w:val="000000" w:themeColor="text1"/>
        </w:rPr>
        <w:t>inherently difficult</w:t>
      </w:r>
      <w:r w:rsidR="00220F74" w:rsidRPr="00AB6640">
        <w:rPr>
          <w:color w:val="000000" w:themeColor="text1"/>
        </w:rPr>
        <w:t xml:space="preserve"> and that </w:t>
      </w:r>
      <w:r w:rsidR="006F5C4C" w:rsidRPr="00AB6640">
        <w:rPr>
          <w:color w:val="000000" w:themeColor="text1"/>
        </w:rPr>
        <w:t xml:space="preserve">the </w:t>
      </w:r>
      <w:r w:rsidR="00220F74" w:rsidRPr="00AB6640">
        <w:rPr>
          <w:color w:val="000000" w:themeColor="text1"/>
        </w:rPr>
        <w:t>estimate</w:t>
      </w:r>
      <w:r w:rsidR="006F5C4C" w:rsidRPr="00AB6640">
        <w:rPr>
          <w:color w:val="000000" w:themeColor="text1"/>
        </w:rPr>
        <w:t>s</w:t>
      </w:r>
      <w:r w:rsidR="00220F74" w:rsidRPr="00AB6640">
        <w:rPr>
          <w:color w:val="000000" w:themeColor="text1"/>
        </w:rPr>
        <w:t xml:space="preserve"> are broadly plausible</w:t>
      </w:r>
      <w:r w:rsidR="001F0C16" w:rsidRPr="00AB6640">
        <w:rPr>
          <w:color w:val="000000" w:themeColor="text1"/>
        </w:rPr>
        <w:t>. Given the lack of more reliable data, the ESC accepted the use of the under</w:t>
      </w:r>
      <w:r w:rsidR="00483C1C">
        <w:rPr>
          <w:color w:val="000000" w:themeColor="text1"/>
        </w:rPr>
        <w:noBreakHyphen/>
      </w:r>
      <w:r w:rsidR="001F0C16" w:rsidRPr="00AB6640">
        <w:rPr>
          <w:color w:val="000000" w:themeColor="text1"/>
        </w:rPr>
        <w:t>reporting rates in the base case in this instance</w:t>
      </w:r>
      <w:r w:rsidR="00220F74" w:rsidRPr="00AB6640">
        <w:rPr>
          <w:color w:val="000000" w:themeColor="text1"/>
        </w:rPr>
        <w:t xml:space="preserve"> but considered that sensitivity analyses examining the impact of the underreporting rate</w:t>
      </w:r>
      <w:r w:rsidR="00130D5A">
        <w:rPr>
          <w:color w:val="000000" w:themeColor="text1"/>
        </w:rPr>
        <w:t>s</w:t>
      </w:r>
      <w:r w:rsidR="00220F74" w:rsidRPr="00AB6640">
        <w:rPr>
          <w:color w:val="000000" w:themeColor="text1"/>
        </w:rPr>
        <w:t xml:space="preserve"> were informative</w:t>
      </w:r>
      <w:r w:rsidR="001F0C16" w:rsidRPr="00AB6640">
        <w:rPr>
          <w:color w:val="000000" w:themeColor="text1"/>
        </w:rPr>
        <w:t>.</w:t>
      </w:r>
    </w:p>
    <w:p w:rsidR="0083597B" w:rsidRPr="00AB6640" w:rsidRDefault="0083597B" w:rsidP="001C7B61">
      <w:pPr>
        <w:pStyle w:val="ListParagraph"/>
        <w:widowControl/>
        <w:rPr>
          <w:color w:val="000000" w:themeColor="text1"/>
        </w:rPr>
      </w:pPr>
    </w:p>
    <w:p w:rsidR="0083597B" w:rsidRPr="00AB6640" w:rsidRDefault="0083597B" w:rsidP="001C7B61">
      <w:pPr>
        <w:pStyle w:val="ListParagraph"/>
        <w:widowControl/>
        <w:numPr>
          <w:ilvl w:val="1"/>
          <w:numId w:val="3"/>
        </w:numPr>
        <w:rPr>
          <w:color w:val="000000" w:themeColor="text1"/>
        </w:rPr>
      </w:pPr>
      <w:r w:rsidRPr="00AB6640">
        <w:rPr>
          <w:color w:val="000000" w:themeColor="text1"/>
        </w:rPr>
        <w:t xml:space="preserve">The </w:t>
      </w:r>
      <w:r w:rsidR="00483C1C">
        <w:rPr>
          <w:color w:val="000000" w:themeColor="text1"/>
        </w:rPr>
        <w:t>ESC base case</w:t>
      </w:r>
      <w:r w:rsidR="00483C1C" w:rsidRPr="00AB6640">
        <w:rPr>
          <w:color w:val="000000" w:themeColor="text1"/>
        </w:rPr>
        <w:t xml:space="preserve"> </w:t>
      </w:r>
      <w:r w:rsidRPr="00AB6640">
        <w:rPr>
          <w:color w:val="000000" w:themeColor="text1"/>
        </w:rPr>
        <w:t>model predict</w:t>
      </w:r>
      <w:r w:rsidR="005B04EE" w:rsidRPr="00AB6640">
        <w:rPr>
          <w:color w:val="000000" w:themeColor="text1"/>
        </w:rPr>
        <w:t>ed</w:t>
      </w:r>
      <w:r w:rsidRPr="00AB6640">
        <w:rPr>
          <w:color w:val="000000" w:themeColor="text1"/>
        </w:rPr>
        <w:t xml:space="preserve"> there will be </w:t>
      </w:r>
      <w:r w:rsidR="00232F1B">
        <w:rPr>
          <w:noProof/>
          <w:color w:val="000000"/>
          <w:highlight w:val="black"/>
        </w:rPr>
        <w:t>''''''''''</w:t>
      </w:r>
      <w:r w:rsidR="00BC01C7" w:rsidRPr="00AB6640">
        <w:rPr>
          <w:color w:val="000000" w:themeColor="text1"/>
        </w:rPr>
        <w:t xml:space="preserve"> </w:t>
      </w:r>
      <w:r w:rsidR="00C5712B" w:rsidRPr="00AB6640">
        <w:rPr>
          <w:color w:val="000000" w:themeColor="text1"/>
        </w:rPr>
        <w:t xml:space="preserve">undiscounted </w:t>
      </w:r>
      <w:r w:rsidRPr="00AB6640">
        <w:rPr>
          <w:color w:val="000000" w:themeColor="text1"/>
        </w:rPr>
        <w:t>QALYs gained</w:t>
      </w:r>
      <w:r w:rsidR="00C5712B" w:rsidRPr="00AB6640">
        <w:rPr>
          <w:color w:val="000000" w:themeColor="text1"/>
        </w:rPr>
        <w:t xml:space="preserve"> as a result of the pertussis cases avoided in one year</w:t>
      </w:r>
      <w:r w:rsidRPr="00AB6640">
        <w:rPr>
          <w:color w:val="000000" w:themeColor="text1"/>
        </w:rPr>
        <w:t xml:space="preserve">. Of these, </w:t>
      </w:r>
      <w:r w:rsidR="00232F1B">
        <w:rPr>
          <w:noProof/>
          <w:color w:val="000000"/>
          <w:highlight w:val="black"/>
        </w:rPr>
        <w:t>''''''</w:t>
      </w:r>
      <w:r w:rsidR="008844BE" w:rsidRPr="00AB6640">
        <w:rPr>
          <w:color w:val="000000" w:themeColor="text1"/>
        </w:rPr>
        <w:t xml:space="preserve"> </w:t>
      </w:r>
      <w:r w:rsidRPr="00AB6640">
        <w:rPr>
          <w:color w:val="000000" w:themeColor="text1"/>
        </w:rPr>
        <w:t>are in infants less than 1 year of age (</w:t>
      </w:r>
      <w:r w:rsidR="00232F1B">
        <w:rPr>
          <w:noProof/>
          <w:color w:val="000000"/>
          <w:highlight w:val="black"/>
        </w:rPr>
        <w:t>'''</w:t>
      </w:r>
      <w:r w:rsidRPr="00AB6640">
        <w:rPr>
          <w:color w:val="000000" w:themeColor="text1"/>
        </w:rPr>
        <w:t xml:space="preserve"> for </w:t>
      </w:r>
      <w:r w:rsidR="00C5712B" w:rsidRPr="00AB6640">
        <w:rPr>
          <w:color w:val="000000" w:themeColor="text1"/>
        </w:rPr>
        <w:t>reported cases</w:t>
      </w:r>
      <w:r w:rsidRPr="00AB6640">
        <w:rPr>
          <w:color w:val="000000" w:themeColor="text1"/>
        </w:rPr>
        <w:t xml:space="preserve">, </w:t>
      </w:r>
      <w:r w:rsidR="00232F1B">
        <w:rPr>
          <w:noProof/>
          <w:color w:val="000000"/>
          <w:highlight w:val="black"/>
        </w:rPr>
        <w:t>'''</w:t>
      </w:r>
      <w:r w:rsidRPr="00AB6640">
        <w:rPr>
          <w:color w:val="000000" w:themeColor="text1"/>
        </w:rPr>
        <w:t xml:space="preserve"> for unreported </w:t>
      </w:r>
      <w:r w:rsidR="00186257" w:rsidRPr="00AB6640">
        <w:rPr>
          <w:color w:val="000000" w:themeColor="text1"/>
        </w:rPr>
        <w:t>cases and</w:t>
      </w:r>
      <w:r w:rsidRPr="00AB6640">
        <w:rPr>
          <w:color w:val="000000" w:themeColor="text1"/>
        </w:rPr>
        <w:t xml:space="preserve"> </w:t>
      </w:r>
      <w:r w:rsidR="00232F1B">
        <w:rPr>
          <w:noProof/>
          <w:color w:val="000000"/>
          <w:highlight w:val="black"/>
        </w:rPr>
        <w:t>''''''</w:t>
      </w:r>
      <w:r w:rsidR="008844BE" w:rsidRPr="00AB6640">
        <w:rPr>
          <w:color w:val="000000" w:themeColor="text1"/>
        </w:rPr>
        <w:t xml:space="preserve"> </w:t>
      </w:r>
      <w:r w:rsidRPr="00AB6640">
        <w:rPr>
          <w:color w:val="000000" w:themeColor="text1"/>
        </w:rPr>
        <w:t xml:space="preserve">for the death prevented). In mothers, </w:t>
      </w:r>
      <w:r w:rsidR="00232F1B">
        <w:rPr>
          <w:noProof/>
          <w:color w:val="000000"/>
          <w:highlight w:val="black"/>
        </w:rPr>
        <w:t>'''''''</w:t>
      </w:r>
      <w:r w:rsidR="008844BE" w:rsidRPr="00AB6640">
        <w:rPr>
          <w:color w:val="000000" w:themeColor="text1"/>
        </w:rPr>
        <w:t xml:space="preserve"> </w:t>
      </w:r>
      <w:r w:rsidRPr="00AB6640">
        <w:rPr>
          <w:color w:val="000000" w:themeColor="text1"/>
        </w:rPr>
        <w:t>QALYs are gained (</w:t>
      </w:r>
      <w:r w:rsidR="00232F1B">
        <w:rPr>
          <w:noProof/>
          <w:color w:val="000000"/>
          <w:highlight w:val="black"/>
        </w:rPr>
        <w:t>''''</w:t>
      </w:r>
      <w:r w:rsidR="008844BE" w:rsidRPr="00AB6640">
        <w:rPr>
          <w:color w:val="000000" w:themeColor="text1"/>
        </w:rPr>
        <w:t xml:space="preserve"> </w:t>
      </w:r>
      <w:r w:rsidR="00C5712B" w:rsidRPr="00AB6640">
        <w:rPr>
          <w:color w:val="000000" w:themeColor="text1"/>
        </w:rPr>
        <w:t>for reported cases</w:t>
      </w:r>
      <w:r w:rsidRPr="00AB6640">
        <w:rPr>
          <w:color w:val="000000" w:themeColor="text1"/>
        </w:rPr>
        <w:t xml:space="preserve"> and </w:t>
      </w:r>
      <w:r w:rsidR="00232F1B">
        <w:rPr>
          <w:noProof/>
          <w:color w:val="000000"/>
          <w:highlight w:val="black"/>
        </w:rPr>
        <w:t>'''''''</w:t>
      </w:r>
      <w:r w:rsidR="008844BE" w:rsidRPr="00AB6640">
        <w:rPr>
          <w:color w:val="000000" w:themeColor="text1"/>
        </w:rPr>
        <w:t xml:space="preserve"> </w:t>
      </w:r>
      <w:r w:rsidRPr="00AB6640">
        <w:rPr>
          <w:color w:val="000000" w:themeColor="text1"/>
        </w:rPr>
        <w:t>for unreported cases). Of the</w:t>
      </w:r>
      <w:r w:rsidR="00C5712B" w:rsidRPr="00AB6640">
        <w:rPr>
          <w:color w:val="000000" w:themeColor="text1"/>
        </w:rPr>
        <w:t xml:space="preserve"> undiscounted</w:t>
      </w:r>
      <w:r w:rsidRPr="00AB6640">
        <w:rPr>
          <w:color w:val="000000" w:themeColor="text1"/>
        </w:rPr>
        <w:t xml:space="preserve"> QALYs gained, </w:t>
      </w:r>
      <w:r w:rsidR="008844BE" w:rsidRPr="00AB6640">
        <w:rPr>
          <w:color w:val="000000" w:themeColor="text1"/>
        </w:rPr>
        <w:t>53</w:t>
      </w:r>
      <w:r w:rsidRPr="00AB6640">
        <w:rPr>
          <w:color w:val="000000" w:themeColor="text1"/>
        </w:rPr>
        <w:t xml:space="preserve">% </w:t>
      </w:r>
      <w:r w:rsidR="005B04EE" w:rsidRPr="00AB6640">
        <w:rPr>
          <w:color w:val="000000" w:themeColor="text1"/>
        </w:rPr>
        <w:t xml:space="preserve">were </w:t>
      </w:r>
      <w:r w:rsidRPr="00AB6640">
        <w:rPr>
          <w:color w:val="000000" w:themeColor="text1"/>
        </w:rPr>
        <w:t>due to preventing unrepo</w:t>
      </w:r>
      <w:r w:rsidR="00ED1ECF" w:rsidRPr="00AB6640">
        <w:rPr>
          <w:color w:val="000000" w:themeColor="text1"/>
        </w:rPr>
        <w:t xml:space="preserve">rted cases in the mothers and </w:t>
      </w:r>
      <w:r w:rsidR="008844BE" w:rsidRPr="00AB6640">
        <w:rPr>
          <w:color w:val="000000" w:themeColor="text1"/>
        </w:rPr>
        <w:t>32</w:t>
      </w:r>
      <w:r w:rsidRPr="00AB6640">
        <w:rPr>
          <w:color w:val="000000" w:themeColor="text1"/>
        </w:rPr>
        <w:t xml:space="preserve">% </w:t>
      </w:r>
      <w:r w:rsidR="005B04EE" w:rsidRPr="00AB6640">
        <w:rPr>
          <w:color w:val="000000" w:themeColor="text1"/>
        </w:rPr>
        <w:t xml:space="preserve">were </w:t>
      </w:r>
      <w:r w:rsidRPr="00AB6640">
        <w:rPr>
          <w:color w:val="000000" w:themeColor="text1"/>
        </w:rPr>
        <w:t>due to preventing infant death</w:t>
      </w:r>
      <w:r w:rsidR="00130D5A">
        <w:rPr>
          <w:color w:val="000000" w:themeColor="text1"/>
        </w:rPr>
        <w:t>s</w:t>
      </w:r>
      <w:r w:rsidRPr="00AB6640">
        <w:rPr>
          <w:color w:val="000000" w:themeColor="text1"/>
        </w:rPr>
        <w:t>.</w:t>
      </w:r>
    </w:p>
    <w:p w:rsidR="00A600C9" w:rsidRPr="00AB6640" w:rsidRDefault="00A600C9" w:rsidP="001C7B61">
      <w:pPr>
        <w:pStyle w:val="ListParagraph"/>
        <w:widowControl/>
        <w:rPr>
          <w:color w:val="000000" w:themeColor="text1"/>
        </w:rPr>
      </w:pPr>
    </w:p>
    <w:p w:rsidR="00A600C9" w:rsidRPr="00AB6640" w:rsidRDefault="004F0D13" w:rsidP="001C7B61">
      <w:pPr>
        <w:pStyle w:val="ListParagraph"/>
        <w:widowControl/>
        <w:numPr>
          <w:ilvl w:val="1"/>
          <w:numId w:val="3"/>
        </w:numPr>
        <w:rPr>
          <w:color w:val="000000" w:themeColor="text1"/>
        </w:rPr>
      </w:pPr>
      <w:r w:rsidRPr="00AB6640">
        <w:rPr>
          <w:color w:val="000000" w:themeColor="text1"/>
        </w:rPr>
        <w:t>The model assume</w:t>
      </w:r>
      <w:r w:rsidR="00766DB0" w:rsidRPr="00AB6640">
        <w:rPr>
          <w:color w:val="000000" w:themeColor="text1"/>
        </w:rPr>
        <w:t>d</w:t>
      </w:r>
      <w:r w:rsidRPr="00AB6640">
        <w:rPr>
          <w:color w:val="000000" w:themeColor="text1"/>
        </w:rPr>
        <w:t xml:space="preserve"> the disutilities </w:t>
      </w:r>
      <w:r w:rsidR="00DB1AA7" w:rsidRPr="00AB6640">
        <w:rPr>
          <w:color w:val="000000" w:themeColor="text1"/>
        </w:rPr>
        <w:t>for</w:t>
      </w:r>
      <w:r w:rsidRPr="00AB6640">
        <w:rPr>
          <w:color w:val="000000" w:themeColor="text1"/>
        </w:rPr>
        <w:t xml:space="preserve"> unreported cases are half that for a reported case </w:t>
      </w:r>
      <w:r w:rsidR="00A600C9" w:rsidRPr="00AB6640">
        <w:rPr>
          <w:color w:val="000000" w:themeColor="text1"/>
        </w:rPr>
        <w:t>(0.15 for 80 days for infants and 0.08 to 0.11 for 68 days for mothers)</w:t>
      </w:r>
      <w:r w:rsidRPr="00AB6640">
        <w:rPr>
          <w:color w:val="000000" w:themeColor="text1"/>
        </w:rPr>
        <w:t>.</w:t>
      </w:r>
      <w:r w:rsidR="00A600C9" w:rsidRPr="00AB6640">
        <w:rPr>
          <w:color w:val="000000" w:themeColor="text1"/>
        </w:rPr>
        <w:t xml:space="preserve"> Supporting literature </w:t>
      </w:r>
      <w:r w:rsidR="005B04EE" w:rsidRPr="00AB6640">
        <w:rPr>
          <w:color w:val="000000" w:themeColor="text1"/>
        </w:rPr>
        <w:t>wa</w:t>
      </w:r>
      <w:r w:rsidR="00A600C9" w:rsidRPr="00AB6640">
        <w:rPr>
          <w:color w:val="000000" w:themeColor="text1"/>
        </w:rPr>
        <w:t>s not provided in the submission for this assumption</w:t>
      </w:r>
      <w:r w:rsidR="003772CB" w:rsidRPr="00AB6640">
        <w:rPr>
          <w:color w:val="000000" w:themeColor="text1"/>
        </w:rPr>
        <w:t xml:space="preserve"> either in terms of magnitude or duration of disutility</w:t>
      </w:r>
      <w:r w:rsidR="00E24767" w:rsidRPr="00AB6640">
        <w:rPr>
          <w:color w:val="000000" w:themeColor="text1"/>
        </w:rPr>
        <w:t xml:space="preserve"> and the direction of bias is unknown</w:t>
      </w:r>
      <w:r w:rsidR="00A600C9" w:rsidRPr="00AB6640">
        <w:rPr>
          <w:color w:val="000000" w:themeColor="text1"/>
        </w:rPr>
        <w:t xml:space="preserve">. The same assumption was included in the November 2014 Infanrix submission. The ESC </w:t>
      </w:r>
      <w:r w:rsidR="00220F74" w:rsidRPr="00AB6640">
        <w:rPr>
          <w:color w:val="000000" w:themeColor="text1"/>
        </w:rPr>
        <w:t xml:space="preserve">previously </w:t>
      </w:r>
      <w:r w:rsidR="00A600C9" w:rsidRPr="00AB6640">
        <w:rPr>
          <w:color w:val="000000" w:themeColor="text1"/>
        </w:rPr>
        <w:t xml:space="preserve">considered that the assumption of a 50% utility reduction in unreported cases compared </w:t>
      </w:r>
      <w:r w:rsidR="005B04EE" w:rsidRPr="00AB6640">
        <w:rPr>
          <w:color w:val="000000" w:themeColor="text1"/>
        </w:rPr>
        <w:t xml:space="preserve">with </w:t>
      </w:r>
      <w:r w:rsidR="00A600C9" w:rsidRPr="00AB6640">
        <w:rPr>
          <w:color w:val="000000" w:themeColor="text1"/>
        </w:rPr>
        <w:t xml:space="preserve">reported cases </w:t>
      </w:r>
      <w:r w:rsidR="005B04EE" w:rsidRPr="00AB6640">
        <w:rPr>
          <w:color w:val="000000" w:themeColor="text1"/>
        </w:rPr>
        <w:t>wa</w:t>
      </w:r>
      <w:r w:rsidR="00A600C9" w:rsidRPr="00AB6640">
        <w:rPr>
          <w:color w:val="000000" w:themeColor="text1"/>
        </w:rPr>
        <w:t>s not supported by evidence from the literature (</w:t>
      </w:r>
      <w:r w:rsidR="0068652F" w:rsidRPr="00AB6640">
        <w:rPr>
          <w:color w:val="000000" w:themeColor="text1"/>
        </w:rPr>
        <w:t>DTPa PSD</w:t>
      </w:r>
      <w:r w:rsidR="00A600C9" w:rsidRPr="00AB6640">
        <w:rPr>
          <w:color w:val="000000" w:themeColor="text1"/>
        </w:rPr>
        <w:t xml:space="preserve">, November 2014, paragraph 6.21). </w:t>
      </w:r>
      <w:r w:rsidR="000169EC" w:rsidRPr="00AB6640">
        <w:rPr>
          <w:color w:val="000000" w:themeColor="text1"/>
        </w:rPr>
        <w:t xml:space="preserve">The PSCR </w:t>
      </w:r>
      <w:r w:rsidR="0076645D" w:rsidRPr="00AB6640">
        <w:rPr>
          <w:color w:val="000000" w:themeColor="text1"/>
        </w:rPr>
        <w:t>argued that it would be</w:t>
      </w:r>
      <w:r w:rsidR="000169EC" w:rsidRPr="00AB6640">
        <w:rPr>
          <w:color w:val="000000" w:themeColor="text1"/>
        </w:rPr>
        <w:t xml:space="preserve"> inappropriate to apply a utility </w:t>
      </w:r>
      <w:r w:rsidR="0076645D" w:rsidRPr="00AB6640">
        <w:rPr>
          <w:color w:val="000000" w:themeColor="text1"/>
        </w:rPr>
        <w:t>reduction</w:t>
      </w:r>
      <w:r w:rsidR="000169EC" w:rsidRPr="00AB6640">
        <w:rPr>
          <w:color w:val="000000" w:themeColor="text1"/>
        </w:rPr>
        <w:t xml:space="preserve"> of </w:t>
      </w:r>
      <w:r w:rsidR="0076645D" w:rsidRPr="00AB6640">
        <w:rPr>
          <w:color w:val="000000" w:themeColor="text1"/>
        </w:rPr>
        <w:t xml:space="preserve">0% </w:t>
      </w:r>
      <w:r w:rsidR="000169EC" w:rsidRPr="00AB6640">
        <w:rPr>
          <w:color w:val="000000" w:themeColor="text1"/>
        </w:rPr>
        <w:t xml:space="preserve">for symptomatic non-notified cases </w:t>
      </w:r>
      <w:r w:rsidR="0076645D" w:rsidRPr="00AB6640">
        <w:rPr>
          <w:color w:val="000000" w:themeColor="text1"/>
        </w:rPr>
        <w:t xml:space="preserve">compared with reported cases </w:t>
      </w:r>
      <w:r w:rsidR="000169EC" w:rsidRPr="00AB6640">
        <w:rPr>
          <w:color w:val="000000" w:themeColor="text1"/>
        </w:rPr>
        <w:t>and that the submis</w:t>
      </w:r>
      <w:r w:rsidR="00BD2AEE" w:rsidRPr="00AB6640">
        <w:rPr>
          <w:color w:val="000000" w:themeColor="text1"/>
        </w:rPr>
        <w:t>sion conservatively assumed non</w:t>
      </w:r>
      <w:r w:rsidR="00BD2AEE" w:rsidRPr="00AB6640">
        <w:rPr>
          <w:color w:val="000000" w:themeColor="text1"/>
        </w:rPr>
        <w:noBreakHyphen/>
      </w:r>
      <w:r w:rsidR="000169EC" w:rsidRPr="00AB6640">
        <w:rPr>
          <w:color w:val="000000" w:themeColor="text1"/>
        </w:rPr>
        <w:t>notified symptomatic cases incur no cost.</w:t>
      </w:r>
      <w:r w:rsidR="00B76AE2" w:rsidRPr="00AB6640">
        <w:rPr>
          <w:color w:val="000000" w:themeColor="text1"/>
        </w:rPr>
        <w:t xml:space="preserve"> The ESC</w:t>
      </w:r>
      <w:r w:rsidR="00F47D28" w:rsidRPr="00AB6640">
        <w:rPr>
          <w:color w:val="000000" w:themeColor="text1"/>
        </w:rPr>
        <w:t xml:space="preserve"> </w:t>
      </w:r>
      <w:r w:rsidR="0076645D" w:rsidRPr="00AB6640">
        <w:rPr>
          <w:color w:val="000000" w:themeColor="text1"/>
        </w:rPr>
        <w:t xml:space="preserve">agreed that applying a utility decrement of zero to symptomatic non-notified cases would be inappropriate </w:t>
      </w:r>
      <w:r w:rsidR="00EF34DB" w:rsidRPr="00AB6640">
        <w:rPr>
          <w:color w:val="000000" w:themeColor="text1"/>
        </w:rPr>
        <w:t xml:space="preserve">but </w:t>
      </w:r>
      <w:r w:rsidR="00F47D28" w:rsidRPr="00AB6640">
        <w:rPr>
          <w:color w:val="000000" w:themeColor="text1"/>
        </w:rPr>
        <w:t xml:space="preserve">considered it was reasonable to assume that unreported cases are generally milder than reported cases </w:t>
      </w:r>
      <w:r w:rsidR="00C90CCE" w:rsidRPr="00AB6640">
        <w:rPr>
          <w:color w:val="000000" w:themeColor="text1"/>
        </w:rPr>
        <w:t xml:space="preserve">which </w:t>
      </w:r>
      <w:r w:rsidR="00F47D28" w:rsidRPr="00AB6640">
        <w:rPr>
          <w:color w:val="000000" w:themeColor="text1"/>
        </w:rPr>
        <w:t xml:space="preserve">involve some disutility. </w:t>
      </w:r>
      <w:r w:rsidR="0073210C" w:rsidRPr="00AB6640">
        <w:rPr>
          <w:color w:val="000000" w:themeColor="text1"/>
        </w:rPr>
        <w:t>However, t</w:t>
      </w:r>
      <w:r w:rsidR="0068652F" w:rsidRPr="00AB6640">
        <w:rPr>
          <w:color w:val="000000" w:themeColor="text1"/>
        </w:rPr>
        <w:t>he ESC reiterate</w:t>
      </w:r>
      <w:r w:rsidR="0073210C" w:rsidRPr="00AB6640">
        <w:rPr>
          <w:color w:val="000000" w:themeColor="text1"/>
        </w:rPr>
        <w:t xml:space="preserve">d </w:t>
      </w:r>
      <w:r w:rsidR="0068652F" w:rsidRPr="00AB6640">
        <w:rPr>
          <w:color w:val="000000" w:themeColor="text1"/>
        </w:rPr>
        <w:t xml:space="preserve">that </w:t>
      </w:r>
      <w:r w:rsidR="00F47D28" w:rsidRPr="00AB6640">
        <w:rPr>
          <w:color w:val="000000" w:themeColor="text1"/>
        </w:rPr>
        <w:t xml:space="preserve">there is no evidence to suggest that </w:t>
      </w:r>
      <w:r w:rsidR="00130D5A">
        <w:rPr>
          <w:color w:val="000000" w:themeColor="text1"/>
        </w:rPr>
        <w:t xml:space="preserve">a </w:t>
      </w:r>
      <w:r w:rsidR="00F47D28" w:rsidRPr="00AB6640">
        <w:rPr>
          <w:color w:val="000000" w:themeColor="text1"/>
        </w:rPr>
        <w:t xml:space="preserve">50% </w:t>
      </w:r>
      <w:r w:rsidR="00A54325" w:rsidRPr="00AB6640">
        <w:rPr>
          <w:color w:val="000000" w:themeColor="text1"/>
        </w:rPr>
        <w:t xml:space="preserve">reduction in </w:t>
      </w:r>
      <w:r w:rsidR="00F47D28" w:rsidRPr="00AB6640">
        <w:rPr>
          <w:color w:val="000000" w:themeColor="text1"/>
        </w:rPr>
        <w:t>disutility is a reasonable estimate</w:t>
      </w:r>
      <w:r w:rsidR="0068652F" w:rsidRPr="00AB6640">
        <w:rPr>
          <w:color w:val="000000" w:themeColor="text1"/>
        </w:rPr>
        <w:t xml:space="preserve">. In this regard, the ESC noted that if the disutility for unreported cases were a quarter of that for a reported case, the </w:t>
      </w:r>
      <w:r w:rsidR="00483C1C">
        <w:rPr>
          <w:color w:val="000000" w:themeColor="text1"/>
        </w:rPr>
        <w:t xml:space="preserve">ESC base case </w:t>
      </w:r>
      <w:r w:rsidR="0068652F" w:rsidRPr="00AB6640">
        <w:rPr>
          <w:color w:val="000000" w:themeColor="text1"/>
        </w:rPr>
        <w:t xml:space="preserve">ICER would increase to </w:t>
      </w:r>
      <w:r w:rsidR="008A6471">
        <w:rPr>
          <w:color w:val="000000" w:themeColor="text1"/>
        </w:rPr>
        <w:t>$45,000 - $75,000</w:t>
      </w:r>
      <w:r w:rsidR="00DB1AA7" w:rsidRPr="00AB6640">
        <w:rPr>
          <w:color w:val="000000" w:themeColor="text1"/>
        </w:rPr>
        <w:t>/QALY gained</w:t>
      </w:r>
      <w:r w:rsidR="00F47D28" w:rsidRPr="00AB6640">
        <w:rPr>
          <w:color w:val="000000" w:themeColor="text1"/>
        </w:rPr>
        <w:t>.</w:t>
      </w:r>
      <w:r w:rsidR="00CB6A8A" w:rsidRPr="00AB6640">
        <w:rPr>
          <w:color w:val="000000" w:themeColor="text1"/>
        </w:rPr>
        <w:t xml:space="preserve"> T</w:t>
      </w:r>
      <w:r w:rsidR="00BD2AEE" w:rsidRPr="00AB6640">
        <w:rPr>
          <w:color w:val="000000" w:themeColor="text1"/>
        </w:rPr>
        <w:t xml:space="preserve">he ESC agreed with the PSCR that assuming no costs for the symptomatic non-notified </w:t>
      </w:r>
      <w:r w:rsidR="00CB6A8A" w:rsidRPr="00AB6640">
        <w:rPr>
          <w:color w:val="000000" w:themeColor="text1"/>
        </w:rPr>
        <w:t>cases was a conservative assumption</w:t>
      </w:r>
      <w:r w:rsidR="00C90CCE" w:rsidRPr="00AB6640">
        <w:rPr>
          <w:color w:val="000000" w:themeColor="text1"/>
        </w:rPr>
        <w:t xml:space="preserve"> which may have had a small impact on the ICER favouring no vaccination</w:t>
      </w:r>
      <w:r w:rsidR="00CB6A8A" w:rsidRPr="00AB6640">
        <w:rPr>
          <w:color w:val="000000" w:themeColor="text1"/>
        </w:rPr>
        <w:t>.</w:t>
      </w:r>
    </w:p>
    <w:p w:rsidR="0083597B" w:rsidRPr="00AB6640" w:rsidRDefault="0083597B" w:rsidP="001C7B61">
      <w:pPr>
        <w:pStyle w:val="ListParagraph"/>
        <w:widowControl/>
        <w:rPr>
          <w:color w:val="000000" w:themeColor="text1"/>
        </w:rPr>
      </w:pPr>
    </w:p>
    <w:p w:rsidR="005371E6" w:rsidRPr="00AB6640" w:rsidRDefault="00CF78AC" w:rsidP="001C7B61">
      <w:pPr>
        <w:pStyle w:val="ListParagraph"/>
        <w:widowControl/>
        <w:numPr>
          <w:ilvl w:val="1"/>
          <w:numId w:val="3"/>
        </w:numPr>
        <w:rPr>
          <w:color w:val="000000" w:themeColor="text1"/>
        </w:rPr>
      </w:pPr>
      <w:r w:rsidRPr="00AB6640">
        <w:rPr>
          <w:color w:val="000000" w:themeColor="text1"/>
        </w:rPr>
        <w:t xml:space="preserve">The </w:t>
      </w:r>
      <w:r w:rsidR="00E24767" w:rsidRPr="00AB6640">
        <w:rPr>
          <w:color w:val="000000" w:themeColor="text1"/>
        </w:rPr>
        <w:t xml:space="preserve">model’s </w:t>
      </w:r>
      <w:r w:rsidRPr="00AB6640">
        <w:rPr>
          <w:color w:val="000000" w:themeColor="text1"/>
        </w:rPr>
        <w:t xml:space="preserve">baseline incidence of pertussis (without maternal dTpa) in infants </w:t>
      </w:r>
      <w:r w:rsidR="005B04EE" w:rsidRPr="00AB6640">
        <w:rPr>
          <w:color w:val="000000" w:themeColor="text1"/>
        </w:rPr>
        <w:t>wa</w:t>
      </w:r>
      <w:r w:rsidRPr="00AB6640">
        <w:rPr>
          <w:color w:val="000000" w:themeColor="text1"/>
        </w:rPr>
        <w:t xml:space="preserve">s more consistent with an epidemic than a non-epidemic year. The </w:t>
      </w:r>
      <w:r w:rsidR="006F5C4C" w:rsidRPr="00AB6640">
        <w:rPr>
          <w:color w:val="000000" w:themeColor="text1"/>
        </w:rPr>
        <w:t xml:space="preserve">baseline </w:t>
      </w:r>
      <w:r w:rsidRPr="00AB6640">
        <w:rPr>
          <w:color w:val="000000" w:themeColor="text1"/>
        </w:rPr>
        <w:t xml:space="preserve">incidence in infants aged &lt;4 months </w:t>
      </w:r>
      <w:r w:rsidR="005B04EE" w:rsidRPr="00AB6640">
        <w:rPr>
          <w:color w:val="000000" w:themeColor="text1"/>
        </w:rPr>
        <w:t>wa</w:t>
      </w:r>
      <w:r w:rsidRPr="00AB6640">
        <w:rPr>
          <w:color w:val="000000" w:themeColor="text1"/>
        </w:rPr>
        <w:t>s 407 cases per year</w:t>
      </w:r>
      <w:r w:rsidR="00DA1110" w:rsidRPr="00AB6640">
        <w:rPr>
          <w:color w:val="000000" w:themeColor="text1"/>
        </w:rPr>
        <w:t xml:space="preserve"> (all of which are assumed to be hospitalised)</w:t>
      </w:r>
      <w:r w:rsidRPr="00AB6640">
        <w:rPr>
          <w:color w:val="000000" w:themeColor="text1"/>
        </w:rPr>
        <w:t>. This compare</w:t>
      </w:r>
      <w:r w:rsidR="005B04EE" w:rsidRPr="00AB6640">
        <w:rPr>
          <w:color w:val="000000" w:themeColor="text1"/>
        </w:rPr>
        <w:t>d</w:t>
      </w:r>
      <w:r w:rsidRPr="00AB6640">
        <w:rPr>
          <w:color w:val="000000" w:themeColor="text1"/>
        </w:rPr>
        <w:t xml:space="preserve"> with ATAGI’s estimates of 536 hospital admission</w:t>
      </w:r>
      <w:r w:rsidR="004C6387" w:rsidRPr="00AB6640">
        <w:rPr>
          <w:color w:val="000000" w:themeColor="text1"/>
        </w:rPr>
        <w:t>s</w:t>
      </w:r>
      <w:r w:rsidRPr="00AB6640">
        <w:rPr>
          <w:color w:val="000000" w:themeColor="text1"/>
        </w:rPr>
        <w:t xml:space="preserve"> due to pertussis in an epidemic year and 96 in a non-epidemic year. </w:t>
      </w:r>
      <w:r w:rsidR="005371E6" w:rsidRPr="00AB6640">
        <w:rPr>
          <w:color w:val="000000" w:themeColor="text1"/>
        </w:rPr>
        <w:t>The PSCR argued that the baseline incidence of pertussis in infants was estimated using data from 1999 to 2008 which encompasse</w:t>
      </w:r>
      <w:r w:rsidR="00130D5A">
        <w:rPr>
          <w:color w:val="000000" w:themeColor="text1"/>
        </w:rPr>
        <w:t>d</w:t>
      </w:r>
      <w:r w:rsidR="005371E6" w:rsidRPr="00AB6640">
        <w:rPr>
          <w:color w:val="000000" w:themeColor="text1"/>
        </w:rPr>
        <w:t xml:space="preserve"> both epidemic and non-epidemic years.</w:t>
      </w:r>
      <w:r w:rsidR="00F82D17" w:rsidRPr="00AB6640">
        <w:rPr>
          <w:color w:val="000000" w:themeColor="text1"/>
        </w:rPr>
        <w:t xml:space="preserve"> </w:t>
      </w:r>
      <w:r w:rsidR="00156AD3" w:rsidRPr="00AB6640">
        <w:rPr>
          <w:color w:val="000000" w:themeColor="text1"/>
        </w:rPr>
        <w:t>The ESC agreed with the evaluation that this incidence was more reflective of an epidemic year and may favour the vaccination strategy.</w:t>
      </w:r>
    </w:p>
    <w:p w:rsidR="00CF78AC" w:rsidRPr="00AB6640" w:rsidRDefault="00CF78AC" w:rsidP="001C7B61">
      <w:pPr>
        <w:pStyle w:val="ListParagraph"/>
        <w:widowControl/>
        <w:rPr>
          <w:color w:val="000000" w:themeColor="text1"/>
        </w:rPr>
      </w:pPr>
    </w:p>
    <w:p w:rsidR="00DB1AA7" w:rsidRPr="00AB6640" w:rsidRDefault="0083597B" w:rsidP="001C7B61">
      <w:pPr>
        <w:pStyle w:val="ListParagraph"/>
        <w:widowControl/>
        <w:numPr>
          <w:ilvl w:val="1"/>
          <w:numId w:val="3"/>
        </w:numPr>
        <w:rPr>
          <w:color w:val="000000" w:themeColor="text1"/>
        </w:rPr>
      </w:pPr>
      <w:r w:rsidRPr="00AB6640">
        <w:rPr>
          <w:color w:val="000000" w:themeColor="text1"/>
        </w:rPr>
        <w:t xml:space="preserve">The results </w:t>
      </w:r>
      <w:r w:rsidR="005B04EE" w:rsidRPr="00AB6640">
        <w:rPr>
          <w:color w:val="000000" w:themeColor="text1"/>
        </w:rPr>
        <w:t xml:space="preserve">were </w:t>
      </w:r>
      <w:r w:rsidRPr="00AB6640">
        <w:rPr>
          <w:color w:val="000000" w:themeColor="text1"/>
        </w:rPr>
        <w:t xml:space="preserve">sensitive to the </w:t>
      </w:r>
      <w:r w:rsidR="005131B9" w:rsidRPr="00AB6640">
        <w:rPr>
          <w:color w:val="000000" w:themeColor="text1"/>
        </w:rPr>
        <w:t xml:space="preserve">VE </w:t>
      </w:r>
      <w:r w:rsidR="00C5712B" w:rsidRPr="00AB6640">
        <w:rPr>
          <w:color w:val="000000" w:themeColor="text1"/>
        </w:rPr>
        <w:t xml:space="preserve">estimate </w:t>
      </w:r>
      <w:r w:rsidR="005131B9" w:rsidRPr="00AB6640">
        <w:rPr>
          <w:color w:val="000000" w:themeColor="text1"/>
        </w:rPr>
        <w:t xml:space="preserve">for mothers and the </w:t>
      </w:r>
      <w:r w:rsidRPr="00AB6640">
        <w:rPr>
          <w:color w:val="000000" w:themeColor="text1"/>
        </w:rPr>
        <w:t>assumed duration of VE</w:t>
      </w:r>
      <w:r w:rsidR="00320841" w:rsidRPr="00AB6640">
        <w:rPr>
          <w:color w:val="000000" w:themeColor="text1"/>
        </w:rPr>
        <w:t xml:space="preserve"> (decline over 5 years)</w:t>
      </w:r>
      <w:r w:rsidRPr="00AB6640">
        <w:rPr>
          <w:color w:val="000000" w:themeColor="text1"/>
        </w:rPr>
        <w:t xml:space="preserve">. </w:t>
      </w:r>
    </w:p>
    <w:p w:rsidR="00DB1AA7" w:rsidRPr="00AB6640" w:rsidRDefault="00116E6D" w:rsidP="001C7B61">
      <w:pPr>
        <w:pStyle w:val="ListParagraph"/>
        <w:widowControl/>
        <w:numPr>
          <w:ilvl w:val="2"/>
          <w:numId w:val="3"/>
        </w:numPr>
        <w:ind w:left="993" w:hanging="284"/>
        <w:rPr>
          <w:color w:val="000000" w:themeColor="text1"/>
        </w:rPr>
      </w:pPr>
      <w:r w:rsidRPr="00AB6640">
        <w:rPr>
          <w:color w:val="000000" w:themeColor="text1"/>
        </w:rPr>
        <w:t>VE was sourced from APERT and</w:t>
      </w:r>
      <w:r w:rsidR="00C5712B" w:rsidRPr="00AB6640">
        <w:rPr>
          <w:color w:val="000000" w:themeColor="text1"/>
        </w:rPr>
        <w:t>,</w:t>
      </w:r>
      <w:r w:rsidRPr="00AB6640">
        <w:rPr>
          <w:color w:val="000000" w:themeColor="text1"/>
        </w:rPr>
        <w:t xml:space="preserve"> although a randomised trial</w:t>
      </w:r>
      <w:r w:rsidR="00C5712B" w:rsidRPr="00AB6640">
        <w:rPr>
          <w:color w:val="000000" w:themeColor="text1"/>
        </w:rPr>
        <w:t>,</w:t>
      </w:r>
      <w:r w:rsidRPr="00AB6640">
        <w:rPr>
          <w:color w:val="000000" w:themeColor="text1"/>
        </w:rPr>
        <w:t xml:space="preserve"> the number of pertussis events was small and hence the </w:t>
      </w:r>
      <w:r w:rsidR="006C7031" w:rsidRPr="00AB6640">
        <w:rPr>
          <w:color w:val="000000" w:themeColor="text1"/>
        </w:rPr>
        <w:t xml:space="preserve">confidence intervals </w:t>
      </w:r>
      <w:r w:rsidRPr="00AB6640">
        <w:rPr>
          <w:color w:val="000000" w:themeColor="text1"/>
        </w:rPr>
        <w:t>for the estimate are wide.</w:t>
      </w:r>
      <w:r w:rsidR="009F7DD4" w:rsidRPr="00AB6640">
        <w:rPr>
          <w:color w:val="000000" w:themeColor="text1"/>
        </w:rPr>
        <w:t xml:space="preserve"> The ICER </w:t>
      </w:r>
      <w:r w:rsidR="00156AD3" w:rsidRPr="00AB6640">
        <w:rPr>
          <w:color w:val="000000" w:themeColor="text1"/>
        </w:rPr>
        <w:t xml:space="preserve">(using the </w:t>
      </w:r>
      <w:r w:rsidR="00381437">
        <w:rPr>
          <w:color w:val="000000" w:themeColor="text1"/>
        </w:rPr>
        <w:t>ESC</w:t>
      </w:r>
      <w:r w:rsidR="00381437" w:rsidRPr="00AB6640">
        <w:rPr>
          <w:color w:val="000000" w:themeColor="text1"/>
        </w:rPr>
        <w:t xml:space="preserve"> </w:t>
      </w:r>
      <w:r w:rsidR="00156AD3" w:rsidRPr="00AB6640">
        <w:rPr>
          <w:color w:val="000000" w:themeColor="text1"/>
        </w:rPr>
        <w:t xml:space="preserve">base case) </w:t>
      </w:r>
      <w:r w:rsidR="009F7DD4" w:rsidRPr="00AB6640">
        <w:rPr>
          <w:color w:val="000000" w:themeColor="text1"/>
        </w:rPr>
        <w:t>range</w:t>
      </w:r>
      <w:r w:rsidR="006E085E" w:rsidRPr="00AB6640">
        <w:rPr>
          <w:color w:val="000000" w:themeColor="text1"/>
        </w:rPr>
        <w:t>d</w:t>
      </w:r>
      <w:r w:rsidR="009F7DD4" w:rsidRPr="00AB6640">
        <w:rPr>
          <w:color w:val="000000" w:themeColor="text1"/>
        </w:rPr>
        <w:t xml:space="preserve"> from </w:t>
      </w:r>
      <w:r w:rsidR="00D7356D">
        <w:rPr>
          <w:color w:val="000000" w:themeColor="text1"/>
        </w:rPr>
        <w:t>$15,000 -</w:t>
      </w:r>
      <w:r w:rsidR="00491C87">
        <w:rPr>
          <w:color w:val="000000" w:themeColor="text1"/>
        </w:rPr>
        <w:t xml:space="preserve"> $45,000/QALY to $75,000 -</w:t>
      </w:r>
      <w:r w:rsidR="00D7356D">
        <w:rPr>
          <w:color w:val="000000" w:themeColor="text1"/>
        </w:rPr>
        <w:t>$105,000/QALY</w:t>
      </w:r>
      <w:r w:rsidR="009F7DD4" w:rsidRPr="00AB6640">
        <w:rPr>
          <w:color w:val="000000" w:themeColor="text1"/>
        </w:rPr>
        <w:t xml:space="preserve"> using the </w:t>
      </w:r>
      <w:r w:rsidR="00883731" w:rsidRPr="00AB6640">
        <w:rPr>
          <w:color w:val="000000" w:themeColor="text1"/>
        </w:rPr>
        <w:t xml:space="preserve">upper and lower </w:t>
      </w:r>
      <w:r w:rsidR="009F7DD4" w:rsidRPr="00AB6640">
        <w:rPr>
          <w:color w:val="000000" w:themeColor="text1"/>
        </w:rPr>
        <w:t>95% confidence limits for the VE.</w:t>
      </w:r>
      <w:r w:rsidRPr="00AB6640">
        <w:rPr>
          <w:color w:val="000000" w:themeColor="text1"/>
        </w:rPr>
        <w:t xml:space="preserve"> </w:t>
      </w:r>
      <w:r w:rsidR="00AB4DE3" w:rsidRPr="00AB6640">
        <w:rPr>
          <w:color w:val="000000" w:themeColor="text1"/>
        </w:rPr>
        <w:t>The PSCR argued that this</w:t>
      </w:r>
      <w:r w:rsidR="00156AD3" w:rsidRPr="00AB6640">
        <w:rPr>
          <w:color w:val="000000" w:themeColor="text1"/>
        </w:rPr>
        <w:t xml:space="preserve"> sensitivity analysis wa</w:t>
      </w:r>
      <w:r w:rsidR="00AB4DE3" w:rsidRPr="00AB6640">
        <w:rPr>
          <w:color w:val="000000" w:themeColor="text1"/>
        </w:rPr>
        <w:t xml:space="preserve">s meaningless as the 95% </w:t>
      </w:r>
      <w:r w:rsidR="006C7031" w:rsidRPr="00AB6640">
        <w:rPr>
          <w:color w:val="000000" w:themeColor="text1"/>
        </w:rPr>
        <w:t>confidence intervals</w:t>
      </w:r>
      <w:r w:rsidR="00AB4DE3" w:rsidRPr="00AB6640">
        <w:rPr>
          <w:color w:val="000000" w:themeColor="text1"/>
        </w:rPr>
        <w:t xml:space="preserve"> for maternal VE reflect the very low background incidence of cases observed in the APERT study and it is implausible that the true efficacy of adult booster dTpa vaccination is anything like the lower </w:t>
      </w:r>
      <w:r w:rsidR="006C7031" w:rsidRPr="00AB6640">
        <w:rPr>
          <w:color w:val="000000" w:themeColor="text1"/>
        </w:rPr>
        <w:t>confidence interval</w:t>
      </w:r>
      <w:r w:rsidR="00AB4DE3" w:rsidRPr="00AB6640">
        <w:rPr>
          <w:color w:val="000000" w:themeColor="text1"/>
        </w:rPr>
        <w:t xml:space="preserve"> (of 32%). </w:t>
      </w:r>
    </w:p>
    <w:p w:rsidR="0083597B" w:rsidRPr="00AB6640" w:rsidRDefault="0083597B" w:rsidP="001C7B61">
      <w:pPr>
        <w:pStyle w:val="ListParagraph"/>
        <w:widowControl/>
        <w:numPr>
          <w:ilvl w:val="2"/>
          <w:numId w:val="3"/>
        </w:numPr>
        <w:ind w:left="993" w:hanging="284"/>
        <w:rPr>
          <w:color w:val="000000" w:themeColor="text1"/>
        </w:rPr>
      </w:pPr>
      <w:r w:rsidRPr="00AB6640">
        <w:rPr>
          <w:color w:val="000000" w:themeColor="text1"/>
        </w:rPr>
        <w:t xml:space="preserve">For mothers who have a second child within 5 years, the benefits of the first maternal vaccination </w:t>
      </w:r>
      <w:r w:rsidR="00156AD3" w:rsidRPr="00AB6640">
        <w:rPr>
          <w:color w:val="000000" w:themeColor="text1"/>
        </w:rPr>
        <w:t xml:space="preserve">would </w:t>
      </w:r>
      <w:r w:rsidRPr="00AB6640">
        <w:rPr>
          <w:color w:val="000000" w:themeColor="text1"/>
        </w:rPr>
        <w:t>be superseded by a second vaccination and thus assuming 5 years of benefit for each vaccination overestimate</w:t>
      </w:r>
      <w:r w:rsidR="00156AD3" w:rsidRPr="00AB6640">
        <w:rPr>
          <w:color w:val="000000" w:themeColor="text1"/>
        </w:rPr>
        <w:t>d</w:t>
      </w:r>
      <w:r w:rsidRPr="00AB6640">
        <w:rPr>
          <w:color w:val="000000" w:themeColor="text1"/>
        </w:rPr>
        <w:t xml:space="preserve"> the benefit.</w:t>
      </w:r>
      <w:r w:rsidR="00320841" w:rsidRPr="00AB6640">
        <w:rPr>
          <w:color w:val="000000" w:themeColor="text1"/>
        </w:rPr>
        <w:t xml:space="preserve"> With VE </w:t>
      </w:r>
      <w:r w:rsidR="005131B9" w:rsidRPr="00AB6640">
        <w:rPr>
          <w:color w:val="000000" w:themeColor="text1"/>
        </w:rPr>
        <w:t>waning over</w:t>
      </w:r>
      <w:r w:rsidR="00320841" w:rsidRPr="00AB6640">
        <w:rPr>
          <w:color w:val="000000" w:themeColor="text1"/>
        </w:rPr>
        <w:t xml:space="preserve"> 3 years the ICER increase</w:t>
      </w:r>
      <w:r w:rsidR="005B04EE" w:rsidRPr="00AB6640">
        <w:rPr>
          <w:color w:val="000000" w:themeColor="text1"/>
        </w:rPr>
        <w:t>d</w:t>
      </w:r>
      <w:r w:rsidR="00320841" w:rsidRPr="00AB6640">
        <w:rPr>
          <w:color w:val="000000" w:themeColor="text1"/>
        </w:rPr>
        <w:t xml:space="preserve"> to </w:t>
      </w:r>
      <w:r w:rsidR="00D7356D">
        <w:rPr>
          <w:color w:val="000000" w:themeColor="text1"/>
        </w:rPr>
        <w:t>$45,000 - $75,000/QALY</w:t>
      </w:r>
      <w:r w:rsidR="00883731" w:rsidRPr="00AB6640">
        <w:rPr>
          <w:color w:val="000000" w:themeColor="text1"/>
        </w:rPr>
        <w:t xml:space="preserve"> </w:t>
      </w:r>
      <w:r w:rsidR="00156AD3" w:rsidRPr="00AB6640">
        <w:rPr>
          <w:color w:val="000000" w:themeColor="text1"/>
        </w:rPr>
        <w:t>(</w:t>
      </w:r>
      <w:r w:rsidR="00883731" w:rsidRPr="00AB6640">
        <w:rPr>
          <w:color w:val="000000" w:themeColor="text1"/>
        </w:rPr>
        <w:t>using the ESC base case</w:t>
      </w:r>
      <w:r w:rsidR="00156AD3" w:rsidRPr="00AB6640">
        <w:rPr>
          <w:color w:val="000000" w:themeColor="text1"/>
        </w:rPr>
        <w:t>)</w:t>
      </w:r>
      <w:r w:rsidR="00320841" w:rsidRPr="00AB6640">
        <w:rPr>
          <w:color w:val="000000" w:themeColor="text1"/>
        </w:rPr>
        <w:t xml:space="preserve">. </w:t>
      </w:r>
      <w:r w:rsidR="00AB4DE3" w:rsidRPr="00AB6640">
        <w:rPr>
          <w:color w:val="000000" w:themeColor="text1"/>
        </w:rPr>
        <w:t xml:space="preserve">The PSCR </w:t>
      </w:r>
      <w:r w:rsidR="00C848FD">
        <w:rPr>
          <w:color w:val="000000" w:themeColor="text1"/>
        </w:rPr>
        <w:t xml:space="preserve">and pre-PBAC response </w:t>
      </w:r>
      <w:r w:rsidR="00AB4DE3" w:rsidRPr="00AB6640">
        <w:rPr>
          <w:color w:val="000000" w:themeColor="text1"/>
        </w:rPr>
        <w:t xml:space="preserve">recognised this issue but argued that accounting for this would require considerably more complex modelling techniques and the model </w:t>
      </w:r>
      <w:r w:rsidR="00130D5A">
        <w:rPr>
          <w:color w:val="000000" w:themeColor="text1"/>
        </w:rPr>
        <w:t>wa</w:t>
      </w:r>
      <w:r w:rsidR="00AB4DE3" w:rsidRPr="00AB6640">
        <w:rPr>
          <w:color w:val="000000" w:themeColor="text1"/>
        </w:rPr>
        <w:t>s already conservative</w:t>
      </w:r>
      <w:r w:rsidR="00C848FD">
        <w:rPr>
          <w:color w:val="000000" w:themeColor="text1"/>
        </w:rPr>
        <w:t>.</w:t>
      </w:r>
      <w:r w:rsidR="00AB4DE3" w:rsidRPr="00AB6640">
        <w:rPr>
          <w:color w:val="000000" w:themeColor="text1"/>
        </w:rPr>
        <w:t xml:space="preserve"> </w:t>
      </w:r>
      <w:r w:rsidR="00C848FD">
        <w:rPr>
          <w:color w:val="000000" w:themeColor="text1"/>
        </w:rPr>
        <w:t>Specifically, the VE estimate reported in APERT was an average observed over almost two years of follow-up but the model conservatively applied this estimate as the maximum VE obtained immediately after vaccination with linear waning to zero at the end of five years (despite published literature suggesting antibody persistence following vaccination of at least 10 years).</w:t>
      </w:r>
    </w:p>
    <w:p w:rsidR="0083597B" w:rsidRPr="00AB6640" w:rsidRDefault="0083597B" w:rsidP="001C7B61">
      <w:pPr>
        <w:pStyle w:val="ListParagraph"/>
        <w:widowControl/>
        <w:rPr>
          <w:color w:val="000000" w:themeColor="text1"/>
        </w:rPr>
      </w:pPr>
    </w:p>
    <w:p w:rsidR="0083597B" w:rsidRPr="00AB6640" w:rsidRDefault="0083597B" w:rsidP="001C7B61">
      <w:pPr>
        <w:pStyle w:val="ListParagraph"/>
        <w:widowControl/>
        <w:numPr>
          <w:ilvl w:val="1"/>
          <w:numId w:val="3"/>
        </w:numPr>
        <w:rPr>
          <w:color w:val="000000" w:themeColor="text1"/>
        </w:rPr>
      </w:pPr>
      <w:r w:rsidRPr="00AB6640">
        <w:rPr>
          <w:color w:val="000000" w:themeColor="text1"/>
        </w:rPr>
        <w:t xml:space="preserve">Costs for administering the vaccine </w:t>
      </w:r>
      <w:r w:rsidR="005B04EE" w:rsidRPr="00AB6640">
        <w:rPr>
          <w:color w:val="000000" w:themeColor="text1"/>
        </w:rPr>
        <w:t xml:space="preserve">were </w:t>
      </w:r>
      <w:r w:rsidRPr="00AB6640">
        <w:rPr>
          <w:color w:val="000000" w:themeColor="text1"/>
        </w:rPr>
        <w:t>not included in the model. Assuming a cost of $7 for administering the vaccine increase</w:t>
      </w:r>
      <w:r w:rsidR="005B04EE" w:rsidRPr="00AB6640">
        <w:rPr>
          <w:color w:val="000000" w:themeColor="text1"/>
        </w:rPr>
        <w:t>d</w:t>
      </w:r>
      <w:r w:rsidRPr="00AB6640">
        <w:rPr>
          <w:color w:val="000000" w:themeColor="text1"/>
        </w:rPr>
        <w:t xml:space="preserve"> the </w:t>
      </w:r>
      <w:r w:rsidR="00381437">
        <w:rPr>
          <w:color w:val="000000" w:themeColor="text1"/>
        </w:rPr>
        <w:t xml:space="preserve">ESC base case </w:t>
      </w:r>
      <w:r w:rsidR="00320841" w:rsidRPr="00AB6640">
        <w:rPr>
          <w:color w:val="000000" w:themeColor="text1"/>
        </w:rPr>
        <w:t>ICER</w:t>
      </w:r>
      <w:r w:rsidRPr="00AB6640">
        <w:rPr>
          <w:color w:val="000000" w:themeColor="text1"/>
        </w:rPr>
        <w:t xml:space="preserve"> to $</w:t>
      </w:r>
      <w:r w:rsidR="00D7356D">
        <w:rPr>
          <w:color w:val="000000" w:themeColor="text1"/>
        </w:rPr>
        <w:t>$45,000 - $75,000/QALY</w:t>
      </w:r>
      <w:r w:rsidRPr="00AB6640">
        <w:rPr>
          <w:color w:val="000000" w:themeColor="text1"/>
        </w:rPr>
        <w:t>.</w:t>
      </w:r>
      <w:r w:rsidR="006E085E" w:rsidRPr="00AB6640">
        <w:rPr>
          <w:color w:val="000000" w:themeColor="text1"/>
        </w:rPr>
        <w:t xml:space="preserve"> </w:t>
      </w:r>
      <w:r w:rsidR="00E24767" w:rsidRPr="00AB6640">
        <w:rPr>
          <w:color w:val="000000" w:themeColor="text1"/>
        </w:rPr>
        <w:t>The PSCR stated that vaccination can occur alongside routine prenatal care, so would not incur extra costs.</w:t>
      </w:r>
      <w:r w:rsidR="00783163" w:rsidRPr="00AB6640">
        <w:rPr>
          <w:color w:val="000000" w:themeColor="text1"/>
        </w:rPr>
        <w:t xml:space="preserve"> </w:t>
      </w:r>
      <w:r w:rsidR="006E085E" w:rsidRPr="00AB6640">
        <w:rPr>
          <w:color w:val="000000" w:themeColor="text1"/>
        </w:rPr>
        <w:t xml:space="preserve">The ESC </w:t>
      </w:r>
      <w:r w:rsidR="00880B0F" w:rsidRPr="00AB6640">
        <w:rPr>
          <w:color w:val="000000" w:themeColor="text1"/>
        </w:rPr>
        <w:t xml:space="preserve">agreed that the vaccine could be provided at standard appointments through antenatal clinics, midwifery programs or GP practices. However, the ESC </w:t>
      </w:r>
      <w:r w:rsidR="006E085E" w:rsidRPr="00AB6640">
        <w:rPr>
          <w:color w:val="000000" w:themeColor="text1"/>
        </w:rPr>
        <w:t xml:space="preserve">considered that it was unreasonable to assume no </w:t>
      </w:r>
      <w:r w:rsidR="00E24767" w:rsidRPr="00AB6640">
        <w:rPr>
          <w:color w:val="000000" w:themeColor="text1"/>
        </w:rPr>
        <w:t xml:space="preserve">additional </w:t>
      </w:r>
      <w:r w:rsidR="006E085E" w:rsidRPr="00AB6640">
        <w:rPr>
          <w:color w:val="000000" w:themeColor="text1"/>
        </w:rPr>
        <w:t>cost for administering the vaccine, noting the time taken</w:t>
      </w:r>
      <w:r w:rsidR="009C036B" w:rsidRPr="00AB6640">
        <w:rPr>
          <w:color w:val="000000" w:themeColor="text1"/>
        </w:rPr>
        <w:t xml:space="preserve"> to record information</w:t>
      </w:r>
      <w:r w:rsidR="00FF23C5" w:rsidRPr="00AB6640">
        <w:rPr>
          <w:color w:val="000000" w:themeColor="text1"/>
        </w:rPr>
        <w:t xml:space="preserve"> and</w:t>
      </w:r>
      <w:r w:rsidR="006E085E" w:rsidRPr="00AB6640">
        <w:rPr>
          <w:color w:val="000000" w:themeColor="text1"/>
        </w:rPr>
        <w:t xml:space="preserve"> marginal increases in consultation times</w:t>
      </w:r>
      <w:r w:rsidR="009C036B" w:rsidRPr="00AB6640">
        <w:rPr>
          <w:color w:val="000000" w:themeColor="text1"/>
        </w:rPr>
        <w:t>.</w:t>
      </w:r>
    </w:p>
    <w:p w:rsidR="0031048B" w:rsidRPr="00AB6640" w:rsidRDefault="0031048B" w:rsidP="001C7B61">
      <w:pPr>
        <w:pStyle w:val="ListParagraph"/>
        <w:widowControl/>
        <w:rPr>
          <w:color w:val="000000" w:themeColor="text1"/>
        </w:rPr>
      </w:pPr>
    </w:p>
    <w:p w:rsidR="0031048B" w:rsidRPr="00AB6640" w:rsidRDefault="0031048B" w:rsidP="001C7B61">
      <w:pPr>
        <w:pStyle w:val="ListParagraph"/>
        <w:widowControl/>
        <w:numPr>
          <w:ilvl w:val="1"/>
          <w:numId w:val="3"/>
        </w:numPr>
        <w:rPr>
          <w:color w:val="000000" w:themeColor="text1"/>
        </w:rPr>
      </w:pPr>
      <w:r w:rsidRPr="00AB6640">
        <w:t xml:space="preserve">The results </w:t>
      </w:r>
      <w:r w:rsidR="005B04EE" w:rsidRPr="00AB6640">
        <w:t xml:space="preserve">were </w:t>
      </w:r>
      <w:r w:rsidRPr="00AB6640">
        <w:t>sensitive to the discount rate (</w:t>
      </w:r>
      <w:r w:rsidR="00D7356D">
        <w:t>$15,000 - $45,000/QALY</w:t>
      </w:r>
      <w:r w:rsidRPr="00AB6640">
        <w:t xml:space="preserve"> with no discounting; $</w:t>
      </w:r>
      <w:r w:rsidR="00D7356D">
        <w:t>45,000 - $75,000/QALY</w:t>
      </w:r>
      <w:r w:rsidRPr="00AB6640">
        <w:t xml:space="preserve"> with costs and benefits discounted at </w:t>
      </w:r>
      <w:r w:rsidRPr="00E7714B">
        <w:t>10</w:t>
      </w:r>
      <w:r w:rsidRPr="00AB6640">
        <w:t>%</w:t>
      </w:r>
      <w:r w:rsidR="00840EEA" w:rsidRPr="00AB6640">
        <w:t xml:space="preserve"> using the ESC base case</w:t>
      </w:r>
      <w:r w:rsidRPr="00AB6640">
        <w:t>). This is because the life years gained for the death</w:t>
      </w:r>
      <w:r w:rsidR="005B04EE" w:rsidRPr="00AB6640">
        <w:t>s</w:t>
      </w:r>
      <w:r w:rsidRPr="00AB6640">
        <w:t xml:space="preserve"> prevented </w:t>
      </w:r>
      <w:r w:rsidR="005B04EE" w:rsidRPr="00AB6640">
        <w:t xml:space="preserve">were </w:t>
      </w:r>
      <w:r w:rsidRPr="00AB6640">
        <w:t>substantially reduced when discounted (</w:t>
      </w:r>
      <w:r w:rsidR="00E27B8D" w:rsidRPr="00AB6640">
        <w:t>46.95</w:t>
      </w:r>
      <w:r w:rsidRPr="00AB6640">
        <w:t xml:space="preserve"> years when undiscounted versus </w:t>
      </w:r>
      <w:r w:rsidR="00E27B8D" w:rsidRPr="00AB6640">
        <w:t xml:space="preserve">10.43 </w:t>
      </w:r>
      <w:r w:rsidRPr="00AB6640">
        <w:t xml:space="preserve">years when discounted at </w:t>
      </w:r>
      <w:r w:rsidRPr="00E7714B">
        <w:t>5</w:t>
      </w:r>
      <w:r w:rsidRPr="00AB6640">
        <w:t>%</w:t>
      </w:r>
      <w:r w:rsidR="00A600C9" w:rsidRPr="00AB6640">
        <w:t xml:space="preserve"> and </w:t>
      </w:r>
      <w:r w:rsidR="00E27B8D" w:rsidRPr="00AB6640">
        <w:t xml:space="preserve">5.18 </w:t>
      </w:r>
      <w:r w:rsidR="00A600C9" w:rsidRPr="00AB6640">
        <w:t xml:space="preserve">when discounted at </w:t>
      </w:r>
      <w:r w:rsidR="00A600C9" w:rsidRPr="00E7714B">
        <w:t>10</w:t>
      </w:r>
      <w:r w:rsidR="00A600C9" w:rsidRPr="00AB6640">
        <w:t>%</w:t>
      </w:r>
      <w:r w:rsidRPr="00AB6640">
        <w:t>).</w:t>
      </w:r>
    </w:p>
    <w:p w:rsidR="00E24767" w:rsidRPr="00AB6640" w:rsidRDefault="00E24767" w:rsidP="001C7B61">
      <w:pPr>
        <w:pStyle w:val="ListParagraph"/>
        <w:widowControl/>
        <w:rPr>
          <w:color w:val="000000" w:themeColor="text1"/>
        </w:rPr>
      </w:pPr>
    </w:p>
    <w:p w:rsidR="00A03D67" w:rsidRPr="00AB6640" w:rsidRDefault="00DB1AA7" w:rsidP="001C7B61">
      <w:pPr>
        <w:pStyle w:val="ListParagraph"/>
        <w:widowControl/>
        <w:numPr>
          <w:ilvl w:val="1"/>
          <w:numId w:val="3"/>
        </w:numPr>
        <w:rPr>
          <w:color w:val="000000" w:themeColor="text1"/>
        </w:rPr>
      </w:pPr>
      <w:r w:rsidRPr="00AB6640">
        <w:rPr>
          <w:color w:val="000000" w:themeColor="text1"/>
        </w:rPr>
        <w:t xml:space="preserve">The </w:t>
      </w:r>
      <w:r w:rsidRPr="00AB6640">
        <w:t xml:space="preserve">durations of illness used in the model </w:t>
      </w:r>
      <w:r w:rsidR="003772CB" w:rsidRPr="00AB6640">
        <w:t xml:space="preserve">(62-82 days) </w:t>
      </w:r>
      <w:r w:rsidRPr="00AB6640">
        <w:t xml:space="preserve">were sourced from economic analyses (Lee 2007 and Lee 2008) which did not contain information regarding how the duration of illness was estimated. </w:t>
      </w:r>
      <w:r w:rsidR="006678B4" w:rsidRPr="00AB6640">
        <w:t>Accordingly, the ESC considered that the durations of illness were insufficiently justified</w:t>
      </w:r>
      <w:r w:rsidR="00172794" w:rsidRPr="00AB6640">
        <w:t>.</w:t>
      </w:r>
      <w:r w:rsidR="00715682" w:rsidRPr="00AB6640">
        <w:t xml:space="preserve"> The Centres for Disease Control and Prevention (CDC) describe three stages of pertussis with accompanying durations: catarrhal (7</w:t>
      </w:r>
      <w:r w:rsidR="00345147" w:rsidRPr="00AB6640">
        <w:noBreakHyphen/>
      </w:r>
      <w:r w:rsidR="00715682" w:rsidRPr="00AB6640">
        <w:t>10 days), paroxysmal (1-</w:t>
      </w:r>
      <w:r w:rsidR="00345147" w:rsidRPr="00AB6640">
        <w:t>6 weeks) and convalescent (7</w:t>
      </w:r>
      <w:r w:rsidR="00345147" w:rsidRPr="00AB6640">
        <w:noBreakHyphen/>
        <w:t>10 </w:t>
      </w:r>
      <w:r w:rsidR="00715682" w:rsidRPr="00AB6640">
        <w:t>days</w:t>
      </w:r>
      <w:r w:rsidR="00345147" w:rsidRPr="00AB6640">
        <w:t>)</w:t>
      </w:r>
      <w:r w:rsidR="00715682" w:rsidRPr="00AB6640">
        <w:rPr>
          <w:rStyle w:val="FootnoteReference"/>
        </w:rPr>
        <w:footnoteReference w:id="3"/>
      </w:r>
      <w:r w:rsidR="00715682" w:rsidRPr="00AB6640">
        <w:t>.</w:t>
      </w:r>
      <w:r w:rsidR="006678B4" w:rsidRPr="00AB6640">
        <w:t xml:space="preserve"> If a duration of illness of </w:t>
      </w:r>
      <w:r w:rsidR="0086469D" w:rsidRPr="00AB6640">
        <w:t>41</w:t>
      </w:r>
      <w:r w:rsidR="00345147" w:rsidRPr="00AB6640">
        <w:t> </w:t>
      </w:r>
      <w:r w:rsidR="006678B4" w:rsidRPr="00AB6640">
        <w:t>days for adults 20 years and above was assumed (based on the sum of the midpoints of the three stages)</w:t>
      </w:r>
      <w:r w:rsidR="00172794" w:rsidRPr="00AB6640">
        <w:t xml:space="preserve"> </w:t>
      </w:r>
      <w:r w:rsidR="006678B4" w:rsidRPr="00AB6640">
        <w:t xml:space="preserve">the </w:t>
      </w:r>
      <w:r w:rsidR="00381437">
        <w:t xml:space="preserve">ESC base case </w:t>
      </w:r>
      <w:r w:rsidR="006678B4" w:rsidRPr="00AB6640">
        <w:t>ICER increased to $</w:t>
      </w:r>
      <w:r w:rsidR="00D7356D">
        <w:t>45,000 - $75,000/QALY</w:t>
      </w:r>
      <w:r w:rsidR="006678B4" w:rsidRPr="00AB6640">
        <w:t>.</w:t>
      </w:r>
      <w:r w:rsidR="00130D5A">
        <w:t xml:space="preserve"> The pre-PBAC response argued that the ESC cited the CDC report somewhat selectively and that it is the mean duration of disease that is critical rather than the midp</w:t>
      </w:r>
      <w:r w:rsidR="0035570A">
        <w:t>oint. In this regard, the pre-P</w:t>
      </w:r>
      <w:r w:rsidR="00130D5A">
        <w:t>B</w:t>
      </w:r>
      <w:r w:rsidR="0035570A">
        <w:t>A</w:t>
      </w:r>
      <w:r w:rsidR="00130D5A">
        <w:t>C response noted that “the mean duration of cough in a cohort of 664 cases in Canada was</w:t>
      </w:r>
      <w:r w:rsidR="00494B03">
        <w:t xml:space="preserve"> 10 weeks in adolescents and 12 </w:t>
      </w:r>
      <w:r w:rsidR="00130D5A">
        <w:t>weeks in adults</w:t>
      </w:r>
      <w:r w:rsidR="009A39F3">
        <w:t xml:space="preserve">” </w:t>
      </w:r>
      <w:r w:rsidR="00EC538F">
        <w:t xml:space="preserve">which </w:t>
      </w:r>
      <w:r w:rsidR="00D91DB1">
        <w:t xml:space="preserve">the response noted were </w:t>
      </w:r>
      <w:r w:rsidR="00EC538F">
        <w:t>longer than</w:t>
      </w:r>
      <w:r w:rsidR="009A39F3">
        <w:t xml:space="preserve"> the durations used in the model</w:t>
      </w:r>
      <w:r w:rsidR="00130D5A">
        <w:t>.</w:t>
      </w:r>
    </w:p>
    <w:p w:rsidR="003772CB" w:rsidRPr="00AB6640" w:rsidRDefault="003772CB" w:rsidP="001C7B61">
      <w:pPr>
        <w:pStyle w:val="ListParagraph"/>
        <w:widowControl/>
        <w:rPr>
          <w:color w:val="000000" w:themeColor="text1"/>
        </w:rPr>
      </w:pPr>
    </w:p>
    <w:p w:rsidR="003772CB" w:rsidRPr="00AB6640" w:rsidRDefault="003772CB" w:rsidP="001C7B61">
      <w:pPr>
        <w:pStyle w:val="ListParagraph"/>
        <w:widowControl/>
        <w:numPr>
          <w:ilvl w:val="1"/>
          <w:numId w:val="3"/>
        </w:numPr>
        <w:rPr>
          <w:color w:val="000000" w:themeColor="text1"/>
        </w:rPr>
      </w:pPr>
      <w:r w:rsidRPr="00AB6640">
        <w:rPr>
          <w:color w:val="000000" w:themeColor="text1"/>
        </w:rPr>
        <w:t>The duration of illness assumed in the model included the convalescence and catarrhal phases.  The ESC considered that the utility weights derived from Lee 2005 are most representative of the paroxysmal phase of pertussis (based on the description of pertussis in the vignettes used in the time-trade off study) and therefore may overestimate the disutility for the whole duration of illness.</w:t>
      </w:r>
    </w:p>
    <w:p w:rsidR="00607883" w:rsidRPr="00AB6640" w:rsidRDefault="00607883" w:rsidP="001C7B61">
      <w:pPr>
        <w:pStyle w:val="ListParagraph"/>
        <w:widowControl/>
      </w:pPr>
    </w:p>
    <w:p w:rsidR="00DF0201" w:rsidRPr="002665FC" w:rsidRDefault="00DF0201" w:rsidP="00C848FD">
      <w:pPr>
        <w:keepNext/>
        <w:widowControl/>
        <w:ind w:left="709"/>
        <w:rPr>
          <w:rStyle w:val="CommentReference"/>
        </w:rPr>
      </w:pPr>
      <w:r w:rsidRPr="002665FC">
        <w:rPr>
          <w:rStyle w:val="CommentReference"/>
        </w:rPr>
        <w:t xml:space="preserve">Table </w:t>
      </w:r>
      <w:r w:rsidR="00BB4567" w:rsidRPr="002665FC">
        <w:rPr>
          <w:rStyle w:val="CommentReference"/>
        </w:rPr>
        <w:t>8</w:t>
      </w:r>
      <w:r w:rsidRPr="002665FC">
        <w:rPr>
          <w:rStyle w:val="CommentReference"/>
        </w:rPr>
        <w:t xml:space="preserve">: </w:t>
      </w:r>
      <w:r w:rsidR="00456FE5" w:rsidRPr="001A51A2">
        <w:rPr>
          <w:rStyle w:val="CommentReference"/>
        </w:rPr>
        <w:t xml:space="preserve">Results of the economic evaluation </w:t>
      </w:r>
      <w:r w:rsidRPr="002665FC">
        <w:rPr>
          <w:rStyle w:val="CommentReference"/>
        </w:rPr>
        <w:t>and sensitivity analyses</w:t>
      </w:r>
      <w:r w:rsidR="00C848FD">
        <w:rPr>
          <w:rStyle w:val="CommentReference"/>
        </w:rPr>
        <w:t xml:space="preserve"> using the ESC base case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9"/>
        <w:gridCol w:w="1273"/>
        <w:gridCol w:w="1135"/>
        <w:gridCol w:w="1419"/>
        <w:gridCol w:w="1399"/>
      </w:tblGrid>
      <w:tr w:rsidR="00DF0201" w:rsidRPr="002665FC" w:rsidTr="00D705D7">
        <w:trPr>
          <w:tblHeader/>
        </w:trPr>
        <w:tc>
          <w:tcPr>
            <w:tcW w:w="1869" w:type="pct"/>
            <w:tcBorders>
              <w:top w:val="single" w:sz="4" w:space="0" w:color="auto"/>
              <w:left w:val="single" w:sz="4" w:space="0" w:color="auto"/>
              <w:bottom w:val="single" w:sz="4" w:space="0" w:color="auto"/>
              <w:right w:val="single" w:sz="4" w:space="0" w:color="auto"/>
            </w:tcBorders>
            <w:vAlign w:val="center"/>
          </w:tcPr>
          <w:p w:rsidR="00DF0201" w:rsidRPr="002665FC" w:rsidRDefault="00DF0201" w:rsidP="001C7B61">
            <w:pPr>
              <w:keepNext/>
              <w:widowControl/>
              <w:jc w:val="left"/>
              <w:rPr>
                <w:rFonts w:ascii="Arial Narrow" w:hAnsi="Arial Narrow"/>
                <w:sz w:val="20"/>
              </w:rPr>
            </w:pPr>
            <w:r w:rsidRPr="002665FC">
              <w:rPr>
                <w:rFonts w:ascii="Arial Narrow" w:hAnsi="Arial Narrow"/>
                <w:b/>
                <w:sz w:val="20"/>
              </w:rPr>
              <w:t>Scenario</w:t>
            </w:r>
          </w:p>
        </w:tc>
        <w:tc>
          <w:tcPr>
            <w:tcW w:w="763" w:type="pct"/>
            <w:tcBorders>
              <w:top w:val="single" w:sz="4" w:space="0" w:color="auto"/>
              <w:left w:val="single" w:sz="4" w:space="0" w:color="auto"/>
              <w:bottom w:val="single" w:sz="4" w:space="0" w:color="auto"/>
              <w:right w:val="single" w:sz="4" w:space="0" w:color="auto"/>
            </w:tcBorders>
          </w:tcPr>
          <w:p w:rsidR="00DF0201" w:rsidRPr="002665FC" w:rsidRDefault="00DF0201" w:rsidP="001C7B61">
            <w:pPr>
              <w:keepNext/>
              <w:widowControl/>
              <w:jc w:val="center"/>
              <w:rPr>
                <w:rFonts w:ascii="Arial Narrow" w:hAnsi="Arial Narrow"/>
                <w:b/>
                <w:sz w:val="20"/>
              </w:rPr>
            </w:pPr>
            <w:r w:rsidRPr="002665FC">
              <w:rPr>
                <w:rFonts w:ascii="Arial Narrow" w:eastAsiaTheme="majorEastAsia" w:hAnsi="Arial Narrow" w:cstheme="majorBidi"/>
                <w:b/>
                <w:snapToGrid/>
                <w:sz w:val="20"/>
                <w:lang w:bidi="en-US"/>
              </w:rPr>
              <w:t>Incremental number of pertussis deaths avoided</w:t>
            </w:r>
          </w:p>
        </w:tc>
        <w:tc>
          <w:tcPr>
            <w:tcW w:w="680" w:type="pct"/>
            <w:tcBorders>
              <w:top w:val="single" w:sz="4" w:space="0" w:color="auto"/>
              <w:left w:val="single" w:sz="4" w:space="0" w:color="auto"/>
              <w:bottom w:val="single" w:sz="4" w:space="0" w:color="auto"/>
              <w:right w:val="single" w:sz="4" w:space="0" w:color="auto"/>
            </w:tcBorders>
            <w:vAlign w:val="center"/>
          </w:tcPr>
          <w:p w:rsidR="00DF0201" w:rsidRPr="002665FC" w:rsidRDefault="00DF0201" w:rsidP="001C7B61">
            <w:pPr>
              <w:keepNext/>
              <w:widowControl/>
              <w:jc w:val="center"/>
              <w:rPr>
                <w:rFonts w:ascii="Arial Narrow" w:hAnsi="Arial Narrow"/>
                <w:sz w:val="20"/>
              </w:rPr>
            </w:pPr>
            <w:r w:rsidRPr="002665FC">
              <w:rPr>
                <w:rFonts w:ascii="Arial Narrow" w:hAnsi="Arial Narrow"/>
                <w:b/>
                <w:sz w:val="20"/>
              </w:rPr>
              <w:t>Incremental costs</w:t>
            </w:r>
          </w:p>
        </w:tc>
        <w:tc>
          <w:tcPr>
            <w:tcW w:w="850" w:type="pct"/>
            <w:tcBorders>
              <w:top w:val="single" w:sz="4" w:space="0" w:color="auto"/>
              <w:left w:val="single" w:sz="4" w:space="0" w:color="auto"/>
              <w:bottom w:val="single" w:sz="4" w:space="0" w:color="auto"/>
              <w:right w:val="single" w:sz="4" w:space="0" w:color="auto"/>
            </w:tcBorders>
            <w:vAlign w:val="center"/>
          </w:tcPr>
          <w:p w:rsidR="00DF0201" w:rsidRPr="002665FC" w:rsidRDefault="00DF0201" w:rsidP="001C7B61">
            <w:pPr>
              <w:keepNext/>
              <w:widowControl/>
              <w:jc w:val="center"/>
              <w:rPr>
                <w:rFonts w:ascii="Arial Narrow" w:hAnsi="Arial Narrow"/>
                <w:sz w:val="20"/>
              </w:rPr>
            </w:pPr>
            <w:r w:rsidRPr="002665FC">
              <w:rPr>
                <w:rFonts w:ascii="Arial Narrow" w:hAnsi="Arial Narrow"/>
                <w:b/>
                <w:sz w:val="20"/>
              </w:rPr>
              <w:t>Incremental effectiveness</w:t>
            </w:r>
            <w:r w:rsidR="009113B0" w:rsidRPr="002665FC">
              <w:rPr>
                <w:rFonts w:ascii="Arial Narrow" w:hAnsi="Arial Narrow"/>
                <w:b/>
                <w:sz w:val="20"/>
              </w:rPr>
              <w:t xml:space="preserve"> (QALYs gained)</w:t>
            </w:r>
          </w:p>
        </w:tc>
        <w:tc>
          <w:tcPr>
            <w:tcW w:w="838" w:type="pct"/>
            <w:tcBorders>
              <w:top w:val="single" w:sz="4" w:space="0" w:color="auto"/>
              <w:left w:val="single" w:sz="4" w:space="0" w:color="auto"/>
              <w:bottom w:val="single" w:sz="4" w:space="0" w:color="auto"/>
              <w:right w:val="single" w:sz="4" w:space="0" w:color="auto"/>
            </w:tcBorders>
            <w:vAlign w:val="center"/>
          </w:tcPr>
          <w:p w:rsidR="00DF0201" w:rsidRPr="002665FC" w:rsidRDefault="00DF0201" w:rsidP="001C7B61">
            <w:pPr>
              <w:keepNext/>
              <w:widowControl/>
              <w:jc w:val="center"/>
              <w:rPr>
                <w:rFonts w:ascii="Arial Narrow" w:hAnsi="Arial Narrow"/>
                <w:sz w:val="20"/>
              </w:rPr>
            </w:pPr>
            <w:r w:rsidRPr="002665FC">
              <w:rPr>
                <w:rFonts w:ascii="Arial Narrow" w:hAnsi="Arial Narrow"/>
                <w:b/>
                <w:sz w:val="20"/>
              </w:rPr>
              <w:t>Incremental cost-effectiveness</w:t>
            </w:r>
            <w:r w:rsidR="009113B0" w:rsidRPr="002665FC">
              <w:rPr>
                <w:rFonts w:ascii="Arial Narrow" w:hAnsi="Arial Narrow"/>
                <w:b/>
                <w:sz w:val="20"/>
              </w:rPr>
              <w:t xml:space="preserve"> (per QALY)</w:t>
            </w:r>
          </w:p>
        </w:tc>
      </w:tr>
      <w:tr w:rsidR="00A3428B" w:rsidRPr="002665FC" w:rsidTr="00D705D7">
        <w:tc>
          <w:tcPr>
            <w:tcW w:w="1869" w:type="pct"/>
            <w:tcBorders>
              <w:top w:val="single" w:sz="4" w:space="0" w:color="auto"/>
              <w:left w:val="single" w:sz="4" w:space="0" w:color="auto"/>
              <w:bottom w:val="single" w:sz="4" w:space="0" w:color="auto"/>
              <w:right w:val="single" w:sz="4" w:space="0" w:color="auto"/>
            </w:tcBorders>
            <w:vAlign w:val="center"/>
          </w:tcPr>
          <w:p w:rsidR="00A3428B" w:rsidRDefault="00A3428B" w:rsidP="001C7B61">
            <w:pPr>
              <w:keepNext/>
              <w:widowControl/>
              <w:jc w:val="left"/>
              <w:rPr>
                <w:rFonts w:ascii="Arial Narrow" w:hAnsi="Arial Narrow"/>
                <w:iCs/>
                <w:sz w:val="20"/>
              </w:rPr>
            </w:pPr>
            <w:r>
              <w:rPr>
                <w:rFonts w:ascii="Arial Narrow" w:hAnsi="Arial Narrow"/>
                <w:iCs/>
                <w:sz w:val="20"/>
              </w:rPr>
              <w:t>Submission base case</w:t>
            </w:r>
          </w:p>
        </w:tc>
        <w:tc>
          <w:tcPr>
            <w:tcW w:w="763" w:type="pct"/>
            <w:tcBorders>
              <w:top w:val="single" w:sz="4" w:space="0" w:color="auto"/>
              <w:left w:val="single" w:sz="4" w:space="0" w:color="auto"/>
              <w:bottom w:val="single" w:sz="4" w:space="0" w:color="auto"/>
              <w:right w:val="single" w:sz="4" w:space="0" w:color="auto"/>
            </w:tcBorders>
          </w:tcPr>
          <w:p w:rsidR="00A3428B" w:rsidRPr="00232F1B" w:rsidRDefault="00232F1B" w:rsidP="001C7B61">
            <w:pPr>
              <w:keepNext/>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80" w:type="pct"/>
            <w:tcBorders>
              <w:top w:val="single" w:sz="4" w:space="0" w:color="auto"/>
              <w:left w:val="single" w:sz="4" w:space="0" w:color="auto"/>
              <w:bottom w:val="single" w:sz="4" w:space="0" w:color="auto"/>
              <w:right w:val="single" w:sz="4" w:space="0" w:color="auto"/>
            </w:tcBorders>
          </w:tcPr>
          <w:p w:rsidR="00A3428B" w:rsidRDefault="00A3428B" w:rsidP="001C7B61">
            <w:pPr>
              <w:keepNext/>
              <w:widowControl/>
              <w:jc w:val="center"/>
              <w:rPr>
                <w:rFonts w:ascii="Arial Narrow" w:hAnsi="Arial Narrow"/>
                <w:iCs/>
                <w:sz w:val="20"/>
              </w:rPr>
            </w:pPr>
            <w:r>
              <w:rPr>
                <w:rFonts w:ascii="Arial Narrow" w:hAnsi="Arial Narrow"/>
                <w:iCs/>
                <w:sz w:val="20"/>
              </w:rPr>
              <w:t>$</w:t>
            </w:r>
            <w:r w:rsidR="00232F1B">
              <w:rPr>
                <w:rFonts w:ascii="Arial Narrow" w:hAnsi="Arial Narrow"/>
                <w:iCs/>
                <w:noProof/>
                <w:color w:val="000000"/>
                <w:sz w:val="20"/>
                <w:highlight w:val="black"/>
              </w:rPr>
              <w:t>'''''''''''''''''''''''</w:t>
            </w:r>
          </w:p>
        </w:tc>
        <w:tc>
          <w:tcPr>
            <w:tcW w:w="850" w:type="pct"/>
            <w:tcBorders>
              <w:top w:val="single" w:sz="4" w:space="0" w:color="auto"/>
              <w:left w:val="single" w:sz="4" w:space="0" w:color="auto"/>
              <w:bottom w:val="single" w:sz="4" w:space="0" w:color="auto"/>
              <w:right w:val="single" w:sz="4" w:space="0" w:color="auto"/>
            </w:tcBorders>
          </w:tcPr>
          <w:p w:rsidR="00A3428B" w:rsidRPr="00232F1B" w:rsidRDefault="00232F1B" w:rsidP="001C7B61">
            <w:pPr>
              <w:keepNext/>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838" w:type="pct"/>
            <w:tcBorders>
              <w:top w:val="single" w:sz="4" w:space="0" w:color="auto"/>
              <w:left w:val="single" w:sz="4" w:space="0" w:color="auto"/>
              <w:bottom w:val="single" w:sz="4" w:space="0" w:color="auto"/>
              <w:right w:val="single" w:sz="4" w:space="0" w:color="auto"/>
            </w:tcBorders>
          </w:tcPr>
          <w:p w:rsidR="00A3428B" w:rsidRDefault="00A3428B" w:rsidP="001C7B61">
            <w:pPr>
              <w:keepNext/>
              <w:widowControl/>
              <w:jc w:val="center"/>
              <w:rPr>
                <w:rFonts w:ascii="Arial Narrow" w:hAnsi="Arial Narrow"/>
                <w:iCs/>
                <w:sz w:val="20"/>
              </w:rPr>
            </w:pPr>
            <w:r>
              <w:rPr>
                <w:rFonts w:ascii="Arial Narrow" w:hAnsi="Arial Narrow"/>
                <w:iCs/>
                <w:sz w:val="20"/>
              </w:rPr>
              <w:t>$</w:t>
            </w:r>
            <w:r w:rsidR="00232F1B">
              <w:rPr>
                <w:rFonts w:ascii="Arial Narrow" w:hAnsi="Arial Narrow"/>
                <w:iCs/>
                <w:noProof/>
                <w:color w:val="000000"/>
                <w:sz w:val="20"/>
                <w:highlight w:val="black"/>
              </w:rPr>
              <w:t>''''''''''''''''</w:t>
            </w:r>
          </w:p>
        </w:tc>
      </w:tr>
      <w:tr w:rsidR="00F82D17" w:rsidRPr="002665FC" w:rsidTr="00D705D7">
        <w:tc>
          <w:tcPr>
            <w:tcW w:w="1869" w:type="pct"/>
            <w:tcBorders>
              <w:top w:val="single" w:sz="4" w:space="0" w:color="auto"/>
              <w:left w:val="single" w:sz="4" w:space="0" w:color="auto"/>
              <w:bottom w:val="single" w:sz="4" w:space="0" w:color="auto"/>
              <w:right w:val="single" w:sz="4" w:space="0" w:color="auto"/>
            </w:tcBorders>
            <w:vAlign w:val="center"/>
          </w:tcPr>
          <w:p w:rsidR="00F82D17" w:rsidRPr="002665FC" w:rsidRDefault="00C848FD" w:rsidP="001C7B61">
            <w:pPr>
              <w:keepNext/>
              <w:widowControl/>
              <w:jc w:val="left"/>
              <w:rPr>
                <w:rFonts w:ascii="Arial Narrow" w:hAnsi="Arial Narrow"/>
                <w:sz w:val="20"/>
              </w:rPr>
            </w:pPr>
            <w:r>
              <w:rPr>
                <w:rFonts w:ascii="Arial Narrow" w:hAnsi="Arial Narrow"/>
                <w:iCs/>
                <w:sz w:val="20"/>
              </w:rPr>
              <w:t>ESC</w:t>
            </w:r>
            <w:r w:rsidR="00F82D17" w:rsidRPr="002665FC">
              <w:rPr>
                <w:rFonts w:ascii="Arial Narrow" w:hAnsi="Arial Narrow"/>
                <w:sz w:val="20"/>
              </w:rPr>
              <w:t xml:space="preserve"> </w:t>
            </w:r>
            <w:r w:rsidR="00F82D17" w:rsidRPr="002665FC">
              <w:rPr>
                <w:rFonts w:ascii="Arial Narrow" w:hAnsi="Arial Narrow"/>
                <w:iCs/>
                <w:sz w:val="20"/>
              </w:rPr>
              <w:t>base case (uses mortality 0.4% and 1999</w:t>
            </w:r>
            <w:r w:rsidR="00F82D17" w:rsidRPr="002665FC">
              <w:rPr>
                <w:rFonts w:ascii="Arial Narrow" w:hAnsi="Arial Narrow"/>
                <w:iCs/>
                <w:sz w:val="20"/>
              </w:rPr>
              <w:noBreakHyphen/>
              <w:t>2014 baseline incidence of pertussis in adults)</w:t>
            </w:r>
          </w:p>
        </w:tc>
        <w:tc>
          <w:tcPr>
            <w:tcW w:w="763" w:type="pct"/>
            <w:tcBorders>
              <w:top w:val="single" w:sz="4" w:space="0" w:color="auto"/>
              <w:left w:val="single" w:sz="4" w:space="0" w:color="auto"/>
              <w:bottom w:val="single" w:sz="4" w:space="0" w:color="auto"/>
              <w:right w:val="single" w:sz="4" w:space="0" w:color="auto"/>
            </w:tcBorders>
          </w:tcPr>
          <w:p w:rsidR="00F82D17" w:rsidRPr="00232F1B" w:rsidRDefault="00232F1B" w:rsidP="001C7B61">
            <w:pPr>
              <w:keepNext/>
              <w:widowControl/>
              <w:jc w:val="center"/>
              <w:rPr>
                <w:rFonts w:ascii="Arial Narrow" w:eastAsiaTheme="majorEastAsia" w:hAnsi="Arial Narrow" w:cstheme="majorBidi"/>
                <w:snapToGrid/>
                <w:sz w:val="20"/>
                <w:highlight w:val="black"/>
                <w:lang w:bidi="en-US"/>
              </w:rPr>
            </w:pPr>
            <w:r>
              <w:rPr>
                <w:rFonts w:ascii="Arial Narrow" w:hAnsi="Arial Narrow"/>
                <w:iCs/>
                <w:noProof/>
                <w:color w:val="000000"/>
                <w:sz w:val="20"/>
                <w:highlight w:val="black"/>
              </w:rPr>
              <w:t>''''''''''</w:t>
            </w:r>
          </w:p>
        </w:tc>
        <w:tc>
          <w:tcPr>
            <w:tcW w:w="680" w:type="pct"/>
            <w:tcBorders>
              <w:top w:val="single" w:sz="4" w:space="0" w:color="auto"/>
              <w:left w:val="single" w:sz="4" w:space="0" w:color="auto"/>
              <w:bottom w:val="single" w:sz="4" w:space="0" w:color="auto"/>
              <w:right w:val="single" w:sz="4" w:space="0" w:color="auto"/>
            </w:tcBorders>
          </w:tcPr>
          <w:p w:rsidR="00F82D17" w:rsidRPr="002665FC" w:rsidRDefault="00F82D17" w:rsidP="001C7B61">
            <w:pPr>
              <w:keepNext/>
              <w:widowControl/>
              <w:jc w:val="center"/>
              <w:rPr>
                <w:rFonts w:ascii="Arial Narrow" w:eastAsiaTheme="majorEastAsia" w:hAnsi="Arial Narrow" w:cstheme="majorBidi"/>
                <w:snapToGrid/>
                <w:sz w:val="20"/>
                <w:lang w:bidi="en-US"/>
              </w:rPr>
            </w:pPr>
            <w:r w:rsidRPr="002665FC">
              <w:rPr>
                <w:rFonts w:ascii="Arial Narrow" w:hAnsi="Arial Narrow"/>
                <w:iCs/>
                <w:sz w:val="20"/>
              </w:rPr>
              <w:t>$</w:t>
            </w:r>
            <w:r w:rsidR="00232F1B">
              <w:rPr>
                <w:rFonts w:ascii="Arial Narrow" w:hAnsi="Arial Narrow"/>
                <w:iCs/>
                <w:noProof/>
                <w:color w:val="000000"/>
                <w:sz w:val="20"/>
                <w:highlight w:val="black"/>
              </w:rPr>
              <w:t>'''''''''''''''''''''''''</w:t>
            </w:r>
          </w:p>
        </w:tc>
        <w:tc>
          <w:tcPr>
            <w:tcW w:w="850" w:type="pct"/>
            <w:tcBorders>
              <w:top w:val="single" w:sz="4" w:space="0" w:color="auto"/>
              <w:left w:val="single" w:sz="4" w:space="0" w:color="auto"/>
              <w:bottom w:val="single" w:sz="4" w:space="0" w:color="auto"/>
              <w:right w:val="single" w:sz="4" w:space="0" w:color="auto"/>
            </w:tcBorders>
          </w:tcPr>
          <w:p w:rsidR="00F82D17" w:rsidRPr="00232F1B" w:rsidRDefault="00232F1B" w:rsidP="001C7B61">
            <w:pPr>
              <w:keepNext/>
              <w:widowControl/>
              <w:jc w:val="center"/>
              <w:rPr>
                <w:rFonts w:ascii="Arial Narrow" w:eastAsiaTheme="majorEastAsia" w:hAnsi="Arial Narrow" w:cstheme="majorBidi"/>
                <w:snapToGrid/>
                <w:sz w:val="20"/>
                <w:highlight w:val="black"/>
                <w:lang w:bidi="en-US"/>
              </w:rPr>
            </w:pPr>
            <w:r>
              <w:rPr>
                <w:rFonts w:ascii="Arial Narrow" w:hAnsi="Arial Narrow"/>
                <w:iCs/>
                <w:noProof/>
                <w:color w:val="000000"/>
                <w:sz w:val="20"/>
                <w:highlight w:val="black"/>
              </w:rPr>
              <w:t>''''''''''''''''''</w:t>
            </w:r>
          </w:p>
        </w:tc>
        <w:tc>
          <w:tcPr>
            <w:tcW w:w="838" w:type="pct"/>
            <w:tcBorders>
              <w:top w:val="single" w:sz="4" w:space="0" w:color="auto"/>
              <w:left w:val="single" w:sz="4" w:space="0" w:color="auto"/>
              <w:bottom w:val="single" w:sz="4" w:space="0" w:color="auto"/>
              <w:right w:val="single" w:sz="4" w:space="0" w:color="auto"/>
            </w:tcBorders>
          </w:tcPr>
          <w:p w:rsidR="00F82D17" w:rsidRPr="002665FC" w:rsidRDefault="00F82D17" w:rsidP="001C7B61">
            <w:pPr>
              <w:keepNext/>
              <w:widowControl/>
              <w:jc w:val="center"/>
              <w:rPr>
                <w:rFonts w:ascii="Arial Narrow" w:eastAsiaTheme="majorEastAsia" w:hAnsi="Arial Narrow" w:cstheme="majorBidi"/>
                <w:snapToGrid/>
                <w:sz w:val="20"/>
                <w:lang w:bidi="en-US"/>
              </w:rPr>
            </w:pPr>
            <w:r w:rsidRPr="002665FC">
              <w:rPr>
                <w:rFonts w:ascii="Arial Narrow" w:hAnsi="Arial Narrow"/>
                <w:iCs/>
                <w:sz w:val="20"/>
              </w:rPr>
              <w:t>$</w:t>
            </w:r>
            <w:r w:rsidR="00232F1B">
              <w:rPr>
                <w:rFonts w:ascii="Arial Narrow" w:hAnsi="Arial Narrow"/>
                <w:iCs/>
                <w:noProof/>
                <w:color w:val="000000"/>
                <w:sz w:val="20"/>
                <w:highlight w:val="black"/>
              </w:rPr>
              <w:t>'''''''''''''''</w:t>
            </w:r>
          </w:p>
        </w:tc>
      </w:tr>
      <w:tr w:rsidR="00A3428B" w:rsidRPr="002665FC" w:rsidTr="00D705D7">
        <w:tc>
          <w:tcPr>
            <w:tcW w:w="1869" w:type="pct"/>
            <w:tcBorders>
              <w:top w:val="single" w:sz="4" w:space="0" w:color="auto"/>
              <w:left w:val="single" w:sz="4" w:space="0" w:color="auto"/>
              <w:bottom w:val="single" w:sz="4" w:space="0" w:color="auto"/>
              <w:right w:val="single" w:sz="4" w:space="0" w:color="auto"/>
            </w:tcBorders>
            <w:vAlign w:val="center"/>
          </w:tcPr>
          <w:p w:rsidR="00A3428B" w:rsidRPr="002665FC" w:rsidRDefault="00A3428B" w:rsidP="001C7B61">
            <w:pPr>
              <w:keepNext/>
              <w:widowControl/>
              <w:jc w:val="left"/>
              <w:rPr>
                <w:rFonts w:ascii="Arial Narrow" w:hAnsi="Arial Narrow"/>
                <w:iCs/>
                <w:sz w:val="20"/>
              </w:rPr>
            </w:pPr>
            <w:r w:rsidRPr="002665FC">
              <w:rPr>
                <w:rFonts w:ascii="Arial Narrow" w:hAnsi="Arial Narrow"/>
                <w:iCs/>
                <w:sz w:val="20"/>
              </w:rPr>
              <w:t>Pre-PBAC response base case (</w:t>
            </w:r>
            <w:r w:rsidR="002C28F9">
              <w:rPr>
                <w:rFonts w:ascii="Arial Narrow" w:hAnsi="Arial Narrow"/>
                <w:iCs/>
                <w:sz w:val="20"/>
              </w:rPr>
              <w:t xml:space="preserve">uses </w:t>
            </w:r>
            <w:r w:rsidRPr="002665FC">
              <w:rPr>
                <w:rFonts w:ascii="Arial Narrow" w:hAnsi="Arial Narrow"/>
                <w:iCs/>
                <w:sz w:val="20"/>
              </w:rPr>
              <w:t>mortality 0.4%)</w:t>
            </w:r>
          </w:p>
        </w:tc>
        <w:tc>
          <w:tcPr>
            <w:tcW w:w="763" w:type="pct"/>
            <w:tcBorders>
              <w:top w:val="single" w:sz="4" w:space="0" w:color="auto"/>
              <w:left w:val="single" w:sz="4" w:space="0" w:color="auto"/>
              <w:bottom w:val="single" w:sz="4" w:space="0" w:color="auto"/>
              <w:right w:val="single" w:sz="4" w:space="0" w:color="auto"/>
            </w:tcBorders>
          </w:tcPr>
          <w:p w:rsidR="00A3428B" w:rsidRPr="00232F1B" w:rsidRDefault="00232F1B" w:rsidP="001C7B61">
            <w:pPr>
              <w:keepNext/>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80" w:type="pct"/>
            <w:tcBorders>
              <w:top w:val="single" w:sz="4" w:space="0" w:color="auto"/>
              <w:left w:val="single" w:sz="4" w:space="0" w:color="auto"/>
              <w:bottom w:val="single" w:sz="4" w:space="0" w:color="auto"/>
              <w:right w:val="single" w:sz="4" w:space="0" w:color="auto"/>
            </w:tcBorders>
          </w:tcPr>
          <w:p w:rsidR="00A3428B" w:rsidRDefault="00A3428B" w:rsidP="001C7B61">
            <w:pPr>
              <w:keepNext/>
              <w:widowControl/>
              <w:jc w:val="center"/>
              <w:rPr>
                <w:rFonts w:ascii="Arial Narrow" w:hAnsi="Arial Narrow"/>
                <w:iCs/>
                <w:sz w:val="20"/>
              </w:rPr>
            </w:pPr>
            <w:r>
              <w:rPr>
                <w:rFonts w:ascii="Arial Narrow" w:hAnsi="Arial Narrow"/>
                <w:iCs/>
                <w:sz w:val="20"/>
              </w:rPr>
              <w:t>$</w:t>
            </w:r>
            <w:r w:rsidR="00232F1B">
              <w:rPr>
                <w:rFonts w:ascii="Arial Narrow" w:hAnsi="Arial Narrow"/>
                <w:iCs/>
                <w:noProof/>
                <w:color w:val="000000"/>
                <w:sz w:val="20"/>
                <w:highlight w:val="black"/>
              </w:rPr>
              <w:t>'''''''''''''''''''''''''</w:t>
            </w:r>
          </w:p>
        </w:tc>
        <w:tc>
          <w:tcPr>
            <w:tcW w:w="850" w:type="pct"/>
            <w:tcBorders>
              <w:top w:val="single" w:sz="4" w:space="0" w:color="auto"/>
              <w:left w:val="single" w:sz="4" w:space="0" w:color="auto"/>
              <w:bottom w:val="single" w:sz="4" w:space="0" w:color="auto"/>
              <w:right w:val="single" w:sz="4" w:space="0" w:color="auto"/>
            </w:tcBorders>
          </w:tcPr>
          <w:p w:rsidR="00A3428B" w:rsidRPr="00232F1B" w:rsidRDefault="00232F1B" w:rsidP="001C7B61">
            <w:pPr>
              <w:keepNext/>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838" w:type="pct"/>
            <w:tcBorders>
              <w:top w:val="single" w:sz="4" w:space="0" w:color="auto"/>
              <w:left w:val="single" w:sz="4" w:space="0" w:color="auto"/>
              <w:bottom w:val="single" w:sz="4" w:space="0" w:color="auto"/>
              <w:right w:val="single" w:sz="4" w:space="0" w:color="auto"/>
            </w:tcBorders>
          </w:tcPr>
          <w:p w:rsidR="00A3428B" w:rsidRPr="002665FC" w:rsidRDefault="00A3428B" w:rsidP="001C7B61">
            <w:pPr>
              <w:keepNext/>
              <w:widowControl/>
              <w:jc w:val="center"/>
              <w:rPr>
                <w:rFonts w:ascii="Arial Narrow" w:hAnsi="Arial Narrow"/>
                <w:iCs/>
                <w:sz w:val="20"/>
              </w:rPr>
            </w:pPr>
            <w:r w:rsidRPr="002665FC">
              <w:rPr>
                <w:rFonts w:ascii="Arial Narrow" w:hAnsi="Arial Narrow"/>
                <w:iCs/>
                <w:sz w:val="20"/>
              </w:rPr>
              <w:t>$</w:t>
            </w:r>
            <w:r w:rsidR="00232F1B">
              <w:rPr>
                <w:rFonts w:ascii="Arial Narrow" w:hAnsi="Arial Narrow"/>
                <w:iCs/>
                <w:noProof/>
                <w:color w:val="000000"/>
                <w:sz w:val="20"/>
                <w:highlight w:val="black"/>
              </w:rPr>
              <w:t>''''''''''''''''</w:t>
            </w:r>
          </w:p>
        </w:tc>
      </w:tr>
      <w:tr w:rsidR="00A3428B" w:rsidRPr="002665FC" w:rsidTr="00A3428B">
        <w:tc>
          <w:tcPr>
            <w:tcW w:w="5000" w:type="pct"/>
            <w:gridSpan w:val="5"/>
            <w:tcBorders>
              <w:top w:val="single" w:sz="4" w:space="0" w:color="auto"/>
              <w:left w:val="single" w:sz="4" w:space="0" w:color="auto"/>
              <w:bottom w:val="single" w:sz="4" w:space="0" w:color="auto"/>
              <w:right w:val="single" w:sz="4" w:space="0" w:color="auto"/>
            </w:tcBorders>
            <w:vAlign w:val="center"/>
          </w:tcPr>
          <w:p w:rsidR="00A3428B" w:rsidRPr="002665FC" w:rsidRDefault="00A3428B" w:rsidP="00A3428B">
            <w:pPr>
              <w:keepNext/>
              <w:widowControl/>
              <w:jc w:val="left"/>
              <w:rPr>
                <w:rFonts w:ascii="Arial Narrow" w:hAnsi="Arial Narrow"/>
                <w:iCs/>
                <w:sz w:val="20"/>
              </w:rPr>
            </w:pPr>
            <w:r w:rsidRPr="00C848FD">
              <w:rPr>
                <w:rFonts w:ascii="Arial Narrow" w:hAnsi="Arial Narrow"/>
                <w:b/>
                <w:i/>
                <w:iCs/>
                <w:sz w:val="20"/>
              </w:rPr>
              <w:t xml:space="preserve">Sensitivity analyses </w:t>
            </w:r>
            <w:r>
              <w:rPr>
                <w:rFonts w:ascii="Arial Narrow" w:hAnsi="Arial Narrow"/>
                <w:b/>
                <w:i/>
                <w:iCs/>
                <w:sz w:val="20"/>
              </w:rPr>
              <w:t>using</w:t>
            </w:r>
            <w:r w:rsidRPr="00C848FD">
              <w:rPr>
                <w:rFonts w:ascii="Arial Narrow" w:hAnsi="Arial Narrow"/>
                <w:b/>
                <w:i/>
                <w:iCs/>
                <w:sz w:val="20"/>
              </w:rPr>
              <w:t xml:space="preserve"> the ESC base case</w:t>
            </w:r>
          </w:p>
        </w:tc>
      </w:tr>
      <w:tr w:rsidR="00F82D17" w:rsidRPr="002665FC" w:rsidTr="00D705D7">
        <w:tc>
          <w:tcPr>
            <w:tcW w:w="1869" w:type="pct"/>
            <w:tcBorders>
              <w:top w:val="single" w:sz="4" w:space="0" w:color="auto"/>
              <w:left w:val="single" w:sz="4" w:space="0" w:color="auto"/>
              <w:bottom w:val="single" w:sz="4" w:space="0" w:color="auto"/>
              <w:right w:val="single" w:sz="4" w:space="0" w:color="auto"/>
            </w:tcBorders>
          </w:tcPr>
          <w:p w:rsidR="00F82D17" w:rsidRPr="002665FC" w:rsidRDefault="00F82D17" w:rsidP="001C7B61">
            <w:pPr>
              <w:keepNext/>
              <w:widowControl/>
              <w:jc w:val="left"/>
              <w:rPr>
                <w:rFonts w:ascii="Arial Narrow" w:eastAsiaTheme="majorEastAsia" w:hAnsi="Arial Narrow" w:cstheme="majorBidi"/>
                <w:sz w:val="20"/>
                <w:lang w:bidi="en-US"/>
              </w:rPr>
            </w:pPr>
            <w:r w:rsidRPr="002665FC">
              <w:rPr>
                <w:rFonts w:ascii="Arial Narrow" w:hAnsi="Arial Narrow"/>
                <w:iCs/>
                <w:sz w:val="20"/>
              </w:rPr>
              <w:t>Administration cost ($7 per dose) included</w:t>
            </w:r>
          </w:p>
        </w:tc>
        <w:tc>
          <w:tcPr>
            <w:tcW w:w="763" w:type="pct"/>
            <w:tcBorders>
              <w:top w:val="single" w:sz="4" w:space="0" w:color="auto"/>
              <w:left w:val="single" w:sz="4" w:space="0" w:color="auto"/>
              <w:bottom w:val="single" w:sz="4" w:space="0" w:color="auto"/>
              <w:right w:val="single" w:sz="4" w:space="0" w:color="auto"/>
            </w:tcBorders>
          </w:tcPr>
          <w:p w:rsidR="00F82D17" w:rsidRPr="00232F1B" w:rsidRDefault="00232F1B" w:rsidP="001C7B61">
            <w:pPr>
              <w:keepNext/>
              <w:widowControl/>
              <w:jc w:val="center"/>
              <w:rPr>
                <w:rFonts w:ascii="Arial Narrow" w:eastAsiaTheme="majorEastAsia" w:hAnsi="Arial Narrow" w:cstheme="majorBidi"/>
                <w:sz w:val="20"/>
                <w:highlight w:val="black"/>
                <w:lang w:bidi="en-US"/>
              </w:rPr>
            </w:pPr>
            <w:r>
              <w:rPr>
                <w:rFonts w:ascii="Arial Narrow" w:hAnsi="Arial Narrow"/>
                <w:iCs/>
                <w:noProof/>
                <w:color w:val="000000"/>
                <w:sz w:val="20"/>
                <w:highlight w:val="black"/>
              </w:rPr>
              <w:t>'''''''''''</w:t>
            </w:r>
          </w:p>
        </w:tc>
        <w:tc>
          <w:tcPr>
            <w:tcW w:w="680" w:type="pct"/>
            <w:tcBorders>
              <w:top w:val="single" w:sz="4" w:space="0" w:color="auto"/>
              <w:left w:val="single" w:sz="4" w:space="0" w:color="auto"/>
              <w:bottom w:val="single" w:sz="4" w:space="0" w:color="auto"/>
              <w:right w:val="single" w:sz="4" w:space="0" w:color="auto"/>
            </w:tcBorders>
          </w:tcPr>
          <w:p w:rsidR="00F82D17" w:rsidRPr="002665FC" w:rsidRDefault="00F82D17" w:rsidP="001C7B61">
            <w:pPr>
              <w:keepNext/>
              <w:widowControl/>
              <w:jc w:val="center"/>
              <w:rPr>
                <w:rFonts w:ascii="Arial Narrow" w:eastAsiaTheme="majorEastAsia" w:hAnsi="Arial Narrow" w:cstheme="majorBidi"/>
                <w:sz w:val="20"/>
                <w:lang w:bidi="en-US"/>
              </w:rPr>
            </w:pPr>
            <w:r w:rsidRPr="002665FC">
              <w:rPr>
                <w:rFonts w:ascii="Arial Narrow" w:hAnsi="Arial Narrow"/>
                <w:iCs/>
                <w:sz w:val="20"/>
              </w:rPr>
              <w:t>$</w:t>
            </w:r>
            <w:r w:rsidR="00232F1B">
              <w:rPr>
                <w:rFonts w:ascii="Arial Narrow" w:hAnsi="Arial Narrow"/>
                <w:iCs/>
                <w:noProof/>
                <w:color w:val="000000"/>
                <w:sz w:val="20"/>
                <w:highlight w:val="black"/>
              </w:rPr>
              <w:t>'''''''''''''''''''''''''</w:t>
            </w:r>
          </w:p>
        </w:tc>
        <w:tc>
          <w:tcPr>
            <w:tcW w:w="850" w:type="pct"/>
            <w:tcBorders>
              <w:top w:val="single" w:sz="4" w:space="0" w:color="auto"/>
              <w:left w:val="single" w:sz="4" w:space="0" w:color="auto"/>
              <w:bottom w:val="single" w:sz="4" w:space="0" w:color="auto"/>
              <w:right w:val="single" w:sz="4" w:space="0" w:color="auto"/>
            </w:tcBorders>
          </w:tcPr>
          <w:p w:rsidR="00F82D17" w:rsidRPr="00232F1B" w:rsidRDefault="00232F1B" w:rsidP="001C7B61">
            <w:pPr>
              <w:keepNext/>
              <w:widowControl/>
              <w:jc w:val="center"/>
              <w:rPr>
                <w:rFonts w:ascii="Arial Narrow" w:eastAsiaTheme="majorEastAsia" w:hAnsi="Arial Narrow" w:cstheme="majorBidi"/>
                <w:sz w:val="20"/>
                <w:highlight w:val="black"/>
                <w:lang w:bidi="en-US"/>
              </w:rPr>
            </w:pPr>
            <w:r>
              <w:rPr>
                <w:rFonts w:ascii="Arial Narrow" w:hAnsi="Arial Narrow"/>
                <w:iCs/>
                <w:noProof/>
                <w:color w:val="000000"/>
                <w:sz w:val="20"/>
                <w:highlight w:val="black"/>
              </w:rPr>
              <w:t>'''''''''''''''</w:t>
            </w:r>
          </w:p>
        </w:tc>
        <w:tc>
          <w:tcPr>
            <w:tcW w:w="838" w:type="pct"/>
            <w:tcBorders>
              <w:top w:val="single" w:sz="4" w:space="0" w:color="auto"/>
              <w:left w:val="single" w:sz="4" w:space="0" w:color="auto"/>
              <w:bottom w:val="single" w:sz="4" w:space="0" w:color="auto"/>
              <w:right w:val="single" w:sz="4" w:space="0" w:color="auto"/>
            </w:tcBorders>
          </w:tcPr>
          <w:p w:rsidR="00F82D17" w:rsidRPr="002665FC" w:rsidRDefault="00F82D17" w:rsidP="001C7B61">
            <w:pPr>
              <w:keepNext/>
              <w:widowControl/>
              <w:jc w:val="center"/>
              <w:rPr>
                <w:rFonts w:ascii="Arial Narrow" w:eastAsiaTheme="majorEastAsia" w:hAnsi="Arial Narrow" w:cstheme="majorBidi"/>
                <w:sz w:val="20"/>
                <w:lang w:bidi="en-US"/>
              </w:rPr>
            </w:pPr>
            <w:r w:rsidRPr="002665FC">
              <w:rPr>
                <w:rFonts w:ascii="Arial Narrow" w:hAnsi="Arial Narrow"/>
                <w:iCs/>
                <w:sz w:val="20"/>
              </w:rPr>
              <w:t>$</w:t>
            </w:r>
            <w:r w:rsidR="00232F1B">
              <w:rPr>
                <w:rFonts w:ascii="Arial Narrow" w:hAnsi="Arial Narrow"/>
                <w:iCs/>
                <w:noProof/>
                <w:color w:val="000000"/>
                <w:sz w:val="20"/>
                <w:highlight w:val="black"/>
              </w:rPr>
              <w:t>'''''''''''''''</w:t>
            </w:r>
          </w:p>
        </w:tc>
      </w:tr>
      <w:tr w:rsidR="00F82D17" w:rsidRPr="002665FC" w:rsidTr="00D705D7">
        <w:tc>
          <w:tcPr>
            <w:tcW w:w="1869" w:type="pct"/>
            <w:tcBorders>
              <w:top w:val="single" w:sz="4" w:space="0" w:color="auto"/>
              <w:left w:val="single" w:sz="4" w:space="0" w:color="auto"/>
              <w:bottom w:val="single" w:sz="4" w:space="0" w:color="auto"/>
              <w:right w:val="single" w:sz="4" w:space="0" w:color="auto"/>
            </w:tcBorders>
          </w:tcPr>
          <w:p w:rsidR="00F82D17" w:rsidRPr="002665FC" w:rsidRDefault="00F82D17" w:rsidP="001C7B61">
            <w:pPr>
              <w:keepNext/>
              <w:widowControl/>
              <w:jc w:val="left"/>
              <w:rPr>
                <w:rFonts w:ascii="Arial Narrow" w:eastAsiaTheme="majorEastAsia" w:hAnsi="Arial Narrow" w:cstheme="majorBidi"/>
                <w:snapToGrid/>
                <w:sz w:val="20"/>
                <w:lang w:bidi="en-US"/>
              </w:rPr>
            </w:pPr>
            <w:r w:rsidRPr="002665FC">
              <w:rPr>
                <w:rFonts w:ascii="Arial Narrow" w:hAnsi="Arial Narrow"/>
                <w:iCs/>
                <w:sz w:val="20"/>
              </w:rPr>
              <w:t>Unreported cases excluded</w:t>
            </w:r>
          </w:p>
        </w:tc>
        <w:tc>
          <w:tcPr>
            <w:tcW w:w="763" w:type="pct"/>
            <w:tcBorders>
              <w:top w:val="single" w:sz="4" w:space="0" w:color="auto"/>
              <w:left w:val="single" w:sz="4" w:space="0" w:color="auto"/>
              <w:bottom w:val="single" w:sz="4" w:space="0" w:color="auto"/>
              <w:right w:val="single" w:sz="4" w:space="0" w:color="auto"/>
            </w:tcBorders>
          </w:tcPr>
          <w:p w:rsidR="00F82D17" w:rsidRPr="00232F1B" w:rsidRDefault="00232F1B" w:rsidP="001C7B61">
            <w:pPr>
              <w:keepNext/>
              <w:widowControl/>
              <w:jc w:val="center"/>
              <w:rPr>
                <w:rFonts w:ascii="Arial Narrow" w:eastAsiaTheme="majorEastAsia" w:hAnsi="Arial Narrow" w:cstheme="majorBidi"/>
                <w:snapToGrid/>
                <w:sz w:val="20"/>
                <w:highlight w:val="black"/>
                <w:lang w:bidi="en-US"/>
              </w:rPr>
            </w:pPr>
            <w:r>
              <w:rPr>
                <w:rFonts w:ascii="Arial Narrow" w:hAnsi="Arial Narrow"/>
                <w:iCs/>
                <w:noProof/>
                <w:color w:val="000000"/>
                <w:sz w:val="20"/>
                <w:highlight w:val="black"/>
              </w:rPr>
              <w:t>''''''''''</w:t>
            </w:r>
          </w:p>
        </w:tc>
        <w:tc>
          <w:tcPr>
            <w:tcW w:w="680" w:type="pct"/>
            <w:tcBorders>
              <w:top w:val="single" w:sz="4" w:space="0" w:color="auto"/>
              <w:left w:val="single" w:sz="4" w:space="0" w:color="auto"/>
              <w:bottom w:val="single" w:sz="4" w:space="0" w:color="auto"/>
              <w:right w:val="single" w:sz="4" w:space="0" w:color="auto"/>
            </w:tcBorders>
          </w:tcPr>
          <w:p w:rsidR="00F82D17" w:rsidRPr="002665FC" w:rsidRDefault="00F82D17" w:rsidP="001C7B61">
            <w:pPr>
              <w:keepNext/>
              <w:widowControl/>
              <w:jc w:val="center"/>
              <w:rPr>
                <w:rFonts w:ascii="Arial Narrow" w:eastAsiaTheme="majorEastAsia" w:hAnsi="Arial Narrow" w:cstheme="majorBidi"/>
                <w:snapToGrid/>
                <w:sz w:val="20"/>
                <w:lang w:bidi="en-US"/>
              </w:rPr>
            </w:pPr>
            <w:r w:rsidRPr="002665FC">
              <w:rPr>
                <w:rFonts w:ascii="Arial Narrow" w:hAnsi="Arial Narrow"/>
                <w:iCs/>
                <w:sz w:val="20"/>
              </w:rPr>
              <w:t>$</w:t>
            </w:r>
            <w:r w:rsidR="00232F1B">
              <w:rPr>
                <w:rFonts w:ascii="Arial Narrow" w:hAnsi="Arial Narrow"/>
                <w:iCs/>
                <w:noProof/>
                <w:color w:val="000000"/>
                <w:sz w:val="20"/>
                <w:highlight w:val="black"/>
              </w:rPr>
              <w:t>''''''''''''''''''''''''</w:t>
            </w:r>
          </w:p>
        </w:tc>
        <w:tc>
          <w:tcPr>
            <w:tcW w:w="850" w:type="pct"/>
            <w:tcBorders>
              <w:top w:val="single" w:sz="4" w:space="0" w:color="auto"/>
              <w:left w:val="single" w:sz="4" w:space="0" w:color="auto"/>
              <w:bottom w:val="single" w:sz="4" w:space="0" w:color="auto"/>
              <w:right w:val="single" w:sz="4" w:space="0" w:color="auto"/>
            </w:tcBorders>
          </w:tcPr>
          <w:p w:rsidR="00F82D17" w:rsidRPr="00232F1B" w:rsidRDefault="00232F1B" w:rsidP="001C7B61">
            <w:pPr>
              <w:keepNext/>
              <w:widowControl/>
              <w:jc w:val="center"/>
              <w:rPr>
                <w:rFonts w:ascii="Arial Narrow" w:eastAsiaTheme="majorEastAsia" w:hAnsi="Arial Narrow" w:cstheme="majorBidi"/>
                <w:snapToGrid/>
                <w:sz w:val="20"/>
                <w:highlight w:val="black"/>
                <w:lang w:bidi="en-US"/>
              </w:rPr>
            </w:pPr>
            <w:r>
              <w:rPr>
                <w:rFonts w:ascii="Arial Narrow" w:hAnsi="Arial Narrow"/>
                <w:iCs/>
                <w:noProof/>
                <w:color w:val="000000"/>
                <w:sz w:val="20"/>
                <w:highlight w:val="black"/>
              </w:rPr>
              <w:t>''''''''''''''</w:t>
            </w:r>
          </w:p>
        </w:tc>
        <w:tc>
          <w:tcPr>
            <w:tcW w:w="838" w:type="pct"/>
            <w:tcBorders>
              <w:top w:val="single" w:sz="4" w:space="0" w:color="auto"/>
              <w:left w:val="single" w:sz="4" w:space="0" w:color="auto"/>
              <w:bottom w:val="single" w:sz="4" w:space="0" w:color="auto"/>
              <w:right w:val="single" w:sz="4" w:space="0" w:color="auto"/>
            </w:tcBorders>
          </w:tcPr>
          <w:p w:rsidR="00F82D17" w:rsidRPr="002665FC" w:rsidRDefault="00F82D17" w:rsidP="001C7B61">
            <w:pPr>
              <w:keepNext/>
              <w:widowControl/>
              <w:jc w:val="center"/>
              <w:rPr>
                <w:rFonts w:ascii="Arial Narrow" w:eastAsiaTheme="majorEastAsia" w:hAnsi="Arial Narrow" w:cstheme="majorBidi"/>
                <w:snapToGrid/>
                <w:sz w:val="20"/>
                <w:lang w:bidi="en-US"/>
              </w:rPr>
            </w:pPr>
            <w:r w:rsidRPr="002665FC">
              <w:rPr>
                <w:rFonts w:ascii="Arial Narrow" w:hAnsi="Arial Narrow"/>
                <w:iCs/>
                <w:sz w:val="20"/>
              </w:rPr>
              <w:t>$</w:t>
            </w:r>
            <w:r w:rsidR="00232F1B">
              <w:rPr>
                <w:rFonts w:ascii="Arial Narrow" w:hAnsi="Arial Narrow"/>
                <w:iCs/>
                <w:noProof/>
                <w:color w:val="000000"/>
                <w:sz w:val="20"/>
                <w:highlight w:val="black"/>
              </w:rPr>
              <w:t>'''''''''''''''''</w:t>
            </w:r>
          </w:p>
        </w:tc>
      </w:tr>
      <w:tr w:rsidR="00F82D17" w:rsidRPr="002665FC" w:rsidTr="00D705D7">
        <w:tc>
          <w:tcPr>
            <w:tcW w:w="1869" w:type="pct"/>
            <w:tcBorders>
              <w:top w:val="single" w:sz="4" w:space="0" w:color="auto"/>
              <w:left w:val="single" w:sz="4" w:space="0" w:color="auto"/>
              <w:bottom w:val="single" w:sz="4" w:space="0" w:color="auto"/>
              <w:right w:val="single" w:sz="4" w:space="0" w:color="auto"/>
            </w:tcBorders>
          </w:tcPr>
          <w:p w:rsidR="00F82D17" w:rsidRPr="002665FC" w:rsidRDefault="00F82D17" w:rsidP="001C7B61">
            <w:pPr>
              <w:keepNext/>
              <w:widowControl/>
              <w:jc w:val="left"/>
              <w:rPr>
                <w:rFonts w:ascii="Arial Narrow" w:eastAsiaTheme="majorEastAsia" w:hAnsi="Arial Narrow" w:cstheme="majorBidi"/>
                <w:snapToGrid/>
                <w:sz w:val="20"/>
                <w:lang w:bidi="en-US"/>
              </w:rPr>
            </w:pPr>
            <w:r w:rsidRPr="002665FC">
              <w:rPr>
                <w:rFonts w:ascii="Arial Narrow" w:hAnsi="Arial Narrow"/>
                <w:iCs/>
                <w:sz w:val="20"/>
              </w:rPr>
              <w:t>Maternal benefit excluded (VE=0 for mothers)</w:t>
            </w:r>
          </w:p>
        </w:tc>
        <w:tc>
          <w:tcPr>
            <w:tcW w:w="763" w:type="pct"/>
            <w:tcBorders>
              <w:top w:val="single" w:sz="4" w:space="0" w:color="auto"/>
              <w:left w:val="single" w:sz="4" w:space="0" w:color="auto"/>
              <w:bottom w:val="single" w:sz="4" w:space="0" w:color="auto"/>
              <w:right w:val="single" w:sz="4" w:space="0" w:color="auto"/>
            </w:tcBorders>
          </w:tcPr>
          <w:p w:rsidR="00F82D17" w:rsidRPr="00232F1B" w:rsidRDefault="00232F1B" w:rsidP="001C7B61">
            <w:pPr>
              <w:keepNext/>
              <w:widowControl/>
              <w:jc w:val="center"/>
              <w:rPr>
                <w:rFonts w:ascii="Arial Narrow" w:eastAsiaTheme="majorEastAsia" w:hAnsi="Arial Narrow" w:cstheme="majorBidi"/>
                <w:snapToGrid/>
                <w:sz w:val="20"/>
                <w:highlight w:val="black"/>
                <w:lang w:bidi="en-US"/>
              </w:rPr>
            </w:pPr>
            <w:r>
              <w:rPr>
                <w:rFonts w:ascii="Arial Narrow" w:hAnsi="Arial Narrow"/>
                <w:iCs/>
                <w:noProof/>
                <w:color w:val="000000"/>
                <w:sz w:val="20"/>
                <w:highlight w:val="black"/>
              </w:rPr>
              <w:t>''''''''''''</w:t>
            </w:r>
          </w:p>
        </w:tc>
        <w:tc>
          <w:tcPr>
            <w:tcW w:w="680" w:type="pct"/>
            <w:tcBorders>
              <w:top w:val="single" w:sz="4" w:space="0" w:color="auto"/>
              <w:left w:val="single" w:sz="4" w:space="0" w:color="auto"/>
              <w:bottom w:val="single" w:sz="4" w:space="0" w:color="auto"/>
              <w:right w:val="single" w:sz="4" w:space="0" w:color="auto"/>
            </w:tcBorders>
          </w:tcPr>
          <w:p w:rsidR="00F82D17" w:rsidRPr="002665FC" w:rsidRDefault="00F82D17" w:rsidP="001C7B61">
            <w:pPr>
              <w:keepNext/>
              <w:widowControl/>
              <w:jc w:val="center"/>
              <w:rPr>
                <w:rFonts w:ascii="Arial Narrow" w:eastAsiaTheme="majorEastAsia" w:hAnsi="Arial Narrow" w:cstheme="majorBidi"/>
                <w:snapToGrid/>
                <w:sz w:val="20"/>
                <w:lang w:bidi="en-US"/>
              </w:rPr>
            </w:pPr>
            <w:r w:rsidRPr="002665FC">
              <w:rPr>
                <w:rFonts w:ascii="Arial Narrow" w:hAnsi="Arial Narrow"/>
                <w:iCs/>
                <w:sz w:val="20"/>
              </w:rPr>
              <w:t>$</w:t>
            </w:r>
            <w:r w:rsidR="00232F1B">
              <w:rPr>
                <w:rFonts w:ascii="Arial Narrow" w:hAnsi="Arial Narrow"/>
                <w:iCs/>
                <w:noProof/>
                <w:color w:val="000000"/>
                <w:sz w:val="20"/>
                <w:highlight w:val="black"/>
              </w:rPr>
              <w:t>''''''''''''''''''''''''''</w:t>
            </w:r>
          </w:p>
        </w:tc>
        <w:tc>
          <w:tcPr>
            <w:tcW w:w="850" w:type="pct"/>
            <w:tcBorders>
              <w:top w:val="single" w:sz="4" w:space="0" w:color="auto"/>
              <w:left w:val="single" w:sz="4" w:space="0" w:color="auto"/>
              <w:bottom w:val="single" w:sz="4" w:space="0" w:color="auto"/>
              <w:right w:val="single" w:sz="4" w:space="0" w:color="auto"/>
            </w:tcBorders>
          </w:tcPr>
          <w:p w:rsidR="00F82D17" w:rsidRPr="00232F1B" w:rsidRDefault="00232F1B" w:rsidP="001C7B61">
            <w:pPr>
              <w:keepNext/>
              <w:widowControl/>
              <w:jc w:val="center"/>
              <w:rPr>
                <w:rFonts w:ascii="Arial Narrow" w:eastAsiaTheme="majorEastAsia" w:hAnsi="Arial Narrow" w:cstheme="majorBidi"/>
                <w:snapToGrid/>
                <w:sz w:val="20"/>
                <w:highlight w:val="black"/>
                <w:lang w:bidi="en-US"/>
              </w:rPr>
            </w:pPr>
            <w:r>
              <w:rPr>
                <w:rFonts w:ascii="Arial Narrow" w:hAnsi="Arial Narrow"/>
                <w:iCs/>
                <w:noProof/>
                <w:color w:val="000000"/>
                <w:sz w:val="20"/>
                <w:highlight w:val="black"/>
              </w:rPr>
              <w:t>''''''''''''''</w:t>
            </w:r>
          </w:p>
        </w:tc>
        <w:tc>
          <w:tcPr>
            <w:tcW w:w="838" w:type="pct"/>
            <w:tcBorders>
              <w:top w:val="single" w:sz="4" w:space="0" w:color="auto"/>
              <w:left w:val="single" w:sz="4" w:space="0" w:color="auto"/>
              <w:bottom w:val="single" w:sz="4" w:space="0" w:color="auto"/>
              <w:right w:val="single" w:sz="4" w:space="0" w:color="auto"/>
            </w:tcBorders>
          </w:tcPr>
          <w:p w:rsidR="00F82D17" w:rsidRPr="002665FC" w:rsidRDefault="00F82D17" w:rsidP="001C7B61">
            <w:pPr>
              <w:keepNext/>
              <w:widowControl/>
              <w:jc w:val="center"/>
              <w:rPr>
                <w:rFonts w:ascii="Arial Narrow" w:eastAsiaTheme="majorEastAsia" w:hAnsi="Arial Narrow" w:cstheme="majorBidi"/>
                <w:snapToGrid/>
                <w:sz w:val="20"/>
                <w:lang w:bidi="en-US"/>
              </w:rPr>
            </w:pPr>
            <w:r w:rsidRPr="002665FC">
              <w:rPr>
                <w:rFonts w:ascii="Arial Narrow" w:hAnsi="Arial Narrow"/>
                <w:iCs/>
                <w:sz w:val="20"/>
              </w:rPr>
              <w:t>$</w:t>
            </w:r>
            <w:r w:rsidR="00232F1B">
              <w:rPr>
                <w:rFonts w:ascii="Arial Narrow" w:hAnsi="Arial Narrow"/>
                <w:iCs/>
                <w:noProof/>
                <w:color w:val="000000"/>
                <w:sz w:val="20"/>
                <w:highlight w:val="black"/>
              </w:rPr>
              <w:t>'''''''''''''''''''</w:t>
            </w:r>
          </w:p>
        </w:tc>
      </w:tr>
      <w:tr w:rsidR="00F82D17" w:rsidRPr="002665FC" w:rsidTr="00D705D7">
        <w:tc>
          <w:tcPr>
            <w:tcW w:w="1869" w:type="pct"/>
            <w:tcBorders>
              <w:top w:val="single" w:sz="4" w:space="0" w:color="auto"/>
              <w:left w:val="single" w:sz="4" w:space="0" w:color="auto"/>
              <w:bottom w:val="single" w:sz="4" w:space="0" w:color="auto"/>
              <w:right w:val="single" w:sz="4" w:space="0" w:color="auto"/>
            </w:tcBorders>
          </w:tcPr>
          <w:p w:rsidR="00F82D17" w:rsidRPr="002665FC" w:rsidRDefault="00F82D17" w:rsidP="001C7B61">
            <w:pPr>
              <w:keepNext/>
              <w:widowControl/>
              <w:jc w:val="left"/>
              <w:rPr>
                <w:rFonts w:ascii="Arial Narrow" w:eastAsiaTheme="majorEastAsia" w:hAnsi="Arial Narrow" w:cstheme="majorBidi"/>
                <w:sz w:val="20"/>
                <w:highlight w:val="yellow"/>
                <w:lang w:bidi="en-US"/>
              </w:rPr>
            </w:pPr>
            <w:r w:rsidRPr="002665FC">
              <w:rPr>
                <w:rFonts w:ascii="Arial Narrow" w:hAnsi="Arial Narrow"/>
                <w:iCs/>
                <w:sz w:val="20"/>
              </w:rPr>
              <w:t>Utility weights for unreported cases 25% of reported cases (base case 50%)</w:t>
            </w:r>
          </w:p>
        </w:tc>
        <w:tc>
          <w:tcPr>
            <w:tcW w:w="763" w:type="pct"/>
            <w:tcBorders>
              <w:top w:val="single" w:sz="4" w:space="0" w:color="auto"/>
              <w:left w:val="single" w:sz="4" w:space="0" w:color="auto"/>
              <w:bottom w:val="single" w:sz="4" w:space="0" w:color="auto"/>
              <w:right w:val="single" w:sz="4" w:space="0" w:color="auto"/>
            </w:tcBorders>
          </w:tcPr>
          <w:p w:rsidR="00F82D17" w:rsidRPr="00232F1B" w:rsidRDefault="00232F1B" w:rsidP="001C7B61">
            <w:pPr>
              <w:keepNext/>
              <w:widowControl/>
              <w:jc w:val="center"/>
              <w:rPr>
                <w:rFonts w:ascii="Arial Narrow" w:eastAsiaTheme="majorEastAsia" w:hAnsi="Arial Narrow" w:cstheme="majorBidi"/>
                <w:sz w:val="20"/>
                <w:highlight w:val="black"/>
                <w:lang w:bidi="en-US"/>
              </w:rPr>
            </w:pPr>
            <w:r>
              <w:rPr>
                <w:rFonts w:ascii="Arial Narrow" w:hAnsi="Arial Narrow"/>
                <w:iCs/>
                <w:noProof/>
                <w:color w:val="000000"/>
                <w:sz w:val="20"/>
                <w:highlight w:val="black"/>
              </w:rPr>
              <w:t>'''''''''''</w:t>
            </w:r>
          </w:p>
        </w:tc>
        <w:tc>
          <w:tcPr>
            <w:tcW w:w="680" w:type="pct"/>
            <w:tcBorders>
              <w:top w:val="single" w:sz="4" w:space="0" w:color="auto"/>
              <w:left w:val="single" w:sz="4" w:space="0" w:color="auto"/>
              <w:bottom w:val="single" w:sz="4" w:space="0" w:color="auto"/>
              <w:right w:val="single" w:sz="4" w:space="0" w:color="auto"/>
            </w:tcBorders>
          </w:tcPr>
          <w:p w:rsidR="00F82D17" w:rsidRPr="002665FC" w:rsidRDefault="00F82D17" w:rsidP="001C7B61">
            <w:pPr>
              <w:keepNext/>
              <w:widowControl/>
              <w:jc w:val="center"/>
              <w:rPr>
                <w:rFonts w:ascii="Arial Narrow" w:eastAsiaTheme="majorEastAsia" w:hAnsi="Arial Narrow" w:cstheme="majorBidi"/>
                <w:sz w:val="20"/>
                <w:lang w:bidi="en-US"/>
              </w:rPr>
            </w:pPr>
            <w:r w:rsidRPr="002665FC">
              <w:rPr>
                <w:rFonts w:ascii="Arial Narrow" w:hAnsi="Arial Narrow"/>
                <w:iCs/>
                <w:sz w:val="20"/>
              </w:rPr>
              <w:t>$</w:t>
            </w:r>
            <w:r w:rsidR="00232F1B">
              <w:rPr>
                <w:rFonts w:ascii="Arial Narrow" w:hAnsi="Arial Narrow"/>
                <w:iCs/>
                <w:noProof/>
                <w:color w:val="000000"/>
                <w:sz w:val="20"/>
                <w:highlight w:val="black"/>
              </w:rPr>
              <w:t>'''''''''''''''''''''''''</w:t>
            </w:r>
          </w:p>
        </w:tc>
        <w:tc>
          <w:tcPr>
            <w:tcW w:w="850" w:type="pct"/>
            <w:tcBorders>
              <w:top w:val="single" w:sz="4" w:space="0" w:color="auto"/>
              <w:left w:val="single" w:sz="4" w:space="0" w:color="auto"/>
              <w:bottom w:val="single" w:sz="4" w:space="0" w:color="auto"/>
              <w:right w:val="single" w:sz="4" w:space="0" w:color="auto"/>
            </w:tcBorders>
          </w:tcPr>
          <w:p w:rsidR="00F82D17" w:rsidRPr="00232F1B" w:rsidRDefault="00232F1B" w:rsidP="001C7B61">
            <w:pPr>
              <w:keepNext/>
              <w:widowControl/>
              <w:jc w:val="center"/>
              <w:rPr>
                <w:rFonts w:ascii="Arial Narrow" w:eastAsiaTheme="majorEastAsia" w:hAnsi="Arial Narrow" w:cstheme="majorBidi"/>
                <w:sz w:val="20"/>
                <w:highlight w:val="black"/>
                <w:lang w:bidi="en-US"/>
              </w:rPr>
            </w:pPr>
            <w:r>
              <w:rPr>
                <w:rFonts w:ascii="Arial Narrow" w:hAnsi="Arial Narrow"/>
                <w:iCs/>
                <w:noProof/>
                <w:color w:val="000000"/>
                <w:sz w:val="20"/>
                <w:highlight w:val="black"/>
              </w:rPr>
              <w:t>''''''''''''</w:t>
            </w:r>
          </w:p>
        </w:tc>
        <w:tc>
          <w:tcPr>
            <w:tcW w:w="838" w:type="pct"/>
            <w:tcBorders>
              <w:top w:val="single" w:sz="4" w:space="0" w:color="auto"/>
              <w:left w:val="single" w:sz="4" w:space="0" w:color="auto"/>
              <w:bottom w:val="single" w:sz="4" w:space="0" w:color="auto"/>
              <w:right w:val="single" w:sz="4" w:space="0" w:color="auto"/>
            </w:tcBorders>
          </w:tcPr>
          <w:p w:rsidR="00F82D17" w:rsidRPr="002665FC" w:rsidRDefault="00F82D17" w:rsidP="001C7B61">
            <w:pPr>
              <w:keepNext/>
              <w:widowControl/>
              <w:jc w:val="center"/>
              <w:rPr>
                <w:rFonts w:ascii="Arial Narrow" w:eastAsiaTheme="majorEastAsia" w:hAnsi="Arial Narrow" w:cstheme="majorBidi"/>
                <w:sz w:val="20"/>
                <w:lang w:bidi="en-US"/>
              </w:rPr>
            </w:pPr>
            <w:r w:rsidRPr="002665FC">
              <w:rPr>
                <w:rFonts w:ascii="Arial Narrow" w:hAnsi="Arial Narrow"/>
                <w:iCs/>
                <w:sz w:val="20"/>
              </w:rPr>
              <w:t>$</w:t>
            </w:r>
            <w:r w:rsidR="00232F1B">
              <w:rPr>
                <w:rFonts w:ascii="Arial Narrow" w:hAnsi="Arial Narrow"/>
                <w:iCs/>
                <w:noProof/>
                <w:color w:val="000000"/>
                <w:sz w:val="20"/>
                <w:highlight w:val="black"/>
              </w:rPr>
              <w:t>'''''''''''''''</w:t>
            </w:r>
          </w:p>
        </w:tc>
      </w:tr>
      <w:tr w:rsidR="00953280" w:rsidRPr="002665FC" w:rsidTr="00D705D7">
        <w:tc>
          <w:tcPr>
            <w:tcW w:w="1869" w:type="pct"/>
            <w:tcBorders>
              <w:top w:val="single" w:sz="4" w:space="0" w:color="auto"/>
              <w:left w:val="single" w:sz="4" w:space="0" w:color="auto"/>
              <w:bottom w:val="single" w:sz="4" w:space="0" w:color="auto"/>
              <w:right w:val="single" w:sz="4" w:space="0" w:color="auto"/>
            </w:tcBorders>
          </w:tcPr>
          <w:p w:rsidR="00953280" w:rsidRPr="002665FC" w:rsidRDefault="00953280" w:rsidP="001C7B61">
            <w:pPr>
              <w:keepNext/>
              <w:keepLines/>
              <w:widowControl/>
              <w:jc w:val="left"/>
              <w:rPr>
                <w:rFonts w:ascii="Arial Narrow" w:hAnsi="Arial Narrow"/>
                <w:iCs/>
                <w:sz w:val="20"/>
              </w:rPr>
            </w:pPr>
            <w:r w:rsidRPr="002665FC">
              <w:rPr>
                <w:rFonts w:ascii="Arial Narrow" w:eastAsiaTheme="majorEastAsia" w:hAnsi="Arial Narrow" w:cstheme="majorBidi"/>
                <w:snapToGrid/>
                <w:sz w:val="20"/>
                <w:lang w:bidi="en-US"/>
              </w:rPr>
              <w:t>Adult VE lower 95% CI: 32% (base case 92%)</w:t>
            </w:r>
          </w:p>
        </w:tc>
        <w:tc>
          <w:tcPr>
            <w:tcW w:w="763" w:type="pct"/>
            <w:tcBorders>
              <w:top w:val="single" w:sz="4" w:space="0" w:color="auto"/>
              <w:left w:val="single" w:sz="4" w:space="0" w:color="auto"/>
              <w:bottom w:val="single" w:sz="4" w:space="0" w:color="auto"/>
              <w:right w:val="single" w:sz="4" w:space="0" w:color="auto"/>
            </w:tcBorders>
          </w:tcPr>
          <w:p w:rsidR="00953280" w:rsidRPr="00232F1B" w:rsidRDefault="00232F1B" w:rsidP="001C7B61">
            <w:pPr>
              <w:keepNext/>
              <w:keepLines/>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80" w:type="pct"/>
            <w:tcBorders>
              <w:top w:val="single" w:sz="4" w:space="0" w:color="auto"/>
              <w:left w:val="single" w:sz="4" w:space="0" w:color="auto"/>
              <w:bottom w:val="single" w:sz="4" w:space="0" w:color="auto"/>
              <w:right w:val="single" w:sz="4" w:space="0" w:color="auto"/>
            </w:tcBorders>
          </w:tcPr>
          <w:p w:rsidR="00953280" w:rsidRPr="002665FC" w:rsidRDefault="00715682" w:rsidP="001C7B61">
            <w:pPr>
              <w:keepNext/>
              <w:keepLines/>
              <w:widowControl/>
              <w:jc w:val="center"/>
              <w:rPr>
                <w:rFonts w:ascii="Arial Narrow" w:hAnsi="Arial Narrow"/>
                <w:iCs/>
                <w:sz w:val="20"/>
              </w:rPr>
            </w:pPr>
            <w:r w:rsidRPr="002665FC">
              <w:rPr>
                <w:rFonts w:ascii="Arial Narrow" w:hAnsi="Arial Narrow"/>
                <w:iCs/>
                <w:sz w:val="20"/>
              </w:rPr>
              <w:t>$</w:t>
            </w:r>
            <w:r w:rsidR="00232F1B">
              <w:rPr>
                <w:rFonts w:ascii="Arial Narrow" w:hAnsi="Arial Narrow"/>
                <w:iCs/>
                <w:noProof/>
                <w:color w:val="000000"/>
                <w:sz w:val="20"/>
                <w:highlight w:val="black"/>
              </w:rPr>
              <w:t>''''''''''''''''''''''''''</w:t>
            </w:r>
          </w:p>
        </w:tc>
        <w:tc>
          <w:tcPr>
            <w:tcW w:w="850" w:type="pct"/>
            <w:tcBorders>
              <w:top w:val="single" w:sz="4" w:space="0" w:color="auto"/>
              <w:left w:val="single" w:sz="4" w:space="0" w:color="auto"/>
              <w:bottom w:val="single" w:sz="4" w:space="0" w:color="auto"/>
              <w:right w:val="single" w:sz="4" w:space="0" w:color="auto"/>
            </w:tcBorders>
          </w:tcPr>
          <w:p w:rsidR="00953280" w:rsidRPr="00232F1B" w:rsidRDefault="00232F1B" w:rsidP="001C7B61">
            <w:pPr>
              <w:keepNext/>
              <w:keepLines/>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838" w:type="pct"/>
            <w:tcBorders>
              <w:top w:val="single" w:sz="4" w:space="0" w:color="auto"/>
              <w:left w:val="single" w:sz="4" w:space="0" w:color="auto"/>
              <w:bottom w:val="single" w:sz="4" w:space="0" w:color="auto"/>
              <w:right w:val="single" w:sz="4" w:space="0" w:color="auto"/>
            </w:tcBorders>
          </w:tcPr>
          <w:p w:rsidR="00953280" w:rsidRPr="002665FC" w:rsidRDefault="00715682" w:rsidP="001C7B61">
            <w:pPr>
              <w:keepNext/>
              <w:keepLines/>
              <w:widowControl/>
              <w:jc w:val="center"/>
              <w:rPr>
                <w:rFonts w:ascii="Arial Narrow" w:hAnsi="Arial Narrow"/>
                <w:iCs/>
                <w:sz w:val="20"/>
              </w:rPr>
            </w:pPr>
            <w:r w:rsidRPr="002665FC">
              <w:rPr>
                <w:rFonts w:ascii="Arial Narrow" w:hAnsi="Arial Narrow"/>
                <w:iCs/>
                <w:sz w:val="20"/>
              </w:rPr>
              <w:t>$</w:t>
            </w:r>
            <w:r w:rsidR="00232F1B">
              <w:rPr>
                <w:rFonts w:ascii="Arial Narrow" w:hAnsi="Arial Narrow"/>
                <w:iCs/>
                <w:noProof/>
                <w:color w:val="000000"/>
                <w:sz w:val="20"/>
                <w:highlight w:val="black"/>
              </w:rPr>
              <w:t>''''''''''''''''</w:t>
            </w:r>
          </w:p>
        </w:tc>
      </w:tr>
      <w:tr w:rsidR="00953280" w:rsidRPr="002665FC" w:rsidTr="00D705D7">
        <w:tc>
          <w:tcPr>
            <w:tcW w:w="1869" w:type="pct"/>
            <w:tcBorders>
              <w:top w:val="single" w:sz="4" w:space="0" w:color="auto"/>
              <w:left w:val="single" w:sz="4" w:space="0" w:color="auto"/>
              <w:bottom w:val="single" w:sz="4" w:space="0" w:color="auto"/>
              <w:right w:val="single" w:sz="4" w:space="0" w:color="auto"/>
            </w:tcBorders>
          </w:tcPr>
          <w:p w:rsidR="00953280" w:rsidRPr="002665FC" w:rsidRDefault="00953280" w:rsidP="001C7B61">
            <w:pPr>
              <w:keepNext/>
              <w:keepLines/>
              <w:widowControl/>
              <w:jc w:val="left"/>
              <w:rPr>
                <w:rFonts w:ascii="Arial Narrow" w:hAnsi="Arial Narrow"/>
                <w:iCs/>
                <w:sz w:val="20"/>
              </w:rPr>
            </w:pPr>
            <w:r w:rsidRPr="002665FC">
              <w:rPr>
                <w:rFonts w:ascii="Arial Narrow" w:eastAsiaTheme="majorEastAsia" w:hAnsi="Arial Narrow" w:cstheme="majorBidi"/>
                <w:snapToGrid/>
                <w:sz w:val="20"/>
                <w:lang w:bidi="en-US"/>
              </w:rPr>
              <w:t>Adult VE upper 95% CI: 99% (base case 92%)</w:t>
            </w:r>
          </w:p>
        </w:tc>
        <w:tc>
          <w:tcPr>
            <w:tcW w:w="763" w:type="pct"/>
            <w:tcBorders>
              <w:top w:val="single" w:sz="4" w:space="0" w:color="auto"/>
              <w:left w:val="single" w:sz="4" w:space="0" w:color="auto"/>
              <w:bottom w:val="single" w:sz="4" w:space="0" w:color="auto"/>
              <w:right w:val="single" w:sz="4" w:space="0" w:color="auto"/>
            </w:tcBorders>
          </w:tcPr>
          <w:p w:rsidR="00953280" w:rsidRPr="00232F1B" w:rsidRDefault="00232F1B" w:rsidP="001C7B61">
            <w:pPr>
              <w:keepNext/>
              <w:keepLines/>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80" w:type="pct"/>
            <w:tcBorders>
              <w:top w:val="single" w:sz="4" w:space="0" w:color="auto"/>
              <w:left w:val="single" w:sz="4" w:space="0" w:color="auto"/>
              <w:bottom w:val="single" w:sz="4" w:space="0" w:color="auto"/>
              <w:right w:val="single" w:sz="4" w:space="0" w:color="auto"/>
            </w:tcBorders>
          </w:tcPr>
          <w:p w:rsidR="00953280" w:rsidRPr="002665FC" w:rsidRDefault="00715682" w:rsidP="001C7B61">
            <w:pPr>
              <w:keepNext/>
              <w:keepLines/>
              <w:widowControl/>
              <w:jc w:val="center"/>
              <w:rPr>
                <w:rFonts w:ascii="Arial Narrow" w:hAnsi="Arial Narrow"/>
                <w:iCs/>
                <w:sz w:val="20"/>
              </w:rPr>
            </w:pPr>
            <w:r w:rsidRPr="002665FC">
              <w:rPr>
                <w:rFonts w:ascii="Arial Narrow" w:hAnsi="Arial Narrow"/>
                <w:iCs/>
                <w:sz w:val="20"/>
              </w:rPr>
              <w:t>$</w:t>
            </w:r>
            <w:r w:rsidR="00232F1B">
              <w:rPr>
                <w:rFonts w:ascii="Arial Narrow" w:hAnsi="Arial Narrow"/>
                <w:iCs/>
                <w:noProof/>
                <w:color w:val="000000"/>
                <w:sz w:val="20"/>
                <w:highlight w:val="black"/>
              </w:rPr>
              <w:t>'''''''''''''''''''''''</w:t>
            </w:r>
          </w:p>
        </w:tc>
        <w:tc>
          <w:tcPr>
            <w:tcW w:w="850" w:type="pct"/>
            <w:tcBorders>
              <w:top w:val="single" w:sz="4" w:space="0" w:color="auto"/>
              <w:left w:val="single" w:sz="4" w:space="0" w:color="auto"/>
              <w:bottom w:val="single" w:sz="4" w:space="0" w:color="auto"/>
              <w:right w:val="single" w:sz="4" w:space="0" w:color="auto"/>
            </w:tcBorders>
          </w:tcPr>
          <w:p w:rsidR="00715682" w:rsidRPr="00232F1B" w:rsidRDefault="00232F1B" w:rsidP="001C7B61">
            <w:pPr>
              <w:keepNext/>
              <w:keepLines/>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838" w:type="pct"/>
            <w:tcBorders>
              <w:top w:val="single" w:sz="4" w:space="0" w:color="auto"/>
              <w:left w:val="single" w:sz="4" w:space="0" w:color="auto"/>
              <w:bottom w:val="single" w:sz="4" w:space="0" w:color="auto"/>
              <w:right w:val="single" w:sz="4" w:space="0" w:color="auto"/>
            </w:tcBorders>
          </w:tcPr>
          <w:p w:rsidR="00953280" w:rsidRPr="002665FC" w:rsidRDefault="00715682" w:rsidP="001C7B61">
            <w:pPr>
              <w:keepNext/>
              <w:keepLines/>
              <w:widowControl/>
              <w:jc w:val="center"/>
              <w:rPr>
                <w:rFonts w:ascii="Arial Narrow" w:hAnsi="Arial Narrow"/>
                <w:iCs/>
                <w:sz w:val="20"/>
              </w:rPr>
            </w:pPr>
            <w:r w:rsidRPr="002665FC">
              <w:rPr>
                <w:rFonts w:ascii="Arial Narrow" w:hAnsi="Arial Narrow"/>
                <w:iCs/>
                <w:sz w:val="20"/>
              </w:rPr>
              <w:t>$</w:t>
            </w:r>
            <w:r w:rsidR="00232F1B">
              <w:rPr>
                <w:rFonts w:ascii="Arial Narrow" w:hAnsi="Arial Narrow"/>
                <w:iCs/>
                <w:noProof/>
                <w:color w:val="000000"/>
                <w:sz w:val="20"/>
                <w:highlight w:val="black"/>
              </w:rPr>
              <w:t>''''''''''''''''</w:t>
            </w:r>
          </w:p>
        </w:tc>
      </w:tr>
      <w:tr w:rsidR="00940D9D" w:rsidRPr="002665FC" w:rsidTr="00D705D7">
        <w:tc>
          <w:tcPr>
            <w:tcW w:w="1869" w:type="pct"/>
            <w:tcBorders>
              <w:top w:val="single" w:sz="4" w:space="0" w:color="auto"/>
              <w:left w:val="single" w:sz="4" w:space="0" w:color="auto"/>
              <w:bottom w:val="single" w:sz="4" w:space="0" w:color="auto"/>
              <w:right w:val="single" w:sz="4" w:space="0" w:color="auto"/>
            </w:tcBorders>
          </w:tcPr>
          <w:p w:rsidR="00940D9D" w:rsidRPr="002665FC" w:rsidRDefault="00940D9D" w:rsidP="001C7B61">
            <w:pPr>
              <w:keepNext/>
              <w:keepLines/>
              <w:widowControl/>
              <w:jc w:val="left"/>
              <w:rPr>
                <w:rFonts w:ascii="Arial Narrow" w:hAnsi="Arial Narrow"/>
                <w:iCs/>
                <w:sz w:val="20"/>
              </w:rPr>
            </w:pPr>
            <w:r w:rsidRPr="002665FC">
              <w:rPr>
                <w:rFonts w:ascii="Arial Narrow" w:hAnsi="Arial Narrow"/>
                <w:iCs/>
                <w:sz w:val="20"/>
              </w:rPr>
              <w:t xml:space="preserve">Duration of disease 41 days in mothers </w:t>
            </w:r>
            <w:r w:rsidR="00715682" w:rsidRPr="002665FC">
              <w:rPr>
                <w:rFonts w:ascii="Arial Narrow" w:hAnsi="Arial Narrow"/>
                <w:iCs/>
                <w:sz w:val="20"/>
              </w:rPr>
              <w:t xml:space="preserve">20+ years </w:t>
            </w:r>
            <w:r w:rsidRPr="002665FC">
              <w:rPr>
                <w:rFonts w:ascii="Arial Narrow" w:hAnsi="Arial Narrow"/>
                <w:iCs/>
                <w:sz w:val="20"/>
              </w:rPr>
              <w:t>(base case 68 days)</w:t>
            </w:r>
          </w:p>
        </w:tc>
        <w:tc>
          <w:tcPr>
            <w:tcW w:w="763" w:type="pct"/>
            <w:tcBorders>
              <w:top w:val="single" w:sz="4" w:space="0" w:color="auto"/>
              <w:left w:val="single" w:sz="4" w:space="0" w:color="auto"/>
              <w:bottom w:val="single" w:sz="4" w:space="0" w:color="auto"/>
              <w:right w:val="single" w:sz="4" w:space="0" w:color="auto"/>
            </w:tcBorders>
          </w:tcPr>
          <w:p w:rsidR="00940D9D" w:rsidRPr="00232F1B" w:rsidRDefault="00232F1B" w:rsidP="001C7B61">
            <w:pPr>
              <w:keepNext/>
              <w:keepLines/>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80" w:type="pct"/>
            <w:tcBorders>
              <w:top w:val="single" w:sz="4" w:space="0" w:color="auto"/>
              <w:left w:val="single" w:sz="4" w:space="0" w:color="auto"/>
              <w:bottom w:val="single" w:sz="4" w:space="0" w:color="auto"/>
              <w:right w:val="single" w:sz="4" w:space="0" w:color="auto"/>
            </w:tcBorders>
          </w:tcPr>
          <w:p w:rsidR="00940D9D" w:rsidRPr="002665FC" w:rsidRDefault="00BC01C7" w:rsidP="001C7B61">
            <w:pPr>
              <w:keepNext/>
              <w:keepLines/>
              <w:widowControl/>
              <w:jc w:val="center"/>
              <w:rPr>
                <w:rFonts w:ascii="Arial Narrow" w:hAnsi="Arial Narrow"/>
                <w:iCs/>
                <w:sz w:val="20"/>
              </w:rPr>
            </w:pPr>
            <w:r w:rsidRPr="002665FC">
              <w:rPr>
                <w:rFonts w:ascii="Arial Narrow" w:hAnsi="Arial Narrow"/>
                <w:iCs/>
                <w:sz w:val="20"/>
              </w:rPr>
              <w:t>$</w:t>
            </w:r>
            <w:r w:rsidR="00232F1B">
              <w:rPr>
                <w:rFonts w:ascii="Arial Narrow" w:hAnsi="Arial Narrow"/>
                <w:iCs/>
                <w:noProof/>
                <w:color w:val="000000"/>
                <w:sz w:val="20"/>
                <w:highlight w:val="black"/>
              </w:rPr>
              <w:t>'''''''''''''''''''''''''</w:t>
            </w:r>
          </w:p>
        </w:tc>
        <w:tc>
          <w:tcPr>
            <w:tcW w:w="850" w:type="pct"/>
            <w:tcBorders>
              <w:top w:val="single" w:sz="4" w:space="0" w:color="auto"/>
              <w:left w:val="single" w:sz="4" w:space="0" w:color="auto"/>
              <w:bottom w:val="single" w:sz="4" w:space="0" w:color="auto"/>
              <w:right w:val="single" w:sz="4" w:space="0" w:color="auto"/>
            </w:tcBorders>
          </w:tcPr>
          <w:p w:rsidR="00940D9D" w:rsidRPr="00232F1B" w:rsidRDefault="00232F1B" w:rsidP="001C7B61">
            <w:pPr>
              <w:keepNext/>
              <w:keepLines/>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838" w:type="pct"/>
            <w:tcBorders>
              <w:top w:val="single" w:sz="4" w:space="0" w:color="auto"/>
              <w:left w:val="single" w:sz="4" w:space="0" w:color="auto"/>
              <w:bottom w:val="single" w:sz="4" w:space="0" w:color="auto"/>
              <w:right w:val="single" w:sz="4" w:space="0" w:color="auto"/>
            </w:tcBorders>
          </w:tcPr>
          <w:p w:rsidR="00940D9D" w:rsidRPr="002665FC" w:rsidRDefault="00BC01C7" w:rsidP="001C7B61">
            <w:pPr>
              <w:keepNext/>
              <w:keepLines/>
              <w:widowControl/>
              <w:jc w:val="center"/>
              <w:rPr>
                <w:rFonts w:ascii="Arial Narrow" w:hAnsi="Arial Narrow"/>
                <w:iCs/>
                <w:sz w:val="20"/>
              </w:rPr>
            </w:pPr>
            <w:r w:rsidRPr="002665FC">
              <w:rPr>
                <w:rFonts w:ascii="Arial Narrow" w:hAnsi="Arial Narrow"/>
                <w:iCs/>
                <w:sz w:val="20"/>
              </w:rPr>
              <w:t>$</w:t>
            </w:r>
            <w:r w:rsidR="00232F1B">
              <w:rPr>
                <w:rFonts w:ascii="Arial Narrow" w:hAnsi="Arial Narrow"/>
                <w:iCs/>
                <w:noProof/>
                <w:color w:val="000000"/>
                <w:sz w:val="20"/>
                <w:highlight w:val="black"/>
              </w:rPr>
              <w:t>'''''''''''''''</w:t>
            </w:r>
          </w:p>
        </w:tc>
      </w:tr>
      <w:tr w:rsidR="00F82D17" w:rsidRPr="002665FC" w:rsidTr="00D705D7">
        <w:tc>
          <w:tcPr>
            <w:tcW w:w="1869" w:type="pct"/>
            <w:tcBorders>
              <w:top w:val="single" w:sz="4" w:space="0" w:color="auto"/>
              <w:left w:val="single" w:sz="4" w:space="0" w:color="auto"/>
              <w:bottom w:val="single" w:sz="4" w:space="0" w:color="auto"/>
              <w:right w:val="single" w:sz="4" w:space="0" w:color="auto"/>
            </w:tcBorders>
          </w:tcPr>
          <w:p w:rsidR="00F82D17" w:rsidRPr="002665FC" w:rsidRDefault="00F82D17" w:rsidP="001C7B61">
            <w:pPr>
              <w:keepNext/>
              <w:keepLines/>
              <w:widowControl/>
              <w:jc w:val="left"/>
              <w:rPr>
                <w:rFonts w:ascii="Arial Narrow" w:eastAsiaTheme="majorEastAsia" w:hAnsi="Arial Narrow" w:cstheme="majorBidi"/>
                <w:snapToGrid/>
                <w:sz w:val="20"/>
                <w:lang w:bidi="en-US"/>
              </w:rPr>
            </w:pPr>
            <w:r w:rsidRPr="002665FC">
              <w:rPr>
                <w:rFonts w:ascii="Arial Narrow" w:hAnsi="Arial Narrow"/>
                <w:iCs/>
                <w:sz w:val="20"/>
              </w:rPr>
              <w:t>Duration of VE 3 years (base case 5 years)</w:t>
            </w:r>
          </w:p>
        </w:tc>
        <w:tc>
          <w:tcPr>
            <w:tcW w:w="763" w:type="pct"/>
            <w:tcBorders>
              <w:top w:val="single" w:sz="4" w:space="0" w:color="auto"/>
              <w:left w:val="single" w:sz="4" w:space="0" w:color="auto"/>
              <w:bottom w:val="single" w:sz="4" w:space="0" w:color="auto"/>
              <w:right w:val="single" w:sz="4" w:space="0" w:color="auto"/>
            </w:tcBorders>
          </w:tcPr>
          <w:p w:rsidR="00F82D17" w:rsidRPr="00232F1B" w:rsidRDefault="00232F1B" w:rsidP="001C7B61">
            <w:pPr>
              <w:keepNext/>
              <w:keepLines/>
              <w:widowControl/>
              <w:jc w:val="center"/>
              <w:rPr>
                <w:rFonts w:ascii="Arial Narrow" w:eastAsiaTheme="majorEastAsia" w:hAnsi="Arial Narrow" w:cstheme="majorBidi"/>
                <w:snapToGrid/>
                <w:sz w:val="20"/>
                <w:highlight w:val="black"/>
                <w:lang w:bidi="en-US"/>
              </w:rPr>
            </w:pPr>
            <w:r>
              <w:rPr>
                <w:rFonts w:ascii="Arial Narrow" w:hAnsi="Arial Narrow"/>
                <w:iCs/>
                <w:noProof/>
                <w:color w:val="000000"/>
                <w:sz w:val="20"/>
                <w:highlight w:val="black"/>
              </w:rPr>
              <w:t>'''''''''''</w:t>
            </w:r>
          </w:p>
        </w:tc>
        <w:tc>
          <w:tcPr>
            <w:tcW w:w="680" w:type="pct"/>
            <w:tcBorders>
              <w:top w:val="single" w:sz="4" w:space="0" w:color="auto"/>
              <w:left w:val="single" w:sz="4" w:space="0" w:color="auto"/>
              <w:bottom w:val="single" w:sz="4" w:space="0" w:color="auto"/>
              <w:right w:val="single" w:sz="4" w:space="0" w:color="auto"/>
            </w:tcBorders>
          </w:tcPr>
          <w:p w:rsidR="00F82D17" w:rsidRPr="002665FC" w:rsidRDefault="00F82D17" w:rsidP="001C7B61">
            <w:pPr>
              <w:keepNext/>
              <w:keepLines/>
              <w:widowControl/>
              <w:jc w:val="center"/>
              <w:rPr>
                <w:rFonts w:ascii="Arial Narrow" w:eastAsiaTheme="majorEastAsia" w:hAnsi="Arial Narrow" w:cstheme="majorBidi"/>
                <w:snapToGrid/>
                <w:sz w:val="20"/>
                <w:lang w:bidi="en-US"/>
              </w:rPr>
            </w:pPr>
            <w:r w:rsidRPr="002665FC">
              <w:rPr>
                <w:rFonts w:ascii="Arial Narrow" w:hAnsi="Arial Narrow"/>
                <w:iCs/>
                <w:sz w:val="20"/>
              </w:rPr>
              <w:t>$</w:t>
            </w:r>
            <w:r w:rsidR="00232F1B">
              <w:rPr>
                <w:rFonts w:ascii="Arial Narrow" w:hAnsi="Arial Narrow"/>
                <w:iCs/>
                <w:noProof/>
                <w:color w:val="000000"/>
                <w:sz w:val="20"/>
                <w:highlight w:val="black"/>
              </w:rPr>
              <w:t>'''''''''''''''''''''</w:t>
            </w:r>
          </w:p>
        </w:tc>
        <w:tc>
          <w:tcPr>
            <w:tcW w:w="850" w:type="pct"/>
            <w:tcBorders>
              <w:top w:val="single" w:sz="4" w:space="0" w:color="auto"/>
              <w:left w:val="single" w:sz="4" w:space="0" w:color="auto"/>
              <w:bottom w:val="single" w:sz="4" w:space="0" w:color="auto"/>
              <w:right w:val="single" w:sz="4" w:space="0" w:color="auto"/>
            </w:tcBorders>
          </w:tcPr>
          <w:p w:rsidR="00F82D17" w:rsidRPr="00232F1B" w:rsidRDefault="00232F1B" w:rsidP="001C7B61">
            <w:pPr>
              <w:keepNext/>
              <w:keepLines/>
              <w:widowControl/>
              <w:jc w:val="center"/>
              <w:rPr>
                <w:rFonts w:ascii="Arial Narrow" w:eastAsiaTheme="majorEastAsia" w:hAnsi="Arial Narrow" w:cstheme="majorBidi"/>
                <w:snapToGrid/>
                <w:sz w:val="20"/>
                <w:highlight w:val="black"/>
                <w:lang w:bidi="en-US"/>
              </w:rPr>
            </w:pPr>
            <w:r>
              <w:rPr>
                <w:rFonts w:ascii="Arial Narrow" w:hAnsi="Arial Narrow"/>
                <w:iCs/>
                <w:noProof/>
                <w:color w:val="000000"/>
                <w:sz w:val="20"/>
                <w:highlight w:val="black"/>
              </w:rPr>
              <w:t>''''''''''''''</w:t>
            </w:r>
          </w:p>
        </w:tc>
        <w:tc>
          <w:tcPr>
            <w:tcW w:w="838" w:type="pct"/>
            <w:tcBorders>
              <w:top w:val="single" w:sz="4" w:space="0" w:color="auto"/>
              <w:left w:val="single" w:sz="4" w:space="0" w:color="auto"/>
              <w:bottom w:val="single" w:sz="4" w:space="0" w:color="auto"/>
              <w:right w:val="single" w:sz="4" w:space="0" w:color="auto"/>
            </w:tcBorders>
          </w:tcPr>
          <w:p w:rsidR="00F82D17" w:rsidRPr="002665FC" w:rsidRDefault="00F82D17" w:rsidP="001C7B61">
            <w:pPr>
              <w:keepNext/>
              <w:keepLines/>
              <w:widowControl/>
              <w:jc w:val="center"/>
              <w:rPr>
                <w:rFonts w:ascii="Arial Narrow" w:eastAsiaTheme="majorEastAsia" w:hAnsi="Arial Narrow" w:cstheme="majorBidi"/>
                <w:snapToGrid/>
                <w:sz w:val="20"/>
                <w:lang w:bidi="en-US"/>
              </w:rPr>
            </w:pPr>
            <w:r w:rsidRPr="002665FC">
              <w:rPr>
                <w:rFonts w:ascii="Arial Narrow" w:hAnsi="Arial Narrow"/>
                <w:iCs/>
                <w:sz w:val="20"/>
              </w:rPr>
              <w:t>$</w:t>
            </w:r>
            <w:r w:rsidR="00232F1B">
              <w:rPr>
                <w:rFonts w:ascii="Arial Narrow" w:hAnsi="Arial Narrow"/>
                <w:iCs/>
                <w:noProof/>
                <w:color w:val="000000"/>
                <w:sz w:val="20"/>
                <w:highlight w:val="black"/>
              </w:rPr>
              <w:t>''''''''''''''''</w:t>
            </w:r>
          </w:p>
        </w:tc>
      </w:tr>
      <w:tr w:rsidR="00AE18E8" w:rsidRPr="002665FC" w:rsidTr="00D705D7">
        <w:tc>
          <w:tcPr>
            <w:tcW w:w="1869" w:type="pct"/>
            <w:tcBorders>
              <w:top w:val="single" w:sz="4" w:space="0" w:color="auto"/>
              <w:left w:val="single" w:sz="4" w:space="0" w:color="auto"/>
              <w:bottom w:val="single" w:sz="4" w:space="0" w:color="auto"/>
              <w:right w:val="single" w:sz="4" w:space="0" w:color="auto"/>
            </w:tcBorders>
          </w:tcPr>
          <w:p w:rsidR="00AE18E8" w:rsidRPr="002665FC" w:rsidRDefault="00AE18E8" w:rsidP="001C7B61">
            <w:pPr>
              <w:keepNext/>
              <w:keepLines/>
              <w:widowControl/>
              <w:jc w:val="left"/>
              <w:rPr>
                <w:rFonts w:ascii="Arial Narrow" w:hAnsi="Arial Narrow"/>
                <w:iCs/>
                <w:sz w:val="20"/>
              </w:rPr>
            </w:pPr>
            <w:r w:rsidRPr="002665FC">
              <w:rPr>
                <w:rFonts w:ascii="Arial Narrow" w:eastAsiaTheme="majorEastAsia" w:hAnsi="Arial Narrow" w:cstheme="majorBidi"/>
                <w:snapToGrid/>
                <w:sz w:val="20"/>
                <w:lang w:bidi="en-US"/>
              </w:rPr>
              <w:t>Discount rate 0% (base case 5%)</w:t>
            </w:r>
          </w:p>
        </w:tc>
        <w:tc>
          <w:tcPr>
            <w:tcW w:w="763" w:type="pct"/>
            <w:tcBorders>
              <w:top w:val="single" w:sz="4" w:space="0" w:color="auto"/>
              <w:left w:val="single" w:sz="4" w:space="0" w:color="auto"/>
              <w:bottom w:val="single" w:sz="4" w:space="0" w:color="auto"/>
              <w:right w:val="single" w:sz="4" w:space="0" w:color="auto"/>
            </w:tcBorders>
          </w:tcPr>
          <w:p w:rsidR="00AE18E8" w:rsidRPr="00232F1B" w:rsidRDefault="00232F1B" w:rsidP="001C7B61">
            <w:pPr>
              <w:keepNext/>
              <w:keepLines/>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80" w:type="pct"/>
            <w:tcBorders>
              <w:top w:val="single" w:sz="4" w:space="0" w:color="auto"/>
              <w:left w:val="single" w:sz="4" w:space="0" w:color="auto"/>
              <w:bottom w:val="single" w:sz="4" w:space="0" w:color="auto"/>
              <w:right w:val="single" w:sz="4" w:space="0" w:color="auto"/>
            </w:tcBorders>
          </w:tcPr>
          <w:p w:rsidR="00AE18E8" w:rsidRPr="002665FC" w:rsidRDefault="00BC01C7" w:rsidP="001C7B61">
            <w:pPr>
              <w:keepNext/>
              <w:keepLines/>
              <w:widowControl/>
              <w:jc w:val="center"/>
              <w:rPr>
                <w:rFonts w:ascii="Arial Narrow" w:hAnsi="Arial Narrow"/>
                <w:iCs/>
                <w:sz w:val="20"/>
              </w:rPr>
            </w:pPr>
            <w:r w:rsidRPr="002665FC">
              <w:rPr>
                <w:rFonts w:ascii="Arial Narrow" w:hAnsi="Arial Narrow"/>
                <w:iCs/>
                <w:sz w:val="20"/>
              </w:rPr>
              <w:t>$</w:t>
            </w:r>
            <w:r w:rsidR="00232F1B">
              <w:rPr>
                <w:rFonts w:ascii="Arial Narrow" w:hAnsi="Arial Narrow"/>
                <w:iCs/>
                <w:noProof/>
                <w:color w:val="000000"/>
                <w:sz w:val="20"/>
                <w:highlight w:val="black"/>
              </w:rPr>
              <w:t>'''''''''''''''''''''''''</w:t>
            </w:r>
          </w:p>
        </w:tc>
        <w:tc>
          <w:tcPr>
            <w:tcW w:w="850" w:type="pct"/>
            <w:tcBorders>
              <w:top w:val="single" w:sz="4" w:space="0" w:color="auto"/>
              <w:left w:val="single" w:sz="4" w:space="0" w:color="auto"/>
              <w:bottom w:val="single" w:sz="4" w:space="0" w:color="auto"/>
              <w:right w:val="single" w:sz="4" w:space="0" w:color="auto"/>
            </w:tcBorders>
          </w:tcPr>
          <w:p w:rsidR="00AE18E8" w:rsidRPr="00232F1B" w:rsidRDefault="00232F1B" w:rsidP="001C7B61">
            <w:pPr>
              <w:keepNext/>
              <w:keepLines/>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838" w:type="pct"/>
            <w:tcBorders>
              <w:top w:val="single" w:sz="4" w:space="0" w:color="auto"/>
              <w:left w:val="single" w:sz="4" w:space="0" w:color="auto"/>
              <w:bottom w:val="single" w:sz="4" w:space="0" w:color="auto"/>
              <w:right w:val="single" w:sz="4" w:space="0" w:color="auto"/>
            </w:tcBorders>
          </w:tcPr>
          <w:p w:rsidR="00AE18E8" w:rsidRPr="002665FC" w:rsidRDefault="00BC01C7" w:rsidP="001C7B61">
            <w:pPr>
              <w:keepNext/>
              <w:keepLines/>
              <w:widowControl/>
              <w:jc w:val="center"/>
              <w:rPr>
                <w:rFonts w:ascii="Arial Narrow" w:hAnsi="Arial Narrow"/>
                <w:iCs/>
                <w:sz w:val="20"/>
              </w:rPr>
            </w:pPr>
            <w:r w:rsidRPr="002665FC">
              <w:rPr>
                <w:rFonts w:ascii="Arial Narrow" w:hAnsi="Arial Narrow"/>
                <w:iCs/>
                <w:sz w:val="20"/>
              </w:rPr>
              <w:t>$</w:t>
            </w:r>
            <w:r w:rsidR="00232F1B">
              <w:rPr>
                <w:rFonts w:ascii="Arial Narrow" w:hAnsi="Arial Narrow"/>
                <w:iCs/>
                <w:noProof/>
                <w:color w:val="000000"/>
                <w:sz w:val="20"/>
                <w:highlight w:val="black"/>
              </w:rPr>
              <w:t>'''''''''''''''</w:t>
            </w:r>
          </w:p>
        </w:tc>
      </w:tr>
      <w:tr w:rsidR="00AE18E8" w:rsidRPr="002665FC" w:rsidTr="00D705D7">
        <w:tc>
          <w:tcPr>
            <w:tcW w:w="1869" w:type="pct"/>
            <w:tcBorders>
              <w:top w:val="single" w:sz="4" w:space="0" w:color="auto"/>
              <w:left w:val="single" w:sz="4" w:space="0" w:color="auto"/>
              <w:bottom w:val="single" w:sz="4" w:space="0" w:color="auto"/>
              <w:right w:val="single" w:sz="4" w:space="0" w:color="auto"/>
            </w:tcBorders>
          </w:tcPr>
          <w:p w:rsidR="00AE18E8" w:rsidRPr="002665FC" w:rsidRDefault="00AE18E8" w:rsidP="001C7B61">
            <w:pPr>
              <w:keepNext/>
              <w:keepLines/>
              <w:widowControl/>
              <w:jc w:val="left"/>
              <w:rPr>
                <w:rFonts w:ascii="Arial Narrow" w:hAnsi="Arial Narrow"/>
                <w:iCs/>
                <w:sz w:val="20"/>
              </w:rPr>
            </w:pPr>
            <w:r w:rsidRPr="002665FC">
              <w:rPr>
                <w:rFonts w:ascii="Arial Narrow" w:eastAsiaTheme="majorEastAsia" w:hAnsi="Arial Narrow" w:cstheme="majorBidi"/>
                <w:snapToGrid/>
                <w:sz w:val="20"/>
                <w:lang w:bidi="en-US"/>
              </w:rPr>
              <w:t>Discount rate 10% (base case 5%)</w:t>
            </w:r>
          </w:p>
        </w:tc>
        <w:tc>
          <w:tcPr>
            <w:tcW w:w="763" w:type="pct"/>
            <w:tcBorders>
              <w:top w:val="single" w:sz="4" w:space="0" w:color="auto"/>
              <w:left w:val="single" w:sz="4" w:space="0" w:color="auto"/>
              <w:bottom w:val="single" w:sz="4" w:space="0" w:color="auto"/>
              <w:right w:val="single" w:sz="4" w:space="0" w:color="auto"/>
            </w:tcBorders>
          </w:tcPr>
          <w:p w:rsidR="00AE18E8" w:rsidRPr="00232F1B" w:rsidRDefault="00232F1B" w:rsidP="001C7B61">
            <w:pPr>
              <w:keepNext/>
              <w:keepLines/>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680" w:type="pct"/>
            <w:tcBorders>
              <w:top w:val="single" w:sz="4" w:space="0" w:color="auto"/>
              <w:left w:val="single" w:sz="4" w:space="0" w:color="auto"/>
              <w:bottom w:val="single" w:sz="4" w:space="0" w:color="auto"/>
              <w:right w:val="single" w:sz="4" w:space="0" w:color="auto"/>
            </w:tcBorders>
          </w:tcPr>
          <w:p w:rsidR="00AE18E8" w:rsidRPr="002665FC" w:rsidRDefault="00BC01C7" w:rsidP="001C7B61">
            <w:pPr>
              <w:keepNext/>
              <w:keepLines/>
              <w:widowControl/>
              <w:jc w:val="center"/>
              <w:rPr>
                <w:rFonts w:ascii="Arial Narrow" w:hAnsi="Arial Narrow"/>
                <w:iCs/>
                <w:sz w:val="20"/>
              </w:rPr>
            </w:pPr>
            <w:r w:rsidRPr="002665FC">
              <w:rPr>
                <w:rFonts w:ascii="Arial Narrow" w:hAnsi="Arial Narrow"/>
                <w:iCs/>
                <w:sz w:val="20"/>
              </w:rPr>
              <w:t>$</w:t>
            </w:r>
            <w:r w:rsidR="00232F1B">
              <w:rPr>
                <w:rFonts w:ascii="Arial Narrow" w:hAnsi="Arial Narrow"/>
                <w:iCs/>
                <w:noProof/>
                <w:color w:val="000000"/>
                <w:sz w:val="20"/>
                <w:highlight w:val="black"/>
              </w:rPr>
              <w:t>'''''''''''''''''''''''</w:t>
            </w:r>
          </w:p>
        </w:tc>
        <w:tc>
          <w:tcPr>
            <w:tcW w:w="850" w:type="pct"/>
            <w:tcBorders>
              <w:top w:val="single" w:sz="4" w:space="0" w:color="auto"/>
              <w:left w:val="single" w:sz="4" w:space="0" w:color="auto"/>
              <w:bottom w:val="single" w:sz="4" w:space="0" w:color="auto"/>
              <w:right w:val="single" w:sz="4" w:space="0" w:color="auto"/>
            </w:tcBorders>
          </w:tcPr>
          <w:p w:rsidR="00AE18E8" w:rsidRPr="00232F1B" w:rsidRDefault="00232F1B" w:rsidP="001C7B61">
            <w:pPr>
              <w:keepNext/>
              <w:keepLines/>
              <w:widowControl/>
              <w:jc w:val="center"/>
              <w:rPr>
                <w:rFonts w:ascii="Arial Narrow" w:hAnsi="Arial Narrow"/>
                <w:iCs/>
                <w:sz w:val="20"/>
                <w:highlight w:val="black"/>
              </w:rPr>
            </w:pPr>
            <w:r>
              <w:rPr>
                <w:rFonts w:ascii="Arial Narrow" w:hAnsi="Arial Narrow"/>
                <w:iCs/>
                <w:noProof/>
                <w:color w:val="000000"/>
                <w:sz w:val="20"/>
                <w:highlight w:val="black"/>
              </w:rPr>
              <w:t>''''''''''''''</w:t>
            </w:r>
          </w:p>
        </w:tc>
        <w:tc>
          <w:tcPr>
            <w:tcW w:w="838" w:type="pct"/>
            <w:tcBorders>
              <w:top w:val="single" w:sz="4" w:space="0" w:color="auto"/>
              <w:left w:val="single" w:sz="4" w:space="0" w:color="auto"/>
              <w:bottom w:val="single" w:sz="4" w:space="0" w:color="auto"/>
              <w:right w:val="single" w:sz="4" w:space="0" w:color="auto"/>
            </w:tcBorders>
          </w:tcPr>
          <w:p w:rsidR="00AE18E8" w:rsidRPr="002665FC" w:rsidRDefault="00BC01C7" w:rsidP="001C7B61">
            <w:pPr>
              <w:keepNext/>
              <w:keepLines/>
              <w:widowControl/>
              <w:jc w:val="center"/>
              <w:rPr>
                <w:rFonts w:ascii="Arial Narrow" w:hAnsi="Arial Narrow"/>
                <w:iCs/>
                <w:sz w:val="20"/>
              </w:rPr>
            </w:pPr>
            <w:r w:rsidRPr="002665FC">
              <w:rPr>
                <w:rFonts w:ascii="Arial Narrow" w:hAnsi="Arial Narrow"/>
                <w:iCs/>
                <w:sz w:val="20"/>
              </w:rPr>
              <w:t>$</w:t>
            </w:r>
            <w:r w:rsidR="00232F1B">
              <w:rPr>
                <w:rFonts w:ascii="Arial Narrow" w:hAnsi="Arial Narrow"/>
                <w:iCs/>
                <w:noProof/>
                <w:color w:val="000000"/>
                <w:sz w:val="20"/>
                <w:highlight w:val="black"/>
              </w:rPr>
              <w:t>'''''''''''''''</w:t>
            </w:r>
          </w:p>
        </w:tc>
      </w:tr>
    </w:tbl>
    <w:p w:rsidR="00DF0201" w:rsidRPr="002665FC" w:rsidRDefault="00DF0201" w:rsidP="001C7B61">
      <w:pPr>
        <w:pStyle w:val="TableFooter"/>
        <w:keepNext/>
        <w:widowControl/>
        <w:ind w:firstLine="720"/>
      </w:pPr>
      <w:r w:rsidRPr="002665FC">
        <w:t>Source: Compiled during the preparation of the ESC Advice.</w:t>
      </w:r>
    </w:p>
    <w:p w:rsidR="00F82D17" w:rsidRDefault="00F82D17" w:rsidP="009E046E">
      <w:pPr>
        <w:pStyle w:val="ListParagraph"/>
        <w:widowControl/>
      </w:pPr>
    </w:p>
    <w:p w:rsidR="00F66571" w:rsidRDefault="00F66571" w:rsidP="009E046E">
      <w:pPr>
        <w:pStyle w:val="ListParagraph"/>
        <w:widowControl/>
      </w:pPr>
      <w:r>
        <w:t xml:space="preserve">The redacted table shows ICERs in the range of $15,000 - </w:t>
      </w:r>
      <w:r w:rsidR="006E66E3">
        <w:t>$45,000/QALY, $45,000 - $75,000/QALY, $75,000 - $105,000/QALY and $105,000 - $200,000/QALY</w:t>
      </w:r>
      <w:r>
        <w:t>.</w:t>
      </w:r>
    </w:p>
    <w:p w:rsidR="00F66571" w:rsidRDefault="00F66571" w:rsidP="009E046E">
      <w:pPr>
        <w:pStyle w:val="ListParagraph"/>
        <w:widowControl/>
      </w:pPr>
    </w:p>
    <w:p w:rsidR="009E046E" w:rsidRDefault="009E046E" w:rsidP="009E046E">
      <w:pPr>
        <w:pStyle w:val="ListParagraph"/>
        <w:widowControl/>
        <w:numPr>
          <w:ilvl w:val="1"/>
          <w:numId w:val="3"/>
        </w:numPr>
      </w:pPr>
      <w:r>
        <w:t>The ATAGI post-submission advice noted that data on Australian pertussis-related paediatric intensive care unit admissions in infants for the period 1997-2013</w:t>
      </w:r>
      <w:r>
        <w:rPr>
          <w:rStyle w:val="FootnoteReference"/>
        </w:rPr>
        <w:footnoteReference w:id="4"/>
      </w:r>
      <w:r w:rsidR="00385ED2">
        <w:t xml:space="preserve"> </w:t>
      </w:r>
      <w:r>
        <w:t xml:space="preserve">were offered to the sponsor but were not referenced in the submission. Accordingly, ATAGI considered that the substantive </w:t>
      </w:r>
      <w:r w:rsidR="002665FC">
        <w:t>burden of disease demonstrated in this publication was</w:t>
      </w:r>
      <w:r w:rsidR="00385ED2">
        <w:t xml:space="preserve"> not captured in the submission.</w:t>
      </w:r>
    </w:p>
    <w:p w:rsidR="002665FC" w:rsidRDefault="002665FC" w:rsidP="002665FC">
      <w:pPr>
        <w:pStyle w:val="ListParagraph"/>
        <w:widowControl/>
      </w:pPr>
    </w:p>
    <w:p w:rsidR="002665FC" w:rsidRDefault="002665FC" w:rsidP="009E046E">
      <w:pPr>
        <w:pStyle w:val="ListParagraph"/>
        <w:widowControl/>
        <w:numPr>
          <w:ilvl w:val="1"/>
          <w:numId w:val="3"/>
        </w:numPr>
      </w:pPr>
      <w:r>
        <w:t xml:space="preserve">The PBAC considered </w:t>
      </w:r>
      <w:r w:rsidR="002C28F9">
        <w:t xml:space="preserve">that </w:t>
      </w:r>
      <w:r w:rsidR="0035570A">
        <w:t>there</w:t>
      </w:r>
      <w:r>
        <w:t xml:space="preserve"> were factors which </w:t>
      </w:r>
      <w:r w:rsidR="0035570A">
        <w:t>would</w:t>
      </w:r>
      <w:r>
        <w:t xml:space="preserve"> have underestimated the ICER (</w:t>
      </w:r>
      <w:r w:rsidR="0035570A">
        <w:t xml:space="preserve">such as not including administration costs or accounting for reduced effectiveness in mothers receiving multiple shots within a 5 year period) and </w:t>
      </w:r>
      <w:r w:rsidR="008A2C71">
        <w:t xml:space="preserve">factors which would have </w:t>
      </w:r>
      <w:r w:rsidR="0035570A">
        <w:t>overestimated the ICER (such as not including costs for unreported cases and conservative use of the APERT VE estimate)</w:t>
      </w:r>
      <w:r w:rsidR="008A2C71">
        <w:t>.</w:t>
      </w:r>
      <w:r w:rsidR="0035570A">
        <w:t xml:space="preserve"> </w:t>
      </w:r>
      <w:r w:rsidR="00E81759">
        <w:t>The impact on the ICER of o</w:t>
      </w:r>
      <w:r w:rsidR="0035570A">
        <w:t>ther factors such as the rate of, and disutility applied to, unreported cases</w:t>
      </w:r>
      <w:r w:rsidR="00E81759">
        <w:t xml:space="preserve"> was</w:t>
      </w:r>
      <w:r w:rsidR="00476E92">
        <w:t xml:space="preserve"> unknown</w:t>
      </w:r>
      <w:r w:rsidR="0035570A">
        <w:t xml:space="preserve">. On balance, </w:t>
      </w:r>
      <w:r w:rsidR="00890BFD">
        <w:t xml:space="preserve">the PBAC considered the </w:t>
      </w:r>
      <w:r w:rsidR="00381437">
        <w:t>‘</w:t>
      </w:r>
      <w:r w:rsidR="00890BFD">
        <w:t>pre-PBAC response base case</w:t>
      </w:r>
      <w:r w:rsidR="00381437">
        <w:t>’</w:t>
      </w:r>
      <w:r w:rsidR="00890BFD">
        <w:t xml:space="preserve"> (with an ICER of $</w:t>
      </w:r>
      <w:r w:rsidR="00F66571">
        <w:t>15,000 - $45,000</w:t>
      </w:r>
      <w:r w:rsidR="00381437">
        <w:t xml:space="preserve"> per QALY</w:t>
      </w:r>
      <w:r w:rsidR="00890BFD">
        <w:t xml:space="preserve">) was the most informative </w:t>
      </w:r>
      <w:r w:rsidR="00476E92">
        <w:t xml:space="preserve">estimate </w:t>
      </w:r>
      <w:r w:rsidR="00890BFD">
        <w:t>for decision making</w:t>
      </w:r>
      <w:r w:rsidR="0035570A">
        <w:t>, while noting some uncertainty around this estimate</w:t>
      </w:r>
      <w:r w:rsidR="00890BFD">
        <w:t>.</w:t>
      </w:r>
    </w:p>
    <w:p w:rsidR="009E046E" w:rsidRPr="00DF0201" w:rsidRDefault="009E046E" w:rsidP="009E046E">
      <w:pPr>
        <w:widowControl/>
      </w:pPr>
    </w:p>
    <w:p w:rsidR="00607883" w:rsidRPr="00AB6640" w:rsidRDefault="00607883" w:rsidP="00232F1B">
      <w:pPr>
        <w:pStyle w:val="Heading2"/>
      </w:pPr>
      <w:bookmarkStart w:id="16" w:name="_Toc450288343"/>
      <w:r w:rsidRPr="00232F1B">
        <w:t>Drug cost/patient</w:t>
      </w:r>
      <w:r w:rsidR="007640FD" w:rsidRPr="00232F1B">
        <w:t>/dose</w:t>
      </w:r>
      <w:r w:rsidRPr="00AB6640">
        <w:t>:</w:t>
      </w:r>
      <w:r w:rsidR="007640FD" w:rsidRPr="00AB6640">
        <w:t xml:space="preserve"> $</w:t>
      </w:r>
      <w:bookmarkEnd w:id="16"/>
      <w:r w:rsidR="00232F1B">
        <w:rPr>
          <w:noProof/>
          <w:color w:val="000000"/>
          <w:highlight w:val="black"/>
        </w:rPr>
        <w:t>''''''</w:t>
      </w:r>
    </w:p>
    <w:p w:rsidR="00607883" w:rsidRPr="00AB6640" w:rsidRDefault="00607883" w:rsidP="001C7B61">
      <w:pPr>
        <w:keepNext/>
        <w:widowControl/>
      </w:pPr>
    </w:p>
    <w:p w:rsidR="00607883" w:rsidRPr="00AB6640" w:rsidRDefault="00607883" w:rsidP="001C7B61">
      <w:pPr>
        <w:pStyle w:val="ListParagraph"/>
        <w:widowControl/>
        <w:numPr>
          <w:ilvl w:val="1"/>
          <w:numId w:val="3"/>
        </w:numPr>
        <w:rPr>
          <w:szCs w:val="22"/>
        </w:rPr>
      </w:pPr>
      <w:r w:rsidRPr="00AB6640">
        <w:t xml:space="preserve">The </w:t>
      </w:r>
      <w:r w:rsidR="00C230D7" w:rsidRPr="00AB6640">
        <w:t xml:space="preserve">dTpa cost per dose in the submission </w:t>
      </w:r>
      <w:r w:rsidR="006F69CF" w:rsidRPr="00AB6640">
        <w:t>wa</w:t>
      </w:r>
      <w:r w:rsidR="00C230D7" w:rsidRPr="00AB6640">
        <w:t>s</w:t>
      </w:r>
      <w:r w:rsidRPr="00AB6640">
        <w:t xml:space="preserve"> $</w:t>
      </w:r>
      <w:r w:rsidR="00232F1B">
        <w:rPr>
          <w:noProof/>
          <w:color w:val="000000"/>
          <w:highlight w:val="black"/>
        </w:rPr>
        <w:t>''''''</w:t>
      </w:r>
      <w:r w:rsidRPr="00AB6640">
        <w:t>.</w:t>
      </w:r>
      <w:r w:rsidR="00DD00E5" w:rsidRPr="00AB6640">
        <w:t xml:space="preserve"> The nationally negotiated price of dTpa for the adolescent program at the time of the submission was $</w:t>
      </w:r>
      <w:r w:rsidR="00232F1B">
        <w:rPr>
          <w:noProof/>
          <w:color w:val="000000"/>
          <w:highlight w:val="black"/>
        </w:rPr>
        <w:t>''''''</w:t>
      </w:r>
      <w:r w:rsidR="00DD00E5" w:rsidRPr="00AB6640">
        <w:t>.</w:t>
      </w:r>
    </w:p>
    <w:p w:rsidR="00607883" w:rsidRPr="00AB6640" w:rsidRDefault="00607883" w:rsidP="001C7B61">
      <w:pPr>
        <w:pStyle w:val="ListParagraph"/>
        <w:widowControl/>
        <w:rPr>
          <w:szCs w:val="22"/>
        </w:rPr>
      </w:pPr>
    </w:p>
    <w:p w:rsidR="00607883" w:rsidRPr="00AB6640" w:rsidRDefault="00607883" w:rsidP="00232F1B">
      <w:pPr>
        <w:pStyle w:val="Heading2"/>
      </w:pPr>
      <w:bookmarkStart w:id="17" w:name="_Toc450288344"/>
      <w:r w:rsidRPr="00AB6640">
        <w:t>Estimated PBS usage &amp; financial implications</w:t>
      </w:r>
      <w:bookmarkEnd w:id="17"/>
    </w:p>
    <w:p w:rsidR="00607883" w:rsidRPr="00AB6640" w:rsidRDefault="00607883" w:rsidP="00C848FD">
      <w:pPr>
        <w:keepNext/>
        <w:widowControl/>
        <w:ind w:left="720" w:hanging="720"/>
        <w:rPr>
          <w:b/>
          <w:szCs w:val="22"/>
        </w:rPr>
      </w:pPr>
    </w:p>
    <w:p w:rsidR="00607883" w:rsidRPr="00AB6640" w:rsidRDefault="00607883" w:rsidP="001C7B61">
      <w:pPr>
        <w:pStyle w:val="ListParagraph"/>
        <w:widowControl/>
        <w:numPr>
          <w:ilvl w:val="1"/>
          <w:numId w:val="3"/>
        </w:numPr>
        <w:rPr>
          <w:szCs w:val="22"/>
        </w:rPr>
      </w:pPr>
      <w:r w:rsidRPr="00AB6640">
        <w:t xml:space="preserve">This submission </w:t>
      </w:r>
      <w:r w:rsidR="005D6157" w:rsidRPr="00AB6640">
        <w:t>was</w:t>
      </w:r>
      <w:r w:rsidRPr="00AB6640">
        <w:t xml:space="preserve"> not considered by DUSC</w:t>
      </w:r>
      <w:r w:rsidRPr="00AB6640">
        <w:rPr>
          <w:color w:val="0070C0"/>
        </w:rPr>
        <w:t>.</w:t>
      </w:r>
      <w:r w:rsidR="007640FD" w:rsidRPr="00AB6640">
        <w:rPr>
          <w:color w:val="0070C0"/>
        </w:rPr>
        <w:t xml:space="preserve"> </w:t>
      </w:r>
      <w:r w:rsidRPr="00AB6640">
        <w:t>The submission used an epidemiological approach to estimate the net financial impact of including maternal dTpa vaccination on the NIP. The NIP cost was calculated based on the number of pregnant women</w:t>
      </w:r>
      <w:r w:rsidR="00C230D7" w:rsidRPr="00AB6640">
        <w:t xml:space="preserve"> (assumed to be the same as the number of births)</w:t>
      </w:r>
      <w:r w:rsidRPr="00AB6640">
        <w:t>, the assumed uptake of dTpa</w:t>
      </w:r>
      <w:r w:rsidR="00C230D7" w:rsidRPr="00AB6640">
        <w:t xml:space="preserve"> (70%)</w:t>
      </w:r>
      <w:r w:rsidRPr="00AB6640">
        <w:t xml:space="preserve"> and the dTpa cost</w:t>
      </w:r>
      <w:r w:rsidR="00C230D7" w:rsidRPr="00AB6640">
        <w:t xml:space="preserve"> ($</w:t>
      </w:r>
      <w:r w:rsidR="00232F1B">
        <w:rPr>
          <w:noProof/>
          <w:color w:val="000000"/>
          <w:highlight w:val="black"/>
        </w:rPr>
        <w:t>''''''</w:t>
      </w:r>
      <w:r w:rsidR="00C230D7" w:rsidRPr="00AB6640">
        <w:t>)</w:t>
      </w:r>
      <w:r w:rsidRPr="00AB6640">
        <w:t>.</w:t>
      </w:r>
      <w:r w:rsidRPr="00AB6640">
        <w:rPr>
          <w:color w:val="0070C0"/>
        </w:rPr>
        <w:t xml:space="preserve"> </w:t>
      </w:r>
    </w:p>
    <w:p w:rsidR="00607883" w:rsidRPr="006B2A4D" w:rsidRDefault="00607883" w:rsidP="001C7B61">
      <w:pPr>
        <w:pStyle w:val="ListParagraph"/>
        <w:widowControl/>
        <w:rPr>
          <w:szCs w:val="22"/>
        </w:rPr>
      </w:pPr>
    </w:p>
    <w:p w:rsidR="00607883" w:rsidRPr="006B2A4D" w:rsidRDefault="00607883" w:rsidP="001C7B61">
      <w:pPr>
        <w:widowControl/>
        <w:ind w:firstLine="709"/>
        <w:rPr>
          <w:rStyle w:val="CommentReference"/>
        </w:rPr>
      </w:pPr>
      <w:r>
        <w:rPr>
          <w:rStyle w:val="CommentReference"/>
        </w:rPr>
        <w:t xml:space="preserve">Table </w:t>
      </w:r>
      <w:r w:rsidR="001A675E">
        <w:rPr>
          <w:rStyle w:val="CommentReference"/>
        </w:rPr>
        <w:t>9</w:t>
      </w:r>
      <w:r w:rsidRPr="006B2A4D">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3"/>
        <w:gridCol w:w="1275"/>
        <w:gridCol w:w="1275"/>
        <w:gridCol w:w="1260"/>
      </w:tblGrid>
      <w:tr w:rsidR="00607883" w:rsidRPr="006B2A4D" w:rsidTr="005A5702">
        <w:trPr>
          <w:tblHeader/>
        </w:trPr>
        <w:tc>
          <w:tcPr>
            <w:tcW w:w="1359" w:type="pct"/>
            <w:shd w:val="clear" w:color="auto" w:fill="auto"/>
            <w:vAlign w:val="center"/>
          </w:tcPr>
          <w:p w:rsidR="00607883" w:rsidRPr="006B2A4D" w:rsidRDefault="00607883" w:rsidP="001C7B61">
            <w:pPr>
              <w:widowControl/>
              <w:tabs>
                <w:tab w:val="left" w:pos="142"/>
              </w:tabs>
              <w:jc w:val="left"/>
              <w:rPr>
                <w:rFonts w:ascii="Arial Narrow" w:hAnsi="Arial Narrow"/>
                <w:b/>
                <w:sz w:val="20"/>
              </w:rPr>
            </w:pPr>
          </w:p>
        </w:tc>
        <w:tc>
          <w:tcPr>
            <w:tcW w:w="679" w:type="pct"/>
            <w:shd w:val="clear" w:color="auto" w:fill="auto"/>
            <w:vAlign w:val="center"/>
          </w:tcPr>
          <w:p w:rsidR="00607883" w:rsidRPr="006B2A4D" w:rsidRDefault="00607883" w:rsidP="001C7B61">
            <w:pPr>
              <w:widowControl/>
              <w:jc w:val="center"/>
              <w:rPr>
                <w:rFonts w:ascii="Arial Narrow" w:hAnsi="Arial Narrow"/>
                <w:b/>
                <w:sz w:val="20"/>
              </w:rPr>
            </w:pPr>
            <w:r w:rsidRPr="006B2A4D">
              <w:rPr>
                <w:rFonts w:ascii="Arial Narrow" w:hAnsi="Arial Narrow"/>
                <w:b/>
                <w:sz w:val="20"/>
              </w:rPr>
              <w:t>Year 1</w:t>
            </w:r>
          </w:p>
        </w:tc>
        <w:tc>
          <w:tcPr>
            <w:tcW w:w="679" w:type="pct"/>
            <w:shd w:val="clear" w:color="auto" w:fill="auto"/>
            <w:vAlign w:val="center"/>
          </w:tcPr>
          <w:p w:rsidR="00607883" w:rsidRPr="006B2A4D" w:rsidRDefault="00607883" w:rsidP="001C7B61">
            <w:pPr>
              <w:widowControl/>
              <w:jc w:val="center"/>
              <w:rPr>
                <w:rFonts w:ascii="Arial Narrow" w:hAnsi="Arial Narrow"/>
                <w:b/>
                <w:sz w:val="20"/>
              </w:rPr>
            </w:pPr>
            <w:r w:rsidRPr="006B2A4D">
              <w:rPr>
                <w:rFonts w:ascii="Arial Narrow" w:hAnsi="Arial Narrow"/>
                <w:b/>
                <w:sz w:val="20"/>
              </w:rPr>
              <w:t>Year 2</w:t>
            </w:r>
          </w:p>
        </w:tc>
        <w:tc>
          <w:tcPr>
            <w:tcW w:w="764" w:type="pct"/>
            <w:shd w:val="clear" w:color="auto" w:fill="auto"/>
            <w:vAlign w:val="center"/>
          </w:tcPr>
          <w:p w:rsidR="00607883" w:rsidRPr="006B2A4D" w:rsidRDefault="00607883" w:rsidP="001C7B61">
            <w:pPr>
              <w:widowControl/>
              <w:jc w:val="center"/>
              <w:rPr>
                <w:rFonts w:ascii="Arial Narrow" w:hAnsi="Arial Narrow"/>
                <w:b/>
                <w:sz w:val="20"/>
              </w:rPr>
            </w:pPr>
            <w:r w:rsidRPr="006B2A4D">
              <w:rPr>
                <w:rFonts w:ascii="Arial Narrow" w:hAnsi="Arial Narrow"/>
                <w:b/>
                <w:sz w:val="20"/>
              </w:rPr>
              <w:t>Year 3</w:t>
            </w:r>
          </w:p>
        </w:tc>
        <w:tc>
          <w:tcPr>
            <w:tcW w:w="764" w:type="pct"/>
            <w:shd w:val="clear" w:color="auto" w:fill="auto"/>
            <w:vAlign w:val="center"/>
          </w:tcPr>
          <w:p w:rsidR="00607883" w:rsidRPr="006B2A4D" w:rsidRDefault="00607883" w:rsidP="001C7B61">
            <w:pPr>
              <w:widowControl/>
              <w:jc w:val="center"/>
              <w:rPr>
                <w:rFonts w:ascii="Arial Narrow" w:hAnsi="Arial Narrow"/>
                <w:b/>
                <w:sz w:val="20"/>
              </w:rPr>
            </w:pPr>
            <w:r w:rsidRPr="006B2A4D">
              <w:rPr>
                <w:rFonts w:ascii="Arial Narrow" w:hAnsi="Arial Narrow"/>
                <w:b/>
                <w:sz w:val="20"/>
              </w:rPr>
              <w:t>Year 4</w:t>
            </w:r>
          </w:p>
        </w:tc>
        <w:tc>
          <w:tcPr>
            <w:tcW w:w="755" w:type="pct"/>
            <w:shd w:val="clear" w:color="auto" w:fill="auto"/>
            <w:vAlign w:val="center"/>
          </w:tcPr>
          <w:p w:rsidR="00607883" w:rsidRPr="006B2A4D" w:rsidRDefault="00607883" w:rsidP="001C7B61">
            <w:pPr>
              <w:widowControl/>
              <w:jc w:val="center"/>
              <w:rPr>
                <w:rFonts w:ascii="Arial Narrow" w:hAnsi="Arial Narrow"/>
                <w:b/>
                <w:sz w:val="20"/>
              </w:rPr>
            </w:pPr>
            <w:r w:rsidRPr="006B2A4D">
              <w:rPr>
                <w:rFonts w:ascii="Arial Narrow" w:hAnsi="Arial Narrow"/>
                <w:b/>
                <w:sz w:val="20"/>
              </w:rPr>
              <w:t>Year 5</w:t>
            </w:r>
          </w:p>
        </w:tc>
      </w:tr>
      <w:tr w:rsidR="00607883" w:rsidRPr="006B2A4D" w:rsidTr="005A5702">
        <w:tc>
          <w:tcPr>
            <w:tcW w:w="1359" w:type="pct"/>
            <w:shd w:val="clear" w:color="auto" w:fill="auto"/>
            <w:vAlign w:val="center"/>
          </w:tcPr>
          <w:p w:rsidR="00607883" w:rsidRPr="006B2A4D" w:rsidRDefault="00607883" w:rsidP="001C7B61">
            <w:pPr>
              <w:widowControl/>
              <w:tabs>
                <w:tab w:val="left" w:pos="142"/>
              </w:tabs>
              <w:jc w:val="left"/>
              <w:rPr>
                <w:rFonts w:ascii="Arial Narrow" w:hAnsi="Arial Narrow"/>
                <w:sz w:val="20"/>
              </w:rPr>
            </w:pPr>
            <w:r>
              <w:rPr>
                <w:rFonts w:ascii="Arial Narrow" w:hAnsi="Arial Narrow"/>
                <w:sz w:val="20"/>
              </w:rPr>
              <w:t>Eligible women</w:t>
            </w:r>
          </w:p>
        </w:tc>
        <w:tc>
          <w:tcPr>
            <w:tcW w:w="679" w:type="pct"/>
            <w:shd w:val="clear" w:color="auto" w:fill="auto"/>
            <w:vAlign w:val="bottom"/>
          </w:tcPr>
          <w:p w:rsidR="00607883" w:rsidRPr="00232F1B" w:rsidRDefault="00232F1B" w:rsidP="001C7B61">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bottom"/>
          </w:tcPr>
          <w:p w:rsidR="00607883" w:rsidRPr="00232F1B" w:rsidRDefault="00232F1B" w:rsidP="001C7B61">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bottom"/>
          </w:tcPr>
          <w:p w:rsidR="00607883" w:rsidRPr="00232F1B" w:rsidRDefault="00232F1B" w:rsidP="001C7B61">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bottom"/>
          </w:tcPr>
          <w:p w:rsidR="00607883" w:rsidRPr="00232F1B" w:rsidRDefault="00232F1B" w:rsidP="001C7B61">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bottom"/>
          </w:tcPr>
          <w:p w:rsidR="00607883" w:rsidRPr="00232F1B" w:rsidRDefault="00232F1B" w:rsidP="001C7B61">
            <w:pPr>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607883" w:rsidRPr="006B2A4D" w:rsidTr="005A5702">
        <w:tc>
          <w:tcPr>
            <w:tcW w:w="1359" w:type="pct"/>
            <w:shd w:val="clear" w:color="auto" w:fill="auto"/>
            <w:vAlign w:val="center"/>
          </w:tcPr>
          <w:p w:rsidR="00607883" w:rsidRPr="006B2A4D" w:rsidRDefault="00F01617" w:rsidP="001C7B61">
            <w:pPr>
              <w:widowControl/>
              <w:tabs>
                <w:tab w:val="left" w:pos="142"/>
              </w:tabs>
              <w:jc w:val="left"/>
              <w:rPr>
                <w:rFonts w:ascii="Arial Narrow" w:hAnsi="Arial Narrow"/>
                <w:sz w:val="20"/>
              </w:rPr>
            </w:pPr>
            <w:r>
              <w:rPr>
                <w:rFonts w:ascii="Arial Narrow" w:hAnsi="Arial Narrow"/>
                <w:sz w:val="20"/>
              </w:rPr>
              <w:t>Vaccinated women (</w:t>
            </w:r>
            <w:r w:rsidR="00607883">
              <w:rPr>
                <w:rFonts w:ascii="Arial Narrow" w:hAnsi="Arial Narrow"/>
                <w:sz w:val="20"/>
              </w:rPr>
              <w:t>70%</w:t>
            </w:r>
            <w:r>
              <w:rPr>
                <w:rFonts w:ascii="Arial Narrow" w:hAnsi="Arial Narrow"/>
                <w:sz w:val="20"/>
              </w:rPr>
              <w:t>)/ number of dTpa doses</w:t>
            </w:r>
          </w:p>
        </w:tc>
        <w:tc>
          <w:tcPr>
            <w:tcW w:w="679" w:type="pct"/>
            <w:shd w:val="clear" w:color="auto" w:fill="auto"/>
            <w:vAlign w:val="bottom"/>
          </w:tcPr>
          <w:p w:rsidR="00607883" w:rsidRPr="00232F1B" w:rsidRDefault="00232F1B" w:rsidP="001C7B61">
            <w:pPr>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vAlign w:val="bottom"/>
          </w:tcPr>
          <w:p w:rsidR="00607883" w:rsidRPr="00232F1B" w:rsidRDefault="00232F1B" w:rsidP="001C7B61">
            <w:pPr>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bottom"/>
          </w:tcPr>
          <w:p w:rsidR="00607883" w:rsidRPr="00232F1B" w:rsidRDefault="00232F1B" w:rsidP="001C7B61">
            <w:pPr>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bottom"/>
          </w:tcPr>
          <w:p w:rsidR="00607883" w:rsidRPr="00232F1B" w:rsidRDefault="00232F1B" w:rsidP="001C7B61">
            <w:pPr>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5" w:type="pct"/>
            <w:shd w:val="clear" w:color="auto" w:fill="auto"/>
            <w:vAlign w:val="bottom"/>
          </w:tcPr>
          <w:p w:rsidR="00607883" w:rsidRPr="00232F1B" w:rsidRDefault="00232F1B" w:rsidP="001C7B61">
            <w:pPr>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607883" w:rsidRPr="006B2A4D" w:rsidTr="005A5702">
        <w:tc>
          <w:tcPr>
            <w:tcW w:w="1359" w:type="pct"/>
            <w:shd w:val="clear" w:color="auto" w:fill="auto"/>
            <w:vAlign w:val="bottom"/>
          </w:tcPr>
          <w:p w:rsidR="00607883" w:rsidRPr="00F01617" w:rsidRDefault="00607883" w:rsidP="001C7B61">
            <w:pPr>
              <w:widowControl/>
              <w:tabs>
                <w:tab w:val="left" w:pos="142"/>
              </w:tabs>
              <w:jc w:val="left"/>
              <w:rPr>
                <w:rFonts w:ascii="Arial Narrow" w:hAnsi="Arial Narrow"/>
                <w:sz w:val="20"/>
              </w:rPr>
            </w:pPr>
            <w:r w:rsidRPr="00F01617">
              <w:rPr>
                <w:rFonts w:ascii="Arial Narrow" w:hAnsi="Arial Narrow"/>
                <w:sz w:val="20"/>
              </w:rPr>
              <w:t xml:space="preserve">Total NIP cost </w:t>
            </w:r>
          </w:p>
          <w:p w:rsidR="00607883" w:rsidRPr="00D33AC3" w:rsidRDefault="00607883" w:rsidP="001C7B61">
            <w:pPr>
              <w:widowControl/>
              <w:tabs>
                <w:tab w:val="left" w:pos="142"/>
              </w:tabs>
              <w:jc w:val="left"/>
              <w:rPr>
                <w:rFonts w:ascii="Arial Narrow" w:hAnsi="Arial Narrow"/>
                <w:sz w:val="19"/>
                <w:szCs w:val="19"/>
              </w:rPr>
            </w:pPr>
            <w:r w:rsidRPr="00F01617">
              <w:rPr>
                <w:rFonts w:ascii="Arial Narrow" w:hAnsi="Arial Narrow"/>
                <w:sz w:val="20"/>
              </w:rPr>
              <w:t>(vaccinated women x $</w:t>
            </w:r>
            <w:r w:rsidR="00232F1B">
              <w:rPr>
                <w:rFonts w:ascii="Arial Narrow" w:hAnsi="Arial Narrow"/>
                <w:noProof/>
                <w:color w:val="000000"/>
                <w:sz w:val="20"/>
                <w:highlight w:val="black"/>
              </w:rPr>
              <w:t>''''''</w:t>
            </w:r>
            <w:r w:rsidRPr="00F01617">
              <w:rPr>
                <w:rFonts w:ascii="Arial Narrow" w:hAnsi="Arial Narrow"/>
                <w:sz w:val="20"/>
              </w:rPr>
              <w:t>)</w:t>
            </w:r>
          </w:p>
        </w:tc>
        <w:tc>
          <w:tcPr>
            <w:tcW w:w="679" w:type="pct"/>
            <w:shd w:val="clear" w:color="auto" w:fill="auto"/>
            <w:vAlign w:val="bottom"/>
          </w:tcPr>
          <w:p w:rsidR="00607883" w:rsidRPr="00F01617" w:rsidRDefault="00607883" w:rsidP="001C7B61">
            <w:pPr>
              <w:widowControl/>
              <w:jc w:val="center"/>
              <w:rPr>
                <w:rFonts w:ascii="Arial Narrow" w:hAnsi="Arial Narrow"/>
                <w:sz w:val="20"/>
              </w:rPr>
            </w:pPr>
            <w:r w:rsidRPr="00F01617">
              <w:rPr>
                <w:rFonts w:ascii="Arial Narrow" w:hAnsi="Arial Narrow"/>
                <w:sz w:val="20"/>
              </w:rPr>
              <w:t>$</w:t>
            </w:r>
            <w:r w:rsidR="00232F1B">
              <w:rPr>
                <w:rFonts w:ascii="Arial Narrow" w:hAnsi="Arial Narrow"/>
                <w:noProof/>
                <w:color w:val="000000"/>
                <w:sz w:val="20"/>
                <w:highlight w:val="black"/>
              </w:rPr>
              <w:t>'''''''''''''''''''''''''</w:t>
            </w:r>
          </w:p>
        </w:tc>
        <w:tc>
          <w:tcPr>
            <w:tcW w:w="679" w:type="pct"/>
            <w:shd w:val="clear" w:color="auto" w:fill="auto"/>
            <w:vAlign w:val="bottom"/>
          </w:tcPr>
          <w:p w:rsidR="00607883" w:rsidRPr="00F01617" w:rsidRDefault="00607883" w:rsidP="001C7B61">
            <w:pPr>
              <w:widowControl/>
              <w:jc w:val="center"/>
              <w:rPr>
                <w:rFonts w:ascii="Arial Narrow" w:hAnsi="Arial Narrow"/>
                <w:sz w:val="20"/>
              </w:rPr>
            </w:pPr>
            <w:r w:rsidRPr="00F01617">
              <w:rPr>
                <w:rFonts w:ascii="Arial Narrow" w:hAnsi="Arial Narrow"/>
                <w:sz w:val="20"/>
              </w:rPr>
              <w:t>$</w:t>
            </w:r>
            <w:r w:rsidR="00232F1B">
              <w:rPr>
                <w:rFonts w:ascii="Arial Narrow" w:hAnsi="Arial Narrow"/>
                <w:noProof/>
                <w:color w:val="000000"/>
                <w:sz w:val="20"/>
                <w:highlight w:val="black"/>
              </w:rPr>
              <w:t>''''''''''''''''''''''</w:t>
            </w:r>
          </w:p>
        </w:tc>
        <w:tc>
          <w:tcPr>
            <w:tcW w:w="764" w:type="pct"/>
            <w:shd w:val="clear" w:color="auto" w:fill="auto"/>
            <w:vAlign w:val="bottom"/>
          </w:tcPr>
          <w:p w:rsidR="00607883" w:rsidRPr="00F01617" w:rsidRDefault="00607883" w:rsidP="001C7B61">
            <w:pPr>
              <w:widowControl/>
              <w:jc w:val="center"/>
              <w:rPr>
                <w:rFonts w:ascii="Arial Narrow" w:hAnsi="Arial Narrow"/>
                <w:sz w:val="20"/>
              </w:rPr>
            </w:pPr>
            <w:r w:rsidRPr="00F01617">
              <w:rPr>
                <w:rFonts w:ascii="Arial Narrow" w:hAnsi="Arial Narrow"/>
                <w:sz w:val="20"/>
              </w:rPr>
              <w:t>$</w:t>
            </w:r>
            <w:r w:rsidR="00232F1B">
              <w:rPr>
                <w:rFonts w:ascii="Arial Narrow" w:hAnsi="Arial Narrow"/>
                <w:noProof/>
                <w:color w:val="000000"/>
                <w:sz w:val="20"/>
                <w:highlight w:val="black"/>
              </w:rPr>
              <w:t>'''''''''''''''''''''''</w:t>
            </w:r>
          </w:p>
        </w:tc>
        <w:tc>
          <w:tcPr>
            <w:tcW w:w="764" w:type="pct"/>
            <w:shd w:val="clear" w:color="auto" w:fill="auto"/>
            <w:vAlign w:val="bottom"/>
          </w:tcPr>
          <w:p w:rsidR="00607883" w:rsidRPr="00F01617" w:rsidRDefault="00607883" w:rsidP="001C7B61">
            <w:pPr>
              <w:widowControl/>
              <w:jc w:val="center"/>
              <w:rPr>
                <w:rFonts w:ascii="Arial Narrow" w:hAnsi="Arial Narrow"/>
                <w:sz w:val="20"/>
              </w:rPr>
            </w:pPr>
            <w:r w:rsidRPr="00F01617">
              <w:rPr>
                <w:rFonts w:ascii="Arial Narrow" w:hAnsi="Arial Narrow"/>
                <w:sz w:val="20"/>
              </w:rPr>
              <w:t>$</w:t>
            </w:r>
            <w:r w:rsidR="00232F1B">
              <w:rPr>
                <w:rFonts w:ascii="Arial Narrow" w:hAnsi="Arial Narrow"/>
                <w:noProof/>
                <w:color w:val="000000"/>
                <w:sz w:val="20"/>
                <w:highlight w:val="black"/>
              </w:rPr>
              <w:t>'''''''''''''''''''''''''</w:t>
            </w:r>
          </w:p>
        </w:tc>
        <w:tc>
          <w:tcPr>
            <w:tcW w:w="755" w:type="pct"/>
            <w:shd w:val="clear" w:color="auto" w:fill="auto"/>
            <w:vAlign w:val="bottom"/>
          </w:tcPr>
          <w:p w:rsidR="00607883" w:rsidRPr="00F01617" w:rsidRDefault="00607883" w:rsidP="001C7B61">
            <w:pPr>
              <w:widowControl/>
              <w:jc w:val="center"/>
              <w:rPr>
                <w:rFonts w:ascii="Arial Narrow" w:hAnsi="Arial Narrow"/>
                <w:sz w:val="20"/>
              </w:rPr>
            </w:pPr>
            <w:r w:rsidRPr="00F01617">
              <w:rPr>
                <w:rFonts w:ascii="Arial Narrow" w:hAnsi="Arial Narrow"/>
                <w:sz w:val="20"/>
              </w:rPr>
              <w:t>$</w:t>
            </w:r>
            <w:r w:rsidR="00232F1B">
              <w:rPr>
                <w:rFonts w:ascii="Arial Narrow" w:hAnsi="Arial Narrow"/>
                <w:noProof/>
                <w:color w:val="000000"/>
                <w:sz w:val="20"/>
                <w:highlight w:val="black"/>
              </w:rPr>
              <w:t>'''''''''''''''''''''''</w:t>
            </w:r>
          </w:p>
        </w:tc>
      </w:tr>
    </w:tbl>
    <w:p w:rsidR="00DD00E5" w:rsidRPr="00DD00E5" w:rsidRDefault="00DD00E5" w:rsidP="001C7B61">
      <w:pPr>
        <w:pStyle w:val="TableFooter"/>
        <w:widowControl/>
        <w:ind w:firstLine="720"/>
      </w:pPr>
      <w:r w:rsidRPr="00DD00E5">
        <w:t>Source: Table E-2, p106, of the submission.</w:t>
      </w:r>
    </w:p>
    <w:p w:rsidR="002858C5" w:rsidRPr="006B2A4D" w:rsidRDefault="002858C5" w:rsidP="002858C5">
      <w:pPr>
        <w:widowControl/>
        <w:ind w:left="720"/>
        <w:rPr>
          <w:szCs w:val="22"/>
        </w:rPr>
      </w:pPr>
    </w:p>
    <w:p w:rsidR="00881D1E" w:rsidRDefault="00881D1E" w:rsidP="001C7B61">
      <w:pPr>
        <w:pStyle w:val="ListParagraph"/>
        <w:widowControl/>
        <w:numPr>
          <w:ilvl w:val="1"/>
          <w:numId w:val="3"/>
        </w:numPr>
      </w:pPr>
      <w:r>
        <w:t xml:space="preserve">At year 5, the estimated number of patients was </w:t>
      </w:r>
      <w:r w:rsidR="002858C5">
        <w:t>over 200,000</w:t>
      </w:r>
      <w:r>
        <w:t xml:space="preserve"> </w:t>
      </w:r>
      <w:r w:rsidR="00F858CE">
        <w:t xml:space="preserve"> and the net cost to the NIP would be</w:t>
      </w:r>
      <w:r w:rsidR="002858C5">
        <w:t xml:space="preserve"> less than</w:t>
      </w:r>
      <w:r w:rsidR="00F858CE">
        <w:t xml:space="preserve"> $</w:t>
      </w:r>
      <w:r w:rsidR="002858C5">
        <w:t>10</w:t>
      </w:r>
      <w:r w:rsidR="00F858CE">
        <w:t xml:space="preserve"> million.</w:t>
      </w:r>
    </w:p>
    <w:p w:rsidR="00881D1E" w:rsidRDefault="00881D1E" w:rsidP="00881D1E">
      <w:pPr>
        <w:pStyle w:val="ListParagraph"/>
        <w:widowControl/>
      </w:pPr>
    </w:p>
    <w:p w:rsidR="00607883" w:rsidRDefault="009F7DD4" w:rsidP="001C7B61">
      <w:pPr>
        <w:pStyle w:val="ListParagraph"/>
        <w:widowControl/>
        <w:numPr>
          <w:ilvl w:val="1"/>
          <w:numId w:val="3"/>
        </w:numPr>
      </w:pPr>
      <w:r w:rsidRPr="00AB6640">
        <w:t xml:space="preserve">The </w:t>
      </w:r>
      <w:r w:rsidR="00DD00E5" w:rsidRPr="00AB6640">
        <w:t xml:space="preserve">ESC noted that the </w:t>
      </w:r>
      <w:r w:rsidRPr="00AB6640">
        <w:t xml:space="preserve">financial estimates </w:t>
      </w:r>
      <w:r w:rsidR="006F69CF" w:rsidRPr="00AB6640">
        <w:t xml:space="preserve">were </w:t>
      </w:r>
      <w:r w:rsidRPr="00AB6640">
        <w:t>sensitive to the assumed uptake. ATAGI estimate</w:t>
      </w:r>
      <w:r w:rsidR="00EB17EB" w:rsidRPr="00AB6640">
        <w:t>d</w:t>
      </w:r>
      <w:r w:rsidRPr="00AB6640">
        <w:t xml:space="preserve"> 70% uptake and the associated cost over 5 years is $</w:t>
      </w:r>
      <w:r w:rsidR="002858C5">
        <w:t>20 - $30</w:t>
      </w:r>
      <w:r w:rsidR="00B96AA4">
        <w:t> </w:t>
      </w:r>
      <w:r w:rsidRPr="00AB6640">
        <w:t>m</w:t>
      </w:r>
      <w:r w:rsidR="00B96AA4">
        <w:t>illion</w:t>
      </w:r>
      <w:r w:rsidRPr="00AB6640">
        <w:t>. Reducing the uptake to 50% reduce</w:t>
      </w:r>
      <w:r w:rsidR="006F69CF" w:rsidRPr="00AB6640">
        <w:t>d</w:t>
      </w:r>
      <w:r w:rsidRPr="00AB6640">
        <w:t xml:space="preserve"> the cost to $</w:t>
      </w:r>
      <w:r w:rsidR="002858C5">
        <w:t>10 - 20</w:t>
      </w:r>
      <w:r w:rsidR="00B96AA4">
        <w:t xml:space="preserve"> </w:t>
      </w:r>
      <w:r w:rsidRPr="00AB6640">
        <w:t>m</w:t>
      </w:r>
      <w:r w:rsidR="00B96AA4">
        <w:t>illion</w:t>
      </w:r>
      <w:r w:rsidRPr="00AB6640">
        <w:t>. Increasing the uptake to 90% increase</w:t>
      </w:r>
      <w:r w:rsidR="006F69CF" w:rsidRPr="00AB6640">
        <w:t>d</w:t>
      </w:r>
      <w:r w:rsidRPr="00AB6640">
        <w:t xml:space="preserve"> the cost to $</w:t>
      </w:r>
      <w:r w:rsidR="002858C5">
        <w:t>30 - 60</w:t>
      </w:r>
      <w:r w:rsidR="00B96AA4">
        <w:t xml:space="preserve"> </w:t>
      </w:r>
      <w:r w:rsidRPr="00AB6640">
        <w:t>m</w:t>
      </w:r>
      <w:r w:rsidR="00B96AA4">
        <w:t>illion</w:t>
      </w:r>
      <w:r w:rsidRPr="00AB6640">
        <w:t>.</w:t>
      </w:r>
    </w:p>
    <w:p w:rsidR="00AB6640" w:rsidRDefault="00AB6640" w:rsidP="001C7B61">
      <w:pPr>
        <w:pStyle w:val="ListParagraph"/>
        <w:widowControl/>
      </w:pPr>
    </w:p>
    <w:p w:rsidR="00AB6640" w:rsidRPr="00AB6640" w:rsidRDefault="00AB6640" w:rsidP="001C7B61">
      <w:pPr>
        <w:pStyle w:val="PBACHeading1"/>
        <w:numPr>
          <w:ilvl w:val="0"/>
          <w:numId w:val="0"/>
        </w:numPr>
        <w:ind w:left="720"/>
        <w:rPr>
          <w:b w:val="0"/>
          <w:i/>
        </w:rPr>
      </w:pPr>
      <w:r w:rsidRPr="002A55D2">
        <w:rPr>
          <w:b w:val="0"/>
          <w:i/>
        </w:rPr>
        <w:t>For more detail on PBAC’s view, see section 7 “PBAC outcome”</w:t>
      </w:r>
    </w:p>
    <w:p w:rsidR="00AB6640" w:rsidRDefault="00AB6640" w:rsidP="001C7B61">
      <w:pPr>
        <w:pStyle w:val="ListParagraph"/>
        <w:widowControl/>
      </w:pPr>
    </w:p>
    <w:p w:rsidR="002665FC" w:rsidRPr="00AB6640" w:rsidRDefault="002665FC" w:rsidP="001C7B61">
      <w:pPr>
        <w:pStyle w:val="ListParagraph"/>
        <w:widowControl/>
      </w:pPr>
    </w:p>
    <w:p w:rsidR="000274B1" w:rsidRPr="001C7B61" w:rsidRDefault="000274B1" w:rsidP="00232F1B">
      <w:pPr>
        <w:pStyle w:val="Heading1"/>
      </w:pPr>
      <w:r w:rsidRPr="001C7B61">
        <w:t>PBAC Outcome</w:t>
      </w:r>
    </w:p>
    <w:p w:rsidR="000274B1" w:rsidRPr="0069654D" w:rsidRDefault="000274B1" w:rsidP="00633726">
      <w:pPr>
        <w:keepNext/>
        <w:widowControl/>
        <w:rPr>
          <w:b/>
          <w:bCs/>
          <w:highlight w:val="yellow"/>
          <w:lang w:val="en-GB"/>
        </w:rPr>
      </w:pPr>
    </w:p>
    <w:p w:rsidR="000274B1" w:rsidRPr="00915AF9" w:rsidRDefault="000274B1" w:rsidP="00915AF9">
      <w:pPr>
        <w:widowControl/>
        <w:numPr>
          <w:ilvl w:val="1"/>
          <w:numId w:val="3"/>
        </w:numPr>
        <w:rPr>
          <w:bCs/>
          <w:lang w:val="en-GB"/>
        </w:rPr>
      </w:pPr>
      <w:r w:rsidRPr="00915AF9">
        <w:rPr>
          <w:bCs/>
          <w:lang w:val="en-GB"/>
        </w:rPr>
        <w:t xml:space="preserve">The PBAC recommended </w:t>
      </w:r>
      <w:r w:rsidR="009A1BCF">
        <w:rPr>
          <w:bCs/>
          <w:lang w:val="en-GB"/>
        </w:rPr>
        <w:t xml:space="preserve">a change to the circumstances under which </w:t>
      </w:r>
      <w:r w:rsidR="001C7B61" w:rsidRPr="00915AF9">
        <w:rPr>
          <w:bCs/>
          <w:lang w:val="en-GB"/>
        </w:rPr>
        <w:t>dTpa</w:t>
      </w:r>
      <w:r w:rsidRPr="00915AF9">
        <w:rPr>
          <w:bCs/>
          <w:lang w:val="en-GB"/>
        </w:rPr>
        <w:t xml:space="preserve"> </w:t>
      </w:r>
      <w:r w:rsidR="009A1BCF">
        <w:rPr>
          <w:bCs/>
          <w:lang w:val="en-GB"/>
        </w:rPr>
        <w:t xml:space="preserve">is made available as a designated vaccine for </w:t>
      </w:r>
      <w:r w:rsidRPr="00915AF9">
        <w:rPr>
          <w:bCs/>
          <w:lang w:val="en-GB"/>
        </w:rPr>
        <w:t xml:space="preserve">the </w:t>
      </w:r>
      <w:r w:rsidR="00915AF9" w:rsidRPr="00915AF9">
        <w:rPr>
          <w:bCs/>
          <w:lang w:val="en-GB"/>
        </w:rPr>
        <w:t>NIP</w:t>
      </w:r>
      <w:r w:rsidR="00915AF9">
        <w:rPr>
          <w:bCs/>
          <w:lang w:val="en-GB"/>
        </w:rPr>
        <w:t xml:space="preserve"> </w:t>
      </w:r>
      <w:r w:rsidR="009A1BCF">
        <w:rPr>
          <w:bCs/>
          <w:lang w:val="en-GB"/>
        </w:rPr>
        <w:t xml:space="preserve">to include </w:t>
      </w:r>
      <w:r w:rsidR="00915AF9">
        <w:rPr>
          <w:bCs/>
          <w:lang w:val="en-GB"/>
        </w:rPr>
        <w:t>vaccination of women during each pregnancy</w:t>
      </w:r>
      <w:r w:rsidR="002665FC">
        <w:rPr>
          <w:bCs/>
          <w:lang w:val="en-GB"/>
        </w:rPr>
        <w:t xml:space="preserve"> to reduce pertussis disease in infants </w:t>
      </w:r>
      <w:r w:rsidR="00DF0461">
        <w:rPr>
          <w:bCs/>
          <w:lang w:val="en-GB"/>
        </w:rPr>
        <w:t>(</w:t>
      </w:r>
      <w:r w:rsidR="002665FC">
        <w:rPr>
          <w:bCs/>
          <w:lang w:val="en-GB"/>
        </w:rPr>
        <w:t>prior to being vaccinated</w:t>
      </w:r>
      <w:r w:rsidR="00DF0461">
        <w:rPr>
          <w:bCs/>
          <w:lang w:val="en-GB"/>
        </w:rPr>
        <w:t>)</w:t>
      </w:r>
      <w:r w:rsidR="002665FC">
        <w:rPr>
          <w:bCs/>
          <w:lang w:val="en-GB"/>
        </w:rPr>
        <w:t xml:space="preserve"> and in mothers on the basis of cost-effectiveness </w:t>
      </w:r>
      <w:r w:rsidR="002C28F9">
        <w:rPr>
          <w:bCs/>
          <w:lang w:val="en-GB"/>
        </w:rPr>
        <w:t xml:space="preserve">compared with </w:t>
      </w:r>
      <w:r w:rsidR="002665FC">
        <w:rPr>
          <w:bCs/>
          <w:lang w:val="en-GB"/>
        </w:rPr>
        <w:t>no vaccination</w:t>
      </w:r>
      <w:r w:rsidRPr="00915AF9">
        <w:rPr>
          <w:bCs/>
          <w:lang w:val="en-GB"/>
        </w:rPr>
        <w:t>.</w:t>
      </w:r>
    </w:p>
    <w:p w:rsidR="002E6483" w:rsidRDefault="002E6483" w:rsidP="002E6483">
      <w:pPr>
        <w:pStyle w:val="ListParagraph"/>
        <w:rPr>
          <w:bCs/>
          <w:lang w:val="en-GB"/>
        </w:rPr>
      </w:pPr>
    </w:p>
    <w:p w:rsidR="00915AF9" w:rsidRPr="00915AF9" w:rsidRDefault="00915AF9" w:rsidP="00915AF9">
      <w:pPr>
        <w:widowControl/>
        <w:numPr>
          <w:ilvl w:val="1"/>
          <w:numId w:val="3"/>
        </w:numPr>
        <w:rPr>
          <w:bCs/>
          <w:lang w:val="en-GB"/>
        </w:rPr>
      </w:pPr>
      <w:r w:rsidRPr="002062AD">
        <w:rPr>
          <w:bCs/>
          <w:lang w:val="en-GB"/>
        </w:rPr>
        <w:t>The</w:t>
      </w:r>
      <w:r w:rsidRPr="00915AF9">
        <w:rPr>
          <w:bCs/>
          <w:lang w:val="en-GB"/>
        </w:rPr>
        <w:t xml:space="preserve"> PBAC noted</w:t>
      </w:r>
      <w:r w:rsidR="002062AD">
        <w:rPr>
          <w:bCs/>
          <w:lang w:val="en-GB"/>
        </w:rPr>
        <w:t xml:space="preserve"> the </w:t>
      </w:r>
      <w:r w:rsidRPr="00915AF9">
        <w:rPr>
          <w:bCs/>
          <w:lang w:val="en-GB"/>
        </w:rPr>
        <w:t xml:space="preserve">optimal timing of vaccination </w:t>
      </w:r>
      <w:r w:rsidR="002062AD">
        <w:rPr>
          <w:bCs/>
          <w:lang w:val="en-GB"/>
        </w:rPr>
        <w:t xml:space="preserve">during </w:t>
      </w:r>
      <w:r w:rsidRPr="00915AF9">
        <w:rPr>
          <w:bCs/>
          <w:lang w:val="en-GB"/>
        </w:rPr>
        <w:t>pregnancy</w:t>
      </w:r>
      <w:r w:rsidR="002062AD">
        <w:rPr>
          <w:bCs/>
          <w:lang w:val="en-GB"/>
        </w:rPr>
        <w:t xml:space="preserve"> is an issue for further consideration in light of an emerging body of evidence supporting second trimester immunisation. Accordingly, the PBAC </w:t>
      </w:r>
      <w:r w:rsidR="00DF0461">
        <w:rPr>
          <w:bCs/>
          <w:lang w:val="en-GB"/>
        </w:rPr>
        <w:t>recommendation is for</w:t>
      </w:r>
      <w:r w:rsidR="00DF0461" w:rsidRPr="00915AF9">
        <w:rPr>
          <w:bCs/>
          <w:lang w:val="en-GB"/>
        </w:rPr>
        <w:t xml:space="preserve"> </w:t>
      </w:r>
      <w:r w:rsidRPr="00915AF9">
        <w:rPr>
          <w:bCs/>
          <w:lang w:val="en-GB"/>
        </w:rPr>
        <w:t>vaccination during each pregnancy</w:t>
      </w:r>
      <w:r w:rsidR="002062AD">
        <w:rPr>
          <w:bCs/>
          <w:lang w:val="en-GB"/>
        </w:rPr>
        <w:t>,</w:t>
      </w:r>
      <w:r w:rsidRPr="00915AF9">
        <w:rPr>
          <w:bCs/>
          <w:lang w:val="en-GB"/>
        </w:rPr>
        <w:t xml:space="preserve"> without the </w:t>
      </w:r>
      <w:r w:rsidR="002062AD">
        <w:rPr>
          <w:bCs/>
          <w:lang w:val="en-GB"/>
        </w:rPr>
        <w:t xml:space="preserve">requested </w:t>
      </w:r>
      <w:r w:rsidRPr="00915AF9">
        <w:rPr>
          <w:bCs/>
          <w:lang w:val="en-GB"/>
        </w:rPr>
        <w:t>restriction to the third trimester.</w:t>
      </w:r>
      <w:r w:rsidR="002062AD">
        <w:rPr>
          <w:bCs/>
          <w:lang w:val="en-GB"/>
        </w:rPr>
        <w:t xml:space="preserve"> The</w:t>
      </w:r>
      <w:r w:rsidRPr="00915AF9">
        <w:rPr>
          <w:bCs/>
          <w:lang w:val="en-GB"/>
        </w:rPr>
        <w:t xml:space="preserve"> PBAC considered the optimal timing </w:t>
      </w:r>
      <w:r w:rsidR="002062AD">
        <w:rPr>
          <w:bCs/>
          <w:lang w:val="en-GB"/>
        </w:rPr>
        <w:t xml:space="preserve">of vaccination during pregnancy </w:t>
      </w:r>
      <w:r w:rsidRPr="00915AF9">
        <w:rPr>
          <w:bCs/>
          <w:lang w:val="en-GB"/>
        </w:rPr>
        <w:t xml:space="preserve">should be </w:t>
      </w:r>
      <w:r w:rsidR="00DF0461">
        <w:rPr>
          <w:bCs/>
          <w:lang w:val="en-GB"/>
        </w:rPr>
        <w:t>based on</w:t>
      </w:r>
      <w:r w:rsidR="00DF0461" w:rsidRPr="00915AF9">
        <w:rPr>
          <w:bCs/>
          <w:lang w:val="en-GB"/>
        </w:rPr>
        <w:t xml:space="preserve"> clinical evidence</w:t>
      </w:r>
      <w:r w:rsidR="00DF0461">
        <w:rPr>
          <w:bCs/>
          <w:lang w:val="en-GB"/>
        </w:rPr>
        <w:t xml:space="preserve"> and informed by</w:t>
      </w:r>
      <w:r w:rsidR="00910795">
        <w:rPr>
          <w:bCs/>
          <w:lang w:val="en-GB"/>
        </w:rPr>
        <w:t xml:space="preserve"> ATAGI</w:t>
      </w:r>
      <w:r w:rsidRPr="00915AF9">
        <w:rPr>
          <w:bCs/>
          <w:lang w:val="en-GB"/>
        </w:rPr>
        <w:t>.</w:t>
      </w:r>
    </w:p>
    <w:p w:rsidR="00915AF9" w:rsidRPr="0069654D" w:rsidRDefault="00915AF9" w:rsidP="00915AF9">
      <w:pPr>
        <w:widowControl/>
        <w:rPr>
          <w:bCs/>
          <w:highlight w:val="yellow"/>
          <w:lang w:val="en-GB"/>
        </w:rPr>
      </w:pPr>
    </w:p>
    <w:p w:rsidR="002E6483" w:rsidRPr="002E6483" w:rsidRDefault="008A2A5F" w:rsidP="001C7B61">
      <w:pPr>
        <w:widowControl/>
        <w:numPr>
          <w:ilvl w:val="1"/>
          <w:numId w:val="3"/>
        </w:numPr>
        <w:rPr>
          <w:bCs/>
          <w:lang w:val="en-GB"/>
        </w:rPr>
      </w:pPr>
      <w:r w:rsidRPr="000529B6">
        <w:t xml:space="preserve">The PBAC </w:t>
      </w:r>
      <w:r>
        <w:t xml:space="preserve">noted that the states and territories </w:t>
      </w:r>
      <w:r w:rsidR="0060526C">
        <w:t>currently fund</w:t>
      </w:r>
      <w:r>
        <w:t xml:space="preserve"> </w:t>
      </w:r>
      <w:r w:rsidR="0060526C">
        <w:t>dTpa vaccination</w:t>
      </w:r>
      <w:r>
        <w:t xml:space="preserve"> during pregnancy</w:t>
      </w:r>
      <w:r w:rsidR="00A37AD7">
        <w:t xml:space="preserve"> </w:t>
      </w:r>
      <w:r w:rsidR="0060526C">
        <w:t xml:space="preserve">in line with the </w:t>
      </w:r>
      <w:r w:rsidR="00A37AD7">
        <w:t xml:space="preserve">Australian Immunisation Handbook </w:t>
      </w:r>
      <w:r w:rsidR="0060526C">
        <w:t xml:space="preserve">recommendation </w:t>
      </w:r>
      <w:r w:rsidR="00A37AD7">
        <w:t>(section 4.12.7)</w:t>
      </w:r>
      <w:r>
        <w:t xml:space="preserve">. </w:t>
      </w:r>
      <w:r w:rsidR="001C651C">
        <w:t xml:space="preserve">ATAGI </w:t>
      </w:r>
      <w:r w:rsidR="00A37AD7">
        <w:t xml:space="preserve">advised </w:t>
      </w:r>
      <w:r w:rsidR="001C651C">
        <w:t xml:space="preserve">that </w:t>
      </w:r>
      <w:r w:rsidR="0060526C">
        <w:t xml:space="preserve">there is a need to adopt a new strategy for protection in early infancy given the </w:t>
      </w:r>
      <w:r w:rsidR="00555552">
        <w:t xml:space="preserve">persistent high notification rates in siblings and other infant contacts </w:t>
      </w:r>
      <w:r w:rsidR="0060526C">
        <w:t xml:space="preserve">which </w:t>
      </w:r>
      <w:r w:rsidR="00555552">
        <w:t>underpin the ongoing risk of exposure</w:t>
      </w:r>
      <w:r w:rsidR="00A37AD7">
        <w:t xml:space="preserve"> to pertussis disease</w:t>
      </w:r>
      <w:r w:rsidR="00555552">
        <w:t xml:space="preserve"> for young infants </w:t>
      </w:r>
      <w:r w:rsidR="00620455">
        <w:t>(pre-submission advice)</w:t>
      </w:r>
      <w:r w:rsidR="00555552">
        <w:t xml:space="preserve">. Accordingly, the PBAC considered that </w:t>
      </w:r>
      <w:r w:rsidR="001C651C">
        <w:t xml:space="preserve">the introduction of dTpa for pregnant women on the NIP is </w:t>
      </w:r>
      <w:r w:rsidR="00D91DB1">
        <w:t xml:space="preserve">warranted </w:t>
      </w:r>
      <w:r w:rsidR="001C651C">
        <w:t xml:space="preserve">from a public health perspective as an additional measure to </w:t>
      </w:r>
      <w:r w:rsidR="0081408C">
        <w:t>directly target the group with the highest burden of disease</w:t>
      </w:r>
      <w:r w:rsidR="00DF0461">
        <w:t xml:space="preserve"> (i.e. infants)</w:t>
      </w:r>
      <w:r w:rsidR="001C651C">
        <w:t xml:space="preserve">. </w:t>
      </w:r>
      <w:r w:rsidR="00EB09C6" w:rsidRPr="00EB09C6">
        <w:t xml:space="preserve">The PBAC noted that the recently introduced pertussis vaccination in infants aged 18 months was also </w:t>
      </w:r>
      <w:r w:rsidR="00E92F8F">
        <w:t>partly</w:t>
      </w:r>
      <w:r w:rsidR="00E92F8F" w:rsidRPr="00EB09C6">
        <w:t xml:space="preserve"> </w:t>
      </w:r>
      <w:r w:rsidR="00EB09C6" w:rsidRPr="00EB09C6">
        <w:t>aimed at preventing disease in vulnerable infants and with the maternal vaccination there would</w:t>
      </w:r>
      <w:r w:rsidR="00E92F8F">
        <w:t>,</w:t>
      </w:r>
      <w:r w:rsidR="00EB09C6" w:rsidRPr="00EB09C6">
        <w:t xml:space="preserve"> </w:t>
      </w:r>
      <w:r w:rsidR="00E92F8F">
        <w:t xml:space="preserve">in effect, </w:t>
      </w:r>
      <w:r w:rsidR="00EB09C6" w:rsidRPr="00EB09C6">
        <w:t xml:space="preserve">be a total of </w:t>
      </w:r>
      <w:r w:rsidR="0077529E">
        <w:t xml:space="preserve">seven </w:t>
      </w:r>
      <w:r w:rsidR="00EB09C6" w:rsidRPr="00EB09C6">
        <w:t>pertussis vaccinations on the NIP.</w:t>
      </w:r>
    </w:p>
    <w:p w:rsidR="000274B1" w:rsidRPr="0069654D" w:rsidRDefault="000274B1" w:rsidP="001C7B61">
      <w:pPr>
        <w:widowControl/>
        <w:rPr>
          <w:bCs/>
          <w:highlight w:val="yellow"/>
          <w:lang w:val="en-GB"/>
        </w:rPr>
      </w:pPr>
    </w:p>
    <w:p w:rsidR="00915AF9" w:rsidRDefault="008A2A5F" w:rsidP="00915AF9">
      <w:pPr>
        <w:pStyle w:val="ListParagraph"/>
        <w:widowControl/>
        <w:numPr>
          <w:ilvl w:val="1"/>
          <w:numId w:val="3"/>
        </w:numPr>
      </w:pPr>
      <w:r>
        <w:t>T</w:t>
      </w:r>
      <w:r w:rsidR="00915AF9">
        <w:t>he PBAC accepted</w:t>
      </w:r>
      <w:r w:rsidR="00915AF9" w:rsidRPr="000529B6">
        <w:t xml:space="preserve"> the comparator</w:t>
      </w:r>
      <w:r w:rsidR="00915AF9">
        <w:t xml:space="preserve"> </w:t>
      </w:r>
      <w:r w:rsidR="00915AF9" w:rsidRPr="000529B6">
        <w:t>nominated</w:t>
      </w:r>
      <w:r w:rsidR="00915AF9">
        <w:t xml:space="preserve"> in the submission of </w:t>
      </w:r>
      <w:r>
        <w:t>‘</w:t>
      </w:r>
      <w:r w:rsidR="00915AF9">
        <w:t>no vaccination</w:t>
      </w:r>
      <w:r>
        <w:t>’</w:t>
      </w:r>
      <w:r w:rsidR="00915AF9" w:rsidRPr="000529B6">
        <w:t>.</w:t>
      </w:r>
    </w:p>
    <w:p w:rsidR="0081408C" w:rsidRDefault="0081408C" w:rsidP="0081408C">
      <w:pPr>
        <w:pStyle w:val="ListParagraph"/>
      </w:pPr>
    </w:p>
    <w:p w:rsidR="0081408C" w:rsidRDefault="0081408C" w:rsidP="00915AF9">
      <w:pPr>
        <w:pStyle w:val="ListParagraph"/>
        <w:widowControl/>
        <w:numPr>
          <w:ilvl w:val="1"/>
          <w:numId w:val="3"/>
        </w:numPr>
      </w:pPr>
      <w:r>
        <w:t xml:space="preserve">The PBAC noted that the consumer comments in support of the vaccine indicated that there is variation in </w:t>
      </w:r>
      <w:r w:rsidR="00EB09C6">
        <w:t xml:space="preserve">information and </w:t>
      </w:r>
      <w:r>
        <w:t>provision</w:t>
      </w:r>
      <w:r w:rsidR="00E41D27">
        <w:t xml:space="preserve"> of the vaccine</w:t>
      </w:r>
      <w:r>
        <w:t xml:space="preserve"> for pregnant women</w:t>
      </w:r>
      <w:r w:rsidR="00EB09C6">
        <w:t xml:space="preserve"> across jurisdictions</w:t>
      </w:r>
      <w:r>
        <w:t xml:space="preserve">. The PBAC considered that the implementation of a national program for dTpa vaccination during pregnancy </w:t>
      </w:r>
      <w:r w:rsidR="00E92F8F">
        <w:t>may</w:t>
      </w:r>
      <w:r w:rsidR="00E41D27">
        <w:t xml:space="preserve"> assist to address</w:t>
      </w:r>
      <w:r w:rsidR="00EB09C6">
        <w:t xml:space="preserve"> these</w:t>
      </w:r>
      <w:r w:rsidR="00E41D27">
        <w:t xml:space="preserve"> concerns</w:t>
      </w:r>
      <w:r>
        <w:t>.</w:t>
      </w:r>
    </w:p>
    <w:p w:rsidR="00730534" w:rsidRDefault="00730534" w:rsidP="00730534">
      <w:pPr>
        <w:pStyle w:val="ListParagraph"/>
      </w:pPr>
    </w:p>
    <w:p w:rsidR="00730534" w:rsidRDefault="00730534" w:rsidP="00915AF9">
      <w:pPr>
        <w:pStyle w:val="ListParagraph"/>
        <w:widowControl/>
        <w:numPr>
          <w:ilvl w:val="1"/>
          <w:numId w:val="3"/>
        </w:numPr>
      </w:pPr>
      <w:r>
        <w:t xml:space="preserve">The PBAC noted the key clinical evidence presented was two population-level observational studies from the UK assessing the effectiveness of a maternal dTpa vaccination program in infants, using two different methods (the screening method and case control). The PBAC considered that the results of these studies likely overestimated the precision of vaccine effectiveness (that is, the confidence intervals are likely to be wider than indicated). However, the PBAC considered </w:t>
      </w:r>
      <w:r w:rsidR="0049028E">
        <w:t xml:space="preserve">that in the absence of formal clinical trial data assessing vaccine efficacy, the observational studies provided </w:t>
      </w:r>
      <w:r w:rsidR="00EB09C6">
        <w:t>acceptable</w:t>
      </w:r>
      <w:r w:rsidR="0049028E">
        <w:t xml:space="preserve"> evidence for the effectiveness of maternal vaccination.</w:t>
      </w:r>
      <w:r w:rsidR="00AE3774" w:rsidRPr="00AE3774">
        <w:rPr>
          <w:szCs w:val="22"/>
        </w:rPr>
        <w:t xml:space="preserve"> </w:t>
      </w:r>
      <w:r w:rsidR="00AE3774" w:rsidRPr="00881D1E">
        <w:rPr>
          <w:szCs w:val="22"/>
        </w:rPr>
        <w:t>The PBAC noted that based on the non-randomised observational data, maternal vaccination is estimated to reduce the number of cases of pertussis in infants aged less than three months by 91%.</w:t>
      </w:r>
    </w:p>
    <w:p w:rsidR="000274B1" w:rsidRPr="00881D1E" w:rsidRDefault="000274B1" w:rsidP="001C7B61">
      <w:pPr>
        <w:widowControl/>
        <w:rPr>
          <w:bCs/>
          <w:lang w:val="en-GB"/>
        </w:rPr>
      </w:pPr>
    </w:p>
    <w:p w:rsidR="002665FC" w:rsidRPr="00881D1E" w:rsidRDefault="00AE3774" w:rsidP="001C7B61">
      <w:pPr>
        <w:widowControl/>
        <w:numPr>
          <w:ilvl w:val="1"/>
          <w:numId w:val="3"/>
        </w:numPr>
        <w:rPr>
          <w:bCs/>
          <w:lang w:val="en-GB"/>
        </w:rPr>
      </w:pPr>
      <w:r>
        <w:rPr>
          <w:szCs w:val="22"/>
        </w:rPr>
        <w:t>The PBAC noted number of pertussis events in the APERT trial, which was used to inform vaccine efficacy in the mother, was low and resulted in a wide confidence interval</w:t>
      </w:r>
      <w:r w:rsidR="008D02D7">
        <w:rPr>
          <w:szCs w:val="22"/>
        </w:rPr>
        <w:t xml:space="preserve"> for the estimated efficacy</w:t>
      </w:r>
      <w:r>
        <w:rPr>
          <w:szCs w:val="22"/>
        </w:rPr>
        <w:t xml:space="preserve">. </w:t>
      </w:r>
      <w:r w:rsidR="002C28F9">
        <w:t xml:space="preserve">The PBAC further noted that the majority of </w:t>
      </w:r>
      <w:r w:rsidR="008D02D7">
        <w:t xml:space="preserve">the modelled </w:t>
      </w:r>
      <w:r w:rsidR="002C28F9">
        <w:t>benefits were due to a</w:t>
      </w:r>
      <w:r>
        <w:t xml:space="preserve"> reduction in the number of non</w:t>
      </w:r>
      <w:r>
        <w:noBreakHyphen/>
      </w:r>
      <w:r w:rsidR="002C28F9">
        <w:t>notified cases of pertussis in the mother.</w:t>
      </w:r>
      <w:r>
        <w:t xml:space="preserve"> The PBAC agreed with </w:t>
      </w:r>
      <w:r w:rsidR="008D02D7">
        <w:t xml:space="preserve">the </w:t>
      </w:r>
      <w:r>
        <w:t>claim of superior comparative effectiveness in terms of prevention of pertussis disease in mothers and considered that the results of the APERT trial were applied conservatively in the model</w:t>
      </w:r>
      <w:r w:rsidR="008D02D7">
        <w:t xml:space="preserve"> with respect to duration of benefit</w:t>
      </w:r>
      <w:r>
        <w:t>.</w:t>
      </w:r>
    </w:p>
    <w:p w:rsidR="002665FC" w:rsidRDefault="002665FC" w:rsidP="002665FC">
      <w:pPr>
        <w:pStyle w:val="ListParagraph"/>
        <w:rPr>
          <w:lang w:val="en-GB"/>
        </w:rPr>
      </w:pPr>
    </w:p>
    <w:p w:rsidR="000274B1" w:rsidRPr="002A55D2" w:rsidRDefault="002C28F9" w:rsidP="001C7B61">
      <w:pPr>
        <w:widowControl/>
        <w:numPr>
          <w:ilvl w:val="1"/>
          <w:numId w:val="3"/>
        </w:numPr>
        <w:rPr>
          <w:bCs/>
          <w:lang w:val="en-GB"/>
        </w:rPr>
      </w:pPr>
      <w:r w:rsidRPr="0015129F">
        <w:t>The PBAC</w:t>
      </w:r>
      <w:r>
        <w:t xml:space="preserve"> agreed with the submission and the E</w:t>
      </w:r>
      <w:r w:rsidR="005710EA">
        <w:t xml:space="preserve">SC that the vaccine </w:t>
      </w:r>
      <w:r>
        <w:t xml:space="preserve">would result in additional localised adverse events at the time of vaccination and was therefore inferior in safety compared with </w:t>
      </w:r>
      <w:r w:rsidR="008D02D7">
        <w:t>no maternal vaccination</w:t>
      </w:r>
      <w:r w:rsidRPr="0015129F">
        <w:t>.</w:t>
      </w:r>
      <w:r>
        <w:t xml:space="preserve"> </w:t>
      </w:r>
      <w:r w:rsidR="002665FC" w:rsidRPr="002665FC">
        <w:rPr>
          <w:lang w:val="en-GB"/>
        </w:rPr>
        <w:t xml:space="preserve">However, the PBAC noted that </w:t>
      </w:r>
      <w:r w:rsidR="002665FC" w:rsidRPr="002665FC">
        <w:t xml:space="preserve">dTpa vaccination during pregnancy </w:t>
      </w:r>
      <w:r w:rsidR="00D91DB1">
        <w:t>has not been</w:t>
      </w:r>
      <w:r w:rsidR="002665FC" w:rsidRPr="002665FC">
        <w:t xml:space="preserve"> associated with an increased risk of maternal or infant events, such as still birth, maternal or neonatal death, preterm delivery, pre-eclampsia, post-partum haemorrhage or low birth weight.</w:t>
      </w:r>
    </w:p>
    <w:p w:rsidR="00B06DBC" w:rsidRPr="00B06DBC" w:rsidRDefault="00B06DBC" w:rsidP="00B06DBC">
      <w:pPr>
        <w:pStyle w:val="ListParagraph"/>
        <w:rPr>
          <w:bCs/>
          <w:lang w:val="en-GB"/>
        </w:rPr>
      </w:pPr>
    </w:p>
    <w:p w:rsidR="00B06DBC" w:rsidRPr="00B06DBC" w:rsidRDefault="00B06DBC" w:rsidP="008A7CFB">
      <w:pPr>
        <w:widowControl/>
        <w:numPr>
          <w:ilvl w:val="1"/>
          <w:numId w:val="3"/>
        </w:numPr>
        <w:rPr>
          <w:bCs/>
          <w:lang w:val="en-GB"/>
        </w:rPr>
      </w:pPr>
      <w:r w:rsidRPr="00B06DBC">
        <w:rPr>
          <w:bCs/>
          <w:lang w:val="en-GB"/>
        </w:rPr>
        <w:t xml:space="preserve">The PBAC </w:t>
      </w:r>
      <w:r w:rsidR="00CD011A">
        <w:rPr>
          <w:bCs/>
          <w:lang w:val="en-GB"/>
        </w:rPr>
        <w:t xml:space="preserve">considered </w:t>
      </w:r>
      <w:r w:rsidR="005710EA">
        <w:rPr>
          <w:bCs/>
          <w:lang w:val="en-GB"/>
        </w:rPr>
        <w:t xml:space="preserve">that </w:t>
      </w:r>
      <w:r w:rsidR="007D588A">
        <w:rPr>
          <w:bCs/>
          <w:lang w:val="en-GB"/>
        </w:rPr>
        <w:t xml:space="preserve">some assumptions included in </w:t>
      </w:r>
      <w:r w:rsidR="005710EA">
        <w:rPr>
          <w:bCs/>
          <w:lang w:val="en-GB"/>
        </w:rPr>
        <w:t xml:space="preserve">the model presented in the submission </w:t>
      </w:r>
      <w:r w:rsidR="007D588A">
        <w:rPr>
          <w:bCs/>
          <w:lang w:val="en-GB"/>
        </w:rPr>
        <w:t>were likely to have</w:t>
      </w:r>
      <w:r w:rsidR="005710EA">
        <w:rPr>
          <w:bCs/>
          <w:lang w:val="en-GB"/>
        </w:rPr>
        <w:t xml:space="preserve"> over</w:t>
      </w:r>
      <w:r w:rsidR="007D588A">
        <w:rPr>
          <w:bCs/>
          <w:lang w:val="en-GB"/>
        </w:rPr>
        <w:t xml:space="preserve">estimated </w:t>
      </w:r>
      <w:r w:rsidR="005710EA">
        <w:rPr>
          <w:bCs/>
          <w:lang w:val="en-GB"/>
        </w:rPr>
        <w:t>the cost</w:t>
      </w:r>
      <w:r w:rsidR="00EB5781">
        <w:rPr>
          <w:bCs/>
          <w:lang w:val="en-GB"/>
        </w:rPr>
        <w:t>-</w:t>
      </w:r>
      <w:r w:rsidR="005710EA">
        <w:rPr>
          <w:bCs/>
          <w:lang w:val="en-GB"/>
        </w:rPr>
        <w:t>effectiveness</w:t>
      </w:r>
      <w:r w:rsidR="008A7CFB">
        <w:rPr>
          <w:bCs/>
          <w:lang w:val="en-GB"/>
        </w:rPr>
        <w:t xml:space="preserve"> of maternal dTpa vaccination</w:t>
      </w:r>
      <w:r w:rsidR="007D588A">
        <w:rPr>
          <w:bCs/>
          <w:lang w:val="en-GB"/>
        </w:rPr>
        <w:t xml:space="preserve"> whereas others may have underestimated the cost-effectiveness</w:t>
      </w:r>
      <w:r w:rsidR="008A7CFB">
        <w:rPr>
          <w:bCs/>
          <w:lang w:val="en-GB"/>
        </w:rPr>
        <w:t>. However, o</w:t>
      </w:r>
      <w:r w:rsidR="005710EA">
        <w:rPr>
          <w:bCs/>
          <w:lang w:val="en-GB"/>
        </w:rPr>
        <w:t>n balance</w:t>
      </w:r>
      <w:r w:rsidR="008A7CFB">
        <w:rPr>
          <w:bCs/>
          <w:lang w:val="en-GB"/>
        </w:rPr>
        <w:t xml:space="preserve"> and in the context of the public health imperative</w:t>
      </w:r>
      <w:r w:rsidR="005710EA">
        <w:rPr>
          <w:bCs/>
          <w:lang w:val="en-GB"/>
        </w:rPr>
        <w:t xml:space="preserve">, the PBAC accepted the </w:t>
      </w:r>
      <w:r w:rsidR="005B1DEC">
        <w:rPr>
          <w:bCs/>
          <w:lang w:val="en-GB"/>
        </w:rPr>
        <w:t xml:space="preserve">ICER presented in the </w:t>
      </w:r>
      <w:r w:rsidR="005710EA">
        <w:rPr>
          <w:bCs/>
          <w:lang w:val="en-GB"/>
        </w:rPr>
        <w:t xml:space="preserve">pre-PBAC </w:t>
      </w:r>
      <w:r w:rsidR="00EB5781">
        <w:rPr>
          <w:bCs/>
          <w:lang w:val="en-GB"/>
        </w:rPr>
        <w:t>response</w:t>
      </w:r>
      <w:r w:rsidRPr="00B06DBC">
        <w:rPr>
          <w:bCs/>
          <w:lang w:val="en-GB"/>
        </w:rPr>
        <w:t>.</w:t>
      </w:r>
      <w:r w:rsidR="008A7CFB">
        <w:rPr>
          <w:bCs/>
          <w:lang w:val="en-GB"/>
        </w:rPr>
        <w:t xml:space="preserve"> T</w:t>
      </w:r>
      <w:r w:rsidR="00694EB8">
        <w:rPr>
          <w:bCs/>
          <w:lang w:val="en-GB"/>
        </w:rPr>
        <w:t xml:space="preserve">he PBAC considered that it would be </w:t>
      </w:r>
      <w:r w:rsidR="002F5D06">
        <w:rPr>
          <w:bCs/>
          <w:lang w:val="en-GB"/>
        </w:rPr>
        <w:t xml:space="preserve">valuable </w:t>
      </w:r>
      <w:r w:rsidR="00694EB8">
        <w:rPr>
          <w:bCs/>
          <w:lang w:val="en-GB"/>
        </w:rPr>
        <w:t xml:space="preserve">to examine the </w:t>
      </w:r>
      <w:r w:rsidR="008F7E15">
        <w:rPr>
          <w:bCs/>
          <w:lang w:val="en-GB"/>
        </w:rPr>
        <w:t xml:space="preserve">pertussis vaccination schedule </w:t>
      </w:r>
      <w:r w:rsidR="002F5D06">
        <w:rPr>
          <w:bCs/>
          <w:lang w:val="en-GB"/>
        </w:rPr>
        <w:t>in its entirety</w:t>
      </w:r>
      <w:r w:rsidR="008F7E15">
        <w:rPr>
          <w:bCs/>
          <w:lang w:val="en-GB"/>
        </w:rPr>
        <w:t xml:space="preserve"> rather than limit the assessment to </w:t>
      </w:r>
      <w:r w:rsidR="00694EB8">
        <w:rPr>
          <w:bCs/>
          <w:lang w:val="en-GB"/>
        </w:rPr>
        <w:t>cost</w:t>
      </w:r>
      <w:r w:rsidR="00EB5781">
        <w:rPr>
          <w:bCs/>
          <w:lang w:val="en-GB"/>
        </w:rPr>
        <w:t>-</w:t>
      </w:r>
      <w:r w:rsidR="00694EB8">
        <w:rPr>
          <w:bCs/>
          <w:lang w:val="en-GB"/>
        </w:rPr>
        <w:t xml:space="preserve">effectiveness of </w:t>
      </w:r>
      <w:r w:rsidR="007D588A">
        <w:rPr>
          <w:bCs/>
          <w:lang w:val="en-GB"/>
        </w:rPr>
        <w:t>each</w:t>
      </w:r>
      <w:r w:rsidR="005B1DEC">
        <w:rPr>
          <w:bCs/>
          <w:lang w:val="en-GB"/>
        </w:rPr>
        <w:t xml:space="preserve"> individual vaccination</w:t>
      </w:r>
      <w:r w:rsidR="00694EB8">
        <w:rPr>
          <w:bCs/>
          <w:lang w:val="en-GB"/>
        </w:rPr>
        <w:t>.</w:t>
      </w:r>
      <w:r w:rsidR="008A7CFB">
        <w:rPr>
          <w:bCs/>
          <w:lang w:val="en-GB"/>
        </w:rPr>
        <w:t xml:space="preserve"> In this regard, the PBAC </w:t>
      </w:r>
      <w:r w:rsidR="008774AB">
        <w:rPr>
          <w:bCs/>
          <w:lang w:val="en-GB"/>
        </w:rPr>
        <w:t>noted</w:t>
      </w:r>
      <w:r w:rsidR="008A7CFB">
        <w:rPr>
          <w:bCs/>
          <w:lang w:val="en-GB"/>
        </w:rPr>
        <w:t xml:space="preserve"> that</w:t>
      </w:r>
      <w:r w:rsidR="00694EB8">
        <w:rPr>
          <w:bCs/>
          <w:lang w:val="en-GB"/>
        </w:rPr>
        <w:t xml:space="preserve"> one of the primary aims of pertussis containing vaccines on the NIP is to prevent disease in vulnerable infants</w:t>
      </w:r>
      <w:r w:rsidR="008A7CFB">
        <w:rPr>
          <w:bCs/>
          <w:lang w:val="en-GB"/>
        </w:rPr>
        <w:t xml:space="preserve">. Given that </w:t>
      </w:r>
      <w:r>
        <w:rPr>
          <w:bCs/>
          <w:lang w:val="en-GB"/>
        </w:rPr>
        <w:t xml:space="preserve">maternal </w:t>
      </w:r>
      <w:r w:rsidRPr="00B06DBC">
        <w:rPr>
          <w:bCs/>
          <w:lang w:val="en-GB"/>
        </w:rPr>
        <w:t>vaccination provides direct protection to infant</w:t>
      </w:r>
      <w:r>
        <w:rPr>
          <w:bCs/>
          <w:lang w:val="en-GB"/>
        </w:rPr>
        <w:t>s</w:t>
      </w:r>
      <w:r w:rsidRPr="00B06DBC">
        <w:rPr>
          <w:bCs/>
          <w:lang w:val="en-GB"/>
        </w:rPr>
        <w:t xml:space="preserve"> in the first few months of life</w:t>
      </w:r>
      <w:r>
        <w:rPr>
          <w:bCs/>
          <w:lang w:val="en-GB"/>
        </w:rPr>
        <w:t>,</w:t>
      </w:r>
      <w:r w:rsidR="00694EB8">
        <w:rPr>
          <w:bCs/>
          <w:lang w:val="en-GB"/>
        </w:rPr>
        <w:t xml:space="preserve"> </w:t>
      </w:r>
      <w:r>
        <w:rPr>
          <w:bCs/>
          <w:lang w:val="en-GB"/>
        </w:rPr>
        <w:t>t</w:t>
      </w:r>
      <w:r w:rsidRPr="00B06DBC">
        <w:rPr>
          <w:bCs/>
          <w:lang w:val="en-GB"/>
        </w:rPr>
        <w:t>he PBAC</w:t>
      </w:r>
      <w:r w:rsidR="008A7CFB">
        <w:rPr>
          <w:bCs/>
          <w:lang w:val="en-GB"/>
        </w:rPr>
        <w:t xml:space="preserve"> considered that </w:t>
      </w:r>
      <w:r w:rsidR="00C16A0E">
        <w:rPr>
          <w:bCs/>
          <w:lang w:val="en-GB"/>
        </w:rPr>
        <w:t xml:space="preserve">targeted </w:t>
      </w:r>
      <w:r w:rsidR="008A7CFB" w:rsidRPr="008A7CFB">
        <w:rPr>
          <w:bCs/>
          <w:lang w:val="en-GB"/>
        </w:rPr>
        <w:t>dTpa vaccination of pregnant women was likely to be reasonably cost-effective</w:t>
      </w:r>
      <w:r w:rsidR="008A7CFB">
        <w:rPr>
          <w:bCs/>
          <w:lang w:val="en-GB"/>
        </w:rPr>
        <w:t>.</w:t>
      </w:r>
      <w:r w:rsidRPr="00B06DBC">
        <w:rPr>
          <w:bCs/>
          <w:lang w:val="en-GB"/>
        </w:rPr>
        <w:t xml:space="preserve"> </w:t>
      </w:r>
      <w:r w:rsidR="008A7CFB">
        <w:rPr>
          <w:bCs/>
          <w:lang w:val="en-GB"/>
        </w:rPr>
        <w:t xml:space="preserve">However, the PBAC </w:t>
      </w:r>
      <w:r w:rsidR="00D44F2F">
        <w:rPr>
          <w:bCs/>
          <w:lang w:val="en-GB"/>
        </w:rPr>
        <w:t xml:space="preserve">requested advice from ATAGI on the clinical place and effectiveness of </w:t>
      </w:r>
      <w:r w:rsidRPr="00B06DBC">
        <w:rPr>
          <w:bCs/>
          <w:lang w:val="en-GB"/>
        </w:rPr>
        <w:t xml:space="preserve">the </w:t>
      </w:r>
      <w:r w:rsidR="005710EA">
        <w:rPr>
          <w:bCs/>
          <w:lang w:val="en-GB"/>
        </w:rPr>
        <w:t>vaccines</w:t>
      </w:r>
      <w:r w:rsidR="00E51F4E">
        <w:rPr>
          <w:bCs/>
          <w:lang w:val="en-GB"/>
        </w:rPr>
        <w:t xml:space="preserve"> currently</w:t>
      </w:r>
      <w:r w:rsidR="005710EA">
        <w:rPr>
          <w:bCs/>
          <w:lang w:val="en-GB"/>
        </w:rPr>
        <w:t xml:space="preserve"> listed on the NIP </w:t>
      </w:r>
      <w:r w:rsidRPr="00B06DBC">
        <w:rPr>
          <w:bCs/>
          <w:lang w:val="en-GB"/>
        </w:rPr>
        <w:t xml:space="preserve">schedule </w:t>
      </w:r>
      <w:r w:rsidR="005710EA">
        <w:rPr>
          <w:bCs/>
          <w:lang w:val="en-GB"/>
        </w:rPr>
        <w:t>aimed at preventing pertussis disease</w:t>
      </w:r>
      <w:r w:rsidR="008A7CFB">
        <w:rPr>
          <w:bCs/>
          <w:lang w:val="en-GB"/>
        </w:rPr>
        <w:t>, particularly in light of the inclusion of dTpa vaccination of pregnant women</w:t>
      </w:r>
      <w:r w:rsidR="00C16A0E">
        <w:rPr>
          <w:bCs/>
          <w:lang w:val="en-GB"/>
        </w:rPr>
        <w:t xml:space="preserve"> and the recent inclusion of an 18 month dose</w:t>
      </w:r>
      <w:r w:rsidR="00D44F2F">
        <w:rPr>
          <w:bCs/>
          <w:lang w:val="en-GB"/>
        </w:rPr>
        <w:t xml:space="preserve">, with a view to potentially informing a review of the cost effectiveness of these vaccines. </w:t>
      </w:r>
    </w:p>
    <w:p w:rsidR="000274B1" w:rsidRPr="002A55D2" w:rsidRDefault="000274B1" w:rsidP="001C7B61">
      <w:pPr>
        <w:widowControl/>
        <w:rPr>
          <w:bCs/>
          <w:lang w:val="en-GB"/>
        </w:rPr>
      </w:pPr>
    </w:p>
    <w:p w:rsidR="000274B1" w:rsidRPr="005710EA" w:rsidRDefault="005710EA" w:rsidP="005710EA">
      <w:pPr>
        <w:widowControl/>
        <w:numPr>
          <w:ilvl w:val="1"/>
          <w:numId w:val="3"/>
        </w:numPr>
        <w:rPr>
          <w:bCs/>
          <w:lang w:val="en-GB"/>
        </w:rPr>
      </w:pPr>
      <w:r w:rsidRPr="005710EA">
        <w:rPr>
          <w:bCs/>
          <w:lang w:val="en-GB"/>
        </w:rPr>
        <w:t xml:space="preserve">The PBAC </w:t>
      </w:r>
      <w:r w:rsidR="00CD011A">
        <w:rPr>
          <w:bCs/>
          <w:lang w:val="en-GB"/>
        </w:rPr>
        <w:t xml:space="preserve">noted </w:t>
      </w:r>
      <w:r w:rsidRPr="005710EA">
        <w:rPr>
          <w:bCs/>
          <w:lang w:val="en-GB"/>
        </w:rPr>
        <w:t>that estimates of utilisation and cost to the Government were subject to uncertainty about uptake rates of the vaccine</w:t>
      </w:r>
      <w:r w:rsidR="00CD011A">
        <w:rPr>
          <w:bCs/>
          <w:lang w:val="en-GB"/>
        </w:rPr>
        <w:t xml:space="preserve"> but accepted the submission estimates which based on an uptake rate of 70%</w:t>
      </w:r>
      <w:r>
        <w:rPr>
          <w:bCs/>
          <w:lang w:val="en-GB"/>
        </w:rPr>
        <w:t>.</w:t>
      </w:r>
    </w:p>
    <w:p w:rsidR="005710EA" w:rsidRPr="0069654D" w:rsidRDefault="005710EA" w:rsidP="001C7B61">
      <w:pPr>
        <w:widowControl/>
        <w:rPr>
          <w:bCs/>
          <w:highlight w:val="yellow"/>
          <w:lang w:val="en-GB"/>
        </w:rPr>
      </w:pPr>
    </w:p>
    <w:p w:rsidR="000274B1" w:rsidRPr="001C7B61" w:rsidRDefault="000274B1" w:rsidP="001C7B61">
      <w:pPr>
        <w:widowControl/>
        <w:numPr>
          <w:ilvl w:val="1"/>
          <w:numId w:val="3"/>
        </w:numPr>
        <w:rPr>
          <w:bCs/>
          <w:lang w:val="en-GB"/>
        </w:rPr>
      </w:pPr>
      <w:r w:rsidRPr="001C7B61">
        <w:rPr>
          <w:bCs/>
          <w:lang w:val="en-GB"/>
        </w:rPr>
        <w:t>The PBAC noted that this submission is not eligible for an Independent Review</w:t>
      </w:r>
      <w:r w:rsidR="001C7B61" w:rsidRPr="001C7B61">
        <w:rPr>
          <w:bCs/>
          <w:lang w:val="en-GB"/>
        </w:rPr>
        <w:t xml:space="preserve"> </w:t>
      </w:r>
      <w:r w:rsidR="00935549">
        <w:rPr>
          <w:bCs/>
          <w:lang w:val="en-GB"/>
        </w:rPr>
        <w:t>as</w:t>
      </w:r>
      <w:r w:rsidR="001C7B61" w:rsidRPr="001C7B61">
        <w:rPr>
          <w:bCs/>
          <w:lang w:val="en-GB"/>
        </w:rPr>
        <w:t xml:space="preserve"> the PBAC </w:t>
      </w:r>
      <w:r w:rsidR="00935549">
        <w:rPr>
          <w:bCs/>
          <w:lang w:val="en-GB"/>
        </w:rPr>
        <w:t xml:space="preserve">has made </w:t>
      </w:r>
      <w:r w:rsidR="001C7B61" w:rsidRPr="001C7B61">
        <w:rPr>
          <w:bCs/>
          <w:lang w:val="en-GB"/>
        </w:rPr>
        <w:t>a positive recommendation</w:t>
      </w:r>
      <w:r w:rsidRPr="001C7B61">
        <w:rPr>
          <w:bCs/>
          <w:lang w:val="en-GB"/>
        </w:rPr>
        <w:t>.</w:t>
      </w:r>
    </w:p>
    <w:p w:rsidR="000274B1" w:rsidRPr="0069654D" w:rsidRDefault="000274B1" w:rsidP="001C7B61">
      <w:pPr>
        <w:widowControl/>
        <w:rPr>
          <w:b/>
          <w:bCs/>
          <w:highlight w:val="yellow"/>
          <w:lang w:val="en-GB"/>
        </w:rPr>
      </w:pPr>
    </w:p>
    <w:p w:rsidR="000274B1" w:rsidRPr="001C7B61" w:rsidRDefault="000274B1" w:rsidP="001C7B61">
      <w:pPr>
        <w:widowControl/>
        <w:rPr>
          <w:b/>
          <w:bCs/>
          <w:lang w:val="en-GB"/>
        </w:rPr>
      </w:pPr>
    </w:p>
    <w:p w:rsidR="000274B1" w:rsidRPr="001C7B61" w:rsidRDefault="000274B1" w:rsidP="00CF5D66">
      <w:pPr>
        <w:keepNext/>
        <w:widowControl/>
        <w:rPr>
          <w:b/>
          <w:bCs/>
          <w:lang w:val="en-GB"/>
        </w:rPr>
      </w:pPr>
      <w:r w:rsidRPr="001C7B61">
        <w:rPr>
          <w:b/>
          <w:bCs/>
          <w:lang w:val="en-GB"/>
        </w:rPr>
        <w:t>Outcome:</w:t>
      </w:r>
    </w:p>
    <w:p w:rsidR="000274B1" w:rsidRPr="001C7B61" w:rsidRDefault="000274B1" w:rsidP="001C7B61">
      <w:pPr>
        <w:widowControl/>
        <w:rPr>
          <w:bCs/>
          <w:lang w:val="en-GB"/>
        </w:rPr>
      </w:pPr>
      <w:r w:rsidRPr="001C7B61">
        <w:rPr>
          <w:bCs/>
          <w:lang w:val="en-GB"/>
        </w:rPr>
        <w:t>Recommended</w:t>
      </w:r>
    </w:p>
    <w:p w:rsidR="008774AB" w:rsidRDefault="008774AB" w:rsidP="001C7B61">
      <w:pPr>
        <w:widowControl/>
        <w:rPr>
          <w:bCs/>
        </w:rPr>
      </w:pPr>
    </w:p>
    <w:p w:rsidR="00D5790F" w:rsidRPr="001C7B61" w:rsidRDefault="00D5790F" w:rsidP="001C7B61">
      <w:pPr>
        <w:widowControl/>
        <w:rPr>
          <w:bCs/>
        </w:rPr>
      </w:pPr>
    </w:p>
    <w:p w:rsidR="000274B1" w:rsidRPr="001C7B61" w:rsidRDefault="000274B1" w:rsidP="00232F1B">
      <w:pPr>
        <w:pStyle w:val="Heading1"/>
        <w:rPr>
          <w:i/>
          <w:lang w:val="en-GB"/>
        </w:rPr>
      </w:pPr>
      <w:r w:rsidRPr="001C7B61">
        <w:rPr>
          <w:lang w:val="en-GB"/>
        </w:rPr>
        <w:t>Recommended listing</w:t>
      </w:r>
    </w:p>
    <w:p w:rsidR="000274B1" w:rsidRPr="001C7B61" w:rsidRDefault="000274B1" w:rsidP="00001F1B">
      <w:pPr>
        <w:keepNext/>
        <w:widowControl/>
        <w:rPr>
          <w:b/>
          <w:bCs/>
          <w:i/>
          <w:lang w:val="en-GB"/>
        </w:rPr>
      </w:pPr>
    </w:p>
    <w:p w:rsidR="000274B1" w:rsidRPr="001C7B61" w:rsidRDefault="000274B1" w:rsidP="00001F1B">
      <w:pPr>
        <w:keepNext/>
        <w:widowControl/>
        <w:numPr>
          <w:ilvl w:val="1"/>
          <w:numId w:val="3"/>
        </w:numPr>
        <w:rPr>
          <w:bCs/>
        </w:rPr>
      </w:pPr>
      <w:r w:rsidRPr="001C7B61">
        <w:rPr>
          <w:bCs/>
        </w:rPr>
        <w:t>A</w:t>
      </w:r>
      <w:r w:rsidR="00935549">
        <w:rPr>
          <w:bCs/>
        </w:rPr>
        <w:t>dd new indication</w:t>
      </w:r>
      <w:r w:rsidRPr="001C7B61">
        <w:rPr>
          <w:bCs/>
        </w:rPr>
        <w:t xml:space="preserve"> as follows:</w:t>
      </w:r>
    </w:p>
    <w:p w:rsidR="001C7B61" w:rsidRPr="001C7B61" w:rsidRDefault="001C7B61" w:rsidP="00001F1B">
      <w:pPr>
        <w:keepNext/>
        <w:widowControl/>
        <w:ind w:left="720"/>
        <w:rPr>
          <w:bCs/>
        </w:rPr>
      </w:pPr>
    </w:p>
    <w:tbl>
      <w:tblPr>
        <w:tblW w:w="4604" w:type="pct"/>
        <w:tblInd w:w="737" w:type="dxa"/>
        <w:tblCellMar>
          <w:left w:w="28" w:type="dxa"/>
          <w:right w:w="28" w:type="dxa"/>
        </w:tblCellMar>
        <w:tblLook w:val="0000" w:firstRow="0" w:lastRow="0" w:firstColumn="0" w:lastColumn="0" w:noHBand="0" w:noVBand="0"/>
      </w:tblPr>
      <w:tblGrid>
        <w:gridCol w:w="3094"/>
        <w:gridCol w:w="686"/>
        <w:gridCol w:w="828"/>
        <w:gridCol w:w="918"/>
        <w:gridCol w:w="1358"/>
        <w:gridCol w:w="1479"/>
      </w:tblGrid>
      <w:tr w:rsidR="001C7B61" w:rsidRPr="00203B12" w:rsidTr="001C7B61">
        <w:trPr>
          <w:cantSplit/>
          <w:trHeight w:val="463"/>
        </w:trPr>
        <w:tc>
          <w:tcPr>
            <w:tcW w:w="1850" w:type="pct"/>
            <w:tcBorders>
              <w:bottom w:val="single" w:sz="4" w:space="0" w:color="auto"/>
            </w:tcBorders>
            <w:vAlign w:val="center"/>
          </w:tcPr>
          <w:p w:rsidR="001C7B61" w:rsidRPr="00203B12" w:rsidRDefault="001C7B61" w:rsidP="001C7B61">
            <w:pPr>
              <w:keepNext/>
              <w:widowControl/>
              <w:jc w:val="left"/>
              <w:rPr>
                <w:rFonts w:ascii="Arial Narrow" w:hAnsi="Arial Narrow"/>
                <w:sz w:val="20"/>
              </w:rPr>
            </w:pPr>
            <w:r w:rsidRPr="00203B12">
              <w:rPr>
                <w:rFonts w:ascii="Arial Narrow" w:hAnsi="Arial Narrow"/>
                <w:sz w:val="20"/>
              </w:rPr>
              <w:t>Name, Restriction,</w:t>
            </w:r>
          </w:p>
          <w:p w:rsidR="001C7B61" w:rsidRPr="00203B12" w:rsidRDefault="001C7B61" w:rsidP="001C7B61">
            <w:pPr>
              <w:keepNext/>
              <w:widowControl/>
              <w:jc w:val="left"/>
              <w:rPr>
                <w:rFonts w:ascii="Arial Narrow" w:hAnsi="Arial Narrow"/>
                <w:sz w:val="20"/>
              </w:rPr>
            </w:pPr>
            <w:r w:rsidRPr="00203B12">
              <w:rPr>
                <w:rFonts w:ascii="Arial Narrow" w:hAnsi="Arial Narrow"/>
                <w:sz w:val="20"/>
              </w:rPr>
              <w:t>Manner of administration and form</w:t>
            </w:r>
          </w:p>
        </w:tc>
        <w:tc>
          <w:tcPr>
            <w:tcW w:w="410" w:type="pct"/>
            <w:tcBorders>
              <w:bottom w:val="single" w:sz="4" w:space="0" w:color="auto"/>
            </w:tcBorders>
            <w:vAlign w:val="center"/>
          </w:tcPr>
          <w:p w:rsidR="001C7B61" w:rsidRPr="00203B12" w:rsidRDefault="001C7B61" w:rsidP="001C7B61">
            <w:pPr>
              <w:keepNext/>
              <w:widowControl/>
              <w:jc w:val="center"/>
              <w:rPr>
                <w:rFonts w:ascii="Arial Narrow" w:hAnsi="Arial Narrow"/>
                <w:sz w:val="20"/>
              </w:rPr>
            </w:pPr>
            <w:r w:rsidRPr="00203B12">
              <w:rPr>
                <w:rFonts w:ascii="Arial Narrow" w:hAnsi="Arial Narrow"/>
                <w:sz w:val="20"/>
              </w:rPr>
              <w:t>Max.</w:t>
            </w:r>
          </w:p>
          <w:p w:rsidR="001C7B61" w:rsidRPr="00203B12" w:rsidRDefault="001C7B61" w:rsidP="001C7B61">
            <w:pPr>
              <w:keepNext/>
              <w:widowControl/>
              <w:jc w:val="center"/>
              <w:rPr>
                <w:rFonts w:ascii="Arial Narrow" w:hAnsi="Arial Narrow"/>
                <w:sz w:val="20"/>
              </w:rPr>
            </w:pPr>
            <w:r w:rsidRPr="00203B12">
              <w:rPr>
                <w:rFonts w:ascii="Arial Narrow" w:hAnsi="Arial Narrow"/>
                <w:sz w:val="20"/>
              </w:rPr>
              <w:t>Qty</w:t>
            </w:r>
          </w:p>
        </w:tc>
        <w:tc>
          <w:tcPr>
            <w:tcW w:w="495" w:type="pct"/>
            <w:tcBorders>
              <w:bottom w:val="single" w:sz="4" w:space="0" w:color="auto"/>
            </w:tcBorders>
            <w:vAlign w:val="center"/>
          </w:tcPr>
          <w:p w:rsidR="001C7B61" w:rsidRPr="00203B12" w:rsidRDefault="001C7B61" w:rsidP="001C7B61">
            <w:pPr>
              <w:keepNext/>
              <w:widowControl/>
              <w:jc w:val="center"/>
              <w:rPr>
                <w:rFonts w:ascii="Arial Narrow" w:hAnsi="Arial Narrow"/>
                <w:sz w:val="20"/>
              </w:rPr>
            </w:pPr>
            <w:r w:rsidRPr="00203B12">
              <w:rPr>
                <w:rFonts w:ascii="Arial Narrow" w:hAnsi="Arial Narrow"/>
                <w:sz w:val="20"/>
              </w:rPr>
              <w:t>№.of</w:t>
            </w:r>
          </w:p>
          <w:p w:rsidR="001C7B61" w:rsidRPr="00203B12" w:rsidRDefault="001C7B61" w:rsidP="001C7B61">
            <w:pPr>
              <w:keepNext/>
              <w:widowControl/>
              <w:jc w:val="center"/>
              <w:rPr>
                <w:rFonts w:ascii="Arial Narrow" w:hAnsi="Arial Narrow"/>
                <w:sz w:val="20"/>
              </w:rPr>
            </w:pPr>
            <w:r w:rsidRPr="00203B12">
              <w:rPr>
                <w:rFonts w:ascii="Arial Narrow" w:hAnsi="Arial Narrow"/>
                <w:sz w:val="20"/>
              </w:rPr>
              <w:t>Rpts</w:t>
            </w:r>
          </w:p>
        </w:tc>
        <w:tc>
          <w:tcPr>
            <w:tcW w:w="549" w:type="pct"/>
            <w:tcBorders>
              <w:bottom w:val="single" w:sz="4" w:space="0" w:color="auto"/>
            </w:tcBorders>
            <w:vAlign w:val="center"/>
          </w:tcPr>
          <w:p w:rsidR="001C7B61" w:rsidRPr="00203B12" w:rsidRDefault="001C7B61" w:rsidP="001C7B61">
            <w:pPr>
              <w:keepNext/>
              <w:widowControl/>
              <w:jc w:val="center"/>
              <w:rPr>
                <w:rFonts w:ascii="Arial Narrow" w:hAnsi="Arial Narrow"/>
                <w:sz w:val="20"/>
              </w:rPr>
            </w:pPr>
          </w:p>
        </w:tc>
        <w:tc>
          <w:tcPr>
            <w:tcW w:w="1695" w:type="pct"/>
            <w:gridSpan w:val="2"/>
            <w:tcBorders>
              <w:bottom w:val="single" w:sz="4" w:space="0" w:color="auto"/>
            </w:tcBorders>
            <w:vAlign w:val="center"/>
          </w:tcPr>
          <w:p w:rsidR="001C7B61" w:rsidRPr="00203B12" w:rsidRDefault="001C7B61" w:rsidP="001C7B61">
            <w:pPr>
              <w:keepNext/>
              <w:widowControl/>
              <w:jc w:val="center"/>
              <w:rPr>
                <w:rFonts w:ascii="Arial Narrow" w:hAnsi="Arial Narrow"/>
                <w:sz w:val="20"/>
                <w:lang w:val="fr-FR"/>
              </w:rPr>
            </w:pPr>
            <w:r w:rsidRPr="00203B12">
              <w:rPr>
                <w:rFonts w:ascii="Arial Narrow" w:hAnsi="Arial Narrow"/>
                <w:sz w:val="20"/>
              </w:rPr>
              <w:t>Proprietary Name and Manufacturer</w:t>
            </w:r>
          </w:p>
        </w:tc>
      </w:tr>
      <w:tr w:rsidR="001C7B61" w:rsidRPr="00203B12" w:rsidTr="001C7B61">
        <w:trPr>
          <w:cantSplit/>
          <w:trHeight w:val="567"/>
        </w:trPr>
        <w:tc>
          <w:tcPr>
            <w:tcW w:w="1850" w:type="pct"/>
            <w:vAlign w:val="center"/>
          </w:tcPr>
          <w:p w:rsidR="001C7B61" w:rsidRPr="00203B12" w:rsidRDefault="001C7B61" w:rsidP="001C7B61">
            <w:pPr>
              <w:keepNext/>
              <w:widowControl/>
              <w:jc w:val="left"/>
              <w:rPr>
                <w:rFonts w:ascii="Arial Narrow" w:eastAsia="Times New Roman" w:hAnsi="Arial Narrow"/>
                <w:smallCaps/>
                <w:sz w:val="20"/>
              </w:rPr>
            </w:pPr>
            <w:r w:rsidRPr="00203B12">
              <w:rPr>
                <w:rFonts w:ascii="Arial Narrow" w:eastAsia="Times New Roman" w:hAnsi="Arial Narrow"/>
                <w:smallCaps/>
                <w:sz w:val="20"/>
              </w:rPr>
              <w:t>Combined diphtheria-tetanus-acellular pertussis (</w:t>
            </w:r>
            <w:r w:rsidRPr="00203B12">
              <w:rPr>
                <w:rFonts w:ascii="Arial Narrow" w:eastAsia="Times New Roman" w:hAnsi="Arial Narrow"/>
                <w:sz w:val="20"/>
              </w:rPr>
              <w:t>dTpa</w:t>
            </w:r>
            <w:r w:rsidRPr="00203B12">
              <w:rPr>
                <w:rFonts w:ascii="Arial Narrow" w:eastAsia="Times New Roman" w:hAnsi="Arial Narrow"/>
                <w:smallCaps/>
                <w:sz w:val="20"/>
              </w:rPr>
              <w:t xml:space="preserve">) vaccine </w:t>
            </w:r>
          </w:p>
          <w:p w:rsidR="001C7B61" w:rsidRPr="00203B12" w:rsidRDefault="001C7B61" w:rsidP="001C7B61">
            <w:pPr>
              <w:keepNext/>
              <w:widowControl/>
              <w:jc w:val="left"/>
              <w:rPr>
                <w:rFonts w:ascii="Arial Narrow" w:hAnsi="Arial Narrow"/>
                <w:sz w:val="20"/>
              </w:rPr>
            </w:pPr>
            <w:r w:rsidRPr="00203B12">
              <w:rPr>
                <w:rFonts w:ascii="Arial Narrow" w:hAnsi="Arial Narrow"/>
                <w:sz w:val="20"/>
              </w:rPr>
              <w:t>Pre-filled syringe, 0.5 mL</w:t>
            </w:r>
          </w:p>
        </w:tc>
        <w:tc>
          <w:tcPr>
            <w:tcW w:w="410" w:type="pct"/>
            <w:vAlign w:val="center"/>
          </w:tcPr>
          <w:p w:rsidR="001C7B61" w:rsidRPr="00203B12" w:rsidRDefault="001C7B61" w:rsidP="001C7B61">
            <w:pPr>
              <w:keepNext/>
              <w:widowControl/>
              <w:jc w:val="center"/>
              <w:rPr>
                <w:rFonts w:ascii="Arial Narrow" w:hAnsi="Arial Narrow"/>
                <w:sz w:val="20"/>
              </w:rPr>
            </w:pPr>
            <w:r w:rsidRPr="00203B12">
              <w:rPr>
                <w:rFonts w:ascii="Arial Narrow" w:hAnsi="Arial Narrow"/>
                <w:sz w:val="20"/>
                <w:lang w:eastAsia="zh-CN"/>
              </w:rPr>
              <w:t>1</w:t>
            </w:r>
          </w:p>
        </w:tc>
        <w:tc>
          <w:tcPr>
            <w:tcW w:w="495" w:type="pct"/>
            <w:vAlign w:val="center"/>
          </w:tcPr>
          <w:p w:rsidR="001C7B61" w:rsidRPr="00203B12" w:rsidRDefault="001C7B61" w:rsidP="001C7B61">
            <w:pPr>
              <w:keepNext/>
              <w:widowControl/>
              <w:jc w:val="center"/>
              <w:rPr>
                <w:rFonts w:ascii="Arial Narrow" w:hAnsi="Arial Narrow"/>
                <w:sz w:val="20"/>
              </w:rPr>
            </w:pPr>
            <w:r w:rsidRPr="00203B12">
              <w:rPr>
                <w:rFonts w:ascii="Arial Narrow" w:hAnsi="Arial Narrow"/>
                <w:sz w:val="20"/>
                <w:lang w:eastAsia="zh-CN"/>
              </w:rPr>
              <w:t>0</w:t>
            </w:r>
          </w:p>
        </w:tc>
        <w:tc>
          <w:tcPr>
            <w:tcW w:w="549" w:type="pct"/>
            <w:vAlign w:val="center"/>
          </w:tcPr>
          <w:p w:rsidR="001C7B61" w:rsidRPr="00203B12" w:rsidRDefault="001C7B61" w:rsidP="001C7B61">
            <w:pPr>
              <w:keepNext/>
              <w:widowControl/>
              <w:rPr>
                <w:rFonts w:ascii="Arial Narrow" w:hAnsi="Arial Narrow"/>
                <w:sz w:val="20"/>
              </w:rPr>
            </w:pPr>
          </w:p>
        </w:tc>
        <w:tc>
          <w:tcPr>
            <w:tcW w:w="812" w:type="pct"/>
            <w:vAlign w:val="center"/>
          </w:tcPr>
          <w:p w:rsidR="001C7B61" w:rsidRPr="00203B12" w:rsidRDefault="001C7B61" w:rsidP="001C7B61">
            <w:pPr>
              <w:keepNext/>
              <w:widowControl/>
              <w:jc w:val="left"/>
              <w:rPr>
                <w:rFonts w:ascii="Arial Narrow" w:hAnsi="Arial Narrow"/>
                <w:sz w:val="20"/>
              </w:rPr>
            </w:pPr>
            <w:r w:rsidRPr="00203B12">
              <w:rPr>
                <w:rFonts w:ascii="Arial Narrow" w:hAnsi="Arial Narrow"/>
                <w:sz w:val="20"/>
              </w:rPr>
              <w:t>Boostrix</w:t>
            </w:r>
            <w:r>
              <w:rPr>
                <w:rFonts w:ascii="Arial Narrow" w:hAnsi="Arial Narrow"/>
                <w:sz w:val="20"/>
              </w:rPr>
              <w:t>®</w:t>
            </w:r>
          </w:p>
        </w:tc>
        <w:tc>
          <w:tcPr>
            <w:tcW w:w="883" w:type="pct"/>
            <w:vAlign w:val="center"/>
          </w:tcPr>
          <w:p w:rsidR="001C7B61" w:rsidRPr="00203B12" w:rsidRDefault="001C7B61" w:rsidP="001C7B61">
            <w:pPr>
              <w:keepNext/>
              <w:widowControl/>
              <w:jc w:val="center"/>
              <w:rPr>
                <w:rFonts w:ascii="Arial Narrow" w:hAnsi="Arial Narrow"/>
                <w:sz w:val="20"/>
              </w:rPr>
            </w:pPr>
            <w:r w:rsidRPr="00203B12">
              <w:rPr>
                <w:rFonts w:ascii="Arial Narrow" w:hAnsi="Arial Narrow"/>
                <w:sz w:val="20"/>
              </w:rPr>
              <w:t>GSK</w:t>
            </w:r>
          </w:p>
        </w:tc>
      </w:tr>
      <w:tr w:rsidR="001C7B61" w:rsidRPr="00203B12" w:rsidTr="001C7B61">
        <w:trPr>
          <w:cantSplit/>
          <w:trHeight w:val="354"/>
        </w:trPr>
        <w:tc>
          <w:tcPr>
            <w:tcW w:w="5000" w:type="pct"/>
            <w:gridSpan w:val="6"/>
            <w:vAlign w:val="center"/>
          </w:tcPr>
          <w:p w:rsidR="001C7B61" w:rsidRDefault="001C7B61" w:rsidP="001C7B61">
            <w:pPr>
              <w:widowControl/>
              <w:rPr>
                <w:rFonts w:ascii="Arial Narrow" w:hAnsi="Arial Narrow"/>
                <w:b/>
                <w:sz w:val="20"/>
              </w:rPr>
            </w:pPr>
          </w:p>
          <w:p w:rsidR="001C7B61" w:rsidRPr="00203B12" w:rsidRDefault="001C7B61" w:rsidP="001C7B61">
            <w:pPr>
              <w:widowControl/>
              <w:rPr>
                <w:rFonts w:ascii="Arial Narrow" w:hAnsi="Arial Narrow"/>
                <w:sz w:val="20"/>
              </w:rPr>
            </w:pPr>
            <w:r w:rsidRPr="00203B12">
              <w:rPr>
                <w:rFonts w:ascii="Arial Narrow" w:hAnsi="Arial Narrow"/>
                <w:b/>
                <w:sz w:val="20"/>
              </w:rPr>
              <w:t>National Immunisation Program</w:t>
            </w:r>
          </w:p>
          <w:p w:rsidR="001C7B61" w:rsidRPr="00203B12" w:rsidRDefault="001C7B61" w:rsidP="001C7B61">
            <w:pPr>
              <w:widowControl/>
              <w:rPr>
                <w:rFonts w:ascii="Arial Narrow" w:hAnsi="Arial Narrow"/>
                <w:sz w:val="20"/>
              </w:rPr>
            </w:pPr>
            <w:r>
              <w:rPr>
                <w:rFonts w:ascii="Arial Narrow" w:hAnsi="Arial Narrow"/>
                <w:sz w:val="20"/>
              </w:rPr>
              <w:t>Vaccination of pregnant women</w:t>
            </w:r>
            <w:r w:rsidRPr="00203B12">
              <w:rPr>
                <w:rFonts w:ascii="Arial Narrow" w:hAnsi="Arial Narrow"/>
                <w:sz w:val="20"/>
              </w:rPr>
              <w:t xml:space="preserve"> during each pregnancy</w:t>
            </w:r>
          </w:p>
        </w:tc>
      </w:tr>
    </w:tbl>
    <w:p w:rsidR="006E662E" w:rsidRDefault="006E662E" w:rsidP="001C7B61">
      <w:pPr>
        <w:widowControl/>
      </w:pPr>
    </w:p>
    <w:p w:rsidR="006E662E" w:rsidRPr="00867481" w:rsidRDefault="006E662E" w:rsidP="00232F1B">
      <w:pPr>
        <w:pStyle w:val="Heading1"/>
      </w:pPr>
      <w:r w:rsidRPr="00867481">
        <w:t>Context for Decision</w:t>
      </w:r>
    </w:p>
    <w:p w:rsidR="006E662E" w:rsidRDefault="006E662E" w:rsidP="006E662E">
      <w:pPr>
        <w:ind w:left="720"/>
        <w:rPr>
          <w:bCs/>
        </w:rPr>
      </w:pPr>
    </w:p>
    <w:p w:rsidR="006E662E" w:rsidRDefault="006E662E" w:rsidP="006E662E">
      <w:pPr>
        <w:ind w:left="720"/>
        <w:rPr>
          <w:bCs/>
        </w:rPr>
      </w:pPr>
      <w:r>
        <w:rPr>
          <w:bC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E662E" w:rsidRPr="00867481" w:rsidRDefault="006E662E" w:rsidP="006E662E">
      <w:pPr>
        <w:ind w:left="720"/>
        <w:rPr>
          <w:bCs/>
        </w:rPr>
      </w:pPr>
    </w:p>
    <w:p w:rsidR="006E662E" w:rsidRDefault="006E662E" w:rsidP="00232F1B">
      <w:pPr>
        <w:pStyle w:val="Heading1"/>
      </w:pPr>
      <w:r w:rsidRPr="00867481">
        <w:t>Sponsor’s Comment</w:t>
      </w:r>
      <w:r w:rsidRPr="00867481">
        <w:tab/>
      </w:r>
    </w:p>
    <w:p w:rsidR="00232F1B" w:rsidRPr="00232F1B" w:rsidRDefault="00232F1B" w:rsidP="00232F1B"/>
    <w:p w:rsidR="006E662E" w:rsidRDefault="003A0F23" w:rsidP="003A0F23">
      <w:pPr>
        <w:widowControl/>
        <w:ind w:left="709"/>
      </w:pPr>
      <w:r w:rsidRPr="003A0F23">
        <w:rPr>
          <w:bCs/>
        </w:rPr>
        <w:t>GlaxoSmithKline welcomes the PBAC’s recommendation to list Boostrix® on the NIP for the vaccination of pregnant women.</w:t>
      </w:r>
    </w:p>
    <w:sectPr w:rsidR="006E662E" w:rsidSect="001716D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380" w:rsidRDefault="002B2380" w:rsidP="00124A51">
      <w:r>
        <w:separator/>
      </w:r>
    </w:p>
  </w:endnote>
  <w:endnote w:type="continuationSeparator" w:id="0">
    <w:p w:rsidR="002B2380" w:rsidRDefault="002B2380"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1B" w:rsidRDefault="00232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258447"/>
      <w:docPartObj>
        <w:docPartGallery w:val="Page Numbers (Bottom of Page)"/>
        <w:docPartUnique/>
      </w:docPartObj>
    </w:sdtPr>
    <w:sdtEndPr>
      <w:rPr>
        <w:noProof/>
      </w:rPr>
    </w:sdtEndPr>
    <w:sdtContent>
      <w:p w:rsidR="00232F1B" w:rsidRDefault="00232F1B" w:rsidP="00B03352">
        <w:pPr>
          <w:pStyle w:val="Footer"/>
          <w:jc w:val="center"/>
        </w:pPr>
      </w:p>
      <w:p w:rsidR="00232F1B" w:rsidRPr="00B03352" w:rsidRDefault="00232F1B" w:rsidP="00B03352">
        <w:pPr>
          <w:pStyle w:val="Footer"/>
          <w:jc w:val="center"/>
        </w:pPr>
        <w:r>
          <w:fldChar w:fldCharType="begin"/>
        </w:r>
        <w:r>
          <w:instrText xml:space="preserve"> PAGE   \* MERGEFORMAT </w:instrText>
        </w:r>
        <w:r>
          <w:fldChar w:fldCharType="separate"/>
        </w:r>
        <w:r w:rsidR="002B2380">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1B" w:rsidRDefault="00232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380" w:rsidRDefault="002B2380" w:rsidP="00124A51">
      <w:r>
        <w:separator/>
      </w:r>
    </w:p>
  </w:footnote>
  <w:footnote w:type="continuationSeparator" w:id="0">
    <w:p w:rsidR="002B2380" w:rsidRDefault="002B2380" w:rsidP="00124A51">
      <w:r>
        <w:continuationSeparator/>
      </w:r>
    </w:p>
  </w:footnote>
  <w:footnote w:id="1">
    <w:p w:rsidR="00232F1B" w:rsidRPr="00460A98" w:rsidRDefault="00232F1B" w:rsidP="005131B9">
      <w:pPr>
        <w:rPr>
          <w:rFonts w:ascii="Arial Narrow" w:hAnsi="Arial Narrow"/>
          <w:sz w:val="18"/>
          <w:szCs w:val="18"/>
        </w:rPr>
      </w:pPr>
      <w:r w:rsidRPr="00460A98">
        <w:rPr>
          <w:rStyle w:val="FootnoteReference"/>
          <w:rFonts w:ascii="Arial Narrow" w:hAnsi="Arial Narrow"/>
          <w:sz w:val="18"/>
          <w:szCs w:val="18"/>
        </w:rPr>
        <w:footnoteRef/>
      </w:r>
      <w:hyperlink r:id="rId1" w:history="1">
        <w:r w:rsidRPr="00460A98">
          <w:rPr>
            <w:rStyle w:val="Hyperlink"/>
            <w:rFonts w:ascii="Arial Narrow" w:hAnsi="Arial Narrow"/>
            <w:sz w:val="18"/>
            <w:szCs w:val="18"/>
          </w:rPr>
          <w:t>Observational methods in epidemiologic assessment of vaccine effectiveness</w:t>
        </w:r>
      </w:hyperlink>
      <w:r>
        <w:rPr>
          <w:rFonts w:ascii="Arial Narrow" w:hAnsi="Arial Narrow"/>
          <w:sz w:val="18"/>
          <w:szCs w:val="18"/>
        </w:rPr>
        <w:t xml:space="preserve">, </w:t>
      </w:r>
      <w:r w:rsidRPr="00460A98">
        <w:rPr>
          <w:rFonts w:ascii="Arial Narrow" w:hAnsi="Arial Narrow"/>
          <w:i/>
          <w:sz w:val="18"/>
          <w:szCs w:val="18"/>
        </w:rPr>
        <w:t>Communicable Diseases Intelligence</w:t>
      </w:r>
      <w:r>
        <w:rPr>
          <w:rFonts w:ascii="Arial Narrow" w:hAnsi="Arial Narrow"/>
          <w:i/>
          <w:sz w:val="18"/>
          <w:szCs w:val="18"/>
        </w:rPr>
        <w:t>,</w:t>
      </w:r>
      <w:r w:rsidRPr="00460A98">
        <w:rPr>
          <w:rFonts w:ascii="Arial Narrow" w:hAnsi="Arial Narrow"/>
          <w:sz w:val="18"/>
          <w:szCs w:val="18"/>
        </w:rPr>
        <w:t xml:space="preserve"> Volume 26, No 3, September 2002</w:t>
      </w:r>
      <w:r>
        <w:rPr>
          <w:rFonts w:ascii="Arial Narrow" w:hAnsi="Arial Narrow"/>
          <w:sz w:val="18"/>
          <w:szCs w:val="18"/>
        </w:rPr>
        <w:t>;</w:t>
      </w:r>
      <w:r w:rsidRPr="00460A98">
        <w:rPr>
          <w:rFonts w:ascii="Arial Narrow" w:hAnsi="Arial Narrow"/>
          <w:sz w:val="18"/>
          <w:szCs w:val="18"/>
        </w:rPr>
        <w:t xml:space="preserve"> accessed 12 December 2014</w:t>
      </w:r>
      <w:r>
        <w:rPr>
          <w:rFonts w:ascii="Arial Narrow" w:hAnsi="Arial Narrow"/>
          <w:sz w:val="18"/>
          <w:szCs w:val="18"/>
        </w:rPr>
        <w:t>.</w:t>
      </w:r>
    </w:p>
  </w:footnote>
  <w:footnote w:id="2">
    <w:p w:rsidR="00232F1B" w:rsidRPr="006F3352" w:rsidRDefault="00232F1B" w:rsidP="00207DE0">
      <w:pPr>
        <w:pStyle w:val="FootnoteText"/>
        <w:rPr>
          <w:rFonts w:ascii="Arial Narrow" w:hAnsi="Arial Narrow"/>
          <w:i/>
        </w:rPr>
      </w:pPr>
      <w:r w:rsidRPr="006F3352">
        <w:rPr>
          <w:rStyle w:val="FootnoteReference"/>
          <w:rFonts w:ascii="Arial Narrow" w:hAnsi="Arial Narrow"/>
          <w:i/>
        </w:rPr>
        <w:footnoteRef/>
      </w:r>
      <w:r w:rsidRPr="006F3352">
        <w:rPr>
          <w:rFonts w:ascii="Arial Narrow" w:hAnsi="Arial Narrow"/>
          <w:i/>
        </w:rPr>
        <w:t xml:space="preserve"> Public Health England, </w:t>
      </w:r>
      <w:hyperlink r:id="rId2" w:history="1">
        <w:r w:rsidRPr="006F3352">
          <w:rPr>
            <w:rStyle w:val="Hyperlink"/>
            <w:rFonts w:ascii="Arial Narrow" w:hAnsi="Arial Narrow"/>
            <w:i/>
          </w:rPr>
          <w:t>HPR volume 9 issue 30: news (28 August)</w:t>
        </w:r>
      </w:hyperlink>
      <w:r w:rsidRPr="006F3352">
        <w:rPr>
          <w:rFonts w:ascii="Arial Narrow" w:hAnsi="Arial Narrow"/>
          <w:i/>
        </w:rPr>
        <w:t>, Laboratory confirmed pertussis in England: data to end-June 2015. Updated 29 December 2015</w:t>
      </w:r>
    </w:p>
  </w:footnote>
  <w:footnote w:id="3">
    <w:p w:rsidR="00232F1B" w:rsidRPr="006678B4" w:rsidRDefault="00232F1B">
      <w:pPr>
        <w:pStyle w:val="FootnoteText"/>
        <w:rPr>
          <w:rFonts w:ascii="Arial Narrow" w:hAnsi="Arial Narrow"/>
        </w:rPr>
      </w:pPr>
      <w:r w:rsidRPr="006678B4">
        <w:rPr>
          <w:rStyle w:val="FootnoteReference"/>
          <w:rFonts w:ascii="Arial Narrow" w:hAnsi="Arial Narrow"/>
        </w:rPr>
        <w:footnoteRef/>
      </w:r>
      <w:r w:rsidRPr="006678B4">
        <w:rPr>
          <w:rFonts w:ascii="Arial Narrow" w:hAnsi="Arial Narrow"/>
        </w:rPr>
        <w:t xml:space="preserve"> CDC, </w:t>
      </w:r>
      <w:hyperlink r:id="rId3" w:history="1">
        <w:r w:rsidRPr="006678B4">
          <w:rPr>
            <w:rStyle w:val="Hyperlink"/>
            <w:rFonts w:ascii="Arial Narrow" w:hAnsi="Arial Narrow"/>
          </w:rPr>
          <w:t>Pertussis (whooping cough), clinical features</w:t>
        </w:r>
      </w:hyperlink>
      <w:r w:rsidRPr="006678B4">
        <w:rPr>
          <w:rFonts w:ascii="Arial Narrow" w:hAnsi="Arial Narrow"/>
        </w:rPr>
        <w:t>. Page last updated</w:t>
      </w:r>
      <w:r w:rsidRPr="002665FC">
        <w:rPr>
          <w:rFonts w:ascii="Arial Narrow" w:hAnsi="Arial Narrow"/>
        </w:rPr>
        <w:t xml:space="preserve"> 8 </w:t>
      </w:r>
      <w:r w:rsidRPr="002665FC">
        <w:rPr>
          <w:rFonts w:ascii="Arial Narrow" w:hAnsi="Arial Narrow" w:cs="Helvetica"/>
          <w:shd w:val="clear" w:color="auto" w:fill="FFFFFF"/>
        </w:rPr>
        <w:t>September 2015.</w:t>
      </w:r>
    </w:p>
  </w:footnote>
  <w:footnote w:id="4">
    <w:p w:rsidR="00232F1B" w:rsidRPr="009E046E" w:rsidRDefault="00232F1B">
      <w:pPr>
        <w:pStyle w:val="FootnoteText"/>
        <w:rPr>
          <w:rFonts w:ascii="Arial Narrow" w:hAnsi="Arial Narrow"/>
        </w:rPr>
      </w:pPr>
      <w:r w:rsidRPr="009E046E">
        <w:rPr>
          <w:rStyle w:val="FootnoteReference"/>
          <w:rFonts w:ascii="Arial Narrow" w:hAnsi="Arial Narrow"/>
        </w:rPr>
        <w:footnoteRef/>
      </w:r>
      <w:r w:rsidRPr="009E046E">
        <w:rPr>
          <w:rFonts w:ascii="Arial Narrow" w:hAnsi="Arial Narrow"/>
        </w:rPr>
        <w:t xml:space="preserve"> Kaczmarek MC, Ware RS, McEniery JA, et al. Epidemiology of pertussis-related intensive care unit (ICU) admissions in Australia, 1997-2013: an observational study. BMJ Open. 2016;6:e010386.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1B" w:rsidRDefault="00232F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1B" w:rsidRPr="00DF217D" w:rsidRDefault="00232F1B" w:rsidP="00AB6640">
    <w:pPr>
      <w:pStyle w:val="Header"/>
      <w:ind w:left="360"/>
      <w:jc w:val="center"/>
      <w:rPr>
        <w:i/>
        <w:color w:val="808080"/>
      </w:rPr>
    </w:pPr>
    <w:r>
      <w:rPr>
        <w:i/>
        <w:color w:val="808080"/>
      </w:rPr>
      <w:t>Public Summary Document – July 2016 PBAC Meeting</w:t>
    </w:r>
  </w:p>
  <w:p w:rsidR="00232F1B" w:rsidRPr="008C7ECB" w:rsidRDefault="00232F1B" w:rsidP="00CC6B62">
    <w:pPr>
      <w:pStyle w:val="Header"/>
      <w:tabs>
        <w:tab w:val="clear" w:pos="4513"/>
        <w:tab w:val="clear" w:pos="9026"/>
        <w:tab w:val="left" w:pos="3405"/>
      </w:tabs>
    </w:pPr>
    <w:r>
      <w:rPr>
        <w:color w:val="D9D9D9" w:themeColor="background1" w:themeShade="D9"/>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1B" w:rsidRDefault="00232F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B61F60"/>
    <w:multiLevelType w:val="hybridMultilevel"/>
    <w:tmpl w:val="D596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D10FA"/>
    <w:multiLevelType w:val="hybridMultilevel"/>
    <w:tmpl w:val="0C6A91F0"/>
    <w:lvl w:ilvl="0" w:tplc="136A2B0E">
      <w:start w:val="1"/>
      <w:numFmt w:val="bullet"/>
      <w:lvlText w:val="•"/>
      <w:lvlJc w:val="left"/>
      <w:pPr>
        <w:tabs>
          <w:tab w:val="num" w:pos="720"/>
        </w:tabs>
        <w:ind w:left="720" w:hanging="360"/>
      </w:pPr>
      <w:rPr>
        <w:rFonts w:ascii="Times New Roman" w:hAnsi="Times New Roman" w:hint="default"/>
      </w:rPr>
    </w:lvl>
    <w:lvl w:ilvl="1" w:tplc="33D28E7C" w:tentative="1">
      <w:start w:val="1"/>
      <w:numFmt w:val="bullet"/>
      <w:lvlText w:val="•"/>
      <w:lvlJc w:val="left"/>
      <w:pPr>
        <w:tabs>
          <w:tab w:val="num" w:pos="1440"/>
        </w:tabs>
        <w:ind w:left="1440" w:hanging="360"/>
      </w:pPr>
      <w:rPr>
        <w:rFonts w:ascii="Times New Roman" w:hAnsi="Times New Roman" w:hint="default"/>
      </w:rPr>
    </w:lvl>
    <w:lvl w:ilvl="2" w:tplc="C5D29D2C" w:tentative="1">
      <w:start w:val="1"/>
      <w:numFmt w:val="bullet"/>
      <w:lvlText w:val="•"/>
      <w:lvlJc w:val="left"/>
      <w:pPr>
        <w:tabs>
          <w:tab w:val="num" w:pos="2160"/>
        </w:tabs>
        <w:ind w:left="2160" w:hanging="360"/>
      </w:pPr>
      <w:rPr>
        <w:rFonts w:ascii="Times New Roman" w:hAnsi="Times New Roman" w:hint="default"/>
      </w:rPr>
    </w:lvl>
    <w:lvl w:ilvl="3" w:tplc="501A71F2" w:tentative="1">
      <w:start w:val="1"/>
      <w:numFmt w:val="bullet"/>
      <w:lvlText w:val="•"/>
      <w:lvlJc w:val="left"/>
      <w:pPr>
        <w:tabs>
          <w:tab w:val="num" w:pos="2880"/>
        </w:tabs>
        <w:ind w:left="2880" w:hanging="360"/>
      </w:pPr>
      <w:rPr>
        <w:rFonts w:ascii="Times New Roman" w:hAnsi="Times New Roman" w:hint="default"/>
      </w:rPr>
    </w:lvl>
    <w:lvl w:ilvl="4" w:tplc="EF7A99D8" w:tentative="1">
      <w:start w:val="1"/>
      <w:numFmt w:val="bullet"/>
      <w:lvlText w:val="•"/>
      <w:lvlJc w:val="left"/>
      <w:pPr>
        <w:tabs>
          <w:tab w:val="num" w:pos="3600"/>
        </w:tabs>
        <w:ind w:left="3600" w:hanging="360"/>
      </w:pPr>
      <w:rPr>
        <w:rFonts w:ascii="Times New Roman" w:hAnsi="Times New Roman" w:hint="default"/>
      </w:rPr>
    </w:lvl>
    <w:lvl w:ilvl="5" w:tplc="98D25A1E" w:tentative="1">
      <w:start w:val="1"/>
      <w:numFmt w:val="bullet"/>
      <w:lvlText w:val="•"/>
      <w:lvlJc w:val="left"/>
      <w:pPr>
        <w:tabs>
          <w:tab w:val="num" w:pos="4320"/>
        </w:tabs>
        <w:ind w:left="4320" w:hanging="360"/>
      </w:pPr>
      <w:rPr>
        <w:rFonts w:ascii="Times New Roman" w:hAnsi="Times New Roman" w:hint="default"/>
      </w:rPr>
    </w:lvl>
    <w:lvl w:ilvl="6" w:tplc="CD803E86" w:tentative="1">
      <w:start w:val="1"/>
      <w:numFmt w:val="bullet"/>
      <w:lvlText w:val="•"/>
      <w:lvlJc w:val="left"/>
      <w:pPr>
        <w:tabs>
          <w:tab w:val="num" w:pos="5040"/>
        </w:tabs>
        <w:ind w:left="5040" w:hanging="360"/>
      </w:pPr>
      <w:rPr>
        <w:rFonts w:ascii="Times New Roman" w:hAnsi="Times New Roman" w:hint="default"/>
      </w:rPr>
    </w:lvl>
    <w:lvl w:ilvl="7" w:tplc="00A64D1C" w:tentative="1">
      <w:start w:val="1"/>
      <w:numFmt w:val="bullet"/>
      <w:lvlText w:val="•"/>
      <w:lvlJc w:val="left"/>
      <w:pPr>
        <w:tabs>
          <w:tab w:val="num" w:pos="5760"/>
        </w:tabs>
        <w:ind w:left="5760" w:hanging="360"/>
      </w:pPr>
      <w:rPr>
        <w:rFonts w:ascii="Times New Roman" w:hAnsi="Times New Roman" w:hint="default"/>
      </w:rPr>
    </w:lvl>
    <w:lvl w:ilvl="8" w:tplc="BE020DB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E47EB4"/>
    <w:multiLevelType w:val="hybridMultilevel"/>
    <w:tmpl w:val="4C1EA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1766B2"/>
    <w:multiLevelType w:val="hybridMultilevel"/>
    <w:tmpl w:val="04B8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76909"/>
    <w:multiLevelType w:val="hybridMultilevel"/>
    <w:tmpl w:val="B088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65610"/>
    <w:multiLevelType w:val="hybridMultilevel"/>
    <w:tmpl w:val="B8C02400"/>
    <w:lvl w:ilvl="0" w:tplc="56C67D60">
      <w:start w:val="1"/>
      <w:numFmt w:val="bullet"/>
      <w:lvlText w:val="•"/>
      <w:lvlJc w:val="left"/>
      <w:pPr>
        <w:tabs>
          <w:tab w:val="num" w:pos="720"/>
        </w:tabs>
        <w:ind w:left="720" w:hanging="360"/>
      </w:pPr>
      <w:rPr>
        <w:rFonts w:ascii="Times New Roman" w:hAnsi="Times New Roman" w:hint="default"/>
      </w:rPr>
    </w:lvl>
    <w:lvl w:ilvl="1" w:tplc="4AC0FD34" w:tentative="1">
      <w:start w:val="1"/>
      <w:numFmt w:val="bullet"/>
      <w:lvlText w:val="•"/>
      <w:lvlJc w:val="left"/>
      <w:pPr>
        <w:tabs>
          <w:tab w:val="num" w:pos="1440"/>
        </w:tabs>
        <w:ind w:left="1440" w:hanging="360"/>
      </w:pPr>
      <w:rPr>
        <w:rFonts w:ascii="Times New Roman" w:hAnsi="Times New Roman" w:hint="default"/>
      </w:rPr>
    </w:lvl>
    <w:lvl w:ilvl="2" w:tplc="3790049A" w:tentative="1">
      <w:start w:val="1"/>
      <w:numFmt w:val="bullet"/>
      <w:lvlText w:val="•"/>
      <w:lvlJc w:val="left"/>
      <w:pPr>
        <w:tabs>
          <w:tab w:val="num" w:pos="2160"/>
        </w:tabs>
        <w:ind w:left="2160" w:hanging="360"/>
      </w:pPr>
      <w:rPr>
        <w:rFonts w:ascii="Times New Roman" w:hAnsi="Times New Roman" w:hint="default"/>
      </w:rPr>
    </w:lvl>
    <w:lvl w:ilvl="3" w:tplc="D3D89D2C" w:tentative="1">
      <w:start w:val="1"/>
      <w:numFmt w:val="bullet"/>
      <w:lvlText w:val="•"/>
      <w:lvlJc w:val="left"/>
      <w:pPr>
        <w:tabs>
          <w:tab w:val="num" w:pos="2880"/>
        </w:tabs>
        <w:ind w:left="2880" w:hanging="360"/>
      </w:pPr>
      <w:rPr>
        <w:rFonts w:ascii="Times New Roman" w:hAnsi="Times New Roman" w:hint="default"/>
      </w:rPr>
    </w:lvl>
    <w:lvl w:ilvl="4" w:tplc="4B5456AA" w:tentative="1">
      <w:start w:val="1"/>
      <w:numFmt w:val="bullet"/>
      <w:lvlText w:val="•"/>
      <w:lvlJc w:val="left"/>
      <w:pPr>
        <w:tabs>
          <w:tab w:val="num" w:pos="3600"/>
        </w:tabs>
        <w:ind w:left="3600" w:hanging="360"/>
      </w:pPr>
      <w:rPr>
        <w:rFonts w:ascii="Times New Roman" w:hAnsi="Times New Roman" w:hint="default"/>
      </w:rPr>
    </w:lvl>
    <w:lvl w:ilvl="5" w:tplc="2E527926" w:tentative="1">
      <w:start w:val="1"/>
      <w:numFmt w:val="bullet"/>
      <w:lvlText w:val="•"/>
      <w:lvlJc w:val="left"/>
      <w:pPr>
        <w:tabs>
          <w:tab w:val="num" w:pos="4320"/>
        </w:tabs>
        <w:ind w:left="4320" w:hanging="360"/>
      </w:pPr>
      <w:rPr>
        <w:rFonts w:ascii="Times New Roman" w:hAnsi="Times New Roman" w:hint="default"/>
      </w:rPr>
    </w:lvl>
    <w:lvl w:ilvl="6" w:tplc="0FBAC246" w:tentative="1">
      <w:start w:val="1"/>
      <w:numFmt w:val="bullet"/>
      <w:lvlText w:val="•"/>
      <w:lvlJc w:val="left"/>
      <w:pPr>
        <w:tabs>
          <w:tab w:val="num" w:pos="5040"/>
        </w:tabs>
        <w:ind w:left="5040" w:hanging="360"/>
      </w:pPr>
      <w:rPr>
        <w:rFonts w:ascii="Times New Roman" w:hAnsi="Times New Roman" w:hint="default"/>
      </w:rPr>
    </w:lvl>
    <w:lvl w:ilvl="7" w:tplc="8AEE458E" w:tentative="1">
      <w:start w:val="1"/>
      <w:numFmt w:val="bullet"/>
      <w:lvlText w:val="•"/>
      <w:lvlJc w:val="left"/>
      <w:pPr>
        <w:tabs>
          <w:tab w:val="num" w:pos="5760"/>
        </w:tabs>
        <w:ind w:left="5760" w:hanging="360"/>
      </w:pPr>
      <w:rPr>
        <w:rFonts w:ascii="Times New Roman" w:hAnsi="Times New Roman" w:hint="default"/>
      </w:rPr>
    </w:lvl>
    <w:lvl w:ilvl="8" w:tplc="E1AC1680" w:tentative="1">
      <w:start w:val="1"/>
      <w:numFmt w:val="bullet"/>
      <w:lvlText w:val="•"/>
      <w:lvlJc w:val="left"/>
      <w:pPr>
        <w:tabs>
          <w:tab w:val="num" w:pos="6480"/>
        </w:tabs>
        <w:ind w:left="6480" w:hanging="360"/>
      </w:pPr>
      <w:rPr>
        <w:rFonts w:ascii="Times New Roman" w:hAnsi="Times New Roman"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81743DF"/>
    <w:multiLevelType w:val="hybridMultilevel"/>
    <w:tmpl w:val="08D2D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F662B3"/>
    <w:multiLevelType w:val="hybridMultilevel"/>
    <w:tmpl w:val="555ADF06"/>
    <w:lvl w:ilvl="0" w:tplc="6B38DCD6">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9732EBD"/>
    <w:multiLevelType w:val="hybridMultilevel"/>
    <w:tmpl w:val="91C6FF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3">
    <w:nsid w:val="3E592738"/>
    <w:multiLevelType w:val="multilevel"/>
    <w:tmpl w:val="9626BA96"/>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20B6ECC"/>
    <w:multiLevelType w:val="hybridMultilevel"/>
    <w:tmpl w:val="00DC5922"/>
    <w:lvl w:ilvl="0" w:tplc="FF4486DE">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5">
    <w:nsid w:val="438B7CE2"/>
    <w:multiLevelType w:val="hybridMultilevel"/>
    <w:tmpl w:val="916A2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0A28C5"/>
    <w:multiLevelType w:val="hybridMultilevel"/>
    <w:tmpl w:val="69D22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4C6679"/>
    <w:multiLevelType w:val="hybridMultilevel"/>
    <w:tmpl w:val="13F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B20E03"/>
    <w:multiLevelType w:val="hybridMultilevel"/>
    <w:tmpl w:val="84E8425E"/>
    <w:lvl w:ilvl="0" w:tplc="6C9AA6AE">
      <w:start w:val="1"/>
      <w:numFmt w:val="bullet"/>
      <w:lvlText w:val="•"/>
      <w:lvlJc w:val="left"/>
      <w:pPr>
        <w:tabs>
          <w:tab w:val="num" w:pos="720"/>
        </w:tabs>
        <w:ind w:left="720" w:hanging="360"/>
      </w:pPr>
      <w:rPr>
        <w:rFonts w:ascii="Times New Roman" w:hAnsi="Times New Roman" w:hint="default"/>
      </w:rPr>
    </w:lvl>
    <w:lvl w:ilvl="1" w:tplc="F4B8FF04" w:tentative="1">
      <w:start w:val="1"/>
      <w:numFmt w:val="bullet"/>
      <w:lvlText w:val="•"/>
      <w:lvlJc w:val="left"/>
      <w:pPr>
        <w:tabs>
          <w:tab w:val="num" w:pos="1440"/>
        </w:tabs>
        <w:ind w:left="1440" w:hanging="360"/>
      </w:pPr>
      <w:rPr>
        <w:rFonts w:ascii="Times New Roman" w:hAnsi="Times New Roman" w:hint="default"/>
      </w:rPr>
    </w:lvl>
    <w:lvl w:ilvl="2" w:tplc="D8582BD4" w:tentative="1">
      <w:start w:val="1"/>
      <w:numFmt w:val="bullet"/>
      <w:lvlText w:val="•"/>
      <w:lvlJc w:val="left"/>
      <w:pPr>
        <w:tabs>
          <w:tab w:val="num" w:pos="2160"/>
        </w:tabs>
        <w:ind w:left="2160" w:hanging="360"/>
      </w:pPr>
      <w:rPr>
        <w:rFonts w:ascii="Times New Roman" w:hAnsi="Times New Roman" w:hint="default"/>
      </w:rPr>
    </w:lvl>
    <w:lvl w:ilvl="3" w:tplc="C9C04A84" w:tentative="1">
      <w:start w:val="1"/>
      <w:numFmt w:val="bullet"/>
      <w:lvlText w:val="•"/>
      <w:lvlJc w:val="left"/>
      <w:pPr>
        <w:tabs>
          <w:tab w:val="num" w:pos="2880"/>
        </w:tabs>
        <w:ind w:left="2880" w:hanging="360"/>
      </w:pPr>
      <w:rPr>
        <w:rFonts w:ascii="Times New Roman" w:hAnsi="Times New Roman" w:hint="default"/>
      </w:rPr>
    </w:lvl>
    <w:lvl w:ilvl="4" w:tplc="F802EA8A" w:tentative="1">
      <w:start w:val="1"/>
      <w:numFmt w:val="bullet"/>
      <w:lvlText w:val="•"/>
      <w:lvlJc w:val="left"/>
      <w:pPr>
        <w:tabs>
          <w:tab w:val="num" w:pos="3600"/>
        </w:tabs>
        <w:ind w:left="3600" w:hanging="360"/>
      </w:pPr>
      <w:rPr>
        <w:rFonts w:ascii="Times New Roman" w:hAnsi="Times New Roman" w:hint="default"/>
      </w:rPr>
    </w:lvl>
    <w:lvl w:ilvl="5" w:tplc="5304403E" w:tentative="1">
      <w:start w:val="1"/>
      <w:numFmt w:val="bullet"/>
      <w:lvlText w:val="•"/>
      <w:lvlJc w:val="left"/>
      <w:pPr>
        <w:tabs>
          <w:tab w:val="num" w:pos="4320"/>
        </w:tabs>
        <w:ind w:left="4320" w:hanging="360"/>
      </w:pPr>
      <w:rPr>
        <w:rFonts w:ascii="Times New Roman" w:hAnsi="Times New Roman" w:hint="default"/>
      </w:rPr>
    </w:lvl>
    <w:lvl w:ilvl="6" w:tplc="E2E4C7F6" w:tentative="1">
      <w:start w:val="1"/>
      <w:numFmt w:val="bullet"/>
      <w:lvlText w:val="•"/>
      <w:lvlJc w:val="left"/>
      <w:pPr>
        <w:tabs>
          <w:tab w:val="num" w:pos="5040"/>
        </w:tabs>
        <w:ind w:left="5040" w:hanging="360"/>
      </w:pPr>
      <w:rPr>
        <w:rFonts w:ascii="Times New Roman" w:hAnsi="Times New Roman" w:hint="default"/>
      </w:rPr>
    </w:lvl>
    <w:lvl w:ilvl="7" w:tplc="AE36D0D8" w:tentative="1">
      <w:start w:val="1"/>
      <w:numFmt w:val="bullet"/>
      <w:lvlText w:val="•"/>
      <w:lvlJc w:val="left"/>
      <w:pPr>
        <w:tabs>
          <w:tab w:val="num" w:pos="5760"/>
        </w:tabs>
        <w:ind w:left="5760" w:hanging="360"/>
      </w:pPr>
      <w:rPr>
        <w:rFonts w:ascii="Times New Roman" w:hAnsi="Times New Roman" w:hint="default"/>
      </w:rPr>
    </w:lvl>
    <w:lvl w:ilvl="8" w:tplc="A2A8A6A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62030E"/>
    <w:multiLevelType w:val="hybridMultilevel"/>
    <w:tmpl w:val="AE3EF602"/>
    <w:lvl w:ilvl="0" w:tplc="4E3002CA">
      <w:start w:val="1"/>
      <w:numFmt w:val="decimal"/>
      <w:lvlText w:val="%1."/>
      <w:lvlJc w:val="left"/>
      <w:pPr>
        <w:ind w:left="720" w:hanging="360"/>
      </w:pPr>
      <w:rPr>
        <w:rFonts w:ascii="Times New Roman" w:hAnsi="Times New Roman" w:cs="Times New Roman" w:hint="default"/>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174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05029D3"/>
    <w:multiLevelType w:val="hybridMultilevel"/>
    <w:tmpl w:val="7C50A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51A6B71"/>
    <w:multiLevelType w:val="hybridMultilevel"/>
    <w:tmpl w:val="2D0A40FA"/>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25">
    <w:nsid w:val="68677847"/>
    <w:multiLevelType w:val="hybridMultilevel"/>
    <w:tmpl w:val="3B56D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C4B45FB"/>
    <w:multiLevelType w:val="hybridMultilevel"/>
    <w:tmpl w:val="D92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D324D5"/>
    <w:multiLevelType w:val="hybridMultilevel"/>
    <w:tmpl w:val="669A8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4D033C"/>
    <w:multiLevelType w:val="multilevel"/>
    <w:tmpl w:val="A552E46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strike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A89283C"/>
    <w:multiLevelType w:val="hybridMultilevel"/>
    <w:tmpl w:val="9BAC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024034"/>
    <w:multiLevelType w:val="hybridMultilevel"/>
    <w:tmpl w:val="75328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B513641"/>
    <w:multiLevelType w:val="hybridMultilevel"/>
    <w:tmpl w:val="4192FCF6"/>
    <w:lvl w:ilvl="0" w:tplc="0484A8B4">
      <w:start w:val="1"/>
      <w:numFmt w:val="bullet"/>
      <w:lvlText w:val="•"/>
      <w:lvlJc w:val="left"/>
      <w:pPr>
        <w:tabs>
          <w:tab w:val="num" w:pos="720"/>
        </w:tabs>
        <w:ind w:left="720" w:hanging="360"/>
      </w:pPr>
      <w:rPr>
        <w:rFonts w:ascii="Times New Roman" w:hAnsi="Times New Roman" w:hint="default"/>
      </w:rPr>
    </w:lvl>
    <w:lvl w:ilvl="1" w:tplc="797E498C" w:tentative="1">
      <w:start w:val="1"/>
      <w:numFmt w:val="bullet"/>
      <w:lvlText w:val="•"/>
      <w:lvlJc w:val="left"/>
      <w:pPr>
        <w:tabs>
          <w:tab w:val="num" w:pos="1440"/>
        </w:tabs>
        <w:ind w:left="1440" w:hanging="360"/>
      </w:pPr>
      <w:rPr>
        <w:rFonts w:ascii="Times New Roman" w:hAnsi="Times New Roman" w:hint="default"/>
      </w:rPr>
    </w:lvl>
    <w:lvl w:ilvl="2" w:tplc="EFD4495A" w:tentative="1">
      <w:start w:val="1"/>
      <w:numFmt w:val="bullet"/>
      <w:lvlText w:val="•"/>
      <w:lvlJc w:val="left"/>
      <w:pPr>
        <w:tabs>
          <w:tab w:val="num" w:pos="2160"/>
        </w:tabs>
        <w:ind w:left="2160" w:hanging="360"/>
      </w:pPr>
      <w:rPr>
        <w:rFonts w:ascii="Times New Roman" w:hAnsi="Times New Roman" w:hint="default"/>
      </w:rPr>
    </w:lvl>
    <w:lvl w:ilvl="3" w:tplc="7C52F328" w:tentative="1">
      <w:start w:val="1"/>
      <w:numFmt w:val="bullet"/>
      <w:lvlText w:val="•"/>
      <w:lvlJc w:val="left"/>
      <w:pPr>
        <w:tabs>
          <w:tab w:val="num" w:pos="2880"/>
        </w:tabs>
        <w:ind w:left="2880" w:hanging="360"/>
      </w:pPr>
      <w:rPr>
        <w:rFonts w:ascii="Times New Roman" w:hAnsi="Times New Roman" w:hint="default"/>
      </w:rPr>
    </w:lvl>
    <w:lvl w:ilvl="4" w:tplc="08666FFC" w:tentative="1">
      <w:start w:val="1"/>
      <w:numFmt w:val="bullet"/>
      <w:lvlText w:val="•"/>
      <w:lvlJc w:val="left"/>
      <w:pPr>
        <w:tabs>
          <w:tab w:val="num" w:pos="3600"/>
        </w:tabs>
        <w:ind w:left="3600" w:hanging="360"/>
      </w:pPr>
      <w:rPr>
        <w:rFonts w:ascii="Times New Roman" w:hAnsi="Times New Roman" w:hint="default"/>
      </w:rPr>
    </w:lvl>
    <w:lvl w:ilvl="5" w:tplc="BA6A0BF4" w:tentative="1">
      <w:start w:val="1"/>
      <w:numFmt w:val="bullet"/>
      <w:lvlText w:val="•"/>
      <w:lvlJc w:val="left"/>
      <w:pPr>
        <w:tabs>
          <w:tab w:val="num" w:pos="4320"/>
        </w:tabs>
        <w:ind w:left="4320" w:hanging="360"/>
      </w:pPr>
      <w:rPr>
        <w:rFonts w:ascii="Times New Roman" w:hAnsi="Times New Roman" w:hint="default"/>
      </w:rPr>
    </w:lvl>
    <w:lvl w:ilvl="6" w:tplc="DDD01794" w:tentative="1">
      <w:start w:val="1"/>
      <w:numFmt w:val="bullet"/>
      <w:lvlText w:val="•"/>
      <w:lvlJc w:val="left"/>
      <w:pPr>
        <w:tabs>
          <w:tab w:val="num" w:pos="5040"/>
        </w:tabs>
        <w:ind w:left="5040" w:hanging="360"/>
      </w:pPr>
      <w:rPr>
        <w:rFonts w:ascii="Times New Roman" w:hAnsi="Times New Roman" w:hint="default"/>
      </w:rPr>
    </w:lvl>
    <w:lvl w:ilvl="7" w:tplc="D1C03C4A" w:tentative="1">
      <w:start w:val="1"/>
      <w:numFmt w:val="bullet"/>
      <w:lvlText w:val="•"/>
      <w:lvlJc w:val="left"/>
      <w:pPr>
        <w:tabs>
          <w:tab w:val="num" w:pos="5760"/>
        </w:tabs>
        <w:ind w:left="5760" w:hanging="360"/>
      </w:pPr>
      <w:rPr>
        <w:rFonts w:ascii="Times New Roman" w:hAnsi="Times New Roman" w:hint="default"/>
      </w:rPr>
    </w:lvl>
    <w:lvl w:ilvl="8" w:tplc="3FBCA43A"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12"/>
  </w:num>
  <w:num w:numId="3">
    <w:abstractNumId w:val="28"/>
  </w:num>
  <w:num w:numId="4">
    <w:abstractNumId w:val="14"/>
  </w:num>
  <w:num w:numId="5">
    <w:abstractNumId w:val="22"/>
  </w:num>
  <w:num w:numId="6">
    <w:abstractNumId w:val="29"/>
  </w:num>
  <w:num w:numId="7">
    <w:abstractNumId w:val="18"/>
  </w:num>
  <w:num w:numId="8">
    <w:abstractNumId w:val="26"/>
  </w:num>
  <w:num w:numId="9">
    <w:abstractNumId w:val="27"/>
  </w:num>
  <w:num w:numId="10">
    <w:abstractNumId w:val="17"/>
  </w:num>
  <w:num w:numId="11">
    <w:abstractNumId w:val="5"/>
  </w:num>
  <w:num w:numId="12">
    <w:abstractNumId w:val="1"/>
  </w:num>
  <w:num w:numId="13">
    <w:abstractNumId w:val="6"/>
  </w:num>
  <w:num w:numId="14">
    <w:abstractNumId w:val="13"/>
  </w:num>
  <w:num w:numId="15">
    <w:abstractNumId w:val="15"/>
  </w:num>
  <w:num w:numId="16">
    <w:abstractNumId w:val="30"/>
  </w:num>
  <w:num w:numId="17">
    <w:abstractNumId w:val="9"/>
  </w:num>
  <w:num w:numId="18">
    <w:abstractNumId w:val="4"/>
  </w:num>
  <w:num w:numId="19">
    <w:abstractNumId w:val="10"/>
  </w:num>
  <w:num w:numId="20">
    <w:abstractNumId w:val="23"/>
  </w:num>
  <w:num w:numId="21">
    <w:abstractNumId w:val="25"/>
  </w:num>
  <w:num w:numId="22">
    <w:abstractNumId w:val="11"/>
  </w:num>
  <w:num w:numId="23">
    <w:abstractNumId w:val="24"/>
  </w:num>
  <w:num w:numId="24">
    <w:abstractNumId w:val="28"/>
  </w:num>
  <w:num w:numId="25">
    <w:abstractNumId w:val="19"/>
  </w:num>
  <w:num w:numId="26">
    <w:abstractNumId w:val="31"/>
  </w:num>
  <w:num w:numId="27">
    <w:abstractNumId w:val="7"/>
  </w:num>
  <w:num w:numId="28">
    <w:abstractNumId w:val="2"/>
  </w:num>
  <w:num w:numId="29">
    <w:abstractNumId w:val="16"/>
  </w:num>
  <w:num w:numId="30">
    <w:abstractNumId w:val="3"/>
  </w:num>
  <w:num w:numId="31">
    <w:abstractNumId w:val="0"/>
  </w:num>
  <w:num w:numId="32">
    <w:abstractNumId w:val="8"/>
  </w:num>
  <w:num w:numId="33">
    <w:abstractNumId w:val="2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 Snelling">
    <w15:presenceInfo w15:providerId="AD" w15:userId="S-1-5-21-1982029612-917206853-945835055-19644"/>
  </w15:person>
  <w15:person w15:author="Jo Watson">
    <w15:presenceInfo w15:providerId="Windows Live" w15:userId="4937b045192c7a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2CA"/>
    <w:rsid w:val="00000790"/>
    <w:rsid w:val="00000A9C"/>
    <w:rsid w:val="00000AEE"/>
    <w:rsid w:val="00000C8A"/>
    <w:rsid w:val="00000ECD"/>
    <w:rsid w:val="0000110B"/>
    <w:rsid w:val="00001223"/>
    <w:rsid w:val="00001856"/>
    <w:rsid w:val="00001A8F"/>
    <w:rsid w:val="00001B9C"/>
    <w:rsid w:val="00001F1B"/>
    <w:rsid w:val="00002156"/>
    <w:rsid w:val="00002163"/>
    <w:rsid w:val="00002717"/>
    <w:rsid w:val="00003499"/>
    <w:rsid w:val="000037F1"/>
    <w:rsid w:val="00003A22"/>
    <w:rsid w:val="00003AEB"/>
    <w:rsid w:val="00003BD6"/>
    <w:rsid w:val="00004065"/>
    <w:rsid w:val="0000445A"/>
    <w:rsid w:val="000045A8"/>
    <w:rsid w:val="000053F6"/>
    <w:rsid w:val="000056E6"/>
    <w:rsid w:val="00006055"/>
    <w:rsid w:val="0000614E"/>
    <w:rsid w:val="0000629F"/>
    <w:rsid w:val="000063D9"/>
    <w:rsid w:val="000075F3"/>
    <w:rsid w:val="00007F13"/>
    <w:rsid w:val="00007FB0"/>
    <w:rsid w:val="00010C47"/>
    <w:rsid w:val="00010C91"/>
    <w:rsid w:val="00010CE2"/>
    <w:rsid w:val="00011067"/>
    <w:rsid w:val="00011231"/>
    <w:rsid w:val="000114C1"/>
    <w:rsid w:val="0001163F"/>
    <w:rsid w:val="00011700"/>
    <w:rsid w:val="000118A0"/>
    <w:rsid w:val="00011D34"/>
    <w:rsid w:val="00012007"/>
    <w:rsid w:val="000121A3"/>
    <w:rsid w:val="00012547"/>
    <w:rsid w:val="000126C6"/>
    <w:rsid w:val="0001279D"/>
    <w:rsid w:val="0001289B"/>
    <w:rsid w:val="00012D0B"/>
    <w:rsid w:val="00012D1E"/>
    <w:rsid w:val="00012EAD"/>
    <w:rsid w:val="00012F25"/>
    <w:rsid w:val="00013247"/>
    <w:rsid w:val="00013370"/>
    <w:rsid w:val="00013875"/>
    <w:rsid w:val="00013B23"/>
    <w:rsid w:val="00013F43"/>
    <w:rsid w:val="0001411F"/>
    <w:rsid w:val="00014237"/>
    <w:rsid w:val="00014AF6"/>
    <w:rsid w:val="00014CBB"/>
    <w:rsid w:val="000153C1"/>
    <w:rsid w:val="00015886"/>
    <w:rsid w:val="00015C6C"/>
    <w:rsid w:val="00015ED6"/>
    <w:rsid w:val="000162EF"/>
    <w:rsid w:val="000164B1"/>
    <w:rsid w:val="00016738"/>
    <w:rsid w:val="000169EC"/>
    <w:rsid w:val="00017644"/>
    <w:rsid w:val="00017A4F"/>
    <w:rsid w:val="00017EE1"/>
    <w:rsid w:val="00017EED"/>
    <w:rsid w:val="00020206"/>
    <w:rsid w:val="000202B5"/>
    <w:rsid w:val="0002057A"/>
    <w:rsid w:val="0002087C"/>
    <w:rsid w:val="00020901"/>
    <w:rsid w:val="00021356"/>
    <w:rsid w:val="00021388"/>
    <w:rsid w:val="00021A64"/>
    <w:rsid w:val="0002212A"/>
    <w:rsid w:val="0002225F"/>
    <w:rsid w:val="0002234A"/>
    <w:rsid w:val="0002247E"/>
    <w:rsid w:val="00022E97"/>
    <w:rsid w:val="000231F2"/>
    <w:rsid w:val="00023316"/>
    <w:rsid w:val="000236A9"/>
    <w:rsid w:val="00023763"/>
    <w:rsid w:val="000237C0"/>
    <w:rsid w:val="0002386C"/>
    <w:rsid w:val="00023A2E"/>
    <w:rsid w:val="00023FB4"/>
    <w:rsid w:val="00023FF8"/>
    <w:rsid w:val="00024059"/>
    <w:rsid w:val="00024AA1"/>
    <w:rsid w:val="00025219"/>
    <w:rsid w:val="00026006"/>
    <w:rsid w:val="00026EE3"/>
    <w:rsid w:val="00027299"/>
    <w:rsid w:val="000274B1"/>
    <w:rsid w:val="00027AA1"/>
    <w:rsid w:val="00027ABF"/>
    <w:rsid w:val="00030712"/>
    <w:rsid w:val="00031319"/>
    <w:rsid w:val="00031A3D"/>
    <w:rsid w:val="00031C33"/>
    <w:rsid w:val="00031F89"/>
    <w:rsid w:val="000321F3"/>
    <w:rsid w:val="00032720"/>
    <w:rsid w:val="00032B4E"/>
    <w:rsid w:val="00032E06"/>
    <w:rsid w:val="00032E54"/>
    <w:rsid w:val="000331EB"/>
    <w:rsid w:val="00033502"/>
    <w:rsid w:val="000337CF"/>
    <w:rsid w:val="00033D7F"/>
    <w:rsid w:val="00034290"/>
    <w:rsid w:val="00034E3C"/>
    <w:rsid w:val="0003543A"/>
    <w:rsid w:val="00035DBE"/>
    <w:rsid w:val="00036230"/>
    <w:rsid w:val="00036A91"/>
    <w:rsid w:val="00037230"/>
    <w:rsid w:val="0003792C"/>
    <w:rsid w:val="00037B0C"/>
    <w:rsid w:val="00037E0E"/>
    <w:rsid w:val="00037FCB"/>
    <w:rsid w:val="00040711"/>
    <w:rsid w:val="00040737"/>
    <w:rsid w:val="00040895"/>
    <w:rsid w:val="00040C78"/>
    <w:rsid w:val="00040E77"/>
    <w:rsid w:val="00041088"/>
    <w:rsid w:val="00041437"/>
    <w:rsid w:val="00041796"/>
    <w:rsid w:val="00041894"/>
    <w:rsid w:val="000418B2"/>
    <w:rsid w:val="00041A5B"/>
    <w:rsid w:val="00041B46"/>
    <w:rsid w:val="00041C9E"/>
    <w:rsid w:val="00041CD4"/>
    <w:rsid w:val="00042086"/>
    <w:rsid w:val="000426D2"/>
    <w:rsid w:val="000428A4"/>
    <w:rsid w:val="00043163"/>
    <w:rsid w:val="000433F1"/>
    <w:rsid w:val="000433FB"/>
    <w:rsid w:val="00043597"/>
    <w:rsid w:val="00043C0D"/>
    <w:rsid w:val="00043C37"/>
    <w:rsid w:val="000442F0"/>
    <w:rsid w:val="00044C18"/>
    <w:rsid w:val="00044D7F"/>
    <w:rsid w:val="000453FD"/>
    <w:rsid w:val="000455C6"/>
    <w:rsid w:val="00045F34"/>
    <w:rsid w:val="00045F84"/>
    <w:rsid w:val="0004613B"/>
    <w:rsid w:val="000462C5"/>
    <w:rsid w:val="00047803"/>
    <w:rsid w:val="000504B6"/>
    <w:rsid w:val="00050674"/>
    <w:rsid w:val="000506E6"/>
    <w:rsid w:val="00050C25"/>
    <w:rsid w:val="0005199D"/>
    <w:rsid w:val="00051CCD"/>
    <w:rsid w:val="00051CD7"/>
    <w:rsid w:val="00051DC2"/>
    <w:rsid w:val="0005201C"/>
    <w:rsid w:val="00052662"/>
    <w:rsid w:val="0005310A"/>
    <w:rsid w:val="00053E09"/>
    <w:rsid w:val="00053E52"/>
    <w:rsid w:val="00053EF9"/>
    <w:rsid w:val="000541C8"/>
    <w:rsid w:val="00054506"/>
    <w:rsid w:val="000546D7"/>
    <w:rsid w:val="00054961"/>
    <w:rsid w:val="00054A03"/>
    <w:rsid w:val="00054BFD"/>
    <w:rsid w:val="00054E61"/>
    <w:rsid w:val="00055760"/>
    <w:rsid w:val="000558E6"/>
    <w:rsid w:val="00055E91"/>
    <w:rsid w:val="00056A7C"/>
    <w:rsid w:val="00056D8C"/>
    <w:rsid w:val="00057229"/>
    <w:rsid w:val="00057596"/>
    <w:rsid w:val="000578FF"/>
    <w:rsid w:val="0005792C"/>
    <w:rsid w:val="00060103"/>
    <w:rsid w:val="0006022D"/>
    <w:rsid w:val="00060314"/>
    <w:rsid w:val="000604DD"/>
    <w:rsid w:val="00060759"/>
    <w:rsid w:val="00061193"/>
    <w:rsid w:val="000612A9"/>
    <w:rsid w:val="0006158E"/>
    <w:rsid w:val="00061A51"/>
    <w:rsid w:val="00061D23"/>
    <w:rsid w:val="00061F29"/>
    <w:rsid w:val="0006211B"/>
    <w:rsid w:val="00062E45"/>
    <w:rsid w:val="0006367E"/>
    <w:rsid w:val="00063828"/>
    <w:rsid w:val="00063F36"/>
    <w:rsid w:val="0006553E"/>
    <w:rsid w:val="00065610"/>
    <w:rsid w:val="00066098"/>
    <w:rsid w:val="00066427"/>
    <w:rsid w:val="000665D2"/>
    <w:rsid w:val="00066A57"/>
    <w:rsid w:val="00066B6E"/>
    <w:rsid w:val="00067046"/>
    <w:rsid w:val="000670AA"/>
    <w:rsid w:val="00067262"/>
    <w:rsid w:val="00067618"/>
    <w:rsid w:val="00067B91"/>
    <w:rsid w:val="00070015"/>
    <w:rsid w:val="0007020C"/>
    <w:rsid w:val="000710A8"/>
    <w:rsid w:val="00071248"/>
    <w:rsid w:val="00071FFF"/>
    <w:rsid w:val="000720B9"/>
    <w:rsid w:val="00072A9B"/>
    <w:rsid w:val="00072B97"/>
    <w:rsid w:val="00073261"/>
    <w:rsid w:val="00073D30"/>
    <w:rsid w:val="00073DE8"/>
    <w:rsid w:val="0007407D"/>
    <w:rsid w:val="00074117"/>
    <w:rsid w:val="000741B8"/>
    <w:rsid w:val="000746DA"/>
    <w:rsid w:val="00074952"/>
    <w:rsid w:val="00074CB0"/>
    <w:rsid w:val="00074F6A"/>
    <w:rsid w:val="000753CD"/>
    <w:rsid w:val="000759C1"/>
    <w:rsid w:val="00075A87"/>
    <w:rsid w:val="00075C7B"/>
    <w:rsid w:val="00075E14"/>
    <w:rsid w:val="00076138"/>
    <w:rsid w:val="00076D6E"/>
    <w:rsid w:val="00076DC8"/>
    <w:rsid w:val="000770F9"/>
    <w:rsid w:val="00077386"/>
    <w:rsid w:val="0007793C"/>
    <w:rsid w:val="00077FE7"/>
    <w:rsid w:val="00080104"/>
    <w:rsid w:val="000802D5"/>
    <w:rsid w:val="0008035E"/>
    <w:rsid w:val="0008089C"/>
    <w:rsid w:val="000812CA"/>
    <w:rsid w:val="00081329"/>
    <w:rsid w:val="0008157F"/>
    <w:rsid w:val="000815CC"/>
    <w:rsid w:val="00081820"/>
    <w:rsid w:val="00082233"/>
    <w:rsid w:val="00082616"/>
    <w:rsid w:val="000832AC"/>
    <w:rsid w:val="000835BE"/>
    <w:rsid w:val="000835C0"/>
    <w:rsid w:val="000838DE"/>
    <w:rsid w:val="00083D6D"/>
    <w:rsid w:val="000840BE"/>
    <w:rsid w:val="00084E99"/>
    <w:rsid w:val="0008503E"/>
    <w:rsid w:val="000852D8"/>
    <w:rsid w:val="0008583A"/>
    <w:rsid w:val="00085C57"/>
    <w:rsid w:val="00085DFA"/>
    <w:rsid w:val="00085FCB"/>
    <w:rsid w:val="000867E2"/>
    <w:rsid w:val="00086810"/>
    <w:rsid w:val="00086EE4"/>
    <w:rsid w:val="000870AF"/>
    <w:rsid w:val="00087140"/>
    <w:rsid w:val="00087308"/>
    <w:rsid w:val="000874E0"/>
    <w:rsid w:val="00087910"/>
    <w:rsid w:val="00090A40"/>
    <w:rsid w:val="00090A5B"/>
    <w:rsid w:val="00090C7E"/>
    <w:rsid w:val="00090CF8"/>
    <w:rsid w:val="00090F12"/>
    <w:rsid w:val="00091231"/>
    <w:rsid w:val="0009183C"/>
    <w:rsid w:val="00091C85"/>
    <w:rsid w:val="00091D87"/>
    <w:rsid w:val="00091DFC"/>
    <w:rsid w:val="00091F7D"/>
    <w:rsid w:val="0009204C"/>
    <w:rsid w:val="0009256C"/>
    <w:rsid w:val="00092EA4"/>
    <w:rsid w:val="00092FFB"/>
    <w:rsid w:val="000936AE"/>
    <w:rsid w:val="00093ED6"/>
    <w:rsid w:val="00093F0C"/>
    <w:rsid w:val="0009443D"/>
    <w:rsid w:val="000949E3"/>
    <w:rsid w:val="000949E7"/>
    <w:rsid w:val="00094A25"/>
    <w:rsid w:val="0009532B"/>
    <w:rsid w:val="000953A6"/>
    <w:rsid w:val="00095AE8"/>
    <w:rsid w:val="00095C5C"/>
    <w:rsid w:val="00096399"/>
    <w:rsid w:val="000964D3"/>
    <w:rsid w:val="000964FB"/>
    <w:rsid w:val="0009662E"/>
    <w:rsid w:val="00096638"/>
    <w:rsid w:val="00096815"/>
    <w:rsid w:val="00096C3D"/>
    <w:rsid w:val="0009760A"/>
    <w:rsid w:val="00097640"/>
    <w:rsid w:val="000978E3"/>
    <w:rsid w:val="0009794B"/>
    <w:rsid w:val="000979BB"/>
    <w:rsid w:val="00097A87"/>
    <w:rsid w:val="00097F70"/>
    <w:rsid w:val="000A0E16"/>
    <w:rsid w:val="000A12B7"/>
    <w:rsid w:val="000A1537"/>
    <w:rsid w:val="000A16DD"/>
    <w:rsid w:val="000A186F"/>
    <w:rsid w:val="000A1D5E"/>
    <w:rsid w:val="000A26A1"/>
    <w:rsid w:val="000A27E1"/>
    <w:rsid w:val="000A2D2A"/>
    <w:rsid w:val="000A37C5"/>
    <w:rsid w:val="000A3900"/>
    <w:rsid w:val="000A3B42"/>
    <w:rsid w:val="000A3BB3"/>
    <w:rsid w:val="000A3D5C"/>
    <w:rsid w:val="000A45B7"/>
    <w:rsid w:val="000A45DD"/>
    <w:rsid w:val="000A47F4"/>
    <w:rsid w:val="000A4F8E"/>
    <w:rsid w:val="000A518D"/>
    <w:rsid w:val="000A5299"/>
    <w:rsid w:val="000A5845"/>
    <w:rsid w:val="000A5868"/>
    <w:rsid w:val="000A5A72"/>
    <w:rsid w:val="000A5B4E"/>
    <w:rsid w:val="000A5E8C"/>
    <w:rsid w:val="000A6540"/>
    <w:rsid w:val="000A6748"/>
    <w:rsid w:val="000A6985"/>
    <w:rsid w:val="000A6AC6"/>
    <w:rsid w:val="000A6BF2"/>
    <w:rsid w:val="000A7249"/>
    <w:rsid w:val="000A72A3"/>
    <w:rsid w:val="000A7928"/>
    <w:rsid w:val="000A7E23"/>
    <w:rsid w:val="000A7E66"/>
    <w:rsid w:val="000A7F1A"/>
    <w:rsid w:val="000B023C"/>
    <w:rsid w:val="000B0713"/>
    <w:rsid w:val="000B0C26"/>
    <w:rsid w:val="000B109E"/>
    <w:rsid w:val="000B1435"/>
    <w:rsid w:val="000B15DB"/>
    <w:rsid w:val="000B1B6B"/>
    <w:rsid w:val="000B232C"/>
    <w:rsid w:val="000B23F8"/>
    <w:rsid w:val="000B2FBE"/>
    <w:rsid w:val="000B3065"/>
    <w:rsid w:val="000B3100"/>
    <w:rsid w:val="000B3129"/>
    <w:rsid w:val="000B3699"/>
    <w:rsid w:val="000B3761"/>
    <w:rsid w:val="000B3EFE"/>
    <w:rsid w:val="000B3FB0"/>
    <w:rsid w:val="000B4163"/>
    <w:rsid w:val="000B452D"/>
    <w:rsid w:val="000B468A"/>
    <w:rsid w:val="000B4B79"/>
    <w:rsid w:val="000B50A1"/>
    <w:rsid w:val="000B5372"/>
    <w:rsid w:val="000B53D6"/>
    <w:rsid w:val="000B5948"/>
    <w:rsid w:val="000B5AF1"/>
    <w:rsid w:val="000B6388"/>
    <w:rsid w:val="000B640E"/>
    <w:rsid w:val="000B68DA"/>
    <w:rsid w:val="000B6942"/>
    <w:rsid w:val="000B694F"/>
    <w:rsid w:val="000B6EDE"/>
    <w:rsid w:val="000B72B9"/>
    <w:rsid w:val="000B72C6"/>
    <w:rsid w:val="000B7B14"/>
    <w:rsid w:val="000B7BFA"/>
    <w:rsid w:val="000B7F41"/>
    <w:rsid w:val="000C130B"/>
    <w:rsid w:val="000C1AAB"/>
    <w:rsid w:val="000C21B8"/>
    <w:rsid w:val="000C23D2"/>
    <w:rsid w:val="000C2C9D"/>
    <w:rsid w:val="000C2DDE"/>
    <w:rsid w:val="000C2E2C"/>
    <w:rsid w:val="000C300F"/>
    <w:rsid w:val="000C3152"/>
    <w:rsid w:val="000C350D"/>
    <w:rsid w:val="000C3D8D"/>
    <w:rsid w:val="000C4044"/>
    <w:rsid w:val="000C42BB"/>
    <w:rsid w:val="000C46BD"/>
    <w:rsid w:val="000C4925"/>
    <w:rsid w:val="000C4F3F"/>
    <w:rsid w:val="000C52C2"/>
    <w:rsid w:val="000C5453"/>
    <w:rsid w:val="000C553C"/>
    <w:rsid w:val="000C557B"/>
    <w:rsid w:val="000C5858"/>
    <w:rsid w:val="000C5DA4"/>
    <w:rsid w:val="000C637E"/>
    <w:rsid w:val="000C6A80"/>
    <w:rsid w:val="000C6AEB"/>
    <w:rsid w:val="000C6C25"/>
    <w:rsid w:val="000C6D70"/>
    <w:rsid w:val="000C72BE"/>
    <w:rsid w:val="000C73EB"/>
    <w:rsid w:val="000C751E"/>
    <w:rsid w:val="000C7A63"/>
    <w:rsid w:val="000C7A74"/>
    <w:rsid w:val="000C7C28"/>
    <w:rsid w:val="000C7D57"/>
    <w:rsid w:val="000D0147"/>
    <w:rsid w:val="000D0480"/>
    <w:rsid w:val="000D0900"/>
    <w:rsid w:val="000D1266"/>
    <w:rsid w:val="000D1442"/>
    <w:rsid w:val="000D17AE"/>
    <w:rsid w:val="000D1986"/>
    <w:rsid w:val="000D1BFC"/>
    <w:rsid w:val="000D1EAE"/>
    <w:rsid w:val="000D1ECF"/>
    <w:rsid w:val="000D20B9"/>
    <w:rsid w:val="000D2529"/>
    <w:rsid w:val="000D27B8"/>
    <w:rsid w:val="000D2F92"/>
    <w:rsid w:val="000D3001"/>
    <w:rsid w:val="000D3054"/>
    <w:rsid w:val="000D31C8"/>
    <w:rsid w:val="000D3304"/>
    <w:rsid w:val="000D35B0"/>
    <w:rsid w:val="000D3FD1"/>
    <w:rsid w:val="000D41F9"/>
    <w:rsid w:val="000D4ABB"/>
    <w:rsid w:val="000D5234"/>
    <w:rsid w:val="000D5891"/>
    <w:rsid w:val="000D5DDC"/>
    <w:rsid w:val="000D60C4"/>
    <w:rsid w:val="000D69AA"/>
    <w:rsid w:val="000D69DF"/>
    <w:rsid w:val="000D6C20"/>
    <w:rsid w:val="000D6E1F"/>
    <w:rsid w:val="000D7469"/>
    <w:rsid w:val="000D753B"/>
    <w:rsid w:val="000D7548"/>
    <w:rsid w:val="000D7790"/>
    <w:rsid w:val="000D77C5"/>
    <w:rsid w:val="000D7A9C"/>
    <w:rsid w:val="000E0A8A"/>
    <w:rsid w:val="000E0C18"/>
    <w:rsid w:val="000E0C48"/>
    <w:rsid w:val="000E0C72"/>
    <w:rsid w:val="000E0D87"/>
    <w:rsid w:val="000E0EEA"/>
    <w:rsid w:val="000E102F"/>
    <w:rsid w:val="000E13B9"/>
    <w:rsid w:val="000E159E"/>
    <w:rsid w:val="000E1635"/>
    <w:rsid w:val="000E17AB"/>
    <w:rsid w:val="000E1970"/>
    <w:rsid w:val="000E199A"/>
    <w:rsid w:val="000E1C71"/>
    <w:rsid w:val="000E24C6"/>
    <w:rsid w:val="000E256B"/>
    <w:rsid w:val="000E26F7"/>
    <w:rsid w:val="000E2924"/>
    <w:rsid w:val="000E2D9D"/>
    <w:rsid w:val="000E30C0"/>
    <w:rsid w:val="000E31DA"/>
    <w:rsid w:val="000E32A1"/>
    <w:rsid w:val="000E38F1"/>
    <w:rsid w:val="000E396C"/>
    <w:rsid w:val="000E3A86"/>
    <w:rsid w:val="000E412D"/>
    <w:rsid w:val="000E4494"/>
    <w:rsid w:val="000E46C3"/>
    <w:rsid w:val="000E4FCD"/>
    <w:rsid w:val="000E5AC2"/>
    <w:rsid w:val="000E5D64"/>
    <w:rsid w:val="000E5EBB"/>
    <w:rsid w:val="000E64FE"/>
    <w:rsid w:val="000E6B2F"/>
    <w:rsid w:val="000E6C4D"/>
    <w:rsid w:val="000E6C5D"/>
    <w:rsid w:val="000E743F"/>
    <w:rsid w:val="000E7DBA"/>
    <w:rsid w:val="000F0076"/>
    <w:rsid w:val="000F0799"/>
    <w:rsid w:val="000F07AB"/>
    <w:rsid w:val="000F0D82"/>
    <w:rsid w:val="000F14FC"/>
    <w:rsid w:val="000F1505"/>
    <w:rsid w:val="000F1574"/>
    <w:rsid w:val="000F162C"/>
    <w:rsid w:val="000F16B6"/>
    <w:rsid w:val="000F16FC"/>
    <w:rsid w:val="000F1B05"/>
    <w:rsid w:val="000F1FAE"/>
    <w:rsid w:val="000F2269"/>
    <w:rsid w:val="000F24D5"/>
    <w:rsid w:val="000F2967"/>
    <w:rsid w:val="000F2B4F"/>
    <w:rsid w:val="000F2C8E"/>
    <w:rsid w:val="000F2F18"/>
    <w:rsid w:val="000F3B6B"/>
    <w:rsid w:val="000F3DAF"/>
    <w:rsid w:val="000F3FFC"/>
    <w:rsid w:val="000F4675"/>
    <w:rsid w:val="000F47EF"/>
    <w:rsid w:val="000F4BB8"/>
    <w:rsid w:val="000F4BBA"/>
    <w:rsid w:val="000F576C"/>
    <w:rsid w:val="000F5D8C"/>
    <w:rsid w:val="000F6211"/>
    <w:rsid w:val="000F634A"/>
    <w:rsid w:val="000F64A2"/>
    <w:rsid w:val="000F66ED"/>
    <w:rsid w:val="000F7051"/>
    <w:rsid w:val="000F7127"/>
    <w:rsid w:val="000F7227"/>
    <w:rsid w:val="000F76D1"/>
    <w:rsid w:val="000F77DF"/>
    <w:rsid w:val="000F7BD8"/>
    <w:rsid w:val="00100221"/>
    <w:rsid w:val="00100F8A"/>
    <w:rsid w:val="00101482"/>
    <w:rsid w:val="0010170A"/>
    <w:rsid w:val="00101B3D"/>
    <w:rsid w:val="001024CF"/>
    <w:rsid w:val="00102C18"/>
    <w:rsid w:val="001035B5"/>
    <w:rsid w:val="001038AB"/>
    <w:rsid w:val="0010431C"/>
    <w:rsid w:val="00104569"/>
    <w:rsid w:val="0010470F"/>
    <w:rsid w:val="00105257"/>
    <w:rsid w:val="001053A5"/>
    <w:rsid w:val="0010555C"/>
    <w:rsid w:val="00105A88"/>
    <w:rsid w:val="00105C8F"/>
    <w:rsid w:val="00105F64"/>
    <w:rsid w:val="00105F8A"/>
    <w:rsid w:val="00106005"/>
    <w:rsid w:val="00107328"/>
    <w:rsid w:val="0010744A"/>
    <w:rsid w:val="00107518"/>
    <w:rsid w:val="00107B18"/>
    <w:rsid w:val="00110327"/>
    <w:rsid w:val="0011032E"/>
    <w:rsid w:val="0011041B"/>
    <w:rsid w:val="001104F9"/>
    <w:rsid w:val="00110706"/>
    <w:rsid w:val="001107C3"/>
    <w:rsid w:val="001108B9"/>
    <w:rsid w:val="00110A2F"/>
    <w:rsid w:val="00111236"/>
    <w:rsid w:val="00111877"/>
    <w:rsid w:val="00111C59"/>
    <w:rsid w:val="00112C00"/>
    <w:rsid w:val="00112E5E"/>
    <w:rsid w:val="0011348B"/>
    <w:rsid w:val="001136A5"/>
    <w:rsid w:val="001136FA"/>
    <w:rsid w:val="0011370B"/>
    <w:rsid w:val="001137C6"/>
    <w:rsid w:val="00113AA3"/>
    <w:rsid w:val="00113E4E"/>
    <w:rsid w:val="00114C39"/>
    <w:rsid w:val="0011548C"/>
    <w:rsid w:val="00116E6D"/>
    <w:rsid w:val="001172CD"/>
    <w:rsid w:val="0011741A"/>
    <w:rsid w:val="00117CEB"/>
    <w:rsid w:val="00117FDD"/>
    <w:rsid w:val="0012075F"/>
    <w:rsid w:val="0012089C"/>
    <w:rsid w:val="00121474"/>
    <w:rsid w:val="00121799"/>
    <w:rsid w:val="00121BC8"/>
    <w:rsid w:val="0012219D"/>
    <w:rsid w:val="001222FC"/>
    <w:rsid w:val="00123F80"/>
    <w:rsid w:val="00124004"/>
    <w:rsid w:val="0012437D"/>
    <w:rsid w:val="00124A51"/>
    <w:rsid w:val="00124A64"/>
    <w:rsid w:val="00125093"/>
    <w:rsid w:val="001250F6"/>
    <w:rsid w:val="00126166"/>
    <w:rsid w:val="00126621"/>
    <w:rsid w:val="00127070"/>
    <w:rsid w:val="0012715B"/>
    <w:rsid w:val="00127225"/>
    <w:rsid w:val="0012737E"/>
    <w:rsid w:val="001301A2"/>
    <w:rsid w:val="001301E9"/>
    <w:rsid w:val="00130232"/>
    <w:rsid w:val="00130B69"/>
    <w:rsid w:val="00130D5A"/>
    <w:rsid w:val="00130F21"/>
    <w:rsid w:val="001311A0"/>
    <w:rsid w:val="001315F6"/>
    <w:rsid w:val="00131D91"/>
    <w:rsid w:val="00131F5C"/>
    <w:rsid w:val="00132352"/>
    <w:rsid w:val="00132A63"/>
    <w:rsid w:val="00132E96"/>
    <w:rsid w:val="001331A3"/>
    <w:rsid w:val="0013353A"/>
    <w:rsid w:val="0013353E"/>
    <w:rsid w:val="00134186"/>
    <w:rsid w:val="00134283"/>
    <w:rsid w:val="0013470C"/>
    <w:rsid w:val="001348DD"/>
    <w:rsid w:val="001349EF"/>
    <w:rsid w:val="00135929"/>
    <w:rsid w:val="00135AE2"/>
    <w:rsid w:val="00135E39"/>
    <w:rsid w:val="00136006"/>
    <w:rsid w:val="001360E1"/>
    <w:rsid w:val="00136880"/>
    <w:rsid w:val="00136954"/>
    <w:rsid w:val="00136A4D"/>
    <w:rsid w:val="00136AFC"/>
    <w:rsid w:val="00136C62"/>
    <w:rsid w:val="00136CE3"/>
    <w:rsid w:val="00137601"/>
    <w:rsid w:val="00137633"/>
    <w:rsid w:val="00137645"/>
    <w:rsid w:val="001377AB"/>
    <w:rsid w:val="00137991"/>
    <w:rsid w:val="00137BA7"/>
    <w:rsid w:val="0014006C"/>
    <w:rsid w:val="0014015A"/>
    <w:rsid w:val="00140770"/>
    <w:rsid w:val="00140E99"/>
    <w:rsid w:val="00140FD6"/>
    <w:rsid w:val="00141295"/>
    <w:rsid w:val="001413F0"/>
    <w:rsid w:val="001414A8"/>
    <w:rsid w:val="00141801"/>
    <w:rsid w:val="00141842"/>
    <w:rsid w:val="00141939"/>
    <w:rsid w:val="001419C2"/>
    <w:rsid w:val="00141B49"/>
    <w:rsid w:val="0014243C"/>
    <w:rsid w:val="00142474"/>
    <w:rsid w:val="001425F9"/>
    <w:rsid w:val="00142C0E"/>
    <w:rsid w:val="00142C20"/>
    <w:rsid w:val="00143058"/>
    <w:rsid w:val="001433FF"/>
    <w:rsid w:val="00143484"/>
    <w:rsid w:val="00143ACD"/>
    <w:rsid w:val="00143D0C"/>
    <w:rsid w:val="0014459E"/>
    <w:rsid w:val="00144624"/>
    <w:rsid w:val="00144A9E"/>
    <w:rsid w:val="00145540"/>
    <w:rsid w:val="001456A4"/>
    <w:rsid w:val="001456B0"/>
    <w:rsid w:val="00145951"/>
    <w:rsid w:val="00146367"/>
    <w:rsid w:val="001466F6"/>
    <w:rsid w:val="001467AA"/>
    <w:rsid w:val="00146F6D"/>
    <w:rsid w:val="0014761B"/>
    <w:rsid w:val="00150115"/>
    <w:rsid w:val="0015012F"/>
    <w:rsid w:val="001501B8"/>
    <w:rsid w:val="001506C2"/>
    <w:rsid w:val="0015153F"/>
    <w:rsid w:val="0015166F"/>
    <w:rsid w:val="00151933"/>
    <w:rsid w:val="0015230D"/>
    <w:rsid w:val="001527B1"/>
    <w:rsid w:val="00152803"/>
    <w:rsid w:val="0015282E"/>
    <w:rsid w:val="001529B5"/>
    <w:rsid w:val="00152BE7"/>
    <w:rsid w:val="0015392A"/>
    <w:rsid w:val="00153D74"/>
    <w:rsid w:val="00154023"/>
    <w:rsid w:val="00154ECC"/>
    <w:rsid w:val="00155447"/>
    <w:rsid w:val="00155657"/>
    <w:rsid w:val="00155828"/>
    <w:rsid w:val="00155AFC"/>
    <w:rsid w:val="00155C55"/>
    <w:rsid w:val="00156042"/>
    <w:rsid w:val="001561D4"/>
    <w:rsid w:val="001568C5"/>
    <w:rsid w:val="00156A8D"/>
    <w:rsid w:val="00156AD3"/>
    <w:rsid w:val="00157130"/>
    <w:rsid w:val="00157231"/>
    <w:rsid w:val="00157898"/>
    <w:rsid w:val="00157AE2"/>
    <w:rsid w:val="0016008E"/>
    <w:rsid w:val="0016040B"/>
    <w:rsid w:val="00160A65"/>
    <w:rsid w:val="00160ACF"/>
    <w:rsid w:val="00160BC6"/>
    <w:rsid w:val="0016139D"/>
    <w:rsid w:val="001617FA"/>
    <w:rsid w:val="0016192A"/>
    <w:rsid w:val="00161A62"/>
    <w:rsid w:val="00161BAF"/>
    <w:rsid w:val="00162913"/>
    <w:rsid w:val="00162C62"/>
    <w:rsid w:val="0016309D"/>
    <w:rsid w:val="00163227"/>
    <w:rsid w:val="0016327D"/>
    <w:rsid w:val="00163307"/>
    <w:rsid w:val="00163BC4"/>
    <w:rsid w:val="00163EFF"/>
    <w:rsid w:val="001641E7"/>
    <w:rsid w:val="0016420A"/>
    <w:rsid w:val="00164469"/>
    <w:rsid w:val="00164977"/>
    <w:rsid w:val="00164CC5"/>
    <w:rsid w:val="00164E64"/>
    <w:rsid w:val="00164F58"/>
    <w:rsid w:val="00165014"/>
    <w:rsid w:val="00165B4E"/>
    <w:rsid w:val="00165D76"/>
    <w:rsid w:val="00165E01"/>
    <w:rsid w:val="001661FB"/>
    <w:rsid w:val="00166760"/>
    <w:rsid w:val="001668E6"/>
    <w:rsid w:val="00166DAF"/>
    <w:rsid w:val="00167174"/>
    <w:rsid w:val="001672A6"/>
    <w:rsid w:val="001675E1"/>
    <w:rsid w:val="001678D5"/>
    <w:rsid w:val="00167945"/>
    <w:rsid w:val="001704AF"/>
    <w:rsid w:val="00170C85"/>
    <w:rsid w:val="00171278"/>
    <w:rsid w:val="0017148B"/>
    <w:rsid w:val="00171607"/>
    <w:rsid w:val="001716D4"/>
    <w:rsid w:val="00171F5E"/>
    <w:rsid w:val="001722DF"/>
    <w:rsid w:val="00172435"/>
    <w:rsid w:val="00172794"/>
    <w:rsid w:val="00172ABC"/>
    <w:rsid w:val="00172C75"/>
    <w:rsid w:val="00172DDE"/>
    <w:rsid w:val="00172EBF"/>
    <w:rsid w:val="00173956"/>
    <w:rsid w:val="00173BE2"/>
    <w:rsid w:val="00173DFF"/>
    <w:rsid w:val="001742B3"/>
    <w:rsid w:val="0017439C"/>
    <w:rsid w:val="00174532"/>
    <w:rsid w:val="0017482A"/>
    <w:rsid w:val="0017482B"/>
    <w:rsid w:val="0017487F"/>
    <w:rsid w:val="00174B3B"/>
    <w:rsid w:val="00174DE6"/>
    <w:rsid w:val="00175179"/>
    <w:rsid w:val="00175433"/>
    <w:rsid w:val="00175464"/>
    <w:rsid w:val="00175A53"/>
    <w:rsid w:val="00175CBD"/>
    <w:rsid w:val="001763E1"/>
    <w:rsid w:val="00176551"/>
    <w:rsid w:val="00176DF3"/>
    <w:rsid w:val="00176FEF"/>
    <w:rsid w:val="00177345"/>
    <w:rsid w:val="001779C2"/>
    <w:rsid w:val="00180C1D"/>
    <w:rsid w:val="00181EDF"/>
    <w:rsid w:val="0018223B"/>
    <w:rsid w:val="0018258B"/>
    <w:rsid w:val="00182615"/>
    <w:rsid w:val="001826FB"/>
    <w:rsid w:val="00182958"/>
    <w:rsid w:val="00183339"/>
    <w:rsid w:val="001835FA"/>
    <w:rsid w:val="00183624"/>
    <w:rsid w:val="00183ADA"/>
    <w:rsid w:val="001845DC"/>
    <w:rsid w:val="00184790"/>
    <w:rsid w:val="001848E3"/>
    <w:rsid w:val="00184C5C"/>
    <w:rsid w:val="00184E36"/>
    <w:rsid w:val="00184E67"/>
    <w:rsid w:val="00185F13"/>
    <w:rsid w:val="00185F7E"/>
    <w:rsid w:val="0018606B"/>
    <w:rsid w:val="001860AF"/>
    <w:rsid w:val="00186257"/>
    <w:rsid w:val="001868D5"/>
    <w:rsid w:val="001869CE"/>
    <w:rsid w:val="00186F4A"/>
    <w:rsid w:val="00187188"/>
    <w:rsid w:val="0018724F"/>
    <w:rsid w:val="0018752F"/>
    <w:rsid w:val="001875F0"/>
    <w:rsid w:val="0018766F"/>
    <w:rsid w:val="001877CE"/>
    <w:rsid w:val="0018782F"/>
    <w:rsid w:val="001879AE"/>
    <w:rsid w:val="00187DE6"/>
    <w:rsid w:val="001900FB"/>
    <w:rsid w:val="0019044E"/>
    <w:rsid w:val="00190BF2"/>
    <w:rsid w:val="00190FB8"/>
    <w:rsid w:val="00190FD9"/>
    <w:rsid w:val="0019147F"/>
    <w:rsid w:val="00191AD3"/>
    <w:rsid w:val="00192679"/>
    <w:rsid w:val="00192813"/>
    <w:rsid w:val="001929E0"/>
    <w:rsid w:val="00192A5C"/>
    <w:rsid w:val="0019326A"/>
    <w:rsid w:val="00193493"/>
    <w:rsid w:val="00193790"/>
    <w:rsid w:val="00193B3E"/>
    <w:rsid w:val="00194286"/>
    <w:rsid w:val="001943CA"/>
    <w:rsid w:val="001944DE"/>
    <w:rsid w:val="00194D9E"/>
    <w:rsid w:val="00194E55"/>
    <w:rsid w:val="00194F2B"/>
    <w:rsid w:val="00195222"/>
    <w:rsid w:val="00195742"/>
    <w:rsid w:val="0019598B"/>
    <w:rsid w:val="00195CAD"/>
    <w:rsid w:val="001961E0"/>
    <w:rsid w:val="00196B94"/>
    <w:rsid w:val="00196F7F"/>
    <w:rsid w:val="001971B7"/>
    <w:rsid w:val="001973C2"/>
    <w:rsid w:val="00197406"/>
    <w:rsid w:val="001975D8"/>
    <w:rsid w:val="00197871"/>
    <w:rsid w:val="001A064A"/>
    <w:rsid w:val="001A073F"/>
    <w:rsid w:val="001A0A84"/>
    <w:rsid w:val="001A0CD5"/>
    <w:rsid w:val="001A0F20"/>
    <w:rsid w:val="001A113F"/>
    <w:rsid w:val="001A13C8"/>
    <w:rsid w:val="001A18B3"/>
    <w:rsid w:val="001A1A00"/>
    <w:rsid w:val="001A1BC5"/>
    <w:rsid w:val="001A1EF1"/>
    <w:rsid w:val="001A202C"/>
    <w:rsid w:val="001A24AB"/>
    <w:rsid w:val="001A25DE"/>
    <w:rsid w:val="001A2E9A"/>
    <w:rsid w:val="001A3BA1"/>
    <w:rsid w:val="001A3D76"/>
    <w:rsid w:val="001A42DC"/>
    <w:rsid w:val="001A4A3F"/>
    <w:rsid w:val="001A4B74"/>
    <w:rsid w:val="001A4D20"/>
    <w:rsid w:val="001A4F38"/>
    <w:rsid w:val="001A51A2"/>
    <w:rsid w:val="001A55B1"/>
    <w:rsid w:val="001A5B7D"/>
    <w:rsid w:val="001A5C1A"/>
    <w:rsid w:val="001A6599"/>
    <w:rsid w:val="001A675E"/>
    <w:rsid w:val="001A6AEF"/>
    <w:rsid w:val="001A6E4D"/>
    <w:rsid w:val="001A6E75"/>
    <w:rsid w:val="001A7001"/>
    <w:rsid w:val="001A748A"/>
    <w:rsid w:val="001A7A5E"/>
    <w:rsid w:val="001A7B24"/>
    <w:rsid w:val="001B00A2"/>
    <w:rsid w:val="001B00EA"/>
    <w:rsid w:val="001B046D"/>
    <w:rsid w:val="001B1165"/>
    <w:rsid w:val="001B1326"/>
    <w:rsid w:val="001B1667"/>
    <w:rsid w:val="001B1960"/>
    <w:rsid w:val="001B196B"/>
    <w:rsid w:val="001B1ACF"/>
    <w:rsid w:val="001B1E47"/>
    <w:rsid w:val="001B218B"/>
    <w:rsid w:val="001B3443"/>
    <w:rsid w:val="001B3B99"/>
    <w:rsid w:val="001B3EBA"/>
    <w:rsid w:val="001B452D"/>
    <w:rsid w:val="001B4677"/>
    <w:rsid w:val="001B467E"/>
    <w:rsid w:val="001B4FA0"/>
    <w:rsid w:val="001B5019"/>
    <w:rsid w:val="001B5188"/>
    <w:rsid w:val="001B546D"/>
    <w:rsid w:val="001B5BAE"/>
    <w:rsid w:val="001B5D51"/>
    <w:rsid w:val="001B6478"/>
    <w:rsid w:val="001B6490"/>
    <w:rsid w:val="001B6FA0"/>
    <w:rsid w:val="001B784C"/>
    <w:rsid w:val="001B7CC7"/>
    <w:rsid w:val="001B7D4B"/>
    <w:rsid w:val="001C03EB"/>
    <w:rsid w:val="001C0774"/>
    <w:rsid w:val="001C0CD4"/>
    <w:rsid w:val="001C13D9"/>
    <w:rsid w:val="001C1555"/>
    <w:rsid w:val="001C1917"/>
    <w:rsid w:val="001C21F4"/>
    <w:rsid w:val="001C2B61"/>
    <w:rsid w:val="001C2D25"/>
    <w:rsid w:val="001C2D53"/>
    <w:rsid w:val="001C3078"/>
    <w:rsid w:val="001C3755"/>
    <w:rsid w:val="001C3879"/>
    <w:rsid w:val="001C3A95"/>
    <w:rsid w:val="001C3AFE"/>
    <w:rsid w:val="001C42BE"/>
    <w:rsid w:val="001C455B"/>
    <w:rsid w:val="001C4A75"/>
    <w:rsid w:val="001C4C4C"/>
    <w:rsid w:val="001C5178"/>
    <w:rsid w:val="001C58C3"/>
    <w:rsid w:val="001C59EA"/>
    <w:rsid w:val="001C5BEC"/>
    <w:rsid w:val="001C5CC3"/>
    <w:rsid w:val="001C5D13"/>
    <w:rsid w:val="001C651C"/>
    <w:rsid w:val="001C68C5"/>
    <w:rsid w:val="001C6AB5"/>
    <w:rsid w:val="001C6B3B"/>
    <w:rsid w:val="001C6E66"/>
    <w:rsid w:val="001C6EFF"/>
    <w:rsid w:val="001C7545"/>
    <w:rsid w:val="001C7A7A"/>
    <w:rsid w:val="001C7B61"/>
    <w:rsid w:val="001C7C82"/>
    <w:rsid w:val="001C7DEC"/>
    <w:rsid w:val="001C7ED8"/>
    <w:rsid w:val="001C7F61"/>
    <w:rsid w:val="001D0484"/>
    <w:rsid w:val="001D08F1"/>
    <w:rsid w:val="001D1367"/>
    <w:rsid w:val="001D18D7"/>
    <w:rsid w:val="001D1A8B"/>
    <w:rsid w:val="001D1CC0"/>
    <w:rsid w:val="001D2286"/>
    <w:rsid w:val="001D2301"/>
    <w:rsid w:val="001D3290"/>
    <w:rsid w:val="001D332D"/>
    <w:rsid w:val="001D34A8"/>
    <w:rsid w:val="001D3858"/>
    <w:rsid w:val="001D3908"/>
    <w:rsid w:val="001D3926"/>
    <w:rsid w:val="001D40A2"/>
    <w:rsid w:val="001D41D9"/>
    <w:rsid w:val="001D42DB"/>
    <w:rsid w:val="001D4507"/>
    <w:rsid w:val="001D4AC6"/>
    <w:rsid w:val="001D51BC"/>
    <w:rsid w:val="001D5755"/>
    <w:rsid w:val="001D5834"/>
    <w:rsid w:val="001D585C"/>
    <w:rsid w:val="001D587F"/>
    <w:rsid w:val="001D5B47"/>
    <w:rsid w:val="001D61BE"/>
    <w:rsid w:val="001D6765"/>
    <w:rsid w:val="001D67FB"/>
    <w:rsid w:val="001D6DC4"/>
    <w:rsid w:val="001D7679"/>
    <w:rsid w:val="001D7B9B"/>
    <w:rsid w:val="001D7E9A"/>
    <w:rsid w:val="001D7FD6"/>
    <w:rsid w:val="001E027E"/>
    <w:rsid w:val="001E062C"/>
    <w:rsid w:val="001E084F"/>
    <w:rsid w:val="001E0DD6"/>
    <w:rsid w:val="001E0EAD"/>
    <w:rsid w:val="001E13A0"/>
    <w:rsid w:val="001E19CF"/>
    <w:rsid w:val="001E1A9C"/>
    <w:rsid w:val="001E2219"/>
    <w:rsid w:val="001E238E"/>
    <w:rsid w:val="001E26EA"/>
    <w:rsid w:val="001E2882"/>
    <w:rsid w:val="001E2A52"/>
    <w:rsid w:val="001E2B1E"/>
    <w:rsid w:val="001E2CC9"/>
    <w:rsid w:val="001E2CD8"/>
    <w:rsid w:val="001E30FF"/>
    <w:rsid w:val="001E3178"/>
    <w:rsid w:val="001E3192"/>
    <w:rsid w:val="001E3274"/>
    <w:rsid w:val="001E32E9"/>
    <w:rsid w:val="001E3B04"/>
    <w:rsid w:val="001E3B6D"/>
    <w:rsid w:val="001E3C93"/>
    <w:rsid w:val="001E52EB"/>
    <w:rsid w:val="001E5455"/>
    <w:rsid w:val="001E571E"/>
    <w:rsid w:val="001E5E1E"/>
    <w:rsid w:val="001E6002"/>
    <w:rsid w:val="001E687E"/>
    <w:rsid w:val="001E6C10"/>
    <w:rsid w:val="001E6FAE"/>
    <w:rsid w:val="001E7113"/>
    <w:rsid w:val="001E72E6"/>
    <w:rsid w:val="001E740C"/>
    <w:rsid w:val="001E7450"/>
    <w:rsid w:val="001E755C"/>
    <w:rsid w:val="001E7BAC"/>
    <w:rsid w:val="001E7C81"/>
    <w:rsid w:val="001E7D24"/>
    <w:rsid w:val="001F032F"/>
    <w:rsid w:val="001F0793"/>
    <w:rsid w:val="001F0C16"/>
    <w:rsid w:val="001F0DB5"/>
    <w:rsid w:val="001F0EF6"/>
    <w:rsid w:val="001F1235"/>
    <w:rsid w:val="001F1368"/>
    <w:rsid w:val="001F1AEF"/>
    <w:rsid w:val="001F1CB3"/>
    <w:rsid w:val="001F2078"/>
    <w:rsid w:val="001F208B"/>
    <w:rsid w:val="001F23C7"/>
    <w:rsid w:val="001F242C"/>
    <w:rsid w:val="001F2877"/>
    <w:rsid w:val="001F2A59"/>
    <w:rsid w:val="001F2FFA"/>
    <w:rsid w:val="001F35F3"/>
    <w:rsid w:val="001F38D0"/>
    <w:rsid w:val="001F3A17"/>
    <w:rsid w:val="001F3A99"/>
    <w:rsid w:val="001F3B7F"/>
    <w:rsid w:val="001F3EA6"/>
    <w:rsid w:val="001F4EB0"/>
    <w:rsid w:val="001F4F37"/>
    <w:rsid w:val="001F4F9B"/>
    <w:rsid w:val="001F4FC3"/>
    <w:rsid w:val="001F551C"/>
    <w:rsid w:val="001F56BC"/>
    <w:rsid w:val="001F5A46"/>
    <w:rsid w:val="001F604A"/>
    <w:rsid w:val="001F6465"/>
    <w:rsid w:val="001F6669"/>
    <w:rsid w:val="001F6AB0"/>
    <w:rsid w:val="001F6AB3"/>
    <w:rsid w:val="001F6E8D"/>
    <w:rsid w:val="001F7070"/>
    <w:rsid w:val="001F7184"/>
    <w:rsid w:val="001F7361"/>
    <w:rsid w:val="001F7BD4"/>
    <w:rsid w:val="001F7C74"/>
    <w:rsid w:val="001F7D16"/>
    <w:rsid w:val="001F7EC6"/>
    <w:rsid w:val="002006A4"/>
    <w:rsid w:val="002012D8"/>
    <w:rsid w:val="002018D6"/>
    <w:rsid w:val="00201917"/>
    <w:rsid w:val="00201B7B"/>
    <w:rsid w:val="002021DD"/>
    <w:rsid w:val="0020250D"/>
    <w:rsid w:val="002025F0"/>
    <w:rsid w:val="00202B71"/>
    <w:rsid w:val="00202BC1"/>
    <w:rsid w:val="00203338"/>
    <w:rsid w:val="002033C2"/>
    <w:rsid w:val="00203841"/>
    <w:rsid w:val="0020385F"/>
    <w:rsid w:val="00203B0B"/>
    <w:rsid w:val="00203B12"/>
    <w:rsid w:val="00203CEE"/>
    <w:rsid w:val="0020416D"/>
    <w:rsid w:val="00204323"/>
    <w:rsid w:val="002047CF"/>
    <w:rsid w:val="002049F4"/>
    <w:rsid w:val="00204DA7"/>
    <w:rsid w:val="002050E5"/>
    <w:rsid w:val="00205375"/>
    <w:rsid w:val="002055CB"/>
    <w:rsid w:val="00205B79"/>
    <w:rsid w:val="00206223"/>
    <w:rsid w:val="002062AD"/>
    <w:rsid w:val="002065BA"/>
    <w:rsid w:val="0020674F"/>
    <w:rsid w:val="00206941"/>
    <w:rsid w:val="00207021"/>
    <w:rsid w:val="00207062"/>
    <w:rsid w:val="002072D9"/>
    <w:rsid w:val="00207369"/>
    <w:rsid w:val="002075BC"/>
    <w:rsid w:val="00207AE0"/>
    <w:rsid w:val="00207D00"/>
    <w:rsid w:val="00207DE0"/>
    <w:rsid w:val="00210406"/>
    <w:rsid w:val="002105C1"/>
    <w:rsid w:val="00210606"/>
    <w:rsid w:val="002109DD"/>
    <w:rsid w:val="00210CC7"/>
    <w:rsid w:val="00210FB6"/>
    <w:rsid w:val="002114AF"/>
    <w:rsid w:val="00211952"/>
    <w:rsid w:val="002119C8"/>
    <w:rsid w:val="00211E68"/>
    <w:rsid w:val="0021219E"/>
    <w:rsid w:val="002127D8"/>
    <w:rsid w:val="002129F7"/>
    <w:rsid w:val="00212B40"/>
    <w:rsid w:val="00212C51"/>
    <w:rsid w:val="00212DA5"/>
    <w:rsid w:val="00213058"/>
    <w:rsid w:val="002132B3"/>
    <w:rsid w:val="00213ACD"/>
    <w:rsid w:val="00213B28"/>
    <w:rsid w:val="00213E7E"/>
    <w:rsid w:val="00214508"/>
    <w:rsid w:val="0021457A"/>
    <w:rsid w:val="002149AE"/>
    <w:rsid w:val="00214AB5"/>
    <w:rsid w:val="00214C1A"/>
    <w:rsid w:val="00214C47"/>
    <w:rsid w:val="00214CBB"/>
    <w:rsid w:val="0021596F"/>
    <w:rsid w:val="00215D46"/>
    <w:rsid w:val="002161B9"/>
    <w:rsid w:val="0021650A"/>
    <w:rsid w:val="00216E78"/>
    <w:rsid w:val="002173D0"/>
    <w:rsid w:val="002173E6"/>
    <w:rsid w:val="00217ABE"/>
    <w:rsid w:val="00217B2F"/>
    <w:rsid w:val="00217CCE"/>
    <w:rsid w:val="00217F0C"/>
    <w:rsid w:val="002201A2"/>
    <w:rsid w:val="00220982"/>
    <w:rsid w:val="00220F74"/>
    <w:rsid w:val="002211CE"/>
    <w:rsid w:val="002214F9"/>
    <w:rsid w:val="002216D7"/>
    <w:rsid w:val="00221838"/>
    <w:rsid w:val="0022198A"/>
    <w:rsid w:val="00221CF2"/>
    <w:rsid w:val="00221E77"/>
    <w:rsid w:val="00221EA3"/>
    <w:rsid w:val="00222B1A"/>
    <w:rsid w:val="00222E5E"/>
    <w:rsid w:val="00223571"/>
    <w:rsid w:val="00223607"/>
    <w:rsid w:val="00223B49"/>
    <w:rsid w:val="00223B75"/>
    <w:rsid w:val="00223E29"/>
    <w:rsid w:val="00223F0E"/>
    <w:rsid w:val="00223F13"/>
    <w:rsid w:val="00223F9F"/>
    <w:rsid w:val="00223FA1"/>
    <w:rsid w:val="0022452B"/>
    <w:rsid w:val="00224A1E"/>
    <w:rsid w:val="00224C56"/>
    <w:rsid w:val="00224D47"/>
    <w:rsid w:val="00224DD4"/>
    <w:rsid w:val="00224EF3"/>
    <w:rsid w:val="0022517F"/>
    <w:rsid w:val="0022518B"/>
    <w:rsid w:val="00225252"/>
    <w:rsid w:val="0022546F"/>
    <w:rsid w:val="00225C36"/>
    <w:rsid w:val="00225F41"/>
    <w:rsid w:val="0022698A"/>
    <w:rsid w:val="00226A6C"/>
    <w:rsid w:val="00226B4B"/>
    <w:rsid w:val="00226CF3"/>
    <w:rsid w:val="00227364"/>
    <w:rsid w:val="00227380"/>
    <w:rsid w:val="00227C0B"/>
    <w:rsid w:val="00227F5A"/>
    <w:rsid w:val="00227FC7"/>
    <w:rsid w:val="0023018E"/>
    <w:rsid w:val="002301DF"/>
    <w:rsid w:val="002309CC"/>
    <w:rsid w:val="00230C57"/>
    <w:rsid w:val="0023186E"/>
    <w:rsid w:val="002319E7"/>
    <w:rsid w:val="00231AAD"/>
    <w:rsid w:val="00231E82"/>
    <w:rsid w:val="00231F28"/>
    <w:rsid w:val="002320F5"/>
    <w:rsid w:val="00232158"/>
    <w:rsid w:val="002326EF"/>
    <w:rsid w:val="002327DC"/>
    <w:rsid w:val="002328AA"/>
    <w:rsid w:val="002328B7"/>
    <w:rsid w:val="00232C1E"/>
    <w:rsid w:val="00232E98"/>
    <w:rsid w:val="00232F1B"/>
    <w:rsid w:val="00232FD3"/>
    <w:rsid w:val="0023374E"/>
    <w:rsid w:val="0023396F"/>
    <w:rsid w:val="00233F24"/>
    <w:rsid w:val="0023422A"/>
    <w:rsid w:val="002342ED"/>
    <w:rsid w:val="002343BB"/>
    <w:rsid w:val="002344C7"/>
    <w:rsid w:val="002347B8"/>
    <w:rsid w:val="00234CA3"/>
    <w:rsid w:val="00234D10"/>
    <w:rsid w:val="002354F7"/>
    <w:rsid w:val="0023582B"/>
    <w:rsid w:val="002362A2"/>
    <w:rsid w:val="00236799"/>
    <w:rsid w:val="002367C7"/>
    <w:rsid w:val="00236AB6"/>
    <w:rsid w:val="00236ACD"/>
    <w:rsid w:val="00236E08"/>
    <w:rsid w:val="0023750C"/>
    <w:rsid w:val="00237903"/>
    <w:rsid w:val="00237D5F"/>
    <w:rsid w:val="0024017B"/>
    <w:rsid w:val="00240299"/>
    <w:rsid w:val="002404FF"/>
    <w:rsid w:val="002412A3"/>
    <w:rsid w:val="00241486"/>
    <w:rsid w:val="00241630"/>
    <w:rsid w:val="00241F4C"/>
    <w:rsid w:val="00242119"/>
    <w:rsid w:val="002421CF"/>
    <w:rsid w:val="00242485"/>
    <w:rsid w:val="00242B00"/>
    <w:rsid w:val="0024305C"/>
    <w:rsid w:val="0024440A"/>
    <w:rsid w:val="002448C5"/>
    <w:rsid w:val="00244A08"/>
    <w:rsid w:val="00244A80"/>
    <w:rsid w:val="00244C8B"/>
    <w:rsid w:val="00244D44"/>
    <w:rsid w:val="0024521A"/>
    <w:rsid w:val="002452B5"/>
    <w:rsid w:val="002453C0"/>
    <w:rsid w:val="00245408"/>
    <w:rsid w:val="00245597"/>
    <w:rsid w:val="00246BFA"/>
    <w:rsid w:val="00246C56"/>
    <w:rsid w:val="00246F5A"/>
    <w:rsid w:val="002471A4"/>
    <w:rsid w:val="002476F7"/>
    <w:rsid w:val="00247831"/>
    <w:rsid w:val="0025039B"/>
    <w:rsid w:val="002514C9"/>
    <w:rsid w:val="00251909"/>
    <w:rsid w:val="00251BB7"/>
    <w:rsid w:val="00251D49"/>
    <w:rsid w:val="00252EF1"/>
    <w:rsid w:val="00253099"/>
    <w:rsid w:val="002539B4"/>
    <w:rsid w:val="00253D6D"/>
    <w:rsid w:val="002542A4"/>
    <w:rsid w:val="00254533"/>
    <w:rsid w:val="002546AB"/>
    <w:rsid w:val="002546CF"/>
    <w:rsid w:val="00254DCF"/>
    <w:rsid w:val="0025534B"/>
    <w:rsid w:val="0025596F"/>
    <w:rsid w:val="00255BB7"/>
    <w:rsid w:val="00255BED"/>
    <w:rsid w:val="00255CAB"/>
    <w:rsid w:val="00255EBE"/>
    <w:rsid w:val="00256054"/>
    <w:rsid w:val="002561B5"/>
    <w:rsid w:val="00256459"/>
    <w:rsid w:val="00256669"/>
    <w:rsid w:val="002566C0"/>
    <w:rsid w:val="00256922"/>
    <w:rsid w:val="00256A78"/>
    <w:rsid w:val="00257082"/>
    <w:rsid w:val="002572BF"/>
    <w:rsid w:val="002573D7"/>
    <w:rsid w:val="00257621"/>
    <w:rsid w:val="00257923"/>
    <w:rsid w:val="00257930"/>
    <w:rsid w:val="0025797F"/>
    <w:rsid w:val="00257F6B"/>
    <w:rsid w:val="00260027"/>
    <w:rsid w:val="0026039D"/>
    <w:rsid w:val="00260435"/>
    <w:rsid w:val="00260812"/>
    <w:rsid w:val="002608AB"/>
    <w:rsid w:val="002608F5"/>
    <w:rsid w:val="002612D2"/>
    <w:rsid w:val="002613BF"/>
    <w:rsid w:val="00261A82"/>
    <w:rsid w:val="002622C1"/>
    <w:rsid w:val="002624BA"/>
    <w:rsid w:val="00262A87"/>
    <w:rsid w:val="0026311C"/>
    <w:rsid w:val="002631B3"/>
    <w:rsid w:val="00263440"/>
    <w:rsid w:val="00263E84"/>
    <w:rsid w:val="00263F89"/>
    <w:rsid w:val="002641FE"/>
    <w:rsid w:val="00264232"/>
    <w:rsid w:val="00264EAE"/>
    <w:rsid w:val="0026535A"/>
    <w:rsid w:val="002655E3"/>
    <w:rsid w:val="00265BE7"/>
    <w:rsid w:val="00265FAA"/>
    <w:rsid w:val="00266352"/>
    <w:rsid w:val="002665FC"/>
    <w:rsid w:val="002671B7"/>
    <w:rsid w:val="0026730F"/>
    <w:rsid w:val="0027099A"/>
    <w:rsid w:val="00271103"/>
    <w:rsid w:val="002711DC"/>
    <w:rsid w:val="002713EE"/>
    <w:rsid w:val="002716FE"/>
    <w:rsid w:val="00271AA3"/>
    <w:rsid w:val="00271BDD"/>
    <w:rsid w:val="0027229E"/>
    <w:rsid w:val="002726DA"/>
    <w:rsid w:val="00272BF4"/>
    <w:rsid w:val="00274043"/>
    <w:rsid w:val="002746F5"/>
    <w:rsid w:val="002754AE"/>
    <w:rsid w:val="00275C5A"/>
    <w:rsid w:val="00275E70"/>
    <w:rsid w:val="00275E72"/>
    <w:rsid w:val="002765A7"/>
    <w:rsid w:val="0027664D"/>
    <w:rsid w:val="00276665"/>
    <w:rsid w:val="002771BA"/>
    <w:rsid w:val="00277364"/>
    <w:rsid w:val="00277AF6"/>
    <w:rsid w:val="002800EE"/>
    <w:rsid w:val="00280BC5"/>
    <w:rsid w:val="00280CA3"/>
    <w:rsid w:val="00281014"/>
    <w:rsid w:val="00281101"/>
    <w:rsid w:val="00281193"/>
    <w:rsid w:val="002816AE"/>
    <w:rsid w:val="00281797"/>
    <w:rsid w:val="00281809"/>
    <w:rsid w:val="002818C8"/>
    <w:rsid w:val="00282479"/>
    <w:rsid w:val="00282A29"/>
    <w:rsid w:val="00282A6C"/>
    <w:rsid w:val="0028354C"/>
    <w:rsid w:val="00283567"/>
    <w:rsid w:val="00283832"/>
    <w:rsid w:val="00283D0B"/>
    <w:rsid w:val="00283DC6"/>
    <w:rsid w:val="00283E57"/>
    <w:rsid w:val="00284149"/>
    <w:rsid w:val="002841C7"/>
    <w:rsid w:val="00284214"/>
    <w:rsid w:val="0028484F"/>
    <w:rsid w:val="00284BC0"/>
    <w:rsid w:val="00284E5C"/>
    <w:rsid w:val="00285625"/>
    <w:rsid w:val="002856EF"/>
    <w:rsid w:val="002857FF"/>
    <w:rsid w:val="002858C5"/>
    <w:rsid w:val="00285B00"/>
    <w:rsid w:val="00285D28"/>
    <w:rsid w:val="00285D3E"/>
    <w:rsid w:val="00286523"/>
    <w:rsid w:val="002866F8"/>
    <w:rsid w:val="0028693D"/>
    <w:rsid w:val="00286BBF"/>
    <w:rsid w:val="00287171"/>
    <w:rsid w:val="00287866"/>
    <w:rsid w:val="00287F70"/>
    <w:rsid w:val="00290401"/>
    <w:rsid w:val="002906DF"/>
    <w:rsid w:val="00290B47"/>
    <w:rsid w:val="00290CA3"/>
    <w:rsid w:val="002916B6"/>
    <w:rsid w:val="00291A90"/>
    <w:rsid w:val="00291A99"/>
    <w:rsid w:val="00291E7B"/>
    <w:rsid w:val="00292445"/>
    <w:rsid w:val="002926D7"/>
    <w:rsid w:val="00292A22"/>
    <w:rsid w:val="00292A6A"/>
    <w:rsid w:val="00292B18"/>
    <w:rsid w:val="002930CE"/>
    <w:rsid w:val="0029338D"/>
    <w:rsid w:val="002933BC"/>
    <w:rsid w:val="0029350A"/>
    <w:rsid w:val="00294156"/>
    <w:rsid w:val="00294B7A"/>
    <w:rsid w:val="00294C40"/>
    <w:rsid w:val="0029506F"/>
    <w:rsid w:val="0029518F"/>
    <w:rsid w:val="00295228"/>
    <w:rsid w:val="00295282"/>
    <w:rsid w:val="002952DF"/>
    <w:rsid w:val="00295651"/>
    <w:rsid w:val="002956DB"/>
    <w:rsid w:val="00295926"/>
    <w:rsid w:val="00296A47"/>
    <w:rsid w:val="00297210"/>
    <w:rsid w:val="002972B5"/>
    <w:rsid w:val="002972BC"/>
    <w:rsid w:val="00297816"/>
    <w:rsid w:val="00297F03"/>
    <w:rsid w:val="002A0066"/>
    <w:rsid w:val="002A0734"/>
    <w:rsid w:val="002A0D70"/>
    <w:rsid w:val="002A1040"/>
    <w:rsid w:val="002A14AB"/>
    <w:rsid w:val="002A19BC"/>
    <w:rsid w:val="002A2521"/>
    <w:rsid w:val="002A2C7F"/>
    <w:rsid w:val="002A2DDC"/>
    <w:rsid w:val="002A3123"/>
    <w:rsid w:val="002A40AE"/>
    <w:rsid w:val="002A4184"/>
    <w:rsid w:val="002A439F"/>
    <w:rsid w:val="002A4EB2"/>
    <w:rsid w:val="002A55CD"/>
    <w:rsid w:val="002A55D2"/>
    <w:rsid w:val="002A5C29"/>
    <w:rsid w:val="002A5CDE"/>
    <w:rsid w:val="002A611D"/>
    <w:rsid w:val="002A627C"/>
    <w:rsid w:val="002A6851"/>
    <w:rsid w:val="002A6F2F"/>
    <w:rsid w:val="002A754E"/>
    <w:rsid w:val="002A75A4"/>
    <w:rsid w:val="002A76AD"/>
    <w:rsid w:val="002A7C1B"/>
    <w:rsid w:val="002A7E7E"/>
    <w:rsid w:val="002B0929"/>
    <w:rsid w:val="002B0AA2"/>
    <w:rsid w:val="002B0D0E"/>
    <w:rsid w:val="002B136D"/>
    <w:rsid w:val="002B15A9"/>
    <w:rsid w:val="002B1916"/>
    <w:rsid w:val="002B1C1F"/>
    <w:rsid w:val="002B1F61"/>
    <w:rsid w:val="002B2380"/>
    <w:rsid w:val="002B2438"/>
    <w:rsid w:val="002B2510"/>
    <w:rsid w:val="002B2C61"/>
    <w:rsid w:val="002B2DCB"/>
    <w:rsid w:val="002B2E4B"/>
    <w:rsid w:val="002B3221"/>
    <w:rsid w:val="002B33BD"/>
    <w:rsid w:val="002B3C9F"/>
    <w:rsid w:val="002B3CFA"/>
    <w:rsid w:val="002B432F"/>
    <w:rsid w:val="002B46EC"/>
    <w:rsid w:val="002B4FC9"/>
    <w:rsid w:val="002B528D"/>
    <w:rsid w:val="002B544F"/>
    <w:rsid w:val="002B5505"/>
    <w:rsid w:val="002B58FD"/>
    <w:rsid w:val="002B5D28"/>
    <w:rsid w:val="002B67E7"/>
    <w:rsid w:val="002B6CCE"/>
    <w:rsid w:val="002B70F7"/>
    <w:rsid w:val="002B7D87"/>
    <w:rsid w:val="002C09CE"/>
    <w:rsid w:val="002C0C6E"/>
    <w:rsid w:val="002C166D"/>
    <w:rsid w:val="002C19A2"/>
    <w:rsid w:val="002C1CDE"/>
    <w:rsid w:val="002C221B"/>
    <w:rsid w:val="002C2775"/>
    <w:rsid w:val="002C2788"/>
    <w:rsid w:val="002C27C1"/>
    <w:rsid w:val="002C28F9"/>
    <w:rsid w:val="002C2A43"/>
    <w:rsid w:val="002C2D01"/>
    <w:rsid w:val="002C302F"/>
    <w:rsid w:val="002C31BD"/>
    <w:rsid w:val="002C3CDC"/>
    <w:rsid w:val="002C40A0"/>
    <w:rsid w:val="002C4BC7"/>
    <w:rsid w:val="002C4CC9"/>
    <w:rsid w:val="002C4CD3"/>
    <w:rsid w:val="002C50AB"/>
    <w:rsid w:val="002C531A"/>
    <w:rsid w:val="002C5688"/>
    <w:rsid w:val="002C599A"/>
    <w:rsid w:val="002C606B"/>
    <w:rsid w:val="002C6765"/>
    <w:rsid w:val="002C689D"/>
    <w:rsid w:val="002C6BFE"/>
    <w:rsid w:val="002C74F7"/>
    <w:rsid w:val="002C7525"/>
    <w:rsid w:val="002C7617"/>
    <w:rsid w:val="002C7919"/>
    <w:rsid w:val="002D0469"/>
    <w:rsid w:val="002D051D"/>
    <w:rsid w:val="002D095B"/>
    <w:rsid w:val="002D0C4B"/>
    <w:rsid w:val="002D13DA"/>
    <w:rsid w:val="002D1B92"/>
    <w:rsid w:val="002D1D9A"/>
    <w:rsid w:val="002D20D6"/>
    <w:rsid w:val="002D253A"/>
    <w:rsid w:val="002D2761"/>
    <w:rsid w:val="002D277D"/>
    <w:rsid w:val="002D30E7"/>
    <w:rsid w:val="002D340D"/>
    <w:rsid w:val="002D35E4"/>
    <w:rsid w:val="002D3970"/>
    <w:rsid w:val="002D3A9E"/>
    <w:rsid w:val="002D3BE2"/>
    <w:rsid w:val="002D4085"/>
    <w:rsid w:val="002D424E"/>
    <w:rsid w:val="002D4442"/>
    <w:rsid w:val="002D444F"/>
    <w:rsid w:val="002D46C2"/>
    <w:rsid w:val="002D4701"/>
    <w:rsid w:val="002D47A7"/>
    <w:rsid w:val="002D484A"/>
    <w:rsid w:val="002D4A16"/>
    <w:rsid w:val="002D4A7B"/>
    <w:rsid w:val="002D52A6"/>
    <w:rsid w:val="002D5553"/>
    <w:rsid w:val="002D557C"/>
    <w:rsid w:val="002D5630"/>
    <w:rsid w:val="002D57B4"/>
    <w:rsid w:val="002D5A82"/>
    <w:rsid w:val="002D60F4"/>
    <w:rsid w:val="002D6746"/>
    <w:rsid w:val="002D6972"/>
    <w:rsid w:val="002D6A98"/>
    <w:rsid w:val="002D705B"/>
    <w:rsid w:val="002D7336"/>
    <w:rsid w:val="002D7506"/>
    <w:rsid w:val="002D7675"/>
    <w:rsid w:val="002D7C46"/>
    <w:rsid w:val="002E07A4"/>
    <w:rsid w:val="002E13B1"/>
    <w:rsid w:val="002E1770"/>
    <w:rsid w:val="002E1959"/>
    <w:rsid w:val="002E1A4C"/>
    <w:rsid w:val="002E22B4"/>
    <w:rsid w:val="002E3222"/>
    <w:rsid w:val="002E356D"/>
    <w:rsid w:val="002E3782"/>
    <w:rsid w:val="002E433B"/>
    <w:rsid w:val="002E4927"/>
    <w:rsid w:val="002E49BF"/>
    <w:rsid w:val="002E5257"/>
    <w:rsid w:val="002E52C6"/>
    <w:rsid w:val="002E555A"/>
    <w:rsid w:val="002E5FD9"/>
    <w:rsid w:val="002E608F"/>
    <w:rsid w:val="002E6483"/>
    <w:rsid w:val="002E680D"/>
    <w:rsid w:val="002E6CBD"/>
    <w:rsid w:val="002E6E1D"/>
    <w:rsid w:val="002E6F7F"/>
    <w:rsid w:val="002E74A2"/>
    <w:rsid w:val="002E78D9"/>
    <w:rsid w:val="002E7F6B"/>
    <w:rsid w:val="002F01AF"/>
    <w:rsid w:val="002F034B"/>
    <w:rsid w:val="002F0518"/>
    <w:rsid w:val="002F0675"/>
    <w:rsid w:val="002F1815"/>
    <w:rsid w:val="002F1968"/>
    <w:rsid w:val="002F1D8D"/>
    <w:rsid w:val="002F211A"/>
    <w:rsid w:val="002F2227"/>
    <w:rsid w:val="002F30B0"/>
    <w:rsid w:val="002F4782"/>
    <w:rsid w:val="002F4C41"/>
    <w:rsid w:val="002F5179"/>
    <w:rsid w:val="002F5A1D"/>
    <w:rsid w:val="002F5BE6"/>
    <w:rsid w:val="002F5D06"/>
    <w:rsid w:val="002F5E39"/>
    <w:rsid w:val="002F5E76"/>
    <w:rsid w:val="002F6582"/>
    <w:rsid w:val="002F66DD"/>
    <w:rsid w:val="002F689F"/>
    <w:rsid w:val="002F6DB8"/>
    <w:rsid w:val="002F722D"/>
    <w:rsid w:val="002F75BB"/>
    <w:rsid w:val="002F761A"/>
    <w:rsid w:val="002F77F5"/>
    <w:rsid w:val="002F7BC6"/>
    <w:rsid w:val="002F7EC3"/>
    <w:rsid w:val="00300365"/>
    <w:rsid w:val="003008B7"/>
    <w:rsid w:val="00300D60"/>
    <w:rsid w:val="00301017"/>
    <w:rsid w:val="00301183"/>
    <w:rsid w:val="003014E3"/>
    <w:rsid w:val="00301641"/>
    <w:rsid w:val="0030185E"/>
    <w:rsid w:val="0030280A"/>
    <w:rsid w:val="00302D92"/>
    <w:rsid w:val="00302F08"/>
    <w:rsid w:val="003030E8"/>
    <w:rsid w:val="003036A8"/>
    <w:rsid w:val="00303ABB"/>
    <w:rsid w:val="00303BA3"/>
    <w:rsid w:val="00303DBC"/>
    <w:rsid w:val="00303E22"/>
    <w:rsid w:val="00304334"/>
    <w:rsid w:val="00304622"/>
    <w:rsid w:val="003049F1"/>
    <w:rsid w:val="00305BC7"/>
    <w:rsid w:val="00305E04"/>
    <w:rsid w:val="00305EEA"/>
    <w:rsid w:val="00306323"/>
    <w:rsid w:val="0030672C"/>
    <w:rsid w:val="00306EC0"/>
    <w:rsid w:val="003075A7"/>
    <w:rsid w:val="0030786C"/>
    <w:rsid w:val="00307DEE"/>
    <w:rsid w:val="00310027"/>
    <w:rsid w:val="003102A4"/>
    <w:rsid w:val="0031031A"/>
    <w:rsid w:val="0031048B"/>
    <w:rsid w:val="003108F0"/>
    <w:rsid w:val="00310981"/>
    <w:rsid w:val="00310A5A"/>
    <w:rsid w:val="00310B3C"/>
    <w:rsid w:val="00310E0D"/>
    <w:rsid w:val="00310F3D"/>
    <w:rsid w:val="00311013"/>
    <w:rsid w:val="00311A75"/>
    <w:rsid w:val="00311C49"/>
    <w:rsid w:val="003121F2"/>
    <w:rsid w:val="0031250D"/>
    <w:rsid w:val="003127AF"/>
    <w:rsid w:val="00312A78"/>
    <w:rsid w:val="003131BC"/>
    <w:rsid w:val="00313230"/>
    <w:rsid w:val="00314357"/>
    <w:rsid w:val="00314A59"/>
    <w:rsid w:val="00314CDA"/>
    <w:rsid w:val="00314E56"/>
    <w:rsid w:val="00314EA9"/>
    <w:rsid w:val="003151C6"/>
    <w:rsid w:val="00315498"/>
    <w:rsid w:val="0031563B"/>
    <w:rsid w:val="003157FC"/>
    <w:rsid w:val="00315DA2"/>
    <w:rsid w:val="00316333"/>
    <w:rsid w:val="00316406"/>
    <w:rsid w:val="00316865"/>
    <w:rsid w:val="0031746C"/>
    <w:rsid w:val="00317586"/>
    <w:rsid w:val="0031777E"/>
    <w:rsid w:val="00317D2D"/>
    <w:rsid w:val="00320628"/>
    <w:rsid w:val="00320841"/>
    <w:rsid w:val="00320847"/>
    <w:rsid w:val="00320C77"/>
    <w:rsid w:val="00320CAE"/>
    <w:rsid w:val="00320DFC"/>
    <w:rsid w:val="0032128D"/>
    <w:rsid w:val="0032143E"/>
    <w:rsid w:val="00321501"/>
    <w:rsid w:val="003215E7"/>
    <w:rsid w:val="00321639"/>
    <w:rsid w:val="00321E02"/>
    <w:rsid w:val="00321FEA"/>
    <w:rsid w:val="003225D5"/>
    <w:rsid w:val="00322A91"/>
    <w:rsid w:val="00323C74"/>
    <w:rsid w:val="00323EC5"/>
    <w:rsid w:val="00323FFB"/>
    <w:rsid w:val="003241B9"/>
    <w:rsid w:val="0032428C"/>
    <w:rsid w:val="003243A7"/>
    <w:rsid w:val="00324706"/>
    <w:rsid w:val="00325BFA"/>
    <w:rsid w:val="003263DB"/>
    <w:rsid w:val="003265BA"/>
    <w:rsid w:val="0032662B"/>
    <w:rsid w:val="00326ED9"/>
    <w:rsid w:val="00326F35"/>
    <w:rsid w:val="003271C2"/>
    <w:rsid w:val="003273C3"/>
    <w:rsid w:val="00327647"/>
    <w:rsid w:val="00327B11"/>
    <w:rsid w:val="00327EC9"/>
    <w:rsid w:val="00327FBF"/>
    <w:rsid w:val="00327FC0"/>
    <w:rsid w:val="00330226"/>
    <w:rsid w:val="00330305"/>
    <w:rsid w:val="00330ADB"/>
    <w:rsid w:val="00330C59"/>
    <w:rsid w:val="00330CA7"/>
    <w:rsid w:val="00330CCC"/>
    <w:rsid w:val="00330D8A"/>
    <w:rsid w:val="00330E89"/>
    <w:rsid w:val="00330FBF"/>
    <w:rsid w:val="00331923"/>
    <w:rsid w:val="00331C22"/>
    <w:rsid w:val="00332077"/>
    <w:rsid w:val="003320F2"/>
    <w:rsid w:val="00332175"/>
    <w:rsid w:val="003327CA"/>
    <w:rsid w:val="00332C71"/>
    <w:rsid w:val="00332CDD"/>
    <w:rsid w:val="00332EB6"/>
    <w:rsid w:val="003335D9"/>
    <w:rsid w:val="003338BC"/>
    <w:rsid w:val="00333A54"/>
    <w:rsid w:val="00333DBD"/>
    <w:rsid w:val="00334115"/>
    <w:rsid w:val="00334389"/>
    <w:rsid w:val="00334746"/>
    <w:rsid w:val="00334A69"/>
    <w:rsid w:val="003350AB"/>
    <w:rsid w:val="0033530D"/>
    <w:rsid w:val="00335458"/>
    <w:rsid w:val="0033566D"/>
    <w:rsid w:val="00335783"/>
    <w:rsid w:val="003357F8"/>
    <w:rsid w:val="0033584A"/>
    <w:rsid w:val="00335CD2"/>
    <w:rsid w:val="0033657C"/>
    <w:rsid w:val="003366C9"/>
    <w:rsid w:val="00336AB5"/>
    <w:rsid w:val="003371B0"/>
    <w:rsid w:val="00337A44"/>
    <w:rsid w:val="003402C5"/>
    <w:rsid w:val="003404EB"/>
    <w:rsid w:val="00340DBB"/>
    <w:rsid w:val="00340EE6"/>
    <w:rsid w:val="00341181"/>
    <w:rsid w:val="00341270"/>
    <w:rsid w:val="0034135A"/>
    <w:rsid w:val="0034142D"/>
    <w:rsid w:val="00341451"/>
    <w:rsid w:val="00341CA8"/>
    <w:rsid w:val="00341CB7"/>
    <w:rsid w:val="00342386"/>
    <w:rsid w:val="003425C9"/>
    <w:rsid w:val="00342952"/>
    <w:rsid w:val="00342C86"/>
    <w:rsid w:val="00342EBC"/>
    <w:rsid w:val="00342F75"/>
    <w:rsid w:val="003430B2"/>
    <w:rsid w:val="003438D1"/>
    <w:rsid w:val="0034433F"/>
    <w:rsid w:val="00344835"/>
    <w:rsid w:val="00344C66"/>
    <w:rsid w:val="00344CDF"/>
    <w:rsid w:val="00344CFF"/>
    <w:rsid w:val="0034511C"/>
    <w:rsid w:val="00345147"/>
    <w:rsid w:val="0034587F"/>
    <w:rsid w:val="00345D27"/>
    <w:rsid w:val="00345D97"/>
    <w:rsid w:val="00345F90"/>
    <w:rsid w:val="0034687C"/>
    <w:rsid w:val="0034782C"/>
    <w:rsid w:val="0035056A"/>
    <w:rsid w:val="00350858"/>
    <w:rsid w:val="00351177"/>
    <w:rsid w:val="00351236"/>
    <w:rsid w:val="003514AE"/>
    <w:rsid w:val="0035197D"/>
    <w:rsid w:val="00351AF3"/>
    <w:rsid w:val="003521D7"/>
    <w:rsid w:val="003521DE"/>
    <w:rsid w:val="003522C1"/>
    <w:rsid w:val="0035260C"/>
    <w:rsid w:val="00352C3B"/>
    <w:rsid w:val="00353D8A"/>
    <w:rsid w:val="00353DB7"/>
    <w:rsid w:val="003541C5"/>
    <w:rsid w:val="0035465B"/>
    <w:rsid w:val="0035490A"/>
    <w:rsid w:val="00354CEE"/>
    <w:rsid w:val="00354D54"/>
    <w:rsid w:val="00355206"/>
    <w:rsid w:val="0035570A"/>
    <w:rsid w:val="00355987"/>
    <w:rsid w:val="00355DAE"/>
    <w:rsid w:val="00355E3B"/>
    <w:rsid w:val="0035620E"/>
    <w:rsid w:val="0035673F"/>
    <w:rsid w:val="003570D1"/>
    <w:rsid w:val="003571E1"/>
    <w:rsid w:val="00357474"/>
    <w:rsid w:val="00357979"/>
    <w:rsid w:val="003579DE"/>
    <w:rsid w:val="00357D46"/>
    <w:rsid w:val="00357DE0"/>
    <w:rsid w:val="003602B1"/>
    <w:rsid w:val="003605F8"/>
    <w:rsid w:val="00360810"/>
    <w:rsid w:val="00360A7B"/>
    <w:rsid w:val="00360C82"/>
    <w:rsid w:val="00361561"/>
    <w:rsid w:val="0036176C"/>
    <w:rsid w:val="00361CE9"/>
    <w:rsid w:val="00361E47"/>
    <w:rsid w:val="00361E7B"/>
    <w:rsid w:val="00362108"/>
    <w:rsid w:val="00362167"/>
    <w:rsid w:val="003622C0"/>
    <w:rsid w:val="00362F2C"/>
    <w:rsid w:val="00363168"/>
    <w:rsid w:val="0036362E"/>
    <w:rsid w:val="00364004"/>
    <w:rsid w:val="003642A3"/>
    <w:rsid w:val="003645D8"/>
    <w:rsid w:val="003647E8"/>
    <w:rsid w:val="00364B1C"/>
    <w:rsid w:val="003657CD"/>
    <w:rsid w:val="0036595A"/>
    <w:rsid w:val="00365C6A"/>
    <w:rsid w:val="00366039"/>
    <w:rsid w:val="003665AE"/>
    <w:rsid w:val="0036663D"/>
    <w:rsid w:val="00367142"/>
    <w:rsid w:val="0036754F"/>
    <w:rsid w:val="00367BAA"/>
    <w:rsid w:val="0037020F"/>
    <w:rsid w:val="003705A4"/>
    <w:rsid w:val="003706F8"/>
    <w:rsid w:val="0037169D"/>
    <w:rsid w:val="00371B63"/>
    <w:rsid w:val="00372209"/>
    <w:rsid w:val="00372822"/>
    <w:rsid w:val="003729FE"/>
    <w:rsid w:val="00372DD2"/>
    <w:rsid w:val="00373986"/>
    <w:rsid w:val="00374221"/>
    <w:rsid w:val="0037435D"/>
    <w:rsid w:val="00374685"/>
    <w:rsid w:val="003746B0"/>
    <w:rsid w:val="00375559"/>
    <w:rsid w:val="003756A4"/>
    <w:rsid w:val="00375D8B"/>
    <w:rsid w:val="0037609B"/>
    <w:rsid w:val="00376E74"/>
    <w:rsid w:val="0037721B"/>
    <w:rsid w:val="003772CB"/>
    <w:rsid w:val="0037756A"/>
    <w:rsid w:val="00377B50"/>
    <w:rsid w:val="00377DA5"/>
    <w:rsid w:val="00377E17"/>
    <w:rsid w:val="003800CC"/>
    <w:rsid w:val="00380B69"/>
    <w:rsid w:val="00380F47"/>
    <w:rsid w:val="00381437"/>
    <w:rsid w:val="003815BD"/>
    <w:rsid w:val="00381CE8"/>
    <w:rsid w:val="00381D12"/>
    <w:rsid w:val="00382094"/>
    <w:rsid w:val="00382CC6"/>
    <w:rsid w:val="00383584"/>
    <w:rsid w:val="0038365C"/>
    <w:rsid w:val="00383FF1"/>
    <w:rsid w:val="003840FF"/>
    <w:rsid w:val="00384784"/>
    <w:rsid w:val="00384869"/>
    <w:rsid w:val="00384A6C"/>
    <w:rsid w:val="00384D6A"/>
    <w:rsid w:val="00384E0E"/>
    <w:rsid w:val="00385000"/>
    <w:rsid w:val="003855D5"/>
    <w:rsid w:val="00385769"/>
    <w:rsid w:val="00385ED2"/>
    <w:rsid w:val="00385FC8"/>
    <w:rsid w:val="003862C1"/>
    <w:rsid w:val="00386392"/>
    <w:rsid w:val="00386512"/>
    <w:rsid w:val="00386C1E"/>
    <w:rsid w:val="00386CF5"/>
    <w:rsid w:val="00386E49"/>
    <w:rsid w:val="00386FBE"/>
    <w:rsid w:val="0038756D"/>
    <w:rsid w:val="003876C4"/>
    <w:rsid w:val="00387E8B"/>
    <w:rsid w:val="0039068E"/>
    <w:rsid w:val="003906BB"/>
    <w:rsid w:val="00390B5E"/>
    <w:rsid w:val="00390F5B"/>
    <w:rsid w:val="0039119F"/>
    <w:rsid w:val="00391791"/>
    <w:rsid w:val="00391ACF"/>
    <w:rsid w:val="00391DB6"/>
    <w:rsid w:val="00391F7F"/>
    <w:rsid w:val="00392475"/>
    <w:rsid w:val="00392906"/>
    <w:rsid w:val="00392B7E"/>
    <w:rsid w:val="0039356A"/>
    <w:rsid w:val="0039371E"/>
    <w:rsid w:val="00394393"/>
    <w:rsid w:val="00394589"/>
    <w:rsid w:val="003945F6"/>
    <w:rsid w:val="0039482C"/>
    <w:rsid w:val="00395271"/>
    <w:rsid w:val="003953C9"/>
    <w:rsid w:val="003954B9"/>
    <w:rsid w:val="003955E1"/>
    <w:rsid w:val="003955FB"/>
    <w:rsid w:val="003963E8"/>
    <w:rsid w:val="003969E1"/>
    <w:rsid w:val="00396D15"/>
    <w:rsid w:val="00396D32"/>
    <w:rsid w:val="00396FD0"/>
    <w:rsid w:val="0039701C"/>
    <w:rsid w:val="0039704B"/>
    <w:rsid w:val="0039708D"/>
    <w:rsid w:val="003977D4"/>
    <w:rsid w:val="00397B45"/>
    <w:rsid w:val="003A0216"/>
    <w:rsid w:val="003A0355"/>
    <w:rsid w:val="003A0F23"/>
    <w:rsid w:val="003A153D"/>
    <w:rsid w:val="003A18B4"/>
    <w:rsid w:val="003A1A7A"/>
    <w:rsid w:val="003A1B78"/>
    <w:rsid w:val="003A1C4F"/>
    <w:rsid w:val="003A1DF4"/>
    <w:rsid w:val="003A2017"/>
    <w:rsid w:val="003A24B2"/>
    <w:rsid w:val="003A26D0"/>
    <w:rsid w:val="003A286F"/>
    <w:rsid w:val="003A2982"/>
    <w:rsid w:val="003A2A10"/>
    <w:rsid w:val="003A2F33"/>
    <w:rsid w:val="003A369D"/>
    <w:rsid w:val="003A377F"/>
    <w:rsid w:val="003A37D0"/>
    <w:rsid w:val="003A3808"/>
    <w:rsid w:val="003A38B6"/>
    <w:rsid w:val="003A3954"/>
    <w:rsid w:val="003A3A07"/>
    <w:rsid w:val="003A3AD8"/>
    <w:rsid w:val="003A3B1E"/>
    <w:rsid w:val="003A3B76"/>
    <w:rsid w:val="003A47BD"/>
    <w:rsid w:val="003A4A1E"/>
    <w:rsid w:val="003A58DD"/>
    <w:rsid w:val="003A6500"/>
    <w:rsid w:val="003A6586"/>
    <w:rsid w:val="003A7403"/>
    <w:rsid w:val="003A7536"/>
    <w:rsid w:val="003A7AF1"/>
    <w:rsid w:val="003B04BA"/>
    <w:rsid w:val="003B0501"/>
    <w:rsid w:val="003B0843"/>
    <w:rsid w:val="003B1A47"/>
    <w:rsid w:val="003B1C86"/>
    <w:rsid w:val="003B1F41"/>
    <w:rsid w:val="003B3447"/>
    <w:rsid w:val="003B35FA"/>
    <w:rsid w:val="003B3C7C"/>
    <w:rsid w:val="003B3DC2"/>
    <w:rsid w:val="003B3E4F"/>
    <w:rsid w:val="003B43E0"/>
    <w:rsid w:val="003B4F31"/>
    <w:rsid w:val="003B510B"/>
    <w:rsid w:val="003B59D2"/>
    <w:rsid w:val="003B6C21"/>
    <w:rsid w:val="003B6DD3"/>
    <w:rsid w:val="003B7066"/>
    <w:rsid w:val="003B75AD"/>
    <w:rsid w:val="003B7C02"/>
    <w:rsid w:val="003C0139"/>
    <w:rsid w:val="003C02E5"/>
    <w:rsid w:val="003C055D"/>
    <w:rsid w:val="003C0AE5"/>
    <w:rsid w:val="003C126E"/>
    <w:rsid w:val="003C162C"/>
    <w:rsid w:val="003C1688"/>
    <w:rsid w:val="003C19A0"/>
    <w:rsid w:val="003C1C6A"/>
    <w:rsid w:val="003C220B"/>
    <w:rsid w:val="003C29E4"/>
    <w:rsid w:val="003C2E0E"/>
    <w:rsid w:val="003C329C"/>
    <w:rsid w:val="003C3D4D"/>
    <w:rsid w:val="003C3E70"/>
    <w:rsid w:val="003C4518"/>
    <w:rsid w:val="003C48FE"/>
    <w:rsid w:val="003C4CFC"/>
    <w:rsid w:val="003C504F"/>
    <w:rsid w:val="003C50FE"/>
    <w:rsid w:val="003C5886"/>
    <w:rsid w:val="003C5B29"/>
    <w:rsid w:val="003C656F"/>
    <w:rsid w:val="003C66F0"/>
    <w:rsid w:val="003C6B1C"/>
    <w:rsid w:val="003C714E"/>
    <w:rsid w:val="003C7232"/>
    <w:rsid w:val="003C7EAC"/>
    <w:rsid w:val="003D0383"/>
    <w:rsid w:val="003D061D"/>
    <w:rsid w:val="003D0AA8"/>
    <w:rsid w:val="003D12D5"/>
    <w:rsid w:val="003D178D"/>
    <w:rsid w:val="003D1828"/>
    <w:rsid w:val="003D20CF"/>
    <w:rsid w:val="003D2422"/>
    <w:rsid w:val="003D2577"/>
    <w:rsid w:val="003D2876"/>
    <w:rsid w:val="003D3164"/>
    <w:rsid w:val="003D367A"/>
    <w:rsid w:val="003D378E"/>
    <w:rsid w:val="003D3A1E"/>
    <w:rsid w:val="003D3C65"/>
    <w:rsid w:val="003D405C"/>
    <w:rsid w:val="003D47C4"/>
    <w:rsid w:val="003D4E14"/>
    <w:rsid w:val="003D5021"/>
    <w:rsid w:val="003D50EC"/>
    <w:rsid w:val="003D5478"/>
    <w:rsid w:val="003D585C"/>
    <w:rsid w:val="003D59C4"/>
    <w:rsid w:val="003D6285"/>
    <w:rsid w:val="003D6308"/>
    <w:rsid w:val="003D667F"/>
    <w:rsid w:val="003D68FC"/>
    <w:rsid w:val="003D69B8"/>
    <w:rsid w:val="003D6BBD"/>
    <w:rsid w:val="003D6CA3"/>
    <w:rsid w:val="003D7278"/>
    <w:rsid w:val="003D77A5"/>
    <w:rsid w:val="003D7C36"/>
    <w:rsid w:val="003E0091"/>
    <w:rsid w:val="003E0216"/>
    <w:rsid w:val="003E0308"/>
    <w:rsid w:val="003E0818"/>
    <w:rsid w:val="003E1281"/>
    <w:rsid w:val="003E1FA1"/>
    <w:rsid w:val="003E24EE"/>
    <w:rsid w:val="003E260E"/>
    <w:rsid w:val="003E293F"/>
    <w:rsid w:val="003E2A1D"/>
    <w:rsid w:val="003E2AD7"/>
    <w:rsid w:val="003E2F9C"/>
    <w:rsid w:val="003E3211"/>
    <w:rsid w:val="003E37A4"/>
    <w:rsid w:val="003E3986"/>
    <w:rsid w:val="003E3C61"/>
    <w:rsid w:val="003E3DD8"/>
    <w:rsid w:val="003E3FB9"/>
    <w:rsid w:val="003E4320"/>
    <w:rsid w:val="003E46D1"/>
    <w:rsid w:val="003E4E5F"/>
    <w:rsid w:val="003E5745"/>
    <w:rsid w:val="003E657D"/>
    <w:rsid w:val="003E6812"/>
    <w:rsid w:val="003E6D68"/>
    <w:rsid w:val="003E6F9E"/>
    <w:rsid w:val="003E702F"/>
    <w:rsid w:val="003E725B"/>
    <w:rsid w:val="003E7751"/>
    <w:rsid w:val="003E787A"/>
    <w:rsid w:val="003E7911"/>
    <w:rsid w:val="003E7AE6"/>
    <w:rsid w:val="003E7C37"/>
    <w:rsid w:val="003E7C38"/>
    <w:rsid w:val="003F01FD"/>
    <w:rsid w:val="003F061C"/>
    <w:rsid w:val="003F0E6E"/>
    <w:rsid w:val="003F107A"/>
    <w:rsid w:val="003F11F7"/>
    <w:rsid w:val="003F1210"/>
    <w:rsid w:val="003F1264"/>
    <w:rsid w:val="003F1346"/>
    <w:rsid w:val="003F13F6"/>
    <w:rsid w:val="003F18E4"/>
    <w:rsid w:val="003F1B8C"/>
    <w:rsid w:val="003F20C0"/>
    <w:rsid w:val="003F212E"/>
    <w:rsid w:val="003F2642"/>
    <w:rsid w:val="003F2D22"/>
    <w:rsid w:val="003F32B6"/>
    <w:rsid w:val="003F35CB"/>
    <w:rsid w:val="003F3A1F"/>
    <w:rsid w:val="003F4156"/>
    <w:rsid w:val="003F444B"/>
    <w:rsid w:val="003F495D"/>
    <w:rsid w:val="003F4FED"/>
    <w:rsid w:val="003F5376"/>
    <w:rsid w:val="003F5AAF"/>
    <w:rsid w:val="003F6068"/>
    <w:rsid w:val="003F6AB4"/>
    <w:rsid w:val="003F6D6B"/>
    <w:rsid w:val="003F6F01"/>
    <w:rsid w:val="003F73D6"/>
    <w:rsid w:val="003F746B"/>
    <w:rsid w:val="003F76C0"/>
    <w:rsid w:val="003F7743"/>
    <w:rsid w:val="003F779A"/>
    <w:rsid w:val="003F7958"/>
    <w:rsid w:val="003F79FB"/>
    <w:rsid w:val="003F7C4C"/>
    <w:rsid w:val="003F7D22"/>
    <w:rsid w:val="003F7F6F"/>
    <w:rsid w:val="004004D2"/>
    <w:rsid w:val="00400808"/>
    <w:rsid w:val="00400820"/>
    <w:rsid w:val="00401603"/>
    <w:rsid w:val="004019A7"/>
    <w:rsid w:val="00401AE6"/>
    <w:rsid w:val="00401D41"/>
    <w:rsid w:val="00401F2A"/>
    <w:rsid w:val="0040217B"/>
    <w:rsid w:val="00402A7E"/>
    <w:rsid w:val="00402D80"/>
    <w:rsid w:val="00402EA8"/>
    <w:rsid w:val="00402EAF"/>
    <w:rsid w:val="00403201"/>
    <w:rsid w:val="00403AE1"/>
    <w:rsid w:val="00403B1A"/>
    <w:rsid w:val="00403C60"/>
    <w:rsid w:val="004046F9"/>
    <w:rsid w:val="004048E8"/>
    <w:rsid w:val="00404DBA"/>
    <w:rsid w:val="00404FC2"/>
    <w:rsid w:val="00405137"/>
    <w:rsid w:val="00405B14"/>
    <w:rsid w:val="00406058"/>
    <w:rsid w:val="004063D2"/>
    <w:rsid w:val="00406C6C"/>
    <w:rsid w:val="0040723D"/>
    <w:rsid w:val="00407537"/>
    <w:rsid w:val="0040769E"/>
    <w:rsid w:val="00407D0C"/>
    <w:rsid w:val="00407F4C"/>
    <w:rsid w:val="00407F92"/>
    <w:rsid w:val="00410094"/>
    <w:rsid w:val="004102A9"/>
    <w:rsid w:val="00410708"/>
    <w:rsid w:val="00410932"/>
    <w:rsid w:val="00410EC7"/>
    <w:rsid w:val="00411078"/>
    <w:rsid w:val="0041165E"/>
    <w:rsid w:val="00411B8A"/>
    <w:rsid w:val="0041227D"/>
    <w:rsid w:val="004124DA"/>
    <w:rsid w:val="0041270E"/>
    <w:rsid w:val="00412B35"/>
    <w:rsid w:val="00412DCE"/>
    <w:rsid w:val="00413139"/>
    <w:rsid w:val="00413267"/>
    <w:rsid w:val="00413ABF"/>
    <w:rsid w:val="00413C77"/>
    <w:rsid w:val="00413D66"/>
    <w:rsid w:val="00414476"/>
    <w:rsid w:val="00414A3B"/>
    <w:rsid w:val="00414B2B"/>
    <w:rsid w:val="00414EFF"/>
    <w:rsid w:val="004153C6"/>
    <w:rsid w:val="0041554E"/>
    <w:rsid w:val="00415CB9"/>
    <w:rsid w:val="00416130"/>
    <w:rsid w:val="00416A25"/>
    <w:rsid w:val="00416A3E"/>
    <w:rsid w:val="00416CF1"/>
    <w:rsid w:val="00416D12"/>
    <w:rsid w:val="0041726F"/>
    <w:rsid w:val="00417297"/>
    <w:rsid w:val="00417996"/>
    <w:rsid w:val="00417E05"/>
    <w:rsid w:val="00420B9F"/>
    <w:rsid w:val="00420E40"/>
    <w:rsid w:val="00421125"/>
    <w:rsid w:val="00421869"/>
    <w:rsid w:val="00421DEF"/>
    <w:rsid w:val="00421DF5"/>
    <w:rsid w:val="00421E50"/>
    <w:rsid w:val="00422656"/>
    <w:rsid w:val="00422B8C"/>
    <w:rsid w:val="00422C7D"/>
    <w:rsid w:val="00422DE1"/>
    <w:rsid w:val="004230AD"/>
    <w:rsid w:val="0042322E"/>
    <w:rsid w:val="0042359A"/>
    <w:rsid w:val="00423688"/>
    <w:rsid w:val="004238F7"/>
    <w:rsid w:val="0042399E"/>
    <w:rsid w:val="00423CAF"/>
    <w:rsid w:val="00424034"/>
    <w:rsid w:val="004245B7"/>
    <w:rsid w:val="0042527C"/>
    <w:rsid w:val="00425413"/>
    <w:rsid w:val="00425B4D"/>
    <w:rsid w:val="004261B7"/>
    <w:rsid w:val="004263A4"/>
    <w:rsid w:val="004265F2"/>
    <w:rsid w:val="00426A9C"/>
    <w:rsid w:val="00426CEE"/>
    <w:rsid w:val="0042718A"/>
    <w:rsid w:val="004275C6"/>
    <w:rsid w:val="00427650"/>
    <w:rsid w:val="004276AC"/>
    <w:rsid w:val="004279B7"/>
    <w:rsid w:val="00430323"/>
    <w:rsid w:val="004303C6"/>
    <w:rsid w:val="00430817"/>
    <w:rsid w:val="00430A9C"/>
    <w:rsid w:val="0043104E"/>
    <w:rsid w:val="0043106D"/>
    <w:rsid w:val="004319F8"/>
    <w:rsid w:val="00431B5A"/>
    <w:rsid w:val="00431B93"/>
    <w:rsid w:val="00431FC9"/>
    <w:rsid w:val="00432298"/>
    <w:rsid w:val="00432998"/>
    <w:rsid w:val="00433044"/>
    <w:rsid w:val="00433398"/>
    <w:rsid w:val="004333D2"/>
    <w:rsid w:val="00433DE2"/>
    <w:rsid w:val="0043403E"/>
    <w:rsid w:val="004345A8"/>
    <w:rsid w:val="004345D4"/>
    <w:rsid w:val="0043491A"/>
    <w:rsid w:val="00435342"/>
    <w:rsid w:val="004354F5"/>
    <w:rsid w:val="00435973"/>
    <w:rsid w:val="00435A7D"/>
    <w:rsid w:val="00436568"/>
    <w:rsid w:val="0043658F"/>
    <w:rsid w:val="00436832"/>
    <w:rsid w:val="00436B1C"/>
    <w:rsid w:val="00436BEF"/>
    <w:rsid w:val="00436E67"/>
    <w:rsid w:val="00436F61"/>
    <w:rsid w:val="004376AB"/>
    <w:rsid w:val="004378E1"/>
    <w:rsid w:val="00437B0E"/>
    <w:rsid w:val="00440D4F"/>
    <w:rsid w:val="00440F98"/>
    <w:rsid w:val="0044170F"/>
    <w:rsid w:val="00441F50"/>
    <w:rsid w:val="00442334"/>
    <w:rsid w:val="0044277A"/>
    <w:rsid w:val="004429E4"/>
    <w:rsid w:val="00442A58"/>
    <w:rsid w:val="00442B2B"/>
    <w:rsid w:val="00442EB1"/>
    <w:rsid w:val="0044347F"/>
    <w:rsid w:val="004434AB"/>
    <w:rsid w:val="00443709"/>
    <w:rsid w:val="00444044"/>
    <w:rsid w:val="004443A7"/>
    <w:rsid w:val="004449B0"/>
    <w:rsid w:val="00445219"/>
    <w:rsid w:val="0044538C"/>
    <w:rsid w:val="00445825"/>
    <w:rsid w:val="00445B51"/>
    <w:rsid w:val="004461FB"/>
    <w:rsid w:val="00446317"/>
    <w:rsid w:val="004464C5"/>
    <w:rsid w:val="004464EB"/>
    <w:rsid w:val="00446754"/>
    <w:rsid w:val="00446C40"/>
    <w:rsid w:val="00446C46"/>
    <w:rsid w:val="0044706B"/>
    <w:rsid w:val="004474AE"/>
    <w:rsid w:val="0044750F"/>
    <w:rsid w:val="00447796"/>
    <w:rsid w:val="00447BBC"/>
    <w:rsid w:val="00450459"/>
    <w:rsid w:val="0045048F"/>
    <w:rsid w:val="004506F4"/>
    <w:rsid w:val="00450A20"/>
    <w:rsid w:val="00450B3D"/>
    <w:rsid w:val="00450E00"/>
    <w:rsid w:val="0045131C"/>
    <w:rsid w:val="004513F8"/>
    <w:rsid w:val="00451BD5"/>
    <w:rsid w:val="0045247F"/>
    <w:rsid w:val="00452540"/>
    <w:rsid w:val="004526A1"/>
    <w:rsid w:val="00452857"/>
    <w:rsid w:val="00452D95"/>
    <w:rsid w:val="00453134"/>
    <w:rsid w:val="00453378"/>
    <w:rsid w:val="00453415"/>
    <w:rsid w:val="00453631"/>
    <w:rsid w:val="004538EC"/>
    <w:rsid w:val="00453D06"/>
    <w:rsid w:val="00453E1E"/>
    <w:rsid w:val="00453FBB"/>
    <w:rsid w:val="00454572"/>
    <w:rsid w:val="00454AC4"/>
    <w:rsid w:val="004553C4"/>
    <w:rsid w:val="004558BA"/>
    <w:rsid w:val="00455AE7"/>
    <w:rsid w:val="00455CE5"/>
    <w:rsid w:val="00455D45"/>
    <w:rsid w:val="00455F7E"/>
    <w:rsid w:val="00456014"/>
    <w:rsid w:val="00456A4A"/>
    <w:rsid w:val="00456E13"/>
    <w:rsid w:val="00456FE5"/>
    <w:rsid w:val="0045720A"/>
    <w:rsid w:val="0045744B"/>
    <w:rsid w:val="00457708"/>
    <w:rsid w:val="004579FB"/>
    <w:rsid w:val="004601A9"/>
    <w:rsid w:val="004604CF"/>
    <w:rsid w:val="00460699"/>
    <w:rsid w:val="00460951"/>
    <w:rsid w:val="004609D4"/>
    <w:rsid w:val="00460A98"/>
    <w:rsid w:val="00460C4F"/>
    <w:rsid w:val="0046145B"/>
    <w:rsid w:val="00461897"/>
    <w:rsid w:val="004619CE"/>
    <w:rsid w:val="00461B5F"/>
    <w:rsid w:val="00461B89"/>
    <w:rsid w:val="00461EBE"/>
    <w:rsid w:val="00461F5B"/>
    <w:rsid w:val="00462677"/>
    <w:rsid w:val="00462F5C"/>
    <w:rsid w:val="00463B0F"/>
    <w:rsid w:val="00464595"/>
    <w:rsid w:val="00464854"/>
    <w:rsid w:val="00464B92"/>
    <w:rsid w:val="00464EC8"/>
    <w:rsid w:val="0046576B"/>
    <w:rsid w:val="00465CA8"/>
    <w:rsid w:val="00465D08"/>
    <w:rsid w:val="00466058"/>
    <w:rsid w:val="00466108"/>
    <w:rsid w:val="00466192"/>
    <w:rsid w:val="004667B8"/>
    <w:rsid w:val="00466A9F"/>
    <w:rsid w:val="00466C61"/>
    <w:rsid w:val="00467153"/>
    <w:rsid w:val="004672A5"/>
    <w:rsid w:val="0046776D"/>
    <w:rsid w:val="00467F34"/>
    <w:rsid w:val="004707EC"/>
    <w:rsid w:val="00470943"/>
    <w:rsid w:val="00470A70"/>
    <w:rsid w:val="00470EF0"/>
    <w:rsid w:val="0047126D"/>
    <w:rsid w:val="004712EF"/>
    <w:rsid w:val="0047164C"/>
    <w:rsid w:val="00471774"/>
    <w:rsid w:val="00471B7C"/>
    <w:rsid w:val="00471BA6"/>
    <w:rsid w:val="00472261"/>
    <w:rsid w:val="00472409"/>
    <w:rsid w:val="00472603"/>
    <w:rsid w:val="004727DE"/>
    <w:rsid w:val="0047294F"/>
    <w:rsid w:val="00472D78"/>
    <w:rsid w:val="00473469"/>
    <w:rsid w:val="00473ADF"/>
    <w:rsid w:val="00473CEE"/>
    <w:rsid w:val="00473D2E"/>
    <w:rsid w:val="00474260"/>
    <w:rsid w:val="00474890"/>
    <w:rsid w:val="00474C2A"/>
    <w:rsid w:val="0047574B"/>
    <w:rsid w:val="00475B59"/>
    <w:rsid w:val="00476224"/>
    <w:rsid w:val="00476360"/>
    <w:rsid w:val="00476C1E"/>
    <w:rsid w:val="00476E92"/>
    <w:rsid w:val="004773D3"/>
    <w:rsid w:val="0047778D"/>
    <w:rsid w:val="00480017"/>
    <w:rsid w:val="0048057B"/>
    <w:rsid w:val="004805A5"/>
    <w:rsid w:val="0048071C"/>
    <w:rsid w:val="00480ED4"/>
    <w:rsid w:val="00481122"/>
    <w:rsid w:val="00481201"/>
    <w:rsid w:val="004814E4"/>
    <w:rsid w:val="00481FFF"/>
    <w:rsid w:val="00482148"/>
    <w:rsid w:val="004821E9"/>
    <w:rsid w:val="00482221"/>
    <w:rsid w:val="004826A1"/>
    <w:rsid w:val="00482B23"/>
    <w:rsid w:val="004839CB"/>
    <w:rsid w:val="00483C1C"/>
    <w:rsid w:val="00483ECF"/>
    <w:rsid w:val="00484577"/>
    <w:rsid w:val="0048461B"/>
    <w:rsid w:val="004846AE"/>
    <w:rsid w:val="00484833"/>
    <w:rsid w:val="0048485C"/>
    <w:rsid w:val="00484B37"/>
    <w:rsid w:val="00485138"/>
    <w:rsid w:val="004851F5"/>
    <w:rsid w:val="004858BA"/>
    <w:rsid w:val="00485A5C"/>
    <w:rsid w:val="00485D06"/>
    <w:rsid w:val="00486030"/>
    <w:rsid w:val="00486289"/>
    <w:rsid w:val="004864CD"/>
    <w:rsid w:val="004867E2"/>
    <w:rsid w:val="0048723E"/>
    <w:rsid w:val="00487443"/>
    <w:rsid w:val="004874C7"/>
    <w:rsid w:val="0048774B"/>
    <w:rsid w:val="00487AC8"/>
    <w:rsid w:val="00487DBC"/>
    <w:rsid w:val="00490097"/>
    <w:rsid w:val="00490157"/>
    <w:rsid w:val="00490231"/>
    <w:rsid w:val="0049028E"/>
    <w:rsid w:val="004904C8"/>
    <w:rsid w:val="0049056F"/>
    <w:rsid w:val="00490B7C"/>
    <w:rsid w:val="00490E3C"/>
    <w:rsid w:val="004911B4"/>
    <w:rsid w:val="00491459"/>
    <w:rsid w:val="00491480"/>
    <w:rsid w:val="004915F6"/>
    <w:rsid w:val="004916C5"/>
    <w:rsid w:val="0049185F"/>
    <w:rsid w:val="004919EF"/>
    <w:rsid w:val="00491B3A"/>
    <w:rsid w:val="00491C87"/>
    <w:rsid w:val="00491D4D"/>
    <w:rsid w:val="00492035"/>
    <w:rsid w:val="004923C0"/>
    <w:rsid w:val="0049284F"/>
    <w:rsid w:val="00492913"/>
    <w:rsid w:val="00492B00"/>
    <w:rsid w:val="00492B2F"/>
    <w:rsid w:val="00492CFD"/>
    <w:rsid w:val="00492EAB"/>
    <w:rsid w:val="004932C4"/>
    <w:rsid w:val="00493741"/>
    <w:rsid w:val="004937F3"/>
    <w:rsid w:val="00493D42"/>
    <w:rsid w:val="00493F14"/>
    <w:rsid w:val="004940DC"/>
    <w:rsid w:val="00494B03"/>
    <w:rsid w:val="00495238"/>
    <w:rsid w:val="0049532A"/>
    <w:rsid w:val="00495354"/>
    <w:rsid w:val="00495751"/>
    <w:rsid w:val="004962D2"/>
    <w:rsid w:val="004962F9"/>
    <w:rsid w:val="004964CF"/>
    <w:rsid w:val="00496FD5"/>
    <w:rsid w:val="004973FC"/>
    <w:rsid w:val="004974AF"/>
    <w:rsid w:val="00497798"/>
    <w:rsid w:val="004979BC"/>
    <w:rsid w:val="004979FC"/>
    <w:rsid w:val="00497A56"/>
    <w:rsid w:val="00497C34"/>
    <w:rsid w:val="00497E11"/>
    <w:rsid w:val="004A0393"/>
    <w:rsid w:val="004A0D1D"/>
    <w:rsid w:val="004A0D2F"/>
    <w:rsid w:val="004A0DA1"/>
    <w:rsid w:val="004A15C6"/>
    <w:rsid w:val="004A16B7"/>
    <w:rsid w:val="004A17DC"/>
    <w:rsid w:val="004A1A20"/>
    <w:rsid w:val="004A1AFC"/>
    <w:rsid w:val="004A1C29"/>
    <w:rsid w:val="004A1FB4"/>
    <w:rsid w:val="004A2045"/>
    <w:rsid w:val="004A23DA"/>
    <w:rsid w:val="004A2CDC"/>
    <w:rsid w:val="004A2E60"/>
    <w:rsid w:val="004A3280"/>
    <w:rsid w:val="004A37A8"/>
    <w:rsid w:val="004A3CB1"/>
    <w:rsid w:val="004A3DBA"/>
    <w:rsid w:val="004A3E88"/>
    <w:rsid w:val="004A4674"/>
    <w:rsid w:val="004A48CC"/>
    <w:rsid w:val="004A4B1F"/>
    <w:rsid w:val="004A533A"/>
    <w:rsid w:val="004A5AEB"/>
    <w:rsid w:val="004A6399"/>
    <w:rsid w:val="004A6597"/>
    <w:rsid w:val="004A6614"/>
    <w:rsid w:val="004A68D0"/>
    <w:rsid w:val="004A721A"/>
    <w:rsid w:val="004A7343"/>
    <w:rsid w:val="004A73D8"/>
    <w:rsid w:val="004A73E3"/>
    <w:rsid w:val="004A76CC"/>
    <w:rsid w:val="004A78A8"/>
    <w:rsid w:val="004B0903"/>
    <w:rsid w:val="004B138E"/>
    <w:rsid w:val="004B1CB4"/>
    <w:rsid w:val="004B1E19"/>
    <w:rsid w:val="004B2557"/>
    <w:rsid w:val="004B2855"/>
    <w:rsid w:val="004B2DC4"/>
    <w:rsid w:val="004B2F18"/>
    <w:rsid w:val="004B2FA2"/>
    <w:rsid w:val="004B2FB1"/>
    <w:rsid w:val="004B389D"/>
    <w:rsid w:val="004B3DDB"/>
    <w:rsid w:val="004B4251"/>
    <w:rsid w:val="004B44FD"/>
    <w:rsid w:val="004B5370"/>
    <w:rsid w:val="004B5661"/>
    <w:rsid w:val="004B5693"/>
    <w:rsid w:val="004B57F0"/>
    <w:rsid w:val="004B5CFC"/>
    <w:rsid w:val="004B5D15"/>
    <w:rsid w:val="004B69AC"/>
    <w:rsid w:val="004B6B6C"/>
    <w:rsid w:val="004B6C63"/>
    <w:rsid w:val="004B6FCD"/>
    <w:rsid w:val="004B709D"/>
    <w:rsid w:val="004C01E7"/>
    <w:rsid w:val="004C0628"/>
    <w:rsid w:val="004C0F81"/>
    <w:rsid w:val="004C176D"/>
    <w:rsid w:val="004C18B4"/>
    <w:rsid w:val="004C1EC0"/>
    <w:rsid w:val="004C25A9"/>
    <w:rsid w:val="004C27CE"/>
    <w:rsid w:val="004C27CF"/>
    <w:rsid w:val="004C2A16"/>
    <w:rsid w:val="004C3545"/>
    <w:rsid w:val="004C4AED"/>
    <w:rsid w:val="004C4C14"/>
    <w:rsid w:val="004C58BD"/>
    <w:rsid w:val="004C5CFC"/>
    <w:rsid w:val="004C5EF1"/>
    <w:rsid w:val="004C616D"/>
    <w:rsid w:val="004C6387"/>
    <w:rsid w:val="004C6C0D"/>
    <w:rsid w:val="004C75E4"/>
    <w:rsid w:val="004C7E9B"/>
    <w:rsid w:val="004D0A2F"/>
    <w:rsid w:val="004D0FFB"/>
    <w:rsid w:val="004D1037"/>
    <w:rsid w:val="004D109F"/>
    <w:rsid w:val="004D1206"/>
    <w:rsid w:val="004D12D3"/>
    <w:rsid w:val="004D14B6"/>
    <w:rsid w:val="004D17C6"/>
    <w:rsid w:val="004D1BBE"/>
    <w:rsid w:val="004D1F20"/>
    <w:rsid w:val="004D2061"/>
    <w:rsid w:val="004D213E"/>
    <w:rsid w:val="004D2667"/>
    <w:rsid w:val="004D27DB"/>
    <w:rsid w:val="004D2DFD"/>
    <w:rsid w:val="004D2E8E"/>
    <w:rsid w:val="004D308C"/>
    <w:rsid w:val="004D34AB"/>
    <w:rsid w:val="004D4060"/>
    <w:rsid w:val="004D40D7"/>
    <w:rsid w:val="004D4676"/>
    <w:rsid w:val="004D4818"/>
    <w:rsid w:val="004D4B10"/>
    <w:rsid w:val="004D4C72"/>
    <w:rsid w:val="004D5104"/>
    <w:rsid w:val="004D528E"/>
    <w:rsid w:val="004D58F7"/>
    <w:rsid w:val="004D5918"/>
    <w:rsid w:val="004D5C98"/>
    <w:rsid w:val="004D61DE"/>
    <w:rsid w:val="004D6719"/>
    <w:rsid w:val="004D6D3C"/>
    <w:rsid w:val="004D77FE"/>
    <w:rsid w:val="004D7C80"/>
    <w:rsid w:val="004D7D1D"/>
    <w:rsid w:val="004D7D70"/>
    <w:rsid w:val="004E0435"/>
    <w:rsid w:val="004E0A1B"/>
    <w:rsid w:val="004E0C83"/>
    <w:rsid w:val="004E0EB8"/>
    <w:rsid w:val="004E11DE"/>
    <w:rsid w:val="004E1746"/>
    <w:rsid w:val="004E1BFC"/>
    <w:rsid w:val="004E1C0F"/>
    <w:rsid w:val="004E23CC"/>
    <w:rsid w:val="004E2504"/>
    <w:rsid w:val="004E298E"/>
    <w:rsid w:val="004E2ADC"/>
    <w:rsid w:val="004E3311"/>
    <w:rsid w:val="004E3925"/>
    <w:rsid w:val="004E43B2"/>
    <w:rsid w:val="004E47EB"/>
    <w:rsid w:val="004E4BC4"/>
    <w:rsid w:val="004E4C2A"/>
    <w:rsid w:val="004E4C63"/>
    <w:rsid w:val="004E4F5B"/>
    <w:rsid w:val="004E5264"/>
    <w:rsid w:val="004E52AF"/>
    <w:rsid w:val="004E53BB"/>
    <w:rsid w:val="004E5BC7"/>
    <w:rsid w:val="004E6440"/>
    <w:rsid w:val="004E6A46"/>
    <w:rsid w:val="004E6AE4"/>
    <w:rsid w:val="004E71CB"/>
    <w:rsid w:val="004E72F7"/>
    <w:rsid w:val="004E7387"/>
    <w:rsid w:val="004E73EB"/>
    <w:rsid w:val="004E77E8"/>
    <w:rsid w:val="004E7955"/>
    <w:rsid w:val="004F09EE"/>
    <w:rsid w:val="004F0C26"/>
    <w:rsid w:val="004F0D13"/>
    <w:rsid w:val="004F0E72"/>
    <w:rsid w:val="004F0ECA"/>
    <w:rsid w:val="004F15FF"/>
    <w:rsid w:val="004F16BB"/>
    <w:rsid w:val="004F1C95"/>
    <w:rsid w:val="004F1D02"/>
    <w:rsid w:val="004F1FB7"/>
    <w:rsid w:val="004F21FE"/>
    <w:rsid w:val="004F2308"/>
    <w:rsid w:val="004F2679"/>
    <w:rsid w:val="004F26E4"/>
    <w:rsid w:val="004F2F28"/>
    <w:rsid w:val="004F3754"/>
    <w:rsid w:val="004F41B8"/>
    <w:rsid w:val="004F4474"/>
    <w:rsid w:val="004F51C0"/>
    <w:rsid w:val="004F5250"/>
    <w:rsid w:val="004F57E7"/>
    <w:rsid w:val="004F596B"/>
    <w:rsid w:val="004F60DE"/>
    <w:rsid w:val="004F62A2"/>
    <w:rsid w:val="004F6388"/>
    <w:rsid w:val="004F73EA"/>
    <w:rsid w:val="004F769F"/>
    <w:rsid w:val="004F7865"/>
    <w:rsid w:val="00500374"/>
    <w:rsid w:val="00500FD9"/>
    <w:rsid w:val="005017F8"/>
    <w:rsid w:val="00501C28"/>
    <w:rsid w:val="00501FEE"/>
    <w:rsid w:val="00502716"/>
    <w:rsid w:val="00503016"/>
    <w:rsid w:val="005032BA"/>
    <w:rsid w:val="00503B82"/>
    <w:rsid w:val="00503EAB"/>
    <w:rsid w:val="00504626"/>
    <w:rsid w:val="00505BC6"/>
    <w:rsid w:val="00505D1D"/>
    <w:rsid w:val="00505E9D"/>
    <w:rsid w:val="00505EF5"/>
    <w:rsid w:val="005061C7"/>
    <w:rsid w:val="00506339"/>
    <w:rsid w:val="00506393"/>
    <w:rsid w:val="00506928"/>
    <w:rsid w:val="00506BA3"/>
    <w:rsid w:val="00506C37"/>
    <w:rsid w:val="005074A4"/>
    <w:rsid w:val="0050760C"/>
    <w:rsid w:val="00507A60"/>
    <w:rsid w:val="0051006A"/>
    <w:rsid w:val="00510321"/>
    <w:rsid w:val="0051050B"/>
    <w:rsid w:val="005106DE"/>
    <w:rsid w:val="00510A60"/>
    <w:rsid w:val="00510E63"/>
    <w:rsid w:val="00510F5E"/>
    <w:rsid w:val="0051106B"/>
    <w:rsid w:val="005119EF"/>
    <w:rsid w:val="00511DE8"/>
    <w:rsid w:val="00512019"/>
    <w:rsid w:val="005120FF"/>
    <w:rsid w:val="00512149"/>
    <w:rsid w:val="005123BB"/>
    <w:rsid w:val="005131B9"/>
    <w:rsid w:val="00513446"/>
    <w:rsid w:val="00513730"/>
    <w:rsid w:val="00513A91"/>
    <w:rsid w:val="00513C00"/>
    <w:rsid w:val="00513CAE"/>
    <w:rsid w:val="00513E75"/>
    <w:rsid w:val="00513FD8"/>
    <w:rsid w:val="0051459B"/>
    <w:rsid w:val="00514680"/>
    <w:rsid w:val="00514E4B"/>
    <w:rsid w:val="00514EAE"/>
    <w:rsid w:val="00515034"/>
    <w:rsid w:val="005152B5"/>
    <w:rsid w:val="00515652"/>
    <w:rsid w:val="00515699"/>
    <w:rsid w:val="00515803"/>
    <w:rsid w:val="005159C9"/>
    <w:rsid w:val="00515BB8"/>
    <w:rsid w:val="00515E2E"/>
    <w:rsid w:val="00516263"/>
    <w:rsid w:val="0051634C"/>
    <w:rsid w:val="005163F4"/>
    <w:rsid w:val="005165BC"/>
    <w:rsid w:val="00516B9F"/>
    <w:rsid w:val="00516D7F"/>
    <w:rsid w:val="00516F94"/>
    <w:rsid w:val="0051756D"/>
    <w:rsid w:val="0051777C"/>
    <w:rsid w:val="0052023A"/>
    <w:rsid w:val="0052053B"/>
    <w:rsid w:val="00520750"/>
    <w:rsid w:val="005208AB"/>
    <w:rsid w:val="00520B5B"/>
    <w:rsid w:val="00520E02"/>
    <w:rsid w:val="00520F0D"/>
    <w:rsid w:val="00520FEA"/>
    <w:rsid w:val="00521045"/>
    <w:rsid w:val="0052119B"/>
    <w:rsid w:val="00521319"/>
    <w:rsid w:val="00521677"/>
    <w:rsid w:val="005216DA"/>
    <w:rsid w:val="00521D22"/>
    <w:rsid w:val="00521EE2"/>
    <w:rsid w:val="00522254"/>
    <w:rsid w:val="00522346"/>
    <w:rsid w:val="00522736"/>
    <w:rsid w:val="0052280D"/>
    <w:rsid w:val="00522E6C"/>
    <w:rsid w:val="005230A0"/>
    <w:rsid w:val="00523850"/>
    <w:rsid w:val="00523C28"/>
    <w:rsid w:val="00524096"/>
    <w:rsid w:val="00524686"/>
    <w:rsid w:val="00524AD3"/>
    <w:rsid w:val="00524DAC"/>
    <w:rsid w:val="00524DE1"/>
    <w:rsid w:val="00525350"/>
    <w:rsid w:val="00525AA3"/>
    <w:rsid w:val="00525D00"/>
    <w:rsid w:val="0052606A"/>
    <w:rsid w:val="0052639A"/>
    <w:rsid w:val="0052775E"/>
    <w:rsid w:val="00527D70"/>
    <w:rsid w:val="005300F0"/>
    <w:rsid w:val="005302C5"/>
    <w:rsid w:val="00530705"/>
    <w:rsid w:val="00530722"/>
    <w:rsid w:val="00530952"/>
    <w:rsid w:val="0053126B"/>
    <w:rsid w:val="005312F6"/>
    <w:rsid w:val="0053196A"/>
    <w:rsid w:val="005319D2"/>
    <w:rsid w:val="00531EF1"/>
    <w:rsid w:val="00531F1F"/>
    <w:rsid w:val="00531F38"/>
    <w:rsid w:val="0053276F"/>
    <w:rsid w:val="005329E8"/>
    <w:rsid w:val="00532D28"/>
    <w:rsid w:val="00532EF3"/>
    <w:rsid w:val="005333AE"/>
    <w:rsid w:val="0053352C"/>
    <w:rsid w:val="00533C0E"/>
    <w:rsid w:val="00533D0E"/>
    <w:rsid w:val="00534634"/>
    <w:rsid w:val="00534B8C"/>
    <w:rsid w:val="00535178"/>
    <w:rsid w:val="005353BE"/>
    <w:rsid w:val="00535CC5"/>
    <w:rsid w:val="00535E56"/>
    <w:rsid w:val="0053644C"/>
    <w:rsid w:val="005367EE"/>
    <w:rsid w:val="00536E74"/>
    <w:rsid w:val="005371E6"/>
    <w:rsid w:val="0053767B"/>
    <w:rsid w:val="00537C72"/>
    <w:rsid w:val="00537C76"/>
    <w:rsid w:val="00537D14"/>
    <w:rsid w:val="00537DBD"/>
    <w:rsid w:val="0054052E"/>
    <w:rsid w:val="00540618"/>
    <w:rsid w:val="00540B6E"/>
    <w:rsid w:val="00540BBB"/>
    <w:rsid w:val="00540E81"/>
    <w:rsid w:val="00540E8B"/>
    <w:rsid w:val="005410AC"/>
    <w:rsid w:val="00541145"/>
    <w:rsid w:val="00541352"/>
    <w:rsid w:val="00541528"/>
    <w:rsid w:val="00541642"/>
    <w:rsid w:val="00541BA3"/>
    <w:rsid w:val="00541BB5"/>
    <w:rsid w:val="00541C6F"/>
    <w:rsid w:val="0054216D"/>
    <w:rsid w:val="00542185"/>
    <w:rsid w:val="0054284A"/>
    <w:rsid w:val="00542ADF"/>
    <w:rsid w:val="00542FA9"/>
    <w:rsid w:val="0054300D"/>
    <w:rsid w:val="0054364B"/>
    <w:rsid w:val="00543663"/>
    <w:rsid w:val="00543665"/>
    <w:rsid w:val="005438C1"/>
    <w:rsid w:val="00543B6B"/>
    <w:rsid w:val="00543C17"/>
    <w:rsid w:val="005446C0"/>
    <w:rsid w:val="005448F4"/>
    <w:rsid w:val="005449A9"/>
    <w:rsid w:val="00544D1D"/>
    <w:rsid w:val="00545FA4"/>
    <w:rsid w:val="00545FF2"/>
    <w:rsid w:val="005460E3"/>
    <w:rsid w:val="0054665E"/>
    <w:rsid w:val="00546A5C"/>
    <w:rsid w:val="00546D26"/>
    <w:rsid w:val="00546FA7"/>
    <w:rsid w:val="005473E5"/>
    <w:rsid w:val="00547E4F"/>
    <w:rsid w:val="00547EB3"/>
    <w:rsid w:val="00550BE9"/>
    <w:rsid w:val="00550BF5"/>
    <w:rsid w:val="005511A6"/>
    <w:rsid w:val="0055144D"/>
    <w:rsid w:val="005515DD"/>
    <w:rsid w:val="00551CC6"/>
    <w:rsid w:val="00551F42"/>
    <w:rsid w:val="0055223E"/>
    <w:rsid w:val="0055270E"/>
    <w:rsid w:val="00552BBA"/>
    <w:rsid w:val="00552BD3"/>
    <w:rsid w:val="00552DD6"/>
    <w:rsid w:val="005531A9"/>
    <w:rsid w:val="005540F0"/>
    <w:rsid w:val="005543FC"/>
    <w:rsid w:val="0055444F"/>
    <w:rsid w:val="005546A3"/>
    <w:rsid w:val="00554A01"/>
    <w:rsid w:val="00554A37"/>
    <w:rsid w:val="00555034"/>
    <w:rsid w:val="00555109"/>
    <w:rsid w:val="0055534E"/>
    <w:rsid w:val="00555552"/>
    <w:rsid w:val="00555AD6"/>
    <w:rsid w:val="00555D03"/>
    <w:rsid w:val="00555DD7"/>
    <w:rsid w:val="00555DD9"/>
    <w:rsid w:val="00555F85"/>
    <w:rsid w:val="005568CC"/>
    <w:rsid w:val="00556B51"/>
    <w:rsid w:val="00556B5B"/>
    <w:rsid w:val="00556D07"/>
    <w:rsid w:val="0055777E"/>
    <w:rsid w:val="00557AD7"/>
    <w:rsid w:val="0056014D"/>
    <w:rsid w:val="00560181"/>
    <w:rsid w:val="0056049E"/>
    <w:rsid w:val="005604CE"/>
    <w:rsid w:val="00560F40"/>
    <w:rsid w:val="005616BF"/>
    <w:rsid w:val="00561A86"/>
    <w:rsid w:val="00561B11"/>
    <w:rsid w:val="005622BC"/>
    <w:rsid w:val="0056230F"/>
    <w:rsid w:val="005623BF"/>
    <w:rsid w:val="00563806"/>
    <w:rsid w:val="0056407E"/>
    <w:rsid w:val="005643D1"/>
    <w:rsid w:val="005649F2"/>
    <w:rsid w:val="00564B01"/>
    <w:rsid w:val="00564C55"/>
    <w:rsid w:val="00565578"/>
    <w:rsid w:val="00565643"/>
    <w:rsid w:val="00565903"/>
    <w:rsid w:val="00565F2C"/>
    <w:rsid w:val="0056621A"/>
    <w:rsid w:val="0056637D"/>
    <w:rsid w:val="0056696F"/>
    <w:rsid w:val="00566D59"/>
    <w:rsid w:val="00567382"/>
    <w:rsid w:val="005673B4"/>
    <w:rsid w:val="00567E1E"/>
    <w:rsid w:val="005706BB"/>
    <w:rsid w:val="005708F2"/>
    <w:rsid w:val="00570F11"/>
    <w:rsid w:val="005710EA"/>
    <w:rsid w:val="00571C9E"/>
    <w:rsid w:val="00571F72"/>
    <w:rsid w:val="00572A41"/>
    <w:rsid w:val="00573097"/>
    <w:rsid w:val="005734D4"/>
    <w:rsid w:val="00573872"/>
    <w:rsid w:val="00573972"/>
    <w:rsid w:val="00573B2F"/>
    <w:rsid w:val="00573BEF"/>
    <w:rsid w:val="00573F27"/>
    <w:rsid w:val="00574135"/>
    <w:rsid w:val="00574280"/>
    <w:rsid w:val="005746B6"/>
    <w:rsid w:val="00575419"/>
    <w:rsid w:val="00575538"/>
    <w:rsid w:val="00575647"/>
    <w:rsid w:val="00575B17"/>
    <w:rsid w:val="00575D8D"/>
    <w:rsid w:val="005760E7"/>
    <w:rsid w:val="005766EB"/>
    <w:rsid w:val="00576972"/>
    <w:rsid w:val="00576ECF"/>
    <w:rsid w:val="005771AB"/>
    <w:rsid w:val="005777D3"/>
    <w:rsid w:val="0058015A"/>
    <w:rsid w:val="00580BF2"/>
    <w:rsid w:val="00580C79"/>
    <w:rsid w:val="00581027"/>
    <w:rsid w:val="005813CF"/>
    <w:rsid w:val="005813F0"/>
    <w:rsid w:val="00581681"/>
    <w:rsid w:val="005817DF"/>
    <w:rsid w:val="00581B00"/>
    <w:rsid w:val="00581BC4"/>
    <w:rsid w:val="00581D46"/>
    <w:rsid w:val="00583699"/>
    <w:rsid w:val="00583F8D"/>
    <w:rsid w:val="005842B1"/>
    <w:rsid w:val="00584381"/>
    <w:rsid w:val="005848FB"/>
    <w:rsid w:val="00584CB2"/>
    <w:rsid w:val="005853D4"/>
    <w:rsid w:val="005866E2"/>
    <w:rsid w:val="0058681F"/>
    <w:rsid w:val="00586ACF"/>
    <w:rsid w:val="00586B30"/>
    <w:rsid w:val="00586CE4"/>
    <w:rsid w:val="0058742B"/>
    <w:rsid w:val="00587948"/>
    <w:rsid w:val="00587A50"/>
    <w:rsid w:val="00587E04"/>
    <w:rsid w:val="00587ED0"/>
    <w:rsid w:val="00587FE1"/>
    <w:rsid w:val="00590320"/>
    <w:rsid w:val="0059049C"/>
    <w:rsid w:val="005909D0"/>
    <w:rsid w:val="00590F70"/>
    <w:rsid w:val="005910DB"/>
    <w:rsid w:val="005913E7"/>
    <w:rsid w:val="005916A6"/>
    <w:rsid w:val="00591848"/>
    <w:rsid w:val="00591969"/>
    <w:rsid w:val="00591E65"/>
    <w:rsid w:val="005924E6"/>
    <w:rsid w:val="005928DC"/>
    <w:rsid w:val="00592A8D"/>
    <w:rsid w:val="0059330B"/>
    <w:rsid w:val="00593785"/>
    <w:rsid w:val="0059392D"/>
    <w:rsid w:val="00594568"/>
    <w:rsid w:val="00594601"/>
    <w:rsid w:val="005947C4"/>
    <w:rsid w:val="00594E66"/>
    <w:rsid w:val="00594E6D"/>
    <w:rsid w:val="00594F19"/>
    <w:rsid w:val="00595147"/>
    <w:rsid w:val="005958FF"/>
    <w:rsid w:val="00595D52"/>
    <w:rsid w:val="005960F2"/>
    <w:rsid w:val="00596699"/>
    <w:rsid w:val="00596763"/>
    <w:rsid w:val="00596C8E"/>
    <w:rsid w:val="00596F13"/>
    <w:rsid w:val="00597112"/>
    <w:rsid w:val="00597485"/>
    <w:rsid w:val="00597747"/>
    <w:rsid w:val="00597937"/>
    <w:rsid w:val="005A00E6"/>
    <w:rsid w:val="005A02A2"/>
    <w:rsid w:val="005A0DA5"/>
    <w:rsid w:val="005A0F77"/>
    <w:rsid w:val="005A0FC7"/>
    <w:rsid w:val="005A1556"/>
    <w:rsid w:val="005A1850"/>
    <w:rsid w:val="005A19E5"/>
    <w:rsid w:val="005A1DA8"/>
    <w:rsid w:val="005A20B9"/>
    <w:rsid w:val="005A2486"/>
    <w:rsid w:val="005A24A3"/>
    <w:rsid w:val="005A31D3"/>
    <w:rsid w:val="005A342E"/>
    <w:rsid w:val="005A355C"/>
    <w:rsid w:val="005A3702"/>
    <w:rsid w:val="005A373B"/>
    <w:rsid w:val="005A3DA9"/>
    <w:rsid w:val="005A3DEB"/>
    <w:rsid w:val="005A42CF"/>
    <w:rsid w:val="005A46E8"/>
    <w:rsid w:val="005A5702"/>
    <w:rsid w:val="005A5984"/>
    <w:rsid w:val="005A59C5"/>
    <w:rsid w:val="005A5A59"/>
    <w:rsid w:val="005A5E9F"/>
    <w:rsid w:val="005A6041"/>
    <w:rsid w:val="005A6141"/>
    <w:rsid w:val="005A66C9"/>
    <w:rsid w:val="005A6E06"/>
    <w:rsid w:val="005A6E41"/>
    <w:rsid w:val="005A6F02"/>
    <w:rsid w:val="005A7188"/>
    <w:rsid w:val="005A71F0"/>
    <w:rsid w:val="005A7297"/>
    <w:rsid w:val="005B0212"/>
    <w:rsid w:val="005B0344"/>
    <w:rsid w:val="005B04EE"/>
    <w:rsid w:val="005B09A3"/>
    <w:rsid w:val="005B0C9B"/>
    <w:rsid w:val="005B13CE"/>
    <w:rsid w:val="005B15A5"/>
    <w:rsid w:val="005B1966"/>
    <w:rsid w:val="005B1980"/>
    <w:rsid w:val="005B1B1A"/>
    <w:rsid w:val="005B1DAD"/>
    <w:rsid w:val="005B1DEC"/>
    <w:rsid w:val="005B1E88"/>
    <w:rsid w:val="005B204D"/>
    <w:rsid w:val="005B21EF"/>
    <w:rsid w:val="005B2239"/>
    <w:rsid w:val="005B23E5"/>
    <w:rsid w:val="005B28AC"/>
    <w:rsid w:val="005B29D5"/>
    <w:rsid w:val="005B32EC"/>
    <w:rsid w:val="005B3328"/>
    <w:rsid w:val="005B3442"/>
    <w:rsid w:val="005B3E11"/>
    <w:rsid w:val="005B3F27"/>
    <w:rsid w:val="005B4015"/>
    <w:rsid w:val="005B403C"/>
    <w:rsid w:val="005B4194"/>
    <w:rsid w:val="005B41F9"/>
    <w:rsid w:val="005B4279"/>
    <w:rsid w:val="005B4917"/>
    <w:rsid w:val="005B49FF"/>
    <w:rsid w:val="005B51C1"/>
    <w:rsid w:val="005B52A4"/>
    <w:rsid w:val="005B544E"/>
    <w:rsid w:val="005B5570"/>
    <w:rsid w:val="005B5857"/>
    <w:rsid w:val="005B6131"/>
    <w:rsid w:val="005B6B2D"/>
    <w:rsid w:val="005B72F0"/>
    <w:rsid w:val="005B7ADB"/>
    <w:rsid w:val="005B7CCC"/>
    <w:rsid w:val="005C0163"/>
    <w:rsid w:val="005C05F3"/>
    <w:rsid w:val="005C0919"/>
    <w:rsid w:val="005C111C"/>
    <w:rsid w:val="005C1134"/>
    <w:rsid w:val="005C1262"/>
    <w:rsid w:val="005C1B83"/>
    <w:rsid w:val="005C22E1"/>
    <w:rsid w:val="005C24C1"/>
    <w:rsid w:val="005C2705"/>
    <w:rsid w:val="005C2938"/>
    <w:rsid w:val="005C2AF7"/>
    <w:rsid w:val="005C2B58"/>
    <w:rsid w:val="005C30AC"/>
    <w:rsid w:val="005C346B"/>
    <w:rsid w:val="005C35B5"/>
    <w:rsid w:val="005C36D1"/>
    <w:rsid w:val="005C4918"/>
    <w:rsid w:val="005C4E80"/>
    <w:rsid w:val="005C53DB"/>
    <w:rsid w:val="005C6298"/>
    <w:rsid w:val="005C62E4"/>
    <w:rsid w:val="005C6451"/>
    <w:rsid w:val="005C69B9"/>
    <w:rsid w:val="005C6C10"/>
    <w:rsid w:val="005C6E31"/>
    <w:rsid w:val="005C728F"/>
    <w:rsid w:val="005C75E4"/>
    <w:rsid w:val="005C7F1C"/>
    <w:rsid w:val="005D044D"/>
    <w:rsid w:val="005D0D2D"/>
    <w:rsid w:val="005D12BF"/>
    <w:rsid w:val="005D14E8"/>
    <w:rsid w:val="005D18AD"/>
    <w:rsid w:val="005D1BF6"/>
    <w:rsid w:val="005D1D67"/>
    <w:rsid w:val="005D1E54"/>
    <w:rsid w:val="005D1EBF"/>
    <w:rsid w:val="005D2202"/>
    <w:rsid w:val="005D2706"/>
    <w:rsid w:val="005D2AEC"/>
    <w:rsid w:val="005D2B5A"/>
    <w:rsid w:val="005D2CD7"/>
    <w:rsid w:val="005D339C"/>
    <w:rsid w:val="005D3509"/>
    <w:rsid w:val="005D35AC"/>
    <w:rsid w:val="005D3A8E"/>
    <w:rsid w:val="005D4017"/>
    <w:rsid w:val="005D4442"/>
    <w:rsid w:val="005D47EF"/>
    <w:rsid w:val="005D4A60"/>
    <w:rsid w:val="005D58A1"/>
    <w:rsid w:val="005D5BEA"/>
    <w:rsid w:val="005D5DEA"/>
    <w:rsid w:val="005D60CA"/>
    <w:rsid w:val="005D6157"/>
    <w:rsid w:val="005D6198"/>
    <w:rsid w:val="005D69F9"/>
    <w:rsid w:val="005D6C22"/>
    <w:rsid w:val="005D6D49"/>
    <w:rsid w:val="005D6FA0"/>
    <w:rsid w:val="005D73B9"/>
    <w:rsid w:val="005D7578"/>
    <w:rsid w:val="005D75D3"/>
    <w:rsid w:val="005D7964"/>
    <w:rsid w:val="005D7E5E"/>
    <w:rsid w:val="005D7E83"/>
    <w:rsid w:val="005D7F19"/>
    <w:rsid w:val="005E0F04"/>
    <w:rsid w:val="005E159D"/>
    <w:rsid w:val="005E16D5"/>
    <w:rsid w:val="005E2A47"/>
    <w:rsid w:val="005E2EE0"/>
    <w:rsid w:val="005E2F55"/>
    <w:rsid w:val="005E2FF9"/>
    <w:rsid w:val="005E34F3"/>
    <w:rsid w:val="005E3653"/>
    <w:rsid w:val="005E3AB8"/>
    <w:rsid w:val="005E3E94"/>
    <w:rsid w:val="005E4011"/>
    <w:rsid w:val="005E44BE"/>
    <w:rsid w:val="005E4A8A"/>
    <w:rsid w:val="005E5717"/>
    <w:rsid w:val="005E5AAE"/>
    <w:rsid w:val="005E5BD0"/>
    <w:rsid w:val="005E5D32"/>
    <w:rsid w:val="005E5E19"/>
    <w:rsid w:val="005E61B2"/>
    <w:rsid w:val="005E6365"/>
    <w:rsid w:val="005E6D8F"/>
    <w:rsid w:val="005E6DE4"/>
    <w:rsid w:val="005E6F72"/>
    <w:rsid w:val="005E7176"/>
    <w:rsid w:val="005E73BA"/>
    <w:rsid w:val="005E73C0"/>
    <w:rsid w:val="005E7BBB"/>
    <w:rsid w:val="005F02FA"/>
    <w:rsid w:val="005F0694"/>
    <w:rsid w:val="005F0DAD"/>
    <w:rsid w:val="005F0ECD"/>
    <w:rsid w:val="005F0F65"/>
    <w:rsid w:val="005F105B"/>
    <w:rsid w:val="005F12E3"/>
    <w:rsid w:val="005F1547"/>
    <w:rsid w:val="005F1833"/>
    <w:rsid w:val="005F2706"/>
    <w:rsid w:val="005F2ECE"/>
    <w:rsid w:val="005F3589"/>
    <w:rsid w:val="005F3B84"/>
    <w:rsid w:val="005F3E4F"/>
    <w:rsid w:val="005F3FB0"/>
    <w:rsid w:val="005F437B"/>
    <w:rsid w:val="005F44A3"/>
    <w:rsid w:val="005F44E7"/>
    <w:rsid w:val="005F48EC"/>
    <w:rsid w:val="005F5084"/>
    <w:rsid w:val="005F576C"/>
    <w:rsid w:val="005F57EF"/>
    <w:rsid w:val="005F5920"/>
    <w:rsid w:val="005F5970"/>
    <w:rsid w:val="005F59B6"/>
    <w:rsid w:val="005F5D45"/>
    <w:rsid w:val="005F6866"/>
    <w:rsid w:val="005F6A8F"/>
    <w:rsid w:val="005F6B6A"/>
    <w:rsid w:val="005F752A"/>
    <w:rsid w:val="005F7CEA"/>
    <w:rsid w:val="005F7EB2"/>
    <w:rsid w:val="006002E8"/>
    <w:rsid w:val="006003F2"/>
    <w:rsid w:val="006004E7"/>
    <w:rsid w:val="006005C8"/>
    <w:rsid w:val="006005E8"/>
    <w:rsid w:val="00600665"/>
    <w:rsid w:val="006008FC"/>
    <w:rsid w:val="00600C32"/>
    <w:rsid w:val="00600E0B"/>
    <w:rsid w:val="00601584"/>
    <w:rsid w:val="006017E2"/>
    <w:rsid w:val="006018D3"/>
    <w:rsid w:val="00601A6A"/>
    <w:rsid w:val="0060240A"/>
    <w:rsid w:val="0060314A"/>
    <w:rsid w:val="00603AC8"/>
    <w:rsid w:val="00603BC0"/>
    <w:rsid w:val="00603CD3"/>
    <w:rsid w:val="00604666"/>
    <w:rsid w:val="00604A5E"/>
    <w:rsid w:val="0060526C"/>
    <w:rsid w:val="00605360"/>
    <w:rsid w:val="006053A9"/>
    <w:rsid w:val="0060540C"/>
    <w:rsid w:val="00605641"/>
    <w:rsid w:val="00605AE9"/>
    <w:rsid w:val="006066D1"/>
    <w:rsid w:val="00606DAE"/>
    <w:rsid w:val="00607010"/>
    <w:rsid w:val="00607669"/>
    <w:rsid w:val="00607883"/>
    <w:rsid w:val="00607DB6"/>
    <w:rsid w:val="00610198"/>
    <w:rsid w:val="00610581"/>
    <w:rsid w:val="006105C3"/>
    <w:rsid w:val="00610E79"/>
    <w:rsid w:val="0061171C"/>
    <w:rsid w:val="0061262B"/>
    <w:rsid w:val="00612F97"/>
    <w:rsid w:val="00612FBA"/>
    <w:rsid w:val="00613068"/>
    <w:rsid w:val="00613750"/>
    <w:rsid w:val="006144B1"/>
    <w:rsid w:val="006147F0"/>
    <w:rsid w:val="00614D14"/>
    <w:rsid w:val="00614DBB"/>
    <w:rsid w:val="00614EA2"/>
    <w:rsid w:val="006159B6"/>
    <w:rsid w:val="00615C3B"/>
    <w:rsid w:val="0061638F"/>
    <w:rsid w:val="00616802"/>
    <w:rsid w:val="006168B7"/>
    <w:rsid w:val="00616912"/>
    <w:rsid w:val="006170D9"/>
    <w:rsid w:val="00617331"/>
    <w:rsid w:val="006174B7"/>
    <w:rsid w:val="006176A6"/>
    <w:rsid w:val="006179C8"/>
    <w:rsid w:val="00617E12"/>
    <w:rsid w:val="006203F8"/>
    <w:rsid w:val="00620452"/>
    <w:rsid w:val="00620455"/>
    <w:rsid w:val="00620487"/>
    <w:rsid w:val="00620C95"/>
    <w:rsid w:val="0062142C"/>
    <w:rsid w:val="00621477"/>
    <w:rsid w:val="00621545"/>
    <w:rsid w:val="00621623"/>
    <w:rsid w:val="00621BBE"/>
    <w:rsid w:val="006221D5"/>
    <w:rsid w:val="00622418"/>
    <w:rsid w:val="006225AC"/>
    <w:rsid w:val="00622876"/>
    <w:rsid w:val="006229B2"/>
    <w:rsid w:val="00622A5A"/>
    <w:rsid w:val="00622B78"/>
    <w:rsid w:val="00622F34"/>
    <w:rsid w:val="00623058"/>
    <w:rsid w:val="00623078"/>
    <w:rsid w:val="00623155"/>
    <w:rsid w:val="00623291"/>
    <w:rsid w:val="00623E21"/>
    <w:rsid w:val="00623FC6"/>
    <w:rsid w:val="0062426E"/>
    <w:rsid w:val="006243B3"/>
    <w:rsid w:val="006247EE"/>
    <w:rsid w:val="006248DD"/>
    <w:rsid w:val="00624D6B"/>
    <w:rsid w:val="00624D95"/>
    <w:rsid w:val="006251C7"/>
    <w:rsid w:val="006255E8"/>
    <w:rsid w:val="006257DA"/>
    <w:rsid w:val="006258D3"/>
    <w:rsid w:val="00625A4A"/>
    <w:rsid w:val="00625A86"/>
    <w:rsid w:val="00625D43"/>
    <w:rsid w:val="00625E54"/>
    <w:rsid w:val="006262B2"/>
    <w:rsid w:val="0062662A"/>
    <w:rsid w:val="00626E9B"/>
    <w:rsid w:val="006270F0"/>
    <w:rsid w:val="0062737B"/>
    <w:rsid w:val="006277E7"/>
    <w:rsid w:val="00627853"/>
    <w:rsid w:val="0062797B"/>
    <w:rsid w:val="00627998"/>
    <w:rsid w:val="00627B5B"/>
    <w:rsid w:val="00627CAE"/>
    <w:rsid w:val="00627EFB"/>
    <w:rsid w:val="00630065"/>
    <w:rsid w:val="0063007A"/>
    <w:rsid w:val="006303BB"/>
    <w:rsid w:val="0063060D"/>
    <w:rsid w:val="00630E72"/>
    <w:rsid w:val="00630E91"/>
    <w:rsid w:val="00630EA0"/>
    <w:rsid w:val="00630FBD"/>
    <w:rsid w:val="00630FEB"/>
    <w:rsid w:val="006310C2"/>
    <w:rsid w:val="0063160B"/>
    <w:rsid w:val="0063163E"/>
    <w:rsid w:val="006317BD"/>
    <w:rsid w:val="00631958"/>
    <w:rsid w:val="00631AB2"/>
    <w:rsid w:val="00631D6B"/>
    <w:rsid w:val="00631F92"/>
    <w:rsid w:val="0063222A"/>
    <w:rsid w:val="006325A9"/>
    <w:rsid w:val="006334DB"/>
    <w:rsid w:val="00633726"/>
    <w:rsid w:val="0063394C"/>
    <w:rsid w:val="00633AB4"/>
    <w:rsid w:val="00633B0C"/>
    <w:rsid w:val="00633B2D"/>
    <w:rsid w:val="00633C3F"/>
    <w:rsid w:val="00633D6E"/>
    <w:rsid w:val="00634207"/>
    <w:rsid w:val="0063442F"/>
    <w:rsid w:val="00634463"/>
    <w:rsid w:val="0063479F"/>
    <w:rsid w:val="0063497C"/>
    <w:rsid w:val="00635171"/>
    <w:rsid w:val="006355C6"/>
    <w:rsid w:val="0063600D"/>
    <w:rsid w:val="006364A1"/>
    <w:rsid w:val="006369A9"/>
    <w:rsid w:val="006376CB"/>
    <w:rsid w:val="00637AD1"/>
    <w:rsid w:val="00637BFD"/>
    <w:rsid w:val="00637C4A"/>
    <w:rsid w:val="0064066F"/>
    <w:rsid w:val="0064070A"/>
    <w:rsid w:val="00640B7A"/>
    <w:rsid w:val="00640C5B"/>
    <w:rsid w:val="00641199"/>
    <w:rsid w:val="00641593"/>
    <w:rsid w:val="00641E85"/>
    <w:rsid w:val="00642551"/>
    <w:rsid w:val="006427FE"/>
    <w:rsid w:val="0064290B"/>
    <w:rsid w:val="00642CB9"/>
    <w:rsid w:val="00642EA6"/>
    <w:rsid w:val="00643400"/>
    <w:rsid w:val="00643990"/>
    <w:rsid w:val="00643D7B"/>
    <w:rsid w:val="00643F8F"/>
    <w:rsid w:val="00645227"/>
    <w:rsid w:val="00645510"/>
    <w:rsid w:val="00645AC5"/>
    <w:rsid w:val="00645DBE"/>
    <w:rsid w:val="00646CCC"/>
    <w:rsid w:val="00646D9F"/>
    <w:rsid w:val="00647043"/>
    <w:rsid w:val="006471CC"/>
    <w:rsid w:val="00647260"/>
    <w:rsid w:val="00647351"/>
    <w:rsid w:val="00647DAC"/>
    <w:rsid w:val="006500A6"/>
    <w:rsid w:val="0065079F"/>
    <w:rsid w:val="0065086E"/>
    <w:rsid w:val="00650AEA"/>
    <w:rsid w:val="006513EF"/>
    <w:rsid w:val="00651EC0"/>
    <w:rsid w:val="00651FC6"/>
    <w:rsid w:val="00652DE9"/>
    <w:rsid w:val="0065388C"/>
    <w:rsid w:val="00653B0A"/>
    <w:rsid w:val="00654329"/>
    <w:rsid w:val="00654E14"/>
    <w:rsid w:val="006550CB"/>
    <w:rsid w:val="006551A7"/>
    <w:rsid w:val="00655C83"/>
    <w:rsid w:val="006561F6"/>
    <w:rsid w:val="00656CED"/>
    <w:rsid w:val="00656F95"/>
    <w:rsid w:val="0065745B"/>
    <w:rsid w:val="006575E6"/>
    <w:rsid w:val="00660777"/>
    <w:rsid w:val="0066137F"/>
    <w:rsid w:val="00661495"/>
    <w:rsid w:val="00661778"/>
    <w:rsid w:val="006618C8"/>
    <w:rsid w:val="00661EAE"/>
    <w:rsid w:val="00661FC2"/>
    <w:rsid w:val="00662460"/>
    <w:rsid w:val="00663052"/>
    <w:rsid w:val="006631EB"/>
    <w:rsid w:val="006632F5"/>
    <w:rsid w:val="00663465"/>
    <w:rsid w:val="00663BAC"/>
    <w:rsid w:val="006640AE"/>
    <w:rsid w:val="006642B9"/>
    <w:rsid w:val="0066435D"/>
    <w:rsid w:val="00664771"/>
    <w:rsid w:val="006648C1"/>
    <w:rsid w:val="00664CE9"/>
    <w:rsid w:val="00664D21"/>
    <w:rsid w:val="00664D8F"/>
    <w:rsid w:val="00664F74"/>
    <w:rsid w:val="006653CD"/>
    <w:rsid w:val="006655A9"/>
    <w:rsid w:val="0066567C"/>
    <w:rsid w:val="00665A01"/>
    <w:rsid w:val="00665A0D"/>
    <w:rsid w:val="0066626A"/>
    <w:rsid w:val="00666776"/>
    <w:rsid w:val="00666969"/>
    <w:rsid w:val="00666A23"/>
    <w:rsid w:val="00666E82"/>
    <w:rsid w:val="006672C7"/>
    <w:rsid w:val="006678B4"/>
    <w:rsid w:val="006678C0"/>
    <w:rsid w:val="006678F0"/>
    <w:rsid w:val="00667AE4"/>
    <w:rsid w:val="0067006D"/>
    <w:rsid w:val="006708AD"/>
    <w:rsid w:val="00671048"/>
    <w:rsid w:val="00671640"/>
    <w:rsid w:val="00671DCE"/>
    <w:rsid w:val="00671F1E"/>
    <w:rsid w:val="00672926"/>
    <w:rsid w:val="00672ADC"/>
    <w:rsid w:val="00672ED7"/>
    <w:rsid w:val="00673687"/>
    <w:rsid w:val="00673B85"/>
    <w:rsid w:val="00673BE8"/>
    <w:rsid w:val="006740E4"/>
    <w:rsid w:val="006741C5"/>
    <w:rsid w:val="006742BD"/>
    <w:rsid w:val="00674A66"/>
    <w:rsid w:val="00674E42"/>
    <w:rsid w:val="00675303"/>
    <w:rsid w:val="00675784"/>
    <w:rsid w:val="00675802"/>
    <w:rsid w:val="006759AE"/>
    <w:rsid w:val="00675BBC"/>
    <w:rsid w:val="006768BB"/>
    <w:rsid w:val="006771A5"/>
    <w:rsid w:val="006778B1"/>
    <w:rsid w:val="00677D49"/>
    <w:rsid w:val="00680545"/>
    <w:rsid w:val="006807DF"/>
    <w:rsid w:val="00680AEA"/>
    <w:rsid w:val="00680F66"/>
    <w:rsid w:val="0068117B"/>
    <w:rsid w:val="00681410"/>
    <w:rsid w:val="00681508"/>
    <w:rsid w:val="006819B0"/>
    <w:rsid w:val="00681F82"/>
    <w:rsid w:val="00682026"/>
    <w:rsid w:val="00682112"/>
    <w:rsid w:val="0068211E"/>
    <w:rsid w:val="00682483"/>
    <w:rsid w:val="00682859"/>
    <w:rsid w:val="00682963"/>
    <w:rsid w:val="00684803"/>
    <w:rsid w:val="006848E0"/>
    <w:rsid w:val="00684C0B"/>
    <w:rsid w:val="00684CB0"/>
    <w:rsid w:val="006852D4"/>
    <w:rsid w:val="00685359"/>
    <w:rsid w:val="00685381"/>
    <w:rsid w:val="00685E5B"/>
    <w:rsid w:val="00685FF2"/>
    <w:rsid w:val="006862BC"/>
    <w:rsid w:val="006863BB"/>
    <w:rsid w:val="0068644A"/>
    <w:rsid w:val="0068652F"/>
    <w:rsid w:val="006868A9"/>
    <w:rsid w:val="0068699B"/>
    <w:rsid w:val="00686F2F"/>
    <w:rsid w:val="00687023"/>
    <w:rsid w:val="00687280"/>
    <w:rsid w:val="006872BA"/>
    <w:rsid w:val="0068755A"/>
    <w:rsid w:val="00687874"/>
    <w:rsid w:val="00687C35"/>
    <w:rsid w:val="00690436"/>
    <w:rsid w:val="006905A6"/>
    <w:rsid w:val="0069067F"/>
    <w:rsid w:val="006906BF"/>
    <w:rsid w:val="00690953"/>
    <w:rsid w:val="00690B60"/>
    <w:rsid w:val="00690C90"/>
    <w:rsid w:val="00690D76"/>
    <w:rsid w:val="0069143D"/>
    <w:rsid w:val="0069168A"/>
    <w:rsid w:val="0069174F"/>
    <w:rsid w:val="00691791"/>
    <w:rsid w:val="006917D7"/>
    <w:rsid w:val="00691973"/>
    <w:rsid w:val="00691F69"/>
    <w:rsid w:val="006925BB"/>
    <w:rsid w:val="00692703"/>
    <w:rsid w:val="00692751"/>
    <w:rsid w:val="00692EB0"/>
    <w:rsid w:val="00692F6B"/>
    <w:rsid w:val="006938BE"/>
    <w:rsid w:val="00693A12"/>
    <w:rsid w:val="00693BAB"/>
    <w:rsid w:val="006944B2"/>
    <w:rsid w:val="00694851"/>
    <w:rsid w:val="006948DF"/>
    <w:rsid w:val="00694CA6"/>
    <w:rsid w:val="00694EB8"/>
    <w:rsid w:val="00694F44"/>
    <w:rsid w:val="006950F8"/>
    <w:rsid w:val="0069566A"/>
    <w:rsid w:val="00695690"/>
    <w:rsid w:val="0069582F"/>
    <w:rsid w:val="00695EF9"/>
    <w:rsid w:val="006960A7"/>
    <w:rsid w:val="006960BA"/>
    <w:rsid w:val="00696572"/>
    <w:rsid w:val="006965BF"/>
    <w:rsid w:val="006968B0"/>
    <w:rsid w:val="0069691D"/>
    <w:rsid w:val="0069720E"/>
    <w:rsid w:val="0069762E"/>
    <w:rsid w:val="00697972"/>
    <w:rsid w:val="00697C5E"/>
    <w:rsid w:val="00697D52"/>
    <w:rsid w:val="006A0634"/>
    <w:rsid w:val="006A10E1"/>
    <w:rsid w:val="006A1886"/>
    <w:rsid w:val="006A1C98"/>
    <w:rsid w:val="006A25C4"/>
    <w:rsid w:val="006A2909"/>
    <w:rsid w:val="006A2CCD"/>
    <w:rsid w:val="006A3758"/>
    <w:rsid w:val="006A4A6F"/>
    <w:rsid w:val="006A53DF"/>
    <w:rsid w:val="006A5935"/>
    <w:rsid w:val="006A5A48"/>
    <w:rsid w:val="006A7276"/>
    <w:rsid w:val="006A729E"/>
    <w:rsid w:val="006A755F"/>
    <w:rsid w:val="006A7E76"/>
    <w:rsid w:val="006B0194"/>
    <w:rsid w:val="006B0636"/>
    <w:rsid w:val="006B0B8C"/>
    <w:rsid w:val="006B15C0"/>
    <w:rsid w:val="006B165C"/>
    <w:rsid w:val="006B1DA8"/>
    <w:rsid w:val="006B1F21"/>
    <w:rsid w:val="006B25C6"/>
    <w:rsid w:val="006B2F19"/>
    <w:rsid w:val="006B3713"/>
    <w:rsid w:val="006B3979"/>
    <w:rsid w:val="006B3A07"/>
    <w:rsid w:val="006B3A9F"/>
    <w:rsid w:val="006B42A7"/>
    <w:rsid w:val="006B42FB"/>
    <w:rsid w:val="006B4321"/>
    <w:rsid w:val="006B4503"/>
    <w:rsid w:val="006B492D"/>
    <w:rsid w:val="006B4D5E"/>
    <w:rsid w:val="006B5B2B"/>
    <w:rsid w:val="006B5D2A"/>
    <w:rsid w:val="006B617F"/>
    <w:rsid w:val="006B665E"/>
    <w:rsid w:val="006B72A7"/>
    <w:rsid w:val="006B778E"/>
    <w:rsid w:val="006B7CE8"/>
    <w:rsid w:val="006B7F9E"/>
    <w:rsid w:val="006C0061"/>
    <w:rsid w:val="006C0219"/>
    <w:rsid w:val="006C1477"/>
    <w:rsid w:val="006C1971"/>
    <w:rsid w:val="006C1A58"/>
    <w:rsid w:val="006C273B"/>
    <w:rsid w:val="006C2773"/>
    <w:rsid w:val="006C2897"/>
    <w:rsid w:val="006C2941"/>
    <w:rsid w:val="006C2A8E"/>
    <w:rsid w:val="006C2BEE"/>
    <w:rsid w:val="006C2F23"/>
    <w:rsid w:val="006C313F"/>
    <w:rsid w:val="006C366C"/>
    <w:rsid w:val="006C4267"/>
    <w:rsid w:val="006C47F0"/>
    <w:rsid w:val="006C4BC4"/>
    <w:rsid w:val="006C5D0A"/>
    <w:rsid w:val="006C5EC4"/>
    <w:rsid w:val="006C5F2D"/>
    <w:rsid w:val="006C604C"/>
    <w:rsid w:val="006C6056"/>
    <w:rsid w:val="006C6284"/>
    <w:rsid w:val="006C629F"/>
    <w:rsid w:val="006C6795"/>
    <w:rsid w:val="006C694D"/>
    <w:rsid w:val="006C6A6F"/>
    <w:rsid w:val="006C6DD4"/>
    <w:rsid w:val="006C6EEA"/>
    <w:rsid w:val="006C7031"/>
    <w:rsid w:val="006C7176"/>
    <w:rsid w:val="006C75E0"/>
    <w:rsid w:val="006C7D86"/>
    <w:rsid w:val="006C7FF2"/>
    <w:rsid w:val="006D0888"/>
    <w:rsid w:val="006D0CFB"/>
    <w:rsid w:val="006D118E"/>
    <w:rsid w:val="006D1452"/>
    <w:rsid w:val="006D15FD"/>
    <w:rsid w:val="006D1609"/>
    <w:rsid w:val="006D19A0"/>
    <w:rsid w:val="006D1D29"/>
    <w:rsid w:val="006D1DB4"/>
    <w:rsid w:val="006D2176"/>
    <w:rsid w:val="006D218E"/>
    <w:rsid w:val="006D2286"/>
    <w:rsid w:val="006D2423"/>
    <w:rsid w:val="006D2A36"/>
    <w:rsid w:val="006D2D7E"/>
    <w:rsid w:val="006D2E12"/>
    <w:rsid w:val="006D2FD4"/>
    <w:rsid w:val="006D3531"/>
    <w:rsid w:val="006D3C7D"/>
    <w:rsid w:val="006D42F1"/>
    <w:rsid w:val="006D48E7"/>
    <w:rsid w:val="006D4EE1"/>
    <w:rsid w:val="006D5025"/>
    <w:rsid w:val="006D5743"/>
    <w:rsid w:val="006D5D5F"/>
    <w:rsid w:val="006D5E31"/>
    <w:rsid w:val="006D5E5D"/>
    <w:rsid w:val="006D68E9"/>
    <w:rsid w:val="006D713F"/>
    <w:rsid w:val="006D7931"/>
    <w:rsid w:val="006D7A52"/>
    <w:rsid w:val="006D7B4E"/>
    <w:rsid w:val="006D7C9C"/>
    <w:rsid w:val="006E01FE"/>
    <w:rsid w:val="006E048E"/>
    <w:rsid w:val="006E085E"/>
    <w:rsid w:val="006E0A4A"/>
    <w:rsid w:val="006E0BA3"/>
    <w:rsid w:val="006E0F25"/>
    <w:rsid w:val="006E127A"/>
    <w:rsid w:val="006E151B"/>
    <w:rsid w:val="006E158C"/>
    <w:rsid w:val="006E18BA"/>
    <w:rsid w:val="006E1C99"/>
    <w:rsid w:val="006E3D62"/>
    <w:rsid w:val="006E3D86"/>
    <w:rsid w:val="006E3FF3"/>
    <w:rsid w:val="006E442E"/>
    <w:rsid w:val="006E48FF"/>
    <w:rsid w:val="006E4BA2"/>
    <w:rsid w:val="006E4ED2"/>
    <w:rsid w:val="006E5DFA"/>
    <w:rsid w:val="006E662E"/>
    <w:rsid w:val="006E669D"/>
    <w:rsid w:val="006E66E3"/>
    <w:rsid w:val="006E6DB9"/>
    <w:rsid w:val="006E6F7D"/>
    <w:rsid w:val="006E7101"/>
    <w:rsid w:val="006E74FE"/>
    <w:rsid w:val="006F0433"/>
    <w:rsid w:val="006F056C"/>
    <w:rsid w:val="006F06D1"/>
    <w:rsid w:val="006F070F"/>
    <w:rsid w:val="006F0731"/>
    <w:rsid w:val="006F0F30"/>
    <w:rsid w:val="006F12F6"/>
    <w:rsid w:val="006F16E7"/>
    <w:rsid w:val="006F195C"/>
    <w:rsid w:val="006F1C80"/>
    <w:rsid w:val="006F1CA4"/>
    <w:rsid w:val="006F2156"/>
    <w:rsid w:val="006F2717"/>
    <w:rsid w:val="006F2E5B"/>
    <w:rsid w:val="006F3239"/>
    <w:rsid w:val="006F3352"/>
    <w:rsid w:val="006F3470"/>
    <w:rsid w:val="006F4130"/>
    <w:rsid w:val="006F441C"/>
    <w:rsid w:val="006F503A"/>
    <w:rsid w:val="006F5252"/>
    <w:rsid w:val="006F5988"/>
    <w:rsid w:val="006F59C2"/>
    <w:rsid w:val="006F5C4C"/>
    <w:rsid w:val="006F5CA2"/>
    <w:rsid w:val="006F63A5"/>
    <w:rsid w:val="006F678D"/>
    <w:rsid w:val="006F69CF"/>
    <w:rsid w:val="006F6A6E"/>
    <w:rsid w:val="006F6CB2"/>
    <w:rsid w:val="006F7714"/>
    <w:rsid w:val="006F7823"/>
    <w:rsid w:val="006F7A00"/>
    <w:rsid w:val="006F7AF2"/>
    <w:rsid w:val="007000B7"/>
    <w:rsid w:val="00700512"/>
    <w:rsid w:val="00700856"/>
    <w:rsid w:val="00701006"/>
    <w:rsid w:val="00701120"/>
    <w:rsid w:val="007011A7"/>
    <w:rsid w:val="007012B5"/>
    <w:rsid w:val="0070149C"/>
    <w:rsid w:val="007020BE"/>
    <w:rsid w:val="00702231"/>
    <w:rsid w:val="0070276E"/>
    <w:rsid w:val="00702AD8"/>
    <w:rsid w:val="00702B79"/>
    <w:rsid w:val="00702DF4"/>
    <w:rsid w:val="00702E06"/>
    <w:rsid w:val="00702EA7"/>
    <w:rsid w:val="00702F8F"/>
    <w:rsid w:val="007030E7"/>
    <w:rsid w:val="00703217"/>
    <w:rsid w:val="007032DF"/>
    <w:rsid w:val="0070350F"/>
    <w:rsid w:val="0070392F"/>
    <w:rsid w:val="00703E6B"/>
    <w:rsid w:val="00703F1C"/>
    <w:rsid w:val="00704526"/>
    <w:rsid w:val="007046DF"/>
    <w:rsid w:val="00704D68"/>
    <w:rsid w:val="00705172"/>
    <w:rsid w:val="0070529A"/>
    <w:rsid w:val="00705AE9"/>
    <w:rsid w:val="00705B91"/>
    <w:rsid w:val="00705EB6"/>
    <w:rsid w:val="0070626B"/>
    <w:rsid w:val="00706386"/>
    <w:rsid w:val="00706419"/>
    <w:rsid w:val="00706EFA"/>
    <w:rsid w:val="0070707B"/>
    <w:rsid w:val="007075DB"/>
    <w:rsid w:val="007077C1"/>
    <w:rsid w:val="007077EC"/>
    <w:rsid w:val="00707CE5"/>
    <w:rsid w:val="007100AC"/>
    <w:rsid w:val="0071019C"/>
    <w:rsid w:val="0071044F"/>
    <w:rsid w:val="00710563"/>
    <w:rsid w:val="0071056C"/>
    <w:rsid w:val="00710658"/>
    <w:rsid w:val="0071068F"/>
    <w:rsid w:val="00710902"/>
    <w:rsid w:val="00710B94"/>
    <w:rsid w:val="00710EF3"/>
    <w:rsid w:val="007112A8"/>
    <w:rsid w:val="007114B8"/>
    <w:rsid w:val="00711A36"/>
    <w:rsid w:val="007125A1"/>
    <w:rsid w:val="0071292E"/>
    <w:rsid w:val="00712A03"/>
    <w:rsid w:val="00712B38"/>
    <w:rsid w:val="0071340C"/>
    <w:rsid w:val="00713676"/>
    <w:rsid w:val="0071371D"/>
    <w:rsid w:val="007137D7"/>
    <w:rsid w:val="00713B54"/>
    <w:rsid w:val="00713CBF"/>
    <w:rsid w:val="007140CC"/>
    <w:rsid w:val="0071419F"/>
    <w:rsid w:val="007146BA"/>
    <w:rsid w:val="007148F5"/>
    <w:rsid w:val="00714A0F"/>
    <w:rsid w:val="00714B8C"/>
    <w:rsid w:val="00714E5D"/>
    <w:rsid w:val="00714ED8"/>
    <w:rsid w:val="00715344"/>
    <w:rsid w:val="00715682"/>
    <w:rsid w:val="00715B20"/>
    <w:rsid w:val="00716020"/>
    <w:rsid w:val="007161DD"/>
    <w:rsid w:val="00716640"/>
    <w:rsid w:val="00716B0F"/>
    <w:rsid w:val="0071700D"/>
    <w:rsid w:val="007172AD"/>
    <w:rsid w:val="00717313"/>
    <w:rsid w:val="00717555"/>
    <w:rsid w:val="007179ED"/>
    <w:rsid w:val="00717AD3"/>
    <w:rsid w:val="00717CA9"/>
    <w:rsid w:val="00717EA2"/>
    <w:rsid w:val="007204DF"/>
    <w:rsid w:val="00720557"/>
    <w:rsid w:val="00720601"/>
    <w:rsid w:val="00720AAC"/>
    <w:rsid w:val="00720CB9"/>
    <w:rsid w:val="00720E82"/>
    <w:rsid w:val="00721111"/>
    <w:rsid w:val="007216A1"/>
    <w:rsid w:val="007221B9"/>
    <w:rsid w:val="00722994"/>
    <w:rsid w:val="00722C52"/>
    <w:rsid w:val="007239A4"/>
    <w:rsid w:val="00723E17"/>
    <w:rsid w:val="0072416F"/>
    <w:rsid w:val="00724514"/>
    <w:rsid w:val="0072461F"/>
    <w:rsid w:val="007249F9"/>
    <w:rsid w:val="00724E5E"/>
    <w:rsid w:val="00724F76"/>
    <w:rsid w:val="0072518D"/>
    <w:rsid w:val="007253E7"/>
    <w:rsid w:val="0072543E"/>
    <w:rsid w:val="00725641"/>
    <w:rsid w:val="00725BC2"/>
    <w:rsid w:val="00726205"/>
    <w:rsid w:val="007262DC"/>
    <w:rsid w:val="00726B47"/>
    <w:rsid w:val="007275A4"/>
    <w:rsid w:val="0072780A"/>
    <w:rsid w:val="00727CF8"/>
    <w:rsid w:val="00727D40"/>
    <w:rsid w:val="00727D49"/>
    <w:rsid w:val="00730388"/>
    <w:rsid w:val="007304B4"/>
    <w:rsid w:val="00730534"/>
    <w:rsid w:val="00730702"/>
    <w:rsid w:val="00730994"/>
    <w:rsid w:val="0073105E"/>
    <w:rsid w:val="007312F2"/>
    <w:rsid w:val="007316B0"/>
    <w:rsid w:val="00731B2C"/>
    <w:rsid w:val="00731D67"/>
    <w:rsid w:val="00731F72"/>
    <w:rsid w:val="0073210C"/>
    <w:rsid w:val="00732649"/>
    <w:rsid w:val="0073264A"/>
    <w:rsid w:val="007326C5"/>
    <w:rsid w:val="00732CC0"/>
    <w:rsid w:val="00732DBE"/>
    <w:rsid w:val="007332DD"/>
    <w:rsid w:val="00733342"/>
    <w:rsid w:val="00733E97"/>
    <w:rsid w:val="00733EB5"/>
    <w:rsid w:val="007340B0"/>
    <w:rsid w:val="007340B8"/>
    <w:rsid w:val="00734C3F"/>
    <w:rsid w:val="00734FC3"/>
    <w:rsid w:val="00735261"/>
    <w:rsid w:val="00735328"/>
    <w:rsid w:val="00735670"/>
    <w:rsid w:val="00735688"/>
    <w:rsid w:val="00735F74"/>
    <w:rsid w:val="00735FBE"/>
    <w:rsid w:val="007360D2"/>
    <w:rsid w:val="00736374"/>
    <w:rsid w:val="00736551"/>
    <w:rsid w:val="0073685B"/>
    <w:rsid w:val="0073694D"/>
    <w:rsid w:val="00736C1D"/>
    <w:rsid w:val="00736DA2"/>
    <w:rsid w:val="00737548"/>
    <w:rsid w:val="007378F8"/>
    <w:rsid w:val="00737D46"/>
    <w:rsid w:val="00737EEB"/>
    <w:rsid w:val="0074013E"/>
    <w:rsid w:val="007403DC"/>
    <w:rsid w:val="0074044B"/>
    <w:rsid w:val="007404C6"/>
    <w:rsid w:val="00740667"/>
    <w:rsid w:val="00740E12"/>
    <w:rsid w:val="0074129B"/>
    <w:rsid w:val="00741400"/>
    <w:rsid w:val="00742331"/>
    <w:rsid w:val="0074256B"/>
    <w:rsid w:val="007425A5"/>
    <w:rsid w:val="007430F0"/>
    <w:rsid w:val="0074335A"/>
    <w:rsid w:val="00743D13"/>
    <w:rsid w:val="00743D3C"/>
    <w:rsid w:val="0074586F"/>
    <w:rsid w:val="00745E45"/>
    <w:rsid w:val="007460C4"/>
    <w:rsid w:val="00746392"/>
    <w:rsid w:val="007468C0"/>
    <w:rsid w:val="00746906"/>
    <w:rsid w:val="00746FC3"/>
    <w:rsid w:val="007476F2"/>
    <w:rsid w:val="007501A2"/>
    <w:rsid w:val="007504EA"/>
    <w:rsid w:val="007508C2"/>
    <w:rsid w:val="00750E05"/>
    <w:rsid w:val="00751015"/>
    <w:rsid w:val="007514D7"/>
    <w:rsid w:val="00751602"/>
    <w:rsid w:val="00751965"/>
    <w:rsid w:val="00751CE1"/>
    <w:rsid w:val="007524F0"/>
    <w:rsid w:val="007526A1"/>
    <w:rsid w:val="007526CD"/>
    <w:rsid w:val="0075290A"/>
    <w:rsid w:val="0075290E"/>
    <w:rsid w:val="00752A97"/>
    <w:rsid w:val="00752C5E"/>
    <w:rsid w:val="00752E3A"/>
    <w:rsid w:val="00753039"/>
    <w:rsid w:val="007537D9"/>
    <w:rsid w:val="0075485E"/>
    <w:rsid w:val="00754A0C"/>
    <w:rsid w:val="00754AA4"/>
    <w:rsid w:val="00754ACA"/>
    <w:rsid w:val="00754FF6"/>
    <w:rsid w:val="0075508E"/>
    <w:rsid w:val="00755A56"/>
    <w:rsid w:val="00755EE2"/>
    <w:rsid w:val="007564A4"/>
    <w:rsid w:val="00756FBB"/>
    <w:rsid w:val="007574F1"/>
    <w:rsid w:val="007576FD"/>
    <w:rsid w:val="00757C99"/>
    <w:rsid w:val="00757D16"/>
    <w:rsid w:val="007605D8"/>
    <w:rsid w:val="00760922"/>
    <w:rsid w:val="00760C99"/>
    <w:rsid w:val="007610E5"/>
    <w:rsid w:val="0076133F"/>
    <w:rsid w:val="00761828"/>
    <w:rsid w:val="00761A58"/>
    <w:rsid w:val="00761B22"/>
    <w:rsid w:val="00761E5B"/>
    <w:rsid w:val="007625FD"/>
    <w:rsid w:val="0076278E"/>
    <w:rsid w:val="0076295A"/>
    <w:rsid w:val="00762E60"/>
    <w:rsid w:val="0076380D"/>
    <w:rsid w:val="007638FC"/>
    <w:rsid w:val="00763906"/>
    <w:rsid w:val="00763C53"/>
    <w:rsid w:val="007640FD"/>
    <w:rsid w:val="007648CF"/>
    <w:rsid w:val="00764BF6"/>
    <w:rsid w:val="00764C80"/>
    <w:rsid w:val="007656A3"/>
    <w:rsid w:val="00765980"/>
    <w:rsid w:val="00765BD7"/>
    <w:rsid w:val="00765D66"/>
    <w:rsid w:val="00765EAD"/>
    <w:rsid w:val="00765EB0"/>
    <w:rsid w:val="0076626B"/>
    <w:rsid w:val="0076641E"/>
    <w:rsid w:val="0076645D"/>
    <w:rsid w:val="007665DB"/>
    <w:rsid w:val="0076660D"/>
    <w:rsid w:val="00766790"/>
    <w:rsid w:val="00766DAC"/>
    <w:rsid w:val="00766DB0"/>
    <w:rsid w:val="007670E3"/>
    <w:rsid w:val="007673F1"/>
    <w:rsid w:val="0076754E"/>
    <w:rsid w:val="00767854"/>
    <w:rsid w:val="00767E82"/>
    <w:rsid w:val="0077000A"/>
    <w:rsid w:val="0077057C"/>
    <w:rsid w:val="00770750"/>
    <w:rsid w:val="0077165E"/>
    <w:rsid w:val="00771AD5"/>
    <w:rsid w:val="0077251F"/>
    <w:rsid w:val="00772979"/>
    <w:rsid w:val="00772A79"/>
    <w:rsid w:val="00772E4D"/>
    <w:rsid w:val="00772EA5"/>
    <w:rsid w:val="00772FBA"/>
    <w:rsid w:val="007737EC"/>
    <w:rsid w:val="00773B36"/>
    <w:rsid w:val="00773CF0"/>
    <w:rsid w:val="00773DD9"/>
    <w:rsid w:val="00773EB5"/>
    <w:rsid w:val="00774CC7"/>
    <w:rsid w:val="0077529E"/>
    <w:rsid w:val="0077591A"/>
    <w:rsid w:val="00775939"/>
    <w:rsid w:val="00775C8B"/>
    <w:rsid w:val="00775C8F"/>
    <w:rsid w:val="00775F86"/>
    <w:rsid w:val="0077617E"/>
    <w:rsid w:val="00776188"/>
    <w:rsid w:val="007761C4"/>
    <w:rsid w:val="00776249"/>
    <w:rsid w:val="007769E8"/>
    <w:rsid w:val="00777D34"/>
    <w:rsid w:val="007800E4"/>
    <w:rsid w:val="007802B3"/>
    <w:rsid w:val="007807D4"/>
    <w:rsid w:val="00780839"/>
    <w:rsid w:val="00780E17"/>
    <w:rsid w:val="00780E55"/>
    <w:rsid w:val="00781091"/>
    <w:rsid w:val="00781CE1"/>
    <w:rsid w:val="00781E92"/>
    <w:rsid w:val="00781F23"/>
    <w:rsid w:val="0078220D"/>
    <w:rsid w:val="007824F8"/>
    <w:rsid w:val="0078257B"/>
    <w:rsid w:val="00782757"/>
    <w:rsid w:val="00783163"/>
    <w:rsid w:val="0078338D"/>
    <w:rsid w:val="00783974"/>
    <w:rsid w:val="00783A6D"/>
    <w:rsid w:val="007841DD"/>
    <w:rsid w:val="00784D11"/>
    <w:rsid w:val="00784ED5"/>
    <w:rsid w:val="00784F8D"/>
    <w:rsid w:val="00785F3E"/>
    <w:rsid w:val="0078664B"/>
    <w:rsid w:val="00786764"/>
    <w:rsid w:val="00786A2C"/>
    <w:rsid w:val="00786A48"/>
    <w:rsid w:val="00787243"/>
    <w:rsid w:val="00787554"/>
    <w:rsid w:val="00787635"/>
    <w:rsid w:val="00787683"/>
    <w:rsid w:val="007908B7"/>
    <w:rsid w:val="00790B35"/>
    <w:rsid w:val="00790CCB"/>
    <w:rsid w:val="0079198B"/>
    <w:rsid w:val="0079242E"/>
    <w:rsid w:val="00792613"/>
    <w:rsid w:val="00792807"/>
    <w:rsid w:val="00792D14"/>
    <w:rsid w:val="007937E6"/>
    <w:rsid w:val="0079435C"/>
    <w:rsid w:val="00794A18"/>
    <w:rsid w:val="00794D2B"/>
    <w:rsid w:val="0079537B"/>
    <w:rsid w:val="007956DE"/>
    <w:rsid w:val="0079654F"/>
    <w:rsid w:val="00796E15"/>
    <w:rsid w:val="00796E99"/>
    <w:rsid w:val="007979C1"/>
    <w:rsid w:val="00797EE0"/>
    <w:rsid w:val="007A062A"/>
    <w:rsid w:val="007A07D0"/>
    <w:rsid w:val="007A0A12"/>
    <w:rsid w:val="007A0A7B"/>
    <w:rsid w:val="007A0E24"/>
    <w:rsid w:val="007A0EED"/>
    <w:rsid w:val="007A156E"/>
    <w:rsid w:val="007A162C"/>
    <w:rsid w:val="007A1969"/>
    <w:rsid w:val="007A1982"/>
    <w:rsid w:val="007A1B0D"/>
    <w:rsid w:val="007A202A"/>
    <w:rsid w:val="007A2834"/>
    <w:rsid w:val="007A2B06"/>
    <w:rsid w:val="007A2BAF"/>
    <w:rsid w:val="007A32FF"/>
    <w:rsid w:val="007A34D3"/>
    <w:rsid w:val="007A3596"/>
    <w:rsid w:val="007A37BA"/>
    <w:rsid w:val="007A3819"/>
    <w:rsid w:val="007A3E6A"/>
    <w:rsid w:val="007A4452"/>
    <w:rsid w:val="007A469E"/>
    <w:rsid w:val="007A4BE6"/>
    <w:rsid w:val="007A4C2F"/>
    <w:rsid w:val="007A54B9"/>
    <w:rsid w:val="007A54C3"/>
    <w:rsid w:val="007A5AB4"/>
    <w:rsid w:val="007A6287"/>
    <w:rsid w:val="007A666C"/>
    <w:rsid w:val="007A6E77"/>
    <w:rsid w:val="007A7030"/>
    <w:rsid w:val="007A73D5"/>
    <w:rsid w:val="007A75FA"/>
    <w:rsid w:val="007A7709"/>
    <w:rsid w:val="007A7895"/>
    <w:rsid w:val="007B02D9"/>
    <w:rsid w:val="007B037E"/>
    <w:rsid w:val="007B09C1"/>
    <w:rsid w:val="007B12BE"/>
    <w:rsid w:val="007B16D9"/>
    <w:rsid w:val="007B1791"/>
    <w:rsid w:val="007B1BE2"/>
    <w:rsid w:val="007B1D33"/>
    <w:rsid w:val="007B1FC5"/>
    <w:rsid w:val="007B2073"/>
    <w:rsid w:val="007B2111"/>
    <w:rsid w:val="007B251D"/>
    <w:rsid w:val="007B2ABD"/>
    <w:rsid w:val="007B2AFF"/>
    <w:rsid w:val="007B2D8B"/>
    <w:rsid w:val="007B2E30"/>
    <w:rsid w:val="007B2FBE"/>
    <w:rsid w:val="007B3425"/>
    <w:rsid w:val="007B41CB"/>
    <w:rsid w:val="007B42D7"/>
    <w:rsid w:val="007B44B1"/>
    <w:rsid w:val="007B46B7"/>
    <w:rsid w:val="007B4B6A"/>
    <w:rsid w:val="007B4BF8"/>
    <w:rsid w:val="007B4CB6"/>
    <w:rsid w:val="007B4D1A"/>
    <w:rsid w:val="007B5BE4"/>
    <w:rsid w:val="007B5CF9"/>
    <w:rsid w:val="007B5EC2"/>
    <w:rsid w:val="007B60FD"/>
    <w:rsid w:val="007B6425"/>
    <w:rsid w:val="007B686D"/>
    <w:rsid w:val="007B69A8"/>
    <w:rsid w:val="007B6B42"/>
    <w:rsid w:val="007B6B7C"/>
    <w:rsid w:val="007B6C90"/>
    <w:rsid w:val="007B73B0"/>
    <w:rsid w:val="007B77D1"/>
    <w:rsid w:val="007B7A9D"/>
    <w:rsid w:val="007C0564"/>
    <w:rsid w:val="007C068F"/>
    <w:rsid w:val="007C08BD"/>
    <w:rsid w:val="007C0B49"/>
    <w:rsid w:val="007C0C4F"/>
    <w:rsid w:val="007C0EA0"/>
    <w:rsid w:val="007C0F05"/>
    <w:rsid w:val="007C1076"/>
    <w:rsid w:val="007C1153"/>
    <w:rsid w:val="007C148A"/>
    <w:rsid w:val="007C19C6"/>
    <w:rsid w:val="007C1CED"/>
    <w:rsid w:val="007C1D06"/>
    <w:rsid w:val="007C1D82"/>
    <w:rsid w:val="007C24DA"/>
    <w:rsid w:val="007C259A"/>
    <w:rsid w:val="007C300E"/>
    <w:rsid w:val="007C3165"/>
    <w:rsid w:val="007C330A"/>
    <w:rsid w:val="007C361D"/>
    <w:rsid w:val="007C3A64"/>
    <w:rsid w:val="007C41D3"/>
    <w:rsid w:val="007C4C90"/>
    <w:rsid w:val="007C4E4B"/>
    <w:rsid w:val="007C58DB"/>
    <w:rsid w:val="007C5923"/>
    <w:rsid w:val="007C5D51"/>
    <w:rsid w:val="007C60FD"/>
    <w:rsid w:val="007C67A8"/>
    <w:rsid w:val="007C6CFB"/>
    <w:rsid w:val="007C6DA2"/>
    <w:rsid w:val="007C6ECA"/>
    <w:rsid w:val="007C71D7"/>
    <w:rsid w:val="007C72F0"/>
    <w:rsid w:val="007C72FE"/>
    <w:rsid w:val="007C7432"/>
    <w:rsid w:val="007C745E"/>
    <w:rsid w:val="007C7ACD"/>
    <w:rsid w:val="007C7D8F"/>
    <w:rsid w:val="007D007B"/>
    <w:rsid w:val="007D01DE"/>
    <w:rsid w:val="007D06D7"/>
    <w:rsid w:val="007D0914"/>
    <w:rsid w:val="007D0B38"/>
    <w:rsid w:val="007D0CE6"/>
    <w:rsid w:val="007D1010"/>
    <w:rsid w:val="007D13AD"/>
    <w:rsid w:val="007D14D3"/>
    <w:rsid w:val="007D15C7"/>
    <w:rsid w:val="007D16F8"/>
    <w:rsid w:val="007D1AA0"/>
    <w:rsid w:val="007D1F78"/>
    <w:rsid w:val="007D1F9F"/>
    <w:rsid w:val="007D2814"/>
    <w:rsid w:val="007D2EA9"/>
    <w:rsid w:val="007D2EED"/>
    <w:rsid w:val="007D2F76"/>
    <w:rsid w:val="007D3294"/>
    <w:rsid w:val="007D36FA"/>
    <w:rsid w:val="007D37ED"/>
    <w:rsid w:val="007D42AB"/>
    <w:rsid w:val="007D472F"/>
    <w:rsid w:val="007D4CAA"/>
    <w:rsid w:val="007D4F22"/>
    <w:rsid w:val="007D526A"/>
    <w:rsid w:val="007D52B8"/>
    <w:rsid w:val="007D5332"/>
    <w:rsid w:val="007D588A"/>
    <w:rsid w:val="007D5AAA"/>
    <w:rsid w:val="007D6170"/>
    <w:rsid w:val="007D618B"/>
    <w:rsid w:val="007D6D46"/>
    <w:rsid w:val="007D6DD9"/>
    <w:rsid w:val="007D706D"/>
    <w:rsid w:val="007D73D2"/>
    <w:rsid w:val="007D7663"/>
    <w:rsid w:val="007D77E5"/>
    <w:rsid w:val="007D78F4"/>
    <w:rsid w:val="007D7F80"/>
    <w:rsid w:val="007E09A5"/>
    <w:rsid w:val="007E1DB5"/>
    <w:rsid w:val="007E219A"/>
    <w:rsid w:val="007E220A"/>
    <w:rsid w:val="007E29BB"/>
    <w:rsid w:val="007E2A19"/>
    <w:rsid w:val="007E2E2E"/>
    <w:rsid w:val="007E4DFE"/>
    <w:rsid w:val="007E50F4"/>
    <w:rsid w:val="007E5273"/>
    <w:rsid w:val="007E52F1"/>
    <w:rsid w:val="007E5A6A"/>
    <w:rsid w:val="007E603B"/>
    <w:rsid w:val="007E6883"/>
    <w:rsid w:val="007E69B9"/>
    <w:rsid w:val="007E6BE7"/>
    <w:rsid w:val="007E6C4C"/>
    <w:rsid w:val="007E6D97"/>
    <w:rsid w:val="007E6FD1"/>
    <w:rsid w:val="007E70E8"/>
    <w:rsid w:val="007E7215"/>
    <w:rsid w:val="007E7661"/>
    <w:rsid w:val="007E76EE"/>
    <w:rsid w:val="007E7778"/>
    <w:rsid w:val="007E787A"/>
    <w:rsid w:val="007E79EA"/>
    <w:rsid w:val="007F1017"/>
    <w:rsid w:val="007F176F"/>
    <w:rsid w:val="007F1776"/>
    <w:rsid w:val="007F1E6F"/>
    <w:rsid w:val="007F2170"/>
    <w:rsid w:val="007F23E2"/>
    <w:rsid w:val="007F2431"/>
    <w:rsid w:val="007F28F7"/>
    <w:rsid w:val="007F2D0A"/>
    <w:rsid w:val="007F2E41"/>
    <w:rsid w:val="007F3858"/>
    <w:rsid w:val="007F38C1"/>
    <w:rsid w:val="007F422C"/>
    <w:rsid w:val="007F4856"/>
    <w:rsid w:val="007F4A3F"/>
    <w:rsid w:val="007F4AEA"/>
    <w:rsid w:val="007F4EC1"/>
    <w:rsid w:val="007F51A4"/>
    <w:rsid w:val="007F51E4"/>
    <w:rsid w:val="007F52A6"/>
    <w:rsid w:val="007F592D"/>
    <w:rsid w:val="007F5966"/>
    <w:rsid w:val="007F5B91"/>
    <w:rsid w:val="007F5C9C"/>
    <w:rsid w:val="007F60BB"/>
    <w:rsid w:val="007F65C0"/>
    <w:rsid w:val="007F6AF0"/>
    <w:rsid w:val="007F6B12"/>
    <w:rsid w:val="007F74B3"/>
    <w:rsid w:val="007F74C3"/>
    <w:rsid w:val="007F7BF0"/>
    <w:rsid w:val="007F7F66"/>
    <w:rsid w:val="0080051C"/>
    <w:rsid w:val="008006AF"/>
    <w:rsid w:val="0080077C"/>
    <w:rsid w:val="008008FE"/>
    <w:rsid w:val="00800BB2"/>
    <w:rsid w:val="00800E06"/>
    <w:rsid w:val="00800E87"/>
    <w:rsid w:val="00801151"/>
    <w:rsid w:val="00801177"/>
    <w:rsid w:val="008012C3"/>
    <w:rsid w:val="00801C34"/>
    <w:rsid w:val="00801F03"/>
    <w:rsid w:val="00803AB9"/>
    <w:rsid w:val="00803B58"/>
    <w:rsid w:val="00803E27"/>
    <w:rsid w:val="00803EFA"/>
    <w:rsid w:val="00804254"/>
    <w:rsid w:val="008048FF"/>
    <w:rsid w:val="00804DE1"/>
    <w:rsid w:val="00804E8F"/>
    <w:rsid w:val="00805018"/>
    <w:rsid w:val="00805142"/>
    <w:rsid w:val="00805ABD"/>
    <w:rsid w:val="00805BCB"/>
    <w:rsid w:val="00805F76"/>
    <w:rsid w:val="00805FB5"/>
    <w:rsid w:val="008060E5"/>
    <w:rsid w:val="0080614E"/>
    <w:rsid w:val="00806260"/>
    <w:rsid w:val="00806324"/>
    <w:rsid w:val="00806655"/>
    <w:rsid w:val="00806AD2"/>
    <w:rsid w:val="0080716D"/>
    <w:rsid w:val="0080779C"/>
    <w:rsid w:val="00807A8B"/>
    <w:rsid w:val="00807EB8"/>
    <w:rsid w:val="008102A2"/>
    <w:rsid w:val="008104AB"/>
    <w:rsid w:val="00810A38"/>
    <w:rsid w:val="00810AED"/>
    <w:rsid w:val="00810B8B"/>
    <w:rsid w:val="00810F59"/>
    <w:rsid w:val="008112F3"/>
    <w:rsid w:val="008116AF"/>
    <w:rsid w:val="008118FD"/>
    <w:rsid w:val="00811C4A"/>
    <w:rsid w:val="00812149"/>
    <w:rsid w:val="008123AF"/>
    <w:rsid w:val="008123D1"/>
    <w:rsid w:val="008126AD"/>
    <w:rsid w:val="008128BA"/>
    <w:rsid w:val="008129E7"/>
    <w:rsid w:val="0081341F"/>
    <w:rsid w:val="0081408C"/>
    <w:rsid w:val="008143D8"/>
    <w:rsid w:val="00814586"/>
    <w:rsid w:val="008151C7"/>
    <w:rsid w:val="00815216"/>
    <w:rsid w:val="008155F4"/>
    <w:rsid w:val="00816280"/>
    <w:rsid w:val="008166EF"/>
    <w:rsid w:val="00816825"/>
    <w:rsid w:val="00816AE3"/>
    <w:rsid w:val="00816B31"/>
    <w:rsid w:val="00816BD2"/>
    <w:rsid w:val="00816CA6"/>
    <w:rsid w:val="008172D2"/>
    <w:rsid w:val="008173A7"/>
    <w:rsid w:val="008177D8"/>
    <w:rsid w:val="008179E1"/>
    <w:rsid w:val="00817E0C"/>
    <w:rsid w:val="00820968"/>
    <w:rsid w:val="00820B6A"/>
    <w:rsid w:val="00820BCA"/>
    <w:rsid w:val="00820BD7"/>
    <w:rsid w:val="00820EC1"/>
    <w:rsid w:val="008210A0"/>
    <w:rsid w:val="00821413"/>
    <w:rsid w:val="00821B3A"/>
    <w:rsid w:val="008222FD"/>
    <w:rsid w:val="00822367"/>
    <w:rsid w:val="00822488"/>
    <w:rsid w:val="0082248B"/>
    <w:rsid w:val="0082274B"/>
    <w:rsid w:val="008228CB"/>
    <w:rsid w:val="0082292E"/>
    <w:rsid w:val="008231B9"/>
    <w:rsid w:val="008231BF"/>
    <w:rsid w:val="008234E7"/>
    <w:rsid w:val="00824523"/>
    <w:rsid w:val="00824982"/>
    <w:rsid w:val="00824DB4"/>
    <w:rsid w:val="0082533E"/>
    <w:rsid w:val="00825572"/>
    <w:rsid w:val="00825598"/>
    <w:rsid w:val="0082572E"/>
    <w:rsid w:val="008264EB"/>
    <w:rsid w:val="00826B2D"/>
    <w:rsid w:val="00826F80"/>
    <w:rsid w:val="00831030"/>
    <w:rsid w:val="008315FF"/>
    <w:rsid w:val="0083198E"/>
    <w:rsid w:val="00831E3C"/>
    <w:rsid w:val="00831F46"/>
    <w:rsid w:val="00832167"/>
    <w:rsid w:val="00832453"/>
    <w:rsid w:val="00832F21"/>
    <w:rsid w:val="00832FE6"/>
    <w:rsid w:val="00833130"/>
    <w:rsid w:val="00833289"/>
    <w:rsid w:val="00833454"/>
    <w:rsid w:val="008339FB"/>
    <w:rsid w:val="00833B05"/>
    <w:rsid w:val="00834F9F"/>
    <w:rsid w:val="00835624"/>
    <w:rsid w:val="0083597B"/>
    <w:rsid w:val="00835EC7"/>
    <w:rsid w:val="00835F4F"/>
    <w:rsid w:val="00836117"/>
    <w:rsid w:val="008365EC"/>
    <w:rsid w:val="008367C7"/>
    <w:rsid w:val="008373A1"/>
    <w:rsid w:val="00837839"/>
    <w:rsid w:val="00837D77"/>
    <w:rsid w:val="008403DA"/>
    <w:rsid w:val="00840524"/>
    <w:rsid w:val="008407D8"/>
    <w:rsid w:val="008408E5"/>
    <w:rsid w:val="008409F1"/>
    <w:rsid w:val="00840BE8"/>
    <w:rsid w:val="00840CA2"/>
    <w:rsid w:val="00840DAB"/>
    <w:rsid w:val="00840EEA"/>
    <w:rsid w:val="00841116"/>
    <w:rsid w:val="00841C20"/>
    <w:rsid w:val="00841DBB"/>
    <w:rsid w:val="0084200F"/>
    <w:rsid w:val="0084222F"/>
    <w:rsid w:val="00842DD7"/>
    <w:rsid w:val="00842E44"/>
    <w:rsid w:val="00842EE0"/>
    <w:rsid w:val="00842F90"/>
    <w:rsid w:val="008434C2"/>
    <w:rsid w:val="00843991"/>
    <w:rsid w:val="00843AFF"/>
    <w:rsid w:val="00844240"/>
    <w:rsid w:val="008444B3"/>
    <w:rsid w:val="008449A9"/>
    <w:rsid w:val="00844C06"/>
    <w:rsid w:val="00844C76"/>
    <w:rsid w:val="00845199"/>
    <w:rsid w:val="008462E7"/>
    <w:rsid w:val="008463A6"/>
    <w:rsid w:val="0084670F"/>
    <w:rsid w:val="0084688F"/>
    <w:rsid w:val="00846EAA"/>
    <w:rsid w:val="00846F83"/>
    <w:rsid w:val="00846F92"/>
    <w:rsid w:val="008478EC"/>
    <w:rsid w:val="008504D3"/>
    <w:rsid w:val="00850691"/>
    <w:rsid w:val="00850BAD"/>
    <w:rsid w:val="00850D81"/>
    <w:rsid w:val="00850ED0"/>
    <w:rsid w:val="0085154E"/>
    <w:rsid w:val="00851B21"/>
    <w:rsid w:val="00851C2D"/>
    <w:rsid w:val="00851CCD"/>
    <w:rsid w:val="008528B1"/>
    <w:rsid w:val="00852A78"/>
    <w:rsid w:val="00852B11"/>
    <w:rsid w:val="00852BA5"/>
    <w:rsid w:val="00852BEE"/>
    <w:rsid w:val="00853255"/>
    <w:rsid w:val="00853869"/>
    <w:rsid w:val="00853C4F"/>
    <w:rsid w:val="00854E23"/>
    <w:rsid w:val="008551AE"/>
    <w:rsid w:val="00855319"/>
    <w:rsid w:val="00855F19"/>
    <w:rsid w:val="0085623D"/>
    <w:rsid w:val="0085697D"/>
    <w:rsid w:val="00856C26"/>
    <w:rsid w:val="00856C29"/>
    <w:rsid w:val="00856E9A"/>
    <w:rsid w:val="00857113"/>
    <w:rsid w:val="00857242"/>
    <w:rsid w:val="00857CEE"/>
    <w:rsid w:val="008605FB"/>
    <w:rsid w:val="00860E16"/>
    <w:rsid w:val="00861180"/>
    <w:rsid w:val="00861683"/>
    <w:rsid w:val="008617A0"/>
    <w:rsid w:val="00861BD7"/>
    <w:rsid w:val="00861C32"/>
    <w:rsid w:val="00862260"/>
    <w:rsid w:val="0086239C"/>
    <w:rsid w:val="00862502"/>
    <w:rsid w:val="00863669"/>
    <w:rsid w:val="00863979"/>
    <w:rsid w:val="00863986"/>
    <w:rsid w:val="008639B4"/>
    <w:rsid w:val="00863FA3"/>
    <w:rsid w:val="00864227"/>
    <w:rsid w:val="0086434B"/>
    <w:rsid w:val="0086469D"/>
    <w:rsid w:val="00864A1B"/>
    <w:rsid w:val="00864A60"/>
    <w:rsid w:val="00864BDB"/>
    <w:rsid w:val="00865B0A"/>
    <w:rsid w:val="00865D00"/>
    <w:rsid w:val="008660F8"/>
    <w:rsid w:val="008667E8"/>
    <w:rsid w:val="0086682A"/>
    <w:rsid w:val="00866867"/>
    <w:rsid w:val="00866AFE"/>
    <w:rsid w:val="00866E9D"/>
    <w:rsid w:val="00867724"/>
    <w:rsid w:val="00867825"/>
    <w:rsid w:val="0087052F"/>
    <w:rsid w:val="00870CAC"/>
    <w:rsid w:val="008712FA"/>
    <w:rsid w:val="00871B2E"/>
    <w:rsid w:val="0087226C"/>
    <w:rsid w:val="00872830"/>
    <w:rsid w:val="00872F18"/>
    <w:rsid w:val="008730C0"/>
    <w:rsid w:val="008731B3"/>
    <w:rsid w:val="00873276"/>
    <w:rsid w:val="00873348"/>
    <w:rsid w:val="00873900"/>
    <w:rsid w:val="00873A8C"/>
    <w:rsid w:val="00874454"/>
    <w:rsid w:val="00874459"/>
    <w:rsid w:val="008747D8"/>
    <w:rsid w:val="00874D0B"/>
    <w:rsid w:val="00875259"/>
    <w:rsid w:val="00875A4F"/>
    <w:rsid w:val="00875B2A"/>
    <w:rsid w:val="008760AB"/>
    <w:rsid w:val="00876208"/>
    <w:rsid w:val="00876373"/>
    <w:rsid w:val="00876749"/>
    <w:rsid w:val="00876C9F"/>
    <w:rsid w:val="00876E6D"/>
    <w:rsid w:val="00876FCB"/>
    <w:rsid w:val="0087718B"/>
    <w:rsid w:val="008774AB"/>
    <w:rsid w:val="008774E8"/>
    <w:rsid w:val="0087775D"/>
    <w:rsid w:val="00880089"/>
    <w:rsid w:val="0088015F"/>
    <w:rsid w:val="00880B0F"/>
    <w:rsid w:val="00880FEE"/>
    <w:rsid w:val="008810C0"/>
    <w:rsid w:val="00881326"/>
    <w:rsid w:val="008818CD"/>
    <w:rsid w:val="00881D1E"/>
    <w:rsid w:val="00881FB3"/>
    <w:rsid w:val="008825B6"/>
    <w:rsid w:val="008827DD"/>
    <w:rsid w:val="00882874"/>
    <w:rsid w:val="008831B3"/>
    <w:rsid w:val="00883263"/>
    <w:rsid w:val="008834AF"/>
    <w:rsid w:val="0088358A"/>
    <w:rsid w:val="00883731"/>
    <w:rsid w:val="00883787"/>
    <w:rsid w:val="008839FC"/>
    <w:rsid w:val="00883A03"/>
    <w:rsid w:val="00883C41"/>
    <w:rsid w:val="00883C9E"/>
    <w:rsid w:val="00883DCB"/>
    <w:rsid w:val="00883DEB"/>
    <w:rsid w:val="0088401E"/>
    <w:rsid w:val="008842E8"/>
    <w:rsid w:val="008844BE"/>
    <w:rsid w:val="008846FD"/>
    <w:rsid w:val="00884792"/>
    <w:rsid w:val="00884B40"/>
    <w:rsid w:val="00884BEC"/>
    <w:rsid w:val="008852E6"/>
    <w:rsid w:val="0088584E"/>
    <w:rsid w:val="008858CE"/>
    <w:rsid w:val="008863E7"/>
    <w:rsid w:val="00886748"/>
    <w:rsid w:val="00886CC3"/>
    <w:rsid w:val="00886DBC"/>
    <w:rsid w:val="00886DBF"/>
    <w:rsid w:val="00887999"/>
    <w:rsid w:val="00887A09"/>
    <w:rsid w:val="00890B1F"/>
    <w:rsid w:val="00890BFD"/>
    <w:rsid w:val="00890C93"/>
    <w:rsid w:val="00891B24"/>
    <w:rsid w:val="00891E0C"/>
    <w:rsid w:val="00892C67"/>
    <w:rsid w:val="008931B3"/>
    <w:rsid w:val="008938ED"/>
    <w:rsid w:val="00893D0D"/>
    <w:rsid w:val="00894489"/>
    <w:rsid w:val="00894A8D"/>
    <w:rsid w:val="00894B06"/>
    <w:rsid w:val="00894C0D"/>
    <w:rsid w:val="0089527D"/>
    <w:rsid w:val="008953CB"/>
    <w:rsid w:val="00896121"/>
    <w:rsid w:val="008963A5"/>
    <w:rsid w:val="00896BF2"/>
    <w:rsid w:val="00896DE1"/>
    <w:rsid w:val="00897289"/>
    <w:rsid w:val="00897DE2"/>
    <w:rsid w:val="008A109A"/>
    <w:rsid w:val="008A1118"/>
    <w:rsid w:val="008A11F7"/>
    <w:rsid w:val="008A1774"/>
    <w:rsid w:val="008A2232"/>
    <w:rsid w:val="008A2601"/>
    <w:rsid w:val="008A296D"/>
    <w:rsid w:val="008A2A5F"/>
    <w:rsid w:val="008A2C16"/>
    <w:rsid w:val="008A2C71"/>
    <w:rsid w:val="008A2D39"/>
    <w:rsid w:val="008A3C3E"/>
    <w:rsid w:val="008A3DC8"/>
    <w:rsid w:val="008A4492"/>
    <w:rsid w:val="008A4725"/>
    <w:rsid w:val="008A4731"/>
    <w:rsid w:val="008A5407"/>
    <w:rsid w:val="008A5416"/>
    <w:rsid w:val="008A575A"/>
    <w:rsid w:val="008A5820"/>
    <w:rsid w:val="008A60B6"/>
    <w:rsid w:val="008A614C"/>
    <w:rsid w:val="008A6471"/>
    <w:rsid w:val="008A6D0B"/>
    <w:rsid w:val="008A6F19"/>
    <w:rsid w:val="008A7878"/>
    <w:rsid w:val="008A79DE"/>
    <w:rsid w:val="008A7CFB"/>
    <w:rsid w:val="008A7D02"/>
    <w:rsid w:val="008B03AF"/>
    <w:rsid w:val="008B0D94"/>
    <w:rsid w:val="008B1044"/>
    <w:rsid w:val="008B11D8"/>
    <w:rsid w:val="008B140D"/>
    <w:rsid w:val="008B1552"/>
    <w:rsid w:val="008B162A"/>
    <w:rsid w:val="008B3162"/>
    <w:rsid w:val="008B36F0"/>
    <w:rsid w:val="008B39B0"/>
    <w:rsid w:val="008B3BD2"/>
    <w:rsid w:val="008B42D8"/>
    <w:rsid w:val="008B4390"/>
    <w:rsid w:val="008B4777"/>
    <w:rsid w:val="008B481A"/>
    <w:rsid w:val="008B488F"/>
    <w:rsid w:val="008B4A8F"/>
    <w:rsid w:val="008B4B4E"/>
    <w:rsid w:val="008B4E1C"/>
    <w:rsid w:val="008B4F82"/>
    <w:rsid w:val="008B50D6"/>
    <w:rsid w:val="008B5196"/>
    <w:rsid w:val="008B5AC5"/>
    <w:rsid w:val="008B5E56"/>
    <w:rsid w:val="008B6239"/>
    <w:rsid w:val="008B630B"/>
    <w:rsid w:val="008B683C"/>
    <w:rsid w:val="008B6A2E"/>
    <w:rsid w:val="008B6E90"/>
    <w:rsid w:val="008B7128"/>
    <w:rsid w:val="008B749B"/>
    <w:rsid w:val="008B7D7E"/>
    <w:rsid w:val="008C0278"/>
    <w:rsid w:val="008C0393"/>
    <w:rsid w:val="008C070B"/>
    <w:rsid w:val="008C0981"/>
    <w:rsid w:val="008C0A33"/>
    <w:rsid w:val="008C0BA3"/>
    <w:rsid w:val="008C0CA4"/>
    <w:rsid w:val="008C13D9"/>
    <w:rsid w:val="008C18F3"/>
    <w:rsid w:val="008C1951"/>
    <w:rsid w:val="008C1AA9"/>
    <w:rsid w:val="008C1FC3"/>
    <w:rsid w:val="008C2324"/>
    <w:rsid w:val="008C23DD"/>
    <w:rsid w:val="008C2559"/>
    <w:rsid w:val="008C29B8"/>
    <w:rsid w:val="008C31A8"/>
    <w:rsid w:val="008C335D"/>
    <w:rsid w:val="008C3B61"/>
    <w:rsid w:val="008C3DB3"/>
    <w:rsid w:val="008C3F75"/>
    <w:rsid w:val="008C3FC9"/>
    <w:rsid w:val="008C46D7"/>
    <w:rsid w:val="008C49DA"/>
    <w:rsid w:val="008C4C0A"/>
    <w:rsid w:val="008C4CC2"/>
    <w:rsid w:val="008C5066"/>
    <w:rsid w:val="008C506E"/>
    <w:rsid w:val="008C5A5A"/>
    <w:rsid w:val="008C6215"/>
    <w:rsid w:val="008C63CB"/>
    <w:rsid w:val="008C6813"/>
    <w:rsid w:val="008C6CCB"/>
    <w:rsid w:val="008C74B5"/>
    <w:rsid w:val="008C7ECB"/>
    <w:rsid w:val="008C7F3B"/>
    <w:rsid w:val="008C7F97"/>
    <w:rsid w:val="008D02D7"/>
    <w:rsid w:val="008D09B2"/>
    <w:rsid w:val="008D1D20"/>
    <w:rsid w:val="008D1E3C"/>
    <w:rsid w:val="008D1FB0"/>
    <w:rsid w:val="008D2604"/>
    <w:rsid w:val="008D266F"/>
    <w:rsid w:val="008D2765"/>
    <w:rsid w:val="008D2828"/>
    <w:rsid w:val="008D2FA6"/>
    <w:rsid w:val="008D3393"/>
    <w:rsid w:val="008D426A"/>
    <w:rsid w:val="008D42A5"/>
    <w:rsid w:val="008D4347"/>
    <w:rsid w:val="008D4BC2"/>
    <w:rsid w:val="008D598E"/>
    <w:rsid w:val="008D5A74"/>
    <w:rsid w:val="008D5E5F"/>
    <w:rsid w:val="008D5E81"/>
    <w:rsid w:val="008D6021"/>
    <w:rsid w:val="008D60F9"/>
    <w:rsid w:val="008D623D"/>
    <w:rsid w:val="008D646E"/>
    <w:rsid w:val="008D6CAF"/>
    <w:rsid w:val="008D6CD8"/>
    <w:rsid w:val="008D6EA6"/>
    <w:rsid w:val="008D7F1C"/>
    <w:rsid w:val="008E02AB"/>
    <w:rsid w:val="008E043C"/>
    <w:rsid w:val="008E0A1E"/>
    <w:rsid w:val="008E0BB4"/>
    <w:rsid w:val="008E0D66"/>
    <w:rsid w:val="008E10EC"/>
    <w:rsid w:val="008E1228"/>
    <w:rsid w:val="008E130D"/>
    <w:rsid w:val="008E188D"/>
    <w:rsid w:val="008E1B9E"/>
    <w:rsid w:val="008E1C32"/>
    <w:rsid w:val="008E23C6"/>
    <w:rsid w:val="008E265D"/>
    <w:rsid w:val="008E2749"/>
    <w:rsid w:val="008E2905"/>
    <w:rsid w:val="008E2B08"/>
    <w:rsid w:val="008E2B0A"/>
    <w:rsid w:val="008E2F8B"/>
    <w:rsid w:val="008E323A"/>
    <w:rsid w:val="008E35D6"/>
    <w:rsid w:val="008E36DC"/>
    <w:rsid w:val="008E39E6"/>
    <w:rsid w:val="008E39FC"/>
    <w:rsid w:val="008E3CED"/>
    <w:rsid w:val="008E3F0A"/>
    <w:rsid w:val="008E428B"/>
    <w:rsid w:val="008E4618"/>
    <w:rsid w:val="008E46F6"/>
    <w:rsid w:val="008E48BD"/>
    <w:rsid w:val="008E4F6B"/>
    <w:rsid w:val="008E53DB"/>
    <w:rsid w:val="008E58B6"/>
    <w:rsid w:val="008E58D6"/>
    <w:rsid w:val="008E5A6A"/>
    <w:rsid w:val="008E62BB"/>
    <w:rsid w:val="008E6525"/>
    <w:rsid w:val="008E65C9"/>
    <w:rsid w:val="008E6C1D"/>
    <w:rsid w:val="008E6DE7"/>
    <w:rsid w:val="008E7061"/>
    <w:rsid w:val="008E7240"/>
    <w:rsid w:val="008E7551"/>
    <w:rsid w:val="008E7A5E"/>
    <w:rsid w:val="008F00D3"/>
    <w:rsid w:val="008F0335"/>
    <w:rsid w:val="008F05B8"/>
    <w:rsid w:val="008F09BB"/>
    <w:rsid w:val="008F1141"/>
    <w:rsid w:val="008F120A"/>
    <w:rsid w:val="008F1400"/>
    <w:rsid w:val="008F197D"/>
    <w:rsid w:val="008F1A97"/>
    <w:rsid w:val="008F1EC5"/>
    <w:rsid w:val="008F21DA"/>
    <w:rsid w:val="008F298E"/>
    <w:rsid w:val="008F2EA0"/>
    <w:rsid w:val="008F2EE7"/>
    <w:rsid w:val="008F31C5"/>
    <w:rsid w:val="008F3339"/>
    <w:rsid w:val="008F43CA"/>
    <w:rsid w:val="008F48EB"/>
    <w:rsid w:val="008F4F0B"/>
    <w:rsid w:val="008F502A"/>
    <w:rsid w:val="008F51F3"/>
    <w:rsid w:val="008F524F"/>
    <w:rsid w:val="008F5C74"/>
    <w:rsid w:val="008F5E3A"/>
    <w:rsid w:val="008F614E"/>
    <w:rsid w:val="008F62A8"/>
    <w:rsid w:val="008F64D4"/>
    <w:rsid w:val="008F64F5"/>
    <w:rsid w:val="008F6DF3"/>
    <w:rsid w:val="008F6E2D"/>
    <w:rsid w:val="008F7650"/>
    <w:rsid w:val="008F7AA4"/>
    <w:rsid w:val="008F7E15"/>
    <w:rsid w:val="00900220"/>
    <w:rsid w:val="009004D4"/>
    <w:rsid w:val="00900508"/>
    <w:rsid w:val="0090070A"/>
    <w:rsid w:val="00900A33"/>
    <w:rsid w:val="00900A51"/>
    <w:rsid w:val="00900C64"/>
    <w:rsid w:val="00900EF6"/>
    <w:rsid w:val="00900F1A"/>
    <w:rsid w:val="00901355"/>
    <w:rsid w:val="00901ECC"/>
    <w:rsid w:val="00902339"/>
    <w:rsid w:val="00902358"/>
    <w:rsid w:val="00902741"/>
    <w:rsid w:val="0090278C"/>
    <w:rsid w:val="00902950"/>
    <w:rsid w:val="00902E34"/>
    <w:rsid w:val="00903BAE"/>
    <w:rsid w:val="00903BD2"/>
    <w:rsid w:val="00903E47"/>
    <w:rsid w:val="00903F6F"/>
    <w:rsid w:val="00904517"/>
    <w:rsid w:val="00905390"/>
    <w:rsid w:val="00905C5B"/>
    <w:rsid w:val="00905DCC"/>
    <w:rsid w:val="00905E19"/>
    <w:rsid w:val="009062A5"/>
    <w:rsid w:val="00906368"/>
    <w:rsid w:val="00906AD5"/>
    <w:rsid w:val="00906F55"/>
    <w:rsid w:val="00906F89"/>
    <w:rsid w:val="0090746C"/>
    <w:rsid w:val="0090758B"/>
    <w:rsid w:val="00907BB2"/>
    <w:rsid w:val="009102F8"/>
    <w:rsid w:val="00910795"/>
    <w:rsid w:val="00910E9D"/>
    <w:rsid w:val="00911272"/>
    <w:rsid w:val="009113B0"/>
    <w:rsid w:val="00911451"/>
    <w:rsid w:val="0091147B"/>
    <w:rsid w:val="009114FF"/>
    <w:rsid w:val="00911FEF"/>
    <w:rsid w:val="009121C1"/>
    <w:rsid w:val="009122AD"/>
    <w:rsid w:val="009129E1"/>
    <w:rsid w:val="00913C5F"/>
    <w:rsid w:val="00913CD3"/>
    <w:rsid w:val="00913DA7"/>
    <w:rsid w:val="0091417D"/>
    <w:rsid w:val="00914206"/>
    <w:rsid w:val="0091425B"/>
    <w:rsid w:val="00915307"/>
    <w:rsid w:val="009158BB"/>
    <w:rsid w:val="00915AF9"/>
    <w:rsid w:val="00915C5D"/>
    <w:rsid w:val="00916163"/>
    <w:rsid w:val="00916538"/>
    <w:rsid w:val="00916830"/>
    <w:rsid w:val="00916B93"/>
    <w:rsid w:val="00917491"/>
    <w:rsid w:val="00920348"/>
    <w:rsid w:val="00920439"/>
    <w:rsid w:val="0092087D"/>
    <w:rsid w:val="009208FD"/>
    <w:rsid w:val="0092104E"/>
    <w:rsid w:val="0092106C"/>
    <w:rsid w:val="00921641"/>
    <w:rsid w:val="00921809"/>
    <w:rsid w:val="00921901"/>
    <w:rsid w:val="00921A4C"/>
    <w:rsid w:val="00921FE5"/>
    <w:rsid w:val="009221E0"/>
    <w:rsid w:val="009226E1"/>
    <w:rsid w:val="00922D52"/>
    <w:rsid w:val="00923218"/>
    <w:rsid w:val="00923371"/>
    <w:rsid w:val="00923449"/>
    <w:rsid w:val="0092355E"/>
    <w:rsid w:val="00923778"/>
    <w:rsid w:val="00923A66"/>
    <w:rsid w:val="00923B18"/>
    <w:rsid w:val="00923B6F"/>
    <w:rsid w:val="00924369"/>
    <w:rsid w:val="009245F3"/>
    <w:rsid w:val="00925641"/>
    <w:rsid w:val="00925D14"/>
    <w:rsid w:val="00925EC0"/>
    <w:rsid w:val="00925FBF"/>
    <w:rsid w:val="0092623D"/>
    <w:rsid w:val="00926A16"/>
    <w:rsid w:val="00927931"/>
    <w:rsid w:val="009303B7"/>
    <w:rsid w:val="00930513"/>
    <w:rsid w:val="00930D95"/>
    <w:rsid w:val="00931202"/>
    <w:rsid w:val="00931333"/>
    <w:rsid w:val="009315FA"/>
    <w:rsid w:val="00931B29"/>
    <w:rsid w:val="00932192"/>
    <w:rsid w:val="00932863"/>
    <w:rsid w:val="009328CA"/>
    <w:rsid w:val="00932BD3"/>
    <w:rsid w:val="0093324D"/>
    <w:rsid w:val="009332A7"/>
    <w:rsid w:val="00933B78"/>
    <w:rsid w:val="00933E69"/>
    <w:rsid w:val="0093489F"/>
    <w:rsid w:val="00934F01"/>
    <w:rsid w:val="0093538C"/>
    <w:rsid w:val="00935549"/>
    <w:rsid w:val="00936196"/>
    <w:rsid w:val="009365FA"/>
    <w:rsid w:val="0093661E"/>
    <w:rsid w:val="009367CF"/>
    <w:rsid w:val="009367E4"/>
    <w:rsid w:val="009368C9"/>
    <w:rsid w:val="00936ACB"/>
    <w:rsid w:val="009373CA"/>
    <w:rsid w:val="0093796A"/>
    <w:rsid w:val="00937ECC"/>
    <w:rsid w:val="00940CAC"/>
    <w:rsid w:val="00940D9D"/>
    <w:rsid w:val="009415B3"/>
    <w:rsid w:val="00941ADF"/>
    <w:rsid w:val="00941CB0"/>
    <w:rsid w:val="00941E0D"/>
    <w:rsid w:val="00942D03"/>
    <w:rsid w:val="00942F79"/>
    <w:rsid w:val="00942FBF"/>
    <w:rsid w:val="00943178"/>
    <w:rsid w:val="009436CF"/>
    <w:rsid w:val="00943BAF"/>
    <w:rsid w:val="00943E09"/>
    <w:rsid w:val="00943E82"/>
    <w:rsid w:val="0094432F"/>
    <w:rsid w:val="0094473D"/>
    <w:rsid w:val="009450C5"/>
    <w:rsid w:val="009452B9"/>
    <w:rsid w:val="00946507"/>
    <w:rsid w:val="009465FB"/>
    <w:rsid w:val="0094690E"/>
    <w:rsid w:val="0094703A"/>
    <w:rsid w:val="0094735D"/>
    <w:rsid w:val="0094769F"/>
    <w:rsid w:val="00947BE5"/>
    <w:rsid w:val="00947EA8"/>
    <w:rsid w:val="009503F5"/>
    <w:rsid w:val="00950B91"/>
    <w:rsid w:val="00950BC9"/>
    <w:rsid w:val="00950E9D"/>
    <w:rsid w:val="009510F4"/>
    <w:rsid w:val="00951FFC"/>
    <w:rsid w:val="00952105"/>
    <w:rsid w:val="009522A6"/>
    <w:rsid w:val="009523F3"/>
    <w:rsid w:val="00952646"/>
    <w:rsid w:val="00952B79"/>
    <w:rsid w:val="00953280"/>
    <w:rsid w:val="00953312"/>
    <w:rsid w:val="009534F7"/>
    <w:rsid w:val="00953778"/>
    <w:rsid w:val="00954837"/>
    <w:rsid w:val="00954846"/>
    <w:rsid w:val="009556F0"/>
    <w:rsid w:val="00955A8B"/>
    <w:rsid w:val="00955D42"/>
    <w:rsid w:val="00955DDE"/>
    <w:rsid w:val="00956089"/>
    <w:rsid w:val="009562C0"/>
    <w:rsid w:val="0095641C"/>
    <w:rsid w:val="00956651"/>
    <w:rsid w:val="00957D5D"/>
    <w:rsid w:val="0096009F"/>
    <w:rsid w:val="009601AC"/>
    <w:rsid w:val="0096020B"/>
    <w:rsid w:val="00960459"/>
    <w:rsid w:val="009607CE"/>
    <w:rsid w:val="009614AA"/>
    <w:rsid w:val="00961D4C"/>
    <w:rsid w:val="00962177"/>
    <w:rsid w:val="00962230"/>
    <w:rsid w:val="0096236E"/>
    <w:rsid w:val="009625E2"/>
    <w:rsid w:val="00962693"/>
    <w:rsid w:val="00962CB9"/>
    <w:rsid w:val="00962E36"/>
    <w:rsid w:val="009634DD"/>
    <w:rsid w:val="009638C7"/>
    <w:rsid w:val="009639B7"/>
    <w:rsid w:val="00963A2C"/>
    <w:rsid w:val="00963ABA"/>
    <w:rsid w:val="009642A9"/>
    <w:rsid w:val="00964312"/>
    <w:rsid w:val="0096487F"/>
    <w:rsid w:val="00965145"/>
    <w:rsid w:val="00965280"/>
    <w:rsid w:val="00965692"/>
    <w:rsid w:val="00965E76"/>
    <w:rsid w:val="0096618A"/>
    <w:rsid w:val="0096655C"/>
    <w:rsid w:val="00966A43"/>
    <w:rsid w:val="0096726A"/>
    <w:rsid w:val="0096726C"/>
    <w:rsid w:val="009674D2"/>
    <w:rsid w:val="0096762C"/>
    <w:rsid w:val="00967F47"/>
    <w:rsid w:val="00970777"/>
    <w:rsid w:val="0097081C"/>
    <w:rsid w:val="009709FB"/>
    <w:rsid w:val="00970E71"/>
    <w:rsid w:val="00970F6F"/>
    <w:rsid w:val="009716EE"/>
    <w:rsid w:val="009728D0"/>
    <w:rsid w:val="009733B6"/>
    <w:rsid w:val="00973B47"/>
    <w:rsid w:val="0097417E"/>
    <w:rsid w:val="00974B4E"/>
    <w:rsid w:val="00974C55"/>
    <w:rsid w:val="00974F7C"/>
    <w:rsid w:val="00974FB7"/>
    <w:rsid w:val="009752C7"/>
    <w:rsid w:val="009756D4"/>
    <w:rsid w:val="00975B14"/>
    <w:rsid w:val="00975EA2"/>
    <w:rsid w:val="00975F13"/>
    <w:rsid w:val="009761D8"/>
    <w:rsid w:val="009765BF"/>
    <w:rsid w:val="009767F8"/>
    <w:rsid w:val="009768EF"/>
    <w:rsid w:val="00977906"/>
    <w:rsid w:val="009779DE"/>
    <w:rsid w:val="00977B50"/>
    <w:rsid w:val="00977C2E"/>
    <w:rsid w:val="0098083B"/>
    <w:rsid w:val="009816D8"/>
    <w:rsid w:val="009818AD"/>
    <w:rsid w:val="00982763"/>
    <w:rsid w:val="00982BA8"/>
    <w:rsid w:val="00983014"/>
    <w:rsid w:val="00983455"/>
    <w:rsid w:val="00983AF4"/>
    <w:rsid w:val="00983E57"/>
    <w:rsid w:val="009840B2"/>
    <w:rsid w:val="009844EF"/>
    <w:rsid w:val="00984639"/>
    <w:rsid w:val="00984A38"/>
    <w:rsid w:val="00984E29"/>
    <w:rsid w:val="00985105"/>
    <w:rsid w:val="00985E6E"/>
    <w:rsid w:val="00985F9E"/>
    <w:rsid w:val="00986125"/>
    <w:rsid w:val="009868DE"/>
    <w:rsid w:val="00986DC3"/>
    <w:rsid w:val="00986E07"/>
    <w:rsid w:val="00986F60"/>
    <w:rsid w:val="0098736B"/>
    <w:rsid w:val="00987FEE"/>
    <w:rsid w:val="00990171"/>
    <w:rsid w:val="00990DA4"/>
    <w:rsid w:val="0099147D"/>
    <w:rsid w:val="00991921"/>
    <w:rsid w:val="00991995"/>
    <w:rsid w:val="00991FC9"/>
    <w:rsid w:val="009922C9"/>
    <w:rsid w:val="0099276F"/>
    <w:rsid w:val="00992B10"/>
    <w:rsid w:val="00992E1E"/>
    <w:rsid w:val="0099350F"/>
    <w:rsid w:val="009937BD"/>
    <w:rsid w:val="00993D60"/>
    <w:rsid w:val="00993DCC"/>
    <w:rsid w:val="00993F82"/>
    <w:rsid w:val="00994DAE"/>
    <w:rsid w:val="00994F90"/>
    <w:rsid w:val="009953A1"/>
    <w:rsid w:val="00995541"/>
    <w:rsid w:val="0099558F"/>
    <w:rsid w:val="009956B4"/>
    <w:rsid w:val="00995BCE"/>
    <w:rsid w:val="00996040"/>
    <w:rsid w:val="0099608C"/>
    <w:rsid w:val="0099614A"/>
    <w:rsid w:val="0099679A"/>
    <w:rsid w:val="00996B1A"/>
    <w:rsid w:val="00996CB9"/>
    <w:rsid w:val="009974CE"/>
    <w:rsid w:val="00997BEE"/>
    <w:rsid w:val="00997C66"/>
    <w:rsid w:val="00997ECC"/>
    <w:rsid w:val="009A03A8"/>
    <w:rsid w:val="009A0999"/>
    <w:rsid w:val="009A12B3"/>
    <w:rsid w:val="009A1BCF"/>
    <w:rsid w:val="009A1CC3"/>
    <w:rsid w:val="009A20E0"/>
    <w:rsid w:val="009A21D3"/>
    <w:rsid w:val="009A2461"/>
    <w:rsid w:val="009A2485"/>
    <w:rsid w:val="009A2581"/>
    <w:rsid w:val="009A2B22"/>
    <w:rsid w:val="009A2B63"/>
    <w:rsid w:val="009A2C9E"/>
    <w:rsid w:val="009A3379"/>
    <w:rsid w:val="009A3948"/>
    <w:rsid w:val="009A39F3"/>
    <w:rsid w:val="009A3A1B"/>
    <w:rsid w:val="009A43A2"/>
    <w:rsid w:val="009A4427"/>
    <w:rsid w:val="009A469F"/>
    <w:rsid w:val="009A476F"/>
    <w:rsid w:val="009A49DA"/>
    <w:rsid w:val="009A4A8F"/>
    <w:rsid w:val="009A5012"/>
    <w:rsid w:val="009A56B1"/>
    <w:rsid w:val="009A57BD"/>
    <w:rsid w:val="009A5B9A"/>
    <w:rsid w:val="009A5EE7"/>
    <w:rsid w:val="009A620D"/>
    <w:rsid w:val="009A6269"/>
    <w:rsid w:val="009A64C7"/>
    <w:rsid w:val="009A6B4D"/>
    <w:rsid w:val="009A70E4"/>
    <w:rsid w:val="009A73A5"/>
    <w:rsid w:val="009A762C"/>
    <w:rsid w:val="009A782D"/>
    <w:rsid w:val="009A7867"/>
    <w:rsid w:val="009A788E"/>
    <w:rsid w:val="009A7898"/>
    <w:rsid w:val="009A7F38"/>
    <w:rsid w:val="009B0017"/>
    <w:rsid w:val="009B04A8"/>
    <w:rsid w:val="009B0B91"/>
    <w:rsid w:val="009B1D82"/>
    <w:rsid w:val="009B24AB"/>
    <w:rsid w:val="009B2634"/>
    <w:rsid w:val="009B30A4"/>
    <w:rsid w:val="009B3465"/>
    <w:rsid w:val="009B36F1"/>
    <w:rsid w:val="009B3794"/>
    <w:rsid w:val="009B39F0"/>
    <w:rsid w:val="009B3B51"/>
    <w:rsid w:val="009B3E26"/>
    <w:rsid w:val="009B4375"/>
    <w:rsid w:val="009B440E"/>
    <w:rsid w:val="009B4EAE"/>
    <w:rsid w:val="009B54AF"/>
    <w:rsid w:val="009B5E16"/>
    <w:rsid w:val="009B659D"/>
    <w:rsid w:val="009B6715"/>
    <w:rsid w:val="009B6976"/>
    <w:rsid w:val="009B716C"/>
    <w:rsid w:val="009B7341"/>
    <w:rsid w:val="009B7418"/>
    <w:rsid w:val="009B75BD"/>
    <w:rsid w:val="009B79BF"/>
    <w:rsid w:val="009B7E40"/>
    <w:rsid w:val="009C036B"/>
    <w:rsid w:val="009C03B9"/>
    <w:rsid w:val="009C057F"/>
    <w:rsid w:val="009C0F17"/>
    <w:rsid w:val="009C173F"/>
    <w:rsid w:val="009C1E20"/>
    <w:rsid w:val="009C25FA"/>
    <w:rsid w:val="009C2640"/>
    <w:rsid w:val="009C2AEB"/>
    <w:rsid w:val="009C33DE"/>
    <w:rsid w:val="009C341C"/>
    <w:rsid w:val="009C38C0"/>
    <w:rsid w:val="009C3E6C"/>
    <w:rsid w:val="009C3ECA"/>
    <w:rsid w:val="009C4272"/>
    <w:rsid w:val="009C4A0F"/>
    <w:rsid w:val="009C4B25"/>
    <w:rsid w:val="009C50F4"/>
    <w:rsid w:val="009C5224"/>
    <w:rsid w:val="009C537B"/>
    <w:rsid w:val="009C591C"/>
    <w:rsid w:val="009C60B7"/>
    <w:rsid w:val="009C7402"/>
    <w:rsid w:val="009C7749"/>
    <w:rsid w:val="009C7B47"/>
    <w:rsid w:val="009C7BDA"/>
    <w:rsid w:val="009D0215"/>
    <w:rsid w:val="009D05C1"/>
    <w:rsid w:val="009D09F9"/>
    <w:rsid w:val="009D0ACD"/>
    <w:rsid w:val="009D0BCB"/>
    <w:rsid w:val="009D1064"/>
    <w:rsid w:val="009D118E"/>
    <w:rsid w:val="009D138D"/>
    <w:rsid w:val="009D19EB"/>
    <w:rsid w:val="009D1AAD"/>
    <w:rsid w:val="009D1B77"/>
    <w:rsid w:val="009D1DA8"/>
    <w:rsid w:val="009D2646"/>
    <w:rsid w:val="009D274A"/>
    <w:rsid w:val="009D2D2B"/>
    <w:rsid w:val="009D3288"/>
    <w:rsid w:val="009D36FF"/>
    <w:rsid w:val="009D3A72"/>
    <w:rsid w:val="009D4593"/>
    <w:rsid w:val="009D4709"/>
    <w:rsid w:val="009D4884"/>
    <w:rsid w:val="009D4AA7"/>
    <w:rsid w:val="009D4F4A"/>
    <w:rsid w:val="009D5142"/>
    <w:rsid w:val="009D53B7"/>
    <w:rsid w:val="009D58E4"/>
    <w:rsid w:val="009D5B91"/>
    <w:rsid w:val="009D5D12"/>
    <w:rsid w:val="009D6348"/>
    <w:rsid w:val="009D6673"/>
    <w:rsid w:val="009D6F09"/>
    <w:rsid w:val="009D6F6C"/>
    <w:rsid w:val="009D79A4"/>
    <w:rsid w:val="009D7B13"/>
    <w:rsid w:val="009D7BC0"/>
    <w:rsid w:val="009E0419"/>
    <w:rsid w:val="009E046E"/>
    <w:rsid w:val="009E053E"/>
    <w:rsid w:val="009E05CF"/>
    <w:rsid w:val="009E07AE"/>
    <w:rsid w:val="009E099E"/>
    <w:rsid w:val="009E0E0A"/>
    <w:rsid w:val="009E13A8"/>
    <w:rsid w:val="009E3073"/>
    <w:rsid w:val="009E3B11"/>
    <w:rsid w:val="009E4267"/>
    <w:rsid w:val="009E44D2"/>
    <w:rsid w:val="009E48D0"/>
    <w:rsid w:val="009E4C07"/>
    <w:rsid w:val="009E5980"/>
    <w:rsid w:val="009E5C80"/>
    <w:rsid w:val="009E5E54"/>
    <w:rsid w:val="009E5FB1"/>
    <w:rsid w:val="009E5FDE"/>
    <w:rsid w:val="009E6272"/>
    <w:rsid w:val="009E6329"/>
    <w:rsid w:val="009E6418"/>
    <w:rsid w:val="009E6419"/>
    <w:rsid w:val="009E67B2"/>
    <w:rsid w:val="009E6807"/>
    <w:rsid w:val="009E6D06"/>
    <w:rsid w:val="009E6E5A"/>
    <w:rsid w:val="009E6EF4"/>
    <w:rsid w:val="009E6F4C"/>
    <w:rsid w:val="009E744D"/>
    <w:rsid w:val="009E7758"/>
    <w:rsid w:val="009E78B7"/>
    <w:rsid w:val="009E79E8"/>
    <w:rsid w:val="009F01CF"/>
    <w:rsid w:val="009F0237"/>
    <w:rsid w:val="009F0385"/>
    <w:rsid w:val="009F0BE9"/>
    <w:rsid w:val="009F137F"/>
    <w:rsid w:val="009F18CE"/>
    <w:rsid w:val="009F1B29"/>
    <w:rsid w:val="009F27BE"/>
    <w:rsid w:val="009F2A25"/>
    <w:rsid w:val="009F3129"/>
    <w:rsid w:val="009F3176"/>
    <w:rsid w:val="009F3231"/>
    <w:rsid w:val="009F349C"/>
    <w:rsid w:val="009F38E5"/>
    <w:rsid w:val="009F4029"/>
    <w:rsid w:val="009F4422"/>
    <w:rsid w:val="009F4515"/>
    <w:rsid w:val="009F4577"/>
    <w:rsid w:val="009F489D"/>
    <w:rsid w:val="009F4C92"/>
    <w:rsid w:val="009F5020"/>
    <w:rsid w:val="009F5994"/>
    <w:rsid w:val="009F6806"/>
    <w:rsid w:val="009F731C"/>
    <w:rsid w:val="009F77EF"/>
    <w:rsid w:val="009F78DB"/>
    <w:rsid w:val="009F7DD4"/>
    <w:rsid w:val="00A0081E"/>
    <w:rsid w:val="00A00B19"/>
    <w:rsid w:val="00A012E6"/>
    <w:rsid w:val="00A0154C"/>
    <w:rsid w:val="00A01C7E"/>
    <w:rsid w:val="00A01EF6"/>
    <w:rsid w:val="00A02026"/>
    <w:rsid w:val="00A021F2"/>
    <w:rsid w:val="00A02877"/>
    <w:rsid w:val="00A02AFA"/>
    <w:rsid w:val="00A02E23"/>
    <w:rsid w:val="00A030E6"/>
    <w:rsid w:val="00A03585"/>
    <w:rsid w:val="00A038DD"/>
    <w:rsid w:val="00A03A74"/>
    <w:rsid w:val="00A03C58"/>
    <w:rsid w:val="00A03D43"/>
    <w:rsid w:val="00A03D67"/>
    <w:rsid w:val="00A03DBA"/>
    <w:rsid w:val="00A04380"/>
    <w:rsid w:val="00A0458A"/>
    <w:rsid w:val="00A046D2"/>
    <w:rsid w:val="00A04C98"/>
    <w:rsid w:val="00A05AD9"/>
    <w:rsid w:val="00A05AEB"/>
    <w:rsid w:val="00A05C00"/>
    <w:rsid w:val="00A06074"/>
    <w:rsid w:val="00A064CC"/>
    <w:rsid w:val="00A072FE"/>
    <w:rsid w:val="00A074AD"/>
    <w:rsid w:val="00A07B3E"/>
    <w:rsid w:val="00A1030C"/>
    <w:rsid w:val="00A10A7F"/>
    <w:rsid w:val="00A1104B"/>
    <w:rsid w:val="00A11210"/>
    <w:rsid w:val="00A114F2"/>
    <w:rsid w:val="00A11569"/>
    <w:rsid w:val="00A11733"/>
    <w:rsid w:val="00A119DA"/>
    <w:rsid w:val="00A11AB6"/>
    <w:rsid w:val="00A11B61"/>
    <w:rsid w:val="00A11C83"/>
    <w:rsid w:val="00A11E32"/>
    <w:rsid w:val="00A11EB3"/>
    <w:rsid w:val="00A11F12"/>
    <w:rsid w:val="00A11F4F"/>
    <w:rsid w:val="00A1206C"/>
    <w:rsid w:val="00A12322"/>
    <w:rsid w:val="00A126B0"/>
    <w:rsid w:val="00A127B2"/>
    <w:rsid w:val="00A12902"/>
    <w:rsid w:val="00A12D20"/>
    <w:rsid w:val="00A13445"/>
    <w:rsid w:val="00A135A9"/>
    <w:rsid w:val="00A13677"/>
    <w:rsid w:val="00A13948"/>
    <w:rsid w:val="00A13B4F"/>
    <w:rsid w:val="00A13CC1"/>
    <w:rsid w:val="00A13FD2"/>
    <w:rsid w:val="00A1408F"/>
    <w:rsid w:val="00A14150"/>
    <w:rsid w:val="00A14BEE"/>
    <w:rsid w:val="00A14CEF"/>
    <w:rsid w:val="00A154C4"/>
    <w:rsid w:val="00A15708"/>
    <w:rsid w:val="00A15720"/>
    <w:rsid w:val="00A15902"/>
    <w:rsid w:val="00A15CE5"/>
    <w:rsid w:val="00A15D33"/>
    <w:rsid w:val="00A15E68"/>
    <w:rsid w:val="00A16129"/>
    <w:rsid w:val="00A1613E"/>
    <w:rsid w:val="00A16192"/>
    <w:rsid w:val="00A16593"/>
    <w:rsid w:val="00A165B0"/>
    <w:rsid w:val="00A1672F"/>
    <w:rsid w:val="00A16B48"/>
    <w:rsid w:val="00A17EB5"/>
    <w:rsid w:val="00A20221"/>
    <w:rsid w:val="00A20418"/>
    <w:rsid w:val="00A2053E"/>
    <w:rsid w:val="00A2054C"/>
    <w:rsid w:val="00A20B7C"/>
    <w:rsid w:val="00A20D49"/>
    <w:rsid w:val="00A20E5B"/>
    <w:rsid w:val="00A21302"/>
    <w:rsid w:val="00A216B4"/>
    <w:rsid w:val="00A21796"/>
    <w:rsid w:val="00A21902"/>
    <w:rsid w:val="00A21AAD"/>
    <w:rsid w:val="00A21BE4"/>
    <w:rsid w:val="00A21C75"/>
    <w:rsid w:val="00A21CF9"/>
    <w:rsid w:val="00A21F78"/>
    <w:rsid w:val="00A22038"/>
    <w:rsid w:val="00A22190"/>
    <w:rsid w:val="00A2228A"/>
    <w:rsid w:val="00A224CE"/>
    <w:rsid w:val="00A22C3B"/>
    <w:rsid w:val="00A22E69"/>
    <w:rsid w:val="00A2321E"/>
    <w:rsid w:val="00A238AC"/>
    <w:rsid w:val="00A23B1D"/>
    <w:rsid w:val="00A23D25"/>
    <w:rsid w:val="00A23EBE"/>
    <w:rsid w:val="00A2422F"/>
    <w:rsid w:val="00A243DB"/>
    <w:rsid w:val="00A24DA8"/>
    <w:rsid w:val="00A24EDD"/>
    <w:rsid w:val="00A24FD9"/>
    <w:rsid w:val="00A25178"/>
    <w:rsid w:val="00A25546"/>
    <w:rsid w:val="00A256E0"/>
    <w:rsid w:val="00A26473"/>
    <w:rsid w:val="00A26863"/>
    <w:rsid w:val="00A2696E"/>
    <w:rsid w:val="00A270F3"/>
    <w:rsid w:val="00A27ADC"/>
    <w:rsid w:val="00A27AEC"/>
    <w:rsid w:val="00A27D65"/>
    <w:rsid w:val="00A27DD7"/>
    <w:rsid w:val="00A27F9D"/>
    <w:rsid w:val="00A30727"/>
    <w:rsid w:val="00A308B2"/>
    <w:rsid w:val="00A30B5C"/>
    <w:rsid w:val="00A30CC0"/>
    <w:rsid w:val="00A316F3"/>
    <w:rsid w:val="00A317A3"/>
    <w:rsid w:val="00A319B2"/>
    <w:rsid w:val="00A31B41"/>
    <w:rsid w:val="00A31CEC"/>
    <w:rsid w:val="00A31D50"/>
    <w:rsid w:val="00A31DDD"/>
    <w:rsid w:val="00A323BD"/>
    <w:rsid w:val="00A32F61"/>
    <w:rsid w:val="00A33A4C"/>
    <w:rsid w:val="00A33A67"/>
    <w:rsid w:val="00A33AFC"/>
    <w:rsid w:val="00A3428B"/>
    <w:rsid w:val="00A34516"/>
    <w:rsid w:val="00A345DD"/>
    <w:rsid w:val="00A34C6A"/>
    <w:rsid w:val="00A35888"/>
    <w:rsid w:val="00A35D16"/>
    <w:rsid w:val="00A35E97"/>
    <w:rsid w:val="00A36974"/>
    <w:rsid w:val="00A36CC7"/>
    <w:rsid w:val="00A36E64"/>
    <w:rsid w:val="00A36F03"/>
    <w:rsid w:val="00A36FD7"/>
    <w:rsid w:val="00A3705A"/>
    <w:rsid w:val="00A371EE"/>
    <w:rsid w:val="00A3749A"/>
    <w:rsid w:val="00A37AD7"/>
    <w:rsid w:val="00A37B50"/>
    <w:rsid w:val="00A37BB1"/>
    <w:rsid w:val="00A37C7F"/>
    <w:rsid w:val="00A37DC8"/>
    <w:rsid w:val="00A37F2E"/>
    <w:rsid w:val="00A37F89"/>
    <w:rsid w:val="00A400B4"/>
    <w:rsid w:val="00A4039A"/>
    <w:rsid w:val="00A40670"/>
    <w:rsid w:val="00A40B5F"/>
    <w:rsid w:val="00A413CC"/>
    <w:rsid w:val="00A4167E"/>
    <w:rsid w:val="00A41776"/>
    <w:rsid w:val="00A41A0D"/>
    <w:rsid w:val="00A41BA6"/>
    <w:rsid w:val="00A41F4B"/>
    <w:rsid w:val="00A42240"/>
    <w:rsid w:val="00A42CF2"/>
    <w:rsid w:val="00A4323C"/>
    <w:rsid w:val="00A43865"/>
    <w:rsid w:val="00A438F8"/>
    <w:rsid w:val="00A43C59"/>
    <w:rsid w:val="00A43CDA"/>
    <w:rsid w:val="00A43EB3"/>
    <w:rsid w:val="00A442E5"/>
    <w:rsid w:val="00A4462D"/>
    <w:rsid w:val="00A44758"/>
    <w:rsid w:val="00A448E3"/>
    <w:rsid w:val="00A44949"/>
    <w:rsid w:val="00A44A08"/>
    <w:rsid w:val="00A44AEB"/>
    <w:rsid w:val="00A4543B"/>
    <w:rsid w:val="00A45656"/>
    <w:rsid w:val="00A45A9A"/>
    <w:rsid w:val="00A45C1B"/>
    <w:rsid w:val="00A45EE1"/>
    <w:rsid w:val="00A45F66"/>
    <w:rsid w:val="00A46044"/>
    <w:rsid w:val="00A4615F"/>
    <w:rsid w:val="00A46804"/>
    <w:rsid w:val="00A46C9D"/>
    <w:rsid w:val="00A474A9"/>
    <w:rsid w:val="00A4788B"/>
    <w:rsid w:val="00A479D9"/>
    <w:rsid w:val="00A47E21"/>
    <w:rsid w:val="00A50D30"/>
    <w:rsid w:val="00A50ECD"/>
    <w:rsid w:val="00A513E9"/>
    <w:rsid w:val="00A5162C"/>
    <w:rsid w:val="00A51DC1"/>
    <w:rsid w:val="00A52729"/>
    <w:rsid w:val="00A52779"/>
    <w:rsid w:val="00A52985"/>
    <w:rsid w:val="00A52B54"/>
    <w:rsid w:val="00A532E0"/>
    <w:rsid w:val="00A53675"/>
    <w:rsid w:val="00A53C4E"/>
    <w:rsid w:val="00A53C5A"/>
    <w:rsid w:val="00A54325"/>
    <w:rsid w:val="00A5482D"/>
    <w:rsid w:val="00A54AE0"/>
    <w:rsid w:val="00A54C17"/>
    <w:rsid w:val="00A54D46"/>
    <w:rsid w:val="00A54D9E"/>
    <w:rsid w:val="00A55873"/>
    <w:rsid w:val="00A55EFE"/>
    <w:rsid w:val="00A560C0"/>
    <w:rsid w:val="00A563A8"/>
    <w:rsid w:val="00A5644E"/>
    <w:rsid w:val="00A56838"/>
    <w:rsid w:val="00A569C6"/>
    <w:rsid w:val="00A56B6A"/>
    <w:rsid w:val="00A5729B"/>
    <w:rsid w:val="00A5769B"/>
    <w:rsid w:val="00A57849"/>
    <w:rsid w:val="00A578CA"/>
    <w:rsid w:val="00A578DC"/>
    <w:rsid w:val="00A600C9"/>
    <w:rsid w:val="00A61472"/>
    <w:rsid w:val="00A61614"/>
    <w:rsid w:val="00A616D2"/>
    <w:rsid w:val="00A617F7"/>
    <w:rsid w:val="00A62082"/>
    <w:rsid w:val="00A62151"/>
    <w:rsid w:val="00A62DCE"/>
    <w:rsid w:val="00A62F81"/>
    <w:rsid w:val="00A63562"/>
    <w:rsid w:val="00A639D2"/>
    <w:rsid w:val="00A64504"/>
    <w:rsid w:val="00A64AB6"/>
    <w:rsid w:val="00A64B8A"/>
    <w:rsid w:val="00A65255"/>
    <w:rsid w:val="00A657BE"/>
    <w:rsid w:val="00A65E0B"/>
    <w:rsid w:val="00A65F54"/>
    <w:rsid w:val="00A6654C"/>
    <w:rsid w:val="00A665F6"/>
    <w:rsid w:val="00A6672C"/>
    <w:rsid w:val="00A6677D"/>
    <w:rsid w:val="00A668CE"/>
    <w:rsid w:val="00A66A02"/>
    <w:rsid w:val="00A66E3E"/>
    <w:rsid w:val="00A6725B"/>
    <w:rsid w:val="00A6753C"/>
    <w:rsid w:val="00A67784"/>
    <w:rsid w:val="00A67B32"/>
    <w:rsid w:val="00A702DA"/>
    <w:rsid w:val="00A7052A"/>
    <w:rsid w:val="00A70750"/>
    <w:rsid w:val="00A70E3B"/>
    <w:rsid w:val="00A70F08"/>
    <w:rsid w:val="00A7149F"/>
    <w:rsid w:val="00A7185D"/>
    <w:rsid w:val="00A71AC5"/>
    <w:rsid w:val="00A722CF"/>
    <w:rsid w:val="00A72A18"/>
    <w:rsid w:val="00A72C97"/>
    <w:rsid w:val="00A734CF"/>
    <w:rsid w:val="00A73524"/>
    <w:rsid w:val="00A74009"/>
    <w:rsid w:val="00A7454E"/>
    <w:rsid w:val="00A7474D"/>
    <w:rsid w:val="00A747C7"/>
    <w:rsid w:val="00A75016"/>
    <w:rsid w:val="00A751FC"/>
    <w:rsid w:val="00A7553C"/>
    <w:rsid w:val="00A75AC9"/>
    <w:rsid w:val="00A75C59"/>
    <w:rsid w:val="00A75E20"/>
    <w:rsid w:val="00A75E72"/>
    <w:rsid w:val="00A76481"/>
    <w:rsid w:val="00A7675C"/>
    <w:rsid w:val="00A7686E"/>
    <w:rsid w:val="00A76CA7"/>
    <w:rsid w:val="00A77088"/>
    <w:rsid w:val="00A774CB"/>
    <w:rsid w:val="00A77993"/>
    <w:rsid w:val="00A77BD4"/>
    <w:rsid w:val="00A77FB3"/>
    <w:rsid w:val="00A8075F"/>
    <w:rsid w:val="00A8084D"/>
    <w:rsid w:val="00A8098C"/>
    <w:rsid w:val="00A80C9A"/>
    <w:rsid w:val="00A81BE2"/>
    <w:rsid w:val="00A81C54"/>
    <w:rsid w:val="00A81FBE"/>
    <w:rsid w:val="00A820DF"/>
    <w:rsid w:val="00A824F1"/>
    <w:rsid w:val="00A829B5"/>
    <w:rsid w:val="00A82C29"/>
    <w:rsid w:val="00A82C76"/>
    <w:rsid w:val="00A82F8C"/>
    <w:rsid w:val="00A830AE"/>
    <w:rsid w:val="00A8313E"/>
    <w:rsid w:val="00A83CA2"/>
    <w:rsid w:val="00A84113"/>
    <w:rsid w:val="00A842F6"/>
    <w:rsid w:val="00A844E9"/>
    <w:rsid w:val="00A844F5"/>
    <w:rsid w:val="00A8453C"/>
    <w:rsid w:val="00A84A31"/>
    <w:rsid w:val="00A859BD"/>
    <w:rsid w:val="00A85E49"/>
    <w:rsid w:val="00A863CD"/>
    <w:rsid w:val="00A8640F"/>
    <w:rsid w:val="00A86B68"/>
    <w:rsid w:val="00A86E8B"/>
    <w:rsid w:val="00A873CD"/>
    <w:rsid w:val="00A879A3"/>
    <w:rsid w:val="00A87B1D"/>
    <w:rsid w:val="00A87B5A"/>
    <w:rsid w:val="00A87FF6"/>
    <w:rsid w:val="00A9022E"/>
    <w:rsid w:val="00A90783"/>
    <w:rsid w:val="00A90CAE"/>
    <w:rsid w:val="00A91B1A"/>
    <w:rsid w:val="00A9201A"/>
    <w:rsid w:val="00A924C9"/>
    <w:rsid w:val="00A92681"/>
    <w:rsid w:val="00A92A7A"/>
    <w:rsid w:val="00A92E65"/>
    <w:rsid w:val="00A92ED1"/>
    <w:rsid w:val="00A9302F"/>
    <w:rsid w:val="00A93072"/>
    <w:rsid w:val="00A9321F"/>
    <w:rsid w:val="00A93807"/>
    <w:rsid w:val="00A9381E"/>
    <w:rsid w:val="00A93988"/>
    <w:rsid w:val="00A93E45"/>
    <w:rsid w:val="00A93E69"/>
    <w:rsid w:val="00A94194"/>
    <w:rsid w:val="00A9460D"/>
    <w:rsid w:val="00A94736"/>
    <w:rsid w:val="00A94B37"/>
    <w:rsid w:val="00A94BE1"/>
    <w:rsid w:val="00A94D93"/>
    <w:rsid w:val="00A94EAE"/>
    <w:rsid w:val="00A94EF5"/>
    <w:rsid w:val="00A955C8"/>
    <w:rsid w:val="00A95764"/>
    <w:rsid w:val="00A959D8"/>
    <w:rsid w:val="00A95B27"/>
    <w:rsid w:val="00A96906"/>
    <w:rsid w:val="00A96ABF"/>
    <w:rsid w:val="00A96D07"/>
    <w:rsid w:val="00A96EF7"/>
    <w:rsid w:val="00A97882"/>
    <w:rsid w:val="00AA0564"/>
    <w:rsid w:val="00AA087B"/>
    <w:rsid w:val="00AA1179"/>
    <w:rsid w:val="00AA1ECB"/>
    <w:rsid w:val="00AA2196"/>
    <w:rsid w:val="00AA2425"/>
    <w:rsid w:val="00AA2489"/>
    <w:rsid w:val="00AA2BAE"/>
    <w:rsid w:val="00AA2CBE"/>
    <w:rsid w:val="00AA2D82"/>
    <w:rsid w:val="00AA2EEC"/>
    <w:rsid w:val="00AA2FB2"/>
    <w:rsid w:val="00AA2FDD"/>
    <w:rsid w:val="00AA3284"/>
    <w:rsid w:val="00AA3427"/>
    <w:rsid w:val="00AA34C6"/>
    <w:rsid w:val="00AA38E6"/>
    <w:rsid w:val="00AA5470"/>
    <w:rsid w:val="00AA55A9"/>
    <w:rsid w:val="00AA5703"/>
    <w:rsid w:val="00AA576B"/>
    <w:rsid w:val="00AA60BE"/>
    <w:rsid w:val="00AA6228"/>
    <w:rsid w:val="00AA6835"/>
    <w:rsid w:val="00AA6D88"/>
    <w:rsid w:val="00AA755D"/>
    <w:rsid w:val="00AA78B8"/>
    <w:rsid w:val="00AA7D6C"/>
    <w:rsid w:val="00AB0180"/>
    <w:rsid w:val="00AB032B"/>
    <w:rsid w:val="00AB042A"/>
    <w:rsid w:val="00AB0B6E"/>
    <w:rsid w:val="00AB0D70"/>
    <w:rsid w:val="00AB1173"/>
    <w:rsid w:val="00AB1312"/>
    <w:rsid w:val="00AB1780"/>
    <w:rsid w:val="00AB1AA9"/>
    <w:rsid w:val="00AB1D59"/>
    <w:rsid w:val="00AB1D71"/>
    <w:rsid w:val="00AB26B3"/>
    <w:rsid w:val="00AB27D7"/>
    <w:rsid w:val="00AB28FD"/>
    <w:rsid w:val="00AB2D34"/>
    <w:rsid w:val="00AB2D87"/>
    <w:rsid w:val="00AB304A"/>
    <w:rsid w:val="00AB3430"/>
    <w:rsid w:val="00AB34E8"/>
    <w:rsid w:val="00AB372B"/>
    <w:rsid w:val="00AB3ACE"/>
    <w:rsid w:val="00AB3E87"/>
    <w:rsid w:val="00AB4259"/>
    <w:rsid w:val="00AB46DB"/>
    <w:rsid w:val="00AB472E"/>
    <w:rsid w:val="00AB4C85"/>
    <w:rsid w:val="00AB4DE3"/>
    <w:rsid w:val="00AB5007"/>
    <w:rsid w:val="00AB5034"/>
    <w:rsid w:val="00AB5372"/>
    <w:rsid w:val="00AB5937"/>
    <w:rsid w:val="00AB5AEF"/>
    <w:rsid w:val="00AB649A"/>
    <w:rsid w:val="00AB6640"/>
    <w:rsid w:val="00AB665C"/>
    <w:rsid w:val="00AB7237"/>
    <w:rsid w:val="00AB7CAC"/>
    <w:rsid w:val="00AB7CFA"/>
    <w:rsid w:val="00AB7D24"/>
    <w:rsid w:val="00AB7DA4"/>
    <w:rsid w:val="00AB7F50"/>
    <w:rsid w:val="00AB7F87"/>
    <w:rsid w:val="00AC0355"/>
    <w:rsid w:val="00AC0924"/>
    <w:rsid w:val="00AC0D63"/>
    <w:rsid w:val="00AC0F1C"/>
    <w:rsid w:val="00AC1304"/>
    <w:rsid w:val="00AC13B8"/>
    <w:rsid w:val="00AC151A"/>
    <w:rsid w:val="00AC15D0"/>
    <w:rsid w:val="00AC1F8F"/>
    <w:rsid w:val="00AC23B9"/>
    <w:rsid w:val="00AC265B"/>
    <w:rsid w:val="00AC294B"/>
    <w:rsid w:val="00AC2BC9"/>
    <w:rsid w:val="00AC3595"/>
    <w:rsid w:val="00AC469D"/>
    <w:rsid w:val="00AC46E2"/>
    <w:rsid w:val="00AC4A80"/>
    <w:rsid w:val="00AC4B34"/>
    <w:rsid w:val="00AC4F2A"/>
    <w:rsid w:val="00AC5456"/>
    <w:rsid w:val="00AC54E0"/>
    <w:rsid w:val="00AC566F"/>
    <w:rsid w:val="00AC5E07"/>
    <w:rsid w:val="00AC5E0D"/>
    <w:rsid w:val="00AC66E3"/>
    <w:rsid w:val="00AC699F"/>
    <w:rsid w:val="00AC70A4"/>
    <w:rsid w:val="00AC7306"/>
    <w:rsid w:val="00AC74E6"/>
    <w:rsid w:val="00AC7591"/>
    <w:rsid w:val="00AC78AE"/>
    <w:rsid w:val="00AC7926"/>
    <w:rsid w:val="00AC7DB7"/>
    <w:rsid w:val="00AC7E52"/>
    <w:rsid w:val="00AC7EB9"/>
    <w:rsid w:val="00AC7EDC"/>
    <w:rsid w:val="00AC7F56"/>
    <w:rsid w:val="00AD0740"/>
    <w:rsid w:val="00AD0920"/>
    <w:rsid w:val="00AD11A7"/>
    <w:rsid w:val="00AD1951"/>
    <w:rsid w:val="00AD1AB2"/>
    <w:rsid w:val="00AD1D89"/>
    <w:rsid w:val="00AD1FDA"/>
    <w:rsid w:val="00AD21FF"/>
    <w:rsid w:val="00AD2CD1"/>
    <w:rsid w:val="00AD2D75"/>
    <w:rsid w:val="00AD306C"/>
    <w:rsid w:val="00AD30C3"/>
    <w:rsid w:val="00AD34DA"/>
    <w:rsid w:val="00AD37E5"/>
    <w:rsid w:val="00AD3D63"/>
    <w:rsid w:val="00AD3DD9"/>
    <w:rsid w:val="00AD47F7"/>
    <w:rsid w:val="00AD4E20"/>
    <w:rsid w:val="00AD4FB0"/>
    <w:rsid w:val="00AD518D"/>
    <w:rsid w:val="00AD521B"/>
    <w:rsid w:val="00AD5517"/>
    <w:rsid w:val="00AD59BE"/>
    <w:rsid w:val="00AD5A43"/>
    <w:rsid w:val="00AD5CEE"/>
    <w:rsid w:val="00AD6902"/>
    <w:rsid w:val="00AD7817"/>
    <w:rsid w:val="00AD798A"/>
    <w:rsid w:val="00AD7AD2"/>
    <w:rsid w:val="00AD7DD4"/>
    <w:rsid w:val="00AE00BD"/>
    <w:rsid w:val="00AE01E4"/>
    <w:rsid w:val="00AE06CB"/>
    <w:rsid w:val="00AE0770"/>
    <w:rsid w:val="00AE0A7E"/>
    <w:rsid w:val="00AE0EB1"/>
    <w:rsid w:val="00AE133A"/>
    <w:rsid w:val="00AE18E8"/>
    <w:rsid w:val="00AE1DC6"/>
    <w:rsid w:val="00AE1F52"/>
    <w:rsid w:val="00AE21F3"/>
    <w:rsid w:val="00AE2738"/>
    <w:rsid w:val="00AE29CF"/>
    <w:rsid w:val="00AE3735"/>
    <w:rsid w:val="00AE376F"/>
    <w:rsid w:val="00AE3774"/>
    <w:rsid w:val="00AE37D9"/>
    <w:rsid w:val="00AE3A5E"/>
    <w:rsid w:val="00AE3AFB"/>
    <w:rsid w:val="00AE3B39"/>
    <w:rsid w:val="00AE43D6"/>
    <w:rsid w:val="00AE4BD3"/>
    <w:rsid w:val="00AE4C7E"/>
    <w:rsid w:val="00AE5254"/>
    <w:rsid w:val="00AE5867"/>
    <w:rsid w:val="00AE58EE"/>
    <w:rsid w:val="00AE5C7F"/>
    <w:rsid w:val="00AE789C"/>
    <w:rsid w:val="00AE7DD1"/>
    <w:rsid w:val="00AF0804"/>
    <w:rsid w:val="00AF08EE"/>
    <w:rsid w:val="00AF09FF"/>
    <w:rsid w:val="00AF0B51"/>
    <w:rsid w:val="00AF141E"/>
    <w:rsid w:val="00AF14A2"/>
    <w:rsid w:val="00AF1BA3"/>
    <w:rsid w:val="00AF1F08"/>
    <w:rsid w:val="00AF1FD7"/>
    <w:rsid w:val="00AF20D0"/>
    <w:rsid w:val="00AF20F4"/>
    <w:rsid w:val="00AF237C"/>
    <w:rsid w:val="00AF2896"/>
    <w:rsid w:val="00AF2A58"/>
    <w:rsid w:val="00AF30AE"/>
    <w:rsid w:val="00AF3268"/>
    <w:rsid w:val="00AF3311"/>
    <w:rsid w:val="00AF3A28"/>
    <w:rsid w:val="00AF3E7E"/>
    <w:rsid w:val="00AF40E9"/>
    <w:rsid w:val="00AF4278"/>
    <w:rsid w:val="00AF4433"/>
    <w:rsid w:val="00AF44F4"/>
    <w:rsid w:val="00AF4523"/>
    <w:rsid w:val="00AF46B4"/>
    <w:rsid w:val="00AF4B08"/>
    <w:rsid w:val="00AF5349"/>
    <w:rsid w:val="00AF558D"/>
    <w:rsid w:val="00AF58D3"/>
    <w:rsid w:val="00AF5B8A"/>
    <w:rsid w:val="00AF5D36"/>
    <w:rsid w:val="00AF5E26"/>
    <w:rsid w:val="00AF5F7A"/>
    <w:rsid w:val="00AF6182"/>
    <w:rsid w:val="00AF6190"/>
    <w:rsid w:val="00AF67E5"/>
    <w:rsid w:val="00AF6BA9"/>
    <w:rsid w:val="00AF6FB8"/>
    <w:rsid w:val="00AF75FE"/>
    <w:rsid w:val="00AF7829"/>
    <w:rsid w:val="00AF791E"/>
    <w:rsid w:val="00B0002C"/>
    <w:rsid w:val="00B0010C"/>
    <w:rsid w:val="00B001A8"/>
    <w:rsid w:val="00B0075F"/>
    <w:rsid w:val="00B007B7"/>
    <w:rsid w:val="00B00ED7"/>
    <w:rsid w:val="00B01368"/>
    <w:rsid w:val="00B01389"/>
    <w:rsid w:val="00B017C3"/>
    <w:rsid w:val="00B01C9E"/>
    <w:rsid w:val="00B02072"/>
    <w:rsid w:val="00B02454"/>
    <w:rsid w:val="00B028F2"/>
    <w:rsid w:val="00B02A5F"/>
    <w:rsid w:val="00B03297"/>
    <w:rsid w:val="00B03352"/>
    <w:rsid w:val="00B03869"/>
    <w:rsid w:val="00B03CA7"/>
    <w:rsid w:val="00B03E9E"/>
    <w:rsid w:val="00B04639"/>
    <w:rsid w:val="00B04C1C"/>
    <w:rsid w:val="00B04DE7"/>
    <w:rsid w:val="00B04EA1"/>
    <w:rsid w:val="00B05303"/>
    <w:rsid w:val="00B05627"/>
    <w:rsid w:val="00B056EF"/>
    <w:rsid w:val="00B05B72"/>
    <w:rsid w:val="00B05FC7"/>
    <w:rsid w:val="00B068B2"/>
    <w:rsid w:val="00B068EA"/>
    <w:rsid w:val="00B06C0A"/>
    <w:rsid w:val="00B06DBC"/>
    <w:rsid w:val="00B07A99"/>
    <w:rsid w:val="00B07AEE"/>
    <w:rsid w:val="00B1070D"/>
    <w:rsid w:val="00B10C2D"/>
    <w:rsid w:val="00B10F6F"/>
    <w:rsid w:val="00B1122D"/>
    <w:rsid w:val="00B11273"/>
    <w:rsid w:val="00B113B1"/>
    <w:rsid w:val="00B118EF"/>
    <w:rsid w:val="00B12918"/>
    <w:rsid w:val="00B12946"/>
    <w:rsid w:val="00B12A2F"/>
    <w:rsid w:val="00B12AB3"/>
    <w:rsid w:val="00B12E52"/>
    <w:rsid w:val="00B13218"/>
    <w:rsid w:val="00B136B0"/>
    <w:rsid w:val="00B139EA"/>
    <w:rsid w:val="00B13ACD"/>
    <w:rsid w:val="00B144FC"/>
    <w:rsid w:val="00B145C2"/>
    <w:rsid w:val="00B146CB"/>
    <w:rsid w:val="00B14957"/>
    <w:rsid w:val="00B14AAE"/>
    <w:rsid w:val="00B14AE1"/>
    <w:rsid w:val="00B14CD7"/>
    <w:rsid w:val="00B14EE8"/>
    <w:rsid w:val="00B1563C"/>
    <w:rsid w:val="00B15C62"/>
    <w:rsid w:val="00B15E33"/>
    <w:rsid w:val="00B15F96"/>
    <w:rsid w:val="00B1669D"/>
    <w:rsid w:val="00B16C31"/>
    <w:rsid w:val="00B17060"/>
    <w:rsid w:val="00B17B0D"/>
    <w:rsid w:val="00B17F44"/>
    <w:rsid w:val="00B20391"/>
    <w:rsid w:val="00B20F88"/>
    <w:rsid w:val="00B2181B"/>
    <w:rsid w:val="00B224F2"/>
    <w:rsid w:val="00B225B4"/>
    <w:rsid w:val="00B229B8"/>
    <w:rsid w:val="00B22EAC"/>
    <w:rsid w:val="00B2393B"/>
    <w:rsid w:val="00B23E17"/>
    <w:rsid w:val="00B242D3"/>
    <w:rsid w:val="00B243C9"/>
    <w:rsid w:val="00B252F7"/>
    <w:rsid w:val="00B253B2"/>
    <w:rsid w:val="00B2575A"/>
    <w:rsid w:val="00B2589E"/>
    <w:rsid w:val="00B258FD"/>
    <w:rsid w:val="00B25A52"/>
    <w:rsid w:val="00B25A54"/>
    <w:rsid w:val="00B25AB7"/>
    <w:rsid w:val="00B25BE4"/>
    <w:rsid w:val="00B25F1E"/>
    <w:rsid w:val="00B26195"/>
    <w:rsid w:val="00B2679D"/>
    <w:rsid w:val="00B26A47"/>
    <w:rsid w:val="00B26B08"/>
    <w:rsid w:val="00B26E4A"/>
    <w:rsid w:val="00B2796C"/>
    <w:rsid w:val="00B27A8A"/>
    <w:rsid w:val="00B27CE7"/>
    <w:rsid w:val="00B27DDA"/>
    <w:rsid w:val="00B27F56"/>
    <w:rsid w:val="00B313C2"/>
    <w:rsid w:val="00B318B9"/>
    <w:rsid w:val="00B319AA"/>
    <w:rsid w:val="00B31E81"/>
    <w:rsid w:val="00B32260"/>
    <w:rsid w:val="00B32C2E"/>
    <w:rsid w:val="00B334D2"/>
    <w:rsid w:val="00B340C0"/>
    <w:rsid w:val="00B3487C"/>
    <w:rsid w:val="00B34E45"/>
    <w:rsid w:val="00B3594F"/>
    <w:rsid w:val="00B35E8C"/>
    <w:rsid w:val="00B360C4"/>
    <w:rsid w:val="00B36254"/>
    <w:rsid w:val="00B36616"/>
    <w:rsid w:val="00B36D68"/>
    <w:rsid w:val="00B37090"/>
    <w:rsid w:val="00B371D1"/>
    <w:rsid w:val="00B3748D"/>
    <w:rsid w:val="00B377FE"/>
    <w:rsid w:val="00B378C7"/>
    <w:rsid w:val="00B37C3B"/>
    <w:rsid w:val="00B37E66"/>
    <w:rsid w:val="00B4002B"/>
    <w:rsid w:val="00B40338"/>
    <w:rsid w:val="00B40D56"/>
    <w:rsid w:val="00B40DC7"/>
    <w:rsid w:val="00B40E6B"/>
    <w:rsid w:val="00B411CF"/>
    <w:rsid w:val="00B41334"/>
    <w:rsid w:val="00B41377"/>
    <w:rsid w:val="00B41717"/>
    <w:rsid w:val="00B4181D"/>
    <w:rsid w:val="00B418FB"/>
    <w:rsid w:val="00B41C83"/>
    <w:rsid w:val="00B4229F"/>
    <w:rsid w:val="00B42851"/>
    <w:rsid w:val="00B428C3"/>
    <w:rsid w:val="00B429E3"/>
    <w:rsid w:val="00B42C20"/>
    <w:rsid w:val="00B42DBC"/>
    <w:rsid w:val="00B43C9D"/>
    <w:rsid w:val="00B43EB2"/>
    <w:rsid w:val="00B44003"/>
    <w:rsid w:val="00B4431F"/>
    <w:rsid w:val="00B44641"/>
    <w:rsid w:val="00B449C2"/>
    <w:rsid w:val="00B44D26"/>
    <w:rsid w:val="00B452B6"/>
    <w:rsid w:val="00B4544A"/>
    <w:rsid w:val="00B457D3"/>
    <w:rsid w:val="00B45ADF"/>
    <w:rsid w:val="00B45EAA"/>
    <w:rsid w:val="00B460F0"/>
    <w:rsid w:val="00B4616E"/>
    <w:rsid w:val="00B461A3"/>
    <w:rsid w:val="00B4632E"/>
    <w:rsid w:val="00B4636B"/>
    <w:rsid w:val="00B4669E"/>
    <w:rsid w:val="00B4674D"/>
    <w:rsid w:val="00B46B9E"/>
    <w:rsid w:val="00B46F4D"/>
    <w:rsid w:val="00B472F1"/>
    <w:rsid w:val="00B4746D"/>
    <w:rsid w:val="00B476B9"/>
    <w:rsid w:val="00B477E6"/>
    <w:rsid w:val="00B47FF0"/>
    <w:rsid w:val="00B505CF"/>
    <w:rsid w:val="00B50B10"/>
    <w:rsid w:val="00B50CE3"/>
    <w:rsid w:val="00B50DB8"/>
    <w:rsid w:val="00B50F1F"/>
    <w:rsid w:val="00B50F89"/>
    <w:rsid w:val="00B510EE"/>
    <w:rsid w:val="00B513D5"/>
    <w:rsid w:val="00B5198F"/>
    <w:rsid w:val="00B51C51"/>
    <w:rsid w:val="00B51DC6"/>
    <w:rsid w:val="00B52FDB"/>
    <w:rsid w:val="00B53641"/>
    <w:rsid w:val="00B53734"/>
    <w:rsid w:val="00B53905"/>
    <w:rsid w:val="00B53B64"/>
    <w:rsid w:val="00B54019"/>
    <w:rsid w:val="00B540CB"/>
    <w:rsid w:val="00B54B5B"/>
    <w:rsid w:val="00B54CEB"/>
    <w:rsid w:val="00B550AE"/>
    <w:rsid w:val="00B550D5"/>
    <w:rsid w:val="00B5523F"/>
    <w:rsid w:val="00B5562E"/>
    <w:rsid w:val="00B55D32"/>
    <w:rsid w:val="00B55E97"/>
    <w:rsid w:val="00B56261"/>
    <w:rsid w:val="00B56370"/>
    <w:rsid w:val="00B566A7"/>
    <w:rsid w:val="00B56A17"/>
    <w:rsid w:val="00B56C3A"/>
    <w:rsid w:val="00B56E16"/>
    <w:rsid w:val="00B57000"/>
    <w:rsid w:val="00B5731E"/>
    <w:rsid w:val="00B575A3"/>
    <w:rsid w:val="00B57912"/>
    <w:rsid w:val="00B6018A"/>
    <w:rsid w:val="00B604EF"/>
    <w:rsid w:val="00B60782"/>
    <w:rsid w:val="00B60939"/>
    <w:rsid w:val="00B60AFD"/>
    <w:rsid w:val="00B60B09"/>
    <w:rsid w:val="00B60D32"/>
    <w:rsid w:val="00B6108E"/>
    <w:rsid w:val="00B61A21"/>
    <w:rsid w:val="00B61D19"/>
    <w:rsid w:val="00B6215F"/>
    <w:rsid w:val="00B62715"/>
    <w:rsid w:val="00B632B4"/>
    <w:rsid w:val="00B632F3"/>
    <w:rsid w:val="00B63346"/>
    <w:rsid w:val="00B634B2"/>
    <w:rsid w:val="00B63804"/>
    <w:rsid w:val="00B63A45"/>
    <w:rsid w:val="00B63C00"/>
    <w:rsid w:val="00B64161"/>
    <w:rsid w:val="00B6432D"/>
    <w:rsid w:val="00B6456A"/>
    <w:rsid w:val="00B64A01"/>
    <w:rsid w:val="00B658C0"/>
    <w:rsid w:val="00B658EF"/>
    <w:rsid w:val="00B6647C"/>
    <w:rsid w:val="00B669DC"/>
    <w:rsid w:val="00B66B49"/>
    <w:rsid w:val="00B672B5"/>
    <w:rsid w:val="00B67518"/>
    <w:rsid w:val="00B67B10"/>
    <w:rsid w:val="00B70172"/>
    <w:rsid w:val="00B70288"/>
    <w:rsid w:val="00B7087F"/>
    <w:rsid w:val="00B708A7"/>
    <w:rsid w:val="00B708D0"/>
    <w:rsid w:val="00B70F1A"/>
    <w:rsid w:val="00B71503"/>
    <w:rsid w:val="00B71940"/>
    <w:rsid w:val="00B71A1D"/>
    <w:rsid w:val="00B71BAB"/>
    <w:rsid w:val="00B72400"/>
    <w:rsid w:val="00B724B2"/>
    <w:rsid w:val="00B726BB"/>
    <w:rsid w:val="00B72890"/>
    <w:rsid w:val="00B72975"/>
    <w:rsid w:val="00B72C10"/>
    <w:rsid w:val="00B7322D"/>
    <w:rsid w:val="00B7337F"/>
    <w:rsid w:val="00B73C10"/>
    <w:rsid w:val="00B73EA9"/>
    <w:rsid w:val="00B745DA"/>
    <w:rsid w:val="00B74D97"/>
    <w:rsid w:val="00B7539B"/>
    <w:rsid w:val="00B75632"/>
    <w:rsid w:val="00B7564C"/>
    <w:rsid w:val="00B75FAF"/>
    <w:rsid w:val="00B76AE2"/>
    <w:rsid w:val="00B76F40"/>
    <w:rsid w:val="00B7739E"/>
    <w:rsid w:val="00B774AD"/>
    <w:rsid w:val="00B77524"/>
    <w:rsid w:val="00B775CF"/>
    <w:rsid w:val="00B77C72"/>
    <w:rsid w:val="00B8018D"/>
    <w:rsid w:val="00B802B0"/>
    <w:rsid w:val="00B803E6"/>
    <w:rsid w:val="00B80507"/>
    <w:rsid w:val="00B806EB"/>
    <w:rsid w:val="00B80FCF"/>
    <w:rsid w:val="00B811E7"/>
    <w:rsid w:val="00B8173F"/>
    <w:rsid w:val="00B818A4"/>
    <w:rsid w:val="00B8194C"/>
    <w:rsid w:val="00B81BB0"/>
    <w:rsid w:val="00B82083"/>
    <w:rsid w:val="00B82B47"/>
    <w:rsid w:val="00B832B7"/>
    <w:rsid w:val="00B83356"/>
    <w:rsid w:val="00B847B3"/>
    <w:rsid w:val="00B84866"/>
    <w:rsid w:val="00B84964"/>
    <w:rsid w:val="00B84B4A"/>
    <w:rsid w:val="00B84D35"/>
    <w:rsid w:val="00B84E25"/>
    <w:rsid w:val="00B85A4D"/>
    <w:rsid w:val="00B85B93"/>
    <w:rsid w:val="00B85EF6"/>
    <w:rsid w:val="00B862EC"/>
    <w:rsid w:val="00B86449"/>
    <w:rsid w:val="00B8649C"/>
    <w:rsid w:val="00B86A7D"/>
    <w:rsid w:val="00B86C4B"/>
    <w:rsid w:val="00B86C95"/>
    <w:rsid w:val="00B86CE7"/>
    <w:rsid w:val="00B86DFA"/>
    <w:rsid w:val="00B86F30"/>
    <w:rsid w:val="00B871D8"/>
    <w:rsid w:val="00B87573"/>
    <w:rsid w:val="00B87862"/>
    <w:rsid w:val="00B904A3"/>
    <w:rsid w:val="00B909F1"/>
    <w:rsid w:val="00B9107C"/>
    <w:rsid w:val="00B91702"/>
    <w:rsid w:val="00B91799"/>
    <w:rsid w:val="00B921A7"/>
    <w:rsid w:val="00B9296D"/>
    <w:rsid w:val="00B92B19"/>
    <w:rsid w:val="00B92D0B"/>
    <w:rsid w:val="00B932ED"/>
    <w:rsid w:val="00B9443B"/>
    <w:rsid w:val="00B9447A"/>
    <w:rsid w:val="00B94763"/>
    <w:rsid w:val="00B9489C"/>
    <w:rsid w:val="00B94945"/>
    <w:rsid w:val="00B956B2"/>
    <w:rsid w:val="00B96AA4"/>
    <w:rsid w:val="00B96C75"/>
    <w:rsid w:val="00B972F3"/>
    <w:rsid w:val="00B974C7"/>
    <w:rsid w:val="00B97564"/>
    <w:rsid w:val="00B97581"/>
    <w:rsid w:val="00B975DC"/>
    <w:rsid w:val="00B975EC"/>
    <w:rsid w:val="00B97628"/>
    <w:rsid w:val="00B9787A"/>
    <w:rsid w:val="00B9796E"/>
    <w:rsid w:val="00B979AD"/>
    <w:rsid w:val="00B97A02"/>
    <w:rsid w:val="00B97F99"/>
    <w:rsid w:val="00B97FF8"/>
    <w:rsid w:val="00BA014F"/>
    <w:rsid w:val="00BA02A2"/>
    <w:rsid w:val="00BA03C6"/>
    <w:rsid w:val="00BA0D0C"/>
    <w:rsid w:val="00BA0D54"/>
    <w:rsid w:val="00BA0EFA"/>
    <w:rsid w:val="00BA0FCA"/>
    <w:rsid w:val="00BA115E"/>
    <w:rsid w:val="00BA164F"/>
    <w:rsid w:val="00BA1C09"/>
    <w:rsid w:val="00BA1E20"/>
    <w:rsid w:val="00BA2019"/>
    <w:rsid w:val="00BA20D5"/>
    <w:rsid w:val="00BA21D0"/>
    <w:rsid w:val="00BA25FF"/>
    <w:rsid w:val="00BA2E28"/>
    <w:rsid w:val="00BA2FC8"/>
    <w:rsid w:val="00BA3935"/>
    <w:rsid w:val="00BA41A5"/>
    <w:rsid w:val="00BA4403"/>
    <w:rsid w:val="00BA4568"/>
    <w:rsid w:val="00BA4A3A"/>
    <w:rsid w:val="00BA4A3B"/>
    <w:rsid w:val="00BA4D08"/>
    <w:rsid w:val="00BA4D53"/>
    <w:rsid w:val="00BA55AE"/>
    <w:rsid w:val="00BA5B2A"/>
    <w:rsid w:val="00BA5D52"/>
    <w:rsid w:val="00BA6051"/>
    <w:rsid w:val="00BA62E5"/>
    <w:rsid w:val="00BA67A0"/>
    <w:rsid w:val="00BA7456"/>
    <w:rsid w:val="00BA7BD9"/>
    <w:rsid w:val="00BA7FF0"/>
    <w:rsid w:val="00BB0962"/>
    <w:rsid w:val="00BB2352"/>
    <w:rsid w:val="00BB2592"/>
    <w:rsid w:val="00BB25C2"/>
    <w:rsid w:val="00BB2684"/>
    <w:rsid w:val="00BB2906"/>
    <w:rsid w:val="00BB302A"/>
    <w:rsid w:val="00BB3620"/>
    <w:rsid w:val="00BB3876"/>
    <w:rsid w:val="00BB3D38"/>
    <w:rsid w:val="00BB4567"/>
    <w:rsid w:val="00BB50FD"/>
    <w:rsid w:val="00BB5122"/>
    <w:rsid w:val="00BB516F"/>
    <w:rsid w:val="00BB53CF"/>
    <w:rsid w:val="00BB5767"/>
    <w:rsid w:val="00BB5DCD"/>
    <w:rsid w:val="00BB615B"/>
    <w:rsid w:val="00BB68AA"/>
    <w:rsid w:val="00BB6F6F"/>
    <w:rsid w:val="00BB6F76"/>
    <w:rsid w:val="00BB7405"/>
    <w:rsid w:val="00BB7436"/>
    <w:rsid w:val="00BB76E2"/>
    <w:rsid w:val="00BB76ED"/>
    <w:rsid w:val="00BB794C"/>
    <w:rsid w:val="00BB7995"/>
    <w:rsid w:val="00BB79EF"/>
    <w:rsid w:val="00BB7EC5"/>
    <w:rsid w:val="00BC01C7"/>
    <w:rsid w:val="00BC04B7"/>
    <w:rsid w:val="00BC082E"/>
    <w:rsid w:val="00BC0B4D"/>
    <w:rsid w:val="00BC185A"/>
    <w:rsid w:val="00BC1AE1"/>
    <w:rsid w:val="00BC2FD9"/>
    <w:rsid w:val="00BC3889"/>
    <w:rsid w:val="00BC3933"/>
    <w:rsid w:val="00BC3AAF"/>
    <w:rsid w:val="00BC3ADD"/>
    <w:rsid w:val="00BC3B49"/>
    <w:rsid w:val="00BC3D70"/>
    <w:rsid w:val="00BC4AC8"/>
    <w:rsid w:val="00BC526D"/>
    <w:rsid w:val="00BC5631"/>
    <w:rsid w:val="00BC609B"/>
    <w:rsid w:val="00BC6577"/>
    <w:rsid w:val="00BC6BCD"/>
    <w:rsid w:val="00BC6C4B"/>
    <w:rsid w:val="00BC7244"/>
    <w:rsid w:val="00BC7522"/>
    <w:rsid w:val="00BC7E56"/>
    <w:rsid w:val="00BD0135"/>
    <w:rsid w:val="00BD0CE3"/>
    <w:rsid w:val="00BD18A5"/>
    <w:rsid w:val="00BD1D6B"/>
    <w:rsid w:val="00BD25DD"/>
    <w:rsid w:val="00BD272B"/>
    <w:rsid w:val="00BD28C3"/>
    <w:rsid w:val="00BD2913"/>
    <w:rsid w:val="00BD2938"/>
    <w:rsid w:val="00BD2AEE"/>
    <w:rsid w:val="00BD3702"/>
    <w:rsid w:val="00BD3A62"/>
    <w:rsid w:val="00BD3B8D"/>
    <w:rsid w:val="00BD406E"/>
    <w:rsid w:val="00BD519D"/>
    <w:rsid w:val="00BD56A3"/>
    <w:rsid w:val="00BD58A5"/>
    <w:rsid w:val="00BD61FA"/>
    <w:rsid w:val="00BD6AF6"/>
    <w:rsid w:val="00BD6CF3"/>
    <w:rsid w:val="00BD6FE1"/>
    <w:rsid w:val="00BD7189"/>
    <w:rsid w:val="00BD7519"/>
    <w:rsid w:val="00BD78A7"/>
    <w:rsid w:val="00BE02A7"/>
    <w:rsid w:val="00BE06FA"/>
    <w:rsid w:val="00BE0E49"/>
    <w:rsid w:val="00BE1A33"/>
    <w:rsid w:val="00BE1B6E"/>
    <w:rsid w:val="00BE205C"/>
    <w:rsid w:val="00BE2180"/>
    <w:rsid w:val="00BE21F5"/>
    <w:rsid w:val="00BE243F"/>
    <w:rsid w:val="00BE2639"/>
    <w:rsid w:val="00BE2851"/>
    <w:rsid w:val="00BE3022"/>
    <w:rsid w:val="00BE34AD"/>
    <w:rsid w:val="00BE369B"/>
    <w:rsid w:val="00BE38C7"/>
    <w:rsid w:val="00BE4275"/>
    <w:rsid w:val="00BE45F5"/>
    <w:rsid w:val="00BE4DEE"/>
    <w:rsid w:val="00BE5211"/>
    <w:rsid w:val="00BE54E3"/>
    <w:rsid w:val="00BE584E"/>
    <w:rsid w:val="00BE58DF"/>
    <w:rsid w:val="00BE61E0"/>
    <w:rsid w:val="00BE6D2F"/>
    <w:rsid w:val="00BE71F5"/>
    <w:rsid w:val="00BE7304"/>
    <w:rsid w:val="00BE7509"/>
    <w:rsid w:val="00BE7857"/>
    <w:rsid w:val="00BE7AD5"/>
    <w:rsid w:val="00BE7DA1"/>
    <w:rsid w:val="00BF0690"/>
    <w:rsid w:val="00BF0BE3"/>
    <w:rsid w:val="00BF0E22"/>
    <w:rsid w:val="00BF1000"/>
    <w:rsid w:val="00BF1196"/>
    <w:rsid w:val="00BF161D"/>
    <w:rsid w:val="00BF1A82"/>
    <w:rsid w:val="00BF2264"/>
    <w:rsid w:val="00BF2349"/>
    <w:rsid w:val="00BF2433"/>
    <w:rsid w:val="00BF26A3"/>
    <w:rsid w:val="00BF286D"/>
    <w:rsid w:val="00BF29E5"/>
    <w:rsid w:val="00BF2E53"/>
    <w:rsid w:val="00BF2E67"/>
    <w:rsid w:val="00BF3207"/>
    <w:rsid w:val="00BF3921"/>
    <w:rsid w:val="00BF3AC5"/>
    <w:rsid w:val="00BF4430"/>
    <w:rsid w:val="00BF46DF"/>
    <w:rsid w:val="00BF487D"/>
    <w:rsid w:val="00BF4B9C"/>
    <w:rsid w:val="00BF5175"/>
    <w:rsid w:val="00BF5271"/>
    <w:rsid w:val="00BF5482"/>
    <w:rsid w:val="00BF5700"/>
    <w:rsid w:val="00BF5A4E"/>
    <w:rsid w:val="00BF5E4E"/>
    <w:rsid w:val="00BF61C9"/>
    <w:rsid w:val="00BF6F48"/>
    <w:rsid w:val="00BF757A"/>
    <w:rsid w:val="00BF7581"/>
    <w:rsid w:val="00BF79D4"/>
    <w:rsid w:val="00BF7A87"/>
    <w:rsid w:val="00BF7CCA"/>
    <w:rsid w:val="00C0004D"/>
    <w:rsid w:val="00C00669"/>
    <w:rsid w:val="00C00E52"/>
    <w:rsid w:val="00C0129A"/>
    <w:rsid w:val="00C0151C"/>
    <w:rsid w:val="00C01CC1"/>
    <w:rsid w:val="00C01F9F"/>
    <w:rsid w:val="00C02016"/>
    <w:rsid w:val="00C02C21"/>
    <w:rsid w:val="00C02DBA"/>
    <w:rsid w:val="00C02EDD"/>
    <w:rsid w:val="00C02F43"/>
    <w:rsid w:val="00C036A3"/>
    <w:rsid w:val="00C03AC8"/>
    <w:rsid w:val="00C03C89"/>
    <w:rsid w:val="00C04414"/>
    <w:rsid w:val="00C04888"/>
    <w:rsid w:val="00C04E34"/>
    <w:rsid w:val="00C0503B"/>
    <w:rsid w:val="00C051A2"/>
    <w:rsid w:val="00C05477"/>
    <w:rsid w:val="00C05D42"/>
    <w:rsid w:val="00C061E6"/>
    <w:rsid w:val="00C0691F"/>
    <w:rsid w:val="00C06F4B"/>
    <w:rsid w:val="00C0757B"/>
    <w:rsid w:val="00C07F37"/>
    <w:rsid w:val="00C07FA8"/>
    <w:rsid w:val="00C10099"/>
    <w:rsid w:val="00C10255"/>
    <w:rsid w:val="00C102C1"/>
    <w:rsid w:val="00C10424"/>
    <w:rsid w:val="00C10524"/>
    <w:rsid w:val="00C105EE"/>
    <w:rsid w:val="00C1068B"/>
    <w:rsid w:val="00C10964"/>
    <w:rsid w:val="00C11A21"/>
    <w:rsid w:val="00C12074"/>
    <w:rsid w:val="00C12963"/>
    <w:rsid w:val="00C13189"/>
    <w:rsid w:val="00C139D4"/>
    <w:rsid w:val="00C13A23"/>
    <w:rsid w:val="00C13C95"/>
    <w:rsid w:val="00C13DDC"/>
    <w:rsid w:val="00C14173"/>
    <w:rsid w:val="00C142DA"/>
    <w:rsid w:val="00C14D38"/>
    <w:rsid w:val="00C14F0E"/>
    <w:rsid w:val="00C154CA"/>
    <w:rsid w:val="00C155C3"/>
    <w:rsid w:val="00C15772"/>
    <w:rsid w:val="00C15ADA"/>
    <w:rsid w:val="00C15B53"/>
    <w:rsid w:val="00C15CB8"/>
    <w:rsid w:val="00C160F5"/>
    <w:rsid w:val="00C16441"/>
    <w:rsid w:val="00C16703"/>
    <w:rsid w:val="00C16A0E"/>
    <w:rsid w:val="00C16BE6"/>
    <w:rsid w:val="00C16CF5"/>
    <w:rsid w:val="00C17162"/>
    <w:rsid w:val="00C17281"/>
    <w:rsid w:val="00C175EA"/>
    <w:rsid w:val="00C17763"/>
    <w:rsid w:val="00C17B7E"/>
    <w:rsid w:val="00C17D54"/>
    <w:rsid w:val="00C20271"/>
    <w:rsid w:val="00C2095E"/>
    <w:rsid w:val="00C20C12"/>
    <w:rsid w:val="00C215D6"/>
    <w:rsid w:val="00C21A99"/>
    <w:rsid w:val="00C224B6"/>
    <w:rsid w:val="00C2258B"/>
    <w:rsid w:val="00C22AA2"/>
    <w:rsid w:val="00C230D7"/>
    <w:rsid w:val="00C2386F"/>
    <w:rsid w:val="00C23F6B"/>
    <w:rsid w:val="00C2467F"/>
    <w:rsid w:val="00C24816"/>
    <w:rsid w:val="00C2506F"/>
    <w:rsid w:val="00C252EC"/>
    <w:rsid w:val="00C25418"/>
    <w:rsid w:val="00C25509"/>
    <w:rsid w:val="00C25B4D"/>
    <w:rsid w:val="00C25C3F"/>
    <w:rsid w:val="00C25D9C"/>
    <w:rsid w:val="00C26018"/>
    <w:rsid w:val="00C2601A"/>
    <w:rsid w:val="00C267F5"/>
    <w:rsid w:val="00C26ADB"/>
    <w:rsid w:val="00C26CB0"/>
    <w:rsid w:val="00C26D59"/>
    <w:rsid w:val="00C26F06"/>
    <w:rsid w:val="00C27632"/>
    <w:rsid w:val="00C276E7"/>
    <w:rsid w:val="00C27BED"/>
    <w:rsid w:val="00C27BF5"/>
    <w:rsid w:val="00C27C6D"/>
    <w:rsid w:val="00C3011B"/>
    <w:rsid w:val="00C30ACC"/>
    <w:rsid w:val="00C30D40"/>
    <w:rsid w:val="00C3109B"/>
    <w:rsid w:val="00C31291"/>
    <w:rsid w:val="00C31649"/>
    <w:rsid w:val="00C3173A"/>
    <w:rsid w:val="00C318FD"/>
    <w:rsid w:val="00C3190E"/>
    <w:rsid w:val="00C31A86"/>
    <w:rsid w:val="00C31AD8"/>
    <w:rsid w:val="00C321D4"/>
    <w:rsid w:val="00C324C1"/>
    <w:rsid w:val="00C33617"/>
    <w:rsid w:val="00C33761"/>
    <w:rsid w:val="00C33F17"/>
    <w:rsid w:val="00C34233"/>
    <w:rsid w:val="00C344AA"/>
    <w:rsid w:val="00C351CA"/>
    <w:rsid w:val="00C353E6"/>
    <w:rsid w:val="00C356B3"/>
    <w:rsid w:val="00C358E4"/>
    <w:rsid w:val="00C35925"/>
    <w:rsid w:val="00C35A13"/>
    <w:rsid w:val="00C3627B"/>
    <w:rsid w:val="00C3644A"/>
    <w:rsid w:val="00C366A2"/>
    <w:rsid w:val="00C36C9A"/>
    <w:rsid w:val="00C36FBA"/>
    <w:rsid w:val="00C3731C"/>
    <w:rsid w:val="00C379F2"/>
    <w:rsid w:val="00C37DB2"/>
    <w:rsid w:val="00C37EB7"/>
    <w:rsid w:val="00C40053"/>
    <w:rsid w:val="00C40190"/>
    <w:rsid w:val="00C40385"/>
    <w:rsid w:val="00C40B0D"/>
    <w:rsid w:val="00C41270"/>
    <w:rsid w:val="00C412C4"/>
    <w:rsid w:val="00C41641"/>
    <w:rsid w:val="00C4178F"/>
    <w:rsid w:val="00C4194A"/>
    <w:rsid w:val="00C41A26"/>
    <w:rsid w:val="00C41C40"/>
    <w:rsid w:val="00C42055"/>
    <w:rsid w:val="00C425F5"/>
    <w:rsid w:val="00C42821"/>
    <w:rsid w:val="00C42D17"/>
    <w:rsid w:val="00C42F54"/>
    <w:rsid w:val="00C42FBA"/>
    <w:rsid w:val="00C439D3"/>
    <w:rsid w:val="00C43BBB"/>
    <w:rsid w:val="00C43C6F"/>
    <w:rsid w:val="00C442C8"/>
    <w:rsid w:val="00C44316"/>
    <w:rsid w:val="00C44876"/>
    <w:rsid w:val="00C44EA9"/>
    <w:rsid w:val="00C44F39"/>
    <w:rsid w:val="00C4512D"/>
    <w:rsid w:val="00C45DD3"/>
    <w:rsid w:val="00C46780"/>
    <w:rsid w:val="00C4684B"/>
    <w:rsid w:val="00C46A10"/>
    <w:rsid w:val="00C46DF8"/>
    <w:rsid w:val="00C50012"/>
    <w:rsid w:val="00C502A0"/>
    <w:rsid w:val="00C50ACF"/>
    <w:rsid w:val="00C51AE5"/>
    <w:rsid w:val="00C51E5A"/>
    <w:rsid w:val="00C522C7"/>
    <w:rsid w:val="00C524E9"/>
    <w:rsid w:val="00C53340"/>
    <w:rsid w:val="00C53670"/>
    <w:rsid w:val="00C53B8C"/>
    <w:rsid w:val="00C54441"/>
    <w:rsid w:val="00C54874"/>
    <w:rsid w:val="00C55041"/>
    <w:rsid w:val="00C5515C"/>
    <w:rsid w:val="00C5577D"/>
    <w:rsid w:val="00C55C02"/>
    <w:rsid w:val="00C56432"/>
    <w:rsid w:val="00C56CC6"/>
    <w:rsid w:val="00C5712B"/>
    <w:rsid w:val="00C5768C"/>
    <w:rsid w:val="00C57C20"/>
    <w:rsid w:val="00C57C9E"/>
    <w:rsid w:val="00C57FD1"/>
    <w:rsid w:val="00C60249"/>
    <w:rsid w:val="00C609B6"/>
    <w:rsid w:val="00C60A4A"/>
    <w:rsid w:val="00C60AE9"/>
    <w:rsid w:val="00C60DEC"/>
    <w:rsid w:val="00C60DFA"/>
    <w:rsid w:val="00C60F13"/>
    <w:rsid w:val="00C611DD"/>
    <w:rsid w:val="00C612AF"/>
    <w:rsid w:val="00C61B6E"/>
    <w:rsid w:val="00C61BA1"/>
    <w:rsid w:val="00C620A8"/>
    <w:rsid w:val="00C622EA"/>
    <w:rsid w:val="00C62467"/>
    <w:rsid w:val="00C62770"/>
    <w:rsid w:val="00C628C6"/>
    <w:rsid w:val="00C62ACE"/>
    <w:rsid w:val="00C62BC2"/>
    <w:rsid w:val="00C62BCE"/>
    <w:rsid w:val="00C62D05"/>
    <w:rsid w:val="00C6375D"/>
    <w:rsid w:val="00C6436A"/>
    <w:rsid w:val="00C6436D"/>
    <w:rsid w:val="00C64A88"/>
    <w:rsid w:val="00C65576"/>
    <w:rsid w:val="00C6561C"/>
    <w:rsid w:val="00C6575C"/>
    <w:rsid w:val="00C66165"/>
    <w:rsid w:val="00C6633C"/>
    <w:rsid w:val="00C6643A"/>
    <w:rsid w:val="00C6650D"/>
    <w:rsid w:val="00C666FA"/>
    <w:rsid w:val="00C66900"/>
    <w:rsid w:val="00C66A7B"/>
    <w:rsid w:val="00C67172"/>
    <w:rsid w:val="00C67185"/>
    <w:rsid w:val="00C674D8"/>
    <w:rsid w:val="00C679CA"/>
    <w:rsid w:val="00C67A35"/>
    <w:rsid w:val="00C67BCC"/>
    <w:rsid w:val="00C67F0D"/>
    <w:rsid w:val="00C67F9E"/>
    <w:rsid w:val="00C70B7C"/>
    <w:rsid w:val="00C70DDC"/>
    <w:rsid w:val="00C70EA2"/>
    <w:rsid w:val="00C71B16"/>
    <w:rsid w:val="00C71B3C"/>
    <w:rsid w:val="00C71F02"/>
    <w:rsid w:val="00C72202"/>
    <w:rsid w:val="00C7247C"/>
    <w:rsid w:val="00C733F0"/>
    <w:rsid w:val="00C737E2"/>
    <w:rsid w:val="00C73F21"/>
    <w:rsid w:val="00C740AC"/>
    <w:rsid w:val="00C741AD"/>
    <w:rsid w:val="00C741CC"/>
    <w:rsid w:val="00C74523"/>
    <w:rsid w:val="00C7463B"/>
    <w:rsid w:val="00C749B0"/>
    <w:rsid w:val="00C750C8"/>
    <w:rsid w:val="00C75E88"/>
    <w:rsid w:val="00C761A5"/>
    <w:rsid w:val="00C7623B"/>
    <w:rsid w:val="00C7634A"/>
    <w:rsid w:val="00C764A7"/>
    <w:rsid w:val="00C76511"/>
    <w:rsid w:val="00C7676A"/>
    <w:rsid w:val="00C767C2"/>
    <w:rsid w:val="00C769F6"/>
    <w:rsid w:val="00C76E69"/>
    <w:rsid w:val="00C76FCD"/>
    <w:rsid w:val="00C7717A"/>
    <w:rsid w:val="00C77B0F"/>
    <w:rsid w:val="00C77C01"/>
    <w:rsid w:val="00C80019"/>
    <w:rsid w:val="00C8060B"/>
    <w:rsid w:val="00C80617"/>
    <w:rsid w:val="00C807EC"/>
    <w:rsid w:val="00C81008"/>
    <w:rsid w:val="00C81203"/>
    <w:rsid w:val="00C819E2"/>
    <w:rsid w:val="00C820AF"/>
    <w:rsid w:val="00C8213F"/>
    <w:rsid w:val="00C83072"/>
    <w:rsid w:val="00C8366B"/>
    <w:rsid w:val="00C83D24"/>
    <w:rsid w:val="00C8430E"/>
    <w:rsid w:val="00C848FD"/>
    <w:rsid w:val="00C84C2B"/>
    <w:rsid w:val="00C850C3"/>
    <w:rsid w:val="00C8531B"/>
    <w:rsid w:val="00C85C13"/>
    <w:rsid w:val="00C8615A"/>
    <w:rsid w:val="00C86188"/>
    <w:rsid w:val="00C86627"/>
    <w:rsid w:val="00C86664"/>
    <w:rsid w:val="00C869BB"/>
    <w:rsid w:val="00C86C3A"/>
    <w:rsid w:val="00C8797A"/>
    <w:rsid w:val="00C90A8C"/>
    <w:rsid w:val="00C90B19"/>
    <w:rsid w:val="00C90CCE"/>
    <w:rsid w:val="00C90D4D"/>
    <w:rsid w:val="00C90EF7"/>
    <w:rsid w:val="00C9105E"/>
    <w:rsid w:val="00C912D4"/>
    <w:rsid w:val="00C913F8"/>
    <w:rsid w:val="00C9189E"/>
    <w:rsid w:val="00C91AB7"/>
    <w:rsid w:val="00C91D48"/>
    <w:rsid w:val="00C91E6E"/>
    <w:rsid w:val="00C922C3"/>
    <w:rsid w:val="00C92C25"/>
    <w:rsid w:val="00C92FED"/>
    <w:rsid w:val="00C932B1"/>
    <w:rsid w:val="00C9336F"/>
    <w:rsid w:val="00C93752"/>
    <w:rsid w:val="00C93866"/>
    <w:rsid w:val="00C938CF"/>
    <w:rsid w:val="00C93937"/>
    <w:rsid w:val="00C93EF0"/>
    <w:rsid w:val="00C941A4"/>
    <w:rsid w:val="00C9496F"/>
    <w:rsid w:val="00C94CA7"/>
    <w:rsid w:val="00C9541C"/>
    <w:rsid w:val="00C957A3"/>
    <w:rsid w:val="00C95C8B"/>
    <w:rsid w:val="00C95D68"/>
    <w:rsid w:val="00C961B0"/>
    <w:rsid w:val="00C965F7"/>
    <w:rsid w:val="00C96FAF"/>
    <w:rsid w:val="00C970AE"/>
    <w:rsid w:val="00C97845"/>
    <w:rsid w:val="00C97A7A"/>
    <w:rsid w:val="00C97AD1"/>
    <w:rsid w:val="00C97D48"/>
    <w:rsid w:val="00C97DCF"/>
    <w:rsid w:val="00CA003E"/>
    <w:rsid w:val="00CA0241"/>
    <w:rsid w:val="00CA0323"/>
    <w:rsid w:val="00CA0A37"/>
    <w:rsid w:val="00CA0D73"/>
    <w:rsid w:val="00CA0ED2"/>
    <w:rsid w:val="00CA1130"/>
    <w:rsid w:val="00CA14C5"/>
    <w:rsid w:val="00CA1747"/>
    <w:rsid w:val="00CA1B7C"/>
    <w:rsid w:val="00CA1F33"/>
    <w:rsid w:val="00CA277C"/>
    <w:rsid w:val="00CA27C0"/>
    <w:rsid w:val="00CA2C56"/>
    <w:rsid w:val="00CA2D44"/>
    <w:rsid w:val="00CA3BC5"/>
    <w:rsid w:val="00CA45FE"/>
    <w:rsid w:val="00CA4828"/>
    <w:rsid w:val="00CA4B66"/>
    <w:rsid w:val="00CA4D4E"/>
    <w:rsid w:val="00CA518C"/>
    <w:rsid w:val="00CA51E8"/>
    <w:rsid w:val="00CA5245"/>
    <w:rsid w:val="00CA5956"/>
    <w:rsid w:val="00CA5BA3"/>
    <w:rsid w:val="00CA5CD9"/>
    <w:rsid w:val="00CA5F97"/>
    <w:rsid w:val="00CA6059"/>
    <w:rsid w:val="00CA60E8"/>
    <w:rsid w:val="00CA7220"/>
    <w:rsid w:val="00CA7AD4"/>
    <w:rsid w:val="00CA7B09"/>
    <w:rsid w:val="00CA7F1D"/>
    <w:rsid w:val="00CB0133"/>
    <w:rsid w:val="00CB017C"/>
    <w:rsid w:val="00CB01B2"/>
    <w:rsid w:val="00CB07DE"/>
    <w:rsid w:val="00CB14B6"/>
    <w:rsid w:val="00CB168F"/>
    <w:rsid w:val="00CB1D9F"/>
    <w:rsid w:val="00CB203E"/>
    <w:rsid w:val="00CB2111"/>
    <w:rsid w:val="00CB299A"/>
    <w:rsid w:val="00CB2CAE"/>
    <w:rsid w:val="00CB2DC2"/>
    <w:rsid w:val="00CB2E2C"/>
    <w:rsid w:val="00CB2EDC"/>
    <w:rsid w:val="00CB3E89"/>
    <w:rsid w:val="00CB43B0"/>
    <w:rsid w:val="00CB4ACA"/>
    <w:rsid w:val="00CB4C93"/>
    <w:rsid w:val="00CB4F89"/>
    <w:rsid w:val="00CB5958"/>
    <w:rsid w:val="00CB59EF"/>
    <w:rsid w:val="00CB5B1A"/>
    <w:rsid w:val="00CB5EA7"/>
    <w:rsid w:val="00CB6A8A"/>
    <w:rsid w:val="00CB75DC"/>
    <w:rsid w:val="00CC0112"/>
    <w:rsid w:val="00CC04C8"/>
    <w:rsid w:val="00CC0731"/>
    <w:rsid w:val="00CC0D3B"/>
    <w:rsid w:val="00CC16D3"/>
    <w:rsid w:val="00CC175B"/>
    <w:rsid w:val="00CC1B71"/>
    <w:rsid w:val="00CC1CC2"/>
    <w:rsid w:val="00CC1E97"/>
    <w:rsid w:val="00CC227E"/>
    <w:rsid w:val="00CC2CD4"/>
    <w:rsid w:val="00CC2E26"/>
    <w:rsid w:val="00CC329C"/>
    <w:rsid w:val="00CC37CA"/>
    <w:rsid w:val="00CC4068"/>
    <w:rsid w:val="00CC414B"/>
    <w:rsid w:val="00CC4658"/>
    <w:rsid w:val="00CC4782"/>
    <w:rsid w:val="00CC499A"/>
    <w:rsid w:val="00CC49DF"/>
    <w:rsid w:val="00CC4D8B"/>
    <w:rsid w:val="00CC5265"/>
    <w:rsid w:val="00CC55E1"/>
    <w:rsid w:val="00CC55E6"/>
    <w:rsid w:val="00CC5833"/>
    <w:rsid w:val="00CC59A2"/>
    <w:rsid w:val="00CC5A66"/>
    <w:rsid w:val="00CC5D2C"/>
    <w:rsid w:val="00CC6000"/>
    <w:rsid w:val="00CC63B8"/>
    <w:rsid w:val="00CC6B62"/>
    <w:rsid w:val="00CC7397"/>
    <w:rsid w:val="00CC740F"/>
    <w:rsid w:val="00CC7852"/>
    <w:rsid w:val="00CC792B"/>
    <w:rsid w:val="00CC7F91"/>
    <w:rsid w:val="00CD011A"/>
    <w:rsid w:val="00CD0632"/>
    <w:rsid w:val="00CD0ED6"/>
    <w:rsid w:val="00CD1540"/>
    <w:rsid w:val="00CD1751"/>
    <w:rsid w:val="00CD1816"/>
    <w:rsid w:val="00CD198B"/>
    <w:rsid w:val="00CD19B4"/>
    <w:rsid w:val="00CD1B74"/>
    <w:rsid w:val="00CD1BD2"/>
    <w:rsid w:val="00CD1C10"/>
    <w:rsid w:val="00CD1D80"/>
    <w:rsid w:val="00CD1F20"/>
    <w:rsid w:val="00CD1F8A"/>
    <w:rsid w:val="00CD2554"/>
    <w:rsid w:val="00CD25C9"/>
    <w:rsid w:val="00CD25CC"/>
    <w:rsid w:val="00CD30A1"/>
    <w:rsid w:val="00CD3870"/>
    <w:rsid w:val="00CD3990"/>
    <w:rsid w:val="00CD3B72"/>
    <w:rsid w:val="00CD3F7D"/>
    <w:rsid w:val="00CD41D5"/>
    <w:rsid w:val="00CD434F"/>
    <w:rsid w:val="00CD5502"/>
    <w:rsid w:val="00CD5A23"/>
    <w:rsid w:val="00CD60F3"/>
    <w:rsid w:val="00CD67CE"/>
    <w:rsid w:val="00CD69E6"/>
    <w:rsid w:val="00CD6ADC"/>
    <w:rsid w:val="00CD6B5A"/>
    <w:rsid w:val="00CD6B9B"/>
    <w:rsid w:val="00CD6CE6"/>
    <w:rsid w:val="00CD71F1"/>
    <w:rsid w:val="00CD74EF"/>
    <w:rsid w:val="00CE04CA"/>
    <w:rsid w:val="00CE04ED"/>
    <w:rsid w:val="00CE0559"/>
    <w:rsid w:val="00CE12CF"/>
    <w:rsid w:val="00CE1350"/>
    <w:rsid w:val="00CE15A6"/>
    <w:rsid w:val="00CE20A5"/>
    <w:rsid w:val="00CE20D9"/>
    <w:rsid w:val="00CE2196"/>
    <w:rsid w:val="00CE22E2"/>
    <w:rsid w:val="00CE2BF4"/>
    <w:rsid w:val="00CE2DA7"/>
    <w:rsid w:val="00CE307F"/>
    <w:rsid w:val="00CE30C3"/>
    <w:rsid w:val="00CE3503"/>
    <w:rsid w:val="00CE39AC"/>
    <w:rsid w:val="00CE3DE6"/>
    <w:rsid w:val="00CE4077"/>
    <w:rsid w:val="00CE48FA"/>
    <w:rsid w:val="00CE4BBB"/>
    <w:rsid w:val="00CE5864"/>
    <w:rsid w:val="00CE5D75"/>
    <w:rsid w:val="00CE5E4F"/>
    <w:rsid w:val="00CE5F09"/>
    <w:rsid w:val="00CE6046"/>
    <w:rsid w:val="00CE6274"/>
    <w:rsid w:val="00CE63F7"/>
    <w:rsid w:val="00CE656F"/>
    <w:rsid w:val="00CE657B"/>
    <w:rsid w:val="00CE6601"/>
    <w:rsid w:val="00CE6BCB"/>
    <w:rsid w:val="00CE71A8"/>
    <w:rsid w:val="00CE731C"/>
    <w:rsid w:val="00CE7510"/>
    <w:rsid w:val="00CE763A"/>
    <w:rsid w:val="00CE7810"/>
    <w:rsid w:val="00CF033F"/>
    <w:rsid w:val="00CF0559"/>
    <w:rsid w:val="00CF0869"/>
    <w:rsid w:val="00CF08A3"/>
    <w:rsid w:val="00CF0A67"/>
    <w:rsid w:val="00CF0CBB"/>
    <w:rsid w:val="00CF0FA5"/>
    <w:rsid w:val="00CF12AA"/>
    <w:rsid w:val="00CF15D6"/>
    <w:rsid w:val="00CF168B"/>
    <w:rsid w:val="00CF1DF7"/>
    <w:rsid w:val="00CF1E10"/>
    <w:rsid w:val="00CF23AA"/>
    <w:rsid w:val="00CF246C"/>
    <w:rsid w:val="00CF24C7"/>
    <w:rsid w:val="00CF25A0"/>
    <w:rsid w:val="00CF2AA3"/>
    <w:rsid w:val="00CF2CD6"/>
    <w:rsid w:val="00CF305C"/>
    <w:rsid w:val="00CF31E7"/>
    <w:rsid w:val="00CF38AF"/>
    <w:rsid w:val="00CF3D48"/>
    <w:rsid w:val="00CF3D70"/>
    <w:rsid w:val="00CF44F2"/>
    <w:rsid w:val="00CF456B"/>
    <w:rsid w:val="00CF4B2E"/>
    <w:rsid w:val="00CF4D46"/>
    <w:rsid w:val="00CF4FB8"/>
    <w:rsid w:val="00CF5465"/>
    <w:rsid w:val="00CF57E5"/>
    <w:rsid w:val="00CF5A0B"/>
    <w:rsid w:val="00CF5A22"/>
    <w:rsid w:val="00CF5BD3"/>
    <w:rsid w:val="00CF5C9D"/>
    <w:rsid w:val="00CF5D66"/>
    <w:rsid w:val="00CF61B5"/>
    <w:rsid w:val="00CF6F3F"/>
    <w:rsid w:val="00CF78AC"/>
    <w:rsid w:val="00CF7BAF"/>
    <w:rsid w:val="00CF7ECC"/>
    <w:rsid w:val="00D00605"/>
    <w:rsid w:val="00D00B57"/>
    <w:rsid w:val="00D00B9B"/>
    <w:rsid w:val="00D0180D"/>
    <w:rsid w:val="00D01C65"/>
    <w:rsid w:val="00D01CC5"/>
    <w:rsid w:val="00D01EC1"/>
    <w:rsid w:val="00D0205B"/>
    <w:rsid w:val="00D02264"/>
    <w:rsid w:val="00D02277"/>
    <w:rsid w:val="00D0262E"/>
    <w:rsid w:val="00D0266B"/>
    <w:rsid w:val="00D02BDC"/>
    <w:rsid w:val="00D02C45"/>
    <w:rsid w:val="00D02EAA"/>
    <w:rsid w:val="00D02F22"/>
    <w:rsid w:val="00D03D8E"/>
    <w:rsid w:val="00D04272"/>
    <w:rsid w:val="00D04385"/>
    <w:rsid w:val="00D04686"/>
    <w:rsid w:val="00D04924"/>
    <w:rsid w:val="00D04951"/>
    <w:rsid w:val="00D04A86"/>
    <w:rsid w:val="00D0511B"/>
    <w:rsid w:val="00D059E1"/>
    <w:rsid w:val="00D05B08"/>
    <w:rsid w:val="00D06817"/>
    <w:rsid w:val="00D070FD"/>
    <w:rsid w:val="00D07328"/>
    <w:rsid w:val="00D07883"/>
    <w:rsid w:val="00D07A70"/>
    <w:rsid w:val="00D07C79"/>
    <w:rsid w:val="00D07E5D"/>
    <w:rsid w:val="00D07EC0"/>
    <w:rsid w:val="00D1064F"/>
    <w:rsid w:val="00D10A39"/>
    <w:rsid w:val="00D10AB1"/>
    <w:rsid w:val="00D110BD"/>
    <w:rsid w:val="00D11A30"/>
    <w:rsid w:val="00D11A87"/>
    <w:rsid w:val="00D121FF"/>
    <w:rsid w:val="00D123CB"/>
    <w:rsid w:val="00D12609"/>
    <w:rsid w:val="00D1271C"/>
    <w:rsid w:val="00D129FE"/>
    <w:rsid w:val="00D12D1B"/>
    <w:rsid w:val="00D12F89"/>
    <w:rsid w:val="00D13704"/>
    <w:rsid w:val="00D137B5"/>
    <w:rsid w:val="00D13BDA"/>
    <w:rsid w:val="00D13D5C"/>
    <w:rsid w:val="00D148FF"/>
    <w:rsid w:val="00D149C5"/>
    <w:rsid w:val="00D14C72"/>
    <w:rsid w:val="00D14C85"/>
    <w:rsid w:val="00D14DB2"/>
    <w:rsid w:val="00D14DFA"/>
    <w:rsid w:val="00D1521F"/>
    <w:rsid w:val="00D15780"/>
    <w:rsid w:val="00D15B1B"/>
    <w:rsid w:val="00D15CE5"/>
    <w:rsid w:val="00D15D64"/>
    <w:rsid w:val="00D16586"/>
    <w:rsid w:val="00D16856"/>
    <w:rsid w:val="00D169F3"/>
    <w:rsid w:val="00D16C31"/>
    <w:rsid w:val="00D17249"/>
    <w:rsid w:val="00D17352"/>
    <w:rsid w:val="00D174C4"/>
    <w:rsid w:val="00D176F4"/>
    <w:rsid w:val="00D17A65"/>
    <w:rsid w:val="00D17ADB"/>
    <w:rsid w:val="00D17CAE"/>
    <w:rsid w:val="00D17D6C"/>
    <w:rsid w:val="00D2046E"/>
    <w:rsid w:val="00D20C23"/>
    <w:rsid w:val="00D20CCA"/>
    <w:rsid w:val="00D20EA7"/>
    <w:rsid w:val="00D2105B"/>
    <w:rsid w:val="00D21069"/>
    <w:rsid w:val="00D21623"/>
    <w:rsid w:val="00D216DF"/>
    <w:rsid w:val="00D21942"/>
    <w:rsid w:val="00D21DDC"/>
    <w:rsid w:val="00D21E63"/>
    <w:rsid w:val="00D22430"/>
    <w:rsid w:val="00D22631"/>
    <w:rsid w:val="00D228BB"/>
    <w:rsid w:val="00D22E0D"/>
    <w:rsid w:val="00D22F17"/>
    <w:rsid w:val="00D22FEF"/>
    <w:rsid w:val="00D23560"/>
    <w:rsid w:val="00D23971"/>
    <w:rsid w:val="00D23B02"/>
    <w:rsid w:val="00D24440"/>
    <w:rsid w:val="00D24A3E"/>
    <w:rsid w:val="00D24F85"/>
    <w:rsid w:val="00D26A17"/>
    <w:rsid w:val="00D26DA0"/>
    <w:rsid w:val="00D26E7F"/>
    <w:rsid w:val="00D2737A"/>
    <w:rsid w:val="00D27CA9"/>
    <w:rsid w:val="00D27EF7"/>
    <w:rsid w:val="00D27FA7"/>
    <w:rsid w:val="00D30054"/>
    <w:rsid w:val="00D30959"/>
    <w:rsid w:val="00D312A4"/>
    <w:rsid w:val="00D31D57"/>
    <w:rsid w:val="00D3228D"/>
    <w:rsid w:val="00D3234C"/>
    <w:rsid w:val="00D324FE"/>
    <w:rsid w:val="00D3252E"/>
    <w:rsid w:val="00D327FB"/>
    <w:rsid w:val="00D32C21"/>
    <w:rsid w:val="00D32C8E"/>
    <w:rsid w:val="00D3352A"/>
    <w:rsid w:val="00D33CFE"/>
    <w:rsid w:val="00D33D8A"/>
    <w:rsid w:val="00D33F8B"/>
    <w:rsid w:val="00D343EA"/>
    <w:rsid w:val="00D34AFA"/>
    <w:rsid w:val="00D34CBE"/>
    <w:rsid w:val="00D357FF"/>
    <w:rsid w:val="00D36793"/>
    <w:rsid w:val="00D3697A"/>
    <w:rsid w:val="00D36A6E"/>
    <w:rsid w:val="00D37854"/>
    <w:rsid w:val="00D37A7E"/>
    <w:rsid w:val="00D40015"/>
    <w:rsid w:val="00D402AA"/>
    <w:rsid w:val="00D40686"/>
    <w:rsid w:val="00D40716"/>
    <w:rsid w:val="00D4097E"/>
    <w:rsid w:val="00D40C01"/>
    <w:rsid w:val="00D40D0A"/>
    <w:rsid w:val="00D40EDE"/>
    <w:rsid w:val="00D4122F"/>
    <w:rsid w:val="00D414B5"/>
    <w:rsid w:val="00D416F2"/>
    <w:rsid w:val="00D41B61"/>
    <w:rsid w:val="00D42080"/>
    <w:rsid w:val="00D4271A"/>
    <w:rsid w:val="00D42804"/>
    <w:rsid w:val="00D42FE9"/>
    <w:rsid w:val="00D430C6"/>
    <w:rsid w:val="00D43DEE"/>
    <w:rsid w:val="00D43E40"/>
    <w:rsid w:val="00D43F03"/>
    <w:rsid w:val="00D442C0"/>
    <w:rsid w:val="00D44810"/>
    <w:rsid w:val="00D44D73"/>
    <w:rsid w:val="00D44F2F"/>
    <w:rsid w:val="00D4552A"/>
    <w:rsid w:val="00D4558D"/>
    <w:rsid w:val="00D4592D"/>
    <w:rsid w:val="00D45B76"/>
    <w:rsid w:val="00D45E56"/>
    <w:rsid w:val="00D45F35"/>
    <w:rsid w:val="00D4602B"/>
    <w:rsid w:val="00D460EF"/>
    <w:rsid w:val="00D463DE"/>
    <w:rsid w:val="00D46868"/>
    <w:rsid w:val="00D46E22"/>
    <w:rsid w:val="00D46F58"/>
    <w:rsid w:val="00D47010"/>
    <w:rsid w:val="00D47090"/>
    <w:rsid w:val="00D47446"/>
    <w:rsid w:val="00D476E6"/>
    <w:rsid w:val="00D47ED8"/>
    <w:rsid w:val="00D506E5"/>
    <w:rsid w:val="00D5075A"/>
    <w:rsid w:val="00D50910"/>
    <w:rsid w:val="00D50C60"/>
    <w:rsid w:val="00D51A06"/>
    <w:rsid w:val="00D51C47"/>
    <w:rsid w:val="00D52408"/>
    <w:rsid w:val="00D5259F"/>
    <w:rsid w:val="00D526CA"/>
    <w:rsid w:val="00D529B0"/>
    <w:rsid w:val="00D52B28"/>
    <w:rsid w:val="00D53330"/>
    <w:rsid w:val="00D538BB"/>
    <w:rsid w:val="00D539F4"/>
    <w:rsid w:val="00D54089"/>
    <w:rsid w:val="00D54333"/>
    <w:rsid w:val="00D54670"/>
    <w:rsid w:val="00D54E12"/>
    <w:rsid w:val="00D55142"/>
    <w:rsid w:val="00D5561F"/>
    <w:rsid w:val="00D556F5"/>
    <w:rsid w:val="00D55CA7"/>
    <w:rsid w:val="00D55F47"/>
    <w:rsid w:val="00D56CFE"/>
    <w:rsid w:val="00D57121"/>
    <w:rsid w:val="00D573CE"/>
    <w:rsid w:val="00D573DA"/>
    <w:rsid w:val="00D57690"/>
    <w:rsid w:val="00D57713"/>
    <w:rsid w:val="00D5773C"/>
    <w:rsid w:val="00D57806"/>
    <w:rsid w:val="00D5790F"/>
    <w:rsid w:val="00D6022C"/>
    <w:rsid w:val="00D6033F"/>
    <w:rsid w:val="00D603B1"/>
    <w:rsid w:val="00D60AF6"/>
    <w:rsid w:val="00D60B19"/>
    <w:rsid w:val="00D614F5"/>
    <w:rsid w:val="00D6156A"/>
    <w:rsid w:val="00D61784"/>
    <w:rsid w:val="00D61871"/>
    <w:rsid w:val="00D621CF"/>
    <w:rsid w:val="00D624C8"/>
    <w:rsid w:val="00D6266C"/>
    <w:rsid w:val="00D62DCD"/>
    <w:rsid w:val="00D63074"/>
    <w:rsid w:val="00D6317D"/>
    <w:rsid w:val="00D63458"/>
    <w:rsid w:val="00D63BA5"/>
    <w:rsid w:val="00D63CCD"/>
    <w:rsid w:val="00D63CE2"/>
    <w:rsid w:val="00D64285"/>
    <w:rsid w:val="00D6464A"/>
    <w:rsid w:val="00D648CA"/>
    <w:rsid w:val="00D65273"/>
    <w:rsid w:val="00D66656"/>
    <w:rsid w:val="00D668A8"/>
    <w:rsid w:val="00D669AA"/>
    <w:rsid w:val="00D669BE"/>
    <w:rsid w:val="00D66AD0"/>
    <w:rsid w:val="00D66EA8"/>
    <w:rsid w:val="00D67C30"/>
    <w:rsid w:val="00D67F02"/>
    <w:rsid w:val="00D67F6C"/>
    <w:rsid w:val="00D705D7"/>
    <w:rsid w:val="00D706BC"/>
    <w:rsid w:val="00D7077D"/>
    <w:rsid w:val="00D707F9"/>
    <w:rsid w:val="00D70887"/>
    <w:rsid w:val="00D70AB5"/>
    <w:rsid w:val="00D7117D"/>
    <w:rsid w:val="00D7124E"/>
    <w:rsid w:val="00D725B9"/>
    <w:rsid w:val="00D72748"/>
    <w:rsid w:val="00D72C16"/>
    <w:rsid w:val="00D72EEB"/>
    <w:rsid w:val="00D73139"/>
    <w:rsid w:val="00D73195"/>
    <w:rsid w:val="00D7356D"/>
    <w:rsid w:val="00D73DA5"/>
    <w:rsid w:val="00D73E1A"/>
    <w:rsid w:val="00D73F39"/>
    <w:rsid w:val="00D742A2"/>
    <w:rsid w:val="00D742CC"/>
    <w:rsid w:val="00D749E6"/>
    <w:rsid w:val="00D7544F"/>
    <w:rsid w:val="00D754F9"/>
    <w:rsid w:val="00D755F5"/>
    <w:rsid w:val="00D759B3"/>
    <w:rsid w:val="00D75F21"/>
    <w:rsid w:val="00D75FC9"/>
    <w:rsid w:val="00D76275"/>
    <w:rsid w:val="00D767B7"/>
    <w:rsid w:val="00D76A44"/>
    <w:rsid w:val="00D76D23"/>
    <w:rsid w:val="00D774A7"/>
    <w:rsid w:val="00D77B87"/>
    <w:rsid w:val="00D77CAB"/>
    <w:rsid w:val="00D77D81"/>
    <w:rsid w:val="00D80AA9"/>
    <w:rsid w:val="00D80DE7"/>
    <w:rsid w:val="00D814EE"/>
    <w:rsid w:val="00D81628"/>
    <w:rsid w:val="00D81982"/>
    <w:rsid w:val="00D81F3A"/>
    <w:rsid w:val="00D820A1"/>
    <w:rsid w:val="00D825A9"/>
    <w:rsid w:val="00D831C0"/>
    <w:rsid w:val="00D83717"/>
    <w:rsid w:val="00D8385F"/>
    <w:rsid w:val="00D83ECC"/>
    <w:rsid w:val="00D840DB"/>
    <w:rsid w:val="00D84ACA"/>
    <w:rsid w:val="00D84B40"/>
    <w:rsid w:val="00D856BA"/>
    <w:rsid w:val="00D85A3F"/>
    <w:rsid w:val="00D85D9D"/>
    <w:rsid w:val="00D861A0"/>
    <w:rsid w:val="00D86224"/>
    <w:rsid w:val="00D86432"/>
    <w:rsid w:val="00D870E2"/>
    <w:rsid w:val="00D8725F"/>
    <w:rsid w:val="00D879F1"/>
    <w:rsid w:val="00D87A8D"/>
    <w:rsid w:val="00D90787"/>
    <w:rsid w:val="00D9099B"/>
    <w:rsid w:val="00D90C3C"/>
    <w:rsid w:val="00D910F4"/>
    <w:rsid w:val="00D91173"/>
    <w:rsid w:val="00D91264"/>
    <w:rsid w:val="00D912F3"/>
    <w:rsid w:val="00D914A8"/>
    <w:rsid w:val="00D91749"/>
    <w:rsid w:val="00D918E8"/>
    <w:rsid w:val="00D91BA5"/>
    <w:rsid w:val="00D91DB1"/>
    <w:rsid w:val="00D921A8"/>
    <w:rsid w:val="00D922A2"/>
    <w:rsid w:val="00D923B6"/>
    <w:rsid w:val="00D923EE"/>
    <w:rsid w:val="00D93173"/>
    <w:rsid w:val="00D93288"/>
    <w:rsid w:val="00D93753"/>
    <w:rsid w:val="00D93794"/>
    <w:rsid w:val="00D9386D"/>
    <w:rsid w:val="00D9397F"/>
    <w:rsid w:val="00D93C8C"/>
    <w:rsid w:val="00D93E39"/>
    <w:rsid w:val="00D940E2"/>
    <w:rsid w:val="00D946D1"/>
    <w:rsid w:val="00D94A20"/>
    <w:rsid w:val="00D94B0A"/>
    <w:rsid w:val="00D95151"/>
    <w:rsid w:val="00D9524F"/>
    <w:rsid w:val="00D95829"/>
    <w:rsid w:val="00D95890"/>
    <w:rsid w:val="00D95EBB"/>
    <w:rsid w:val="00D96B3C"/>
    <w:rsid w:val="00D96BD1"/>
    <w:rsid w:val="00D96CDB"/>
    <w:rsid w:val="00D96F10"/>
    <w:rsid w:val="00D97660"/>
    <w:rsid w:val="00DA0378"/>
    <w:rsid w:val="00DA03B7"/>
    <w:rsid w:val="00DA0A23"/>
    <w:rsid w:val="00DA1110"/>
    <w:rsid w:val="00DA13C5"/>
    <w:rsid w:val="00DA142B"/>
    <w:rsid w:val="00DA1762"/>
    <w:rsid w:val="00DA187D"/>
    <w:rsid w:val="00DA19B7"/>
    <w:rsid w:val="00DA1ACA"/>
    <w:rsid w:val="00DA1D0D"/>
    <w:rsid w:val="00DA2673"/>
    <w:rsid w:val="00DA2FC8"/>
    <w:rsid w:val="00DA3059"/>
    <w:rsid w:val="00DA372A"/>
    <w:rsid w:val="00DA3802"/>
    <w:rsid w:val="00DA3CB2"/>
    <w:rsid w:val="00DA3CC0"/>
    <w:rsid w:val="00DA4220"/>
    <w:rsid w:val="00DA43CD"/>
    <w:rsid w:val="00DA4910"/>
    <w:rsid w:val="00DA5361"/>
    <w:rsid w:val="00DA56EB"/>
    <w:rsid w:val="00DA57CC"/>
    <w:rsid w:val="00DA5F2B"/>
    <w:rsid w:val="00DA67AC"/>
    <w:rsid w:val="00DA6962"/>
    <w:rsid w:val="00DA71F7"/>
    <w:rsid w:val="00DA7650"/>
    <w:rsid w:val="00DA776F"/>
    <w:rsid w:val="00DA77A5"/>
    <w:rsid w:val="00DA781E"/>
    <w:rsid w:val="00DA7AAE"/>
    <w:rsid w:val="00DA7BDF"/>
    <w:rsid w:val="00DB0013"/>
    <w:rsid w:val="00DB016C"/>
    <w:rsid w:val="00DB03A4"/>
    <w:rsid w:val="00DB0636"/>
    <w:rsid w:val="00DB0733"/>
    <w:rsid w:val="00DB07AE"/>
    <w:rsid w:val="00DB0807"/>
    <w:rsid w:val="00DB0B2E"/>
    <w:rsid w:val="00DB138B"/>
    <w:rsid w:val="00DB1AA7"/>
    <w:rsid w:val="00DB20E5"/>
    <w:rsid w:val="00DB242E"/>
    <w:rsid w:val="00DB29E2"/>
    <w:rsid w:val="00DB3456"/>
    <w:rsid w:val="00DB347D"/>
    <w:rsid w:val="00DB36CD"/>
    <w:rsid w:val="00DB3B4E"/>
    <w:rsid w:val="00DB4285"/>
    <w:rsid w:val="00DB4535"/>
    <w:rsid w:val="00DB4988"/>
    <w:rsid w:val="00DB4D9C"/>
    <w:rsid w:val="00DB4FBC"/>
    <w:rsid w:val="00DB5191"/>
    <w:rsid w:val="00DB58ED"/>
    <w:rsid w:val="00DB6001"/>
    <w:rsid w:val="00DB605A"/>
    <w:rsid w:val="00DB64CD"/>
    <w:rsid w:val="00DB6548"/>
    <w:rsid w:val="00DB73C9"/>
    <w:rsid w:val="00DB74AB"/>
    <w:rsid w:val="00DB7F65"/>
    <w:rsid w:val="00DC0256"/>
    <w:rsid w:val="00DC0C71"/>
    <w:rsid w:val="00DC0F4E"/>
    <w:rsid w:val="00DC146B"/>
    <w:rsid w:val="00DC1988"/>
    <w:rsid w:val="00DC1C5C"/>
    <w:rsid w:val="00DC1D3D"/>
    <w:rsid w:val="00DC218C"/>
    <w:rsid w:val="00DC2AB6"/>
    <w:rsid w:val="00DC3058"/>
    <w:rsid w:val="00DC355E"/>
    <w:rsid w:val="00DC3564"/>
    <w:rsid w:val="00DC37C7"/>
    <w:rsid w:val="00DC3A68"/>
    <w:rsid w:val="00DC3D66"/>
    <w:rsid w:val="00DC3E7E"/>
    <w:rsid w:val="00DC3FF1"/>
    <w:rsid w:val="00DC40BE"/>
    <w:rsid w:val="00DC4DDA"/>
    <w:rsid w:val="00DC5501"/>
    <w:rsid w:val="00DC56F5"/>
    <w:rsid w:val="00DC5B1F"/>
    <w:rsid w:val="00DC664C"/>
    <w:rsid w:val="00DC6A06"/>
    <w:rsid w:val="00DC6D9C"/>
    <w:rsid w:val="00DC773D"/>
    <w:rsid w:val="00DC7EE8"/>
    <w:rsid w:val="00DD00E5"/>
    <w:rsid w:val="00DD029E"/>
    <w:rsid w:val="00DD09D9"/>
    <w:rsid w:val="00DD1BC1"/>
    <w:rsid w:val="00DD28AE"/>
    <w:rsid w:val="00DD2DF0"/>
    <w:rsid w:val="00DD3020"/>
    <w:rsid w:val="00DD323C"/>
    <w:rsid w:val="00DD32A1"/>
    <w:rsid w:val="00DD3AE1"/>
    <w:rsid w:val="00DD3B96"/>
    <w:rsid w:val="00DD3F28"/>
    <w:rsid w:val="00DD3FB6"/>
    <w:rsid w:val="00DD3FE2"/>
    <w:rsid w:val="00DD4537"/>
    <w:rsid w:val="00DD49EF"/>
    <w:rsid w:val="00DD4E15"/>
    <w:rsid w:val="00DD5A2A"/>
    <w:rsid w:val="00DD658E"/>
    <w:rsid w:val="00DD6924"/>
    <w:rsid w:val="00DD6D6B"/>
    <w:rsid w:val="00DD708F"/>
    <w:rsid w:val="00DD730F"/>
    <w:rsid w:val="00DD73A9"/>
    <w:rsid w:val="00DD767E"/>
    <w:rsid w:val="00DD7968"/>
    <w:rsid w:val="00DD7C6E"/>
    <w:rsid w:val="00DD7FA2"/>
    <w:rsid w:val="00DE01FB"/>
    <w:rsid w:val="00DE072B"/>
    <w:rsid w:val="00DE0CCD"/>
    <w:rsid w:val="00DE0F58"/>
    <w:rsid w:val="00DE133A"/>
    <w:rsid w:val="00DE1413"/>
    <w:rsid w:val="00DE14F8"/>
    <w:rsid w:val="00DE15E8"/>
    <w:rsid w:val="00DE1A7A"/>
    <w:rsid w:val="00DE1C19"/>
    <w:rsid w:val="00DE2067"/>
    <w:rsid w:val="00DE23B2"/>
    <w:rsid w:val="00DE24B0"/>
    <w:rsid w:val="00DE262F"/>
    <w:rsid w:val="00DE2D27"/>
    <w:rsid w:val="00DE3C5D"/>
    <w:rsid w:val="00DE40A5"/>
    <w:rsid w:val="00DE4556"/>
    <w:rsid w:val="00DE45EE"/>
    <w:rsid w:val="00DE4929"/>
    <w:rsid w:val="00DE49E2"/>
    <w:rsid w:val="00DE4F09"/>
    <w:rsid w:val="00DE4FCB"/>
    <w:rsid w:val="00DE52C0"/>
    <w:rsid w:val="00DE58D2"/>
    <w:rsid w:val="00DE5A2F"/>
    <w:rsid w:val="00DE639C"/>
    <w:rsid w:val="00DE65D4"/>
    <w:rsid w:val="00DE6BC7"/>
    <w:rsid w:val="00DE7083"/>
    <w:rsid w:val="00DE7192"/>
    <w:rsid w:val="00DE724D"/>
    <w:rsid w:val="00DE72A2"/>
    <w:rsid w:val="00DE7581"/>
    <w:rsid w:val="00DE79C3"/>
    <w:rsid w:val="00DE7F35"/>
    <w:rsid w:val="00DF0201"/>
    <w:rsid w:val="00DF0461"/>
    <w:rsid w:val="00DF04D9"/>
    <w:rsid w:val="00DF093E"/>
    <w:rsid w:val="00DF1716"/>
    <w:rsid w:val="00DF174E"/>
    <w:rsid w:val="00DF236D"/>
    <w:rsid w:val="00DF2C48"/>
    <w:rsid w:val="00DF39B9"/>
    <w:rsid w:val="00DF3F66"/>
    <w:rsid w:val="00DF3F9A"/>
    <w:rsid w:val="00DF47C7"/>
    <w:rsid w:val="00DF4859"/>
    <w:rsid w:val="00DF4B7E"/>
    <w:rsid w:val="00DF4DD6"/>
    <w:rsid w:val="00DF5238"/>
    <w:rsid w:val="00DF538F"/>
    <w:rsid w:val="00DF5AD2"/>
    <w:rsid w:val="00DF5D2B"/>
    <w:rsid w:val="00DF62C0"/>
    <w:rsid w:val="00DF6426"/>
    <w:rsid w:val="00DF65BB"/>
    <w:rsid w:val="00DF6CA0"/>
    <w:rsid w:val="00DF70D6"/>
    <w:rsid w:val="00DF737B"/>
    <w:rsid w:val="00DF7D1F"/>
    <w:rsid w:val="00E00256"/>
    <w:rsid w:val="00E0041A"/>
    <w:rsid w:val="00E006A2"/>
    <w:rsid w:val="00E006B1"/>
    <w:rsid w:val="00E007A2"/>
    <w:rsid w:val="00E00FB7"/>
    <w:rsid w:val="00E01306"/>
    <w:rsid w:val="00E01D3A"/>
    <w:rsid w:val="00E01F12"/>
    <w:rsid w:val="00E02392"/>
    <w:rsid w:val="00E023D4"/>
    <w:rsid w:val="00E0257A"/>
    <w:rsid w:val="00E02747"/>
    <w:rsid w:val="00E02A6F"/>
    <w:rsid w:val="00E02C11"/>
    <w:rsid w:val="00E0318E"/>
    <w:rsid w:val="00E03237"/>
    <w:rsid w:val="00E036A1"/>
    <w:rsid w:val="00E03C0E"/>
    <w:rsid w:val="00E0419B"/>
    <w:rsid w:val="00E0423C"/>
    <w:rsid w:val="00E04600"/>
    <w:rsid w:val="00E053C8"/>
    <w:rsid w:val="00E054AD"/>
    <w:rsid w:val="00E062EA"/>
    <w:rsid w:val="00E065F4"/>
    <w:rsid w:val="00E07512"/>
    <w:rsid w:val="00E07817"/>
    <w:rsid w:val="00E10149"/>
    <w:rsid w:val="00E105AA"/>
    <w:rsid w:val="00E11900"/>
    <w:rsid w:val="00E11ED8"/>
    <w:rsid w:val="00E12618"/>
    <w:rsid w:val="00E1261A"/>
    <w:rsid w:val="00E127A0"/>
    <w:rsid w:val="00E1280F"/>
    <w:rsid w:val="00E12B17"/>
    <w:rsid w:val="00E12B7C"/>
    <w:rsid w:val="00E12BD1"/>
    <w:rsid w:val="00E13435"/>
    <w:rsid w:val="00E139E8"/>
    <w:rsid w:val="00E13E45"/>
    <w:rsid w:val="00E14292"/>
    <w:rsid w:val="00E1447A"/>
    <w:rsid w:val="00E147A1"/>
    <w:rsid w:val="00E149BE"/>
    <w:rsid w:val="00E14A67"/>
    <w:rsid w:val="00E14E9A"/>
    <w:rsid w:val="00E15CAC"/>
    <w:rsid w:val="00E161DF"/>
    <w:rsid w:val="00E1632B"/>
    <w:rsid w:val="00E16372"/>
    <w:rsid w:val="00E16AF9"/>
    <w:rsid w:val="00E16BE4"/>
    <w:rsid w:val="00E16E40"/>
    <w:rsid w:val="00E17327"/>
    <w:rsid w:val="00E1775B"/>
    <w:rsid w:val="00E17F02"/>
    <w:rsid w:val="00E205DD"/>
    <w:rsid w:val="00E2082F"/>
    <w:rsid w:val="00E20B62"/>
    <w:rsid w:val="00E20E02"/>
    <w:rsid w:val="00E20ED6"/>
    <w:rsid w:val="00E20F68"/>
    <w:rsid w:val="00E21358"/>
    <w:rsid w:val="00E213FB"/>
    <w:rsid w:val="00E21E34"/>
    <w:rsid w:val="00E222DD"/>
    <w:rsid w:val="00E223B0"/>
    <w:rsid w:val="00E2249B"/>
    <w:rsid w:val="00E22A0D"/>
    <w:rsid w:val="00E22A4B"/>
    <w:rsid w:val="00E22DA2"/>
    <w:rsid w:val="00E23215"/>
    <w:rsid w:val="00E232C8"/>
    <w:rsid w:val="00E2355F"/>
    <w:rsid w:val="00E23710"/>
    <w:rsid w:val="00E23764"/>
    <w:rsid w:val="00E23C53"/>
    <w:rsid w:val="00E23C80"/>
    <w:rsid w:val="00E23E72"/>
    <w:rsid w:val="00E23F13"/>
    <w:rsid w:val="00E24251"/>
    <w:rsid w:val="00E24767"/>
    <w:rsid w:val="00E24BF3"/>
    <w:rsid w:val="00E24E0F"/>
    <w:rsid w:val="00E24FA7"/>
    <w:rsid w:val="00E253E7"/>
    <w:rsid w:val="00E257E9"/>
    <w:rsid w:val="00E25A05"/>
    <w:rsid w:val="00E25A17"/>
    <w:rsid w:val="00E25BDA"/>
    <w:rsid w:val="00E26601"/>
    <w:rsid w:val="00E26702"/>
    <w:rsid w:val="00E26982"/>
    <w:rsid w:val="00E273BE"/>
    <w:rsid w:val="00E2771E"/>
    <w:rsid w:val="00E27B8D"/>
    <w:rsid w:val="00E27BF0"/>
    <w:rsid w:val="00E27C14"/>
    <w:rsid w:val="00E3026E"/>
    <w:rsid w:val="00E309E4"/>
    <w:rsid w:val="00E30A91"/>
    <w:rsid w:val="00E30F24"/>
    <w:rsid w:val="00E30F99"/>
    <w:rsid w:val="00E312C6"/>
    <w:rsid w:val="00E31913"/>
    <w:rsid w:val="00E31953"/>
    <w:rsid w:val="00E31CB4"/>
    <w:rsid w:val="00E31E1C"/>
    <w:rsid w:val="00E31FD7"/>
    <w:rsid w:val="00E328C6"/>
    <w:rsid w:val="00E32D00"/>
    <w:rsid w:val="00E33780"/>
    <w:rsid w:val="00E33814"/>
    <w:rsid w:val="00E33B64"/>
    <w:rsid w:val="00E33D03"/>
    <w:rsid w:val="00E34407"/>
    <w:rsid w:val="00E345A1"/>
    <w:rsid w:val="00E345BA"/>
    <w:rsid w:val="00E3461D"/>
    <w:rsid w:val="00E34B33"/>
    <w:rsid w:val="00E35102"/>
    <w:rsid w:val="00E358B7"/>
    <w:rsid w:val="00E3598C"/>
    <w:rsid w:val="00E359BB"/>
    <w:rsid w:val="00E35E3B"/>
    <w:rsid w:val="00E35EF2"/>
    <w:rsid w:val="00E35FA0"/>
    <w:rsid w:val="00E36134"/>
    <w:rsid w:val="00E3625C"/>
    <w:rsid w:val="00E364A9"/>
    <w:rsid w:val="00E3674D"/>
    <w:rsid w:val="00E36C2B"/>
    <w:rsid w:val="00E36CF1"/>
    <w:rsid w:val="00E36F0A"/>
    <w:rsid w:val="00E37001"/>
    <w:rsid w:val="00E372B5"/>
    <w:rsid w:val="00E37569"/>
    <w:rsid w:val="00E40235"/>
    <w:rsid w:val="00E40537"/>
    <w:rsid w:val="00E4060C"/>
    <w:rsid w:val="00E40BF0"/>
    <w:rsid w:val="00E4160D"/>
    <w:rsid w:val="00E41B4C"/>
    <w:rsid w:val="00E41D27"/>
    <w:rsid w:val="00E41E2C"/>
    <w:rsid w:val="00E41E30"/>
    <w:rsid w:val="00E42857"/>
    <w:rsid w:val="00E42B0E"/>
    <w:rsid w:val="00E4368C"/>
    <w:rsid w:val="00E43705"/>
    <w:rsid w:val="00E437FE"/>
    <w:rsid w:val="00E43896"/>
    <w:rsid w:val="00E43B5B"/>
    <w:rsid w:val="00E43D70"/>
    <w:rsid w:val="00E43DD5"/>
    <w:rsid w:val="00E44034"/>
    <w:rsid w:val="00E44439"/>
    <w:rsid w:val="00E444A5"/>
    <w:rsid w:val="00E44F2C"/>
    <w:rsid w:val="00E45026"/>
    <w:rsid w:val="00E450F7"/>
    <w:rsid w:val="00E45568"/>
    <w:rsid w:val="00E455BC"/>
    <w:rsid w:val="00E45A54"/>
    <w:rsid w:val="00E45C49"/>
    <w:rsid w:val="00E463BA"/>
    <w:rsid w:val="00E46A33"/>
    <w:rsid w:val="00E46AD8"/>
    <w:rsid w:val="00E46D9D"/>
    <w:rsid w:val="00E46DCF"/>
    <w:rsid w:val="00E472E6"/>
    <w:rsid w:val="00E47495"/>
    <w:rsid w:val="00E47B2C"/>
    <w:rsid w:val="00E50570"/>
    <w:rsid w:val="00E51041"/>
    <w:rsid w:val="00E5123B"/>
    <w:rsid w:val="00E51560"/>
    <w:rsid w:val="00E51883"/>
    <w:rsid w:val="00E51E84"/>
    <w:rsid w:val="00E51F4E"/>
    <w:rsid w:val="00E52069"/>
    <w:rsid w:val="00E5220F"/>
    <w:rsid w:val="00E52339"/>
    <w:rsid w:val="00E52626"/>
    <w:rsid w:val="00E52706"/>
    <w:rsid w:val="00E528B6"/>
    <w:rsid w:val="00E528D3"/>
    <w:rsid w:val="00E52DF7"/>
    <w:rsid w:val="00E5325F"/>
    <w:rsid w:val="00E533C1"/>
    <w:rsid w:val="00E5448B"/>
    <w:rsid w:val="00E54D34"/>
    <w:rsid w:val="00E55201"/>
    <w:rsid w:val="00E55424"/>
    <w:rsid w:val="00E555CD"/>
    <w:rsid w:val="00E55692"/>
    <w:rsid w:val="00E55A35"/>
    <w:rsid w:val="00E55BB5"/>
    <w:rsid w:val="00E55F71"/>
    <w:rsid w:val="00E561DF"/>
    <w:rsid w:val="00E567DE"/>
    <w:rsid w:val="00E56BA8"/>
    <w:rsid w:val="00E5740D"/>
    <w:rsid w:val="00E57D58"/>
    <w:rsid w:val="00E60B6F"/>
    <w:rsid w:val="00E60C66"/>
    <w:rsid w:val="00E60F26"/>
    <w:rsid w:val="00E61207"/>
    <w:rsid w:val="00E61311"/>
    <w:rsid w:val="00E61EF8"/>
    <w:rsid w:val="00E61F48"/>
    <w:rsid w:val="00E6230B"/>
    <w:rsid w:val="00E625EA"/>
    <w:rsid w:val="00E6260E"/>
    <w:rsid w:val="00E62CF6"/>
    <w:rsid w:val="00E6310E"/>
    <w:rsid w:val="00E63CBD"/>
    <w:rsid w:val="00E64005"/>
    <w:rsid w:val="00E650AD"/>
    <w:rsid w:val="00E650C9"/>
    <w:rsid w:val="00E655C5"/>
    <w:rsid w:val="00E656F1"/>
    <w:rsid w:val="00E65E79"/>
    <w:rsid w:val="00E65E9E"/>
    <w:rsid w:val="00E65F6C"/>
    <w:rsid w:val="00E66323"/>
    <w:rsid w:val="00E66468"/>
    <w:rsid w:val="00E66C44"/>
    <w:rsid w:val="00E670EC"/>
    <w:rsid w:val="00E67416"/>
    <w:rsid w:val="00E67796"/>
    <w:rsid w:val="00E67F3F"/>
    <w:rsid w:val="00E70563"/>
    <w:rsid w:val="00E7077F"/>
    <w:rsid w:val="00E70A0C"/>
    <w:rsid w:val="00E70C72"/>
    <w:rsid w:val="00E71350"/>
    <w:rsid w:val="00E717D4"/>
    <w:rsid w:val="00E718B6"/>
    <w:rsid w:val="00E71A36"/>
    <w:rsid w:val="00E71E9D"/>
    <w:rsid w:val="00E72486"/>
    <w:rsid w:val="00E72CC7"/>
    <w:rsid w:val="00E73581"/>
    <w:rsid w:val="00E736E0"/>
    <w:rsid w:val="00E73751"/>
    <w:rsid w:val="00E73EAA"/>
    <w:rsid w:val="00E73F4C"/>
    <w:rsid w:val="00E74001"/>
    <w:rsid w:val="00E740B0"/>
    <w:rsid w:val="00E742DF"/>
    <w:rsid w:val="00E74966"/>
    <w:rsid w:val="00E7498A"/>
    <w:rsid w:val="00E74B3E"/>
    <w:rsid w:val="00E74BA8"/>
    <w:rsid w:val="00E74E52"/>
    <w:rsid w:val="00E7519E"/>
    <w:rsid w:val="00E75FCE"/>
    <w:rsid w:val="00E7644D"/>
    <w:rsid w:val="00E766D4"/>
    <w:rsid w:val="00E76B66"/>
    <w:rsid w:val="00E76C04"/>
    <w:rsid w:val="00E76FE1"/>
    <w:rsid w:val="00E7714B"/>
    <w:rsid w:val="00E774BC"/>
    <w:rsid w:val="00E77EF7"/>
    <w:rsid w:val="00E804AF"/>
    <w:rsid w:val="00E807FF"/>
    <w:rsid w:val="00E81759"/>
    <w:rsid w:val="00E82785"/>
    <w:rsid w:val="00E830A4"/>
    <w:rsid w:val="00E832B7"/>
    <w:rsid w:val="00E83BDF"/>
    <w:rsid w:val="00E83C57"/>
    <w:rsid w:val="00E843D0"/>
    <w:rsid w:val="00E84504"/>
    <w:rsid w:val="00E849DF"/>
    <w:rsid w:val="00E84CA7"/>
    <w:rsid w:val="00E84CAB"/>
    <w:rsid w:val="00E8532B"/>
    <w:rsid w:val="00E858E3"/>
    <w:rsid w:val="00E86EE5"/>
    <w:rsid w:val="00E872A2"/>
    <w:rsid w:val="00E87664"/>
    <w:rsid w:val="00E87B9D"/>
    <w:rsid w:val="00E87C5E"/>
    <w:rsid w:val="00E87E1D"/>
    <w:rsid w:val="00E90922"/>
    <w:rsid w:val="00E91465"/>
    <w:rsid w:val="00E914BF"/>
    <w:rsid w:val="00E915C2"/>
    <w:rsid w:val="00E91785"/>
    <w:rsid w:val="00E917D1"/>
    <w:rsid w:val="00E91AE1"/>
    <w:rsid w:val="00E92BEE"/>
    <w:rsid w:val="00E92D54"/>
    <w:rsid w:val="00E92F8F"/>
    <w:rsid w:val="00E93217"/>
    <w:rsid w:val="00E932D6"/>
    <w:rsid w:val="00E9361A"/>
    <w:rsid w:val="00E93704"/>
    <w:rsid w:val="00E93E1B"/>
    <w:rsid w:val="00E949F9"/>
    <w:rsid w:val="00E94A81"/>
    <w:rsid w:val="00E94B5A"/>
    <w:rsid w:val="00E94C95"/>
    <w:rsid w:val="00E94D47"/>
    <w:rsid w:val="00E95011"/>
    <w:rsid w:val="00E954BE"/>
    <w:rsid w:val="00E9569F"/>
    <w:rsid w:val="00E95797"/>
    <w:rsid w:val="00E95C19"/>
    <w:rsid w:val="00E95C66"/>
    <w:rsid w:val="00E95E34"/>
    <w:rsid w:val="00E964EA"/>
    <w:rsid w:val="00E96864"/>
    <w:rsid w:val="00E9728E"/>
    <w:rsid w:val="00E975E8"/>
    <w:rsid w:val="00E97966"/>
    <w:rsid w:val="00E97EBD"/>
    <w:rsid w:val="00EA0220"/>
    <w:rsid w:val="00EA0360"/>
    <w:rsid w:val="00EA0AB1"/>
    <w:rsid w:val="00EA1017"/>
    <w:rsid w:val="00EA121F"/>
    <w:rsid w:val="00EA1431"/>
    <w:rsid w:val="00EA166F"/>
    <w:rsid w:val="00EA2141"/>
    <w:rsid w:val="00EA25B0"/>
    <w:rsid w:val="00EA27A5"/>
    <w:rsid w:val="00EA2984"/>
    <w:rsid w:val="00EA3864"/>
    <w:rsid w:val="00EA39C6"/>
    <w:rsid w:val="00EA39F4"/>
    <w:rsid w:val="00EA3BEB"/>
    <w:rsid w:val="00EA3C4A"/>
    <w:rsid w:val="00EA3D38"/>
    <w:rsid w:val="00EA40D6"/>
    <w:rsid w:val="00EA458A"/>
    <w:rsid w:val="00EA48AD"/>
    <w:rsid w:val="00EA4E94"/>
    <w:rsid w:val="00EA50F1"/>
    <w:rsid w:val="00EA551C"/>
    <w:rsid w:val="00EA55F8"/>
    <w:rsid w:val="00EA5852"/>
    <w:rsid w:val="00EA611D"/>
    <w:rsid w:val="00EA63C7"/>
    <w:rsid w:val="00EA669C"/>
    <w:rsid w:val="00EA6C7B"/>
    <w:rsid w:val="00EA6E58"/>
    <w:rsid w:val="00EA70E8"/>
    <w:rsid w:val="00EA7428"/>
    <w:rsid w:val="00EA7612"/>
    <w:rsid w:val="00EA7B59"/>
    <w:rsid w:val="00EB006C"/>
    <w:rsid w:val="00EB01BB"/>
    <w:rsid w:val="00EB023B"/>
    <w:rsid w:val="00EB023D"/>
    <w:rsid w:val="00EB06C4"/>
    <w:rsid w:val="00EB093B"/>
    <w:rsid w:val="00EB09C6"/>
    <w:rsid w:val="00EB0B8F"/>
    <w:rsid w:val="00EB15B6"/>
    <w:rsid w:val="00EB17EB"/>
    <w:rsid w:val="00EB1DD3"/>
    <w:rsid w:val="00EB1EA7"/>
    <w:rsid w:val="00EB1F6F"/>
    <w:rsid w:val="00EB2028"/>
    <w:rsid w:val="00EB2533"/>
    <w:rsid w:val="00EB2F0A"/>
    <w:rsid w:val="00EB3547"/>
    <w:rsid w:val="00EB35A8"/>
    <w:rsid w:val="00EB38FE"/>
    <w:rsid w:val="00EB3A20"/>
    <w:rsid w:val="00EB41DE"/>
    <w:rsid w:val="00EB43E0"/>
    <w:rsid w:val="00EB447F"/>
    <w:rsid w:val="00EB4916"/>
    <w:rsid w:val="00EB4A7A"/>
    <w:rsid w:val="00EB50CA"/>
    <w:rsid w:val="00EB515C"/>
    <w:rsid w:val="00EB5777"/>
    <w:rsid w:val="00EB5781"/>
    <w:rsid w:val="00EB5A75"/>
    <w:rsid w:val="00EB5C5C"/>
    <w:rsid w:val="00EB640B"/>
    <w:rsid w:val="00EB663D"/>
    <w:rsid w:val="00EB6B92"/>
    <w:rsid w:val="00EB7079"/>
    <w:rsid w:val="00EB735A"/>
    <w:rsid w:val="00EB7523"/>
    <w:rsid w:val="00EB7836"/>
    <w:rsid w:val="00EB7BEF"/>
    <w:rsid w:val="00EB7C15"/>
    <w:rsid w:val="00EC004B"/>
    <w:rsid w:val="00EC00C9"/>
    <w:rsid w:val="00EC022C"/>
    <w:rsid w:val="00EC033F"/>
    <w:rsid w:val="00EC0AF5"/>
    <w:rsid w:val="00EC0B63"/>
    <w:rsid w:val="00EC0DF7"/>
    <w:rsid w:val="00EC11E2"/>
    <w:rsid w:val="00EC1F24"/>
    <w:rsid w:val="00EC2128"/>
    <w:rsid w:val="00EC237E"/>
    <w:rsid w:val="00EC24E8"/>
    <w:rsid w:val="00EC2A6D"/>
    <w:rsid w:val="00EC3014"/>
    <w:rsid w:val="00EC3094"/>
    <w:rsid w:val="00EC3D5D"/>
    <w:rsid w:val="00EC4415"/>
    <w:rsid w:val="00EC4657"/>
    <w:rsid w:val="00EC536C"/>
    <w:rsid w:val="00EC538F"/>
    <w:rsid w:val="00EC5830"/>
    <w:rsid w:val="00EC5B92"/>
    <w:rsid w:val="00EC5E74"/>
    <w:rsid w:val="00EC65EF"/>
    <w:rsid w:val="00EC6B28"/>
    <w:rsid w:val="00EC6F09"/>
    <w:rsid w:val="00EC72B2"/>
    <w:rsid w:val="00EC7509"/>
    <w:rsid w:val="00ED02CF"/>
    <w:rsid w:val="00ED031D"/>
    <w:rsid w:val="00ED07BE"/>
    <w:rsid w:val="00ED1288"/>
    <w:rsid w:val="00ED143B"/>
    <w:rsid w:val="00ED14F4"/>
    <w:rsid w:val="00ED1B89"/>
    <w:rsid w:val="00ED1ECF"/>
    <w:rsid w:val="00ED20BC"/>
    <w:rsid w:val="00ED31B8"/>
    <w:rsid w:val="00ED31C7"/>
    <w:rsid w:val="00ED32A1"/>
    <w:rsid w:val="00ED3498"/>
    <w:rsid w:val="00ED36A1"/>
    <w:rsid w:val="00ED392B"/>
    <w:rsid w:val="00ED3FAB"/>
    <w:rsid w:val="00ED404C"/>
    <w:rsid w:val="00ED4911"/>
    <w:rsid w:val="00ED4FED"/>
    <w:rsid w:val="00ED5012"/>
    <w:rsid w:val="00ED557C"/>
    <w:rsid w:val="00ED5E5C"/>
    <w:rsid w:val="00ED6412"/>
    <w:rsid w:val="00ED697B"/>
    <w:rsid w:val="00ED6A83"/>
    <w:rsid w:val="00ED6C0C"/>
    <w:rsid w:val="00ED7070"/>
    <w:rsid w:val="00ED712F"/>
    <w:rsid w:val="00ED7534"/>
    <w:rsid w:val="00ED774B"/>
    <w:rsid w:val="00ED7C3F"/>
    <w:rsid w:val="00ED7D4C"/>
    <w:rsid w:val="00ED7D66"/>
    <w:rsid w:val="00ED7DC0"/>
    <w:rsid w:val="00EE006E"/>
    <w:rsid w:val="00EE02A3"/>
    <w:rsid w:val="00EE07D3"/>
    <w:rsid w:val="00EE19D5"/>
    <w:rsid w:val="00EE1E29"/>
    <w:rsid w:val="00EE1FD2"/>
    <w:rsid w:val="00EE220B"/>
    <w:rsid w:val="00EE2751"/>
    <w:rsid w:val="00EE2DE9"/>
    <w:rsid w:val="00EE2FCB"/>
    <w:rsid w:val="00EE3137"/>
    <w:rsid w:val="00EE37D4"/>
    <w:rsid w:val="00EE3849"/>
    <w:rsid w:val="00EE38FC"/>
    <w:rsid w:val="00EE3A65"/>
    <w:rsid w:val="00EE40AA"/>
    <w:rsid w:val="00EE4123"/>
    <w:rsid w:val="00EE4445"/>
    <w:rsid w:val="00EE4596"/>
    <w:rsid w:val="00EE48DA"/>
    <w:rsid w:val="00EE4977"/>
    <w:rsid w:val="00EE4F82"/>
    <w:rsid w:val="00EE572E"/>
    <w:rsid w:val="00EE5C35"/>
    <w:rsid w:val="00EE5D7A"/>
    <w:rsid w:val="00EE6A79"/>
    <w:rsid w:val="00EE6F79"/>
    <w:rsid w:val="00EE7108"/>
    <w:rsid w:val="00EE7498"/>
    <w:rsid w:val="00EE761F"/>
    <w:rsid w:val="00EE762C"/>
    <w:rsid w:val="00EE778E"/>
    <w:rsid w:val="00EE7A88"/>
    <w:rsid w:val="00EE7D26"/>
    <w:rsid w:val="00EF0192"/>
    <w:rsid w:val="00EF056D"/>
    <w:rsid w:val="00EF06C2"/>
    <w:rsid w:val="00EF0C14"/>
    <w:rsid w:val="00EF0D2E"/>
    <w:rsid w:val="00EF19B7"/>
    <w:rsid w:val="00EF1BA9"/>
    <w:rsid w:val="00EF1E67"/>
    <w:rsid w:val="00EF2863"/>
    <w:rsid w:val="00EF2BCD"/>
    <w:rsid w:val="00EF34DB"/>
    <w:rsid w:val="00EF3EFA"/>
    <w:rsid w:val="00EF40CC"/>
    <w:rsid w:val="00EF40E0"/>
    <w:rsid w:val="00EF4353"/>
    <w:rsid w:val="00EF45B8"/>
    <w:rsid w:val="00EF464A"/>
    <w:rsid w:val="00EF48CD"/>
    <w:rsid w:val="00EF5537"/>
    <w:rsid w:val="00EF558F"/>
    <w:rsid w:val="00EF6010"/>
    <w:rsid w:val="00EF6334"/>
    <w:rsid w:val="00EF654A"/>
    <w:rsid w:val="00EF67EF"/>
    <w:rsid w:val="00EF69D4"/>
    <w:rsid w:val="00EF69F8"/>
    <w:rsid w:val="00EF6B9C"/>
    <w:rsid w:val="00EF7DD8"/>
    <w:rsid w:val="00EF7EA0"/>
    <w:rsid w:val="00EF7F24"/>
    <w:rsid w:val="00F00945"/>
    <w:rsid w:val="00F01617"/>
    <w:rsid w:val="00F01673"/>
    <w:rsid w:val="00F01761"/>
    <w:rsid w:val="00F01773"/>
    <w:rsid w:val="00F017D3"/>
    <w:rsid w:val="00F017E4"/>
    <w:rsid w:val="00F0186E"/>
    <w:rsid w:val="00F01A71"/>
    <w:rsid w:val="00F01ECD"/>
    <w:rsid w:val="00F024C1"/>
    <w:rsid w:val="00F02641"/>
    <w:rsid w:val="00F02709"/>
    <w:rsid w:val="00F028E9"/>
    <w:rsid w:val="00F02A6A"/>
    <w:rsid w:val="00F02B99"/>
    <w:rsid w:val="00F03379"/>
    <w:rsid w:val="00F03569"/>
    <w:rsid w:val="00F03D30"/>
    <w:rsid w:val="00F03D82"/>
    <w:rsid w:val="00F0401A"/>
    <w:rsid w:val="00F041BC"/>
    <w:rsid w:val="00F0421F"/>
    <w:rsid w:val="00F04273"/>
    <w:rsid w:val="00F04F2D"/>
    <w:rsid w:val="00F05187"/>
    <w:rsid w:val="00F05AED"/>
    <w:rsid w:val="00F063FA"/>
    <w:rsid w:val="00F0656B"/>
    <w:rsid w:val="00F067A2"/>
    <w:rsid w:val="00F06BE6"/>
    <w:rsid w:val="00F07168"/>
    <w:rsid w:val="00F07488"/>
    <w:rsid w:val="00F07689"/>
    <w:rsid w:val="00F07F59"/>
    <w:rsid w:val="00F10C2F"/>
    <w:rsid w:val="00F10D00"/>
    <w:rsid w:val="00F10DEB"/>
    <w:rsid w:val="00F10E45"/>
    <w:rsid w:val="00F110E9"/>
    <w:rsid w:val="00F116EA"/>
    <w:rsid w:val="00F11943"/>
    <w:rsid w:val="00F11C98"/>
    <w:rsid w:val="00F121C6"/>
    <w:rsid w:val="00F12BAE"/>
    <w:rsid w:val="00F12D67"/>
    <w:rsid w:val="00F12F27"/>
    <w:rsid w:val="00F13291"/>
    <w:rsid w:val="00F133E3"/>
    <w:rsid w:val="00F1379D"/>
    <w:rsid w:val="00F137E6"/>
    <w:rsid w:val="00F13AF2"/>
    <w:rsid w:val="00F14294"/>
    <w:rsid w:val="00F14B8A"/>
    <w:rsid w:val="00F14EA4"/>
    <w:rsid w:val="00F15001"/>
    <w:rsid w:val="00F15296"/>
    <w:rsid w:val="00F15A36"/>
    <w:rsid w:val="00F15AA9"/>
    <w:rsid w:val="00F1629D"/>
    <w:rsid w:val="00F163EC"/>
    <w:rsid w:val="00F16753"/>
    <w:rsid w:val="00F17083"/>
    <w:rsid w:val="00F17759"/>
    <w:rsid w:val="00F177C3"/>
    <w:rsid w:val="00F203BA"/>
    <w:rsid w:val="00F20CBD"/>
    <w:rsid w:val="00F20E2C"/>
    <w:rsid w:val="00F21596"/>
    <w:rsid w:val="00F217AB"/>
    <w:rsid w:val="00F21824"/>
    <w:rsid w:val="00F21B8A"/>
    <w:rsid w:val="00F21DC8"/>
    <w:rsid w:val="00F21F42"/>
    <w:rsid w:val="00F223EC"/>
    <w:rsid w:val="00F22F41"/>
    <w:rsid w:val="00F2316B"/>
    <w:rsid w:val="00F23A56"/>
    <w:rsid w:val="00F23A9A"/>
    <w:rsid w:val="00F23CAE"/>
    <w:rsid w:val="00F240E3"/>
    <w:rsid w:val="00F24224"/>
    <w:rsid w:val="00F24745"/>
    <w:rsid w:val="00F24837"/>
    <w:rsid w:val="00F24DC3"/>
    <w:rsid w:val="00F25387"/>
    <w:rsid w:val="00F2575F"/>
    <w:rsid w:val="00F259F3"/>
    <w:rsid w:val="00F25A83"/>
    <w:rsid w:val="00F25C10"/>
    <w:rsid w:val="00F25F89"/>
    <w:rsid w:val="00F266D0"/>
    <w:rsid w:val="00F26F45"/>
    <w:rsid w:val="00F26F85"/>
    <w:rsid w:val="00F2743B"/>
    <w:rsid w:val="00F27BA7"/>
    <w:rsid w:val="00F27CEB"/>
    <w:rsid w:val="00F307DA"/>
    <w:rsid w:val="00F3173E"/>
    <w:rsid w:val="00F31AAA"/>
    <w:rsid w:val="00F31E44"/>
    <w:rsid w:val="00F31F97"/>
    <w:rsid w:val="00F32221"/>
    <w:rsid w:val="00F32474"/>
    <w:rsid w:val="00F3261B"/>
    <w:rsid w:val="00F32B4B"/>
    <w:rsid w:val="00F32CC3"/>
    <w:rsid w:val="00F32D00"/>
    <w:rsid w:val="00F32EEE"/>
    <w:rsid w:val="00F330D9"/>
    <w:rsid w:val="00F333BD"/>
    <w:rsid w:val="00F3346C"/>
    <w:rsid w:val="00F336FF"/>
    <w:rsid w:val="00F3370F"/>
    <w:rsid w:val="00F33C63"/>
    <w:rsid w:val="00F33DE9"/>
    <w:rsid w:val="00F33ED3"/>
    <w:rsid w:val="00F346C9"/>
    <w:rsid w:val="00F34CC3"/>
    <w:rsid w:val="00F35B7C"/>
    <w:rsid w:val="00F36059"/>
    <w:rsid w:val="00F3619A"/>
    <w:rsid w:val="00F36203"/>
    <w:rsid w:val="00F362C4"/>
    <w:rsid w:val="00F3647B"/>
    <w:rsid w:val="00F3652E"/>
    <w:rsid w:val="00F367D9"/>
    <w:rsid w:val="00F3705A"/>
    <w:rsid w:val="00F3775C"/>
    <w:rsid w:val="00F400DC"/>
    <w:rsid w:val="00F42146"/>
    <w:rsid w:val="00F422D9"/>
    <w:rsid w:val="00F4236D"/>
    <w:rsid w:val="00F428DC"/>
    <w:rsid w:val="00F42ABC"/>
    <w:rsid w:val="00F42B9F"/>
    <w:rsid w:val="00F433A5"/>
    <w:rsid w:val="00F43736"/>
    <w:rsid w:val="00F43838"/>
    <w:rsid w:val="00F43D33"/>
    <w:rsid w:val="00F43F13"/>
    <w:rsid w:val="00F440E2"/>
    <w:rsid w:val="00F44746"/>
    <w:rsid w:val="00F44D56"/>
    <w:rsid w:val="00F44EA8"/>
    <w:rsid w:val="00F459F1"/>
    <w:rsid w:val="00F45FE6"/>
    <w:rsid w:val="00F460B0"/>
    <w:rsid w:val="00F46CB6"/>
    <w:rsid w:val="00F470C0"/>
    <w:rsid w:val="00F47167"/>
    <w:rsid w:val="00F4726F"/>
    <w:rsid w:val="00F472DF"/>
    <w:rsid w:val="00F476EB"/>
    <w:rsid w:val="00F47AC4"/>
    <w:rsid w:val="00F47D28"/>
    <w:rsid w:val="00F507F0"/>
    <w:rsid w:val="00F50FB9"/>
    <w:rsid w:val="00F522C5"/>
    <w:rsid w:val="00F52489"/>
    <w:rsid w:val="00F524C7"/>
    <w:rsid w:val="00F527C0"/>
    <w:rsid w:val="00F52B4C"/>
    <w:rsid w:val="00F531BB"/>
    <w:rsid w:val="00F53447"/>
    <w:rsid w:val="00F53846"/>
    <w:rsid w:val="00F5435C"/>
    <w:rsid w:val="00F54511"/>
    <w:rsid w:val="00F55221"/>
    <w:rsid w:val="00F55DF3"/>
    <w:rsid w:val="00F55E73"/>
    <w:rsid w:val="00F55F22"/>
    <w:rsid w:val="00F5603E"/>
    <w:rsid w:val="00F560A9"/>
    <w:rsid w:val="00F5624E"/>
    <w:rsid w:val="00F56266"/>
    <w:rsid w:val="00F562EB"/>
    <w:rsid w:val="00F56305"/>
    <w:rsid w:val="00F56C33"/>
    <w:rsid w:val="00F56E2C"/>
    <w:rsid w:val="00F56FBE"/>
    <w:rsid w:val="00F57818"/>
    <w:rsid w:val="00F57C61"/>
    <w:rsid w:val="00F6002B"/>
    <w:rsid w:val="00F60092"/>
    <w:rsid w:val="00F605D7"/>
    <w:rsid w:val="00F608F4"/>
    <w:rsid w:val="00F60CAB"/>
    <w:rsid w:val="00F618A9"/>
    <w:rsid w:val="00F61E0C"/>
    <w:rsid w:val="00F61E45"/>
    <w:rsid w:val="00F62082"/>
    <w:rsid w:val="00F62416"/>
    <w:rsid w:val="00F624B1"/>
    <w:rsid w:val="00F62AF1"/>
    <w:rsid w:val="00F62FED"/>
    <w:rsid w:val="00F631D6"/>
    <w:rsid w:val="00F632AA"/>
    <w:rsid w:val="00F63379"/>
    <w:rsid w:val="00F6362D"/>
    <w:rsid w:val="00F63D5E"/>
    <w:rsid w:val="00F644C2"/>
    <w:rsid w:val="00F64635"/>
    <w:rsid w:val="00F64727"/>
    <w:rsid w:val="00F648F0"/>
    <w:rsid w:val="00F652D5"/>
    <w:rsid w:val="00F66056"/>
    <w:rsid w:val="00F662DF"/>
    <w:rsid w:val="00F66571"/>
    <w:rsid w:val="00F66835"/>
    <w:rsid w:val="00F668D8"/>
    <w:rsid w:val="00F674AC"/>
    <w:rsid w:val="00F67824"/>
    <w:rsid w:val="00F67A97"/>
    <w:rsid w:val="00F67AEB"/>
    <w:rsid w:val="00F67CC1"/>
    <w:rsid w:val="00F70140"/>
    <w:rsid w:val="00F70194"/>
    <w:rsid w:val="00F701A9"/>
    <w:rsid w:val="00F706B6"/>
    <w:rsid w:val="00F70A3C"/>
    <w:rsid w:val="00F70B04"/>
    <w:rsid w:val="00F7111F"/>
    <w:rsid w:val="00F7138E"/>
    <w:rsid w:val="00F715B9"/>
    <w:rsid w:val="00F71CBF"/>
    <w:rsid w:val="00F71D48"/>
    <w:rsid w:val="00F71E2C"/>
    <w:rsid w:val="00F72976"/>
    <w:rsid w:val="00F72E02"/>
    <w:rsid w:val="00F73212"/>
    <w:rsid w:val="00F73776"/>
    <w:rsid w:val="00F737CA"/>
    <w:rsid w:val="00F73CAF"/>
    <w:rsid w:val="00F744EE"/>
    <w:rsid w:val="00F745BF"/>
    <w:rsid w:val="00F748CD"/>
    <w:rsid w:val="00F74C64"/>
    <w:rsid w:val="00F75014"/>
    <w:rsid w:val="00F75197"/>
    <w:rsid w:val="00F753D4"/>
    <w:rsid w:val="00F7569A"/>
    <w:rsid w:val="00F75D2E"/>
    <w:rsid w:val="00F766D2"/>
    <w:rsid w:val="00F76D03"/>
    <w:rsid w:val="00F76E59"/>
    <w:rsid w:val="00F7717C"/>
    <w:rsid w:val="00F773A8"/>
    <w:rsid w:val="00F774FE"/>
    <w:rsid w:val="00F776B8"/>
    <w:rsid w:val="00F77DC8"/>
    <w:rsid w:val="00F80040"/>
    <w:rsid w:val="00F8057C"/>
    <w:rsid w:val="00F80A4A"/>
    <w:rsid w:val="00F80E5D"/>
    <w:rsid w:val="00F8117B"/>
    <w:rsid w:val="00F81318"/>
    <w:rsid w:val="00F8179B"/>
    <w:rsid w:val="00F8181C"/>
    <w:rsid w:val="00F819E1"/>
    <w:rsid w:val="00F81B17"/>
    <w:rsid w:val="00F82D17"/>
    <w:rsid w:val="00F83112"/>
    <w:rsid w:val="00F833D6"/>
    <w:rsid w:val="00F837F9"/>
    <w:rsid w:val="00F83EED"/>
    <w:rsid w:val="00F840FE"/>
    <w:rsid w:val="00F84139"/>
    <w:rsid w:val="00F84895"/>
    <w:rsid w:val="00F849C8"/>
    <w:rsid w:val="00F851CE"/>
    <w:rsid w:val="00F85531"/>
    <w:rsid w:val="00F858A2"/>
    <w:rsid w:val="00F858CE"/>
    <w:rsid w:val="00F85C19"/>
    <w:rsid w:val="00F85E7E"/>
    <w:rsid w:val="00F85F69"/>
    <w:rsid w:val="00F8659B"/>
    <w:rsid w:val="00F86813"/>
    <w:rsid w:val="00F86BDB"/>
    <w:rsid w:val="00F870F0"/>
    <w:rsid w:val="00F87360"/>
    <w:rsid w:val="00F8795A"/>
    <w:rsid w:val="00F901F1"/>
    <w:rsid w:val="00F9031E"/>
    <w:rsid w:val="00F914B0"/>
    <w:rsid w:val="00F914F7"/>
    <w:rsid w:val="00F918A2"/>
    <w:rsid w:val="00F919AB"/>
    <w:rsid w:val="00F91BF7"/>
    <w:rsid w:val="00F91DE0"/>
    <w:rsid w:val="00F91E61"/>
    <w:rsid w:val="00F925B1"/>
    <w:rsid w:val="00F92832"/>
    <w:rsid w:val="00F92843"/>
    <w:rsid w:val="00F92D01"/>
    <w:rsid w:val="00F92E5B"/>
    <w:rsid w:val="00F92F2B"/>
    <w:rsid w:val="00F93515"/>
    <w:rsid w:val="00F93535"/>
    <w:rsid w:val="00F935A7"/>
    <w:rsid w:val="00F939A6"/>
    <w:rsid w:val="00F9417C"/>
    <w:rsid w:val="00F94466"/>
    <w:rsid w:val="00F9478A"/>
    <w:rsid w:val="00F94AF7"/>
    <w:rsid w:val="00F9501A"/>
    <w:rsid w:val="00F95379"/>
    <w:rsid w:val="00F953FE"/>
    <w:rsid w:val="00F957F6"/>
    <w:rsid w:val="00F95BA1"/>
    <w:rsid w:val="00F95D76"/>
    <w:rsid w:val="00F9619A"/>
    <w:rsid w:val="00F96D52"/>
    <w:rsid w:val="00F971F4"/>
    <w:rsid w:val="00F9741E"/>
    <w:rsid w:val="00F974AB"/>
    <w:rsid w:val="00F975DC"/>
    <w:rsid w:val="00F97A78"/>
    <w:rsid w:val="00F97AE6"/>
    <w:rsid w:val="00F97B58"/>
    <w:rsid w:val="00FA025A"/>
    <w:rsid w:val="00FA0491"/>
    <w:rsid w:val="00FA04AA"/>
    <w:rsid w:val="00FA0FD6"/>
    <w:rsid w:val="00FA154A"/>
    <w:rsid w:val="00FA1856"/>
    <w:rsid w:val="00FA1A32"/>
    <w:rsid w:val="00FA1D21"/>
    <w:rsid w:val="00FA22DF"/>
    <w:rsid w:val="00FA24E7"/>
    <w:rsid w:val="00FA3FF3"/>
    <w:rsid w:val="00FA420B"/>
    <w:rsid w:val="00FA4272"/>
    <w:rsid w:val="00FA452C"/>
    <w:rsid w:val="00FA46BB"/>
    <w:rsid w:val="00FA4774"/>
    <w:rsid w:val="00FA47A3"/>
    <w:rsid w:val="00FA4A9C"/>
    <w:rsid w:val="00FA4F6D"/>
    <w:rsid w:val="00FA520F"/>
    <w:rsid w:val="00FA549B"/>
    <w:rsid w:val="00FA5D39"/>
    <w:rsid w:val="00FA65EA"/>
    <w:rsid w:val="00FA6600"/>
    <w:rsid w:val="00FA6A3D"/>
    <w:rsid w:val="00FA6C5B"/>
    <w:rsid w:val="00FA6C9E"/>
    <w:rsid w:val="00FA6F9E"/>
    <w:rsid w:val="00FA70CC"/>
    <w:rsid w:val="00FA72A6"/>
    <w:rsid w:val="00FA72FD"/>
    <w:rsid w:val="00FA7A9E"/>
    <w:rsid w:val="00FA7CAA"/>
    <w:rsid w:val="00FA7FBD"/>
    <w:rsid w:val="00FB00DA"/>
    <w:rsid w:val="00FB0629"/>
    <w:rsid w:val="00FB06AC"/>
    <w:rsid w:val="00FB089D"/>
    <w:rsid w:val="00FB0A1E"/>
    <w:rsid w:val="00FB0A2A"/>
    <w:rsid w:val="00FB137E"/>
    <w:rsid w:val="00FB1409"/>
    <w:rsid w:val="00FB1555"/>
    <w:rsid w:val="00FB1666"/>
    <w:rsid w:val="00FB19E1"/>
    <w:rsid w:val="00FB1A21"/>
    <w:rsid w:val="00FB1AFA"/>
    <w:rsid w:val="00FB216F"/>
    <w:rsid w:val="00FB21C8"/>
    <w:rsid w:val="00FB2676"/>
    <w:rsid w:val="00FB2BDA"/>
    <w:rsid w:val="00FB2D60"/>
    <w:rsid w:val="00FB2E3A"/>
    <w:rsid w:val="00FB2FCB"/>
    <w:rsid w:val="00FB33F9"/>
    <w:rsid w:val="00FB391F"/>
    <w:rsid w:val="00FB3BE3"/>
    <w:rsid w:val="00FB41DD"/>
    <w:rsid w:val="00FB4930"/>
    <w:rsid w:val="00FB49C9"/>
    <w:rsid w:val="00FB4BDB"/>
    <w:rsid w:val="00FB4F9C"/>
    <w:rsid w:val="00FB505A"/>
    <w:rsid w:val="00FB591F"/>
    <w:rsid w:val="00FB5DAA"/>
    <w:rsid w:val="00FB6117"/>
    <w:rsid w:val="00FB65B2"/>
    <w:rsid w:val="00FB6901"/>
    <w:rsid w:val="00FB6B9B"/>
    <w:rsid w:val="00FB6E0E"/>
    <w:rsid w:val="00FB6E5D"/>
    <w:rsid w:val="00FB6FD6"/>
    <w:rsid w:val="00FB7796"/>
    <w:rsid w:val="00FB77B9"/>
    <w:rsid w:val="00FB7C57"/>
    <w:rsid w:val="00FC0134"/>
    <w:rsid w:val="00FC032D"/>
    <w:rsid w:val="00FC0333"/>
    <w:rsid w:val="00FC0DED"/>
    <w:rsid w:val="00FC0EC9"/>
    <w:rsid w:val="00FC1074"/>
    <w:rsid w:val="00FC1825"/>
    <w:rsid w:val="00FC1884"/>
    <w:rsid w:val="00FC1C55"/>
    <w:rsid w:val="00FC1C60"/>
    <w:rsid w:val="00FC26ED"/>
    <w:rsid w:val="00FC2C33"/>
    <w:rsid w:val="00FC2D7E"/>
    <w:rsid w:val="00FC2DE4"/>
    <w:rsid w:val="00FC38D0"/>
    <w:rsid w:val="00FC4657"/>
    <w:rsid w:val="00FC4940"/>
    <w:rsid w:val="00FC4965"/>
    <w:rsid w:val="00FC4FB3"/>
    <w:rsid w:val="00FC5065"/>
    <w:rsid w:val="00FC5CAB"/>
    <w:rsid w:val="00FC6111"/>
    <w:rsid w:val="00FC665D"/>
    <w:rsid w:val="00FC6793"/>
    <w:rsid w:val="00FC6C99"/>
    <w:rsid w:val="00FC6CD6"/>
    <w:rsid w:val="00FC6DBC"/>
    <w:rsid w:val="00FC6EEA"/>
    <w:rsid w:val="00FC724A"/>
    <w:rsid w:val="00FC795D"/>
    <w:rsid w:val="00FC7D80"/>
    <w:rsid w:val="00FC7FA1"/>
    <w:rsid w:val="00FD0083"/>
    <w:rsid w:val="00FD06AD"/>
    <w:rsid w:val="00FD0981"/>
    <w:rsid w:val="00FD0B18"/>
    <w:rsid w:val="00FD1713"/>
    <w:rsid w:val="00FD1A42"/>
    <w:rsid w:val="00FD1B4B"/>
    <w:rsid w:val="00FD1C36"/>
    <w:rsid w:val="00FD1F41"/>
    <w:rsid w:val="00FD20A1"/>
    <w:rsid w:val="00FD2100"/>
    <w:rsid w:val="00FD2545"/>
    <w:rsid w:val="00FD283F"/>
    <w:rsid w:val="00FD2C0B"/>
    <w:rsid w:val="00FD2CF4"/>
    <w:rsid w:val="00FD2D1A"/>
    <w:rsid w:val="00FD2E57"/>
    <w:rsid w:val="00FD3405"/>
    <w:rsid w:val="00FD3A74"/>
    <w:rsid w:val="00FD3E83"/>
    <w:rsid w:val="00FD446D"/>
    <w:rsid w:val="00FD516E"/>
    <w:rsid w:val="00FD536D"/>
    <w:rsid w:val="00FD54B1"/>
    <w:rsid w:val="00FD5D32"/>
    <w:rsid w:val="00FD61B6"/>
    <w:rsid w:val="00FD66D1"/>
    <w:rsid w:val="00FD6976"/>
    <w:rsid w:val="00FD6E86"/>
    <w:rsid w:val="00FD7479"/>
    <w:rsid w:val="00FD7C16"/>
    <w:rsid w:val="00FD7F87"/>
    <w:rsid w:val="00FE048D"/>
    <w:rsid w:val="00FE076E"/>
    <w:rsid w:val="00FE08FD"/>
    <w:rsid w:val="00FE0938"/>
    <w:rsid w:val="00FE0A9F"/>
    <w:rsid w:val="00FE0B98"/>
    <w:rsid w:val="00FE0E12"/>
    <w:rsid w:val="00FE1383"/>
    <w:rsid w:val="00FE1F0D"/>
    <w:rsid w:val="00FE2297"/>
    <w:rsid w:val="00FE27A6"/>
    <w:rsid w:val="00FE28DE"/>
    <w:rsid w:val="00FE2943"/>
    <w:rsid w:val="00FE2AE1"/>
    <w:rsid w:val="00FE2BEC"/>
    <w:rsid w:val="00FE2C84"/>
    <w:rsid w:val="00FE33E6"/>
    <w:rsid w:val="00FE35C2"/>
    <w:rsid w:val="00FE3B28"/>
    <w:rsid w:val="00FE4580"/>
    <w:rsid w:val="00FE45CB"/>
    <w:rsid w:val="00FE4BC4"/>
    <w:rsid w:val="00FE5049"/>
    <w:rsid w:val="00FE5789"/>
    <w:rsid w:val="00FE5970"/>
    <w:rsid w:val="00FE59BA"/>
    <w:rsid w:val="00FE5DA4"/>
    <w:rsid w:val="00FE5ED9"/>
    <w:rsid w:val="00FE605B"/>
    <w:rsid w:val="00FE67F0"/>
    <w:rsid w:val="00FE69D7"/>
    <w:rsid w:val="00FE6A8D"/>
    <w:rsid w:val="00FE6C34"/>
    <w:rsid w:val="00FE6F99"/>
    <w:rsid w:val="00FE7188"/>
    <w:rsid w:val="00FE7CE4"/>
    <w:rsid w:val="00FE7F2B"/>
    <w:rsid w:val="00FF0531"/>
    <w:rsid w:val="00FF0F31"/>
    <w:rsid w:val="00FF108A"/>
    <w:rsid w:val="00FF1215"/>
    <w:rsid w:val="00FF124C"/>
    <w:rsid w:val="00FF1402"/>
    <w:rsid w:val="00FF1631"/>
    <w:rsid w:val="00FF224B"/>
    <w:rsid w:val="00FF23C5"/>
    <w:rsid w:val="00FF2422"/>
    <w:rsid w:val="00FF28AB"/>
    <w:rsid w:val="00FF2AAA"/>
    <w:rsid w:val="00FF2F72"/>
    <w:rsid w:val="00FF3028"/>
    <w:rsid w:val="00FF31B4"/>
    <w:rsid w:val="00FF3306"/>
    <w:rsid w:val="00FF3530"/>
    <w:rsid w:val="00FF3667"/>
    <w:rsid w:val="00FF397A"/>
    <w:rsid w:val="00FF3A44"/>
    <w:rsid w:val="00FF3BDE"/>
    <w:rsid w:val="00FF3DCF"/>
    <w:rsid w:val="00FF4924"/>
    <w:rsid w:val="00FF4980"/>
    <w:rsid w:val="00FF4B1F"/>
    <w:rsid w:val="00FF4D3E"/>
    <w:rsid w:val="00FF5AA3"/>
    <w:rsid w:val="00FF6152"/>
    <w:rsid w:val="00FF63DE"/>
    <w:rsid w:val="00FF6C6D"/>
    <w:rsid w:val="00FF6E73"/>
    <w:rsid w:val="00FF74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10"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rmal Table" w:semiHidden="0" w:unhideWhenUsed="0"/>
    <w:lsdException w:name="No List" w:uiPriority="99"/>
    <w:lsdException w:name="Table Web 2"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F3239"/>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232F1B"/>
    <w:pPr>
      <w:keepNext/>
      <w:outlineLvl w:val="0"/>
    </w:pPr>
  </w:style>
  <w:style w:type="paragraph" w:styleId="Heading2">
    <w:name w:val="heading 2"/>
    <w:basedOn w:val="Normal"/>
    <w:next w:val="Normal"/>
    <w:link w:val="Heading2Char"/>
    <w:qFormat/>
    <w:rsid w:val="00232F1B"/>
    <w:pPr>
      <w:widowControl/>
      <w:outlineLvl w:val="1"/>
    </w:pPr>
    <w:rPr>
      <w:b/>
      <w:bCs/>
      <w:i/>
      <w:szCs w:val="22"/>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232F1B"/>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10"/>
    <w:unhideWhenUsed/>
    <w:qFormat/>
    <w:rsid w:val="00124A51"/>
    <w:pPr>
      <w:spacing w:after="200"/>
    </w:pPr>
    <w:rPr>
      <w:b/>
      <w:bCs/>
      <w:color w:val="4F81BD" w:themeColor="accent1"/>
      <w:sz w:val="18"/>
      <w:szCs w:val="18"/>
    </w:rPr>
  </w:style>
  <w:style w:type="character" w:customStyle="1" w:styleId="CaptionChar">
    <w:name w:val="Caption Char"/>
    <w:link w:val="Caption"/>
    <w:uiPriority w:val="10"/>
    <w:rsid w:val="00124A51"/>
    <w:rPr>
      <w:b/>
      <w:bCs/>
      <w:snapToGrid w:val="0"/>
      <w:color w:val="4F81BD" w:themeColor="accent1"/>
      <w:sz w:val="18"/>
      <w:szCs w:val="18"/>
      <w:lang w:eastAsia="en-US"/>
    </w:rPr>
  </w:style>
  <w:style w:type="paragraph" w:styleId="Title">
    <w:name w:val="Title"/>
    <w:next w:val="Normal"/>
    <w:link w:val="TitleChar"/>
    <w:qFormat/>
    <w:rsid w:val="00232F1B"/>
    <w:pPr>
      <w:outlineLvl w:val="0"/>
    </w:pPr>
    <w:rPr>
      <w:rFonts w:ascii="Arial Bold" w:hAnsi="Arial Bold" w:cs="Arial"/>
      <w:b/>
      <w:caps/>
      <w:snapToGrid w:val="0"/>
      <w:sz w:val="28"/>
      <w:szCs w:val="28"/>
      <w:lang w:eastAsia="en-US"/>
    </w:rPr>
  </w:style>
  <w:style w:type="character" w:customStyle="1" w:styleId="TitleChar">
    <w:name w:val="Title Char"/>
    <w:basedOn w:val="DefaultParagraphFont"/>
    <w:link w:val="Title"/>
    <w:rsid w:val="00232F1B"/>
    <w:rPr>
      <w:rFonts w:ascii="Arial Bold" w:hAnsi="Arial Bold" w:cs="Arial"/>
      <w:b/>
      <w:caps/>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character" w:customStyle="1" w:styleId="FontItalics">
    <w:name w:val="Font Italics"/>
    <w:basedOn w:val="DefaultParagraphFont"/>
    <w:uiPriority w:val="1"/>
    <w:qFormat/>
    <w:rsid w:val="00DE45EE"/>
    <w:rPr>
      <w:rFonts w:ascii="Candara" w:hAnsi="Candara"/>
      <w:i/>
      <w:sz w:val="24"/>
    </w:rPr>
  </w:style>
  <w:style w:type="character" w:customStyle="1" w:styleId="Font">
    <w:name w:val="Font"/>
    <w:basedOn w:val="DefaultParagraphFont"/>
    <w:uiPriority w:val="1"/>
    <w:qFormat/>
    <w:rsid w:val="00CC63B8"/>
    <w:rPr>
      <w:rFonts w:ascii="Candara" w:hAnsi="Candara"/>
      <w:sz w:val="24"/>
    </w:rPr>
  </w:style>
  <w:style w:type="paragraph" w:customStyle="1" w:styleId="Default">
    <w:name w:val="Default"/>
    <w:rsid w:val="00C154CA"/>
    <w:pPr>
      <w:autoSpaceDE w:val="0"/>
      <w:autoSpaceDN w:val="0"/>
      <w:adjustRightInd w:val="0"/>
    </w:pPr>
    <w:rPr>
      <w:rFonts w:ascii="Arial" w:hAnsi="Arial" w:cs="Arial"/>
      <w:color w:val="000000"/>
      <w:sz w:val="24"/>
      <w:szCs w:val="24"/>
      <w:lang w:val="en-US"/>
    </w:rPr>
  </w:style>
  <w:style w:type="paragraph" w:styleId="DocumentMap">
    <w:name w:val="Document Map"/>
    <w:basedOn w:val="Normal"/>
    <w:link w:val="DocumentMapChar"/>
    <w:semiHidden/>
    <w:unhideWhenUsed/>
    <w:rsid w:val="006D2423"/>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6D2423"/>
    <w:rPr>
      <w:snapToGrid w:val="0"/>
      <w:sz w:val="24"/>
      <w:szCs w:val="24"/>
      <w:lang w:eastAsia="en-US"/>
    </w:rPr>
  </w:style>
  <w:style w:type="paragraph" w:customStyle="1" w:styleId="NormalBulletList">
    <w:name w:val="Normal Bullet List"/>
    <w:basedOn w:val="Normal"/>
    <w:uiPriority w:val="3"/>
    <w:qFormat/>
    <w:rsid w:val="003F061C"/>
    <w:pPr>
      <w:widowControl/>
      <w:numPr>
        <w:numId w:val="4"/>
      </w:numPr>
      <w:spacing w:after="240" w:line="276" w:lineRule="auto"/>
      <w:ind w:left="357" w:hanging="357"/>
      <w:contextualSpacing/>
      <w:jc w:val="left"/>
    </w:pPr>
    <w:rPr>
      <w:rFonts w:ascii="Candara" w:eastAsiaTheme="majorEastAsia" w:hAnsi="Candara" w:cstheme="majorBidi"/>
      <w:snapToGrid/>
      <w:sz w:val="24"/>
      <w:szCs w:val="22"/>
      <w:lang w:bidi="en-US"/>
    </w:rPr>
  </w:style>
  <w:style w:type="paragraph" w:customStyle="1" w:styleId="Table">
    <w:name w:val="Table"/>
    <w:basedOn w:val="Normal"/>
    <w:link w:val="TableChar"/>
    <w:qFormat/>
    <w:rsid w:val="00A96D07"/>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A96D07"/>
    <w:rPr>
      <w:rFonts w:ascii="Candara" w:eastAsiaTheme="majorEastAsia" w:hAnsi="Candara" w:cstheme="majorBidi"/>
      <w:szCs w:val="22"/>
      <w:lang w:eastAsia="en-US" w:bidi="en-US"/>
    </w:rPr>
  </w:style>
  <w:style w:type="paragraph" w:customStyle="1" w:styleId="TableBullets">
    <w:name w:val="Table Bullets"/>
    <w:basedOn w:val="Table"/>
    <w:uiPriority w:val="5"/>
    <w:qFormat/>
    <w:rsid w:val="00A96D07"/>
    <w:pPr>
      <w:numPr>
        <w:numId w:val="5"/>
      </w:numPr>
      <w:ind w:left="357" w:hanging="357"/>
    </w:pPr>
  </w:style>
  <w:style w:type="character" w:customStyle="1" w:styleId="Normalfont">
    <w:name w:val="Normal font"/>
    <w:basedOn w:val="DefaultParagraphFont"/>
    <w:uiPriority w:val="1"/>
    <w:qFormat/>
    <w:rsid w:val="00DB6548"/>
    <w:rPr>
      <w:rFonts w:ascii="Candara" w:hAnsi="Candara"/>
      <w:sz w:val="24"/>
    </w:rPr>
  </w:style>
  <w:style w:type="paragraph" w:customStyle="1" w:styleId="Pa17">
    <w:name w:val="Pa17"/>
    <w:basedOn w:val="Default"/>
    <w:next w:val="Default"/>
    <w:uiPriority w:val="99"/>
    <w:rsid w:val="00EF6334"/>
    <w:pPr>
      <w:spacing w:line="173" w:lineRule="atLeast"/>
    </w:pPr>
    <w:rPr>
      <w:color w:val="auto"/>
    </w:rPr>
  </w:style>
  <w:style w:type="character" w:customStyle="1" w:styleId="apple-converted-space">
    <w:name w:val="apple-converted-space"/>
    <w:basedOn w:val="DefaultParagraphFont"/>
    <w:rsid w:val="00A35E97"/>
  </w:style>
  <w:style w:type="paragraph" w:customStyle="1" w:styleId="TableText1">
    <w:name w:val="Table Text"/>
    <w:basedOn w:val="Normal"/>
    <w:qFormat/>
    <w:rsid w:val="00FD0083"/>
    <w:pPr>
      <w:widowControl/>
      <w:jc w:val="left"/>
    </w:pPr>
    <w:rPr>
      <w:rFonts w:ascii="Arial Narrow" w:eastAsia="Times New Roman" w:hAnsi="Arial Narrow" w:cs="Times New Roman"/>
      <w:snapToGrid/>
      <w:sz w:val="20"/>
      <w:szCs w:val="22"/>
      <w:lang w:val="en-GB" w:eastAsia="en-AU"/>
    </w:rPr>
  </w:style>
  <w:style w:type="character" w:styleId="FootnoteReference">
    <w:name w:val="footnote reference"/>
    <w:basedOn w:val="DefaultParagraphFont"/>
    <w:uiPriority w:val="99"/>
    <w:unhideWhenUsed/>
    <w:rsid w:val="00594E6D"/>
    <w:rPr>
      <w:vertAlign w:val="superscript"/>
    </w:rPr>
  </w:style>
  <w:style w:type="paragraph" w:styleId="FootnoteText">
    <w:name w:val="footnote text"/>
    <w:basedOn w:val="Normal"/>
    <w:link w:val="FootnoteTextChar"/>
    <w:uiPriority w:val="99"/>
    <w:unhideWhenUsed/>
    <w:rsid w:val="009E5980"/>
    <w:rPr>
      <w:sz w:val="20"/>
    </w:rPr>
  </w:style>
  <w:style w:type="character" w:customStyle="1" w:styleId="FootnoteTextChar">
    <w:name w:val="Footnote Text Char"/>
    <w:basedOn w:val="DefaultParagraphFont"/>
    <w:link w:val="FootnoteText"/>
    <w:uiPriority w:val="99"/>
    <w:rsid w:val="009E5980"/>
    <w:rPr>
      <w:rFonts w:ascii="Arial" w:hAnsi="Arial" w:cs="Arial"/>
      <w:snapToGrid w:val="0"/>
      <w:lang w:eastAsia="en-US"/>
    </w:rPr>
  </w:style>
  <w:style w:type="paragraph" w:customStyle="1" w:styleId="tabletext2">
    <w:name w:val="table text"/>
    <w:basedOn w:val="TableText1"/>
    <w:qFormat/>
    <w:rsid w:val="007425A5"/>
    <w:pPr>
      <w:keepNext/>
    </w:pPr>
    <w:rPr>
      <w:rFonts w:cs="Arial"/>
      <w:color w:val="000000"/>
      <w:szCs w:val="20"/>
      <w:lang w:val="en-AU"/>
    </w:rPr>
  </w:style>
  <w:style w:type="character" w:customStyle="1" w:styleId="Small">
    <w:name w:val="Small"/>
    <w:basedOn w:val="Font"/>
    <w:uiPriority w:val="4"/>
    <w:qFormat/>
    <w:rsid w:val="00D42FE9"/>
    <w:rPr>
      <w:rFonts w:ascii="Candara" w:hAnsi="Candara"/>
      <w:sz w:val="20"/>
    </w:rPr>
  </w:style>
  <w:style w:type="character" w:customStyle="1" w:styleId="ListParagraphChar">
    <w:name w:val="List Paragraph Char"/>
    <w:aliases w:val="BulletPoints Char"/>
    <w:basedOn w:val="DefaultParagraphFont"/>
    <w:link w:val="ListParagraph"/>
    <w:uiPriority w:val="72"/>
    <w:rsid w:val="00A270F3"/>
    <w:rPr>
      <w:rFonts w:ascii="Arial" w:hAnsi="Arial" w:cs="Arial"/>
      <w:snapToGrid w:val="0"/>
      <w:sz w:val="22"/>
      <w:lang w:eastAsia="en-US"/>
    </w:rPr>
  </w:style>
  <w:style w:type="paragraph" w:customStyle="1" w:styleId="TableCentre">
    <w:name w:val="Table Centre"/>
    <w:basedOn w:val="Table"/>
    <w:qFormat/>
    <w:rsid w:val="007112A8"/>
    <w:pPr>
      <w:jc w:val="center"/>
    </w:pPr>
  </w:style>
  <w:style w:type="paragraph" w:customStyle="1" w:styleId="CaptionFootnote">
    <w:name w:val="Caption Footnote"/>
    <w:basedOn w:val="Caption"/>
    <w:qFormat/>
    <w:rsid w:val="007112A8"/>
    <w:pPr>
      <w:spacing w:after="0"/>
      <w:jc w:val="left"/>
    </w:pPr>
    <w:rPr>
      <w:rFonts w:ascii="Candara" w:eastAsiaTheme="majorEastAsia" w:hAnsi="Candara" w:cstheme="majorBidi"/>
      <w:b w:val="0"/>
      <w:snapToGrid/>
      <w:color w:val="auto"/>
      <w:sz w:val="16"/>
      <w:lang w:bidi="en-US"/>
    </w:rPr>
  </w:style>
  <w:style w:type="character" w:customStyle="1" w:styleId="jrnl">
    <w:name w:val="jrnl"/>
    <w:basedOn w:val="DefaultParagraphFont"/>
    <w:rsid w:val="00A36FD7"/>
  </w:style>
  <w:style w:type="paragraph" w:styleId="Bibliography">
    <w:name w:val="Bibliography"/>
    <w:basedOn w:val="Normal"/>
    <w:next w:val="Normal"/>
    <w:uiPriority w:val="37"/>
    <w:unhideWhenUsed/>
    <w:rsid w:val="00FD2CF4"/>
    <w:pPr>
      <w:widowControl/>
      <w:spacing w:after="200" w:line="276" w:lineRule="auto"/>
      <w:jc w:val="left"/>
    </w:pPr>
    <w:rPr>
      <w:rFonts w:ascii="Candara" w:eastAsiaTheme="majorEastAsia" w:hAnsi="Candara" w:cstheme="majorBidi"/>
      <w:snapToGrid/>
      <w:sz w:val="24"/>
      <w:szCs w:val="22"/>
      <w:lang w:bidi="en-US"/>
    </w:rPr>
  </w:style>
  <w:style w:type="character" w:styleId="Emphasis">
    <w:name w:val="Emphasis"/>
    <w:basedOn w:val="DefaultParagraphFont"/>
    <w:uiPriority w:val="20"/>
    <w:qFormat/>
    <w:rsid w:val="003F6F01"/>
    <w:rPr>
      <w:i/>
      <w:iCs/>
    </w:rPr>
  </w:style>
  <w:style w:type="character" w:customStyle="1" w:styleId="Heading3Char">
    <w:name w:val="Heading 3 Char"/>
    <w:basedOn w:val="DefaultParagraphFont"/>
    <w:link w:val="Heading3"/>
    <w:rsid w:val="00141842"/>
    <w:rPr>
      <w:rFonts w:ascii="Arial" w:hAnsi="Arial" w:cs="Arial"/>
      <w:snapToGrid w:val="0"/>
      <w:sz w:val="22"/>
      <w:u w:val="single"/>
      <w:lang w:eastAsia="en-US"/>
    </w:rPr>
  </w:style>
  <w:style w:type="table" w:customStyle="1" w:styleId="TableGridbeth1">
    <w:name w:val="Table Gridbeth1"/>
    <w:basedOn w:val="TableNormal"/>
    <w:next w:val="TableGrid"/>
    <w:uiPriority w:val="99"/>
    <w:rsid w:val="009208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bmissionstandard">
    <w:name w:val="Submission standard"/>
    <w:basedOn w:val="TableNormal"/>
    <w:uiPriority w:val="99"/>
    <w:qFormat/>
    <w:rsid w:val="00607883"/>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Candara" w:hAnsi="Candara"/>
        <w:b/>
        <w:sz w:val="20"/>
      </w:rPr>
      <w:tblPr/>
      <w:tcPr>
        <w:shd w:val="clear" w:color="auto" w:fill="BFBFBF" w:themeFill="background1" w:themeFillShade="BF"/>
      </w:tcPr>
    </w:tblStylePr>
  </w:style>
  <w:style w:type="character" w:customStyle="1" w:styleId="SmallBold">
    <w:name w:val="Small Bold"/>
    <w:basedOn w:val="Small"/>
    <w:uiPriority w:val="4"/>
    <w:qFormat/>
    <w:rsid w:val="00607883"/>
    <w:rPr>
      <w:rFonts w:ascii="Candara" w:hAnsi="Candara"/>
      <w:b/>
      <w:sz w:val="20"/>
      <w:lang w:val="en-AU"/>
    </w:rPr>
  </w:style>
  <w:style w:type="paragraph" w:customStyle="1" w:styleId="TableLeft">
    <w:name w:val="Table Left"/>
    <w:basedOn w:val="Normal"/>
    <w:uiPriority w:val="5"/>
    <w:qFormat/>
    <w:rsid w:val="00607883"/>
    <w:pPr>
      <w:widowControl/>
      <w:jc w:val="left"/>
    </w:pPr>
    <w:rPr>
      <w:rFonts w:ascii="Candara" w:eastAsiaTheme="majorEastAsia" w:hAnsi="Candara" w:cstheme="majorBidi"/>
      <w:snapToGrid/>
      <w:sz w:val="20"/>
      <w:szCs w:val="22"/>
      <w:lang w:bidi="en-US"/>
    </w:rPr>
  </w:style>
  <w:style w:type="character" w:customStyle="1" w:styleId="Heading1Char">
    <w:name w:val="Heading 1 Char"/>
    <w:basedOn w:val="DefaultParagraphFont"/>
    <w:link w:val="Heading1"/>
    <w:rsid w:val="00232F1B"/>
    <w:rPr>
      <w:rFonts w:ascii="Arial" w:hAnsi="Arial" w:cs="Arial"/>
      <w:b/>
      <w:snapToGrid w:val="0"/>
      <w:sz w:val="22"/>
      <w:szCs w:val="22"/>
      <w:lang w:eastAsia="en-US"/>
    </w:rPr>
  </w:style>
  <w:style w:type="character" w:customStyle="1" w:styleId="Heading4Char">
    <w:name w:val="Heading 4 Char"/>
    <w:basedOn w:val="DefaultParagraphFont"/>
    <w:link w:val="Heading4"/>
    <w:rsid w:val="007B16D9"/>
    <w:rPr>
      <w:rFonts w:ascii="Arial" w:hAnsi="Arial" w:cs="Arial"/>
      <w:b/>
      <w:bCs/>
      <w:i/>
      <w:snapToGrid w:val="0"/>
      <w:sz w:val="26"/>
      <w:szCs w:val="28"/>
      <w:lang w:eastAsia="en-US"/>
    </w:rPr>
  </w:style>
  <w:style w:type="character" w:customStyle="1" w:styleId="Heading5Char">
    <w:name w:val="Heading 5 Char"/>
    <w:basedOn w:val="DefaultParagraphFont"/>
    <w:link w:val="Heading5"/>
    <w:rsid w:val="007B16D9"/>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7B16D9"/>
    <w:rPr>
      <w:rFonts w:ascii="Arial" w:hAnsi="Arial" w:cs="Arial"/>
      <w:b/>
      <w:bCs/>
      <w:i/>
      <w:snapToGrid w:val="0"/>
      <w:sz w:val="22"/>
      <w:szCs w:val="22"/>
      <w:lang w:eastAsia="en-US"/>
    </w:rPr>
  </w:style>
  <w:style w:type="character" w:styleId="FollowedHyperlink">
    <w:name w:val="FollowedHyperlink"/>
    <w:basedOn w:val="DefaultParagraphFont"/>
    <w:semiHidden/>
    <w:unhideWhenUsed/>
    <w:rsid w:val="00460A98"/>
    <w:rPr>
      <w:color w:val="800080" w:themeColor="followedHyperlink"/>
      <w:u w:val="single"/>
    </w:rPr>
  </w:style>
  <w:style w:type="character" w:styleId="IntenseReference">
    <w:name w:val="Intense Reference"/>
    <w:basedOn w:val="DefaultParagraphFont"/>
    <w:uiPriority w:val="32"/>
    <w:rsid w:val="000274B1"/>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10"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rmal Table" w:semiHidden="0" w:unhideWhenUsed="0"/>
    <w:lsdException w:name="No List" w:uiPriority="99"/>
    <w:lsdException w:name="Table Web 2"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F3239"/>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232F1B"/>
    <w:pPr>
      <w:keepNext/>
      <w:outlineLvl w:val="0"/>
    </w:pPr>
  </w:style>
  <w:style w:type="paragraph" w:styleId="Heading2">
    <w:name w:val="heading 2"/>
    <w:basedOn w:val="Normal"/>
    <w:next w:val="Normal"/>
    <w:link w:val="Heading2Char"/>
    <w:qFormat/>
    <w:rsid w:val="00232F1B"/>
    <w:pPr>
      <w:widowControl/>
      <w:outlineLvl w:val="1"/>
    </w:pPr>
    <w:rPr>
      <w:b/>
      <w:bCs/>
      <w:i/>
      <w:szCs w:val="22"/>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232F1B"/>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10"/>
    <w:unhideWhenUsed/>
    <w:qFormat/>
    <w:rsid w:val="00124A51"/>
    <w:pPr>
      <w:spacing w:after="200"/>
    </w:pPr>
    <w:rPr>
      <w:b/>
      <w:bCs/>
      <w:color w:val="4F81BD" w:themeColor="accent1"/>
      <w:sz w:val="18"/>
      <w:szCs w:val="18"/>
    </w:rPr>
  </w:style>
  <w:style w:type="character" w:customStyle="1" w:styleId="CaptionChar">
    <w:name w:val="Caption Char"/>
    <w:link w:val="Caption"/>
    <w:uiPriority w:val="10"/>
    <w:rsid w:val="00124A51"/>
    <w:rPr>
      <w:b/>
      <w:bCs/>
      <w:snapToGrid w:val="0"/>
      <w:color w:val="4F81BD" w:themeColor="accent1"/>
      <w:sz w:val="18"/>
      <w:szCs w:val="18"/>
      <w:lang w:eastAsia="en-US"/>
    </w:rPr>
  </w:style>
  <w:style w:type="paragraph" w:styleId="Title">
    <w:name w:val="Title"/>
    <w:next w:val="Normal"/>
    <w:link w:val="TitleChar"/>
    <w:qFormat/>
    <w:rsid w:val="00232F1B"/>
    <w:pPr>
      <w:outlineLvl w:val="0"/>
    </w:pPr>
    <w:rPr>
      <w:rFonts w:ascii="Arial Bold" w:hAnsi="Arial Bold" w:cs="Arial"/>
      <w:b/>
      <w:caps/>
      <w:snapToGrid w:val="0"/>
      <w:sz w:val="28"/>
      <w:szCs w:val="28"/>
      <w:lang w:eastAsia="en-US"/>
    </w:rPr>
  </w:style>
  <w:style w:type="character" w:customStyle="1" w:styleId="TitleChar">
    <w:name w:val="Title Char"/>
    <w:basedOn w:val="DefaultParagraphFont"/>
    <w:link w:val="Title"/>
    <w:rsid w:val="00232F1B"/>
    <w:rPr>
      <w:rFonts w:ascii="Arial Bold" w:hAnsi="Arial Bold" w:cs="Arial"/>
      <w:b/>
      <w:caps/>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character" w:customStyle="1" w:styleId="FontItalics">
    <w:name w:val="Font Italics"/>
    <w:basedOn w:val="DefaultParagraphFont"/>
    <w:uiPriority w:val="1"/>
    <w:qFormat/>
    <w:rsid w:val="00DE45EE"/>
    <w:rPr>
      <w:rFonts w:ascii="Candara" w:hAnsi="Candara"/>
      <w:i/>
      <w:sz w:val="24"/>
    </w:rPr>
  </w:style>
  <w:style w:type="character" w:customStyle="1" w:styleId="Font">
    <w:name w:val="Font"/>
    <w:basedOn w:val="DefaultParagraphFont"/>
    <w:uiPriority w:val="1"/>
    <w:qFormat/>
    <w:rsid w:val="00CC63B8"/>
    <w:rPr>
      <w:rFonts w:ascii="Candara" w:hAnsi="Candara"/>
      <w:sz w:val="24"/>
    </w:rPr>
  </w:style>
  <w:style w:type="paragraph" w:customStyle="1" w:styleId="Default">
    <w:name w:val="Default"/>
    <w:rsid w:val="00C154CA"/>
    <w:pPr>
      <w:autoSpaceDE w:val="0"/>
      <w:autoSpaceDN w:val="0"/>
      <w:adjustRightInd w:val="0"/>
    </w:pPr>
    <w:rPr>
      <w:rFonts w:ascii="Arial" w:hAnsi="Arial" w:cs="Arial"/>
      <w:color w:val="000000"/>
      <w:sz w:val="24"/>
      <w:szCs w:val="24"/>
      <w:lang w:val="en-US"/>
    </w:rPr>
  </w:style>
  <w:style w:type="paragraph" w:styleId="DocumentMap">
    <w:name w:val="Document Map"/>
    <w:basedOn w:val="Normal"/>
    <w:link w:val="DocumentMapChar"/>
    <w:semiHidden/>
    <w:unhideWhenUsed/>
    <w:rsid w:val="006D2423"/>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6D2423"/>
    <w:rPr>
      <w:snapToGrid w:val="0"/>
      <w:sz w:val="24"/>
      <w:szCs w:val="24"/>
      <w:lang w:eastAsia="en-US"/>
    </w:rPr>
  </w:style>
  <w:style w:type="paragraph" w:customStyle="1" w:styleId="NormalBulletList">
    <w:name w:val="Normal Bullet List"/>
    <w:basedOn w:val="Normal"/>
    <w:uiPriority w:val="3"/>
    <w:qFormat/>
    <w:rsid w:val="003F061C"/>
    <w:pPr>
      <w:widowControl/>
      <w:numPr>
        <w:numId w:val="4"/>
      </w:numPr>
      <w:spacing w:after="240" w:line="276" w:lineRule="auto"/>
      <w:ind w:left="357" w:hanging="357"/>
      <w:contextualSpacing/>
      <w:jc w:val="left"/>
    </w:pPr>
    <w:rPr>
      <w:rFonts w:ascii="Candara" w:eastAsiaTheme="majorEastAsia" w:hAnsi="Candara" w:cstheme="majorBidi"/>
      <w:snapToGrid/>
      <w:sz w:val="24"/>
      <w:szCs w:val="22"/>
      <w:lang w:bidi="en-US"/>
    </w:rPr>
  </w:style>
  <w:style w:type="paragraph" w:customStyle="1" w:styleId="Table">
    <w:name w:val="Table"/>
    <w:basedOn w:val="Normal"/>
    <w:link w:val="TableChar"/>
    <w:qFormat/>
    <w:rsid w:val="00A96D07"/>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A96D07"/>
    <w:rPr>
      <w:rFonts w:ascii="Candara" w:eastAsiaTheme="majorEastAsia" w:hAnsi="Candara" w:cstheme="majorBidi"/>
      <w:szCs w:val="22"/>
      <w:lang w:eastAsia="en-US" w:bidi="en-US"/>
    </w:rPr>
  </w:style>
  <w:style w:type="paragraph" w:customStyle="1" w:styleId="TableBullets">
    <w:name w:val="Table Bullets"/>
    <w:basedOn w:val="Table"/>
    <w:uiPriority w:val="5"/>
    <w:qFormat/>
    <w:rsid w:val="00A96D07"/>
    <w:pPr>
      <w:numPr>
        <w:numId w:val="5"/>
      </w:numPr>
      <w:ind w:left="357" w:hanging="357"/>
    </w:pPr>
  </w:style>
  <w:style w:type="character" w:customStyle="1" w:styleId="Normalfont">
    <w:name w:val="Normal font"/>
    <w:basedOn w:val="DefaultParagraphFont"/>
    <w:uiPriority w:val="1"/>
    <w:qFormat/>
    <w:rsid w:val="00DB6548"/>
    <w:rPr>
      <w:rFonts w:ascii="Candara" w:hAnsi="Candara"/>
      <w:sz w:val="24"/>
    </w:rPr>
  </w:style>
  <w:style w:type="paragraph" w:customStyle="1" w:styleId="Pa17">
    <w:name w:val="Pa17"/>
    <w:basedOn w:val="Default"/>
    <w:next w:val="Default"/>
    <w:uiPriority w:val="99"/>
    <w:rsid w:val="00EF6334"/>
    <w:pPr>
      <w:spacing w:line="173" w:lineRule="atLeast"/>
    </w:pPr>
    <w:rPr>
      <w:color w:val="auto"/>
    </w:rPr>
  </w:style>
  <w:style w:type="character" w:customStyle="1" w:styleId="apple-converted-space">
    <w:name w:val="apple-converted-space"/>
    <w:basedOn w:val="DefaultParagraphFont"/>
    <w:rsid w:val="00A35E97"/>
  </w:style>
  <w:style w:type="paragraph" w:customStyle="1" w:styleId="TableText1">
    <w:name w:val="Table Text"/>
    <w:basedOn w:val="Normal"/>
    <w:qFormat/>
    <w:rsid w:val="00FD0083"/>
    <w:pPr>
      <w:widowControl/>
      <w:jc w:val="left"/>
    </w:pPr>
    <w:rPr>
      <w:rFonts w:ascii="Arial Narrow" w:eastAsia="Times New Roman" w:hAnsi="Arial Narrow" w:cs="Times New Roman"/>
      <w:snapToGrid/>
      <w:sz w:val="20"/>
      <w:szCs w:val="22"/>
      <w:lang w:val="en-GB" w:eastAsia="en-AU"/>
    </w:rPr>
  </w:style>
  <w:style w:type="character" w:styleId="FootnoteReference">
    <w:name w:val="footnote reference"/>
    <w:basedOn w:val="DefaultParagraphFont"/>
    <w:uiPriority w:val="99"/>
    <w:unhideWhenUsed/>
    <w:rsid w:val="00594E6D"/>
    <w:rPr>
      <w:vertAlign w:val="superscript"/>
    </w:rPr>
  </w:style>
  <w:style w:type="paragraph" w:styleId="FootnoteText">
    <w:name w:val="footnote text"/>
    <w:basedOn w:val="Normal"/>
    <w:link w:val="FootnoteTextChar"/>
    <w:uiPriority w:val="99"/>
    <w:unhideWhenUsed/>
    <w:rsid w:val="009E5980"/>
    <w:rPr>
      <w:sz w:val="20"/>
    </w:rPr>
  </w:style>
  <w:style w:type="character" w:customStyle="1" w:styleId="FootnoteTextChar">
    <w:name w:val="Footnote Text Char"/>
    <w:basedOn w:val="DefaultParagraphFont"/>
    <w:link w:val="FootnoteText"/>
    <w:uiPriority w:val="99"/>
    <w:rsid w:val="009E5980"/>
    <w:rPr>
      <w:rFonts w:ascii="Arial" w:hAnsi="Arial" w:cs="Arial"/>
      <w:snapToGrid w:val="0"/>
      <w:lang w:eastAsia="en-US"/>
    </w:rPr>
  </w:style>
  <w:style w:type="paragraph" w:customStyle="1" w:styleId="tabletext2">
    <w:name w:val="table text"/>
    <w:basedOn w:val="TableText1"/>
    <w:qFormat/>
    <w:rsid w:val="007425A5"/>
    <w:pPr>
      <w:keepNext/>
    </w:pPr>
    <w:rPr>
      <w:rFonts w:cs="Arial"/>
      <w:color w:val="000000"/>
      <w:szCs w:val="20"/>
      <w:lang w:val="en-AU"/>
    </w:rPr>
  </w:style>
  <w:style w:type="character" w:customStyle="1" w:styleId="Small">
    <w:name w:val="Small"/>
    <w:basedOn w:val="Font"/>
    <w:uiPriority w:val="4"/>
    <w:qFormat/>
    <w:rsid w:val="00D42FE9"/>
    <w:rPr>
      <w:rFonts w:ascii="Candara" w:hAnsi="Candara"/>
      <w:sz w:val="20"/>
    </w:rPr>
  </w:style>
  <w:style w:type="character" w:customStyle="1" w:styleId="ListParagraphChar">
    <w:name w:val="List Paragraph Char"/>
    <w:aliases w:val="BulletPoints Char"/>
    <w:basedOn w:val="DefaultParagraphFont"/>
    <w:link w:val="ListParagraph"/>
    <w:uiPriority w:val="72"/>
    <w:rsid w:val="00A270F3"/>
    <w:rPr>
      <w:rFonts w:ascii="Arial" w:hAnsi="Arial" w:cs="Arial"/>
      <w:snapToGrid w:val="0"/>
      <w:sz w:val="22"/>
      <w:lang w:eastAsia="en-US"/>
    </w:rPr>
  </w:style>
  <w:style w:type="paragraph" w:customStyle="1" w:styleId="TableCentre">
    <w:name w:val="Table Centre"/>
    <w:basedOn w:val="Table"/>
    <w:qFormat/>
    <w:rsid w:val="007112A8"/>
    <w:pPr>
      <w:jc w:val="center"/>
    </w:pPr>
  </w:style>
  <w:style w:type="paragraph" w:customStyle="1" w:styleId="CaptionFootnote">
    <w:name w:val="Caption Footnote"/>
    <w:basedOn w:val="Caption"/>
    <w:qFormat/>
    <w:rsid w:val="007112A8"/>
    <w:pPr>
      <w:spacing w:after="0"/>
      <w:jc w:val="left"/>
    </w:pPr>
    <w:rPr>
      <w:rFonts w:ascii="Candara" w:eastAsiaTheme="majorEastAsia" w:hAnsi="Candara" w:cstheme="majorBidi"/>
      <w:b w:val="0"/>
      <w:snapToGrid/>
      <w:color w:val="auto"/>
      <w:sz w:val="16"/>
      <w:lang w:bidi="en-US"/>
    </w:rPr>
  </w:style>
  <w:style w:type="character" w:customStyle="1" w:styleId="jrnl">
    <w:name w:val="jrnl"/>
    <w:basedOn w:val="DefaultParagraphFont"/>
    <w:rsid w:val="00A36FD7"/>
  </w:style>
  <w:style w:type="paragraph" w:styleId="Bibliography">
    <w:name w:val="Bibliography"/>
    <w:basedOn w:val="Normal"/>
    <w:next w:val="Normal"/>
    <w:uiPriority w:val="37"/>
    <w:unhideWhenUsed/>
    <w:rsid w:val="00FD2CF4"/>
    <w:pPr>
      <w:widowControl/>
      <w:spacing w:after="200" w:line="276" w:lineRule="auto"/>
      <w:jc w:val="left"/>
    </w:pPr>
    <w:rPr>
      <w:rFonts w:ascii="Candara" w:eastAsiaTheme="majorEastAsia" w:hAnsi="Candara" w:cstheme="majorBidi"/>
      <w:snapToGrid/>
      <w:sz w:val="24"/>
      <w:szCs w:val="22"/>
      <w:lang w:bidi="en-US"/>
    </w:rPr>
  </w:style>
  <w:style w:type="character" w:styleId="Emphasis">
    <w:name w:val="Emphasis"/>
    <w:basedOn w:val="DefaultParagraphFont"/>
    <w:uiPriority w:val="20"/>
    <w:qFormat/>
    <w:rsid w:val="003F6F01"/>
    <w:rPr>
      <w:i/>
      <w:iCs/>
    </w:rPr>
  </w:style>
  <w:style w:type="character" w:customStyle="1" w:styleId="Heading3Char">
    <w:name w:val="Heading 3 Char"/>
    <w:basedOn w:val="DefaultParagraphFont"/>
    <w:link w:val="Heading3"/>
    <w:rsid w:val="00141842"/>
    <w:rPr>
      <w:rFonts w:ascii="Arial" w:hAnsi="Arial" w:cs="Arial"/>
      <w:snapToGrid w:val="0"/>
      <w:sz w:val="22"/>
      <w:u w:val="single"/>
      <w:lang w:eastAsia="en-US"/>
    </w:rPr>
  </w:style>
  <w:style w:type="table" w:customStyle="1" w:styleId="TableGridbeth1">
    <w:name w:val="Table Gridbeth1"/>
    <w:basedOn w:val="TableNormal"/>
    <w:next w:val="TableGrid"/>
    <w:uiPriority w:val="99"/>
    <w:rsid w:val="009208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bmissionstandard">
    <w:name w:val="Submission standard"/>
    <w:basedOn w:val="TableNormal"/>
    <w:uiPriority w:val="99"/>
    <w:qFormat/>
    <w:rsid w:val="00607883"/>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Candara" w:hAnsi="Candara"/>
        <w:b/>
        <w:sz w:val="20"/>
      </w:rPr>
      <w:tblPr/>
      <w:tcPr>
        <w:shd w:val="clear" w:color="auto" w:fill="BFBFBF" w:themeFill="background1" w:themeFillShade="BF"/>
      </w:tcPr>
    </w:tblStylePr>
  </w:style>
  <w:style w:type="character" w:customStyle="1" w:styleId="SmallBold">
    <w:name w:val="Small Bold"/>
    <w:basedOn w:val="Small"/>
    <w:uiPriority w:val="4"/>
    <w:qFormat/>
    <w:rsid w:val="00607883"/>
    <w:rPr>
      <w:rFonts w:ascii="Candara" w:hAnsi="Candara"/>
      <w:b/>
      <w:sz w:val="20"/>
      <w:lang w:val="en-AU"/>
    </w:rPr>
  </w:style>
  <w:style w:type="paragraph" w:customStyle="1" w:styleId="TableLeft">
    <w:name w:val="Table Left"/>
    <w:basedOn w:val="Normal"/>
    <w:uiPriority w:val="5"/>
    <w:qFormat/>
    <w:rsid w:val="00607883"/>
    <w:pPr>
      <w:widowControl/>
      <w:jc w:val="left"/>
    </w:pPr>
    <w:rPr>
      <w:rFonts w:ascii="Candara" w:eastAsiaTheme="majorEastAsia" w:hAnsi="Candara" w:cstheme="majorBidi"/>
      <w:snapToGrid/>
      <w:sz w:val="20"/>
      <w:szCs w:val="22"/>
      <w:lang w:bidi="en-US"/>
    </w:rPr>
  </w:style>
  <w:style w:type="character" w:customStyle="1" w:styleId="Heading1Char">
    <w:name w:val="Heading 1 Char"/>
    <w:basedOn w:val="DefaultParagraphFont"/>
    <w:link w:val="Heading1"/>
    <w:rsid w:val="00232F1B"/>
    <w:rPr>
      <w:rFonts w:ascii="Arial" w:hAnsi="Arial" w:cs="Arial"/>
      <w:b/>
      <w:snapToGrid w:val="0"/>
      <w:sz w:val="22"/>
      <w:szCs w:val="22"/>
      <w:lang w:eastAsia="en-US"/>
    </w:rPr>
  </w:style>
  <w:style w:type="character" w:customStyle="1" w:styleId="Heading4Char">
    <w:name w:val="Heading 4 Char"/>
    <w:basedOn w:val="DefaultParagraphFont"/>
    <w:link w:val="Heading4"/>
    <w:rsid w:val="007B16D9"/>
    <w:rPr>
      <w:rFonts w:ascii="Arial" w:hAnsi="Arial" w:cs="Arial"/>
      <w:b/>
      <w:bCs/>
      <w:i/>
      <w:snapToGrid w:val="0"/>
      <w:sz w:val="26"/>
      <w:szCs w:val="28"/>
      <w:lang w:eastAsia="en-US"/>
    </w:rPr>
  </w:style>
  <w:style w:type="character" w:customStyle="1" w:styleId="Heading5Char">
    <w:name w:val="Heading 5 Char"/>
    <w:basedOn w:val="DefaultParagraphFont"/>
    <w:link w:val="Heading5"/>
    <w:rsid w:val="007B16D9"/>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7B16D9"/>
    <w:rPr>
      <w:rFonts w:ascii="Arial" w:hAnsi="Arial" w:cs="Arial"/>
      <w:b/>
      <w:bCs/>
      <w:i/>
      <w:snapToGrid w:val="0"/>
      <w:sz w:val="22"/>
      <w:szCs w:val="22"/>
      <w:lang w:eastAsia="en-US"/>
    </w:rPr>
  </w:style>
  <w:style w:type="character" w:styleId="FollowedHyperlink">
    <w:name w:val="FollowedHyperlink"/>
    <w:basedOn w:val="DefaultParagraphFont"/>
    <w:semiHidden/>
    <w:unhideWhenUsed/>
    <w:rsid w:val="00460A98"/>
    <w:rPr>
      <w:color w:val="800080" w:themeColor="followedHyperlink"/>
      <w:u w:val="single"/>
    </w:rPr>
  </w:style>
  <w:style w:type="character" w:styleId="IntenseReference">
    <w:name w:val="Intense Reference"/>
    <w:basedOn w:val="DefaultParagraphFont"/>
    <w:uiPriority w:val="32"/>
    <w:rsid w:val="000274B1"/>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660">
      <w:bodyDiv w:val="1"/>
      <w:marLeft w:val="0"/>
      <w:marRight w:val="0"/>
      <w:marTop w:val="0"/>
      <w:marBottom w:val="0"/>
      <w:divBdr>
        <w:top w:val="none" w:sz="0" w:space="0" w:color="auto"/>
        <w:left w:val="none" w:sz="0" w:space="0" w:color="auto"/>
        <w:bottom w:val="none" w:sz="0" w:space="0" w:color="auto"/>
        <w:right w:val="none" w:sz="0" w:space="0" w:color="auto"/>
      </w:divBdr>
    </w:div>
    <w:div w:id="201326897">
      <w:bodyDiv w:val="1"/>
      <w:marLeft w:val="0"/>
      <w:marRight w:val="0"/>
      <w:marTop w:val="0"/>
      <w:marBottom w:val="0"/>
      <w:divBdr>
        <w:top w:val="none" w:sz="0" w:space="0" w:color="auto"/>
        <w:left w:val="none" w:sz="0" w:space="0" w:color="auto"/>
        <w:bottom w:val="none" w:sz="0" w:space="0" w:color="auto"/>
        <w:right w:val="none" w:sz="0" w:space="0" w:color="auto"/>
      </w:divBdr>
    </w:div>
    <w:div w:id="231544868">
      <w:bodyDiv w:val="1"/>
      <w:marLeft w:val="0"/>
      <w:marRight w:val="0"/>
      <w:marTop w:val="0"/>
      <w:marBottom w:val="0"/>
      <w:divBdr>
        <w:top w:val="none" w:sz="0" w:space="0" w:color="auto"/>
        <w:left w:val="none" w:sz="0" w:space="0" w:color="auto"/>
        <w:bottom w:val="none" w:sz="0" w:space="0" w:color="auto"/>
        <w:right w:val="none" w:sz="0" w:space="0" w:color="auto"/>
      </w:divBdr>
    </w:div>
    <w:div w:id="234821506">
      <w:bodyDiv w:val="1"/>
      <w:marLeft w:val="0"/>
      <w:marRight w:val="0"/>
      <w:marTop w:val="0"/>
      <w:marBottom w:val="0"/>
      <w:divBdr>
        <w:top w:val="none" w:sz="0" w:space="0" w:color="auto"/>
        <w:left w:val="none" w:sz="0" w:space="0" w:color="auto"/>
        <w:bottom w:val="none" w:sz="0" w:space="0" w:color="auto"/>
        <w:right w:val="none" w:sz="0" w:space="0" w:color="auto"/>
      </w:divBdr>
    </w:div>
    <w:div w:id="263148677">
      <w:bodyDiv w:val="1"/>
      <w:marLeft w:val="0"/>
      <w:marRight w:val="0"/>
      <w:marTop w:val="0"/>
      <w:marBottom w:val="0"/>
      <w:divBdr>
        <w:top w:val="none" w:sz="0" w:space="0" w:color="auto"/>
        <w:left w:val="none" w:sz="0" w:space="0" w:color="auto"/>
        <w:bottom w:val="none" w:sz="0" w:space="0" w:color="auto"/>
        <w:right w:val="none" w:sz="0" w:space="0" w:color="auto"/>
      </w:divBdr>
    </w:div>
    <w:div w:id="275216443">
      <w:bodyDiv w:val="1"/>
      <w:marLeft w:val="0"/>
      <w:marRight w:val="0"/>
      <w:marTop w:val="0"/>
      <w:marBottom w:val="0"/>
      <w:divBdr>
        <w:top w:val="none" w:sz="0" w:space="0" w:color="auto"/>
        <w:left w:val="none" w:sz="0" w:space="0" w:color="auto"/>
        <w:bottom w:val="none" w:sz="0" w:space="0" w:color="auto"/>
        <w:right w:val="none" w:sz="0" w:space="0" w:color="auto"/>
      </w:divBdr>
    </w:div>
    <w:div w:id="342630996">
      <w:bodyDiv w:val="1"/>
      <w:marLeft w:val="0"/>
      <w:marRight w:val="0"/>
      <w:marTop w:val="0"/>
      <w:marBottom w:val="0"/>
      <w:divBdr>
        <w:top w:val="none" w:sz="0" w:space="0" w:color="auto"/>
        <w:left w:val="none" w:sz="0" w:space="0" w:color="auto"/>
        <w:bottom w:val="none" w:sz="0" w:space="0" w:color="auto"/>
        <w:right w:val="none" w:sz="0" w:space="0" w:color="auto"/>
      </w:divBdr>
    </w:div>
    <w:div w:id="391851698">
      <w:bodyDiv w:val="1"/>
      <w:marLeft w:val="0"/>
      <w:marRight w:val="0"/>
      <w:marTop w:val="0"/>
      <w:marBottom w:val="0"/>
      <w:divBdr>
        <w:top w:val="none" w:sz="0" w:space="0" w:color="auto"/>
        <w:left w:val="none" w:sz="0" w:space="0" w:color="auto"/>
        <w:bottom w:val="none" w:sz="0" w:space="0" w:color="auto"/>
        <w:right w:val="none" w:sz="0" w:space="0" w:color="auto"/>
      </w:divBdr>
    </w:div>
    <w:div w:id="451754405">
      <w:bodyDiv w:val="1"/>
      <w:marLeft w:val="0"/>
      <w:marRight w:val="0"/>
      <w:marTop w:val="0"/>
      <w:marBottom w:val="0"/>
      <w:divBdr>
        <w:top w:val="none" w:sz="0" w:space="0" w:color="auto"/>
        <w:left w:val="none" w:sz="0" w:space="0" w:color="auto"/>
        <w:bottom w:val="none" w:sz="0" w:space="0" w:color="auto"/>
        <w:right w:val="none" w:sz="0" w:space="0" w:color="auto"/>
      </w:divBdr>
    </w:div>
    <w:div w:id="476338461">
      <w:bodyDiv w:val="1"/>
      <w:marLeft w:val="0"/>
      <w:marRight w:val="0"/>
      <w:marTop w:val="0"/>
      <w:marBottom w:val="0"/>
      <w:divBdr>
        <w:top w:val="none" w:sz="0" w:space="0" w:color="auto"/>
        <w:left w:val="none" w:sz="0" w:space="0" w:color="auto"/>
        <w:bottom w:val="none" w:sz="0" w:space="0" w:color="auto"/>
        <w:right w:val="none" w:sz="0" w:space="0" w:color="auto"/>
      </w:divBdr>
    </w:div>
    <w:div w:id="495656050">
      <w:bodyDiv w:val="1"/>
      <w:marLeft w:val="0"/>
      <w:marRight w:val="0"/>
      <w:marTop w:val="0"/>
      <w:marBottom w:val="0"/>
      <w:divBdr>
        <w:top w:val="none" w:sz="0" w:space="0" w:color="auto"/>
        <w:left w:val="none" w:sz="0" w:space="0" w:color="auto"/>
        <w:bottom w:val="none" w:sz="0" w:space="0" w:color="auto"/>
        <w:right w:val="none" w:sz="0" w:space="0" w:color="auto"/>
      </w:divBdr>
    </w:div>
    <w:div w:id="677924798">
      <w:bodyDiv w:val="1"/>
      <w:marLeft w:val="0"/>
      <w:marRight w:val="0"/>
      <w:marTop w:val="0"/>
      <w:marBottom w:val="0"/>
      <w:divBdr>
        <w:top w:val="none" w:sz="0" w:space="0" w:color="auto"/>
        <w:left w:val="none" w:sz="0" w:space="0" w:color="auto"/>
        <w:bottom w:val="none" w:sz="0" w:space="0" w:color="auto"/>
        <w:right w:val="none" w:sz="0" w:space="0" w:color="auto"/>
      </w:divBdr>
    </w:div>
    <w:div w:id="715659358">
      <w:bodyDiv w:val="1"/>
      <w:marLeft w:val="0"/>
      <w:marRight w:val="0"/>
      <w:marTop w:val="0"/>
      <w:marBottom w:val="0"/>
      <w:divBdr>
        <w:top w:val="none" w:sz="0" w:space="0" w:color="auto"/>
        <w:left w:val="none" w:sz="0" w:space="0" w:color="auto"/>
        <w:bottom w:val="none" w:sz="0" w:space="0" w:color="auto"/>
        <w:right w:val="none" w:sz="0" w:space="0" w:color="auto"/>
      </w:divBdr>
      <w:divsChild>
        <w:div w:id="544752497">
          <w:marLeft w:val="547"/>
          <w:marRight w:val="0"/>
          <w:marTop w:val="154"/>
          <w:marBottom w:val="0"/>
          <w:divBdr>
            <w:top w:val="none" w:sz="0" w:space="0" w:color="auto"/>
            <w:left w:val="none" w:sz="0" w:space="0" w:color="auto"/>
            <w:bottom w:val="none" w:sz="0" w:space="0" w:color="auto"/>
            <w:right w:val="none" w:sz="0" w:space="0" w:color="auto"/>
          </w:divBdr>
        </w:div>
        <w:div w:id="937102389">
          <w:marLeft w:val="547"/>
          <w:marRight w:val="0"/>
          <w:marTop w:val="154"/>
          <w:marBottom w:val="0"/>
          <w:divBdr>
            <w:top w:val="none" w:sz="0" w:space="0" w:color="auto"/>
            <w:left w:val="none" w:sz="0" w:space="0" w:color="auto"/>
            <w:bottom w:val="none" w:sz="0" w:space="0" w:color="auto"/>
            <w:right w:val="none" w:sz="0" w:space="0" w:color="auto"/>
          </w:divBdr>
        </w:div>
        <w:div w:id="1163544661">
          <w:marLeft w:val="547"/>
          <w:marRight w:val="0"/>
          <w:marTop w:val="154"/>
          <w:marBottom w:val="0"/>
          <w:divBdr>
            <w:top w:val="none" w:sz="0" w:space="0" w:color="auto"/>
            <w:left w:val="none" w:sz="0" w:space="0" w:color="auto"/>
            <w:bottom w:val="none" w:sz="0" w:space="0" w:color="auto"/>
            <w:right w:val="none" w:sz="0" w:space="0" w:color="auto"/>
          </w:divBdr>
        </w:div>
        <w:div w:id="1916893941">
          <w:marLeft w:val="547"/>
          <w:marRight w:val="0"/>
          <w:marTop w:val="154"/>
          <w:marBottom w:val="0"/>
          <w:divBdr>
            <w:top w:val="none" w:sz="0" w:space="0" w:color="auto"/>
            <w:left w:val="none" w:sz="0" w:space="0" w:color="auto"/>
            <w:bottom w:val="none" w:sz="0" w:space="0" w:color="auto"/>
            <w:right w:val="none" w:sz="0" w:space="0" w:color="auto"/>
          </w:divBdr>
        </w:div>
      </w:divsChild>
    </w:div>
    <w:div w:id="732002618">
      <w:bodyDiv w:val="1"/>
      <w:marLeft w:val="0"/>
      <w:marRight w:val="0"/>
      <w:marTop w:val="0"/>
      <w:marBottom w:val="0"/>
      <w:divBdr>
        <w:top w:val="none" w:sz="0" w:space="0" w:color="auto"/>
        <w:left w:val="none" w:sz="0" w:space="0" w:color="auto"/>
        <w:bottom w:val="none" w:sz="0" w:space="0" w:color="auto"/>
        <w:right w:val="none" w:sz="0" w:space="0" w:color="auto"/>
      </w:divBdr>
      <w:divsChild>
        <w:div w:id="1214775774">
          <w:marLeft w:val="547"/>
          <w:marRight w:val="0"/>
          <w:marTop w:val="115"/>
          <w:marBottom w:val="0"/>
          <w:divBdr>
            <w:top w:val="none" w:sz="0" w:space="0" w:color="auto"/>
            <w:left w:val="none" w:sz="0" w:space="0" w:color="auto"/>
            <w:bottom w:val="none" w:sz="0" w:space="0" w:color="auto"/>
            <w:right w:val="none" w:sz="0" w:space="0" w:color="auto"/>
          </w:divBdr>
        </w:div>
      </w:divsChild>
    </w:div>
    <w:div w:id="779641863">
      <w:bodyDiv w:val="1"/>
      <w:marLeft w:val="0"/>
      <w:marRight w:val="0"/>
      <w:marTop w:val="0"/>
      <w:marBottom w:val="0"/>
      <w:divBdr>
        <w:top w:val="none" w:sz="0" w:space="0" w:color="auto"/>
        <w:left w:val="none" w:sz="0" w:space="0" w:color="auto"/>
        <w:bottom w:val="none" w:sz="0" w:space="0" w:color="auto"/>
        <w:right w:val="none" w:sz="0" w:space="0" w:color="auto"/>
      </w:divBdr>
    </w:div>
    <w:div w:id="782771858">
      <w:bodyDiv w:val="1"/>
      <w:marLeft w:val="0"/>
      <w:marRight w:val="0"/>
      <w:marTop w:val="0"/>
      <w:marBottom w:val="0"/>
      <w:divBdr>
        <w:top w:val="none" w:sz="0" w:space="0" w:color="auto"/>
        <w:left w:val="none" w:sz="0" w:space="0" w:color="auto"/>
        <w:bottom w:val="none" w:sz="0" w:space="0" w:color="auto"/>
        <w:right w:val="none" w:sz="0" w:space="0" w:color="auto"/>
      </w:divBdr>
    </w:div>
    <w:div w:id="808204478">
      <w:bodyDiv w:val="1"/>
      <w:marLeft w:val="0"/>
      <w:marRight w:val="0"/>
      <w:marTop w:val="0"/>
      <w:marBottom w:val="0"/>
      <w:divBdr>
        <w:top w:val="none" w:sz="0" w:space="0" w:color="auto"/>
        <w:left w:val="none" w:sz="0" w:space="0" w:color="auto"/>
        <w:bottom w:val="none" w:sz="0" w:space="0" w:color="auto"/>
        <w:right w:val="none" w:sz="0" w:space="0" w:color="auto"/>
      </w:divBdr>
    </w:div>
    <w:div w:id="855996191">
      <w:bodyDiv w:val="1"/>
      <w:marLeft w:val="0"/>
      <w:marRight w:val="0"/>
      <w:marTop w:val="0"/>
      <w:marBottom w:val="0"/>
      <w:divBdr>
        <w:top w:val="none" w:sz="0" w:space="0" w:color="auto"/>
        <w:left w:val="none" w:sz="0" w:space="0" w:color="auto"/>
        <w:bottom w:val="none" w:sz="0" w:space="0" w:color="auto"/>
        <w:right w:val="none" w:sz="0" w:space="0" w:color="auto"/>
      </w:divBdr>
    </w:div>
    <w:div w:id="869611333">
      <w:bodyDiv w:val="1"/>
      <w:marLeft w:val="0"/>
      <w:marRight w:val="0"/>
      <w:marTop w:val="0"/>
      <w:marBottom w:val="0"/>
      <w:divBdr>
        <w:top w:val="none" w:sz="0" w:space="0" w:color="auto"/>
        <w:left w:val="none" w:sz="0" w:space="0" w:color="auto"/>
        <w:bottom w:val="none" w:sz="0" w:space="0" w:color="auto"/>
        <w:right w:val="none" w:sz="0" w:space="0" w:color="auto"/>
      </w:divBdr>
    </w:div>
    <w:div w:id="894049957">
      <w:bodyDiv w:val="1"/>
      <w:marLeft w:val="0"/>
      <w:marRight w:val="0"/>
      <w:marTop w:val="0"/>
      <w:marBottom w:val="0"/>
      <w:divBdr>
        <w:top w:val="none" w:sz="0" w:space="0" w:color="auto"/>
        <w:left w:val="none" w:sz="0" w:space="0" w:color="auto"/>
        <w:bottom w:val="none" w:sz="0" w:space="0" w:color="auto"/>
        <w:right w:val="none" w:sz="0" w:space="0" w:color="auto"/>
      </w:divBdr>
    </w:div>
    <w:div w:id="896015008">
      <w:bodyDiv w:val="1"/>
      <w:marLeft w:val="0"/>
      <w:marRight w:val="0"/>
      <w:marTop w:val="0"/>
      <w:marBottom w:val="0"/>
      <w:divBdr>
        <w:top w:val="none" w:sz="0" w:space="0" w:color="auto"/>
        <w:left w:val="none" w:sz="0" w:space="0" w:color="auto"/>
        <w:bottom w:val="none" w:sz="0" w:space="0" w:color="auto"/>
        <w:right w:val="none" w:sz="0" w:space="0" w:color="auto"/>
      </w:divBdr>
    </w:div>
    <w:div w:id="977689230">
      <w:bodyDiv w:val="1"/>
      <w:marLeft w:val="0"/>
      <w:marRight w:val="0"/>
      <w:marTop w:val="0"/>
      <w:marBottom w:val="0"/>
      <w:divBdr>
        <w:top w:val="none" w:sz="0" w:space="0" w:color="auto"/>
        <w:left w:val="none" w:sz="0" w:space="0" w:color="auto"/>
        <w:bottom w:val="none" w:sz="0" w:space="0" w:color="auto"/>
        <w:right w:val="none" w:sz="0" w:space="0" w:color="auto"/>
      </w:divBdr>
    </w:div>
    <w:div w:id="981930515">
      <w:bodyDiv w:val="1"/>
      <w:marLeft w:val="0"/>
      <w:marRight w:val="0"/>
      <w:marTop w:val="0"/>
      <w:marBottom w:val="0"/>
      <w:divBdr>
        <w:top w:val="none" w:sz="0" w:space="0" w:color="auto"/>
        <w:left w:val="none" w:sz="0" w:space="0" w:color="auto"/>
        <w:bottom w:val="none" w:sz="0" w:space="0" w:color="auto"/>
        <w:right w:val="none" w:sz="0" w:space="0" w:color="auto"/>
      </w:divBdr>
    </w:div>
    <w:div w:id="1036858030">
      <w:bodyDiv w:val="1"/>
      <w:marLeft w:val="0"/>
      <w:marRight w:val="0"/>
      <w:marTop w:val="0"/>
      <w:marBottom w:val="0"/>
      <w:divBdr>
        <w:top w:val="none" w:sz="0" w:space="0" w:color="auto"/>
        <w:left w:val="none" w:sz="0" w:space="0" w:color="auto"/>
        <w:bottom w:val="none" w:sz="0" w:space="0" w:color="auto"/>
        <w:right w:val="none" w:sz="0" w:space="0" w:color="auto"/>
      </w:divBdr>
    </w:div>
    <w:div w:id="1072697635">
      <w:bodyDiv w:val="1"/>
      <w:marLeft w:val="0"/>
      <w:marRight w:val="0"/>
      <w:marTop w:val="0"/>
      <w:marBottom w:val="0"/>
      <w:divBdr>
        <w:top w:val="none" w:sz="0" w:space="0" w:color="auto"/>
        <w:left w:val="none" w:sz="0" w:space="0" w:color="auto"/>
        <w:bottom w:val="none" w:sz="0" w:space="0" w:color="auto"/>
        <w:right w:val="none" w:sz="0" w:space="0" w:color="auto"/>
      </w:divBdr>
    </w:div>
    <w:div w:id="1074470222">
      <w:bodyDiv w:val="1"/>
      <w:marLeft w:val="0"/>
      <w:marRight w:val="0"/>
      <w:marTop w:val="0"/>
      <w:marBottom w:val="0"/>
      <w:divBdr>
        <w:top w:val="none" w:sz="0" w:space="0" w:color="auto"/>
        <w:left w:val="none" w:sz="0" w:space="0" w:color="auto"/>
        <w:bottom w:val="none" w:sz="0" w:space="0" w:color="auto"/>
        <w:right w:val="none" w:sz="0" w:space="0" w:color="auto"/>
      </w:divBdr>
    </w:div>
    <w:div w:id="1080903249">
      <w:bodyDiv w:val="1"/>
      <w:marLeft w:val="0"/>
      <w:marRight w:val="0"/>
      <w:marTop w:val="0"/>
      <w:marBottom w:val="0"/>
      <w:divBdr>
        <w:top w:val="none" w:sz="0" w:space="0" w:color="auto"/>
        <w:left w:val="none" w:sz="0" w:space="0" w:color="auto"/>
        <w:bottom w:val="none" w:sz="0" w:space="0" w:color="auto"/>
        <w:right w:val="none" w:sz="0" w:space="0" w:color="auto"/>
      </w:divBdr>
    </w:div>
    <w:div w:id="1098788253">
      <w:bodyDiv w:val="1"/>
      <w:marLeft w:val="0"/>
      <w:marRight w:val="0"/>
      <w:marTop w:val="0"/>
      <w:marBottom w:val="0"/>
      <w:divBdr>
        <w:top w:val="none" w:sz="0" w:space="0" w:color="auto"/>
        <w:left w:val="none" w:sz="0" w:space="0" w:color="auto"/>
        <w:bottom w:val="none" w:sz="0" w:space="0" w:color="auto"/>
        <w:right w:val="none" w:sz="0" w:space="0" w:color="auto"/>
      </w:divBdr>
    </w:div>
    <w:div w:id="1176186448">
      <w:bodyDiv w:val="1"/>
      <w:marLeft w:val="0"/>
      <w:marRight w:val="0"/>
      <w:marTop w:val="0"/>
      <w:marBottom w:val="0"/>
      <w:divBdr>
        <w:top w:val="none" w:sz="0" w:space="0" w:color="auto"/>
        <w:left w:val="none" w:sz="0" w:space="0" w:color="auto"/>
        <w:bottom w:val="none" w:sz="0" w:space="0" w:color="auto"/>
        <w:right w:val="none" w:sz="0" w:space="0" w:color="auto"/>
      </w:divBdr>
    </w:div>
    <w:div w:id="1222326996">
      <w:bodyDiv w:val="1"/>
      <w:marLeft w:val="0"/>
      <w:marRight w:val="0"/>
      <w:marTop w:val="0"/>
      <w:marBottom w:val="0"/>
      <w:divBdr>
        <w:top w:val="none" w:sz="0" w:space="0" w:color="auto"/>
        <w:left w:val="none" w:sz="0" w:space="0" w:color="auto"/>
        <w:bottom w:val="none" w:sz="0" w:space="0" w:color="auto"/>
        <w:right w:val="none" w:sz="0" w:space="0" w:color="auto"/>
      </w:divBdr>
    </w:div>
    <w:div w:id="1227381197">
      <w:bodyDiv w:val="1"/>
      <w:marLeft w:val="0"/>
      <w:marRight w:val="0"/>
      <w:marTop w:val="0"/>
      <w:marBottom w:val="0"/>
      <w:divBdr>
        <w:top w:val="none" w:sz="0" w:space="0" w:color="auto"/>
        <w:left w:val="none" w:sz="0" w:space="0" w:color="auto"/>
        <w:bottom w:val="none" w:sz="0" w:space="0" w:color="auto"/>
        <w:right w:val="none" w:sz="0" w:space="0" w:color="auto"/>
      </w:divBdr>
    </w:div>
    <w:div w:id="1257520655">
      <w:bodyDiv w:val="1"/>
      <w:marLeft w:val="0"/>
      <w:marRight w:val="0"/>
      <w:marTop w:val="0"/>
      <w:marBottom w:val="0"/>
      <w:divBdr>
        <w:top w:val="none" w:sz="0" w:space="0" w:color="auto"/>
        <w:left w:val="none" w:sz="0" w:space="0" w:color="auto"/>
        <w:bottom w:val="none" w:sz="0" w:space="0" w:color="auto"/>
        <w:right w:val="none" w:sz="0" w:space="0" w:color="auto"/>
      </w:divBdr>
    </w:div>
    <w:div w:id="1421290236">
      <w:bodyDiv w:val="1"/>
      <w:marLeft w:val="0"/>
      <w:marRight w:val="0"/>
      <w:marTop w:val="0"/>
      <w:marBottom w:val="0"/>
      <w:divBdr>
        <w:top w:val="none" w:sz="0" w:space="0" w:color="auto"/>
        <w:left w:val="none" w:sz="0" w:space="0" w:color="auto"/>
        <w:bottom w:val="none" w:sz="0" w:space="0" w:color="auto"/>
        <w:right w:val="none" w:sz="0" w:space="0" w:color="auto"/>
      </w:divBdr>
    </w:div>
    <w:div w:id="1449928753">
      <w:bodyDiv w:val="1"/>
      <w:marLeft w:val="0"/>
      <w:marRight w:val="0"/>
      <w:marTop w:val="0"/>
      <w:marBottom w:val="0"/>
      <w:divBdr>
        <w:top w:val="none" w:sz="0" w:space="0" w:color="auto"/>
        <w:left w:val="none" w:sz="0" w:space="0" w:color="auto"/>
        <w:bottom w:val="none" w:sz="0" w:space="0" w:color="auto"/>
        <w:right w:val="none" w:sz="0" w:space="0" w:color="auto"/>
      </w:divBdr>
      <w:divsChild>
        <w:div w:id="1909420396">
          <w:marLeft w:val="547"/>
          <w:marRight w:val="0"/>
          <w:marTop w:val="154"/>
          <w:marBottom w:val="0"/>
          <w:divBdr>
            <w:top w:val="none" w:sz="0" w:space="0" w:color="auto"/>
            <w:left w:val="none" w:sz="0" w:space="0" w:color="auto"/>
            <w:bottom w:val="none" w:sz="0" w:space="0" w:color="auto"/>
            <w:right w:val="none" w:sz="0" w:space="0" w:color="auto"/>
          </w:divBdr>
        </w:div>
      </w:divsChild>
    </w:div>
    <w:div w:id="1461456027">
      <w:bodyDiv w:val="1"/>
      <w:marLeft w:val="0"/>
      <w:marRight w:val="0"/>
      <w:marTop w:val="0"/>
      <w:marBottom w:val="0"/>
      <w:divBdr>
        <w:top w:val="none" w:sz="0" w:space="0" w:color="auto"/>
        <w:left w:val="none" w:sz="0" w:space="0" w:color="auto"/>
        <w:bottom w:val="none" w:sz="0" w:space="0" w:color="auto"/>
        <w:right w:val="none" w:sz="0" w:space="0" w:color="auto"/>
      </w:divBdr>
    </w:div>
    <w:div w:id="1546328655">
      <w:bodyDiv w:val="1"/>
      <w:marLeft w:val="0"/>
      <w:marRight w:val="0"/>
      <w:marTop w:val="0"/>
      <w:marBottom w:val="0"/>
      <w:divBdr>
        <w:top w:val="none" w:sz="0" w:space="0" w:color="auto"/>
        <w:left w:val="none" w:sz="0" w:space="0" w:color="auto"/>
        <w:bottom w:val="none" w:sz="0" w:space="0" w:color="auto"/>
        <w:right w:val="none" w:sz="0" w:space="0" w:color="auto"/>
      </w:divBdr>
    </w:div>
    <w:div w:id="1629503783">
      <w:bodyDiv w:val="1"/>
      <w:marLeft w:val="0"/>
      <w:marRight w:val="0"/>
      <w:marTop w:val="0"/>
      <w:marBottom w:val="0"/>
      <w:divBdr>
        <w:top w:val="none" w:sz="0" w:space="0" w:color="auto"/>
        <w:left w:val="none" w:sz="0" w:space="0" w:color="auto"/>
        <w:bottom w:val="none" w:sz="0" w:space="0" w:color="auto"/>
        <w:right w:val="none" w:sz="0" w:space="0" w:color="auto"/>
      </w:divBdr>
    </w:div>
    <w:div w:id="1682470785">
      <w:bodyDiv w:val="1"/>
      <w:marLeft w:val="0"/>
      <w:marRight w:val="0"/>
      <w:marTop w:val="0"/>
      <w:marBottom w:val="0"/>
      <w:divBdr>
        <w:top w:val="none" w:sz="0" w:space="0" w:color="auto"/>
        <w:left w:val="none" w:sz="0" w:space="0" w:color="auto"/>
        <w:bottom w:val="none" w:sz="0" w:space="0" w:color="auto"/>
        <w:right w:val="none" w:sz="0" w:space="0" w:color="auto"/>
      </w:divBdr>
    </w:div>
    <w:div w:id="1684936059">
      <w:bodyDiv w:val="1"/>
      <w:marLeft w:val="0"/>
      <w:marRight w:val="0"/>
      <w:marTop w:val="0"/>
      <w:marBottom w:val="0"/>
      <w:divBdr>
        <w:top w:val="none" w:sz="0" w:space="0" w:color="auto"/>
        <w:left w:val="none" w:sz="0" w:space="0" w:color="auto"/>
        <w:bottom w:val="none" w:sz="0" w:space="0" w:color="auto"/>
        <w:right w:val="none" w:sz="0" w:space="0" w:color="auto"/>
      </w:divBdr>
    </w:div>
    <w:div w:id="1730761174">
      <w:bodyDiv w:val="1"/>
      <w:marLeft w:val="0"/>
      <w:marRight w:val="0"/>
      <w:marTop w:val="0"/>
      <w:marBottom w:val="0"/>
      <w:divBdr>
        <w:top w:val="none" w:sz="0" w:space="0" w:color="auto"/>
        <w:left w:val="none" w:sz="0" w:space="0" w:color="auto"/>
        <w:bottom w:val="none" w:sz="0" w:space="0" w:color="auto"/>
        <w:right w:val="none" w:sz="0" w:space="0" w:color="auto"/>
      </w:divBdr>
    </w:div>
    <w:div w:id="1797720721">
      <w:bodyDiv w:val="1"/>
      <w:marLeft w:val="0"/>
      <w:marRight w:val="0"/>
      <w:marTop w:val="0"/>
      <w:marBottom w:val="0"/>
      <w:divBdr>
        <w:top w:val="none" w:sz="0" w:space="0" w:color="auto"/>
        <w:left w:val="none" w:sz="0" w:space="0" w:color="auto"/>
        <w:bottom w:val="none" w:sz="0" w:space="0" w:color="auto"/>
        <w:right w:val="none" w:sz="0" w:space="0" w:color="auto"/>
      </w:divBdr>
    </w:div>
    <w:div w:id="1830051105">
      <w:bodyDiv w:val="1"/>
      <w:marLeft w:val="0"/>
      <w:marRight w:val="0"/>
      <w:marTop w:val="0"/>
      <w:marBottom w:val="0"/>
      <w:divBdr>
        <w:top w:val="none" w:sz="0" w:space="0" w:color="auto"/>
        <w:left w:val="none" w:sz="0" w:space="0" w:color="auto"/>
        <w:bottom w:val="none" w:sz="0" w:space="0" w:color="auto"/>
        <w:right w:val="none" w:sz="0" w:space="0" w:color="auto"/>
      </w:divBdr>
    </w:div>
    <w:div w:id="1926646456">
      <w:bodyDiv w:val="1"/>
      <w:marLeft w:val="0"/>
      <w:marRight w:val="0"/>
      <w:marTop w:val="0"/>
      <w:marBottom w:val="0"/>
      <w:divBdr>
        <w:top w:val="none" w:sz="0" w:space="0" w:color="auto"/>
        <w:left w:val="none" w:sz="0" w:space="0" w:color="auto"/>
        <w:bottom w:val="none" w:sz="0" w:space="0" w:color="auto"/>
        <w:right w:val="none" w:sz="0" w:space="0" w:color="auto"/>
      </w:divBdr>
      <w:divsChild>
        <w:div w:id="701706576">
          <w:marLeft w:val="547"/>
          <w:marRight w:val="0"/>
          <w:marTop w:val="154"/>
          <w:marBottom w:val="0"/>
          <w:divBdr>
            <w:top w:val="none" w:sz="0" w:space="0" w:color="auto"/>
            <w:left w:val="none" w:sz="0" w:space="0" w:color="auto"/>
            <w:bottom w:val="none" w:sz="0" w:space="0" w:color="auto"/>
            <w:right w:val="none" w:sz="0" w:space="0" w:color="auto"/>
          </w:divBdr>
        </w:div>
      </w:divsChild>
    </w:div>
    <w:div w:id="1928462968">
      <w:bodyDiv w:val="1"/>
      <w:marLeft w:val="0"/>
      <w:marRight w:val="0"/>
      <w:marTop w:val="0"/>
      <w:marBottom w:val="0"/>
      <w:divBdr>
        <w:top w:val="none" w:sz="0" w:space="0" w:color="auto"/>
        <w:left w:val="none" w:sz="0" w:space="0" w:color="auto"/>
        <w:bottom w:val="none" w:sz="0" w:space="0" w:color="auto"/>
        <w:right w:val="none" w:sz="0" w:space="0" w:color="auto"/>
      </w:divBdr>
    </w:div>
    <w:div w:id="1997882232">
      <w:bodyDiv w:val="1"/>
      <w:marLeft w:val="0"/>
      <w:marRight w:val="0"/>
      <w:marTop w:val="0"/>
      <w:marBottom w:val="0"/>
      <w:divBdr>
        <w:top w:val="none" w:sz="0" w:space="0" w:color="auto"/>
        <w:left w:val="none" w:sz="0" w:space="0" w:color="auto"/>
        <w:bottom w:val="none" w:sz="0" w:space="0" w:color="auto"/>
        <w:right w:val="none" w:sz="0" w:space="0" w:color="auto"/>
      </w:divBdr>
    </w:div>
    <w:div w:id="2006860206">
      <w:bodyDiv w:val="1"/>
      <w:marLeft w:val="0"/>
      <w:marRight w:val="0"/>
      <w:marTop w:val="0"/>
      <w:marBottom w:val="0"/>
      <w:divBdr>
        <w:top w:val="none" w:sz="0" w:space="0" w:color="auto"/>
        <w:left w:val="none" w:sz="0" w:space="0" w:color="auto"/>
        <w:bottom w:val="none" w:sz="0" w:space="0" w:color="auto"/>
        <w:right w:val="none" w:sz="0" w:space="0" w:color="auto"/>
      </w:divBdr>
    </w:div>
    <w:div w:id="2129230791">
      <w:bodyDiv w:val="1"/>
      <w:marLeft w:val="0"/>
      <w:marRight w:val="0"/>
      <w:marTop w:val="0"/>
      <w:marBottom w:val="0"/>
      <w:divBdr>
        <w:top w:val="none" w:sz="0" w:space="0" w:color="auto"/>
        <w:left w:val="none" w:sz="0" w:space="0" w:color="auto"/>
        <w:bottom w:val="none" w:sz="0" w:space="0" w:color="auto"/>
        <w:right w:val="none" w:sz="0" w:space="0" w:color="auto"/>
      </w:divBdr>
    </w:div>
    <w:div w:id="213883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cdc.gov/pertussis/clinical/features.html" TargetMode="External"/><Relationship Id="rId2" Type="http://schemas.openxmlformats.org/officeDocument/2006/relationships/hyperlink" Target="https://www.gov.uk/government/publications/health-protection-report-volume-9-2015/hpr-volume-9-issue-30-news-28-august" TargetMode="External"/><Relationship Id="rId1" Type="http://schemas.openxmlformats.org/officeDocument/2006/relationships/hyperlink" Target="http://www.health.gov.au/internet/main/publishing.nsf/Content/cda-pubs-cdi-2002-cdi2603-htm-cdi2603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Ami14</b:Tag>
    <b:SourceType>JournalArticle</b:SourceType>
    <b:Guid>{1C848B30-0833-4D7C-81A2-76FBB7959707}</b:Guid>
    <b:Author>
      <b:Author>
        <b:NameList>
          <b:Person>
            <b:Last>Amirthalingam</b:Last>
            <b:First>G</b:First>
          </b:Person>
          <b:Person>
            <b:Last>Andrews</b:Last>
            <b:First>N</b:First>
          </b:Person>
          <b:Person>
            <b:Last>Campbell</b:Last>
            <b:First>H</b:First>
          </b:Person>
          <b:Person>
            <b:Last>Ribeiro</b:Last>
            <b:First>S</b:First>
          </b:Person>
          <b:Person>
            <b:Last>Kara</b:Last>
            <b:First>E</b:First>
          </b:Person>
        </b:NameList>
      </b:Author>
    </b:Author>
    <b:Title>Effectiveness of maternal pertussis vaccination in England: an observational study</b:Title>
    <b:JournalName>Lancet</b:JournalName>
    <b:Year>2014</b:Year>
    <b:Pages>384(9953):1521-8</b:Pages>
    <b:RefOrder>35</b:RefOrder>
  </b:Source>
</b:Sources>
</file>

<file path=customXml/itemProps1.xml><?xml version="1.0" encoding="utf-8"?>
<ds:datastoreItem xmlns:ds="http://schemas.openxmlformats.org/officeDocument/2006/customXml" ds:itemID="{39EDFCC0-41EE-470F-8F0E-FD6A5D34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8006</Words>
  <Characters>44199</Characters>
  <Application>Microsoft Office Word</Application>
  <DocSecurity>0</DocSecurity>
  <Lines>2009</Lines>
  <Paragraphs>1535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2016-10-13T00:53:00Z</dcterms:created>
  <dcterms:modified xsi:type="dcterms:W3CDTF">2016-10-13T00:54:00Z</dcterms:modified>
</cp:coreProperties>
</file>